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43" w:rsidRPr="006412CE" w:rsidRDefault="00A36D49" w:rsidP="006412CE">
      <w:pPr>
        <w:pStyle w:val="Title"/>
        <w:rPr>
          <w:sz w:val="28"/>
          <w:szCs w:val="28"/>
        </w:rPr>
      </w:pPr>
      <w:bookmarkStart w:id="0" w:name="_Toc430009523"/>
      <w:r w:rsidRPr="006412CE">
        <w:rPr>
          <w:sz w:val="28"/>
          <w:szCs w:val="28"/>
        </w:rPr>
        <w:t>7</w:t>
      </w:r>
      <w:r w:rsidR="00433044" w:rsidRPr="006412CE">
        <w:rPr>
          <w:sz w:val="28"/>
          <w:szCs w:val="28"/>
        </w:rPr>
        <w:t>.</w:t>
      </w:r>
      <w:r w:rsidRPr="006412CE">
        <w:rPr>
          <w:sz w:val="28"/>
          <w:szCs w:val="28"/>
        </w:rPr>
        <w:t>05</w:t>
      </w:r>
      <w:r w:rsidR="00B60939" w:rsidRPr="006412CE">
        <w:rPr>
          <w:sz w:val="28"/>
          <w:szCs w:val="28"/>
        </w:rPr>
        <w:tab/>
      </w:r>
      <w:r w:rsidR="008D1343" w:rsidRPr="006412CE">
        <w:rPr>
          <w:sz w:val="28"/>
          <w:szCs w:val="28"/>
        </w:rPr>
        <w:t>NINTEDANIB</w:t>
      </w:r>
    </w:p>
    <w:p w:rsidR="008D1343" w:rsidRPr="006412CE" w:rsidRDefault="008D1343" w:rsidP="006412CE">
      <w:pPr>
        <w:pStyle w:val="StyleTitle14ptFirstline0cm"/>
      </w:pPr>
      <w:r w:rsidRPr="006412CE">
        <w:t>100</w:t>
      </w:r>
      <w:r w:rsidR="008B79AA" w:rsidRPr="006412CE">
        <w:rPr>
          <w:rFonts w:hint="eastAsia"/>
        </w:rPr>
        <w:t> </w:t>
      </w:r>
      <w:r w:rsidR="000E3D3B" w:rsidRPr="006412CE">
        <w:t xml:space="preserve">MG </w:t>
      </w:r>
      <w:r w:rsidRPr="006412CE">
        <w:t>CAPSULE, 60, 150</w:t>
      </w:r>
      <w:r w:rsidR="008B79AA" w:rsidRPr="006412CE">
        <w:rPr>
          <w:rFonts w:hint="eastAsia"/>
        </w:rPr>
        <w:t> </w:t>
      </w:r>
      <w:r w:rsidRPr="006412CE">
        <w:t>MG CAPSULE, 60</w:t>
      </w:r>
      <w:r w:rsidR="000E3D3B" w:rsidRPr="006412CE">
        <w:t xml:space="preserve"> </w:t>
      </w:r>
    </w:p>
    <w:p w:rsidR="00B60939" w:rsidRPr="006412CE" w:rsidRDefault="008D1343" w:rsidP="006412CE">
      <w:pPr>
        <w:pStyle w:val="StyleTitle14ptFirstline0cm"/>
      </w:pPr>
      <w:r w:rsidRPr="006412CE">
        <w:t>OFEV®</w:t>
      </w:r>
      <w:r w:rsidR="00147F8F" w:rsidRPr="006412CE">
        <w:t xml:space="preserve">, </w:t>
      </w:r>
      <w:r w:rsidR="000E3D3B" w:rsidRPr="006412CE">
        <w:t>BOEHRINGER INGELHEIM PTY LTD.</w:t>
      </w:r>
      <w:bookmarkEnd w:id="0"/>
    </w:p>
    <w:p w:rsidR="00B60939" w:rsidRDefault="00B60939" w:rsidP="00207D00"/>
    <w:p w:rsidR="006B326B" w:rsidRDefault="006B326B" w:rsidP="00207D00"/>
    <w:p w:rsidR="00B50DB8" w:rsidRPr="006412CE" w:rsidRDefault="00B50DB8" w:rsidP="006412CE">
      <w:pPr>
        <w:pStyle w:val="Heading1"/>
      </w:pPr>
      <w:bookmarkStart w:id="1" w:name="_Toc430009525"/>
      <w:r w:rsidRPr="006412CE">
        <w:t>Purpose of Application</w:t>
      </w:r>
      <w:bookmarkEnd w:id="1"/>
    </w:p>
    <w:p w:rsidR="00B60939" w:rsidRPr="00882085" w:rsidRDefault="00B60939" w:rsidP="00B60939">
      <w:pPr>
        <w:rPr>
          <w:szCs w:val="22"/>
        </w:rPr>
      </w:pPr>
    </w:p>
    <w:p w:rsidR="002C2775" w:rsidRPr="00B50DB8" w:rsidRDefault="001E238E" w:rsidP="00321D09">
      <w:pPr>
        <w:pStyle w:val="ListParagraph"/>
        <w:widowControl/>
        <w:numPr>
          <w:ilvl w:val="1"/>
          <w:numId w:val="2"/>
        </w:numPr>
        <w:rPr>
          <w:szCs w:val="22"/>
        </w:rPr>
      </w:pPr>
      <w:r w:rsidRPr="004B3DDB">
        <w:t xml:space="preserve">Authority </w:t>
      </w:r>
      <w:r w:rsidR="00462C00">
        <w:t>r</w:t>
      </w:r>
      <w:r w:rsidRPr="004B3DDB">
        <w:t xml:space="preserve">equired listing for </w:t>
      </w:r>
      <w:r w:rsidR="00462C00">
        <w:t>nintedanib</w:t>
      </w:r>
      <w:r w:rsidRPr="004B3DDB">
        <w:t xml:space="preserve"> for treatment of </w:t>
      </w:r>
      <w:r w:rsidR="00462C00">
        <w:t>idiopathic pulmonary fibrosis (IPF)</w:t>
      </w:r>
      <w:r w:rsidRPr="004B3DDB">
        <w:t>.</w:t>
      </w:r>
    </w:p>
    <w:p w:rsidR="004E43B2" w:rsidRDefault="004E43B2" w:rsidP="004B1CB4"/>
    <w:p w:rsidR="00215586" w:rsidRPr="00882085" w:rsidRDefault="00215586" w:rsidP="004B1CB4"/>
    <w:p w:rsidR="00B50DB8" w:rsidRPr="00407F2D" w:rsidRDefault="00B50DB8" w:rsidP="006412CE">
      <w:pPr>
        <w:pStyle w:val="Heading1"/>
      </w:pPr>
      <w:bookmarkStart w:id="2" w:name="_Toc430009526"/>
      <w:r w:rsidRPr="00407F2D">
        <w:t>Requested listing</w:t>
      </w:r>
      <w:bookmarkEnd w:id="2"/>
    </w:p>
    <w:p w:rsidR="00B60939" w:rsidRDefault="00B60939" w:rsidP="004B1CB4"/>
    <w:p w:rsidR="00FF77E4" w:rsidRPr="00882085" w:rsidRDefault="00953F5B" w:rsidP="00953F5B">
      <w:pPr>
        <w:pStyle w:val="ListParagraph"/>
        <w:widowControl/>
        <w:numPr>
          <w:ilvl w:val="1"/>
          <w:numId w:val="2"/>
        </w:numPr>
      </w:pPr>
      <w:r w:rsidRPr="00953F5B">
        <w:t xml:space="preserve">Suggestions and additions proposed by the Secretariat to the requested listing are added in italics and suggested deletions are </w:t>
      </w:r>
      <w:r>
        <w:t>crossed out with strikethrough.</w:t>
      </w:r>
    </w:p>
    <w:p w:rsidR="00617E12" w:rsidRDefault="00617E12" w:rsidP="00617E12"/>
    <w:tbl>
      <w:tblPr>
        <w:tblW w:w="9214" w:type="dxa"/>
        <w:tblInd w:w="108" w:type="dxa"/>
        <w:tblLayout w:type="fixed"/>
        <w:tblLook w:val="0000" w:firstRow="0" w:lastRow="0" w:firstColumn="0" w:lastColumn="0" w:noHBand="0" w:noVBand="0"/>
        <w:tblCaption w:val="Requested listing - initial treatment"/>
      </w:tblPr>
      <w:tblGrid>
        <w:gridCol w:w="2835"/>
        <w:gridCol w:w="426"/>
        <w:gridCol w:w="567"/>
        <w:gridCol w:w="850"/>
        <w:gridCol w:w="1701"/>
        <w:gridCol w:w="1559"/>
        <w:gridCol w:w="1276"/>
      </w:tblGrid>
      <w:tr w:rsidR="00523B05" w:rsidRPr="000A609B" w:rsidTr="00A01F0F">
        <w:trPr>
          <w:cantSplit/>
          <w:trHeight w:val="471"/>
        </w:trPr>
        <w:tc>
          <w:tcPr>
            <w:tcW w:w="3261" w:type="dxa"/>
            <w:gridSpan w:val="2"/>
            <w:tcBorders>
              <w:bottom w:val="single" w:sz="4" w:space="0" w:color="auto"/>
            </w:tcBorders>
          </w:tcPr>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Name, Restriction,</w:t>
            </w:r>
          </w:p>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Manner of administration and form</w:t>
            </w:r>
          </w:p>
        </w:tc>
        <w:tc>
          <w:tcPr>
            <w:tcW w:w="567" w:type="dxa"/>
            <w:tcBorders>
              <w:bottom w:val="single" w:sz="4" w:space="0" w:color="auto"/>
            </w:tcBorders>
          </w:tcPr>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Max.</w:t>
            </w:r>
          </w:p>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Qty</w:t>
            </w:r>
          </w:p>
        </w:tc>
        <w:tc>
          <w:tcPr>
            <w:tcW w:w="850" w:type="dxa"/>
            <w:tcBorders>
              <w:bottom w:val="single" w:sz="4" w:space="0" w:color="auto"/>
            </w:tcBorders>
          </w:tcPr>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№.of</w:t>
            </w:r>
          </w:p>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Rpts</w:t>
            </w:r>
          </w:p>
        </w:tc>
        <w:tc>
          <w:tcPr>
            <w:tcW w:w="1701" w:type="dxa"/>
            <w:tcBorders>
              <w:bottom w:val="single" w:sz="4" w:space="0" w:color="auto"/>
            </w:tcBorders>
          </w:tcPr>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Dispensed Price for Max. Qty</w:t>
            </w:r>
          </w:p>
        </w:tc>
        <w:tc>
          <w:tcPr>
            <w:tcW w:w="2835" w:type="dxa"/>
            <w:gridSpan w:val="2"/>
            <w:tcBorders>
              <w:bottom w:val="single" w:sz="4" w:space="0" w:color="auto"/>
            </w:tcBorders>
          </w:tcPr>
          <w:p w:rsidR="00523B05" w:rsidRPr="000A609B" w:rsidRDefault="00523B05" w:rsidP="00A01F0F">
            <w:pPr>
              <w:keepNext/>
              <w:widowControl/>
              <w:rPr>
                <w:rFonts w:ascii="Arial Narrow" w:hAnsi="Arial Narrow"/>
                <w:snapToGrid/>
                <w:sz w:val="20"/>
                <w:lang w:val="fr-FR" w:eastAsia="en-AU"/>
              </w:rPr>
            </w:pPr>
            <w:r w:rsidRPr="000A609B">
              <w:rPr>
                <w:rFonts w:ascii="Arial Narrow" w:hAnsi="Arial Narrow"/>
                <w:snapToGrid/>
                <w:sz w:val="20"/>
                <w:lang w:eastAsia="en-AU"/>
              </w:rPr>
              <w:t>Proprietary Name and Manufacturer</w:t>
            </w:r>
          </w:p>
        </w:tc>
      </w:tr>
      <w:tr w:rsidR="00523B05" w:rsidRPr="000A609B" w:rsidTr="00A01F0F">
        <w:trPr>
          <w:cantSplit/>
          <w:trHeight w:val="577"/>
        </w:trPr>
        <w:tc>
          <w:tcPr>
            <w:tcW w:w="3261" w:type="dxa"/>
            <w:gridSpan w:val="2"/>
          </w:tcPr>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mallCaps/>
                <w:snapToGrid/>
                <w:sz w:val="20"/>
                <w:lang w:eastAsia="en-AU"/>
              </w:rPr>
              <w:t xml:space="preserve">NINTEDANIB </w:t>
            </w:r>
          </w:p>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Oral, Capsule 100</w:t>
            </w:r>
            <w:r w:rsidR="008B79AA">
              <w:rPr>
                <w:rFonts w:ascii="Arial Narrow" w:hAnsi="Arial Narrow"/>
                <w:snapToGrid/>
                <w:sz w:val="20"/>
                <w:lang w:eastAsia="en-AU"/>
              </w:rPr>
              <w:t> </w:t>
            </w:r>
            <w:r w:rsidRPr="000A609B">
              <w:rPr>
                <w:rFonts w:ascii="Arial Narrow" w:hAnsi="Arial Narrow"/>
                <w:snapToGrid/>
                <w:sz w:val="20"/>
                <w:lang w:eastAsia="en-AU"/>
              </w:rPr>
              <w:t>mg, 60</w:t>
            </w:r>
          </w:p>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Oral, Capsule 150</w:t>
            </w:r>
            <w:r w:rsidR="008B79AA">
              <w:rPr>
                <w:rFonts w:ascii="Arial Narrow" w:hAnsi="Arial Narrow"/>
                <w:snapToGrid/>
                <w:sz w:val="20"/>
                <w:lang w:eastAsia="en-AU"/>
              </w:rPr>
              <w:t> </w:t>
            </w:r>
            <w:r w:rsidRPr="000A609B">
              <w:rPr>
                <w:rFonts w:ascii="Arial Narrow" w:hAnsi="Arial Narrow"/>
                <w:snapToGrid/>
                <w:sz w:val="20"/>
                <w:lang w:eastAsia="en-AU"/>
              </w:rPr>
              <w:t xml:space="preserve">mg, 60 </w:t>
            </w:r>
          </w:p>
        </w:tc>
        <w:tc>
          <w:tcPr>
            <w:tcW w:w="567" w:type="dxa"/>
          </w:tcPr>
          <w:p w:rsidR="00523B05" w:rsidRPr="000A609B" w:rsidRDefault="00523B05" w:rsidP="00A01F0F">
            <w:pPr>
              <w:keepNext/>
              <w:widowControl/>
              <w:ind w:left="-108"/>
              <w:rPr>
                <w:rFonts w:ascii="Arial Narrow" w:hAnsi="Arial Narrow"/>
                <w:snapToGrid/>
                <w:sz w:val="20"/>
                <w:lang w:eastAsia="en-AU"/>
              </w:rPr>
            </w:pPr>
          </w:p>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1</w:t>
            </w:r>
          </w:p>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1</w:t>
            </w:r>
          </w:p>
        </w:tc>
        <w:tc>
          <w:tcPr>
            <w:tcW w:w="850" w:type="dxa"/>
          </w:tcPr>
          <w:p w:rsidR="00523B05" w:rsidRPr="000A609B" w:rsidRDefault="00523B05" w:rsidP="00A01F0F">
            <w:pPr>
              <w:keepNext/>
              <w:widowControl/>
              <w:ind w:left="-108"/>
              <w:rPr>
                <w:rFonts w:ascii="Arial Narrow" w:hAnsi="Arial Narrow"/>
                <w:snapToGrid/>
                <w:sz w:val="20"/>
                <w:lang w:eastAsia="en-AU"/>
              </w:rPr>
            </w:pPr>
          </w:p>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5</w:t>
            </w:r>
          </w:p>
          <w:p w:rsidR="00523B05" w:rsidRPr="000A609B" w:rsidRDefault="00523B05" w:rsidP="00A01F0F">
            <w:pPr>
              <w:keepNext/>
              <w:widowControl/>
              <w:ind w:left="-108"/>
              <w:rPr>
                <w:rFonts w:ascii="Arial Narrow" w:hAnsi="Arial Narrow"/>
                <w:snapToGrid/>
                <w:sz w:val="20"/>
                <w:lang w:eastAsia="en-AU"/>
              </w:rPr>
            </w:pPr>
            <w:r w:rsidRPr="000A609B">
              <w:rPr>
                <w:rFonts w:ascii="Arial Narrow" w:hAnsi="Arial Narrow"/>
                <w:snapToGrid/>
                <w:sz w:val="20"/>
                <w:lang w:eastAsia="en-AU"/>
              </w:rPr>
              <w:t>5</w:t>
            </w:r>
          </w:p>
        </w:tc>
        <w:tc>
          <w:tcPr>
            <w:tcW w:w="1701" w:type="dxa"/>
          </w:tcPr>
          <w:p w:rsidR="00523B05" w:rsidRPr="000A609B" w:rsidRDefault="00523B05" w:rsidP="00A01F0F">
            <w:pPr>
              <w:keepNext/>
              <w:widowControl/>
              <w:ind w:left="-108"/>
              <w:rPr>
                <w:snapToGrid/>
                <w:sz w:val="20"/>
                <w:lang w:eastAsia="en-AU"/>
              </w:rPr>
            </w:pPr>
          </w:p>
          <w:p w:rsidR="00523B05" w:rsidRPr="000A609B" w:rsidRDefault="00523B05" w:rsidP="008B79AA">
            <w:pPr>
              <w:keepNext/>
              <w:widowControl/>
              <w:ind w:left="-108"/>
              <w:rPr>
                <w:snapToGrid/>
                <w:sz w:val="20"/>
                <w:lang w:eastAsia="en-AU"/>
              </w:rPr>
            </w:pPr>
          </w:p>
        </w:tc>
        <w:tc>
          <w:tcPr>
            <w:tcW w:w="1559" w:type="dxa"/>
          </w:tcPr>
          <w:p w:rsidR="00523B05" w:rsidRPr="000A609B" w:rsidRDefault="00523B05" w:rsidP="00A01F0F">
            <w:pPr>
              <w:keepNext/>
              <w:widowControl/>
              <w:rPr>
                <w:rFonts w:ascii="Arial Narrow" w:hAnsi="Arial Narrow"/>
                <w:snapToGrid/>
                <w:sz w:val="20"/>
                <w:lang w:eastAsia="en-AU"/>
              </w:rPr>
            </w:pPr>
            <w:r w:rsidRPr="000A609B">
              <w:rPr>
                <w:rFonts w:ascii="Arial Narrow" w:hAnsi="Arial Narrow"/>
                <w:snapToGrid/>
                <w:sz w:val="20"/>
                <w:lang w:val="en-NZ" w:eastAsia="en-AU"/>
              </w:rPr>
              <w:t>Ofev</w:t>
            </w:r>
            <w:r w:rsidRPr="008B79AA">
              <w:rPr>
                <w:rFonts w:ascii="Arial Narrow" w:hAnsi="Arial Narrow"/>
                <w:snapToGrid/>
                <w:sz w:val="20"/>
                <w:vertAlign w:val="superscript"/>
                <w:lang w:val="en-NZ" w:eastAsia="en-AU"/>
              </w:rPr>
              <w:t>®</w:t>
            </w:r>
          </w:p>
        </w:tc>
        <w:tc>
          <w:tcPr>
            <w:tcW w:w="1276" w:type="dxa"/>
          </w:tcPr>
          <w:p w:rsidR="00523B05" w:rsidRPr="000A609B" w:rsidRDefault="00523B05" w:rsidP="00A01F0F">
            <w:pPr>
              <w:keepNext/>
              <w:widowControl/>
              <w:rPr>
                <w:rFonts w:ascii="Arial Narrow" w:hAnsi="Arial Narrow"/>
                <w:snapToGrid/>
                <w:sz w:val="20"/>
                <w:lang w:eastAsia="en-AU"/>
              </w:rPr>
            </w:pPr>
            <w:r w:rsidRPr="000A609B">
              <w:rPr>
                <w:rFonts w:ascii="Arial Narrow" w:hAnsi="Arial Narrow"/>
                <w:snapToGrid/>
                <w:sz w:val="20"/>
                <w:lang w:val="en-NZ" w:eastAsia="en-AU"/>
              </w:rPr>
              <w:t>BY</w:t>
            </w:r>
          </w:p>
        </w:tc>
      </w:tr>
      <w:tr w:rsidR="00523B05" w:rsidRPr="000A609B" w:rsidTr="00A01F0F">
        <w:trPr>
          <w:cantSplit/>
          <w:trHeight w:val="360"/>
        </w:trPr>
        <w:tc>
          <w:tcPr>
            <w:tcW w:w="9214" w:type="dxa"/>
            <w:gridSpan w:val="7"/>
            <w:tcBorders>
              <w:bottom w:val="single" w:sz="4" w:space="0" w:color="auto"/>
            </w:tcBorders>
          </w:tcPr>
          <w:p w:rsidR="00523B05" w:rsidRPr="000A609B" w:rsidRDefault="00523B05" w:rsidP="00A01F0F">
            <w:pPr>
              <w:widowControl/>
              <w:rPr>
                <w:rFonts w:ascii="Arial Narrow" w:hAnsi="Arial Narrow"/>
                <w:snapToGrid/>
                <w:sz w:val="20"/>
                <w:lang w:eastAsia="en-AU"/>
              </w:rPr>
            </w:pP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rPr>
                <w:rFonts w:ascii="Arial Narrow" w:hAnsi="Arial Narrow"/>
                <w:b/>
                <w:snapToGrid/>
                <w:sz w:val="20"/>
                <w:lang w:eastAsia="en-AU"/>
              </w:rPr>
            </w:pPr>
            <w:r w:rsidRPr="000A609B">
              <w:rPr>
                <w:rFonts w:ascii="Arial Narrow" w:hAnsi="Arial Narrow"/>
                <w:b/>
                <w:snapToGrid/>
                <w:sz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jc w:val="left"/>
              <w:rPr>
                <w:rFonts w:ascii="Arial Narrow" w:hAnsi="Arial Narrow"/>
                <w:snapToGrid/>
                <w:sz w:val="20"/>
                <w:lang w:eastAsia="en-AU"/>
              </w:rPr>
            </w:pPr>
            <w:r w:rsidRPr="000A609B">
              <w:rPr>
                <w:rFonts w:ascii="Arial Narrow" w:hAnsi="Arial Narrow"/>
                <w:snapToGrid/>
                <w:sz w:val="20"/>
                <w:lang w:eastAsia="en-AU"/>
              </w:rPr>
              <w:t>GENERAL – General Schedule (Code GE)</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rPr>
                <w:rFonts w:ascii="Arial Narrow" w:hAnsi="Arial Narrow"/>
                <w:b/>
                <w:snapToGrid/>
                <w:sz w:val="20"/>
                <w:lang w:eastAsia="en-AU"/>
              </w:rPr>
            </w:pPr>
            <w:r w:rsidRPr="000A609B">
              <w:rPr>
                <w:rFonts w:ascii="Arial Narrow"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1"/>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 xml:space="preserve">Dental  </w:t>
            </w:r>
            <w:r w:rsidRPr="000A609B">
              <w:rPr>
                <w:rFonts w:ascii="Arial Narrow" w:hAnsi="Arial Narrow"/>
                <w:snapToGrid/>
                <w:sz w:val="20"/>
                <w:lang w:eastAsia="en-AU"/>
              </w:rPr>
              <w:fldChar w:fldCharType="begin">
                <w:ffData>
                  <w:name w:val=""/>
                  <w:enabled/>
                  <w:calcOnExit w:val="0"/>
                  <w:checkBox>
                    <w:sizeAuto/>
                    <w:default w:val="1"/>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 xml:space="preserve">Medical Practitioners  </w:t>
            </w:r>
            <w:r w:rsidRPr="000A609B">
              <w:rPr>
                <w:rFonts w:ascii="Arial Narrow" w:hAnsi="Arial Narrow"/>
                <w:snapToGrid/>
                <w:sz w:val="20"/>
                <w:lang w:eastAsia="en-AU"/>
              </w:rPr>
              <w:fldChar w:fldCharType="begin">
                <w:ffData>
                  <w:name w:val="Check3"/>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 xml:space="preserve">Nurse practitioners  </w:t>
            </w:r>
            <w:r w:rsidRPr="000A609B">
              <w:rPr>
                <w:rFonts w:ascii="Arial Narrow" w:hAnsi="Arial Narrow"/>
                <w:snapToGrid/>
                <w:sz w:val="20"/>
                <w:lang w:eastAsia="en-AU"/>
              </w:rPr>
              <w:fldChar w:fldCharType="begin">
                <w:ffData>
                  <w:name w:val=""/>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Optometrists</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5"/>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Midwives</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t>-</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z w:val="20"/>
                <w:lang w:eastAsia="en-AU"/>
              </w:rPr>
              <w:t>Mild to moderate</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z w:val="20"/>
                <w:lang w:eastAsia="en-AU"/>
              </w:rPr>
              <w:t>Idiopathic pulmonary fibrosis</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z w:val="20"/>
                <w:lang w:eastAsia="en-AU"/>
              </w:rPr>
            </w:pPr>
            <w:r w:rsidRPr="000A609B">
              <w:rPr>
                <w:rFonts w:ascii="Arial Narrow" w:hAnsi="Arial Narrow"/>
                <w:iCs/>
                <w:sz w:val="20"/>
                <w:lang w:eastAsia="en-AU"/>
              </w:rPr>
              <w:t>Mild to moderate</w:t>
            </w:r>
            <w:r w:rsidRPr="000A609B">
              <w:rPr>
                <w:rFonts w:ascii="Arial Narrow" w:hAnsi="Arial Narrow"/>
                <w:sz w:val="20"/>
                <w:lang w:eastAsia="en-AU"/>
              </w:rPr>
              <w:t xml:space="preserve"> idiopathic pulmonary fibrosis</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8B79AA">
            <w:pPr>
              <w:widowControl/>
              <w:rPr>
                <w:rFonts w:ascii="Arial Narrow" w:hAnsi="Arial Narrow"/>
                <w:i/>
                <w:snapToGrid/>
                <w:sz w:val="20"/>
                <w:lang w:eastAsia="en-AU"/>
              </w:rPr>
            </w:pPr>
            <w:r w:rsidRPr="000A609B">
              <w:rPr>
                <w:rFonts w:ascii="Arial Narrow" w:hAnsi="Arial Narrow"/>
                <w:b/>
                <w:snapToGrid/>
                <w:sz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z w:val="20"/>
                <w:lang w:eastAsia="en-AU"/>
              </w:rPr>
              <w:t xml:space="preserve">Initial </w:t>
            </w:r>
            <w:r w:rsidRPr="000A609B">
              <w:rPr>
                <w:rFonts w:ascii="Arial Narrow" w:hAnsi="Arial Narrow"/>
                <w:iCs/>
                <w:sz w:val="20"/>
                <w:lang w:eastAsia="en-AU"/>
              </w:rPr>
              <w:t>treatment</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8B79AA">
            <w:pPr>
              <w:widowControl/>
              <w:rPr>
                <w:rFonts w:ascii="Arial Narrow" w:hAnsi="Arial Narrow"/>
                <w:i/>
                <w:snapToGrid/>
                <w:sz w:val="20"/>
                <w:lang w:eastAsia="en-AU"/>
              </w:rPr>
            </w:pPr>
            <w:r w:rsidRPr="000A609B">
              <w:rPr>
                <w:rFonts w:ascii="Arial Narrow" w:hAnsi="Arial Narrow"/>
                <w:b/>
                <w:snapToGrid/>
                <w:sz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1"/>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Restricted benefit</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
                  <w:enabled/>
                  <w:calcOnExit w:val="0"/>
                  <w:checkBox>
                    <w:sizeAuto/>
                    <w:default w:val="1"/>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Authority Required - In Writing</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Authority Required - Telephone</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Authority Required – Emergency</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5"/>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Authority Required - Electronic</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5"/>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Streamlined</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jc w:val="left"/>
              <w:rPr>
                <w:rFonts w:ascii="Arial Narrow" w:hAnsi="Arial Narrow"/>
                <w:snapToGrid/>
                <w:sz w:val="20"/>
                <w:lang w:eastAsia="en-AU"/>
              </w:rPr>
            </w:pPr>
            <w:r w:rsidRPr="000A609B">
              <w:rPr>
                <w:rFonts w:ascii="Arial Narrow" w:hAnsi="Arial Narrow"/>
                <w:b/>
                <w:snapToGrid/>
                <w:sz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jc w:val="left"/>
              <w:rPr>
                <w:rFonts w:ascii="Arial Narrow" w:hAnsi="Arial Narrow"/>
                <w:snapToGrid/>
                <w:sz w:val="20"/>
                <w:lang w:eastAsia="en-AU"/>
              </w:rPr>
            </w:pPr>
            <w:r w:rsidRPr="000A609B">
              <w:rPr>
                <w:rFonts w:ascii="Arial Narrow" w:hAnsi="Arial Narrow"/>
                <w:snapToGrid/>
                <w:sz w:val="20"/>
                <w:lang w:eastAsia="en-AU"/>
              </w:rPr>
              <w:t xml:space="preserve">Patient must be </w:t>
            </w:r>
            <w:r w:rsidRPr="000A609B">
              <w:rPr>
                <w:rFonts w:ascii="Arial Narrow" w:hAnsi="Arial Narrow"/>
                <w:iCs/>
                <w:sz w:val="20"/>
                <w:lang w:eastAsia="en-AU"/>
              </w:rPr>
              <w:t>treated by a respiratory physician or specialist physician experienced in the management of patients with idiopathic pulmonary fibrosis.</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lastRenderedPageBreak/>
              <w:t>Clinical criteria:</w:t>
            </w:r>
          </w:p>
          <w:p w:rsidR="00523B05" w:rsidRPr="000A609B" w:rsidRDefault="00523B05" w:rsidP="00E1056C">
            <w:pPr>
              <w:widowControl/>
              <w:rPr>
                <w:rFonts w:ascii="Arial Narrow" w:hAnsi="Arial Narrow"/>
                <w:snapToGrid/>
                <w:sz w:val="20"/>
                <w:lang w:eastAsia="en-AU"/>
              </w:rPr>
            </w:pPr>
            <w:r w:rsidRPr="000A609B">
              <w:rPr>
                <w:rFonts w:ascii="Arial Narrow" w:hAnsi="Arial Narrow"/>
                <w:i/>
                <w:snapToGrid/>
                <w:sz w:val="20"/>
                <w:lang w:eastAsia="en-AU"/>
              </w:rPr>
              <w:t>(To be finalised)</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523B05">
            <w:pPr>
              <w:widowControl/>
              <w:numPr>
                <w:ilvl w:val="0"/>
                <w:numId w:val="12"/>
              </w:numPr>
              <w:jc w:val="left"/>
              <w:rPr>
                <w:rFonts w:ascii="Arial Narrow" w:hAnsi="Arial Narrow"/>
                <w:b/>
                <w:iCs/>
                <w:sz w:val="20"/>
                <w:lang w:eastAsia="en-AU"/>
              </w:rPr>
            </w:pPr>
            <w:r w:rsidRPr="000A609B">
              <w:rPr>
                <w:rFonts w:ascii="Arial Narrow" w:hAnsi="Arial Narrow"/>
                <w:iCs/>
                <w:sz w:val="20"/>
                <w:lang w:eastAsia="en-AU"/>
              </w:rPr>
              <w:t>Patient must have a confirmed and documented diagnosis of idiopathic pulmonary fibrosis</w:t>
            </w:r>
            <w:r w:rsidRPr="000A609B">
              <w:rPr>
                <w:rFonts w:ascii="Arial Narrow" w:hAnsi="Arial Narrow"/>
                <w:iCs/>
                <w:strike/>
                <w:sz w:val="20"/>
                <w:lang w:eastAsia="en-AU"/>
              </w:rPr>
              <w:t>; through a multidisciplinary team (comprising at least respiratory, radiology and where required, pathology)</w:t>
            </w:r>
            <w:r w:rsidRPr="000A609B">
              <w:rPr>
                <w:rFonts w:ascii="Arial Narrow" w:hAnsi="Arial Narrow"/>
                <w:iCs/>
                <w:sz w:val="20"/>
                <w:lang w:eastAsia="en-AU"/>
              </w:rPr>
              <w:t xml:space="preserve">. </w:t>
            </w:r>
          </w:p>
          <w:p w:rsidR="00523B05" w:rsidRPr="000A609B" w:rsidRDefault="00523B05" w:rsidP="00A01F0F">
            <w:pPr>
              <w:widowControl/>
              <w:jc w:val="left"/>
              <w:rPr>
                <w:rFonts w:ascii="Arial Narrow" w:hAnsi="Arial Narrow"/>
                <w:b/>
                <w:iCs/>
                <w:sz w:val="20"/>
                <w:lang w:eastAsia="en-AU"/>
              </w:rPr>
            </w:pPr>
            <w:r w:rsidRPr="000A609B">
              <w:rPr>
                <w:rFonts w:ascii="Arial Narrow" w:hAnsi="Arial Narrow"/>
                <w:b/>
                <w:iCs/>
                <w:sz w:val="20"/>
                <w:lang w:eastAsia="en-AU"/>
              </w:rPr>
              <w:t>AND</w:t>
            </w:r>
          </w:p>
          <w:p w:rsidR="00523B05" w:rsidRPr="000A609B" w:rsidRDefault="00523B05" w:rsidP="00523B05">
            <w:pPr>
              <w:widowControl/>
              <w:numPr>
                <w:ilvl w:val="0"/>
                <w:numId w:val="12"/>
              </w:numPr>
              <w:jc w:val="left"/>
              <w:rPr>
                <w:rFonts w:ascii="Arial Narrow" w:hAnsi="Arial Narrow"/>
                <w:iCs/>
                <w:sz w:val="20"/>
                <w:lang w:eastAsia="en-AU"/>
              </w:rPr>
            </w:pPr>
            <w:r w:rsidRPr="000A609B">
              <w:rPr>
                <w:rFonts w:ascii="Arial Narrow" w:hAnsi="Arial Narrow"/>
                <w:iCs/>
                <w:sz w:val="20"/>
                <w:lang w:eastAsia="en-AU"/>
              </w:rPr>
              <w:t xml:space="preserve">Patient must have a confirmed and documented diagnosis of idiopathic pulmonary fibrosis that is less than 5 years old; </w:t>
            </w:r>
            <w:r w:rsidRPr="000A609B">
              <w:rPr>
                <w:rFonts w:ascii="Arial Narrow" w:hAnsi="Arial Narrow"/>
                <w:b/>
                <w:iCs/>
                <w:sz w:val="20"/>
                <w:lang w:eastAsia="en-AU"/>
              </w:rPr>
              <w:t>OR</w:t>
            </w:r>
          </w:p>
          <w:p w:rsidR="00523B05" w:rsidRPr="000A609B" w:rsidRDefault="00523B05" w:rsidP="00523B05">
            <w:pPr>
              <w:widowControl/>
              <w:numPr>
                <w:ilvl w:val="0"/>
                <w:numId w:val="12"/>
              </w:numPr>
              <w:jc w:val="left"/>
              <w:rPr>
                <w:rFonts w:ascii="Times New Roman" w:hAnsi="Times New Roman"/>
                <w:iCs/>
                <w:sz w:val="20"/>
                <w:lang w:eastAsia="en-AU"/>
              </w:rPr>
            </w:pPr>
            <w:r w:rsidRPr="000A609B">
              <w:rPr>
                <w:rFonts w:ascii="Arial Narrow" w:hAnsi="Arial Narrow"/>
                <w:iCs/>
                <w:sz w:val="20"/>
                <w:lang w:eastAsia="en-AU"/>
              </w:rPr>
              <w:t>Patient must have a confirmed and documented diagnosis of idiopathic pulmonary fibrosis that is greater than 5 years old where there is confirmed progressive disease</w:t>
            </w:r>
            <w:r w:rsidRPr="000A609B">
              <w:rPr>
                <w:rFonts w:ascii="Times New Roman" w:hAnsi="Times New Roman"/>
                <w:iCs/>
                <w:sz w:val="20"/>
                <w:lang w:eastAsia="en-AU"/>
              </w:rPr>
              <w:t>,</w:t>
            </w:r>
          </w:p>
          <w:p w:rsidR="00523B05" w:rsidRPr="000A609B" w:rsidRDefault="00523B05" w:rsidP="00A01F0F">
            <w:pPr>
              <w:widowControl/>
              <w:jc w:val="left"/>
              <w:rPr>
                <w:rFonts w:ascii="Arial Narrow" w:hAnsi="Arial Narrow"/>
                <w:b/>
                <w:iCs/>
                <w:sz w:val="20"/>
                <w:lang w:eastAsia="en-AU"/>
              </w:rPr>
            </w:pPr>
            <w:r w:rsidRPr="000A609B">
              <w:rPr>
                <w:rFonts w:ascii="Arial Narrow" w:hAnsi="Arial Narrow"/>
                <w:b/>
                <w:iCs/>
                <w:sz w:val="20"/>
                <w:lang w:eastAsia="en-AU"/>
              </w:rPr>
              <w:t>AND</w:t>
            </w:r>
          </w:p>
          <w:p w:rsidR="00523B05" w:rsidRPr="000A609B" w:rsidRDefault="00523B05" w:rsidP="00523B05">
            <w:pPr>
              <w:widowControl/>
              <w:numPr>
                <w:ilvl w:val="0"/>
                <w:numId w:val="13"/>
              </w:numPr>
              <w:jc w:val="left"/>
              <w:rPr>
                <w:rFonts w:ascii="Arial Narrow" w:hAnsi="Arial Narrow"/>
                <w:iCs/>
                <w:sz w:val="20"/>
                <w:lang w:eastAsia="en-AU"/>
              </w:rPr>
            </w:pPr>
            <w:r w:rsidRPr="000A609B">
              <w:rPr>
                <w:rFonts w:ascii="Arial Narrow" w:hAnsi="Arial Narrow"/>
                <w:iCs/>
                <w:sz w:val="20"/>
                <w:lang w:eastAsia="en-AU"/>
              </w:rPr>
              <w:t>Patient must have</w:t>
            </w:r>
            <w:r w:rsidRPr="000A609B">
              <w:rPr>
                <w:rFonts w:ascii="Arial Narrow" w:hAnsi="Arial Narrow"/>
                <w:sz w:val="20"/>
                <w:lang w:eastAsia="en-AU"/>
              </w:rPr>
              <w:t xml:space="preserve"> chest high resolution computed tomography (HRCT) consistent with the diagnosis of idiopathic pulmonary fibrosis within the previous 12 months,</w:t>
            </w:r>
          </w:p>
          <w:p w:rsidR="00523B05" w:rsidRPr="00E1056C" w:rsidRDefault="00523B05" w:rsidP="00A01F0F">
            <w:pPr>
              <w:widowControl/>
              <w:jc w:val="left"/>
              <w:rPr>
                <w:rFonts w:ascii="Arial Narrow" w:hAnsi="Arial Narrow"/>
                <w:b/>
                <w:sz w:val="20"/>
                <w:lang w:eastAsia="en-AU"/>
              </w:rPr>
            </w:pPr>
            <w:r w:rsidRPr="00E1056C">
              <w:rPr>
                <w:rFonts w:ascii="Arial Narrow" w:hAnsi="Arial Narrow"/>
                <w:b/>
                <w:sz w:val="20"/>
                <w:lang w:eastAsia="en-AU"/>
              </w:rPr>
              <w:t>AND</w:t>
            </w:r>
          </w:p>
          <w:p w:rsidR="00523B05" w:rsidRPr="000A609B" w:rsidRDefault="00523B05" w:rsidP="00523B05">
            <w:pPr>
              <w:widowControl/>
              <w:numPr>
                <w:ilvl w:val="0"/>
                <w:numId w:val="13"/>
              </w:numPr>
              <w:jc w:val="left"/>
              <w:rPr>
                <w:rFonts w:ascii="Arial Narrow" w:hAnsi="Arial Narrow"/>
                <w:sz w:val="20"/>
              </w:rPr>
            </w:pPr>
            <w:r w:rsidRPr="000A609B">
              <w:rPr>
                <w:rFonts w:ascii="Arial Narrow" w:hAnsi="Arial Narrow"/>
                <w:sz w:val="20"/>
              </w:rPr>
              <w:t>Patient must have forced vital capacity (FVC) equal to or greater than 50% predicted for age, gender and weight, and FEV1/FVC ratio greater than 0.7,</w:t>
            </w:r>
          </w:p>
          <w:p w:rsidR="00523B05" w:rsidRPr="000A609B" w:rsidRDefault="00523B05" w:rsidP="00A01F0F">
            <w:pPr>
              <w:widowControl/>
              <w:jc w:val="left"/>
              <w:rPr>
                <w:rFonts w:ascii="Arial Narrow" w:hAnsi="Arial Narrow"/>
                <w:b/>
                <w:iCs/>
                <w:sz w:val="20"/>
                <w:lang w:eastAsia="en-AU"/>
              </w:rPr>
            </w:pPr>
            <w:r w:rsidRPr="000A609B">
              <w:rPr>
                <w:rFonts w:ascii="Arial Narrow" w:hAnsi="Arial Narrow"/>
                <w:b/>
                <w:iCs/>
                <w:sz w:val="20"/>
                <w:lang w:eastAsia="en-AU"/>
              </w:rPr>
              <w:t>AND</w:t>
            </w:r>
          </w:p>
          <w:p w:rsidR="00523B05" w:rsidRPr="000A609B" w:rsidRDefault="00523B05" w:rsidP="00523B05">
            <w:pPr>
              <w:widowControl/>
              <w:numPr>
                <w:ilvl w:val="0"/>
                <w:numId w:val="13"/>
              </w:numPr>
              <w:jc w:val="left"/>
              <w:rPr>
                <w:rFonts w:ascii="Arial Narrow" w:hAnsi="Arial Narrow"/>
                <w:sz w:val="20"/>
                <w:lang w:eastAsia="en-AU"/>
              </w:rPr>
            </w:pPr>
            <w:r w:rsidRPr="000A609B">
              <w:rPr>
                <w:rFonts w:ascii="Arial Narrow" w:hAnsi="Arial Narrow"/>
                <w:iCs/>
                <w:sz w:val="20"/>
                <w:lang w:eastAsia="en-AU"/>
              </w:rPr>
              <w:t xml:space="preserve">Patient must have </w:t>
            </w:r>
            <w:r w:rsidRPr="000A609B">
              <w:rPr>
                <w:rFonts w:ascii="Arial Narrow" w:hAnsi="Arial Narrow"/>
                <w:sz w:val="20"/>
                <w:lang w:eastAsia="en-AU"/>
              </w:rPr>
              <w:t xml:space="preserve">diffusing capacity </w:t>
            </w:r>
            <w:r w:rsidRPr="000A609B">
              <w:rPr>
                <w:rFonts w:ascii="Arial Narrow" w:hAnsi="Arial Narrow"/>
                <w:i/>
                <w:sz w:val="20"/>
                <w:lang w:eastAsia="en-AU"/>
              </w:rPr>
              <w:t>of the lungs</w:t>
            </w:r>
            <w:r w:rsidRPr="000A609B">
              <w:rPr>
                <w:rFonts w:ascii="Arial Narrow" w:hAnsi="Arial Narrow"/>
                <w:sz w:val="20"/>
                <w:lang w:eastAsia="en-AU"/>
              </w:rPr>
              <w:t xml:space="preserve"> for carbon monoxide (DL</w:t>
            </w:r>
            <w:r w:rsidRPr="000A609B">
              <w:rPr>
                <w:rFonts w:ascii="Arial Narrow" w:hAnsi="Arial Narrow"/>
                <w:sz w:val="20"/>
                <w:vertAlign w:val="subscript"/>
                <w:lang w:eastAsia="en-AU"/>
              </w:rPr>
              <w:t>CO</w:t>
            </w:r>
            <w:r w:rsidRPr="000A609B">
              <w:rPr>
                <w:rFonts w:ascii="Arial Narrow" w:hAnsi="Arial Narrow"/>
                <w:sz w:val="20"/>
                <w:lang w:eastAsia="en-AU"/>
              </w:rPr>
              <w:t>) corrected for haemoglobin equal to or greater than 30%,</w:t>
            </w:r>
          </w:p>
          <w:p w:rsidR="00523B05" w:rsidRPr="000A609B" w:rsidRDefault="00523B05" w:rsidP="00A01F0F">
            <w:pPr>
              <w:widowControl/>
              <w:jc w:val="left"/>
              <w:rPr>
                <w:rFonts w:ascii="Arial Narrow" w:hAnsi="Arial Narrow"/>
                <w:b/>
                <w:iCs/>
                <w:sz w:val="20"/>
                <w:lang w:eastAsia="en-AU"/>
              </w:rPr>
            </w:pPr>
            <w:r w:rsidRPr="000A609B">
              <w:rPr>
                <w:rFonts w:ascii="Arial Narrow" w:hAnsi="Arial Narrow"/>
                <w:b/>
                <w:iCs/>
                <w:sz w:val="20"/>
                <w:lang w:eastAsia="en-AU"/>
              </w:rPr>
              <w:t>AND</w:t>
            </w:r>
          </w:p>
          <w:p w:rsidR="00523B05" w:rsidRPr="000A609B" w:rsidRDefault="00523B05" w:rsidP="00E1056C">
            <w:pPr>
              <w:widowControl/>
              <w:numPr>
                <w:ilvl w:val="0"/>
                <w:numId w:val="13"/>
              </w:numPr>
              <w:jc w:val="left"/>
              <w:rPr>
                <w:rFonts w:ascii="Arial Narrow" w:hAnsi="Arial Narrow"/>
                <w:snapToGrid/>
                <w:sz w:val="20"/>
                <w:lang w:eastAsia="en-AU"/>
              </w:rPr>
            </w:pPr>
            <w:r w:rsidRPr="000A609B">
              <w:rPr>
                <w:rFonts w:ascii="Arial Narrow" w:hAnsi="Arial Narrow"/>
                <w:iCs/>
                <w:sz w:val="20"/>
                <w:lang w:eastAsia="en-AU"/>
              </w:rPr>
              <w:t>Patient must not have interstitial lung disease due to other known causes including domestic and occupational environmental exposures, connective tissue disease, and drug toxicity</w:t>
            </w:r>
            <w:r w:rsidR="00E1056C">
              <w:rPr>
                <w:rFonts w:ascii="Arial Narrow" w:hAnsi="Arial Narrow"/>
                <w:iCs/>
                <w:sz w:val="20"/>
                <w:lang w:eastAsia="en-AU"/>
              </w:rPr>
              <w:t>.</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rPr>
                <w:rFonts w:ascii="Arial Narrow" w:hAnsi="Arial Narrow"/>
                <w:snapToGrid/>
                <w:sz w:val="20"/>
                <w:lang w:eastAsia="en-AU"/>
              </w:rPr>
            </w:pPr>
            <w:r w:rsidRPr="000A609B">
              <w:rPr>
                <w:rFonts w:ascii="Arial Narrow" w:hAnsi="Arial Narrow"/>
                <w:b/>
                <w:snapToGrid/>
                <w:sz w:val="20"/>
                <w:lang w:eastAsia="en-AU"/>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snapToGrid/>
                <w:sz w:val="20"/>
                <w:lang w:eastAsia="en-AU"/>
              </w:rPr>
            </w:pPr>
            <w:r w:rsidRPr="000A609B">
              <w:rPr>
                <w:rFonts w:ascii="Arial Narrow" w:hAnsi="Arial Narrow"/>
                <w:iCs/>
                <w:sz w:val="20"/>
                <w:lang w:eastAsia="en-AU"/>
              </w:rPr>
              <w:t>Patient must be aged 40 years or older.</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Prescriber Instruction 1</w:t>
            </w:r>
          </w:p>
          <w:p w:rsidR="00523B05" w:rsidRPr="000A609B" w:rsidRDefault="00523B05" w:rsidP="00E1056C">
            <w:pPr>
              <w:widowControl/>
              <w:rPr>
                <w:rFonts w:ascii="Arial Narrow" w:hAnsi="Arial Narrow"/>
                <w:snapToGrid/>
                <w:sz w:val="20"/>
                <w:lang w:eastAsia="en-AU"/>
              </w:rPr>
            </w:pPr>
            <w:r w:rsidRPr="000A609B">
              <w:rPr>
                <w:rFonts w:ascii="Arial Narrow" w:hAnsi="Arial Narrow"/>
                <w:i/>
                <w:snapToGrid/>
                <w:sz w:val="20"/>
                <w:lang w:eastAsia="en-AU"/>
              </w:rPr>
              <w:t>(To be finalised)</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jc w:val="left"/>
              <w:rPr>
                <w:rFonts w:ascii="Arial Narrow" w:hAnsi="Arial Narrow"/>
                <w:snapToGrid/>
                <w:sz w:val="20"/>
                <w:lang w:eastAsia="en-AU"/>
              </w:rPr>
            </w:pPr>
            <w:r w:rsidRPr="000A609B">
              <w:rPr>
                <w:rFonts w:ascii="Arial Narrow" w:hAnsi="Arial Narrow"/>
                <w:i/>
                <w:iCs/>
                <w:sz w:val="20"/>
                <w:lang w:eastAsia="en-AU"/>
              </w:rPr>
              <w:t>If attendance is not possible, because of geographical isolation, consultation with a multidisciplinary team may be necessary in the diagnosis of idiopathic pulmonary fibrosis (IPF). The multidisciplinary team may comprise of at least a pulmonologist, radiologist and where required, pathologist.</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Administrative Advice 1</w:t>
            </w: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Administrative Advice 2</w:t>
            </w: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p>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Administrative Advice 3</w:t>
            </w:r>
          </w:p>
        </w:tc>
        <w:tc>
          <w:tcPr>
            <w:tcW w:w="6379" w:type="dxa"/>
            <w:gridSpan w:val="6"/>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jc w:val="left"/>
              <w:rPr>
                <w:rFonts w:ascii="Arial Narrow" w:hAnsi="Arial Narrow"/>
                <w:i/>
                <w:iCs/>
                <w:sz w:val="20"/>
                <w:lang w:eastAsia="en-AU"/>
              </w:rPr>
            </w:pPr>
            <w:r w:rsidRPr="000A609B">
              <w:rPr>
                <w:rFonts w:ascii="Arial Narrow" w:hAnsi="Arial Narrow"/>
                <w:i/>
                <w:snapToGrid/>
                <w:sz w:val="20"/>
                <w:lang w:eastAsia="en-AU"/>
              </w:rPr>
              <w:t>No applications for increase in the maximum quantities will be authorised.</w:t>
            </w:r>
          </w:p>
          <w:p w:rsidR="00523B05" w:rsidRPr="005B5A70" w:rsidRDefault="00523B05" w:rsidP="00E1056C">
            <w:pPr>
              <w:widowControl/>
              <w:jc w:val="left"/>
              <w:rPr>
                <w:rFonts w:ascii="Arial Narrow" w:hAnsi="Arial Narrow" w:cs="Calibri"/>
                <w:bCs/>
                <w:i/>
                <w:snapToGrid/>
                <w:sz w:val="20"/>
              </w:rPr>
            </w:pPr>
            <w:r w:rsidRPr="005B5A70">
              <w:rPr>
                <w:rFonts w:ascii="Arial Narrow" w:hAnsi="Arial Narrow" w:cs="Calibri"/>
                <w:bCs/>
                <w:i/>
                <w:snapToGrid/>
                <w:sz w:val="20"/>
              </w:rPr>
              <w:t>No applications for increased repeats will be authorised.</w:t>
            </w:r>
          </w:p>
          <w:p w:rsidR="00523B05" w:rsidRPr="000A609B" w:rsidRDefault="00523B05" w:rsidP="00E1056C">
            <w:pPr>
              <w:widowControl/>
              <w:jc w:val="left"/>
              <w:rPr>
                <w:rFonts w:ascii="Arial Narrow" w:hAnsi="Arial Narrow"/>
                <w:iCs/>
                <w:sz w:val="20"/>
                <w:lang w:eastAsia="en-AU"/>
              </w:rPr>
            </w:pPr>
          </w:p>
          <w:p w:rsidR="00523B05" w:rsidRPr="000A609B" w:rsidRDefault="00523B05" w:rsidP="00A01F0F">
            <w:pPr>
              <w:widowControl/>
              <w:jc w:val="left"/>
              <w:rPr>
                <w:rFonts w:ascii="Arial Narrow" w:hAnsi="Arial Narrow"/>
                <w:iCs/>
                <w:sz w:val="20"/>
                <w:lang w:eastAsia="en-AU"/>
              </w:rPr>
            </w:pPr>
            <w:r w:rsidRPr="000A609B">
              <w:rPr>
                <w:rFonts w:ascii="Arial Narrow" w:hAnsi="Arial Narrow"/>
                <w:iCs/>
                <w:sz w:val="20"/>
                <w:lang w:eastAsia="en-AU"/>
              </w:rPr>
              <w:t xml:space="preserve">Any queries concerning the arrangements to prescribe may be directed to the Department of Human Services on 1800 700 270 (hours of operation 8 a.m. to 5 p.m. EST Monday to Friday). </w:t>
            </w:r>
          </w:p>
          <w:p w:rsidR="00523B05" w:rsidRPr="000A609B" w:rsidRDefault="00523B05" w:rsidP="00A01F0F">
            <w:pPr>
              <w:widowControl/>
              <w:jc w:val="left"/>
              <w:rPr>
                <w:rFonts w:ascii="Arial Narrow" w:hAnsi="Arial Narrow"/>
                <w:iCs/>
                <w:sz w:val="20"/>
                <w:lang w:eastAsia="en-AU"/>
              </w:rPr>
            </w:pPr>
            <w:r w:rsidRPr="000A609B">
              <w:rPr>
                <w:rFonts w:ascii="Arial Narrow" w:hAnsi="Arial Narrow"/>
                <w:iCs/>
                <w:sz w:val="20"/>
                <w:lang w:eastAsia="en-AU"/>
              </w:rPr>
              <w:t>Prescribing information (including Authority Application forms and other relevant documentation as applicable) is available on the Department of Human Services website at www.humanservices.gov.au</w:t>
            </w:r>
          </w:p>
          <w:p w:rsidR="00523B05" w:rsidRPr="000A609B" w:rsidRDefault="00523B05" w:rsidP="00A01F0F">
            <w:pPr>
              <w:widowControl/>
              <w:jc w:val="left"/>
              <w:rPr>
                <w:rFonts w:ascii="Arial Narrow" w:hAnsi="Arial Narrow"/>
                <w:iCs/>
                <w:sz w:val="20"/>
                <w:lang w:eastAsia="en-AU"/>
              </w:rPr>
            </w:pPr>
            <w:r w:rsidRPr="000A609B">
              <w:rPr>
                <w:rFonts w:ascii="Arial Narrow" w:hAnsi="Arial Narrow"/>
                <w:iCs/>
                <w:sz w:val="20"/>
                <w:lang w:eastAsia="en-AU"/>
              </w:rPr>
              <w:t xml:space="preserve">Applications for authority to prescribe should be forwarded to: </w:t>
            </w:r>
          </w:p>
          <w:p w:rsidR="00523B05" w:rsidRPr="000A609B" w:rsidRDefault="00523B05" w:rsidP="00A01F0F">
            <w:pPr>
              <w:widowControl/>
              <w:jc w:val="left"/>
              <w:rPr>
                <w:rFonts w:ascii="Arial Narrow" w:hAnsi="Arial Narrow"/>
                <w:iCs/>
                <w:sz w:val="20"/>
                <w:lang w:eastAsia="en-AU"/>
              </w:rPr>
            </w:pPr>
            <w:r w:rsidRPr="000A609B">
              <w:rPr>
                <w:rFonts w:ascii="Arial Narrow" w:hAnsi="Arial Narrow"/>
                <w:iCs/>
                <w:sz w:val="20"/>
                <w:lang w:eastAsia="en-AU"/>
              </w:rPr>
              <w:t>Department of Human Services</w:t>
            </w:r>
          </w:p>
          <w:p w:rsidR="00523B05" w:rsidRPr="000A609B" w:rsidRDefault="00523B05" w:rsidP="00A01F0F">
            <w:pPr>
              <w:widowControl/>
              <w:jc w:val="left"/>
              <w:rPr>
                <w:rFonts w:ascii="Arial Narrow" w:hAnsi="Arial Narrow"/>
                <w:iCs/>
                <w:sz w:val="20"/>
                <w:lang w:eastAsia="en-AU"/>
              </w:rPr>
            </w:pPr>
            <w:r w:rsidRPr="000A609B">
              <w:rPr>
                <w:rFonts w:ascii="Arial Narrow" w:hAnsi="Arial Narrow"/>
                <w:iCs/>
                <w:sz w:val="20"/>
                <w:lang w:eastAsia="en-AU"/>
              </w:rPr>
              <w:t xml:space="preserve">Prior Written Approval of Complex Drugs </w:t>
            </w:r>
          </w:p>
          <w:p w:rsidR="00523B05" w:rsidRPr="000A609B" w:rsidRDefault="00523B05" w:rsidP="00A01F0F">
            <w:pPr>
              <w:widowControl/>
              <w:jc w:val="left"/>
              <w:rPr>
                <w:rFonts w:ascii="Arial Narrow" w:hAnsi="Arial Narrow"/>
                <w:iCs/>
                <w:sz w:val="20"/>
                <w:lang w:eastAsia="en-AU"/>
              </w:rPr>
            </w:pPr>
            <w:r w:rsidRPr="000A609B">
              <w:rPr>
                <w:rFonts w:ascii="Arial Narrow" w:hAnsi="Arial Narrow"/>
                <w:iCs/>
                <w:sz w:val="20"/>
                <w:lang w:eastAsia="en-AU"/>
              </w:rPr>
              <w:t xml:space="preserve">Reply Paid 9826 </w:t>
            </w:r>
          </w:p>
          <w:p w:rsidR="00523B05" w:rsidRPr="000A609B" w:rsidRDefault="00523B05" w:rsidP="00A01F0F">
            <w:pPr>
              <w:widowControl/>
              <w:jc w:val="left"/>
              <w:rPr>
                <w:rFonts w:ascii="Arial Narrow" w:hAnsi="Arial Narrow"/>
                <w:iCs/>
                <w:sz w:val="20"/>
                <w:lang w:eastAsia="en-AU"/>
              </w:rPr>
            </w:pPr>
            <w:r w:rsidRPr="000A609B">
              <w:rPr>
                <w:rFonts w:ascii="Arial Narrow" w:hAnsi="Arial Narrow"/>
                <w:iCs/>
                <w:sz w:val="20"/>
                <w:lang w:eastAsia="en-AU"/>
              </w:rPr>
              <w:t>HOBART TAS 7001</w:t>
            </w:r>
          </w:p>
          <w:p w:rsidR="00523B05" w:rsidRPr="000A609B" w:rsidRDefault="00523B05" w:rsidP="00A01F0F">
            <w:pPr>
              <w:widowControl/>
              <w:jc w:val="left"/>
              <w:rPr>
                <w:rFonts w:ascii="Arial Narrow" w:hAnsi="Arial Narrow"/>
                <w:iCs/>
                <w:sz w:val="20"/>
                <w:lang w:eastAsia="en-AU"/>
              </w:rPr>
            </w:pPr>
          </w:p>
          <w:p w:rsidR="00523B05" w:rsidRPr="000A609B" w:rsidRDefault="00523B05" w:rsidP="00A01F0F">
            <w:pPr>
              <w:widowControl/>
              <w:jc w:val="left"/>
              <w:rPr>
                <w:rFonts w:ascii="Times New Roman" w:hAnsi="Times New Roman"/>
                <w:i/>
                <w:sz w:val="20"/>
                <w:lang w:eastAsia="en-AU"/>
              </w:rPr>
            </w:pPr>
            <w:r w:rsidRPr="000A609B">
              <w:rPr>
                <w:rFonts w:ascii="Arial Narrow" w:hAnsi="Arial Narrow"/>
                <w:iCs/>
                <w:sz w:val="20"/>
                <w:lang w:eastAsia="en-AU"/>
              </w:rPr>
              <w:t>Special Pricing Arrangements apply</w:t>
            </w:r>
            <w:r w:rsidRPr="000A609B">
              <w:rPr>
                <w:rFonts w:ascii="Arial Narrow" w:hAnsi="Arial Narrow"/>
                <w:i/>
                <w:sz w:val="20"/>
                <w:lang w:eastAsia="en-AU"/>
              </w:rPr>
              <w:t>.</w:t>
            </w:r>
          </w:p>
        </w:tc>
      </w:tr>
    </w:tbl>
    <w:p w:rsidR="00523B05" w:rsidRPr="00B15D73" w:rsidRDefault="00523B05" w:rsidP="00B15D73">
      <w:pPr>
        <w:widowControl/>
        <w:rPr>
          <w:szCs w:val="22"/>
        </w:rPr>
      </w:pPr>
    </w:p>
    <w:p w:rsidR="00523B05" w:rsidRPr="00B15D73" w:rsidRDefault="00523B05" w:rsidP="00B15D73">
      <w:pPr>
        <w:widowControl/>
        <w:rPr>
          <w:szCs w:val="22"/>
        </w:rPr>
      </w:pPr>
    </w:p>
    <w:tbl>
      <w:tblPr>
        <w:tblW w:w="9214" w:type="dxa"/>
        <w:tblInd w:w="108" w:type="dxa"/>
        <w:tblLayout w:type="fixed"/>
        <w:tblLook w:val="0000" w:firstRow="0" w:lastRow="0" w:firstColumn="0" w:lastColumn="0" w:noHBand="0" w:noVBand="0"/>
        <w:tblCaption w:val="Requested listing - continuing treatment"/>
      </w:tblPr>
      <w:tblGrid>
        <w:gridCol w:w="2835"/>
        <w:gridCol w:w="6379"/>
      </w:tblGrid>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rPr>
                <w:rFonts w:ascii="Arial Narrow" w:hAnsi="Arial Narrow"/>
                <w:b/>
                <w:snapToGrid/>
                <w:sz w:val="20"/>
                <w:lang w:eastAsia="en-AU"/>
              </w:rPr>
            </w:pPr>
            <w:r w:rsidRPr="000A609B">
              <w:rPr>
                <w:rFonts w:ascii="Arial Narrow" w:hAnsi="Arial Narrow"/>
                <w:b/>
                <w:snapToGrid/>
                <w:sz w:val="20"/>
                <w:lang w:eastAsia="en-AU"/>
              </w:rPr>
              <w:t>Category / Program</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jc w:val="left"/>
              <w:rPr>
                <w:rFonts w:ascii="Arial Narrow" w:hAnsi="Arial Narrow"/>
                <w:snapToGrid/>
                <w:sz w:val="20"/>
                <w:lang w:eastAsia="en-AU"/>
              </w:rPr>
            </w:pPr>
            <w:r w:rsidRPr="000A609B">
              <w:rPr>
                <w:rFonts w:ascii="Arial Narrow" w:hAnsi="Arial Narrow"/>
                <w:snapToGrid/>
                <w:sz w:val="20"/>
                <w:lang w:eastAsia="en-AU"/>
              </w:rPr>
              <w:t>GENERAL – General Schedule (Code GE)</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rPr>
                <w:rFonts w:ascii="Arial Narrow" w:hAnsi="Arial Narrow"/>
                <w:b/>
                <w:snapToGrid/>
                <w:sz w:val="20"/>
                <w:lang w:eastAsia="en-AU"/>
              </w:rPr>
            </w:pPr>
            <w:r w:rsidRPr="000A609B">
              <w:rPr>
                <w:rFonts w:ascii="Arial Narrow" w:hAnsi="Arial Narrow"/>
                <w:b/>
                <w:snapToGrid/>
                <w:sz w:val="20"/>
                <w:lang w:eastAsia="en-AU"/>
              </w:rPr>
              <w:t>Prescriber type:</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1"/>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 xml:space="preserve">Dental  </w:t>
            </w:r>
            <w:r w:rsidRPr="000A609B">
              <w:rPr>
                <w:rFonts w:ascii="Arial Narrow" w:hAnsi="Arial Narrow"/>
                <w:snapToGrid/>
                <w:sz w:val="20"/>
                <w:lang w:eastAsia="en-AU"/>
              </w:rPr>
              <w:fldChar w:fldCharType="begin">
                <w:ffData>
                  <w:name w:val=""/>
                  <w:enabled/>
                  <w:calcOnExit w:val="0"/>
                  <w:checkBox>
                    <w:sizeAuto/>
                    <w:default w:val="1"/>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 xml:space="preserve">Medical Practitioners  </w:t>
            </w:r>
            <w:r w:rsidRPr="000A609B">
              <w:rPr>
                <w:rFonts w:ascii="Arial Narrow" w:hAnsi="Arial Narrow"/>
                <w:snapToGrid/>
                <w:sz w:val="20"/>
                <w:lang w:eastAsia="en-AU"/>
              </w:rPr>
              <w:fldChar w:fldCharType="begin">
                <w:ffData>
                  <w:name w:val="Check3"/>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 xml:space="preserve">Nurse practitioners  </w:t>
            </w:r>
            <w:r w:rsidRPr="000A609B">
              <w:rPr>
                <w:rFonts w:ascii="Arial Narrow" w:hAnsi="Arial Narrow"/>
                <w:snapToGrid/>
                <w:sz w:val="20"/>
                <w:lang w:eastAsia="en-AU"/>
              </w:rPr>
              <w:fldChar w:fldCharType="begin">
                <w:ffData>
                  <w:name w:val=""/>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Optometrists</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5"/>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Midwives</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t>-</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z w:val="20"/>
                <w:lang w:eastAsia="en-AU"/>
              </w:rPr>
              <w:t>Mild to moderate</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lastRenderedPageBreak/>
              <w:t>Condition:</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z w:val="20"/>
                <w:lang w:eastAsia="en-AU"/>
              </w:rPr>
              <w:t>Idiopathic pulmonary fibrosis</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z w:val="20"/>
                <w:lang w:eastAsia="en-AU"/>
              </w:rPr>
            </w:pPr>
            <w:r w:rsidRPr="000A609B">
              <w:rPr>
                <w:rFonts w:ascii="Arial Narrow" w:hAnsi="Arial Narrow"/>
                <w:iCs/>
                <w:sz w:val="20"/>
                <w:lang w:eastAsia="en-AU"/>
              </w:rPr>
              <w:t>Mild to moderate</w:t>
            </w:r>
            <w:r w:rsidRPr="000A609B">
              <w:rPr>
                <w:rFonts w:ascii="Arial Narrow" w:hAnsi="Arial Narrow"/>
                <w:sz w:val="20"/>
                <w:lang w:eastAsia="en-AU"/>
              </w:rPr>
              <w:t xml:space="preserve"> idiopathic pulmonary fibrosis</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rPr>
                <w:rFonts w:ascii="Arial Narrow" w:hAnsi="Arial Narrow"/>
                <w:i/>
                <w:snapToGrid/>
                <w:sz w:val="20"/>
                <w:lang w:eastAsia="en-AU"/>
              </w:rPr>
            </w:pPr>
            <w:r w:rsidRPr="000A609B">
              <w:rPr>
                <w:rFonts w:ascii="Arial Narrow" w:hAnsi="Arial Narrow"/>
                <w:b/>
                <w:snapToGrid/>
                <w:sz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z w:val="20"/>
                <w:lang w:eastAsia="en-AU"/>
              </w:rPr>
              <w:t xml:space="preserve">Continuing </w:t>
            </w:r>
            <w:r w:rsidRPr="000A609B">
              <w:rPr>
                <w:rFonts w:ascii="Arial Narrow" w:hAnsi="Arial Narrow"/>
                <w:iCs/>
                <w:sz w:val="20"/>
                <w:lang w:eastAsia="en-AU"/>
              </w:rPr>
              <w:t>treatment</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rPr>
                <w:rFonts w:ascii="Arial Narrow" w:hAnsi="Arial Narrow"/>
                <w:i/>
                <w:snapToGrid/>
                <w:sz w:val="20"/>
                <w:lang w:eastAsia="en-AU"/>
              </w:rPr>
            </w:pPr>
            <w:r w:rsidRPr="000A609B">
              <w:rPr>
                <w:rFonts w:ascii="Arial Narrow" w:hAnsi="Arial Narrow"/>
                <w:b/>
                <w:snapToGrid/>
                <w:sz w:val="20"/>
                <w:lang w:eastAsia="en-AU"/>
              </w:rPr>
              <w:t>Restriction Level / Method:</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1"/>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Restricted benefit</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
                  <w:enabled/>
                  <w:calcOnExit w:val="0"/>
                  <w:checkBox>
                    <w:sizeAuto/>
                    <w:default w:val="1"/>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Authority Required - In Writing</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3"/>
                  <w:enabled/>
                  <w:calcOnExit w:val="0"/>
                  <w:checkBox>
                    <w:sizeAuto/>
                    <w:default w:val="1"/>
                  </w:checkBox>
                </w:ffData>
              </w:fldChar>
            </w:r>
            <w:bookmarkStart w:id="3" w:name="Check3"/>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bookmarkEnd w:id="3"/>
            <w:r w:rsidRPr="000A609B">
              <w:rPr>
                <w:rFonts w:ascii="Arial Narrow" w:hAnsi="Arial Narrow"/>
                <w:snapToGrid/>
                <w:sz w:val="20"/>
                <w:lang w:eastAsia="en-AU"/>
              </w:rPr>
              <w:t>Authority Required - Telephone</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
                  <w:enabled/>
                  <w:calcOnExit w:val="0"/>
                  <w:checkBox>
                    <w:sizeAuto/>
                    <w:default w:val="1"/>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Authority Required – Emergency</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5"/>
                  <w:enabled/>
                  <w:calcOnExit w:val="0"/>
                  <w:checkBox>
                    <w:sizeAuto/>
                    <w:default w:val="1"/>
                  </w:checkBox>
                </w:ffData>
              </w:fldChar>
            </w:r>
            <w:bookmarkStart w:id="4" w:name="Check5"/>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bookmarkEnd w:id="4"/>
            <w:r w:rsidRPr="000A609B">
              <w:rPr>
                <w:rFonts w:ascii="Arial Narrow" w:hAnsi="Arial Narrow"/>
                <w:snapToGrid/>
                <w:sz w:val="20"/>
                <w:lang w:eastAsia="en-AU"/>
              </w:rPr>
              <w:t>Authority Required - Electronic</w:t>
            </w:r>
          </w:p>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fldChar w:fldCharType="begin">
                <w:ffData>
                  <w:name w:val="Check5"/>
                  <w:enabled/>
                  <w:calcOnExit w:val="0"/>
                  <w:checkBox>
                    <w:sizeAuto/>
                    <w:default w:val="0"/>
                  </w:checkBox>
                </w:ffData>
              </w:fldChar>
            </w:r>
            <w:r w:rsidRPr="000A609B">
              <w:rPr>
                <w:rFonts w:ascii="Arial Narrow" w:hAnsi="Arial Narrow"/>
                <w:snapToGrid/>
                <w:sz w:val="20"/>
                <w:lang w:eastAsia="en-AU"/>
              </w:rPr>
              <w:instrText xml:space="preserve"> FORMCHECKBOX </w:instrText>
            </w:r>
            <w:r w:rsidR="00F146E1">
              <w:rPr>
                <w:rFonts w:ascii="Arial Narrow" w:hAnsi="Arial Narrow"/>
                <w:snapToGrid/>
                <w:sz w:val="20"/>
                <w:lang w:eastAsia="en-AU"/>
              </w:rPr>
            </w:r>
            <w:r w:rsidR="00F146E1">
              <w:rPr>
                <w:rFonts w:ascii="Arial Narrow" w:hAnsi="Arial Narrow"/>
                <w:snapToGrid/>
                <w:sz w:val="20"/>
                <w:lang w:eastAsia="en-AU"/>
              </w:rPr>
              <w:fldChar w:fldCharType="separate"/>
            </w:r>
            <w:r w:rsidRPr="000A609B">
              <w:rPr>
                <w:rFonts w:ascii="Arial Narrow" w:hAnsi="Arial Narrow"/>
                <w:snapToGrid/>
                <w:sz w:val="20"/>
                <w:lang w:eastAsia="en-AU"/>
              </w:rPr>
              <w:fldChar w:fldCharType="end"/>
            </w:r>
            <w:r w:rsidRPr="000A609B">
              <w:rPr>
                <w:rFonts w:ascii="Arial Narrow" w:hAnsi="Arial Narrow"/>
                <w:snapToGrid/>
                <w:sz w:val="20"/>
                <w:lang w:eastAsia="en-AU"/>
              </w:rPr>
              <w:t>Streamlined</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jc w:val="left"/>
              <w:rPr>
                <w:rFonts w:ascii="Arial Narrow" w:hAnsi="Arial Narrow"/>
                <w:snapToGrid/>
                <w:sz w:val="20"/>
                <w:lang w:eastAsia="en-AU"/>
              </w:rPr>
            </w:pPr>
            <w:r w:rsidRPr="000A609B">
              <w:rPr>
                <w:rFonts w:ascii="Arial Narrow" w:hAnsi="Arial Narrow"/>
                <w:b/>
                <w:snapToGrid/>
                <w:sz w:val="20"/>
                <w:lang w:eastAsia="en-AU"/>
              </w:rPr>
              <w:t>Treatment criteria:</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jc w:val="left"/>
              <w:rPr>
                <w:rFonts w:ascii="Arial Narrow" w:hAnsi="Arial Narrow"/>
                <w:snapToGrid/>
                <w:sz w:val="20"/>
                <w:lang w:eastAsia="en-AU"/>
              </w:rPr>
            </w:pPr>
            <w:r w:rsidRPr="000A609B">
              <w:rPr>
                <w:rFonts w:ascii="Arial Narrow" w:hAnsi="Arial Narrow" w:cs="Times New Roman"/>
                <w:i/>
                <w:snapToGrid/>
                <w:sz w:val="20"/>
                <w:szCs w:val="24"/>
                <w:lang w:eastAsia="en-AU"/>
              </w:rPr>
              <w:t>Must be treated by a respiratory physician or specialist physician experienced in the management of patients with idiopathic pulmonary fibrosis.</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Clinical criteria:</w:t>
            </w:r>
          </w:p>
          <w:p w:rsidR="00523B05" w:rsidRPr="000A609B" w:rsidRDefault="00523B05" w:rsidP="00E1056C">
            <w:pPr>
              <w:widowControl/>
              <w:rPr>
                <w:rFonts w:ascii="Arial Narrow" w:hAnsi="Arial Narrow"/>
                <w:snapToGrid/>
                <w:sz w:val="20"/>
                <w:lang w:eastAsia="en-AU"/>
              </w:rPr>
            </w:pPr>
            <w:r w:rsidRPr="000A609B">
              <w:rPr>
                <w:rFonts w:ascii="Arial Narrow" w:hAnsi="Arial Narrow"/>
                <w:i/>
                <w:snapToGrid/>
                <w:sz w:val="20"/>
                <w:lang w:eastAsia="en-AU"/>
              </w:rPr>
              <w:t>(To be finalised)</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numPr>
                <w:ilvl w:val="0"/>
                <w:numId w:val="13"/>
              </w:numPr>
              <w:jc w:val="left"/>
              <w:rPr>
                <w:rFonts w:ascii="Arial Narrow" w:hAnsi="Arial Narrow"/>
                <w:iCs/>
                <w:sz w:val="20"/>
                <w:lang w:eastAsia="en-AU"/>
              </w:rPr>
            </w:pPr>
            <w:r w:rsidRPr="000A609B">
              <w:rPr>
                <w:rFonts w:ascii="Arial Narrow" w:hAnsi="Arial Narrow"/>
                <w:iCs/>
                <w:sz w:val="20"/>
                <w:lang w:eastAsia="en-AU"/>
              </w:rPr>
              <w:t>Patient must have previously received PBS-subsidised treatment with this drug for this condition.</w:t>
            </w:r>
          </w:p>
          <w:p w:rsidR="00523B05" w:rsidRPr="000A609B" w:rsidRDefault="00523B05" w:rsidP="00A01F0F">
            <w:pPr>
              <w:widowControl/>
              <w:jc w:val="left"/>
              <w:rPr>
                <w:rFonts w:ascii="Arial Narrow" w:hAnsi="Arial Narrow"/>
                <w:b/>
                <w:iCs/>
                <w:sz w:val="20"/>
                <w:lang w:eastAsia="en-AU"/>
              </w:rPr>
            </w:pPr>
            <w:r w:rsidRPr="000A609B">
              <w:rPr>
                <w:rFonts w:ascii="Arial Narrow" w:hAnsi="Arial Narrow"/>
                <w:b/>
                <w:iCs/>
                <w:sz w:val="20"/>
                <w:lang w:eastAsia="en-AU"/>
              </w:rPr>
              <w:t>AND</w:t>
            </w:r>
          </w:p>
          <w:p w:rsidR="00523B05" w:rsidRPr="000A609B" w:rsidRDefault="00523B05" w:rsidP="00A01F0F">
            <w:pPr>
              <w:widowControl/>
              <w:numPr>
                <w:ilvl w:val="0"/>
                <w:numId w:val="13"/>
              </w:numPr>
              <w:jc w:val="left"/>
              <w:rPr>
                <w:rFonts w:ascii="Arial Narrow" w:hAnsi="Arial Narrow"/>
                <w:iCs/>
                <w:sz w:val="20"/>
                <w:lang w:eastAsia="en-AU"/>
              </w:rPr>
            </w:pPr>
            <w:r w:rsidRPr="000A609B">
              <w:rPr>
                <w:rFonts w:ascii="Arial Narrow" w:hAnsi="Arial Narrow"/>
                <w:iCs/>
                <w:sz w:val="20"/>
                <w:lang w:eastAsia="en-AU"/>
              </w:rPr>
              <w:t xml:space="preserve">Patient must have a confirmed and documented diagnosis of idiopathic pulmonary fibrosis that is less than 5 years old; </w:t>
            </w:r>
            <w:r w:rsidRPr="000A609B">
              <w:rPr>
                <w:rFonts w:ascii="Arial Narrow" w:hAnsi="Arial Narrow"/>
                <w:b/>
                <w:iCs/>
                <w:sz w:val="20"/>
                <w:lang w:eastAsia="en-AU"/>
              </w:rPr>
              <w:t>OR</w:t>
            </w:r>
          </w:p>
          <w:p w:rsidR="00523B05" w:rsidRPr="000A609B" w:rsidRDefault="00523B05" w:rsidP="00E1056C">
            <w:pPr>
              <w:widowControl/>
              <w:numPr>
                <w:ilvl w:val="0"/>
                <w:numId w:val="13"/>
              </w:numPr>
              <w:jc w:val="left"/>
              <w:rPr>
                <w:rFonts w:ascii="Arial Narrow" w:hAnsi="Arial Narrow"/>
                <w:snapToGrid/>
                <w:sz w:val="20"/>
                <w:lang w:eastAsia="en-AU"/>
              </w:rPr>
            </w:pPr>
            <w:r w:rsidRPr="000A609B">
              <w:rPr>
                <w:rFonts w:ascii="Arial Narrow" w:hAnsi="Arial Narrow"/>
                <w:iCs/>
                <w:sz w:val="20"/>
                <w:lang w:eastAsia="en-AU"/>
              </w:rPr>
              <w:t>Patient must have a confirmed and documented diagnosis of idiopathic pulmonary fibrosis that is greater than 5 years old where there is confirmed progressive disease</w:t>
            </w:r>
            <w:r w:rsidRPr="000A609B">
              <w:rPr>
                <w:rFonts w:ascii="Times New Roman" w:hAnsi="Times New Roman"/>
                <w:iCs/>
                <w:sz w:val="20"/>
                <w:lang w:eastAsia="en-AU"/>
              </w:rPr>
              <w:t>.</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Population criteria:</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snapToGrid/>
                <w:sz w:val="20"/>
                <w:lang w:eastAsia="en-AU"/>
              </w:rPr>
            </w:pPr>
            <w:r w:rsidRPr="000A609B">
              <w:rPr>
                <w:rFonts w:ascii="Arial Narrow" w:hAnsi="Arial Narrow"/>
                <w:iCs/>
                <w:sz w:val="20"/>
                <w:lang w:eastAsia="en-AU"/>
              </w:rPr>
              <w:t>Patient must be aged 40 years or older.</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rPr>
                <w:rFonts w:ascii="Arial Narrow" w:hAnsi="Arial Narrow"/>
                <w:snapToGrid/>
                <w:sz w:val="20"/>
                <w:lang w:eastAsia="en-AU"/>
              </w:rPr>
            </w:pPr>
            <w:r w:rsidRPr="000A609B">
              <w:rPr>
                <w:rFonts w:ascii="Arial Narrow" w:hAnsi="Arial Narrow"/>
                <w:b/>
                <w:snapToGrid/>
                <w:sz w:val="20"/>
                <w:lang w:eastAsia="en-AU"/>
              </w:rPr>
              <w:t>Prescriber Instructions</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t>-</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Administrative Advice 1</w:t>
            </w:r>
          </w:p>
          <w:p w:rsidR="00523B05" w:rsidRPr="000A609B" w:rsidRDefault="00523B05" w:rsidP="00A01F0F">
            <w:pPr>
              <w:widowControl/>
              <w:rPr>
                <w:rFonts w:ascii="Arial Narrow" w:hAnsi="Arial Narrow"/>
                <w:i/>
                <w:snapToGrid/>
                <w:sz w:val="20"/>
                <w:lang w:eastAsia="en-AU"/>
              </w:rPr>
            </w:pPr>
          </w:p>
          <w:p w:rsidR="00523B05" w:rsidRPr="000A609B" w:rsidRDefault="00523B05" w:rsidP="00A01F0F">
            <w:pPr>
              <w:widowControl/>
              <w:rPr>
                <w:rFonts w:ascii="Arial Narrow" w:hAnsi="Arial Narrow"/>
                <w:i/>
                <w:snapToGrid/>
                <w:sz w:val="20"/>
                <w:lang w:eastAsia="en-AU"/>
              </w:rPr>
            </w:pPr>
          </w:p>
          <w:p w:rsidR="00523B05" w:rsidRPr="000A609B" w:rsidRDefault="00523B05" w:rsidP="00A01F0F">
            <w:pPr>
              <w:widowControl/>
              <w:rPr>
                <w:rFonts w:ascii="Arial Narrow" w:hAnsi="Arial Narrow"/>
                <w:b/>
                <w:snapToGrid/>
                <w:sz w:val="20"/>
                <w:lang w:eastAsia="en-AU"/>
              </w:rPr>
            </w:pPr>
            <w:r w:rsidRPr="000A609B">
              <w:rPr>
                <w:rFonts w:ascii="Arial Narrow" w:hAnsi="Arial Narrow"/>
                <w:b/>
                <w:snapToGrid/>
                <w:sz w:val="20"/>
                <w:lang w:eastAsia="en-AU"/>
              </w:rPr>
              <w:t>Administrative Advice 2</w:t>
            </w:r>
          </w:p>
          <w:p w:rsidR="00523B05" w:rsidRPr="000A609B" w:rsidRDefault="00523B05" w:rsidP="00A01F0F">
            <w:pPr>
              <w:widowControl/>
              <w:rPr>
                <w:rFonts w:ascii="Arial Narrow" w:hAnsi="Arial Narrow"/>
                <w:snapToGrid/>
                <w:sz w:val="20"/>
                <w:lang w:eastAsia="en-AU"/>
              </w:rPr>
            </w:pPr>
          </w:p>
          <w:p w:rsidR="00523B05" w:rsidRPr="000A609B" w:rsidRDefault="00523B05" w:rsidP="00A01F0F">
            <w:pPr>
              <w:widowControl/>
              <w:rPr>
                <w:rFonts w:ascii="Arial Narrow" w:hAnsi="Arial Narrow"/>
                <w:snapToGrid/>
                <w:sz w:val="20"/>
                <w:lang w:eastAsia="en-AU"/>
              </w:rPr>
            </w:pPr>
          </w:p>
          <w:p w:rsidR="00523B05" w:rsidRPr="000A609B" w:rsidRDefault="00523B05" w:rsidP="00A01F0F">
            <w:pPr>
              <w:widowControl/>
              <w:rPr>
                <w:rFonts w:ascii="Arial Narrow" w:hAnsi="Arial Narrow"/>
                <w:snapToGrid/>
                <w:sz w:val="20"/>
                <w:lang w:eastAsia="en-AU"/>
              </w:rPr>
            </w:pPr>
          </w:p>
          <w:p w:rsidR="00523B05" w:rsidRPr="000A609B" w:rsidRDefault="00523B05" w:rsidP="00E1056C">
            <w:pPr>
              <w:widowControl/>
              <w:rPr>
                <w:rFonts w:ascii="Arial Narrow" w:hAnsi="Arial Narrow"/>
                <w:snapToGrid/>
                <w:sz w:val="20"/>
                <w:lang w:eastAsia="en-AU"/>
              </w:rPr>
            </w:pPr>
            <w:r w:rsidRPr="000A609B">
              <w:rPr>
                <w:rFonts w:ascii="Arial Narrow" w:hAnsi="Arial Narrow"/>
                <w:b/>
                <w:snapToGrid/>
                <w:sz w:val="20"/>
                <w:lang w:eastAsia="en-AU"/>
              </w:rPr>
              <w:t>Administrative Advice 3</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jc w:val="left"/>
              <w:rPr>
                <w:rFonts w:ascii="Arial Narrow" w:hAnsi="Arial Narrow"/>
                <w:i/>
                <w:iCs/>
                <w:sz w:val="20"/>
                <w:lang w:eastAsia="en-AU"/>
              </w:rPr>
            </w:pPr>
            <w:r w:rsidRPr="000A609B">
              <w:rPr>
                <w:rFonts w:ascii="Arial Narrow" w:hAnsi="Arial Narrow"/>
                <w:i/>
                <w:snapToGrid/>
                <w:sz w:val="20"/>
                <w:lang w:eastAsia="en-AU"/>
              </w:rPr>
              <w:t>No increase in the maximum quantity will be authorised.</w:t>
            </w:r>
          </w:p>
          <w:p w:rsidR="00523B05" w:rsidRPr="005B5A70" w:rsidRDefault="00523B05" w:rsidP="00E1056C">
            <w:pPr>
              <w:widowControl/>
              <w:jc w:val="left"/>
              <w:rPr>
                <w:rFonts w:ascii="Arial Narrow" w:hAnsi="Arial Narrow" w:cs="Calibri"/>
                <w:bCs/>
                <w:i/>
                <w:snapToGrid/>
                <w:sz w:val="20"/>
              </w:rPr>
            </w:pPr>
            <w:r w:rsidRPr="005B5A70">
              <w:rPr>
                <w:rFonts w:ascii="Arial Narrow" w:hAnsi="Arial Narrow" w:cs="Calibri"/>
                <w:bCs/>
                <w:i/>
                <w:snapToGrid/>
                <w:sz w:val="20"/>
              </w:rPr>
              <w:t>No applications for increased repeats will be authorised.</w:t>
            </w:r>
          </w:p>
          <w:p w:rsidR="00523B05" w:rsidRPr="000A609B" w:rsidRDefault="00523B05" w:rsidP="00A01F0F">
            <w:pPr>
              <w:widowControl/>
              <w:jc w:val="left"/>
              <w:rPr>
                <w:rFonts w:ascii="Arial Narrow" w:hAnsi="Arial Narrow"/>
                <w:iCs/>
                <w:sz w:val="20"/>
                <w:lang w:eastAsia="en-AU"/>
              </w:rPr>
            </w:pPr>
          </w:p>
          <w:p w:rsidR="00523B05" w:rsidRPr="000A609B" w:rsidRDefault="00523B05" w:rsidP="00A01F0F">
            <w:pPr>
              <w:widowControl/>
              <w:jc w:val="left"/>
              <w:rPr>
                <w:rFonts w:ascii="Arial Narrow" w:hAnsi="Arial Narrow"/>
                <w:iCs/>
                <w:sz w:val="20"/>
                <w:lang w:eastAsia="en-AU"/>
              </w:rPr>
            </w:pPr>
            <w:r w:rsidRPr="000A609B">
              <w:rPr>
                <w:rFonts w:ascii="Arial Narrow" w:hAnsi="Arial Narrow"/>
                <w:iCs/>
                <w:sz w:val="20"/>
                <w:lang w:eastAsia="en-AU"/>
              </w:rPr>
              <w:t>Authority applications for continuing treatment may be made by telephone to the Department of Human Services on 1800 700 270 (hours of operation 8 a.m. to 5 p.m. EST Monday to Friday).</w:t>
            </w:r>
          </w:p>
          <w:p w:rsidR="00523B05" w:rsidRPr="000A609B" w:rsidRDefault="00523B05" w:rsidP="00A01F0F">
            <w:pPr>
              <w:widowControl/>
              <w:jc w:val="left"/>
              <w:rPr>
                <w:rFonts w:ascii="Arial Narrow" w:hAnsi="Arial Narrow"/>
                <w:iCs/>
                <w:sz w:val="20"/>
                <w:lang w:eastAsia="en-AU"/>
              </w:rPr>
            </w:pPr>
          </w:p>
          <w:p w:rsidR="00523B05" w:rsidRPr="000A609B" w:rsidRDefault="00523B05" w:rsidP="00A01F0F">
            <w:pPr>
              <w:widowControl/>
              <w:jc w:val="left"/>
              <w:rPr>
                <w:rFonts w:ascii="Times New Roman" w:hAnsi="Times New Roman"/>
                <w:i/>
                <w:sz w:val="20"/>
                <w:lang w:eastAsia="en-AU"/>
              </w:rPr>
            </w:pPr>
            <w:r w:rsidRPr="000A609B">
              <w:rPr>
                <w:rFonts w:ascii="Arial Narrow" w:hAnsi="Arial Narrow"/>
                <w:i/>
                <w:iCs/>
                <w:sz w:val="20"/>
                <w:lang w:eastAsia="en-AU"/>
              </w:rPr>
              <w:t>Special Pricing Arrangements apply</w:t>
            </w:r>
            <w:r w:rsidRPr="000A609B">
              <w:rPr>
                <w:rFonts w:ascii="Arial Narrow" w:hAnsi="Arial Narrow"/>
                <w:i/>
                <w:sz w:val="20"/>
                <w:lang w:eastAsia="en-AU"/>
              </w:rPr>
              <w:t>.</w:t>
            </w:r>
          </w:p>
        </w:tc>
      </w:tr>
      <w:tr w:rsidR="00523B05" w:rsidRPr="000A609B" w:rsidTr="00A01F0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23B05" w:rsidRPr="000A609B" w:rsidRDefault="00523B05" w:rsidP="00E1056C">
            <w:pPr>
              <w:widowControl/>
              <w:rPr>
                <w:rFonts w:ascii="Arial Narrow" w:hAnsi="Arial Narrow"/>
                <w:i/>
                <w:snapToGrid/>
                <w:sz w:val="20"/>
                <w:lang w:eastAsia="en-AU"/>
              </w:rPr>
            </w:pPr>
            <w:r w:rsidRPr="000A609B">
              <w:rPr>
                <w:rFonts w:ascii="Arial Narrow" w:hAnsi="Arial Narrow"/>
                <w:b/>
                <w:snapToGrid/>
                <w:sz w:val="20"/>
                <w:lang w:eastAsia="en-AU"/>
              </w:rPr>
              <w:t>Cautions</w:t>
            </w:r>
          </w:p>
        </w:tc>
        <w:tc>
          <w:tcPr>
            <w:tcW w:w="6379" w:type="dxa"/>
            <w:tcBorders>
              <w:top w:val="single" w:sz="4" w:space="0" w:color="auto"/>
              <w:left w:val="single" w:sz="4" w:space="0" w:color="auto"/>
              <w:bottom w:val="single" w:sz="4" w:space="0" w:color="auto"/>
              <w:right w:val="single" w:sz="4" w:space="0" w:color="auto"/>
            </w:tcBorders>
          </w:tcPr>
          <w:p w:rsidR="00523B05" w:rsidRPr="000A609B" w:rsidRDefault="00523B05" w:rsidP="00A01F0F">
            <w:pPr>
              <w:widowControl/>
              <w:jc w:val="left"/>
              <w:rPr>
                <w:rFonts w:ascii="Arial Narrow" w:hAnsi="Arial Narrow"/>
                <w:snapToGrid/>
                <w:sz w:val="20"/>
                <w:lang w:eastAsia="en-AU"/>
              </w:rPr>
            </w:pPr>
            <w:r w:rsidRPr="000A609B">
              <w:rPr>
                <w:rFonts w:ascii="Arial Narrow" w:hAnsi="Arial Narrow"/>
                <w:snapToGrid/>
                <w:sz w:val="20"/>
                <w:lang w:eastAsia="en-AU"/>
              </w:rPr>
              <w:t>-</w:t>
            </w:r>
          </w:p>
        </w:tc>
      </w:tr>
    </w:tbl>
    <w:p w:rsidR="00523B05" w:rsidRPr="00E1056C" w:rsidRDefault="00523B05" w:rsidP="00E1056C">
      <w:pPr>
        <w:widowControl/>
        <w:rPr>
          <w:szCs w:val="22"/>
        </w:rPr>
      </w:pPr>
    </w:p>
    <w:p w:rsidR="00F97A78" w:rsidRDefault="00462C00" w:rsidP="00321D09">
      <w:pPr>
        <w:pStyle w:val="ListParagraph"/>
        <w:widowControl/>
        <w:numPr>
          <w:ilvl w:val="1"/>
          <w:numId w:val="2"/>
        </w:numPr>
        <w:rPr>
          <w:szCs w:val="22"/>
        </w:rPr>
      </w:pPr>
      <w:r w:rsidRPr="00462C00">
        <w:rPr>
          <w:szCs w:val="22"/>
        </w:rPr>
        <w:t>The re-submission sought listing on the basis of a cost utility analysis</w:t>
      </w:r>
      <w:r w:rsidR="00BC3C83">
        <w:rPr>
          <w:szCs w:val="22"/>
        </w:rPr>
        <w:t xml:space="preserve"> (CUA)</w:t>
      </w:r>
      <w:r w:rsidRPr="00462C00">
        <w:rPr>
          <w:szCs w:val="22"/>
        </w:rPr>
        <w:t xml:space="preserve"> comparing nintedanib </w:t>
      </w:r>
      <w:r w:rsidR="00E1056C">
        <w:rPr>
          <w:szCs w:val="22"/>
        </w:rPr>
        <w:t>to best supportive care (BSC).</w:t>
      </w:r>
    </w:p>
    <w:p w:rsidR="00462C00" w:rsidRPr="005021C2" w:rsidRDefault="00462C00" w:rsidP="00462C00">
      <w:pPr>
        <w:widowControl/>
        <w:rPr>
          <w:szCs w:val="22"/>
        </w:rPr>
      </w:pPr>
    </w:p>
    <w:p w:rsidR="00462C00" w:rsidRDefault="00462C00" w:rsidP="00321D09">
      <w:pPr>
        <w:pStyle w:val="ListParagraph"/>
        <w:widowControl/>
        <w:numPr>
          <w:ilvl w:val="1"/>
          <w:numId w:val="2"/>
        </w:numPr>
        <w:rPr>
          <w:szCs w:val="22"/>
        </w:rPr>
      </w:pPr>
      <w:r>
        <w:rPr>
          <w:szCs w:val="22"/>
        </w:rPr>
        <w:t xml:space="preserve">The re-submission revised the following </w:t>
      </w:r>
      <w:r w:rsidR="00AC15B9">
        <w:rPr>
          <w:szCs w:val="22"/>
        </w:rPr>
        <w:t xml:space="preserve">key </w:t>
      </w:r>
      <w:r>
        <w:rPr>
          <w:szCs w:val="22"/>
        </w:rPr>
        <w:t>aspects of the requested restriction:</w:t>
      </w:r>
    </w:p>
    <w:p w:rsidR="003066F6" w:rsidRPr="003066F6" w:rsidRDefault="00462C00" w:rsidP="00321D09">
      <w:pPr>
        <w:pStyle w:val="ListParagraph"/>
        <w:widowControl/>
        <w:numPr>
          <w:ilvl w:val="0"/>
          <w:numId w:val="10"/>
        </w:numPr>
        <w:rPr>
          <w:i/>
          <w:szCs w:val="22"/>
        </w:rPr>
      </w:pPr>
      <w:r w:rsidRPr="00EC13CF">
        <w:rPr>
          <w:szCs w:val="22"/>
          <w:u w:val="single"/>
        </w:rPr>
        <w:t>Effective price</w:t>
      </w:r>
      <w:r w:rsidRPr="00E1056C">
        <w:rPr>
          <w:szCs w:val="22"/>
        </w:rPr>
        <w:t>:</w:t>
      </w:r>
      <w:r w:rsidRPr="003066F6">
        <w:rPr>
          <w:szCs w:val="22"/>
        </w:rPr>
        <w:t xml:space="preserve"> the re-submission proposed an effective price of $</w:t>
      </w:r>
      <w:r w:rsidR="00F146E1">
        <w:rPr>
          <w:noProof/>
          <w:color w:val="000000"/>
          <w:szCs w:val="22"/>
          <w:highlight w:val="black"/>
        </w:rPr>
        <w:t>'''''''''''''''</w:t>
      </w:r>
      <w:r w:rsidRPr="003066F6">
        <w:rPr>
          <w:szCs w:val="22"/>
        </w:rPr>
        <w:t xml:space="preserve"> and $</w:t>
      </w:r>
      <w:r w:rsidR="00F146E1">
        <w:rPr>
          <w:noProof/>
          <w:color w:val="000000"/>
          <w:szCs w:val="22"/>
          <w:highlight w:val="black"/>
        </w:rPr>
        <w:t>'''''''''''''''</w:t>
      </w:r>
      <w:r w:rsidRPr="003066F6">
        <w:rPr>
          <w:szCs w:val="22"/>
        </w:rPr>
        <w:t xml:space="preserve"> for nintedanib 100mg and 150mg, respectively.  This represented an </w:t>
      </w:r>
      <w:r w:rsidR="00F146E1">
        <w:rPr>
          <w:noProof/>
          <w:color w:val="000000"/>
          <w:szCs w:val="22"/>
          <w:highlight w:val="black"/>
        </w:rPr>
        <w:t>'''''''''''</w:t>
      </w:r>
      <w:r w:rsidRPr="003066F6">
        <w:rPr>
          <w:szCs w:val="22"/>
        </w:rPr>
        <w:t>% decrease from the effective price included in the March 2015 submission ($</w:t>
      </w:r>
      <w:r w:rsidR="00F146E1">
        <w:rPr>
          <w:noProof/>
          <w:color w:val="000000"/>
          <w:szCs w:val="22"/>
          <w:highlight w:val="black"/>
        </w:rPr>
        <w:t>'''''''''''''''</w:t>
      </w:r>
      <w:r w:rsidR="00E1056C">
        <w:rPr>
          <w:szCs w:val="22"/>
        </w:rPr>
        <w:t>: 100mg; $</w:t>
      </w:r>
      <w:r w:rsidR="00F146E1">
        <w:rPr>
          <w:noProof/>
          <w:color w:val="000000"/>
          <w:szCs w:val="22"/>
          <w:highlight w:val="black"/>
        </w:rPr>
        <w:t>'''''''''''''''''</w:t>
      </w:r>
      <w:r w:rsidR="00E1056C">
        <w:rPr>
          <w:szCs w:val="22"/>
        </w:rPr>
        <w:t>: 150mg).</w:t>
      </w:r>
    </w:p>
    <w:p w:rsidR="001F20FE" w:rsidRPr="00A01F0F" w:rsidRDefault="00462C00" w:rsidP="00321D09">
      <w:pPr>
        <w:pStyle w:val="ListParagraph"/>
        <w:widowControl/>
        <w:numPr>
          <w:ilvl w:val="0"/>
          <w:numId w:val="10"/>
        </w:numPr>
        <w:rPr>
          <w:szCs w:val="22"/>
        </w:rPr>
      </w:pPr>
      <w:r w:rsidRPr="00A01F0F">
        <w:rPr>
          <w:szCs w:val="22"/>
          <w:u w:val="single"/>
        </w:rPr>
        <w:t>Clinical criteria</w:t>
      </w:r>
      <w:r w:rsidR="001F20FE" w:rsidRPr="00A01F0F">
        <w:rPr>
          <w:szCs w:val="22"/>
          <w:u w:val="single"/>
        </w:rPr>
        <w:t xml:space="preserve"> (initial treatment)</w:t>
      </w:r>
      <w:r w:rsidRPr="00E1056C">
        <w:rPr>
          <w:szCs w:val="22"/>
        </w:rPr>
        <w:t>:</w:t>
      </w:r>
      <w:r w:rsidRPr="00A01F0F">
        <w:rPr>
          <w:szCs w:val="22"/>
        </w:rPr>
        <w:t xml:space="preserve"> </w:t>
      </w:r>
      <w:r w:rsidR="00EC13CF" w:rsidRPr="00A01F0F">
        <w:rPr>
          <w:szCs w:val="22"/>
        </w:rPr>
        <w:t>at the March 2015 meeting, the PBAC indicated that the restriction should include the role of a multidisciplinary team in diagnosing IPF (paragraph 7.3</w:t>
      </w:r>
      <w:r w:rsidR="009714BF">
        <w:rPr>
          <w:szCs w:val="22"/>
        </w:rPr>
        <w:t xml:space="preserve">, </w:t>
      </w:r>
      <w:r w:rsidR="009714BF">
        <w:t xml:space="preserve">Nintedanib for IPF PSD, </w:t>
      </w:r>
      <w:r w:rsidR="009714BF" w:rsidRPr="008D1343">
        <w:t>March 2015</w:t>
      </w:r>
      <w:r w:rsidR="00EC13CF" w:rsidRPr="00A01F0F">
        <w:rPr>
          <w:szCs w:val="22"/>
        </w:rPr>
        <w:t>).  T</w:t>
      </w:r>
      <w:r w:rsidR="005021C2" w:rsidRPr="00A01F0F">
        <w:rPr>
          <w:szCs w:val="22"/>
        </w:rPr>
        <w:t xml:space="preserve">he re-submission </w:t>
      </w:r>
      <w:r w:rsidR="00EC13CF" w:rsidRPr="00A01F0F">
        <w:rPr>
          <w:szCs w:val="22"/>
        </w:rPr>
        <w:t>provided</w:t>
      </w:r>
      <w:r w:rsidR="005021C2" w:rsidRPr="00A01F0F">
        <w:rPr>
          <w:szCs w:val="22"/>
        </w:rPr>
        <w:t xml:space="preserve"> further</w:t>
      </w:r>
      <w:r w:rsidR="00AC15B9" w:rsidRPr="00A01F0F">
        <w:rPr>
          <w:szCs w:val="22"/>
        </w:rPr>
        <w:t xml:space="preserve"> details </w:t>
      </w:r>
      <w:r w:rsidR="00EC13CF" w:rsidRPr="00A01F0F">
        <w:rPr>
          <w:szCs w:val="22"/>
        </w:rPr>
        <w:t>of</w:t>
      </w:r>
      <w:r w:rsidR="005021C2" w:rsidRPr="00A01F0F">
        <w:rPr>
          <w:szCs w:val="22"/>
        </w:rPr>
        <w:t xml:space="preserve"> </w:t>
      </w:r>
      <w:r w:rsidR="00AC15B9" w:rsidRPr="00A01F0F">
        <w:rPr>
          <w:szCs w:val="22"/>
        </w:rPr>
        <w:t xml:space="preserve">the multidisciplinary team (comprising at least respiratory, radiology and where required, pathology) and extenuating </w:t>
      </w:r>
      <w:r w:rsidR="00AC15B9" w:rsidRPr="00B6317B">
        <w:rPr>
          <w:szCs w:val="22"/>
        </w:rPr>
        <w:t xml:space="preserve">circumstances where consultation may be necessary (geographical isolation).  </w:t>
      </w:r>
      <w:r w:rsidR="00A01F0F" w:rsidRPr="00B6317B">
        <w:rPr>
          <w:szCs w:val="22"/>
        </w:rPr>
        <w:t xml:space="preserve">Accurate diagnosis of IPF is important as some treatments (eg corticosteroids) can be harmful. The multidisciplinary team described in the Prescriber instruction in the restriction needs careful consideration as to whether it is sufficiently detailed to prevent misdiagnosis. </w:t>
      </w:r>
      <w:r w:rsidR="00053F4E" w:rsidRPr="00B6317B">
        <w:rPr>
          <w:szCs w:val="22"/>
        </w:rPr>
        <w:t>An additional</w:t>
      </w:r>
      <w:r w:rsidR="00EC13CF" w:rsidRPr="00B6317B">
        <w:rPr>
          <w:szCs w:val="22"/>
        </w:rPr>
        <w:t xml:space="preserve"> clinical criteria </w:t>
      </w:r>
      <w:r w:rsidR="00053F4E" w:rsidRPr="00B6317B">
        <w:rPr>
          <w:szCs w:val="22"/>
        </w:rPr>
        <w:t>required</w:t>
      </w:r>
      <w:r w:rsidR="00EC13CF" w:rsidRPr="00B6317B">
        <w:rPr>
          <w:szCs w:val="22"/>
        </w:rPr>
        <w:t xml:space="preserve"> </w:t>
      </w:r>
      <w:r w:rsidR="00053F4E" w:rsidRPr="00B6317B">
        <w:rPr>
          <w:szCs w:val="22"/>
        </w:rPr>
        <w:t>eligible</w:t>
      </w:r>
      <w:r w:rsidR="00EC13CF" w:rsidRPr="00B6317B">
        <w:rPr>
          <w:szCs w:val="22"/>
        </w:rPr>
        <w:t xml:space="preserve"> patients to</w:t>
      </w:r>
      <w:r w:rsidR="00AC15B9" w:rsidRPr="00B6317B">
        <w:rPr>
          <w:szCs w:val="22"/>
        </w:rPr>
        <w:t xml:space="preserve"> have a FEV1/FVC&gt;0.7.  Th</w:t>
      </w:r>
      <w:r w:rsidR="00053F4E" w:rsidRPr="00B6317B">
        <w:rPr>
          <w:szCs w:val="22"/>
        </w:rPr>
        <w:t>e</w:t>
      </w:r>
      <w:r w:rsidR="00AC15B9" w:rsidRPr="00B6317B">
        <w:rPr>
          <w:szCs w:val="22"/>
        </w:rPr>
        <w:t xml:space="preserve"> amendment </w:t>
      </w:r>
      <w:r w:rsidR="00053F4E" w:rsidRPr="00B6317B">
        <w:rPr>
          <w:szCs w:val="22"/>
        </w:rPr>
        <w:t>wa</w:t>
      </w:r>
      <w:r w:rsidR="00AC15B9" w:rsidRPr="00B6317B">
        <w:rPr>
          <w:szCs w:val="22"/>
        </w:rPr>
        <w:t>s consistent with the inclusion/exclusion criteria used in the pivotal trials (Trial</w:t>
      </w:r>
      <w:r w:rsidR="00E1056C">
        <w:rPr>
          <w:szCs w:val="22"/>
        </w:rPr>
        <w:t>s</w:t>
      </w:r>
      <w:r w:rsidR="00AC15B9" w:rsidRPr="00B6317B">
        <w:rPr>
          <w:szCs w:val="22"/>
        </w:rPr>
        <w:t xml:space="preserve"> 30, 32 and 34).</w:t>
      </w:r>
    </w:p>
    <w:p w:rsidR="001F20FE" w:rsidRPr="004E3B49" w:rsidRDefault="001F20FE" w:rsidP="00127BC0">
      <w:pPr>
        <w:pStyle w:val="ListParagraph"/>
        <w:widowControl/>
        <w:numPr>
          <w:ilvl w:val="0"/>
          <w:numId w:val="10"/>
        </w:numPr>
        <w:rPr>
          <w:szCs w:val="22"/>
        </w:rPr>
      </w:pPr>
      <w:r w:rsidRPr="0060206A">
        <w:rPr>
          <w:szCs w:val="22"/>
          <w:u w:val="single"/>
        </w:rPr>
        <w:t>Clinical criteria (continuing treatment):</w:t>
      </w:r>
      <w:r w:rsidRPr="0060206A">
        <w:rPr>
          <w:szCs w:val="22"/>
        </w:rPr>
        <w:t xml:space="preserve"> the re-submission simplified to the clinical criteria for continuing treatment, limiting requirements to prior PBS subsidised treatment and documentation of an IPF diagnosis less than 5 years or greater than 5 years where progression has been confirmed. </w:t>
      </w:r>
      <w:r w:rsidR="00A01F0F" w:rsidRPr="004E3B49">
        <w:t>The ESC discussed the difficulty of having a continuation rule for IPF treatment based on response. The purpose of treatment is to prevent progression of the disease, as once patients progress there can be no further gains in lung function. There is no way to know if patients are responding to treatment, only that they are not getting worse</w:t>
      </w:r>
      <w:r w:rsidR="00127BC0" w:rsidRPr="004E3B49">
        <w:t>. The PSCR (p.1) suggested the patient’s treating specialist may be best placed to determine whether continuing treatment with nintedanib is appropriate, considering factors such as quality of life and daily activities (e.g. walking) in addition to lung function.</w:t>
      </w:r>
    </w:p>
    <w:p w:rsidR="00EC13CF" w:rsidRPr="0060206A" w:rsidRDefault="00EC13CF" w:rsidP="00321D09">
      <w:pPr>
        <w:pStyle w:val="ListParagraph"/>
        <w:widowControl/>
        <w:numPr>
          <w:ilvl w:val="0"/>
          <w:numId w:val="10"/>
        </w:numPr>
        <w:rPr>
          <w:szCs w:val="22"/>
          <w:u w:val="single"/>
        </w:rPr>
      </w:pPr>
      <w:r w:rsidRPr="0060206A">
        <w:rPr>
          <w:szCs w:val="22"/>
          <w:u w:val="single"/>
        </w:rPr>
        <w:t>Administrative advice:</w:t>
      </w:r>
      <w:r w:rsidRPr="0060206A">
        <w:rPr>
          <w:szCs w:val="22"/>
        </w:rPr>
        <w:t xml:space="preserve"> given the complexity associated with the diagnosis of IPF and the potential for misclassification of other fibrotic lung conditions, the PBAC considered that strategies for managing risk of leakage to other indications through the wording for the requested write in initial authority be considered (paragraph 7.3</w:t>
      </w:r>
      <w:r w:rsidR="009714BF">
        <w:rPr>
          <w:szCs w:val="22"/>
        </w:rPr>
        <w:t xml:space="preserve">, </w:t>
      </w:r>
      <w:r w:rsidR="009714BF">
        <w:t xml:space="preserve">Nintedanib for IPF PSD, </w:t>
      </w:r>
      <w:r w:rsidR="009714BF" w:rsidRPr="008D1343">
        <w:t>March 2015</w:t>
      </w:r>
      <w:r w:rsidRPr="0060206A">
        <w:rPr>
          <w:szCs w:val="22"/>
        </w:rPr>
        <w:t xml:space="preserve">).  While the requested restriction indicated the use of an authority application form no further details </w:t>
      </w:r>
      <w:r w:rsidR="00215586" w:rsidRPr="0060206A">
        <w:rPr>
          <w:szCs w:val="22"/>
        </w:rPr>
        <w:t xml:space="preserve">were </w:t>
      </w:r>
      <w:r w:rsidRPr="0060206A">
        <w:rPr>
          <w:szCs w:val="22"/>
        </w:rPr>
        <w:t>provided in the re-submission.</w:t>
      </w:r>
    </w:p>
    <w:p w:rsidR="00462C00" w:rsidRPr="0060206A" w:rsidRDefault="00462C00" w:rsidP="00BC3C83">
      <w:pPr>
        <w:rPr>
          <w:szCs w:val="22"/>
        </w:rPr>
      </w:pPr>
    </w:p>
    <w:p w:rsidR="005E6569" w:rsidRPr="004E3B49" w:rsidRDefault="00AC15B9" w:rsidP="005E6569">
      <w:pPr>
        <w:pStyle w:val="ListParagraph"/>
        <w:widowControl/>
        <w:numPr>
          <w:ilvl w:val="1"/>
          <w:numId w:val="2"/>
        </w:numPr>
        <w:rPr>
          <w:szCs w:val="22"/>
        </w:rPr>
      </w:pPr>
      <w:r w:rsidRPr="007E330D">
        <w:rPr>
          <w:szCs w:val="22"/>
        </w:rPr>
        <w:t xml:space="preserve">The requested restriction </w:t>
      </w:r>
      <w:r w:rsidR="00215586" w:rsidRPr="007E330D">
        <w:rPr>
          <w:szCs w:val="22"/>
        </w:rPr>
        <w:t xml:space="preserve">did </w:t>
      </w:r>
      <w:r w:rsidRPr="007E330D">
        <w:rPr>
          <w:szCs w:val="22"/>
        </w:rPr>
        <w:t xml:space="preserve">not </w:t>
      </w:r>
      <w:r w:rsidR="00215586" w:rsidRPr="007E330D">
        <w:rPr>
          <w:szCs w:val="22"/>
        </w:rPr>
        <w:t xml:space="preserve">specify </w:t>
      </w:r>
      <w:r w:rsidRPr="007E330D">
        <w:rPr>
          <w:szCs w:val="22"/>
        </w:rPr>
        <w:t>whether nintedanib should be used as sole therapy for the treatment of IPF.  Combination treatment was not permitted in the pivotal trials.  Given the complex pathology of IPF, combination treatment with nintedanib and pirfenidone has been suggested in the literature as a possibl</w:t>
      </w:r>
      <w:r w:rsidR="001F20FE" w:rsidRPr="007E330D">
        <w:rPr>
          <w:szCs w:val="22"/>
        </w:rPr>
        <w:t>e</w:t>
      </w:r>
      <w:r w:rsidRPr="007E330D">
        <w:rPr>
          <w:szCs w:val="22"/>
        </w:rPr>
        <w:t xml:space="preserve"> future regimen for patients with definite or probable IPF (Wuyts 2014, Wells 2015). </w:t>
      </w:r>
      <w:r w:rsidR="007E330D" w:rsidRPr="004E3B49">
        <w:rPr>
          <w:szCs w:val="22"/>
        </w:rPr>
        <w:t xml:space="preserve">The ESC agreed with </w:t>
      </w:r>
      <w:r w:rsidR="00686C23" w:rsidRPr="004E3B49">
        <w:rPr>
          <w:szCs w:val="22"/>
        </w:rPr>
        <w:t>the PSCR (p</w:t>
      </w:r>
      <w:r w:rsidR="007E330D" w:rsidRPr="004E3B49">
        <w:rPr>
          <w:szCs w:val="22"/>
        </w:rPr>
        <w:t xml:space="preserve">. </w:t>
      </w:r>
      <w:r w:rsidR="00686C23" w:rsidRPr="004E3B49">
        <w:rPr>
          <w:szCs w:val="22"/>
        </w:rPr>
        <w:t xml:space="preserve">1) </w:t>
      </w:r>
      <w:r w:rsidR="007E330D" w:rsidRPr="004E3B49">
        <w:rPr>
          <w:szCs w:val="22"/>
        </w:rPr>
        <w:t>that the combination of nintedanib and p</w:t>
      </w:r>
      <w:r w:rsidR="005E6569" w:rsidRPr="004E3B49">
        <w:rPr>
          <w:szCs w:val="22"/>
        </w:rPr>
        <w:t xml:space="preserve">irfenidone </w:t>
      </w:r>
      <w:r w:rsidR="007E330D" w:rsidRPr="004E3B49">
        <w:rPr>
          <w:szCs w:val="22"/>
        </w:rPr>
        <w:t>is not supported by clinical evidence and a note should be added to the Cautions in the PBS listing to advise prescribers that the combination should not be used.</w:t>
      </w:r>
    </w:p>
    <w:p w:rsidR="007E330D" w:rsidRPr="00E1056C" w:rsidRDefault="007E330D" w:rsidP="007E330D">
      <w:pPr>
        <w:widowControl/>
        <w:rPr>
          <w:szCs w:val="22"/>
        </w:rPr>
      </w:pPr>
    </w:p>
    <w:p w:rsidR="005E6569" w:rsidRDefault="001F20FE" w:rsidP="00321D09">
      <w:pPr>
        <w:pStyle w:val="ListParagraph"/>
        <w:numPr>
          <w:ilvl w:val="1"/>
          <w:numId w:val="2"/>
        </w:numPr>
        <w:rPr>
          <w:szCs w:val="22"/>
        </w:rPr>
      </w:pPr>
      <w:r w:rsidRPr="0060206A">
        <w:rPr>
          <w:szCs w:val="22"/>
        </w:rPr>
        <w:t>No discontinuation criterion was included in the requested restriction.  The recent ATS clinical practice guideline for IPF (Raghu 2015) states that the current available evidence for nintedanib does not allow suggestions about the optimal duration of therapy, and it is unknown how long treatment effect endures with ongoing therapies.</w:t>
      </w:r>
    </w:p>
    <w:p w:rsidR="00127509" w:rsidRPr="00E1056C" w:rsidRDefault="00127509" w:rsidP="00127509">
      <w:pPr>
        <w:rPr>
          <w:szCs w:val="22"/>
        </w:rPr>
      </w:pPr>
    </w:p>
    <w:p w:rsidR="004E43B2" w:rsidRPr="004E3B49" w:rsidRDefault="004E3B49" w:rsidP="003757FB">
      <w:pPr>
        <w:ind w:left="709"/>
        <w:rPr>
          <w:i/>
        </w:rPr>
      </w:pPr>
      <w:r w:rsidRPr="004E3B49">
        <w:rPr>
          <w:i/>
        </w:rPr>
        <w:t>For more detail on PBAC’s view, see section 7 “PBAC outcome”</w:t>
      </w:r>
      <w:r w:rsidR="00E1056C">
        <w:rPr>
          <w:i/>
        </w:rPr>
        <w:t>.</w:t>
      </w:r>
    </w:p>
    <w:p w:rsidR="00215586" w:rsidRDefault="00215586" w:rsidP="004B1CB4"/>
    <w:p w:rsidR="00E1056C" w:rsidRPr="00882085" w:rsidRDefault="00E1056C" w:rsidP="004B1CB4"/>
    <w:p w:rsidR="00B50DB8" w:rsidRPr="00407F2D" w:rsidRDefault="00B50DB8" w:rsidP="006412CE">
      <w:pPr>
        <w:pStyle w:val="Heading1"/>
      </w:pPr>
      <w:bookmarkStart w:id="5" w:name="_Toc430009527"/>
      <w:r w:rsidRPr="00407F2D">
        <w:t>Background</w:t>
      </w:r>
      <w:bookmarkEnd w:id="5"/>
    </w:p>
    <w:p w:rsidR="00B60939" w:rsidRPr="00882085" w:rsidRDefault="00B60939" w:rsidP="00B60939">
      <w:pPr>
        <w:rPr>
          <w:szCs w:val="22"/>
        </w:rPr>
      </w:pPr>
    </w:p>
    <w:p w:rsidR="005021C2" w:rsidRDefault="005021C2" w:rsidP="00321D09">
      <w:pPr>
        <w:pStyle w:val="ListParagraph"/>
        <w:widowControl/>
        <w:numPr>
          <w:ilvl w:val="1"/>
          <w:numId w:val="2"/>
        </w:numPr>
        <w:rPr>
          <w:szCs w:val="22"/>
        </w:rPr>
      </w:pPr>
      <w:r>
        <w:rPr>
          <w:szCs w:val="22"/>
        </w:rPr>
        <w:t xml:space="preserve">Nintedanib for the treatment of IPF was previously considered by the PBAC in March 2015.  </w:t>
      </w:r>
      <w:r w:rsidR="005F7133">
        <w:rPr>
          <w:szCs w:val="22"/>
        </w:rPr>
        <w:t>TGA approval for the indication of IPF and advanced, metastatic or recurrent non-small cell lung cancer (NSCLC) of adenoncarcinoma tumour histology after failure of first line chemotherapy was received on 27</w:t>
      </w:r>
      <w:r w:rsidR="005F7133" w:rsidRPr="005F7133">
        <w:rPr>
          <w:szCs w:val="22"/>
          <w:vertAlign w:val="superscript"/>
        </w:rPr>
        <w:t>th</w:t>
      </w:r>
      <w:r w:rsidR="005F7133">
        <w:rPr>
          <w:szCs w:val="22"/>
        </w:rPr>
        <w:t xml:space="preserve"> August 2015</w:t>
      </w:r>
      <w:r w:rsidR="00E1056C">
        <w:rPr>
          <w:szCs w:val="22"/>
        </w:rPr>
        <w:t>.</w:t>
      </w:r>
    </w:p>
    <w:p w:rsidR="005021C2" w:rsidRPr="005021C2" w:rsidRDefault="005021C2" w:rsidP="005021C2">
      <w:pPr>
        <w:widowControl/>
        <w:rPr>
          <w:szCs w:val="22"/>
        </w:rPr>
      </w:pPr>
    </w:p>
    <w:p w:rsidR="002C660C" w:rsidRDefault="005021C2" w:rsidP="00321D09">
      <w:pPr>
        <w:pStyle w:val="ListParagraph"/>
        <w:widowControl/>
        <w:numPr>
          <w:ilvl w:val="1"/>
          <w:numId w:val="2"/>
        </w:numPr>
        <w:rPr>
          <w:szCs w:val="22"/>
        </w:rPr>
      </w:pPr>
      <w:r w:rsidRPr="00BC3C83">
        <w:rPr>
          <w:szCs w:val="22"/>
        </w:rPr>
        <w:t>At the March 2015 meeting, the PBAC rejected the submission</w:t>
      </w:r>
      <w:r w:rsidR="002B1DFC" w:rsidRPr="00BC3C83">
        <w:rPr>
          <w:szCs w:val="22"/>
        </w:rPr>
        <w:t xml:space="preserve"> on the basis of an uncertain estimate of comparative effectiveness, as measured by the effect on clinically relevant outcomes, including acute IPF exacerbations and overall survival, and a resulting very high and uncertain estimate of cost-effectiveness (paragraph 7.1</w:t>
      </w:r>
      <w:r w:rsidR="009714BF">
        <w:rPr>
          <w:szCs w:val="22"/>
        </w:rPr>
        <w:t xml:space="preserve">, </w:t>
      </w:r>
      <w:r w:rsidR="009714BF">
        <w:t xml:space="preserve">Nintedanib for IPF PSD, </w:t>
      </w:r>
      <w:r w:rsidR="009714BF" w:rsidRPr="008D1343">
        <w:t>March 2015</w:t>
      </w:r>
      <w:r w:rsidR="002B1DFC" w:rsidRPr="00BC3C83">
        <w:rPr>
          <w:szCs w:val="22"/>
        </w:rPr>
        <w:t xml:space="preserve">).  </w:t>
      </w:r>
      <w:r w:rsidR="002C660C" w:rsidRPr="00BC3C83">
        <w:rPr>
          <w:szCs w:val="22"/>
        </w:rPr>
        <w:t xml:space="preserve">The </w:t>
      </w:r>
      <w:r w:rsidR="00BC3C83" w:rsidRPr="00BC3C83">
        <w:rPr>
          <w:szCs w:val="22"/>
        </w:rPr>
        <w:t xml:space="preserve">PBAC identified the </w:t>
      </w:r>
      <w:r w:rsidR="002C660C" w:rsidRPr="00BC3C83">
        <w:rPr>
          <w:szCs w:val="22"/>
        </w:rPr>
        <w:t>following key clinical</w:t>
      </w:r>
      <w:r w:rsidR="009F168A" w:rsidRPr="00BC3C83">
        <w:rPr>
          <w:szCs w:val="22"/>
        </w:rPr>
        <w:t xml:space="preserve"> and economic issues</w:t>
      </w:r>
      <w:r w:rsidR="00823385">
        <w:rPr>
          <w:szCs w:val="22"/>
        </w:rPr>
        <w:t>:</w:t>
      </w:r>
    </w:p>
    <w:p w:rsidR="001C0250" w:rsidRPr="004E3B49" w:rsidRDefault="00BC3C83" w:rsidP="001C0250">
      <w:pPr>
        <w:pStyle w:val="ListParagraph"/>
        <w:widowControl/>
        <w:numPr>
          <w:ilvl w:val="0"/>
          <w:numId w:val="10"/>
        </w:numPr>
      </w:pPr>
      <w:r w:rsidRPr="0060206A">
        <w:rPr>
          <w:szCs w:val="22"/>
          <w:u w:val="single"/>
        </w:rPr>
        <w:t>Clinical evaluation – r</w:t>
      </w:r>
      <w:r w:rsidR="002C660C" w:rsidRPr="0060206A">
        <w:rPr>
          <w:szCs w:val="22"/>
          <w:u w:val="single"/>
        </w:rPr>
        <w:t xml:space="preserve">elationship between </w:t>
      </w:r>
      <w:r w:rsidR="00CD0C24" w:rsidRPr="0060206A">
        <w:rPr>
          <w:szCs w:val="22"/>
          <w:u w:val="single"/>
        </w:rPr>
        <w:t>forced vital capacity (FVC)</w:t>
      </w:r>
      <w:r w:rsidR="002C660C" w:rsidRPr="0060206A">
        <w:rPr>
          <w:szCs w:val="22"/>
          <w:u w:val="single"/>
        </w:rPr>
        <w:t xml:space="preserve"> and survival</w:t>
      </w:r>
      <w:r w:rsidR="002C660C" w:rsidRPr="00E1056C">
        <w:rPr>
          <w:szCs w:val="22"/>
        </w:rPr>
        <w:t>:</w:t>
      </w:r>
      <w:r w:rsidR="002C660C" w:rsidRPr="0060206A">
        <w:rPr>
          <w:szCs w:val="22"/>
        </w:rPr>
        <w:t xml:space="preserve"> </w:t>
      </w:r>
      <w:r w:rsidR="009F168A" w:rsidRPr="0060206A">
        <w:rPr>
          <w:szCs w:val="22"/>
        </w:rPr>
        <w:t>t</w:t>
      </w:r>
      <w:r w:rsidR="002C660C" w:rsidRPr="0060206A">
        <w:rPr>
          <w:szCs w:val="22"/>
        </w:rPr>
        <w:t>he PBAC considered that while it was clear that lower FVC was associated with a higher risk of mortality, quantifying the relationship between change in FVC from nintedanib and change in mortality (and resulting survival gain) was challenging</w:t>
      </w:r>
      <w:r w:rsidR="009F168A" w:rsidRPr="0060206A">
        <w:rPr>
          <w:szCs w:val="22"/>
        </w:rPr>
        <w:t xml:space="preserve"> (paragraph 7.7, </w:t>
      </w:r>
      <w:r w:rsidR="009714BF">
        <w:t xml:space="preserve">Nintedanib for IPF PSD, </w:t>
      </w:r>
      <w:r w:rsidR="009714BF" w:rsidRPr="008D1343">
        <w:t>March 2015</w:t>
      </w:r>
      <w:r w:rsidR="009F168A" w:rsidRPr="0060206A">
        <w:rPr>
          <w:szCs w:val="22"/>
        </w:rPr>
        <w:t>)</w:t>
      </w:r>
      <w:r w:rsidR="002C660C" w:rsidRPr="0060206A">
        <w:rPr>
          <w:szCs w:val="22"/>
        </w:rPr>
        <w:t xml:space="preserve">.  The re-submission presented additional evidence indicating a </w:t>
      </w:r>
      <w:r w:rsidR="001C35FA" w:rsidRPr="0060206A">
        <w:rPr>
          <w:szCs w:val="22"/>
        </w:rPr>
        <w:t>linear trend</w:t>
      </w:r>
      <w:r w:rsidR="001C35FA" w:rsidRPr="0060206A">
        <w:t xml:space="preserve"> </w:t>
      </w:r>
      <w:r w:rsidR="002C660C" w:rsidRPr="0060206A">
        <w:rPr>
          <w:szCs w:val="22"/>
        </w:rPr>
        <w:t xml:space="preserve">between FVC and survival benefit across the nintedanib (Trial 30, 32 and 34) and pirfenidone trials (ASCEND, CAPACITY-1, CAPACITY-2).  </w:t>
      </w:r>
      <w:r w:rsidR="001C35FA" w:rsidRPr="0060206A">
        <w:rPr>
          <w:szCs w:val="22"/>
        </w:rPr>
        <w:t xml:space="preserve">While there was a high degree of correlation </w:t>
      </w:r>
      <w:r w:rsidRPr="0060206A">
        <w:rPr>
          <w:szCs w:val="22"/>
        </w:rPr>
        <w:t>was observed</w:t>
      </w:r>
      <w:r w:rsidR="001C35FA" w:rsidRPr="0060206A">
        <w:rPr>
          <w:szCs w:val="22"/>
        </w:rPr>
        <w:t xml:space="preserve"> in the analysis (</w:t>
      </w:r>
      <w:r w:rsidR="001C35FA" w:rsidRPr="0060206A">
        <w:t>R</w:t>
      </w:r>
      <w:r w:rsidR="001C35FA" w:rsidRPr="0060206A">
        <w:rPr>
          <w:vertAlign w:val="superscript"/>
        </w:rPr>
        <w:t>2</w:t>
      </w:r>
      <w:r w:rsidR="001C35FA" w:rsidRPr="0060206A">
        <w:t xml:space="preserve"> = </w:t>
      </w:r>
      <w:r w:rsidR="00F146E1">
        <w:rPr>
          <w:noProof/>
          <w:color w:val="000000"/>
          <w:highlight w:val="black"/>
        </w:rPr>
        <w:t>''''''''''''''''''</w:t>
      </w:r>
      <w:r w:rsidR="001C35FA" w:rsidRPr="0060206A">
        <w:t xml:space="preserve">), the hazard ratios for time to death across the trials were not statistically significant.  </w:t>
      </w:r>
      <w:r w:rsidR="009F10B7">
        <w:t>In October 2015, t</w:t>
      </w:r>
      <w:r w:rsidR="001C0250" w:rsidRPr="004E3B49">
        <w:t xml:space="preserve">he ESC noted that the </w:t>
      </w:r>
      <w:r w:rsidR="009E6AC7" w:rsidRPr="004E3B49">
        <w:t>PSCR (p. 2)</w:t>
      </w:r>
      <w:r w:rsidR="001C0250" w:rsidRPr="004E3B49">
        <w:t xml:space="preserve"> presented </w:t>
      </w:r>
      <w:r w:rsidR="009E6AC7" w:rsidRPr="004E3B49">
        <w:t>the</w:t>
      </w:r>
      <w:r w:rsidR="001C0250" w:rsidRPr="004E3B49">
        <w:t xml:space="preserve"> analysis of the relationship between treatment difference in FVC and hazard ratio for time to death across the pirfenidone and nintedanib trials (Figure 1 </w:t>
      </w:r>
      <w:r w:rsidR="00DD5D0A" w:rsidRPr="004E3B49">
        <w:t>PSCR</w:t>
      </w:r>
      <w:r w:rsidR="001C0250" w:rsidRPr="004E3B49">
        <w:t>).</w:t>
      </w:r>
      <w:r w:rsidR="00E1056C">
        <w:t xml:space="preserve"> </w:t>
      </w:r>
      <w:r w:rsidR="001C0250" w:rsidRPr="004E3B49">
        <w:t xml:space="preserve"> The confidence intervals on the hazard ratios for time to death are very wide across all trial observations.</w:t>
      </w:r>
    </w:p>
    <w:p w:rsidR="002C660C" w:rsidRPr="0060206A" w:rsidRDefault="001C35FA" w:rsidP="00321D09">
      <w:pPr>
        <w:pStyle w:val="ListParagraph"/>
        <w:widowControl/>
        <w:numPr>
          <w:ilvl w:val="0"/>
          <w:numId w:val="10"/>
        </w:numPr>
        <w:rPr>
          <w:szCs w:val="22"/>
          <w:u w:val="single"/>
        </w:rPr>
      </w:pPr>
      <w:r w:rsidRPr="0060206A">
        <w:rPr>
          <w:szCs w:val="22"/>
          <w:u w:val="single"/>
        </w:rPr>
        <w:t xml:space="preserve">Modelled evaluation – </w:t>
      </w:r>
      <w:r w:rsidR="009F168A" w:rsidRPr="0060206A">
        <w:rPr>
          <w:szCs w:val="22"/>
          <w:u w:val="single"/>
        </w:rPr>
        <w:t>rationale</w:t>
      </w:r>
      <w:r w:rsidRPr="00E1056C">
        <w:rPr>
          <w:szCs w:val="22"/>
        </w:rPr>
        <w:t>:</w:t>
      </w:r>
      <w:r w:rsidRPr="0060206A">
        <w:rPr>
          <w:szCs w:val="22"/>
        </w:rPr>
        <w:t xml:space="preserve"> the PBAC considered that the CUA presented in the submission was inappropriate </w:t>
      </w:r>
      <w:r w:rsidR="009F168A" w:rsidRPr="0060206A">
        <w:rPr>
          <w:szCs w:val="22"/>
        </w:rPr>
        <w:t xml:space="preserve">given the non-statistically significant point estimates for </w:t>
      </w:r>
      <w:r w:rsidR="00053F4E" w:rsidRPr="0060206A">
        <w:rPr>
          <w:szCs w:val="22"/>
        </w:rPr>
        <w:t>overall survival (OS)</w:t>
      </w:r>
      <w:r w:rsidR="009F168A" w:rsidRPr="0060206A">
        <w:rPr>
          <w:szCs w:val="22"/>
        </w:rPr>
        <w:t xml:space="preserve"> and no significant difference in quality of life (paragraph 7.10, </w:t>
      </w:r>
      <w:r w:rsidR="009714BF">
        <w:t xml:space="preserve">Nintedanib for IPF PSD, </w:t>
      </w:r>
      <w:r w:rsidR="009714BF" w:rsidRPr="008D1343">
        <w:t>March 2015</w:t>
      </w:r>
      <w:r w:rsidR="009F168A" w:rsidRPr="0060206A">
        <w:rPr>
          <w:szCs w:val="22"/>
        </w:rPr>
        <w:t>).  The</w:t>
      </w:r>
      <w:r w:rsidR="003066F6" w:rsidRPr="0060206A">
        <w:rPr>
          <w:szCs w:val="22"/>
        </w:rPr>
        <w:t xml:space="preserve">re </w:t>
      </w:r>
      <w:r w:rsidR="00823385" w:rsidRPr="0060206A">
        <w:rPr>
          <w:szCs w:val="22"/>
        </w:rPr>
        <w:t xml:space="preserve">were </w:t>
      </w:r>
      <w:r w:rsidR="003066F6" w:rsidRPr="0060206A">
        <w:rPr>
          <w:szCs w:val="22"/>
        </w:rPr>
        <w:t>no substantive changes to the</w:t>
      </w:r>
      <w:r w:rsidR="009F168A" w:rsidRPr="0060206A">
        <w:rPr>
          <w:szCs w:val="22"/>
        </w:rPr>
        <w:t xml:space="preserve"> design and structure of the economic </w:t>
      </w:r>
      <w:r w:rsidR="003066F6" w:rsidRPr="0060206A">
        <w:rPr>
          <w:szCs w:val="22"/>
        </w:rPr>
        <w:t>model</w:t>
      </w:r>
      <w:r w:rsidR="009F168A" w:rsidRPr="0060206A">
        <w:rPr>
          <w:szCs w:val="22"/>
        </w:rPr>
        <w:t xml:space="preserve"> in the re-submission (</w:t>
      </w:r>
      <w:r w:rsidR="003066F6" w:rsidRPr="0060206A">
        <w:rPr>
          <w:szCs w:val="22"/>
        </w:rPr>
        <w:t xml:space="preserve">refer to </w:t>
      </w:r>
      <w:r w:rsidR="00053F4E" w:rsidRPr="0060206A">
        <w:rPr>
          <w:szCs w:val="22"/>
        </w:rPr>
        <w:t xml:space="preserve">Economic analysis </w:t>
      </w:r>
      <w:r w:rsidR="00E1056C">
        <w:rPr>
          <w:szCs w:val="22"/>
        </w:rPr>
        <w:t xml:space="preserve">below </w:t>
      </w:r>
      <w:r w:rsidR="00053F4E" w:rsidRPr="0060206A">
        <w:rPr>
          <w:szCs w:val="22"/>
        </w:rPr>
        <w:t>for comments</w:t>
      </w:r>
      <w:r w:rsidR="009F168A" w:rsidRPr="0060206A">
        <w:rPr>
          <w:szCs w:val="22"/>
        </w:rPr>
        <w:t>)</w:t>
      </w:r>
      <w:r w:rsidR="00E1056C">
        <w:rPr>
          <w:szCs w:val="22"/>
        </w:rPr>
        <w:t>.</w:t>
      </w:r>
    </w:p>
    <w:p w:rsidR="00DA2050" w:rsidRPr="00DA2050" w:rsidRDefault="009F168A" w:rsidP="00311818">
      <w:pPr>
        <w:pStyle w:val="ListParagraph"/>
        <w:widowControl/>
        <w:numPr>
          <w:ilvl w:val="0"/>
          <w:numId w:val="10"/>
        </w:numPr>
        <w:rPr>
          <w:szCs w:val="22"/>
          <w:u w:val="single"/>
        </w:rPr>
      </w:pPr>
      <w:r w:rsidRPr="0060206A">
        <w:rPr>
          <w:szCs w:val="22"/>
          <w:u w:val="single"/>
        </w:rPr>
        <w:t>Modelled evaluation – extrapolation of survival benefit</w:t>
      </w:r>
      <w:r w:rsidRPr="00E1056C">
        <w:rPr>
          <w:szCs w:val="22"/>
        </w:rPr>
        <w:t>:</w:t>
      </w:r>
      <w:r w:rsidRPr="0060206A">
        <w:rPr>
          <w:szCs w:val="22"/>
        </w:rPr>
        <w:t xml:space="preserve"> the PBAC considered that the base case ICER </w:t>
      </w:r>
      <w:r w:rsidR="00230B12">
        <w:rPr>
          <w:szCs w:val="22"/>
        </w:rPr>
        <w:t>(</w:t>
      </w:r>
      <w:r w:rsidR="00311818" w:rsidRPr="00311818">
        <w:rPr>
          <w:szCs w:val="22"/>
        </w:rPr>
        <w:t>$105,000-$200,000</w:t>
      </w:r>
      <w:r w:rsidRPr="0060206A">
        <w:rPr>
          <w:szCs w:val="22"/>
        </w:rPr>
        <w:t xml:space="preserve">/QALY) was unacceptably high and likely to be optimistic as it used non-significant survival and quality of life benefits extrapolated from 12 months to 10 years to estimate life years and QALYs gained (paragraph 7.10, </w:t>
      </w:r>
      <w:r w:rsidR="009714BF">
        <w:t xml:space="preserve">Nintedanib for IPF PSD, </w:t>
      </w:r>
      <w:r w:rsidR="009714BF" w:rsidRPr="008D1343">
        <w:t>March 2015</w:t>
      </w:r>
      <w:r w:rsidRPr="0060206A">
        <w:rPr>
          <w:szCs w:val="22"/>
        </w:rPr>
        <w:t xml:space="preserve">).  The PBAC </w:t>
      </w:r>
      <w:r w:rsidR="00715522" w:rsidRPr="0060206A">
        <w:rPr>
          <w:szCs w:val="22"/>
        </w:rPr>
        <w:t>concluded</w:t>
      </w:r>
      <w:r w:rsidRPr="0060206A">
        <w:rPr>
          <w:szCs w:val="22"/>
        </w:rPr>
        <w:t xml:space="preserve"> that a re-submission should present a revised model including the more conservative methodology for extrapolation of survival benefit recommended by the evaluation (paragraph 7.12, </w:t>
      </w:r>
      <w:r w:rsidR="009714BF">
        <w:t xml:space="preserve">Nintedanib for IPF PSD, </w:t>
      </w:r>
      <w:r w:rsidR="009714BF" w:rsidRPr="008D1343">
        <w:t>March 2015</w:t>
      </w:r>
      <w:r w:rsidRPr="0060206A">
        <w:rPr>
          <w:szCs w:val="22"/>
        </w:rPr>
        <w:t>)</w:t>
      </w:r>
      <w:r w:rsidR="00E4203D" w:rsidRPr="0060206A">
        <w:rPr>
          <w:szCs w:val="22"/>
        </w:rPr>
        <w:t xml:space="preserve">.  This involved the use of Kaplan Meier survival estimates to 21 months, followed by adjustment of the nintedanib survival curve for the gradient of the best supportive care curve (paragraph 6.28, </w:t>
      </w:r>
      <w:r w:rsidR="009714BF">
        <w:t xml:space="preserve">Nintedanib for IPF PSD, </w:t>
      </w:r>
      <w:r w:rsidR="009714BF" w:rsidRPr="008D1343">
        <w:t>March 2015</w:t>
      </w:r>
      <w:r w:rsidR="00E4203D" w:rsidRPr="0060206A">
        <w:rPr>
          <w:szCs w:val="22"/>
        </w:rPr>
        <w:t>)</w:t>
      </w:r>
      <w:r w:rsidRPr="0060206A">
        <w:rPr>
          <w:szCs w:val="22"/>
        </w:rPr>
        <w:t xml:space="preserve">.  The re-submission only partially adopted this advice.  Mortality risk from Weibull extrapolations </w:t>
      </w:r>
      <w:r w:rsidR="00754BFD" w:rsidRPr="0060206A">
        <w:rPr>
          <w:szCs w:val="22"/>
        </w:rPr>
        <w:t xml:space="preserve">were </w:t>
      </w:r>
      <w:r w:rsidRPr="0060206A">
        <w:rPr>
          <w:szCs w:val="22"/>
        </w:rPr>
        <w:t xml:space="preserve">applied beyond the trial based period (21 months to 10 years) and </w:t>
      </w:r>
      <w:r w:rsidR="00754BFD" w:rsidRPr="0060206A">
        <w:rPr>
          <w:szCs w:val="22"/>
        </w:rPr>
        <w:t xml:space="preserve">were </w:t>
      </w:r>
      <w:r w:rsidRPr="0060206A">
        <w:rPr>
          <w:szCs w:val="22"/>
        </w:rPr>
        <w:t xml:space="preserve">responsible for the majority of survival gains estimated in the economic model (refer to Economic analysis </w:t>
      </w:r>
      <w:r w:rsidR="00E1056C">
        <w:rPr>
          <w:szCs w:val="22"/>
        </w:rPr>
        <w:t xml:space="preserve">below </w:t>
      </w:r>
      <w:r w:rsidRPr="0060206A">
        <w:rPr>
          <w:szCs w:val="22"/>
        </w:rPr>
        <w:t xml:space="preserve">for </w:t>
      </w:r>
      <w:r w:rsidR="00475807" w:rsidRPr="0060206A">
        <w:rPr>
          <w:szCs w:val="22"/>
        </w:rPr>
        <w:t>comments</w:t>
      </w:r>
      <w:r w:rsidR="00E1056C">
        <w:rPr>
          <w:szCs w:val="22"/>
        </w:rPr>
        <w:t>).</w:t>
      </w:r>
    </w:p>
    <w:p w:rsidR="00B60939" w:rsidRPr="0060206A" w:rsidRDefault="009F168A" w:rsidP="009714BF">
      <w:pPr>
        <w:pStyle w:val="ListParagraph"/>
        <w:widowControl/>
        <w:numPr>
          <w:ilvl w:val="0"/>
          <w:numId w:val="10"/>
        </w:numPr>
        <w:rPr>
          <w:u w:val="single"/>
        </w:rPr>
      </w:pPr>
      <w:r w:rsidRPr="0060206A">
        <w:rPr>
          <w:u w:val="single"/>
        </w:rPr>
        <w:t>Modelled evaluation – time horizon</w:t>
      </w:r>
      <w:r w:rsidRPr="00E1056C">
        <w:t>:</w:t>
      </w:r>
      <w:r w:rsidRPr="0060206A">
        <w:t xml:space="preserve"> </w:t>
      </w:r>
      <w:r w:rsidR="00475807" w:rsidRPr="0060206A">
        <w:t>the PBA</w:t>
      </w:r>
      <w:r w:rsidR="00715522" w:rsidRPr="0060206A">
        <w:t>C</w:t>
      </w:r>
      <w:r w:rsidR="00475807" w:rsidRPr="0060206A">
        <w:t xml:space="preserve"> considered that the modelled time horizon was inappropriate given the uncertainty regarding extrapolation of non-significant survival over 10 years (paragraph 7.10, </w:t>
      </w:r>
      <w:r w:rsidR="009714BF">
        <w:t xml:space="preserve">Nintedanib for IPF PSD, </w:t>
      </w:r>
      <w:r w:rsidR="009714BF" w:rsidRPr="008D1343">
        <w:t>March 2015</w:t>
      </w:r>
      <w:r w:rsidR="00475807" w:rsidRPr="0060206A">
        <w:t xml:space="preserve">).  The re-submission’s model </w:t>
      </w:r>
      <w:r w:rsidR="00754BFD" w:rsidRPr="0060206A">
        <w:t xml:space="preserve">continued </w:t>
      </w:r>
      <w:r w:rsidR="00475807" w:rsidRPr="0060206A">
        <w:t xml:space="preserve">to use a 10 year time horizon (refer to Economic analysis </w:t>
      </w:r>
      <w:r w:rsidR="00E1056C">
        <w:t xml:space="preserve">below </w:t>
      </w:r>
      <w:r w:rsidR="00475807" w:rsidRPr="0060206A">
        <w:t>for com</w:t>
      </w:r>
      <w:r w:rsidR="00E1056C">
        <w:t>ments).</w:t>
      </w:r>
    </w:p>
    <w:p w:rsidR="00E55BB5" w:rsidRDefault="00E55BB5" w:rsidP="004B1CB4"/>
    <w:p w:rsidR="00356427" w:rsidRPr="00882085" w:rsidRDefault="00356427" w:rsidP="004B1CB4"/>
    <w:p w:rsidR="00B50DB8" w:rsidRPr="00407F2D" w:rsidRDefault="00B50DB8" w:rsidP="006412CE">
      <w:pPr>
        <w:pStyle w:val="Heading1"/>
      </w:pPr>
      <w:bookmarkStart w:id="6" w:name="_Toc430009528"/>
      <w:r w:rsidRPr="00407F2D">
        <w:t>Clinical place for the proposed therapy</w:t>
      </w:r>
      <w:bookmarkEnd w:id="6"/>
    </w:p>
    <w:p w:rsidR="00B60939" w:rsidRPr="00882085" w:rsidRDefault="00B60939" w:rsidP="00B60939">
      <w:pPr>
        <w:rPr>
          <w:szCs w:val="22"/>
        </w:rPr>
      </w:pPr>
    </w:p>
    <w:p w:rsidR="00B60939" w:rsidRPr="00B50DB8" w:rsidRDefault="00475807" w:rsidP="00321D09">
      <w:pPr>
        <w:pStyle w:val="ListParagraph"/>
        <w:widowControl/>
        <w:numPr>
          <w:ilvl w:val="1"/>
          <w:numId w:val="2"/>
        </w:numPr>
        <w:rPr>
          <w:szCs w:val="22"/>
        </w:rPr>
      </w:pPr>
      <w:r w:rsidRPr="00475807">
        <w:rPr>
          <w:szCs w:val="22"/>
        </w:rPr>
        <w:t>IPF is a non-neoplastic irreversible fatal lung disease resulting from abnormal remodelling of lung tissue leading to fibrosis and a progressive de</w:t>
      </w:r>
      <w:r w:rsidR="00BC3C83">
        <w:rPr>
          <w:szCs w:val="22"/>
        </w:rPr>
        <w:t xml:space="preserve">gradation of lung function.  There is </w:t>
      </w:r>
      <w:r w:rsidRPr="00475807">
        <w:rPr>
          <w:szCs w:val="22"/>
        </w:rPr>
        <w:t xml:space="preserve">a high degree of variability in IPF disease progression (median survival: 3.5 years). </w:t>
      </w:r>
      <w:r w:rsidR="00BC3C83">
        <w:rPr>
          <w:szCs w:val="22"/>
        </w:rPr>
        <w:t xml:space="preserve"> </w:t>
      </w:r>
      <w:r w:rsidRPr="00475807">
        <w:rPr>
          <w:szCs w:val="22"/>
        </w:rPr>
        <w:t xml:space="preserve">Lung transplant is the only potentially curative intervention for IPF. </w:t>
      </w:r>
      <w:r w:rsidR="00BC3C83">
        <w:rPr>
          <w:szCs w:val="22"/>
        </w:rPr>
        <w:t xml:space="preserve"> </w:t>
      </w:r>
      <w:r w:rsidRPr="00475807">
        <w:rPr>
          <w:szCs w:val="22"/>
        </w:rPr>
        <w:t>No other medications are listed on the PBS specifically for the treatment of IPF.</w:t>
      </w:r>
    </w:p>
    <w:p w:rsidR="00894489" w:rsidRPr="002C2775" w:rsidRDefault="00894489" w:rsidP="00894489">
      <w:pPr>
        <w:widowControl/>
        <w:rPr>
          <w:szCs w:val="22"/>
        </w:rPr>
      </w:pPr>
    </w:p>
    <w:p w:rsidR="00B60939" w:rsidRPr="00B50DB8" w:rsidRDefault="00475807" w:rsidP="00321D09">
      <w:pPr>
        <w:pStyle w:val="ListParagraph"/>
        <w:widowControl/>
        <w:numPr>
          <w:ilvl w:val="1"/>
          <w:numId w:val="2"/>
        </w:numPr>
        <w:rPr>
          <w:szCs w:val="22"/>
        </w:rPr>
      </w:pPr>
      <w:r>
        <w:rPr>
          <w:szCs w:val="22"/>
        </w:rPr>
        <w:t>As in the March 2015 submission, t</w:t>
      </w:r>
      <w:r w:rsidRPr="00475807">
        <w:rPr>
          <w:szCs w:val="22"/>
        </w:rPr>
        <w:t xml:space="preserve">he </w:t>
      </w:r>
      <w:r>
        <w:rPr>
          <w:szCs w:val="22"/>
        </w:rPr>
        <w:t>re-</w:t>
      </w:r>
      <w:r w:rsidRPr="00475807">
        <w:rPr>
          <w:szCs w:val="22"/>
        </w:rPr>
        <w:t xml:space="preserve">submission proposed nintedanib </w:t>
      </w:r>
      <w:r w:rsidR="00972505" w:rsidRPr="00475807">
        <w:rPr>
          <w:szCs w:val="22"/>
        </w:rPr>
        <w:t>is</w:t>
      </w:r>
      <w:r w:rsidRPr="00475807">
        <w:rPr>
          <w:szCs w:val="22"/>
        </w:rPr>
        <w:t xml:space="preserve"> used in combination with BSC to slow disease progression associated with IPF.</w:t>
      </w:r>
    </w:p>
    <w:p w:rsidR="00E55BB5" w:rsidRDefault="00E55BB5" w:rsidP="00B60939">
      <w:pPr>
        <w:pStyle w:val="Header"/>
        <w:rPr>
          <w:szCs w:val="22"/>
        </w:rPr>
      </w:pPr>
    </w:p>
    <w:p w:rsidR="00356427" w:rsidRPr="00882085" w:rsidRDefault="00356427" w:rsidP="00B60939">
      <w:pPr>
        <w:pStyle w:val="Header"/>
        <w:rPr>
          <w:szCs w:val="22"/>
        </w:rPr>
      </w:pPr>
    </w:p>
    <w:p w:rsidR="00B50DB8" w:rsidRPr="00407F2D" w:rsidRDefault="00B50DB8" w:rsidP="006412CE">
      <w:pPr>
        <w:pStyle w:val="Heading1"/>
      </w:pPr>
      <w:bookmarkStart w:id="7" w:name="_Toc430009529"/>
      <w:r w:rsidRPr="00407F2D">
        <w:t>Comparator</w:t>
      </w:r>
      <w:bookmarkEnd w:id="7"/>
    </w:p>
    <w:p w:rsidR="00B60939" w:rsidRPr="00882085" w:rsidRDefault="00B60939" w:rsidP="004B1CB4"/>
    <w:p w:rsidR="002C2775" w:rsidRPr="004E3B49" w:rsidRDefault="00475807" w:rsidP="00321D09">
      <w:pPr>
        <w:pStyle w:val="ListParagraph"/>
        <w:widowControl/>
        <w:numPr>
          <w:ilvl w:val="1"/>
          <w:numId w:val="2"/>
        </w:numPr>
        <w:rPr>
          <w:szCs w:val="22"/>
        </w:rPr>
      </w:pPr>
      <w:r w:rsidRPr="0082480A">
        <w:rPr>
          <w:szCs w:val="22"/>
        </w:rPr>
        <w:t xml:space="preserve">As in the March 2015 submission, the re-submission nominated BSC as the main comparator.  The PBAC previously accepted BSC as the appropriate comparator and also noted another novel agent, pirfenidone, for the treatment of IPF (paragraph 7.5, March 2015).  </w:t>
      </w:r>
      <w:r w:rsidR="005F7133">
        <w:rPr>
          <w:szCs w:val="22"/>
        </w:rPr>
        <w:t xml:space="preserve">Pirfenidone for the treatment of IPF is being considered by the PBAC in the November 2015 meeting. </w:t>
      </w:r>
      <w:r w:rsidR="004530A7" w:rsidRPr="004E3B49">
        <w:t>The re-submission presented the same indirect comparison of nintedanib and pirfenidone as was presented in the March 2015 submission.</w:t>
      </w:r>
    </w:p>
    <w:p w:rsidR="00CB498B" w:rsidRDefault="00CB498B">
      <w:pPr>
        <w:widowControl/>
        <w:jc w:val="left"/>
        <w:rPr>
          <w:szCs w:val="22"/>
        </w:rPr>
      </w:pPr>
    </w:p>
    <w:p w:rsidR="000E1226" w:rsidRDefault="004E3B49" w:rsidP="003757FB">
      <w:pPr>
        <w:widowControl/>
        <w:ind w:left="709"/>
        <w:jc w:val="left"/>
        <w:rPr>
          <w:i/>
        </w:rPr>
      </w:pPr>
      <w:bookmarkStart w:id="8" w:name="_Toc430009530"/>
      <w:r w:rsidRPr="004E3B49">
        <w:rPr>
          <w:i/>
        </w:rPr>
        <w:t>For more detail on PBAC’s view, see section 7 “PBAC outcome”</w:t>
      </w:r>
      <w:r w:rsidR="00B15D73">
        <w:rPr>
          <w:i/>
        </w:rPr>
        <w:t>.</w:t>
      </w:r>
    </w:p>
    <w:p w:rsidR="00493D5D" w:rsidRDefault="00493D5D">
      <w:pPr>
        <w:widowControl/>
        <w:jc w:val="left"/>
        <w:rPr>
          <w:szCs w:val="22"/>
        </w:rPr>
      </w:pPr>
    </w:p>
    <w:p w:rsidR="00B15D73" w:rsidRPr="00B15D73" w:rsidRDefault="00B15D73">
      <w:pPr>
        <w:widowControl/>
        <w:jc w:val="left"/>
        <w:rPr>
          <w:szCs w:val="22"/>
        </w:rPr>
      </w:pPr>
    </w:p>
    <w:p w:rsidR="00B50DB8" w:rsidRPr="00407F2D" w:rsidRDefault="00BD6CF3" w:rsidP="006412CE">
      <w:pPr>
        <w:pStyle w:val="Heading1"/>
      </w:pPr>
      <w:r>
        <w:t>C</w:t>
      </w:r>
      <w:r w:rsidR="00B50DB8" w:rsidRPr="00407F2D">
        <w:t>onsideration of the evidence</w:t>
      </w:r>
      <w:bookmarkEnd w:id="8"/>
    </w:p>
    <w:p w:rsidR="00B60939" w:rsidRDefault="00B60939" w:rsidP="004B1CB4"/>
    <w:p w:rsidR="00493D5D" w:rsidRPr="006412CE" w:rsidRDefault="00493D5D" w:rsidP="006412CE">
      <w:pPr>
        <w:pStyle w:val="Heading2"/>
      </w:pPr>
      <w:r w:rsidRPr="006412CE">
        <w:t>Sponsor hearing</w:t>
      </w:r>
    </w:p>
    <w:p w:rsidR="00493D5D" w:rsidRDefault="00493D5D" w:rsidP="00493D5D"/>
    <w:p w:rsidR="00493D5D" w:rsidRDefault="00493D5D" w:rsidP="000A543F">
      <w:pPr>
        <w:pStyle w:val="ListParagraph"/>
        <w:widowControl/>
        <w:numPr>
          <w:ilvl w:val="1"/>
          <w:numId w:val="2"/>
        </w:numPr>
      </w:pPr>
      <w:r>
        <w:t>There was no hearing for this item.</w:t>
      </w:r>
    </w:p>
    <w:p w:rsidR="00493D5D" w:rsidRDefault="00493D5D" w:rsidP="00493D5D"/>
    <w:p w:rsidR="00493D5D" w:rsidRDefault="00493D5D" w:rsidP="006412CE">
      <w:pPr>
        <w:pStyle w:val="Heading2"/>
      </w:pPr>
      <w:r w:rsidRPr="00493D5D">
        <w:t>Consumer comments</w:t>
      </w:r>
    </w:p>
    <w:p w:rsidR="00B15D73" w:rsidRPr="00B15D73" w:rsidRDefault="00B15D73" w:rsidP="00493D5D"/>
    <w:p w:rsidR="00493D5D" w:rsidRDefault="00493D5D" w:rsidP="000A543F">
      <w:pPr>
        <w:pStyle w:val="ListParagraph"/>
        <w:widowControl/>
        <w:numPr>
          <w:ilvl w:val="1"/>
          <w:numId w:val="2"/>
        </w:numPr>
      </w:pPr>
      <w:r>
        <w:t xml:space="preserve">The PBAC noted and welcomed the input from individuals (50), health care professionals (5) and organisations (3) via the Consumer Comments facility on the PBS website.  The comments described the benefits of treatment with nintedanib in patients with IPF in slowing down the progression of IPF and improving the quality of life. </w:t>
      </w:r>
      <w:r w:rsidR="00F402D4">
        <w:t xml:space="preserve"> </w:t>
      </w:r>
      <w:r>
        <w:t xml:space="preserve">The comments also requested the PBAC </w:t>
      </w:r>
      <w:r w:rsidR="00023F17">
        <w:t xml:space="preserve">eligibility for the drug </w:t>
      </w:r>
      <w:r>
        <w:t xml:space="preserve">include patients with FVC &lt;50% because the patients with FVC 40-50% may still be functional, </w:t>
      </w:r>
      <w:r w:rsidR="00023F17">
        <w:t>though</w:t>
      </w:r>
      <w:r>
        <w:t xml:space="preserve"> they were excluded from clinical trial</w:t>
      </w:r>
      <w:r w:rsidR="008D32FB">
        <w:t>s</w:t>
      </w:r>
      <w:r>
        <w:t>.</w:t>
      </w:r>
      <w:r w:rsidR="000A543F">
        <w:t xml:space="preserve"> </w:t>
      </w:r>
      <w:r w:rsidR="00F402D4">
        <w:t xml:space="preserve"> </w:t>
      </w:r>
      <w:r w:rsidR="000A543F">
        <w:t>It was further commented that c</w:t>
      </w:r>
      <w:r w:rsidR="000A543F" w:rsidRPr="000A543F">
        <w:t>onfirmation of diagnosis via a designated tertiary hospital w</w:t>
      </w:r>
      <w:r w:rsidR="00F402D4">
        <w:t>ould</w:t>
      </w:r>
      <w:r w:rsidR="000A543F" w:rsidRPr="000A543F">
        <w:t xml:space="preserve"> make it difficult to access the drug for respiratory physicians working outside the metropolitan areas</w:t>
      </w:r>
      <w:r w:rsidR="000D7539">
        <w:t>.</w:t>
      </w:r>
    </w:p>
    <w:p w:rsidR="00493D5D" w:rsidRDefault="00493D5D" w:rsidP="00493D5D"/>
    <w:p w:rsidR="00493D5D" w:rsidRDefault="00493D5D" w:rsidP="000A543F">
      <w:pPr>
        <w:pStyle w:val="ListParagraph"/>
        <w:widowControl/>
        <w:numPr>
          <w:ilvl w:val="1"/>
          <w:numId w:val="2"/>
        </w:numPr>
      </w:pPr>
      <w:r>
        <w:t>The PBAC noted the advice received from Lung Foundation Australia, Department of Respiratory and Sleep Medicine, RPA hospital NSW, and Department of Respiratory Medicine, Eastern Health Victori</w:t>
      </w:r>
      <w:r w:rsidR="00023F17">
        <w:t>a clarifying the likely use of n</w:t>
      </w:r>
      <w:r>
        <w:t xml:space="preserve">intedanib in clinical practice.  </w:t>
      </w:r>
      <w:r w:rsidR="00DC4B0F">
        <w:t>The organisations provided advice in support of PBS listing</w:t>
      </w:r>
      <w:r w:rsidR="00DC4B0F" w:rsidRPr="008F259B">
        <w:t xml:space="preserve"> </w:t>
      </w:r>
      <w:r w:rsidR="00DC4B0F">
        <w:t xml:space="preserve">given the anti-fibrotic treatments improve the prognosis for patients, with The Lung Foundation noting these drugs been shown to alter the natural history of IPF. </w:t>
      </w:r>
      <w:r w:rsidR="00F402D4">
        <w:t xml:space="preserve"> </w:t>
      </w:r>
      <w:r>
        <w:t xml:space="preserve">However, Department of Respiratory and Sleep Medicine, RPA hospital NSW stated that 20% of patients referred to the Australian IPF Registry were over-diagnosed with IPF. </w:t>
      </w:r>
      <w:r w:rsidR="00F402D4">
        <w:t xml:space="preserve"> </w:t>
      </w:r>
      <w:r>
        <w:t>Thus</w:t>
      </w:r>
      <w:r w:rsidR="00023F17">
        <w:t>, it was</w:t>
      </w:r>
      <w:r>
        <w:t xml:space="preserve"> strongly recommended t</w:t>
      </w:r>
      <w:r w:rsidR="00F402D4">
        <w:t>o restrict</w:t>
      </w:r>
      <w:r>
        <w:t xml:space="preserve"> this medication to specialist centres only, where an accurate IPF diagnosis could be made via specialist </w:t>
      </w:r>
      <w:r w:rsidR="000A543F">
        <w:t>interstitial lung disease (</w:t>
      </w:r>
      <w:r>
        <w:t>ILD</w:t>
      </w:r>
      <w:r w:rsidR="000A543F">
        <w:t>)</w:t>
      </w:r>
      <w:r>
        <w:t xml:space="preserve"> multidisciplinary team.  This w</w:t>
      </w:r>
      <w:r w:rsidR="00F402D4">
        <w:t>ould</w:t>
      </w:r>
      <w:r>
        <w:t xml:space="preserve"> enable controlled prescription to patients with accurate IPF diagnosis and prevent over-prescription by non-ILD specialists.</w:t>
      </w:r>
    </w:p>
    <w:p w:rsidR="00493D5D" w:rsidRDefault="00493D5D" w:rsidP="000A543F">
      <w:pPr>
        <w:widowControl/>
      </w:pPr>
    </w:p>
    <w:p w:rsidR="00127509" w:rsidRPr="00882085" w:rsidRDefault="00493D5D" w:rsidP="000A543F">
      <w:pPr>
        <w:pStyle w:val="ListParagraph"/>
        <w:widowControl/>
        <w:numPr>
          <w:ilvl w:val="1"/>
          <w:numId w:val="2"/>
        </w:numPr>
      </w:pPr>
      <w:r>
        <w:t xml:space="preserve">The </w:t>
      </w:r>
      <w:r w:rsidR="00006434">
        <w:t>PBAC noted that this advice was</w:t>
      </w:r>
      <w:r>
        <w:t xml:space="preserve"> supportive of the evide</w:t>
      </w:r>
      <w:r w:rsidR="000A543F">
        <w:t>nce provided in the submission.</w:t>
      </w:r>
    </w:p>
    <w:p w:rsidR="00127509" w:rsidRPr="00F402D4" w:rsidRDefault="00127509" w:rsidP="006412CE">
      <w:pPr>
        <w:pStyle w:val="Heading2"/>
      </w:pPr>
      <w:bookmarkStart w:id="9" w:name="_Toc430009531"/>
    </w:p>
    <w:p w:rsidR="00B60939" w:rsidRPr="00F402D4" w:rsidRDefault="00B60939" w:rsidP="006412CE">
      <w:pPr>
        <w:pStyle w:val="Heading2"/>
      </w:pPr>
      <w:r w:rsidRPr="00F402D4">
        <w:t>Clinical trials</w:t>
      </w:r>
      <w:bookmarkEnd w:id="9"/>
    </w:p>
    <w:p w:rsidR="00B60939" w:rsidRPr="00882085" w:rsidRDefault="00B60939" w:rsidP="00B60939">
      <w:pPr>
        <w:rPr>
          <w:szCs w:val="22"/>
        </w:rPr>
      </w:pPr>
    </w:p>
    <w:p w:rsidR="00DA2050" w:rsidRDefault="00F333D9" w:rsidP="00321D09">
      <w:pPr>
        <w:pStyle w:val="ListParagraph"/>
        <w:widowControl/>
        <w:numPr>
          <w:ilvl w:val="1"/>
          <w:numId w:val="2"/>
        </w:numPr>
      </w:pPr>
      <w:r>
        <w:t>As with the March 2015 submission, t</w:t>
      </w:r>
      <w:r w:rsidR="00862502" w:rsidRPr="00862502">
        <w:t xml:space="preserve">he </w:t>
      </w:r>
      <w:r>
        <w:t>re-</w:t>
      </w:r>
      <w:r w:rsidR="00862502" w:rsidRPr="00862502">
        <w:t xml:space="preserve">submission </w:t>
      </w:r>
      <w:r>
        <w:t>wa</w:t>
      </w:r>
      <w:r w:rsidR="00862502" w:rsidRPr="00862502">
        <w:t xml:space="preserve">s based on </w:t>
      </w:r>
      <w:r>
        <w:t>three</w:t>
      </w:r>
      <w:r w:rsidR="00862502" w:rsidRPr="00862502">
        <w:t xml:space="preserve"> head-to-head </w:t>
      </w:r>
      <w:r>
        <w:t xml:space="preserve">randomised trials </w:t>
      </w:r>
      <w:r w:rsidR="00862502" w:rsidRPr="00862502">
        <w:t xml:space="preserve">comparing </w:t>
      </w:r>
      <w:r>
        <w:t>nintedanib</w:t>
      </w:r>
      <w:r w:rsidR="00862502" w:rsidRPr="00862502">
        <w:t xml:space="preserve"> to </w:t>
      </w:r>
      <w:r>
        <w:t xml:space="preserve">placebo: </w:t>
      </w:r>
      <w:r w:rsidRPr="00F333D9">
        <w:t>Trial 30 (n=432), Trial 32 (n=515) and Trial 34 (n=551</w:t>
      </w:r>
      <w:r w:rsidRPr="00394948">
        <w:t>)</w:t>
      </w:r>
      <w:r w:rsidR="00862502" w:rsidRPr="00394948">
        <w:t>.</w:t>
      </w:r>
      <w:r w:rsidR="00702F8F" w:rsidRPr="00394948">
        <w:t xml:space="preserve">  </w:t>
      </w:r>
      <w:r w:rsidR="00715522">
        <w:t>A</w:t>
      </w:r>
      <w:r w:rsidR="00394948" w:rsidRPr="00394948">
        <w:t>n indirect comparison of nintedanib and pirfenidone</w:t>
      </w:r>
      <w:r w:rsidR="00F402D4">
        <w:t>,</w:t>
      </w:r>
      <w:r w:rsidR="00394948" w:rsidRPr="00394948">
        <w:t xml:space="preserve"> </w:t>
      </w:r>
      <w:r w:rsidR="00754BFD">
        <w:t xml:space="preserve">the same as that presented in the March 2015 </w:t>
      </w:r>
      <w:r w:rsidR="00F527ED">
        <w:t>submission</w:t>
      </w:r>
      <w:r w:rsidR="00F402D4">
        <w:t>,</w:t>
      </w:r>
      <w:r w:rsidR="00754BFD">
        <w:t xml:space="preserve"> </w:t>
      </w:r>
      <w:r w:rsidR="00394948" w:rsidRPr="00394948">
        <w:t xml:space="preserve">was presented in an attachment to the re-submission. </w:t>
      </w:r>
      <w:r w:rsidR="00F402D4">
        <w:t xml:space="preserve"> </w:t>
      </w:r>
      <w:r>
        <w:t>Additional evidence presented by the re-submission included: (1) further discussion of the handling of missing data in Trial 30; (2) consideration of methods used to derive the minimally clinically important difference (MCID) and a trial based analysis of MCID for FVC%Pred; (3) long term efficacy data from Trial 30 for up to 80 weeks of treatment with nintedanib; (4) the developmen</w:t>
      </w:r>
      <w:r w:rsidR="00F402D4">
        <w:t>t safety uptake report (DSUR).</w:t>
      </w:r>
    </w:p>
    <w:p w:rsidR="005E6569" w:rsidRDefault="005E6569" w:rsidP="005E6569">
      <w:pPr>
        <w:widowControl/>
      </w:pPr>
    </w:p>
    <w:p w:rsidR="00862502" w:rsidRDefault="00862502" w:rsidP="00321D09">
      <w:pPr>
        <w:pStyle w:val="ListParagraph"/>
        <w:widowControl/>
        <w:numPr>
          <w:ilvl w:val="1"/>
          <w:numId w:val="2"/>
        </w:numPr>
        <w:rPr>
          <w:szCs w:val="22"/>
        </w:rPr>
      </w:pPr>
      <w:r w:rsidRPr="00B50DB8">
        <w:rPr>
          <w:szCs w:val="22"/>
        </w:rPr>
        <w:t xml:space="preserve">Details of the trials presented in the </w:t>
      </w:r>
      <w:r w:rsidR="00F333D9">
        <w:rPr>
          <w:szCs w:val="22"/>
        </w:rPr>
        <w:t>re-</w:t>
      </w:r>
      <w:r w:rsidRPr="00B50DB8">
        <w:rPr>
          <w:szCs w:val="22"/>
        </w:rPr>
        <w:t>submission ar</w:t>
      </w:r>
      <w:r w:rsidR="00F402D4">
        <w:rPr>
          <w:szCs w:val="22"/>
        </w:rPr>
        <w:t>e provided in the table below.</w:t>
      </w:r>
    </w:p>
    <w:p w:rsidR="00F402D4" w:rsidRPr="00F402D4" w:rsidRDefault="00F402D4" w:rsidP="00F402D4">
      <w:pPr>
        <w:widowControl/>
        <w:rPr>
          <w:szCs w:val="22"/>
        </w:rPr>
      </w:pPr>
    </w:p>
    <w:p w:rsidR="008F120A" w:rsidRDefault="008F120A" w:rsidP="00972505">
      <w:pPr>
        <w:widowControl/>
        <w:ind w:firstLine="720"/>
        <w:jc w:val="left"/>
        <w:rPr>
          <w:rStyle w:val="CommentReference"/>
        </w:rPr>
      </w:pPr>
      <w:r w:rsidRPr="000812CA">
        <w:rPr>
          <w:rStyle w:val="CommentReference"/>
        </w:rPr>
        <w:t xml:space="preserve">Table </w:t>
      </w:r>
      <w:r w:rsidR="00F333D9">
        <w:rPr>
          <w:rStyle w:val="CommentReference"/>
        </w:rPr>
        <w:t>1</w:t>
      </w:r>
      <w:r w:rsidRPr="000812CA">
        <w:rPr>
          <w:rStyle w:val="CommentReference"/>
        </w:rPr>
        <w:t xml:space="preserve">: Trials and associated reports presented in the </w:t>
      </w:r>
      <w:r w:rsidR="00F333D9">
        <w:rPr>
          <w:rStyle w:val="CommentReference"/>
        </w:rPr>
        <w:t>re-</w:t>
      </w:r>
      <w:r w:rsidRPr="000812CA">
        <w:rPr>
          <w:rStyle w:val="CommentReference"/>
        </w:rPr>
        <w:t>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s and associated reports presented in the re-submission"/>
      </w:tblPr>
      <w:tblGrid>
        <w:gridCol w:w="710"/>
        <w:gridCol w:w="5811"/>
        <w:gridCol w:w="1824"/>
      </w:tblGrid>
      <w:tr w:rsidR="00F333D9" w:rsidRPr="004E2ADC" w:rsidTr="0082480A">
        <w:tc>
          <w:tcPr>
            <w:tcW w:w="425" w:type="pct"/>
          </w:tcPr>
          <w:p w:rsidR="00F333D9" w:rsidRPr="004E2ADC" w:rsidRDefault="00F333D9" w:rsidP="00715522">
            <w:pPr>
              <w:jc w:val="left"/>
              <w:rPr>
                <w:rFonts w:ascii="Arial Narrow" w:hAnsi="Arial Narrow"/>
                <w:b/>
                <w:sz w:val="20"/>
              </w:rPr>
            </w:pPr>
            <w:r w:rsidRPr="004E2ADC">
              <w:rPr>
                <w:rFonts w:ascii="Arial Narrow" w:hAnsi="Arial Narrow"/>
                <w:b/>
                <w:sz w:val="20"/>
              </w:rPr>
              <w:t>Trial ID</w:t>
            </w:r>
          </w:p>
        </w:tc>
        <w:tc>
          <w:tcPr>
            <w:tcW w:w="3482" w:type="pct"/>
          </w:tcPr>
          <w:p w:rsidR="00F333D9" w:rsidRPr="004E2ADC" w:rsidRDefault="00F333D9" w:rsidP="00715522">
            <w:pPr>
              <w:jc w:val="center"/>
              <w:rPr>
                <w:rFonts w:ascii="Arial Narrow" w:hAnsi="Arial Narrow"/>
                <w:b/>
                <w:sz w:val="20"/>
              </w:rPr>
            </w:pPr>
            <w:r w:rsidRPr="004E2ADC">
              <w:rPr>
                <w:rFonts w:ascii="Arial Narrow" w:hAnsi="Arial Narrow"/>
                <w:b/>
                <w:sz w:val="20"/>
              </w:rPr>
              <w:t>Protocol title/ Publication title</w:t>
            </w:r>
          </w:p>
        </w:tc>
        <w:tc>
          <w:tcPr>
            <w:tcW w:w="1093" w:type="pct"/>
          </w:tcPr>
          <w:p w:rsidR="00F333D9" w:rsidRPr="004E2ADC" w:rsidRDefault="00F333D9" w:rsidP="00715522">
            <w:pPr>
              <w:jc w:val="center"/>
              <w:rPr>
                <w:rFonts w:ascii="Arial Narrow" w:hAnsi="Arial Narrow"/>
                <w:b/>
                <w:sz w:val="20"/>
              </w:rPr>
            </w:pPr>
            <w:r w:rsidRPr="004E2ADC">
              <w:rPr>
                <w:rFonts w:ascii="Arial Narrow" w:hAnsi="Arial Narrow"/>
                <w:b/>
                <w:sz w:val="20"/>
              </w:rPr>
              <w:t>Publication citation</w:t>
            </w:r>
          </w:p>
        </w:tc>
      </w:tr>
      <w:tr w:rsidR="00F333D9" w:rsidRPr="004E2ADC" w:rsidTr="00F333D9">
        <w:tc>
          <w:tcPr>
            <w:tcW w:w="5000" w:type="pct"/>
            <w:gridSpan w:val="3"/>
          </w:tcPr>
          <w:p w:rsidR="00F333D9" w:rsidRPr="004E2ADC" w:rsidRDefault="00F333D9" w:rsidP="00715522">
            <w:pPr>
              <w:jc w:val="left"/>
              <w:rPr>
                <w:rFonts w:ascii="Arial Narrow" w:hAnsi="Arial Narrow"/>
                <w:b/>
                <w:sz w:val="20"/>
              </w:rPr>
            </w:pPr>
            <w:r>
              <w:rPr>
                <w:rFonts w:ascii="Arial Narrow" w:hAnsi="Arial Narrow"/>
                <w:b/>
                <w:sz w:val="20"/>
              </w:rPr>
              <w:t>Nintedanib trials</w:t>
            </w:r>
          </w:p>
        </w:tc>
      </w:tr>
      <w:tr w:rsidR="00F333D9" w:rsidRPr="004E2ADC" w:rsidTr="0082480A">
        <w:trPr>
          <w:trHeight w:val="167"/>
        </w:trPr>
        <w:tc>
          <w:tcPr>
            <w:tcW w:w="425" w:type="pct"/>
            <w:vMerge w:val="restart"/>
          </w:tcPr>
          <w:p w:rsidR="00F333D9" w:rsidRPr="004E2ADC" w:rsidRDefault="00F333D9" w:rsidP="00715522">
            <w:pPr>
              <w:jc w:val="left"/>
              <w:rPr>
                <w:rFonts w:ascii="Arial Narrow" w:hAnsi="Arial Narrow"/>
                <w:sz w:val="20"/>
              </w:rPr>
            </w:pPr>
            <w:r>
              <w:rPr>
                <w:rFonts w:ascii="Arial Narrow" w:hAnsi="Arial Narrow"/>
                <w:sz w:val="20"/>
              </w:rPr>
              <w:t>Trial 30</w:t>
            </w:r>
          </w:p>
        </w:tc>
        <w:tc>
          <w:tcPr>
            <w:tcW w:w="3482" w:type="pct"/>
            <w:tcBorders>
              <w:bottom w:val="nil"/>
            </w:tcBorders>
          </w:tcPr>
          <w:p w:rsidR="00F333D9" w:rsidRDefault="00F333D9" w:rsidP="00715522">
            <w:pPr>
              <w:jc w:val="left"/>
              <w:rPr>
                <w:rFonts w:ascii="Arial Narrow" w:hAnsi="Arial Narrow"/>
                <w:sz w:val="20"/>
              </w:rPr>
            </w:pPr>
            <w:r>
              <w:rPr>
                <w:rFonts w:ascii="Arial Narrow" w:hAnsi="Arial Narrow"/>
                <w:sz w:val="20"/>
              </w:rPr>
              <w:t xml:space="preserve">A 52 week, double blind, randomized, placebo-controlled trial evaluating the effect of BIBF 1120 administered at oral doses of 50mg qd, 50mg bid, 100mg bid and 150mg bid on Forced Vital Capacity decline during one year, in patients with Idiopathic Pulmonary Fibrosis, with optional active treatment extension until last patient out.  </w:t>
            </w:r>
          </w:p>
          <w:p w:rsidR="00F333D9" w:rsidRPr="00804B4A" w:rsidRDefault="00F333D9" w:rsidP="00715522">
            <w:pPr>
              <w:jc w:val="left"/>
              <w:rPr>
                <w:rFonts w:ascii="Arial Narrow" w:hAnsi="Arial Narrow"/>
                <w:sz w:val="20"/>
              </w:rPr>
            </w:pPr>
          </w:p>
        </w:tc>
        <w:tc>
          <w:tcPr>
            <w:tcW w:w="1093" w:type="pct"/>
            <w:tcBorders>
              <w:bottom w:val="nil"/>
            </w:tcBorders>
          </w:tcPr>
          <w:p w:rsidR="00F333D9" w:rsidRPr="00804B4A" w:rsidRDefault="00F333D9" w:rsidP="00715522">
            <w:pPr>
              <w:jc w:val="left"/>
              <w:rPr>
                <w:rFonts w:ascii="Arial Narrow" w:hAnsi="Arial Narrow"/>
                <w:sz w:val="20"/>
              </w:rPr>
            </w:pPr>
            <w:r>
              <w:rPr>
                <w:rFonts w:ascii="Arial Narrow" w:hAnsi="Arial Narrow"/>
                <w:sz w:val="20"/>
              </w:rPr>
              <w:t>25 February 2011</w:t>
            </w:r>
          </w:p>
        </w:tc>
      </w:tr>
      <w:tr w:rsidR="00F333D9" w:rsidRPr="004E2ADC" w:rsidTr="0082480A">
        <w:trPr>
          <w:trHeight w:val="450"/>
        </w:trPr>
        <w:tc>
          <w:tcPr>
            <w:tcW w:w="425" w:type="pct"/>
            <w:vMerge/>
          </w:tcPr>
          <w:p w:rsidR="00F333D9" w:rsidRDefault="00F333D9" w:rsidP="00715522">
            <w:pPr>
              <w:jc w:val="left"/>
              <w:rPr>
                <w:rFonts w:ascii="Arial Narrow" w:hAnsi="Arial Narrow"/>
                <w:sz w:val="20"/>
              </w:rPr>
            </w:pPr>
          </w:p>
        </w:tc>
        <w:tc>
          <w:tcPr>
            <w:tcW w:w="3482" w:type="pct"/>
            <w:tcBorders>
              <w:top w:val="nil"/>
            </w:tcBorders>
          </w:tcPr>
          <w:p w:rsidR="00F333D9" w:rsidRDefault="00F333D9" w:rsidP="00715522">
            <w:pPr>
              <w:jc w:val="left"/>
              <w:rPr>
                <w:rFonts w:ascii="Arial Narrow" w:hAnsi="Arial Narrow"/>
                <w:sz w:val="20"/>
              </w:rPr>
            </w:pPr>
            <w:r w:rsidRPr="00804B4A">
              <w:rPr>
                <w:rFonts w:ascii="Arial Narrow" w:hAnsi="Arial Narrow"/>
                <w:sz w:val="20"/>
              </w:rPr>
              <w:t>Richeldi L, Costabel U, Selman M, Kim DS, Hansell DM, Nicholson AG, Brown KK, Flaherty KR, Noble PW, Raghu G, Brun M, Gupta A, Juhel N, Klüglich M, du Bois RM.</w:t>
            </w:r>
            <w:r>
              <w:rPr>
                <w:rFonts w:ascii="Arial Narrow" w:hAnsi="Arial Narrow"/>
                <w:sz w:val="20"/>
              </w:rPr>
              <w:t xml:space="preserve">  Efficacy of a tyrosine Kinase Inhibitor in Idiopathic Pulmonary Fibrosis</w:t>
            </w:r>
          </w:p>
        </w:tc>
        <w:tc>
          <w:tcPr>
            <w:tcW w:w="1093" w:type="pct"/>
            <w:tcBorders>
              <w:top w:val="nil"/>
            </w:tcBorders>
          </w:tcPr>
          <w:p w:rsidR="00F333D9" w:rsidRPr="00804B4A" w:rsidRDefault="00F333D9" w:rsidP="00715522">
            <w:pPr>
              <w:jc w:val="left"/>
              <w:rPr>
                <w:rFonts w:ascii="Arial Narrow" w:hAnsi="Arial Narrow"/>
                <w:sz w:val="20"/>
              </w:rPr>
            </w:pPr>
            <w:r>
              <w:rPr>
                <w:rFonts w:ascii="Arial Narrow" w:hAnsi="Arial Narrow"/>
                <w:i/>
                <w:sz w:val="20"/>
              </w:rPr>
              <w:t xml:space="preserve">The New England Journal of Medicine. </w:t>
            </w:r>
            <w:r>
              <w:rPr>
                <w:rFonts w:ascii="Arial Narrow" w:hAnsi="Arial Narrow"/>
                <w:sz w:val="20"/>
              </w:rPr>
              <w:t>2011; 365 (12): 1079-1087</w:t>
            </w:r>
          </w:p>
        </w:tc>
      </w:tr>
      <w:tr w:rsidR="00F333D9" w:rsidRPr="004E2ADC" w:rsidTr="0082480A">
        <w:trPr>
          <w:trHeight w:val="70"/>
        </w:trPr>
        <w:tc>
          <w:tcPr>
            <w:tcW w:w="425" w:type="pct"/>
            <w:vMerge w:val="restart"/>
          </w:tcPr>
          <w:p w:rsidR="00F333D9" w:rsidRPr="004E2ADC" w:rsidRDefault="00F333D9" w:rsidP="00715522">
            <w:pPr>
              <w:jc w:val="left"/>
              <w:rPr>
                <w:rFonts w:ascii="Arial Narrow" w:hAnsi="Arial Narrow"/>
                <w:sz w:val="20"/>
              </w:rPr>
            </w:pPr>
            <w:r>
              <w:rPr>
                <w:rFonts w:ascii="Arial Narrow" w:hAnsi="Arial Narrow"/>
                <w:sz w:val="20"/>
              </w:rPr>
              <w:t>Trial 32</w:t>
            </w:r>
          </w:p>
        </w:tc>
        <w:tc>
          <w:tcPr>
            <w:tcW w:w="3482" w:type="pct"/>
            <w:tcBorders>
              <w:bottom w:val="nil"/>
            </w:tcBorders>
          </w:tcPr>
          <w:p w:rsidR="00F333D9" w:rsidRPr="00481193" w:rsidRDefault="00F333D9" w:rsidP="00715522">
            <w:pPr>
              <w:jc w:val="left"/>
              <w:rPr>
                <w:rFonts w:ascii="Arial Narrow" w:hAnsi="Arial Narrow"/>
                <w:sz w:val="20"/>
              </w:rPr>
            </w:pPr>
            <w:r w:rsidRPr="00481193">
              <w:rPr>
                <w:rFonts w:ascii="Arial Narrow" w:hAnsi="Arial Narrow"/>
                <w:sz w:val="20"/>
              </w:rPr>
              <w:t xml:space="preserve">A 52 </w:t>
            </w:r>
            <w:r>
              <w:rPr>
                <w:rFonts w:ascii="Arial Narrow" w:hAnsi="Arial Narrow"/>
                <w:sz w:val="20"/>
              </w:rPr>
              <w:t>weeks, double blind, randomized, placebo-controlled trial evaluating the effect of oral BIBF 1120, 150mg twice daily, on annual Forced Vital Capacity decline, in patients with Idiopathic Pulmonary Fibrosis (IPF)</w:t>
            </w:r>
          </w:p>
          <w:p w:rsidR="00F333D9" w:rsidRPr="00481193" w:rsidRDefault="00F333D9" w:rsidP="00715522">
            <w:pPr>
              <w:jc w:val="left"/>
              <w:rPr>
                <w:rFonts w:ascii="Arial Narrow" w:hAnsi="Arial Narrow"/>
                <w:sz w:val="20"/>
              </w:rPr>
            </w:pPr>
          </w:p>
        </w:tc>
        <w:tc>
          <w:tcPr>
            <w:tcW w:w="1093" w:type="pct"/>
            <w:tcBorders>
              <w:bottom w:val="nil"/>
            </w:tcBorders>
          </w:tcPr>
          <w:p w:rsidR="00F333D9" w:rsidRPr="00481193" w:rsidRDefault="00F333D9" w:rsidP="00715522">
            <w:pPr>
              <w:jc w:val="left"/>
              <w:rPr>
                <w:rFonts w:ascii="Arial Narrow" w:hAnsi="Arial Narrow"/>
                <w:sz w:val="20"/>
              </w:rPr>
            </w:pPr>
            <w:r>
              <w:rPr>
                <w:rFonts w:ascii="Arial Narrow" w:hAnsi="Arial Narrow"/>
                <w:sz w:val="20"/>
              </w:rPr>
              <w:t xml:space="preserve">08 April </w:t>
            </w:r>
            <w:r w:rsidRPr="00481193">
              <w:rPr>
                <w:rFonts w:ascii="Arial Narrow" w:hAnsi="Arial Narrow"/>
                <w:sz w:val="20"/>
              </w:rPr>
              <w:t>2014</w:t>
            </w:r>
          </w:p>
        </w:tc>
      </w:tr>
      <w:tr w:rsidR="00F333D9" w:rsidRPr="004E2ADC" w:rsidTr="0082480A">
        <w:trPr>
          <w:trHeight w:val="349"/>
        </w:trPr>
        <w:tc>
          <w:tcPr>
            <w:tcW w:w="425" w:type="pct"/>
            <w:vMerge/>
          </w:tcPr>
          <w:p w:rsidR="00F333D9" w:rsidRPr="004E2ADC" w:rsidRDefault="00F333D9" w:rsidP="00715522">
            <w:pPr>
              <w:jc w:val="left"/>
              <w:rPr>
                <w:rFonts w:ascii="Arial Narrow" w:hAnsi="Arial Narrow"/>
                <w:sz w:val="20"/>
              </w:rPr>
            </w:pPr>
          </w:p>
        </w:tc>
        <w:tc>
          <w:tcPr>
            <w:tcW w:w="3482" w:type="pct"/>
            <w:tcBorders>
              <w:top w:val="nil"/>
              <w:bottom w:val="nil"/>
            </w:tcBorders>
          </w:tcPr>
          <w:p w:rsidR="00F333D9" w:rsidRDefault="00F333D9" w:rsidP="00715522">
            <w:pPr>
              <w:jc w:val="left"/>
              <w:rPr>
                <w:rFonts w:ascii="Arial Narrow" w:hAnsi="Arial Narrow"/>
                <w:sz w:val="20"/>
              </w:rPr>
            </w:pPr>
            <w:r w:rsidRPr="00481193">
              <w:rPr>
                <w:rFonts w:ascii="Arial Narrow" w:hAnsi="Arial Narrow"/>
                <w:sz w:val="20"/>
              </w:rPr>
              <w:t>Richeldi L, Cottin V, Flaherty KR, Kolb M, Inoue Y, Raghu G, Taniguchi H, Hansell DM, Nicholson AG, Le Maulf F, Stowasser S, Collard HR.</w:t>
            </w:r>
            <w:r>
              <w:rPr>
                <w:rFonts w:ascii="Arial Narrow" w:hAnsi="Arial Narrow"/>
                <w:sz w:val="20"/>
              </w:rPr>
              <w:t xml:space="preserve">  </w:t>
            </w:r>
            <w:r w:rsidRPr="00A677DC">
              <w:rPr>
                <w:rFonts w:ascii="Arial Narrow" w:hAnsi="Arial Narrow"/>
                <w:sz w:val="20"/>
              </w:rPr>
              <w:t>Design of the INPULSIS™ trials: two phase 3 trials of nintedanib in patients with idiopathic pulmonary fibrosis.</w:t>
            </w:r>
          </w:p>
          <w:p w:rsidR="00F333D9" w:rsidRPr="004E2ADC" w:rsidRDefault="00F333D9" w:rsidP="00715522">
            <w:pPr>
              <w:jc w:val="left"/>
              <w:rPr>
                <w:rFonts w:ascii="Arial Narrow" w:hAnsi="Arial Narrow"/>
                <w:sz w:val="20"/>
              </w:rPr>
            </w:pPr>
          </w:p>
        </w:tc>
        <w:tc>
          <w:tcPr>
            <w:tcW w:w="1093" w:type="pct"/>
            <w:tcBorders>
              <w:top w:val="nil"/>
              <w:bottom w:val="nil"/>
            </w:tcBorders>
          </w:tcPr>
          <w:p w:rsidR="00F333D9" w:rsidRPr="00A677DC" w:rsidRDefault="00F333D9" w:rsidP="00715522">
            <w:pPr>
              <w:jc w:val="left"/>
              <w:rPr>
                <w:rFonts w:ascii="Arial Narrow" w:hAnsi="Arial Narrow"/>
                <w:sz w:val="20"/>
              </w:rPr>
            </w:pPr>
            <w:r>
              <w:rPr>
                <w:rFonts w:ascii="Arial Narrow" w:hAnsi="Arial Narrow"/>
                <w:i/>
                <w:sz w:val="20"/>
              </w:rPr>
              <w:t>Respiratory Medicine</w:t>
            </w:r>
            <w:r>
              <w:rPr>
                <w:rFonts w:ascii="Arial Narrow" w:hAnsi="Arial Narrow"/>
                <w:sz w:val="20"/>
              </w:rPr>
              <w:t>. 2014; 108(7): 1023-1030</w:t>
            </w:r>
          </w:p>
        </w:tc>
      </w:tr>
      <w:tr w:rsidR="00F333D9" w:rsidRPr="004E2ADC" w:rsidTr="0082480A">
        <w:tc>
          <w:tcPr>
            <w:tcW w:w="425" w:type="pct"/>
            <w:vMerge/>
          </w:tcPr>
          <w:p w:rsidR="00F333D9" w:rsidRPr="004E2ADC" w:rsidRDefault="00F333D9" w:rsidP="00715522">
            <w:pPr>
              <w:jc w:val="left"/>
              <w:rPr>
                <w:rFonts w:ascii="Arial Narrow" w:hAnsi="Arial Narrow"/>
                <w:sz w:val="20"/>
              </w:rPr>
            </w:pPr>
          </w:p>
        </w:tc>
        <w:tc>
          <w:tcPr>
            <w:tcW w:w="3482" w:type="pct"/>
            <w:tcBorders>
              <w:top w:val="nil"/>
              <w:bottom w:val="single" w:sz="4" w:space="0" w:color="auto"/>
            </w:tcBorders>
          </w:tcPr>
          <w:p w:rsidR="00F333D9" w:rsidRPr="004E2ADC" w:rsidRDefault="00F333D9" w:rsidP="00715522">
            <w:pPr>
              <w:jc w:val="left"/>
              <w:rPr>
                <w:rFonts w:ascii="Arial Narrow" w:hAnsi="Arial Narrow"/>
                <w:sz w:val="20"/>
              </w:rPr>
            </w:pPr>
            <w:r w:rsidRPr="00A677DC">
              <w:rPr>
                <w:rFonts w:ascii="Arial Narrow" w:hAnsi="Arial Narrow"/>
                <w:sz w:val="20"/>
              </w:rPr>
              <w:t>Richeldi L, du Bois RM, Raghu G, Azuma A, Brown KK, Costabel U, Cottin V, Flaherty KR, Hansell DM, Inoue Y, Kim DS, Kolb M, Nicholson AG, Noble PW, Selman M, Taniguchi H, Brun M, Le Maulf F, Girard M, Stowasser S, Schlenker-Herceg R, Disse B, Collard HR; INPULSIS Trial Investigators.</w:t>
            </w:r>
            <w:r>
              <w:rPr>
                <w:rFonts w:ascii="Arial Narrow" w:hAnsi="Arial Narrow"/>
                <w:sz w:val="20"/>
              </w:rPr>
              <w:t xml:space="preserve">  Efficacy and safety of nintedanib in idiopathic pulmonary fibrosis</w:t>
            </w:r>
          </w:p>
        </w:tc>
        <w:tc>
          <w:tcPr>
            <w:tcW w:w="1093" w:type="pct"/>
            <w:tcBorders>
              <w:top w:val="nil"/>
              <w:bottom w:val="single" w:sz="4" w:space="0" w:color="auto"/>
            </w:tcBorders>
          </w:tcPr>
          <w:p w:rsidR="00F333D9" w:rsidRPr="00A677DC" w:rsidRDefault="00F333D9" w:rsidP="00715522">
            <w:pPr>
              <w:jc w:val="left"/>
              <w:rPr>
                <w:rFonts w:ascii="Arial Narrow" w:hAnsi="Arial Narrow"/>
                <w:sz w:val="20"/>
              </w:rPr>
            </w:pPr>
            <w:r>
              <w:rPr>
                <w:rFonts w:ascii="Arial Narrow" w:hAnsi="Arial Narrow"/>
                <w:i/>
                <w:sz w:val="20"/>
              </w:rPr>
              <w:t xml:space="preserve">The New England Journal of Medicine. </w:t>
            </w:r>
            <w:r>
              <w:rPr>
                <w:rFonts w:ascii="Arial Narrow" w:hAnsi="Arial Narrow"/>
                <w:sz w:val="20"/>
              </w:rPr>
              <w:t>2014; 370(22): 2071-2082</w:t>
            </w:r>
          </w:p>
        </w:tc>
      </w:tr>
      <w:tr w:rsidR="00F333D9" w:rsidRPr="004E2ADC" w:rsidTr="0082480A">
        <w:tc>
          <w:tcPr>
            <w:tcW w:w="425" w:type="pct"/>
            <w:vMerge w:val="restart"/>
          </w:tcPr>
          <w:p w:rsidR="00F333D9" w:rsidRPr="004E2ADC" w:rsidRDefault="00F333D9" w:rsidP="00715522">
            <w:pPr>
              <w:jc w:val="left"/>
              <w:rPr>
                <w:rFonts w:ascii="Arial Narrow" w:hAnsi="Arial Narrow"/>
                <w:sz w:val="20"/>
              </w:rPr>
            </w:pPr>
            <w:r>
              <w:rPr>
                <w:rFonts w:ascii="Arial Narrow" w:hAnsi="Arial Narrow"/>
                <w:sz w:val="20"/>
              </w:rPr>
              <w:t>Trial 34</w:t>
            </w:r>
          </w:p>
        </w:tc>
        <w:tc>
          <w:tcPr>
            <w:tcW w:w="3482" w:type="pct"/>
            <w:tcBorders>
              <w:bottom w:val="nil"/>
            </w:tcBorders>
          </w:tcPr>
          <w:p w:rsidR="00F333D9" w:rsidRDefault="00F333D9" w:rsidP="00715522">
            <w:pPr>
              <w:jc w:val="left"/>
              <w:rPr>
                <w:rFonts w:ascii="Arial Narrow" w:hAnsi="Arial Narrow"/>
                <w:sz w:val="20"/>
              </w:rPr>
            </w:pPr>
            <w:r>
              <w:rPr>
                <w:rFonts w:ascii="Arial Narrow" w:hAnsi="Arial Narrow"/>
                <w:sz w:val="20"/>
              </w:rPr>
              <w:t>A 52 weeks, double blind, randomized, placebo-controlled trial evaluating the effect of oral BIBF 1120, 150mg twice daily, on annual Forced Vital Capacity decline, in patients with Idiopathic Pulmonary Fibrosis (IPF)</w:t>
            </w:r>
          </w:p>
          <w:p w:rsidR="00F333D9" w:rsidRPr="004E2ADC" w:rsidRDefault="00F333D9" w:rsidP="00715522">
            <w:pPr>
              <w:jc w:val="left"/>
              <w:rPr>
                <w:rFonts w:ascii="Arial Narrow" w:hAnsi="Arial Narrow"/>
                <w:sz w:val="20"/>
              </w:rPr>
            </w:pPr>
          </w:p>
        </w:tc>
        <w:tc>
          <w:tcPr>
            <w:tcW w:w="1093" w:type="pct"/>
            <w:tcBorders>
              <w:bottom w:val="nil"/>
            </w:tcBorders>
          </w:tcPr>
          <w:p w:rsidR="00F333D9" w:rsidRPr="004E2ADC" w:rsidRDefault="00F333D9" w:rsidP="00715522">
            <w:pPr>
              <w:jc w:val="left"/>
              <w:rPr>
                <w:rFonts w:ascii="Arial Narrow" w:hAnsi="Arial Narrow"/>
                <w:sz w:val="20"/>
              </w:rPr>
            </w:pPr>
            <w:r>
              <w:rPr>
                <w:rFonts w:ascii="Arial Narrow" w:hAnsi="Arial Narrow"/>
                <w:sz w:val="20"/>
              </w:rPr>
              <w:t>08 April 2014</w:t>
            </w:r>
          </w:p>
        </w:tc>
      </w:tr>
      <w:tr w:rsidR="00F333D9" w:rsidRPr="004E2ADC" w:rsidTr="0082480A">
        <w:tc>
          <w:tcPr>
            <w:tcW w:w="425" w:type="pct"/>
            <w:vMerge/>
          </w:tcPr>
          <w:p w:rsidR="00F333D9" w:rsidRPr="004E2ADC" w:rsidRDefault="00F333D9" w:rsidP="00715522">
            <w:pPr>
              <w:jc w:val="left"/>
              <w:rPr>
                <w:rFonts w:ascii="Arial Narrow" w:hAnsi="Arial Narrow"/>
                <w:sz w:val="20"/>
              </w:rPr>
            </w:pPr>
          </w:p>
        </w:tc>
        <w:tc>
          <w:tcPr>
            <w:tcW w:w="3482" w:type="pct"/>
            <w:tcBorders>
              <w:top w:val="nil"/>
              <w:bottom w:val="nil"/>
            </w:tcBorders>
          </w:tcPr>
          <w:p w:rsidR="00F333D9" w:rsidRDefault="00F333D9" w:rsidP="00715522">
            <w:pPr>
              <w:jc w:val="left"/>
              <w:rPr>
                <w:rFonts w:ascii="Arial Narrow" w:hAnsi="Arial Narrow"/>
                <w:sz w:val="20"/>
              </w:rPr>
            </w:pPr>
            <w:r w:rsidRPr="00481193">
              <w:rPr>
                <w:rFonts w:ascii="Arial Narrow" w:hAnsi="Arial Narrow"/>
                <w:sz w:val="20"/>
              </w:rPr>
              <w:t>Richeldi L, Cottin V, Flaherty KR, Kolb M, Inoue Y, Raghu G, Taniguchi H, Hansell DM, Nicholson AG, Le Maulf F, Stowasser S, Collard HR.</w:t>
            </w:r>
            <w:r>
              <w:rPr>
                <w:rFonts w:ascii="Arial Narrow" w:hAnsi="Arial Narrow"/>
                <w:sz w:val="20"/>
              </w:rPr>
              <w:t xml:space="preserve">  </w:t>
            </w:r>
            <w:r w:rsidRPr="00A677DC">
              <w:rPr>
                <w:rFonts w:ascii="Arial Narrow" w:hAnsi="Arial Narrow"/>
                <w:sz w:val="20"/>
              </w:rPr>
              <w:t>Design of the INPULSIS™ trials: two phase 3 trials of nintedanib in patients with idiopathic pulmonary fibrosis.</w:t>
            </w:r>
          </w:p>
          <w:p w:rsidR="00F333D9" w:rsidRPr="004E2ADC" w:rsidRDefault="00F333D9" w:rsidP="00715522">
            <w:pPr>
              <w:jc w:val="left"/>
              <w:rPr>
                <w:rFonts w:ascii="Arial Narrow" w:hAnsi="Arial Narrow"/>
                <w:sz w:val="20"/>
              </w:rPr>
            </w:pPr>
          </w:p>
        </w:tc>
        <w:tc>
          <w:tcPr>
            <w:tcW w:w="1093" w:type="pct"/>
            <w:tcBorders>
              <w:top w:val="nil"/>
              <w:bottom w:val="nil"/>
            </w:tcBorders>
          </w:tcPr>
          <w:p w:rsidR="00F333D9" w:rsidRPr="00A677DC" w:rsidRDefault="00F333D9" w:rsidP="00715522">
            <w:pPr>
              <w:jc w:val="left"/>
              <w:rPr>
                <w:rFonts w:ascii="Arial Narrow" w:hAnsi="Arial Narrow"/>
                <w:sz w:val="20"/>
              </w:rPr>
            </w:pPr>
            <w:r>
              <w:rPr>
                <w:rFonts w:ascii="Arial Narrow" w:hAnsi="Arial Narrow"/>
                <w:i/>
                <w:sz w:val="20"/>
              </w:rPr>
              <w:t>Respiratory Medicine</w:t>
            </w:r>
            <w:r>
              <w:rPr>
                <w:rFonts w:ascii="Arial Narrow" w:hAnsi="Arial Narrow"/>
                <w:sz w:val="20"/>
              </w:rPr>
              <w:t>. 2014; 108(7): 1023-1030</w:t>
            </w:r>
          </w:p>
        </w:tc>
      </w:tr>
      <w:tr w:rsidR="00F333D9" w:rsidRPr="004E2ADC" w:rsidTr="0082480A">
        <w:tc>
          <w:tcPr>
            <w:tcW w:w="425" w:type="pct"/>
            <w:vMerge/>
          </w:tcPr>
          <w:p w:rsidR="00F333D9" w:rsidRPr="004E2ADC" w:rsidRDefault="00F333D9" w:rsidP="00715522">
            <w:pPr>
              <w:jc w:val="left"/>
              <w:rPr>
                <w:rFonts w:ascii="Arial Narrow" w:hAnsi="Arial Narrow"/>
                <w:sz w:val="20"/>
              </w:rPr>
            </w:pPr>
          </w:p>
        </w:tc>
        <w:tc>
          <w:tcPr>
            <w:tcW w:w="3482" w:type="pct"/>
            <w:tcBorders>
              <w:top w:val="nil"/>
            </w:tcBorders>
          </w:tcPr>
          <w:p w:rsidR="00F333D9" w:rsidRPr="004E2ADC" w:rsidRDefault="00F333D9" w:rsidP="00715522">
            <w:pPr>
              <w:jc w:val="left"/>
              <w:rPr>
                <w:rFonts w:ascii="Arial Narrow" w:hAnsi="Arial Narrow"/>
                <w:sz w:val="20"/>
              </w:rPr>
            </w:pPr>
            <w:r w:rsidRPr="00A677DC">
              <w:rPr>
                <w:rFonts w:ascii="Arial Narrow" w:hAnsi="Arial Narrow"/>
                <w:sz w:val="20"/>
              </w:rPr>
              <w:t>Richeldi L, du Bois RM, Raghu G, Azuma A, Brown KK, Costabel U, Cottin V, Flaherty KR, Hansell DM, Inoue Y, Kim DS, Kolb M, Nicholson AG, Noble PW, Selman M, Taniguchi H, Brun M, Le Maulf F, Girard M, Stowasser S, Schlenker-Herceg R, Disse B, Collard HR; INPULSIS Trial Investigators.</w:t>
            </w:r>
            <w:r>
              <w:rPr>
                <w:rFonts w:ascii="Arial Narrow" w:hAnsi="Arial Narrow"/>
                <w:sz w:val="20"/>
              </w:rPr>
              <w:t xml:space="preserve">  Efficacy and safety of nintedanib in idiopathic pulmonary fibrosis</w:t>
            </w:r>
          </w:p>
        </w:tc>
        <w:tc>
          <w:tcPr>
            <w:tcW w:w="1093" w:type="pct"/>
            <w:tcBorders>
              <w:top w:val="nil"/>
            </w:tcBorders>
          </w:tcPr>
          <w:p w:rsidR="00F333D9" w:rsidRPr="00A677DC" w:rsidRDefault="00F333D9" w:rsidP="00715522">
            <w:pPr>
              <w:jc w:val="left"/>
              <w:rPr>
                <w:rFonts w:ascii="Arial Narrow" w:hAnsi="Arial Narrow"/>
                <w:sz w:val="20"/>
              </w:rPr>
            </w:pPr>
            <w:r>
              <w:rPr>
                <w:rFonts w:ascii="Arial Narrow" w:hAnsi="Arial Narrow"/>
                <w:i/>
                <w:sz w:val="20"/>
              </w:rPr>
              <w:t xml:space="preserve">The New England Journal of Medicine. </w:t>
            </w:r>
            <w:r>
              <w:rPr>
                <w:rFonts w:ascii="Arial Narrow" w:hAnsi="Arial Narrow"/>
                <w:sz w:val="20"/>
              </w:rPr>
              <w:t>2014; 370(22): 2071-2082</w:t>
            </w:r>
          </w:p>
        </w:tc>
      </w:tr>
    </w:tbl>
    <w:p w:rsidR="00972505" w:rsidRDefault="00F333D9" w:rsidP="00F333D9">
      <w:pPr>
        <w:pStyle w:val="TableFooter"/>
        <w:ind w:firstLine="720"/>
      </w:pPr>
      <w:r w:rsidRPr="00D13A3E">
        <w:t xml:space="preserve">Source: </w:t>
      </w:r>
      <w:r>
        <w:t>Table B.2-2, p31-32 of the re-submission</w:t>
      </w:r>
    </w:p>
    <w:p w:rsidR="00972505" w:rsidRDefault="00972505" w:rsidP="00881B2D">
      <w:pPr>
        <w:widowControl/>
        <w:jc w:val="left"/>
      </w:pPr>
    </w:p>
    <w:p w:rsidR="00F146E1" w:rsidRDefault="008F120A" w:rsidP="00321D09">
      <w:pPr>
        <w:pStyle w:val="ListParagraph"/>
        <w:widowControl/>
        <w:numPr>
          <w:ilvl w:val="1"/>
          <w:numId w:val="2"/>
        </w:numPr>
        <w:rPr>
          <w:szCs w:val="22"/>
        </w:rPr>
      </w:pPr>
      <w:r w:rsidRPr="00F333D9">
        <w:rPr>
          <w:szCs w:val="22"/>
        </w:rPr>
        <w:t>The key features of the direct randomised trials are summarised in the table below.</w:t>
      </w:r>
    </w:p>
    <w:p w:rsidR="007F1017" w:rsidRDefault="008F120A" w:rsidP="00F146E1">
      <w:pPr>
        <w:pStyle w:val="ListParagraph"/>
        <w:widowControl/>
        <w:rPr>
          <w:szCs w:val="22"/>
        </w:rPr>
      </w:pPr>
      <w:r w:rsidRPr="00F333D9">
        <w:rPr>
          <w:szCs w:val="22"/>
        </w:rPr>
        <w:t xml:space="preserve">  </w:t>
      </w:r>
    </w:p>
    <w:p w:rsidR="00F333D9" w:rsidRDefault="00392A22" w:rsidP="00392A22">
      <w:pPr>
        <w:keepNext/>
        <w:ind w:firstLine="720"/>
        <w:rPr>
          <w:rStyle w:val="CommentReference"/>
        </w:rPr>
      </w:pPr>
      <w:r>
        <w:rPr>
          <w:rStyle w:val="CommentReference"/>
        </w:rPr>
        <w:t xml:space="preserve">Table </w:t>
      </w:r>
      <w:r w:rsidR="00CB498B">
        <w:rPr>
          <w:rStyle w:val="CommentReference"/>
        </w:rPr>
        <w:t>2</w:t>
      </w:r>
      <w:r w:rsidR="00F333D9">
        <w:rPr>
          <w:rStyle w:val="CommentReference"/>
        </w:rPr>
        <w:t>: Key features of the included evidence</w:t>
      </w:r>
    </w:p>
    <w:tbl>
      <w:tblPr>
        <w:tblW w:w="460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features of the included evidence"/>
      </w:tblPr>
      <w:tblGrid>
        <w:gridCol w:w="711"/>
        <w:gridCol w:w="428"/>
        <w:gridCol w:w="1695"/>
        <w:gridCol w:w="707"/>
        <w:gridCol w:w="991"/>
        <w:gridCol w:w="1275"/>
        <w:gridCol w:w="2549"/>
      </w:tblGrid>
      <w:tr w:rsidR="00F333D9" w:rsidTr="00F333D9">
        <w:trPr>
          <w:tblHeader/>
        </w:trPr>
        <w:tc>
          <w:tcPr>
            <w:tcW w:w="426"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left"/>
              <w:rPr>
                <w:lang w:val="en-US"/>
              </w:rPr>
            </w:pPr>
            <w:r>
              <w:rPr>
                <w:rFonts w:ascii="Arial Narrow" w:hAnsi="Arial Narrow"/>
                <w:b/>
                <w:sz w:val="20"/>
                <w:lang w:val="en-US"/>
              </w:rPr>
              <w:t>Trial</w:t>
            </w:r>
          </w:p>
        </w:tc>
        <w:tc>
          <w:tcPr>
            <w:tcW w:w="256"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b/>
                <w:sz w:val="20"/>
                <w:lang w:val="en-US"/>
              </w:rPr>
            </w:pPr>
            <w:r>
              <w:rPr>
                <w:rFonts w:ascii="Arial Narrow" w:hAnsi="Arial Narrow"/>
                <w:b/>
                <w:sz w:val="20"/>
                <w:lang w:val="en-US"/>
              </w:rPr>
              <w:t>N</w:t>
            </w:r>
          </w:p>
        </w:tc>
        <w:tc>
          <w:tcPr>
            <w:tcW w:w="1014"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b/>
                <w:sz w:val="20"/>
                <w:lang w:val="en-US"/>
              </w:rPr>
            </w:pPr>
            <w:r>
              <w:rPr>
                <w:rFonts w:ascii="Arial Narrow" w:hAnsi="Arial Narrow"/>
                <w:b/>
                <w:sz w:val="20"/>
                <w:lang w:val="en-US"/>
              </w:rPr>
              <w:t>Design/ duration</w:t>
            </w:r>
          </w:p>
        </w:tc>
        <w:tc>
          <w:tcPr>
            <w:tcW w:w="423"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b/>
                <w:sz w:val="20"/>
                <w:lang w:val="en-US"/>
              </w:rPr>
            </w:pPr>
            <w:r>
              <w:rPr>
                <w:rFonts w:ascii="Arial Narrow" w:hAnsi="Arial Narrow"/>
                <w:b/>
                <w:sz w:val="20"/>
                <w:lang w:val="en-US"/>
              </w:rPr>
              <w:t>Risk of bias</w:t>
            </w:r>
          </w:p>
        </w:tc>
        <w:tc>
          <w:tcPr>
            <w:tcW w:w="593"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b/>
                <w:sz w:val="20"/>
                <w:lang w:val="en-US"/>
              </w:rPr>
            </w:pPr>
            <w:r>
              <w:rPr>
                <w:rFonts w:ascii="Arial Narrow" w:hAnsi="Arial Narrow"/>
                <w:b/>
                <w:sz w:val="20"/>
                <w:lang w:val="en-US"/>
              </w:rPr>
              <w:t>Patient population</w:t>
            </w:r>
          </w:p>
        </w:tc>
        <w:tc>
          <w:tcPr>
            <w:tcW w:w="763"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b/>
                <w:sz w:val="20"/>
                <w:lang w:val="en-US"/>
              </w:rPr>
            </w:pPr>
            <w:r>
              <w:rPr>
                <w:rFonts w:ascii="Arial Narrow" w:hAnsi="Arial Narrow"/>
                <w:b/>
                <w:sz w:val="20"/>
                <w:lang w:val="en-US"/>
              </w:rPr>
              <w:t>Outcomes</w:t>
            </w:r>
          </w:p>
        </w:tc>
        <w:tc>
          <w:tcPr>
            <w:tcW w:w="1525"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b/>
                <w:sz w:val="20"/>
                <w:lang w:val="en-US"/>
              </w:rPr>
            </w:pPr>
            <w:r>
              <w:rPr>
                <w:rFonts w:ascii="Arial Narrow" w:hAnsi="Arial Narrow"/>
                <w:b/>
                <w:sz w:val="20"/>
                <w:lang w:val="en-US"/>
              </w:rPr>
              <w:t>Use in modelled evaluation</w:t>
            </w:r>
          </w:p>
        </w:tc>
      </w:tr>
      <w:tr w:rsidR="00F333D9" w:rsidTr="00F333D9">
        <w:tc>
          <w:tcPr>
            <w:tcW w:w="426"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left"/>
              <w:rPr>
                <w:rFonts w:ascii="Arial Narrow" w:hAnsi="Arial Narrow"/>
                <w:sz w:val="20"/>
                <w:lang w:val="en-US"/>
              </w:rPr>
            </w:pPr>
            <w:r>
              <w:rPr>
                <w:rFonts w:ascii="Arial Narrow" w:hAnsi="Arial Narrow"/>
                <w:sz w:val="20"/>
                <w:lang w:val="en-US"/>
              </w:rPr>
              <w:t>Trial 30</w:t>
            </w:r>
          </w:p>
        </w:tc>
        <w:tc>
          <w:tcPr>
            <w:tcW w:w="256"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lang w:val="en-US"/>
              </w:rPr>
              <w:t>432</w:t>
            </w:r>
          </w:p>
        </w:tc>
        <w:tc>
          <w:tcPr>
            <w:tcW w:w="1014"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lang w:val="en-US"/>
              </w:rPr>
              <w:t>R, DB, MC, MN, phase 2 dose finding trial; 52 weeks</w:t>
            </w:r>
          </w:p>
        </w:tc>
        <w:tc>
          <w:tcPr>
            <w:tcW w:w="423" w:type="pct"/>
            <w:tcBorders>
              <w:top w:val="single" w:sz="4" w:space="0" w:color="auto"/>
              <w:left w:val="single" w:sz="4" w:space="0" w:color="auto"/>
              <w:bottom w:val="single" w:sz="4" w:space="0" w:color="auto"/>
              <w:right w:val="single" w:sz="4" w:space="0" w:color="auto"/>
            </w:tcBorders>
            <w:vAlign w:val="center"/>
            <w:hideMark/>
          </w:tcPr>
          <w:p w:rsidR="00F333D9" w:rsidRPr="00DD5D0A" w:rsidRDefault="00F333D9">
            <w:pPr>
              <w:keepNext/>
              <w:jc w:val="center"/>
              <w:rPr>
                <w:rFonts w:ascii="Arial Narrow" w:hAnsi="Arial Narrow"/>
                <w:sz w:val="20"/>
                <w:lang w:val="en-US"/>
              </w:rPr>
            </w:pPr>
            <w:r w:rsidRPr="00DD5D0A">
              <w:rPr>
                <w:rFonts w:ascii="Arial Narrow" w:hAnsi="Arial Narrow"/>
                <w:sz w:val="20"/>
                <w:lang w:val="en-US"/>
              </w:rPr>
              <w:t>High^</w:t>
            </w:r>
          </w:p>
        </w:tc>
        <w:tc>
          <w:tcPr>
            <w:tcW w:w="593" w:type="pct"/>
            <w:tcBorders>
              <w:top w:val="single" w:sz="4" w:space="0" w:color="auto"/>
              <w:left w:val="single" w:sz="4" w:space="0" w:color="auto"/>
              <w:bottom w:val="single" w:sz="4" w:space="0" w:color="auto"/>
              <w:right w:val="single" w:sz="4" w:space="0" w:color="auto"/>
            </w:tcBorders>
            <w:vAlign w:val="center"/>
            <w:hideMark/>
          </w:tcPr>
          <w:p w:rsidR="00F333D9" w:rsidRPr="00DD5D0A" w:rsidRDefault="00F333D9">
            <w:pPr>
              <w:keepNext/>
              <w:jc w:val="center"/>
              <w:rPr>
                <w:rFonts w:ascii="Arial Narrow" w:hAnsi="Arial Narrow"/>
                <w:sz w:val="20"/>
                <w:lang w:val="en-US"/>
              </w:rPr>
            </w:pPr>
            <w:r w:rsidRPr="00DD5D0A">
              <w:rPr>
                <w:rFonts w:ascii="Arial Narrow" w:hAnsi="Arial Narrow"/>
                <w:sz w:val="20"/>
                <w:lang w:val="en-US"/>
              </w:rPr>
              <w:t>IPF</w:t>
            </w:r>
          </w:p>
        </w:tc>
        <w:tc>
          <w:tcPr>
            <w:tcW w:w="763" w:type="pct"/>
            <w:vMerge w:val="restar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lang w:val="en-US"/>
              </w:rPr>
              <w:t xml:space="preserve">FVC: annual rate of decline, absolute change from baseline; FVC responder; Acute IPF exacerbation; Survival; SGRQ </w:t>
            </w:r>
          </w:p>
        </w:tc>
        <w:tc>
          <w:tcPr>
            <w:tcW w:w="1525"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rPr>
              <w:t>Kaplan Meier survival analysis: parametric extrapolation</w:t>
            </w:r>
          </w:p>
        </w:tc>
      </w:tr>
      <w:tr w:rsidR="00F333D9" w:rsidTr="00F333D9">
        <w:trPr>
          <w:trHeight w:val="562"/>
        </w:trPr>
        <w:tc>
          <w:tcPr>
            <w:tcW w:w="426"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left"/>
              <w:rPr>
                <w:rFonts w:ascii="Arial Narrow" w:hAnsi="Arial Narrow"/>
                <w:sz w:val="20"/>
                <w:lang w:val="en-US"/>
              </w:rPr>
            </w:pPr>
            <w:r>
              <w:rPr>
                <w:rFonts w:ascii="Arial Narrow" w:hAnsi="Arial Narrow"/>
                <w:sz w:val="20"/>
                <w:lang w:val="en-US"/>
              </w:rPr>
              <w:t>Trial 32</w:t>
            </w:r>
          </w:p>
        </w:tc>
        <w:tc>
          <w:tcPr>
            <w:tcW w:w="256"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lang w:val="en-US"/>
              </w:rPr>
              <w:t>515</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rPr>
              <w:t>R, DB, MC, MN, phase 3</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lang w:val="en-US"/>
              </w:rPr>
              <w:t>Low</w:t>
            </w:r>
          </w:p>
        </w:tc>
        <w:tc>
          <w:tcPr>
            <w:tcW w:w="593" w:type="pct"/>
            <w:vMerge w:val="restar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lang w:val="en-US"/>
              </w:rPr>
              <w:t>IPF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3D9" w:rsidRDefault="00F333D9">
            <w:pPr>
              <w:widowControl/>
              <w:jc w:val="left"/>
              <w:rPr>
                <w:rFonts w:ascii="Arial Narrow" w:hAnsi="Arial Narrow"/>
                <w:sz w:val="20"/>
                <w:lang w:val="en-US"/>
              </w:rPr>
            </w:pPr>
          </w:p>
        </w:tc>
        <w:tc>
          <w:tcPr>
            <w:tcW w:w="1525" w:type="pct"/>
            <w:vMerge w:val="restar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rPr>
              <w:t>Kaplan Meier survival analysis: parametric extrapolation; transition probabilities, cycle probabilities of adverse events; utilities: EQ-5D</w:t>
            </w:r>
          </w:p>
        </w:tc>
      </w:tr>
      <w:tr w:rsidR="00F333D9" w:rsidTr="00F333D9">
        <w:tc>
          <w:tcPr>
            <w:tcW w:w="426"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left"/>
              <w:rPr>
                <w:rFonts w:ascii="Arial Narrow" w:hAnsi="Arial Narrow"/>
                <w:sz w:val="20"/>
                <w:lang w:val="en-US"/>
              </w:rPr>
            </w:pPr>
            <w:r>
              <w:rPr>
                <w:rFonts w:ascii="Arial Narrow" w:hAnsi="Arial Narrow"/>
                <w:sz w:val="20"/>
                <w:lang w:val="en-US"/>
              </w:rPr>
              <w:t>Trial 34</w:t>
            </w:r>
          </w:p>
        </w:tc>
        <w:tc>
          <w:tcPr>
            <w:tcW w:w="256" w:type="pct"/>
            <w:tcBorders>
              <w:top w:val="single" w:sz="4" w:space="0" w:color="auto"/>
              <w:left w:val="single" w:sz="4" w:space="0" w:color="auto"/>
              <w:bottom w:val="single" w:sz="4" w:space="0" w:color="auto"/>
              <w:right w:val="single" w:sz="4" w:space="0" w:color="auto"/>
            </w:tcBorders>
            <w:vAlign w:val="center"/>
            <w:hideMark/>
          </w:tcPr>
          <w:p w:rsidR="00F333D9" w:rsidRDefault="00F333D9">
            <w:pPr>
              <w:keepNext/>
              <w:jc w:val="center"/>
              <w:rPr>
                <w:rFonts w:ascii="Arial Narrow" w:hAnsi="Arial Narrow"/>
                <w:sz w:val="20"/>
                <w:lang w:val="en-US"/>
              </w:rPr>
            </w:pPr>
            <w:r>
              <w:rPr>
                <w:rFonts w:ascii="Arial Narrow" w:hAnsi="Arial Narrow"/>
                <w:sz w:val="20"/>
                <w:lang w:val="en-US"/>
              </w:rPr>
              <w:t>551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3D9" w:rsidRDefault="00F333D9">
            <w:pPr>
              <w:widowControl/>
              <w:jc w:val="left"/>
              <w:rPr>
                <w:rFonts w:ascii="Arial Narrow" w:hAnsi="Arial Narrow"/>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3D9" w:rsidRDefault="00F333D9">
            <w:pPr>
              <w:widowControl/>
              <w:jc w:val="left"/>
              <w:rPr>
                <w:rFonts w:ascii="Arial Narrow" w:hAnsi="Arial Narrow"/>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3D9" w:rsidRDefault="00F333D9">
            <w:pPr>
              <w:widowControl/>
              <w:jc w:val="left"/>
              <w:rPr>
                <w:rFonts w:ascii="Arial Narrow" w:hAnsi="Arial Narrow"/>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3D9" w:rsidRDefault="00F333D9">
            <w:pPr>
              <w:widowControl/>
              <w:jc w:val="left"/>
              <w:rPr>
                <w:rFonts w:ascii="Arial Narrow" w:hAnsi="Arial Narrow"/>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33D9" w:rsidRDefault="00F333D9">
            <w:pPr>
              <w:widowControl/>
              <w:jc w:val="left"/>
              <w:rPr>
                <w:rFonts w:ascii="Arial Narrow" w:hAnsi="Arial Narrow"/>
                <w:sz w:val="20"/>
                <w:lang w:val="en-US"/>
              </w:rPr>
            </w:pPr>
          </w:p>
        </w:tc>
      </w:tr>
    </w:tbl>
    <w:p w:rsidR="00F333D9" w:rsidRDefault="00F333D9" w:rsidP="00F333D9">
      <w:pPr>
        <w:pStyle w:val="TableFooter"/>
        <w:ind w:left="720"/>
      </w:pPr>
      <w:r w:rsidRPr="00DD5D0A">
        <w:t>^ High risk of bias associated with the analyses of FVC change from baseline.</w:t>
      </w:r>
      <w:r>
        <w:rPr>
          <w:i/>
        </w:rPr>
        <w:t xml:space="preserve">  </w:t>
      </w:r>
      <w:r>
        <w:t>Abbreviations: DB=double blind; FVC=forced vital capacity; IPF=idiopathic pulmonary fibrosis.  MC=multi-centre; MN=multinational; R=randomised; SGRQ=St George’s Respiratory Questionnaire. Source: compiled during the evaluation</w:t>
      </w:r>
    </w:p>
    <w:p w:rsidR="007F1017" w:rsidRDefault="007F1017" w:rsidP="007F1017"/>
    <w:p w:rsidR="00525FA4" w:rsidRDefault="00525FA4" w:rsidP="00321D09">
      <w:pPr>
        <w:pStyle w:val="ListParagraph"/>
        <w:widowControl/>
        <w:numPr>
          <w:ilvl w:val="1"/>
          <w:numId w:val="2"/>
        </w:numPr>
      </w:pPr>
      <w:r>
        <w:t xml:space="preserve">Meta-analyses of results from Trial 30, 32 and 34 are presented by the re-submission.  The PBAC has previously questioned the appropriateness of including Trial 30 in the meta-analyses due to differences in the handling of missing data </w:t>
      </w:r>
      <w:r w:rsidR="00BC3C83">
        <w:t xml:space="preserve">(last observation carried forward; LOCF) </w:t>
      </w:r>
      <w:r>
        <w:t>and comparability of the trial population</w:t>
      </w:r>
      <w:r w:rsidR="00F402D4">
        <w:t>s (March 2015, paragraph 7.6).</w:t>
      </w:r>
    </w:p>
    <w:p w:rsidR="00525FA4" w:rsidRDefault="00525FA4" w:rsidP="00525FA4">
      <w:pPr>
        <w:widowControl/>
      </w:pPr>
    </w:p>
    <w:p w:rsidR="00525FA4" w:rsidRDefault="00863CBB" w:rsidP="00321D09">
      <w:pPr>
        <w:pStyle w:val="ListParagraph"/>
        <w:widowControl/>
        <w:numPr>
          <w:ilvl w:val="1"/>
          <w:numId w:val="2"/>
        </w:numPr>
      </w:pPr>
      <w:r w:rsidRPr="0060206A">
        <w:t>T</w:t>
      </w:r>
      <w:r w:rsidR="00525FA4" w:rsidRPr="0060206A">
        <w:t xml:space="preserve">he </w:t>
      </w:r>
      <w:r w:rsidRPr="0060206A">
        <w:t xml:space="preserve">re-submission justified the </w:t>
      </w:r>
      <w:r w:rsidR="00525FA4" w:rsidRPr="0060206A">
        <w:t>robustness of th</w:t>
      </w:r>
      <w:r w:rsidRPr="0060206A">
        <w:t>e LOCF</w:t>
      </w:r>
      <w:r w:rsidR="00525FA4" w:rsidRPr="0060206A">
        <w:t xml:space="preserve"> approach on the basis of sensitivity analyses conducted in </w:t>
      </w:r>
      <w:r w:rsidRPr="0060206A">
        <w:t xml:space="preserve">IPF </w:t>
      </w:r>
      <w:r w:rsidR="00525FA4" w:rsidRPr="0060206A">
        <w:t xml:space="preserve">clinical trials investigating high dose acetylcysteine (Demedts 2005) and pirfenidone (Lederer 2015).  </w:t>
      </w:r>
      <w:r w:rsidR="0082480A" w:rsidRPr="0060206A">
        <w:t>Although</w:t>
      </w:r>
      <w:r w:rsidR="00525FA4" w:rsidRPr="0060206A">
        <w:t xml:space="preserve"> the comparison of LOCF to alternative </w:t>
      </w:r>
      <w:r w:rsidR="00BC3C83" w:rsidRPr="0060206A">
        <w:t>statistical methods</w:t>
      </w:r>
      <w:r w:rsidR="00525FA4" w:rsidRPr="0060206A">
        <w:t xml:space="preserve"> </w:t>
      </w:r>
      <w:r w:rsidRPr="0060206A">
        <w:t>i</w:t>
      </w:r>
      <w:r w:rsidR="00525FA4" w:rsidRPr="0060206A">
        <w:t xml:space="preserve">ndicated similarities in </w:t>
      </w:r>
      <w:r w:rsidR="00293A7C" w:rsidRPr="0060206A">
        <w:t xml:space="preserve">relative </w:t>
      </w:r>
      <w:r w:rsidR="00525FA4" w:rsidRPr="0060206A">
        <w:t xml:space="preserve">FVC outcomes, these observations were in </w:t>
      </w:r>
      <w:r w:rsidRPr="0060206A">
        <w:t>scenarios</w:t>
      </w:r>
      <w:r w:rsidR="00525FA4" w:rsidRPr="0060206A">
        <w:t xml:space="preserve"> where treatment discontinuations were comparable across treatment and placebo arms.  Given that discontinuation rates from Trial 30 were considerably higher in nintedanib treated patients (38%) in comparison to placebo (28%), this is of greater consequence to the appropriateness of the LOCF method.  Consequently, </w:t>
      </w:r>
      <w:r w:rsidR="006D0895">
        <w:t>the evaluation considered the</w:t>
      </w:r>
      <w:r w:rsidR="00525FA4" w:rsidRPr="0060206A">
        <w:t xml:space="preserve"> re-submission ha</w:t>
      </w:r>
      <w:r w:rsidR="006D0895">
        <w:t>d</w:t>
      </w:r>
      <w:r w:rsidR="00525FA4" w:rsidRPr="0060206A">
        <w:t xml:space="preserve"> not adequately demonstrated the robustness of the LOCF method in situations where there are notable difference</w:t>
      </w:r>
      <w:r w:rsidR="00F402D4">
        <w:t>s in patient discontinuations.</w:t>
      </w:r>
    </w:p>
    <w:p w:rsidR="004530A7" w:rsidRPr="00F402D4" w:rsidRDefault="004530A7">
      <w:pPr>
        <w:widowControl/>
        <w:jc w:val="left"/>
      </w:pPr>
      <w:bookmarkStart w:id="10" w:name="_Toc430009532"/>
    </w:p>
    <w:p w:rsidR="00B60939" w:rsidRPr="00F402D4" w:rsidRDefault="00B60939" w:rsidP="006412CE">
      <w:pPr>
        <w:pStyle w:val="Heading2"/>
      </w:pPr>
      <w:r w:rsidRPr="00F402D4">
        <w:t>Comparative effectiveness</w:t>
      </w:r>
      <w:bookmarkEnd w:id="10"/>
    </w:p>
    <w:p w:rsidR="009E6AC7" w:rsidRPr="00F402D4" w:rsidRDefault="009E6AC7" w:rsidP="00F402D4">
      <w:pPr>
        <w:pStyle w:val="PBACHeading1"/>
        <w:numPr>
          <w:ilvl w:val="0"/>
          <w:numId w:val="0"/>
        </w:numPr>
        <w:ind w:left="720" w:hanging="720"/>
        <w:rPr>
          <w:rStyle w:val="CommentReference"/>
          <w:rFonts w:ascii="Arial" w:hAnsi="Arial"/>
          <w:sz w:val="22"/>
          <w:szCs w:val="22"/>
        </w:rPr>
      </w:pPr>
    </w:p>
    <w:p w:rsidR="006D0895" w:rsidRDefault="00220C8D" w:rsidP="00321D09">
      <w:pPr>
        <w:pStyle w:val="ListParagraph"/>
        <w:widowControl/>
        <w:numPr>
          <w:ilvl w:val="1"/>
          <w:numId w:val="2"/>
        </w:numPr>
        <w:rPr>
          <w:szCs w:val="22"/>
        </w:rPr>
      </w:pPr>
      <w:r>
        <w:rPr>
          <w:szCs w:val="22"/>
        </w:rPr>
        <w:t>Key results from the meta-analyses are presented in the table below.</w:t>
      </w:r>
    </w:p>
    <w:p w:rsidR="002C2775" w:rsidRPr="00F402D4" w:rsidRDefault="002C2775" w:rsidP="006D0895">
      <w:pPr>
        <w:widowControl/>
        <w:rPr>
          <w:szCs w:val="22"/>
        </w:rPr>
      </w:pPr>
    </w:p>
    <w:p w:rsidR="00220C8D" w:rsidRPr="00220C8D" w:rsidRDefault="00220C8D" w:rsidP="00F402D4">
      <w:pPr>
        <w:tabs>
          <w:tab w:val="right" w:pos="9027"/>
        </w:tabs>
        <w:snapToGrid w:val="0"/>
        <w:ind w:firstLine="720"/>
        <w:rPr>
          <w:rFonts w:ascii="Arial Narrow" w:hAnsi="Arial Narrow"/>
          <w:b/>
          <w:snapToGrid/>
          <w:sz w:val="20"/>
          <w:szCs w:val="16"/>
        </w:rPr>
      </w:pPr>
      <w:r w:rsidRPr="00220C8D">
        <w:rPr>
          <w:rFonts w:ascii="Arial Narrow" w:hAnsi="Arial Narrow"/>
          <w:b/>
          <w:snapToGrid/>
          <w:sz w:val="20"/>
          <w:szCs w:val="16"/>
        </w:rPr>
        <w:t xml:space="preserve">Table </w:t>
      </w:r>
      <w:r w:rsidR="00CB498B">
        <w:rPr>
          <w:rFonts w:ascii="Arial Narrow" w:hAnsi="Arial Narrow"/>
          <w:b/>
          <w:snapToGrid/>
          <w:sz w:val="20"/>
          <w:szCs w:val="16"/>
        </w:rPr>
        <w:t>3</w:t>
      </w:r>
      <w:r w:rsidRPr="00220C8D">
        <w:rPr>
          <w:rFonts w:ascii="Arial Narrow" w:hAnsi="Arial Narrow"/>
          <w:b/>
          <w:snapToGrid/>
          <w:sz w:val="20"/>
          <w:szCs w:val="16"/>
        </w:rPr>
        <w:t>: Summary of the meta-analyses of key efficacy outco</w:t>
      </w:r>
      <w:r w:rsidR="00F402D4">
        <w:rPr>
          <w:rFonts w:ascii="Arial Narrow" w:hAnsi="Arial Narrow"/>
          <w:b/>
          <w:snapToGrid/>
          <w:sz w:val="20"/>
          <w:szCs w:val="16"/>
        </w:rPr>
        <w:t>mes from the nintedanib trials</w:t>
      </w:r>
    </w:p>
    <w:tbl>
      <w:tblPr>
        <w:tblStyle w:val="TableGrid"/>
        <w:tblW w:w="8363" w:type="dxa"/>
        <w:tblInd w:w="737" w:type="dxa"/>
        <w:tblCellMar>
          <w:left w:w="28" w:type="dxa"/>
          <w:right w:w="28" w:type="dxa"/>
        </w:tblCellMar>
        <w:tblLook w:val="04A0" w:firstRow="1" w:lastRow="0" w:firstColumn="1" w:lastColumn="0" w:noHBand="0" w:noVBand="1"/>
        <w:tblCaption w:val="Table 3: Summary of the meta-analyses of key efficacy outcomes from the nintedanib trials"/>
      </w:tblPr>
      <w:tblGrid>
        <w:gridCol w:w="1418"/>
        <w:gridCol w:w="3827"/>
        <w:gridCol w:w="3118"/>
      </w:tblGrid>
      <w:tr w:rsidR="00220C8D" w:rsidRPr="00220C8D" w:rsidTr="005D439E">
        <w:trPr>
          <w:tblHeader/>
        </w:trPr>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left"/>
              <w:rPr>
                <w:rFonts w:ascii="Arial Narrow" w:hAnsi="Arial Narrow"/>
                <w:b/>
                <w:snapToGrid/>
                <w:sz w:val="20"/>
                <w:szCs w:val="16"/>
              </w:rPr>
            </w:pPr>
            <w:r w:rsidRPr="00220C8D">
              <w:rPr>
                <w:rFonts w:ascii="Arial Narrow" w:hAnsi="Arial Narrow"/>
                <w:b/>
                <w:snapToGrid/>
                <w:sz w:val="20"/>
                <w:szCs w:val="16"/>
              </w:rPr>
              <w:t>Outcome</w:t>
            </w:r>
          </w:p>
        </w:tc>
        <w:tc>
          <w:tcPr>
            <w:tcW w:w="3118"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center"/>
              <w:rPr>
                <w:rFonts w:ascii="Arial Narrow" w:hAnsi="Arial Narrow"/>
                <w:b/>
                <w:snapToGrid/>
                <w:sz w:val="20"/>
                <w:szCs w:val="16"/>
              </w:rPr>
            </w:pPr>
            <w:r w:rsidRPr="00220C8D">
              <w:rPr>
                <w:rFonts w:ascii="Arial Narrow" w:hAnsi="Arial Narrow"/>
                <w:b/>
                <w:snapToGrid/>
                <w:sz w:val="20"/>
                <w:szCs w:val="16"/>
              </w:rPr>
              <w:t>Meta analyses (Trial 30, 32 &amp; 34)</w:t>
            </w:r>
          </w:p>
        </w:tc>
      </w:tr>
      <w:tr w:rsidR="00220C8D" w:rsidRPr="00220C8D" w:rsidTr="00220C8D">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left"/>
              <w:rPr>
                <w:rFonts w:ascii="Arial Narrow" w:hAnsi="Arial Narrow"/>
                <w:snapToGrid/>
                <w:sz w:val="20"/>
                <w:szCs w:val="16"/>
              </w:rPr>
            </w:pPr>
            <w:r w:rsidRPr="00220C8D">
              <w:rPr>
                <w:rFonts w:ascii="Arial Narrow" w:hAnsi="Arial Narrow"/>
                <w:snapToGrid/>
                <w:sz w:val="20"/>
                <w:szCs w:val="16"/>
              </w:rPr>
              <w:t>Annual rate of decline in FVC (ml/year)</w:t>
            </w:r>
          </w:p>
        </w:tc>
        <w:tc>
          <w:tcPr>
            <w:tcW w:w="3118"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center"/>
              <w:rPr>
                <w:rFonts w:ascii="Arial Narrow" w:hAnsi="Arial Narrow"/>
                <w:snapToGrid/>
                <w:sz w:val="20"/>
                <w:szCs w:val="16"/>
              </w:rPr>
            </w:pPr>
            <w:r w:rsidRPr="00220C8D">
              <w:rPr>
                <w:rFonts w:ascii="Arial Narrow" w:hAnsi="Arial Narrow"/>
                <w:snapToGrid/>
                <w:sz w:val="20"/>
                <w:szCs w:val="16"/>
              </w:rPr>
              <w:t xml:space="preserve">MD (95% CI) = </w:t>
            </w:r>
            <w:r w:rsidRPr="00311818">
              <w:rPr>
                <w:rFonts w:ascii="Arial Narrow" w:hAnsi="Arial Narrow"/>
                <w:snapToGrid/>
                <w:sz w:val="20"/>
                <w:szCs w:val="16"/>
              </w:rPr>
              <w:t>118.89 (79.57, 144.21)</w:t>
            </w:r>
          </w:p>
        </w:tc>
      </w:tr>
      <w:tr w:rsidR="00220C8D" w:rsidRPr="00220C8D" w:rsidTr="00220C8D">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left"/>
              <w:rPr>
                <w:rFonts w:ascii="Arial Narrow" w:hAnsi="Arial Narrow"/>
                <w:snapToGrid/>
                <w:sz w:val="20"/>
                <w:szCs w:val="16"/>
              </w:rPr>
            </w:pPr>
            <w:r w:rsidRPr="00220C8D">
              <w:rPr>
                <w:rFonts w:ascii="Arial Narrow" w:hAnsi="Arial Narrow"/>
                <w:snapToGrid/>
                <w:sz w:val="20"/>
                <w:szCs w:val="16"/>
              </w:rPr>
              <w:t>Absolute change in FVC%Pred from baseline to week 52</w:t>
            </w:r>
          </w:p>
        </w:tc>
        <w:tc>
          <w:tcPr>
            <w:tcW w:w="3118"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center"/>
              <w:rPr>
                <w:rFonts w:ascii="Arial Narrow" w:hAnsi="Arial Narrow"/>
                <w:snapToGrid/>
                <w:sz w:val="20"/>
                <w:szCs w:val="16"/>
              </w:rPr>
            </w:pPr>
            <w:r w:rsidRPr="00220C8D">
              <w:rPr>
                <w:rFonts w:ascii="Arial Narrow" w:hAnsi="Arial Narrow"/>
                <w:snapToGrid/>
                <w:sz w:val="20"/>
                <w:szCs w:val="16"/>
              </w:rPr>
              <w:t xml:space="preserve">MD (95% CI) = </w:t>
            </w:r>
            <w:r w:rsidRPr="00311818">
              <w:rPr>
                <w:rFonts w:ascii="Arial Narrow" w:hAnsi="Arial Narrow"/>
                <w:snapToGrid/>
                <w:sz w:val="20"/>
                <w:szCs w:val="16"/>
              </w:rPr>
              <w:t>3.31 (2.46, 4.16)</w:t>
            </w:r>
          </w:p>
        </w:tc>
      </w:tr>
      <w:tr w:rsidR="00220C8D" w:rsidRPr="00220C8D" w:rsidTr="00220C8D">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left"/>
              <w:rPr>
                <w:rFonts w:ascii="Arial Narrow" w:hAnsi="Arial Narrow"/>
                <w:snapToGrid/>
                <w:sz w:val="20"/>
                <w:szCs w:val="16"/>
              </w:rPr>
            </w:pPr>
            <w:r w:rsidRPr="00220C8D">
              <w:rPr>
                <w:rFonts w:ascii="Arial Narrow" w:hAnsi="Arial Narrow"/>
                <w:snapToGrid/>
                <w:sz w:val="20"/>
                <w:szCs w:val="16"/>
              </w:rPr>
              <w:t>Proportion of patients with a decline in FVC%pred &lt;5% over 52 weeks</w:t>
            </w:r>
          </w:p>
        </w:tc>
        <w:tc>
          <w:tcPr>
            <w:tcW w:w="3118"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center"/>
              <w:rPr>
                <w:rFonts w:ascii="Arial Narrow" w:hAnsi="Arial Narrow"/>
                <w:snapToGrid/>
                <w:sz w:val="20"/>
                <w:szCs w:val="16"/>
              </w:rPr>
            </w:pPr>
            <w:r w:rsidRPr="00220C8D">
              <w:rPr>
                <w:rFonts w:ascii="Arial Narrow" w:hAnsi="Arial Narrow"/>
                <w:snapToGrid/>
                <w:sz w:val="20"/>
                <w:szCs w:val="16"/>
              </w:rPr>
              <w:t xml:space="preserve">RR (95% CI) = </w:t>
            </w:r>
            <w:r w:rsidRPr="00311818">
              <w:rPr>
                <w:rFonts w:ascii="Arial Narrow" w:hAnsi="Arial Narrow"/>
                <w:snapToGrid/>
                <w:sz w:val="20"/>
                <w:szCs w:val="16"/>
              </w:rPr>
              <w:t>1.39 (1.23, 1.57</w:t>
            </w:r>
            <w:r w:rsidRPr="002F53A9">
              <w:rPr>
                <w:rFonts w:ascii="Arial Narrow" w:hAnsi="Arial Narrow"/>
                <w:snapToGrid/>
                <w:sz w:val="20"/>
                <w:szCs w:val="16"/>
              </w:rPr>
              <w:t>)</w:t>
            </w:r>
          </w:p>
        </w:tc>
      </w:tr>
      <w:tr w:rsidR="00220C8D" w:rsidRPr="00220C8D" w:rsidTr="00220C8D">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left"/>
              <w:rPr>
                <w:rFonts w:ascii="Arial Narrow" w:hAnsi="Arial Narrow"/>
                <w:snapToGrid/>
                <w:sz w:val="20"/>
                <w:szCs w:val="16"/>
              </w:rPr>
            </w:pPr>
            <w:r w:rsidRPr="00220C8D">
              <w:rPr>
                <w:rFonts w:ascii="Arial Narrow" w:hAnsi="Arial Narrow"/>
                <w:snapToGrid/>
                <w:sz w:val="20"/>
                <w:szCs w:val="16"/>
              </w:rPr>
              <w:t>Incidence of acute IPF exacerbation</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left"/>
              <w:rPr>
                <w:rFonts w:ascii="Arial Narrow" w:hAnsi="Arial Narrow"/>
                <w:snapToGrid/>
                <w:sz w:val="20"/>
                <w:szCs w:val="16"/>
              </w:rPr>
            </w:pPr>
            <w:r w:rsidRPr="00220C8D">
              <w:rPr>
                <w:rFonts w:ascii="Arial Narrow" w:hAnsi="Arial Narrow"/>
                <w:snapToGrid/>
                <w:sz w:val="20"/>
                <w:szCs w:val="16"/>
              </w:rPr>
              <w:t>Investigator reported</w:t>
            </w:r>
          </w:p>
        </w:tc>
        <w:tc>
          <w:tcPr>
            <w:tcW w:w="3118"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center"/>
              <w:rPr>
                <w:rFonts w:ascii="Arial Narrow" w:hAnsi="Arial Narrow"/>
                <w:snapToGrid/>
                <w:sz w:val="20"/>
                <w:szCs w:val="16"/>
              </w:rPr>
            </w:pPr>
            <w:r w:rsidRPr="00220C8D">
              <w:rPr>
                <w:rFonts w:ascii="Arial Narrow" w:hAnsi="Arial Narrow"/>
                <w:snapToGrid/>
                <w:sz w:val="20"/>
                <w:szCs w:val="16"/>
              </w:rPr>
              <w:t xml:space="preserve">RR (95% CI) = </w:t>
            </w:r>
            <w:r w:rsidRPr="00311818">
              <w:rPr>
                <w:rFonts w:ascii="Arial Narrow" w:hAnsi="Arial Narrow"/>
                <w:snapToGrid/>
                <w:sz w:val="20"/>
                <w:szCs w:val="16"/>
              </w:rPr>
              <w:t>0.48 (0.18, 1.30)</w:t>
            </w:r>
          </w:p>
        </w:tc>
      </w:tr>
      <w:tr w:rsidR="00220C8D" w:rsidRPr="00220C8D" w:rsidTr="00220C8D">
        <w:tc>
          <w:tcPr>
            <w:tcW w:w="0" w:type="auto"/>
            <w:vMerge/>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widowControl/>
              <w:jc w:val="left"/>
              <w:rPr>
                <w:rFonts w:ascii="Arial Narrow" w:hAnsi="Arial Narrow"/>
                <w:snapToGrid/>
                <w:sz w:val="20"/>
                <w:szCs w:val="1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left"/>
              <w:rPr>
                <w:rFonts w:ascii="Arial Narrow" w:hAnsi="Arial Narrow"/>
                <w:snapToGrid/>
                <w:sz w:val="20"/>
                <w:szCs w:val="16"/>
              </w:rPr>
            </w:pPr>
            <w:r w:rsidRPr="00220C8D">
              <w:rPr>
                <w:rFonts w:ascii="Arial Narrow" w:hAnsi="Arial Narrow"/>
                <w:snapToGrid/>
                <w:sz w:val="20"/>
                <w:szCs w:val="16"/>
              </w:rPr>
              <w:t>Independent adjudication (Trial 32 &amp; 34)</w:t>
            </w:r>
          </w:p>
        </w:tc>
        <w:tc>
          <w:tcPr>
            <w:tcW w:w="3118"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center"/>
              <w:rPr>
                <w:rFonts w:ascii="Arial Narrow" w:hAnsi="Arial Narrow"/>
                <w:snapToGrid/>
                <w:sz w:val="20"/>
                <w:szCs w:val="16"/>
              </w:rPr>
            </w:pPr>
            <w:r w:rsidRPr="00220C8D">
              <w:rPr>
                <w:rFonts w:ascii="Arial Narrow" w:hAnsi="Arial Narrow"/>
                <w:snapToGrid/>
                <w:sz w:val="20"/>
                <w:szCs w:val="16"/>
              </w:rPr>
              <w:t xml:space="preserve">RR (95% CI) = </w:t>
            </w:r>
            <w:r w:rsidRPr="00311818">
              <w:rPr>
                <w:rFonts w:ascii="Arial Narrow" w:hAnsi="Arial Narrow"/>
                <w:snapToGrid/>
                <w:sz w:val="20"/>
                <w:szCs w:val="16"/>
              </w:rPr>
              <w:t>0.35 (0.13, 0.94)</w:t>
            </w:r>
          </w:p>
        </w:tc>
      </w:tr>
      <w:tr w:rsidR="00220C8D" w:rsidRPr="00220C8D" w:rsidTr="00220C8D">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left"/>
              <w:rPr>
                <w:rFonts w:ascii="Arial Narrow" w:hAnsi="Arial Narrow"/>
                <w:snapToGrid/>
                <w:sz w:val="20"/>
                <w:szCs w:val="16"/>
              </w:rPr>
            </w:pPr>
            <w:r w:rsidRPr="00220C8D">
              <w:rPr>
                <w:rFonts w:ascii="Arial Narrow" w:hAnsi="Arial Narrow"/>
                <w:snapToGrid/>
                <w:sz w:val="20"/>
                <w:szCs w:val="16"/>
              </w:rPr>
              <w:t>Survival: all-cause mortality over 52 weeks</w:t>
            </w:r>
          </w:p>
        </w:tc>
        <w:tc>
          <w:tcPr>
            <w:tcW w:w="3118"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center"/>
              <w:rPr>
                <w:rFonts w:ascii="Arial Narrow" w:hAnsi="Arial Narrow"/>
                <w:snapToGrid/>
                <w:sz w:val="20"/>
                <w:szCs w:val="16"/>
              </w:rPr>
            </w:pPr>
            <w:r w:rsidRPr="00220C8D">
              <w:rPr>
                <w:rFonts w:ascii="Arial Narrow" w:hAnsi="Arial Narrow"/>
                <w:snapToGrid/>
                <w:sz w:val="20"/>
                <w:szCs w:val="16"/>
              </w:rPr>
              <w:t>RR (95% CI) = 0.72 (0.48, 1.09)</w:t>
            </w:r>
          </w:p>
        </w:tc>
      </w:tr>
      <w:tr w:rsidR="00220C8D" w:rsidRPr="00220C8D" w:rsidTr="00220C8D">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left"/>
              <w:rPr>
                <w:rFonts w:ascii="Arial Narrow" w:hAnsi="Arial Narrow"/>
                <w:snapToGrid/>
                <w:sz w:val="20"/>
                <w:szCs w:val="16"/>
              </w:rPr>
            </w:pPr>
            <w:r w:rsidRPr="00220C8D">
              <w:rPr>
                <w:rFonts w:ascii="Arial Narrow" w:hAnsi="Arial Narrow"/>
                <w:snapToGrid/>
                <w:sz w:val="20"/>
                <w:szCs w:val="16"/>
              </w:rPr>
              <w:t>SGRQ: change from baseline over 52 weeks</w:t>
            </w:r>
          </w:p>
        </w:tc>
        <w:tc>
          <w:tcPr>
            <w:tcW w:w="3118" w:type="dxa"/>
            <w:tcBorders>
              <w:top w:val="single" w:sz="4" w:space="0" w:color="auto"/>
              <w:left w:val="single" w:sz="4" w:space="0" w:color="auto"/>
              <w:bottom w:val="single" w:sz="4" w:space="0" w:color="auto"/>
              <w:right w:val="single" w:sz="4" w:space="0" w:color="auto"/>
            </w:tcBorders>
            <w:vAlign w:val="center"/>
            <w:hideMark/>
          </w:tcPr>
          <w:p w:rsidR="00220C8D" w:rsidRPr="00220C8D" w:rsidRDefault="00220C8D" w:rsidP="00220C8D">
            <w:pPr>
              <w:snapToGrid w:val="0"/>
              <w:jc w:val="center"/>
              <w:rPr>
                <w:rFonts w:ascii="Arial Narrow" w:hAnsi="Arial Narrow"/>
                <w:snapToGrid/>
                <w:sz w:val="20"/>
                <w:szCs w:val="16"/>
              </w:rPr>
            </w:pPr>
            <w:r w:rsidRPr="00220C8D">
              <w:rPr>
                <w:rFonts w:ascii="Arial Narrow" w:hAnsi="Arial Narrow"/>
                <w:snapToGrid/>
                <w:sz w:val="20"/>
                <w:szCs w:val="16"/>
              </w:rPr>
              <w:t>MD (95% CI) = -2.41 (-5.26, 0.45)</w:t>
            </w:r>
          </w:p>
        </w:tc>
      </w:tr>
    </w:tbl>
    <w:p w:rsidR="00B60939" w:rsidRPr="00220C8D" w:rsidRDefault="00220C8D" w:rsidP="00220C8D">
      <w:pPr>
        <w:ind w:left="720"/>
        <w:rPr>
          <w:rFonts w:ascii="Arial Narrow" w:hAnsi="Arial Narrow"/>
          <w:sz w:val="18"/>
          <w:szCs w:val="22"/>
        </w:rPr>
      </w:pPr>
      <w:r w:rsidRPr="00220C8D">
        <w:rPr>
          <w:rFonts w:ascii="Arial Narrow" w:hAnsi="Arial Narrow"/>
          <w:sz w:val="18"/>
        </w:rPr>
        <w:t>Abbreviations: FVC = forced vital capacity; IPF = idiopathic pulmonary fibrosis; MD = mean difference; RR = relative risk; SGRQ = St George’s Respiratory Questionnaire.  Source: Table B.8-1, pp123-124 of the re-submission</w:t>
      </w:r>
    </w:p>
    <w:p w:rsidR="00220C8D" w:rsidRDefault="00220C8D" w:rsidP="00B60939">
      <w:pPr>
        <w:rPr>
          <w:szCs w:val="22"/>
        </w:rPr>
      </w:pPr>
    </w:p>
    <w:p w:rsidR="00220C8D" w:rsidRPr="009E6AC7" w:rsidRDefault="00220C8D" w:rsidP="00321D09">
      <w:pPr>
        <w:pStyle w:val="ListParagraph"/>
        <w:widowControl/>
        <w:numPr>
          <w:ilvl w:val="1"/>
          <w:numId w:val="2"/>
        </w:numPr>
        <w:rPr>
          <w:szCs w:val="22"/>
        </w:rPr>
      </w:pPr>
      <w:r>
        <w:rPr>
          <w:szCs w:val="22"/>
        </w:rPr>
        <w:t>At the March 2015 meeting, the PBAC noted that a statistically significant difference was observed in terms of change in FVC over 52 weeks and proportion of FVC responders.  There were no statistically significant d</w:t>
      </w:r>
      <w:r w:rsidR="00F527ED">
        <w:rPr>
          <w:szCs w:val="22"/>
        </w:rPr>
        <w:t>ifferences in overall survival, acute</w:t>
      </w:r>
      <w:r>
        <w:rPr>
          <w:szCs w:val="22"/>
        </w:rPr>
        <w:t xml:space="preserve"> investigator reported IPF exacerbations or disease specific quality of life measures.  The PBAC </w:t>
      </w:r>
      <w:r w:rsidR="006D0895">
        <w:rPr>
          <w:szCs w:val="22"/>
        </w:rPr>
        <w:t xml:space="preserve">previously </w:t>
      </w:r>
      <w:r>
        <w:rPr>
          <w:szCs w:val="22"/>
        </w:rPr>
        <w:t xml:space="preserve">acknowledged the challenge in demonstrating survival gain in </w:t>
      </w:r>
      <w:r w:rsidRPr="009E6AC7">
        <w:rPr>
          <w:szCs w:val="22"/>
        </w:rPr>
        <w:t>this population (Mar</w:t>
      </w:r>
      <w:r w:rsidR="00F402D4">
        <w:rPr>
          <w:szCs w:val="22"/>
        </w:rPr>
        <w:t>ch 2015, paragraph 7.7).</w:t>
      </w:r>
    </w:p>
    <w:p w:rsidR="009E6AC7" w:rsidRPr="00F402D4" w:rsidRDefault="009E6AC7" w:rsidP="009E6AC7">
      <w:pPr>
        <w:widowControl/>
        <w:rPr>
          <w:szCs w:val="22"/>
        </w:rPr>
      </w:pPr>
    </w:p>
    <w:p w:rsidR="009E6AC7" w:rsidRPr="00B6317B" w:rsidRDefault="009E6AC7" w:rsidP="009E6AC7">
      <w:pPr>
        <w:pStyle w:val="ListParagraph"/>
        <w:widowControl/>
        <w:numPr>
          <w:ilvl w:val="1"/>
          <w:numId w:val="2"/>
        </w:numPr>
        <w:rPr>
          <w:szCs w:val="22"/>
        </w:rPr>
      </w:pPr>
      <w:r w:rsidRPr="00B6317B">
        <w:rPr>
          <w:szCs w:val="22"/>
        </w:rPr>
        <w:t xml:space="preserve">The ESC noted the reduction in FVC%Pred is close to the </w:t>
      </w:r>
      <w:r w:rsidRPr="00B6317B">
        <w:t>minimally clinically important differen</w:t>
      </w:r>
      <w:r w:rsidR="00FB1003">
        <w:t>ce (MCID) as calculated by the a</w:t>
      </w:r>
      <w:r w:rsidRPr="00B6317B">
        <w:t xml:space="preserve">nchor based </w:t>
      </w:r>
      <w:r w:rsidR="00FB1003">
        <w:t xml:space="preserve">method </w:t>
      </w:r>
      <w:r w:rsidRPr="00B6317B">
        <w:t>an</w:t>
      </w:r>
      <w:r w:rsidR="00FB1003">
        <w:t>d the distribution based method</w:t>
      </w:r>
      <w:r w:rsidRPr="00B6317B">
        <w:t xml:space="preserve"> (see table below)</w:t>
      </w:r>
      <w:r w:rsidR="006D0895">
        <w:t>.</w:t>
      </w:r>
    </w:p>
    <w:p w:rsidR="009E6AC7" w:rsidRPr="00B6317B" w:rsidRDefault="009E6AC7" w:rsidP="009E6AC7">
      <w:pPr>
        <w:widowControl/>
        <w:rPr>
          <w:szCs w:val="22"/>
        </w:rPr>
      </w:pPr>
    </w:p>
    <w:p w:rsidR="009E6AC7" w:rsidRPr="00B6317B" w:rsidRDefault="009E6AC7" w:rsidP="009E6AC7">
      <w:pPr>
        <w:widowControl/>
        <w:ind w:left="709"/>
        <w:jc w:val="left"/>
        <w:rPr>
          <w:szCs w:val="22"/>
        </w:rPr>
      </w:pPr>
      <w:r w:rsidRPr="00B6317B">
        <w:rPr>
          <w:rStyle w:val="CommentReference"/>
        </w:rPr>
        <w:t xml:space="preserve">Table </w:t>
      </w:r>
      <w:r w:rsidR="00CB498B" w:rsidRPr="00B6317B">
        <w:rPr>
          <w:rStyle w:val="CommentReference"/>
        </w:rPr>
        <w:t>4</w:t>
      </w:r>
      <w:r w:rsidRPr="00B6317B">
        <w:rPr>
          <w:rStyle w:val="CommentReference"/>
        </w:rPr>
        <w:t>: Trial based derivation of MCID for FVC%Pred</w:t>
      </w:r>
    </w:p>
    <w:tbl>
      <w:tblPr>
        <w:tblStyle w:val="TableGrid"/>
        <w:tblW w:w="8363" w:type="dxa"/>
        <w:tblInd w:w="737" w:type="dxa"/>
        <w:tblCellMar>
          <w:left w:w="28" w:type="dxa"/>
          <w:right w:w="28" w:type="dxa"/>
        </w:tblCellMar>
        <w:tblLook w:val="04A0" w:firstRow="1" w:lastRow="0" w:firstColumn="1" w:lastColumn="0" w:noHBand="0" w:noVBand="1"/>
        <w:tblCaption w:val="Table 4: Trial based derivation of MCID for FVC%Pred"/>
      </w:tblPr>
      <w:tblGrid>
        <w:gridCol w:w="2126"/>
        <w:gridCol w:w="4155"/>
        <w:gridCol w:w="2082"/>
      </w:tblGrid>
      <w:tr w:rsidR="009E6AC7" w:rsidRPr="00B6317B" w:rsidTr="005D439E">
        <w:trPr>
          <w:tblHeader/>
        </w:trPr>
        <w:tc>
          <w:tcPr>
            <w:tcW w:w="6281" w:type="dxa"/>
            <w:gridSpan w:val="2"/>
            <w:vAlign w:val="center"/>
          </w:tcPr>
          <w:p w:rsidR="009E6AC7" w:rsidRPr="00B6317B" w:rsidRDefault="009E6AC7" w:rsidP="007A65A1">
            <w:pPr>
              <w:jc w:val="left"/>
              <w:rPr>
                <w:rFonts w:ascii="Arial Narrow" w:hAnsi="Arial Narrow"/>
                <w:b/>
                <w:sz w:val="20"/>
              </w:rPr>
            </w:pPr>
            <w:r w:rsidRPr="00B6317B">
              <w:rPr>
                <w:rFonts w:ascii="Arial Narrow" w:hAnsi="Arial Narrow"/>
                <w:b/>
                <w:sz w:val="20"/>
              </w:rPr>
              <w:t>MCID method</w:t>
            </w:r>
          </w:p>
        </w:tc>
        <w:tc>
          <w:tcPr>
            <w:tcW w:w="2082" w:type="dxa"/>
            <w:vAlign w:val="center"/>
          </w:tcPr>
          <w:p w:rsidR="009E6AC7" w:rsidRPr="00B6317B" w:rsidRDefault="009E6AC7" w:rsidP="007A65A1">
            <w:pPr>
              <w:jc w:val="center"/>
              <w:rPr>
                <w:rFonts w:ascii="Arial Narrow" w:hAnsi="Arial Narrow"/>
                <w:b/>
                <w:sz w:val="20"/>
              </w:rPr>
            </w:pPr>
            <w:r w:rsidRPr="00B6317B">
              <w:rPr>
                <w:rFonts w:ascii="Arial Narrow" w:hAnsi="Arial Narrow"/>
                <w:b/>
                <w:sz w:val="20"/>
              </w:rPr>
              <w:t>FVC%Pred</w:t>
            </w:r>
          </w:p>
        </w:tc>
      </w:tr>
      <w:tr w:rsidR="009E6AC7" w:rsidRPr="00B6317B" w:rsidTr="003757FB">
        <w:tc>
          <w:tcPr>
            <w:tcW w:w="2126" w:type="dxa"/>
            <w:vMerge w:val="restart"/>
            <w:vAlign w:val="center"/>
          </w:tcPr>
          <w:p w:rsidR="009E6AC7" w:rsidRPr="00B6317B" w:rsidRDefault="009E6AC7" w:rsidP="009E6AC7">
            <w:pPr>
              <w:jc w:val="left"/>
              <w:rPr>
                <w:rFonts w:ascii="Arial Narrow" w:hAnsi="Arial Narrow"/>
                <w:sz w:val="20"/>
              </w:rPr>
            </w:pPr>
            <w:r w:rsidRPr="00B6317B">
              <w:rPr>
                <w:rFonts w:ascii="Arial Narrow" w:hAnsi="Arial Narrow"/>
                <w:sz w:val="20"/>
              </w:rPr>
              <w:t>Anchor based: SGRQ subgroups, mean (95% CI)</w:t>
            </w:r>
          </w:p>
        </w:tc>
        <w:tc>
          <w:tcPr>
            <w:tcW w:w="4155" w:type="dxa"/>
            <w:vAlign w:val="center"/>
          </w:tcPr>
          <w:p w:rsidR="009E6AC7" w:rsidRPr="00B6317B" w:rsidRDefault="009E6AC7" w:rsidP="007A65A1">
            <w:pPr>
              <w:jc w:val="left"/>
              <w:rPr>
                <w:rFonts w:ascii="Arial Narrow" w:hAnsi="Arial Narrow"/>
                <w:sz w:val="20"/>
              </w:rPr>
            </w:pPr>
            <w:r w:rsidRPr="00B6317B">
              <w:rPr>
                <w:rFonts w:ascii="Arial Narrow" w:hAnsi="Arial Narrow"/>
                <w:sz w:val="20"/>
              </w:rPr>
              <w:t>Deterioration (≥4 points) vs Stable (+/- &lt;4 points)</w:t>
            </w:r>
          </w:p>
        </w:tc>
        <w:tc>
          <w:tcPr>
            <w:tcW w:w="2082" w:type="dxa"/>
            <w:vAlign w:val="center"/>
          </w:tcPr>
          <w:p w:rsidR="009E6AC7" w:rsidRPr="00B6317B" w:rsidRDefault="009E6AC7" w:rsidP="007A65A1">
            <w:pPr>
              <w:jc w:val="center"/>
              <w:rPr>
                <w:rFonts w:ascii="Arial Narrow" w:hAnsi="Arial Narrow"/>
                <w:sz w:val="20"/>
              </w:rPr>
            </w:pPr>
            <w:r w:rsidRPr="00B6317B">
              <w:rPr>
                <w:rFonts w:ascii="Arial Narrow" w:hAnsi="Arial Narrow"/>
                <w:sz w:val="20"/>
              </w:rPr>
              <w:t>-3.00 (-4.31, -1.69)</w:t>
            </w:r>
          </w:p>
        </w:tc>
      </w:tr>
      <w:tr w:rsidR="009E6AC7" w:rsidRPr="00B6317B" w:rsidTr="003757FB">
        <w:tc>
          <w:tcPr>
            <w:tcW w:w="2126" w:type="dxa"/>
            <w:vMerge/>
            <w:vAlign w:val="center"/>
          </w:tcPr>
          <w:p w:rsidR="009E6AC7" w:rsidRPr="00B6317B" w:rsidRDefault="009E6AC7" w:rsidP="007A65A1">
            <w:pPr>
              <w:jc w:val="left"/>
              <w:rPr>
                <w:rFonts w:ascii="Arial Narrow" w:hAnsi="Arial Narrow"/>
                <w:sz w:val="20"/>
              </w:rPr>
            </w:pPr>
          </w:p>
        </w:tc>
        <w:tc>
          <w:tcPr>
            <w:tcW w:w="4155" w:type="dxa"/>
            <w:vAlign w:val="center"/>
          </w:tcPr>
          <w:p w:rsidR="009E6AC7" w:rsidRPr="00BD1932" w:rsidRDefault="009E6AC7" w:rsidP="007A65A1">
            <w:pPr>
              <w:jc w:val="left"/>
              <w:rPr>
                <w:rFonts w:ascii="Arial Narrow" w:hAnsi="Arial Narrow"/>
                <w:sz w:val="20"/>
                <w:lang w:val="fr-FR"/>
              </w:rPr>
            </w:pPr>
            <w:r w:rsidRPr="00BD1932">
              <w:rPr>
                <w:rFonts w:ascii="Arial Narrow" w:hAnsi="Arial Narrow"/>
                <w:sz w:val="20"/>
                <w:lang w:val="fr-FR"/>
              </w:rPr>
              <w:t>Improvement (≤ -4 points) vs Stable (+/- &lt;4 points)</w:t>
            </w:r>
          </w:p>
        </w:tc>
        <w:tc>
          <w:tcPr>
            <w:tcW w:w="2082" w:type="dxa"/>
            <w:vAlign w:val="center"/>
          </w:tcPr>
          <w:p w:rsidR="009E6AC7" w:rsidRPr="00B6317B" w:rsidRDefault="009E6AC7" w:rsidP="007A65A1">
            <w:pPr>
              <w:jc w:val="center"/>
              <w:rPr>
                <w:rFonts w:ascii="Arial Narrow" w:hAnsi="Arial Narrow"/>
                <w:sz w:val="20"/>
              </w:rPr>
            </w:pPr>
            <w:r w:rsidRPr="00B6317B">
              <w:rPr>
                <w:rFonts w:ascii="Arial Narrow" w:hAnsi="Arial Narrow"/>
                <w:sz w:val="20"/>
              </w:rPr>
              <w:t>2.41 (0.97, 3.86)</w:t>
            </w:r>
          </w:p>
        </w:tc>
      </w:tr>
      <w:tr w:rsidR="009E6AC7" w:rsidRPr="00B6317B" w:rsidTr="003757FB">
        <w:tc>
          <w:tcPr>
            <w:tcW w:w="2126" w:type="dxa"/>
            <w:vMerge w:val="restart"/>
            <w:vAlign w:val="center"/>
          </w:tcPr>
          <w:p w:rsidR="009E6AC7" w:rsidRPr="00B6317B" w:rsidRDefault="009E6AC7" w:rsidP="007A65A1">
            <w:pPr>
              <w:jc w:val="left"/>
              <w:rPr>
                <w:rFonts w:ascii="Arial Narrow" w:hAnsi="Arial Narrow"/>
                <w:sz w:val="20"/>
              </w:rPr>
            </w:pPr>
            <w:r w:rsidRPr="00B6317B">
              <w:rPr>
                <w:rFonts w:ascii="Arial Narrow" w:hAnsi="Arial Narrow"/>
                <w:sz w:val="20"/>
              </w:rPr>
              <w:t xml:space="preserve">Distribution based: </w:t>
            </w:r>
          </w:p>
          <w:p w:rsidR="009E6AC7" w:rsidRPr="00B6317B" w:rsidRDefault="009E6AC7" w:rsidP="007A65A1">
            <w:pPr>
              <w:jc w:val="left"/>
              <w:rPr>
                <w:rFonts w:ascii="Arial Narrow" w:hAnsi="Arial Narrow"/>
                <w:sz w:val="20"/>
              </w:rPr>
            </w:pPr>
            <w:r w:rsidRPr="00B6317B">
              <w:rPr>
                <w:rFonts w:ascii="Arial Narrow" w:hAnsi="Arial Narrow"/>
                <w:sz w:val="20"/>
              </w:rPr>
              <w:t>Effect size = 0.2</w:t>
            </w:r>
          </w:p>
        </w:tc>
        <w:tc>
          <w:tcPr>
            <w:tcW w:w="4155" w:type="dxa"/>
            <w:vAlign w:val="center"/>
          </w:tcPr>
          <w:p w:rsidR="009E6AC7" w:rsidRPr="00B6317B" w:rsidRDefault="009E6AC7" w:rsidP="007A65A1">
            <w:pPr>
              <w:jc w:val="left"/>
              <w:rPr>
                <w:rFonts w:ascii="Arial Narrow" w:hAnsi="Arial Narrow"/>
                <w:sz w:val="20"/>
              </w:rPr>
            </w:pPr>
            <w:r w:rsidRPr="00B6317B">
              <w:rPr>
                <w:rFonts w:ascii="Arial Narrow" w:hAnsi="Arial Narrow"/>
                <w:sz w:val="20"/>
              </w:rPr>
              <w:t>Trial 30 (SD = 17.9)</w:t>
            </w:r>
          </w:p>
        </w:tc>
        <w:tc>
          <w:tcPr>
            <w:tcW w:w="2082" w:type="dxa"/>
            <w:vAlign w:val="center"/>
          </w:tcPr>
          <w:p w:rsidR="009E6AC7" w:rsidRPr="00B6317B" w:rsidRDefault="009E6AC7" w:rsidP="007A65A1">
            <w:pPr>
              <w:jc w:val="center"/>
              <w:rPr>
                <w:rFonts w:ascii="Arial Narrow" w:hAnsi="Arial Narrow"/>
                <w:sz w:val="20"/>
              </w:rPr>
            </w:pPr>
            <w:r w:rsidRPr="00B6317B">
              <w:rPr>
                <w:rFonts w:ascii="Arial Narrow" w:hAnsi="Arial Narrow"/>
                <w:sz w:val="20"/>
              </w:rPr>
              <w:t>3.58</w:t>
            </w:r>
          </w:p>
        </w:tc>
      </w:tr>
      <w:tr w:rsidR="009E6AC7" w:rsidRPr="00B6317B" w:rsidTr="003757FB">
        <w:tc>
          <w:tcPr>
            <w:tcW w:w="2126" w:type="dxa"/>
            <w:vMerge/>
            <w:vAlign w:val="center"/>
          </w:tcPr>
          <w:p w:rsidR="009E6AC7" w:rsidRPr="00B6317B" w:rsidRDefault="009E6AC7" w:rsidP="007A65A1">
            <w:pPr>
              <w:jc w:val="left"/>
              <w:rPr>
                <w:rFonts w:ascii="Arial Narrow" w:hAnsi="Arial Narrow"/>
                <w:sz w:val="20"/>
              </w:rPr>
            </w:pPr>
          </w:p>
        </w:tc>
        <w:tc>
          <w:tcPr>
            <w:tcW w:w="4155" w:type="dxa"/>
            <w:vAlign w:val="center"/>
          </w:tcPr>
          <w:p w:rsidR="009E6AC7" w:rsidRPr="00B6317B" w:rsidRDefault="009E6AC7" w:rsidP="007A65A1">
            <w:pPr>
              <w:jc w:val="left"/>
              <w:rPr>
                <w:rFonts w:ascii="Arial Narrow" w:hAnsi="Arial Narrow"/>
                <w:sz w:val="20"/>
              </w:rPr>
            </w:pPr>
            <w:r w:rsidRPr="00B6317B">
              <w:rPr>
                <w:rFonts w:ascii="Arial Narrow" w:hAnsi="Arial Narrow"/>
                <w:sz w:val="20"/>
              </w:rPr>
              <w:t>Trial 32 and 34 (SD = 17.82)</w:t>
            </w:r>
          </w:p>
        </w:tc>
        <w:tc>
          <w:tcPr>
            <w:tcW w:w="2082" w:type="dxa"/>
            <w:vAlign w:val="center"/>
          </w:tcPr>
          <w:p w:rsidR="009E6AC7" w:rsidRPr="00B6317B" w:rsidRDefault="009E6AC7" w:rsidP="007A65A1">
            <w:pPr>
              <w:jc w:val="center"/>
              <w:rPr>
                <w:rFonts w:ascii="Arial Narrow" w:hAnsi="Arial Narrow"/>
                <w:sz w:val="20"/>
              </w:rPr>
            </w:pPr>
            <w:r w:rsidRPr="00B6317B">
              <w:rPr>
                <w:rFonts w:ascii="Arial Narrow" w:hAnsi="Arial Narrow"/>
                <w:sz w:val="20"/>
              </w:rPr>
              <w:t>3.56</w:t>
            </w:r>
          </w:p>
        </w:tc>
      </w:tr>
    </w:tbl>
    <w:p w:rsidR="009E6AC7" w:rsidRPr="00B6317B" w:rsidRDefault="009E6AC7" w:rsidP="009E6AC7">
      <w:pPr>
        <w:ind w:left="709"/>
        <w:rPr>
          <w:rFonts w:ascii="Arial Narrow" w:hAnsi="Arial Narrow"/>
          <w:sz w:val="18"/>
        </w:rPr>
      </w:pPr>
      <w:r w:rsidRPr="00B6317B">
        <w:rPr>
          <w:rFonts w:ascii="Arial Narrow" w:hAnsi="Arial Narrow"/>
          <w:sz w:val="18"/>
        </w:rPr>
        <w:t>Abbreviations: FVC%Pred = forced vital capacity % predicted; MCID = minimally clinically important difference; SD = standard deviation; SGRQ = Saint George’s Respiratory Questionn</w:t>
      </w:r>
      <w:r w:rsidR="003757FB">
        <w:rPr>
          <w:rFonts w:ascii="Arial Narrow" w:hAnsi="Arial Narrow"/>
          <w:sz w:val="18"/>
        </w:rPr>
        <w:t>aire.</w:t>
      </w:r>
    </w:p>
    <w:p w:rsidR="009E6AC7" w:rsidRPr="00B6317B" w:rsidRDefault="009E6AC7" w:rsidP="009E6AC7">
      <w:pPr>
        <w:ind w:firstLine="709"/>
        <w:rPr>
          <w:rFonts w:ascii="Arial Narrow" w:hAnsi="Arial Narrow"/>
          <w:sz w:val="18"/>
        </w:rPr>
      </w:pPr>
      <w:r w:rsidRPr="00B6317B">
        <w:rPr>
          <w:rFonts w:ascii="Arial Narrow" w:hAnsi="Arial Narrow"/>
          <w:sz w:val="18"/>
        </w:rPr>
        <w:t>Source: Table B.5-4, Table B.5-5, pp80-81 of the re-submission</w:t>
      </w:r>
    </w:p>
    <w:p w:rsidR="009E0297" w:rsidRPr="00B6317B" w:rsidRDefault="009E0297" w:rsidP="009E0297">
      <w:pPr>
        <w:widowControl/>
        <w:rPr>
          <w:szCs w:val="22"/>
        </w:rPr>
      </w:pPr>
    </w:p>
    <w:p w:rsidR="009E0297" w:rsidRPr="00B6317B" w:rsidRDefault="009E0297" w:rsidP="00321D09">
      <w:pPr>
        <w:pStyle w:val="ListParagraph"/>
        <w:widowControl/>
        <w:numPr>
          <w:ilvl w:val="1"/>
          <w:numId w:val="2"/>
        </w:numPr>
        <w:rPr>
          <w:szCs w:val="22"/>
        </w:rPr>
      </w:pPr>
      <w:r w:rsidRPr="00B6317B">
        <w:rPr>
          <w:szCs w:val="22"/>
        </w:rPr>
        <w:t>A brief summary of results from the indirect comparison</w:t>
      </w:r>
      <w:r w:rsidR="00877238" w:rsidRPr="00B6317B">
        <w:rPr>
          <w:szCs w:val="22"/>
        </w:rPr>
        <w:t xml:space="preserve"> with pirfenidone</w:t>
      </w:r>
      <w:r w:rsidRPr="00B6317B">
        <w:rPr>
          <w:szCs w:val="22"/>
        </w:rPr>
        <w:t xml:space="preserve"> is </w:t>
      </w:r>
      <w:r w:rsidR="00877238" w:rsidRPr="00B6317B">
        <w:rPr>
          <w:szCs w:val="22"/>
        </w:rPr>
        <w:t xml:space="preserve">provided </w:t>
      </w:r>
      <w:r w:rsidR="00A33B08" w:rsidRPr="00B6317B">
        <w:rPr>
          <w:szCs w:val="22"/>
        </w:rPr>
        <w:t xml:space="preserve">in the table </w:t>
      </w:r>
      <w:r w:rsidR="00877238" w:rsidRPr="00B6317B">
        <w:rPr>
          <w:szCs w:val="22"/>
        </w:rPr>
        <w:t>below</w:t>
      </w:r>
      <w:r w:rsidR="00FF77E4" w:rsidRPr="00B6317B">
        <w:rPr>
          <w:szCs w:val="22"/>
        </w:rPr>
        <w:t>.</w:t>
      </w:r>
      <w:r w:rsidR="009F1C95" w:rsidRPr="00B6317B">
        <w:rPr>
          <w:szCs w:val="22"/>
        </w:rPr>
        <w:t xml:space="preserve"> The ESC </w:t>
      </w:r>
      <w:r w:rsidR="009E6AC7" w:rsidRPr="00B6317B">
        <w:rPr>
          <w:szCs w:val="22"/>
        </w:rPr>
        <w:t>not</w:t>
      </w:r>
      <w:r w:rsidR="009F1C95" w:rsidRPr="00B6317B">
        <w:rPr>
          <w:szCs w:val="22"/>
        </w:rPr>
        <w:t xml:space="preserve">ed that the </w:t>
      </w:r>
      <w:r w:rsidR="003214FC" w:rsidRPr="00B6317B">
        <w:rPr>
          <w:szCs w:val="22"/>
        </w:rPr>
        <w:t>point estimate</w:t>
      </w:r>
      <w:r w:rsidR="009E6AC7" w:rsidRPr="00B6317B">
        <w:rPr>
          <w:szCs w:val="22"/>
        </w:rPr>
        <w:t>s</w:t>
      </w:r>
      <w:r w:rsidR="003214FC" w:rsidRPr="00B6317B">
        <w:rPr>
          <w:szCs w:val="22"/>
        </w:rPr>
        <w:t xml:space="preserve"> favour </w:t>
      </w:r>
      <w:r w:rsidR="009F1C95" w:rsidRPr="00B6317B">
        <w:rPr>
          <w:szCs w:val="22"/>
        </w:rPr>
        <w:t>n</w:t>
      </w:r>
      <w:r w:rsidR="003214FC" w:rsidRPr="00B6317B">
        <w:rPr>
          <w:szCs w:val="22"/>
        </w:rPr>
        <w:t>in</w:t>
      </w:r>
      <w:r w:rsidR="009F1C95" w:rsidRPr="00B6317B">
        <w:rPr>
          <w:szCs w:val="22"/>
        </w:rPr>
        <w:t>tedanib.</w:t>
      </w:r>
    </w:p>
    <w:p w:rsidR="00220C8D" w:rsidRPr="003214FC" w:rsidRDefault="00220C8D" w:rsidP="00B60939">
      <w:pPr>
        <w:rPr>
          <w:szCs w:val="22"/>
        </w:rPr>
      </w:pPr>
    </w:p>
    <w:p w:rsidR="003278AF" w:rsidRDefault="003278AF" w:rsidP="003278AF">
      <w:pPr>
        <w:ind w:firstLine="720"/>
        <w:rPr>
          <w:rStyle w:val="CommentReference"/>
        </w:rPr>
      </w:pPr>
      <w:r w:rsidRPr="00E72709">
        <w:rPr>
          <w:rStyle w:val="CommentReference"/>
        </w:rPr>
        <w:t xml:space="preserve">Table </w:t>
      </w:r>
      <w:r w:rsidR="00392A22">
        <w:rPr>
          <w:rStyle w:val="CommentReference"/>
        </w:rPr>
        <w:t>5</w:t>
      </w:r>
      <w:r w:rsidRPr="00E72709">
        <w:rPr>
          <w:rStyle w:val="CommentReference"/>
        </w:rPr>
        <w:t>: Summary of results for the indirect comparison of nintedanib and pirfenidone</w:t>
      </w:r>
    </w:p>
    <w:tbl>
      <w:tblPr>
        <w:tblStyle w:val="TableGrid"/>
        <w:tblW w:w="4594" w:type="pct"/>
        <w:tblInd w:w="737" w:type="dxa"/>
        <w:tblCellMar>
          <w:left w:w="28" w:type="dxa"/>
          <w:right w:w="28" w:type="dxa"/>
        </w:tblCellMar>
        <w:tblLook w:val="04A0" w:firstRow="1" w:lastRow="0" w:firstColumn="1" w:lastColumn="0" w:noHBand="0" w:noVBand="1"/>
        <w:tblCaption w:val="Table 5: Summary of results for the indirect comparison of nintedanib and pirfenidone"/>
      </w:tblPr>
      <w:tblGrid>
        <w:gridCol w:w="3687"/>
        <w:gridCol w:w="991"/>
        <w:gridCol w:w="1701"/>
        <w:gridCol w:w="1966"/>
      </w:tblGrid>
      <w:tr w:rsidR="003278AF" w:rsidTr="005D439E">
        <w:trPr>
          <w:trHeight w:val="20"/>
          <w:tblHeader/>
        </w:trPr>
        <w:tc>
          <w:tcPr>
            <w:tcW w:w="2803" w:type="pct"/>
            <w:gridSpan w:val="2"/>
            <w:vMerge w:val="restart"/>
            <w:vAlign w:val="center"/>
          </w:tcPr>
          <w:p w:rsidR="003278AF" w:rsidRDefault="003278AF" w:rsidP="006F37CF">
            <w:pPr>
              <w:jc w:val="left"/>
              <w:rPr>
                <w:rStyle w:val="CommentReference"/>
              </w:rPr>
            </w:pPr>
            <w:r>
              <w:rPr>
                <w:rStyle w:val="CommentReference"/>
              </w:rPr>
              <w:t>Outcome</w:t>
            </w:r>
          </w:p>
        </w:tc>
        <w:tc>
          <w:tcPr>
            <w:tcW w:w="2197" w:type="pct"/>
            <w:gridSpan w:val="2"/>
            <w:vAlign w:val="center"/>
          </w:tcPr>
          <w:p w:rsidR="003278AF" w:rsidRDefault="003278AF" w:rsidP="003278AF">
            <w:pPr>
              <w:jc w:val="center"/>
              <w:rPr>
                <w:rStyle w:val="CommentReference"/>
              </w:rPr>
            </w:pPr>
            <w:r>
              <w:rPr>
                <w:rStyle w:val="CommentReference"/>
              </w:rPr>
              <w:t>Indirect Comparison: NTB vs Pirfenidone</w:t>
            </w:r>
          </w:p>
        </w:tc>
      </w:tr>
      <w:tr w:rsidR="003278AF" w:rsidTr="005D439E">
        <w:trPr>
          <w:trHeight w:val="20"/>
          <w:tblHeader/>
        </w:trPr>
        <w:tc>
          <w:tcPr>
            <w:tcW w:w="2803" w:type="pct"/>
            <w:gridSpan w:val="2"/>
            <w:vMerge/>
            <w:vAlign w:val="center"/>
          </w:tcPr>
          <w:p w:rsidR="003278AF" w:rsidRDefault="003278AF" w:rsidP="006F37CF">
            <w:pPr>
              <w:jc w:val="left"/>
              <w:rPr>
                <w:rStyle w:val="CommentReference"/>
              </w:rPr>
            </w:pPr>
          </w:p>
        </w:tc>
        <w:tc>
          <w:tcPr>
            <w:tcW w:w="1019" w:type="pct"/>
            <w:vAlign w:val="center"/>
          </w:tcPr>
          <w:p w:rsidR="003278AF" w:rsidRDefault="003278AF" w:rsidP="006F37CF">
            <w:pPr>
              <w:jc w:val="center"/>
              <w:rPr>
                <w:rStyle w:val="CommentReference"/>
              </w:rPr>
            </w:pPr>
            <w:r>
              <w:rPr>
                <w:rStyle w:val="CommentReference"/>
              </w:rPr>
              <w:t>NTB ITT population</w:t>
            </w:r>
          </w:p>
          <w:p w:rsidR="003278AF" w:rsidRDefault="003278AF" w:rsidP="006F37CF">
            <w:pPr>
              <w:jc w:val="center"/>
              <w:rPr>
                <w:rStyle w:val="CommentReference"/>
              </w:rPr>
            </w:pPr>
            <w:r>
              <w:rPr>
                <w:rStyle w:val="CommentReference"/>
              </w:rPr>
              <w:t>vs CAPACITY</w:t>
            </w:r>
          </w:p>
        </w:tc>
        <w:tc>
          <w:tcPr>
            <w:tcW w:w="1178" w:type="pct"/>
            <w:vAlign w:val="center"/>
          </w:tcPr>
          <w:p w:rsidR="003278AF" w:rsidRDefault="003278AF" w:rsidP="006F37CF">
            <w:pPr>
              <w:jc w:val="center"/>
              <w:rPr>
                <w:rStyle w:val="CommentReference"/>
              </w:rPr>
            </w:pPr>
            <w:r>
              <w:rPr>
                <w:rStyle w:val="CommentReference"/>
              </w:rPr>
              <w:t>NTB matched patient population^ vs ASCEND</w:t>
            </w:r>
          </w:p>
        </w:tc>
      </w:tr>
      <w:tr w:rsidR="003278AF" w:rsidRPr="002D013E" w:rsidTr="003278AF">
        <w:trPr>
          <w:trHeight w:val="20"/>
        </w:trPr>
        <w:tc>
          <w:tcPr>
            <w:tcW w:w="2209" w:type="pct"/>
            <w:vAlign w:val="center"/>
          </w:tcPr>
          <w:p w:rsidR="003278AF" w:rsidRPr="002D013E" w:rsidRDefault="003278AF" w:rsidP="006F37CF">
            <w:pPr>
              <w:jc w:val="left"/>
              <w:rPr>
                <w:rStyle w:val="CommentReference"/>
                <w:b w:val="0"/>
              </w:rPr>
            </w:pPr>
            <w:r>
              <w:rPr>
                <w:rStyle w:val="CommentReference"/>
                <w:b w:val="0"/>
              </w:rPr>
              <w:t>Overall survival</w:t>
            </w:r>
          </w:p>
        </w:tc>
        <w:tc>
          <w:tcPr>
            <w:tcW w:w="594" w:type="pct"/>
            <w:vAlign w:val="center"/>
          </w:tcPr>
          <w:p w:rsidR="003278AF" w:rsidRPr="002D013E" w:rsidRDefault="003278AF" w:rsidP="006F37CF">
            <w:pPr>
              <w:jc w:val="center"/>
              <w:rPr>
                <w:rStyle w:val="CommentReference"/>
                <w:b w:val="0"/>
              </w:rPr>
            </w:pPr>
            <w:r>
              <w:rPr>
                <w:rStyle w:val="CommentReference"/>
                <w:b w:val="0"/>
              </w:rPr>
              <w:t>HR (95% CI)</w:t>
            </w:r>
          </w:p>
        </w:tc>
        <w:tc>
          <w:tcPr>
            <w:tcW w:w="1019" w:type="pct"/>
            <w:vAlign w:val="center"/>
          </w:tcPr>
          <w:p w:rsidR="003278AF" w:rsidRPr="002D013E" w:rsidRDefault="003278AF" w:rsidP="006F37CF">
            <w:pPr>
              <w:jc w:val="center"/>
              <w:rPr>
                <w:rStyle w:val="CommentReference"/>
                <w:b w:val="0"/>
              </w:rPr>
            </w:pPr>
            <w:r w:rsidRPr="00C63A53">
              <w:rPr>
                <w:rStyle w:val="CommentReference"/>
                <w:b w:val="0"/>
              </w:rPr>
              <w:t>1.03 (0.53, 1.97)</w:t>
            </w:r>
          </w:p>
        </w:tc>
        <w:tc>
          <w:tcPr>
            <w:tcW w:w="1178" w:type="pct"/>
            <w:vAlign w:val="center"/>
          </w:tcPr>
          <w:p w:rsidR="003278AF" w:rsidRPr="00F146E1" w:rsidRDefault="00F146E1" w:rsidP="006F37CF">
            <w:pPr>
              <w:jc w:val="center"/>
              <w:rPr>
                <w:rStyle w:val="CommentReference"/>
                <w:b w:val="0"/>
                <w:highlight w:val="black"/>
              </w:rPr>
            </w:pPr>
            <w:r>
              <w:rPr>
                <w:rStyle w:val="CommentReference"/>
                <w:b w:val="0"/>
                <w:noProof/>
                <w:color w:val="000000"/>
                <w:highlight w:val="black"/>
              </w:rPr>
              <w:t>'''''''''' '''''''''''''''' ''''''''''''''</w:t>
            </w:r>
          </w:p>
        </w:tc>
      </w:tr>
      <w:tr w:rsidR="003278AF" w:rsidRPr="002D013E" w:rsidTr="003278AF">
        <w:trPr>
          <w:trHeight w:val="20"/>
        </w:trPr>
        <w:tc>
          <w:tcPr>
            <w:tcW w:w="2209" w:type="pct"/>
            <w:vAlign w:val="center"/>
          </w:tcPr>
          <w:p w:rsidR="003278AF" w:rsidRPr="002D013E" w:rsidRDefault="003278AF" w:rsidP="006F37CF">
            <w:pPr>
              <w:jc w:val="left"/>
              <w:rPr>
                <w:rStyle w:val="CommentReference"/>
                <w:b w:val="0"/>
              </w:rPr>
            </w:pPr>
            <w:r>
              <w:rPr>
                <w:rStyle w:val="CommentReference"/>
                <w:b w:val="0"/>
              </w:rPr>
              <w:t>Exacerbations – Investigator reported</w:t>
            </w:r>
          </w:p>
        </w:tc>
        <w:tc>
          <w:tcPr>
            <w:tcW w:w="594" w:type="pct"/>
            <w:vAlign w:val="center"/>
          </w:tcPr>
          <w:p w:rsidR="003278AF" w:rsidRPr="002D013E" w:rsidRDefault="003278AF" w:rsidP="006F37CF">
            <w:pPr>
              <w:jc w:val="center"/>
              <w:rPr>
                <w:rStyle w:val="CommentReference"/>
                <w:b w:val="0"/>
              </w:rPr>
            </w:pPr>
            <w:r>
              <w:rPr>
                <w:rStyle w:val="CommentReference"/>
                <w:b w:val="0"/>
              </w:rPr>
              <w:t>RR (95% CI)</w:t>
            </w:r>
          </w:p>
        </w:tc>
        <w:tc>
          <w:tcPr>
            <w:tcW w:w="1019" w:type="pct"/>
            <w:vAlign w:val="center"/>
          </w:tcPr>
          <w:p w:rsidR="003278AF" w:rsidRPr="002D013E" w:rsidRDefault="003278AF" w:rsidP="006F37CF">
            <w:pPr>
              <w:jc w:val="center"/>
              <w:rPr>
                <w:rStyle w:val="CommentReference"/>
                <w:b w:val="0"/>
              </w:rPr>
            </w:pPr>
            <w:r w:rsidRPr="00C63A53">
              <w:rPr>
                <w:rStyle w:val="CommentReference"/>
                <w:b w:val="0"/>
              </w:rPr>
              <w:t>0.64 (0.15, 2.76)</w:t>
            </w:r>
          </w:p>
        </w:tc>
        <w:tc>
          <w:tcPr>
            <w:tcW w:w="1178" w:type="pct"/>
            <w:vMerge w:val="restart"/>
            <w:vAlign w:val="center"/>
          </w:tcPr>
          <w:p w:rsidR="003278AF" w:rsidRPr="002D013E" w:rsidRDefault="003278AF" w:rsidP="006F37CF">
            <w:pPr>
              <w:jc w:val="center"/>
              <w:rPr>
                <w:rStyle w:val="CommentReference"/>
                <w:b w:val="0"/>
              </w:rPr>
            </w:pPr>
            <w:r>
              <w:rPr>
                <w:rStyle w:val="CommentReference"/>
                <w:b w:val="0"/>
              </w:rPr>
              <w:t>NR</w:t>
            </w:r>
          </w:p>
        </w:tc>
      </w:tr>
      <w:tr w:rsidR="003278AF" w:rsidRPr="002D013E" w:rsidTr="003278AF">
        <w:trPr>
          <w:trHeight w:val="20"/>
        </w:trPr>
        <w:tc>
          <w:tcPr>
            <w:tcW w:w="2209" w:type="pct"/>
            <w:vAlign w:val="center"/>
          </w:tcPr>
          <w:p w:rsidR="003278AF" w:rsidRPr="002D013E" w:rsidRDefault="003278AF" w:rsidP="006F37CF">
            <w:pPr>
              <w:jc w:val="left"/>
              <w:rPr>
                <w:rStyle w:val="CommentReference"/>
                <w:b w:val="0"/>
              </w:rPr>
            </w:pPr>
            <w:r>
              <w:rPr>
                <w:rStyle w:val="CommentReference"/>
                <w:b w:val="0"/>
              </w:rPr>
              <w:t>Progression free survival</w:t>
            </w:r>
          </w:p>
        </w:tc>
        <w:tc>
          <w:tcPr>
            <w:tcW w:w="594" w:type="pct"/>
            <w:vAlign w:val="center"/>
          </w:tcPr>
          <w:p w:rsidR="003278AF" w:rsidRPr="002D013E" w:rsidRDefault="003278AF" w:rsidP="006F37CF">
            <w:pPr>
              <w:jc w:val="center"/>
              <w:rPr>
                <w:rStyle w:val="CommentReference"/>
                <w:b w:val="0"/>
              </w:rPr>
            </w:pPr>
            <w:r>
              <w:rPr>
                <w:rStyle w:val="CommentReference"/>
                <w:b w:val="0"/>
              </w:rPr>
              <w:t>HR (95% CI)</w:t>
            </w:r>
          </w:p>
        </w:tc>
        <w:tc>
          <w:tcPr>
            <w:tcW w:w="1019" w:type="pct"/>
            <w:vAlign w:val="center"/>
          </w:tcPr>
          <w:p w:rsidR="003278AF" w:rsidRPr="002D013E" w:rsidRDefault="003278AF" w:rsidP="006F37CF">
            <w:pPr>
              <w:jc w:val="center"/>
              <w:rPr>
                <w:rStyle w:val="CommentReference"/>
                <w:b w:val="0"/>
              </w:rPr>
            </w:pPr>
            <w:r w:rsidRPr="00C63A53">
              <w:rPr>
                <w:rStyle w:val="CommentReference"/>
                <w:b w:val="0"/>
              </w:rPr>
              <w:t>1.00 (0.71, 1.39)</w:t>
            </w:r>
          </w:p>
        </w:tc>
        <w:tc>
          <w:tcPr>
            <w:tcW w:w="1178" w:type="pct"/>
            <w:vMerge/>
            <w:vAlign w:val="center"/>
          </w:tcPr>
          <w:p w:rsidR="003278AF" w:rsidRPr="002D013E" w:rsidRDefault="003278AF" w:rsidP="006F37CF">
            <w:pPr>
              <w:jc w:val="center"/>
              <w:rPr>
                <w:rStyle w:val="CommentReference"/>
                <w:b w:val="0"/>
              </w:rPr>
            </w:pPr>
          </w:p>
        </w:tc>
      </w:tr>
      <w:tr w:rsidR="003278AF" w:rsidRPr="002D013E" w:rsidTr="003278AF">
        <w:trPr>
          <w:trHeight w:val="20"/>
        </w:trPr>
        <w:tc>
          <w:tcPr>
            <w:tcW w:w="2209" w:type="pct"/>
            <w:vAlign w:val="center"/>
          </w:tcPr>
          <w:p w:rsidR="003278AF" w:rsidRPr="002D013E" w:rsidRDefault="003278AF" w:rsidP="006F37CF">
            <w:pPr>
              <w:jc w:val="left"/>
              <w:rPr>
                <w:rStyle w:val="CommentReference"/>
                <w:b w:val="0"/>
              </w:rPr>
            </w:pPr>
            <w:r>
              <w:rPr>
                <w:rStyle w:val="CommentReference"/>
                <w:b w:val="0"/>
              </w:rPr>
              <w:t>FVC%pred: 10 point decline</w:t>
            </w:r>
          </w:p>
        </w:tc>
        <w:tc>
          <w:tcPr>
            <w:tcW w:w="594" w:type="pct"/>
            <w:vAlign w:val="center"/>
          </w:tcPr>
          <w:p w:rsidR="003278AF" w:rsidRPr="002D013E" w:rsidRDefault="003278AF" w:rsidP="006F37CF">
            <w:pPr>
              <w:jc w:val="center"/>
              <w:rPr>
                <w:rStyle w:val="CommentReference"/>
                <w:b w:val="0"/>
              </w:rPr>
            </w:pPr>
            <w:r>
              <w:rPr>
                <w:rStyle w:val="CommentReference"/>
                <w:b w:val="0"/>
              </w:rPr>
              <w:t>RR (95% CI)</w:t>
            </w:r>
          </w:p>
        </w:tc>
        <w:tc>
          <w:tcPr>
            <w:tcW w:w="1019" w:type="pct"/>
            <w:vAlign w:val="center"/>
          </w:tcPr>
          <w:p w:rsidR="003278AF" w:rsidRPr="002D013E" w:rsidRDefault="003278AF" w:rsidP="006F37CF">
            <w:pPr>
              <w:jc w:val="center"/>
              <w:rPr>
                <w:rStyle w:val="CommentReference"/>
                <w:b w:val="0"/>
              </w:rPr>
            </w:pPr>
            <w:r w:rsidRPr="00C63A53">
              <w:rPr>
                <w:rStyle w:val="CommentReference"/>
                <w:b w:val="0"/>
              </w:rPr>
              <w:t>0.86 (0.61, 1.23)</w:t>
            </w:r>
          </w:p>
        </w:tc>
        <w:tc>
          <w:tcPr>
            <w:tcW w:w="1178" w:type="pct"/>
            <w:vMerge/>
            <w:vAlign w:val="center"/>
          </w:tcPr>
          <w:p w:rsidR="003278AF" w:rsidRPr="002D013E" w:rsidRDefault="003278AF" w:rsidP="006F37CF">
            <w:pPr>
              <w:jc w:val="center"/>
              <w:rPr>
                <w:rStyle w:val="CommentReference"/>
                <w:b w:val="0"/>
              </w:rPr>
            </w:pPr>
          </w:p>
        </w:tc>
      </w:tr>
      <w:tr w:rsidR="003278AF" w:rsidRPr="002D013E" w:rsidTr="003278AF">
        <w:trPr>
          <w:trHeight w:val="20"/>
        </w:trPr>
        <w:tc>
          <w:tcPr>
            <w:tcW w:w="2209" w:type="pct"/>
            <w:vAlign w:val="center"/>
          </w:tcPr>
          <w:p w:rsidR="003278AF" w:rsidRPr="002D013E" w:rsidRDefault="003278AF" w:rsidP="003278AF">
            <w:pPr>
              <w:jc w:val="left"/>
              <w:rPr>
                <w:rStyle w:val="CommentReference"/>
                <w:b w:val="0"/>
              </w:rPr>
            </w:pPr>
            <w:r>
              <w:rPr>
                <w:rStyle w:val="CommentReference"/>
                <w:b w:val="0"/>
              </w:rPr>
              <w:t>FVC%pred: 10 point decline or death (52 weeks)</w:t>
            </w:r>
          </w:p>
        </w:tc>
        <w:tc>
          <w:tcPr>
            <w:tcW w:w="594" w:type="pct"/>
            <w:vAlign w:val="center"/>
          </w:tcPr>
          <w:p w:rsidR="003278AF" w:rsidRPr="002D013E" w:rsidRDefault="003278AF" w:rsidP="006F37CF">
            <w:pPr>
              <w:jc w:val="center"/>
              <w:rPr>
                <w:rStyle w:val="CommentReference"/>
                <w:b w:val="0"/>
              </w:rPr>
            </w:pPr>
            <w:r>
              <w:rPr>
                <w:rStyle w:val="CommentReference"/>
                <w:b w:val="0"/>
              </w:rPr>
              <w:t>RR (95% CI)</w:t>
            </w:r>
          </w:p>
        </w:tc>
        <w:tc>
          <w:tcPr>
            <w:tcW w:w="1019" w:type="pct"/>
            <w:vAlign w:val="center"/>
          </w:tcPr>
          <w:p w:rsidR="003278AF" w:rsidRPr="002D013E" w:rsidRDefault="003278AF" w:rsidP="006F37CF">
            <w:pPr>
              <w:jc w:val="center"/>
              <w:rPr>
                <w:rStyle w:val="CommentReference"/>
                <w:b w:val="0"/>
              </w:rPr>
            </w:pPr>
            <w:r>
              <w:rPr>
                <w:rStyle w:val="CommentReference"/>
                <w:b w:val="0"/>
              </w:rPr>
              <w:t>NR</w:t>
            </w:r>
          </w:p>
        </w:tc>
        <w:tc>
          <w:tcPr>
            <w:tcW w:w="1178" w:type="pct"/>
            <w:vAlign w:val="center"/>
          </w:tcPr>
          <w:p w:rsidR="003278AF" w:rsidRPr="00F146E1" w:rsidRDefault="00F146E1" w:rsidP="006F37CF">
            <w:pPr>
              <w:jc w:val="center"/>
              <w:rPr>
                <w:rStyle w:val="CommentReference"/>
                <w:b w:val="0"/>
                <w:highlight w:val="black"/>
              </w:rPr>
            </w:pPr>
            <w:r>
              <w:rPr>
                <w:rStyle w:val="CommentReference"/>
                <w:b w:val="0"/>
                <w:noProof/>
                <w:color w:val="000000"/>
                <w:highlight w:val="black"/>
              </w:rPr>
              <w:t>'''''''''''' '''''''''''''' '''''''''''</w:t>
            </w:r>
          </w:p>
        </w:tc>
      </w:tr>
    </w:tbl>
    <w:p w:rsidR="003278AF" w:rsidRDefault="003278AF" w:rsidP="003278AF">
      <w:pPr>
        <w:ind w:left="720"/>
        <w:rPr>
          <w:rFonts w:ascii="Arial Narrow" w:hAnsi="Arial Narrow"/>
          <w:sz w:val="18"/>
        </w:rPr>
      </w:pPr>
      <w:r>
        <w:rPr>
          <w:rFonts w:ascii="Arial Narrow" w:hAnsi="Arial Narrow"/>
          <w:sz w:val="18"/>
        </w:rPr>
        <w:t xml:space="preserve">^ </w:t>
      </w:r>
      <w:r w:rsidRPr="0039548A">
        <w:rPr>
          <w:rFonts w:ascii="Arial Narrow" w:hAnsi="Arial Narrow"/>
          <w:sz w:val="18"/>
        </w:rPr>
        <w:t xml:space="preserve">The </w:t>
      </w:r>
      <w:r>
        <w:rPr>
          <w:rFonts w:ascii="Arial Narrow" w:hAnsi="Arial Narrow"/>
          <w:sz w:val="18"/>
        </w:rPr>
        <w:t>re-</w:t>
      </w:r>
      <w:r w:rsidRPr="0039548A">
        <w:rPr>
          <w:rFonts w:ascii="Arial Narrow" w:hAnsi="Arial Narrow"/>
          <w:sz w:val="18"/>
        </w:rPr>
        <w:t xml:space="preserve">submission applies a post hoc adjustment to the nintedanib results via a matched patient cohort based on the ASCEND inclusion criteria.  The </w:t>
      </w:r>
      <w:r>
        <w:rPr>
          <w:rFonts w:ascii="Arial Narrow" w:hAnsi="Arial Narrow"/>
          <w:sz w:val="18"/>
        </w:rPr>
        <w:t>re-</w:t>
      </w:r>
      <w:r w:rsidRPr="0039548A">
        <w:rPr>
          <w:rFonts w:ascii="Arial Narrow" w:hAnsi="Arial Narrow"/>
          <w:sz w:val="18"/>
        </w:rPr>
        <w:t>submission states (Attachment 1, p1</w:t>
      </w:r>
      <w:r>
        <w:rPr>
          <w:rFonts w:ascii="Arial Narrow" w:hAnsi="Arial Narrow"/>
          <w:sz w:val="18"/>
        </w:rPr>
        <w:t>-</w:t>
      </w:r>
      <w:r w:rsidRPr="0039548A">
        <w:rPr>
          <w:rFonts w:ascii="Arial Narrow" w:hAnsi="Arial Narrow"/>
          <w:sz w:val="18"/>
        </w:rPr>
        <w:t xml:space="preserve">) that there was a lack of comparability between the baseline characteristics of the trial populations.  This was attributed to the ASCEND trial recruiting patients with an increased risk of disease progression.  In comparison to the inclusion criteria applied in the nintedanib phase 3 trials, the ASCEND trial required patients to have: (1) Clinical symptoms consistent with IPF of ≥ 12 months and diagnosis of IPF at least 6 months and no more than 48 months before randomisation; (2) Increased hurdle requirements for the diagnosis of IPF: patients with possible </w:t>
      </w:r>
      <w:r>
        <w:rPr>
          <w:rFonts w:ascii="Arial Narrow" w:hAnsi="Arial Narrow"/>
          <w:sz w:val="18"/>
        </w:rPr>
        <w:t>usual interstitial pneumonia</w:t>
      </w:r>
      <w:r w:rsidRPr="0039548A">
        <w:rPr>
          <w:rFonts w:ascii="Arial Narrow" w:hAnsi="Arial Narrow"/>
          <w:sz w:val="18"/>
        </w:rPr>
        <w:t xml:space="preserve"> without surgi</w:t>
      </w:r>
      <w:r w:rsidR="003757FB">
        <w:rPr>
          <w:rFonts w:ascii="Arial Narrow" w:hAnsi="Arial Narrow"/>
          <w:sz w:val="18"/>
        </w:rPr>
        <w:t>cal lung biopsy were excluded.</w:t>
      </w:r>
    </w:p>
    <w:p w:rsidR="003278AF" w:rsidRPr="0039548A" w:rsidRDefault="003278AF" w:rsidP="00D11347">
      <w:pPr>
        <w:ind w:left="720"/>
        <w:rPr>
          <w:rFonts w:ascii="Arial Narrow" w:hAnsi="Arial Narrow"/>
          <w:sz w:val="18"/>
        </w:rPr>
      </w:pPr>
      <w:r>
        <w:rPr>
          <w:rStyle w:val="CommentReference"/>
          <w:b w:val="0"/>
          <w:sz w:val="18"/>
        </w:rPr>
        <w:t xml:space="preserve">Abbreviations: FVC = forced vital capacity; </w:t>
      </w:r>
      <w:r w:rsidR="00D11347">
        <w:rPr>
          <w:rStyle w:val="CommentReference"/>
          <w:b w:val="0"/>
          <w:sz w:val="18"/>
        </w:rPr>
        <w:t xml:space="preserve">HR = hazard ratio; </w:t>
      </w:r>
      <w:r>
        <w:rPr>
          <w:rStyle w:val="CommentReference"/>
          <w:b w:val="0"/>
          <w:sz w:val="18"/>
        </w:rPr>
        <w:t>ITT = intention to treat; NR = not reported; NTB = nintedanib</w:t>
      </w:r>
      <w:r w:rsidR="00D11347">
        <w:rPr>
          <w:rStyle w:val="CommentReference"/>
          <w:b w:val="0"/>
          <w:sz w:val="18"/>
        </w:rPr>
        <w:t xml:space="preserve">; RR = relative risk.  </w:t>
      </w:r>
      <w:r>
        <w:rPr>
          <w:rFonts w:ascii="Arial Narrow" w:hAnsi="Arial Narrow"/>
          <w:sz w:val="18"/>
        </w:rPr>
        <w:t>Source: Attachment 1 of the re-submission</w:t>
      </w:r>
    </w:p>
    <w:p w:rsidR="003278AF" w:rsidRDefault="003278AF" w:rsidP="00B60939">
      <w:pPr>
        <w:rPr>
          <w:szCs w:val="22"/>
        </w:rPr>
      </w:pPr>
    </w:p>
    <w:p w:rsidR="00127BC0" w:rsidRPr="00B6317B" w:rsidRDefault="00127BC0" w:rsidP="00127BC0">
      <w:pPr>
        <w:pStyle w:val="ListParagraph"/>
        <w:widowControl/>
        <w:numPr>
          <w:ilvl w:val="1"/>
          <w:numId w:val="2"/>
        </w:numPr>
      </w:pPr>
      <w:r w:rsidRPr="00B6317B">
        <w:t>Although the reduction in FVC in the placebo groups of the pirfenidone studies are similar, as noted in the FDA report in the NEJM (see figure below), it is important to note that the CAPACITY studies were over 72 weeks and the ASCEND over 52 weeks, the same as nintedanib. The ESC considered it clear that the pirfenidone studies recruited patients with more accelerated decline in FVC than the nintedanib studies, especially the ASCEND study.</w:t>
      </w:r>
    </w:p>
    <w:p w:rsidR="00127BC0" w:rsidRPr="00B6317B" w:rsidRDefault="00127BC0" w:rsidP="00127BC0">
      <w:pPr>
        <w:widowControl/>
      </w:pPr>
    </w:p>
    <w:p w:rsidR="00127BC0" w:rsidRPr="006A3BDE" w:rsidRDefault="00127BC0" w:rsidP="00127BC0">
      <w:pPr>
        <w:pStyle w:val="ListParagraph"/>
        <w:widowControl/>
        <w:rPr>
          <w:i/>
        </w:rPr>
      </w:pPr>
      <w:r>
        <w:rPr>
          <w:noProof/>
          <w:snapToGrid/>
          <w:lang w:eastAsia="en-AU"/>
        </w:rPr>
        <w:drawing>
          <wp:inline distT="0" distB="0" distL="0" distR="0" wp14:anchorId="00752EE1" wp14:editId="2A942D21">
            <wp:extent cx="5372100" cy="2600325"/>
            <wp:effectExtent l="0" t="0" r="0" b="9525"/>
            <wp:docPr id="20" name="Picture 20" title="Table listing pirfenidone and nintendanib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72021" cy="2600287"/>
                    </a:xfrm>
                    <a:prstGeom prst="rect">
                      <a:avLst/>
                    </a:prstGeom>
                  </pic:spPr>
                </pic:pic>
              </a:graphicData>
            </a:graphic>
          </wp:inline>
        </w:drawing>
      </w:r>
    </w:p>
    <w:p w:rsidR="00127BC0" w:rsidRPr="001D13BB" w:rsidRDefault="00127BC0" w:rsidP="00127BC0">
      <w:pPr>
        <w:ind w:left="720"/>
        <w:rPr>
          <w:rFonts w:ascii="Arial Narrow" w:hAnsi="Arial Narrow"/>
          <w:sz w:val="18"/>
          <w:szCs w:val="18"/>
        </w:rPr>
      </w:pPr>
      <w:r w:rsidRPr="001D13BB">
        <w:rPr>
          <w:rFonts w:ascii="Arial Narrow" w:hAnsi="Arial Narrow"/>
          <w:sz w:val="18"/>
          <w:szCs w:val="18"/>
        </w:rPr>
        <w:t>* The studies are listed in chronologic order by drug, with study numbers as referenced in the product labels and the months in which enrolment ended. Data for forced vital capacity are the absolute values for the change from baseline to week 52 for pirfenidone study 1, to week 72 for pirfenidone studies 2 and 3, and to week 52 for all nintedanib studies; the change from baseline for pirfenidone studies was based on descriptive statistics, and the change from baseline for nintedanib studies was based on regression analysis. Mortality data are from the vital status analysis (from randomization to the time of death) and include all deaths irrespective of the cause and of whether the patient had continued treatment. Hazard ratios for time to death are based on Cox proportional-hazards regression analysis. CI denotes confidence interval.</w:t>
      </w:r>
    </w:p>
    <w:p w:rsidR="00127BC0" w:rsidRDefault="00127BC0" w:rsidP="00127BC0">
      <w:pPr>
        <w:ind w:left="720"/>
        <w:rPr>
          <w:rFonts w:ascii="Arial Narrow" w:hAnsi="Arial Narrow"/>
          <w:i/>
          <w:sz w:val="20"/>
        </w:rPr>
      </w:pPr>
      <w:r w:rsidRPr="00486AC3">
        <w:rPr>
          <w:rFonts w:ascii="Arial Narrow" w:hAnsi="Arial Narrow"/>
          <w:i/>
          <w:sz w:val="20"/>
          <w:lang w:val="pl-PL"/>
        </w:rPr>
        <w:t xml:space="preserve">Source: Karimi-Shah BA, Chowdhury BA. </w:t>
      </w:r>
      <w:r w:rsidRPr="001D13BB">
        <w:rPr>
          <w:rFonts w:ascii="Arial Narrow" w:hAnsi="Arial Narrow"/>
          <w:i/>
          <w:sz w:val="20"/>
        </w:rPr>
        <w:t>Forced vital capacity in idiopathic pulmonary fibrosis--FDA review of pirfenidone and nintedanib. The New England Journal of Medicine. 2015;372(13):</w:t>
      </w:r>
      <w:r>
        <w:rPr>
          <w:rFonts w:ascii="Arial Narrow" w:hAnsi="Arial Narrow"/>
          <w:i/>
          <w:sz w:val="20"/>
        </w:rPr>
        <w:t>p 1190.</w:t>
      </w:r>
    </w:p>
    <w:p w:rsidR="00127BC0" w:rsidRPr="003757FB" w:rsidRDefault="00127BC0" w:rsidP="003757FB">
      <w:pPr>
        <w:widowControl/>
        <w:rPr>
          <w:szCs w:val="22"/>
        </w:rPr>
      </w:pPr>
    </w:p>
    <w:p w:rsidR="00DB79D7" w:rsidRPr="00B6317B" w:rsidRDefault="00DB79D7" w:rsidP="00321D09">
      <w:pPr>
        <w:pStyle w:val="ListParagraph"/>
        <w:widowControl/>
        <w:numPr>
          <w:ilvl w:val="1"/>
          <w:numId w:val="2"/>
        </w:numPr>
        <w:rPr>
          <w:szCs w:val="22"/>
        </w:rPr>
      </w:pPr>
      <w:r w:rsidRPr="0060206A">
        <w:rPr>
          <w:szCs w:val="22"/>
        </w:rPr>
        <w:t>During the evaluation, results from a network meta-analyses published by Loveman et al 2015 were located</w:t>
      </w:r>
      <w:r w:rsidR="00531845">
        <w:rPr>
          <w:rStyle w:val="FootnoteReference"/>
          <w:szCs w:val="22"/>
        </w:rPr>
        <w:footnoteReference w:id="1"/>
      </w:r>
      <w:r w:rsidRPr="0060206A">
        <w:rPr>
          <w:szCs w:val="22"/>
        </w:rPr>
        <w:t xml:space="preserve">.  While pirfenidone and nitendanib </w:t>
      </w:r>
      <w:r w:rsidR="006D0895">
        <w:rPr>
          <w:szCs w:val="22"/>
        </w:rPr>
        <w:t xml:space="preserve">both </w:t>
      </w:r>
      <w:r w:rsidRPr="0060206A">
        <w:rPr>
          <w:szCs w:val="22"/>
        </w:rPr>
        <w:t xml:space="preserve">demonstrated beneficial effects, the authors concluded that nintedanib appeared to have a superior benefit for </w:t>
      </w:r>
      <w:r w:rsidRPr="00B6317B">
        <w:rPr>
          <w:szCs w:val="22"/>
        </w:rPr>
        <w:t>slowing decline in FVC (OR = 0.67,</w:t>
      </w:r>
      <w:r w:rsidR="003757FB">
        <w:rPr>
          <w:szCs w:val="22"/>
        </w:rPr>
        <w:t xml:space="preserve"> 95% CI: 0.51, 0.88).</w:t>
      </w:r>
    </w:p>
    <w:p w:rsidR="00A01F0F" w:rsidRPr="003757FB" w:rsidRDefault="00A01F0F" w:rsidP="00A01F0F">
      <w:pPr>
        <w:rPr>
          <w:szCs w:val="22"/>
        </w:rPr>
      </w:pPr>
    </w:p>
    <w:p w:rsidR="00A01F0F" w:rsidRPr="00B6317B" w:rsidRDefault="00A01F0F" w:rsidP="00A01F0F">
      <w:pPr>
        <w:pStyle w:val="ListParagraph"/>
        <w:numPr>
          <w:ilvl w:val="1"/>
          <w:numId w:val="2"/>
        </w:numPr>
        <w:rPr>
          <w:szCs w:val="22"/>
        </w:rPr>
      </w:pPr>
      <w:r w:rsidRPr="00B6317B">
        <w:rPr>
          <w:szCs w:val="22"/>
        </w:rPr>
        <w:t>The ESC considered that the data from the meta-analysis, by Loveman 2015, is valuable in not only providing another approach to the meta-analysis of the data and reassurance that the trials had similar patients but suggesting that pirfenidone is inferior to nintedanib, with respect to slowing the decline in FVC. The ESC noted in the review by Loveman 2015, there is conflicting data where pirfenidone has a trend to better overall survival but nintedanib has a trend to better prevention of exacerbations.</w:t>
      </w:r>
    </w:p>
    <w:p w:rsidR="00DA2050" w:rsidRPr="003757FB" w:rsidRDefault="00DA2050">
      <w:pPr>
        <w:widowControl/>
        <w:jc w:val="left"/>
      </w:pPr>
      <w:bookmarkStart w:id="11" w:name="_Toc430009533"/>
    </w:p>
    <w:p w:rsidR="00B60939" w:rsidRPr="003757FB" w:rsidRDefault="00B60939" w:rsidP="006412CE">
      <w:pPr>
        <w:pStyle w:val="Heading2"/>
      </w:pPr>
      <w:r w:rsidRPr="003757FB">
        <w:t>Comparative harms</w:t>
      </w:r>
      <w:bookmarkEnd w:id="11"/>
    </w:p>
    <w:p w:rsidR="00B60939" w:rsidRPr="00882085" w:rsidRDefault="00B60939" w:rsidP="00B60939">
      <w:pPr>
        <w:ind w:left="720" w:hanging="720"/>
        <w:rPr>
          <w:szCs w:val="22"/>
        </w:rPr>
      </w:pPr>
    </w:p>
    <w:p w:rsidR="00B60939" w:rsidRDefault="00715522" w:rsidP="00321D09">
      <w:pPr>
        <w:pStyle w:val="ListParagraph"/>
        <w:widowControl/>
        <w:numPr>
          <w:ilvl w:val="1"/>
          <w:numId w:val="2"/>
        </w:numPr>
        <w:rPr>
          <w:szCs w:val="22"/>
        </w:rPr>
      </w:pPr>
      <w:r>
        <w:rPr>
          <w:szCs w:val="22"/>
        </w:rPr>
        <w:t xml:space="preserve">Key results from the meta-analyses of safety outcomes are presented in </w:t>
      </w:r>
      <w:r w:rsidR="00CD0C24">
        <w:rPr>
          <w:szCs w:val="22"/>
        </w:rPr>
        <w:t>T</w:t>
      </w:r>
      <w:r>
        <w:rPr>
          <w:szCs w:val="22"/>
        </w:rPr>
        <w:t>able</w:t>
      </w:r>
      <w:r w:rsidR="00CD0C24">
        <w:rPr>
          <w:szCs w:val="22"/>
        </w:rPr>
        <w:t xml:space="preserve"> </w:t>
      </w:r>
      <w:r w:rsidR="007A65A1">
        <w:rPr>
          <w:szCs w:val="22"/>
        </w:rPr>
        <w:t>6</w:t>
      </w:r>
      <w:r w:rsidR="003757FB">
        <w:rPr>
          <w:szCs w:val="22"/>
        </w:rPr>
        <w:t>.</w:t>
      </w:r>
    </w:p>
    <w:p w:rsidR="00715522" w:rsidRPr="00CD0C24" w:rsidRDefault="00715522" w:rsidP="00715522">
      <w:pPr>
        <w:widowControl/>
        <w:rPr>
          <w:szCs w:val="22"/>
        </w:rPr>
      </w:pPr>
    </w:p>
    <w:p w:rsidR="00715522" w:rsidRPr="00413325" w:rsidRDefault="00715522" w:rsidP="00715522">
      <w:pPr>
        <w:keepNext/>
        <w:widowControl/>
        <w:ind w:firstLine="720"/>
        <w:rPr>
          <w:rStyle w:val="CommentReference"/>
        </w:rPr>
      </w:pPr>
      <w:r>
        <w:rPr>
          <w:rStyle w:val="CommentReference"/>
        </w:rPr>
        <w:t xml:space="preserve">Table </w:t>
      </w:r>
      <w:r w:rsidR="00392A22">
        <w:rPr>
          <w:rStyle w:val="CommentReference"/>
        </w:rPr>
        <w:t>6</w:t>
      </w:r>
      <w:r>
        <w:rPr>
          <w:rStyle w:val="CommentReference"/>
        </w:rPr>
        <w:t>: Summary of the meta-analyses of key safety outcomes from the nintedanib trials</w:t>
      </w:r>
    </w:p>
    <w:tbl>
      <w:tblPr>
        <w:tblStyle w:val="TableGrid"/>
        <w:tblW w:w="4594" w:type="pct"/>
        <w:tblInd w:w="737" w:type="dxa"/>
        <w:tblCellMar>
          <w:left w:w="28" w:type="dxa"/>
          <w:right w:w="28" w:type="dxa"/>
        </w:tblCellMar>
        <w:tblLook w:val="04A0" w:firstRow="1" w:lastRow="0" w:firstColumn="1" w:lastColumn="0" w:noHBand="0" w:noVBand="1"/>
        <w:tblCaption w:val="Table 6: Summary of the meta-analyses of key safety outcomes from the nintedanib trials"/>
      </w:tblPr>
      <w:tblGrid>
        <w:gridCol w:w="4172"/>
        <w:gridCol w:w="4173"/>
      </w:tblGrid>
      <w:tr w:rsidR="00715522" w:rsidTr="00715522">
        <w:trPr>
          <w:tblHeader/>
        </w:trPr>
        <w:tc>
          <w:tcPr>
            <w:tcW w:w="2500" w:type="pct"/>
            <w:vAlign w:val="center"/>
          </w:tcPr>
          <w:p w:rsidR="00715522" w:rsidRDefault="00715522" w:rsidP="00CD0C24">
            <w:pPr>
              <w:jc w:val="left"/>
              <w:rPr>
                <w:rStyle w:val="CommentReference"/>
                <w:b w:val="0"/>
              </w:rPr>
            </w:pPr>
          </w:p>
        </w:tc>
        <w:tc>
          <w:tcPr>
            <w:tcW w:w="2500" w:type="pct"/>
            <w:vAlign w:val="center"/>
          </w:tcPr>
          <w:p w:rsidR="00715522" w:rsidRPr="00DB3DE1" w:rsidRDefault="00715522" w:rsidP="00CD0C24">
            <w:pPr>
              <w:jc w:val="center"/>
              <w:rPr>
                <w:rStyle w:val="CommentReference"/>
              </w:rPr>
            </w:pPr>
            <w:r w:rsidRPr="00DB3DE1">
              <w:rPr>
                <w:rStyle w:val="CommentReference"/>
              </w:rPr>
              <w:t>Meta</w:t>
            </w:r>
            <w:r>
              <w:rPr>
                <w:rStyle w:val="CommentReference"/>
              </w:rPr>
              <w:t>-</w:t>
            </w:r>
            <w:r w:rsidRPr="00DB3DE1">
              <w:rPr>
                <w:rStyle w:val="CommentReference"/>
              </w:rPr>
              <w:t>analysis (Trial 30</w:t>
            </w:r>
            <w:r>
              <w:rPr>
                <w:rStyle w:val="CommentReference"/>
              </w:rPr>
              <w:t>, 32 &amp;</w:t>
            </w:r>
            <w:r w:rsidRPr="00DB3DE1">
              <w:rPr>
                <w:rStyle w:val="CommentReference"/>
              </w:rPr>
              <w:t xml:space="preserve"> 34): RR (95% CI)</w:t>
            </w:r>
          </w:p>
        </w:tc>
      </w:tr>
      <w:tr w:rsidR="00715522" w:rsidTr="00715522">
        <w:tc>
          <w:tcPr>
            <w:tcW w:w="5000" w:type="pct"/>
            <w:gridSpan w:val="2"/>
            <w:vAlign w:val="center"/>
          </w:tcPr>
          <w:p w:rsidR="00715522" w:rsidRPr="00DB3DE1" w:rsidRDefault="00715522" w:rsidP="00CD0C24">
            <w:pPr>
              <w:jc w:val="left"/>
              <w:rPr>
                <w:rStyle w:val="CommentReference"/>
              </w:rPr>
            </w:pPr>
            <w:r>
              <w:rPr>
                <w:rStyle w:val="CommentReference"/>
              </w:rPr>
              <w:t>Overall safety outcomes</w:t>
            </w:r>
          </w:p>
        </w:tc>
      </w:tr>
      <w:tr w:rsidR="00715522" w:rsidTr="00715522">
        <w:tc>
          <w:tcPr>
            <w:tcW w:w="2500" w:type="pct"/>
            <w:vAlign w:val="center"/>
          </w:tcPr>
          <w:p w:rsidR="00715522" w:rsidRDefault="00715522" w:rsidP="00CD0C24">
            <w:pPr>
              <w:jc w:val="left"/>
              <w:rPr>
                <w:rStyle w:val="CommentReference"/>
                <w:b w:val="0"/>
              </w:rPr>
            </w:pPr>
            <w:r>
              <w:rPr>
                <w:rStyle w:val="CommentReference"/>
                <w:b w:val="0"/>
              </w:rPr>
              <w:t>Number of patients with any AEs</w:t>
            </w:r>
          </w:p>
        </w:tc>
        <w:tc>
          <w:tcPr>
            <w:tcW w:w="2500" w:type="pct"/>
            <w:vAlign w:val="center"/>
          </w:tcPr>
          <w:p w:rsidR="00715522" w:rsidRPr="00612414" w:rsidRDefault="00715522" w:rsidP="00CD0C24">
            <w:pPr>
              <w:jc w:val="center"/>
              <w:rPr>
                <w:rStyle w:val="CommentReference"/>
                <w:b w:val="0"/>
              </w:rPr>
            </w:pPr>
            <w:r w:rsidRPr="005C5596">
              <w:rPr>
                <w:rStyle w:val="CommentReference"/>
                <w:b w:val="0"/>
              </w:rPr>
              <w:t>1.06 (1.03, 1.10)</w:t>
            </w:r>
          </w:p>
        </w:tc>
      </w:tr>
      <w:tr w:rsidR="00715522" w:rsidTr="00715522">
        <w:tc>
          <w:tcPr>
            <w:tcW w:w="2500" w:type="pct"/>
            <w:vAlign w:val="center"/>
          </w:tcPr>
          <w:p w:rsidR="00715522" w:rsidRDefault="00715522" w:rsidP="00CD0C24">
            <w:pPr>
              <w:jc w:val="left"/>
              <w:rPr>
                <w:rStyle w:val="CommentReference"/>
                <w:b w:val="0"/>
              </w:rPr>
            </w:pPr>
            <w:r>
              <w:rPr>
                <w:rStyle w:val="CommentReference"/>
                <w:b w:val="0"/>
              </w:rPr>
              <w:t>Drug related AEs</w:t>
            </w:r>
          </w:p>
        </w:tc>
        <w:tc>
          <w:tcPr>
            <w:tcW w:w="2500" w:type="pct"/>
            <w:vAlign w:val="center"/>
          </w:tcPr>
          <w:p w:rsidR="00715522" w:rsidRPr="00612414" w:rsidRDefault="00715522" w:rsidP="00CD0C24">
            <w:pPr>
              <w:jc w:val="center"/>
              <w:rPr>
                <w:rStyle w:val="CommentReference"/>
                <w:b w:val="0"/>
              </w:rPr>
            </w:pPr>
            <w:r w:rsidRPr="005C5596">
              <w:rPr>
                <w:rStyle w:val="CommentReference"/>
                <w:b w:val="0"/>
              </w:rPr>
              <w:t>2.45 (2.12, 2.83)</w:t>
            </w:r>
          </w:p>
        </w:tc>
      </w:tr>
      <w:tr w:rsidR="00715522" w:rsidTr="00715522">
        <w:tc>
          <w:tcPr>
            <w:tcW w:w="5000" w:type="pct"/>
            <w:gridSpan w:val="2"/>
            <w:vAlign w:val="center"/>
          </w:tcPr>
          <w:p w:rsidR="00715522" w:rsidRPr="00612414" w:rsidRDefault="00715522" w:rsidP="00CD0C24">
            <w:pPr>
              <w:jc w:val="left"/>
              <w:rPr>
                <w:rStyle w:val="CommentReference"/>
                <w:b w:val="0"/>
              </w:rPr>
            </w:pPr>
            <w:r>
              <w:rPr>
                <w:rStyle w:val="CommentReference"/>
              </w:rPr>
              <w:t>Common adverse events (&gt;5%)</w:t>
            </w:r>
          </w:p>
        </w:tc>
      </w:tr>
      <w:tr w:rsidR="00715522" w:rsidTr="00715522">
        <w:tc>
          <w:tcPr>
            <w:tcW w:w="2500" w:type="pct"/>
            <w:vAlign w:val="center"/>
          </w:tcPr>
          <w:p w:rsidR="00715522" w:rsidRDefault="00715522" w:rsidP="00CD0C24">
            <w:pPr>
              <w:jc w:val="left"/>
              <w:rPr>
                <w:rStyle w:val="CommentReference"/>
                <w:b w:val="0"/>
              </w:rPr>
            </w:pPr>
            <w:r>
              <w:rPr>
                <w:rStyle w:val="CommentReference"/>
                <w:b w:val="0"/>
              </w:rPr>
              <w:t>Diarrhoea</w:t>
            </w:r>
          </w:p>
        </w:tc>
        <w:tc>
          <w:tcPr>
            <w:tcW w:w="2500" w:type="pct"/>
            <w:vAlign w:val="center"/>
          </w:tcPr>
          <w:p w:rsidR="00715522" w:rsidRPr="00413325" w:rsidRDefault="00715522" w:rsidP="00CD0C24">
            <w:pPr>
              <w:jc w:val="center"/>
              <w:rPr>
                <w:rStyle w:val="CommentReference"/>
                <w:b w:val="0"/>
              </w:rPr>
            </w:pPr>
            <w:r w:rsidRPr="005C5596">
              <w:rPr>
                <w:rStyle w:val="CommentReference"/>
                <w:b w:val="0"/>
              </w:rPr>
              <w:t>3.41 (2.81, 4.15)</w:t>
            </w:r>
          </w:p>
        </w:tc>
      </w:tr>
      <w:tr w:rsidR="00715522" w:rsidTr="00715522">
        <w:tc>
          <w:tcPr>
            <w:tcW w:w="2500" w:type="pct"/>
            <w:vAlign w:val="center"/>
          </w:tcPr>
          <w:p w:rsidR="00715522" w:rsidRDefault="00715522" w:rsidP="00CD0C24">
            <w:pPr>
              <w:jc w:val="left"/>
              <w:rPr>
                <w:rStyle w:val="CommentReference"/>
                <w:b w:val="0"/>
              </w:rPr>
            </w:pPr>
            <w:r>
              <w:rPr>
                <w:rStyle w:val="CommentReference"/>
                <w:b w:val="0"/>
              </w:rPr>
              <w:t>Nausea</w:t>
            </w:r>
          </w:p>
        </w:tc>
        <w:tc>
          <w:tcPr>
            <w:tcW w:w="2500" w:type="pct"/>
            <w:vAlign w:val="center"/>
          </w:tcPr>
          <w:p w:rsidR="00715522" w:rsidRPr="00413325" w:rsidRDefault="00715522" w:rsidP="00CD0C24">
            <w:pPr>
              <w:jc w:val="center"/>
              <w:rPr>
                <w:rStyle w:val="CommentReference"/>
                <w:b w:val="0"/>
              </w:rPr>
            </w:pPr>
            <w:r w:rsidRPr="005C5596">
              <w:rPr>
                <w:rStyle w:val="CommentReference"/>
                <w:b w:val="0"/>
              </w:rPr>
              <w:t>3.41 (2.42, 4.81)</w:t>
            </w:r>
          </w:p>
        </w:tc>
      </w:tr>
      <w:tr w:rsidR="00715522" w:rsidTr="00715522">
        <w:tc>
          <w:tcPr>
            <w:tcW w:w="2500" w:type="pct"/>
            <w:vAlign w:val="center"/>
          </w:tcPr>
          <w:p w:rsidR="00715522" w:rsidRDefault="00715522" w:rsidP="00CD0C24">
            <w:pPr>
              <w:jc w:val="left"/>
              <w:rPr>
                <w:rStyle w:val="CommentReference"/>
                <w:b w:val="0"/>
              </w:rPr>
            </w:pPr>
            <w:r>
              <w:rPr>
                <w:rStyle w:val="CommentReference"/>
                <w:b w:val="0"/>
              </w:rPr>
              <w:t>Vomiting</w:t>
            </w:r>
          </w:p>
        </w:tc>
        <w:tc>
          <w:tcPr>
            <w:tcW w:w="2500" w:type="pct"/>
            <w:vAlign w:val="center"/>
          </w:tcPr>
          <w:p w:rsidR="00715522" w:rsidRPr="00413325" w:rsidRDefault="00715522" w:rsidP="00CD0C24">
            <w:pPr>
              <w:jc w:val="center"/>
              <w:rPr>
                <w:rStyle w:val="CommentReference"/>
                <w:b w:val="0"/>
              </w:rPr>
            </w:pPr>
            <w:r w:rsidRPr="005C5596">
              <w:rPr>
                <w:rStyle w:val="CommentReference"/>
                <w:b w:val="0"/>
              </w:rPr>
              <w:t>3.82 (2.22, 6.58)</w:t>
            </w:r>
          </w:p>
        </w:tc>
      </w:tr>
      <w:tr w:rsidR="00715522" w:rsidTr="00715522">
        <w:tc>
          <w:tcPr>
            <w:tcW w:w="2500" w:type="pct"/>
            <w:vAlign w:val="center"/>
          </w:tcPr>
          <w:p w:rsidR="00715522" w:rsidRDefault="00715522" w:rsidP="00CD0C24">
            <w:pPr>
              <w:jc w:val="left"/>
              <w:rPr>
                <w:rStyle w:val="CommentReference"/>
                <w:b w:val="0"/>
              </w:rPr>
            </w:pPr>
            <w:r>
              <w:rPr>
                <w:rStyle w:val="CommentReference"/>
                <w:b w:val="0"/>
              </w:rPr>
              <w:t>Dyspnoea</w:t>
            </w:r>
          </w:p>
        </w:tc>
        <w:tc>
          <w:tcPr>
            <w:tcW w:w="2500" w:type="pct"/>
            <w:vAlign w:val="center"/>
          </w:tcPr>
          <w:p w:rsidR="00715522" w:rsidRPr="00413325" w:rsidRDefault="00715522" w:rsidP="00CD0C24">
            <w:pPr>
              <w:jc w:val="center"/>
              <w:rPr>
                <w:rStyle w:val="CommentReference"/>
                <w:b w:val="0"/>
              </w:rPr>
            </w:pPr>
            <w:r w:rsidRPr="005C5596">
              <w:rPr>
                <w:rStyle w:val="CommentReference"/>
                <w:b w:val="0"/>
              </w:rPr>
              <w:t>0.66 (0.46, 0.93)</w:t>
            </w:r>
          </w:p>
        </w:tc>
      </w:tr>
    </w:tbl>
    <w:p w:rsidR="00715522" w:rsidRDefault="00715522" w:rsidP="00715522">
      <w:pPr>
        <w:pStyle w:val="TableFooter"/>
        <w:keepNext/>
        <w:ind w:firstLine="720"/>
      </w:pPr>
      <w:r>
        <w:t xml:space="preserve">Abbreviations: AE = adverse event; SAE = serious adverse event.  </w:t>
      </w:r>
    </w:p>
    <w:p w:rsidR="00715522" w:rsidRPr="00612414" w:rsidRDefault="00715522" w:rsidP="00715522">
      <w:pPr>
        <w:pStyle w:val="TableFooter"/>
        <w:ind w:firstLine="720"/>
      </w:pPr>
      <w:r>
        <w:t>Source: Table B.6-15, pp109-110 and Table B.8-1, pp123-124 of the re-submission</w:t>
      </w:r>
    </w:p>
    <w:p w:rsidR="00715522" w:rsidRPr="00715522" w:rsidRDefault="00715522" w:rsidP="00715522">
      <w:pPr>
        <w:widowControl/>
        <w:rPr>
          <w:szCs w:val="22"/>
        </w:rPr>
      </w:pPr>
    </w:p>
    <w:p w:rsidR="00715522" w:rsidRDefault="00715522" w:rsidP="00321D09">
      <w:pPr>
        <w:pStyle w:val="ListParagraph"/>
        <w:widowControl/>
        <w:numPr>
          <w:ilvl w:val="1"/>
          <w:numId w:val="2"/>
        </w:numPr>
        <w:rPr>
          <w:szCs w:val="22"/>
        </w:rPr>
      </w:pPr>
      <w:r>
        <w:rPr>
          <w:szCs w:val="22"/>
        </w:rPr>
        <w:t>At the March 2015 meeting, the PBAC noted that nintedanib was associated with statistically significantly higher instances of drug related adverse events and gastrointestinal adverse events including diarrhoea, nausea and vomiting (March 2015, paragraph 7.9)</w:t>
      </w:r>
      <w:r w:rsidR="007F30CE">
        <w:rPr>
          <w:szCs w:val="22"/>
        </w:rPr>
        <w:t xml:space="preserve">.  A statistically significant difference was also observed for arterial thromboembolic events (RR = </w:t>
      </w:r>
      <w:r w:rsidR="00F146E1">
        <w:rPr>
          <w:noProof/>
          <w:color w:val="000000"/>
          <w:szCs w:val="22"/>
          <w:highlight w:val="black"/>
        </w:rPr>
        <w:t>''''''''''</w:t>
      </w:r>
      <w:r w:rsidR="007F30CE">
        <w:rPr>
          <w:szCs w:val="22"/>
        </w:rPr>
        <w:t xml:space="preserve">, 95% CI: </w:t>
      </w:r>
      <w:r w:rsidR="00F146E1">
        <w:rPr>
          <w:noProof/>
          <w:color w:val="000000"/>
          <w:szCs w:val="22"/>
          <w:highlight w:val="black"/>
        </w:rPr>
        <w:t>''''''''''''' ''''''''''''''</w:t>
      </w:r>
      <w:r w:rsidR="007F30CE">
        <w:rPr>
          <w:szCs w:val="22"/>
        </w:rPr>
        <w:t>) in the pooled a</w:t>
      </w:r>
      <w:r w:rsidR="003757FB">
        <w:rPr>
          <w:szCs w:val="22"/>
        </w:rPr>
        <w:t>nalysis of the phase 3 trials.</w:t>
      </w:r>
    </w:p>
    <w:p w:rsidR="00B60939" w:rsidRDefault="00B60939" w:rsidP="007F1017">
      <w:pPr>
        <w:pStyle w:val="ListParagraph"/>
        <w:ind w:left="0"/>
        <w:rPr>
          <w:szCs w:val="22"/>
        </w:rPr>
      </w:pPr>
    </w:p>
    <w:p w:rsidR="007F1017" w:rsidRPr="003757FB" w:rsidRDefault="007F1017" w:rsidP="006412CE">
      <w:pPr>
        <w:pStyle w:val="Heading2"/>
        <w:rPr>
          <w:szCs w:val="22"/>
        </w:rPr>
      </w:pPr>
      <w:bookmarkStart w:id="12" w:name="_Toc430009534"/>
      <w:r w:rsidRPr="003757FB">
        <w:t>Benefits/harms</w:t>
      </w:r>
      <w:bookmarkEnd w:id="12"/>
    </w:p>
    <w:p w:rsidR="007F1017" w:rsidRPr="007F1017" w:rsidRDefault="007F1017" w:rsidP="007F1017">
      <w:pPr>
        <w:pStyle w:val="ListParagraph"/>
        <w:ind w:left="0"/>
        <w:rPr>
          <w:szCs w:val="22"/>
        </w:rPr>
      </w:pPr>
    </w:p>
    <w:p w:rsidR="00EC00C9" w:rsidRPr="00B50DB8" w:rsidRDefault="00EC00C9" w:rsidP="00321D09">
      <w:pPr>
        <w:pStyle w:val="ListParagraph"/>
        <w:widowControl/>
        <w:numPr>
          <w:ilvl w:val="1"/>
          <w:numId w:val="2"/>
        </w:numPr>
        <w:rPr>
          <w:szCs w:val="22"/>
        </w:rPr>
      </w:pPr>
      <w:r w:rsidRPr="00B50DB8">
        <w:rPr>
          <w:szCs w:val="22"/>
        </w:rPr>
        <w:t xml:space="preserve">A summary of the comparative benefits and harms for </w:t>
      </w:r>
      <w:r w:rsidR="007F30CE">
        <w:rPr>
          <w:szCs w:val="22"/>
        </w:rPr>
        <w:t>nintedanib and placebo</w:t>
      </w:r>
      <w:r w:rsidRPr="00B50DB8">
        <w:rPr>
          <w:szCs w:val="22"/>
        </w:rPr>
        <w:t xml:space="preserve"> is presented in the </w:t>
      </w:r>
      <w:r w:rsidR="007F30CE">
        <w:rPr>
          <w:szCs w:val="22"/>
        </w:rPr>
        <w:t>following table</w:t>
      </w:r>
      <w:r w:rsidRPr="00B50DB8">
        <w:rPr>
          <w:szCs w:val="22"/>
        </w:rPr>
        <w:t>.</w:t>
      </w:r>
      <w:r w:rsidR="00410708" w:rsidRPr="00B50DB8">
        <w:rPr>
          <w:szCs w:val="22"/>
        </w:rPr>
        <w:t xml:space="preserve"> </w:t>
      </w:r>
    </w:p>
    <w:p w:rsidR="00162913" w:rsidRDefault="00162913" w:rsidP="004B1CB4"/>
    <w:p w:rsidR="007F30CE" w:rsidRPr="00A578DC" w:rsidRDefault="007F30CE" w:rsidP="007F30CE">
      <w:pPr>
        <w:keepNext/>
        <w:ind w:firstLine="720"/>
        <w:rPr>
          <w:rStyle w:val="CommentReference"/>
        </w:rPr>
      </w:pPr>
      <w:r w:rsidRPr="00A578DC">
        <w:rPr>
          <w:rStyle w:val="CommentReference"/>
        </w:rPr>
        <w:t xml:space="preserve">Table </w:t>
      </w:r>
      <w:r w:rsidR="00392A22">
        <w:rPr>
          <w:rStyle w:val="CommentReference"/>
        </w:rPr>
        <w:t>7</w:t>
      </w:r>
      <w:r w:rsidRPr="00A578DC">
        <w:rPr>
          <w:rStyle w:val="CommentReference"/>
        </w:rPr>
        <w:t xml:space="preserve">: Summary of comparative benefits and harms for </w:t>
      </w:r>
      <w:r>
        <w:rPr>
          <w:rStyle w:val="CommentReference"/>
        </w:rPr>
        <w:t>nintedanib and placebo</w:t>
      </w:r>
    </w:p>
    <w:tbl>
      <w:tblPr>
        <w:tblStyle w:val="TableGrid"/>
        <w:tblW w:w="4625" w:type="pct"/>
        <w:tblInd w:w="698" w:type="dxa"/>
        <w:tblLayout w:type="fixed"/>
        <w:tblCellMar>
          <w:left w:w="28" w:type="dxa"/>
          <w:right w:w="28" w:type="dxa"/>
        </w:tblCellMar>
        <w:tblLook w:val="04A0" w:firstRow="1" w:lastRow="0" w:firstColumn="1" w:lastColumn="0" w:noHBand="0" w:noVBand="1"/>
        <w:tblCaption w:val="Table 7: Summary of comparative benefits and harms for nintedanib and placebo"/>
      </w:tblPr>
      <w:tblGrid>
        <w:gridCol w:w="1323"/>
        <w:gridCol w:w="997"/>
        <w:gridCol w:w="1201"/>
        <w:gridCol w:w="1286"/>
        <w:gridCol w:w="1292"/>
        <w:gridCol w:w="776"/>
        <w:gridCol w:w="1527"/>
      </w:tblGrid>
      <w:tr w:rsidR="007F30CE" w:rsidRPr="00E2771E" w:rsidTr="005D439E">
        <w:trPr>
          <w:cantSplit/>
          <w:trHeight w:val="150"/>
          <w:tblHeader/>
        </w:trPr>
        <w:tc>
          <w:tcPr>
            <w:tcW w:w="787" w:type="pct"/>
            <w:vMerge w:val="restart"/>
            <w:shd w:val="clear" w:color="auto" w:fill="auto"/>
            <w:vAlign w:val="center"/>
          </w:tcPr>
          <w:p w:rsidR="007F30CE" w:rsidRPr="00E2771E" w:rsidRDefault="007F30CE" w:rsidP="00825310">
            <w:pPr>
              <w:rPr>
                <w:rFonts w:ascii="Arial Narrow" w:hAnsi="Arial Narrow"/>
                <w:b/>
                <w:color w:val="000000"/>
                <w:sz w:val="20"/>
                <w:szCs w:val="18"/>
              </w:rPr>
            </w:pPr>
            <w:r w:rsidRPr="00E2771E">
              <w:rPr>
                <w:rFonts w:ascii="Arial Narrow" w:hAnsi="Arial Narrow"/>
                <w:b/>
                <w:color w:val="000000"/>
                <w:sz w:val="20"/>
                <w:szCs w:val="18"/>
              </w:rPr>
              <w:t>Trial</w:t>
            </w:r>
          </w:p>
        </w:tc>
        <w:tc>
          <w:tcPr>
            <w:tcW w:w="593" w:type="pct"/>
            <w:vMerge w:val="restart"/>
            <w:vAlign w:val="center"/>
          </w:tcPr>
          <w:p w:rsidR="007F30CE" w:rsidRPr="00E2771E" w:rsidRDefault="007F30CE" w:rsidP="00825310">
            <w:pPr>
              <w:jc w:val="center"/>
              <w:rPr>
                <w:rFonts w:ascii="Arial Narrow" w:hAnsi="Arial Narrow"/>
                <w:b/>
                <w:color w:val="000000"/>
                <w:sz w:val="20"/>
                <w:szCs w:val="18"/>
              </w:rPr>
            </w:pPr>
            <w:r>
              <w:rPr>
                <w:rFonts w:ascii="Arial Narrow" w:hAnsi="Arial Narrow"/>
                <w:b/>
                <w:color w:val="000000"/>
                <w:sz w:val="20"/>
                <w:szCs w:val="18"/>
              </w:rPr>
              <w:t>Nintedanib</w:t>
            </w:r>
          </w:p>
        </w:tc>
        <w:tc>
          <w:tcPr>
            <w:tcW w:w="715" w:type="pct"/>
            <w:vMerge w:val="restart"/>
            <w:vAlign w:val="center"/>
          </w:tcPr>
          <w:p w:rsidR="007F30CE" w:rsidRPr="00E2771E" w:rsidRDefault="007F30CE" w:rsidP="00825310">
            <w:pPr>
              <w:jc w:val="center"/>
              <w:rPr>
                <w:rFonts w:ascii="Arial Narrow" w:hAnsi="Arial Narrow"/>
                <w:b/>
                <w:color w:val="000000"/>
                <w:sz w:val="20"/>
                <w:szCs w:val="18"/>
              </w:rPr>
            </w:pPr>
            <w:r>
              <w:rPr>
                <w:rFonts w:ascii="Arial Narrow" w:hAnsi="Arial Narrow"/>
                <w:b/>
                <w:color w:val="000000"/>
                <w:sz w:val="20"/>
                <w:szCs w:val="18"/>
              </w:rPr>
              <w:t>Placebo</w:t>
            </w:r>
          </w:p>
        </w:tc>
        <w:tc>
          <w:tcPr>
            <w:tcW w:w="765" w:type="pct"/>
            <w:vMerge w:val="restart"/>
            <w:vAlign w:val="center"/>
          </w:tcPr>
          <w:p w:rsidR="007F30CE" w:rsidRPr="00E2771E" w:rsidRDefault="007F30CE" w:rsidP="00825310">
            <w:pPr>
              <w:jc w:val="center"/>
              <w:rPr>
                <w:rFonts w:ascii="Arial Narrow" w:hAnsi="Arial Narrow"/>
                <w:b/>
                <w:color w:val="000000"/>
                <w:sz w:val="20"/>
                <w:szCs w:val="18"/>
              </w:rPr>
            </w:pPr>
            <w:r w:rsidRPr="00E2771E">
              <w:rPr>
                <w:rFonts w:ascii="Arial Narrow" w:hAnsi="Arial Narrow"/>
                <w:b/>
                <w:color w:val="000000"/>
                <w:sz w:val="20"/>
                <w:szCs w:val="18"/>
              </w:rPr>
              <w:t>RR</w:t>
            </w:r>
            <w:r>
              <w:rPr>
                <w:rFonts w:ascii="Arial Narrow" w:hAnsi="Arial Narrow"/>
                <w:b/>
                <w:color w:val="000000"/>
                <w:sz w:val="20"/>
                <w:szCs w:val="18"/>
              </w:rPr>
              <w:t xml:space="preserve"> </w:t>
            </w:r>
            <w:r w:rsidRPr="00E2771E">
              <w:rPr>
                <w:rFonts w:ascii="Arial Narrow" w:hAnsi="Arial Narrow"/>
                <w:b/>
                <w:color w:val="000000"/>
                <w:sz w:val="20"/>
                <w:szCs w:val="18"/>
              </w:rPr>
              <w:t>(95% CI)</w:t>
            </w:r>
          </w:p>
        </w:tc>
        <w:tc>
          <w:tcPr>
            <w:tcW w:w="1231" w:type="pct"/>
            <w:gridSpan w:val="2"/>
            <w:vAlign w:val="center"/>
          </w:tcPr>
          <w:p w:rsidR="007F30CE" w:rsidRPr="00E2771E" w:rsidRDefault="007F30CE" w:rsidP="00825310">
            <w:pPr>
              <w:jc w:val="center"/>
              <w:rPr>
                <w:rFonts w:ascii="Arial Narrow" w:hAnsi="Arial Narrow"/>
                <w:b/>
                <w:color w:val="000000"/>
                <w:sz w:val="20"/>
                <w:szCs w:val="18"/>
              </w:rPr>
            </w:pPr>
            <w:r>
              <w:rPr>
                <w:rFonts w:ascii="Arial Narrow" w:hAnsi="Arial Narrow"/>
                <w:b/>
                <w:color w:val="000000"/>
                <w:sz w:val="20"/>
                <w:szCs w:val="18"/>
              </w:rPr>
              <w:t>Event rate/100 patients*</w:t>
            </w:r>
            <w:r w:rsidRPr="00E2771E">
              <w:rPr>
                <w:rFonts w:ascii="Arial Narrow" w:hAnsi="Arial Narrow"/>
                <w:b/>
                <w:color w:val="000000"/>
                <w:sz w:val="20"/>
                <w:szCs w:val="18"/>
              </w:rPr>
              <w:t xml:space="preserve"> </w:t>
            </w:r>
          </w:p>
        </w:tc>
        <w:tc>
          <w:tcPr>
            <w:tcW w:w="909" w:type="pct"/>
            <w:vMerge w:val="restart"/>
            <w:vAlign w:val="center"/>
          </w:tcPr>
          <w:p w:rsidR="007F30CE" w:rsidRPr="00E2771E" w:rsidRDefault="007F30CE" w:rsidP="00825310">
            <w:pPr>
              <w:jc w:val="center"/>
              <w:rPr>
                <w:rFonts w:ascii="Arial Narrow" w:hAnsi="Arial Narrow"/>
                <w:b/>
                <w:color w:val="000000"/>
                <w:sz w:val="20"/>
                <w:szCs w:val="18"/>
              </w:rPr>
            </w:pPr>
            <w:r w:rsidRPr="00E2771E">
              <w:rPr>
                <w:rFonts w:ascii="Arial Narrow" w:hAnsi="Arial Narrow"/>
                <w:b/>
                <w:color w:val="000000"/>
                <w:sz w:val="20"/>
                <w:szCs w:val="18"/>
              </w:rPr>
              <w:t>RD</w:t>
            </w:r>
            <w:r>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7F30CE" w:rsidRPr="00E2771E" w:rsidTr="005D439E">
        <w:trPr>
          <w:cantSplit/>
          <w:trHeight w:val="70"/>
          <w:tblHeader/>
        </w:trPr>
        <w:tc>
          <w:tcPr>
            <w:tcW w:w="787" w:type="pct"/>
            <w:vMerge/>
            <w:shd w:val="clear" w:color="auto" w:fill="auto"/>
            <w:vAlign w:val="center"/>
          </w:tcPr>
          <w:p w:rsidR="007F30CE" w:rsidRPr="00E2771E" w:rsidRDefault="007F30CE" w:rsidP="00825310">
            <w:pPr>
              <w:rPr>
                <w:rFonts w:ascii="Arial Narrow" w:hAnsi="Arial Narrow"/>
                <w:b/>
                <w:color w:val="000000"/>
                <w:sz w:val="20"/>
                <w:szCs w:val="18"/>
              </w:rPr>
            </w:pPr>
          </w:p>
        </w:tc>
        <w:tc>
          <w:tcPr>
            <w:tcW w:w="593" w:type="pct"/>
            <w:vMerge/>
            <w:vAlign w:val="center"/>
          </w:tcPr>
          <w:p w:rsidR="007F30CE" w:rsidRPr="00E2771E" w:rsidRDefault="007F30CE" w:rsidP="00825310">
            <w:pPr>
              <w:jc w:val="center"/>
              <w:rPr>
                <w:rFonts w:ascii="Arial Narrow" w:hAnsi="Arial Narrow"/>
                <w:b/>
                <w:color w:val="000000"/>
                <w:sz w:val="20"/>
                <w:szCs w:val="18"/>
              </w:rPr>
            </w:pPr>
          </w:p>
        </w:tc>
        <w:tc>
          <w:tcPr>
            <w:tcW w:w="715" w:type="pct"/>
            <w:vMerge/>
            <w:vAlign w:val="center"/>
          </w:tcPr>
          <w:p w:rsidR="007F30CE" w:rsidRPr="00E2771E" w:rsidRDefault="007F30CE" w:rsidP="00825310">
            <w:pPr>
              <w:jc w:val="center"/>
              <w:rPr>
                <w:rFonts w:ascii="Arial Narrow" w:hAnsi="Arial Narrow"/>
                <w:b/>
                <w:color w:val="000000"/>
                <w:sz w:val="20"/>
                <w:szCs w:val="18"/>
              </w:rPr>
            </w:pPr>
          </w:p>
        </w:tc>
        <w:tc>
          <w:tcPr>
            <w:tcW w:w="765" w:type="pct"/>
            <w:vMerge/>
            <w:vAlign w:val="center"/>
          </w:tcPr>
          <w:p w:rsidR="007F30CE" w:rsidRPr="00E2771E" w:rsidRDefault="007F30CE" w:rsidP="00825310">
            <w:pPr>
              <w:jc w:val="center"/>
              <w:rPr>
                <w:rFonts w:ascii="Arial Narrow" w:hAnsi="Arial Narrow"/>
                <w:b/>
                <w:color w:val="000000"/>
                <w:sz w:val="20"/>
                <w:szCs w:val="18"/>
              </w:rPr>
            </w:pPr>
          </w:p>
        </w:tc>
        <w:tc>
          <w:tcPr>
            <w:tcW w:w="769" w:type="pct"/>
            <w:vAlign w:val="center"/>
          </w:tcPr>
          <w:p w:rsidR="007F30CE" w:rsidRPr="00E2771E" w:rsidRDefault="007F30CE" w:rsidP="00825310">
            <w:pPr>
              <w:jc w:val="center"/>
              <w:rPr>
                <w:rFonts w:ascii="Arial Narrow" w:hAnsi="Arial Narrow"/>
                <w:b/>
                <w:color w:val="000000"/>
                <w:sz w:val="20"/>
                <w:szCs w:val="18"/>
              </w:rPr>
            </w:pPr>
            <w:r>
              <w:rPr>
                <w:rFonts w:ascii="Arial Narrow" w:hAnsi="Arial Narrow"/>
                <w:b/>
                <w:color w:val="000000"/>
                <w:sz w:val="20"/>
                <w:szCs w:val="18"/>
              </w:rPr>
              <w:t>Nintedanib</w:t>
            </w:r>
          </w:p>
        </w:tc>
        <w:tc>
          <w:tcPr>
            <w:tcW w:w="462" w:type="pct"/>
            <w:vAlign w:val="center"/>
          </w:tcPr>
          <w:p w:rsidR="007F30CE" w:rsidRPr="00E2771E" w:rsidRDefault="007F30CE" w:rsidP="00825310">
            <w:pPr>
              <w:jc w:val="center"/>
              <w:rPr>
                <w:rFonts w:ascii="Arial Narrow" w:hAnsi="Arial Narrow"/>
                <w:b/>
                <w:color w:val="000000"/>
                <w:sz w:val="20"/>
                <w:szCs w:val="18"/>
              </w:rPr>
            </w:pPr>
            <w:r>
              <w:rPr>
                <w:rFonts w:ascii="Arial Narrow" w:hAnsi="Arial Narrow"/>
                <w:b/>
                <w:color w:val="000000"/>
                <w:sz w:val="20"/>
                <w:szCs w:val="18"/>
              </w:rPr>
              <w:t>Placebo</w:t>
            </w:r>
          </w:p>
        </w:tc>
        <w:tc>
          <w:tcPr>
            <w:tcW w:w="909" w:type="pct"/>
            <w:vMerge/>
            <w:vAlign w:val="center"/>
          </w:tcPr>
          <w:p w:rsidR="007F30CE" w:rsidRPr="00E2771E" w:rsidRDefault="007F30CE" w:rsidP="00825310">
            <w:pPr>
              <w:jc w:val="center"/>
              <w:rPr>
                <w:rFonts w:ascii="Arial Narrow" w:hAnsi="Arial Narrow"/>
                <w:b/>
                <w:color w:val="000000"/>
                <w:sz w:val="20"/>
                <w:szCs w:val="18"/>
              </w:rPr>
            </w:pPr>
          </w:p>
        </w:tc>
      </w:tr>
      <w:tr w:rsidR="007F30CE" w:rsidRPr="007B4FF2" w:rsidTr="00825310">
        <w:trPr>
          <w:cantSplit/>
        </w:trPr>
        <w:tc>
          <w:tcPr>
            <w:tcW w:w="5000" w:type="pct"/>
            <w:gridSpan w:val="7"/>
            <w:shd w:val="clear" w:color="auto" w:fill="auto"/>
            <w:vAlign w:val="center"/>
          </w:tcPr>
          <w:p w:rsidR="007F30CE" w:rsidRPr="007B4FF2" w:rsidRDefault="007F30CE" w:rsidP="00825310">
            <w:pPr>
              <w:rPr>
                <w:rFonts w:ascii="Arial Narrow" w:hAnsi="Arial Narrow"/>
                <w:b/>
                <w:color w:val="000000"/>
                <w:sz w:val="20"/>
                <w:szCs w:val="18"/>
              </w:rPr>
            </w:pPr>
            <w:r w:rsidRPr="007B4FF2">
              <w:rPr>
                <w:rFonts w:ascii="Arial Narrow" w:hAnsi="Arial Narrow"/>
                <w:b/>
                <w:color w:val="000000"/>
                <w:sz w:val="20"/>
                <w:szCs w:val="18"/>
              </w:rPr>
              <w:t>Benefits</w:t>
            </w:r>
          </w:p>
        </w:tc>
      </w:tr>
      <w:tr w:rsidR="007F30CE" w:rsidRPr="007B4FF2" w:rsidTr="00825310">
        <w:trPr>
          <w:cantSplit/>
        </w:trPr>
        <w:tc>
          <w:tcPr>
            <w:tcW w:w="5000" w:type="pct"/>
            <w:gridSpan w:val="7"/>
            <w:shd w:val="clear" w:color="auto" w:fill="auto"/>
            <w:vAlign w:val="center"/>
          </w:tcPr>
          <w:p w:rsidR="007F30CE" w:rsidRPr="007B4FF2" w:rsidRDefault="007F30CE" w:rsidP="00825310">
            <w:pPr>
              <w:rPr>
                <w:rFonts w:ascii="Arial Narrow" w:hAnsi="Arial Narrow"/>
                <w:b/>
                <w:color w:val="000000"/>
                <w:sz w:val="20"/>
                <w:szCs w:val="18"/>
              </w:rPr>
            </w:pPr>
            <w:r>
              <w:rPr>
                <w:rFonts w:ascii="Arial Narrow" w:hAnsi="Arial Narrow"/>
                <w:b/>
                <w:color w:val="000000"/>
                <w:sz w:val="20"/>
                <w:szCs w:val="18"/>
              </w:rPr>
              <w:t>A</w:t>
            </w:r>
            <w:r w:rsidRPr="007B4FF2">
              <w:rPr>
                <w:rFonts w:ascii="Arial Narrow" w:hAnsi="Arial Narrow"/>
                <w:b/>
                <w:color w:val="000000"/>
                <w:sz w:val="20"/>
                <w:szCs w:val="18"/>
              </w:rPr>
              <w:t>ll-cause mortality over 52 weeks</w:t>
            </w:r>
          </w:p>
        </w:tc>
      </w:tr>
      <w:tr w:rsidR="007F30CE" w:rsidRPr="00E2771E" w:rsidTr="00825310">
        <w:trPr>
          <w:cantSplit/>
        </w:trPr>
        <w:tc>
          <w:tcPr>
            <w:tcW w:w="787" w:type="pct"/>
            <w:shd w:val="clear" w:color="auto" w:fill="auto"/>
            <w:vAlign w:val="center"/>
          </w:tcPr>
          <w:p w:rsidR="007F30CE" w:rsidRPr="00E2771E" w:rsidRDefault="007F30CE" w:rsidP="00825310">
            <w:pPr>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 32 &amp; 34</w:t>
            </w:r>
          </w:p>
        </w:tc>
        <w:tc>
          <w:tcPr>
            <w:tcW w:w="593" w:type="pct"/>
            <w:vAlign w:val="center"/>
          </w:tcPr>
          <w:p w:rsidR="007F30CE" w:rsidRPr="00E2771E" w:rsidRDefault="007F30CE" w:rsidP="00825310">
            <w:pPr>
              <w:jc w:val="center"/>
              <w:rPr>
                <w:rFonts w:ascii="Arial Narrow" w:hAnsi="Arial Narrow"/>
                <w:color w:val="000000"/>
                <w:sz w:val="20"/>
                <w:szCs w:val="18"/>
              </w:rPr>
            </w:pPr>
            <w:r>
              <w:rPr>
                <w:rFonts w:ascii="Arial Narrow" w:hAnsi="Arial Narrow"/>
                <w:color w:val="000000"/>
                <w:sz w:val="20"/>
                <w:szCs w:val="18"/>
              </w:rPr>
              <w:t>42/724</w:t>
            </w:r>
          </w:p>
        </w:tc>
        <w:tc>
          <w:tcPr>
            <w:tcW w:w="715" w:type="pct"/>
            <w:vAlign w:val="center"/>
          </w:tcPr>
          <w:p w:rsidR="007F30CE" w:rsidRPr="00E2771E" w:rsidRDefault="007F30CE" w:rsidP="00825310">
            <w:pPr>
              <w:jc w:val="center"/>
              <w:rPr>
                <w:rFonts w:ascii="Arial Narrow" w:hAnsi="Arial Narrow"/>
                <w:color w:val="000000"/>
                <w:sz w:val="20"/>
                <w:szCs w:val="18"/>
              </w:rPr>
            </w:pPr>
            <w:r>
              <w:rPr>
                <w:rFonts w:ascii="Arial Narrow" w:hAnsi="Arial Narrow"/>
                <w:color w:val="000000"/>
                <w:sz w:val="20"/>
                <w:szCs w:val="18"/>
              </w:rPr>
              <w:t>42/510</w:t>
            </w:r>
          </w:p>
        </w:tc>
        <w:tc>
          <w:tcPr>
            <w:tcW w:w="765" w:type="pct"/>
            <w:vAlign w:val="center"/>
          </w:tcPr>
          <w:p w:rsidR="007F30CE" w:rsidRPr="00E2771E" w:rsidRDefault="007F30CE" w:rsidP="00825310">
            <w:pPr>
              <w:jc w:val="center"/>
              <w:rPr>
                <w:rFonts w:ascii="Arial Narrow" w:hAnsi="Arial Narrow"/>
                <w:color w:val="000000"/>
                <w:sz w:val="20"/>
                <w:szCs w:val="18"/>
              </w:rPr>
            </w:pPr>
            <w:r w:rsidRPr="005C5596">
              <w:rPr>
                <w:rStyle w:val="CommentReference"/>
                <w:b w:val="0"/>
              </w:rPr>
              <w:t>0.72 (0.48, 1.09</w:t>
            </w:r>
            <w:r w:rsidRPr="002F53A9">
              <w:rPr>
                <w:rStyle w:val="CommentReference"/>
                <w:b w:val="0"/>
              </w:rPr>
              <w:t>)</w:t>
            </w:r>
          </w:p>
        </w:tc>
        <w:tc>
          <w:tcPr>
            <w:tcW w:w="769" w:type="pct"/>
            <w:vAlign w:val="center"/>
          </w:tcPr>
          <w:p w:rsidR="007F30CE" w:rsidRPr="00E2771E" w:rsidRDefault="007F30CE" w:rsidP="00825310">
            <w:pPr>
              <w:jc w:val="center"/>
              <w:rPr>
                <w:rFonts w:ascii="Arial Narrow" w:hAnsi="Arial Narrow"/>
                <w:color w:val="000000"/>
                <w:sz w:val="20"/>
                <w:szCs w:val="18"/>
              </w:rPr>
            </w:pPr>
            <w:r>
              <w:rPr>
                <w:rFonts w:ascii="Arial Narrow" w:hAnsi="Arial Narrow"/>
                <w:color w:val="000000"/>
                <w:sz w:val="20"/>
                <w:szCs w:val="18"/>
              </w:rPr>
              <w:t>5.8</w:t>
            </w:r>
          </w:p>
        </w:tc>
        <w:tc>
          <w:tcPr>
            <w:tcW w:w="462" w:type="pct"/>
            <w:vAlign w:val="center"/>
          </w:tcPr>
          <w:p w:rsidR="007F30CE" w:rsidRPr="00E2771E" w:rsidRDefault="007F30CE" w:rsidP="00825310">
            <w:pPr>
              <w:jc w:val="center"/>
              <w:rPr>
                <w:rFonts w:ascii="Arial Narrow" w:hAnsi="Arial Narrow"/>
                <w:color w:val="000000"/>
                <w:sz w:val="20"/>
                <w:szCs w:val="18"/>
              </w:rPr>
            </w:pPr>
            <w:r>
              <w:rPr>
                <w:rFonts w:ascii="Arial Narrow" w:hAnsi="Arial Narrow"/>
                <w:color w:val="000000"/>
                <w:sz w:val="20"/>
                <w:szCs w:val="18"/>
              </w:rPr>
              <w:t>8.2</w:t>
            </w:r>
          </w:p>
        </w:tc>
        <w:tc>
          <w:tcPr>
            <w:tcW w:w="909" w:type="pct"/>
            <w:vAlign w:val="center"/>
          </w:tcPr>
          <w:p w:rsidR="007F30CE" w:rsidRPr="00E2771E" w:rsidRDefault="007F30CE" w:rsidP="00825310">
            <w:pPr>
              <w:jc w:val="center"/>
              <w:rPr>
                <w:rFonts w:ascii="Arial Narrow" w:hAnsi="Arial Narrow"/>
                <w:color w:val="000000"/>
                <w:sz w:val="20"/>
                <w:szCs w:val="18"/>
              </w:rPr>
            </w:pPr>
            <w:r w:rsidRPr="005C5596">
              <w:rPr>
                <w:rStyle w:val="CommentReference"/>
                <w:b w:val="0"/>
              </w:rPr>
              <w:t>-0.02 (-0.05, 0.01)</w:t>
            </w:r>
          </w:p>
        </w:tc>
      </w:tr>
      <w:tr w:rsidR="007F30CE" w:rsidRPr="007B4FF2" w:rsidTr="00825310">
        <w:trPr>
          <w:cantSplit/>
        </w:trPr>
        <w:tc>
          <w:tcPr>
            <w:tcW w:w="5000" w:type="pct"/>
            <w:gridSpan w:val="7"/>
            <w:shd w:val="clear" w:color="auto" w:fill="auto"/>
            <w:vAlign w:val="center"/>
          </w:tcPr>
          <w:p w:rsidR="007F30CE" w:rsidRPr="007B4FF2" w:rsidRDefault="007F30CE" w:rsidP="00825310">
            <w:pPr>
              <w:jc w:val="left"/>
              <w:rPr>
                <w:rFonts w:ascii="Arial Narrow" w:hAnsi="Arial Narrow"/>
                <w:b/>
                <w:color w:val="000000"/>
                <w:sz w:val="20"/>
                <w:szCs w:val="18"/>
              </w:rPr>
            </w:pPr>
            <w:r w:rsidRPr="007B4FF2">
              <w:rPr>
                <w:rFonts w:ascii="Arial Narrow" w:hAnsi="Arial Narrow"/>
                <w:b/>
                <w:color w:val="000000"/>
                <w:sz w:val="20"/>
                <w:szCs w:val="18"/>
              </w:rPr>
              <w:t xml:space="preserve">Acute IPF exacerbation: </w:t>
            </w:r>
            <w:r w:rsidR="003C0DCC">
              <w:rPr>
                <w:rFonts w:ascii="Arial Narrow" w:hAnsi="Arial Narrow"/>
                <w:b/>
                <w:color w:val="000000"/>
                <w:sz w:val="20"/>
                <w:szCs w:val="18"/>
              </w:rPr>
              <w:t>adjudicated acute IPF exacerbation</w:t>
            </w:r>
          </w:p>
        </w:tc>
      </w:tr>
      <w:tr w:rsidR="003C0DCC" w:rsidRPr="00E2771E" w:rsidTr="00825310">
        <w:trPr>
          <w:cantSplit/>
        </w:trPr>
        <w:tc>
          <w:tcPr>
            <w:tcW w:w="787" w:type="pct"/>
            <w:tcBorders>
              <w:bottom w:val="double" w:sz="4" w:space="0" w:color="auto"/>
            </w:tcBorders>
            <w:shd w:val="clear" w:color="auto" w:fill="auto"/>
            <w:vAlign w:val="center"/>
          </w:tcPr>
          <w:p w:rsidR="003C0DCC" w:rsidRPr="00E2771E" w:rsidRDefault="003C0DCC" w:rsidP="00825310">
            <w:pPr>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32 &amp; 34</w:t>
            </w:r>
          </w:p>
        </w:tc>
        <w:tc>
          <w:tcPr>
            <w:tcW w:w="593" w:type="pct"/>
            <w:tcBorders>
              <w:bottom w:val="double" w:sz="4" w:space="0" w:color="auto"/>
            </w:tcBorders>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12/638</w:t>
            </w:r>
          </w:p>
        </w:tc>
        <w:tc>
          <w:tcPr>
            <w:tcW w:w="715" w:type="pct"/>
            <w:tcBorders>
              <w:bottom w:val="double" w:sz="4" w:space="0" w:color="auto"/>
            </w:tcBorders>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24/423</w:t>
            </w:r>
          </w:p>
        </w:tc>
        <w:tc>
          <w:tcPr>
            <w:tcW w:w="765" w:type="pct"/>
            <w:tcBorders>
              <w:bottom w:val="double" w:sz="4" w:space="0" w:color="auto"/>
            </w:tcBorders>
            <w:vAlign w:val="center"/>
          </w:tcPr>
          <w:p w:rsidR="003C0DCC" w:rsidRPr="003C0DCC" w:rsidRDefault="003C0DCC" w:rsidP="00825310">
            <w:pPr>
              <w:jc w:val="center"/>
              <w:rPr>
                <w:rFonts w:ascii="Arial Narrow" w:hAnsi="Arial Narrow"/>
                <w:b/>
                <w:color w:val="000000"/>
                <w:sz w:val="20"/>
                <w:szCs w:val="18"/>
              </w:rPr>
            </w:pPr>
            <w:r w:rsidRPr="005C5596">
              <w:rPr>
                <w:rStyle w:val="CommentReference"/>
                <w:b w:val="0"/>
              </w:rPr>
              <w:t>0.35 (0.13, 0.94)</w:t>
            </w:r>
          </w:p>
        </w:tc>
        <w:tc>
          <w:tcPr>
            <w:tcW w:w="769" w:type="pct"/>
            <w:tcBorders>
              <w:bottom w:val="double" w:sz="4" w:space="0" w:color="auto"/>
            </w:tcBorders>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1.9</w:t>
            </w:r>
          </w:p>
        </w:tc>
        <w:tc>
          <w:tcPr>
            <w:tcW w:w="462" w:type="pct"/>
            <w:tcBorders>
              <w:bottom w:val="double" w:sz="4" w:space="0" w:color="auto"/>
            </w:tcBorders>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5.7</w:t>
            </w:r>
          </w:p>
        </w:tc>
        <w:tc>
          <w:tcPr>
            <w:tcW w:w="909" w:type="pct"/>
            <w:tcBorders>
              <w:bottom w:val="double" w:sz="4" w:space="0" w:color="auto"/>
            </w:tcBorders>
            <w:vAlign w:val="center"/>
          </w:tcPr>
          <w:p w:rsidR="003C0DCC" w:rsidRPr="00E2771E" w:rsidRDefault="003C0DCC" w:rsidP="00825310">
            <w:pPr>
              <w:jc w:val="center"/>
              <w:rPr>
                <w:rFonts w:ascii="Arial Narrow" w:hAnsi="Arial Narrow"/>
                <w:color w:val="000000"/>
                <w:sz w:val="20"/>
                <w:szCs w:val="18"/>
              </w:rPr>
            </w:pPr>
            <w:r w:rsidRPr="005C5596">
              <w:rPr>
                <w:rStyle w:val="CommentReference"/>
                <w:b w:val="0"/>
              </w:rPr>
              <w:t>-0.04 (-0.08, 0.01)</w:t>
            </w:r>
          </w:p>
        </w:tc>
      </w:tr>
      <w:tr w:rsidR="003C0DCC" w:rsidRPr="00E2771E" w:rsidTr="00825310">
        <w:trPr>
          <w:cantSplit/>
          <w:trHeight w:val="225"/>
        </w:trPr>
        <w:tc>
          <w:tcPr>
            <w:tcW w:w="787" w:type="pct"/>
            <w:vMerge w:val="restart"/>
            <w:tcBorders>
              <w:top w:val="double" w:sz="4" w:space="0" w:color="auto"/>
            </w:tcBorders>
            <w:shd w:val="clear" w:color="auto" w:fill="auto"/>
            <w:vAlign w:val="center"/>
          </w:tcPr>
          <w:p w:rsidR="003C0DCC" w:rsidRPr="00E2771E" w:rsidRDefault="003C0DCC" w:rsidP="00825310">
            <w:pPr>
              <w:rPr>
                <w:rFonts w:ascii="Arial Narrow" w:hAnsi="Arial Narrow"/>
                <w:color w:val="000000"/>
                <w:sz w:val="20"/>
                <w:szCs w:val="18"/>
              </w:rPr>
            </w:pPr>
          </w:p>
        </w:tc>
        <w:tc>
          <w:tcPr>
            <w:tcW w:w="1308" w:type="pct"/>
            <w:gridSpan w:val="2"/>
            <w:tcBorders>
              <w:top w:val="double" w:sz="4" w:space="0" w:color="auto"/>
            </w:tcBorders>
            <w:vAlign w:val="center"/>
          </w:tcPr>
          <w:p w:rsidR="003C0DCC" w:rsidRPr="00E2771E" w:rsidRDefault="003C0DCC" w:rsidP="00825310">
            <w:pPr>
              <w:jc w:val="center"/>
              <w:rPr>
                <w:rFonts w:ascii="Arial Narrow" w:hAnsi="Arial Narrow"/>
                <w:color w:val="000000"/>
                <w:sz w:val="20"/>
                <w:szCs w:val="18"/>
              </w:rPr>
            </w:pPr>
            <w:r>
              <w:rPr>
                <w:rFonts w:ascii="Arial Narrow" w:hAnsi="Arial Narrow"/>
                <w:b/>
                <w:color w:val="000000"/>
                <w:sz w:val="20"/>
                <w:szCs w:val="18"/>
              </w:rPr>
              <w:t>Nintedanib</w:t>
            </w:r>
          </w:p>
        </w:tc>
        <w:tc>
          <w:tcPr>
            <w:tcW w:w="1534" w:type="pct"/>
            <w:gridSpan w:val="2"/>
            <w:tcBorders>
              <w:top w:val="double" w:sz="4" w:space="0" w:color="auto"/>
            </w:tcBorders>
            <w:vAlign w:val="center"/>
          </w:tcPr>
          <w:p w:rsidR="003C0DCC" w:rsidRPr="00E2771E" w:rsidRDefault="003C0DCC" w:rsidP="00825310">
            <w:pPr>
              <w:jc w:val="center"/>
              <w:rPr>
                <w:rFonts w:ascii="Arial Narrow" w:hAnsi="Arial Narrow"/>
                <w:color w:val="000000"/>
                <w:sz w:val="20"/>
                <w:szCs w:val="18"/>
              </w:rPr>
            </w:pPr>
            <w:r>
              <w:rPr>
                <w:rFonts w:ascii="Arial Narrow" w:hAnsi="Arial Narrow"/>
                <w:b/>
                <w:color w:val="000000"/>
                <w:sz w:val="20"/>
                <w:szCs w:val="18"/>
              </w:rPr>
              <w:t>Placebo</w:t>
            </w:r>
          </w:p>
        </w:tc>
        <w:tc>
          <w:tcPr>
            <w:tcW w:w="1371" w:type="pct"/>
            <w:gridSpan w:val="2"/>
            <w:vMerge w:val="restart"/>
            <w:tcBorders>
              <w:top w:val="double" w:sz="4" w:space="0" w:color="auto"/>
            </w:tcBorders>
            <w:vAlign w:val="center"/>
          </w:tcPr>
          <w:p w:rsidR="003C0DCC" w:rsidRPr="00E2771E" w:rsidRDefault="003C0DCC" w:rsidP="00825310">
            <w:pPr>
              <w:jc w:val="center"/>
              <w:rPr>
                <w:rFonts w:ascii="Arial Narrow" w:hAnsi="Arial Narrow"/>
                <w:b/>
                <w:sz w:val="20"/>
                <w:szCs w:val="18"/>
              </w:rPr>
            </w:pPr>
            <w:r>
              <w:rPr>
                <w:rFonts w:ascii="Arial Narrow" w:hAnsi="Arial Narrow"/>
                <w:b/>
                <w:sz w:val="20"/>
                <w:szCs w:val="18"/>
              </w:rPr>
              <w:t>Mean difference</w:t>
            </w:r>
          </w:p>
          <w:p w:rsidR="003C0DCC" w:rsidRPr="00E2771E" w:rsidRDefault="003C0DCC" w:rsidP="00825310">
            <w:pPr>
              <w:jc w:val="center"/>
              <w:rPr>
                <w:rFonts w:ascii="Arial Narrow" w:hAnsi="Arial Narrow"/>
                <w:b/>
                <w:sz w:val="20"/>
                <w:szCs w:val="18"/>
              </w:rPr>
            </w:pPr>
            <w:r w:rsidRPr="00E2771E">
              <w:rPr>
                <w:rFonts w:ascii="Arial Narrow" w:hAnsi="Arial Narrow"/>
                <w:b/>
                <w:sz w:val="20"/>
                <w:szCs w:val="18"/>
              </w:rPr>
              <w:t>(95% CI)</w:t>
            </w:r>
          </w:p>
        </w:tc>
      </w:tr>
      <w:tr w:rsidR="003C0DCC" w:rsidRPr="00E2771E" w:rsidTr="00825310">
        <w:trPr>
          <w:cantSplit/>
          <w:trHeight w:val="70"/>
        </w:trPr>
        <w:tc>
          <w:tcPr>
            <w:tcW w:w="787" w:type="pct"/>
            <w:vMerge/>
            <w:shd w:val="clear" w:color="auto" w:fill="auto"/>
            <w:vAlign w:val="center"/>
          </w:tcPr>
          <w:p w:rsidR="003C0DCC" w:rsidRPr="00E2771E" w:rsidRDefault="003C0DCC" w:rsidP="00825310">
            <w:pPr>
              <w:rPr>
                <w:rFonts w:ascii="Arial Narrow" w:hAnsi="Arial Narrow"/>
                <w:color w:val="000000"/>
                <w:sz w:val="20"/>
                <w:szCs w:val="18"/>
              </w:rPr>
            </w:pPr>
          </w:p>
        </w:tc>
        <w:tc>
          <w:tcPr>
            <w:tcW w:w="593" w:type="pct"/>
            <w:vAlign w:val="center"/>
          </w:tcPr>
          <w:p w:rsidR="003C0DCC" w:rsidRPr="00E2771E" w:rsidRDefault="003C0DCC" w:rsidP="00825310">
            <w:pPr>
              <w:jc w:val="center"/>
              <w:rPr>
                <w:rFonts w:ascii="Arial Narrow" w:hAnsi="Arial Narrow"/>
                <w:b/>
                <w:color w:val="000000"/>
                <w:sz w:val="20"/>
                <w:szCs w:val="18"/>
              </w:rPr>
            </w:pPr>
            <w:r w:rsidRPr="00E2771E">
              <w:rPr>
                <w:rFonts w:ascii="Arial Narrow" w:hAnsi="Arial Narrow"/>
                <w:b/>
                <w:color w:val="000000"/>
                <w:sz w:val="20"/>
                <w:szCs w:val="18"/>
              </w:rPr>
              <w:t>n</w:t>
            </w:r>
          </w:p>
        </w:tc>
        <w:tc>
          <w:tcPr>
            <w:tcW w:w="715" w:type="pct"/>
            <w:vAlign w:val="center"/>
          </w:tcPr>
          <w:p w:rsidR="003C0DCC" w:rsidRPr="00E2771E" w:rsidRDefault="003C0DCC" w:rsidP="00825310">
            <w:pPr>
              <w:jc w:val="center"/>
              <w:rPr>
                <w:rFonts w:ascii="Arial Narrow" w:hAnsi="Arial Narrow"/>
                <w:b/>
                <w:sz w:val="20"/>
                <w:szCs w:val="18"/>
              </w:rPr>
            </w:pPr>
            <w:r w:rsidRPr="00E2771E">
              <w:rPr>
                <w:rFonts w:ascii="Arial Narrow" w:hAnsi="Arial Narrow"/>
                <w:b/>
                <w:sz w:val="20"/>
                <w:szCs w:val="18"/>
              </w:rPr>
              <w:t xml:space="preserve">Mean ∆ baseline </w:t>
            </w:r>
            <w:r>
              <w:rPr>
                <w:rFonts w:ascii="Arial Narrow" w:hAnsi="Arial Narrow"/>
                <w:b/>
                <w:sz w:val="20"/>
                <w:szCs w:val="18"/>
              </w:rPr>
              <w:t>(SE)</w:t>
            </w:r>
          </w:p>
        </w:tc>
        <w:tc>
          <w:tcPr>
            <w:tcW w:w="765" w:type="pct"/>
            <w:vAlign w:val="center"/>
          </w:tcPr>
          <w:p w:rsidR="003C0DCC" w:rsidRPr="00E2771E" w:rsidRDefault="003C0DCC" w:rsidP="00825310">
            <w:pPr>
              <w:jc w:val="center"/>
              <w:rPr>
                <w:rFonts w:ascii="Arial Narrow" w:hAnsi="Arial Narrow"/>
                <w:b/>
                <w:color w:val="000000"/>
                <w:sz w:val="20"/>
                <w:szCs w:val="18"/>
              </w:rPr>
            </w:pPr>
            <w:r w:rsidRPr="00E2771E">
              <w:rPr>
                <w:rFonts w:ascii="Arial Narrow" w:hAnsi="Arial Narrow"/>
                <w:b/>
                <w:color w:val="000000"/>
                <w:sz w:val="20"/>
                <w:szCs w:val="18"/>
              </w:rPr>
              <w:t>n</w:t>
            </w:r>
          </w:p>
        </w:tc>
        <w:tc>
          <w:tcPr>
            <w:tcW w:w="769" w:type="pct"/>
            <w:vAlign w:val="center"/>
          </w:tcPr>
          <w:p w:rsidR="003C0DCC" w:rsidRPr="00E2771E" w:rsidRDefault="003C0DCC" w:rsidP="00825310">
            <w:pPr>
              <w:jc w:val="center"/>
              <w:rPr>
                <w:rFonts w:ascii="Arial Narrow" w:hAnsi="Arial Narrow"/>
                <w:b/>
                <w:sz w:val="20"/>
                <w:szCs w:val="18"/>
              </w:rPr>
            </w:pPr>
            <w:r w:rsidRPr="00E2771E">
              <w:rPr>
                <w:rFonts w:ascii="Arial Narrow" w:hAnsi="Arial Narrow"/>
                <w:b/>
                <w:sz w:val="20"/>
                <w:szCs w:val="18"/>
              </w:rPr>
              <w:t xml:space="preserve">Mean ∆ baseline </w:t>
            </w:r>
            <w:r>
              <w:rPr>
                <w:rFonts w:ascii="Arial Narrow" w:hAnsi="Arial Narrow"/>
                <w:b/>
                <w:sz w:val="20"/>
                <w:szCs w:val="18"/>
              </w:rPr>
              <w:t>(SE)</w:t>
            </w:r>
          </w:p>
        </w:tc>
        <w:tc>
          <w:tcPr>
            <w:tcW w:w="1371" w:type="pct"/>
            <w:gridSpan w:val="2"/>
            <w:vMerge/>
            <w:vAlign w:val="center"/>
          </w:tcPr>
          <w:p w:rsidR="003C0DCC" w:rsidRPr="00E2771E" w:rsidRDefault="003C0DCC" w:rsidP="00825310">
            <w:pPr>
              <w:jc w:val="center"/>
              <w:rPr>
                <w:rFonts w:ascii="Arial Narrow" w:hAnsi="Arial Narrow"/>
                <w:b/>
                <w:sz w:val="20"/>
                <w:szCs w:val="18"/>
              </w:rPr>
            </w:pPr>
          </w:p>
        </w:tc>
      </w:tr>
      <w:tr w:rsidR="003C0DCC" w:rsidRPr="007B4FF2" w:rsidTr="00825310">
        <w:trPr>
          <w:cantSplit/>
        </w:trPr>
        <w:tc>
          <w:tcPr>
            <w:tcW w:w="5000" w:type="pct"/>
            <w:gridSpan w:val="7"/>
            <w:tcBorders>
              <w:bottom w:val="single" w:sz="4" w:space="0" w:color="auto"/>
            </w:tcBorders>
            <w:shd w:val="clear" w:color="auto" w:fill="auto"/>
            <w:vAlign w:val="center"/>
          </w:tcPr>
          <w:p w:rsidR="003C0DCC" w:rsidRPr="007B4FF2" w:rsidRDefault="003C0DCC" w:rsidP="00825310">
            <w:pPr>
              <w:jc w:val="left"/>
              <w:rPr>
                <w:rFonts w:ascii="Arial Narrow" w:hAnsi="Arial Narrow"/>
                <w:b/>
                <w:sz w:val="20"/>
                <w:szCs w:val="18"/>
              </w:rPr>
            </w:pPr>
            <w:r w:rsidRPr="007B4FF2">
              <w:rPr>
                <w:rStyle w:val="CommentReference"/>
              </w:rPr>
              <w:t>Absolute change in FVC%Pred from baseline to week 52</w:t>
            </w:r>
          </w:p>
        </w:tc>
      </w:tr>
      <w:tr w:rsidR="003C0DCC" w:rsidRPr="00E2771E" w:rsidTr="00825310">
        <w:trPr>
          <w:cantSplit/>
        </w:trPr>
        <w:tc>
          <w:tcPr>
            <w:tcW w:w="787" w:type="pct"/>
            <w:tcBorders>
              <w:bottom w:val="single" w:sz="4" w:space="0" w:color="auto"/>
            </w:tcBorders>
            <w:shd w:val="clear" w:color="auto" w:fill="auto"/>
            <w:vAlign w:val="center"/>
          </w:tcPr>
          <w:p w:rsidR="003C0DCC" w:rsidRPr="00E2771E" w:rsidRDefault="003C0DCC" w:rsidP="00825310">
            <w:pPr>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w:t>
            </w:r>
          </w:p>
        </w:tc>
        <w:tc>
          <w:tcPr>
            <w:tcW w:w="593" w:type="pct"/>
            <w:tcBorders>
              <w:bottom w:val="single" w:sz="4" w:space="0" w:color="auto"/>
            </w:tcBorders>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84</w:t>
            </w:r>
          </w:p>
        </w:tc>
        <w:tc>
          <w:tcPr>
            <w:tcW w:w="715" w:type="pct"/>
            <w:tcBorders>
              <w:bottom w:val="single" w:sz="4" w:space="0" w:color="auto"/>
            </w:tcBorders>
            <w:vAlign w:val="center"/>
          </w:tcPr>
          <w:p w:rsidR="003C0DCC" w:rsidRPr="00E2771E" w:rsidRDefault="003C0DCC" w:rsidP="00825310">
            <w:pPr>
              <w:jc w:val="center"/>
              <w:rPr>
                <w:rFonts w:ascii="Arial Narrow" w:hAnsi="Arial Narrow"/>
                <w:color w:val="000000"/>
                <w:sz w:val="20"/>
                <w:szCs w:val="18"/>
              </w:rPr>
            </w:pPr>
            <w:r>
              <w:rPr>
                <w:rStyle w:val="CommentReference"/>
                <w:b w:val="0"/>
              </w:rPr>
              <w:t>-1.04 (0.99)</w:t>
            </w:r>
          </w:p>
        </w:tc>
        <w:tc>
          <w:tcPr>
            <w:tcW w:w="765" w:type="pct"/>
            <w:tcBorders>
              <w:bottom w:val="single" w:sz="4" w:space="0" w:color="auto"/>
            </w:tcBorders>
            <w:vAlign w:val="center"/>
          </w:tcPr>
          <w:p w:rsidR="003C0DCC" w:rsidRPr="00E2771E" w:rsidRDefault="003C0DCC" w:rsidP="00825310">
            <w:pPr>
              <w:jc w:val="center"/>
              <w:rPr>
                <w:rFonts w:ascii="Arial Narrow" w:hAnsi="Arial Narrow"/>
                <w:color w:val="000000"/>
                <w:sz w:val="20"/>
                <w:szCs w:val="18"/>
              </w:rPr>
            </w:pPr>
            <w:r>
              <w:rPr>
                <w:rStyle w:val="CommentReference"/>
                <w:b w:val="0"/>
              </w:rPr>
              <w:t>84</w:t>
            </w:r>
          </w:p>
        </w:tc>
        <w:tc>
          <w:tcPr>
            <w:tcW w:w="769" w:type="pct"/>
            <w:tcBorders>
              <w:bottom w:val="single" w:sz="4" w:space="0" w:color="auto"/>
            </w:tcBorders>
            <w:vAlign w:val="center"/>
          </w:tcPr>
          <w:p w:rsidR="003C0DCC" w:rsidRPr="00E2771E" w:rsidRDefault="003C0DCC" w:rsidP="00825310">
            <w:pPr>
              <w:jc w:val="center"/>
              <w:rPr>
                <w:rFonts w:ascii="Arial Narrow" w:hAnsi="Arial Narrow"/>
                <w:color w:val="000000"/>
                <w:sz w:val="20"/>
                <w:szCs w:val="18"/>
              </w:rPr>
            </w:pPr>
            <w:r>
              <w:rPr>
                <w:rStyle w:val="CommentReference"/>
                <w:b w:val="0"/>
              </w:rPr>
              <w:t>-6.00 (1.02)</w:t>
            </w:r>
          </w:p>
        </w:tc>
        <w:tc>
          <w:tcPr>
            <w:tcW w:w="1371" w:type="pct"/>
            <w:gridSpan w:val="2"/>
            <w:vMerge w:val="restart"/>
            <w:vAlign w:val="center"/>
          </w:tcPr>
          <w:p w:rsidR="003C0DCC" w:rsidRPr="00655048" w:rsidRDefault="003C0DCC" w:rsidP="00825310">
            <w:pPr>
              <w:jc w:val="center"/>
              <w:rPr>
                <w:rFonts w:ascii="Arial Narrow" w:hAnsi="Arial Narrow"/>
                <w:b/>
                <w:sz w:val="20"/>
                <w:szCs w:val="18"/>
              </w:rPr>
            </w:pPr>
            <w:r w:rsidRPr="005C5596">
              <w:rPr>
                <w:rStyle w:val="CommentReference"/>
                <w:b w:val="0"/>
              </w:rPr>
              <w:t>3.31 (2.46, 4.16)</w:t>
            </w:r>
          </w:p>
        </w:tc>
      </w:tr>
      <w:tr w:rsidR="003C0DCC" w:rsidRPr="00E2771E" w:rsidTr="00825310">
        <w:trPr>
          <w:cantSplit/>
        </w:trPr>
        <w:tc>
          <w:tcPr>
            <w:tcW w:w="787" w:type="pct"/>
            <w:tcBorders>
              <w:bottom w:val="single" w:sz="4" w:space="0" w:color="auto"/>
            </w:tcBorders>
            <w:shd w:val="clear" w:color="auto" w:fill="auto"/>
            <w:vAlign w:val="center"/>
          </w:tcPr>
          <w:p w:rsidR="003C0DCC" w:rsidRPr="00E2771E" w:rsidRDefault="003C0DCC" w:rsidP="00825310">
            <w:pPr>
              <w:rPr>
                <w:rFonts w:ascii="Arial Narrow" w:hAnsi="Arial Narrow"/>
                <w:color w:val="000000"/>
                <w:sz w:val="20"/>
                <w:szCs w:val="18"/>
              </w:rPr>
            </w:pPr>
            <w:r>
              <w:rPr>
                <w:rFonts w:ascii="Arial Narrow" w:hAnsi="Arial Narrow"/>
                <w:color w:val="000000"/>
                <w:sz w:val="20"/>
                <w:szCs w:val="18"/>
              </w:rPr>
              <w:t>Trial 32</w:t>
            </w:r>
          </w:p>
        </w:tc>
        <w:tc>
          <w:tcPr>
            <w:tcW w:w="593" w:type="pct"/>
            <w:tcBorders>
              <w:bottom w:val="single" w:sz="4" w:space="0" w:color="auto"/>
            </w:tcBorders>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250</w:t>
            </w:r>
          </w:p>
        </w:tc>
        <w:tc>
          <w:tcPr>
            <w:tcW w:w="715" w:type="pct"/>
            <w:tcBorders>
              <w:bottom w:val="single" w:sz="4" w:space="0" w:color="auto"/>
            </w:tcBorders>
            <w:vAlign w:val="center"/>
          </w:tcPr>
          <w:p w:rsidR="003C0DCC" w:rsidRPr="00E2771E" w:rsidRDefault="003C0DCC" w:rsidP="00825310">
            <w:pPr>
              <w:jc w:val="center"/>
              <w:rPr>
                <w:rFonts w:ascii="Arial Narrow" w:hAnsi="Arial Narrow"/>
                <w:color w:val="000000"/>
                <w:sz w:val="20"/>
                <w:szCs w:val="18"/>
              </w:rPr>
            </w:pPr>
            <w:r>
              <w:rPr>
                <w:rStyle w:val="CommentReference"/>
                <w:b w:val="0"/>
              </w:rPr>
              <w:t>-2.76 (0.41)</w:t>
            </w:r>
          </w:p>
        </w:tc>
        <w:tc>
          <w:tcPr>
            <w:tcW w:w="765" w:type="pct"/>
            <w:tcBorders>
              <w:bottom w:val="single" w:sz="4" w:space="0" w:color="auto"/>
            </w:tcBorders>
            <w:vAlign w:val="center"/>
          </w:tcPr>
          <w:p w:rsidR="003C0DCC" w:rsidRPr="00E2771E" w:rsidRDefault="003C0DCC" w:rsidP="00825310">
            <w:pPr>
              <w:jc w:val="center"/>
              <w:rPr>
                <w:rFonts w:ascii="Arial Narrow" w:hAnsi="Arial Narrow"/>
                <w:color w:val="000000"/>
                <w:sz w:val="20"/>
                <w:szCs w:val="18"/>
              </w:rPr>
            </w:pPr>
            <w:r>
              <w:rPr>
                <w:rStyle w:val="CommentReference"/>
                <w:b w:val="0"/>
              </w:rPr>
              <w:t>165</w:t>
            </w:r>
          </w:p>
        </w:tc>
        <w:tc>
          <w:tcPr>
            <w:tcW w:w="769" w:type="pct"/>
            <w:tcBorders>
              <w:bottom w:val="single" w:sz="4" w:space="0" w:color="auto"/>
            </w:tcBorders>
            <w:vAlign w:val="center"/>
          </w:tcPr>
          <w:p w:rsidR="003C0DCC" w:rsidRPr="00E2771E" w:rsidRDefault="003C0DCC" w:rsidP="00825310">
            <w:pPr>
              <w:jc w:val="center"/>
              <w:rPr>
                <w:rFonts w:ascii="Arial Narrow" w:hAnsi="Arial Narrow"/>
                <w:color w:val="000000"/>
                <w:sz w:val="20"/>
                <w:szCs w:val="18"/>
              </w:rPr>
            </w:pPr>
            <w:r>
              <w:rPr>
                <w:rStyle w:val="CommentReference"/>
                <w:b w:val="0"/>
              </w:rPr>
              <w:t>-5.98 (0.47)</w:t>
            </w:r>
          </w:p>
        </w:tc>
        <w:tc>
          <w:tcPr>
            <w:tcW w:w="1371" w:type="pct"/>
            <w:gridSpan w:val="2"/>
            <w:vMerge/>
            <w:vAlign w:val="center"/>
          </w:tcPr>
          <w:p w:rsidR="003C0DCC" w:rsidRPr="00E2771E" w:rsidRDefault="003C0DCC" w:rsidP="00825310">
            <w:pPr>
              <w:jc w:val="center"/>
              <w:rPr>
                <w:rFonts w:ascii="Arial Narrow" w:hAnsi="Arial Narrow"/>
                <w:sz w:val="20"/>
                <w:szCs w:val="18"/>
              </w:rPr>
            </w:pPr>
          </w:p>
        </w:tc>
      </w:tr>
      <w:tr w:rsidR="003C0DCC" w:rsidRPr="00E2771E" w:rsidTr="00825310">
        <w:trPr>
          <w:cantSplit/>
        </w:trPr>
        <w:tc>
          <w:tcPr>
            <w:tcW w:w="787" w:type="pct"/>
            <w:tcBorders>
              <w:top w:val="single" w:sz="4" w:space="0" w:color="auto"/>
              <w:bottom w:val="double" w:sz="4" w:space="0" w:color="auto"/>
            </w:tcBorders>
            <w:shd w:val="clear" w:color="auto" w:fill="auto"/>
            <w:vAlign w:val="center"/>
          </w:tcPr>
          <w:p w:rsidR="003C0DCC" w:rsidRPr="00E2771E" w:rsidRDefault="003C0DCC" w:rsidP="00825310">
            <w:pPr>
              <w:rPr>
                <w:rFonts w:ascii="Arial Narrow" w:hAnsi="Arial Narrow"/>
                <w:color w:val="000000"/>
                <w:sz w:val="20"/>
                <w:szCs w:val="18"/>
              </w:rPr>
            </w:pPr>
            <w:r>
              <w:rPr>
                <w:rFonts w:ascii="Arial Narrow" w:hAnsi="Arial Narrow"/>
                <w:color w:val="000000"/>
                <w:sz w:val="20"/>
                <w:szCs w:val="18"/>
              </w:rPr>
              <w:t>Trial 34</w:t>
            </w:r>
          </w:p>
        </w:tc>
        <w:tc>
          <w:tcPr>
            <w:tcW w:w="593" w:type="pct"/>
            <w:tcBorders>
              <w:top w:val="single" w:sz="4" w:space="0" w:color="auto"/>
              <w:bottom w:val="double" w:sz="4" w:space="0" w:color="auto"/>
            </w:tcBorders>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269</w:t>
            </w:r>
          </w:p>
        </w:tc>
        <w:tc>
          <w:tcPr>
            <w:tcW w:w="715" w:type="pct"/>
            <w:tcBorders>
              <w:top w:val="single" w:sz="4" w:space="0" w:color="auto"/>
              <w:bottom w:val="double" w:sz="4" w:space="0" w:color="auto"/>
            </w:tcBorders>
            <w:vAlign w:val="center"/>
          </w:tcPr>
          <w:p w:rsidR="003C0DCC" w:rsidRPr="00E2771E" w:rsidRDefault="003C0DCC" w:rsidP="00825310">
            <w:pPr>
              <w:jc w:val="center"/>
              <w:rPr>
                <w:rFonts w:ascii="Arial Narrow" w:hAnsi="Arial Narrow"/>
                <w:color w:val="000000"/>
                <w:sz w:val="20"/>
                <w:szCs w:val="18"/>
              </w:rPr>
            </w:pPr>
            <w:r>
              <w:rPr>
                <w:rStyle w:val="CommentReference"/>
                <w:b w:val="0"/>
              </w:rPr>
              <w:t>-3.09 (0.43)</w:t>
            </w:r>
          </w:p>
        </w:tc>
        <w:tc>
          <w:tcPr>
            <w:tcW w:w="765" w:type="pct"/>
            <w:tcBorders>
              <w:top w:val="single" w:sz="4" w:space="0" w:color="auto"/>
              <w:bottom w:val="double" w:sz="4" w:space="0" w:color="auto"/>
            </w:tcBorders>
            <w:vAlign w:val="center"/>
          </w:tcPr>
          <w:p w:rsidR="003C0DCC" w:rsidRPr="00E2771E" w:rsidRDefault="003C0DCC" w:rsidP="00825310">
            <w:pPr>
              <w:jc w:val="center"/>
              <w:rPr>
                <w:rFonts w:ascii="Arial Narrow" w:hAnsi="Arial Narrow"/>
                <w:color w:val="000000"/>
                <w:sz w:val="20"/>
                <w:szCs w:val="18"/>
              </w:rPr>
            </w:pPr>
            <w:r>
              <w:rPr>
                <w:rStyle w:val="CommentReference"/>
                <w:b w:val="0"/>
              </w:rPr>
              <w:t>180</w:t>
            </w:r>
          </w:p>
        </w:tc>
        <w:tc>
          <w:tcPr>
            <w:tcW w:w="769" w:type="pct"/>
            <w:tcBorders>
              <w:top w:val="single" w:sz="4" w:space="0" w:color="auto"/>
              <w:bottom w:val="double" w:sz="4" w:space="0" w:color="auto"/>
            </w:tcBorders>
            <w:vAlign w:val="center"/>
          </w:tcPr>
          <w:p w:rsidR="003C0DCC" w:rsidRPr="00E2771E" w:rsidRDefault="003C0DCC" w:rsidP="00825310">
            <w:pPr>
              <w:jc w:val="center"/>
              <w:rPr>
                <w:rFonts w:ascii="Arial Narrow" w:hAnsi="Arial Narrow"/>
                <w:color w:val="000000"/>
                <w:sz w:val="20"/>
                <w:szCs w:val="18"/>
              </w:rPr>
            </w:pPr>
            <w:r>
              <w:rPr>
                <w:rStyle w:val="CommentReference"/>
                <w:b w:val="0"/>
              </w:rPr>
              <w:t>-6.15 (0.51)</w:t>
            </w:r>
          </w:p>
        </w:tc>
        <w:tc>
          <w:tcPr>
            <w:tcW w:w="1371" w:type="pct"/>
            <w:gridSpan w:val="2"/>
            <w:vMerge/>
            <w:tcBorders>
              <w:bottom w:val="double" w:sz="4" w:space="0" w:color="auto"/>
            </w:tcBorders>
            <w:vAlign w:val="center"/>
          </w:tcPr>
          <w:p w:rsidR="003C0DCC" w:rsidRPr="00E2771E" w:rsidRDefault="003C0DCC" w:rsidP="00825310">
            <w:pPr>
              <w:jc w:val="center"/>
              <w:rPr>
                <w:rFonts w:ascii="Arial Narrow" w:hAnsi="Arial Narrow"/>
                <w:sz w:val="20"/>
                <w:szCs w:val="18"/>
              </w:rPr>
            </w:pPr>
          </w:p>
        </w:tc>
      </w:tr>
      <w:tr w:rsidR="003C0DCC" w:rsidRPr="00E2771E" w:rsidTr="00825310">
        <w:trPr>
          <w:cantSplit/>
        </w:trPr>
        <w:tc>
          <w:tcPr>
            <w:tcW w:w="5000" w:type="pct"/>
            <w:gridSpan w:val="7"/>
            <w:tcBorders>
              <w:top w:val="double" w:sz="4" w:space="0" w:color="auto"/>
            </w:tcBorders>
            <w:shd w:val="clear" w:color="auto" w:fill="auto"/>
            <w:vAlign w:val="center"/>
          </w:tcPr>
          <w:p w:rsidR="003C0DCC" w:rsidRPr="00E2771E" w:rsidRDefault="003C0DCC" w:rsidP="00825310">
            <w:pPr>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3C0DCC" w:rsidRPr="00E2771E" w:rsidTr="00825310">
        <w:trPr>
          <w:cantSplit/>
          <w:trHeight w:val="70"/>
        </w:trPr>
        <w:tc>
          <w:tcPr>
            <w:tcW w:w="787" w:type="pct"/>
            <w:vMerge w:val="restart"/>
            <w:shd w:val="clear" w:color="auto" w:fill="auto"/>
            <w:vAlign w:val="center"/>
          </w:tcPr>
          <w:p w:rsidR="003C0DCC" w:rsidRPr="00E2771E" w:rsidRDefault="003C0DCC" w:rsidP="00825310">
            <w:pPr>
              <w:rPr>
                <w:rFonts w:ascii="Arial Narrow" w:hAnsi="Arial Narrow"/>
                <w:b/>
                <w:color w:val="000000"/>
                <w:sz w:val="20"/>
                <w:szCs w:val="18"/>
              </w:rPr>
            </w:pPr>
          </w:p>
        </w:tc>
        <w:tc>
          <w:tcPr>
            <w:tcW w:w="593" w:type="pct"/>
            <w:vMerge w:val="restart"/>
            <w:vAlign w:val="center"/>
          </w:tcPr>
          <w:p w:rsidR="003C0DCC" w:rsidRPr="00E2771E" w:rsidRDefault="003C0DCC" w:rsidP="00825310">
            <w:pPr>
              <w:jc w:val="center"/>
              <w:rPr>
                <w:rFonts w:ascii="Arial Narrow" w:hAnsi="Arial Narrow"/>
                <w:b/>
                <w:color w:val="000000"/>
                <w:sz w:val="20"/>
                <w:szCs w:val="18"/>
              </w:rPr>
            </w:pPr>
            <w:r>
              <w:rPr>
                <w:rFonts w:ascii="Arial Narrow" w:hAnsi="Arial Narrow"/>
                <w:b/>
                <w:color w:val="000000"/>
                <w:sz w:val="20"/>
                <w:szCs w:val="18"/>
              </w:rPr>
              <w:t>Nintedanib</w:t>
            </w:r>
          </w:p>
        </w:tc>
        <w:tc>
          <w:tcPr>
            <w:tcW w:w="715" w:type="pct"/>
            <w:vMerge w:val="restart"/>
            <w:vAlign w:val="center"/>
          </w:tcPr>
          <w:p w:rsidR="003C0DCC" w:rsidRPr="00E2771E" w:rsidRDefault="003C0DCC" w:rsidP="00825310">
            <w:pPr>
              <w:jc w:val="center"/>
              <w:rPr>
                <w:rFonts w:ascii="Arial Narrow" w:hAnsi="Arial Narrow"/>
                <w:b/>
                <w:color w:val="000000"/>
                <w:sz w:val="20"/>
                <w:szCs w:val="18"/>
              </w:rPr>
            </w:pPr>
            <w:r>
              <w:rPr>
                <w:rFonts w:ascii="Arial Narrow" w:hAnsi="Arial Narrow"/>
                <w:b/>
                <w:color w:val="000000"/>
                <w:sz w:val="20"/>
                <w:szCs w:val="18"/>
              </w:rPr>
              <w:t>Placebo</w:t>
            </w:r>
          </w:p>
        </w:tc>
        <w:tc>
          <w:tcPr>
            <w:tcW w:w="765" w:type="pct"/>
            <w:vMerge w:val="restart"/>
            <w:vAlign w:val="center"/>
          </w:tcPr>
          <w:p w:rsidR="003C0DCC" w:rsidRPr="00E2771E" w:rsidRDefault="003C0DCC" w:rsidP="00825310">
            <w:pPr>
              <w:jc w:val="center"/>
              <w:rPr>
                <w:rFonts w:ascii="Arial Narrow" w:hAnsi="Arial Narrow"/>
                <w:b/>
                <w:color w:val="000000"/>
                <w:sz w:val="20"/>
                <w:szCs w:val="18"/>
              </w:rPr>
            </w:pPr>
            <w:r w:rsidRPr="00E2771E">
              <w:rPr>
                <w:rFonts w:ascii="Arial Narrow" w:hAnsi="Arial Narrow"/>
                <w:b/>
                <w:color w:val="000000"/>
                <w:sz w:val="20"/>
                <w:szCs w:val="18"/>
              </w:rPr>
              <w:t>RR</w:t>
            </w:r>
            <w:r>
              <w:rPr>
                <w:rFonts w:ascii="Arial Narrow" w:hAnsi="Arial Narrow"/>
                <w:b/>
                <w:color w:val="000000"/>
                <w:sz w:val="20"/>
                <w:szCs w:val="18"/>
              </w:rPr>
              <w:t xml:space="preserve"> </w:t>
            </w:r>
            <w:r w:rsidRPr="00E2771E">
              <w:rPr>
                <w:rFonts w:ascii="Arial Narrow" w:hAnsi="Arial Narrow"/>
                <w:b/>
                <w:color w:val="000000"/>
                <w:sz w:val="20"/>
                <w:szCs w:val="18"/>
              </w:rPr>
              <w:t>(95% CI)</w:t>
            </w:r>
          </w:p>
        </w:tc>
        <w:tc>
          <w:tcPr>
            <w:tcW w:w="1231" w:type="pct"/>
            <w:gridSpan w:val="2"/>
            <w:vAlign w:val="center"/>
          </w:tcPr>
          <w:p w:rsidR="003C0DCC" w:rsidRPr="00E2771E" w:rsidRDefault="003C0DCC" w:rsidP="00825310">
            <w:pPr>
              <w:jc w:val="center"/>
              <w:rPr>
                <w:rFonts w:ascii="Arial Narrow" w:hAnsi="Arial Narrow"/>
                <w:b/>
                <w:color w:val="000000"/>
                <w:sz w:val="20"/>
                <w:szCs w:val="18"/>
              </w:rPr>
            </w:pPr>
            <w:r w:rsidRPr="00E2771E">
              <w:rPr>
                <w:rFonts w:ascii="Arial Narrow" w:hAnsi="Arial Narrow"/>
                <w:b/>
                <w:color w:val="000000"/>
                <w:sz w:val="20"/>
                <w:szCs w:val="18"/>
              </w:rPr>
              <w:t>Event rate/100 patients</w:t>
            </w:r>
            <w:r>
              <w:rPr>
                <w:rFonts w:ascii="Arial Narrow" w:hAnsi="Arial Narrow"/>
                <w:b/>
                <w:color w:val="000000"/>
                <w:sz w:val="20"/>
                <w:szCs w:val="18"/>
              </w:rPr>
              <w:t>*</w:t>
            </w:r>
          </w:p>
        </w:tc>
        <w:tc>
          <w:tcPr>
            <w:tcW w:w="909" w:type="pct"/>
            <w:vMerge w:val="restart"/>
            <w:vAlign w:val="center"/>
          </w:tcPr>
          <w:p w:rsidR="003C0DCC" w:rsidRPr="00E2771E" w:rsidRDefault="003C0DCC" w:rsidP="00825310">
            <w:pPr>
              <w:jc w:val="center"/>
              <w:rPr>
                <w:rFonts w:ascii="Arial Narrow" w:hAnsi="Arial Narrow"/>
                <w:b/>
                <w:color w:val="000000"/>
                <w:sz w:val="20"/>
                <w:szCs w:val="18"/>
              </w:rPr>
            </w:pPr>
            <w:r w:rsidRPr="00E2771E">
              <w:rPr>
                <w:rFonts w:ascii="Arial Narrow" w:hAnsi="Arial Narrow"/>
                <w:b/>
                <w:color w:val="000000"/>
                <w:sz w:val="20"/>
                <w:szCs w:val="18"/>
              </w:rPr>
              <w:t>RD</w:t>
            </w:r>
            <w:r>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3C0DCC" w:rsidRPr="00E2771E" w:rsidTr="00825310">
        <w:trPr>
          <w:cantSplit/>
          <w:trHeight w:val="70"/>
        </w:trPr>
        <w:tc>
          <w:tcPr>
            <w:tcW w:w="787" w:type="pct"/>
            <w:vMerge/>
            <w:shd w:val="clear" w:color="auto" w:fill="auto"/>
            <w:vAlign w:val="center"/>
          </w:tcPr>
          <w:p w:rsidR="003C0DCC" w:rsidRPr="00E2771E" w:rsidRDefault="003C0DCC" w:rsidP="00825310">
            <w:pPr>
              <w:rPr>
                <w:rFonts w:ascii="Arial Narrow" w:hAnsi="Arial Narrow"/>
                <w:b/>
                <w:color w:val="000000"/>
                <w:sz w:val="20"/>
                <w:szCs w:val="18"/>
              </w:rPr>
            </w:pPr>
          </w:p>
        </w:tc>
        <w:tc>
          <w:tcPr>
            <w:tcW w:w="593" w:type="pct"/>
            <w:vMerge/>
            <w:vAlign w:val="center"/>
          </w:tcPr>
          <w:p w:rsidR="003C0DCC" w:rsidRPr="00E2771E" w:rsidRDefault="003C0DCC" w:rsidP="00825310">
            <w:pPr>
              <w:jc w:val="center"/>
              <w:rPr>
                <w:rFonts w:ascii="Arial Narrow" w:hAnsi="Arial Narrow"/>
                <w:b/>
                <w:color w:val="000000"/>
                <w:sz w:val="20"/>
                <w:szCs w:val="18"/>
              </w:rPr>
            </w:pPr>
          </w:p>
        </w:tc>
        <w:tc>
          <w:tcPr>
            <w:tcW w:w="715" w:type="pct"/>
            <w:vMerge/>
            <w:vAlign w:val="center"/>
          </w:tcPr>
          <w:p w:rsidR="003C0DCC" w:rsidRPr="00E2771E" w:rsidRDefault="003C0DCC" w:rsidP="00825310">
            <w:pPr>
              <w:jc w:val="center"/>
              <w:rPr>
                <w:rFonts w:ascii="Arial Narrow" w:hAnsi="Arial Narrow"/>
                <w:b/>
                <w:color w:val="000000"/>
                <w:sz w:val="20"/>
                <w:szCs w:val="18"/>
              </w:rPr>
            </w:pPr>
          </w:p>
        </w:tc>
        <w:tc>
          <w:tcPr>
            <w:tcW w:w="765" w:type="pct"/>
            <w:vMerge/>
            <w:vAlign w:val="center"/>
          </w:tcPr>
          <w:p w:rsidR="003C0DCC" w:rsidRPr="00E2771E" w:rsidRDefault="003C0DCC" w:rsidP="00825310">
            <w:pPr>
              <w:jc w:val="center"/>
              <w:rPr>
                <w:rFonts w:ascii="Arial Narrow" w:hAnsi="Arial Narrow"/>
                <w:b/>
                <w:color w:val="000000"/>
                <w:sz w:val="20"/>
                <w:szCs w:val="18"/>
              </w:rPr>
            </w:pPr>
          </w:p>
        </w:tc>
        <w:tc>
          <w:tcPr>
            <w:tcW w:w="769" w:type="pct"/>
            <w:vAlign w:val="center"/>
          </w:tcPr>
          <w:p w:rsidR="003C0DCC" w:rsidRPr="00E2771E" w:rsidRDefault="003C0DCC" w:rsidP="00825310">
            <w:pPr>
              <w:jc w:val="center"/>
              <w:rPr>
                <w:rFonts w:ascii="Arial Narrow" w:hAnsi="Arial Narrow"/>
                <w:b/>
                <w:color w:val="000000"/>
                <w:sz w:val="20"/>
                <w:szCs w:val="18"/>
              </w:rPr>
            </w:pPr>
            <w:r>
              <w:rPr>
                <w:rFonts w:ascii="Arial Narrow" w:hAnsi="Arial Narrow"/>
                <w:b/>
                <w:color w:val="000000"/>
                <w:sz w:val="20"/>
                <w:szCs w:val="18"/>
              </w:rPr>
              <w:t>Nintedanib</w:t>
            </w:r>
          </w:p>
        </w:tc>
        <w:tc>
          <w:tcPr>
            <w:tcW w:w="462" w:type="pct"/>
            <w:vAlign w:val="center"/>
          </w:tcPr>
          <w:p w:rsidR="003C0DCC" w:rsidRPr="00E2771E" w:rsidRDefault="003C0DCC" w:rsidP="00825310">
            <w:pPr>
              <w:jc w:val="center"/>
              <w:rPr>
                <w:rFonts w:ascii="Arial Narrow" w:hAnsi="Arial Narrow"/>
                <w:b/>
                <w:color w:val="000000"/>
                <w:sz w:val="20"/>
                <w:szCs w:val="18"/>
              </w:rPr>
            </w:pPr>
            <w:r>
              <w:rPr>
                <w:rFonts w:ascii="Arial Narrow" w:hAnsi="Arial Narrow"/>
                <w:b/>
                <w:color w:val="000000"/>
                <w:sz w:val="20"/>
                <w:szCs w:val="18"/>
              </w:rPr>
              <w:t>Placebo</w:t>
            </w:r>
          </w:p>
        </w:tc>
        <w:tc>
          <w:tcPr>
            <w:tcW w:w="909" w:type="pct"/>
            <w:vMerge/>
            <w:vAlign w:val="center"/>
          </w:tcPr>
          <w:p w:rsidR="003C0DCC" w:rsidRPr="00E2771E" w:rsidRDefault="003C0DCC" w:rsidP="00825310">
            <w:pPr>
              <w:jc w:val="center"/>
              <w:rPr>
                <w:rFonts w:ascii="Arial Narrow" w:hAnsi="Arial Narrow"/>
                <w:b/>
                <w:color w:val="000000"/>
                <w:sz w:val="20"/>
                <w:szCs w:val="18"/>
              </w:rPr>
            </w:pPr>
          </w:p>
        </w:tc>
      </w:tr>
      <w:tr w:rsidR="003C0DCC" w:rsidRPr="00E2771E" w:rsidTr="00825310">
        <w:trPr>
          <w:cantSplit/>
        </w:trPr>
        <w:tc>
          <w:tcPr>
            <w:tcW w:w="5000" w:type="pct"/>
            <w:gridSpan w:val="7"/>
            <w:shd w:val="clear" w:color="auto" w:fill="auto"/>
            <w:vAlign w:val="center"/>
          </w:tcPr>
          <w:p w:rsidR="003C0DCC" w:rsidRPr="00E2771E" w:rsidRDefault="003C0DCC" w:rsidP="00825310">
            <w:pPr>
              <w:rPr>
                <w:rFonts w:ascii="Arial Narrow" w:hAnsi="Arial Narrow"/>
                <w:b/>
                <w:color w:val="000000"/>
                <w:sz w:val="20"/>
                <w:szCs w:val="18"/>
              </w:rPr>
            </w:pPr>
            <w:r>
              <w:rPr>
                <w:rFonts w:ascii="Arial Narrow" w:hAnsi="Arial Narrow"/>
                <w:b/>
                <w:color w:val="000000"/>
                <w:sz w:val="20"/>
                <w:szCs w:val="18"/>
              </w:rPr>
              <w:t>Diarrhoea</w:t>
            </w:r>
          </w:p>
        </w:tc>
      </w:tr>
      <w:tr w:rsidR="003C0DCC" w:rsidRPr="00E2771E" w:rsidTr="00825310">
        <w:trPr>
          <w:cantSplit/>
        </w:trPr>
        <w:tc>
          <w:tcPr>
            <w:tcW w:w="787" w:type="pct"/>
            <w:shd w:val="clear" w:color="auto" w:fill="auto"/>
            <w:vAlign w:val="center"/>
          </w:tcPr>
          <w:p w:rsidR="003C0DCC" w:rsidRPr="00E2771E" w:rsidRDefault="003C0DCC" w:rsidP="00825310">
            <w:pPr>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 32 &amp; 34</w:t>
            </w:r>
          </w:p>
        </w:tc>
        <w:tc>
          <w:tcPr>
            <w:tcW w:w="593" w:type="pct"/>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445/723</w:t>
            </w:r>
          </w:p>
        </w:tc>
        <w:tc>
          <w:tcPr>
            <w:tcW w:w="715" w:type="pct"/>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91/508</w:t>
            </w:r>
          </w:p>
        </w:tc>
        <w:tc>
          <w:tcPr>
            <w:tcW w:w="765" w:type="pct"/>
            <w:vAlign w:val="center"/>
          </w:tcPr>
          <w:p w:rsidR="003C0DCC" w:rsidRPr="00655048" w:rsidRDefault="003C0DCC" w:rsidP="00825310">
            <w:pPr>
              <w:jc w:val="center"/>
              <w:rPr>
                <w:rFonts w:ascii="Arial Narrow" w:hAnsi="Arial Narrow"/>
                <w:b/>
                <w:color w:val="000000"/>
                <w:sz w:val="20"/>
                <w:szCs w:val="18"/>
              </w:rPr>
            </w:pPr>
            <w:r w:rsidRPr="00655048">
              <w:rPr>
                <w:rStyle w:val="CommentReference"/>
                <w:b w:val="0"/>
              </w:rPr>
              <w:t>3.41</w:t>
            </w:r>
            <w:r>
              <w:rPr>
                <w:rStyle w:val="CommentReference"/>
                <w:b w:val="0"/>
              </w:rPr>
              <w:t xml:space="preserve"> </w:t>
            </w:r>
            <w:r w:rsidRPr="00655048">
              <w:rPr>
                <w:rStyle w:val="CommentReference"/>
                <w:b w:val="0"/>
              </w:rPr>
              <w:t>(2.81, 4.15)</w:t>
            </w:r>
          </w:p>
        </w:tc>
        <w:tc>
          <w:tcPr>
            <w:tcW w:w="769" w:type="pct"/>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61.5</w:t>
            </w:r>
          </w:p>
        </w:tc>
        <w:tc>
          <w:tcPr>
            <w:tcW w:w="462" w:type="pct"/>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17.9</w:t>
            </w:r>
          </w:p>
        </w:tc>
        <w:tc>
          <w:tcPr>
            <w:tcW w:w="909" w:type="pct"/>
            <w:vAlign w:val="center"/>
          </w:tcPr>
          <w:p w:rsidR="003C0DCC" w:rsidRPr="00E2771E" w:rsidRDefault="003C0DCC" w:rsidP="00825310">
            <w:pPr>
              <w:jc w:val="center"/>
              <w:rPr>
                <w:rFonts w:ascii="Arial Narrow" w:hAnsi="Arial Narrow"/>
                <w:color w:val="000000"/>
                <w:sz w:val="20"/>
                <w:szCs w:val="18"/>
              </w:rPr>
            </w:pPr>
            <w:r w:rsidRPr="005C5596">
              <w:rPr>
                <w:rFonts w:ascii="Arial Narrow" w:hAnsi="Arial Narrow"/>
                <w:color w:val="000000"/>
                <w:sz w:val="20"/>
                <w:szCs w:val="18"/>
              </w:rPr>
              <w:t>0.43 (0.39, 0.48)</w:t>
            </w:r>
          </w:p>
        </w:tc>
      </w:tr>
      <w:tr w:rsidR="003C0DCC" w:rsidRPr="00E2771E" w:rsidTr="00825310">
        <w:trPr>
          <w:cantSplit/>
        </w:trPr>
        <w:tc>
          <w:tcPr>
            <w:tcW w:w="5000" w:type="pct"/>
            <w:gridSpan w:val="7"/>
            <w:shd w:val="clear" w:color="auto" w:fill="auto"/>
            <w:vAlign w:val="center"/>
          </w:tcPr>
          <w:p w:rsidR="003C0DCC" w:rsidRPr="00E2771E" w:rsidRDefault="003C0DCC" w:rsidP="00825310">
            <w:pPr>
              <w:rPr>
                <w:rFonts w:ascii="Arial Narrow" w:hAnsi="Arial Narrow"/>
                <w:color w:val="000000"/>
                <w:sz w:val="20"/>
                <w:szCs w:val="18"/>
              </w:rPr>
            </w:pPr>
            <w:r>
              <w:rPr>
                <w:rFonts w:ascii="Arial Narrow" w:hAnsi="Arial Narrow"/>
                <w:b/>
                <w:color w:val="000000"/>
                <w:sz w:val="20"/>
                <w:szCs w:val="18"/>
              </w:rPr>
              <w:t>Vomiting</w:t>
            </w:r>
          </w:p>
        </w:tc>
      </w:tr>
      <w:tr w:rsidR="003C0DCC" w:rsidRPr="00E2771E" w:rsidTr="00825310">
        <w:trPr>
          <w:cantSplit/>
        </w:trPr>
        <w:tc>
          <w:tcPr>
            <w:tcW w:w="787" w:type="pct"/>
            <w:shd w:val="clear" w:color="auto" w:fill="auto"/>
            <w:vAlign w:val="center"/>
          </w:tcPr>
          <w:p w:rsidR="003C0DCC" w:rsidRPr="00E2771E" w:rsidRDefault="003C0DCC" w:rsidP="00825310">
            <w:pPr>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 32 &amp; 34</w:t>
            </w:r>
          </w:p>
        </w:tc>
        <w:tc>
          <w:tcPr>
            <w:tcW w:w="593" w:type="pct"/>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85/723</w:t>
            </w:r>
          </w:p>
        </w:tc>
        <w:tc>
          <w:tcPr>
            <w:tcW w:w="715" w:type="pct"/>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15/508</w:t>
            </w:r>
          </w:p>
        </w:tc>
        <w:tc>
          <w:tcPr>
            <w:tcW w:w="765" w:type="pct"/>
            <w:vAlign w:val="center"/>
          </w:tcPr>
          <w:p w:rsidR="003C0DCC" w:rsidRPr="00655048" w:rsidRDefault="003C0DCC" w:rsidP="00825310">
            <w:pPr>
              <w:jc w:val="center"/>
              <w:rPr>
                <w:rFonts w:ascii="Arial Narrow" w:hAnsi="Arial Narrow"/>
                <w:b/>
                <w:color w:val="000000"/>
                <w:sz w:val="20"/>
                <w:szCs w:val="18"/>
              </w:rPr>
            </w:pPr>
            <w:r w:rsidRPr="00655048">
              <w:rPr>
                <w:rStyle w:val="CommentReference"/>
                <w:b w:val="0"/>
              </w:rPr>
              <w:t>3.82</w:t>
            </w:r>
            <w:r>
              <w:rPr>
                <w:rStyle w:val="CommentReference"/>
                <w:b w:val="0"/>
              </w:rPr>
              <w:t xml:space="preserve"> </w:t>
            </w:r>
            <w:r w:rsidRPr="00655048">
              <w:rPr>
                <w:rStyle w:val="CommentReference"/>
                <w:b w:val="0"/>
              </w:rPr>
              <w:t>(2.22, 6.58)</w:t>
            </w:r>
          </w:p>
        </w:tc>
        <w:tc>
          <w:tcPr>
            <w:tcW w:w="769" w:type="pct"/>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11.8</w:t>
            </w:r>
          </w:p>
        </w:tc>
        <w:tc>
          <w:tcPr>
            <w:tcW w:w="462" w:type="pct"/>
            <w:vAlign w:val="center"/>
          </w:tcPr>
          <w:p w:rsidR="003C0DCC" w:rsidRPr="00E2771E" w:rsidRDefault="003C0DCC" w:rsidP="00825310">
            <w:pPr>
              <w:jc w:val="center"/>
              <w:rPr>
                <w:rFonts w:ascii="Arial Narrow" w:hAnsi="Arial Narrow"/>
                <w:color w:val="000000"/>
                <w:sz w:val="20"/>
                <w:szCs w:val="18"/>
              </w:rPr>
            </w:pPr>
            <w:r>
              <w:rPr>
                <w:rFonts w:ascii="Arial Narrow" w:hAnsi="Arial Narrow"/>
                <w:color w:val="000000"/>
                <w:sz w:val="20"/>
                <w:szCs w:val="18"/>
              </w:rPr>
              <w:t>3.0</w:t>
            </w:r>
          </w:p>
        </w:tc>
        <w:tc>
          <w:tcPr>
            <w:tcW w:w="909" w:type="pct"/>
            <w:vAlign w:val="center"/>
          </w:tcPr>
          <w:p w:rsidR="003C0DCC" w:rsidRPr="00E2771E" w:rsidRDefault="003C0DCC" w:rsidP="00825310">
            <w:pPr>
              <w:jc w:val="center"/>
              <w:rPr>
                <w:rFonts w:ascii="Arial Narrow" w:hAnsi="Arial Narrow"/>
                <w:color w:val="000000"/>
                <w:sz w:val="20"/>
                <w:szCs w:val="18"/>
              </w:rPr>
            </w:pPr>
            <w:r w:rsidRPr="005C5596">
              <w:rPr>
                <w:rFonts w:ascii="Arial Narrow" w:hAnsi="Arial Narrow"/>
                <w:color w:val="000000"/>
                <w:sz w:val="20"/>
                <w:szCs w:val="18"/>
              </w:rPr>
              <w:t>0.09 (0.06, 0.12)</w:t>
            </w:r>
          </w:p>
        </w:tc>
      </w:tr>
      <w:tr w:rsidR="003C0DCC" w:rsidRPr="004E08A8" w:rsidTr="00825310">
        <w:trPr>
          <w:cantSplit/>
        </w:trPr>
        <w:tc>
          <w:tcPr>
            <w:tcW w:w="5000" w:type="pct"/>
            <w:gridSpan w:val="7"/>
            <w:shd w:val="clear" w:color="auto" w:fill="auto"/>
            <w:vAlign w:val="center"/>
          </w:tcPr>
          <w:p w:rsidR="003C0DCC" w:rsidRPr="004E08A8" w:rsidRDefault="003C0DCC" w:rsidP="00825310">
            <w:pPr>
              <w:jc w:val="left"/>
              <w:rPr>
                <w:rFonts w:ascii="Arial Narrow" w:hAnsi="Arial Narrow"/>
                <w:b/>
                <w:color w:val="000000"/>
                <w:sz w:val="20"/>
                <w:szCs w:val="18"/>
              </w:rPr>
            </w:pPr>
            <w:r w:rsidRPr="004E08A8">
              <w:rPr>
                <w:rFonts w:ascii="Arial Narrow" w:hAnsi="Arial Narrow"/>
                <w:b/>
                <w:color w:val="000000"/>
                <w:sz w:val="20"/>
                <w:szCs w:val="18"/>
              </w:rPr>
              <w:t>Dyspnoea</w:t>
            </w:r>
          </w:p>
        </w:tc>
      </w:tr>
      <w:tr w:rsidR="003C0DCC" w:rsidRPr="00E2771E" w:rsidTr="00825310">
        <w:trPr>
          <w:cantSplit/>
        </w:trPr>
        <w:tc>
          <w:tcPr>
            <w:tcW w:w="787" w:type="pct"/>
            <w:shd w:val="clear" w:color="auto" w:fill="auto"/>
            <w:vAlign w:val="center"/>
          </w:tcPr>
          <w:p w:rsidR="003C0DCC" w:rsidRPr="00E2771E" w:rsidRDefault="003C0DCC" w:rsidP="00825310">
            <w:pPr>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 32 &amp; 34</w:t>
            </w:r>
          </w:p>
        </w:tc>
        <w:tc>
          <w:tcPr>
            <w:tcW w:w="593" w:type="pct"/>
            <w:vAlign w:val="center"/>
          </w:tcPr>
          <w:p w:rsidR="003C0DCC" w:rsidRDefault="003C0DCC" w:rsidP="00825310">
            <w:pPr>
              <w:jc w:val="center"/>
              <w:rPr>
                <w:rFonts w:ascii="Arial Narrow" w:hAnsi="Arial Narrow"/>
                <w:color w:val="000000"/>
                <w:sz w:val="20"/>
                <w:szCs w:val="18"/>
              </w:rPr>
            </w:pPr>
            <w:r>
              <w:rPr>
                <w:rFonts w:ascii="Arial Narrow" w:hAnsi="Arial Narrow"/>
                <w:color w:val="000000"/>
                <w:sz w:val="20"/>
                <w:szCs w:val="18"/>
              </w:rPr>
              <w:t>55/723</w:t>
            </w:r>
          </w:p>
        </w:tc>
        <w:tc>
          <w:tcPr>
            <w:tcW w:w="715" w:type="pct"/>
            <w:vAlign w:val="center"/>
          </w:tcPr>
          <w:p w:rsidR="003C0DCC" w:rsidRDefault="003C0DCC" w:rsidP="00825310">
            <w:pPr>
              <w:jc w:val="center"/>
              <w:rPr>
                <w:rFonts w:ascii="Arial Narrow" w:hAnsi="Arial Narrow"/>
                <w:color w:val="000000"/>
                <w:sz w:val="20"/>
                <w:szCs w:val="18"/>
              </w:rPr>
            </w:pPr>
            <w:r>
              <w:rPr>
                <w:rFonts w:ascii="Arial Narrow" w:hAnsi="Arial Narrow"/>
                <w:color w:val="000000"/>
                <w:sz w:val="20"/>
                <w:szCs w:val="18"/>
              </w:rPr>
              <w:t>59/508</w:t>
            </w:r>
          </w:p>
        </w:tc>
        <w:tc>
          <w:tcPr>
            <w:tcW w:w="765" w:type="pct"/>
            <w:vAlign w:val="center"/>
          </w:tcPr>
          <w:p w:rsidR="003C0DCC" w:rsidRPr="00655048" w:rsidRDefault="003C0DCC" w:rsidP="00825310">
            <w:pPr>
              <w:jc w:val="center"/>
              <w:rPr>
                <w:rStyle w:val="CommentReference"/>
                <w:b w:val="0"/>
              </w:rPr>
            </w:pPr>
            <w:r>
              <w:rPr>
                <w:rStyle w:val="CommentReference"/>
                <w:b w:val="0"/>
              </w:rPr>
              <w:t>0.66 (0.46, 0.93)</w:t>
            </w:r>
          </w:p>
        </w:tc>
        <w:tc>
          <w:tcPr>
            <w:tcW w:w="769" w:type="pct"/>
            <w:vAlign w:val="center"/>
          </w:tcPr>
          <w:p w:rsidR="003C0DCC" w:rsidRDefault="003C0DCC" w:rsidP="00825310">
            <w:pPr>
              <w:jc w:val="center"/>
              <w:rPr>
                <w:rFonts w:ascii="Arial Narrow" w:hAnsi="Arial Narrow"/>
                <w:color w:val="000000"/>
                <w:sz w:val="20"/>
                <w:szCs w:val="18"/>
              </w:rPr>
            </w:pPr>
            <w:r>
              <w:rPr>
                <w:rFonts w:ascii="Arial Narrow" w:hAnsi="Arial Narrow"/>
                <w:color w:val="000000"/>
                <w:sz w:val="20"/>
                <w:szCs w:val="18"/>
              </w:rPr>
              <w:t>7.6</w:t>
            </w:r>
          </w:p>
        </w:tc>
        <w:tc>
          <w:tcPr>
            <w:tcW w:w="462" w:type="pct"/>
            <w:vAlign w:val="center"/>
          </w:tcPr>
          <w:p w:rsidR="003C0DCC" w:rsidRDefault="003C0DCC" w:rsidP="00825310">
            <w:pPr>
              <w:jc w:val="center"/>
              <w:rPr>
                <w:rFonts w:ascii="Arial Narrow" w:hAnsi="Arial Narrow"/>
                <w:color w:val="000000"/>
                <w:sz w:val="20"/>
                <w:szCs w:val="18"/>
              </w:rPr>
            </w:pPr>
            <w:r>
              <w:rPr>
                <w:rFonts w:ascii="Arial Narrow" w:hAnsi="Arial Narrow"/>
                <w:color w:val="000000"/>
                <w:sz w:val="20"/>
                <w:szCs w:val="18"/>
              </w:rPr>
              <w:t>11.6</w:t>
            </w:r>
          </w:p>
        </w:tc>
        <w:tc>
          <w:tcPr>
            <w:tcW w:w="909" w:type="pct"/>
            <w:vAlign w:val="center"/>
          </w:tcPr>
          <w:p w:rsidR="003C0DCC" w:rsidRDefault="003C0DCC" w:rsidP="00825310">
            <w:pPr>
              <w:jc w:val="center"/>
              <w:rPr>
                <w:rFonts w:ascii="Arial Narrow" w:hAnsi="Arial Narrow"/>
                <w:color w:val="000000"/>
                <w:sz w:val="20"/>
                <w:szCs w:val="18"/>
              </w:rPr>
            </w:pPr>
            <w:r w:rsidRPr="005C5596">
              <w:rPr>
                <w:rFonts w:ascii="Arial Narrow" w:hAnsi="Arial Narrow"/>
                <w:color w:val="000000"/>
                <w:sz w:val="20"/>
                <w:szCs w:val="18"/>
              </w:rPr>
              <w:t>-0.04 (-0.07, -0.01)</w:t>
            </w:r>
          </w:p>
        </w:tc>
      </w:tr>
    </w:tbl>
    <w:p w:rsidR="007F30CE" w:rsidRPr="0072416F" w:rsidRDefault="007F30CE" w:rsidP="007F30CE">
      <w:pPr>
        <w:pStyle w:val="TableFooter"/>
        <w:keepNext/>
        <w:ind w:left="720"/>
      </w:pPr>
      <w:r w:rsidRPr="007B4FF2">
        <w:t>*</w:t>
      </w:r>
      <w:r>
        <w:t xml:space="preserve"> Duration of follow-up: Trial 30, 32 &amp; 34 – 52 weeks.  </w:t>
      </w:r>
      <w:r w:rsidRPr="0072416F">
        <w:t>Abbreviations:</w:t>
      </w:r>
      <w:r>
        <w:t xml:space="preserve"> FVC = forced vital capacity;</w:t>
      </w:r>
      <w:r w:rsidRPr="0072416F">
        <w:t xml:space="preserve"> </w:t>
      </w:r>
      <w:r>
        <w:t xml:space="preserve">IPF = idiopathic pulmonary fibrosis; </w:t>
      </w:r>
      <w:r w:rsidRPr="0072416F">
        <w:t>RD = risk difference; RR = risk ratio</w:t>
      </w:r>
      <w:r>
        <w:t xml:space="preserve">, SE = standard error.  </w:t>
      </w:r>
      <w:r w:rsidRPr="0072416F">
        <w:t>Source: Compiled during the evaluation</w:t>
      </w:r>
    </w:p>
    <w:p w:rsidR="007F30CE" w:rsidRPr="00882085" w:rsidRDefault="007F30CE" w:rsidP="0086254B">
      <w:pPr>
        <w:widowControl/>
        <w:jc w:val="left"/>
      </w:pPr>
    </w:p>
    <w:p w:rsidR="007F30CE" w:rsidRDefault="007F30CE" w:rsidP="00321D09">
      <w:pPr>
        <w:pStyle w:val="ListParagraph"/>
        <w:widowControl/>
        <w:numPr>
          <w:ilvl w:val="1"/>
          <w:numId w:val="2"/>
        </w:numPr>
        <w:rPr>
          <w:szCs w:val="22"/>
        </w:rPr>
      </w:pPr>
      <w:r w:rsidRPr="002546B0">
        <w:rPr>
          <w:szCs w:val="22"/>
        </w:rPr>
        <w:t xml:space="preserve">On the basis of </w:t>
      </w:r>
      <w:r>
        <w:rPr>
          <w:szCs w:val="22"/>
        </w:rPr>
        <w:t>direct</w:t>
      </w:r>
      <w:r w:rsidRPr="002546B0">
        <w:rPr>
          <w:szCs w:val="22"/>
        </w:rPr>
        <w:t xml:space="preserve"> evidence presented by the submission, </w:t>
      </w:r>
      <w:r>
        <w:rPr>
          <w:szCs w:val="22"/>
        </w:rPr>
        <w:t>in comparison to placebo, nintedanib was associated with</w:t>
      </w:r>
      <w:r w:rsidRPr="002546B0">
        <w:rPr>
          <w:szCs w:val="22"/>
        </w:rPr>
        <w:t>:</w:t>
      </w:r>
    </w:p>
    <w:p w:rsidR="00771F6A" w:rsidRPr="003757FB" w:rsidRDefault="007F30CE" w:rsidP="009E6AC7">
      <w:pPr>
        <w:pStyle w:val="ListParagraph"/>
        <w:widowControl/>
        <w:numPr>
          <w:ilvl w:val="0"/>
          <w:numId w:val="9"/>
        </w:numPr>
        <w:ind w:left="993" w:hanging="219"/>
        <w:rPr>
          <w:szCs w:val="22"/>
        </w:rPr>
      </w:pPr>
      <w:r>
        <w:rPr>
          <w:szCs w:val="22"/>
        </w:rPr>
        <w:t xml:space="preserve">Approximately a 3.31% reduction in absolute change in </w:t>
      </w:r>
      <w:r w:rsidR="00CA7613">
        <w:t>forced vital capacity percent predicted</w:t>
      </w:r>
      <w:r w:rsidR="00CA7613">
        <w:rPr>
          <w:szCs w:val="22"/>
        </w:rPr>
        <w:t xml:space="preserve"> (</w:t>
      </w:r>
      <w:r>
        <w:rPr>
          <w:szCs w:val="22"/>
        </w:rPr>
        <w:t>FVC%Pred</w:t>
      </w:r>
      <w:r w:rsidR="00CA7613">
        <w:rPr>
          <w:szCs w:val="22"/>
        </w:rPr>
        <w:t>)</w:t>
      </w:r>
      <w:r>
        <w:rPr>
          <w:szCs w:val="22"/>
        </w:rPr>
        <w:t xml:space="preserve"> from baseline to week 52.</w:t>
      </w:r>
    </w:p>
    <w:p w:rsidR="003C0DCC" w:rsidRPr="00B6317B" w:rsidRDefault="003C0DCC" w:rsidP="00321D09">
      <w:pPr>
        <w:pStyle w:val="ListParagraph"/>
        <w:widowControl/>
        <w:numPr>
          <w:ilvl w:val="0"/>
          <w:numId w:val="9"/>
        </w:numPr>
        <w:ind w:left="993" w:hanging="219"/>
        <w:rPr>
          <w:szCs w:val="22"/>
        </w:rPr>
      </w:pPr>
      <w:r>
        <w:rPr>
          <w:szCs w:val="22"/>
        </w:rPr>
        <w:t xml:space="preserve">Approximately a 65% reduction in the risk of independently adjudicated acute IPF </w:t>
      </w:r>
      <w:r w:rsidRPr="00B6317B">
        <w:rPr>
          <w:szCs w:val="22"/>
        </w:rPr>
        <w:t>exacerbations</w:t>
      </w:r>
      <w:r w:rsidR="003066F6" w:rsidRPr="00B6317B">
        <w:rPr>
          <w:szCs w:val="22"/>
        </w:rPr>
        <w:t xml:space="preserve"> over 52 weeks</w:t>
      </w:r>
      <w:r w:rsidR="00337A37">
        <w:rPr>
          <w:szCs w:val="22"/>
        </w:rPr>
        <w:t>.</w:t>
      </w:r>
    </w:p>
    <w:p w:rsidR="007F30CE" w:rsidRPr="00B6317B" w:rsidRDefault="00CA7613" w:rsidP="00CA7613">
      <w:pPr>
        <w:pStyle w:val="ListParagraph"/>
        <w:widowControl/>
        <w:numPr>
          <w:ilvl w:val="0"/>
          <w:numId w:val="9"/>
        </w:numPr>
        <w:ind w:left="993" w:hanging="219"/>
        <w:rPr>
          <w:szCs w:val="22"/>
        </w:rPr>
      </w:pPr>
      <w:r w:rsidRPr="00B6317B">
        <w:rPr>
          <w:szCs w:val="22"/>
        </w:rPr>
        <w:t>Insufficient evidence to support a significant difference in OS.</w:t>
      </w:r>
    </w:p>
    <w:p w:rsidR="007F30CE" w:rsidRPr="004E08A8" w:rsidRDefault="007F30CE" w:rsidP="007F30CE">
      <w:pPr>
        <w:widowControl/>
        <w:rPr>
          <w:szCs w:val="22"/>
        </w:rPr>
      </w:pPr>
    </w:p>
    <w:p w:rsidR="007F30CE" w:rsidRPr="00B50DB8" w:rsidRDefault="007F30CE" w:rsidP="00321D09">
      <w:pPr>
        <w:pStyle w:val="ListParagraph"/>
        <w:widowControl/>
        <w:numPr>
          <w:ilvl w:val="1"/>
          <w:numId w:val="2"/>
        </w:numPr>
        <w:rPr>
          <w:szCs w:val="22"/>
        </w:rPr>
      </w:pPr>
      <w:r w:rsidRPr="00CF6EE4">
        <w:t xml:space="preserve">On the basis of direct evidence presented by the submission, for every 100 patients treated with </w:t>
      </w:r>
      <w:r>
        <w:t>nintedanib</w:t>
      </w:r>
      <w:r w:rsidRPr="00CF6EE4">
        <w:t xml:space="preserve"> in comparison to </w:t>
      </w:r>
      <w:r>
        <w:t>placebo:</w:t>
      </w:r>
    </w:p>
    <w:p w:rsidR="007F30CE" w:rsidRPr="00CC6AF8" w:rsidRDefault="007F30CE" w:rsidP="00321D09">
      <w:pPr>
        <w:pStyle w:val="ListParagraph"/>
        <w:widowControl/>
        <w:numPr>
          <w:ilvl w:val="0"/>
          <w:numId w:val="9"/>
        </w:numPr>
        <w:ind w:left="993" w:hanging="219"/>
        <w:rPr>
          <w:szCs w:val="22"/>
        </w:rPr>
      </w:pPr>
      <w:r w:rsidRPr="00CC6AF8">
        <w:rPr>
          <w:szCs w:val="22"/>
        </w:rPr>
        <w:t xml:space="preserve">Approximately 43 additional patients would have diarrhoea over </w:t>
      </w:r>
      <w:r w:rsidR="00F527ED" w:rsidRPr="00CC6AF8">
        <w:rPr>
          <w:szCs w:val="22"/>
        </w:rPr>
        <w:t>52</w:t>
      </w:r>
      <w:r w:rsidRPr="00CC6AF8">
        <w:rPr>
          <w:szCs w:val="22"/>
        </w:rPr>
        <w:t xml:space="preserve"> week duration of follow-up.</w:t>
      </w:r>
    </w:p>
    <w:p w:rsidR="007F30CE" w:rsidRPr="00CC6AF8" w:rsidRDefault="007F30CE" w:rsidP="00321D09">
      <w:pPr>
        <w:pStyle w:val="ListParagraph"/>
        <w:widowControl/>
        <w:numPr>
          <w:ilvl w:val="0"/>
          <w:numId w:val="9"/>
        </w:numPr>
        <w:ind w:left="993" w:hanging="219"/>
        <w:rPr>
          <w:szCs w:val="22"/>
        </w:rPr>
      </w:pPr>
      <w:r w:rsidRPr="00CC6AF8">
        <w:rPr>
          <w:szCs w:val="22"/>
        </w:rPr>
        <w:t xml:space="preserve">Approximately 9 additional patients would have vomiting over </w:t>
      </w:r>
      <w:r w:rsidR="00F527ED" w:rsidRPr="00CC6AF8">
        <w:rPr>
          <w:szCs w:val="22"/>
        </w:rPr>
        <w:t>52</w:t>
      </w:r>
      <w:r w:rsidRPr="00CC6AF8">
        <w:rPr>
          <w:szCs w:val="22"/>
        </w:rPr>
        <w:t xml:space="preserve"> week duration of follow-up.</w:t>
      </w:r>
    </w:p>
    <w:p w:rsidR="007F30CE" w:rsidRPr="00CC6AF8" w:rsidRDefault="007F30CE" w:rsidP="00321D09">
      <w:pPr>
        <w:pStyle w:val="ListParagraph"/>
        <w:widowControl/>
        <w:numPr>
          <w:ilvl w:val="0"/>
          <w:numId w:val="9"/>
        </w:numPr>
        <w:ind w:left="993" w:hanging="219"/>
        <w:rPr>
          <w:szCs w:val="22"/>
        </w:rPr>
      </w:pPr>
      <w:r w:rsidRPr="00CC6AF8">
        <w:rPr>
          <w:szCs w:val="22"/>
        </w:rPr>
        <w:t xml:space="preserve">Approximately 4 fewer patients would have dyspnoea over </w:t>
      </w:r>
      <w:r w:rsidR="00F527ED" w:rsidRPr="00CC6AF8">
        <w:rPr>
          <w:szCs w:val="22"/>
        </w:rPr>
        <w:t>52</w:t>
      </w:r>
      <w:r w:rsidRPr="00CC6AF8">
        <w:rPr>
          <w:szCs w:val="22"/>
        </w:rPr>
        <w:t xml:space="preserve"> week duration of follow-up.</w:t>
      </w:r>
    </w:p>
    <w:p w:rsidR="00CA7613" w:rsidRPr="00CA7613" w:rsidRDefault="00CA7613" w:rsidP="00CA7613">
      <w:bookmarkStart w:id="13" w:name="_Toc430009535"/>
    </w:p>
    <w:p w:rsidR="00B60939" w:rsidRPr="003757FB" w:rsidRDefault="00B60939" w:rsidP="006412CE">
      <w:pPr>
        <w:pStyle w:val="Heading2"/>
      </w:pPr>
      <w:r w:rsidRPr="003757FB">
        <w:t>Clinical claim</w:t>
      </w:r>
      <w:bookmarkEnd w:id="13"/>
    </w:p>
    <w:p w:rsidR="00B60939" w:rsidRPr="00882085" w:rsidRDefault="00B60939" w:rsidP="00B60939">
      <w:pPr>
        <w:ind w:left="720" w:hanging="720"/>
        <w:rPr>
          <w:szCs w:val="22"/>
        </w:rPr>
      </w:pPr>
    </w:p>
    <w:p w:rsidR="00B60939" w:rsidRPr="00E4203D" w:rsidRDefault="00E4203D" w:rsidP="00321D09">
      <w:pPr>
        <w:pStyle w:val="ListParagraph"/>
        <w:widowControl/>
        <w:numPr>
          <w:ilvl w:val="1"/>
          <w:numId w:val="2"/>
        </w:numPr>
        <w:rPr>
          <w:szCs w:val="22"/>
        </w:rPr>
      </w:pPr>
      <w:r w:rsidRPr="00E4203D">
        <w:t xml:space="preserve">The re-submission described </w:t>
      </w:r>
      <w:r>
        <w:t xml:space="preserve">nintedanib as superior to placebo for the treatment of patients with IPF but associated with a slightly higher incidence </w:t>
      </w:r>
      <w:r w:rsidR="003757FB">
        <w:t>of drug related adverse events.</w:t>
      </w:r>
    </w:p>
    <w:p w:rsidR="00E4203D" w:rsidRPr="003757FB" w:rsidRDefault="00E4203D" w:rsidP="00E4203D">
      <w:pPr>
        <w:widowControl/>
        <w:rPr>
          <w:szCs w:val="22"/>
        </w:rPr>
      </w:pPr>
    </w:p>
    <w:p w:rsidR="00E4203D" w:rsidRPr="00E4203D" w:rsidRDefault="00E4203D" w:rsidP="00321D09">
      <w:pPr>
        <w:pStyle w:val="ListParagraph"/>
        <w:widowControl/>
        <w:numPr>
          <w:ilvl w:val="1"/>
          <w:numId w:val="2"/>
        </w:numPr>
        <w:rPr>
          <w:szCs w:val="22"/>
        </w:rPr>
      </w:pPr>
      <w:r>
        <w:rPr>
          <w:szCs w:val="22"/>
        </w:rPr>
        <w:t>The eff</w:t>
      </w:r>
      <w:r w:rsidR="0058621F">
        <w:rPr>
          <w:szCs w:val="22"/>
        </w:rPr>
        <w:t>ectiveness</w:t>
      </w:r>
      <w:r>
        <w:rPr>
          <w:szCs w:val="22"/>
        </w:rPr>
        <w:t xml:space="preserve"> claim is identical to that presented in the March 2015 submission.  </w:t>
      </w:r>
      <w:r w:rsidR="00B6317B">
        <w:rPr>
          <w:szCs w:val="22"/>
        </w:rPr>
        <w:t>At that meeting, t</w:t>
      </w:r>
      <w:r w:rsidRPr="00E4203D">
        <w:t xml:space="preserve">he PBAC considered that the claim of superior comparative effectiveness was adequately supported in terms of measures of change in FVC over 52 weeks, proportion of FVC responders and independent adjudicated acute IPF exacerbations.  While it was noted that lower FVC was associated with a higher risk of mortality, the PBAC concluded that quantification of the relationship was challenging given the lack of demonstration of a statistically significant impact on survival or quality of life in the trial (March 2015, paragraph </w:t>
      </w:r>
      <w:r>
        <w:t>6.22</w:t>
      </w:r>
      <w:r w:rsidR="003757FB">
        <w:t>).</w:t>
      </w:r>
    </w:p>
    <w:p w:rsidR="00E4203D" w:rsidRPr="003757FB" w:rsidRDefault="00E4203D" w:rsidP="00E4203D">
      <w:pPr>
        <w:rPr>
          <w:szCs w:val="22"/>
        </w:rPr>
      </w:pPr>
    </w:p>
    <w:p w:rsidR="009532CF" w:rsidRDefault="00E4203D" w:rsidP="00321D09">
      <w:pPr>
        <w:pStyle w:val="ListParagraph"/>
        <w:widowControl/>
        <w:numPr>
          <w:ilvl w:val="1"/>
          <w:numId w:val="2"/>
        </w:numPr>
        <w:rPr>
          <w:szCs w:val="22"/>
        </w:rPr>
      </w:pPr>
      <w:r w:rsidRPr="0060206A">
        <w:rPr>
          <w:szCs w:val="22"/>
        </w:rPr>
        <w:t>In comparison to the March 2015 submission, the re-submission altered the context surrounding the claim of a higher</w:t>
      </w:r>
      <w:r w:rsidR="00541CEA" w:rsidRPr="0060206A">
        <w:rPr>
          <w:szCs w:val="22"/>
        </w:rPr>
        <w:t xml:space="preserve"> occurrence of</w:t>
      </w:r>
      <w:r w:rsidRPr="0060206A">
        <w:rPr>
          <w:szCs w:val="22"/>
        </w:rPr>
        <w:t xml:space="preserve"> drug-related adverse events, emphasising ‘slightly higher’ incidence as opposed to ‘insignificance in discontinuations and adequacy of the management of adverse events’.  The </w:t>
      </w:r>
      <w:r w:rsidR="00A9726C" w:rsidRPr="0060206A">
        <w:rPr>
          <w:szCs w:val="22"/>
        </w:rPr>
        <w:t>description</w:t>
      </w:r>
      <w:r w:rsidRPr="0060206A">
        <w:rPr>
          <w:szCs w:val="22"/>
        </w:rPr>
        <w:t xml:space="preserve"> of ‘slightly higher’ incidence is questionable considering that nintedanib treated patients had over double the frequency of drug related adverse events in comparison to placebo (RR = </w:t>
      </w:r>
      <w:r w:rsidRPr="005C5596">
        <w:rPr>
          <w:szCs w:val="22"/>
        </w:rPr>
        <w:t>2.45</w:t>
      </w:r>
      <w:r w:rsidRPr="0060206A">
        <w:rPr>
          <w:szCs w:val="22"/>
        </w:rPr>
        <w:t>, 95% CI:</w:t>
      </w:r>
      <w:r w:rsidRPr="005C5596">
        <w:rPr>
          <w:szCs w:val="22"/>
        </w:rPr>
        <w:t xml:space="preserve"> 2.12, 2.83</w:t>
      </w:r>
      <w:r w:rsidRPr="0060206A">
        <w:rPr>
          <w:szCs w:val="22"/>
        </w:rPr>
        <w:t xml:space="preserve">), with an absolute difference of 42% (RD% = </w:t>
      </w:r>
      <w:r w:rsidRPr="005C5596">
        <w:rPr>
          <w:szCs w:val="22"/>
        </w:rPr>
        <w:t>41.9</w:t>
      </w:r>
      <w:r w:rsidRPr="0060206A">
        <w:rPr>
          <w:szCs w:val="22"/>
        </w:rPr>
        <w:t xml:space="preserve">, 95%CI: </w:t>
      </w:r>
      <w:r w:rsidRPr="005C5596">
        <w:rPr>
          <w:szCs w:val="22"/>
        </w:rPr>
        <w:t>36.8, 47.1</w:t>
      </w:r>
      <w:r w:rsidRPr="0060206A">
        <w:rPr>
          <w:szCs w:val="22"/>
        </w:rPr>
        <w:t>).  The PBAC considered that a claim of inferior comparative safety was reasonabl</w:t>
      </w:r>
      <w:r w:rsidR="003757FB">
        <w:rPr>
          <w:szCs w:val="22"/>
        </w:rPr>
        <w:t>e (March 2015, paragraph 6.23).</w:t>
      </w:r>
    </w:p>
    <w:p w:rsidR="009532CF" w:rsidRPr="003757FB" w:rsidRDefault="009532CF" w:rsidP="009532CF">
      <w:pPr>
        <w:rPr>
          <w:szCs w:val="22"/>
        </w:rPr>
      </w:pPr>
    </w:p>
    <w:p w:rsidR="00E4203D" w:rsidRPr="0060206A" w:rsidRDefault="006D0895" w:rsidP="00321D09">
      <w:pPr>
        <w:pStyle w:val="ListParagraph"/>
        <w:widowControl/>
        <w:numPr>
          <w:ilvl w:val="1"/>
          <w:numId w:val="2"/>
        </w:numPr>
        <w:rPr>
          <w:szCs w:val="22"/>
        </w:rPr>
      </w:pPr>
      <w:r>
        <w:rPr>
          <w:szCs w:val="22"/>
        </w:rPr>
        <w:t>In Novem</w:t>
      </w:r>
      <w:r w:rsidR="00217DD8">
        <w:rPr>
          <w:szCs w:val="22"/>
        </w:rPr>
        <w:t>b</w:t>
      </w:r>
      <w:r>
        <w:rPr>
          <w:szCs w:val="22"/>
        </w:rPr>
        <w:t>er 2015, t</w:t>
      </w:r>
      <w:r w:rsidR="0058621F">
        <w:rPr>
          <w:szCs w:val="22"/>
        </w:rPr>
        <w:t>he PBAC agreed with the clinical claim of effectiveness and safety, noting</w:t>
      </w:r>
      <w:r w:rsidR="009532CF">
        <w:rPr>
          <w:szCs w:val="22"/>
        </w:rPr>
        <w:t xml:space="preserve"> the</w:t>
      </w:r>
      <w:r w:rsidR="009532CF" w:rsidRPr="00B86D7D">
        <w:rPr>
          <w:szCs w:val="22"/>
        </w:rPr>
        <w:t xml:space="preserve"> FDA review</w:t>
      </w:r>
      <w:r w:rsidR="009532CF" w:rsidRPr="00B86D7D">
        <w:rPr>
          <w:rStyle w:val="FootnoteReference"/>
        </w:rPr>
        <w:footnoteReference w:id="2"/>
      </w:r>
      <w:r w:rsidR="009532CF" w:rsidRPr="00B86D7D">
        <w:rPr>
          <w:szCs w:val="22"/>
        </w:rPr>
        <w:t xml:space="preserve"> of perfinidone and nintedinab studies suggests that FVC is a valid surrogate</w:t>
      </w:r>
      <w:r w:rsidR="009532CF" w:rsidRPr="00B86D7D">
        <w:t xml:space="preserve"> for mortality in IPF.</w:t>
      </w:r>
    </w:p>
    <w:p w:rsidR="00B60939" w:rsidRDefault="00B60939" w:rsidP="00B60939">
      <w:pPr>
        <w:ind w:left="720" w:hanging="720"/>
        <w:rPr>
          <w:szCs w:val="22"/>
        </w:rPr>
      </w:pPr>
    </w:p>
    <w:p w:rsidR="0058621F" w:rsidRPr="00586105" w:rsidRDefault="0058621F" w:rsidP="003757FB">
      <w:pPr>
        <w:widowControl/>
        <w:ind w:left="709"/>
        <w:rPr>
          <w:i/>
          <w:szCs w:val="22"/>
        </w:rPr>
      </w:pPr>
      <w:r w:rsidRPr="00586105">
        <w:rPr>
          <w:i/>
          <w:szCs w:val="22"/>
        </w:rPr>
        <w:t>For more detail on PBAC’s view, see section 7 “PBAC outcome”</w:t>
      </w:r>
      <w:r w:rsidR="003757FB">
        <w:rPr>
          <w:i/>
          <w:szCs w:val="22"/>
        </w:rPr>
        <w:t>.</w:t>
      </w:r>
    </w:p>
    <w:p w:rsidR="009532CF" w:rsidRPr="00882085" w:rsidRDefault="009532CF" w:rsidP="0026108E">
      <w:pPr>
        <w:spacing w:line="960" w:lineRule="auto"/>
        <w:ind w:left="720" w:hanging="720"/>
        <w:rPr>
          <w:szCs w:val="22"/>
        </w:rPr>
      </w:pPr>
    </w:p>
    <w:p w:rsidR="00B60939" w:rsidRPr="00217DD8" w:rsidRDefault="00B60939" w:rsidP="006412CE">
      <w:pPr>
        <w:pStyle w:val="Heading2"/>
      </w:pPr>
      <w:bookmarkStart w:id="14" w:name="_Toc430009536"/>
      <w:r w:rsidRPr="00217DD8">
        <w:t>Economic analysis</w:t>
      </w:r>
      <w:bookmarkEnd w:id="14"/>
    </w:p>
    <w:p w:rsidR="00B60939" w:rsidRPr="00882085" w:rsidRDefault="00B60939" w:rsidP="00B60939">
      <w:pPr>
        <w:ind w:left="720" w:hanging="720"/>
        <w:rPr>
          <w:szCs w:val="22"/>
        </w:rPr>
      </w:pPr>
    </w:p>
    <w:p w:rsidR="006F49F8" w:rsidRPr="0060206A" w:rsidRDefault="00A9726C" w:rsidP="00321D09">
      <w:pPr>
        <w:pStyle w:val="ListParagraph"/>
        <w:widowControl/>
        <w:numPr>
          <w:ilvl w:val="1"/>
          <w:numId w:val="2"/>
        </w:numPr>
        <w:rPr>
          <w:szCs w:val="22"/>
        </w:rPr>
      </w:pPr>
      <w:r w:rsidRPr="0060206A">
        <w:t xml:space="preserve">The re-submission presents an updated economic model to evaluate the cost-effectiveness of nintedanib versus BSC.  </w:t>
      </w:r>
      <w:r w:rsidR="005871C9" w:rsidRPr="0060206A">
        <w:t>In comparison to the March 2015 submission</w:t>
      </w:r>
      <w:r w:rsidR="008F1EC2" w:rsidRPr="0060206A">
        <w:t xml:space="preserve">, </w:t>
      </w:r>
      <w:r w:rsidR="005871C9" w:rsidRPr="0060206A">
        <w:t xml:space="preserve">no substantive changes have </w:t>
      </w:r>
      <w:r w:rsidR="00E72709" w:rsidRPr="0060206A">
        <w:t>been made</w:t>
      </w:r>
      <w:r w:rsidR="005871C9" w:rsidRPr="0060206A">
        <w:t xml:space="preserve"> to the </w:t>
      </w:r>
      <w:r w:rsidR="008F1EC2" w:rsidRPr="0060206A">
        <w:t xml:space="preserve">structure </w:t>
      </w:r>
      <w:r w:rsidR="005871C9" w:rsidRPr="0060206A">
        <w:t>or</w:t>
      </w:r>
      <w:r w:rsidR="008F1EC2" w:rsidRPr="0060206A">
        <w:t xml:space="preserve"> rationale of the economic model </w:t>
      </w:r>
      <w:r w:rsidR="008F1EC2" w:rsidRPr="00272D10">
        <w:t xml:space="preserve">(refer to Table </w:t>
      </w:r>
      <w:r w:rsidR="00BE105A" w:rsidRPr="00272D10">
        <w:t>9</w:t>
      </w:r>
      <w:r w:rsidR="008F1EC2" w:rsidRPr="00272D10">
        <w:t xml:space="preserve">, </w:t>
      </w:r>
      <w:r w:rsidR="006F49F8" w:rsidRPr="00272D10">
        <w:t>below</w:t>
      </w:r>
      <w:r w:rsidR="008F1EC2" w:rsidRPr="00272D10">
        <w:t>).</w:t>
      </w:r>
      <w:r w:rsidR="008F1EC2" w:rsidRPr="0060206A">
        <w:t xml:space="preserve">  </w:t>
      </w:r>
      <w:r w:rsidR="0082480A" w:rsidRPr="0060206A">
        <w:t>Given that the economic model continues to rely on non-statistically significant extrapolations of s</w:t>
      </w:r>
      <w:r w:rsidR="00DD68D3">
        <w:t xml:space="preserve">urvival </w:t>
      </w:r>
      <w:r w:rsidR="00272D10" w:rsidRPr="00272D10">
        <w:t>(refer to paragraph 6.24</w:t>
      </w:r>
      <w:r w:rsidR="0082480A" w:rsidRPr="00272D10">
        <w:t xml:space="preserve"> for further details)</w:t>
      </w:r>
      <w:r w:rsidR="0082480A" w:rsidRPr="0060206A">
        <w:t>, it is unlikely that the PBAC’s concerns regarding the appropriateness of the CUA (paragraph 7.10</w:t>
      </w:r>
      <w:r w:rsidR="00CA7613">
        <w:t xml:space="preserve">, Nintedanib for IPF PSD, </w:t>
      </w:r>
      <w:r w:rsidR="00CA7613" w:rsidRPr="008D1343">
        <w:t>March 2015</w:t>
      </w:r>
      <w:r w:rsidR="0082480A" w:rsidRPr="0060206A">
        <w:t xml:space="preserve">) have been adequately </w:t>
      </w:r>
      <w:r w:rsidR="00217DD8">
        <w:t>resolved by the re-submission.</w:t>
      </w:r>
    </w:p>
    <w:p w:rsidR="006F49F8" w:rsidRPr="00217DD8" w:rsidRDefault="006F49F8" w:rsidP="006F49F8">
      <w:pPr>
        <w:widowControl/>
        <w:rPr>
          <w:szCs w:val="22"/>
        </w:rPr>
      </w:pPr>
    </w:p>
    <w:p w:rsidR="006F49F8" w:rsidRDefault="006F49F8" w:rsidP="006F49F8">
      <w:pPr>
        <w:keepNext/>
        <w:ind w:firstLine="720"/>
        <w:rPr>
          <w:rStyle w:val="CommentReference"/>
        </w:rPr>
      </w:pPr>
      <w:r w:rsidRPr="00A56B6A">
        <w:rPr>
          <w:rStyle w:val="CommentReference"/>
        </w:rPr>
        <w:t>Table</w:t>
      </w:r>
      <w:r w:rsidR="00CB498B">
        <w:rPr>
          <w:rStyle w:val="CommentReference"/>
        </w:rPr>
        <w:t xml:space="preserve"> 8</w:t>
      </w:r>
      <w:r w:rsidRPr="00A56B6A">
        <w:rPr>
          <w:rStyle w:val="CommentReference"/>
        </w:rPr>
        <w:t>: Summary of model structure and rationale</w:t>
      </w:r>
    </w:p>
    <w:tbl>
      <w:tblPr>
        <w:tblW w:w="455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Summary of model structure and rationale"/>
      </w:tblPr>
      <w:tblGrid>
        <w:gridCol w:w="1020"/>
        <w:gridCol w:w="7256"/>
      </w:tblGrid>
      <w:tr w:rsidR="006F49F8" w:rsidRPr="00E2771E" w:rsidTr="006F49F8">
        <w:trPr>
          <w:tblHeader/>
        </w:trPr>
        <w:tc>
          <w:tcPr>
            <w:tcW w:w="616" w:type="pct"/>
            <w:shd w:val="clear" w:color="auto" w:fill="auto"/>
            <w:vAlign w:val="center"/>
          </w:tcPr>
          <w:p w:rsidR="006F49F8" w:rsidRPr="00E2771E" w:rsidRDefault="006F49F8" w:rsidP="006F49F8">
            <w:pPr>
              <w:jc w:val="left"/>
              <w:rPr>
                <w:rFonts w:ascii="Arial Narrow" w:hAnsi="Arial Narrow"/>
                <w:b/>
                <w:sz w:val="20"/>
              </w:rPr>
            </w:pPr>
            <w:r w:rsidRPr="00E2771E">
              <w:rPr>
                <w:rFonts w:ascii="Arial Narrow" w:hAnsi="Arial Narrow"/>
                <w:b/>
                <w:sz w:val="20"/>
              </w:rPr>
              <w:t>Component</w:t>
            </w:r>
          </w:p>
        </w:tc>
        <w:tc>
          <w:tcPr>
            <w:tcW w:w="4384" w:type="pct"/>
            <w:shd w:val="clear" w:color="auto" w:fill="auto"/>
            <w:vAlign w:val="center"/>
          </w:tcPr>
          <w:p w:rsidR="006F49F8" w:rsidRPr="00E2771E" w:rsidRDefault="006F49F8" w:rsidP="006F49F8">
            <w:pPr>
              <w:jc w:val="center"/>
              <w:rPr>
                <w:rFonts w:ascii="Arial Narrow" w:hAnsi="Arial Narrow"/>
                <w:b/>
                <w:sz w:val="20"/>
              </w:rPr>
            </w:pPr>
            <w:r w:rsidRPr="00E2771E">
              <w:rPr>
                <w:rFonts w:ascii="Arial Narrow" w:hAnsi="Arial Narrow"/>
                <w:b/>
                <w:sz w:val="20"/>
              </w:rPr>
              <w:t>Summary</w:t>
            </w:r>
          </w:p>
        </w:tc>
      </w:tr>
      <w:tr w:rsidR="006F49F8" w:rsidRPr="00E2771E" w:rsidTr="006F49F8">
        <w:tc>
          <w:tcPr>
            <w:tcW w:w="616" w:type="pct"/>
            <w:shd w:val="clear" w:color="auto" w:fill="auto"/>
            <w:vAlign w:val="center"/>
          </w:tcPr>
          <w:p w:rsidR="006F49F8" w:rsidRPr="00E2771E" w:rsidRDefault="006F49F8" w:rsidP="006F49F8">
            <w:pPr>
              <w:jc w:val="left"/>
              <w:rPr>
                <w:rFonts w:ascii="Arial Narrow" w:hAnsi="Arial Narrow"/>
                <w:sz w:val="20"/>
              </w:rPr>
            </w:pPr>
            <w:r w:rsidRPr="00E2771E">
              <w:rPr>
                <w:rFonts w:ascii="Arial Narrow" w:hAnsi="Arial Narrow"/>
                <w:sz w:val="20"/>
              </w:rPr>
              <w:t>Time horizon</w:t>
            </w:r>
          </w:p>
        </w:tc>
        <w:tc>
          <w:tcPr>
            <w:tcW w:w="4384" w:type="pct"/>
            <w:shd w:val="clear" w:color="auto" w:fill="auto"/>
          </w:tcPr>
          <w:p w:rsidR="006F49F8" w:rsidRPr="00E2771E" w:rsidRDefault="006F49F8" w:rsidP="006F49F8">
            <w:pPr>
              <w:jc w:val="left"/>
              <w:rPr>
                <w:rFonts w:ascii="Arial Narrow" w:hAnsi="Arial Narrow"/>
                <w:sz w:val="20"/>
              </w:rPr>
            </w:pPr>
            <w:r w:rsidRPr="00536468">
              <w:rPr>
                <w:rFonts w:ascii="Arial Narrow" w:hAnsi="Arial Narrow"/>
                <w:sz w:val="20"/>
              </w:rPr>
              <w:t xml:space="preserve">10 years in the model base case versus </w:t>
            </w:r>
            <w:r>
              <w:rPr>
                <w:rFonts w:ascii="Arial Narrow" w:hAnsi="Arial Narrow"/>
                <w:sz w:val="20"/>
              </w:rPr>
              <w:t>21</w:t>
            </w:r>
            <w:r w:rsidRPr="00536468">
              <w:rPr>
                <w:rFonts w:ascii="Arial Narrow" w:hAnsi="Arial Narrow"/>
                <w:sz w:val="20"/>
              </w:rPr>
              <w:t xml:space="preserve"> months </w:t>
            </w:r>
            <w:r>
              <w:rPr>
                <w:rFonts w:ascii="Arial Narrow" w:hAnsi="Arial Narrow"/>
                <w:sz w:val="20"/>
              </w:rPr>
              <w:t>maximum follow-up in the nintedanib trials</w:t>
            </w:r>
          </w:p>
        </w:tc>
      </w:tr>
      <w:tr w:rsidR="006F49F8" w:rsidRPr="00E2771E" w:rsidTr="006F49F8">
        <w:tc>
          <w:tcPr>
            <w:tcW w:w="616" w:type="pct"/>
            <w:shd w:val="clear" w:color="auto" w:fill="auto"/>
            <w:vAlign w:val="center"/>
          </w:tcPr>
          <w:p w:rsidR="006F49F8" w:rsidRPr="00E2771E" w:rsidRDefault="006F49F8" w:rsidP="006F49F8">
            <w:pPr>
              <w:jc w:val="left"/>
              <w:rPr>
                <w:rFonts w:ascii="Arial Narrow" w:hAnsi="Arial Narrow"/>
                <w:sz w:val="20"/>
              </w:rPr>
            </w:pPr>
            <w:r w:rsidRPr="00E2771E">
              <w:rPr>
                <w:rFonts w:ascii="Arial Narrow" w:hAnsi="Arial Narrow"/>
                <w:sz w:val="20"/>
              </w:rPr>
              <w:t>Outcomes</w:t>
            </w:r>
          </w:p>
        </w:tc>
        <w:tc>
          <w:tcPr>
            <w:tcW w:w="4384" w:type="pct"/>
            <w:shd w:val="clear" w:color="auto" w:fill="auto"/>
          </w:tcPr>
          <w:p w:rsidR="006F49F8" w:rsidRPr="00E2771E" w:rsidRDefault="006F49F8" w:rsidP="006F49F8">
            <w:pPr>
              <w:jc w:val="left"/>
              <w:rPr>
                <w:rFonts w:ascii="Arial Narrow" w:hAnsi="Arial Narrow"/>
                <w:sz w:val="20"/>
              </w:rPr>
            </w:pPr>
            <w:r w:rsidRPr="00536468">
              <w:rPr>
                <w:rFonts w:ascii="Arial Narrow" w:hAnsi="Arial Narrow"/>
                <w:sz w:val="20"/>
              </w:rPr>
              <w:t>Cost/LYG</w:t>
            </w:r>
            <w:r>
              <w:rPr>
                <w:rFonts w:ascii="Arial Narrow" w:hAnsi="Arial Narrow"/>
                <w:sz w:val="20"/>
              </w:rPr>
              <w:t>;</w:t>
            </w:r>
            <w:r w:rsidRPr="00536468">
              <w:rPr>
                <w:rFonts w:ascii="Arial Narrow" w:hAnsi="Arial Narrow"/>
                <w:sz w:val="20"/>
              </w:rPr>
              <w:t xml:space="preserve"> Cost/QALY</w:t>
            </w:r>
            <w:r>
              <w:rPr>
                <w:rFonts w:ascii="Arial Narrow" w:hAnsi="Arial Narrow"/>
                <w:sz w:val="20"/>
              </w:rPr>
              <w:t xml:space="preserve"> (trial based EQ-5D utilities) </w:t>
            </w:r>
          </w:p>
        </w:tc>
      </w:tr>
      <w:tr w:rsidR="006F49F8" w:rsidRPr="00E2771E" w:rsidTr="006F49F8">
        <w:tc>
          <w:tcPr>
            <w:tcW w:w="616" w:type="pct"/>
            <w:shd w:val="clear" w:color="auto" w:fill="auto"/>
            <w:vAlign w:val="center"/>
          </w:tcPr>
          <w:p w:rsidR="006F49F8" w:rsidRPr="00E2771E" w:rsidRDefault="006F49F8" w:rsidP="006F49F8">
            <w:pPr>
              <w:jc w:val="left"/>
              <w:rPr>
                <w:rFonts w:ascii="Arial Narrow" w:hAnsi="Arial Narrow"/>
                <w:sz w:val="20"/>
              </w:rPr>
            </w:pPr>
            <w:r w:rsidRPr="00E2771E">
              <w:rPr>
                <w:rFonts w:ascii="Arial Narrow" w:hAnsi="Arial Narrow"/>
                <w:sz w:val="20"/>
              </w:rPr>
              <w:t>Methods used to generate results</w:t>
            </w:r>
          </w:p>
        </w:tc>
        <w:tc>
          <w:tcPr>
            <w:tcW w:w="4384" w:type="pct"/>
            <w:shd w:val="clear" w:color="auto" w:fill="auto"/>
            <w:vAlign w:val="center"/>
          </w:tcPr>
          <w:p w:rsidR="006F49F8" w:rsidRPr="00E2771E" w:rsidRDefault="006F49F8" w:rsidP="006F49F8">
            <w:pPr>
              <w:jc w:val="left"/>
              <w:rPr>
                <w:rFonts w:ascii="Arial Narrow" w:hAnsi="Arial Narrow"/>
                <w:sz w:val="20"/>
              </w:rPr>
            </w:pPr>
            <w:r>
              <w:rPr>
                <w:rFonts w:ascii="Arial Narrow" w:hAnsi="Arial Narrow"/>
                <w:sz w:val="20"/>
              </w:rPr>
              <w:t>Markov state transition model separated into two parts: ‘no exacerbation’ and ‘exacerbations’.  P</w:t>
            </w:r>
            <w:r w:rsidRPr="006F05DD">
              <w:rPr>
                <w:rFonts w:ascii="Arial Narrow" w:hAnsi="Arial Narrow"/>
                <w:sz w:val="20"/>
              </w:rPr>
              <w:t>atients may either remain stable or transition via a one-step decline in FVC%Pred health state according to ‘no exacerbation’ or ‘exacerbation’ status</w:t>
            </w:r>
            <w:r>
              <w:rPr>
                <w:rFonts w:ascii="Arial Narrow" w:hAnsi="Arial Narrow"/>
                <w:sz w:val="20"/>
              </w:rPr>
              <w:t xml:space="preserve">.  </w:t>
            </w:r>
            <w:r w:rsidRPr="006F05DD">
              <w:rPr>
                <w:rFonts w:ascii="Arial Narrow" w:hAnsi="Arial Narrow"/>
                <w:sz w:val="20"/>
              </w:rPr>
              <w:t xml:space="preserve">Discontinuation probabilities </w:t>
            </w:r>
            <w:r>
              <w:rPr>
                <w:rFonts w:ascii="Arial Narrow" w:hAnsi="Arial Narrow"/>
                <w:sz w:val="20"/>
              </w:rPr>
              <w:t>are</w:t>
            </w:r>
            <w:r w:rsidRPr="006F05DD">
              <w:rPr>
                <w:rFonts w:ascii="Arial Narrow" w:hAnsi="Arial Narrow"/>
                <w:sz w:val="20"/>
              </w:rPr>
              <w:t xml:space="preserve"> also applied to the nintedanib arm of the model.  Upon discontinuation of treatment, the economic model applie</w:t>
            </w:r>
            <w:r>
              <w:rPr>
                <w:rFonts w:ascii="Arial Narrow" w:hAnsi="Arial Narrow"/>
                <w:sz w:val="20"/>
              </w:rPr>
              <w:t>d</w:t>
            </w:r>
            <w:r w:rsidRPr="006F05DD">
              <w:rPr>
                <w:rFonts w:ascii="Arial Narrow" w:hAnsi="Arial Narrow"/>
                <w:sz w:val="20"/>
              </w:rPr>
              <w:t xml:space="preserve"> relevant transition probabilities associated with BSC.  Patients </w:t>
            </w:r>
            <w:r>
              <w:rPr>
                <w:rFonts w:ascii="Arial Narrow" w:hAnsi="Arial Narrow"/>
                <w:sz w:val="20"/>
              </w:rPr>
              <w:t>could</w:t>
            </w:r>
            <w:r w:rsidRPr="006F05DD">
              <w:rPr>
                <w:rFonts w:ascii="Arial Narrow" w:hAnsi="Arial Narrow"/>
                <w:sz w:val="20"/>
              </w:rPr>
              <w:t xml:space="preserve"> transition to the self-absorbing death health state at any time, as determined by the Kaplan Meier estimates </w:t>
            </w:r>
            <w:r>
              <w:rPr>
                <w:rFonts w:ascii="Arial Narrow" w:hAnsi="Arial Narrow"/>
                <w:sz w:val="20"/>
              </w:rPr>
              <w:t xml:space="preserve">from month 0-21, followed by </w:t>
            </w:r>
            <w:r w:rsidRPr="006F05DD">
              <w:rPr>
                <w:rFonts w:ascii="Arial Narrow" w:hAnsi="Arial Narrow"/>
                <w:sz w:val="20"/>
              </w:rPr>
              <w:t xml:space="preserve">Weibull extrapolations to 10 years.  </w:t>
            </w:r>
          </w:p>
        </w:tc>
      </w:tr>
      <w:tr w:rsidR="006F49F8" w:rsidRPr="00E2771E" w:rsidTr="006F49F8">
        <w:tc>
          <w:tcPr>
            <w:tcW w:w="616" w:type="pct"/>
            <w:shd w:val="clear" w:color="auto" w:fill="auto"/>
            <w:vAlign w:val="center"/>
          </w:tcPr>
          <w:p w:rsidR="006F49F8" w:rsidRPr="00E2771E" w:rsidRDefault="006F49F8" w:rsidP="006F49F8">
            <w:pPr>
              <w:jc w:val="left"/>
              <w:rPr>
                <w:rFonts w:ascii="Arial Narrow" w:hAnsi="Arial Narrow"/>
                <w:sz w:val="20"/>
              </w:rPr>
            </w:pPr>
            <w:r w:rsidRPr="00E2771E">
              <w:rPr>
                <w:rFonts w:ascii="Arial Narrow" w:hAnsi="Arial Narrow"/>
                <w:sz w:val="20"/>
              </w:rPr>
              <w:t>Health states</w:t>
            </w:r>
          </w:p>
        </w:tc>
        <w:tc>
          <w:tcPr>
            <w:tcW w:w="4384" w:type="pct"/>
            <w:shd w:val="clear" w:color="auto" w:fill="auto"/>
            <w:vAlign w:val="center"/>
          </w:tcPr>
          <w:p w:rsidR="006F49F8" w:rsidRPr="00E2771E" w:rsidRDefault="006F49F8" w:rsidP="006F49F8">
            <w:pPr>
              <w:jc w:val="left"/>
              <w:rPr>
                <w:rFonts w:ascii="Arial Narrow" w:hAnsi="Arial Narrow"/>
                <w:sz w:val="20"/>
              </w:rPr>
            </w:pPr>
            <w:r>
              <w:rPr>
                <w:rFonts w:ascii="Arial Narrow" w:hAnsi="Arial Narrow"/>
                <w:sz w:val="20"/>
              </w:rPr>
              <w:t>8 FVC%Pred health states and death</w:t>
            </w:r>
          </w:p>
        </w:tc>
      </w:tr>
      <w:tr w:rsidR="006F49F8" w:rsidRPr="00E2771E" w:rsidTr="006F49F8">
        <w:tc>
          <w:tcPr>
            <w:tcW w:w="616" w:type="pct"/>
            <w:shd w:val="clear" w:color="auto" w:fill="auto"/>
            <w:vAlign w:val="center"/>
          </w:tcPr>
          <w:p w:rsidR="006F49F8" w:rsidRPr="00E2771E" w:rsidRDefault="006F49F8" w:rsidP="006F49F8">
            <w:pPr>
              <w:jc w:val="left"/>
              <w:rPr>
                <w:rFonts w:ascii="Arial Narrow" w:hAnsi="Arial Narrow"/>
                <w:sz w:val="20"/>
              </w:rPr>
            </w:pPr>
            <w:r w:rsidRPr="00E2771E">
              <w:rPr>
                <w:rFonts w:ascii="Arial Narrow" w:hAnsi="Arial Narrow"/>
                <w:sz w:val="20"/>
              </w:rPr>
              <w:t>Cycle length</w:t>
            </w:r>
          </w:p>
        </w:tc>
        <w:tc>
          <w:tcPr>
            <w:tcW w:w="4384" w:type="pct"/>
            <w:shd w:val="clear" w:color="auto" w:fill="auto"/>
          </w:tcPr>
          <w:p w:rsidR="006F49F8" w:rsidRPr="00E2771E" w:rsidRDefault="006F49F8" w:rsidP="006F49F8">
            <w:pPr>
              <w:jc w:val="left"/>
              <w:rPr>
                <w:rFonts w:ascii="Arial Narrow" w:hAnsi="Arial Narrow"/>
                <w:sz w:val="20"/>
              </w:rPr>
            </w:pPr>
            <w:r w:rsidRPr="00536468">
              <w:rPr>
                <w:rFonts w:ascii="Arial Narrow" w:hAnsi="Arial Narrow"/>
                <w:sz w:val="20"/>
              </w:rPr>
              <w:t>0.25 years</w:t>
            </w:r>
            <w:r>
              <w:rPr>
                <w:rFonts w:ascii="Arial Narrow" w:hAnsi="Arial Narrow"/>
                <w:sz w:val="20"/>
              </w:rPr>
              <w:t>; half cycle correction applied</w:t>
            </w:r>
          </w:p>
        </w:tc>
      </w:tr>
      <w:tr w:rsidR="006F49F8" w:rsidRPr="00E2771E" w:rsidTr="006F49F8">
        <w:tc>
          <w:tcPr>
            <w:tcW w:w="616" w:type="pct"/>
            <w:shd w:val="clear" w:color="auto" w:fill="auto"/>
            <w:vAlign w:val="center"/>
          </w:tcPr>
          <w:p w:rsidR="006F49F8" w:rsidRPr="00E2771E" w:rsidRDefault="006F49F8" w:rsidP="006F49F8">
            <w:pPr>
              <w:jc w:val="left"/>
              <w:rPr>
                <w:rFonts w:ascii="Arial Narrow" w:hAnsi="Arial Narrow"/>
                <w:sz w:val="20"/>
              </w:rPr>
            </w:pPr>
            <w:r w:rsidRPr="00E2771E">
              <w:rPr>
                <w:rFonts w:ascii="Arial Narrow" w:hAnsi="Arial Narrow"/>
                <w:sz w:val="20"/>
              </w:rPr>
              <w:t>Transition probabilities</w:t>
            </w:r>
          </w:p>
        </w:tc>
        <w:tc>
          <w:tcPr>
            <w:tcW w:w="4384" w:type="pct"/>
            <w:shd w:val="clear" w:color="auto" w:fill="auto"/>
            <w:vAlign w:val="center"/>
          </w:tcPr>
          <w:p w:rsidR="006F49F8" w:rsidRPr="00E2771E" w:rsidRDefault="006F49F8" w:rsidP="006F49F8">
            <w:pPr>
              <w:jc w:val="left"/>
              <w:rPr>
                <w:rFonts w:ascii="Arial Narrow" w:hAnsi="Arial Narrow"/>
                <w:sz w:val="20"/>
              </w:rPr>
            </w:pPr>
            <w:r w:rsidRPr="00536468">
              <w:rPr>
                <w:rFonts w:ascii="Arial Narrow" w:hAnsi="Arial Narrow" w:cs="Times New Roman"/>
                <w:sz w:val="20"/>
              </w:rPr>
              <w:t>On the basis of pooled data from Trial 32 and 34, a logistic function was used to determine the probability for progressing to a worse FVC%Pred health state</w:t>
            </w:r>
            <w:r>
              <w:rPr>
                <w:rFonts w:ascii="Arial Narrow" w:hAnsi="Arial Narrow" w:cs="Times New Roman"/>
                <w:sz w:val="20"/>
              </w:rPr>
              <w:t xml:space="preserve">.  Probability of adjudicator defined acute IPF exacerbation and nintedanib discontinuation was determined from exponential functions.  </w:t>
            </w:r>
          </w:p>
        </w:tc>
      </w:tr>
    </w:tbl>
    <w:p w:rsidR="006F49F8" w:rsidRPr="00275C5A" w:rsidRDefault="006F49F8" w:rsidP="006F49F8">
      <w:pPr>
        <w:pStyle w:val="TableFooter"/>
        <w:ind w:firstLine="720"/>
      </w:pPr>
      <w:r w:rsidRPr="00275C5A">
        <w:t>Source: compiled during the evaluation</w:t>
      </w:r>
    </w:p>
    <w:p w:rsidR="006F49F8" w:rsidRDefault="006F49F8" w:rsidP="006F49F8"/>
    <w:p w:rsidR="00B11B68" w:rsidRPr="009A2823" w:rsidRDefault="00B11B68" w:rsidP="00321D09">
      <w:pPr>
        <w:pStyle w:val="ListParagraph"/>
        <w:widowControl/>
        <w:numPr>
          <w:ilvl w:val="1"/>
          <w:numId w:val="2"/>
        </w:numPr>
        <w:rPr>
          <w:szCs w:val="22"/>
        </w:rPr>
      </w:pPr>
      <w:r w:rsidRPr="005871C9">
        <w:t xml:space="preserve">Key drivers of the model are </w:t>
      </w:r>
      <w:r w:rsidR="00217DD8">
        <w:t>summarised in the table below.</w:t>
      </w:r>
    </w:p>
    <w:p w:rsidR="009A2823" w:rsidRPr="005871C9" w:rsidRDefault="009A2823" w:rsidP="009A2823">
      <w:pPr>
        <w:pStyle w:val="ListParagraph"/>
        <w:widowControl/>
        <w:rPr>
          <w:szCs w:val="22"/>
        </w:rPr>
      </w:pPr>
    </w:p>
    <w:p w:rsidR="00B11B68" w:rsidRPr="005871C9" w:rsidRDefault="00B11B68" w:rsidP="00B11B68">
      <w:pPr>
        <w:widowControl/>
        <w:ind w:firstLine="720"/>
        <w:rPr>
          <w:rFonts w:ascii="Arial Narrow" w:hAnsi="Arial Narrow"/>
          <w:b/>
          <w:sz w:val="20"/>
          <w:szCs w:val="22"/>
        </w:rPr>
      </w:pPr>
      <w:r w:rsidRPr="005871C9">
        <w:rPr>
          <w:rFonts w:ascii="Arial Narrow" w:hAnsi="Arial Narrow"/>
          <w:b/>
          <w:sz w:val="20"/>
          <w:szCs w:val="22"/>
        </w:rPr>
        <w:t xml:space="preserve">Table </w:t>
      </w:r>
      <w:r w:rsidR="00CB498B">
        <w:rPr>
          <w:rFonts w:ascii="Arial Narrow" w:hAnsi="Arial Narrow"/>
          <w:b/>
          <w:sz w:val="20"/>
          <w:szCs w:val="22"/>
        </w:rPr>
        <w:t>9</w:t>
      </w:r>
      <w:r w:rsidRPr="005871C9">
        <w:rPr>
          <w:rFonts w:ascii="Arial Narrow" w:hAnsi="Arial Narrow"/>
          <w:b/>
          <w:sz w:val="20"/>
          <w:szCs w:val="22"/>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drivers of the model"/>
      </w:tblPr>
      <w:tblGrid>
        <w:gridCol w:w="1701"/>
        <w:gridCol w:w="4112"/>
        <w:gridCol w:w="2532"/>
      </w:tblGrid>
      <w:tr w:rsidR="00B11B68" w:rsidRPr="006D0895" w:rsidTr="00676FBF">
        <w:trPr>
          <w:tblHeader/>
        </w:trPr>
        <w:tc>
          <w:tcPr>
            <w:tcW w:w="1019" w:type="pct"/>
            <w:shd w:val="clear" w:color="auto" w:fill="auto"/>
            <w:vAlign w:val="center"/>
          </w:tcPr>
          <w:p w:rsidR="00B11B68" w:rsidRPr="006D0895" w:rsidRDefault="00B11B68" w:rsidP="002B0902">
            <w:pPr>
              <w:jc w:val="center"/>
              <w:rPr>
                <w:rFonts w:ascii="Arial Narrow" w:hAnsi="Arial Narrow"/>
                <w:b/>
                <w:sz w:val="20"/>
                <w:lang w:val="en-US"/>
              </w:rPr>
            </w:pPr>
            <w:r w:rsidRPr="006D0895">
              <w:rPr>
                <w:rFonts w:ascii="Arial Narrow" w:hAnsi="Arial Narrow"/>
                <w:b/>
                <w:sz w:val="20"/>
                <w:lang w:val="en-US"/>
              </w:rPr>
              <w:t>Description</w:t>
            </w:r>
          </w:p>
        </w:tc>
        <w:tc>
          <w:tcPr>
            <w:tcW w:w="2464" w:type="pct"/>
            <w:shd w:val="clear" w:color="auto" w:fill="auto"/>
            <w:vAlign w:val="center"/>
          </w:tcPr>
          <w:p w:rsidR="00B11B68" w:rsidRPr="006D0895" w:rsidRDefault="00B11B68" w:rsidP="00676FBF">
            <w:pPr>
              <w:jc w:val="center"/>
              <w:rPr>
                <w:rFonts w:ascii="Arial Narrow" w:hAnsi="Arial Narrow"/>
                <w:b/>
                <w:sz w:val="20"/>
                <w:lang w:val="en-US"/>
              </w:rPr>
            </w:pPr>
            <w:r w:rsidRPr="006D0895">
              <w:rPr>
                <w:rFonts w:ascii="Arial Narrow" w:hAnsi="Arial Narrow"/>
                <w:b/>
                <w:sz w:val="20"/>
                <w:lang w:val="en-US"/>
              </w:rPr>
              <w:t>Method/Value</w:t>
            </w:r>
          </w:p>
        </w:tc>
        <w:tc>
          <w:tcPr>
            <w:tcW w:w="1517" w:type="pct"/>
            <w:shd w:val="clear" w:color="auto" w:fill="auto"/>
            <w:vAlign w:val="center"/>
          </w:tcPr>
          <w:p w:rsidR="00B11B68" w:rsidRPr="006D0895" w:rsidRDefault="00B11B68" w:rsidP="00676FBF">
            <w:pPr>
              <w:jc w:val="center"/>
              <w:rPr>
                <w:rFonts w:ascii="Arial Narrow" w:hAnsi="Arial Narrow"/>
                <w:b/>
                <w:sz w:val="20"/>
                <w:lang w:val="en-US"/>
              </w:rPr>
            </w:pPr>
            <w:r w:rsidRPr="006D0895">
              <w:rPr>
                <w:rFonts w:ascii="Arial Narrow" w:hAnsi="Arial Narrow"/>
                <w:b/>
                <w:sz w:val="20"/>
                <w:lang w:val="en-US"/>
              </w:rPr>
              <w:t>Impact</w:t>
            </w:r>
          </w:p>
        </w:tc>
      </w:tr>
      <w:tr w:rsidR="00B11B68" w:rsidRPr="006D0895" w:rsidTr="00676FBF">
        <w:tc>
          <w:tcPr>
            <w:tcW w:w="1019" w:type="pct"/>
            <w:shd w:val="clear" w:color="auto" w:fill="auto"/>
            <w:vAlign w:val="center"/>
          </w:tcPr>
          <w:p w:rsidR="00B11B68" w:rsidRPr="006D0895" w:rsidRDefault="00B11B68" w:rsidP="002B0902">
            <w:pPr>
              <w:jc w:val="center"/>
              <w:rPr>
                <w:rFonts w:ascii="Arial Narrow" w:hAnsi="Arial Narrow"/>
                <w:sz w:val="20"/>
                <w:lang w:val="en-US"/>
              </w:rPr>
            </w:pPr>
            <w:r w:rsidRPr="006D0895">
              <w:rPr>
                <w:rFonts w:ascii="Arial Narrow" w:hAnsi="Arial Narrow"/>
                <w:sz w:val="20"/>
                <w:lang w:val="en-US"/>
              </w:rPr>
              <w:t>Survival extrapolation</w:t>
            </w:r>
          </w:p>
        </w:tc>
        <w:tc>
          <w:tcPr>
            <w:tcW w:w="2464" w:type="pct"/>
            <w:shd w:val="clear" w:color="auto" w:fill="auto"/>
            <w:vAlign w:val="center"/>
          </w:tcPr>
          <w:p w:rsidR="00B11B68" w:rsidRPr="006D0895" w:rsidRDefault="00B11B68" w:rsidP="00B11B68">
            <w:pPr>
              <w:jc w:val="center"/>
              <w:rPr>
                <w:rFonts w:ascii="Arial Narrow" w:hAnsi="Arial Narrow"/>
                <w:sz w:val="20"/>
                <w:lang w:val="en-US"/>
              </w:rPr>
            </w:pPr>
            <w:r w:rsidRPr="006D0895">
              <w:rPr>
                <w:rFonts w:ascii="Arial Narrow" w:hAnsi="Arial Narrow"/>
                <w:sz w:val="20"/>
                <w:lang w:val="en-US"/>
              </w:rPr>
              <w:t>Parametric extrapolation from month 21 to year 10</w:t>
            </w:r>
          </w:p>
        </w:tc>
        <w:tc>
          <w:tcPr>
            <w:tcW w:w="1517" w:type="pct"/>
            <w:shd w:val="clear" w:color="auto" w:fill="auto"/>
            <w:vAlign w:val="center"/>
          </w:tcPr>
          <w:p w:rsidR="00B11B68" w:rsidRPr="006D0895" w:rsidRDefault="00B11B68" w:rsidP="00676FBF">
            <w:pPr>
              <w:jc w:val="center"/>
              <w:rPr>
                <w:rFonts w:ascii="Arial Narrow" w:hAnsi="Arial Narrow"/>
                <w:sz w:val="20"/>
                <w:lang w:val="en-US"/>
              </w:rPr>
            </w:pPr>
            <w:r w:rsidRPr="006D0895">
              <w:rPr>
                <w:rFonts w:ascii="Arial Narrow" w:hAnsi="Arial Narrow"/>
                <w:sz w:val="20"/>
                <w:lang w:val="en-US"/>
              </w:rPr>
              <w:t>High,</w:t>
            </w:r>
            <w:r w:rsidRPr="006D0895">
              <w:rPr>
                <w:rFonts w:ascii="Arial Narrow" w:hAnsi="Arial Narrow"/>
                <w:sz w:val="20"/>
              </w:rPr>
              <w:t xml:space="preserve"> favours</w:t>
            </w:r>
            <w:r w:rsidRPr="006D0895">
              <w:rPr>
                <w:rFonts w:ascii="Arial Narrow" w:hAnsi="Arial Narrow"/>
                <w:sz w:val="20"/>
                <w:lang w:val="en-US"/>
              </w:rPr>
              <w:t xml:space="preserve"> nintedanib</w:t>
            </w:r>
          </w:p>
        </w:tc>
      </w:tr>
      <w:tr w:rsidR="00B11B68" w:rsidRPr="006D0895" w:rsidTr="00676FBF">
        <w:tc>
          <w:tcPr>
            <w:tcW w:w="1019" w:type="pct"/>
            <w:shd w:val="clear" w:color="auto" w:fill="auto"/>
            <w:vAlign w:val="center"/>
          </w:tcPr>
          <w:p w:rsidR="00B11B68" w:rsidRPr="006D0895" w:rsidRDefault="00B11B68" w:rsidP="002B0902">
            <w:pPr>
              <w:jc w:val="center"/>
              <w:rPr>
                <w:rFonts w:ascii="Arial Narrow" w:hAnsi="Arial Narrow"/>
                <w:sz w:val="20"/>
                <w:lang w:val="en-US"/>
              </w:rPr>
            </w:pPr>
            <w:r w:rsidRPr="006D0895">
              <w:rPr>
                <w:rFonts w:ascii="Arial Narrow" w:hAnsi="Arial Narrow"/>
                <w:sz w:val="20"/>
                <w:lang w:val="en-US"/>
              </w:rPr>
              <w:t>Time horizon</w:t>
            </w:r>
          </w:p>
        </w:tc>
        <w:tc>
          <w:tcPr>
            <w:tcW w:w="2464" w:type="pct"/>
            <w:shd w:val="clear" w:color="auto" w:fill="auto"/>
            <w:vAlign w:val="center"/>
          </w:tcPr>
          <w:p w:rsidR="00B11B68" w:rsidRPr="006D0895" w:rsidRDefault="00B11B68" w:rsidP="00676FBF">
            <w:pPr>
              <w:jc w:val="center"/>
              <w:rPr>
                <w:rFonts w:ascii="Arial Narrow" w:hAnsi="Arial Narrow"/>
                <w:sz w:val="20"/>
                <w:lang w:val="en-US"/>
              </w:rPr>
            </w:pPr>
            <w:r w:rsidRPr="006D0895">
              <w:rPr>
                <w:rFonts w:ascii="Arial Narrow" w:hAnsi="Arial Narrow"/>
                <w:sz w:val="20"/>
                <w:lang w:val="en-US"/>
              </w:rPr>
              <w:t xml:space="preserve">10 years; assumed from maximum 21 month follow-up in the nintedanib trials </w:t>
            </w:r>
          </w:p>
        </w:tc>
        <w:tc>
          <w:tcPr>
            <w:tcW w:w="1517" w:type="pct"/>
            <w:shd w:val="clear" w:color="auto" w:fill="auto"/>
            <w:vAlign w:val="center"/>
          </w:tcPr>
          <w:p w:rsidR="00B11B68" w:rsidRPr="006D0895" w:rsidRDefault="00B11B68" w:rsidP="00676FBF">
            <w:pPr>
              <w:jc w:val="center"/>
              <w:rPr>
                <w:rFonts w:ascii="Arial Narrow" w:hAnsi="Arial Narrow"/>
                <w:sz w:val="20"/>
                <w:lang w:val="en-US"/>
              </w:rPr>
            </w:pPr>
            <w:r w:rsidRPr="006D0895">
              <w:rPr>
                <w:rFonts w:ascii="Arial Narrow" w:hAnsi="Arial Narrow"/>
                <w:sz w:val="20"/>
                <w:lang w:val="en-US"/>
              </w:rPr>
              <w:t>High,</w:t>
            </w:r>
            <w:r w:rsidRPr="006D0895">
              <w:rPr>
                <w:rFonts w:ascii="Arial Narrow" w:hAnsi="Arial Narrow"/>
                <w:sz w:val="20"/>
              </w:rPr>
              <w:t xml:space="preserve"> favours</w:t>
            </w:r>
            <w:r w:rsidRPr="006D0895">
              <w:rPr>
                <w:rFonts w:ascii="Arial Narrow" w:hAnsi="Arial Narrow"/>
                <w:sz w:val="20"/>
                <w:lang w:val="en-US"/>
              </w:rPr>
              <w:t xml:space="preserve"> nintedanib</w:t>
            </w:r>
          </w:p>
        </w:tc>
      </w:tr>
      <w:tr w:rsidR="0048149A" w:rsidRPr="006D0895" w:rsidTr="00676FBF">
        <w:tc>
          <w:tcPr>
            <w:tcW w:w="1019" w:type="pct"/>
            <w:shd w:val="clear" w:color="auto" w:fill="auto"/>
            <w:vAlign w:val="center"/>
          </w:tcPr>
          <w:p w:rsidR="0048149A" w:rsidRPr="006D0895" w:rsidRDefault="0048149A" w:rsidP="002B0902">
            <w:pPr>
              <w:jc w:val="center"/>
              <w:rPr>
                <w:rFonts w:ascii="Arial Narrow" w:hAnsi="Arial Narrow"/>
                <w:sz w:val="20"/>
                <w:lang w:val="en-US"/>
              </w:rPr>
            </w:pPr>
            <w:r w:rsidRPr="006D0895">
              <w:rPr>
                <w:rFonts w:ascii="Arial Narrow" w:hAnsi="Arial Narrow"/>
                <w:sz w:val="20"/>
                <w:lang w:val="en-US"/>
              </w:rPr>
              <w:t>Weighted effective price</w:t>
            </w:r>
          </w:p>
        </w:tc>
        <w:tc>
          <w:tcPr>
            <w:tcW w:w="2464" w:type="pct"/>
            <w:shd w:val="clear" w:color="auto" w:fill="auto"/>
            <w:vAlign w:val="center"/>
          </w:tcPr>
          <w:p w:rsidR="0048149A" w:rsidRPr="006D0895" w:rsidRDefault="0048149A" w:rsidP="00676FBF">
            <w:pPr>
              <w:jc w:val="center"/>
              <w:rPr>
                <w:rFonts w:ascii="Arial Narrow" w:hAnsi="Arial Narrow"/>
                <w:sz w:val="20"/>
                <w:lang w:val="en-US"/>
              </w:rPr>
            </w:pPr>
            <w:r w:rsidRPr="006D0895">
              <w:rPr>
                <w:rFonts w:ascii="Arial Narrow" w:hAnsi="Arial Narrow"/>
                <w:sz w:val="20"/>
                <w:lang w:val="en-US"/>
              </w:rPr>
              <w:t>The price of nintedinab in the model is based on the proposed RSA which adjusts the price by applying a cap on expenditure beyond the March 2015 predictions of utilisation.</w:t>
            </w:r>
          </w:p>
        </w:tc>
        <w:tc>
          <w:tcPr>
            <w:tcW w:w="1517" w:type="pct"/>
            <w:shd w:val="clear" w:color="auto" w:fill="auto"/>
            <w:vAlign w:val="center"/>
          </w:tcPr>
          <w:p w:rsidR="0048149A" w:rsidRPr="006D0895" w:rsidRDefault="002B0902" w:rsidP="00676FBF">
            <w:pPr>
              <w:jc w:val="center"/>
              <w:rPr>
                <w:rFonts w:ascii="Arial Narrow" w:hAnsi="Arial Narrow"/>
                <w:sz w:val="20"/>
                <w:lang w:val="en-US"/>
              </w:rPr>
            </w:pPr>
            <w:r w:rsidRPr="006D0895">
              <w:rPr>
                <w:rFonts w:ascii="Arial Narrow" w:hAnsi="Arial Narrow"/>
                <w:sz w:val="20"/>
                <w:lang w:val="en-US"/>
              </w:rPr>
              <w:t>Moderate/High,</w:t>
            </w:r>
            <w:r w:rsidRPr="006D0895">
              <w:rPr>
                <w:rFonts w:ascii="Arial Narrow" w:hAnsi="Arial Narrow"/>
                <w:sz w:val="20"/>
              </w:rPr>
              <w:t xml:space="preserve"> favours</w:t>
            </w:r>
            <w:r w:rsidRPr="006D0895">
              <w:rPr>
                <w:rFonts w:ascii="Arial Narrow" w:hAnsi="Arial Narrow"/>
                <w:sz w:val="20"/>
                <w:lang w:val="en-US"/>
              </w:rPr>
              <w:t xml:space="preserve"> nintedanib</w:t>
            </w:r>
          </w:p>
        </w:tc>
      </w:tr>
    </w:tbl>
    <w:p w:rsidR="00B11B68" w:rsidRPr="00D110BD" w:rsidRDefault="00B11B68" w:rsidP="00B11B68">
      <w:pPr>
        <w:pStyle w:val="TableFooter"/>
        <w:ind w:firstLine="720"/>
      </w:pPr>
      <w:r w:rsidRPr="00D110BD">
        <w:t>Source: compiled during the evaluation</w:t>
      </w:r>
    </w:p>
    <w:p w:rsidR="00B11B68" w:rsidRDefault="00B11B68" w:rsidP="006F49F8"/>
    <w:p w:rsidR="001F27B0" w:rsidRPr="006D0895" w:rsidRDefault="00B44306" w:rsidP="00321D09">
      <w:pPr>
        <w:pStyle w:val="ListParagraph"/>
        <w:widowControl/>
        <w:numPr>
          <w:ilvl w:val="1"/>
          <w:numId w:val="2"/>
        </w:numPr>
      </w:pPr>
      <w:r w:rsidRPr="0060206A">
        <w:t xml:space="preserve">The economic model </w:t>
      </w:r>
      <w:r w:rsidR="00051A67" w:rsidRPr="0060206A">
        <w:t xml:space="preserve">continued </w:t>
      </w:r>
      <w:r w:rsidRPr="0060206A">
        <w:t xml:space="preserve">to be based on a 10 year time horizon.  Although the re-submission presented epidemiological evidence reporting 20-30% survival for IPF patients at 10 years, the choice of time horizon </w:t>
      </w:r>
      <w:r w:rsidR="00051A67" w:rsidRPr="0060206A">
        <w:t xml:space="preserve">continued </w:t>
      </w:r>
      <w:r w:rsidRPr="0060206A">
        <w:t>to disregard the PBAC concerns regarding the uncertainty associated with the extrapolation of non-significant survival (paragraph 7.10</w:t>
      </w:r>
      <w:r w:rsidR="002B0902">
        <w:t xml:space="preserve">, Nintedanib for IPF PSD, </w:t>
      </w:r>
      <w:r w:rsidR="002B0902" w:rsidRPr="008D1343">
        <w:t>March 2015</w:t>
      </w:r>
      <w:r w:rsidRPr="0060206A">
        <w:t xml:space="preserve">).  </w:t>
      </w:r>
      <w:r w:rsidR="005871C9" w:rsidRPr="0060206A">
        <w:t xml:space="preserve">From this perspective, it is unlikely that head to head trial evidence (unchanged in the re-submission) can </w:t>
      </w:r>
      <w:r w:rsidR="005871C9" w:rsidRPr="006D0895">
        <w:t xml:space="preserve">adequately support the modelling of health outcomes over the natural history of IPF.  </w:t>
      </w:r>
      <w:r w:rsidR="001F27B0" w:rsidRPr="006D0895">
        <w:t>The ESC considered that the key issue with this is not the time horizon but the extrapolation</w:t>
      </w:r>
      <w:r w:rsidR="002B0902" w:rsidRPr="006D0895">
        <w:t xml:space="preserve"> of a non-statistically significant treatment benefit beyond the trial period</w:t>
      </w:r>
      <w:r w:rsidR="001F27B0" w:rsidRPr="006D0895">
        <w:t xml:space="preserve"> (</w:t>
      </w:r>
      <w:r w:rsidR="002B0902" w:rsidRPr="006D0895">
        <w:t xml:space="preserve">see </w:t>
      </w:r>
      <w:r w:rsidR="001F27B0" w:rsidRPr="006D0895">
        <w:t xml:space="preserve">table below, which </w:t>
      </w:r>
      <w:r w:rsidR="00DD68D3" w:rsidRPr="006D0895">
        <w:t>provides more detail of</w:t>
      </w:r>
      <w:r w:rsidR="001F27B0" w:rsidRPr="006D0895">
        <w:t xml:space="preserve"> how the model has been adjusted from the previous submission)</w:t>
      </w:r>
      <w:r w:rsidR="002B0902" w:rsidRPr="006D0895">
        <w:t>.</w:t>
      </w:r>
    </w:p>
    <w:p w:rsidR="00D21C5A" w:rsidRPr="00217DD8" w:rsidRDefault="00D21C5A">
      <w:pPr>
        <w:widowControl/>
        <w:jc w:val="left"/>
      </w:pPr>
    </w:p>
    <w:p w:rsidR="00B44306" w:rsidRPr="00217DD8" w:rsidRDefault="001F27B0" w:rsidP="00133C26">
      <w:pPr>
        <w:widowControl/>
        <w:ind w:left="709"/>
        <w:jc w:val="left"/>
        <w:rPr>
          <w:rFonts w:ascii="Arial Narrow" w:hAnsi="Arial Narrow"/>
          <w:sz w:val="20"/>
        </w:rPr>
      </w:pPr>
      <w:r w:rsidRPr="0037381D">
        <w:rPr>
          <w:rStyle w:val="CommentReference"/>
        </w:rPr>
        <w:t xml:space="preserve">Table </w:t>
      </w:r>
      <w:r w:rsidR="003C1B56" w:rsidRPr="0037381D">
        <w:rPr>
          <w:rStyle w:val="CommentReference"/>
        </w:rPr>
        <w:t>1</w:t>
      </w:r>
      <w:r w:rsidR="00CB498B" w:rsidRPr="0037381D">
        <w:rPr>
          <w:rStyle w:val="CommentReference"/>
        </w:rPr>
        <w:t>0</w:t>
      </w:r>
      <w:r w:rsidRPr="0037381D">
        <w:rPr>
          <w:rStyle w:val="CommentReference"/>
        </w:rPr>
        <w:t>: Summary of results of pre-modelling studies and their uses in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0: Summary of results of pre-modelling studies and their uses in the economic evaluation"/>
      </w:tblPr>
      <w:tblGrid>
        <w:gridCol w:w="1275"/>
        <w:gridCol w:w="1701"/>
        <w:gridCol w:w="5369"/>
      </w:tblGrid>
      <w:tr w:rsidR="001F27B0" w:rsidRPr="0037381D" w:rsidTr="00133C26">
        <w:trPr>
          <w:tblHeader/>
        </w:trPr>
        <w:tc>
          <w:tcPr>
            <w:tcW w:w="764" w:type="pct"/>
          </w:tcPr>
          <w:p w:rsidR="001F27B0" w:rsidRPr="0037381D" w:rsidRDefault="001F27B0" w:rsidP="008A3164">
            <w:pPr>
              <w:keepNext/>
              <w:jc w:val="left"/>
              <w:outlineLvl w:val="4"/>
              <w:rPr>
                <w:rFonts w:ascii="Arial Narrow" w:hAnsi="Arial Narrow" w:cs="Times New Roman"/>
                <w:b/>
                <w:sz w:val="20"/>
              </w:rPr>
            </w:pPr>
            <w:r w:rsidRPr="0037381D">
              <w:rPr>
                <w:rFonts w:ascii="Arial Narrow" w:hAnsi="Arial Narrow" w:cs="Times New Roman"/>
                <w:b/>
                <w:sz w:val="20"/>
              </w:rPr>
              <w:t>Pre-modelling study</w:t>
            </w:r>
          </w:p>
        </w:tc>
        <w:tc>
          <w:tcPr>
            <w:tcW w:w="1019" w:type="pct"/>
            <w:vAlign w:val="center"/>
          </w:tcPr>
          <w:p w:rsidR="001F27B0" w:rsidRPr="0037381D" w:rsidRDefault="001F27B0" w:rsidP="008A3164">
            <w:pPr>
              <w:keepNext/>
              <w:jc w:val="center"/>
              <w:outlineLvl w:val="5"/>
              <w:rPr>
                <w:rFonts w:ascii="Arial Narrow" w:hAnsi="Arial Narrow" w:cs="Times New Roman"/>
                <w:b/>
                <w:sz w:val="20"/>
              </w:rPr>
            </w:pPr>
            <w:r w:rsidRPr="0037381D">
              <w:rPr>
                <w:rFonts w:ascii="Arial Narrow" w:hAnsi="Arial Narrow" w:cs="Times New Roman"/>
                <w:b/>
                <w:sz w:val="20"/>
              </w:rPr>
              <w:t>Results</w:t>
            </w:r>
          </w:p>
        </w:tc>
        <w:tc>
          <w:tcPr>
            <w:tcW w:w="3217" w:type="pct"/>
            <w:vAlign w:val="center"/>
          </w:tcPr>
          <w:p w:rsidR="001F27B0" w:rsidRPr="0037381D" w:rsidRDefault="001F27B0" w:rsidP="008A3164">
            <w:pPr>
              <w:keepNext/>
              <w:jc w:val="center"/>
              <w:outlineLvl w:val="5"/>
              <w:rPr>
                <w:rFonts w:ascii="Arial Narrow" w:hAnsi="Arial Narrow" w:cs="Times New Roman"/>
                <w:b/>
                <w:sz w:val="20"/>
              </w:rPr>
            </w:pPr>
            <w:r w:rsidRPr="0037381D">
              <w:rPr>
                <w:rFonts w:ascii="Arial Narrow" w:hAnsi="Arial Narrow" w:cs="Times New Roman"/>
                <w:b/>
                <w:sz w:val="20"/>
              </w:rPr>
              <w:t>Use in Section D/Comment</w:t>
            </w:r>
          </w:p>
        </w:tc>
      </w:tr>
      <w:tr w:rsidR="001F27B0" w:rsidRPr="0037381D" w:rsidTr="00133C26">
        <w:tc>
          <w:tcPr>
            <w:tcW w:w="5000" w:type="pct"/>
            <w:gridSpan w:val="3"/>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Extrapolation pre-modelling studies</w:t>
            </w:r>
          </w:p>
        </w:tc>
      </w:tr>
      <w:tr w:rsidR="001F27B0" w:rsidRPr="0037381D" w:rsidTr="00133C26">
        <w:tc>
          <w:tcPr>
            <w:tcW w:w="764"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Transition probabilities: survival</w:t>
            </w:r>
          </w:p>
        </w:tc>
        <w:tc>
          <w:tcPr>
            <w:tcW w:w="1019" w:type="pct"/>
          </w:tcPr>
          <w:p w:rsidR="001F27B0" w:rsidRPr="0037381D" w:rsidRDefault="001F27B0" w:rsidP="00217DD8">
            <w:pPr>
              <w:jc w:val="left"/>
              <w:rPr>
                <w:rFonts w:ascii="Arial Narrow" w:hAnsi="Arial Narrow" w:cs="Times New Roman"/>
                <w:sz w:val="20"/>
              </w:rPr>
            </w:pPr>
            <w:r w:rsidRPr="0037381D">
              <w:rPr>
                <w:rFonts w:ascii="Arial Narrow" w:hAnsi="Arial Narrow" w:cs="Times New Roman"/>
                <w:sz w:val="20"/>
              </w:rPr>
              <w:t xml:space="preserve">Kaplan </w:t>
            </w:r>
            <w:r w:rsidR="00217DD8">
              <w:rPr>
                <w:rFonts w:ascii="Arial Narrow" w:hAnsi="Arial Narrow" w:cs="Times New Roman"/>
                <w:sz w:val="20"/>
              </w:rPr>
              <w:t>M</w:t>
            </w:r>
            <w:r w:rsidRPr="0037381D">
              <w:rPr>
                <w:rFonts w:ascii="Arial Narrow" w:hAnsi="Arial Narrow" w:cs="Times New Roman"/>
                <w:sz w:val="20"/>
              </w:rPr>
              <w:t>eier estimates applied to 21 months, followed by mortality risk from the Weibull extrapolation over 10 years.</w:t>
            </w:r>
          </w:p>
        </w:tc>
        <w:tc>
          <w:tcPr>
            <w:tcW w:w="3217"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 xml:space="preserve">The PBAC considered that a revised model should use the more conservative methodology of survival recommended in the evaluation (March 2015, paragraph 7.12).  This involved the application of the Kaplan Meier estimate of survival to month 21, followed by the adjustment of the nintedanib survival curve for the gradient of BSC.  Consequently, the re-submission has only partially adopted this advice with mortality risk from the Weibull extrapolations applied to 10 years following the trial based period.    Given the unreliability of the Weibull extrapolations (based on non-statistically significant differences in survival), it is unlikely that long term survival can be adequately estimated by the economic model.  </w:t>
            </w:r>
          </w:p>
        </w:tc>
      </w:tr>
      <w:tr w:rsidR="001F27B0" w:rsidRPr="0037381D" w:rsidTr="00133C26">
        <w:tc>
          <w:tcPr>
            <w:tcW w:w="764"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Transition probabilities: exacerbations</w:t>
            </w:r>
          </w:p>
        </w:tc>
        <w:tc>
          <w:tcPr>
            <w:tcW w:w="1019"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Exponential model: risk of adjudicator defined acute IPF exacerbation.</w:t>
            </w:r>
          </w:p>
        </w:tc>
        <w:tc>
          <w:tcPr>
            <w:tcW w:w="3217"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P (adjudicator defined exacerbation): Ni</w:t>
            </w:r>
            <w:r w:rsidR="00217DD8">
              <w:rPr>
                <w:rFonts w:ascii="Arial Narrow" w:hAnsi="Arial Narrow" w:cs="Times New Roman"/>
                <w:sz w:val="20"/>
              </w:rPr>
              <w:t>ntedanib = 0.005; BSC = 0.013.</w:t>
            </w:r>
          </w:p>
          <w:p w:rsidR="001F27B0" w:rsidRPr="0037381D" w:rsidRDefault="001F27B0" w:rsidP="008A3164">
            <w:pPr>
              <w:jc w:val="left"/>
              <w:rPr>
                <w:rFonts w:ascii="Arial Narrow" w:hAnsi="Arial Narrow" w:cs="Times New Roman"/>
                <w:sz w:val="20"/>
              </w:rPr>
            </w:pPr>
          </w:p>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The re-submission applies adjudicator defined exacerbations as opposed to the investigator defined exacerbations used in the March 2015 model.  This is appropriate, given the reduced risk of bias associated with adju</w:t>
            </w:r>
            <w:r w:rsidR="00217DD8">
              <w:rPr>
                <w:rFonts w:ascii="Arial Narrow" w:hAnsi="Arial Narrow" w:cs="Times New Roman"/>
                <w:sz w:val="20"/>
              </w:rPr>
              <w:t>dicator defined exacerbations.</w:t>
            </w:r>
          </w:p>
          <w:p w:rsidR="001F27B0" w:rsidRPr="0037381D" w:rsidRDefault="001F27B0" w:rsidP="008A3164">
            <w:pPr>
              <w:jc w:val="left"/>
              <w:rPr>
                <w:rFonts w:ascii="Arial Narrow" w:hAnsi="Arial Narrow" w:cs="Times New Roman"/>
                <w:sz w:val="20"/>
              </w:rPr>
            </w:pPr>
          </w:p>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In regard to the suitability of the exponential model, the re-submission has not entirely justified the assumption of constant hazards, with analysis of hazard ratios over time suggesting that risks associated with BSC increase over time.  Overall, the use of the exponential model compromises the model’s ability to adequately represe</w:t>
            </w:r>
            <w:r w:rsidR="00217DD8">
              <w:rPr>
                <w:rFonts w:ascii="Arial Narrow" w:hAnsi="Arial Narrow" w:cs="Times New Roman"/>
                <w:sz w:val="20"/>
              </w:rPr>
              <w:t>nt the clinical course of IPF.</w:t>
            </w:r>
          </w:p>
        </w:tc>
      </w:tr>
      <w:tr w:rsidR="001F27B0" w:rsidRPr="0037381D" w:rsidTr="00133C26">
        <w:tc>
          <w:tcPr>
            <w:tcW w:w="5000" w:type="pct"/>
            <w:gridSpan w:val="3"/>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Transformation pre-modelling studies</w:t>
            </w:r>
          </w:p>
        </w:tc>
      </w:tr>
      <w:tr w:rsidR="001F27B0" w:rsidRPr="0037381D" w:rsidTr="00133C26">
        <w:tc>
          <w:tcPr>
            <w:tcW w:w="764"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Transition probabilities: FVC%Pred</w:t>
            </w:r>
          </w:p>
        </w:tc>
        <w:tc>
          <w:tcPr>
            <w:tcW w:w="1019"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Logistic function: probability for progressing to a worse FVC%Pred health state.</w:t>
            </w:r>
          </w:p>
        </w:tc>
        <w:tc>
          <w:tcPr>
            <w:tcW w:w="3217"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Transition probabilities are unchanged in the re-submission (refer to Table C.5-2, pp191 of the re-submission).  Additional analyses conducted by the re-submission indicated that there was no statistical significance for time when included as a covariate for the logistic model.  Consequently, there appears to be a reasonable basis for continued application of the transition probabilities for FVC%Pred as used in the March 2015 economic model.</w:t>
            </w:r>
          </w:p>
        </w:tc>
      </w:tr>
      <w:tr w:rsidR="001F27B0" w:rsidRPr="0037381D" w:rsidTr="00133C26">
        <w:tc>
          <w:tcPr>
            <w:tcW w:w="764"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Estimation of utilities and disutilities</w:t>
            </w:r>
          </w:p>
        </w:tc>
        <w:tc>
          <w:tcPr>
            <w:tcW w:w="1019"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Trial based EQ-5D utilities (FVC%Pred health state) and disutilities (acute IPF exacerbation, adverse events)</w:t>
            </w:r>
          </w:p>
        </w:tc>
        <w:tc>
          <w:tcPr>
            <w:tcW w:w="3217" w:type="pct"/>
          </w:tcPr>
          <w:p w:rsidR="001F27B0" w:rsidRPr="0037381D" w:rsidRDefault="001F27B0" w:rsidP="008A3164">
            <w:pPr>
              <w:jc w:val="left"/>
              <w:rPr>
                <w:rFonts w:ascii="Arial Narrow" w:hAnsi="Arial Narrow" w:cs="Times New Roman"/>
                <w:sz w:val="20"/>
              </w:rPr>
            </w:pPr>
            <w:r w:rsidRPr="0037381D">
              <w:rPr>
                <w:rFonts w:ascii="Arial Narrow" w:hAnsi="Arial Narrow" w:cs="Times New Roman"/>
                <w:sz w:val="20"/>
              </w:rPr>
              <w:t>Trial based utilities for FVC%Pred health states continue to be applied in the economic model.  In response to the PBAC’s conclusion that disutilities are exacerbations and adverse events resulted in some double counting of utilities from the FVC%Pred health states (March 2015, paragraph 7.10), the re-submission claims (p221) that disutilities have been removed from the economic model.  A review of the economic model indicated that only disutilities for adverse events were excluded (refer to Section C.2).</w:t>
            </w:r>
          </w:p>
        </w:tc>
      </w:tr>
    </w:tbl>
    <w:p w:rsidR="00B44306" w:rsidRPr="0037381D" w:rsidRDefault="002B0902" w:rsidP="00133C26">
      <w:pPr>
        <w:pStyle w:val="ListParagraph"/>
        <w:widowControl/>
        <w:ind w:left="709"/>
        <w:rPr>
          <w:rFonts w:ascii="Arial Narrow" w:hAnsi="Arial Narrow"/>
          <w:sz w:val="20"/>
        </w:rPr>
      </w:pPr>
      <w:r w:rsidRPr="0037381D">
        <w:rPr>
          <w:rFonts w:ascii="Arial Narrow" w:hAnsi="Arial Narrow"/>
          <w:sz w:val="20"/>
        </w:rPr>
        <w:t>Source: Table C.3.1 from the Commentary</w:t>
      </w:r>
    </w:p>
    <w:p w:rsidR="001F27B0" w:rsidRPr="00217DD8" w:rsidRDefault="001F27B0" w:rsidP="00217DD8">
      <w:pPr>
        <w:widowControl/>
        <w:rPr>
          <w:szCs w:val="22"/>
        </w:rPr>
      </w:pPr>
    </w:p>
    <w:p w:rsidR="00B60939" w:rsidRPr="008F1EC2" w:rsidRDefault="008F1EC2" w:rsidP="00321D09">
      <w:pPr>
        <w:pStyle w:val="ListParagraph"/>
        <w:widowControl/>
        <w:numPr>
          <w:ilvl w:val="1"/>
          <w:numId w:val="2"/>
        </w:numPr>
        <w:rPr>
          <w:szCs w:val="22"/>
        </w:rPr>
      </w:pPr>
      <w:r>
        <w:t xml:space="preserve">The table below summarises the </w:t>
      </w:r>
      <w:r w:rsidR="00A9726C">
        <w:t xml:space="preserve">revisions </w:t>
      </w:r>
      <w:r>
        <w:t xml:space="preserve">to parameters </w:t>
      </w:r>
      <w:r w:rsidR="00B11B68">
        <w:t>in</w:t>
      </w:r>
      <w:r>
        <w:t xml:space="preserve"> the economic model applied in the re-submission</w:t>
      </w:r>
      <w:r w:rsidR="00217DD8">
        <w:t>.</w:t>
      </w:r>
    </w:p>
    <w:p w:rsidR="008F1EC2" w:rsidRDefault="008F1EC2" w:rsidP="008F1EC2">
      <w:pPr>
        <w:widowControl/>
      </w:pPr>
    </w:p>
    <w:p w:rsidR="006F49F8" w:rsidRDefault="006F49F8" w:rsidP="006F49F8">
      <w:pPr>
        <w:ind w:firstLine="720"/>
        <w:rPr>
          <w:rStyle w:val="CommentReference"/>
        </w:rPr>
      </w:pPr>
      <w:r>
        <w:rPr>
          <w:rStyle w:val="CommentReference"/>
        </w:rPr>
        <w:t xml:space="preserve">Table </w:t>
      </w:r>
      <w:r w:rsidR="003C1B56">
        <w:rPr>
          <w:rStyle w:val="CommentReference"/>
        </w:rPr>
        <w:t>1</w:t>
      </w:r>
      <w:r w:rsidR="00CB498B">
        <w:rPr>
          <w:rStyle w:val="CommentReference"/>
        </w:rPr>
        <w:t>1</w:t>
      </w:r>
      <w:r>
        <w:rPr>
          <w:rStyle w:val="CommentReference"/>
        </w:rPr>
        <w:t xml:space="preserve">: Summary of revisions to </w:t>
      </w:r>
      <w:r w:rsidR="00E72709">
        <w:rPr>
          <w:rStyle w:val="CommentReference"/>
        </w:rPr>
        <w:t xml:space="preserve">parameters in </w:t>
      </w:r>
      <w:r>
        <w:rPr>
          <w:rStyle w:val="CommentReference"/>
        </w:rPr>
        <w:t>the economic model</w:t>
      </w:r>
      <w:r w:rsidR="00E72709">
        <w:rPr>
          <w:rStyle w:val="CommentReference"/>
        </w:rPr>
        <w:t xml:space="preserve"> presented in the re-submission</w:t>
      </w:r>
    </w:p>
    <w:tbl>
      <w:tblPr>
        <w:tblStyle w:val="TableGrid"/>
        <w:tblW w:w="0" w:type="auto"/>
        <w:tblInd w:w="737" w:type="dxa"/>
        <w:tblCellMar>
          <w:left w:w="28" w:type="dxa"/>
          <w:right w:w="28" w:type="dxa"/>
        </w:tblCellMar>
        <w:tblLook w:val="04A0" w:firstRow="1" w:lastRow="0" w:firstColumn="1" w:lastColumn="0" w:noHBand="0" w:noVBand="1"/>
        <w:tblCaption w:val="Table 11: Summary of revisions to parameters in the economic model presented in the re-submission"/>
      </w:tblPr>
      <w:tblGrid>
        <w:gridCol w:w="992"/>
        <w:gridCol w:w="1134"/>
        <w:gridCol w:w="2835"/>
        <w:gridCol w:w="3385"/>
      </w:tblGrid>
      <w:tr w:rsidR="006F49F8" w:rsidRPr="00825F48" w:rsidTr="00676FBF">
        <w:trPr>
          <w:tblHeader/>
        </w:trPr>
        <w:tc>
          <w:tcPr>
            <w:tcW w:w="2126" w:type="dxa"/>
            <w:gridSpan w:val="2"/>
            <w:vAlign w:val="center"/>
          </w:tcPr>
          <w:p w:rsidR="006F49F8" w:rsidRPr="00825F48" w:rsidRDefault="006F49F8" w:rsidP="0082480A">
            <w:pPr>
              <w:jc w:val="left"/>
              <w:rPr>
                <w:rStyle w:val="CommentReference"/>
                <w:b w:val="0"/>
              </w:rPr>
            </w:pPr>
          </w:p>
        </w:tc>
        <w:tc>
          <w:tcPr>
            <w:tcW w:w="2835" w:type="dxa"/>
            <w:vAlign w:val="center"/>
          </w:tcPr>
          <w:p w:rsidR="006F49F8" w:rsidRPr="00825F48" w:rsidRDefault="006F49F8" w:rsidP="0082480A">
            <w:pPr>
              <w:jc w:val="center"/>
              <w:rPr>
                <w:rStyle w:val="CommentReference"/>
              </w:rPr>
            </w:pPr>
            <w:r w:rsidRPr="00825F48">
              <w:rPr>
                <w:rStyle w:val="CommentReference"/>
              </w:rPr>
              <w:t>March 2015 submission</w:t>
            </w:r>
          </w:p>
        </w:tc>
        <w:tc>
          <w:tcPr>
            <w:tcW w:w="3385" w:type="dxa"/>
            <w:vAlign w:val="center"/>
          </w:tcPr>
          <w:p w:rsidR="006F49F8" w:rsidRPr="00825F48" w:rsidRDefault="006F49F8" w:rsidP="0082480A">
            <w:pPr>
              <w:jc w:val="center"/>
              <w:rPr>
                <w:rStyle w:val="CommentReference"/>
              </w:rPr>
            </w:pPr>
            <w:r>
              <w:rPr>
                <w:rStyle w:val="CommentReference"/>
              </w:rPr>
              <w:t>November 2015 r</w:t>
            </w:r>
            <w:r w:rsidRPr="00825F48">
              <w:rPr>
                <w:rStyle w:val="CommentReference"/>
              </w:rPr>
              <w:t>e-submission</w:t>
            </w:r>
          </w:p>
        </w:tc>
      </w:tr>
      <w:tr w:rsidR="006F49F8" w:rsidRPr="00825F48" w:rsidTr="006F49F8">
        <w:tc>
          <w:tcPr>
            <w:tcW w:w="992" w:type="dxa"/>
            <w:vMerge w:val="restart"/>
            <w:vAlign w:val="center"/>
          </w:tcPr>
          <w:p w:rsidR="006F49F8" w:rsidRPr="00825F48" w:rsidRDefault="006F49F8" w:rsidP="006F49F8">
            <w:pPr>
              <w:jc w:val="left"/>
              <w:rPr>
                <w:rStyle w:val="CommentReference"/>
                <w:b w:val="0"/>
              </w:rPr>
            </w:pPr>
            <w:r>
              <w:rPr>
                <w:rStyle w:val="CommentReference"/>
                <w:b w:val="0"/>
              </w:rPr>
              <w:t>Transition probabilities</w:t>
            </w:r>
          </w:p>
        </w:tc>
        <w:tc>
          <w:tcPr>
            <w:tcW w:w="1134" w:type="dxa"/>
            <w:vAlign w:val="center"/>
          </w:tcPr>
          <w:p w:rsidR="006F49F8" w:rsidRPr="00825F48" w:rsidRDefault="006F49F8" w:rsidP="006F49F8">
            <w:pPr>
              <w:jc w:val="left"/>
              <w:rPr>
                <w:rStyle w:val="CommentReference"/>
                <w:b w:val="0"/>
              </w:rPr>
            </w:pPr>
            <w:r>
              <w:rPr>
                <w:rStyle w:val="CommentReference"/>
                <w:b w:val="0"/>
              </w:rPr>
              <w:t>Death</w:t>
            </w:r>
          </w:p>
        </w:tc>
        <w:tc>
          <w:tcPr>
            <w:tcW w:w="2835" w:type="dxa"/>
            <w:vAlign w:val="center"/>
          </w:tcPr>
          <w:p w:rsidR="006F49F8" w:rsidRPr="00825F48" w:rsidRDefault="006F49F8" w:rsidP="006F49F8">
            <w:pPr>
              <w:jc w:val="center"/>
              <w:rPr>
                <w:rStyle w:val="CommentReference"/>
                <w:b w:val="0"/>
              </w:rPr>
            </w:pPr>
            <w:r>
              <w:rPr>
                <w:rStyle w:val="CommentReference"/>
                <w:b w:val="0"/>
              </w:rPr>
              <w:t>Weibull parametric extrapolation</w:t>
            </w:r>
          </w:p>
        </w:tc>
        <w:tc>
          <w:tcPr>
            <w:tcW w:w="3385" w:type="dxa"/>
            <w:vAlign w:val="center"/>
          </w:tcPr>
          <w:p w:rsidR="006F49F8" w:rsidRPr="00825F48" w:rsidRDefault="006F49F8" w:rsidP="006F49F8">
            <w:pPr>
              <w:jc w:val="center"/>
              <w:rPr>
                <w:rStyle w:val="CommentReference"/>
                <w:b w:val="0"/>
              </w:rPr>
            </w:pPr>
            <w:r>
              <w:rPr>
                <w:rStyle w:val="CommentReference"/>
                <w:b w:val="0"/>
              </w:rPr>
              <w:t>Kaplan-Meier estimate: month 0-21; then mortality risk-Weibull extrapolation to Year 10</w:t>
            </w:r>
          </w:p>
        </w:tc>
      </w:tr>
      <w:tr w:rsidR="006F49F8" w:rsidRPr="00825F48" w:rsidTr="006F49F8">
        <w:tc>
          <w:tcPr>
            <w:tcW w:w="992" w:type="dxa"/>
            <w:vMerge/>
            <w:vAlign w:val="center"/>
          </w:tcPr>
          <w:p w:rsidR="006F49F8" w:rsidRPr="00825F48" w:rsidRDefault="006F49F8" w:rsidP="006F49F8">
            <w:pPr>
              <w:jc w:val="left"/>
              <w:rPr>
                <w:rStyle w:val="CommentReference"/>
                <w:b w:val="0"/>
              </w:rPr>
            </w:pPr>
          </w:p>
        </w:tc>
        <w:tc>
          <w:tcPr>
            <w:tcW w:w="1134" w:type="dxa"/>
            <w:vAlign w:val="center"/>
          </w:tcPr>
          <w:p w:rsidR="006F49F8" w:rsidRPr="00825F48" w:rsidRDefault="006F49F8" w:rsidP="006F49F8">
            <w:pPr>
              <w:jc w:val="left"/>
              <w:rPr>
                <w:rStyle w:val="CommentReference"/>
                <w:b w:val="0"/>
              </w:rPr>
            </w:pPr>
            <w:r>
              <w:rPr>
                <w:rStyle w:val="CommentReference"/>
                <w:b w:val="0"/>
              </w:rPr>
              <w:t>Acute IPF exacerbation</w:t>
            </w:r>
          </w:p>
        </w:tc>
        <w:tc>
          <w:tcPr>
            <w:tcW w:w="2835" w:type="dxa"/>
            <w:vAlign w:val="center"/>
          </w:tcPr>
          <w:p w:rsidR="006F49F8" w:rsidRDefault="006F49F8" w:rsidP="006F49F8">
            <w:pPr>
              <w:jc w:val="center"/>
              <w:rPr>
                <w:rStyle w:val="CommentReference"/>
                <w:b w:val="0"/>
              </w:rPr>
            </w:pPr>
            <w:r>
              <w:rPr>
                <w:rStyle w:val="CommentReference"/>
                <w:b w:val="0"/>
              </w:rPr>
              <w:t xml:space="preserve">Investigator defined exacerbation </w:t>
            </w:r>
          </w:p>
          <w:p w:rsidR="006F49F8" w:rsidRPr="00825F48" w:rsidRDefault="006F49F8" w:rsidP="006F49F8">
            <w:pPr>
              <w:jc w:val="center"/>
              <w:rPr>
                <w:rStyle w:val="CommentReference"/>
                <w:b w:val="0"/>
              </w:rPr>
            </w:pPr>
            <w:r>
              <w:rPr>
                <w:rStyle w:val="CommentReference"/>
                <w:b w:val="0"/>
              </w:rPr>
              <w:t>Trial 32 &amp; 34: exponential model</w:t>
            </w:r>
          </w:p>
        </w:tc>
        <w:tc>
          <w:tcPr>
            <w:tcW w:w="3385" w:type="dxa"/>
            <w:vAlign w:val="center"/>
          </w:tcPr>
          <w:p w:rsidR="006F49F8" w:rsidRDefault="006F49F8" w:rsidP="006F49F8">
            <w:pPr>
              <w:jc w:val="center"/>
              <w:rPr>
                <w:rStyle w:val="CommentReference"/>
                <w:b w:val="0"/>
              </w:rPr>
            </w:pPr>
            <w:r>
              <w:rPr>
                <w:rStyle w:val="CommentReference"/>
                <w:b w:val="0"/>
              </w:rPr>
              <w:t>Adjudicator defined exacerbation</w:t>
            </w:r>
          </w:p>
          <w:p w:rsidR="006F49F8" w:rsidRPr="00825F48" w:rsidRDefault="006F49F8" w:rsidP="006F49F8">
            <w:pPr>
              <w:jc w:val="center"/>
              <w:rPr>
                <w:rStyle w:val="CommentReference"/>
                <w:b w:val="0"/>
              </w:rPr>
            </w:pPr>
            <w:r>
              <w:rPr>
                <w:rStyle w:val="CommentReference"/>
                <w:b w:val="0"/>
              </w:rPr>
              <w:t>Trial 32 &amp; 34: exponential model</w:t>
            </w:r>
          </w:p>
        </w:tc>
      </w:tr>
      <w:tr w:rsidR="006F49F8" w:rsidRPr="00825F48" w:rsidTr="006F49F8">
        <w:tc>
          <w:tcPr>
            <w:tcW w:w="992" w:type="dxa"/>
            <w:vMerge w:val="restart"/>
            <w:vAlign w:val="center"/>
          </w:tcPr>
          <w:p w:rsidR="006F49F8" w:rsidRDefault="006F49F8" w:rsidP="006F49F8">
            <w:pPr>
              <w:jc w:val="left"/>
              <w:rPr>
                <w:rStyle w:val="CommentReference"/>
                <w:b w:val="0"/>
              </w:rPr>
            </w:pPr>
            <w:r>
              <w:rPr>
                <w:rStyle w:val="CommentReference"/>
                <w:b w:val="0"/>
              </w:rPr>
              <w:t>Disutilities</w:t>
            </w:r>
          </w:p>
        </w:tc>
        <w:tc>
          <w:tcPr>
            <w:tcW w:w="1134" w:type="dxa"/>
            <w:vAlign w:val="center"/>
          </w:tcPr>
          <w:p w:rsidR="006F49F8" w:rsidRDefault="006F49F8" w:rsidP="006F49F8">
            <w:pPr>
              <w:jc w:val="left"/>
              <w:rPr>
                <w:rStyle w:val="CommentReference"/>
                <w:b w:val="0"/>
              </w:rPr>
            </w:pPr>
            <w:r>
              <w:rPr>
                <w:rStyle w:val="CommentReference"/>
                <w:b w:val="0"/>
              </w:rPr>
              <w:t>Acute IPF exacerbation</w:t>
            </w:r>
          </w:p>
        </w:tc>
        <w:tc>
          <w:tcPr>
            <w:tcW w:w="2835" w:type="dxa"/>
            <w:vAlign w:val="center"/>
          </w:tcPr>
          <w:p w:rsidR="006F49F8" w:rsidRDefault="006F49F8" w:rsidP="006F49F8">
            <w:pPr>
              <w:jc w:val="center"/>
              <w:rPr>
                <w:rStyle w:val="CommentReference"/>
                <w:b w:val="0"/>
              </w:rPr>
            </w:pPr>
            <w:r>
              <w:rPr>
                <w:rStyle w:val="CommentReference"/>
                <w:b w:val="0"/>
              </w:rPr>
              <w:t xml:space="preserve">Investigator defined exacerbation; </w:t>
            </w:r>
          </w:p>
          <w:p w:rsidR="006F49F8" w:rsidRPr="00825F48" w:rsidRDefault="006F49F8" w:rsidP="006F49F8">
            <w:pPr>
              <w:jc w:val="center"/>
              <w:rPr>
                <w:rStyle w:val="CommentReference"/>
                <w:b w:val="0"/>
              </w:rPr>
            </w:pPr>
            <w:r>
              <w:rPr>
                <w:rStyle w:val="CommentReference"/>
                <w:b w:val="0"/>
              </w:rPr>
              <w:t>EQ-5D: Trial 32 &amp; 34</w:t>
            </w:r>
          </w:p>
        </w:tc>
        <w:tc>
          <w:tcPr>
            <w:tcW w:w="3385" w:type="dxa"/>
            <w:vAlign w:val="center"/>
          </w:tcPr>
          <w:p w:rsidR="006F49F8" w:rsidRDefault="006F49F8" w:rsidP="006F49F8">
            <w:pPr>
              <w:jc w:val="center"/>
              <w:rPr>
                <w:rStyle w:val="CommentReference"/>
                <w:b w:val="0"/>
              </w:rPr>
            </w:pPr>
            <w:r>
              <w:rPr>
                <w:rStyle w:val="CommentReference"/>
                <w:b w:val="0"/>
              </w:rPr>
              <w:t xml:space="preserve">Adjudicator defined exacerbation; </w:t>
            </w:r>
          </w:p>
          <w:p w:rsidR="006F49F8" w:rsidRPr="00825F48" w:rsidRDefault="006F49F8" w:rsidP="006F49F8">
            <w:pPr>
              <w:jc w:val="center"/>
              <w:rPr>
                <w:rStyle w:val="CommentReference"/>
                <w:b w:val="0"/>
              </w:rPr>
            </w:pPr>
            <w:r>
              <w:rPr>
                <w:rStyle w:val="CommentReference"/>
                <w:b w:val="0"/>
              </w:rPr>
              <w:t>EQ-5D: Trial 32 &amp; 34</w:t>
            </w:r>
          </w:p>
        </w:tc>
      </w:tr>
      <w:tr w:rsidR="006F49F8" w:rsidRPr="00825F48" w:rsidTr="006F49F8">
        <w:tc>
          <w:tcPr>
            <w:tcW w:w="992" w:type="dxa"/>
            <w:vMerge/>
            <w:vAlign w:val="center"/>
          </w:tcPr>
          <w:p w:rsidR="006F49F8" w:rsidRDefault="006F49F8" w:rsidP="006F49F8">
            <w:pPr>
              <w:jc w:val="left"/>
              <w:rPr>
                <w:rStyle w:val="CommentReference"/>
                <w:b w:val="0"/>
              </w:rPr>
            </w:pPr>
          </w:p>
        </w:tc>
        <w:tc>
          <w:tcPr>
            <w:tcW w:w="1134" w:type="dxa"/>
            <w:vAlign w:val="center"/>
          </w:tcPr>
          <w:p w:rsidR="006F49F8" w:rsidRDefault="006F49F8" w:rsidP="006F49F8">
            <w:pPr>
              <w:jc w:val="left"/>
              <w:rPr>
                <w:rStyle w:val="CommentReference"/>
                <w:b w:val="0"/>
              </w:rPr>
            </w:pPr>
            <w:r>
              <w:rPr>
                <w:rStyle w:val="CommentReference"/>
                <w:b w:val="0"/>
              </w:rPr>
              <w:t>Adverse events</w:t>
            </w:r>
          </w:p>
        </w:tc>
        <w:tc>
          <w:tcPr>
            <w:tcW w:w="2835" w:type="dxa"/>
            <w:vAlign w:val="center"/>
          </w:tcPr>
          <w:p w:rsidR="006F49F8" w:rsidRDefault="006F49F8" w:rsidP="006F49F8">
            <w:pPr>
              <w:jc w:val="center"/>
              <w:rPr>
                <w:rStyle w:val="CommentReference"/>
                <w:b w:val="0"/>
              </w:rPr>
            </w:pPr>
            <w:r>
              <w:rPr>
                <w:rStyle w:val="CommentReference"/>
                <w:b w:val="0"/>
              </w:rPr>
              <w:t xml:space="preserve">Diarrhoea, nausea, vomiting; </w:t>
            </w:r>
          </w:p>
          <w:p w:rsidR="006F49F8" w:rsidRPr="00825F48" w:rsidRDefault="006F49F8" w:rsidP="006F49F8">
            <w:pPr>
              <w:jc w:val="center"/>
              <w:rPr>
                <w:rStyle w:val="CommentReference"/>
                <w:b w:val="0"/>
              </w:rPr>
            </w:pPr>
            <w:r>
              <w:rPr>
                <w:rStyle w:val="CommentReference"/>
                <w:b w:val="0"/>
              </w:rPr>
              <w:t>EQ-5D: Trial 32 &amp; 34</w:t>
            </w:r>
          </w:p>
        </w:tc>
        <w:tc>
          <w:tcPr>
            <w:tcW w:w="3385" w:type="dxa"/>
            <w:vAlign w:val="center"/>
          </w:tcPr>
          <w:p w:rsidR="006F49F8" w:rsidRPr="00825F48" w:rsidRDefault="006F49F8" w:rsidP="006F49F8">
            <w:pPr>
              <w:jc w:val="center"/>
              <w:rPr>
                <w:rStyle w:val="CommentReference"/>
                <w:b w:val="0"/>
              </w:rPr>
            </w:pPr>
            <w:r>
              <w:rPr>
                <w:rStyle w:val="CommentReference"/>
                <w:b w:val="0"/>
              </w:rPr>
              <w:t>Not included</w:t>
            </w:r>
          </w:p>
        </w:tc>
      </w:tr>
      <w:tr w:rsidR="006F49F8" w:rsidRPr="00825F48" w:rsidTr="006F49F8">
        <w:tc>
          <w:tcPr>
            <w:tcW w:w="992" w:type="dxa"/>
            <w:vMerge w:val="restart"/>
            <w:vAlign w:val="center"/>
          </w:tcPr>
          <w:p w:rsidR="006F49F8" w:rsidRPr="00825F48" w:rsidRDefault="006F49F8" w:rsidP="006F49F8">
            <w:pPr>
              <w:jc w:val="left"/>
              <w:rPr>
                <w:rStyle w:val="CommentReference"/>
                <w:b w:val="0"/>
              </w:rPr>
            </w:pPr>
            <w:r>
              <w:rPr>
                <w:rStyle w:val="CommentReference"/>
                <w:b w:val="0"/>
              </w:rPr>
              <w:t>Healthcare resource items – utilisation and costs</w:t>
            </w:r>
          </w:p>
        </w:tc>
        <w:tc>
          <w:tcPr>
            <w:tcW w:w="1134" w:type="dxa"/>
            <w:vAlign w:val="center"/>
          </w:tcPr>
          <w:p w:rsidR="006F49F8" w:rsidRPr="00825F48" w:rsidRDefault="006F49F8" w:rsidP="006F49F8">
            <w:pPr>
              <w:jc w:val="left"/>
              <w:rPr>
                <w:rStyle w:val="CommentReference"/>
                <w:b w:val="0"/>
              </w:rPr>
            </w:pPr>
            <w:r>
              <w:rPr>
                <w:rStyle w:val="CommentReference"/>
                <w:b w:val="0"/>
              </w:rPr>
              <w:t>Nintedanib</w:t>
            </w:r>
          </w:p>
        </w:tc>
        <w:tc>
          <w:tcPr>
            <w:tcW w:w="2835" w:type="dxa"/>
            <w:vAlign w:val="center"/>
          </w:tcPr>
          <w:p w:rsidR="006F49F8" w:rsidRPr="00825F48" w:rsidRDefault="006F49F8" w:rsidP="006F49F8">
            <w:pPr>
              <w:jc w:val="center"/>
              <w:rPr>
                <w:rStyle w:val="CommentReference"/>
                <w:b w:val="0"/>
              </w:rPr>
            </w:pPr>
            <w:r>
              <w:rPr>
                <w:rStyle w:val="CommentReference"/>
                <w:b w:val="0"/>
              </w:rPr>
              <w:t>$</w:t>
            </w:r>
            <w:r w:rsidR="00F146E1">
              <w:rPr>
                <w:rStyle w:val="CommentReference"/>
                <w:b w:val="0"/>
                <w:noProof/>
                <w:color w:val="000000"/>
                <w:highlight w:val="black"/>
              </w:rPr>
              <w:t>''''''''''''</w:t>
            </w:r>
            <w:r>
              <w:rPr>
                <w:rStyle w:val="CommentReference"/>
                <w:b w:val="0"/>
              </w:rPr>
              <w:t>/day</w:t>
            </w:r>
          </w:p>
        </w:tc>
        <w:tc>
          <w:tcPr>
            <w:tcW w:w="3385" w:type="dxa"/>
            <w:vAlign w:val="center"/>
          </w:tcPr>
          <w:p w:rsidR="006F49F8" w:rsidRPr="00825F48" w:rsidRDefault="006F49F8" w:rsidP="006F49F8">
            <w:pPr>
              <w:jc w:val="center"/>
              <w:rPr>
                <w:rStyle w:val="CommentReference"/>
                <w:b w:val="0"/>
              </w:rPr>
            </w:pPr>
            <w:r>
              <w:rPr>
                <w:rStyle w:val="CommentReference"/>
                <w:b w:val="0"/>
              </w:rPr>
              <w:t>$</w:t>
            </w:r>
            <w:r w:rsidR="00F146E1">
              <w:rPr>
                <w:rStyle w:val="CommentReference"/>
                <w:b w:val="0"/>
                <w:noProof/>
                <w:color w:val="000000"/>
                <w:highlight w:val="black"/>
              </w:rPr>
              <w:t>'''''''''''''</w:t>
            </w:r>
            <w:r>
              <w:rPr>
                <w:rStyle w:val="CommentReference"/>
                <w:b w:val="0"/>
              </w:rPr>
              <w:t>/day (inclusive of RSA)</w:t>
            </w:r>
          </w:p>
        </w:tc>
      </w:tr>
      <w:tr w:rsidR="006F49F8" w:rsidRPr="00825F48" w:rsidTr="006F49F8">
        <w:tc>
          <w:tcPr>
            <w:tcW w:w="992" w:type="dxa"/>
            <w:vMerge/>
            <w:vAlign w:val="center"/>
          </w:tcPr>
          <w:p w:rsidR="006F49F8" w:rsidRDefault="006F49F8" w:rsidP="006F49F8">
            <w:pPr>
              <w:jc w:val="left"/>
              <w:rPr>
                <w:rStyle w:val="CommentReference"/>
                <w:b w:val="0"/>
              </w:rPr>
            </w:pPr>
          </w:p>
        </w:tc>
        <w:tc>
          <w:tcPr>
            <w:tcW w:w="1134" w:type="dxa"/>
            <w:vAlign w:val="center"/>
          </w:tcPr>
          <w:p w:rsidR="006F49F8" w:rsidRDefault="006F49F8" w:rsidP="006F49F8">
            <w:pPr>
              <w:jc w:val="left"/>
              <w:rPr>
                <w:rStyle w:val="CommentReference"/>
                <w:b w:val="0"/>
              </w:rPr>
            </w:pPr>
            <w:r>
              <w:rPr>
                <w:rStyle w:val="CommentReference"/>
                <w:b w:val="0"/>
              </w:rPr>
              <w:t>BSC</w:t>
            </w:r>
          </w:p>
        </w:tc>
        <w:tc>
          <w:tcPr>
            <w:tcW w:w="2835" w:type="dxa"/>
            <w:vAlign w:val="center"/>
          </w:tcPr>
          <w:p w:rsidR="006F49F8" w:rsidRDefault="006F49F8" w:rsidP="006F49F8">
            <w:pPr>
              <w:jc w:val="center"/>
              <w:rPr>
                <w:rStyle w:val="CommentReference"/>
                <w:b w:val="0"/>
              </w:rPr>
            </w:pPr>
            <w:r>
              <w:rPr>
                <w:rStyle w:val="CommentReference"/>
                <w:b w:val="0"/>
              </w:rPr>
              <w:t>$1.21/day</w:t>
            </w:r>
          </w:p>
        </w:tc>
        <w:tc>
          <w:tcPr>
            <w:tcW w:w="3385" w:type="dxa"/>
            <w:vAlign w:val="center"/>
          </w:tcPr>
          <w:p w:rsidR="006F49F8" w:rsidRDefault="006F49F8" w:rsidP="006F49F8">
            <w:pPr>
              <w:jc w:val="center"/>
              <w:rPr>
                <w:rStyle w:val="CommentReference"/>
                <w:b w:val="0"/>
              </w:rPr>
            </w:pPr>
            <w:r>
              <w:rPr>
                <w:rStyle w:val="CommentReference"/>
                <w:b w:val="0"/>
              </w:rPr>
              <w:t>$1.28/day: July 2015 PBS schedule</w:t>
            </w:r>
          </w:p>
        </w:tc>
      </w:tr>
      <w:tr w:rsidR="006F49F8" w:rsidRPr="00825F48" w:rsidTr="006F49F8">
        <w:tc>
          <w:tcPr>
            <w:tcW w:w="992" w:type="dxa"/>
            <w:vMerge/>
            <w:vAlign w:val="center"/>
          </w:tcPr>
          <w:p w:rsidR="006F49F8" w:rsidRDefault="006F49F8" w:rsidP="006F49F8">
            <w:pPr>
              <w:jc w:val="left"/>
              <w:rPr>
                <w:rStyle w:val="CommentReference"/>
                <w:b w:val="0"/>
              </w:rPr>
            </w:pPr>
          </w:p>
        </w:tc>
        <w:tc>
          <w:tcPr>
            <w:tcW w:w="1134" w:type="dxa"/>
            <w:vAlign w:val="center"/>
          </w:tcPr>
          <w:p w:rsidR="006F49F8" w:rsidRDefault="006F49F8" w:rsidP="006F49F8">
            <w:pPr>
              <w:jc w:val="left"/>
              <w:rPr>
                <w:rStyle w:val="CommentReference"/>
                <w:b w:val="0"/>
              </w:rPr>
            </w:pPr>
            <w:r>
              <w:rPr>
                <w:rStyle w:val="CommentReference"/>
                <w:b w:val="0"/>
              </w:rPr>
              <w:t>LFTs</w:t>
            </w:r>
          </w:p>
        </w:tc>
        <w:tc>
          <w:tcPr>
            <w:tcW w:w="2835" w:type="dxa"/>
            <w:vAlign w:val="center"/>
          </w:tcPr>
          <w:p w:rsidR="006F49F8" w:rsidRPr="00825F48" w:rsidRDefault="006F49F8" w:rsidP="006F49F8">
            <w:pPr>
              <w:jc w:val="center"/>
              <w:rPr>
                <w:rStyle w:val="CommentReference"/>
                <w:b w:val="0"/>
              </w:rPr>
            </w:pPr>
            <w:r>
              <w:rPr>
                <w:rStyle w:val="CommentReference"/>
                <w:b w:val="0"/>
              </w:rPr>
              <w:t>Not included</w:t>
            </w:r>
          </w:p>
        </w:tc>
        <w:tc>
          <w:tcPr>
            <w:tcW w:w="3385" w:type="dxa"/>
            <w:vAlign w:val="center"/>
          </w:tcPr>
          <w:p w:rsidR="006F49F8" w:rsidRPr="00825F48" w:rsidRDefault="006F49F8" w:rsidP="006F49F8">
            <w:pPr>
              <w:jc w:val="center"/>
              <w:rPr>
                <w:rStyle w:val="CommentReference"/>
                <w:b w:val="0"/>
              </w:rPr>
            </w:pPr>
            <w:r>
              <w:rPr>
                <w:rStyle w:val="CommentReference"/>
                <w:b w:val="0"/>
              </w:rPr>
              <w:t>Nintedanib: $13.65 every 3 months</w:t>
            </w:r>
          </w:p>
        </w:tc>
      </w:tr>
      <w:tr w:rsidR="006F49F8" w:rsidRPr="00825F48" w:rsidTr="006F49F8">
        <w:tc>
          <w:tcPr>
            <w:tcW w:w="992" w:type="dxa"/>
            <w:vMerge/>
            <w:vAlign w:val="center"/>
          </w:tcPr>
          <w:p w:rsidR="006F49F8" w:rsidRDefault="006F49F8" w:rsidP="006F49F8">
            <w:pPr>
              <w:jc w:val="left"/>
              <w:rPr>
                <w:rStyle w:val="CommentReference"/>
                <w:b w:val="0"/>
              </w:rPr>
            </w:pPr>
          </w:p>
        </w:tc>
        <w:tc>
          <w:tcPr>
            <w:tcW w:w="1134" w:type="dxa"/>
            <w:vMerge w:val="restart"/>
            <w:vAlign w:val="center"/>
          </w:tcPr>
          <w:p w:rsidR="006F49F8" w:rsidRDefault="006F49F8" w:rsidP="006F49F8">
            <w:pPr>
              <w:jc w:val="left"/>
              <w:rPr>
                <w:rStyle w:val="CommentReference"/>
                <w:b w:val="0"/>
              </w:rPr>
            </w:pPr>
            <w:r>
              <w:rPr>
                <w:rStyle w:val="CommentReference"/>
                <w:b w:val="0"/>
              </w:rPr>
              <w:t>Tests &amp; procedures</w:t>
            </w:r>
          </w:p>
        </w:tc>
        <w:tc>
          <w:tcPr>
            <w:tcW w:w="6220" w:type="dxa"/>
            <w:gridSpan w:val="2"/>
            <w:vAlign w:val="center"/>
          </w:tcPr>
          <w:p w:rsidR="006F49F8" w:rsidRPr="00825F48" w:rsidRDefault="006F49F8" w:rsidP="006F49F8">
            <w:pPr>
              <w:jc w:val="center"/>
              <w:rPr>
                <w:rStyle w:val="CommentReference"/>
                <w:b w:val="0"/>
              </w:rPr>
            </w:pPr>
            <w:r>
              <w:rPr>
                <w:rStyle w:val="CommentReference"/>
                <w:b w:val="0"/>
              </w:rPr>
              <w:t>Resource items and frequency of utilisation dependent on FVC%Pred health state</w:t>
            </w:r>
          </w:p>
        </w:tc>
      </w:tr>
      <w:tr w:rsidR="006F49F8" w:rsidRPr="00825F48" w:rsidTr="006F49F8">
        <w:tc>
          <w:tcPr>
            <w:tcW w:w="992" w:type="dxa"/>
            <w:vMerge/>
            <w:vAlign w:val="center"/>
          </w:tcPr>
          <w:p w:rsidR="006F49F8" w:rsidRDefault="006F49F8" w:rsidP="006F49F8">
            <w:pPr>
              <w:jc w:val="left"/>
              <w:rPr>
                <w:rStyle w:val="CommentReference"/>
                <w:b w:val="0"/>
              </w:rPr>
            </w:pPr>
          </w:p>
        </w:tc>
        <w:tc>
          <w:tcPr>
            <w:tcW w:w="1134" w:type="dxa"/>
            <w:vMerge/>
            <w:vAlign w:val="center"/>
          </w:tcPr>
          <w:p w:rsidR="006F49F8" w:rsidRDefault="006F49F8" w:rsidP="006F49F8">
            <w:pPr>
              <w:jc w:val="left"/>
              <w:rPr>
                <w:rStyle w:val="CommentReference"/>
                <w:b w:val="0"/>
              </w:rPr>
            </w:pPr>
          </w:p>
        </w:tc>
        <w:tc>
          <w:tcPr>
            <w:tcW w:w="2835" w:type="dxa"/>
            <w:vAlign w:val="center"/>
          </w:tcPr>
          <w:p w:rsidR="006F49F8" w:rsidRDefault="006F49F8" w:rsidP="006F49F8">
            <w:pPr>
              <w:jc w:val="center"/>
              <w:rPr>
                <w:rStyle w:val="CommentReference"/>
                <w:b w:val="0"/>
              </w:rPr>
            </w:pPr>
            <w:r>
              <w:rPr>
                <w:rStyle w:val="CommentReference"/>
                <w:b w:val="0"/>
              </w:rPr>
              <w:t>Trial 32 and 34: MBS items</w:t>
            </w:r>
          </w:p>
        </w:tc>
        <w:tc>
          <w:tcPr>
            <w:tcW w:w="3385" w:type="dxa"/>
            <w:vAlign w:val="center"/>
          </w:tcPr>
          <w:p w:rsidR="006F49F8" w:rsidRDefault="006F49F8" w:rsidP="006F49F8">
            <w:pPr>
              <w:jc w:val="center"/>
              <w:rPr>
                <w:rStyle w:val="CommentReference"/>
                <w:b w:val="0"/>
              </w:rPr>
            </w:pPr>
            <w:r>
              <w:rPr>
                <w:rStyle w:val="CommentReference"/>
                <w:b w:val="0"/>
              </w:rPr>
              <w:t>Australian IPF registry: MBS items</w:t>
            </w:r>
          </w:p>
        </w:tc>
      </w:tr>
      <w:tr w:rsidR="006F49F8" w:rsidRPr="00825F48" w:rsidTr="006F49F8">
        <w:tc>
          <w:tcPr>
            <w:tcW w:w="992" w:type="dxa"/>
            <w:vMerge/>
            <w:vAlign w:val="center"/>
          </w:tcPr>
          <w:p w:rsidR="006F49F8" w:rsidRDefault="006F49F8" w:rsidP="006F49F8">
            <w:pPr>
              <w:jc w:val="left"/>
              <w:rPr>
                <w:rStyle w:val="CommentReference"/>
                <w:b w:val="0"/>
              </w:rPr>
            </w:pPr>
          </w:p>
        </w:tc>
        <w:tc>
          <w:tcPr>
            <w:tcW w:w="1134" w:type="dxa"/>
            <w:vAlign w:val="center"/>
          </w:tcPr>
          <w:p w:rsidR="006F49F8" w:rsidRDefault="006F49F8" w:rsidP="006F49F8">
            <w:pPr>
              <w:jc w:val="left"/>
              <w:rPr>
                <w:rStyle w:val="CommentReference"/>
                <w:b w:val="0"/>
              </w:rPr>
            </w:pPr>
            <w:r>
              <w:rPr>
                <w:rStyle w:val="CommentReference"/>
                <w:b w:val="0"/>
              </w:rPr>
              <w:t>Adverse events</w:t>
            </w:r>
          </w:p>
        </w:tc>
        <w:tc>
          <w:tcPr>
            <w:tcW w:w="2835" w:type="dxa"/>
            <w:vAlign w:val="center"/>
          </w:tcPr>
          <w:p w:rsidR="006F49F8" w:rsidRDefault="006F49F8" w:rsidP="006F49F8">
            <w:pPr>
              <w:jc w:val="center"/>
              <w:rPr>
                <w:rStyle w:val="CommentReference"/>
                <w:b w:val="0"/>
              </w:rPr>
            </w:pPr>
            <w:r>
              <w:rPr>
                <w:rStyle w:val="CommentReference"/>
                <w:b w:val="0"/>
              </w:rPr>
              <w:t>Diarrhoea, nausea, vomiting; Trial 32 &amp; 34: Nintedanib: $</w:t>
            </w:r>
            <w:r w:rsidR="00F146E1">
              <w:rPr>
                <w:rStyle w:val="CommentReference"/>
                <w:b w:val="0"/>
                <w:noProof/>
                <w:color w:val="000000"/>
                <w:highlight w:val="black"/>
              </w:rPr>
              <w:t>'''''''''''''''</w:t>
            </w:r>
            <w:r>
              <w:rPr>
                <w:rStyle w:val="CommentReference"/>
                <w:b w:val="0"/>
              </w:rPr>
              <w:t>/cycle, BSC: $4.34/cycle</w:t>
            </w:r>
          </w:p>
        </w:tc>
        <w:tc>
          <w:tcPr>
            <w:tcW w:w="3385" w:type="dxa"/>
            <w:vAlign w:val="center"/>
          </w:tcPr>
          <w:p w:rsidR="006F49F8" w:rsidRDefault="006F49F8" w:rsidP="006F49F8">
            <w:pPr>
              <w:jc w:val="center"/>
              <w:rPr>
                <w:rStyle w:val="CommentReference"/>
                <w:b w:val="0"/>
              </w:rPr>
            </w:pPr>
            <w:r>
              <w:rPr>
                <w:rStyle w:val="CommentReference"/>
                <w:b w:val="0"/>
              </w:rPr>
              <w:t>Diarrhoea, severe diarrhoea, nausea, vomiting; Trial 32 &amp; 34: Nintedanib: $</w:t>
            </w:r>
            <w:r w:rsidR="00F146E1">
              <w:rPr>
                <w:rStyle w:val="CommentReference"/>
                <w:b w:val="0"/>
                <w:noProof/>
                <w:color w:val="000000"/>
                <w:highlight w:val="black"/>
              </w:rPr>
              <w:t>'''''''''''''</w:t>
            </w:r>
            <w:r>
              <w:rPr>
                <w:rStyle w:val="CommentReference"/>
                <w:b w:val="0"/>
              </w:rPr>
              <w:t>/cycle; BSC: $10.22/cycle</w:t>
            </w:r>
          </w:p>
        </w:tc>
      </w:tr>
    </w:tbl>
    <w:p w:rsidR="006F49F8" w:rsidRPr="00454E28" w:rsidRDefault="006F49F8" w:rsidP="006F49F8">
      <w:pPr>
        <w:ind w:left="720"/>
        <w:rPr>
          <w:rStyle w:val="CommentReference"/>
          <w:b w:val="0"/>
          <w:sz w:val="18"/>
        </w:rPr>
      </w:pPr>
      <w:r>
        <w:rPr>
          <w:rStyle w:val="CommentReference"/>
          <w:b w:val="0"/>
          <w:sz w:val="18"/>
        </w:rPr>
        <w:t xml:space="preserve">Abbreviations: BSC = best supportive care; </w:t>
      </w:r>
      <w:r w:rsidRPr="00AC0D1F">
        <w:rPr>
          <w:rStyle w:val="CommentReference"/>
          <w:b w:val="0"/>
          <w:sz w:val="18"/>
        </w:rPr>
        <w:t>EQ-5D = EuroQol 5-Dimensional Quality of Life questionnaire</w:t>
      </w:r>
      <w:r>
        <w:rPr>
          <w:rStyle w:val="CommentReference"/>
          <w:b w:val="0"/>
          <w:sz w:val="18"/>
        </w:rPr>
        <w:t>;</w:t>
      </w:r>
      <w:r w:rsidRPr="00AC0D1F">
        <w:rPr>
          <w:rStyle w:val="CommentReference"/>
          <w:b w:val="0"/>
          <w:sz w:val="18"/>
        </w:rPr>
        <w:t xml:space="preserve"> </w:t>
      </w:r>
      <w:r>
        <w:rPr>
          <w:rStyle w:val="CommentReference"/>
          <w:b w:val="0"/>
          <w:sz w:val="18"/>
        </w:rPr>
        <w:t>FVC = forced vital capacity; IPF = idiopathic pulmonary fibrosis; LFTs = liver function tests; RSA = risk sharing arrangement.  Source: constructed during the evaluation</w:t>
      </w:r>
    </w:p>
    <w:p w:rsidR="008F1EC2" w:rsidRDefault="008F1EC2" w:rsidP="00217DD8">
      <w:pPr>
        <w:widowControl/>
      </w:pPr>
    </w:p>
    <w:p w:rsidR="00C5505D" w:rsidRPr="00C5505D" w:rsidRDefault="0037381D" w:rsidP="00321D09">
      <w:pPr>
        <w:pStyle w:val="ListParagraph"/>
        <w:widowControl/>
        <w:numPr>
          <w:ilvl w:val="1"/>
          <w:numId w:val="2"/>
        </w:numPr>
        <w:rPr>
          <w:szCs w:val="22"/>
        </w:rPr>
      </w:pPr>
      <w:r>
        <w:rPr>
          <w:szCs w:val="22"/>
        </w:rPr>
        <w:t xml:space="preserve">In </w:t>
      </w:r>
      <w:r w:rsidR="00217DD8">
        <w:rPr>
          <w:szCs w:val="22"/>
        </w:rPr>
        <w:t>M</w:t>
      </w:r>
      <w:r>
        <w:rPr>
          <w:szCs w:val="22"/>
        </w:rPr>
        <w:t>arch 2015, t</w:t>
      </w:r>
      <w:r w:rsidR="003066F6" w:rsidRPr="0060206A">
        <w:rPr>
          <w:szCs w:val="22"/>
        </w:rPr>
        <w:t>he PBAC</w:t>
      </w:r>
      <w:r w:rsidR="007031A1" w:rsidRPr="0060206A">
        <w:rPr>
          <w:szCs w:val="22"/>
        </w:rPr>
        <w:t xml:space="preserve"> </w:t>
      </w:r>
      <w:r w:rsidR="0082480A" w:rsidRPr="0060206A">
        <w:rPr>
          <w:szCs w:val="22"/>
        </w:rPr>
        <w:t>considered</w:t>
      </w:r>
      <w:r w:rsidR="007031A1" w:rsidRPr="0060206A">
        <w:rPr>
          <w:szCs w:val="22"/>
        </w:rPr>
        <w:t xml:space="preserve"> that </w:t>
      </w:r>
      <w:r w:rsidR="003066F6" w:rsidRPr="0060206A">
        <w:rPr>
          <w:szCs w:val="22"/>
        </w:rPr>
        <w:t>a</w:t>
      </w:r>
      <w:r w:rsidR="007031A1" w:rsidRPr="0060206A">
        <w:rPr>
          <w:szCs w:val="22"/>
        </w:rPr>
        <w:t xml:space="preserve"> </w:t>
      </w:r>
      <w:r w:rsidR="003066F6" w:rsidRPr="0060206A">
        <w:rPr>
          <w:szCs w:val="22"/>
        </w:rPr>
        <w:t xml:space="preserve">revised economic model incorporate the </w:t>
      </w:r>
      <w:r w:rsidR="007031A1" w:rsidRPr="0060206A">
        <w:rPr>
          <w:szCs w:val="22"/>
        </w:rPr>
        <w:t xml:space="preserve">more conservative estimate of survival </w:t>
      </w:r>
      <w:r w:rsidR="0082480A" w:rsidRPr="0060206A">
        <w:rPr>
          <w:szCs w:val="22"/>
        </w:rPr>
        <w:t xml:space="preserve">recommended in the evaluation </w:t>
      </w:r>
      <w:r w:rsidR="007031A1" w:rsidRPr="0060206A">
        <w:rPr>
          <w:szCs w:val="22"/>
        </w:rPr>
        <w:t>(Kaplan Meier estimate to month 21, followed by the adjustment of the nintedanib survival curve for the gradient of BSC</w:t>
      </w:r>
      <w:r w:rsidR="0082480A" w:rsidRPr="0060206A">
        <w:rPr>
          <w:szCs w:val="22"/>
        </w:rPr>
        <w:t xml:space="preserve">; </w:t>
      </w:r>
      <w:r w:rsidR="007031A1" w:rsidRPr="0060206A">
        <w:rPr>
          <w:szCs w:val="22"/>
        </w:rPr>
        <w:t xml:space="preserve">March 2015, paragraph </w:t>
      </w:r>
      <w:r w:rsidR="00CC6AF8" w:rsidRPr="0060206A">
        <w:rPr>
          <w:szCs w:val="22"/>
        </w:rPr>
        <w:t>6.28</w:t>
      </w:r>
      <w:r w:rsidR="007031A1" w:rsidRPr="0060206A">
        <w:rPr>
          <w:szCs w:val="22"/>
        </w:rPr>
        <w:t xml:space="preserve">, 7.12).  </w:t>
      </w:r>
      <w:r w:rsidR="007031A1" w:rsidRPr="0060206A">
        <w:t xml:space="preserve">The re-submission </w:t>
      </w:r>
      <w:r w:rsidR="00CC6AF8" w:rsidRPr="0060206A">
        <w:t>only</w:t>
      </w:r>
      <w:r w:rsidR="007031A1" w:rsidRPr="0060206A">
        <w:t xml:space="preserve"> partially adopted this advice through the incorporation of Kaplan Meier estimates </w:t>
      </w:r>
      <w:r w:rsidR="00385F5B" w:rsidRPr="0060206A">
        <w:t>during the trial based period (21 months)</w:t>
      </w:r>
      <w:r w:rsidR="007031A1" w:rsidRPr="0060206A">
        <w:t xml:space="preserve">.  </w:t>
      </w:r>
      <w:r w:rsidR="00385F5B" w:rsidRPr="0060206A">
        <w:t xml:space="preserve">This </w:t>
      </w:r>
      <w:r w:rsidR="00051A67" w:rsidRPr="0060206A">
        <w:t xml:space="preserve">was </w:t>
      </w:r>
      <w:r w:rsidR="00385F5B" w:rsidRPr="0060206A">
        <w:t>followed by u</w:t>
      </w:r>
      <w:r w:rsidR="007031A1" w:rsidRPr="0060206A">
        <w:t xml:space="preserve">nadjusted mortality risk from the Weibull extrapolations </w:t>
      </w:r>
      <w:r w:rsidR="00385F5B" w:rsidRPr="0060206A">
        <w:t>applied to</w:t>
      </w:r>
      <w:r w:rsidR="007031A1" w:rsidRPr="0060206A">
        <w:t xml:space="preserve"> 10 years.  </w:t>
      </w:r>
      <w:r w:rsidR="00385F5B" w:rsidRPr="0060206A">
        <w:t xml:space="preserve">As noted in the results of the stepped economic evaluation, the extrapolated period is responsible for the majority of accrued LYGs and QALYs.  </w:t>
      </w:r>
      <w:r w:rsidR="00B44306" w:rsidRPr="0060206A">
        <w:t>The</w:t>
      </w:r>
      <w:r w:rsidR="00B44306">
        <w:rPr>
          <w:i/>
        </w:rPr>
        <w:t xml:space="preserve"> </w:t>
      </w:r>
      <w:r w:rsidR="00B44306" w:rsidRPr="0060206A">
        <w:t>PBAC has previously noted that Weibull extrapolations were incapable of representing potential long term survival benefits (March 2015, paragraph 6.28). Overall, the re-submission presented</w:t>
      </w:r>
      <w:r w:rsidR="007031A1" w:rsidRPr="0060206A">
        <w:t xml:space="preserve"> limited adjustment</w:t>
      </w:r>
      <w:r w:rsidR="00B44306" w:rsidRPr="0060206A">
        <w:t>s</w:t>
      </w:r>
      <w:r w:rsidR="007031A1" w:rsidRPr="0060206A">
        <w:t xml:space="preserve"> to predicted survival</w:t>
      </w:r>
      <w:r w:rsidR="00B44306" w:rsidRPr="0060206A">
        <w:t xml:space="preserve"> and it is likely</w:t>
      </w:r>
      <w:r w:rsidR="00385F5B" w:rsidRPr="0060206A">
        <w:t xml:space="preserve"> that the economic model </w:t>
      </w:r>
      <w:r w:rsidR="00B44306" w:rsidRPr="0060206A">
        <w:t xml:space="preserve">continues to </w:t>
      </w:r>
      <w:r w:rsidR="00385F5B" w:rsidRPr="0060206A">
        <w:t>overestimate</w:t>
      </w:r>
      <w:r w:rsidR="007031A1" w:rsidRPr="0060206A">
        <w:t xml:space="preserve"> </w:t>
      </w:r>
      <w:r w:rsidR="00B44306" w:rsidRPr="0060206A">
        <w:t xml:space="preserve">the </w:t>
      </w:r>
      <w:r w:rsidR="007031A1" w:rsidRPr="0060206A">
        <w:t xml:space="preserve">incremental benefits </w:t>
      </w:r>
      <w:r w:rsidR="00385F5B" w:rsidRPr="0060206A">
        <w:t>associated with nintedanib</w:t>
      </w:r>
      <w:r w:rsidR="007031A1" w:rsidRPr="0060206A">
        <w:t xml:space="preserve">.  </w:t>
      </w:r>
      <w:r w:rsidR="009A3CC8" w:rsidRPr="0060206A">
        <w:t>The economic model was highly sensitive to alternative methods for the es</w:t>
      </w:r>
      <w:r w:rsidR="00217DD8">
        <w:t>timation of long term survival.</w:t>
      </w:r>
    </w:p>
    <w:p w:rsidR="00C5505D" w:rsidRPr="00217DD8" w:rsidRDefault="00C5505D" w:rsidP="00C5505D">
      <w:pPr>
        <w:widowControl/>
        <w:rPr>
          <w:szCs w:val="22"/>
        </w:rPr>
      </w:pPr>
    </w:p>
    <w:p w:rsidR="00C5505D" w:rsidRPr="0037381D" w:rsidRDefault="00C5505D" w:rsidP="00C5505D">
      <w:pPr>
        <w:pStyle w:val="ListParagraph"/>
        <w:widowControl/>
        <w:numPr>
          <w:ilvl w:val="1"/>
          <w:numId w:val="2"/>
        </w:numPr>
        <w:rPr>
          <w:szCs w:val="22"/>
        </w:rPr>
      </w:pPr>
      <w:r w:rsidRPr="0037381D">
        <w:rPr>
          <w:szCs w:val="22"/>
        </w:rPr>
        <w:t xml:space="preserve">The ESC considered the issue with the time horizon is not whether it is reasonable in terms of modelling the progression of disease, but whether it is reasonable to extrapolate non-statistically significant survival benefits from 12 months to 10 years; this </w:t>
      </w:r>
      <w:r w:rsidR="005D4F33" w:rsidRPr="0037381D">
        <w:rPr>
          <w:szCs w:val="22"/>
        </w:rPr>
        <w:t>i</w:t>
      </w:r>
      <w:r w:rsidRPr="0037381D">
        <w:rPr>
          <w:szCs w:val="22"/>
        </w:rPr>
        <w:t xml:space="preserve">s unchanged from the previous </w:t>
      </w:r>
      <w:r w:rsidR="005D4F33" w:rsidRPr="0037381D">
        <w:rPr>
          <w:szCs w:val="22"/>
        </w:rPr>
        <w:t>submission</w:t>
      </w:r>
      <w:r w:rsidRPr="0037381D">
        <w:rPr>
          <w:szCs w:val="22"/>
        </w:rPr>
        <w:t>. It may be reasonable to consider that a reduction in FVC decline, and a reduction in exacerbations if sustained</w:t>
      </w:r>
      <w:r w:rsidR="005D4F33" w:rsidRPr="0037381D">
        <w:rPr>
          <w:szCs w:val="22"/>
        </w:rPr>
        <w:t>,</w:t>
      </w:r>
      <w:r w:rsidRPr="0037381D">
        <w:rPr>
          <w:szCs w:val="22"/>
        </w:rPr>
        <w:t xml:space="preserve"> will translate to survival benefits. However, it is important to consider Figure 2 below which suggests that the extent of treatment benefit may not be maintained at Week 80 compared with Week 52.</w:t>
      </w:r>
    </w:p>
    <w:p w:rsidR="007A65A1" w:rsidRPr="00217DD8" w:rsidRDefault="007A65A1" w:rsidP="00A1755A">
      <w:pPr>
        <w:widowControl/>
        <w:spacing w:line="2640" w:lineRule="auto"/>
        <w:jc w:val="left"/>
        <w:rPr>
          <w:rStyle w:val="CommentReference"/>
          <w:rFonts w:ascii="Arial" w:hAnsi="Arial"/>
          <w:b w:val="0"/>
          <w:sz w:val="22"/>
          <w:szCs w:val="22"/>
        </w:rPr>
      </w:pPr>
    </w:p>
    <w:p w:rsidR="00C5505D" w:rsidRPr="0037381D" w:rsidRDefault="00C5505D" w:rsidP="00C5505D">
      <w:pPr>
        <w:pStyle w:val="PBACHeading1"/>
        <w:numPr>
          <w:ilvl w:val="0"/>
          <w:numId w:val="0"/>
        </w:numPr>
        <w:ind w:left="720" w:firstLine="720"/>
        <w:rPr>
          <w:rStyle w:val="CommentReference"/>
          <w:b/>
        </w:rPr>
      </w:pPr>
      <w:r w:rsidRPr="0037381D">
        <w:rPr>
          <w:rStyle w:val="CommentReference"/>
          <w:b/>
        </w:rPr>
        <w:t>Figure.2: Change in FVC over time: Trial 30 periods 1 and 2</w:t>
      </w:r>
    </w:p>
    <w:p w:rsidR="00C5505D" w:rsidRPr="0037381D" w:rsidRDefault="00F146E1" w:rsidP="00C5505D">
      <w:pPr>
        <w:pStyle w:val="ListParagraph"/>
        <w:widowControl/>
      </w:pPr>
      <w:r>
        <w:rPr>
          <w:noProof/>
          <w:snapToGrid/>
          <w:lang w:eastAsia="en-AU"/>
        </w:rPr>
        <w:drawing>
          <wp:inline distT="0" distB="0" distL="0" distR="0" wp14:anchorId="6684FEE5" wp14:editId="1733772D">
            <wp:extent cx="4286250" cy="2400300"/>
            <wp:effectExtent l="0" t="0" r="0" b="0"/>
            <wp:docPr id="2" name="Picture 2" title="Figure.2: Change in FVC over time: Trial 30 periods 1 an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86250" cy="2400300"/>
                    </a:xfrm>
                    <a:prstGeom prst="rect">
                      <a:avLst/>
                    </a:prstGeom>
                  </pic:spPr>
                </pic:pic>
              </a:graphicData>
            </a:graphic>
          </wp:inline>
        </w:drawing>
      </w:r>
    </w:p>
    <w:p w:rsidR="00C5505D" w:rsidRPr="0037381D" w:rsidRDefault="00C5505D" w:rsidP="00C5505D">
      <w:pPr>
        <w:rPr>
          <w:rFonts w:ascii="Arial Narrow" w:hAnsi="Arial Narrow"/>
          <w:sz w:val="18"/>
        </w:rPr>
      </w:pPr>
      <w:r w:rsidRPr="0037381D">
        <w:tab/>
      </w:r>
      <w:r w:rsidRPr="0037381D">
        <w:rPr>
          <w:rFonts w:ascii="Arial Narrow" w:hAnsi="Arial Narrow"/>
          <w:sz w:val="18"/>
        </w:rPr>
        <w:t>Source: Figure B.6-3, p105 of the re-submission</w:t>
      </w:r>
    </w:p>
    <w:p w:rsidR="00C5505D" w:rsidRPr="0037381D" w:rsidRDefault="00C5505D" w:rsidP="007A65A1"/>
    <w:p w:rsidR="00B11B68" w:rsidRPr="0037381D" w:rsidRDefault="00B11B68" w:rsidP="00321D09">
      <w:pPr>
        <w:pStyle w:val="ListParagraph"/>
        <w:widowControl/>
        <w:numPr>
          <w:ilvl w:val="1"/>
          <w:numId w:val="2"/>
        </w:numPr>
        <w:rPr>
          <w:szCs w:val="22"/>
        </w:rPr>
      </w:pPr>
      <w:r w:rsidRPr="002B0902">
        <w:rPr>
          <w:szCs w:val="22"/>
        </w:rPr>
        <w:t>Nintedanib cost/day in the economic model ($</w:t>
      </w:r>
      <w:r w:rsidR="00F146E1">
        <w:rPr>
          <w:noProof/>
          <w:color w:val="000000"/>
          <w:szCs w:val="22"/>
          <w:highlight w:val="black"/>
        </w:rPr>
        <w:t>'''''''''''''</w:t>
      </w:r>
      <w:r w:rsidRPr="002B0902">
        <w:rPr>
          <w:szCs w:val="22"/>
        </w:rPr>
        <w:t xml:space="preserve">/day) was based on a weighted effective price that incorporated the RSA.  The weighted effective price is dependent on the differential between the 5 year uptake rates for nintedanib in the RSA cap (Year 1-5: </w:t>
      </w:r>
      <w:r w:rsidR="00F146E1">
        <w:rPr>
          <w:noProof/>
          <w:color w:val="000000"/>
          <w:szCs w:val="22"/>
          <w:highlight w:val="black"/>
        </w:rPr>
        <w:t>''''''''''''''</w:t>
      </w:r>
      <w:r w:rsidRPr="002B0902">
        <w:rPr>
          <w:szCs w:val="22"/>
        </w:rPr>
        <w:t xml:space="preserve">%) and the estimated expected utilisation as per the DUSC suggested parameters (Year 1 to 5: </w:t>
      </w:r>
      <w:r w:rsidR="00F146E1">
        <w:rPr>
          <w:noProof/>
          <w:color w:val="000000"/>
          <w:szCs w:val="22"/>
          <w:highlight w:val="black"/>
        </w:rPr>
        <w:t>''''''''''''''''''</w:t>
      </w:r>
      <w:r w:rsidRPr="002B0902">
        <w:rPr>
          <w:szCs w:val="22"/>
        </w:rPr>
        <w:t>%).  Given that the weighted effective price was based on estimates over 5 years there is an underlying disconnect with the 10 year time frame used in the economic model.  If the price of nintedanib was to revert to the effective price after Year 5 (i.e. uptake rates for year 6-10</w:t>
      </w:r>
      <w:r w:rsidR="00A325B8" w:rsidRPr="002B0902">
        <w:rPr>
          <w:szCs w:val="22"/>
        </w:rPr>
        <w:t xml:space="preserve"> </w:t>
      </w:r>
      <w:r w:rsidRPr="002B0902">
        <w:rPr>
          <w:szCs w:val="22"/>
        </w:rPr>
        <w:t>=</w:t>
      </w:r>
      <w:r w:rsidR="00A325B8" w:rsidRPr="002B0902">
        <w:rPr>
          <w:szCs w:val="22"/>
        </w:rPr>
        <w:t xml:space="preserve"> </w:t>
      </w:r>
      <w:r w:rsidRPr="002B0902">
        <w:rPr>
          <w:szCs w:val="22"/>
        </w:rPr>
        <w:t>100%), this would result in a nintedanib cost/day of $</w:t>
      </w:r>
      <w:r w:rsidR="00F146E1">
        <w:rPr>
          <w:noProof/>
          <w:color w:val="000000"/>
          <w:szCs w:val="22"/>
          <w:highlight w:val="black"/>
        </w:rPr>
        <w:t>'''''''''''''</w:t>
      </w:r>
      <w:r w:rsidRPr="002B0902">
        <w:rPr>
          <w:szCs w:val="22"/>
        </w:rPr>
        <w:t xml:space="preserve">.  The economic model was highly </w:t>
      </w:r>
      <w:r w:rsidRPr="0037381D">
        <w:rPr>
          <w:szCs w:val="22"/>
        </w:rPr>
        <w:t>sensitive to this rev</w:t>
      </w:r>
      <w:r w:rsidR="00217DD8">
        <w:rPr>
          <w:szCs w:val="22"/>
        </w:rPr>
        <w:t>ised weighted effective price.</w:t>
      </w:r>
    </w:p>
    <w:p w:rsidR="00B44D20" w:rsidRPr="00217DD8" w:rsidRDefault="00B44D20" w:rsidP="00B07F38">
      <w:pPr>
        <w:widowControl/>
        <w:rPr>
          <w:szCs w:val="22"/>
        </w:rPr>
      </w:pPr>
    </w:p>
    <w:p w:rsidR="00133C26" w:rsidRPr="0037381D" w:rsidRDefault="00133C26" w:rsidP="00321D09">
      <w:pPr>
        <w:pStyle w:val="ListParagraph"/>
        <w:widowControl/>
        <w:numPr>
          <w:ilvl w:val="1"/>
          <w:numId w:val="2"/>
        </w:numPr>
        <w:rPr>
          <w:szCs w:val="22"/>
        </w:rPr>
      </w:pPr>
      <w:r w:rsidRPr="0037381D">
        <w:rPr>
          <w:szCs w:val="22"/>
        </w:rPr>
        <w:t xml:space="preserve">The ESC considered the use of the weighted effective price in the model to be inappropriate as this approach links the actual ICER to the difference between the DUSC estimates and submission estimates. </w:t>
      </w:r>
      <w:r w:rsidR="00217DD8">
        <w:rPr>
          <w:szCs w:val="22"/>
        </w:rPr>
        <w:t xml:space="preserve"> </w:t>
      </w:r>
      <w:r w:rsidRPr="0037381D">
        <w:rPr>
          <w:szCs w:val="22"/>
        </w:rPr>
        <w:t>While this limits the risk in terms of overall cost, it does not provide a stable estimate of cost-effectiveness if there ar</w:t>
      </w:r>
      <w:r w:rsidR="00217DD8">
        <w:rPr>
          <w:szCs w:val="22"/>
        </w:rPr>
        <w:t>e differences in utilisation.</w:t>
      </w:r>
    </w:p>
    <w:p w:rsidR="00133C26" w:rsidRPr="00217DD8" w:rsidRDefault="00133C26" w:rsidP="00133C26">
      <w:pPr>
        <w:rPr>
          <w:szCs w:val="22"/>
        </w:rPr>
      </w:pPr>
    </w:p>
    <w:p w:rsidR="003828DB" w:rsidRPr="00133C26" w:rsidRDefault="003828DB" w:rsidP="00133C26">
      <w:pPr>
        <w:pStyle w:val="ListParagraph"/>
        <w:widowControl/>
        <w:numPr>
          <w:ilvl w:val="1"/>
          <w:numId w:val="2"/>
        </w:numPr>
        <w:jc w:val="left"/>
        <w:rPr>
          <w:szCs w:val="22"/>
        </w:rPr>
      </w:pPr>
      <w:r w:rsidRPr="00133C26">
        <w:rPr>
          <w:szCs w:val="22"/>
        </w:rPr>
        <w:t xml:space="preserve">Sensitivity analyses indicated that other changes to the economic model were of negligible impact to the estimated ICER: risk of </w:t>
      </w:r>
      <w:r w:rsidR="0082480A" w:rsidRPr="00133C26">
        <w:rPr>
          <w:szCs w:val="22"/>
        </w:rPr>
        <w:t xml:space="preserve">acute IPF </w:t>
      </w:r>
      <w:r w:rsidRPr="00133C26">
        <w:rPr>
          <w:szCs w:val="22"/>
        </w:rPr>
        <w:t>exacerbation calculated from adjudicator defined events; removal of disutility for adverse events; inclusion of costs associated with severe diarrhoea and liver function tests; utilisation rates for tests and procedures derived fro</w:t>
      </w:r>
      <w:r w:rsidR="00217DD8">
        <w:rPr>
          <w:szCs w:val="22"/>
        </w:rPr>
        <w:t>m the Australian IPF registry.</w:t>
      </w:r>
    </w:p>
    <w:p w:rsidR="00275C5A" w:rsidRPr="003828DB" w:rsidRDefault="00275C5A" w:rsidP="00275C5A">
      <w:pPr>
        <w:widowControl/>
        <w:rPr>
          <w:i/>
          <w:szCs w:val="22"/>
        </w:rPr>
      </w:pPr>
    </w:p>
    <w:p w:rsidR="00275C5A" w:rsidRPr="00B50DB8" w:rsidRDefault="003828DB" w:rsidP="00321D09">
      <w:pPr>
        <w:pStyle w:val="ListParagraph"/>
        <w:widowControl/>
        <w:numPr>
          <w:ilvl w:val="1"/>
          <w:numId w:val="2"/>
        </w:numPr>
        <w:rPr>
          <w:szCs w:val="22"/>
        </w:rPr>
      </w:pPr>
      <w:r>
        <w:rPr>
          <w:szCs w:val="22"/>
        </w:rPr>
        <w:t>Results of the stepped economic evaluation ar</w:t>
      </w:r>
      <w:r w:rsidR="00217DD8">
        <w:rPr>
          <w:szCs w:val="22"/>
        </w:rPr>
        <w:t>e provided in the table below.</w:t>
      </w:r>
    </w:p>
    <w:p w:rsidR="00D83125" w:rsidRDefault="00D83125">
      <w:pPr>
        <w:widowControl/>
        <w:jc w:val="left"/>
        <w:rPr>
          <w:szCs w:val="22"/>
        </w:rPr>
      </w:pPr>
    </w:p>
    <w:p w:rsidR="003828DB" w:rsidRDefault="003828DB" w:rsidP="003828DB">
      <w:pPr>
        <w:keepNext/>
        <w:ind w:firstLine="720"/>
        <w:rPr>
          <w:rStyle w:val="CommentReference"/>
        </w:rPr>
      </w:pPr>
      <w:r w:rsidRPr="00315498">
        <w:rPr>
          <w:rStyle w:val="CommentReference"/>
        </w:rPr>
        <w:t xml:space="preserve">Table </w:t>
      </w:r>
      <w:r w:rsidR="005276E7">
        <w:rPr>
          <w:rStyle w:val="CommentReference"/>
        </w:rPr>
        <w:t>1</w:t>
      </w:r>
      <w:r w:rsidR="00CB498B">
        <w:rPr>
          <w:rStyle w:val="CommentReference"/>
        </w:rPr>
        <w:t>2</w:t>
      </w:r>
      <w:r w:rsidRPr="00315498">
        <w:rPr>
          <w:rStyle w:val="CommentReference"/>
        </w:rPr>
        <w:t xml:space="preserve">: Results of the stepped economic evaluation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
      </w:tblPr>
      <w:tblGrid>
        <w:gridCol w:w="2087"/>
        <w:gridCol w:w="2086"/>
        <w:gridCol w:w="2086"/>
        <w:gridCol w:w="2086"/>
      </w:tblGrid>
      <w:tr w:rsidR="003828DB" w:rsidRPr="004E2ADC" w:rsidTr="003828DB">
        <w:trPr>
          <w:tblHeader/>
        </w:trPr>
        <w:tc>
          <w:tcPr>
            <w:tcW w:w="1250" w:type="pct"/>
            <w:vAlign w:val="center"/>
          </w:tcPr>
          <w:p w:rsidR="003828DB" w:rsidRPr="004E2ADC" w:rsidRDefault="003828DB" w:rsidP="0082480A">
            <w:pPr>
              <w:jc w:val="left"/>
              <w:rPr>
                <w:rFonts w:ascii="Arial Narrow" w:hAnsi="Arial Narrow" w:cs="Times New Roman"/>
                <w:b/>
                <w:sz w:val="20"/>
              </w:rPr>
            </w:pPr>
            <w:r w:rsidRPr="004E2ADC">
              <w:rPr>
                <w:rFonts w:ascii="Arial Narrow" w:hAnsi="Arial Narrow" w:cs="Times New Roman"/>
                <w:b/>
                <w:sz w:val="20"/>
              </w:rPr>
              <w:t>Step and component</w:t>
            </w:r>
          </w:p>
        </w:tc>
        <w:tc>
          <w:tcPr>
            <w:tcW w:w="1250" w:type="pct"/>
            <w:vAlign w:val="center"/>
          </w:tcPr>
          <w:p w:rsidR="003828DB" w:rsidRPr="004E2ADC" w:rsidRDefault="003828DB" w:rsidP="0082480A">
            <w:pPr>
              <w:jc w:val="center"/>
              <w:rPr>
                <w:rFonts w:ascii="Arial Narrow" w:hAnsi="Arial Narrow" w:cs="Times New Roman"/>
                <w:b/>
                <w:sz w:val="20"/>
              </w:rPr>
            </w:pPr>
            <w:r>
              <w:rPr>
                <w:rFonts w:ascii="Arial Narrow" w:hAnsi="Arial Narrow" w:cs="Times New Roman"/>
                <w:b/>
                <w:sz w:val="20"/>
              </w:rPr>
              <w:t>Nintedanib</w:t>
            </w:r>
          </w:p>
        </w:tc>
        <w:tc>
          <w:tcPr>
            <w:tcW w:w="1250" w:type="pct"/>
            <w:vAlign w:val="center"/>
          </w:tcPr>
          <w:p w:rsidR="003828DB" w:rsidRPr="004E2ADC" w:rsidRDefault="003828DB" w:rsidP="0082480A">
            <w:pPr>
              <w:jc w:val="center"/>
              <w:rPr>
                <w:rFonts w:ascii="Arial Narrow" w:hAnsi="Arial Narrow" w:cs="Times New Roman"/>
                <w:b/>
                <w:sz w:val="20"/>
              </w:rPr>
            </w:pPr>
            <w:r>
              <w:rPr>
                <w:rFonts w:ascii="Arial Narrow" w:hAnsi="Arial Narrow" w:cs="Times New Roman"/>
                <w:b/>
                <w:sz w:val="20"/>
              </w:rPr>
              <w:t>BSC</w:t>
            </w:r>
          </w:p>
        </w:tc>
        <w:tc>
          <w:tcPr>
            <w:tcW w:w="1250" w:type="pct"/>
            <w:vAlign w:val="center"/>
          </w:tcPr>
          <w:p w:rsidR="003828DB" w:rsidRPr="004E2ADC" w:rsidRDefault="003828DB" w:rsidP="0082480A">
            <w:pPr>
              <w:jc w:val="center"/>
              <w:rPr>
                <w:rFonts w:ascii="Arial Narrow" w:hAnsi="Arial Narrow" w:cs="Times New Roman"/>
                <w:b/>
                <w:sz w:val="20"/>
              </w:rPr>
            </w:pPr>
            <w:r w:rsidRPr="004E2ADC">
              <w:rPr>
                <w:rFonts w:ascii="Arial Narrow" w:hAnsi="Arial Narrow" w:cs="Times New Roman"/>
                <w:b/>
                <w:sz w:val="20"/>
              </w:rPr>
              <w:t>Increment</w:t>
            </w:r>
          </w:p>
        </w:tc>
      </w:tr>
      <w:tr w:rsidR="003828DB" w:rsidRPr="004E2ADC" w:rsidTr="003828DB">
        <w:tc>
          <w:tcPr>
            <w:tcW w:w="5000" w:type="pct"/>
            <w:gridSpan w:val="4"/>
            <w:vAlign w:val="center"/>
          </w:tcPr>
          <w:p w:rsidR="003828DB" w:rsidRPr="004E2ADC" w:rsidRDefault="003828DB" w:rsidP="0082480A">
            <w:pPr>
              <w:jc w:val="left"/>
              <w:rPr>
                <w:rFonts w:ascii="Arial Narrow" w:hAnsi="Arial Narrow" w:cs="Arial Narrow"/>
                <w:b/>
                <w:bCs/>
                <w:sz w:val="20"/>
              </w:rPr>
            </w:pPr>
            <w:r>
              <w:rPr>
                <w:rFonts w:ascii="Arial Narrow" w:hAnsi="Arial Narrow" w:cs="Arial Narrow"/>
                <w:b/>
                <w:bCs/>
                <w:sz w:val="20"/>
              </w:rPr>
              <w:t>Step 1: trial based economic evaluation (21 months)</w:t>
            </w:r>
          </w:p>
        </w:tc>
      </w:tr>
      <w:tr w:rsidR="003828DB" w:rsidRPr="00650031" w:rsidTr="003828DB">
        <w:tc>
          <w:tcPr>
            <w:tcW w:w="1250" w:type="pct"/>
            <w:vAlign w:val="center"/>
          </w:tcPr>
          <w:p w:rsidR="003828DB" w:rsidRPr="00650031" w:rsidRDefault="003828DB" w:rsidP="0082480A">
            <w:pPr>
              <w:jc w:val="left"/>
              <w:rPr>
                <w:rFonts w:ascii="Arial Narrow" w:hAnsi="Arial Narrow" w:cs="Times New Roman"/>
                <w:sz w:val="20"/>
              </w:rPr>
            </w:pPr>
            <w:r w:rsidRPr="00650031">
              <w:rPr>
                <w:rFonts w:ascii="Arial Narrow" w:hAnsi="Arial Narrow" w:cs="Times New Roman"/>
                <w:sz w:val="20"/>
              </w:rPr>
              <w:t>Costs</w:t>
            </w:r>
          </w:p>
        </w:tc>
        <w:tc>
          <w:tcPr>
            <w:tcW w:w="1250" w:type="pct"/>
            <w:vAlign w:val="center"/>
          </w:tcPr>
          <w:p w:rsidR="003828DB" w:rsidRPr="00650031"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c>
          <w:tcPr>
            <w:tcW w:w="1250" w:type="pct"/>
            <w:vAlign w:val="center"/>
          </w:tcPr>
          <w:p w:rsidR="003828DB" w:rsidRPr="00650031" w:rsidRDefault="003828DB" w:rsidP="0082480A">
            <w:pPr>
              <w:jc w:val="center"/>
              <w:rPr>
                <w:rFonts w:ascii="Arial Narrow" w:hAnsi="Arial Narrow" w:cs="Times New Roman"/>
                <w:sz w:val="20"/>
              </w:rPr>
            </w:pPr>
            <w:r>
              <w:rPr>
                <w:rFonts w:ascii="Arial Narrow" w:hAnsi="Arial Narrow" w:cs="Times New Roman"/>
                <w:sz w:val="20"/>
              </w:rPr>
              <w:t>$695</w:t>
            </w:r>
          </w:p>
        </w:tc>
        <w:tc>
          <w:tcPr>
            <w:tcW w:w="1250" w:type="pct"/>
            <w:vAlign w:val="center"/>
          </w:tcPr>
          <w:p w:rsidR="003828DB" w:rsidRPr="00650031"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r>
      <w:tr w:rsidR="003828DB" w:rsidRPr="00650031" w:rsidTr="003828DB">
        <w:tc>
          <w:tcPr>
            <w:tcW w:w="1250" w:type="pct"/>
            <w:vAlign w:val="center"/>
          </w:tcPr>
          <w:p w:rsidR="003828DB" w:rsidRPr="00650031" w:rsidRDefault="003828DB" w:rsidP="0082480A">
            <w:pPr>
              <w:jc w:val="left"/>
              <w:rPr>
                <w:rFonts w:ascii="Arial Narrow" w:hAnsi="Arial Narrow" w:cs="Times New Roman"/>
                <w:sz w:val="20"/>
              </w:rPr>
            </w:pPr>
            <w:r w:rsidRPr="00650031">
              <w:rPr>
                <w:rFonts w:ascii="Arial Narrow" w:hAnsi="Arial Narrow" w:cs="Times New Roman"/>
                <w:sz w:val="20"/>
              </w:rPr>
              <w:t>LYG</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3828DB" w:rsidRPr="00650031" w:rsidRDefault="003828DB" w:rsidP="0082480A">
            <w:pPr>
              <w:jc w:val="center"/>
              <w:rPr>
                <w:rFonts w:ascii="Arial Narrow" w:hAnsi="Arial Narrow" w:cs="Times New Roman"/>
                <w:sz w:val="20"/>
              </w:rPr>
            </w:pPr>
            <w:r>
              <w:rPr>
                <w:rFonts w:ascii="Arial Narrow" w:hAnsi="Arial Narrow" w:cs="Times New Roman"/>
                <w:sz w:val="20"/>
              </w:rPr>
              <w:t>1.4912</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828DB" w:rsidRPr="00650031" w:rsidTr="003828DB">
        <w:tc>
          <w:tcPr>
            <w:tcW w:w="3750" w:type="pct"/>
            <w:gridSpan w:val="3"/>
            <w:vAlign w:val="center"/>
          </w:tcPr>
          <w:p w:rsidR="003828DB" w:rsidRPr="00650031" w:rsidRDefault="003828DB" w:rsidP="0082480A">
            <w:pPr>
              <w:jc w:val="left"/>
              <w:rPr>
                <w:rFonts w:ascii="Arial Narrow" w:hAnsi="Arial Narrow" w:cs="Times New Roman"/>
                <w:sz w:val="20"/>
              </w:rPr>
            </w:pPr>
            <w:r w:rsidRPr="00650031">
              <w:rPr>
                <w:rFonts w:ascii="Arial Narrow" w:hAnsi="Arial Narrow" w:cs="Times New Roman"/>
                <w:b/>
                <w:snapToGrid/>
                <w:sz w:val="20"/>
              </w:rPr>
              <w:t>Incremental cost/LYG</w:t>
            </w:r>
          </w:p>
        </w:tc>
        <w:tc>
          <w:tcPr>
            <w:tcW w:w="1250" w:type="pct"/>
            <w:vAlign w:val="center"/>
          </w:tcPr>
          <w:p w:rsidR="003828DB" w:rsidRPr="00650031"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r>
      <w:tr w:rsidR="003828DB" w:rsidRPr="004E2ADC" w:rsidTr="003828DB">
        <w:tc>
          <w:tcPr>
            <w:tcW w:w="5000" w:type="pct"/>
            <w:gridSpan w:val="4"/>
            <w:vAlign w:val="center"/>
          </w:tcPr>
          <w:p w:rsidR="003828DB" w:rsidRPr="004E2ADC" w:rsidRDefault="003828DB" w:rsidP="0082480A">
            <w:pPr>
              <w:jc w:val="left"/>
              <w:rPr>
                <w:rFonts w:ascii="Arial Narrow" w:hAnsi="Arial Narrow" w:cs="Arial Narrow"/>
                <w:b/>
                <w:bCs/>
                <w:sz w:val="20"/>
              </w:rPr>
            </w:pPr>
            <w:r>
              <w:rPr>
                <w:rFonts w:ascii="Arial Narrow" w:hAnsi="Arial Narrow" w:cs="Arial Narrow"/>
                <w:b/>
                <w:bCs/>
                <w:sz w:val="20"/>
              </w:rPr>
              <w:t>Step 2: modelled economic evaluation including healthcare resource utilisation (21 months)</w:t>
            </w:r>
          </w:p>
        </w:tc>
      </w:tr>
      <w:tr w:rsidR="003828DB" w:rsidRPr="004E2ADC" w:rsidTr="003828DB">
        <w:tc>
          <w:tcPr>
            <w:tcW w:w="1250" w:type="pct"/>
            <w:vAlign w:val="center"/>
          </w:tcPr>
          <w:p w:rsidR="003828DB" w:rsidRPr="004E2ADC" w:rsidRDefault="003828DB" w:rsidP="0082480A">
            <w:pPr>
              <w:jc w:val="left"/>
              <w:rPr>
                <w:rFonts w:ascii="Arial Narrow" w:hAnsi="Arial Narrow" w:cs="Times New Roman"/>
                <w:sz w:val="20"/>
              </w:rPr>
            </w:pPr>
            <w:r w:rsidRPr="004E2ADC">
              <w:rPr>
                <w:rFonts w:ascii="Arial Narrow" w:hAnsi="Arial Narrow" w:cs="Times New Roman"/>
                <w:sz w:val="20"/>
              </w:rPr>
              <w:t>Costs</w:t>
            </w:r>
          </w:p>
        </w:tc>
        <w:tc>
          <w:tcPr>
            <w:tcW w:w="1250" w:type="pct"/>
            <w:vAlign w:val="center"/>
          </w:tcPr>
          <w:p w:rsidR="003828DB" w:rsidRPr="000E61DE"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$4955</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r>
      <w:tr w:rsidR="003828DB" w:rsidRPr="004E2ADC" w:rsidTr="003828DB">
        <w:tc>
          <w:tcPr>
            <w:tcW w:w="1250" w:type="pct"/>
            <w:vAlign w:val="center"/>
          </w:tcPr>
          <w:p w:rsidR="003828DB" w:rsidRPr="004E2ADC" w:rsidRDefault="003828DB" w:rsidP="0082480A">
            <w:pPr>
              <w:jc w:val="left"/>
              <w:rPr>
                <w:rFonts w:ascii="Arial Narrow" w:hAnsi="Arial Narrow" w:cs="Times New Roman"/>
                <w:sz w:val="20"/>
              </w:rPr>
            </w:pPr>
            <w:r>
              <w:rPr>
                <w:rFonts w:ascii="Arial Narrow" w:hAnsi="Arial Narrow" w:cs="Times New Roman"/>
                <w:sz w:val="20"/>
              </w:rPr>
              <w:t>LYG</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1.4912</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828DB" w:rsidRPr="004E2ADC" w:rsidTr="003828DB">
        <w:trPr>
          <w:trHeight w:val="70"/>
        </w:trPr>
        <w:tc>
          <w:tcPr>
            <w:tcW w:w="3750" w:type="pct"/>
            <w:gridSpan w:val="3"/>
            <w:vAlign w:val="center"/>
          </w:tcPr>
          <w:p w:rsidR="003828DB" w:rsidRPr="004E2ADC" w:rsidRDefault="003828DB" w:rsidP="0082480A">
            <w:pPr>
              <w:jc w:val="left"/>
              <w:rPr>
                <w:rFonts w:ascii="Arial Narrow" w:hAnsi="Arial Narrow" w:cs="Times New Roman"/>
                <w:sz w:val="20"/>
              </w:rPr>
            </w:pPr>
            <w:r w:rsidRPr="004E2ADC">
              <w:rPr>
                <w:rFonts w:ascii="Arial Narrow" w:hAnsi="Arial Narrow" w:cs="Times New Roman"/>
                <w:b/>
                <w:snapToGrid/>
                <w:sz w:val="20"/>
              </w:rPr>
              <w:t xml:space="preserve">Incremental </w:t>
            </w:r>
            <w:r>
              <w:rPr>
                <w:rFonts w:ascii="Arial Narrow" w:hAnsi="Arial Narrow" w:cs="Times New Roman"/>
                <w:b/>
                <w:snapToGrid/>
                <w:sz w:val="20"/>
              </w:rPr>
              <w:t>cost/LYG</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r>
      <w:tr w:rsidR="003828DB" w:rsidRPr="004E2ADC" w:rsidTr="003828DB">
        <w:tc>
          <w:tcPr>
            <w:tcW w:w="5000" w:type="pct"/>
            <w:gridSpan w:val="4"/>
            <w:vAlign w:val="center"/>
          </w:tcPr>
          <w:p w:rsidR="003828DB" w:rsidRPr="004E2ADC" w:rsidRDefault="003828DB" w:rsidP="0082480A">
            <w:pPr>
              <w:jc w:val="left"/>
              <w:rPr>
                <w:rFonts w:ascii="Arial Narrow" w:hAnsi="Arial Narrow" w:cs="Arial Narrow"/>
                <w:b/>
                <w:bCs/>
                <w:sz w:val="20"/>
              </w:rPr>
            </w:pPr>
            <w:r>
              <w:rPr>
                <w:rFonts w:ascii="Arial Narrow" w:hAnsi="Arial Narrow" w:cs="Arial Narrow"/>
                <w:b/>
                <w:bCs/>
                <w:sz w:val="20"/>
              </w:rPr>
              <w:t>Step 3: modelled economic evaluation including extrapolation (10 years)</w:t>
            </w:r>
          </w:p>
        </w:tc>
      </w:tr>
      <w:tr w:rsidR="003828DB" w:rsidRPr="004E2ADC" w:rsidTr="003828DB">
        <w:tc>
          <w:tcPr>
            <w:tcW w:w="1250" w:type="pct"/>
            <w:vAlign w:val="center"/>
          </w:tcPr>
          <w:p w:rsidR="003828DB" w:rsidRPr="004E2ADC" w:rsidRDefault="003828DB" w:rsidP="0082480A">
            <w:pPr>
              <w:jc w:val="left"/>
              <w:rPr>
                <w:rFonts w:ascii="Arial Narrow" w:hAnsi="Arial Narrow" w:cs="Times New Roman"/>
                <w:sz w:val="20"/>
              </w:rPr>
            </w:pPr>
            <w:r w:rsidRPr="004E2ADC">
              <w:rPr>
                <w:rFonts w:ascii="Arial Narrow" w:hAnsi="Arial Narrow" w:cs="Times New Roman"/>
                <w:sz w:val="20"/>
              </w:rPr>
              <w:t>Costs</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$9,72</w:t>
            </w:r>
            <w:r w:rsidR="00B7145C">
              <w:rPr>
                <w:rFonts w:ascii="Arial Narrow" w:hAnsi="Arial Narrow" w:cs="Times New Roman"/>
                <w:sz w:val="20"/>
              </w:rPr>
              <w:t>4</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r>
      <w:tr w:rsidR="003828DB" w:rsidRPr="004E2ADC" w:rsidTr="003828DB">
        <w:tc>
          <w:tcPr>
            <w:tcW w:w="1250" w:type="pct"/>
            <w:vAlign w:val="center"/>
          </w:tcPr>
          <w:p w:rsidR="003828DB" w:rsidRPr="004E2ADC" w:rsidRDefault="003828DB" w:rsidP="0082480A">
            <w:pPr>
              <w:jc w:val="left"/>
              <w:rPr>
                <w:rFonts w:ascii="Arial Narrow" w:hAnsi="Arial Narrow" w:cs="Times New Roman"/>
                <w:sz w:val="20"/>
              </w:rPr>
            </w:pPr>
            <w:r>
              <w:rPr>
                <w:rFonts w:ascii="Arial Narrow" w:hAnsi="Arial Narrow" w:cs="Times New Roman"/>
                <w:sz w:val="20"/>
              </w:rPr>
              <w:t>LYG</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2.7798</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828DB" w:rsidRPr="004E2ADC" w:rsidTr="003828DB">
        <w:tc>
          <w:tcPr>
            <w:tcW w:w="3750" w:type="pct"/>
            <w:gridSpan w:val="3"/>
            <w:vAlign w:val="center"/>
          </w:tcPr>
          <w:p w:rsidR="003828DB" w:rsidRPr="004E2ADC" w:rsidRDefault="003828DB" w:rsidP="0082480A">
            <w:pPr>
              <w:jc w:val="left"/>
              <w:rPr>
                <w:rFonts w:ascii="Arial Narrow" w:hAnsi="Arial Narrow" w:cs="Times New Roman"/>
                <w:b/>
                <w:sz w:val="20"/>
              </w:rPr>
            </w:pPr>
            <w:r w:rsidRPr="004E2ADC">
              <w:rPr>
                <w:rFonts w:ascii="Arial Narrow" w:hAnsi="Arial Narrow" w:cs="Times New Roman"/>
                <w:b/>
                <w:sz w:val="20"/>
              </w:rPr>
              <w:t>Incremental cost/</w:t>
            </w:r>
            <w:r>
              <w:rPr>
                <w:rFonts w:ascii="Arial Narrow" w:hAnsi="Arial Narrow" w:cs="Times New Roman"/>
                <w:b/>
                <w:sz w:val="20"/>
              </w:rPr>
              <w:t>LYG</w:t>
            </w:r>
          </w:p>
        </w:tc>
        <w:tc>
          <w:tcPr>
            <w:tcW w:w="1250" w:type="pct"/>
            <w:vAlign w:val="center"/>
          </w:tcPr>
          <w:p w:rsidR="003828DB" w:rsidRPr="004426F3"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r>
      <w:tr w:rsidR="003828DB" w:rsidRPr="004E2ADC" w:rsidTr="003828DB">
        <w:tc>
          <w:tcPr>
            <w:tcW w:w="5000" w:type="pct"/>
            <w:gridSpan w:val="4"/>
            <w:vAlign w:val="center"/>
          </w:tcPr>
          <w:p w:rsidR="003828DB" w:rsidRPr="004E2ADC" w:rsidRDefault="003828DB" w:rsidP="0082480A">
            <w:pPr>
              <w:jc w:val="left"/>
              <w:rPr>
                <w:rFonts w:ascii="Arial Narrow" w:hAnsi="Arial Narrow" w:cs="Arial Narrow"/>
                <w:b/>
                <w:bCs/>
                <w:sz w:val="20"/>
              </w:rPr>
            </w:pPr>
            <w:r>
              <w:rPr>
                <w:rFonts w:ascii="Arial Narrow" w:hAnsi="Arial Narrow" w:cs="Arial Narrow"/>
                <w:b/>
                <w:bCs/>
                <w:sz w:val="20"/>
              </w:rPr>
              <w:t>Step 4: modelled economic evaluation including utilities (10 years)</w:t>
            </w:r>
          </w:p>
        </w:tc>
      </w:tr>
      <w:tr w:rsidR="003828DB" w:rsidRPr="004E2ADC" w:rsidTr="003828DB">
        <w:tc>
          <w:tcPr>
            <w:tcW w:w="1250" w:type="pct"/>
            <w:vAlign w:val="center"/>
          </w:tcPr>
          <w:p w:rsidR="003828DB" w:rsidRPr="004E2ADC" w:rsidRDefault="003828DB" w:rsidP="0082480A">
            <w:pPr>
              <w:jc w:val="left"/>
              <w:rPr>
                <w:rFonts w:ascii="Arial Narrow" w:hAnsi="Arial Narrow" w:cs="Times New Roman"/>
                <w:sz w:val="20"/>
              </w:rPr>
            </w:pPr>
            <w:r w:rsidRPr="004E2ADC">
              <w:rPr>
                <w:rFonts w:ascii="Arial Narrow" w:hAnsi="Arial Narrow" w:cs="Times New Roman"/>
                <w:sz w:val="20"/>
              </w:rPr>
              <w:t>Costs</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$9,72</w:t>
            </w:r>
            <w:r w:rsidR="00B7145C">
              <w:rPr>
                <w:rFonts w:ascii="Arial Narrow" w:hAnsi="Arial Narrow" w:cs="Times New Roman"/>
                <w:sz w:val="20"/>
              </w:rPr>
              <w:t>4</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r>
      <w:tr w:rsidR="003828DB" w:rsidRPr="004E2ADC" w:rsidTr="003828DB">
        <w:tc>
          <w:tcPr>
            <w:tcW w:w="1250" w:type="pct"/>
            <w:vAlign w:val="center"/>
          </w:tcPr>
          <w:p w:rsidR="003828DB" w:rsidRPr="004E2ADC" w:rsidRDefault="003828DB" w:rsidP="0082480A">
            <w:pPr>
              <w:jc w:val="left"/>
              <w:rPr>
                <w:rFonts w:ascii="Arial Narrow" w:hAnsi="Arial Narrow" w:cs="Times New Roman"/>
                <w:sz w:val="20"/>
              </w:rPr>
            </w:pPr>
            <w:r>
              <w:rPr>
                <w:rFonts w:ascii="Arial Narrow" w:hAnsi="Arial Narrow" w:cs="Times New Roman"/>
                <w:sz w:val="20"/>
              </w:rPr>
              <w:t>QALY</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2.1432</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828DB" w:rsidRPr="004E2ADC" w:rsidTr="003828DB">
        <w:trPr>
          <w:trHeight w:val="70"/>
        </w:trPr>
        <w:tc>
          <w:tcPr>
            <w:tcW w:w="3750" w:type="pct"/>
            <w:gridSpan w:val="3"/>
            <w:vAlign w:val="center"/>
          </w:tcPr>
          <w:p w:rsidR="003828DB" w:rsidRPr="004E2ADC" w:rsidRDefault="003828DB" w:rsidP="0082480A">
            <w:pPr>
              <w:jc w:val="left"/>
              <w:rPr>
                <w:rFonts w:ascii="Arial Narrow" w:hAnsi="Arial Narrow" w:cs="Times New Roman"/>
                <w:b/>
                <w:sz w:val="20"/>
              </w:rPr>
            </w:pPr>
            <w:r w:rsidRPr="004E2ADC">
              <w:rPr>
                <w:rFonts w:ascii="Arial Narrow" w:hAnsi="Arial Narrow" w:cs="Times New Roman"/>
                <w:b/>
                <w:sz w:val="20"/>
              </w:rPr>
              <w:t>Incremental cost/</w:t>
            </w:r>
            <w:r>
              <w:rPr>
                <w:rFonts w:ascii="Arial Narrow" w:hAnsi="Arial Narrow" w:cs="Times New Roman"/>
                <w:b/>
                <w:sz w:val="20"/>
              </w:rPr>
              <w:t>QALY</w:t>
            </w:r>
          </w:p>
        </w:tc>
        <w:tc>
          <w:tcPr>
            <w:tcW w:w="1250" w:type="pct"/>
            <w:vAlign w:val="center"/>
          </w:tcPr>
          <w:p w:rsidR="003828DB" w:rsidRPr="00DA1BF4" w:rsidRDefault="00C92D05"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r>
      <w:tr w:rsidR="003828DB" w:rsidRPr="004E2ADC" w:rsidTr="003828DB">
        <w:tc>
          <w:tcPr>
            <w:tcW w:w="5000" w:type="pct"/>
            <w:gridSpan w:val="4"/>
            <w:vAlign w:val="center"/>
          </w:tcPr>
          <w:p w:rsidR="003828DB" w:rsidRPr="004E2ADC" w:rsidRDefault="003828DB" w:rsidP="0082480A">
            <w:pPr>
              <w:jc w:val="left"/>
              <w:rPr>
                <w:rFonts w:ascii="Arial Narrow" w:hAnsi="Arial Narrow" w:cs="Arial Narrow"/>
                <w:b/>
                <w:bCs/>
                <w:sz w:val="20"/>
              </w:rPr>
            </w:pPr>
            <w:r>
              <w:rPr>
                <w:rFonts w:ascii="Arial Narrow" w:hAnsi="Arial Narrow" w:cs="Arial Narrow"/>
                <w:b/>
                <w:bCs/>
                <w:sz w:val="20"/>
              </w:rPr>
              <w:t>Step 5: modelled economic evaluation including proposed RSA (10 years)</w:t>
            </w:r>
          </w:p>
        </w:tc>
      </w:tr>
      <w:tr w:rsidR="003828DB" w:rsidRPr="004E2ADC" w:rsidTr="003828DB">
        <w:tc>
          <w:tcPr>
            <w:tcW w:w="1250" w:type="pct"/>
            <w:vAlign w:val="center"/>
          </w:tcPr>
          <w:p w:rsidR="003828DB" w:rsidRPr="004E2ADC" w:rsidRDefault="003828DB" w:rsidP="0082480A">
            <w:pPr>
              <w:jc w:val="left"/>
              <w:rPr>
                <w:rFonts w:ascii="Arial Narrow" w:hAnsi="Arial Narrow" w:cs="Times New Roman"/>
                <w:sz w:val="20"/>
              </w:rPr>
            </w:pPr>
            <w:r w:rsidRPr="004E2ADC">
              <w:rPr>
                <w:rFonts w:ascii="Arial Narrow" w:hAnsi="Arial Narrow" w:cs="Times New Roman"/>
                <w:sz w:val="20"/>
              </w:rPr>
              <w:t>Costs</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$9,72</w:t>
            </w:r>
            <w:r w:rsidR="00C92D05">
              <w:rPr>
                <w:rFonts w:ascii="Arial Narrow" w:hAnsi="Arial Narrow" w:cs="Times New Roman"/>
                <w:sz w:val="20"/>
              </w:rPr>
              <w:t>4</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w:t>
            </w:r>
            <w:r w:rsidR="00F146E1">
              <w:rPr>
                <w:rFonts w:ascii="Arial Narrow" w:hAnsi="Arial Narrow" w:cs="Times New Roman"/>
                <w:noProof/>
                <w:color w:val="000000"/>
                <w:sz w:val="20"/>
                <w:highlight w:val="black"/>
              </w:rPr>
              <w:t>'''''''''''''''''</w:t>
            </w:r>
          </w:p>
        </w:tc>
      </w:tr>
      <w:tr w:rsidR="003828DB" w:rsidRPr="004E2ADC" w:rsidTr="003828DB">
        <w:tc>
          <w:tcPr>
            <w:tcW w:w="1250" w:type="pct"/>
            <w:vAlign w:val="center"/>
          </w:tcPr>
          <w:p w:rsidR="003828DB" w:rsidRPr="004E2ADC" w:rsidRDefault="003828DB" w:rsidP="0082480A">
            <w:pPr>
              <w:jc w:val="left"/>
              <w:rPr>
                <w:rFonts w:ascii="Arial Narrow" w:hAnsi="Arial Narrow" w:cs="Times New Roman"/>
                <w:sz w:val="20"/>
              </w:rPr>
            </w:pPr>
            <w:r>
              <w:rPr>
                <w:rFonts w:ascii="Arial Narrow" w:hAnsi="Arial Narrow" w:cs="Times New Roman"/>
                <w:sz w:val="20"/>
              </w:rPr>
              <w:t>QALY</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3828DB" w:rsidRPr="004E2ADC" w:rsidRDefault="003828DB" w:rsidP="0082480A">
            <w:pPr>
              <w:jc w:val="center"/>
              <w:rPr>
                <w:rFonts w:ascii="Arial Narrow" w:hAnsi="Arial Narrow" w:cs="Times New Roman"/>
                <w:sz w:val="20"/>
              </w:rPr>
            </w:pPr>
            <w:r>
              <w:rPr>
                <w:rFonts w:ascii="Arial Narrow" w:hAnsi="Arial Narrow" w:cs="Times New Roman"/>
                <w:sz w:val="20"/>
              </w:rPr>
              <w:t>2.1432</w:t>
            </w:r>
          </w:p>
        </w:tc>
        <w:tc>
          <w:tcPr>
            <w:tcW w:w="1250" w:type="pct"/>
            <w:vAlign w:val="center"/>
          </w:tcPr>
          <w:p w:rsidR="003828DB" w:rsidRPr="00F146E1" w:rsidRDefault="00F146E1" w:rsidP="0082480A">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828DB" w:rsidRPr="004E2ADC" w:rsidTr="003828DB">
        <w:trPr>
          <w:trHeight w:val="70"/>
        </w:trPr>
        <w:tc>
          <w:tcPr>
            <w:tcW w:w="3750" w:type="pct"/>
            <w:gridSpan w:val="3"/>
            <w:vAlign w:val="center"/>
          </w:tcPr>
          <w:p w:rsidR="003828DB" w:rsidRPr="004E2ADC" w:rsidRDefault="003828DB" w:rsidP="0082480A">
            <w:pPr>
              <w:jc w:val="left"/>
              <w:rPr>
                <w:rFonts w:ascii="Arial Narrow" w:hAnsi="Arial Narrow" w:cs="Times New Roman"/>
                <w:b/>
                <w:sz w:val="20"/>
              </w:rPr>
            </w:pPr>
            <w:r w:rsidRPr="004E2ADC">
              <w:rPr>
                <w:rFonts w:ascii="Arial Narrow" w:hAnsi="Arial Narrow" w:cs="Times New Roman"/>
                <w:b/>
                <w:sz w:val="20"/>
              </w:rPr>
              <w:t>Incremental cost/</w:t>
            </w:r>
            <w:r>
              <w:rPr>
                <w:rFonts w:ascii="Arial Narrow" w:hAnsi="Arial Narrow" w:cs="Times New Roman"/>
                <w:b/>
                <w:sz w:val="20"/>
              </w:rPr>
              <w:t>QALY</w:t>
            </w:r>
          </w:p>
        </w:tc>
        <w:tc>
          <w:tcPr>
            <w:tcW w:w="1250" w:type="pct"/>
            <w:vAlign w:val="center"/>
          </w:tcPr>
          <w:p w:rsidR="003828DB" w:rsidRPr="004E2ADC" w:rsidRDefault="003828DB" w:rsidP="0082480A">
            <w:pPr>
              <w:jc w:val="center"/>
              <w:rPr>
                <w:rFonts w:ascii="Arial Narrow" w:hAnsi="Arial Narrow" w:cs="Times New Roman"/>
                <w:b/>
                <w:sz w:val="20"/>
              </w:rPr>
            </w:pPr>
            <w:r>
              <w:rPr>
                <w:rFonts w:ascii="Arial Narrow" w:hAnsi="Arial Narrow" w:cs="Times New Roman"/>
                <w:b/>
                <w:sz w:val="20"/>
              </w:rPr>
              <w:t>$</w:t>
            </w:r>
            <w:r w:rsidR="00F146E1">
              <w:rPr>
                <w:rFonts w:ascii="Arial Narrow" w:hAnsi="Arial Narrow" w:cs="Times New Roman"/>
                <w:b/>
                <w:noProof/>
                <w:color w:val="000000"/>
                <w:sz w:val="20"/>
                <w:highlight w:val="black"/>
              </w:rPr>
              <w:t>'''''''''''''</w:t>
            </w:r>
          </w:p>
        </w:tc>
      </w:tr>
    </w:tbl>
    <w:p w:rsidR="003828DB" w:rsidRPr="00D13A3E" w:rsidRDefault="003828DB" w:rsidP="003828DB">
      <w:pPr>
        <w:pStyle w:val="TableFooter"/>
        <w:keepNext/>
        <w:ind w:left="720"/>
      </w:pPr>
      <w:r>
        <w:t xml:space="preserve">Abbreviations: BSC = best supportive care.  </w:t>
      </w:r>
      <w:r w:rsidRPr="00D13A3E">
        <w:t xml:space="preserve">Source: </w:t>
      </w:r>
      <w:r>
        <w:t>Table D.5-1</w:t>
      </w:r>
      <w:r w:rsidR="00F321A7">
        <w:t xml:space="preserve"> to </w:t>
      </w:r>
      <w:r>
        <w:t>D.5-6, pp252-255 of the re-submission</w:t>
      </w:r>
    </w:p>
    <w:p w:rsidR="003828DB" w:rsidRPr="00D13A3E" w:rsidRDefault="003828DB" w:rsidP="003828DB"/>
    <w:p w:rsidR="00D110BD" w:rsidRPr="0060206A" w:rsidRDefault="003828DB" w:rsidP="00B878B5">
      <w:pPr>
        <w:pStyle w:val="ListParagraph"/>
        <w:widowControl/>
        <w:numPr>
          <w:ilvl w:val="1"/>
          <w:numId w:val="2"/>
        </w:numPr>
        <w:rPr>
          <w:szCs w:val="22"/>
        </w:rPr>
      </w:pPr>
      <w:r w:rsidRPr="003828DB">
        <w:t>The estimated base case ICER (</w:t>
      </w:r>
      <w:r w:rsidR="00B878B5" w:rsidRPr="00B878B5">
        <w:t>$75,000</w:t>
      </w:r>
      <w:r w:rsidR="006B7D98">
        <w:t xml:space="preserve">/QALY </w:t>
      </w:r>
      <w:r w:rsidR="00B878B5" w:rsidRPr="00B878B5">
        <w:t xml:space="preserve">- $105,000 </w:t>
      </w:r>
      <w:r w:rsidR="005F42AC">
        <w:t>/QALY</w:t>
      </w:r>
      <w:r w:rsidRPr="003828DB">
        <w:t xml:space="preserve">) has </w:t>
      </w:r>
      <w:r w:rsidR="00F959D5">
        <w:t>decreased</w:t>
      </w:r>
      <w:r w:rsidR="00F959D5" w:rsidRPr="003828DB">
        <w:t xml:space="preserve"> </w:t>
      </w:r>
      <w:r w:rsidRPr="003828DB">
        <w:t xml:space="preserve">in comparison to the March 2015 submission </w:t>
      </w:r>
      <w:r w:rsidR="00230B12">
        <w:t>(</w:t>
      </w:r>
      <w:r w:rsidR="00B878B5" w:rsidRPr="009E2B53">
        <w:rPr>
          <w:rFonts w:cs="Times New Roman"/>
          <w:szCs w:val="24"/>
        </w:rPr>
        <w:t>$105,000/QALY – $200,000</w:t>
      </w:r>
      <w:r w:rsidR="005F42AC">
        <w:t>/QALY</w:t>
      </w:r>
      <w:r w:rsidR="00B878B5">
        <w:t xml:space="preserve"> </w:t>
      </w:r>
      <w:r w:rsidRPr="003828DB">
        <w:t xml:space="preserve">).  </w:t>
      </w:r>
      <w:r w:rsidRPr="0060206A">
        <w:t>This change in the ICER is driven by the</w:t>
      </w:r>
      <w:r w:rsidRPr="003828DB">
        <w:rPr>
          <w:i/>
        </w:rPr>
        <w:t xml:space="preserve"> </w:t>
      </w:r>
      <w:r w:rsidRPr="0060206A">
        <w:t>reduction in incremental costs due to the weighted effective price for nintedanib (inclusive of the RSA), which dominates the reduction in incremental QALYs.  The following key observations were noted from the univariate sensitivity analyses</w:t>
      </w:r>
      <w:r w:rsidR="00CC6AF8" w:rsidRPr="0060206A">
        <w:t>:</w:t>
      </w:r>
    </w:p>
    <w:p w:rsidR="00CC6AF8" w:rsidRPr="0060206A" w:rsidRDefault="00CC6AF8" w:rsidP="006B7D98">
      <w:pPr>
        <w:pStyle w:val="ListParagraph"/>
        <w:widowControl/>
        <w:numPr>
          <w:ilvl w:val="0"/>
          <w:numId w:val="9"/>
        </w:numPr>
        <w:ind w:left="709" w:hanging="142"/>
        <w:rPr>
          <w:szCs w:val="22"/>
        </w:rPr>
      </w:pPr>
      <w:r w:rsidRPr="0060206A">
        <w:rPr>
          <w:szCs w:val="22"/>
          <w:u w:val="single"/>
        </w:rPr>
        <w:t>Alternative estimates of long term survival:</w:t>
      </w:r>
      <w:r w:rsidRPr="0060206A">
        <w:rPr>
          <w:szCs w:val="22"/>
        </w:rPr>
        <w:t xml:space="preserve"> utilisation of the entire Weibull function (optimistic approach) resulted in LYGs of </w:t>
      </w:r>
      <w:r w:rsidR="00F146E1">
        <w:rPr>
          <w:noProof/>
          <w:color w:val="000000"/>
          <w:szCs w:val="22"/>
          <w:highlight w:val="black"/>
        </w:rPr>
        <w:t>''''''''''''''''</w:t>
      </w:r>
      <w:r w:rsidRPr="0060206A">
        <w:rPr>
          <w:szCs w:val="22"/>
        </w:rPr>
        <w:t xml:space="preserve">, with the application of Kaplan Meier estimates (base case) and the adjustment of the nintedanib survival according to a linear decline in the treatment co-efficient or the gradient of the BSC (conservative approach), reducing LYGs to </w:t>
      </w:r>
      <w:r w:rsidR="00F146E1">
        <w:rPr>
          <w:noProof/>
          <w:color w:val="000000"/>
          <w:szCs w:val="22"/>
          <w:highlight w:val="black"/>
        </w:rPr>
        <w:t>''''''''''''''''</w:t>
      </w:r>
      <w:r w:rsidRPr="0060206A">
        <w:rPr>
          <w:szCs w:val="22"/>
        </w:rPr>
        <w:t xml:space="preserve">, </w:t>
      </w:r>
      <w:r w:rsidR="00F146E1">
        <w:rPr>
          <w:noProof/>
          <w:color w:val="000000"/>
          <w:szCs w:val="22"/>
          <w:highlight w:val="black"/>
        </w:rPr>
        <w:t>''''''''''''''''</w:t>
      </w:r>
      <w:r w:rsidRPr="0060206A">
        <w:rPr>
          <w:szCs w:val="22"/>
        </w:rPr>
        <w:t xml:space="preserve"> and </w:t>
      </w:r>
      <w:r w:rsidR="00F146E1">
        <w:rPr>
          <w:noProof/>
          <w:color w:val="000000"/>
          <w:szCs w:val="22"/>
          <w:highlight w:val="black"/>
        </w:rPr>
        <w:t>'''''''''''''''</w:t>
      </w:r>
      <w:r w:rsidRPr="0060206A">
        <w:rPr>
          <w:szCs w:val="22"/>
        </w:rPr>
        <w:t>, respectively.  Corresponding ICERs ranged from a 13% reduction (Weibull function</w:t>
      </w:r>
      <w:r w:rsidR="00C77355" w:rsidRPr="0060206A">
        <w:rPr>
          <w:szCs w:val="22"/>
        </w:rPr>
        <w:t xml:space="preserve">; </w:t>
      </w:r>
      <w:r w:rsidR="00B878B5" w:rsidRPr="00B878B5">
        <w:rPr>
          <w:szCs w:val="22"/>
        </w:rPr>
        <w:t>$75,000</w:t>
      </w:r>
      <w:r w:rsidR="006B7D98">
        <w:rPr>
          <w:szCs w:val="22"/>
        </w:rPr>
        <w:t xml:space="preserve">/QALY </w:t>
      </w:r>
      <w:r w:rsidR="00B878B5" w:rsidRPr="00B878B5">
        <w:rPr>
          <w:szCs w:val="22"/>
        </w:rPr>
        <w:t>- $105,000</w:t>
      </w:r>
      <w:r w:rsidR="00C77355" w:rsidRPr="0060206A">
        <w:rPr>
          <w:szCs w:val="22"/>
        </w:rPr>
        <w:t>/QALY</w:t>
      </w:r>
      <w:r w:rsidRPr="0060206A">
        <w:rPr>
          <w:szCs w:val="22"/>
        </w:rPr>
        <w:t>) to an approximate doubling (Kaplan Meier plus gradient of the BSC</w:t>
      </w:r>
      <w:r w:rsidR="00C77355" w:rsidRPr="0060206A">
        <w:rPr>
          <w:szCs w:val="22"/>
        </w:rPr>
        <w:t xml:space="preserve">; </w:t>
      </w:r>
      <w:r w:rsidR="00B878B5" w:rsidRPr="00B878B5">
        <w:rPr>
          <w:szCs w:val="22"/>
        </w:rPr>
        <w:t>$105,000</w:t>
      </w:r>
      <w:r w:rsidR="006B7D98">
        <w:rPr>
          <w:szCs w:val="22"/>
        </w:rPr>
        <w:t>/QALY</w:t>
      </w:r>
      <w:r w:rsidR="00B878B5" w:rsidRPr="00B878B5">
        <w:rPr>
          <w:szCs w:val="22"/>
        </w:rPr>
        <w:t xml:space="preserve"> – $200,000</w:t>
      </w:r>
      <w:r w:rsidR="00C77355" w:rsidRPr="0060206A">
        <w:rPr>
          <w:szCs w:val="22"/>
        </w:rPr>
        <w:t>/QALY</w:t>
      </w:r>
      <w:r w:rsidR="00217DD8">
        <w:rPr>
          <w:szCs w:val="22"/>
        </w:rPr>
        <w:t>) of the base case estimate.</w:t>
      </w:r>
    </w:p>
    <w:p w:rsidR="00CC6AF8" w:rsidRDefault="00CC6AF8" w:rsidP="006B7D98">
      <w:pPr>
        <w:pStyle w:val="ListParagraph"/>
        <w:widowControl/>
        <w:numPr>
          <w:ilvl w:val="0"/>
          <w:numId w:val="9"/>
        </w:numPr>
        <w:ind w:left="709" w:hanging="142"/>
        <w:rPr>
          <w:szCs w:val="22"/>
        </w:rPr>
      </w:pPr>
      <w:r w:rsidRPr="0060206A">
        <w:rPr>
          <w:szCs w:val="22"/>
          <w:u w:val="single"/>
        </w:rPr>
        <w:t>Nintedanib weighted effective price:</w:t>
      </w:r>
      <w:r w:rsidRPr="0060206A">
        <w:rPr>
          <w:szCs w:val="22"/>
        </w:rPr>
        <w:t xml:space="preserve"> adjustment of the weighted effective price assuming 100% uptake from Years 6 to 10 (</w:t>
      </w:r>
      <w:r w:rsidRPr="00A30A02">
        <w:rPr>
          <w:szCs w:val="22"/>
        </w:rPr>
        <w:t>refer to Section D.4</w:t>
      </w:r>
      <w:r w:rsidRPr="0060206A">
        <w:rPr>
          <w:szCs w:val="22"/>
        </w:rPr>
        <w:t>) and removal of the RSA resulted an increase in the ICER of 33%</w:t>
      </w:r>
      <w:r w:rsidR="00A8337A" w:rsidRPr="0060206A">
        <w:rPr>
          <w:szCs w:val="22"/>
        </w:rPr>
        <w:t xml:space="preserve"> </w:t>
      </w:r>
      <w:r w:rsidR="00230B12">
        <w:rPr>
          <w:szCs w:val="22"/>
        </w:rPr>
        <w:t>(</w:t>
      </w:r>
      <w:r w:rsidR="00B878B5" w:rsidRPr="00B878B5">
        <w:rPr>
          <w:szCs w:val="22"/>
        </w:rPr>
        <w:t>$105,000</w:t>
      </w:r>
      <w:r w:rsidR="006B7D98">
        <w:rPr>
          <w:szCs w:val="22"/>
        </w:rPr>
        <w:t>/QALY</w:t>
      </w:r>
      <w:r w:rsidR="00B878B5" w:rsidRPr="00B878B5">
        <w:rPr>
          <w:szCs w:val="22"/>
        </w:rPr>
        <w:t xml:space="preserve"> – $200,000</w:t>
      </w:r>
      <w:r w:rsidR="00C77355" w:rsidRPr="0060206A">
        <w:rPr>
          <w:szCs w:val="22"/>
        </w:rPr>
        <w:t>/QALY</w:t>
      </w:r>
      <w:r w:rsidR="00A8337A" w:rsidRPr="0060206A">
        <w:rPr>
          <w:szCs w:val="22"/>
        </w:rPr>
        <w:t>)</w:t>
      </w:r>
      <w:r w:rsidRPr="0060206A">
        <w:rPr>
          <w:szCs w:val="22"/>
        </w:rPr>
        <w:t xml:space="preserve"> and 58%</w:t>
      </w:r>
      <w:r w:rsidR="00A8337A" w:rsidRPr="0060206A">
        <w:rPr>
          <w:szCs w:val="22"/>
        </w:rPr>
        <w:t xml:space="preserve"> </w:t>
      </w:r>
      <w:r w:rsidR="00230B12">
        <w:rPr>
          <w:szCs w:val="22"/>
        </w:rPr>
        <w:t>(</w:t>
      </w:r>
      <w:r w:rsidR="00B878B5" w:rsidRPr="00B878B5">
        <w:rPr>
          <w:szCs w:val="22"/>
        </w:rPr>
        <w:t>$105,000</w:t>
      </w:r>
      <w:r w:rsidR="006B7D98">
        <w:rPr>
          <w:szCs w:val="22"/>
        </w:rPr>
        <w:t>/QALY</w:t>
      </w:r>
      <w:r w:rsidR="00B878B5" w:rsidRPr="00B878B5">
        <w:rPr>
          <w:szCs w:val="22"/>
        </w:rPr>
        <w:t xml:space="preserve"> – $200,000</w:t>
      </w:r>
      <w:r w:rsidR="00C77355" w:rsidRPr="0060206A">
        <w:rPr>
          <w:szCs w:val="22"/>
        </w:rPr>
        <w:t>/QALY</w:t>
      </w:r>
      <w:r w:rsidR="00A8337A" w:rsidRPr="0060206A">
        <w:rPr>
          <w:szCs w:val="22"/>
        </w:rPr>
        <w:t>)</w:t>
      </w:r>
      <w:r w:rsidRPr="0060206A">
        <w:rPr>
          <w:szCs w:val="22"/>
        </w:rPr>
        <w:t>, respectively, when compa</w:t>
      </w:r>
      <w:r w:rsidR="00217DD8">
        <w:rPr>
          <w:szCs w:val="22"/>
        </w:rPr>
        <w:t>red to the base case estimate.</w:t>
      </w:r>
    </w:p>
    <w:p w:rsidR="002948B2" w:rsidRPr="00217DD8" w:rsidRDefault="002948B2" w:rsidP="002948B2">
      <w:pPr>
        <w:widowControl/>
      </w:pPr>
    </w:p>
    <w:p w:rsidR="00C25D9C" w:rsidRPr="00217DD8" w:rsidRDefault="00C25D9C" w:rsidP="008A3078">
      <w:pPr>
        <w:pStyle w:val="Heading2"/>
        <w:rPr>
          <w:szCs w:val="22"/>
        </w:rPr>
      </w:pPr>
      <w:bookmarkStart w:id="15" w:name="_Toc430009537"/>
      <w:r w:rsidRPr="00217DD8">
        <w:t>Drug cost/patient/year: $</w:t>
      </w:r>
      <w:bookmarkEnd w:id="15"/>
      <w:r w:rsidR="00F146E1">
        <w:rPr>
          <w:noProof/>
          <w:color w:val="000000"/>
          <w:highlight w:val="black"/>
        </w:rPr>
        <w:t>'''''''''''''''</w:t>
      </w:r>
    </w:p>
    <w:p w:rsidR="00C25D9C" w:rsidRPr="00C25D9C" w:rsidRDefault="00C25D9C" w:rsidP="00C25D9C">
      <w:pPr>
        <w:widowControl/>
        <w:rPr>
          <w:szCs w:val="22"/>
        </w:rPr>
      </w:pPr>
    </w:p>
    <w:p w:rsidR="00A86E8B" w:rsidRPr="00CD0C24" w:rsidRDefault="00825310" w:rsidP="00321D09">
      <w:pPr>
        <w:pStyle w:val="ListParagraph"/>
        <w:numPr>
          <w:ilvl w:val="1"/>
          <w:numId w:val="2"/>
        </w:numPr>
        <w:rPr>
          <w:szCs w:val="22"/>
        </w:rPr>
      </w:pPr>
      <w:r w:rsidRPr="00825310">
        <w:rPr>
          <w:szCs w:val="22"/>
        </w:rPr>
        <w:t>The estimated usage per patient was based on an expected compliance rate of 96.4</w:t>
      </w:r>
      <w:r w:rsidR="00CD0C24">
        <w:rPr>
          <w:szCs w:val="22"/>
        </w:rPr>
        <w:t>% (</w:t>
      </w:r>
      <w:r w:rsidRPr="00825310">
        <w:rPr>
          <w:szCs w:val="22"/>
        </w:rPr>
        <w:t>observed in Trial</w:t>
      </w:r>
      <w:r w:rsidR="00217DD8">
        <w:rPr>
          <w:szCs w:val="22"/>
        </w:rPr>
        <w:t>s</w:t>
      </w:r>
      <w:r w:rsidRPr="00825310">
        <w:rPr>
          <w:szCs w:val="22"/>
        </w:rPr>
        <w:t xml:space="preserve"> 32 and 34</w:t>
      </w:r>
      <w:r w:rsidR="00CD0C24">
        <w:rPr>
          <w:szCs w:val="22"/>
        </w:rPr>
        <w:t>), resulting</w:t>
      </w:r>
      <w:r w:rsidRPr="00825310">
        <w:rPr>
          <w:szCs w:val="22"/>
        </w:rPr>
        <w:t xml:space="preserve"> in an average of 11.73 nintedanib prescriptions</w:t>
      </w:r>
      <w:r w:rsidR="00CD0C24">
        <w:rPr>
          <w:szCs w:val="22"/>
        </w:rPr>
        <w:t>/</w:t>
      </w:r>
      <w:r w:rsidRPr="00825310">
        <w:rPr>
          <w:szCs w:val="22"/>
        </w:rPr>
        <w:t>patient</w:t>
      </w:r>
      <w:r w:rsidR="00CD0C24">
        <w:rPr>
          <w:szCs w:val="22"/>
        </w:rPr>
        <w:t>/</w:t>
      </w:r>
      <w:r w:rsidRPr="00825310">
        <w:rPr>
          <w:szCs w:val="22"/>
        </w:rPr>
        <w:t xml:space="preserve">year. </w:t>
      </w:r>
      <w:r>
        <w:rPr>
          <w:szCs w:val="22"/>
        </w:rPr>
        <w:t xml:space="preserve"> </w:t>
      </w:r>
      <w:r w:rsidR="00CD0C24">
        <w:rPr>
          <w:szCs w:val="22"/>
        </w:rPr>
        <w:t>P</w:t>
      </w:r>
      <w:r w:rsidRPr="00825310">
        <w:rPr>
          <w:szCs w:val="22"/>
        </w:rPr>
        <w:t>roportional distribution of nintedanib 150mg and 100mg (76%/24%)</w:t>
      </w:r>
      <w:r w:rsidR="00CD0C24">
        <w:rPr>
          <w:szCs w:val="22"/>
        </w:rPr>
        <w:t xml:space="preserve"> was assumed to be</w:t>
      </w:r>
      <w:r w:rsidRPr="00825310">
        <w:rPr>
          <w:szCs w:val="22"/>
        </w:rPr>
        <w:t xml:space="preserve"> consistent with usage reported in Trial</w:t>
      </w:r>
      <w:r w:rsidR="00217DD8">
        <w:rPr>
          <w:szCs w:val="22"/>
        </w:rPr>
        <w:t>s</w:t>
      </w:r>
      <w:r w:rsidRPr="00825310">
        <w:rPr>
          <w:szCs w:val="22"/>
        </w:rPr>
        <w:t xml:space="preserve"> 32 and 34.</w:t>
      </w:r>
    </w:p>
    <w:p w:rsidR="00D83125" w:rsidRDefault="00D83125">
      <w:pPr>
        <w:widowControl/>
        <w:jc w:val="left"/>
        <w:rPr>
          <w:szCs w:val="22"/>
        </w:rPr>
      </w:pPr>
    </w:p>
    <w:p w:rsidR="00B60939" w:rsidRPr="00B47BB3" w:rsidRDefault="00B60939" w:rsidP="008A3078">
      <w:pPr>
        <w:pStyle w:val="Heading2"/>
      </w:pPr>
      <w:bookmarkStart w:id="16" w:name="_Toc430009538"/>
      <w:r w:rsidRPr="00B47BB3">
        <w:t>Estimated PBS usage &amp; financial implications</w:t>
      </w:r>
      <w:bookmarkEnd w:id="16"/>
    </w:p>
    <w:p w:rsidR="00B60939" w:rsidRPr="00B47BB3" w:rsidRDefault="00B60939" w:rsidP="00B60939">
      <w:pPr>
        <w:ind w:left="720" w:hanging="720"/>
        <w:rPr>
          <w:szCs w:val="22"/>
        </w:rPr>
      </w:pPr>
    </w:p>
    <w:p w:rsidR="00001DF9" w:rsidRPr="00001DF9" w:rsidRDefault="00C25D9C" w:rsidP="00321D09">
      <w:pPr>
        <w:pStyle w:val="ListParagraph"/>
        <w:widowControl/>
        <w:numPr>
          <w:ilvl w:val="1"/>
          <w:numId w:val="2"/>
        </w:numPr>
        <w:rPr>
          <w:szCs w:val="22"/>
        </w:rPr>
      </w:pPr>
      <w:r>
        <w:t xml:space="preserve">This submission </w:t>
      </w:r>
      <w:r w:rsidR="009B2AA9">
        <w:t>was</w:t>
      </w:r>
      <w:r>
        <w:t xml:space="preserve"> no</w:t>
      </w:r>
      <w:r w:rsidR="009B2AA9">
        <w:t xml:space="preserve">t </w:t>
      </w:r>
      <w:r>
        <w:t>considered by DUSC</w:t>
      </w:r>
      <w:r w:rsidRPr="00B50DB8">
        <w:rPr>
          <w:color w:val="0070C0"/>
        </w:rPr>
        <w:t>.</w:t>
      </w:r>
      <w:r w:rsidR="00E175D8">
        <w:rPr>
          <w:color w:val="0070C0"/>
        </w:rPr>
        <w:t xml:space="preserve">  </w:t>
      </w:r>
      <w:r w:rsidR="00E175D8" w:rsidRPr="00E175D8">
        <w:t>The re-submission updates the estimated extent of use and financial implications associated with the requested listing for nintedanib</w:t>
      </w:r>
      <w:r w:rsidR="00001DF9">
        <w:t>, with t</w:t>
      </w:r>
      <w:r w:rsidR="00001DF9" w:rsidRPr="00001DF9">
        <w:t>he estimated eligible patient pool calculated using parameters consistent with the DUSC advice (</w:t>
      </w:r>
      <w:r w:rsidR="00AB38B6">
        <w:t xml:space="preserve">IPF </w:t>
      </w:r>
      <w:r w:rsidR="00001DF9" w:rsidRPr="00001DF9">
        <w:t xml:space="preserve">prevalence = 14.4/100,000, diagnosis rate </w:t>
      </w:r>
      <w:r w:rsidR="00001DF9">
        <w:t xml:space="preserve">for IPF </w:t>
      </w:r>
      <w:r w:rsidR="00001DF9" w:rsidRPr="00001DF9">
        <w:t xml:space="preserve">= 100%).  </w:t>
      </w:r>
      <w:r w:rsidR="00680C06">
        <w:t>Adverse event (diarrhoea, nausea, vomiting) and liver monitoring costs were also incl</w:t>
      </w:r>
      <w:r w:rsidR="00B47BB3">
        <w:t>uded in the updated estimates.</w:t>
      </w:r>
    </w:p>
    <w:p w:rsidR="00001DF9" w:rsidRPr="00680C06" w:rsidRDefault="00001DF9" w:rsidP="00001DF9">
      <w:pPr>
        <w:widowControl/>
        <w:rPr>
          <w:szCs w:val="22"/>
        </w:rPr>
      </w:pPr>
    </w:p>
    <w:p w:rsidR="00C25D9C" w:rsidRPr="00E175D8" w:rsidRDefault="00E175D8" w:rsidP="00321D09">
      <w:pPr>
        <w:pStyle w:val="ListParagraph"/>
        <w:widowControl/>
        <w:numPr>
          <w:ilvl w:val="1"/>
          <w:numId w:val="2"/>
        </w:numPr>
        <w:rPr>
          <w:szCs w:val="22"/>
        </w:rPr>
      </w:pPr>
      <w:r w:rsidRPr="00E175D8">
        <w:t>The re-submission</w:t>
      </w:r>
      <w:r>
        <w:t xml:space="preserve"> focuse</w:t>
      </w:r>
      <w:r w:rsidR="00E72709">
        <w:t>d</w:t>
      </w:r>
      <w:r>
        <w:t xml:space="preserve"> on estimates calculated from uptake rates (Year 1-5: </w:t>
      </w:r>
      <w:r w:rsidR="00F146E1">
        <w:rPr>
          <w:noProof/>
          <w:color w:val="000000"/>
          <w:highlight w:val="black"/>
        </w:rPr>
        <w:t>''''''</w:t>
      </w:r>
      <w:r>
        <w:t xml:space="preserve">% to </w:t>
      </w:r>
      <w:r w:rsidR="00F146E1">
        <w:rPr>
          <w:noProof/>
          <w:color w:val="000000"/>
          <w:highlight w:val="black"/>
        </w:rPr>
        <w:t>''''''</w:t>
      </w:r>
      <w:r>
        <w:t xml:space="preserve">%) that </w:t>
      </w:r>
      <w:r w:rsidR="00E72709">
        <w:t>form</w:t>
      </w:r>
      <w:r w:rsidR="00AF2231">
        <w:t xml:space="preserve"> the basis of</w:t>
      </w:r>
      <w:r>
        <w:t xml:space="preserve"> </w:t>
      </w:r>
      <w:r w:rsidR="00AF2231">
        <w:t>the cap</w:t>
      </w:r>
      <w:r>
        <w:t xml:space="preserve"> proposed in the RSA.  </w:t>
      </w:r>
      <w:r w:rsidRPr="00E175D8">
        <w:t xml:space="preserve">The re-submission </w:t>
      </w:r>
      <w:r>
        <w:t>indicated</w:t>
      </w:r>
      <w:r w:rsidRPr="00E175D8">
        <w:t xml:space="preserve"> (p295) that in the scenario where the uptake rate for nintedanib occurs as predicted by DUSC (Year 1-5: 60% to 100%), this would result in an incremental </w:t>
      </w:r>
      <w:r w:rsidRPr="0060206A">
        <w:t xml:space="preserve">rebate equivalent to the difference between the capped and actual Commonwealth expenditure.  During the evaluation it was considered that the DUSC estimates were a proxy for the expected utilisation of nintedanib.  </w:t>
      </w:r>
      <w:r w:rsidR="00F321A7" w:rsidRPr="0060206A">
        <w:t>E</w:t>
      </w:r>
      <w:r w:rsidRPr="0060206A">
        <w:t xml:space="preserve">stimated extent of use of nintedanib based on DUSC utilisation rates are presented in addition to the RSA capped estimates in the table below.  </w:t>
      </w:r>
      <w:r w:rsidR="00011432" w:rsidRPr="0060206A">
        <w:t>The presentation of costs is based on the requested effective price for nintedanib.</w:t>
      </w:r>
    </w:p>
    <w:p w:rsidR="00C25D9C" w:rsidRDefault="00C25D9C" w:rsidP="00C25D9C">
      <w:pPr>
        <w:widowControl/>
        <w:rPr>
          <w:szCs w:val="22"/>
        </w:rPr>
      </w:pPr>
    </w:p>
    <w:p w:rsidR="00C25D9C" w:rsidRDefault="00C25D9C" w:rsidP="00587F05">
      <w:pPr>
        <w:widowControl/>
        <w:ind w:firstLine="720"/>
        <w:jc w:val="left"/>
        <w:rPr>
          <w:rStyle w:val="CommentReference"/>
        </w:rPr>
      </w:pPr>
      <w:r w:rsidRPr="001222FC">
        <w:rPr>
          <w:rStyle w:val="CommentReference"/>
        </w:rPr>
        <w:t xml:space="preserve">Table </w:t>
      </w:r>
      <w:r w:rsidR="00001DF9">
        <w:rPr>
          <w:rStyle w:val="CommentReference"/>
        </w:rPr>
        <w:t>1</w:t>
      </w:r>
      <w:r w:rsidR="00CB498B">
        <w:rPr>
          <w:rStyle w:val="CommentReference"/>
        </w:rPr>
        <w:t>3</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Estimated use and financial implications"/>
      </w:tblPr>
      <w:tblGrid>
        <w:gridCol w:w="3082"/>
        <w:gridCol w:w="1042"/>
        <w:gridCol w:w="1060"/>
        <w:gridCol w:w="1060"/>
        <w:gridCol w:w="1043"/>
        <w:gridCol w:w="1060"/>
      </w:tblGrid>
      <w:tr w:rsidR="00001DF9" w:rsidRPr="004E2ADC" w:rsidTr="00001DF9">
        <w:trPr>
          <w:tblHeader/>
        </w:trPr>
        <w:tc>
          <w:tcPr>
            <w:tcW w:w="1852" w:type="pct"/>
            <w:shd w:val="clear" w:color="auto" w:fill="auto"/>
            <w:vAlign w:val="center"/>
          </w:tcPr>
          <w:p w:rsidR="00C25D9C" w:rsidRPr="004E2ADC" w:rsidRDefault="00C25D9C" w:rsidP="00B8649C">
            <w:pPr>
              <w:tabs>
                <w:tab w:val="left" w:pos="142"/>
              </w:tabs>
              <w:jc w:val="left"/>
              <w:rPr>
                <w:rFonts w:ascii="Arial Narrow" w:hAnsi="Arial Narrow"/>
                <w:b/>
                <w:sz w:val="20"/>
              </w:rPr>
            </w:pPr>
          </w:p>
        </w:tc>
        <w:tc>
          <w:tcPr>
            <w:tcW w:w="630"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1</w:t>
            </w:r>
          </w:p>
        </w:tc>
        <w:tc>
          <w:tcPr>
            <w:tcW w:w="630"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2</w:t>
            </w:r>
          </w:p>
        </w:tc>
        <w:tc>
          <w:tcPr>
            <w:tcW w:w="630"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3</w:t>
            </w:r>
          </w:p>
        </w:tc>
        <w:tc>
          <w:tcPr>
            <w:tcW w:w="630"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4</w:t>
            </w:r>
          </w:p>
        </w:tc>
        <w:tc>
          <w:tcPr>
            <w:tcW w:w="628"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5</w:t>
            </w:r>
          </w:p>
        </w:tc>
      </w:tr>
      <w:tr w:rsidR="00001DF9" w:rsidRPr="004E2ADC" w:rsidTr="00001DF9">
        <w:trPr>
          <w:tblHeader/>
        </w:trPr>
        <w:tc>
          <w:tcPr>
            <w:tcW w:w="5000" w:type="pct"/>
            <w:gridSpan w:val="6"/>
            <w:shd w:val="clear" w:color="auto" w:fill="auto"/>
            <w:vAlign w:val="center"/>
          </w:tcPr>
          <w:p w:rsidR="00001DF9" w:rsidRPr="004E2ADC" w:rsidRDefault="00001DF9" w:rsidP="00001DF9">
            <w:pPr>
              <w:jc w:val="left"/>
              <w:rPr>
                <w:rFonts w:ascii="Arial Narrow" w:hAnsi="Arial Narrow"/>
                <w:b/>
                <w:sz w:val="20"/>
              </w:rPr>
            </w:pPr>
            <w:r>
              <w:rPr>
                <w:rFonts w:ascii="Arial Narrow" w:hAnsi="Arial Narrow"/>
                <w:b/>
                <w:sz w:val="20"/>
              </w:rPr>
              <w:t>Eligible patient pool –prevalence rate of 14.4/100,000; diagnosis rate for IPF = 100%</w:t>
            </w:r>
          </w:p>
        </w:tc>
      </w:tr>
      <w:tr w:rsidR="00001DF9" w:rsidRPr="004E2ADC" w:rsidTr="00001DF9">
        <w:tc>
          <w:tcPr>
            <w:tcW w:w="1852" w:type="pct"/>
            <w:shd w:val="clear" w:color="auto" w:fill="auto"/>
            <w:vAlign w:val="center"/>
          </w:tcPr>
          <w:p w:rsidR="00E175D8" w:rsidRPr="004E2ADC" w:rsidRDefault="00001DF9" w:rsidP="00E175D8">
            <w:pPr>
              <w:tabs>
                <w:tab w:val="left" w:pos="142"/>
              </w:tabs>
              <w:jc w:val="left"/>
              <w:rPr>
                <w:rFonts w:ascii="Arial Narrow" w:hAnsi="Arial Narrow"/>
                <w:sz w:val="20"/>
              </w:rPr>
            </w:pPr>
            <w:r>
              <w:rPr>
                <w:rFonts w:ascii="Arial Narrow" w:hAnsi="Arial Narrow"/>
                <w:sz w:val="20"/>
              </w:rPr>
              <w:t>November 2015 re-submission</w:t>
            </w:r>
          </w:p>
        </w:tc>
        <w:tc>
          <w:tcPr>
            <w:tcW w:w="630" w:type="pct"/>
            <w:shd w:val="clear" w:color="auto" w:fill="auto"/>
            <w:vAlign w:val="center"/>
          </w:tcPr>
          <w:p w:rsidR="00E175D8" w:rsidRPr="00F146E1" w:rsidRDefault="00F146E1" w:rsidP="00E175D8">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30" w:type="pct"/>
            <w:shd w:val="clear" w:color="auto" w:fill="auto"/>
            <w:vAlign w:val="center"/>
          </w:tcPr>
          <w:p w:rsidR="00E175D8" w:rsidRPr="00F146E1" w:rsidRDefault="00F146E1" w:rsidP="00E175D8">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30" w:type="pct"/>
            <w:shd w:val="clear" w:color="auto" w:fill="auto"/>
            <w:vAlign w:val="center"/>
          </w:tcPr>
          <w:p w:rsidR="00E175D8" w:rsidRPr="00F146E1" w:rsidRDefault="00F146E1" w:rsidP="00E175D8">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30" w:type="pct"/>
            <w:shd w:val="clear" w:color="auto" w:fill="auto"/>
            <w:vAlign w:val="center"/>
          </w:tcPr>
          <w:p w:rsidR="00E175D8" w:rsidRPr="00F146E1" w:rsidRDefault="00F146E1" w:rsidP="00E175D8">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28" w:type="pct"/>
            <w:shd w:val="clear" w:color="auto" w:fill="auto"/>
            <w:vAlign w:val="center"/>
          </w:tcPr>
          <w:p w:rsidR="00E175D8" w:rsidRPr="00F146E1" w:rsidRDefault="00F146E1" w:rsidP="00E175D8">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731A38" w:rsidRPr="004E2ADC" w:rsidTr="00731A38">
        <w:tc>
          <w:tcPr>
            <w:tcW w:w="1852" w:type="pct"/>
            <w:tcBorders>
              <w:bottom w:val="double" w:sz="4" w:space="0" w:color="auto"/>
            </w:tcBorders>
            <w:shd w:val="clear" w:color="auto" w:fill="auto"/>
            <w:vAlign w:val="center"/>
          </w:tcPr>
          <w:p w:rsidR="00001DF9" w:rsidRDefault="00001DF9" w:rsidP="00001DF9">
            <w:pPr>
              <w:tabs>
                <w:tab w:val="left" w:pos="142"/>
              </w:tabs>
              <w:jc w:val="left"/>
              <w:rPr>
                <w:rFonts w:ascii="Arial Narrow" w:hAnsi="Arial Narrow"/>
                <w:sz w:val="20"/>
              </w:rPr>
            </w:pPr>
            <w:r>
              <w:rPr>
                <w:rFonts w:ascii="Arial Narrow" w:hAnsi="Arial Narrow"/>
                <w:sz w:val="20"/>
              </w:rPr>
              <w:t>March 2015 submission</w:t>
            </w:r>
          </w:p>
        </w:tc>
        <w:tc>
          <w:tcPr>
            <w:tcW w:w="630" w:type="pct"/>
            <w:tcBorders>
              <w:bottom w:val="double" w:sz="4" w:space="0" w:color="auto"/>
            </w:tcBorders>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30" w:type="pct"/>
            <w:tcBorders>
              <w:bottom w:val="double" w:sz="4" w:space="0" w:color="auto"/>
            </w:tcBorders>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30" w:type="pct"/>
            <w:tcBorders>
              <w:bottom w:val="double" w:sz="4" w:space="0" w:color="auto"/>
            </w:tcBorders>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30" w:type="pct"/>
            <w:tcBorders>
              <w:bottom w:val="double" w:sz="4" w:space="0" w:color="auto"/>
            </w:tcBorders>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28" w:type="pct"/>
            <w:tcBorders>
              <w:bottom w:val="double" w:sz="4" w:space="0" w:color="auto"/>
            </w:tcBorders>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r>
      <w:tr w:rsidR="00001DF9" w:rsidRPr="00001DF9" w:rsidTr="00731A38">
        <w:tc>
          <w:tcPr>
            <w:tcW w:w="5000" w:type="pct"/>
            <w:gridSpan w:val="6"/>
            <w:tcBorders>
              <w:top w:val="double" w:sz="4" w:space="0" w:color="auto"/>
            </w:tcBorders>
            <w:shd w:val="clear" w:color="auto" w:fill="auto"/>
            <w:vAlign w:val="center"/>
          </w:tcPr>
          <w:p w:rsidR="00001DF9" w:rsidRPr="00001DF9" w:rsidRDefault="00F321A7" w:rsidP="00F321A7">
            <w:pPr>
              <w:jc w:val="left"/>
              <w:rPr>
                <w:rFonts w:ascii="Arial Narrow" w:hAnsi="Arial Narrow"/>
                <w:b/>
                <w:sz w:val="20"/>
              </w:rPr>
            </w:pPr>
            <w:r>
              <w:rPr>
                <w:rFonts w:ascii="Arial Narrow" w:hAnsi="Arial Narrow"/>
                <w:b/>
                <w:sz w:val="20"/>
              </w:rPr>
              <w:t>RSA – uptake rates: year 1-5; 25% to 65%</w:t>
            </w:r>
          </w:p>
        </w:tc>
      </w:tr>
      <w:tr w:rsidR="00001DF9" w:rsidRPr="004E2ADC" w:rsidTr="00001DF9">
        <w:tc>
          <w:tcPr>
            <w:tcW w:w="1852" w:type="pct"/>
            <w:shd w:val="clear" w:color="auto" w:fill="auto"/>
            <w:vAlign w:val="center"/>
          </w:tcPr>
          <w:p w:rsidR="00001DF9" w:rsidRPr="00001DF9" w:rsidRDefault="00001DF9" w:rsidP="00001DF9">
            <w:pPr>
              <w:tabs>
                <w:tab w:val="left" w:pos="142"/>
              </w:tabs>
              <w:jc w:val="left"/>
              <w:rPr>
                <w:rFonts w:ascii="Arial Narrow" w:hAnsi="Arial Narrow"/>
                <w:sz w:val="20"/>
              </w:rPr>
            </w:pPr>
            <w:r w:rsidRPr="00001DF9">
              <w:rPr>
                <w:rFonts w:ascii="Arial Narrow" w:hAnsi="Arial Narrow"/>
                <w:sz w:val="20"/>
              </w:rPr>
              <w:t xml:space="preserve">Total prescriptions </w:t>
            </w:r>
          </w:p>
        </w:tc>
        <w:tc>
          <w:tcPr>
            <w:tcW w:w="630"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30"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30"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30"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28"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r>
      <w:tr w:rsidR="00001DF9" w:rsidRPr="004E2ADC" w:rsidTr="00001DF9">
        <w:tc>
          <w:tcPr>
            <w:tcW w:w="1852" w:type="pct"/>
            <w:shd w:val="clear" w:color="auto" w:fill="auto"/>
            <w:vAlign w:val="center"/>
          </w:tcPr>
          <w:p w:rsidR="00001DF9" w:rsidRPr="00001DF9" w:rsidRDefault="00001DF9" w:rsidP="00001DF9">
            <w:pPr>
              <w:tabs>
                <w:tab w:val="left" w:pos="142"/>
              </w:tabs>
              <w:jc w:val="left"/>
              <w:rPr>
                <w:rFonts w:ascii="Arial Narrow" w:hAnsi="Arial Narrow"/>
                <w:sz w:val="20"/>
              </w:rPr>
            </w:pPr>
            <w:r w:rsidRPr="00001DF9">
              <w:rPr>
                <w:rFonts w:ascii="Arial Narrow" w:hAnsi="Arial Narrow"/>
                <w:sz w:val="20"/>
              </w:rPr>
              <w:t>Net costs to PBS/RPBS – RSA</w:t>
            </w:r>
          </w:p>
        </w:tc>
        <w:tc>
          <w:tcPr>
            <w:tcW w:w="630" w:type="pct"/>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30" w:type="pct"/>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30" w:type="pct"/>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30" w:type="pct"/>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28" w:type="pct"/>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r>
      <w:tr w:rsidR="00001DF9" w:rsidRPr="004E2ADC" w:rsidTr="00001DF9">
        <w:tc>
          <w:tcPr>
            <w:tcW w:w="5000" w:type="pct"/>
            <w:gridSpan w:val="6"/>
            <w:shd w:val="clear" w:color="auto" w:fill="auto"/>
            <w:vAlign w:val="center"/>
          </w:tcPr>
          <w:p w:rsidR="00001DF9" w:rsidRPr="00001DF9" w:rsidRDefault="00001DF9" w:rsidP="00001DF9">
            <w:pPr>
              <w:jc w:val="left"/>
              <w:rPr>
                <w:rFonts w:ascii="Arial Narrow" w:hAnsi="Arial Narrow"/>
                <w:b/>
                <w:sz w:val="20"/>
              </w:rPr>
            </w:pPr>
            <w:r w:rsidRPr="00001DF9">
              <w:rPr>
                <w:rFonts w:ascii="Arial Narrow" w:hAnsi="Arial Narrow"/>
                <w:b/>
                <w:sz w:val="20"/>
              </w:rPr>
              <w:t>Expected utilisation</w:t>
            </w:r>
            <w:r w:rsidR="00F321A7">
              <w:rPr>
                <w:rFonts w:ascii="Arial Narrow" w:hAnsi="Arial Narrow"/>
                <w:b/>
                <w:sz w:val="20"/>
              </w:rPr>
              <w:t xml:space="preserve"> – uptake rates: year 1-5; 60% to 100% (DUSC)</w:t>
            </w:r>
          </w:p>
        </w:tc>
      </w:tr>
      <w:tr w:rsidR="00001DF9" w:rsidRPr="00001DF9" w:rsidTr="00001DF9">
        <w:tc>
          <w:tcPr>
            <w:tcW w:w="1852" w:type="pct"/>
            <w:shd w:val="clear" w:color="auto" w:fill="auto"/>
            <w:vAlign w:val="center"/>
          </w:tcPr>
          <w:p w:rsidR="00001DF9" w:rsidRPr="00001DF9" w:rsidRDefault="00001DF9" w:rsidP="00001DF9">
            <w:pPr>
              <w:tabs>
                <w:tab w:val="left" w:pos="142"/>
              </w:tabs>
              <w:jc w:val="left"/>
              <w:rPr>
                <w:rFonts w:ascii="Arial Narrow" w:hAnsi="Arial Narrow"/>
                <w:sz w:val="20"/>
              </w:rPr>
            </w:pPr>
            <w:r>
              <w:rPr>
                <w:rFonts w:ascii="Arial Narrow" w:hAnsi="Arial Narrow"/>
                <w:sz w:val="20"/>
              </w:rPr>
              <w:t>Total prescriptions</w:t>
            </w:r>
          </w:p>
        </w:tc>
        <w:tc>
          <w:tcPr>
            <w:tcW w:w="630"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30"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30"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30"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c>
          <w:tcPr>
            <w:tcW w:w="628" w:type="pct"/>
            <w:shd w:val="clear" w:color="auto" w:fill="auto"/>
            <w:vAlign w:val="center"/>
          </w:tcPr>
          <w:p w:rsidR="00001DF9" w:rsidRPr="00F146E1" w:rsidRDefault="00F146E1" w:rsidP="00001DF9">
            <w:pPr>
              <w:jc w:val="center"/>
              <w:rPr>
                <w:rFonts w:ascii="Arial Narrow" w:hAnsi="Arial Narrow"/>
                <w:sz w:val="20"/>
                <w:highlight w:val="black"/>
              </w:rPr>
            </w:pPr>
            <w:r>
              <w:rPr>
                <w:rFonts w:ascii="Arial Narrow" w:hAnsi="Arial Narrow"/>
                <w:noProof/>
                <w:color w:val="000000"/>
                <w:sz w:val="20"/>
                <w:highlight w:val="black"/>
              </w:rPr>
              <w:t>''''''''''''''''</w:t>
            </w:r>
          </w:p>
        </w:tc>
      </w:tr>
      <w:tr w:rsidR="00001DF9" w:rsidRPr="004E2ADC" w:rsidTr="00731A38">
        <w:tc>
          <w:tcPr>
            <w:tcW w:w="1852" w:type="pct"/>
            <w:tcBorders>
              <w:bottom w:val="double" w:sz="4" w:space="0" w:color="auto"/>
            </w:tcBorders>
            <w:shd w:val="clear" w:color="auto" w:fill="auto"/>
            <w:vAlign w:val="center"/>
          </w:tcPr>
          <w:p w:rsidR="00001DF9" w:rsidRPr="00001DF9" w:rsidRDefault="00001DF9" w:rsidP="00001DF9">
            <w:pPr>
              <w:tabs>
                <w:tab w:val="left" w:pos="142"/>
              </w:tabs>
              <w:jc w:val="left"/>
              <w:rPr>
                <w:rFonts w:ascii="Arial Narrow" w:hAnsi="Arial Narrow"/>
                <w:sz w:val="20"/>
              </w:rPr>
            </w:pPr>
            <w:r>
              <w:rPr>
                <w:rFonts w:ascii="Arial Narrow" w:hAnsi="Arial Narrow"/>
                <w:sz w:val="20"/>
              </w:rPr>
              <w:t>Net costs to PBS/RPBS</w:t>
            </w:r>
          </w:p>
        </w:tc>
        <w:tc>
          <w:tcPr>
            <w:tcW w:w="630" w:type="pct"/>
            <w:tcBorders>
              <w:bottom w:val="double" w:sz="4" w:space="0" w:color="auto"/>
            </w:tcBorders>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30" w:type="pct"/>
            <w:tcBorders>
              <w:bottom w:val="double" w:sz="4" w:space="0" w:color="auto"/>
            </w:tcBorders>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30" w:type="pct"/>
            <w:tcBorders>
              <w:bottom w:val="double" w:sz="4" w:space="0" w:color="auto"/>
            </w:tcBorders>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30" w:type="pct"/>
            <w:tcBorders>
              <w:bottom w:val="double" w:sz="4" w:space="0" w:color="auto"/>
            </w:tcBorders>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28" w:type="pct"/>
            <w:tcBorders>
              <w:bottom w:val="double" w:sz="4" w:space="0" w:color="auto"/>
            </w:tcBorders>
            <w:shd w:val="clear" w:color="auto" w:fill="auto"/>
            <w:vAlign w:val="center"/>
          </w:tcPr>
          <w:p w:rsidR="00001DF9" w:rsidRPr="00001DF9" w:rsidRDefault="00001DF9" w:rsidP="00001DF9">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r>
      <w:tr w:rsidR="00C2307C" w:rsidRPr="00C2307C" w:rsidTr="00731A38">
        <w:tc>
          <w:tcPr>
            <w:tcW w:w="5000" w:type="pct"/>
            <w:gridSpan w:val="6"/>
            <w:tcBorders>
              <w:top w:val="double" w:sz="4" w:space="0" w:color="auto"/>
            </w:tcBorders>
            <w:shd w:val="clear" w:color="auto" w:fill="auto"/>
            <w:vAlign w:val="center"/>
          </w:tcPr>
          <w:p w:rsidR="00C2307C" w:rsidRPr="00C2307C" w:rsidRDefault="00C2307C" w:rsidP="00C2307C">
            <w:pPr>
              <w:jc w:val="left"/>
              <w:rPr>
                <w:rFonts w:ascii="Arial Narrow" w:hAnsi="Arial Narrow"/>
                <w:b/>
                <w:sz w:val="20"/>
              </w:rPr>
            </w:pPr>
            <w:r w:rsidRPr="00C2307C">
              <w:rPr>
                <w:rFonts w:ascii="Arial Narrow" w:hAnsi="Arial Narrow"/>
                <w:b/>
                <w:sz w:val="20"/>
              </w:rPr>
              <w:t>Adverse event costs (diarrhoea, nausea and vomiting)</w:t>
            </w:r>
          </w:p>
        </w:tc>
      </w:tr>
      <w:tr w:rsidR="00C2307C" w:rsidRPr="004E2ADC" w:rsidTr="00001DF9">
        <w:tc>
          <w:tcPr>
            <w:tcW w:w="1852" w:type="pct"/>
            <w:shd w:val="clear" w:color="auto" w:fill="auto"/>
            <w:vAlign w:val="center"/>
          </w:tcPr>
          <w:p w:rsidR="00C2307C" w:rsidRPr="00C2307C" w:rsidRDefault="00C2307C" w:rsidP="00C2307C">
            <w:pPr>
              <w:tabs>
                <w:tab w:val="left" w:pos="142"/>
              </w:tabs>
              <w:jc w:val="left"/>
              <w:rPr>
                <w:rFonts w:ascii="Arial Narrow" w:hAnsi="Arial Narrow"/>
                <w:sz w:val="20"/>
              </w:rPr>
            </w:pPr>
            <w:r w:rsidRPr="00C2307C">
              <w:rPr>
                <w:rFonts w:ascii="Arial Narrow" w:hAnsi="Arial Narrow"/>
                <w:sz w:val="20"/>
              </w:rPr>
              <w:t>Net cost to the PBS/RPBS</w:t>
            </w:r>
          </w:p>
        </w:tc>
        <w:tc>
          <w:tcPr>
            <w:tcW w:w="630" w:type="pct"/>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30" w:type="pct"/>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30" w:type="pct"/>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30" w:type="pct"/>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28" w:type="pct"/>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r>
      <w:tr w:rsidR="00C2307C" w:rsidRPr="004E2ADC" w:rsidTr="00C2307C">
        <w:tc>
          <w:tcPr>
            <w:tcW w:w="5000" w:type="pct"/>
            <w:gridSpan w:val="6"/>
            <w:shd w:val="clear" w:color="auto" w:fill="auto"/>
            <w:vAlign w:val="center"/>
          </w:tcPr>
          <w:p w:rsidR="00C2307C" w:rsidRPr="00C2307C" w:rsidRDefault="00C2307C" w:rsidP="00C2307C">
            <w:pPr>
              <w:jc w:val="left"/>
              <w:rPr>
                <w:rFonts w:ascii="Arial Narrow" w:hAnsi="Arial Narrow"/>
                <w:b/>
                <w:sz w:val="20"/>
              </w:rPr>
            </w:pPr>
            <w:r w:rsidRPr="00C2307C">
              <w:rPr>
                <w:rFonts w:ascii="Arial Narrow" w:hAnsi="Arial Narrow"/>
                <w:b/>
                <w:sz w:val="20"/>
              </w:rPr>
              <w:t>Liver function tests</w:t>
            </w:r>
          </w:p>
        </w:tc>
      </w:tr>
      <w:tr w:rsidR="00C2307C" w:rsidRPr="00C2307C" w:rsidTr="00C2307C">
        <w:tc>
          <w:tcPr>
            <w:tcW w:w="1852" w:type="pct"/>
            <w:tcBorders>
              <w:bottom w:val="double" w:sz="4" w:space="0" w:color="auto"/>
            </w:tcBorders>
            <w:shd w:val="clear" w:color="auto" w:fill="auto"/>
            <w:vAlign w:val="center"/>
          </w:tcPr>
          <w:p w:rsidR="00C2307C" w:rsidRPr="00C2307C" w:rsidRDefault="00C2307C" w:rsidP="00C2307C">
            <w:pPr>
              <w:tabs>
                <w:tab w:val="left" w:pos="142"/>
              </w:tabs>
              <w:jc w:val="left"/>
              <w:rPr>
                <w:rFonts w:ascii="Arial Narrow" w:hAnsi="Arial Narrow"/>
                <w:sz w:val="20"/>
              </w:rPr>
            </w:pPr>
            <w:r w:rsidRPr="00C2307C">
              <w:rPr>
                <w:rFonts w:ascii="Arial Narrow" w:hAnsi="Arial Narrow"/>
                <w:sz w:val="20"/>
              </w:rPr>
              <w:t>Net cost to the MBS</w:t>
            </w:r>
          </w:p>
        </w:tc>
        <w:tc>
          <w:tcPr>
            <w:tcW w:w="630" w:type="pct"/>
            <w:tcBorders>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$45,414</w:t>
            </w:r>
          </w:p>
        </w:tc>
        <w:tc>
          <w:tcPr>
            <w:tcW w:w="630" w:type="pct"/>
            <w:tcBorders>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$73,900</w:t>
            </w:r>
          </w:p>
        </w:tc>
        <w:tc>
          <w:tcPr>
            <w:tcW w:w="630" w:type="pct"/>
            <w:tcBorders>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$103,309</w:t>
            </w:r>
          </w:p>
        </w:tc>
        <w:tc>
          <w:tcPr>
            <w:tcW w:w="630" w:type="pct"/>
            <w:tcBorders>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$114,546</w:t>
            </w:r>
          </w:p>
        </w:tc>
        <w:tc>
          <w:tcPr>
            <w:tcW w:w="628" w:type="pct"/>
            <w:tcBorders>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$126,080</w:t>
            </w:r>
          </w:p>
        </w:tc>
      </w:tr>
      <w:tr w:rsidR="00C2307C" w:rsidRPr="00C2307C" w:rsidTr="00C2307C">
        <w:tc>
          <w:tcPr>
            <w:tcW w:w="5000" w:type="pct"/>
            <w:gridSpan w:val="6"/>
            <w:tcBorders>
              <w:bottom w:val="single" w:sz="4" w:space="0" w:color="auto"/>
            </w:tcBorders>
            <w:shd w:val="clear" w:color="auto" w:fill="auto"/>
            <w:vAlign w:val="center"/>
          </w:tcPr>
          <w:p w:rsidR="00C2307C" w:rsidRPr="00C2307C" w:rsidRDefault="00C2307C" w:rsidP="00C2307C">
            <w:pPr>
              <w:jc w:val="left"/>
              <w:rPr>
                <w:rFonts w:ascii="Arial Narrow" w:hAnsi="Arial Narrow"/>
                <w:b/>
                <w:sz w:val="20"/>
              </w:rPr>
            </w:pPr>
            <w:r w:rsidRPr="00C2307C">
              <w:rPr>
                <w:rFonts w:ascii="Arial Narrow" w:hAnsi="Arial Narrow"/>
                <w:b/>
                <w:sz w:val="20"/>
              </w:rPr>
              <w:t>Net financial implications to government health budgets</w:t>
            </w:r>
          </w:p>
        </w:tc>
      </w:tr>
      <w:tr w:rsidR="00C2307C" w:rsidRPr="004E2ADC" w:rsidTr="00C2307C">
        <w:tc>
          <w:tcPr>
            <w:tcW w:w="1852" w:type="pct"/>
            <w:tcBorders>
              <w:top w:val="single" w:sz="4" w:space="0" w:color="auto"/>
              <w:bottom w:val="single" w:sz="4" w:space="0" w:color="auto"/>
            </w:tcBorders>
            <w:shd w:val="clear" w:color="auto" w:fill="auto"/>
            <w:vAlign w:val="center"/>
          </w:tcPr>
          <w:p w:rsidR="00C2307C" w:rsidRPr="005D4F33" w:rsidRDefault="00C2307C" w:rsidP="00C2307C">
            <w:pPr>
              <w:tabs>
                <w:tab w:val="left" w:pos="142"/>
              </w:tabs>
              <w:jc w:val="left"/>
              <w:rPr>
                <w:rFonts w:ascii="Arial Narrow" w:hAnsi="Arial Narrow"/>
                <w:sz w:val="20"/>
              </w:rPr>
            </w:pPr>
            <w:r w:rsidRPr="005D4F33">
              <w:rPr>
                <w:rFonts w:ascii="Arial Narrow" w:hAnsi="Arial Narrow"/>
                <w:sz w:val="20"/>
              </w:rPr>
              <w:t>Expected utilisation^</w:t>
            </w:r>
          </w:p>
        </w:tc>
        <w:tc>
          <w:tcPr>
            <w:tcW w:w="630" w:type="pct"/>
            <w:tcBorders>
              <w:top w:val="single" w:sz="4" w:space="0" w:color="auto"/>
              <w:bottom w:val="single" w:sz="4" w:space="0" w:color="auto"/>
            </w:tcBorders>
            <w:shd w:val="clear" w:color="auto" w:fill="auto"/>
            <w:vAlign w:val="center"/>
          </w:tcPr>
          <w:p w:rsidR="00C2307C" w:rsidRPr="005D4F33" w:rsidRDefault="00C2307C" w:rsidP="00C2307C">
            <w:pPr>
              <w:jc w:val="center"/>
              <w:rPr>
                <w:rFonts w:ascii="Arial Narrow" w:hAnsi="Arial Narrow"/>
                <w:sz w:val="20"/>
              </w:rPr>
            </w:pPr>
            <w:r w:rsidRPr="005D4F33">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single" w:sz="4" w:space="0" w:color="auto"/>
            </w:tcBorders>
            <w:shd w:val="clear" w:color="auto" w:fill="auto"/>
            <w:vAlign w:val="center"/>
          </w:tcPr>
          <w:p w:rsidR="00C2307C" w:rsidRPr="005D4F33" w:rsidRDefault="00C2307C" w:rsidP="00C2307C">
            <w:pPr>
              <w:jc w:val="center"/>
              <w:rPr>
                <w:rFonts w:ascii="Arial Narrow" w:hAnsi="Arial Narrow"/>
                <w:sz w:val="20"/>
              </w:rPr>
            </w:pPr>
            <w:r w:rsidRPr="005D4F33">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single" w:sz="4" w:space="0" w:color="auto"/>
            </w:tcBorders>
            <w:shd w:val="clear" w:color="auto" w:fill="auto"/>
            <w:vAlign w:val="center"/>
          </w:tcPr>
          <w:p w:rsidR="00C2307C" w:rsidRPr="005D4F33" w:rsidRDefault="00C2307C" w:rsidP="00C2307C">
            <w:pPr>
              <w:jc w:val="center"/>
              <w:rPr>
                <w:rFonts w:ascii="Arial Narrow" w:hAnsi="Arial Narrow"/>
                <w:sz w:val="20"/>
              </w:rPr>
            </w:pPr>
            <w:r w:rsidRPr="005D4F33">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single" w:sz="4" w:space="0" w:color="auto"/>
            </w:tcBorders>
            <w:shd w:val="clear" w:color="auto" w:fill="auto"/>
            <w:vAlign w:val="center"/>
          </w:tcPr>
          <w:p w:rsidR="00C2307C" w:rsidRPr="005D4F33" w:rsidRDefault="00C2307C" w:rsidP="00C2307C">
            <w:pPr>
              <w:jc w:val="center"/>
              <w:rPr>
                <w:rFonts w:ascii="Arial Narrow" w:hAnsi="Arial Narrow"/>
                <w:sz w:val="20"/>
              </w:rPr>
            </w:pPr>
            <w:r w:rsidRPr="005D4F33">
              <w:rPr>
                <w:rFonts w:ascii="Arial Narrow" w:hAnsi="Arial Narrow"/>
                <w:sz w:val="20"/>
              </w:rPr>
              <w:t>$</w:t>
            </w:r>
            <w:r w:rsidR="00F146E1">
              <w:rPr>
                <w:rFonts w:ascii="Arial Narrow" w:hAnsi="Arial Narrow"/>
                <w:noProof/>
                <w:color w:val="000000"/>
                <w:sz w:val="20"/>
                <w:highlight w:val="black"/>
              </w:rPr>
              <w:t>'''''''''''''''''''''''''''</w:t>
            </w:r>
          </w:p>
        </w:tc>
        <w:tc>
          <w:tcPr>
            <w:tcW w:w="628" w:type="pct"/>
            <w:tcBorders>
              <w:top w:val="single" w:sz="4" w:space="0" w:color="auto"/>
              <w:bottom w:val="single" w:sz="4" w:space="0" w:color="auto"/>
            </w:tcBorders>
            <w:shd w:val="clear" w:color="auto" w:fill="auto"/>
            <w:vAlign w:val="center"/>
          </w:tcPr>
          <w:p w:rsidR="00C2307C" w:rsidRPr="005D4F33" w:rsidRDefault="00C2307C" w:rsidP="00C2307C">
            <w:pPr>
              <w:jc w:val="center"/>
              <w:rPr>
                <w:rFonts w:ascii="Arial Narrow" w:hAnsi="Arial Narrow"/>
                <w:sz w:val="20"/>
              </w:rPr>
            </w:pPr>
            <w:r w:rsidRPr="005D4F33">
              <w:rPr>
                <w:rFonts w:ascii="Arial Narrow" w:hAnsi="Arial Narrow"/>
                <w:sz w:val="20"/>
              </w:rPr>
              <w:t>$</w:t>
            </w:r>
            <w:r w:rsidR="00F146E1">
              <w:rPr>
                <w:rFonts w:ascii="Arial Narrow" w:hAnsi="Arial Narrow"/>
                <w:noProof/>
                <w:color w:val="000000"/>
                <w:sz w:val="20"/>
                <w:highlight w:val="black"/>
              </w:rPr>
              <w:t>'''''''''''''''''''''''</w:t>
            </w:r>
          </w:p>
        </w:tc>
      </w:tr>
      <w:tr w:rsidR="00C2307C" w:rsidRPr="004E2ADC" w:rsidTr="00C2307C">
        <w:tc>
          <w:tcPr>
            <w:tcW w:w="1852" w:type="pct"/>
            <w:tcBorders>
              <w:top w:val="single" w:sz="4" w:space="0" w:color="auto"/>
              <w:bottom w:val="single" w:sz="4" w:space="0" w:color="auto"/>
            </w:tcBorders>
            <w:shd w:val="clear" w:color="auto" w:fill="auto"/>
            <w:vAlign w:val="center"/>
          </w:tcPr>
          <w:p w:rsidR="00C2307C" w:rsidRPr="00001DF9" w:rsidRDefault="00C2307C" w:rsidP="00C2307C">
            <w:pPr>
              <w:tabs>
                <w:tab w:val="left" w:pos="142"/>
              </w:tabs>
              <w:jc w:val="left"/>
              <w:rPr>
                <w:rFonts w:ascii="Arial Narrow" w:hAnsi="Arial Narrow"/>
                <w:sz w:val="20"/>
              </w:rPr>
            </w:pPr>
            <w:r>
              <w:rPr>
                <w:rFonts w:ascii="Arial Narrow" w:hAnsi="Arial Narrow"/>
                <w:sz w:val="20"/>
              </w:rPr>
              <w:t>RSA rebate</w:t>
            </w:r>
          </w:p>
        </w:tc>
        <w:tc>
          <w:tcPr>
            <w:tcW w:w="630" w:type="pct"/>
            <w:tcBorders>
              <w:top w:val="single" w:sz="4" w:space="0" w:color="auto"/>
              <w:bottom w:val="single" w:sz="4" w:space="0" w:color="auto"/>
            </w:tcBorders>
            <w:shd w:val="clear" w:color="auto" w:fill="auto"/>
            <w:vAlign w:val="center"/>
          </w:tcPr>
          <w:p w:rsidR="00C2307C" w:rsidRPr="00001DF9" w:rsidRDefault="00C2307C" w:rsidP="00C2307C">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single" w:sz="4" w:space="0" w:color="auto"/>
            </w:tcBorders>
            <w:shd w:val="clear" w:color="auto" w:fill="auto"/>
            <w:vAlign w:val="center"/>
          </w:tcPr>
          <w:p w:rsidR="00C2307C" w:rsidRPr="00001DF9" w:rsidRDefault="00C2307C" w:rsidP="00C2307C">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single" w:sz="4" w:space="0" w:color="auto"/>
            </w:tcBorders>
            <w:shd w:val="clear" w:color="auto" w:fill="auto"/>
            <w:vAlign w:val="center"/>
          </w:tcPr>
          <w:p w:rsidR="00C2307C" w:rsidRPr="00001DF9" w:rsidRDefault="00C2307C" w:rsidP="00C2307C">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single" w:sz="4" w:space="0" w:color="auto"/>
            </w:tcBorders>
            <w:shd w:val="clear" w:color="auto" w:fill="auto"/>
            <w:vAlign w:val="center"/>
          </w:tcPr>
          <w:p w:rsidR="00C2307C" w:rsidRPr="00001DF9" w:rsidRDefault="00C2307C" w:rsidP="00C2307C">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c>
          <w:tcPr>
            <w:tcW w:w="628" w:type="pct"/>
            <w:tcBorders>
              <w:top w:val="single" w:sz="4" w:space="0" w:color="auto"/>
              <w:bottom w:val="single" w:sz="4" w:space="0" w:color="auto"/>
            </w:tcBorders>
            <w:shd w:val="clear" w:color="auto" w:fill="auto"/>
            <w:vAlign w:val="center"/>
          </w:tcPr>
          <w:p w:rsidR="00C2307C" w:rsidRPr="00001DF9" w:rsidRDefault="00C2307C" w:rsidP="00C2307C">
            <w:pPr>
              <w:jc w:val="center"/>
              <w:rPr>
                <w:rFonts w:ascii="Arial Narrow" w:hAnsi="Arial Narrow"/>
                <w:sz w:val="20"/>
              </w:rPr>
            </w:pPr>
            <w:r w:rsidRPr="00001DF9">
              <w:rPr>
                <w:rFonts w:ascii="Arial Narrow" w:hAnsi="Arial Narrow"/>
                <w:sz w:val="20"/>
              </w:rPr>
              <w:t>$</w:t>
            </w:r>
            <w:r w:rsidR="00F146E1">
              <w:rPr>
                <w:rFonts w:ascii="Arial Narrow" w:hAnsi="Arial Narrow"/>
                <w:noProof/>
                <w:color w:val="000000"/>
                <w:sz w:val="20"/>
                <w:highlight w:val="black"/>
              </w:rPr>
              <w:t>''''''''''''''''''''''''</w:t>
            </w:r>
          </w:p>
        </w:tc>
      </w:tr>
      <w:tr w:rsidR="00C2307C" w:rsidRPr="004E2ADC" w:rsidTr="00C2307C">
        <w:tc>
          <w:tcPr>
            <w:tcW w:w="1852" w:type="pct"/>
            <w:tcBorders>
              <w:top w:val="single" w:sz="4" w:space="0" w:color="auto"/>
              <w:bottom w:val="single" w:sz="4" w:space="0" w:color="auto"/>
            </w:tcBorders>
            <w:shd w:val="clear" w:color="auto" w:fill="auto"/>
            <w:vAlign w:val="center"/>
          </w:tcPr>
          <w:p w:rsidR="00C2307C" w:rsidRPr="00047FC1" w:rsidRDefault="00C2307C" w:rsidP="00C2307C">
            <w:pPr>
              <w:tabs>
                <w:tab w:val="left" w:pos="142"/>
              </w:tabs>
              <w:jc w:val="left"/>
              <w:rPr>
                <w:rFonts w:ascii="Arial Narrow" w:hAnsi="Arial Narrow"/>
                <w:b/>
                <w:sz w:val="20"/>
              </w:rPr>
            </w:pPr>
            <w:r w:rsidRPr="00C2307C">
              <w:rPr>
                <w:rFonts w:ascii="Arial Narrow" w:hAnsi="Arial Narrow"/>
                <w:sz w:val="20"/>
              </w:rPr>
              <w:t>RSA</w:t>
            </w:r>
          </w:p>
        </w:tc>
        <w:tc>
          <w:tcPr>
            <w:tcW w:w="630" w:type="pct"/>
            <w:tcBorders>
              <w:top w:val="single" w:sz="4" w:space="0" w:color="auto"/>
              <w:bottom w:val="sing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sing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sing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sing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28" w:type="pct"/>
            <w:tcBorders>
              <w:top w:val="single" w:sz="4" w:space="0" w:color="auto"/>
              <w:bottom w:val="sing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r>
      <w:tr w:rsidR="00C2307C" w:rsidRPr="004E2ADC" w:rsidTr="00C2307C">
        <w:tc>
          <w:tcPr>
            <w:tcW w:w="1852" w:type="pct"/>
            <w:tcBorders>
              <w:top w:val="single" w:sz="4" w:space="0" w:color="auto"/>
              <w:bottom w:val="double" w:sz="4" w:space="0" w:color="auto"/>
            </w:tcBorders>
            <w:shd w:val="clear" w:color="auto" w:fill="auto"/>
            <w:vAlign w:val="center"/>
          </w:tcPr>
          <w:p w:rsidR="00C2307C" w:rsidRPr="00C2307C" w:rsidRDefault="00C2307C" w:rsidP="00C2307C">
            <w:pPr>
              <w:tabs>
                <w:tab w:val="left" w:pos="142"/>
              </w:tabs>
              <w:jc w:val="left"/>
              <w:rPr>
                <w:rFonts w:ascii="Arial Narrow" w:hAnsi="Arial Narrow"/>
                <w:sz w:val="20"/>
              </w:rPr>
            </w:pPr>
            <w:r>
              <w:rPr>
                <w:rFonts w:ascii="Arial Narrow" w:hAnsi="Arial Narrow"/>
                <w:sz w:val="20"/>
              </w:rPr>
              <w:t>March 2015 submission</w:t>
            </w:r>
          </w:p>
        </w:tc>
        <w:tc>
          <w:tcPr>
            <w:tcW w:w="630" w:type="pct"/>
            <w:tcBorders>
              <w:top w:val="single" w:sz="4" w:space="0" w:color="auto"/>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30" w:type="pct"/>
            <w:tcBorders>
              <w:top w:val="single" w:sz="4" w:space="0" w:color="auto"/>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c>
          <w:tcPr>
            <w:tcW w:w="628" w:type="pct"/>
            <w:tcBorders>
              <w:top w:val="single" w:sz="4" w:space="0" w:color="auto"/>
              <w:bottom w:val="double" w:sz="4" w:space="0" w:color="auto"/>
            </w:tcBorders>
            <w:shd w:val="clear" w:color="auto" w:fill="auto"/>
            <w:vAlign w:val="center"/>
          </w:tcPr>
          <w:p w:rsidR="00C2307C" w:rsidRPr="00C2307C" w:rsidRDefault="00C2307C" w:rsidP="00C2307C">
            <w:pPr>
              <w:jc w:val="center"/>
              <w:rPr>
                <w:rFonts w:ascii="Arial Narrow" w:hAnsi="Arial Narrow"/>
                <w:sz w:val="20"/>
              </w:rPr>
            </w:pPr>
            <w:r w:rsidRPr="00C2307C">
              <w:rPr>
                <w:rFonts w:ascii="Arial Narrow" w:hAnsi="Arial Narrow"/>
                <w:sz w:val="20"/>
              </w:rPr>
              <w:t>$</w:t>
            </w:r>
            <w:r w:rsidR="00F146E1">
              <w:rPr>
                <w:rFonts w:ascii="Arial Narrow" w:hAnsi="Arial Narrow"/>
                <w:noProof/>
                <w:color w:val="000000"/>
                <w:sz w:val="20"/>
                <w:highlight w:val="black"/>
              </w:rPr>
              <w:t>'''''''''''''''''''''''''''</w:t>
            </w:r>
          </w:p>
        </w:tc>
      </w:tr>
    </w:tbl>
    <w:p w:rsidR="00C25D9C" w:rsidRPr="00731A38" w:rsidRDefault="00C2307C" w:rsidP="00731A38">
      <w:pPr>
        <w:pStyle w:val="TableFooter"/>
        <w:ind w:left="720"/>
      </w:pPr>
      <w:r w:rsidRPr="005D4F33">
        <w:t xml:space="preserve">^ The re-submission’s financial model does not present net financial implications to the government health budgets with the removal of the RSA.  During the evaluation this was calculated on the basis of nintedanib net costs to the PBS/RPBS – expected utilisation + adverse events net cost to the PBS/RPBS (base case analysis) + net cost to the MBS.  </w:t>
      </w:r>
      <w:r w:rsidR="00731A38">
        <w:t xml:space="preserve">Abbreviations: RSA = risk sharing arrangement.  Source: </w:t>
      </w:r>
      <w:r w:rsidR="00731A38" w:rsidRPr="009B2AA9">
        <w:t>Table E.2-2 and Table E.2-3, p278; Table E.2-8, p285; Table E.4-2 and Table E.4-3,</w:t>
      </w:r>
      <w:r w:rsidR="00731A38">
        <w:t xml:space="preserve"> p284; </w:t>
      </w:r>
      <w:r w:rsidR="00731A38" w:rsidRPr="00731A38">
        <w:t>‘DUSC PBS-RPBS Cost’ and ‘Epidemiology and patient number’ worksheets, Nintedanib IPF Financial Implications.xlsx of the re-submission</w:t>
      </w:r>
    </w:p>
    <w:p w:rsidR="00C25D9C" w:rsidRDefault="00C25D9C" w:rsidP="00C25D9C">
      <w:pPr>
        <w:widowControl/>
        <w:rPr>
          <w:szCs w:val="22"/>
        </w:rPr>
      </w:pPr>
    </w:p>
    <w:p w:rsidR="006B7D98" w:rsidRDefault="006B7D98" w:rsidP="006B7D98">
      <w:pPr>
        <w:widowControl/>
        <w:ind w:left="720"/>
        <w:rPr>
          <w:i/>
          <w:szCs w:val="22"/>
        </w:rPr>
      </w:pPr>
      <w:r>
        <w:rPr>
          <w:i/>
          <w:szCs w:val="22"/>
        </w:rPr>
        <w:t xml:space="preserve">The redacted table above shows that the number of patients treated with nintedanib is estimated to be less than 10,000 per year at a net cost of $60 - $100 million over five years. </w:t>
      </w:r>
    </w:p>
    <w:p w:rsidR="006B7D98" w:rsidRPr="006B7D98" w:rsidRDefault="006B7D98" w:rsidP="00C25D9C">
      <w:pPr>
        <w:widowControl/>
        <w:rPr>
          <w:i/>
          <w:szCs w:val="22"/>
        </w:rPr>
      </w:pPr>
      <w:r>
        <w:rPr>
          <w:i/>
          <w:szCs w:val="22"/>
        </w:rPr>
        <w:t xml:space="preserve">  </w:t>
      </w:r>
    </w:p>
    <w:p w:rsidR="00576972" w:rsidRPr="0060206A" w:rsidRDefault="00731A38" w:rsidP="00321D09">
      <w:pPr>
        <w:pStyle w:val="ListParagraph"/>
        <w:widowControl/>
        <w:numPr>
          <w:ilvl w:val="1"/>
          <w:numId w:val="2"/>
        </w:numPr>
        <w:rPr>
          <w:szCs w:val="22"/>
        </w:rPr>
      </w:pPr>
      <w:r w:rsidRPr="0060206A">
        <w:rPr>
          <w:szCs w:val="22"/>
        </w:rPr>
        <w:t>Overall, the re-submission applied a highly conservative approach to the RSA, given that the IPF prevalence and nintedanib uptake rates were considered by DUSC to be potential underestimates.  If prevalence in the PBS population is towards the higher estimates as reported in Raghu 2014 (145.7/100,000 in patients aged ≥65 years in 2011), the proposed RSA may limit the pot</w:t>
      </w:r>
      <w:r w:rsidR="00AB38B6" w:rsidRPr="0060206A">
        <w:rPr>
          <w:szCs w:val="22"/>
        </w:rPr>
        <w:t>ential risk associated with the estimation of the</w:t>
      </w:r>
      <w:r w:rsidR="00B47BB3">
        <w:rPr>
          <w:szCs w:val="22"/>
        </w:rPr>
        <w:t xml:space="preserve"> eligible patient pool.</w:t>
      </w:r>
    </w:p>
    <w:p w:rsidR="00731A38" w:rsidRPr="00731A38" w:rsidRDefault="00731A38" w:rsidP="00731A38">
      <w:pPr>
        <w:widowControl/>
        <w:rPr>
          <w:szCs w:val="22"/>
        </w:rPr>
      </w:pPr>
    </w:p>
    <w:p w:rsidR="008A3078" w:rsidRDefault="008A3078" w:rsidP="008A3078">
      <w:pPr>
        <w:pStyle w:val="Heading2"/>
      </w:pPr>
      <w:bookmarkStart w:id="17" w:name="_Toc430009539"/>
    </w:p>
    <w:p w:rsidR="008A3078" w:rsidRDefault="008A3078" w:rsidP="008A3078">
      <w:pPr>
        <w:pStyle w:val="Heading2"/>
      </w:pPr>
    </w:p>
    <w:p w:rsidR="008A3078" w:rsidRDefault="008A3078" w:rsidP="008A3078">
      <w:pPr>
        <w:pStyle w:val="Heading2"/>
      </w:pPr>
    </w:p>
    <w:p w:rsidR="00576972" w:rsidRPr="00B47BB3" w:rsidRDefault="00576972" w:rsidP="008A3078">
      <w:pPr>
        <w:pStyle w:val="Heading2"/>
      </w:pPr>
      <w:r w:rsidRPr="00B47BB3">
        <w:t>Quality Use of Medicines</w:t>
      </w:r>
      <w:bookmarkEnd w:id="17"/>
    </w:p>
    <w:p w:rsidR="00576972" w:rsidRPr="00576972" w:rsidRDefault="00576972" w:rsidP="00576972">
      <w:pPr>
        <w:widowControl/>
        <w:rPr>
          <w:szCs w:val="22"/>
        </w:rPr>
      </w:pPr>
    </w:p>
    <w:p w:rsidR="00576972" w:rsidRPr="009A2823" w:rsidRDefault="00F321A7" w:rsidP="009A2823">
      <w:pPr>
        <w:pStyle w:val="ListParagraph"/>
        <w:widowControl/>
        <w:numPr>
          <w:ilvl w:val="1"/>
          <w:numId w:val="2"/>
        </w:numPr>
        <w:rPr>
          <w:szCs w:val="22"/>
        </w:rPr>
      </w:pPr>
      <w:r w:rsidRPr="00F321A7">
        <w:t>The re-submission indicated that sponsor will support education activities</w:t>
      </w:r>
      <w:r w:rsidR="00B47BB3">
        <w:t xml:space="preserve"> for prescribers and patients.</w:t>
      </w:r>
    </w:p>
    <w:p w:rsidR="009A2823" w:rsidRPr="009A2823" w:rsidRDefault="009A2823" w:rsidP="009A2823">
      <w:pPr>
        <w:pStyle w:val="PBACHeading1"/>
        <w:numPr>
          <w:ilvl w:val="0"/>
          <w:numId w:val="0"/>
        </w:numPr>
        <w:ind w:left="720" w:hanging="720"/>
      </w:pPr>
    </w:p>
    <w:p w:rsidR="00576972" w:rsidRPr="00B47BB3" w:rsidRDefault="00576972" w:rsidP="008A3078">
      <w:pPr>
        <w:pStyle w:val="Heading2"/>
        <w:rPr>
          <w:szCs w:val="22"/>
        </w:rPr>
      </w:pPr>
      <w:bookmarkStart w:id="18" w:name="_Toc430009540"/>
      <w:r w:rsidRPr="00B47BB3">
        <w:t xml:space="preserve">Financial Management – </w:t>
      </w:r>
      <w:r w:rsidR="00863CBB" w:rsidRPr="00B47BB3">
        <w:t>R</w:t>
      </w:r>
      <w:r w:rsidR="000A59E9" w:rsidRPr="00B47BB3">
        <w:t xml:space="preserve">isk </w:t>
      </w:r>
      <w:r w:rsidR="00863CBB" w:rsidRPr="00B47BB3">
        <w:t>S</w:t>
      </w:r>
      <w:r w:rsidR="000A59E9" w:rsidRPr="00B47BB3">
        <w:t xml:space="preserve">hare </w:t>
      </w:r>
      <w:r w:rsidR="00863CBB" w:rsidRPr="00B47BB3">
        <w:t>A</w:t>
      </w:r>
      <w:bookmarkEnd w:id="18"/>
      <w:r w:rsidR="000A59E9" w:rsidRPr="00B47BB3">
        <w:t>rrangement</w:t>
      </w:r>
    </w:p>
    <w:p w:rsidR="00C25D9C" w:rsidRPr="00576972" w:rsidRDefault="00C25D9C" w:rsidP="00576972">
      <w:pPr>
        <w:widowControl/>
        <w:rPr>
          <w:szCs w:val="22"/>
        </w:rPr>
      </w:pPr>
    </w:p>
    <w:p w:rsidR="00C25D9C" w:rsidRPr="00863CBB" w:rsidRDefault="00863CBB" w:rsidP="00B878B5">
      <w:pPr>
        <w:pStyle w:val="ListParagraph"/>
        <w:widowControl/>
        <w:numPr>
          <w:ilvl w:val="1"/>
          <w:numId w:val="2"/>
        </w:numPr>
        <w:rPr>
          <w:szCs w:val="22"/>
        </w:rPr>
      </w:pPr>
      <w:r w:rsidRPr="00863CBB">
        <w:t xml:space="preserve">In the context of the results of the economic evaluation (Step 4: ICER = </w:t>
      </w:r>
      <w:r w:rsidR="00B878B5" w:rsidRPr="00B878B5">
        <w:t>$105,000</w:t>
      </w:r>
      <w:r w:rsidR="006B7D98">
        <w:t>/QALY</w:t>
      </w:r>
      <w:r w:rsidR="00B878B5" w:rsidRPr="00B878B5">
        <w:t xml:space="preserve"> – $200,000</w:t>
      </w:r>
      <w:r w:rsidRPr="00863CBB">
        <w:t>/QALY), the re-submission propose</w:t>
      </w:r>
      <w:r>
        <w:t>d</w:t>
      </w:r>
      <w:r w:rsidRPr="00863CBB">
        <w:t xml:space="preserve"> a</w:t>
      </w:r>
      <w:r w:rsidR="009206FB">
        <w:t>n</w:t>
      </w:r>
      <w:r w:rsidRPr="00863CBB">
        <w:t xml:space="preserve"> RSA to improve the cost effectiveness of nintedanib for the treatment of IPF.  </w:t>
      </w:r>
      <w:r>
        <w:t>A summary</w:t>
      </w:r>
      <w:r w:rsidRPr="00863CBB">
        <w:t xml:space="preserve"> of the RSA </w:t>
      </w:r>
      <w:r>
        <w:t>is</w:t>
      </w:r>
      <w:r w:rsidR="00217DD8">
        <w:t xml:space="preserve"> located in the table below.</w:t>
      </w:r>
    </w:p>
    <w:p w:rsidR="00863CBB" w:rsidRDefault="00863CBB" w:rsidP="00863CBB">
      <w:pPr>
        <w:widowControl/>
        <w:rPr>
          <w:szCs w:val="22"/>
        </w:rPr>
      </w:pPr>
    </w:p>
    <w:p w:rsidR="00863CBB" w:rsidRDefault="00863CBB" w:rsidP="00863CBB">
      <w:pPr>
        <w:ind w:firstLine="720"/>
        <w:rPr>
          <w:rFonts w:ascii="Arial Narrow" w:hAnsi="Arial Narrow"/>
          <w:b/>
          <w:sz w:val="20"/>
        </w:rPr>
      </w:pPr>
      <w:r w:rsidRPr="00E6717C">
        <w:rPr>
          <w:rFonts w:ascii="Arial Narrow" w:hAnsi="Arial Narrow"/>
          <w:b/>
          <w:sz w:val="20"/>
        </w:rPr>
        <w:t>Table</w:t>
      </w:r>
      <w:r>
        <w:rPr>
          <w:rFonts w:ascii="Arial Narrow" w:hAnsi="Arial Narrow"/>
          <w:b/>
          <w:sz w:val="20"/>
        </w:rPr>
        <w:t xml:space="preserve"> 1</w:t>
      </w:r>
      <w:r w:rsidR="00CB498B">
        <w:rPr>
          <w:rFonts w:ascii="Arial Narrow" w:hAnsi="Arial Narrow"/>
          <w:b/>
          <w:sz w:val="20"/>
        </w:rPr>
        <w:t>4</w:t>
      </w:r>
      <w:r w:rsidRPr="00E6717C">
        <w:rPr>
          <w:rFonts w:ascii="Arial Narrow" w:hAnsi="Arial Narrow"/>
          <w:b/>
          <w:sz w:val="20"/>
        </w:rPr>
        <w:t xml:space="preserve">: </w:t>
      </w:r>
      <w:r>
        <w:rPr>
          <w:rFonts w:ascii="Arial Narrow" w:hAnsi="Arial Narrow"/>
          <w:b/>
          <w:sz w:val="20"/>
        </w:rPr>
        <w:t>Proposed RSA</w:t>
      </w:r>
    </w:p>
    <w:tbl>
      <w:tblPr>
        <w:tblStyle w:val="TableGrid"/>
        <w:tblW w:w="0" w:type="auto"/>
        <w:tblInd w:w="737" w:type="dxa"/>
        <w:tblCellMar>
          <w:left w:w="28" w:type="dxa"/>
          <w:right w:w="28" w:type="dxa"/>
        </w:tblCellMar>
        <w:tblLook w:val="04A0" w:firstRow="1" w:lastRow="0" w:firstColumn="1" w:lastColumn="0" w:noHBand="0" w:noVBand="1"/>
        <w:tblCaption w:val="Table 14: Proposed RSA"/>
      </w:tblPr>
      <w:tblGrid>
        <w:gridCol w:w="3402"/>
        <w:gridCol w:w="2268"/>
        <w:gridCol w:w="2676"/>
      </w:tblGrid>
      <w:tr w:rsidR="00863CBB" w:rsidTr="005D439E">
        <w:trPr>
          <w:tblHeader/>
        </w:trPr>
        <w:tc>
          <w:tcPr>
            <w:tcW w:w="3402" w:type="dxa"/>
            <w:vAlign w:val="center"/>
          </w:tcPr>
          <w:p w:rsidR="00863CBB" w:rsidRDefault="00863CBB" w:rsidP="00AB38B6">
            <w:pPr>
              <w:jc w:val="left"/>
              <w:rPr>
                <w:rFonts w:ascii="Arial Narrow" w:hAnsi="Arial Narrow"/>
                <w:b/>
                <w:sz w:val="20"/>
              </w:rPr>
            </w:pPr>
            <w:r>
              <w:rPr>
                <w:rFonts w:ascii="Arial Narrow" w:hAnsi="Arial Narrow"/>
                <w:b/>
                <w:sz w:val="20"/>
              </w:rPr>
              <w:t>Risk sharing arrangement</w:t>
            </w:r>
          </w:p>
        </w:tc>
        <w:tc>
          <w:tcPr>
            <w:tcW w:w="2268" w:type="dxa"/>
            <w:vAlign w:val="center"/>
          </w:tcPr>
          <w:p w:rsidR="00863CBB" w:rsidRDefault="00863CBB" w:rsidP="00AB38B6">
            <w:pPr>
              <w:jc w:val="center"/>
              <w:rPr>
                <w:rFonts w:ascii="Arial Narrow" w:hAnsi="Arial Narrow"/>
                <w:b/>
                <w:sz w:val="20"/>
              </w:rPr>
            </w:pPr>
            <w:r>
              <w:rPr>
                <w:rFonts w:ascii="Arial Narrow" w:hAnsi="Arial Narrow"/>
                <w:b/>
                <w:sz w:val="20"/>
              </w:rPr>
              <w:t>Rebate</w:t>
            </w:r>
          </w:p>
        </w:tc>
        <w:tc>
          <w:tcPr>
            <w:tcW w:w="2676" w:type="dxa"/>
            <w:vAlign w:val="center"/>
          </w:tcPr>
          <w:p w:rsidR="00863CBB" w:rsidRDefault="00863CBB" w:rsidP="00AB38B6">
            <w:pPr>
              <w:jc w:val="center"/>
              <w:rPr>
                <w:rFonts w:ascii="Arial Narrow" w:hAnsi="Arial Narrow"/>
                <w:b/>
                <w:sz w:val="20"/>
              </w:rPr>
            </w:pPr>
            <w:r>
              <w:rPr>
                <w:rFonts w:ascii="Arial Narrow" w:hAnsi="Arial Narrow"/>
                <w:b/>
                <w:sz w:val="20"/>
              </w:rPr>
              <w:t>Data source</w:t>
            </w:r>
          </w:p>
        </w:tc>
      </w:tr>
      <w:tr w:rsidR="00863CBB" w:rsidTr="00863CBB">
        <w:tc>
          <w:tcPr>
            <w:tcW w:w="3402" w:type="dxa"/>
            <w:vAlign w:val="center"/>
          </w:tcPr>
          <w:p w:rsidR="00863CBB" w:rsidRPr="007D0D84" w:rsidRDefault="00863CBB" w:rsidP="00AB38B6">
            <w:pPr>
              <w:jc w:val="left"/>
              <w:rPr>
                <w:rFonts w:ascii="Arial Narrow" w:hAnsi="Arial Narrow"/>
                <w:sz w:val="20"/>
              </w:rPr>
            </w:pPr>
            <w:r w:rsidRPr="007D0D84">
              <w:rPr>
                <w:rFonts w:ascii="Arial Narrow" w:hAnsi="Arial Narrow"/>
                <w:sz w:val="20"/>
              </w:rPr>
              <w:t xml:space="preserve">Rebate the cost of all nintedanib use beyond the utilisation estimates presented in the </w:t>
            </w:r>
            <w:r>
              <w:rPr>
                <w:rFonts w:ascii="Arial Narrow" w:hAnsi="Arial Narrow"/>
                <w:sz w:val="20"/>
              </w:rPr>
              <w:t>re-</w:t>
            </w:r>
            <w:r w:rsidRPr="007D0D84">
              <w:rPr>
                <w:rFonts w:ascii="Arial Narrow" w:hAnsi="Arial Narrow"/>
                <w:sz w:val="20"/>
              </w:rPr>
              <w:t>submission</w:t>
            </w:r>
            <w:r>
              <w:rPr>
                <w:rFonts w:ascii="Arial Narrow" w:hAnsi="Arial Narrow"/>
                <w:sz w:val="20"/>
              </w:rPr>
              <w:t xml:space="preserve">.  </w:t>
            </w:r>
          </w:p>
        </w:tc>
        <w:tc>
          <w:tcPr>
            <w:tcW w:w="2268" w:type="dxa"/>
            <w:vAlign w:val="center"/>
          </w:tcPr>
          <w:p w:rsidR="00863CBB" w:rsidRPr="007D0D84" w:rsidRDefault="00863CBB" w:rsidP="00AB38B6">
            <w:pPr>
              <w:jc w:val="center"/>
              <w:rPr>
                <w:rFonts w:ascii="Arial Narrow" w:hAnsi="Arial Narrow"/>
                <w:sz w:val="20"/>
              </w:rPr>
            </w:pPr>
            <w:r>
              <w:rPr>
                <w:rFonts w:ascii="Arial Narrow" w:hAnsi="Arial Narrow"/>
                <w:sz w:val="20"/>
              </w:rPr>
              <w:t>100% of the effective IPF DPMQ, co-payment adjusted</w:t>
            </w:r>
          </w:p>
        </w:tc>
        <w:tc>
          <w:tcPr>
            <w:tcW w:w="2676" w:type="dxa"/>
            <w:vAlign w:val="center"/>
          </w:tcPr>
          <w:p w:rsidR="00863CBB" w:rsidRPr="007D0D84" w:rsidRDefault="00863CBB" w:rsidP="00AB38B6">
            <w:pPr>
              <w:jc w:val="center"/>
              <w:rPr>
                <w:rFonts w:ascii="Arial Narrow" w:hAnsi="Arial Narrow"/>
                <w:sz w:val="20"/>
              </w:rPr>
            </w:pPr>
            <w:r>
              <w:rPr>
                <w:rFonts w:ascii="Arial Narrow" w:hAnsi="Arial Narrow"/>
                <w:sz w:val="20"/>
              </w:rPr>
              <w:t>Department of Human Services, adjusted for rebate for public versus effective DPMQ minus co-payment</w:t>
            </w:r>
          </w:p>
        </w:tc>
      </w:tr>
    </w:tbl>
    <w:p w:rsidR="00863CBB" w:rsidRPr="007D0D84" w:rsidRDefault="00863CBB" w:rsidP="00863CBB">
      <w:pPr>
        <w:ind w:firstLine="720"/>
        <w:rPr>
          <w:rFonts w:ascii="Arial Narrow" w:hAnsi="Arial Narrow"/>
          <w:sz w:val="18"/>
        </w:rPr>
      </w:pPr>
      <w:r>
        <w:rPr>
          <w:rFonts w:ascii="Arial Narrow" w:hAnsi="Arial Narrow"/>
          <w:sz w:val="18"/>
        </w:rPr>
        <w:t xml:space="preserve">Abbreviations: IPF = idiopathic pulmonary fibrosis.  </w:t>
      </w:r>
      <w:r w:rsidRPr="007D0D84">
        <w:rPr>
          <w:rFonts w:ascii="Arial Narrow" w:hAnsi="Arial Narrow"/>
          <w:sz w:val="18"/>
        </w:rPr>
        <w:t xml:space="preserve">Source: Table </w:t>
      </w:r>
      <w:r>
        <w:rPr>
          <w:rFonts w:ascii="Arial Narrow" w:hAnsi="Arial Narrow"/>
          <w:sz w:val="18"/>
        </w:rPr>
        <w:t>F.2-4, p296 of the re-submission</w:t>
      </w:r>
    </w:p>
    <w:p w:rsidR="00863CBB" w:rsidRDefault="00863CBB" w:rsidP="00863CBB">
      <w:pPr>
        <w:widowControl/>
        <w:rPr>
          <w:szCs w:val="22"/>
        </w:rPr>
      </w:pPr>
    </w:p>
    <w:p w:rsidR="00863CBB" w:rsidRPr="001578E2" w:rsidRDefault="00863CBB" w:rsidP="00321D09">
      <w:pPr>
        <w:pStyle w:val="ListParagraph"/>
        <w:widowControl/>
        <w:numPr>
          <w:ilvl w:val="1"/>
          <w:numId w:val="2"/>
        </w:numPr>
        <w:rPr>
          <w:szCs w:val="22"/>
        </w:rPr>
      </w:pPr>
      <w:r w:rsidRPr="00863CBB">
        <w:rPr>
          <w:szCs w:val="22"/>
        </w:rPr>
        <w:t>In comparison to the March 2015 submission, the RSA is no longer based on a rebate for patients with a FVC%Pred &lt;</w:t>
      </w:r>
      <w:r w:rsidR="00F146E1">
        <w:rPr>
          <w:noProof/>
          <w:color w:val="000000"/>
          <w:szCs w:val="22"/>
          <w:highlight w:val="black"/>
        </w:rPr>
        <w:t>''''''</w:t>
      </w:r>
      <w:r w:rsidRPr="00863CBB">
        <w:rPr>
          <w:szCs w:val="22"/>
        </w:rPr>
        <w:t>%</w:t>
      </w:r>
      <w:r>
        <w:rPr>
          <w:szCs w:val="22"/>
        </w:rPr>
        <w:t xml:space="preserve"> </w:t>
      </w:r>
      <w:r w:rsidRPr="00863CBB">
        <w:rPr>
          <w:szCs w:val="22"/>
        </w:rPr>
        <w:t xml:space="preserve">and </w:t>
      </w:r>
      <w:r w:rsidR="00537FEA">
        <w:rPr>
          <w:szCs w:val="22"/>
        </w:rPr>
        <w:t>has been re</w:t>
      </w:r>
      <w:r w:rsidR="001578E2">
        <w:rPr>
          <w:szCs w:val="22"/>
        </w:rPr>
        <w:t>structured</w:t>
      </w:r>
      <w:r w:rsidRPr="00863CBB">
        <w:rPr>
          <w:szCs w:val="22"/>
        </w:rPr>
        <w:t xml:space="preserve"> </w:t>
      </w:r>
      <w:r w:rsidR="00537FEA">
        <w:rPr>
          <w:szCs w:val="22"/>
        </w:rPr>
        <w:t xml:space="preserve">to incorporate </w:t>
      </w:r>
      <w:r w:rsidR="00537FEA" w:rsidRPr="0060206A">
        <w:rPr>
          <w:szCs w:val="22"/>
        </w:rPr>
        <w:t xml:space="preserve">a </w:t>
      </w:r>
      <w:r w:rsidRPr="0060206A">
        <w:rPr>
          <w:szCs w:val="22"/>
        </w:rPr>
        <w:t>cap in expendit</w:t>
      </w:r>
      <w:bookmarkStart w:id="19" w:name="_GoBack"/>
      <w:bookmarkEnd w:id="19"/>
      <w:r w:rsidRPr="0060206A">
        <w:rPr>
          <w:szCs w:val="22"/>
        </w:rPr>
        <w:t>ure according to the RSA utilisation estimates</w:t>
      </w:r>
      <w:r w:rsidRPr="00587F05">
        <w:rPr>
          <w:szCs w:val="22"/>
        </w:rPr>
        <w:t>.</w:t>
      </w:r>
      <w:r w:rsidR="001578E2" w:rsidRPr="0060206A">
        <w:rPr>
          <w:szCs w:val="22"/>
        </w:rPr>
        <w:t xml:space="preserve"> </w:t>
      </w:r>
      <w:r w:rsidRPr="0060206A">
        <w:rPr>
          <w:szCs w:val="22"/>
        </w:rPr>
        <w:t xml:space="preserve">Given the </w:t>
      </w:r>
      <w:r w:rsidRPr="0060206A">
        <w:t>potential that substantial usage may occur beyond expectations within the requested restriction</w:t>
      </w:r>
      <w:r w:rsidRPr="0060206A">
        <w:rPr>
          <w:szCs w:val="22"/>
        </w:rPr>
        <w:t xml:space="preserve"> the RSA may serve to lessen the financial risks associated with the listing of nintedanib for IPF.</w:t>
      </w:r>
    </w:p>
    <w:p w:rsidR="001578E2" w:rsidRPr="00B47BB3" w:rsidRDefault="001578E2" w:rsidP="001578E2">
      <w:pPr>
        <w:widowControl/>
        <w:rPr>
          <w:szCs w:val="22"/>
        </w:rPr>
      </w:pPr>
    </w:p>
    <w:p w:rsidR="006B326B" w:rsidRDefault="001578E2" w:rsidP="0060206A">
      <w:pPr>
        <w:pStyle w:val="ListParagraph"/>
        <w:widowControl/>
        <w:numPr>
          <w:ilvl w:val="1"/>
          <w:numId w:val="2"/>
        </w:numPr>
        <w:jc w:val="left"/>
        <w:rPr>
          <w:szCs w:val="22"/>
        </w:rPr>
      </w:pPr>
      <w:r w:rsidRPr="001578E2">
        <w:rPr>
          <w:szCs w:val="22"/>
        </w:rPr>
        <w:t xml:space="preserve">On the basis of the capped expenditure </w:t>
      </w:r>
      <w:r w:rsidR="00B11B68">
        <w:rPr>
          <w:szCs w:val="22"/>
        </w:rPr>
        <w:t xml:space="preserve">(RSA) </w:t>
      </w:r>
      <w:r w:rsidRPr="001578E2">
        <w:rPr>
          <w:szCs w:val="22"/>
        </w:rPr>
        <w:t>and expected utilisation of nintedanib (actual number of prescriptions)</w:t>
      </w:r>
      <w:r>
        <w:rPr>
          <w:szCs w:val="22"/>
        </w:rPr>
        <w:t xml:space="preserve"> a weighted DPMQ of $</w:t>
      </w:r>
      <w:r w:rsidR="00F146E1">
        <w:rPr>
          <w:noProof/>
          <w:color w:val="000000"/>
          <w:szCs w:val="22"/>
          <w:highlight w:val="black"/>
        </w:rPr>
        <w:t xml:space="preserve">''''''''''''''' </w:t>
      </w:r>
      <w:r>
        <w:rPr>
          <w:szCs w:val="22"/>
        </w:rPr>
        <w:t>for nintedanib 150mg and $</w:t>
      </w:r>
      <w:r w:rsidR="00F146E1">
        <w:rPr>
          <w:noProof/>
          <w:color w:val="000000"/>
          <w:szCs w:val="22"/>
          <w:highlight w:val="black"/>
        </w:rPr>
        <w:t>''''''''''''''''''</w:t>
      </w:r>
      <w:r>
        <w:rPr>
          <w:szCs w:val="22"/>
        </w:rPr>
        <w:t xml:space="preserve"> for nintedanib 100mg across the first 5 years of listing was calculated by the re-submission.  This was applied in the last step of the economic model, reducing the estimated ICER to </w:t>
      </w:r>
      <w:r w:rsidRPr="001578E2">
        <w:rPr>
          <w:szCs w:val="22"/>
        </w:rPr>
        <w:t>$</w:t>
      </w:r>
      <w:r w:rsidR="00F146E1">
        <w:rPr>
          <w:noProof/>
          <w:color w:val="000000"/>
          <w:szCs w:val="22"/>
          <w:highlight w:val="black"/>
        </w:rPr>
        <w:t>''''''''''''''''</w:t>
      </w:r>
      <w:r w:rsidR="006B326B">
        <w:rPr>
          <w:szCs w:val="22"/>
        </w:rPr>
        <w:t>/QAL</w:t>
      </w:r>
      <w:r w:rsidR="00586105">
        <w:rPr>
          <w:szCs w:val="22"/>
        </w:rPr>
        <w:t>Y.</w:t>
      </w:r>
    </w:p>
    <w:p w:rsidR="00B47BB3" w:rsidRDefault="00B47BB3">
      <w:pPr>
        <w:widowControl/>
        <w:jc w:val="left"/>
      </w:pPr>
    </w:p>
    <w:p w:rsidR="00586105" w:rsidRDefault="00586105" w:rsidP="003757FB">
      <w:pPr>
        <w:widowControl/>
        <w:ind w:left="709"/>
        <w:rPr>
          <w:i/>
          <w:szCs w:val="22"/>
        </w:rPr>
      </w:pPr>
      <w:r w:rsidRPr="00586105">
        <w:rPr>
          <w:i/>
          <w:szCs w:val="22"/>
        </w:rPr>
        <w:t>For more detail on PBAC’s view, see section 7 “PBAC outcome”</w:t>
      </w:r>
      <w:r w:rsidR="003757FB">
        <w:rPr>
          <w:i/>
          <w:szCs w:val="22"/>
        </w:rPr>
        <w:t>.</w:t>
      </w:r>
    </w:p>
    <w:p w:rsidR="006818F4" w:rsidRDefault="006818F4" w:rsidP="003757FB">
      <w:pPr>
        <w:widowControl/>
        <w:ind w:left="709"/>
        <w:rPr>
          <w:i/>
          <w:szCs w:val="22"/>
        </w:rPr>
      </w:pPr>
    </w:p>
    <w:p w:rsidR="008A3078" w:rsidRPr="00586105" w:rsidRDefault="008A3078" w:rsidP="003757FB">
      <w:pPr>
        <w:widowControl/>
        <w:ind w:left="709"/>
        <w:rPr>
          <w:i/>
          <w:szCs w:val="22"/>
        </w:rPr>
      </w:pPr>
    </w:p>
    <w:p w:rsidR="00586105" w:rsidRPr="006D54A5" w:rsidRDefault="00586105" w:rsidP="008A3078">
      <w:pPr>
        <w:pStyle w:val="Heading1"/>
      </w:pPr>
      <w:r w:rsidRPr="006D54A5">
        <w:t>PBAC Outcome</w:t>
      </w:r>
    </w:p>
    <w:p w:rsidR="00586105" w:rsidRDefault="00586105" w:rsidP="00586105">
      <w:pPr>
        <w:rPr>
          <w:bCs/>
          <w:szCs w:val="22"/>
        </w:rPr>
      </w:pPr>
    </w:p>
    <w:p w:rsidR="00B133ED" w:rsidRDefault="00586105" w:rsidP="00B878B5">
      <w:pPr>
        <w:pStyle w:val="ListParagraph"/>
        <w:widowControl/>
        <w:numPr>
          <w:ilvl w:val="1"/>
          <w:numId w:val="2"/>
        </w:numPr>
      </w:pPr>
      <w:r w:rsidRPr="00586105">
        <w:rPr>
          <w:szCs w:val="22"/>
        </w:rPr>
        <w:t>The</w:t>
      </w:r>
      <w:r w:rsidRPr="006D54A5">
        <w:rPr>
          <w:bCs/>
          <w:szCs w:val="22"/>
        </w:rPr>
        <w:t xml:space="preserve"> PBAC</w:t>
      </w:r>
      <w:r>
        <w:rPr>
          <w:bCs/>
          <w:szCs w:val="22"/>
        </w:rPr>
        <w:t xml:space="preserve"> deferred the decision to recommend ninted</w:t>
      </w:r>
      <w:r w:rsidR="00B47BB3">
        <w:rPr>
          <w:bCs/>
          <w:szCs w:val="22"/>
        </w:rPr>
        <w:t>a</w:t>
      </w:r>
      <w:r>
        <w:rPr>
          <w:bCs/>
          <w:szCs w:val="22"/>
        </w:rPr>
        <w:t>nib for PBS listing for IPF</w:t>
      </w:r>
      <w:r w:rsidRPr="006D54A5">
        <w:rPr>
          <w:bCs/>
          <w:szCs w:val="22"/>
        </w:rPr>
        <w:t xml:space="preserve"> </w:t>
      </w:r>
      <w:r w:rsidR="00B133ED">
        <w:t xml:space="preserve">subject to a revised </w:t>
      </w:r>
      <w:r w:rsidR="00C440C2">
        <w:t xml:space="preserve">base case </w:t>
      </w:r>
      <w:r w:rsidR="00B133ED">
        <w:t>ICER of approximately $</w:t>
      </w:r>
      <w:r w:rsidR="00B133ED" w:rsidRPr="00D26810">
        <w:t>60,000</w:t>
      </w:r>
      <w:r w:rsidR="00B133ED">
        <w:t xml:space="preserve">/QALY, </w:t>
      </w:r>
      <w:r w:rsidR="00C440C2">
        <w:t xml:space="preserve">re-specified to </w:t>
      </w:r>
      <w:r w:rsidR="00B133ED">
        <w:t>incorporat</w:t>
      </w:r>
      <w:r w:rsidR="00C440C2">
        <w:t>e</w:t>
      </w:r>
      <w:r w:rsidR="00B133ED">
        <w:t xml:space="preserve"> a </w:t>
      </w:r>
      <w:r w:rsidR="00CC0550">
        <w:t>continuation</w:t>
      </w:r>
      <w:r w:rsidR="00B133ED">
        <w:t xml:space="preserve"> rule and a price reduction </w:t>
      </w:r>
      <w:r w:rsidR="003C6BDF">
        <w:t xml:space="preserve">which does not take into account any consequence of </w:t>
      </w:r>
      <w:r w:rsidR="00B133ED">
        <w:t xml:space="preserve">the proposed RSA. </w:t>
      </w:r>
      <w:r w:rsidR="00B47BB3">
        <w:t xml:space="preserve"> </w:t>
      </w:r>
      <w:r w:rsidR="00C440C2">
        <w:t>T</w:t>
      </w:r>
      <w:r w:rsidR="00B133ED">
        <w:t xml:space="preserve">he sponsor is </w:t>
      </w:r>
      <w:r w:rsidR="00C440C2">
        <w:t xml:space="preserve">also </w:t>
      </w:r>
      <w:r w:rsidR="00B133ED">
        <w:t xml:space="preserve">asked to consider a managed access program to </w:t>
      </w:r>
      <w:r w:rsidR="00CC0550">
        <w:t xml:space="preserve">compare the proportion of PBS patients who discontinue against the proportion established by the clinical trials </w:t>
      </w:r>
      <w:r w:rsidR="00B133ED">
        <w:t xml:space="preserve">and </w:t>
      </w:r>
      <w:r w:rsidR="00CC0550">
        <w:t xml:space="preserve">agree a basis to </w:t>
      </w:r>
      <w:r w:rsidR="00435D40">
        <w:t xml:space="preserve">vary </w:t>
      </w:r>
      <w:r w:rsidR="007E6D65">
        <w:t xml:space="preserve">the </w:t>
      </w:r>
      <w:r w:rsidR="00B133ED">
        <w:t>pric</w:t>
      </w:r>
      <w:r w:rsidR="00CC0550">
        <w:t xml:space="preserve">e to maintain cost-effectiveness </w:t>
      </w:r>
      <w:r w:rsidR="00C17969">
        <w:t>reflecting</w:t>
      </w:r>
      <w:r w:rsidR="00CC0550">
        <w:t xml:space="preserve"> the extent that the PBS observed proportion </w:t>
      </w:r>
      <w:r w:rsidR="00435D40">
        <w:t xml:space="preserve">might differ from </w:t>
      </w:r>
      <w:r w:rsidR="00CC0550">
        <w:t xml:space="preserve">the </w:t>
      </w:r>
      <w:r w:rsidR="006315BB">
        <w:t xml:space="preserve">proportion established by the </w:t>
      </w:r>
      <w:r w:rsidR="00CC0550">
        <w:t>clinical trial</w:t>
      </w:r>
      <w:r w:rsidR="006315BB">
        <w:t>s and/or the model</w:t>
      </w:r>
      <w:r w:rsidR="00B133ED">
        <w:t>.</w:t>
      </w:r>
      <w:r w:rsidR="00B47BB3">
        <w:t xml:space="preserve"> </w:t>
      </w:r>
      <w:r w:rsidR="007E6D65">
        <w:t xml:space="preserve"> Discussions with the Department of Health should take place prior </w:t>
      </w:r>
      <w:r w:rsidR="00B47BB3">
        <w:t>to a future major resubmission.</w:t>
      </w:r>
    </w:p>
    <w:p w:rsidR="00B133ED" w:rsidRDefault="00B133ED" w:rsidP="00B133ED">
      <w:pPr>
        <w:widowControl/>
        <w:jc w:val="left"/>
      </w:pPr>
    </w:p>
    <w:p w:rsidR="007E6D65" w:rsidRDefault="007E6D65" w:rsidP="007E6D65">
      <w:pPr>
        <w:widowControl/>
        <w:numPr>
          <w:ilvl w:val="1"/>
          <w:numId w:val="2"/>
        </w:numPr>
        <w:contextualSpacing/>
        <w:rPr>
          <w:szCs w:val="22"/>
        </w:rPr>
      </w:pPr>
      <w:r>
        <w:rPr>
          <w:szCs w:val="22"/>
        </w:rPr>
        <w:t xml:space="preserve">The PBAC recognised the high clinical need for </w:t>
      </w:r>
      <w:r w:rsidRPr="00F16534">
        <w:rPr>
          <w:szCs w:val="22"/>
        </w:rPr>
        <w:t>an effective treatment for IPF</w:t>
      </w:r>
      <w:r>
        <w:rPr>
          <w:szCs w:val="22"/>
        </w:rPr>
        <w:t xml:space="preserve"> and the</w:t>
      </w:r>
      <w:r>
        <w:t xml:space="preserve"> significant debilitating effects of the disease on quality of life, as noted in the consumer </w:t>
      </w:r>
      <w:r w:rsidR="003C664B">
        <w:t>comment</w:t>
      </w:r>
      <w:r w:rsidR="00AC1B1C">
        <w:t>s</w:t>
      </w:r>
      <w:r w:rsidR="003C664B">
        <w:t xml:space="preserve"> received for this item</w:t>
      </w:r>
      <w:r>
        <w:rPr>
          <w:szCs w:val="22"/>
        </w:rPr>
        <w:t>.</w:t>
      </w:r>
    </w:p>
    <w:p w:rsidR="007E6D65" w:rsidRPr="00B47BB3" w:rsidRDefault="007E6D65" w:rsidP="007E6D65">
      <w:pPr>
        <w:rPr>
          <w:szCs w:val="22"/>
        </w:rPr>
      </w:pPr>
    </w:p>
    <w:p w:rsidR="0032687A" w:rsidRDefault="007E6D65" w:rsidP="0032687A">
      <w:pPr>
        <w:widowControl/>
        <w:numPr>
          <w:ilvl w:val="1"/>
          <w:numId w:val="2"/>
        </w:numPr>
        <w:contextualSpacing/>
        <w:rPr>
          <w:szCs w:val="22"/>
        </w:rPr>
      </w:pPr>
      <w:r>
        <w:rPr>
          <w:szCs w:val="22"/>
        </w:rPr>
        <w:t xml:space="preserve">The PBAC </w:t>
      </w:r>
      <w:r w:rsidR="0032687A">
        <w:rPr>
          <w:szCs w:val="22"/>
        </w:rPr>
        <w:t xml:space="preserve">welcomed the Pre-PBAC response (p1) suggestion for </w:t>
      </w:r>
      <w:r w:rsidR="0037381D">
        <w:rPr>
          <w:szCs w:val="22"/>
        </w:rPr>
        <w:t>the following</w:t>
      </w:r>
      <w:r w:rsidR="0032687A">
        <w:rPr>
          <w:szCs w:val="22"/>
        </w:rPr>
        <w:t xml:space="preserve"> </w:t>
      </w:r>
      <w:r w:rsidR="00DC5A4D">
        <w:rPr>
          <w:szCs w:val="22"/>
        </w:rPr>
        <w:t>continuation</w:t>
      </w:r>
      <w:r w:rsidR="0032687A">
        <w:rPr>
          <w:szCs w:val="22"/>
        </w:rPr>
        <w:t xml:space="preserve"> rule: </w:t>
      </w:r>
      <w:r w:rsidR="0032687A" w:rsidRPr="0032687A">
        <w:rPr>
          <w:szCs w:val="22"/>
        </w:rPr>
        <w:t xml:space="preserve">“treatment with nintedanib should be discontinued if disease progresses (a confirmed decline in % predicted FVC of 10% or more within any 12-month period while receiving treatment)”. </w:t>
      </w:r>
      <w:r w:rsidR="00B47BB3">
        <w:rPr>
          <w:szCs w:val="22"/>
        </w:rPr>
        <w:t xml:space="preserve"> </w:t>
      </w:r>
      <w:r w:rsidR="0032687A" w:rsidRPr="0032687A">
        <w:rPr>
          <w:szCs w:val="22"/>
        </w:rPr>
        <w:t>This proposed rule ha</w:t>
      </w:r>
      <w:r w:rsidR="0032687A">
        <w:rPr>
          <w:szCs w:val="22"/>
        </w:rPr>
        <w:t>d</w:t>
      </w:r>
      <w:r w:rsidR="0032687A" w:rsidRPr="0032687A">
        <w:rPr>
          <w:szCs w:val="22"/>
        </w:rPr>
        <w:t xml:space="preserve"> recently been requested for nintedanib by the National Institute for Health and Care Excellence (through the appraisal consultation document process) and the Canadian Drug Expert Committee. </w:t>
      </w:r>
      <w:r w:rsidR="00B47BB3">
        <w:rPr>
          <w:szCs w:val="22"/>
        </w:rPr>
        <w:t xml:space="preserve"> </w:t>
      </w:r>
      <w:r w:rsidR="0032687A">
        <w:rPr>
          <w:szCs w:val="22"/>
        </w:rPr>
        <w:t xml:space="preserve">PBAC considered a future resubmission should explore the likelihood of the stopping rule proving effective by exploring the numbers of patients who may discontinue treatment based on </w:t>
      </w:r>
      <w:r w:rsidR="00FB1003">
        <w:rPr>
          <w:szCs w:val="22"/>
        </w:rPr>
        <w:t xml:space="preserve">the </w:t>
      </w:r>
      <w:r w:rsidR="0032687A">
        <w:rPr>
          <w:szCs w:val="22"/>
        </w:rPr>
        <w:t xml:space="preserve">clinical </w:t>
      </w:r>
      <w:r w:rsidR="00FB1003">
        <w:rPr>
          <w:szCs w:val="22"/>
        </w:rPr>
        <w:t xml:space="preserve">trial </w:t>
      </w:r>
      <w:r w:rsidR="0032687A">
        <w:rPr>
          <w:szCs w:val="22"/>
        </w:rPr>
        <w:t>evidence and the proposed model.</w:t>
      </w:r>
    </w:p>
    <w:p w:rsidR="0032687A" w:rsidRPr="00B47BB3" w:rsidRDefault="0032687A" w:rsidP="0032687A">
      <w:pPr>
        <w:rPr>
          <w:szCs w:val="22"/>
        </w:rPr>
      </w:pPr>
    </w:p>
    <w:p w:rsidR="007E6D65" w:rsidRDefault="00E35E4C" w:rsidP="00AF70CC">
      <w:pPr>
        <w:widowControl/>
        <w:numPr>
          <w:ilvl w:val="1"/>
          <w:numId w:val="2"/>
        </w:numPr>
        <w:contextualSpacing/>
        <w:rPr>
          <w:szCs w:val="22"/>
        </w:rPr>
      </w:pPr>
      <w:r>
        <w:rPr>
          <w:szCs w:val="22"/>
        </w:rPr>
        <w:t xml:space="preserve">Other suggested wording changes to the restriction in the Pre-PBAC response (p1) included </w:t>
      </w:r>
      <w:r w:rsidR="0032687A" w:rsidRPr="0032687A">
        <w:rPr>
          <w:szCs w:val="22"/>
        </w:rPr>
        <w:t>“Prescriber Instruction 1” be made clear</w:t>
      </w:r>
      <w:r w:rsidR="00F77673">
        <w:rPr>
          <w:szCs w:val="22"/>
        </w:rPr>
        <w:t>er</w:t>
      </w:r>
      <w:r w:rsidR="0032687A" w:rsidRPr="0032687A">
        <w:rPr>
          <w:szCs w:val="22"/>
        </w:rPr>
        <w:t xml:space="preserve"> to read: “Documented diagnosis through a multidisciplinary team which comprises of at least a pulmonologist, radiologist and where required, pathologist. </w:t>
      </w:r>
      <w:r w:rsidR="00FB1003">
        <w:rPr>
          <w:szCs w:val="22"/>
        </w:rPr>
        <w:t xml:space="preserve"> </w:t>
      </w:r>
      <w:r w:rsidR="0032687A" w:rsidRPr="0032687A">
        <w:rPr>
          <w:szCs w:val="22"/>
        </w:rPr>
        <w:t>If attendance is not possible, because of geographical isolation, consultation with a multidisciplinary team is necessary in the diagnosis of idiopathic pulmonary fibrosis (IPF)”.</w:t>
      </w:r>
      <w:r w:rsidR="00FB1003">
        <w:rPr>
          <w:szCs w:val="22"/>
        </w:rPr>
        <w:t xml:space="preserve"> </w:t>
      </w:r>
      <w:r w:rsidR="007E6D65">
        <w:rPr>
          <w:szCs w:val="22"/>
        </w:rPr>
        <w:t xml:space="preserve"> </w:t>
      </w:r>
      <w:r w:rsidR="00904610">
        <w:rPr>
          <w:szCs w:val="22"/>
        </w:rPr>
        <w:t>PBAC agreed with the suggested wording</w:t>
      </w:r>
      <w:r w:rsidR="00AF70CC">
        <w:rPr>
          <w:szCs w:val="22"/>
        </w:rPr>
        <w:t xml:space="preserve">, noting the letter received from the </w:t>
      </w:r>
      <w:r w:rsidR="00AF70CC" w:rsidRPr="0031692C">
        <w:rPr>
          <w:szCs w:val="22"/>
        </w:rPr>
        <w:t>Australian IPF Registry Steering Committee</w:t>
      </w:r>
      <w:r w:rsidR="00AF70CC">
        <w:rPr>
          <w:szCs w:val="22"/>
        </w:rPr>
        <w:t xml:space="preserve"> (1 July 2015) which endorsed the </w:t>
      </w:r>
      <w:r w:rsidR="00AF70CC" w:rsidRPr="00AF70CC">
        <w:rPr>
          <w:szCs w:val="22"/>
        </w:rPr>
        <w:t>require</w:t>
      </w:r>
      <w:r w:rsidR="00AF70CC">
        <w:rPr>
          <w:szCs w:val="22"/>
        </w:rPr>
        <w:t>ment for a</w:t>
      </w:r>
      <w:r w:rsidR="00AF70CC" w:rsidRPr="00AF70CC">
        <w:rPr>
          <w:szCs w:val="22"/>
        </w:rPr>
        <w:t xml:space="preserve"> written authority</w:t>
      </w:r>
      <w:r w:rsidR="00AF70CC">
        <w:rPr>
          <w:szCs w:val="22"/>
        </w:rPr>
        <w:t xml:space="preserve"> p</w:t>
      </w:r>
      <w:r w:rsidR="00AF70CC" w:rsidRPr="00AF70CC">
        <w:rPr>
          <w:szCs w:val="22"/>
        </w:rPr>
        <w:t>rescription for anti-fibrotic therapy</w:t>
      </w:r>
      <w:r w:rsidR="00AF70CC">
        <w:rPr>
          <w:szCs w:val="22"/>
        </w:rPr>
        <w:t>,</w:t>
      </w:r>
      <w:r w:rsidR="00AF70CC" w:rsidRPr="00AF70CC">
        <w:rPr>
          <w:szCs w:val="22"/>
        </w:rPr>
        <w:t xml:space="preserve"> including the need for diagnosis to have been made at a multidisciplinary team meeting. </w:t>
      </w:r>
      <w:r w:rsidR="00FB1003">
        <w:rPr>
          <w:szCs w:val="22"/>
        </w:rPr>
        <w:t xml:space="preserve"> </w:t>
      </w:r>
      <w:r w:rsidR="00AF70CC">
        <w:rPr>
          <w:szCs w:val="22"/>
        </w:rPr>
        <w:t>S</w:t>
      </w:r>
      <w:r w:rsidR="00AF70CC" w:rsidRPr="00AF70CC">
        <w:rPr>
          <w:szCs w:val="22"/>
        </w:rPr>
        <w:t xml:space="preserve">uch meetings </w:t>
      </w:r>
      <w:r w:rsidR="00AF70CC">
        <w:rPr>
          <w:szCs w:val="22"/>
        </w:rPr>
        <w:t>were described by the Steering Committee as</w:t>
      </w:r>
      <w:r w:rsidR="00AF70CC" w:rsidRPr="00AF70CC">
        <w:rPr>
          <w:szCs w:val="22"/>
        </w:rPr>
        <w:t xml:space="preserve"> likely be held in association with respiratory departments in large public hospitals.</w:t>
      </w:r>
      <w:r w:rsidR="00AF70CC">
        <w:rPr>
          <w:szCs w:val="22"/>
        </w:rPr>
        <w:t xml:space="preserve"> </w:t>
      </w:r>
      <w:r w:rsidR="00FB1003">
        <w:rPr>
          <w:szCs w:val="22"/>
        </w:rPr>
        <w:t xml:space="preserve"> </w:t>
      </w:r>
      <w:r w:rsidR="00AF70CC">
        <w:rPr>
          <w:szCs w:val="22"/>
        </w:rPr>
        <w:t xml:space="preserve">The PBAC agreed </w:t>
      </w:r>
      <w:r w:rsidR="00904610">
        <w:rPr>
          <w:szCs w:val="22"/>
        </w:rPr>
        <w:t xml:space="preserve">that a one-off requirement for diagnosis by the </w:t>
      </w:r>
      <w:r w:rsidR="00904610" w:rsidRPr="0032687A">
        <w:rPr>
          <w:szCs w:val="22"/>
        </w:rPr>
        <w:t>multidisciplinary</w:t>
      </w:r>
      <w:r w:rsidR="00904610">
        <w:rPr>
          <w:szCs w:val="22"/>
        </w:rPr>
        <w:t xml:space="preserve"> team for initiatin</w:t>
      </w:r>
      <w:r w:rsidR="00B47BB3">
        <w:rPr>
          <w:szCs w:val="22"/>
        </w:rPr>
        <w:t>g therapy would be appropriate.</w:t>
      </w:r>
    </w:p>
    <w:p w:rsidR="00697802" w:rsidRPr="00B47BB3" w:rsidRDefault="00697802" w:rsidP="00697802">
      <w:pPr>
        <w:rPr>
          <w:szCs w:val="22"/>
        </w:rPr>
      </w:pPr>
    </w:p>
    <w:p w:rsidR="00697802" w:rsidRDefault="00697802" w:rsidP="00697802">
      <w:pPr>
        <w:widowControl/>
        <w:numPr>
          <w:ilvl w:val="1"/>
          <w:numId w:val="2"/>
        </w:numPr>
        <w:contextualSpacing/>
        <w:rPr>
          <w:szCs w:val="22"/>
        </w:rPr>
      </w:pPr>
      <w:r>
        <w:rPr>
          <w:szCs w:val="22"/>
        </w:rPr>
        <w:t xml:space="preserve">The PBAC reaffirmed that best supportive care was the appropriate </w:t>
      </w:r>
      <w:r w:rsidR="00FB1003">
        <w:rPr>
          <w:szCs w:val="22"/>
        </w:rPr>
        <w:t xml:space="preserve">main </w:t>
      </w:r>
      <w:r>
        <w:rPr>
          <w:szCs w:val="22"/>
        </w:rPr>
        <w:t xml:space="preserve">comparator for nintedanib for IPF. </w:t>
      </w:r>
      <w:r w:rsidR="00FB1003">
        <w:rPr>
          <w:szCs w:val="22"/>
        </w:rPr>
        <w:t xml:space="preserve"> </w:t>
      </w:r>
      <w:r>
        <w:rPr>
          <w:szCs w:val="22"/>
        </w:rPr>
        <w:t>Another novel agent for the treatment of IPF, pirfenidone, was considered at the same November 2015 PBAC meeting and</w:t>
      </w:r>
      <w:r w:rsidR="00FB1003">
        <w:rPr>
          <w:szCs w:val="22"/>
        </w:rPr>
        <w:t>,</w:t>
      </w:r>
      <w:r>
        <w:rPr>
          <w:szCs w:val="22"/>
        </w:rPr>
        <w:t xml:space="preserve"> although not currently </w:t>
      </w:r>
      <w:r w:rsidR="00FB1003">
        <w:rPr>
          <w:szCs w:val="22"/>
        </w:rPr>
        <w:t xml:space="preserve">registered by </w:t>
      </w:r>
      <w:r w:rsidR="00904610">
        <w:rPr>
          <w:szCs w:val="22"/>
        </w:rPr>
        <w:t>TGA</w:t>
      </w:r>
      <w:r>
        <w:rPr>
          <w:szCs w:val="22"/>
        </w:rPr>
        <w:t xml:space="preserve">, pirfenidone was considered </w:t>
      </w:r>
      <w:r w:rsidR="00FB1003">
        <w:rPr>
          <w:szCs w:val="22"/>
        </w:rPr>
        <w:t xml:space="preserve">to be </w:t>
      </w:r>
      <w:r>
        <w:rPr>
          <w:szCs w:val="22"/>
        </w:rPr>
        <w:t xml:space="preserve">a relevant secondary comparator. </w:t>
      </w:r>
      <w:r w:rsidR="00FB1003">
        <w:rPr>
          <w:szCs w:val="22"/>
        </w:rPr>
        <w:t xml:space="preserve"> </w:t>
      </w:r>
      <w:r>
        <w:rPr>
          <w:szCs w:val="22"/>
        </w:rPr>
        <w:t xml:space="preserve">PBAC noted </w:t>
      </w:r>
      <w:r w:rsidR="003C664B">
        <w:rPr>
          <w:szCs w:val="22"/>
        </w:rPr>
        <w:t xml:space="preserve">its </w:t>
      </w:r>
      <w:r>
        <w:rPr>
          <w:szCs w:val="22"/>
        </w:rPr>
        <w:t>concern that should both drugs become PBS subsidised in the future, the risk of concomitant use w</w:t>
      </w:r>
      <w:r w:rsidR="00FB1003">
        <w:rPr>
          <w:szCs w:val="22"/>
        </w:rPr>
        <w:t>ould</w:t>
      </w:r>
      <w:r>
        <w:rPr>
          <w:szCs w:val="22"/>
        </w:rPr>
        <w:t xml:space="preserve"> need to be addressed.</w:t>
      </w:r>
    </w:p>
    <w:p w:rsidR="00697802" w:rsidRPr="00B47BB3" w:rsidRDefault="00697802" w:rsidP="00697802">
      <w:pPr>
        <w:rPr>
          <w:szCs w:val="22"/>
        </w:rPr>
      </w:pPr>
    </w:p>
    <w:p w:rsidR="004E3B49" w:rsidRDefault="00B6317B" w:rsidP="004E3B49">
      <w:pPr>
        <w:widowControl/>
        <w:numPr>
          <w:ilvl w:val="1"/>
          <w:numId w:val="2"/>
        </w:numPr>
        <w:contextualSpacing/>
      </w:pPr>
      <w:r>
        <w:rPr>
          <w:szCs w:val="22"/>
        </w:rPr>
        <w:t xml:space="preserve">The PBAC noted the </w:t>
      </w:r>
      <w:r w:rsidR="004E3B49">
        <w:rPr>
          <w:szCs w:val="22"/>
        </w:rPr>
        <w:t xml:space="preserve">resubmission presented the same </w:t>
      </w:r>
      <w:r w:rsidR="004E3B49">
        <w:t>three</w:t>
      </w:r>
      <w:r w:rsidR="004E3B49" w:rsidRPr="00862502">
        <w:t xml:space="preserve"> head-to-head </w:t>
      </w:r>
      <w:r w:rsidR="004E3B49">
        <w:t xml:space="preserve">randomised trials </w:t>
      </w:r>
      <w:r w:rsidR="004E3B49" w:rsidRPr="00862502">
        <w:t xml:space="preserve">comparing </w:t>
      </w:r>
      <w:r w:rsidR="004E3B49">
        <w:t>nintedanib</w:t>
      </w:r>
      <w:r w:rsidR="004E3B49" w:rsidRPr="00862502">
        <w:t xml:space="preserve"> to </w:t>
      </w:r>
      <w:r w:rsidR="004E3B49">
        <w:t xml:space="preserve">placebo as in the March 2015 submission: </w:t>
      </w:r>
      <w:r w:rsidR="004E3B49" w:rsidRPr="00F333D9">
        <w:t>Trial 30 (n=432), Trial 32 (n=515) and Trial 34 (n=551</w:t>
      </w:r>
      <w:r w:rsidR="004E3B49" w:rsidRPr="00394948">
        <w:t>)</w:t>
      </w:r>
      <w:r w:rsidR="004E3B49">
        <w:t>.</w:t>
      </w:r>
      <w:r w:rsidR="00FB1003">
        <w:t xml:space="preserve"> </w:t>
      </w:r>
      <w:r w:rsidR="004E3B49">
        <w:t xml:space="preserve"> </w:t>
      </w:r>
      <w:r w:rsidR="004E3B49" w:rsidRPr="004E3B49">
        <w:t xml:space="preserve">On the basis of </w:t>
      </w:r>
      <w:r w:rsidR="001C07DB">
        <w:t xml:space="preserve">a meta-analysis of </w:t>
      </w:r>
      <w:r w:rsidR="004E3B49">
        <w:t xml:space="preserve">this </w:t>
      </w:r>
      <w:r w:rsidR="004E3B49" w:rsidRPr="004E3B49">
        <w:t xml:space="preserve">direct evidence </w:t>
      </w:r>
      <w:r w:rsidR="004E3B49">
        <w:t>versus</w:t>
      </w:r>
      <w:r w:rsidR="004E3B49" w:rsidRPr="004E3B49">
        <w:t xml:space="preserve"> placebo, nintedanib was associated with:</w:t>
      </w:r>
    </w:p>
    <w:p w:rsidR="004E3B49" w:rsidRPr="004E3B49" w:rsidRDefault="004E3B49" w:rsidP="004E3B49">
      <w:pPr>
        <w:widowControl/>
        <w:numPr>
          <w:ilvl w:val="1"/>
          <w:numId w:val="19"/>
        </w:numPr>
        <w:contextualSpacing/>
      </w:pPr>
      <w:r w:rsidRPr="004E3B49">
        <w:t>Approximately a 118.</w:t>
      </w:r>
      <w:r w:rsidR="00FB1003">
        <w:t>89 </w:t>
      </w:r>
      <w:r w:rsidR="00D2648F">
        <w:t>mL</w:t>
      </w:r>
      <w:r w:rsidRPr="004E3B49">
        <w:t>/year reduction in the annual rate of decline in FVC.</w:t>
      </w:r>
    </w:p>
    <w:p w:rsidR="004E3B49" w:rsidRPr="004E3B49" w:rsidRDefault="004E3B49" w:rsidP="004E3B49">
      <w:pPr>
        <w:pStyle w:val="ListParagraph"/>
        <w:widowControl/>
        <w:numPr>
          <w:ilvl w:val="1"/>
          <w:numId w:val="19"/>
        </w:numPr>
      </w:pPr>
      <w:r w:rsidRPr="004E3B49">
        <w:t>Approximately a 3.31% r</w:t>
      </w:r>
      <w:r w:rsidR="003C6F17">
        <w:t>eduction in absolute decline i</w:t>
      </w:r>
      <w:r>
        <w:rPr>
          <w:szCs w:val="22"/>
        </w:rPr>
        <w:t xml:space="preserve">n </w:t>
      </w:r>
      <w:r>
        <w:t>forced vital capacity percent predicted</w:t>
      </w:r>
      <w:r>
        <w:rPr>
          <w:szCs w:val="22"/>
        </w:rPr>
        <w:t xml:space="preserve"> (FVC%Pred)</w:t>
      </w:r>
      <w:r w:rsidRPr="004E3B49">
        <w:t xml:space="preserve"> from baseline to week 52.</w:t>
      </w:r>
    </w:p>
    <w:p w:rsidR="009532CF" w:rsidRDefault="003C6F17" w:rsidP="00D2648F">
      <w:pPr>
        <w:pStyle w:val="ListParagraph"/>
        <w:numPr>
          <w:ilvl w:val="1"/>
          <w:numId w:val="19"/>
        </w:numPr>
      </w:pPr>
      <w:r>
        <w:t>A</w:t>
      </w:r>
      <w:r w:rsidRPr="00D2648F">
        <w:t>pproximately a 65% reduction in the risk of independently adjudicated acute IPF exacerbations over 52 weeks</w:t>
      </w:r>
      <w:r>
        <w:t>, but no s</w:t>
      </w:r>
      <w:r w:rsidRPr="004E3B49">
        <w:t>ignificant difference in investigator-</w:t>
      </w:r>
      <w:r w:rsidRPr="00B86D7D">
        <w:t>reported acute IPF exacerbations.</w:t>
      </w:r>
    </w:p>
    <w:p w:rsidR="003C6F17" w:rsidRDefault="009532CF" w:rsidP="00D2648F">
      <w:pPr>
        <w:pStyle w:val="ListParagraph"/>
        <w:numPr>
          <w:ilvl w:val="1"/>
          <w:numId w:val="19"/>
        </w:numPr>
      </w:pPr>
      <w:r>
        <w:t>No significant difference in disease specific quality of life.</w:t>
      </w:r>
    </w:p>
    <w:p w:rsidR="004E3B49" w:rsidRPr="004E3B49" w:rsidRDefault="004E3B49" w:rsidP="004E3B49">
      <w:pPr>
        <w:pStyle w:val="ListParagraph"/>
        <w:widowControl/>
        <w:numPr>
          <w:ilvl w:val="1"/>
          <w:numId w:val="19"/>
        </w:numPr>
      </w:pPr>
      <w:r w:rsidRPr="00B6317B">
        <w:rPr>
          <w:szCs w:val="22"/>
        </w:rPr>
        <w:t>Insufficient evidence to support a significant difference in OS</w:t>
      </w:r>
      <w:r w:rsidRPr="004E3B49">
        <w:t>.</w:t>
      </w:r>
    </w:p>
    <w:p w:rsidR="003C6F17" w:rsidRDefault="003C6F17" w:rsidP="00B47BB3"/>
    <w:p w:rsidR="003C6F17" w:rsidRPr="00B86D7D" w:rsidRDefault="003C6F17" w:rsidP="003C6F17">
      <w:pPr>
        <w:widowControl/>
        <w:numPr>
          <w:ilvl w:val="1"/>
          <w:numId w:val="2"/>
        </w:numPr>
        <w:contextualSpacing/>
      </w:pPr>
      <w:r>
        <w:t xml:space="preserve">The PBAC noted that loss of lung function was a more critical clinical issue than exacerbations and that the 3.31% </w:t>
      </w:r>
      <w:r w:rsidRPr="004E3B49">
        <w:t>absolute decline in</w:t>
      </w:r>
      <w:r>
        <w:t xml:space="preserve"> reduction in FVC was close to the MCID </w:t>
      </w:r>
      <w:r w:rsidRPr="00B6317B">
        <w:t xml:space="preserve">calculated by the </w:t>
      </w:r>
      <w:r w:rsidR="00FB1003">
        <w:t>a</w:t>
      </w:r>
      <w:r w:rsidRPr="00B6317B">
        <w:t xml:space="preserve">nchor based </w:t>
      </w:r>
      <w:r w:rsidR="00FB1003">
        <w:t xml:space="preserve">method </w:t>
      </w:r>
      <w:r w:rsidRPr="00B6317B">
        <w:t>an</w:t>
      </w:r>
      <w:r w:rsidR="00FB1003">
        <w:t>d the distribution based method</w:t>
      </w:r>
      <w:r w:rsidR="00B47BB3">
        <w:t xml:space="preserve"> (see Table 4 above).</w:t>
      </w:r>
    </w:p>
    <w:p w:rsidR="00B6317B" w:rsidRPr="00B47BB3" w:rsidRDefault="00B6317B" w:rsidP="00B6317B">
      <w:pPr>
        <w:rPr>
          <w:szCs w:val="22"/>
        </w:rPr>
      </w:pPr>
    </w:p>
    <w:p w:rsidR="00697802" w:rsidRDefault="00B86D7D" w:rsidP="001E5C9E">
      <w:pPr>
        <w:widowControl/>
        <w:numPr>
          <w:ilvl w:val="1"/>
          <w:numId w:val="2"/>
        </w:numPr>
        <w:contextualSpacing/>
        <w:rPr>
          <w:szCs w:val="22"/>
        </w:rPr>
      </w:pPr>
      <w:r w:rsidRPr="00B86D7D">
        <w:rPr>
          <w:szCs w:val="22"/>
        </w:rPr>
        <w:t>The FDA review</w:t>
      </w:r>
      <w:r w:rsidRPr="00B86D7D">
        <w:rPr>
          <w:rStyle w:val="FootnoteReference"/>
        </w:rPr>
        <w:footnoteReference w:id="3"/>
      </w:r>
      <w:r w:rsidRPr="00B86D7D">
        <w:rPr>
          <w:szCs w:val="22"/>
        </w:rPr>
        <w:t xml:space="preserve"> of p</w:t>
      </w:r>
      <w:r w:rsidR="00B47BB3">
        <w:rPr>
          <w:szCs w:val="22"/>
        </w:rPr>
        <w:t>i</w:t>
      </w:r>
      <w:r w:rsidRPr="00B86D7D">
        <w:rPr>
          <w:szCs w:val="22"/>
        </w:rPr>
        <w:t>rf</w:t>
      </w:r>
      <w:r w:rsidR="00B47BB3">
        <w:rPr>
          <w:szCs w:val="22"/>
        </w:rPr>
        <w:t>e</w:t>
      </w:r>
      <w:r w:rsidRPr="00B86D7D">
        <w:rPr>
          <w:szCs w:val="22"/>
        </w:rPr>
        <w:t>nidone and ninted</w:t>
      </w:r>
      <w:r w:rsidR="00B47BB3">
        <w:rPr>
          <w:szCs w:val="22"/>
        </w:rPr>
        <w:t>ani</w:t>
      </w:r>
      <w:r w:rsidRPr="00B86D7D">
        <w:rPr>
          <w:szCs w:val="22"/>
        </w:rPr>
        <w:t>b studies suggests that FVC is a valid surrogate</w:t>
      </w:r>
      <w:r w:rsidRPr="00B86D7D">
        <w:t xml:space="preserve"> for mortality in IPF.</w:t>
      </w:r>
      <w:r w:rsidRPr="00B86D7D">
        <w:rPr>
          <w:szCs w:val="22"/>
        </w:rPr>
        <w:t xml:space="preserve"> </w:t>
      </w:r>
      <w:r w:rsidR="00B47BB3">
        <w:rPr>
          <w:szCs w:val="22"/>
        </w:rPr>
        <w:t xml:space="preserve"> </w:t>
      </w:r>
      <w:r w:rsidRPr="00B86D7D">
        <w:rPr>
          <w:szCs w:val="22"/>
        </w:rPr>
        <w:t>T</w:t>
      </w:r>
      <w:r w:rsidR="00F25FF3" w:rsidRPr="00B86D7D">
        <w:rPr>
          <w:szCs w:val="22"/>
        </w:rPr>
        <w:t xml:space="preserve">his </w:t>
      </w:r>
      <w:r w:rsidRPr="00B86D7D">
        <w:rPr>
          <w:szCs w:val="22"/>
        </w:rPr>
        <w:t xml:space="preserve">review </w:t>
      </w:r>
      <w:r w:rsidR="00F25FF3" w:rsidRPr="00B86D7D">
        <w:rPr>
          <w:szCs w:val="22"/>
        </w:rPr>
        <w:t>g</w:t>
      </w:r>
      <w:r w:rsidRPr="00B86D7D">
        <w:rPr>
          <w:szCs w:val="22"/>
        </w:rPr>
        <w:t>a</w:t>
      </w:r>
      <w:r w:rsidR="00F25FF3" w:rsidRPr="00B86D7D">
        <w:rPr>
          <w:szCs w:val="22"/>
        </w:rPr>
        <w:t>ve</w:t>
      </w:r>
      <w:r w:rsidRPr="00B86D7D">
        <w:rPr>
          <w:szCs w:val="22"/>
        </w:rPr>
        <w:t xml:space="preserve"> the PBAC</w:t>
      </w:r>
      <w:r w:rsidR="00F25FF3" w:rsidRPr="00B86D7D">
        <w:rPr>
          <w:szCs w:val="22"/>
        </w:rPr>
        <w:t xml:space="preserve"> more confidence that the lack of statistical significance in OS may be an issue of lack of power</w:t>
      </w:r>
      <w:r w:rsidR="003C6F17">
        <w:rPr>
          <w:szCs w:val="22"/>
        </w:rPr>
        <w:t xml:space="preserve"> in the </w:t>
      </w:r>
      <w:r w:rsidR="00FB1003">
        <w:rPr>
          <w:szCs w:val="22"/>
        </w:rPr>
        <w:t>trials</w:t>
      </w:r>
      <w:r w:rsidR="001E5C9E">
        <w:rPr>
          <w:szCs w:val="22"/>
        </w:rPr>
        <w:t>.</w:t>
      </w:r>
      <w:r w:rsidR="00FB1003">
        <w:rPr>
          <w:szCs w:val="22"/>
        </w:rPr>
        <w:t xml:space="preserve"> </w:t>
      </w:r>
      <w:r w:rsidR="003C6F17">
        <w:rPr>
          <w:szCs w:val="22"/>
        </w:rPr>
        <w:t xml:space="preserve"> </w:t>
      </w:r>
      <w:r w:rsidR="001E5C9E">
        <w:rPr>
          <w:szCs w:val="22"/>
        </w:rPr>
        <w:t xml:space="preserve">It was further noted, from the Pre-PBAC response (p2), </w:t>
      </w:r>
      <w:r w:rsidR="00FB1003">
        <w:rPr>
          <w:szCs w:val="22"/>
        </w:rPr>
        <w:t xml:space="preserve">that </w:t>
      </w:r>
      <w:r w:rsidR="001E5C9E">
        <w:rPr>
          <w:szCs w:val="22"/>
        </w:rPr>
        <w:t xml:space="preserve">the poor prognosis of patients with IPF combined with the observed trend in survival benefit imposes ethical limitations on any further placebo-controlled trials </w:t>
      </w:r>
      <w:r w:rsidR="003C6F17">
        <w:rPr>
          <w:szCs w:val="22"/>
        </w:rPr>
        <w:t>given the nature of the disease</w:t>
      </w:r>
      <w:r w:rsidR="00FB1003">
        <w:rPr>
          <w:szCs w:val="22"/>
        </w:rPr>
        <w:t>.  This makes</w:t>
      </w:r>
      <w:r w:rsidR="001E5C9E">
        <w:rPr>
          <w:szCs w:val="22"/>
        </w:rPr>
        <w:t xml:space="preserve"> </w:t>
      </w:r>
      <w:r w:rsidR="000E0D25">
        <w:rPr>
          <w:szCs w:val="22"/>
        </w:rPr>
        <w:t xml:space="preserve">it difficult to generate </w:t>
      </w:r>
      <w:r w:rsidR="001E5C9E" w:rsidRPr="001E5C9E">
        <w:rPr>
          <w:szCs w:val="22"/>
        </w:rPr>
        <w:t>prospective and placebo-controlled evidence of a statistically significant overall survival benefit with nintedanib</w:t>
      </w:r>
      <w:r w:rsidR="001E5C9E">
        <w:rPr>
          <w:szCs w:val="22"/>
        </w:rPr>
        <w:t>.</w:t>
      </w:r>
    </w:p>
    <w:p w:rsidR="001C07DB" w:rsidRPr="00B47BB3" w:rsidRDefault="001C07DB" w:rsidP="001C07DB">
      <w:pPr>
        <w:rPr>
          <w:szCs w:val="22"/>
        </w:rPr>
      </w:pPr>
    </w:p>
    <w:p w:rsidR="001C07DB" w:rsidRPr="001E5C9E" w:rsidRDefault="001C07DB" w:rsidP="001C07DB">
      <w:pPr>
        <w:widowControl/>
        <w:numPr>
          <w:ilvl w:val="1"/>
          <w:numId w:val="2"/>
        </w:numPr>
        <w:contextualSpacing/>
        <w:rPr>
          <w:szCs w:val="22"/>
        </w:rPr>
      </w:pPr>
      <w:r>
        <w:rPr>
          <w:szCs w:val="22"/>
        </w:rPr>
        <w:t>The PBAC noted that nintedanib was associated with statistically significantly higher instances of drug</w:t>
      </w:r>
      <w:r w:rsidR="000E0D25">
        <w:rPr>
          <w:szCs w:val="22"/>
        </w:rPr>
        <w:t>-</w:t>
      </w:r>
      <w:r>
        <w:rPr>
          <w:szCs w:val="22"/>
        </w:rPr>
        <w:t xml:space="preserve">related adverse events </w:t>
      </w:r>
      <w:r w:rsidRPr="00EB2424">
        <w:rPr>
          <w:szCs w:val="22"/>
        </w:rPr>
        <w:t xml:space="preserve">and gastrointestinal adverse events </w:t>
      </w:r>
      <w:r w:rsidRPr="001E5C9E">
        <w:rPr>
          <w:szCs w:val="22"/>
        </w:rPr>
        <w:t xml:space="preserve">including diarrhoea, nausea and vomiting. </w:t>
      </w:r>
      <w:r w:rsidR="00B47BB3">
        <w:rPr>
          <w:szCs w:val="22"/>
        </w:rPr>
        <w:t xml:space="preserve"> </w:t>
      </w:r>
      <w:r w:rsidRPr="001E5C9E">
        <w:rPr>
          <w:szCs w:val="22"/>
        </w:rPr>
        <w:t>A statistically significant reduction in dyspnoea was observed</w:t>
      </w:r>
      <w:r w:rsidR="00B47BB3">
        <w:rPr>
          <w:szCs w:val="22"/>
        </w:rPr>
        <w:t>.</w:t>
      </w:r>
    </w:p>
    <w:p w:rsidR="001C07DB" w:rsidRPr="00B47BB3" w:rsidRDefault="001C07DB" w:rsidP="001C07DB">
      <w:pPr>
        <w:rPr>
          <w:szCs w:val="22"/>
        </w:rPr>
      </w:pPr>
    </w:p>
    <w:p w:rsidR="001C07DB" w:rsidRPr="001E5C9E" w:rsidRDefault="00454693" w:rsidP="001C07DB">
      <w:pPr>
        <w:widowControl/>
        <w:numPr>
          <w:ilvl w:val="1"/>
          <w:numId w:val="2"/>
        </w:numPr>
        <w:contextualSpacing/>
        <w:rPr>
          <w:szCs w:val="22"/>
        </w:rPr>
      </w:pPr>
      <w:r w:rsidRPr="001E5C9E">
        <w:rPr>
          <w:szCs w:val="22"/>
        </w:rPr>
        <w:t>The PBAC noted t</w:t>
      </w:r>
      <w:r w:rsidR="001C07DB" w:rsidRPr="001E5C9E">
        <w:rPr>
          <w:szCs w:val="22"/>
        </w:rPr>
        <w:t>here were higher incidences of thromboembolic events (</w:t>
      </w:r>
      <w:r w:rsidR="001C07DB" w:rsidRPr="00D26810">
        <w:rPr>
          <w:szCs w:val="22"/>
        </w:rPr>
        <w:t>3.8</w:t>
      </w:r>
      <w:r w:rsidR="001C07DB" w:rsidRPr="001E5C9E">
        <w:rPr>
          <w:szCs w:val="22"/>
        </w:rPr>
        <w:t xml:space="preserve">% vs </w:t>
      </w:r>
      <w:r w:rsidR="001C07DB" w:rsidRPr="00D26810">
        <w:rPr>
          <w:szCs w:val="22"/>
        </w:rPr>
        <w:t>2.4</w:t>
      </w:r>
      <w:r w:rsidR="001C07DB" w:rsidRPr="001E5C9E">
        <w:rPr>
          <w:szCs w:val="22"/>
        </w:rPr>
        <w:t xml:space="preserve">%) and hypertension (5.2% vs 4.0%) in the nintedanib treatment arms, with a statistically significant difference in arterial thromboembolic events (RR = </w:t>
      </w:r>
      <w:r w:rsidR="001C07DB" w:rsidRPr="00D26810">
        <w:rPr>
          <w:szCs w:val="22"/>
        </w:rPr>
        <w:t>3.54</w:t>
      </w:r>
      <w:r w:rsidR="001C07DB" w:rsidRPr="001E5C9E">
        <w:rPr>
          <w:szCs w:val="22"/>
        </w:rPr>
        <w:t xml:space="preserve">, 95% CI: </w:t>
      </w:r>
      <w:r w:rsidR="001C07DB" w:rsidRPr="00D26810">
        <w:rPr>
          <w:szCs w:val="22"/>
        </w:rPr>
        <w:t>1.04, 12.06</w:t>
      </w:r>
      <w:r w:rsidR="001C07DB" w:rsidRPr="001E5C9E">
        <w:rPr>
          <w:szCs w:val="22"/>
        </w:rPr>
        <w:t>).</w:t>
      </w:r>
      <w:r w:rsidR="00B47BB3">
        <w:rPr>
          <w:szCs w:val="22"/>
        </w:rPr>
        <w:t xml:space="preserve"> </w:t>
      </w:r>
      <w:r w:rsidR="001C07DB" w:rsidRPr="001E5C9E">
        <w:rPr>
          <w:szCs w:val="22"/>
        </w:rPr>
        <w:t xml:space="preserve"> No evidence was available to determine whether </w:t>
      </w:r>
      <w:r w:rsidR="001E5C9E" w:rsidRPr="001E5C9E">
        <w:rPr>
          <w:szCs w:val="22"/>
        </w:rPr>
        <w:t>these</w:t>
      </w:r>
      <w:r w:rsidR="001C07DB" w:rsidRPr="001E5C9E">
        <w:rPr>
          <w:szCs w:val="22"/>
        </w:rPr>
        <w:t xml:space="preserve"> cardiovascular/thromboembolic safety signals would have any substantial impact upon long term patient risks.</w:t>
      </w:r>
    </w:p>
    <w:p w:rsidR="003C6F17" w:rsidRDefault="003C6F17" w:rsidP="00B47BB3">
      <w:pPr>
        <w:widowControl/>
        <w:contextualSpacing/>
        <w:rPr>
          <w:szCs w:val="22"/>
        </w:rPr>
      </w:pPr>
    </w:p>
    <w:p w:rsidR="003C6F17" w:rsidRDefault="003C6F17" w:rsidP="005D3BEF">
      <w:pPr>
        <w:widowControl/>
        <w:numPr>
          <w:ilvl w:val="1"/>
          <w:numId w:val="2"/>
        </w:numPr>
        <w:contextualSpacing/>
        <w:rPr>
          <w:szCs w:val="22"/>
        </w:rPr>
      </w:pPr>
      <w:r w:rsidRPr="009E653B">
        <w:rPr>
          <w:szCs w:val="22"/>
        </w:rPr>
        <w:t>Interpretation of the indirect comparison with p</w:t>
      </w:r>
      <w:r w:rsidR="00B47BB3">
        <w:rPr>
          <w:szCs w:val="22"/>
        </w:rPr>
        <w:t>i</w:t>
      </w:r>
      <w:r w:rsidRPr="009E653B">
        <w:rPr>
          <w:szCs w:val="22"/>
        </w:rPr>
        <w:t>rfenidone</w:t>
      </w:r>
      <w:r w:rsidR="009E4E00" w:rsidRPr="009E653B">
        <w:rPr>
          <w:szCs w:val="22"/>
        </w:rPr>
        <w:t xml:space="preserve"> is difficult given the differences in the trial populations and the outcomes</w:t>
      </w:r>
      <w:r w:rsidR="00DF4155">
        <w:rPr>
          <w:szCs w:val="22"/>
        </w:rPr>
        <w:t>.</w:t>
      </w:r>
      <w:r w:rsidR="009E4E00" w:rsidRPr="009E653B">
        <w:rPr>
          <w:szCs w:val="22"/>
        </w:rPr>
        <w:t xml:space="preserve"> </w:t>
      </w:r>
      <w:r w:rsidR="00DF4155">
        <w:rPr>
          <w:szCs w:val="22"/>
        </w:rPr>
        <w:t>The network meta-analysis from Loveman et al 2015</w:t>
      </w:r>
      <w:r w:rsidR="00DF4155">
        <w:rPr>
          <w:rStyle w:val="FootnoteReference"/>
          <w:szCs w:val="22"/>
        </w:rPr>
        <w:footnoteReference w:id="4"/>
      </w:r>
      <w:r w:rsidR="00DF4155">
        <w:rPr>
          <w:szCs w:val="22"/>
        </w:rPr>
        <w:t xml:space="preserve"> suggests</w:t>
      </w:r>
      <w:r w:rsidR="009E4E00" w:rsidRPr="009E653B">
        <w:rPr>
          <w:szCs w:val="22"/>
        </w:rPr>
        <w:t xml:space="preserve"> a trend to better overall survival</w:t>
      </w:r>
      <w:r w:rsidR="000E0D25">
        <w:rPr>
          <w:szCs w:val="22"/>
        </w:rPr>
        <w:t xml:space="preserve"> for pirfenidone</w:t>
      </w:r>
      <w:r w:rsidR="00DF4155">
        <w:rPr>
          <w:szCs w:val="22"/>
        </w:rPr>
        <w:t xml:space="preserve"> </w:t>
      </w:r>
      <w:r w:rsidR="00DF4155">
        <w:t xml:space="preserve">(OR </w:t>
      </w:r>
      <w:r w:rsidR="005C79C7">
        <w:t xml:space="preserve">= </w:t>
      </w:r>
      <w:r w:rsidR="00DF4155">
        <w:t>1.39, 95% CI: 0.70, 2.82)</w:t>
      </w:r>
      <w:r w:rsidR="00FB1003">
        <w:rPr>
          <w:szCs w:val="22"/>
        </w:rPr>
        <w:t>,</w:t>
      </w:r>
      <w:r w:rsidR="009E4E00" w:rsidRPr="009E653B">
        <w:rPr>
          <w:szCs w:val="22"/>
        </w:rPr>
        <w:t xml:space="preserve"> but a </w:t>
      </w:r>
      <w:r w:rsidR="00DF4155">
        <w:rPr>
          <w:szCs w:val="22"/>
        </w:rPr>
        <w:t xml:space="preserve">superior benefit in slowing </w:t>
      </w:r>
      <w:r w:rsidR="00DF4155" w:rsidRPr="009E653B">
        <w:rPr>
          <w:szCs w:val="22"/>
        </w:rPr>
        <w:t>FVC decline</w:t>
      </w:r>
      <w:r w:rsidR="00DF4155">
        <w:rPr>
          <w:szCs w:val="22"/>
        </w:rPr>
        <w:t xml:space="preserve"> for nintedanib</w:t>
      </w:r>
      <w:r w:rsidR="00DF4155" w:rsidRPr="009E653B">
        <w:rPr>
          <w:szCs w:val="22"/>
        </w:rPr>
        <w:t xml:space="preserve"> </w:t>
      </w:r>
      <w:r w:rsidR="00DF4155" w:rsidRPr="005D3BEF">
        <w:rPr>
          <w:szCs w:val="22"/>
        </w:rPr>
        <w:t>(OR = 0.67, 95% CI: 0.51, 0.88)</w:t>
      </w:r>
      <w:r w:rsidR="00DF4155">
        <w:rPr>
          <w:szCs w:val="22"/>
        </w:rPr>
        <w:t xml:space="preserve"> and a </w:t>
      </w:r>
      <w:r w:rsidR="009E4E00" w:rsidRPr="009E653B">
        <w:rPr>
          <w:szCs w:val="22"/>
        </w:rPr>
        <w:t>trend to better prevention of exacerbations</w:t>
      </w:r>
      <w:r w:rsidR="00DF4155">
        <w:rPr>
          <w:szCs w:val="22"/>
        </w:rPr>
        <w:t xml:space="preserve"> with nintedanib (no OR provided but only nintedanib had a superior result to placebo)</w:t>
      </w:r>
      <w:r w:rsidR="009E4E00" w:rsidRPr="009E653B">
        <w:rPr>
          <w:szCs w:val="22"/>
        </w:rPr>
        <w:t xml:space="preserve">. </w:t>
      </w:r>
      <w:r w:rsidR="00B47BB3">
        <w:rPr>
          <w:szCs w:val="22"/>
        </w:rPr>
        <w:t xml:space="preserve"> </w:t>
      </w:r>
      <w:r w:rsidR="009E4E00" w:rsidRPr="009E653B">
        <w:rPr>
          <w:szCs w:val="22"/>
        </w:rPr>
        <w:t xml:space="preserve">However, PBAC considered </w:t>
      </w:r>
      <w:r w:rsidR="00942520" w:rsidRPr="009E653B">
        <w:rPr>
          <w:szCs w:val="22"/>
        </w:rPr>
        <w:t>both drugs are likely to be similarly clinically effective</w:t>
      </w:r>
      <w:r w:rsidR="009E653B" w:rsidRPr="009E653B">
        <w:rPr>
          <w:szCs w:val="22"/>
        </w:rPr>
        <w:t>.</w:t>
      </w:r>
    </w:p>
    <w:p w:rsidR="009E653B" w:rsidRPr="00B47BB3" w:rsidRDefault="009E653B" w:rsidP="009E653B">
      <w:pPr>
        <w:rPr>
          <w:szCs w:val="22"/>
        </w:rPr>
      </w:pPr>
    </w:p>
    <w:p w:rsidR="009A2192" w:rsidRDefault="009E653B" w:rsidP="00B878B5">
      <w:pPr>
        <w:widowControl/>
        <w:numPr>
          <w:ilvl w:val="1"/>
          <w:numId w:val="2"/>
        </w:numPr>
        <w:rPr>
          <w:szCs w:val="22"/>
        </w:rPr>
      </w:pPr>
      <w:r w:rsidRPr="0038576A">
        <w:rPr>
          <w:szCs w:val="22"/>
        </w:rPr>
        <w:t xml:space="preserve">The PBAC noted the revisions to the economic model only partially adopted advice from the March 2015 PBAC. </w:t>
      </w:r>
      <w:r w:rsidR="00B47BB3">
        <w:rPr>
          <w:szCs w:val="22"/>
        </w:rPr>
        <w:t xml:space="preserve"> </w:t>
      </w:r>
      <w:r w:rsidRPr="0038576A">
        <w:rPr>
          <w:szCs w:val="22"/>
        </w:rPr>
        <w:t xml:space="preserve">The </w:t>
      </w:r>
      <w:r w:rsidR="00AC1B1C">
        <w:rPr>
          <w:szCs w:val="22"/>
        </w:rPr>
        <w:t xml:space="preserve">PBAC accepted the arguments relating to </w:t>
      </w:r>
      <w:r w:rsidR="0038576A" w:rsidRPr="0038576A">
        <w:rPr>
          <w:szCs w:val="22"/>
        </w:rPr>
        <w:t xml:space="preserve">time horizon and </w:t>
      </w:r>
      <w:r w:rsidRPr="0038576A">
        <w:rPr>
          <w:szCs w:val="22"/>
        </w:rPr>
        <w:t xml:space="preserve">methodology for extrapolation </w:t>
      </w:r>
      <w:r w:rsidR="0038576A" w:rsidRPr="0038576A">
        <w:rPr>
          <w:szCs w:val="22"/>
        </w:rPr>
        <w:t xml:space="preserve">in the </w:t>
      </w:r>
      <w:r w:rsidRPr="0038576A">
        <w:rPr>
          <w:szCs w:val="22"/>
        </w:rPr>
        <w:t>pre-PBAC response</w:t>
      </w:r>
      <w:r w:rsidR="0038576A" w:rsidRPr="0038576A">
        <w:rPr>
          <w:szCs w:val="22"/>
        </w:rPr>
        <w:t xml:space="preserve"> (p2</w:t>
      </w:r>
      <w:r w:rsidR="009A2192">
        <w:rPr>
          <w:szCs w:val="22"/>
        </w:rPr>
        <w:t>-3</w:t>
      </w:r>
      <w:r w:rsidR="0038576A" w:rsidRPr="0038576A">
        <w:rPr>
          <w:szCs w:val="22"/>
        </w:rPr>
        <w:t>)</w:t>
      </w:r>
      <w:r w:rsidRPr="0038576A">
        <w:rPr>
          <w:szCs w:val="22"/>
        </w:rPr>
        <w:t xml:space="preserve"> </w:t>
      </w:r>
      <w:r w:rsidR="009A2192">
        <w:rPr>
          <w:szCs w:val="22"/>
        </w:rPr>
        <w:t xml:space="preserve">as the suggested approach for </w:t>
      </w:r>
      <w:r w:rsidR="0038576A" w:rsidRPr="0038576A">
        <w:rPr>
          <w:szCs w:val="22"/>
        </w:rPr>
        <w:t>extrapo</w:t>
      </w:r>
      <w:r w:rsidR="009A2192">
        <w:rPr>
          <w:szCs w:val="22"/>
        </w:rPr>
        <w:t>lation beyond the trial period wa</w:t>
      </w:r>
      <w:r w:rsidR="0038576A" w:rsidRPr="0038576A">
        <w:rPr>
          <w:szCs w:val="22"/>
        </w:rPr>
        <w:t>s not supported by the additional long</w:t>
      </w:r>
      <w:r w:rsidR="000E0D25">
        <w:rPr>
          <w:szCs w:val="22"/>
        </w:rPr>
        <w:t>-</w:t>
      </w:r>
      <w:r w:rsidR="0038576A" w:rsidRPr="0038576A">
        <w:rPr>
          <w:szCs w:val="22"/>
        </w:rPr>
        <w:t xml:space="preserve">term efficacy data </w:t>
      </w:r>
      <w:r w:rsidR="009A2192" w:rsidRPr="009A2192">
        <w:rPr>
          <w:szCs w:val="22"/>
        </w:rPr>
        <w:t>from Trial 30</w:t>
      </w:r>
      <w:r w:rsidR="0038576A" w:rsidRPr="0038576A">
        <w:rPr>
          <w:szCs w:val="22"/>
        </w:rPr>
        <w:t xml:space="preserve">, which showed a statistically significant difference in FVC rate of decline (mL/year) over 80 weeks. </w:t>
      </w:r>
      <w:r w:rsidR="00B47BB3">
        <w:rPr>
          <w:szCs w:val="22"/>
        </w:rPr>
        <w:t xml:space="preserve"> </w:t>
      </w:r>
      <w:r w:rsidR="009A2192">
        <w:rPr>
          <w:szCs w:val="22"/>
        </w:rPr>
        <w:t xml:space="preserve">The Pre-PBAC response (p3) also noted ESC’s concern that </w:t>
      </w:r>
      <w:r w:rsidR="009A2192" w:rsidRPr="009A2192">
        <w:rPr>
          <w:szCs w:val="22"/>
        </w:rPr>
        <w:t>the additional follow-up data from</w:t>
      </w:r>
      <w:r w:rsidR="009A2192">
        <w:rPr>
          <w:szCs w:val="22"/>
        </w:rPr>
        <w:t xml:space="preserve"> Trial 30 over 80 weeks suggest</w:t>
      </w:r>
      <w:r w:rsidR="009A2192" w:rsidRPr="009A2192">
        <w:rPr>
          <w:szCs w:val="22"/>
        </w:rPr>
        <w:t xml:space="preserve"> a reduction in difference in the annual rate of decline in FVC between nintedanib and placebo over the longer period</w:t>
      </w:r>
      <w:r w:rsidR="009A2192">
        <w:rPr>
          <w:szCs w:val="22"/>
        </w:rPr>
        <w:t xml:space="preserve"> </w:t>
      </w:r>
      <w:r w:rsidR="009A2192" w:rsidRPr="009E653B">
        <w:rPr>
          <w:szCs w:val="22"/>
        </w:rPr>
        <w:t>and have incorporated this</w:t>
      </w:r>
      <w:r w:rsidR="009A2192">
        <w:rPr>
          <w:szCs w:val="22"/>
        </w:rPr>
        <w:t xml:space="preserve"> into the model</w:t>
      </w:r>
      <w:r w:rsidR="009A2192" w:rsidRPr="009E653B">
        <w:rPr>
          <w:szCs w:val="22"/>
        </w:rPr>
        <w:t xml:space="preserve">, </w:t>
      </w:r>
      <w:r w:rsidR="009A2192">
        <w:rPr>
          <w:szCs w:val="22"/>
        </w:rPr>
        <w:t>resulting in an</w:t>
      </w:r>
      <w:r w:rsidR="009A2192" w:rsidRPr="009E653B">
        <w:rPr>
          <w:szCs w:val="22"/>
        </w:rPr>
        <w:t xml:space="preserve"> ICER </w:t>
      </w:r>
      <w:r w:rsidR="009A2192">
        <w:rPr>
          <w:szCs w:val="22"/>
        </w:rPr>
        <w:t>of approximately</w:t>
      </w:r>
      <w:r w:rsidR="009A2192" w:rsidRPr="009E653B">
        <w:rPr>
          <w:szCs w:val="22"/>
        </w:rPr>
        <w:t xml:space="preserve"> </w:t>
      </w:r>
      <w:r w:rsidR="00B878B5" w:rsidRPr="00B878B5">
        <w:rPr>
          <w:szCs w:val="22"/>
        </w:rPr>
        <w:t>$75,000</w:t>
      </w:r>
      <w:r w:rsidR="006B7D98">
        <w:rPr>
          <w:szCs w:val="22"/>
        </w:rPr>
        <w:t xml:space="preserve">/QALY </w:t>
      </w:r>
      <w:r w:rsidR="00B878B5" w:rsidRPr="00B878B5">
        <w:rPr>
          <w:szCs w:val="22"/>
        </w:rPr>
        <w:t>- $105,000</w:t>
      </w:r>
      <w:r w:rsidR="009A2192">
        <w:rPr>
          <w:szCs w:val="22"/>
        </w:rPr>
        <w:t xml:space="preserve">/QALY, up from an </w:t>
      </w:r>
      <w:r w:rsidR="009A2192">
        <w:t xml:space="preserve">estimated base case ICER of </w:t>
      </w:r>
      <w:r w:rsidR="00B878B5" w:rsidRPr="00B878B5">
        <w:t>$75,000</w:t>
      </w:r>
      <w:r w:rsidR="006B7D98">
        <w:t xml:space="preserve">/QALY </w:t>
      </w:r>
      <w:r w:rsidR="00B878B5" w:rsidRPr="00B878B5">
        <w:t>- $105,000</w:t>
      </w:r>
      <w:r w:rsidR="009A2192">
        <w:t>/QALY</w:t>
      </w:r>
      <w:r w:rsidR="00B47BB3">
        <w:rPr>
          <w:szCs w:val="22"/>
        </w:rPr>
        <w:t>.</w:t>
      </w:r>
    </w:p>
    <w:p w:rsidR="009A2192" w:rsidRPr="00B47BB3" w:rsidRDefault="009A2192" w:rsidP="009A2192">
      <w:pPr>
        <w:rPr>
          <w:szCs w:val="22"/>
        </w:rPr>
      </w:pPr>
    </w:p>
    <w:p w:rsidR="001F14DC" w:rsidRDefault="009A2192" w:rsidP="00B878B5">
      <w:pPr>
        <w:pStyle w:val="ListParagraph"/>
        <w:numPr>
          <w:ilvl w:val="1"/>
          <w:numId w:val="2"/>
        </w:numPr>
        <w:rPr>
          <w:szCs w:val="22"/>
        </w:rPr>
      </w:pPr>
      <w:r w:rsidRPr="001F14DC">
        <w:rPr>
          <w:szCs w:val="22"/>
        </w:rPr>
        <w:t xml:space="preserve">The above ICERs </w:t>
      </w:r>
      <w:r w:rsidR="001F14DC">
        <w:rPr>
          <w:szCs w:val="22"/>
        </w:rPr>
        <w:t xml:space="preserve">use a weighted effective price for nintedanib of </w:t>
      </w:r>
      <w:r w:rsidR="001F14DC" w:rsidRPr="001F14DC">
        <w:rPr>
          <w:szCs w:val="22"/>
        </w:rPr>
        <w:t>$</w:t>
      </w:r>
      <w:r w:rsidR="00F146E1">
        <w:rPr>
          <w:noProof/>
          <w:color w:val="000000"/>
          <w:szCs w:val="22"/>
          <w:highlight w:val="black"/>
        </w:rPr>
        <w:t>''''''''''''''</w:t>
      </w:r>
      <w:r w:rsidR="001F14DC" w:rsidRPr="001F14DC">
        <w:rPr>
          <w:szCs w:val="22"/>
        </w:rPr>
        <w:t>/day</w:t>
      </w:r>
      <w:r w:rsidRPr="001F14DC">
        <w:rPr>
          <w:szCs w:val="22"/>
        </w:rPr>
        <w:t xml:space="preserve"> </w:t>
      </w:r>
      <w:r w:rsidR="001F14DC" w:rsidRPr="001F14DC">
        <w:rPr>
          <w:szCs w:val="22"/>
        </w:rPr>
        <w:t xml:space="preserve">based on the proposed RSA which adjusts the price by applying a cap on expenditure beyond the March 2015 predictions of utilisation. </w:t>
      </w:r>
      <w:r w:rsidR="00B47BB3">
        <w:rPr>
          <w:szCs w:val="22"/>
        </w:rPr>
        <w:t xml:space="preserve"> The </w:t>
      </w:r>
      <w:r w:rsidR="001F14DC">
        <w:rPr>
          <w:szCs w:val="22"/>
        </w:rPr>
        <w:t>PB</w:t>
      </w:r>
      <w:r w:rsidR="004821C7">
        <w:rPr>
          <w:szCs w:val="22"/>
        </w:rPr>
        <w:t>A</w:t>
      </w:r>
      <w:r w:rsidR="001F14DC">
        <w:rPr>
          <w:szCs w:val="22"/>
        </w:rPr>
        <w:t xml:space="preserve">C agreed with </w:t>
      </w:r>
      <w:r w:rsidR="00B47BB3">
        <w:rPr>
          <w:szCs w:val="22"/>
        </w:rPr>
        <w:t xml:space="preserve">the </w:t>
      </w:r>
      <w:r w:rsidR="001F14DC">
        <w:rPr>
          <w:szCs w:val="22"/>
        </w:rPr>
        <w:t xml:space="preserve">ESC that this was inappropriate. </w:t>
      </w:r>
      <w:r w:rsidR="00B47BB3">
        <w:rPr>
          <w:szCs w:val="22"/>
        </w:rPr>
        <w:t xml:space="preserve"> </w:t>
      </w:r>
      <w:r w:rsidR="001F14DC">
        <w:rPr>
          <w:szCs w:val="22"/>
        </w:rPr>
        <w:t>Removal of the RSA from the price result</w:t>
      </w:r>
      <w:r w:rsidR="00AC1B1C">
        <w:rPr>
          <w:szCs w:val="22"/>
        </w:rPr>
        <w:t>ed</w:t>
      </w:r>
      <w:r w:rsidR="001F14DC">
        <w:rPr>
          <w:szCs w:val="22"/>
        </w:rPr>
        <w:t xml:space="preserve"> in </w:t>
      </w:r>
      <w:r w:rsidR="001F14DC" w:rsidRPr="001F14DC">
        <w:rPr>
          <w:szCs w:val="22"/>
        </w:rPr>
        <w:t>$</w:t>
      </w:r>
      <w:r w:rsidR="00F146E1">
        <w:rPr>
          <w:noProof/>
          <w:color w:val="000000"/>
          <w:szCs w:val="22"/>
          <w:highlight w:val="black"/>
        </w:rPr>
        <w:t>'''''''''''''</w:t>
      </w:r>
      <w:r w:rsidR="001F14DC" w:rsidRPr="001F14DC">
        <w:rPr>
          <w:szCs w:val="22"/>
        </w:rPr>
        <w:t xml:space="preserve">/day </w:t>
      </w:r>
      <w:r w:rsidR="001F14DC">
        <w:rPr>
          <w:szCs w:val="22"/>
        </w:rPr>
        <w:t xml:space="preserve">and an ICER of </w:t>
      </w:r>
      <w:r w:rsidR="00B878B5" w:rsidRPr="00B878B5">
        <w:rPr>
          <w:szCs w:val="22"/>
        </w:rPr>
        <w:t>$105,000</w:t>
      </w:r>
      <w:r w:rsidR="00837F27">
        <w:rPr>
          <w:szCs w:val="22"/>
        </w:rPr>
        <w:t>/QALY</w:t>
      </w:r>
      <w:r w:rsidR="00B878B5" w:rsidRPr="00B878B5">
        <w:rPr>
          <w:szCs w:val="22"/>
        </w:rPr>
        <w:t xml:space="preserve"> – $200,000</w:t>
      </w:r>
      <w:r w:rsidR="00230B12">
        <w:rPr>
          <w:szCs w:val="22"/>
        </w:rPr>
        <w:t xml:space="preserve">/QALY compared to </w:t>
      </w:r>
      <w:r w:rsidR="00B878B5" w:rsidRPr="00B878B5">
        <w:rPr>
          <w:szCs w:val="22"/>
        </w:rPr>
        <w:t>$75,000</w:t>
      </w:r>
      <w:r w:rsidR="00837F27">
        <w:rPr>
          <w:szCs w:val="22"/>
        </w:rPr>
        <w:t xml:space="preserve">/QALY </w:t>
      </w:r>
      <w:r w:rsidR="00B878B5" w:rsidRPr="00B878B5">
        <w:rPr>
          <w:szCs w:val="22"/>
        </w:rPr>
        <w:t>- $105,000</w:t>
      </w:r>
      <w:r w:rsidR="001F14DC">
        <w:rPr>
          <w:szCs w:val="22"/>
        </w:rPr>
        <w:t>/QALY.</w:t>
      </w:r>
      <w:r w:rsidR="00B47BB3">
        <w:rPr>
          <w:szCs w:val="22"/>
        </w:rPr>
        <w:t xml:space="preserve"> </w:t>
      </w:r>
      <w:r w:rsidR="001F14DC">
        <w:rPr>
          <w:szCs w:val="22"/>
        </w:rPr>
        <w:t xml:space="preserve"> The PBAC considered any effective price used in the model cannot be based on the RSA propos</w:t>
      </w:r>
      <w:r w:rsidR="00AC1B1C">
        <w:rPr>
          <w:szCs w:val="22"/>
        </w:rPr>
        <w:t>al</w:t>
      </w:r>
      <w:r w:rsidR="001F14DC">
        <w:rPr>
          <w:szCs w:val="22"/>
        </w:rPr>
        <w:t xml:space="preserve"> to cap expenditure.</w:t>
      </w:r>
    </w:p>
    <w:p w:rsidR="001F14DC" w:rsidRPr="00B47BB3" w:rsidRDefault="001F14DC" w:rsidP="001F14DC">
      <w:pPr>
        <w:rPr>
          <w:szCs w:val="22"/>
        </w:rPr>
      </w:pPr>
    </w:p>
    <w:p w:rsidR="00BD472A" w:rsidRDefault="001F14DC" w:rsidP="00BD472A">
      <w:pPr>
        <w:widowControl/>
        <w:numPr>
          <w:ilvl w:val="1"/>
          <w:numId w:val="2"/>
        </w:numPr>
        <w:rPr>
          <w:szCs w:val="22"/>
        </w:rPr>
      </w:pPr>
      <w:r>
        <w:rPr>
          <w:szCs w:val="22"/>
        </w:rPr>
        <w:t>The PBAC also noted the m</w:t>
      </w:r>
      <w:r w:rsidR="009E653B" w:rsidRPr="009A2192">
        <w:rPr>
          <w:szCs w:val="22"/>
        </w:rPr>
        <w:t xml:space="preserve">odel </w:t>
      </w:r>
      <w:r w:rsidR="00AC1B1C">
        <w:rPr>
          <w:szCs w:val="22"/>
        </w:rPr>
        <w:t>wa</w:t>
      </w:r>
      <w:r w:rsidR="009E653B" w:rsidRPr="009A2192">
        <w:rPr>
          <w:szCs w:val="22"/>
        </w:rPr>
        <w:t>s very sen</w:t>
      </w:r>
      <w:r w:rsidR="00AC1B1C">
        <w:rPr>
          <w:szCs w:val="22"/>
        </w:rPr>
        <w:t>sitive to the estimates of long-</w:t>
      </w:r>
      <w:r w:rsidR="009E653B" w:rsidRPr="009A2192">
        <w:rPr>
          <w:szCs w:val="22"/>
        </w:rPr>
        <w:t>term survival</w:t>
      </w:r>
      <w:r w:rsidR="00B47BB3">
        <w:rPr>
          <w:szCs w:val="22"/>
        </w:rPr>
        <w:t>.</w:t>
      </w:r>
    </w:p>
    <w:p w:rsidR="00BD472A" w:rsidRPr="00B47BB3" w:rsidRDefault="00BD472A" w:rsidP="00BD472A">
      <w:pPr>
        <w:rPr>
          <w:szCs w:val="22"/>
        </w:rPr>
      </w:pPr>
    </w:p>
    <w:p w:rsidR="00C440C2" w:rsidRPr="00BD472A" w:rsidRDefault="00BD472A" w:rsidP="00BD472A">
      <w:pPr>
        <w:widowControl/>
        <w:numPr>
          <w:ilvl w:val="1"/>
          <w:numId w:val="2"/>
        </w:numPr>
        <w:rPr>
          <w:szCs w:val="22"/>
        </w:rPr>
      </w:pPr>
      <w:r>
        <w:rPr>
          <w:szCs w:val="22"/>
        </w:rPr>
        <w:t xml:space="preserve">The </w:t>
      </w:r>
      <w:r w:rsidR="00FC3ECC">
        <w:rPr>
          <w:szCs w:val="22"/>
        </w:rPr>
        <w:t xml:space="preserve">cost-effectiveness of the </w:t>
      </w:r>
      <w:r w:rsidR="00AC1B1C">
        <w:rPr>
          <w:szCs w:val="22"/>
        </w:rPr>
        <w:t>assumed long-</w:t>
      </w:r>
      <w:r>
        <w:rPr>
          <w:szCs w:val="22"/>
        </w:rPr>
        <w:t xml:space="preserve">term benefit of nintedanib may be partially supported by effective implementation of the </w:t>
      </w:r>
      <w:r w:rsidR="00AC1B1C">
        <w:rPr>
          <w:szCs w:val="22"/>
        </w:rPr>
        <w:t>conti</w:t>
      </w:r>
      <w:r w:rsidR="00900E4D">
        <w:rPr>
          <w:szCs w:val="22"/>
        </w:rPr>
        <w:t>n</w:t>
      </w:r>
      <w:r w:rsidR="00AC1B1C">
        <w:rPr>
          <w:szCs w:val="22"/>
        </w:rPr>
        <w:t>uation</w:t>
      </w:r>
      <w:r>
        <w:rPr>
          <w:szCs w:val="22"/>
        </w:rPr>
        <w:t xml:space="preserve"> rule, as subsidised treatment would not continue for those patients with FVC%Pred deteriorating </w:t>
      </w:r>
      <w:r w:rsidRPr="0032687A">
        <w:rPr>
          <w:szCs w:val="22"/>
        </w:rPr>
        <w:t>10% or more within any 12-month period</w:t>
      </w:r>
      <w:r>
        <w:rPr>
          <w:szCs w:val="22"/>
        </w:rPr>
        <w:t xml:space="preserve">. </w:t>
      </w:r>
      <w:r w:rsidR="00AC1B1C">
        <w:rPr>
          <w:szCs w:val="22"/>
        </w:rPr>
        <w:t xml:space="preserve"> </w:t>
      </w:r>
      <w:r>
        <w:rPr>
          <w:szCs w:val="22"/>
        </w:rPr>
        <w:t xml:space="preserve">The PBAC </w:t>
      </w:r>
      <w:r w:rsidR="00AC1B1C">
        <w:rPr>
          <w:szCs w:val="22"/>
        </w:rPr>
        <w:t xml:space="preserve">proposed that </w:t>
      </w:r>
      <w:r>
        <w:rPr>
          <w:szCs w:val="22"/>
        </w:rPr>
        <w:t xml:space="preserve">the sponsor consider how the use of the </w:t>
      </w:r>
      <w:r w:rsidR="00AC1B1C">
        <w:rPr>
          <w:szCs w:val="22"/>
        </w:rPr>
        <w:t>continuation</w:t>
      </w:r>
      <w:r>
        <w:rPr>
          <w:szCs w:val="22"/>
        </w:rPr>
        <w:t xml:space="preserve"> rule may impact on the ICER and discuss further with the Department of Health how the benefits of treatment may be monitored in practice and the price potentially aligned to reflect a pay for performance scenario.</w:t>
      </w:r>
    </w:p>
    <w:p w:rsidR="006B326B" w:rsidRPr="006B326B" w:rsidRDefault="006B326B" w:rsidP="006B326B"/>
    <w:p w:rsidR="00586105" w:rsidRDefault="00586105" w:rsidP="008A3078">
      <w:pPr>
        <w:pStyle w:val="Heading2"/>
      </w:pPr>
      <w:r w:rsidRPr="00586105">
        <w:t>Outcome</w:t>
      </w:r>
      <w:r>
        <w:t>:</w:t>
      </w:r>
    </w:p>
    <w:p w:rsidR="00127509" w:rsidRDefault="00586105" w:rsidP="00147F8F">
      <w:pPr>
        <w:widowControl/>
        <w:jc w:val="left"/>
        <w:rPr>
          <w:szCs w:val="22"/>
        </w:rPr>
      </w:pPr>
      <w:r w:rsidRPr="00586105">
        <w:rPr>
          <w:szCs w:val="22"/>
        </w:rPr>
        <w:t>Deferred</w:t>
      </w:r>
    </w:p>
    <w:p w:rsidR="006818F4" w:rsidRDefault="006818F4" w:rsidP="00147F8F">
      <w:pPr>
        <w:widowControl/>
        <w:jc w:val="left"/>
        <w:rPr>
          <w:szCs w:val="22"/>
        </w:rPr>
      </w:pPr>
    </w:p>
    <w:p w:rsidR="008A3078" w:rsidRDefault="008A3078" w:rsidP="00147F8F">
      <w:pPr>
        <w:widowControl/>
        <w:jc w:val="left"/>
        <w:rPr>
          <w:szCs w:val="22"/>
        </w:rPr>
      </w:pPr>
    </w:p>
    <w:p w:rsidR="006818F4" w:rsidRDefault="006818F4" w:rsidP="008A3078">
      <w:pPr>
        <w:pStyle w:val="Heading1"/>
        <w:rPr>
          <w:rFonts w:eastAsia="SimSun"/>
        </w:rPr>
      </w:pPr>
      <w:r>
        <w:rPr>
          <w:rFonts w:eastAsia="SimSun"/>
        </w:rPr>
        <w:t>Context for Decision</w:t>
      </w:r>
    </w:p>
    <w:p w:rsidR="006818F4" w:rsidRDefault="006818F4" w:rsidP="006818F4">
      <w:pPr>
        <w:ind w:left="720"/>
        <w:contextualSpacing/>
        <w:rPr>
          <w:b/>
        </w:rPr>
      </w:pPr>
    </w:p>
    <w:p w:rsidR="006818F4" w:rsidRDefault="006818F4" w:rsidP="006818F4">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818F4" w:rsidRDefault="006818F4" w:rsidP="006818F4"/>
    <w:p w:rsidR="008A3078" w:rsidRDefault="008A3078" w:rsidP="006818F4"/>
    <w:p w:rsidR="006818F4" w:rsidRDefault="006818F4" w:rsidP="008A3078">
      <w:pPr>
        <w:pStyle w:val="Heading1"/>
        <w:rPr>
          <w:rFonts w:eastAsia="SimSun"/>
        </w:rPr>
      </w:pPr>
      <w:r>
        <w:rPr>
          <w:rFonts w:eastAsia="SimSun"/>
        </w:rPr>
        <w:t>Sponsor’s Comment</w:t>
      </w:r>
    </w:p>
    <w:p w:rsidR="00117433" w:rsidRPr="00117433" w:rsidRDefault="00117433" w:rsidP="00117433">
      <w:pPr>
        <w:pStyle w:val="ListParagraph"/>
        <w:widowControl/>
        <w:rPr>
          <w:rFonts w:eastAsia="SimSun"/>
          <w:szCs w:val="22"/>
        </w:rPr>
      </w:pPr>
      <w:r>
        <w:rPr>
          <w:rFonts w:eastAsia="SimSun"/>
          <w:szCs w:val="22"/>
        </w:rPr>
        <w:t xml:space="preserve">The Sponsor had no comment. </w:t>
      </w:r>
    </w:p>
    <w:p w:rsidR="006818F4" w:rsidRDefault="006818F4" w:rsidP="006818F4">
      <w:pPr>
        <w:tabs>
          <w:tab w:val="left" w:pos="2940"/>
        </w:tabs>
        <w:rPr>
          <w:szCs w:val="22"/>
        </w:rPr>
      </w:pPr>
    </w:p>
    <w:p w:rsidR="006818F4" w:rsidRDefault="006818F4" w:rsidP="006818F4">
      <w:pPr>
        <w:rPr>
          <w:szCs w:val="22"/>
        </w:rPr>
      </w:pPr>
    </w:p>
    <w:p w:rsidR="006818F4" w:rsidRPr="00147F8F" w:rsidRDefault="006818F4" w:rsidP="00147F8F">
      <w:pPr>
        <w:widowControl/>
        <w:jc w:val="left"/>
        <w:rPr>
          <w:bCs/>
          <w:szCs w:val="22"/>
        </w:rPr>
      </w:pPr>
    </w:p>
    <w:sectPr w:rsidR="006818F4" w:rsidRPr="00147F8F" w:rsidSect="006B326B">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E1" w:rsidRDefault="00F146E1" w:rsidP="00124A51">
      <w:r>
        <w:separator/>
      </w:r>
    </w:p>
  </w:endnote>
  <w:endnote w:type="continuationSeparator" w:id="0">
    <w:p w:rsidR="00F146E1" w:rsidRDefault="00F146E1"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E1" w:rsidRDefault="00F14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829489"/>
      <w:docPartObj>
        <w:docPartGallery w:val="Page Numbers (Bottom of Page)"/>
        <w:docPartUnique/>
      </w:docPartObj>
    </w:sdtPr>
    <w:sdtEndPr>
      <w:rPr>
        <w:noProof/>
      </w:rPr>
    </w:sdtEndPr>
    <w:sdtContent>
      <w:p w:rsidR="00F146E1" w:rsidRDefault="00F146E1">
        <w:pPr>
          <w:pStyle w:val="Footer"/>
          <w:jc w:val="center"/>
        </w:pPr>
        <w:r>
          <w:fldChar w:fldCharType="begin"/>
        </w:r>
        <w:r>
          <w:instrText xml:space="preserve"> PAGE   \* MERGEFORMAT </w:instrText>
        </w:r>
        <w:r>
          <w:fldChar w:fldCharType="separate"/>
        </w:r>
        <w:r w:rsidR="005F11C2">
          <w:rPr>
            <w:noProof/>
          </w:rPr>
          <w:t>19</w:t>
        </w:r>
        <w:r>
          <w:rPr>
            <w:noProof/>
          </w:rPr>
          <w:fldChar w:fldCharType="end"/>
        </w:r>
      </w:p>
    </w:sdtContent>
  </w:sdt>
  <w:p w:rsidR="00F146E1" w:rsidRDefault="00F146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E1" w:rsidRDefault="00F14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E1" w:rsidRDefault="00F146E1" w:rsidP="00124A51">
      <w:r>
        <w:separator/>
      </w:r>
    </w:p>
  </w:footnote>
  <w:footnote w:type="continuationSeparator" w:id="0">
    <w:p w:rsidR="00F146E1" w:rsidRDefault="00F146E1" w:rsidP="00124A51">
      <w:r>
        <w:continuationSeparator/>
      </w:r>
    </w:p>
  </w:footnote>
  <w:footnote w:id="1">
    <w:p w:rsidR="00F146E1" w:rsidRPr="00DF4155" w:rsidRDefault="00F146E1">
      <w:pPr>
        <w:pStyle w:val="FootnoteText"/>
        <w:rPr>
          <w:rFonts w:ascii="Arial Narrow" w:hAnsi="Arial Narrow"/>
        </w:rPr>
      </w:pPr>
      <w:r w:rsidRPr="00DF4155">
        <w:rPr>
          <w:rStyle w:val="FootnoteReference"/>
          <w:rFonts w:ascii="Arial Narrow" w:hAnsi="Arial Narrow"/>
        </w:rPr>
        <w:footnoteRef/>
      </w:r>
      <w:r w:rsidRPr="00DF4155">
        <w:rPr>
          <w:rFonts w:ascii="Arial Narrow" w:hAnsi="Arial Narrow"/>
        </w:rPr>
        <w:t xml:space="preserve"> Loveman E, Copley VR, Scott DA, Colquitt JL, Clegg AJ and O’Reilly. Comparing new treatments for idiopathic pulmonary fibrosis-a network meta-analysis. BMC Pulmonary Medicine, 2015; 15:37.</w:t>
      </w:r>
    </w:p>
  </w:footnote>
  <w:footnote w:id="2">
    <w:p w:rsidR="00F146E1" w:rsidRDefault="00F146E1" w:rsidP="009532CF">
      <w:pPr>
        <w:pStyle w:val="FootnoteText"/>
      </w:pPr>
      <w:r>
        <w:rPr>
          <w:rStyle w:val="FootnoteReference"/>
        </w:rPr>
        <w:footnoteRef/>
      </w:r>
      <w:r>
        <w:t xml:space="preserve"> </w:t>
      </w:r>
      <w:r w:rsidRPr="00CF1389">
        <w:rPr>
          <w:rFonts w:ascii="Arial Narrow" w:hAnsi="Arial Narrow"/>
        </w:rPr>
        <w:t>Karimi-Shah BA, Chowdhury BA. Forced vital capacity in idiopathic pulmonary fibrosis--FDA review of pirfenidone and nintedanib. The New England Journal of Medicine. 2015;372(13):1189-91</w:t>
      </w:r>
    </w:p>
    <w:p w:rsidR="00F146E1" w:rsidRDefault="00F146E1" w:rsidP="009532CF">
      <w:pPr>
        <w:pStyle w:val="FootnoteText"/>
      </w:pPr>
    </w:p>
  </w:footnote>
  <w:footnote w:id="3">
    <w:p w:rsidR="00F146E1" w:rsidRDefault="00F146E1" w:rsidP="00B86D7D">
      <w:pPr>
        <w:pStyle w:val="FootnoteText"/>
      </w:pPr>
      <w:r>
        <w:rPr>
          <w:rStyle w:val="FootnoteReference"/>
        </w:rPr>
        <w:footnoteRef/>
      </w:r>
      <w:r w:rsidRPr="00486AC3">
        <w:rPr>
          <w:lang w:val="pl-PL"/>
        </w:rPr>
        <w:t xml:space="preserve"> </w:t>
      </w:r>
      <w:r w:rsidRPr="00486AC3">
        <w:rPr>
          <w:rFonts w:ascii="Arial Narrow" w:hAnsi="Arial Narrow"/>
          <w:lang w:val="pl-PL"/>
        </w:rPr>
        <w:t xml:space="preserve">Karimi-Shah BA, Chowdhury BA. </w:t>
      </w:r>
      <w:r w:rsidRPr="00CF1389">
        <w:rPr>
          <w:rFonts w:ascii="Arial Narrow" w:hAnsi="Arial Narrow"/>
        </w:rPr>
        <w:t>Forced vital capacity in idiopathic pulmonary fibrosis--FDA review of pirfenidone and nintedanib. The New England Journal of Medicine. 2015;372(13):1189-91</w:t>
      </w:r>
    </w:p>
    <w:p w:rsidR="00F146E1" w:rsidRDefault="00F146E1" w:rsidP="00B86D7D">
      <w:pPr>
        <w:pStyle w:val="FootnoteText"/>
      </w:pPr>
    </w:p>
  </w:footnote>
  <w:footnote w:id="4">
    <w:p w:rsidR="00F146E1" w:rsidRPr="00DF4155" w:rsidRDefault="00F146E1">
      <w:pPr>
        <w:pStyle w:val="FootnoteText"/>
        <w:rPr>
          <w:rFonts w:ascii="Arial Narrow" w:hAnsi="Arial Narrow"/>
        </w:rPr>
      </w:pPr>
      <w:r w:rsidRPr="00DF4155">
        <w:rPr>
          <w:rStyle w:val="FootnoteReference"/>
          <w:rFonts w:ascii="Arial Narrow" w:hAnsi="Arial Narrow"/>
        </w:rPr>
        <w:footnoteRef/>
      </w:r>
      <w:r w:rsidRPr="00DF4155">
        <w:rPr>
          <w:rFonts w:ascii="Arial Narrow" w:hAnsi="Arial Narrow"/>
        </w:rPr>
        <w:t xml:space="preserve"> Loveman E, Copley VR, Scott DA, Colquitt JL, Clegg AJ and O’Reilly. Comparing new treatments for idiopathic pulmonary fibrosis-a network meta-analysis. BMC Pulmonary Medicine, 2015; 15:37.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E1" w:rsidRDefault="00F14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E1" w:rsidRPr="0026108E" w:rsidRDefault="00F146E1" w:rsidP="0026108E">
    <w:pPr>
      <w:widowControl/>
      <w:tabs>
        <w:tab w:val="center" w:pos="4153"/>
        <w:tab w:val="right" w:pos="8306"/>
      </w:tabs>
      <w:ind w:left="360"/>
      <w:jc w:val="center"/>
      <w:rPr>
        <w:i/>
        <w:snapToGrid/>
        <w:color w:val="808080"/>
        <w:szCs w:val="24"/>
        <w:lang w:eastAsia="en-AU"/>
      </w:rPr>
    </w:pPr>
    <w:r w:rsidRPr="0026108E">
      <w:rPr>
        <w:i/>
        <w:snapToGrid/>
        <w:color w:val="808080"/>
        <w:szCs w:val="22"/>
        <w:lang w:eastAsia="en-AU"/>
      </w:rPr>
      <w:t>Public Summary Document –</w:t>
    </w:r>
    <w:r w:rsidRPr="0026108E">
      <w:rPr>
        <w:i/>
        <w:snapToGrid/>
        <w:color w:val="808080"/>
        <w:szCs w:val="24"/>
        <w:lang w:eastAsia="en-AU"/>
      </w:rPr>
      <w:t xml:space="preserve"> November 2015 PBAC Meeting</w:t>
    </w:r>
  </w:p>
  <w:p w:rsidR="00F146E1" w:rsidRDefault="00F146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E1" w:rsidRDefault="00F14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51607D0"/>
    <w:lvl w:ilvl="0" w:tplc="0BCE5780">
      <w:start w:val="1"/>
      <w:numFmt w:val="decimal"/>
      <w:lvlText w:val="%1."/>
      <w:lvlJc w:val="left"/>
      <w:pPr>
        <w:tabs>
          <w:tab w:val="num" w:pos="720"/>
        </w:tabs>
        <w:ind w:left="720" w:hanging="360"/>
      </w:pPr>
      <w:rPr>
        <w:rFonts w:ascii="Arial" w:eastAsia="Times New Roman" w:hAnsi="Arial" w:cs="Arial"/>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1F32DF"/>
    <w:multiLevelType w:val="hybridMultilevel"/>
    <w:tmpl w:val="E73441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3F30B66"/>
    <w:multiLevelType w:val="hybridMultilevel"/>
    <w:tmpl w:val="F93C241E"/>
    <w:lvl w:ilvl="0" w:tplc="C7F0E124">
      <w:start w:val="4"/>
      <w:numFmt w:val="bullet"/>
      <w:lvlText w:val="-"/>
      <w:lvlJc w:val="left"/>
      <w:pPr>
        <w:ind w:left="360" w:hanging="360"/>
      </w:pPr>
      <w:rPr>
        <w:rFonts w:ascii="Calibri" w:eastAsia="SimSu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5407708"/>
    <w:multiLevelType w:val="hybridMultilevel"/>
    <w:tmpl w:val="5F1AC0DC"/>
    <w:lvl w:ilvl="0" w:tplc="2BF00BA2">
      <w:start w:val="1"/>
      <w:numFmt w:val="bullet"/>
      <w:lvlText w:val=""/>
      <w:lvlJc w:val="left"/>
      <w:pPr>
        <w:ind w:left="2520" w:hanging="360"/>
      </w:pPr>
      <w:rPr>
        <w:rFonts w:ascii="Symbol" w:hAnsi="Symbol" w:hint="default"/>
        <w:sz w:val="22"/>
        <w:szCs w:val="22"/>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nsid w:val="1E543E34"/>
    <w:multiLevelType w:val="hybridMultilevel"/>
    <w:tmpl w:val="6234DCE8"/>
    <w:lvl w:ilvl="0" w:tplc="2BF00BA2">
      <w:start w:val="1"/>
      <w:numFmt w:val="bullet"/>
      <w:lvlText w:val=""/>
      <w:lvlJc w:val="left"/>
      <w:pPr>
        <w:ind w:left="1080" w:hanging="360"/>
      </w:pPr>
      <w:rPr>
        <w:rFonts w:ascii="Symbol" w:hAnsi="Symbol"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138226C"/>
    <w:multiLevelType w:val="hybridMultilevel"/>
    <w:tmpl w:val="97D8AA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44C799A"/>
    <w:multiLevelType w:val="hybridMultilevel"/>
    <w:tmpl w:val="9580E3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BBD07A3"/>
    <w:multiLevelType w:val="hybridMultilevel"/>
    <w:tmpl w:val="8780D4E2"/>
    <w:lvl w:ilvl="0" w:tplc="C7F0E124">
      <w:start w:val="4"/>
      <w:numFmt w:val="bullet"/>
      <w:lvlText w:val="-"/>
      <w:lvlJc w:val="left"/>
      <w:pPr>
        <w:ind w:left="360" w:hanging="360"/>
      </w:pPr>
      <w:rPr>
        <w:rFonts w:ascii="Calibri" w:eastAsia="SimSu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9">
    <w:nsid w:val="3EA206C6"/>
    <w:multiLevelType w:val="hybridMultilevel"/>
    <w:tmpl w:val="E8CA1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6E3132"/>
    <w:multiLevelType w:val="hybridMultilevel"/>
    <w:tmpl w:val="134487FE"/>
    <w:lvl w:ilvl="0" w:tplc="C7F0E124">
      <w:start w:val="4"/>
      <w:numFmt w:val="bullet"/>
      <w:lvlText w:val="-"/>
      <w:lvlJc w:val="left"/>
      <w:pPr>
        <w:ind w:left="360" w:hanging="360"/>
      </w:pPr>
      <w:rPr>
        <w:rFonts w:ascii="Calibri" w:eastAsia="SimSun" w:hAnsi="Calibri" w:cs="Times New Roman"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5B72F41"/>
    <w:multiLevelType w:val="hybridMultilevel"/>
    <w:tmpl w:val="D4D6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C24EE7"/>
    <w:multiLevelType w:val="hybridMultilevel"/>
    <w:tmpl w:val="5D9EE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5A7F6B"/>
    <w:multiLevelType w:val="hybridMultilevel"/>
    <w:tmpl w:val="C2C229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FF65ECF"/>
    <w:multiLevelType w:val="multilevel"/>
    <w:tmpl w:val="155E10A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13A2B91"/>
    <w:multiLevelType w:val="hybridMultilevel"/>
    <w:tmpl w:val="0D6C3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338278D"/>
    <w:multiLevelType w:val="hybridMultilevel"/>
    <w:tmpl w:val="31FAC2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11262B"/>
    <w:multiLevelType w:val="multilevel"/>
    <w:tmpl w:val="155E10A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621338B"/>
    <w:multiLevelType w:val="hybridMultilevel"/>
    <w:tmpl w:val="0C8C9330"/>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7542C2E"/>
    <w:multiLevelType w:val="hybridMultilevel"/>
    <w:tmpl w:val="3586B2E6"/>
    <w:lvl w:ilvl="0" w:tplc="2BF00BA2">
      <w:start w:val="1"/>
      <w:numFmt w:val="bullet"/>
      <w:lvlText w:val=""/>
      <w:lvlJc w:val="left"/>
      <w:pPr>
        <w:ind w:left="108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4D033C"/>
    <w:multiLevelType w:val="multilevel"/>
    <w:tmpl w:val="C9B8393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0"/>
  </w:num>
  <w:num w:numId="3">
    <w:abstractNumId w:val="2"/>
  </w:num>
  <w:num w:numId="4">
    <w:abstractNumId w:val="13"/>
  </w:num>
  <w:num w:numId="5">
    <w:abstractNumId w:val="10"/>
  </w:num>
  <w:num w:numId="6">
    <w:abstractNumId w:val="18"/>
  </w:num>
  <w:num w:numId="7">
    <w:abstractNumId w:val="6"/>
  </w:num>
  <w:num w:numId="8">
    <w:abstractNumId w:val="5"/>
  </w:num>
  <w:num w:numId="9">
    <w:abstractNumId w:val="7"/>
  </w:num>
  <w:num w:numId="10">
    <w:abstractNumId w:val="4"/>
  </w:num>
  <w:num w:numId="11">
    <w:abstractNumId w:val="0"/>
  </w:num>
  <w:num w:numId="12">
    <w:abstractNumId w:val="9"/>
  </w:num>
  <w:num w:numId="13">
    <w:abstractNumId w:val="11"/>
  </w:num>
  <w:num w:numId="14">
    <w:abstractNumId w:val="20"/>
  </w:num>
  <w:num w:numId="15">
    <w:abstractNumId w:val="3"/>
  </w:num>
  <w:num w:numId="16">
    <w:abstractNumId w:val="19"/>
  </w:num>
  <w:num w:numId="17">
    <w:abstractNumId w:val="1"/>
  </w:num>
  <w:num w:numId="18">
    <w:abstractNumId w:val="12"/>
  </w:num>
  <w:num w:numId="19">
    <w:abstractNumId w:val="16"/>
  </w:num>
  <w:num w:numId="20">
    <w:abstractNumId w:val="17"/>
  </w:num>
  <w:num w:numId="21">
    <w:abstractNumId w:val="14"/>
  </w:num>
  <w:num w:numId="2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C3B"/>
    <w:rsid w:val="0000110B"/>
    <w:rsid w:val="00001DF9"/>
    <w:rsid w:val="00002CD5"/>
    <w:rsid w:val="0000333E"/>
    <w:rsid w:val="00003499"/>
    <w:rsid w:val="00006434"/>
    <w:rsid w:val="000075BF"/>
    <w:rsid w:val="00010191"/>
    <w:rsid w:val="00010F92"/>
    <w:rsid w:val="00011432"/>
    <w:rsid w:val="00011A37"/>
    <w:rsid w:val="00013247"/>
    <w:rsid w:val="00015886"/>
    <w:rsid w:val="000162EF"/>
    <w:rsid w:val="000167DB"/>
    <w:rsid w:val="00017022"/>
    <w:rsid w:val="00017770"/>
    <w:rsid w:val="0002225F"/>
    <w:rsid w:val="00022A90"/>
    <w:rsid w:val="0002323A"/>
    <w:rsid w:val="00023763"/>
    <w:rsid w:val="00023E11"/>
    <w:rsid w:val="00023F17"/>
    <w:rsid w:val="00025161"/>
    <w:rsid w:val="00031F0D"/>
    <w:rsid w:val="00033069"/>
    <w:rsid w:val="00034D8F"/>
    <w:rsid w:val="00035DD3"/>
    <w:rsid w:val="000360CC"/>
    <w:rsid w:val="00036A71"/>
    <w:rsid w:val="00040895"/>
    <w:rsid w:val="00043C37"/>
    <w:rsid w:val="00044683"/>
    <w:rsid w:val="00044726"/>
    <w:rsid w:val="00044BED"/>
    <w:rsid w:val="0004573F"/>
    <w:rsid w:val="00046384"/>
    <w:rsid w:val="00047FC1"/>
    <w:rsid w:val="00051A67"/>
    <w:rsid w:val="00053F4E"/>
    <w:rsid w:val="00054699"/>
    <w:rsid w:val="000546D7"/>
    <w:rsid w:val="0005554E"/>
    <w:rsid w:val="00057771"/>
    <w:rsid w:val="00060912"/>
    <w:rsid w:val="00061B6A"/>
    <w:rsid w:val="000630F3"/>
    <w:rsid w:val="00065016"/>
    <w:rsid w:val="00070434"/>
    <w:rsid w:val="00071248"/>
    <w:rsid w:val="000720B9"/>
    <w:rsid w:val="0007318B"/>
    <w:rsid w:val="000812CA"/>
    <w:rsid w:val="00087418"/>
    <w:rsid w:val="00090C7E"/>
    <w:rsid w:val="00090E80"/>
    <w:rsid w:val="0009126F"/>
    <w:rsid w:val="000915A9"/>
    <w:rsid w:val="000A12B5"/>
    <w:rsid w:val="000A543F"/>
    <w:rsid w:val="000A59E9"/>
    <w:rsid w:val="000A609B"/>
    <w:rsid w:val="000A640F"/>
    <w:rsid w:val="000B1AE7"/>
    <w:rsid w:val="000B5E6C"/>
    <w:rsid w:val="000C04C2"/>
    <w:rsid w:val="000C1EF5"/>
    <w:rsid w:val="000C564F"/>
    <w:rsid w:val="000D1BFC"/>
    <w:rsid w:val="000D3C9C"/>
    <w:rsid w:val="000D6BFD"/>
    <w:rsid w:val="000D6C12"/>
    <w:rsid w:val="000D7539"/>
    <w:rsid w:val="000E0D25"/>
    <w:rsid w:val="000E1153"/>
    <w:rsid w:val="000E1226"/>
    <w:rsid w:val="000E3172"/>
    <w:rsid w:val="000E3C97"/>
    <w:rsid w:val="000E3D3B"/>
    <w:rsid w:val="000E6125"/>
    <w:rsid w:val="000F3869"/>
    <w:rsid w:val="000F3C5C"/>
    <w:rsid w:val="000F4BB8"/>
    <w:rsid w:val="000F6D22"/>
    <w:rsid w:val="000F7127"/>
    <w:rsid w:val="000F7354"/>
    <w:rsid w:val="000F7AD2"/>
    <w:rsid w:val="0010057A"/>
    <w:rsid w:val="00100F8A"/>
    <w:rsid w:val="00105EEA"/>
    <w:rsid w:val="00107831"/>
    <w:rsid w:val="0011032E"/>
    <w:rsid w:val="00111E14"/>
    <w:rsid w:val="0011348B"/>
    <w:rsid w:val="00113AC1"/>
    <w:rsid w:val="00115658"/>
    <w:rsid w:val="00116775"/>
    <w:rsid w:val="00117433"/>
    <w:rsid w:val="00121799"/>
    <w:rsid w:val="001222FC"/>
    <w:rsid w:val="001238C3"/>
    <w:rsid w:val="00124A51"/>
    <w:rsid w:val="00126621"/>
    <w:rsid w:val="00127509"/>
    <w:rsid w:val="00127BC0"/>
    <w:rsid w:val="001301E9"/>
    <w:rsid w:val="0013054F"/>
    <w:rsid w:val="00133C26"/>
    <w:rsid w:val="00135BE5"/>
    <w:rsid w:val="00137645"/>
    <w:rsid w:val="00140001"/>
    <w:rsid w:val="0014015A"/>
    <w:rsid w:val="00140E99"/>
    <w:rsid w:val="00140F4B"/>
    <w:rsid w:val="001412DC"/>
    <w:rsid w:val="00145540"/>
    <w:rsid w:val="001456B0"/>
    <w:rsid w:val="00147F8F"/>
    <w:rsid w:val="00154230"/>
    <w:rsid w:val="00157130"/>
    <w:rsid w:val="001578E2"/>
    <w:rsid w:val="00161812"/>
    <w:rsid w:val="00162913"/>
    <w:rsid w:val="00163EFF"/>
    <w:rsid w:val="001661FB"/>
    <w:rsid w:val="001668AF"/>
    <w:rsid w:val="00170A06"/>
    <w:rsid w:val="00171D1E"/>
    <w:rsid w:val="00172EDA"/>
    <w:rsid w:val="0018128E"/>
    <w:rsid w:val="001819A1"/>
    <w:rsid w:val="00182EBA"/>
    <w:rsid w:val="0018752F"/>
    <w:rsid w:val="001937F6"/>
    <w:rsid w:val="00195222"/>
    <w:rsid w:val="00196318"/>
    <w:rsid w:val="001975D8"/>
    <w:rsid w:val="001A399F"/>
    <w:rsid w:val="001A4FD4"/>
    <w:rsid w:val="001B0203"/>
    <w:rsid w:val="001B0C7D"/>
    <w:rsid w:val="001B3443"/>
    <w:rsid w:val="001B4930"/>
    <w:rsid w:val="001B7914"/>
    <w:rsid w:val="001C0250"/>
    <w:rsid w:val="001C07DB"/>
    <w:rsid w:val="001C35FA"/>
    <w:rsid w:val="001C3B15"/>
    <w:rsid w:val="001C42F5"/>
    <w:rsid w:val="001C46AE"/>
    <w:rsid w:val="001C56EA"/>
    <w:rsid w:val="001C667A"/>
    <w:rsid w:val="001C6E66"/>
    <w:rsid w:val="001C762E"/>
    <w:rsid w:val="001C7984"/>
    <w:rsid w:val="001C7ADA"/>
    <w:rsid w:val="001D126F"/>
    <w:rsid w:val="001D4C63"/>
    <w:rsid w:val="001D6B51"/>
    <w:rsid w:val="001E071C"/>
    <w:rsid w:val="001E11E3"/>
    <w:rsid w:val="001E1860"/>
    <w:rsid w:val="001E1E15"/>
    <w:rsid w:val="001E238E"/>
    <w:rsid w:val="001E2B1E"/>
    <w:rsid w:val="001E52EB"/>
    <w:rsid w:val="001E54C2"/>
    <w:rsid w:val="001E5C9E"/>
    <w:rsid w:val="001E6E5C"/>
    <w:rsid w:val="001E740C"/>
    <w:rsid w:val="001E765A"/>
    <w:rsid w:val="001E7E89"/>
    <w:rsid w:val="001F06A1"/>
    <w:rsid w:val="001F1235"/>
    <w:rsid w:val="001F14DC"/>
    <w:rsid w:val="001F1CB3"/>
    <w:rsid w:val="001F20FE"/>
    <w:rsid w:val="001F26B3"/>
    <w:rsid w:val="001F27B0"/>
    <w:rsid w:val="001F4CFC"/>
    <w:rsid w:val="001F52CA"/>
    <w:rsid w:val="001F5C2F"/>
    <w:rsid w:val="001F7361"/>
    <w:rsid w:val="0020385F"/>
    <w:rsid w:val="00204060"/>
    <w:rsid w:val="002043D3"/>
    <w:rsid w:val="00206362"/>
    <w:rsid w:val="0020639E"/>
    <w:rsid w:val="00207021"/>
    <w:rsid w:val="00207D00"/>
    <w:rsid w:val="002105C1"/>
    <w:rsid w:val="0021185F"/>
    <w:rsid w:val="002134FB"/>
    <w:rsid w:val="00215586"/>
    <w:rsid w:val="002163C1"/>
    <w:rsid w:val="00217435"/>
    <w:rsid w:val="00217ACC"/>
    <w:rsid w:val="00217DD8"/>
    <w:rsid w:val="00220C8D"/>
    <w:rsid w:val="00220E51"/>
    <w:rsid w:val="00221822"/>
    <w:rsid w:val="00222BC0"/>
    <w:rsid w:val="002230E6"/>
    <w:rsid w:val="00223B49"/>
    <w:rsid w:val="00224DD4"/>
    <w:rsid w:val="00226918"/>
    <w:rsid w:val="00226D93"/>
    <w:rsid w:val="002309CC"/>
    <w:rsid w:val="00230B12"/>
    <w:rsid w:val="00236B46"/>
    <w:rsid w:val="00237757"/>
    <w:rsid w:val="00243025"/>
    <w:rsid w:val="002459A6"/>
    <w:rsid w:val="00254DCF"/>
    <w:rsid w:val="0025534B"/>
    <w:rsid w:val="00255962"/>
    <w:rsid w:val="00255BB7"/>
    <w:rsid w:val="00260F1A"/>
    <w:rsid w:val="0026108E"/>
    <w:rsid w:val="00262A87"/>
    <w:rsid w:val="002644D8"/>
    <w:rsid w:val="002721E1"/>
    <w:rsid w:val="00272D10"/>
    <w:rsid w:val="00275C5A"/>
    <w:rsid w:val="002766DF"/>
    <w:rsid w:val="002768C0"/>
    <w:rsid w:val="00277E5A"/>
    <w:rsid w:val="00281014"/>
    <w:rsid w:val="00281CD2"/>
    <w:rsid w:val="00282321"/>
    <w:rsid w:val="002872BD"/>
    <w:rsid w:val="00293A7C"/>
    <w:rsid w:val="002948B2"/>
    <w:rsid w:val="0029692D"/>
    <w:rsid w:val="00297969"/>
    <w:rsid w:val="002A010C"/>
    <w:rsid w:val="002A14AB"/>
    <w:rsid w:val="002A262F"/>
    <w:rsid w:val="002B0902"/>
    <w:rsid w:val="002B1C1F"/>
    <w:rsid w:val="002B1DFC"/>
    <w:rsid w:val="002B432F"/>
    <w:rsid w:val="002B4976"/>
    <w:rsid w:val="002B6CCE"/>
    <w:rsid w:val="002C2775"/>
    <w:rsid w:val="002C27C1"/>
    <w:rsid w:val="002C5BBE"/>
    <w:rsid w:val="002C660C"/>
    <w:rsid w:val="002C6788"/>
    <w:rsid w:val="002C7981"/>
    <w:rsid w:val="002D0A19"/>
    <w:rsid w:val="002D2EFF"/>
    <w:rsid w:val="002D51D4"/>
    <w:rsid w:val="002D690E"/>
    <w:rsid w:val="002E0C2A"/>
    <w:rsid w:val="002E4018"/>
    <w:rsid w:val="002E4296"/>
    <w:rsid w:val="002E6D27"/>
    <w:rsid w:val="002F03C8"/>
    <w:rsid w:val="002F5322"/>
    <w:rsid w:val="002F53A9"/>
    <w:rsid w:val="002F5674"/>
    <w:rsid w:val="002F70A1"/>
    <w:rsid w:val="00301017"/>
    <w:rsid w:val="003066F6"/>
    <w:rsid w:val="0030786C"/>
    <w:rsid w:val="0031031A"/>
    <w:rsid w:val="00310981"/>
    <w:rsid w:val="00311818"/>
    <w:rsid w:val="00315498"/>
    <w:rsid w:val="00316E11"/>
    <w:rsid w:val="003214FC"/>
    <w:rsid w:val="00321C3E"/>
    <w:rsid w:val="00321D09"/>
    <w:rsid w:val="00321F58"/>
    <w:rsid w:val="00323AC4"/>
    <w:rsid w:val="00323FEC"/>
    <w:rsid w:val="003257D9"/>
    <w:rsid w:val="0032687A"/>
    <w:rsid w:val="003278AF"/>
    <w:rsid w:val="00331C31"/>
    <w:rsid w:val="00333AAC"/>
    <w:rsid w:val="00335BA9"/>
    <w:rsid w:val="003366C9"/>
    <w:rsid w:val="003371A1"/>
    <w:rsid w:val="003371B0"/>
    <w:rsid w:val="00337A37"/>
    <w:rsid w:val="00341C16"/>
    <w:rsid w:val="00346010"/>
    <w:rsid w:val="003478D2"/>
    <w:rsid w:val="00347FF6"/>
    <w:rsid w:val="00351F76"/>
    <w:rsid w:val="00352F87"/>
    <w:rsid w:val="00353375"/>
    <w:rsid w:val="0035349C"/>
    <w:rsid w:val="0035620E"/>
    <w:rsid w:val="00356427"/>
    <w:rsid w:val="0036239B"/>
    <w:rsid w:val="00362834"/>
    <w:rsid w:val="00364084"/>
    <w:rsid w:val="0036756E"/>
    <w:rsid w:val="0037381D"/>
    <w:rsid w:val="003739E2"/>
    <w:rsid w:val="00373AD1"/>
    <w:rsid w:val="0037545C"/>
    <w:rsid w:val="003757FB"/>
    <w:rsid w:val="0037689C"/>
    <w:rsid w:val="00377462"/>
    <w:rsid w:val="003805CC"/>
    <w:rsid w:val="003828DB"/>
    <w:rsid w:val="0038365C"/>
    <w:rsid w:val="0038492E"/>
    <w:rsid w:val="0038498A"/>
    <w:rsid w:val="0038576A"/>
    <w:rsid w:val="00385796"/>
    <w:rsid w:val="00385F5B"/>
    <w:rsid w:val="00391C42"/>
    <w:rsid w:val="00391E17"/>
    <w:rsid w:val="00392A22"/>
    <w:rsid w:val="00394948"/>
    <w:rsid w:val="0039548A"/>
    <w:rsid w:val="00396FD0"/>
    <w:rsid w:val="003A197B"/>
    <w:rsid w:val="003A1A7A"/>
    <w:rsid w:val="003A1E5A"/>
    <w:rsid w:val="003A2E6F"/>
    <w:rsid w:val="003A434C"/>
    <w:rsid w:val="003B0DF0"/>
    <w:rsid w:val="003B13A0"/>
    <w:rsid w:val="003B3619"/>
    <w:rsid w:val="003B3B68"/>
    <w:rsid w:val="003B70E3"/>
    <w:rsid w:val="003B7225"/>
    <w:rsid w:val="003C0397"/>
    <w:rsid w:val="003C0756"/>
    <w:rsid w:val="003C0DCC"/>
    <w:rsid w:val="003C1B56"/>
    <w:rsid w:val="003C230A"/>
    <w:rsid w:val="003C2A27"/>
    <w:rsid w:val="003C2F02"/>
    <w:rsid w:val="003C664B"/>
    <w:rsid w:val="003C6BDF"/>
    <w:rsid w:val="003C6F17"/>
    <w:rsid w:val="003D1828"/>
    <w:rsid w:val="003D2422"/>
    <w:rsid w:val="003F386B"/>
    <w:rsid w:val="003F4156"/>
    <w:rsid w:val="003F6739"/>
    <w:rsid w:val="003F6BFF"/>
    <w:rsid w:val="003F7AB9"/>
    <w:rsid w:val="00403C1A"/>
    <w:rsid w:val="00406647"/>
    <w:rsid w:val="00410708"/>
    <w:rsid w:val="00410EC7"/>
    <w:rsid w:val="00411D8A"/>
    <w:rsid w:val="00412274"/>
    <w:rsid w:val="00414476"/>
    <w:rsid w:val="00420133"/>
    <w:rsid w:val="00420B9F"/>
    <w:rsid w:val="0042116F"/>
    <w:rsid w:val="004217AB"/>
    <w:rsid w:val="00423380"/>
    <w:rsid w:val="00423A07"/>
    <w:rsid w:val="00423CC3"/>
    <w:rsid w:val="004261CF"/>
    <w:rsid w:val="004319F8"/>
    <w:rsid w:val="00431AA3"/>
    <w:rsid w:val="00433044"/>
    <w:rsid w:val="00435D40"/>
    <w:rsid w:val="00435F49"/>
    <w:rsid w:val="004377C9"/>
    <w:rsid w:val="004411C1"/>
    <w:rsid w:val="00443904"/>
    <w:rsid w:val="00443B80"/>
    <w:rsid w:val="004443A7"/>
    <w:rsid w:val="00444B4B"/>
    <w:rsid w:val="004464EB"/>
    <w:rsid w:val="00451801"/>
    <w:rsid w:val="004526CA"/>
    <w:rsid w:val="00452BC4"/>
    <w:rsid w:val="004530A7"/>
    <w:rsid w:val="00454693"/>
    <w:rsid w:val="00454E28"/>
    <w:rsid w:val="00455D45"/>
    <w:rsid w:val="004575BC"/>
    <w:rsid w:val="00462C00"/>
    <w:rsid w:val="00464595"/>
    <w:rsid w:val="00470422"/>
    <w:rsid w:val="00474840"/>
    <w:rsid w:val="00475807"/>
    <w:rsid w:val="00480287"/>
    <w:rsid w:val="00480CE3"/>
    <w:rsid w:val="00481275"/>
    <w:rsid w:val="0048149A"/>
    <w:rsid w:val="00481A0F"/>
    <w:rsid w:val="004821C7"/>
    <w:rsid w:val="004867E2"/>
    <w:rsid w:val="004867EA"/>
    <w:rsid w:val="00486AC3"/>
    <w:rsid w:val="004903B4"/>
    <w:rsid w:val="00491B3A"/>
    <w:rsid w:val="00492A30"/>
    <w:rsid w:val="00492CFD"/>
    <w:rsid w:val="004939E4"/>
    <w:rsid w:val="00493D5D"/>
    <w:rsid w:val="004962D2"/>
    <w:rsid w:val="00496E84"/>
    <w:rsid w:val="004A0298"/>
    <w:rsid w:val="004A0DA1"/>
    <w:rsid w:val="004A11AB"/>
    <w:rsid w:val="004A16DD"/>
    <w:rsid w:val="004A1D3B"/>
    <w:rsid w:val="004A2B2E"/>
    <w:rsid w:val="004A2B8D"/>
    <w:rsid w:val="004A6597"/>
    <w:rsid w:val="004B1CB4"/>
    <w:rsid w:val="004B2F18"/>
    <w:rsid w:val="004B3DDB"/>
    <w:rsid w:val="004B420F"/>
    <w:rsid w:val="004B43DC"/>
    <w:rsid w:val="004B44A3"/>
    <w:rsid w:val="004B44FD"/>
    <w:rsid w:val="004B5CFC"/>
    <w:rsid w:val="004B618B"/>
    <w:rsid w:val="004C1819"/>
    <w:rsid w:val="004C486E"/>
    <w:rsid w:val="004C4AED"/>
    <w:rsid w:val="004D21EB"/>
    <w:rsid w:val="004D29DD"/>
    <w:rsid w:val="004D4A20"/>
    <w:rsid w:val="004D70C1"/>
    <w:rsid w:val="004D70DE"/>
    <w:rsid w:val="004E0EB8"/>
    <w:rsid w:val="004E2ADC"/>
    <w:rsid w:val="004E3B49"/>
    <w:rsid w:val="004E43B2"/>
    <w:rsid w:val="004F1D02"/>
    <w:rsid w:val="004F2676"/>
    <w:rsid w:val="004F2679"/>
    <w:rsid w:val="004F354F"/>
    <w:rsid w:val="004F4AA2"/>
    <w:rsid w:val="004F72AC"/>
    <w:rsid w:val="004F7865"/>
    <w:rsid w:val="00500F79"/>
    <w:rsid w:val="005021C2"/>
    <w:rsid w:val="00502D48"/>
    <w:rsid w:val="00503708"/>
    <w:rsid w:val="00506928"/>
    <w:rsid w:val="0051443C"/>
    <w:rsid w:val="005152B5"/>
    <w:rsid w:val="005153FA"/>
    <w:rsid w:val="0051598B"/>
    <w:rsid w:val="0051673A"/>
    <w:rsid w:val="005169BB"/>
    <w:rsid w:val="00521319"/>
    <w:rsid w:val="00523B05"/>
    <w:rsid w:val="00523C28"/>
    <w:rsid w:val="00523CC5"/>
    <w:rsid w:val="00524411"/>
    <w:rsid w:val="00525FA4"/>
    <w:rsid w:val="005276E7"/>
    <w:rsid w:val="005304C6"/>
    <w:rsid w:val="00530ECE"/>
    <w:rsid w:val="00531845"/>
    <w:rsid w:val="0053539D"/>
    <w:rsid w:val="00535AA4"/>
    <w:rsid w:val="00536A51"/>
    <w:rsid w:val="00537346"/>
    <w:rsid w:val="00537FEA"/>
    <w:rsid w:val="0054030D"/>
    <w:rsid w:val="00541CEA"/>
    <w:rsid w:val="005422D7"/>
    <w:rsid w:val="0054324B"/>
    <w:rsid w:val="005433C4"/>
    <w:rsid w:val="00546BB4"/>
    <w:rsid w:val="005475DD"/>
    <w:rsid w:val="005511BE"/>
    <w:rsid w:val="00552BD3"/>
    <w:rsid w:val="00555109"/>
    <w:rsid w:val="005556BE"/>
    <w:rsid w:val="00557AC7"/>
    <w:rsid w:val="00560958"/>
    <w:rsid w:val="00561E07"/>
    <w:rsid w:val="005637B3"/>
    <w:rsid w:val="0056696F"/>
    <w:rsid w:val="00567AFD"/>
    <w:rsid w:val="00570298"/>
    <w:rsid w:val="00571168"/>
    <w:rsid w:val="00572C81"/>
    <w:rsid w:val="00572D84"/>
    <w:rsid w:val="00573A19"/>
    <w:rsid w:val="00575D8D"/>
    <w:rsid w:val="00576972"/>
    <w:rsid w:val="00583699"/>
    <w:rsid w:val="00586105"/>
    <w:rsid w:val="0058621F"/>
    <w:rsid w:val="00586613"/>
    <w:rsid w:val="005871C9"/>
    <w:rsid w:val="00587F05"/>
    <w:rsid w:val="00590F5C"/>
    <w:rsid w:val="00591E73"/>
    <w:rsid w:val="00594482"/>
    <w:rsid w:val="00594593"/>
    <w:rsid w:val="005A7CB8"/>
    <w:rsid w:val="005B1C2E"/>
    <w:rsid w:val="005B3A40"/>
    <w:rsid w:val="005B5857"/>
    <w:rsid w:val="005B5A70"/>
    <w:rsid w:val="005B7564"/>
    <w:rsid w:val="005B7924"/>
    <w:rsid w:val="005C1B83"/>
    <w:rsid w:val="005C346B"/>
    <w:rsid w:val="005C5596"/>
    <w:rsid w:val="005C5B58"/>
    <w:rsid w:val="005C79C7"/>
    <w:rsid w:val="005D00DB"/>
    <w:rsid w:val="005D01CF"/>
    <w:rsid w:val="005D044D"/>
    <w:rsid w:val="005D18AD"/>
    <w:rsid w:val="005D3BEF"/>
    <w:rsid w:val="005D439E"/>
    <w:rsid w:val="005D4CB4"/>
    <w:rsid w:val="005D4F33"/>
    <w:rsid w:val="005E06D3"/>
    <w:rsid w:val="005E11B7"/>
    <w:rsid w:val="005E6569"/>
    <w:rsid w:val="005E73C0"/>
    <w:rsid w:val="005E77B1"/>
    <w:rsid w:val="005E7FA1"/>
    <w:rsid w:val="005F11C2"/>
    <w:rsid w:val="005F2706"/>
    <w:rsid w:val="005F3099"/>
    <w:rsid w:val="005F42AC"/>
    <w:rsid w:val="005F6A8F"/>
    <w:rsid w:val="005F7133"/>
    <w:rsid w:val="006013EB"/>
    <w:rsid w:val="0060206A"/>
    <w:rsid w:val="0060209A"/>
    <w:rsid w:val="006027E4"/>
    <w:rsid w:val="00602FF2"/>
    <w:rsid w:val="00604948"/>
    <w:rsid w:val="00607669"/>
    <w:rsid w:val="00612F97"/>
    <w:rsid w:val="006148AC"/>
    <w:rsid w:val="006152B9"/>
    <w:rsid w:val="00616802"/>
    <w:rsid w:val="0061729D"/>
    <w:rsid w:val="00617E12"/>
    <w:rsid w:val="0062031E"/>
    <w:rsid w:val="006206C0"/>
    <w:rsid w:val="00621246"/>
    <w:rsid w:val="00621477"/>
    <w:rsid w:val="00622848"/>
    <w:rsid w:val="00624D94"/>
    <w:rsid w:val="00625BFE"/>
    <w:rsid w:val="00630B50"/>
    <w:rsid w:val="006315BB"/>
    <w:rsid w:val="00631D6B"/>
    <w:rsid w:val="0063479F"/>
    <w:rsid w:val="00635950"/>
    <w:rsid w:val="006364A1"/>
    <w:rsid w:val="00637BFD"/>
    <w:rsid w:val="006412CE"/>
    <w:rsid w:val="00644E04"/>
    <w:rsid w:val="006460CA"/>
    <w:rsid w:val="006471CC"/>
    <w:rsid w:val="00647341"/>
    <w:rsid w:val="0065079F"/>
    <w:rsid w:val="00650EA6"/>
    <w:rsid w:val="0065270B"/>
    <w:rsid w:val="00652AA5"/>
    <w:rsid w:val="006554AE"/>
    <w:rsid w:val="006554F5"/>
    <w:rsid w:val="00670AD8"/>
    <w:rsid w:val="00674E42"/>
    <w:rsid w:val="00676FBF"/>
    <w:rsid w:val="00677839"/>
    <w:rsid w:val="00680C06"/>
    <w:rsid w:val="006818F4"/>
    <w:rsid w:val="00682112"/>
    <w:rsid w:val="00686C23"/>
    <w:rsid w:val="006872BA"/>
    <w:rsid w:val="00687400"/>
    <w:rsid w:val="006917D7"/>
    <w:rsid w:val="006937A9"/>
    <w:rsid w:val="00694F44"/>
    <w:rsid w:val="00697279"/>
    <w:rsid w:val="00697802"/>
    <w:rsid w:val="00697AC3"/>
    <w:rsid w:val="006A041E"/>
    <w:rsid w:val="006A794F"/>
    <w:rsid w:val="006B326B"/>
    <w:rsid w:val="006B7D98"/>
    <w:rsid w:val="006C21A2"/>
    <w:rsid w:val="006C225E"/>
    <w:rsid w:val="006C2A8E"/>
    <w:rsid w:val="006C37FF"/>
    <w:rsid w:val="006C3C03"/>
    <w:rsid w:val="006D051F"/>
    <w:rsid w:val="006D0895"/>
    <w:rsid w:val="006D1015"/>
    <w:rsid w:val="006D3487"/>
    <w:rsid w:val="006D3C7D"/>
    <w:rsid w:val="006D4490"/>
    <w:rsid w:val="006D45F7"/>
    <w:rsid w:val="006D5A59"/>
    <w:rsid w:val="006D5D5F"/>
    <w:rsid w:val="006D6124"/>
    <w:rsid w:val="006E0F5C"/>
    <w:rsid w:val="006E1DF3"/>
    <w:rsid w:val="006E6AD8"/>
    <w:rsid w:val="006F01F5"/>
    <w:rsid w:val="006F04D3"/>
    <w:rsid w:val="006F301C"/>
    <w:rsid w:val="006F37A5"/>
    <w:rsid w:val="006F37CF"/>
    <w:rsid w:val="006F49F8"/>
    <w:rsid w:val="006F5029"/>
    <w:rsid w:val="006F56BD"/>
    <w:rsid w:val="006F63A5"/>
    <w:rsid w:val="007007E3"/>
    <w:rsid w:val="007011A4"/>
    <w:rsid w:val="00702650"/>
    <w:rsid w:val="0070276E"/>
    <w:rsid w:val="00702F8F"/>
    <w:rsid w:val="007031A1"/>
    <w:rsid w:val="0070661D"/>
    <w:rsid w:val="00706D5E"/>
    <w:rsid w:val="007102A3"/>
    <w:rsid w:val="00711A36"/>
    <w:rsid w:val="00715522"/>
    <w:rsid w:val="00716A8A"/>
    <w:rsid w:val="007172AD"/>
    <w:rsid w:val="007205BB"/>
    <w:rsid w:val="00722221"/>
    <w:rsid w:val="00722E0C"/>
    <w:rsid w:val="00723753"/>
    <w:rsid w:val="0072416F"/>
    <w:rsid w:val="00724D3A"/>
    <w:rsid w:val="007256E9"/>
    <w:rsid w:val="00725868"/>
    <w:rsid w:val="0072608C"/>
    <w:rsid w:val="0072627D"/>
    <w:rsid w:val="00726A9C"/>
    <w:rsid w:val="00727314"/>
    <w:rsid w:val="0072792D"/>
    <w:rsid w:val="00731A38"/>
    <w:rsid w:val="00732308"/>
    <w:rsid w:val="00733E7C"/>
    <w:rsid w:val="00735328"/>
    <w:rsid w:val="0073685B"/>
    <w:rsid w:val="00737449"/>
    <w:rsid w:val="007375C0"/>
    <w:rsid w:val="00741DAE"/>
    <w:rsid w:val="00742B5E"/>
    <w:rsid w:val="00743B16"/>
    <w:rsid w:val="007448A2"/>
    <w:rsid w:val="00744DEB"/>
    <w:rsid w:val="00745017"/>
    <w:rsid w:val="00747097"/>
    <w:rsid w:val="007505E8"/>
    <w:rsid w:val="00753573"/>
    <w:rsid w:val="00754BFD"/>
    <w:rsid w:val="007611A2"/>
    <w:rsid w:val="0076425C"/>
    <w:rsid w:val="00764FD3"/>
    <w:rsid w:val="00765D59"/>
    <w:rsid w:val="00766FD8"/>
    <w:rsid w:val="00771F6A"/>
    <w:rsid w:val="00771F83"/>
    <w:rsid w:val="00773658"/>
    <w:rsid w:val="007867A0"/>
    <w:rsid w:val="007949E2"/>
    <w:rsid w:val="007A0A12"/>
    <w:rsid w:val="007A2421"/>
    <w:rsid w:val="007A3DA1"/>
    <w:rsid w:val="007A65A1"/>
    <w:rsid w:val="007B04A8"/>
    <w:rsid w:val="007B1DA3"/>
    <w:rsid w:val="007B251D"/>
    <w:rsid w:val="007B2A88"/>
    <w:rsid w:val="007B546D"/>
    <w:rsid w:val="007B77D1"/>
    <w:rsid w:val="007B79A2"/>
    <w:rsid w:val="007C015A"/>
    <w:rsid w:val="007C2A04"/>
    <w:rsid w:val="007C3040"/>
    <w:rsid w:val="007C361D"/>
    <w:rsid w:val="007C599E"/>
    <w:rsid w:val="007D00A3"/>
    <w:rsid w:val="007D075C"/>
    <w:rsid w:val="007D0B38"/>
    <w:rsid w:val="007D0D84"/>
    <w:rsid w:val="007D2D07"/>
    <w:rsid w:val="007D47B3"/>
    <w:rsid w:val="007D68B2"/>
    <w:rsid w:val="007D699D"/>
    <w:rsid w:val="007D7D4C"/>
    <w:rsid w:val="007E2738"/>
    <w:rsid w:val="007E330D"/>
    <w:rsid w:val="007E4E2C"/>
    <w:rsid w:val="007E6D65"/>
    <w:rsid w:val="007F0F84"/>
    <w:rsid w:val="007F1017"/>
    <w:rsid w:val="007F25DB"/>
    <w:rsid w:val="007F30CE"/>
    <w:rsid w:val="007F4A3F"/>
    <w:rsid w:val="007F7BB4"/>
    <w:rsid w:val="00801AEA"/>
    <w:rsid w:val="00801BD3"/>
    <w:rsid w:val="0080335F"/>
    <w:rsid w:val="00805142"/>
    <w:rsid w:val="00805F50"/>
    <w:rsid w:val="0080680F"/>
    <w:rsid w:val="00807A8B"/>
    <w:rsid w:val="00810FAF"/>
    <w:rsid w:val="00812149"/>
    <w:rsid w:val="008166EF"/>
    <w:rsid w:val="00817727"/>
    <w:rsid w:val="00823385"/>
    <w:rsid w:val="0082480A"/>
    <w:rsid w:val="00825310"/>
    <w:rsid w:val="00825F48"/>
    <w:rsid w:val="008264EB"/>
    <w:rsid w:val="00827D80"/>
    <w:rsid w:val="00833B05"/>
    <w:rsid w:val="008350B0"/>
    <w:rsid w:val="00836CC4"/>
    <w:rsid w:val="00837F27"/>
    <w:rsid w:val="00840645"/>
    <w:rsid w:val="00840CA2"/>
    <w:rsid w:val="00843E7D"/>
    <w:rsid w:val="00850EA7"/>
    <w:rsid w:val="008545C2"/>
    <w:rsid w:val="00855DA9"/>
    <w:rsid w:val="00856E9A"/>
    <w:rsid w:val="00861264"/>
    <w:rsid w:val="00862502"/>
    <w:rsid w:val="0086254B"/>
    <w:rsid w:val="00863CBB"/>
    <w:rsid w:val="00864200"/>
    <w:rsid w:val="00865E0D"/>
    <w:rsid w:val="00866226"/>
    <w:rsid w:val="008674DC"/>
    <w:rsid w:val="00870515"/>
    <w:rsid w:val="00871330"/>
    <w:rsid w:val="00877238"/>
    <w:rsid w:val="00881B2D"/>
    <w:rsid w:val="00882874"/>
    <w:rsid w:val="00883787"/>
    <w:rsid w:val="00890CA5"/>
    <w:rsid w:val="00891811"/>
    <w:rsid w:val="0089294D"/>
    <w:rsid w:val="00894489"/>
    <w:rsid w:val="00895850"/>
    <w:rsid w:val="008963A5"/>
    <w:rsid w:val="00897C71"/>
    <w:rsid w:val="008A1791"/>
    <w:rsid w:val="008A3078"/>
    <w:rsid w:val="008A3164"/>
    <w:rsid w:val="008A3C3E"/>
    <w:rsid w:val="008A5957"/>
    <w:rsid w:val="008A74E0"/>
    <w:rsid w:val="008A79DE"/>
    <w:rsid w:val="008A7EAE"/>
    <w:rsid w:val="008B51F6"/>
    <w:rsid w:val="008B5C42"/>
    <w:rsid w:val="008B6B92"/>
    <w:rsid w:val="008B78E1"/>
    <w:rsid w:val="008B79AA"/>
    <w:rsid w:val="008B7D7E"/>
    <w:rsid w:val="008C1D7E"/>
    <w:rsid w:val="008C2366"/>
    <w:rsid w:val="008C61D6"/>
    <w:rsid w:val="008C63AF"/>
    <w:rsid w:val="008C6622"/>
    <w:rsid w:val="008C7ECB"/>
    <w:rsid w:val="008D0F3B"/>
    <w:rsid w:val="008D1343"/>
    <w:rsid w:val="008D32FB"/>
    <w:rsid w:val="008D3B20"/>
    <w:rsid w:val="008D515C"/>
    <w:rsid w:val="008D6F82"/>
    <w:rsid w:val="008D7E8B"/>
    <w:rsid w:val="008E0459"/>
    <w:rsid w:val="008E04C7"/>
    <w:rsid w:val="008E1B9E"/>
    <w:rsid w:val="008E1D8C"/>
    <w:rsid w:val="008E20D9"/>
    <w:rsid w:val="008E6941"/>
    <w:rsid w:val="008E791E"/>
    <w:rsid w:val="008F0DFE"/>
    <w:rsid w:val="008F120A"/>
    <w:rsid w:val="008F1EC2"/>
    <w:rsid w:val="008F3107"/>
    <w:rsid w:val="008F3B3D"/>
    <w:rsid w:val="008F48EB"/>
    <w:rsid w:val="008F4F0B"/>
    <w:rsid w:val="00900E4D"/>
    <w:rsid w:val="00904610"/>
    <w:rsid w:val="009062A5"/>
    <w:rsid w:val="0091058B"/>
    <w:rsid w:val="00911272"/>
    <w:rsid w:val="00914E09"/>
    <w:rsid w:val="00917035"/>
    <w:rsid w:val="009201F8"/>
    <w:rsid w:val="009206FB"/>
    <w:rsid w:val="009208D1"/>
    <w:rsid w:val="00920F7A"/>
    <w:rsid w:val="00921428"/>
    <w:rsid w:val="009408C9"/>
    <w:rsid w:val="00942520"/>
    <w:rsid w:val="00943D04"/>
    <w:rsid w:val="0095062F"/>
    <w:rsid w:val="009532CF"/>
    <w:rsid w:val="009539E7"/>
    <w:rsid w:val="00953F5B"/>
    <w:rsid w:val="0095468E"/>
    <w:rsid w:val="00956342"/>
    <w:rsid w:val="00956BD2"/>
    <w:rsid w:val="0096045F"/>
    <w:rsid w:val="00962CB9"/>
    <w:rsid w:val="00964312"/>
    <w:rsid w:val="0096492C"/>
    <w:rsid w:val="009707AF"/>
    <w:rsid w:val="009714BF"/>
    <w:rsid w:val="00972505"/>
    <w:rsid w:val="00974A75"/>
    <w:rsid w:val="0097713B"/>
    <w:rsid w:val="009810D9"/>
    <w:rsid w:val="00983E57"/>
    <w:rsid w:val="00993608"/>
    <w:rsid w:val="00995A81"/>
    <w:rsid w:val="00996B1A"/>
    <w:rsid w:val="009A07F2"/>
    <w:rsid w:val="009A2192"/>
    <w:rsid w:val="009A2823"/>
    <w:rsid w:val="009A3444"/>
    <w:rsid w:val="009A38B6"/>
    <w:rsid w:val="009A3CC8"/>
    <w:rsid w:val="009A6CF6"/>
    <w:rsid w:val="009A7655"/>
    <w:rsid w:val="009B1B9A"/>
    <w:rsid w:val="009B2AA9"/>
    <w:rsid w:val="009B335C"/>
    <w:rsid w:val="009B3E26"/>
    <w:rsid w:val="009B6509"/>
    <w:rsid w:val="009C458C"/>
    <w:rsid w:val="009D0C30"/>
    <w:rsid w:val="009D1F4C"/>
    <w:rsid w:val="009D2F33"/>
    <w:rsid w:val="009D38EB"/>
    <w:rsid w:val="009D39BD"/>
    <w:rsid w:val="009D5B91"/>
    <w:rsid w:val="009E0297"/>
    <w:rsid w:val="009E3B80"/>
    <w:rsid w:val="009E40E0"/>
    <w:rsid w:val="009E4C07"/>
    <w:rsid w:val="009E4E00"/>
    <w:rsid w:val="009E5C78"/>
    <w:rsid w:val="009E653B"/>
    <w:rsid w:val="009E6AC7"/>
    <w:rsid w:val="009F0CCC"/>
    <w:rsid w:val="009F10B7"/>
    <w:rsid w:val="009F168A"/>
    <w:rsid w:val="009F1C95"/>
    <w:rsid w:val="009F4AE5"/>
    <w:rsid w:val="009F64AD"/>
    <w:rsid w:val="009F68A2"/>
    <w:rsid w:val="009F69B3"/>
    <w:rsid w:val="009F725A"/>
    <w:rsid w:val="009F7FE9"/>
    <w:rsid w:val="00A00548"/>
    <w:rsid w:val="00A01F0F"/>
    <w:rsid w:val="00A03D43"/>
    <w:rsid w:val="00A04380"/>
    <w:rsid w:val="00A05B3B"/>
    <w:rsid w:val="00A11DD3"/>
    <w:rsid w:val="00A13948"/>
    <w:rsid w:val="00A158B5"/>
    <w:rsid w:val="00A1755A"/>
    <w:rsid w:val="00A20479"/>
    <w:rsid w:val="00A249F6"/>
    <w:rsid w:val="00A26252"/>
    <w:rsid w:val="00A27AEC"/>
    <w:rsid w:val="00A30A02"/>
    <w:rsid w:val="00A30CE9"/>
    <w:rsid w:val="00A325B8"/>
    <w:rsid w:val="00A3329C"/>
    <w:rsid w:val="00A33B08"/>
    <w:rsid w:val="00A35D16"/>
    <w:rsid w:val="00A36D49"/>
    <w:rsid w:val="00A37EFB"/>
    <w:rsid w:val="00A43C59"/>
    <w:rsid w:val="00A450F8"/>
    <w:rsid w:val="00A4661D"/>
    <w:rsid w:val="00A4730B"/>
    <w:rsid w:val="00A50ECD"/>
    <w:rsid w:val="00A50FE8"/>
    <w:rsid w:val="00A51AC3"/>
    <w:rsid w:val="00A52729"/>
    <w:rsid w:val="00A53675"/>
    <w:rsid w:val="00A542AB"/>
    <w:rsid w:val="00A56B6A"/>
    <w:rsid w:val="00A578DC"/>
    <w:rsid w:val="00A63534"/>
    <w:rsid w:val="00A64B14"/>
    <w:rsid w:val="00A64EA4"/>
    <w:rsid w:val="00A66826"/>
    <w:rsid w:val="00A6725B"/>
    <w:rsid w:val="00A8337A"/>
    <w:rsid w:val="00A86E8B"/>
    <w:rsid w:val="00A93072"/>
    <w:rsid w:val="00A959D8"/>
    <w:rsid w:val="00A96E57"/>
    <w:rsid w:val="00A9726C"/>
    <w:rsid w:val="00AA277B"/>
    <w:rsid w:val="00AA5CB4"/>
    <w:rsid w:val="00AA66FC"/>
    <w:rsid w:val="00AB042A"/>
    <w:rsid w:val="00AB0C80"/>
    <w:rsid w:val="00AB2D34"/>
    <w:rsid w:val="00AB3430"/>
    <w:rsid w:val="00AB38B6"/>
    <w:rsid w:val="00AB4A20"/>
    <w:rsid w:val="00AB5BC8"/>
    <w:rsid w:val="00AB7CFA"/>
    <w:rsid w:val="00AC0D1F"/>
    <w:rsid w:val="00AC15B9"/>
    <w:rsid w:val="00AC1B1C"/>
    <w:rsid w:val="00AC30E2"/>
    <w:rsid w:val="00AC7E7A"/>
    <w:rsid w:val="00AD4828"/>
    <w:rsid w:val="00AD6205"/>
    <w:rsid w:val="00AE7A85"/>
    <w:rsid w:val="00AF2231"/>
    <w:rsid w:val="00AF3619"/>
    <w:rsid w:val="00AF3BB7"/>
    <w:rsid w:val="00AF70CC"/>
    <w:rsid w:val="00B00116"/>
    <w:rsid w:val="00B06A12"/>
    <w:rsid w:val="00B07F38"/>
    <w:rsid w:val="00B11B68"/>
    <w:rsid w:val="00B11BF1"/>
    <w:rsid w:val="00B133ED"/>
    <w:rsid w:val="00B15442"/>
    <w:rsid w:val="00B15D73"/>
    <w:rsid w:val="00B177C7"/>
    <w:rsid w:val="00B17D5D"/>
    <w:rsid w:val="00B23B81"/>
    <w:rsid w:val="00B24B51"/>
    <w:rsid w:val="00B25C50"/>
    <w:rsid w:val="00B27E92"/>
    <w:rsid w:val="00B31A33"/>
    <w:rsid w:val="00B32C77"/>
    <w:rsid w:val="00B3511B"/>
    <w:rsid w:val="00B401D6"/>
    <w:rsid w:val="00B41FDA"/>
    <w:rsid w:val="00B42851"/>
    <w:rsid w:val="00B44306"/>
    <w:rsid w:val="00B44565"/>
    <w:rsid w:val="00B44A29"/>
    <w:rsid w:val="00B44D20"/>
    <w:rsid w:val="00B4664A"/>
    <w:rsid w:val="00B467CD"/>
    <w:rsid w:val="00B47BB3"/>
    <w:rsid w:val="00B50DB8"/>
    <w:rsid w:val="00B52288"/>
    <w:rsid w:val="00B53905"/>
    <w:rsid w:val="00B54B5B"/>
    <w:rsid w:val="00B5562E"/>
    <w:rsid w:val="00B57000"/>
    <w:rsid w:val="00B5751E"/>
    <w:rsid w:val="00B60939"/>
    <w:rsid w:val="00B60ADD"/>
    <w:rsid w:val="00B60AFD"/>
    <w:rsid w:val="00B60DF4"/>
    <w:rsid w:val="00B61001"/>
    <w:rsid w:val="00B61B54"/>
    <w:rsid w:val="00B61BE7"/>
    <w:rsid w:val="00B62635"/>
    <w:rsid w:val="00B62715"/>
    <w:rsid w:val="00B6317B"/>
    <w:rsid w:val="00B702A0"/>
    <w:rsid w:val="00B7145C"/>
    <w:rsid w:val="00B72B57"/>
    <w:rsid w:val="00B75D2E"/>
    <w:rsid w:val="00B77614"/>
    <w:rsid w:val="00B818A4"/>
    <w:rsid w:val="00B8260D"/>
    <w:rsid w:val="00B83579"/>
    <w:rsid w:val="00B84A10"/>
    <w:rsid w:val="00B8649C"/>
    <w:rsid w:val="00B86858"/>
    <w:rsid w:val="00B86D7D"/>
    <w:rsid w:val="00B878B5"/>
    <w:rsid w:val="00B92D0B"/>
    <w:rsid w:val="00B94945"/>
    <w:rsid w:val="00BA7B9B"/>
    <w:rsid w:val="00BB0E56"/>
    <w:rsid w:val="00BB349E"/>
    <w:rsid w:val="00BB5CDF"/>
    <w:rsid w:val="00BB69D6"/>
    <w:rsid w:val="00BB7405"/>
    <w:rsid w:val="00BC395D"/>
    <w:rsid w:val="00BC3C83"/>
    <w:rsid w:val="00BC4A60"/>
    <w:rsid w:val="00BC7E80"/>
    <w:rsid w:val="00BD1932"/>
    <w:rsid w:val="00BD2A74"/>
    <w:rsid w:val="00BD3B13"/>
    <w:rsid w:val="00BD472A"/>
    <w:rsid w:val="00BD6CF3"/>
    <w:rsid w:val="00BE105A"/>
    <w:rsid w:val="00BE2180"/>
    <w:rsid w:val="00BE4275"/>
    <w:rsid w:val="00BE53A5"/>
    <w:rsid w:val="00BE55F1"/>
    <w:rsid w:val="00BE58C4"/>
    <w:rsid w:val="00BE61E1"/>
    <w:rsid w:val="00BE63D2"/>
    <w:rsid w:val="00BF0B5B"/>
    <w:rsid w:val="00BF0C1A"/>
    <w:rsid w:val="00BF195C"/>
    <w:rsid w:val="00BF2433"/>
    <w:rsid w:val="00BF5162"/>
    <w:rsid w:val="00BF5661"/>
    <w:rsid w:val="00BF5B38"/>
    <w:rsid w:val="00BF61C9"/>
    <w:rsid w:val="00BF741C"/>
    <w:rsid w:val="00BF7552"/>
    <w:rsid w:val="00BF7D5A"/>
    <w:rsid w:val="00C0515E"/>
    <w:rsid w:val="00C07422"/>
    <w:rsid w:val="00C11222"/>
    <w:rsid w:val="00C11D1B"/>
    <w:rsid w:val="00C13E8F"/>
    <w:rsid w:val="00C16C0B"/>
    <w:rsid w:val="00C16D34"/>
    <w:rsid w:val="00C17969"/>
    <w:rsid w:val="00C2307C"/>
    <w:rsid w:val="00C24BE2"/>
    <w:rsid w:val="00C25418"/>
    <w:rsid w:val="00C25D9C"/>
    <w:rsid w:val="00C3151F"/>
    <w:rsid w:val="00C31649"/>
    <w:rsid w:val="00C31929"/>
    <w:rsid w:val="00C33AA8"/>
    <w:rsid w:val="00C350E7"/>
    <w:rsid w:val="00C35BBE"/>
    <w:rsid w:val="00C35F33"/>
    <w:rsid w:val="00C40385"/>
    <w:rsid w:val="00C42881"/>
    <w:rsid w:val="00C440C2"/>
    <w:rsid w:val="00C45183"/>
    <w:rsid w:val="00C517FD"/>
    <w:rsid w:val="00C533AA"/>
    <w:rsid w:val="00C54AE1"/>
    <w:rsid w:val="00C5505D"/>
    <w:rsid w:val="00C553A4"/>
    <w:rsid w:val="00C56A48"/>
    <w:rsid w:val="00C615B9"/>
    <w:rsid w:val="00C61C7D"/>
    <w:rsid w:val="00C62D57"/>
    <w:rsid w:val="00C63515"/>
    <w:rsid w:val="00C63A53"/>
    <w:rsid w:val="00C65576"/>
    <w:rsid w:val="00C66165"/>
    <w:rsid w:val="00C705BC"/>
    <w:rsid w:val="00C71EF8"/>
    <w:rsid w:val="00C73555"/>
    <w:rsid w:val="00C750C8"/>
    <w:rsid w:val="00C7610D"/>
    <w:rsid w:val="00C76B8E"/>
    <w:rsid w:val="00C77355"/>
    <w:rsid w:val="00C80918"/>
    <w:rsid w:val="00C8213F"/>
    <w:rsid w:val="00C84479"/>
    <w:rsid w:val="00C8797A"/>
    <w:rsid w:val="00C9295F"/>
    <w:rsid w:val="00C92D05"/>
    <w:rsid w:val="00C938CF"/>
    <w:rsid w:val="00C95A49"/>
    <w:rsid w:val="00CA5245"/>
    <w:rsid w:val="00CA7613"/>
    <w:rsid w:val="00CA7B09"/>
    <w:rsid w:val="00CB27E3"/>
    <w:rsid w:val="00CB40DD"/>
    <w:rsid w:val="00CB498B"/>
    <w:rsid w:val="00CB4A54"/>
    <w:rsid w:val="00CB52FF"/>
    <w:rsid w:val="00CB5B1A"/>
    <w:rsid w:val="00CC01E8"/>
    <w:rsid w:val="00CC0550"/>
    <w:rsid w:val="00CC2E56"/>
    <w:rsid w:val="00CC4950"/>
    <w:rsid w:val="00CC6AF8"/>
    <w:rsid w:val="00CD04BE"/>
    <w:rsid w:val="00CD0C24"/>
    <w:rsid w:val="00CD39BC"/>
    <w:rsid w:val="00CD5038"/>
    <w:rsid w:val="00CD6ADC"/>
    <w:rsid w:val="00CE0007"/>
    <w:rsid w:val="00CE6274"/>
    <w:rsid w:val="00CE7A65"/>
    <w:rsid w:val="00CF116C"/>
    <w:rsid w:val="00CF2E8C"/>
    <w:rsid w:val="00CF3BA4"/>
    <w:rsid w:val="00CF456B"/>
    <w:rsid w:val="00CF4967"/>
    <w:rsid w:val="00CF5192"/>
    <w:rsid w:val="00CF5A22"/>
    <w:rsid w:val="00CF5B77"/>
    <w:rsid w:val="00D0262E"/>
    <w:rsid w:val="00D041D1"/>
    <w:rsid w:val="00D07A16"/>
    <w:rsid w:val="00D110BD"/>
    <w:rsid w:val="00D11347"/>
    <w:rsid w:val="00D17654"/>
    <w:rsid w:val="00D17D6C"/>
    <w:rsid w:val="00D21C5A"/>
    <w:rsid w:val="00D23F61"/>
    <w:rsid w:val="00D2648F"/>
    <w:rsid w:val="00D26810"/>
    <w:rsid w:val="00D271B0"/>
    <w:rsid w:val="00D31531"/>
    <w:rsid w:val="00D33809"/>
    <w:rsid w:val="00D351FE"/>
    <w:rsid w:val="00D357FF"/>
    <w:rsid w:val="00D44194"/>
    <w:rsid w:val="00D44292"/>
    <w:rsid w:val="00D458FB"/>
    <w:rsid w:val="00D465D1"/>
    <w:rsid w:val="00D470FA"/>
    <w:rsid w:val="00D54966"/>
    <w:rsid w:val="00D54AD1"/>
    <w:rsid w:val="00D55264"/>
    <w:rsid w:val="00D55D1F"/>
    <w:rsid w:val="00D57118"/>
    <w:rsid w:val="00D5792D"/>
    <w:rsid w:val="00D60EF5"/>
    <w:rsid w:val="00D64873"/>
    <w:rsid w:val="00D70A7B"/>
    <w:rsid w:val="00D70CE4"/>
    <w:rsid w:val="00D71598"/>
    <w:rsid w:val="00D719D0"/>
    <w:rsid w:val="00D76A44"/>
    <w:rsid w:val="00D77382"/>
    <w:rsid w:val="00D8116B"/>
    <w:rsid w:val="00D82120"/>
    <w:rsid w:val="00D83125"/>
    <w:rsid w:val="00D83CDB"/>
    <w:rsid w:val="00D93753"/>
    <w:rsid w:val="00D95DC1"/>
    <w:rsid w:val="00DA1B44"/>
    <w:rsid w:val="00DA1BF4"/>
    <w:rsid w:val="00DA2050"/>
    <w:rsid w:val="00DA53BC"/>
    <w:rsid w:val="00DA6257"/>
    <w:rsid w:val="00DA77A5"/>
    <w:rsid w:val="00DB060D"/>
    <w:rsid w:val="00DB08E0"/>
    <w:rsid w:val="00DB1248"/>
    <w:rsid w:val="00DB644E"/>
    <w:rsid w:val="00DB659A"/>
    <w:rsid w:val="00DB79D7"/>
    <w:rsid w:val="00DC0730"/>
    <w:rsid w:val="00DC2D97"/>
    <w:rsid w:val="00DC2F74"/>
    <w:rsid w:val="00DC4B0F"/>
    <w:rsid w:val="00DC5501"/>
    <w:rsid w:val="00DC5A4D"/>
    <w:rsid w:val="00DC5E37"/>
    <w:rsid w:val="00DC776D"/>
    <w:rsid w:val="00DD3F28"/>
    <w:rsid w:val="00DD4537"/>
    <w:rsid w:val="00DD4E15"/>
    <w:rsid w:val="00DD5247"/>
    <w:rsid w:val="00DD5D0A"/>
    <w:rsid w:val="00DD68D3"/>
    <w:rsid w:val="00DD7110"/>
    <w:rsid w:val="00DE20C6"/>
    <w:rsid w:val="00DE2613"/>
    <w:rsid w:val="00DE3CB3"/>
    <w:rsid w:val="00DE4FCB"/>
    <w:rsid w:val="00DE7FC4"/>
    <w:rsid w:val="00DF0627"/>
    <w:rsid w:val="00DF4155"/>
    <w:rsid w:val="00DF5D2B"/>
    <w:rsid w:val="00E0245B"/>
    <w:rsid w:val="00E04328"/>
    <w:rsid w:val="00E0758D"/>
    <w:rsid w:val="00E07B11"/>
    <w:rsid w:val="00E10149"/>
    <w:rsid w:val="00E1056C"/>
    <w:rsid w:val="00E10AB4"/>
    <w:rsid w:val="00E11E5F"/>
    <w:rsid w:val="00E1301B"/>
    <w:rsid w:val="00E15937"/>
    <w:rsid w:val="00E15A2C"/>
    <w:rsid w:val="00E15E80"/>
    <w:rsid w:val="00E16372"/>
    <w:rsid w:val="00E175D8"/>
    <w:rsid w:val="00E20ED6"/>
    <w:rsid w:val="00E21358"/>
    <w:rsid w:val="00E2249B"/>
    <w:rsid w:val="00E22A0D"/>
    <w:rsid w:val="00E2682F"/>
    <w:rsid w:val="00E2771E"/>
    <w:rsid w:val="00E30962"/>
    <w:rsid w:val="00E30FDB"/>
    <w:rsid w:val="00E35E4C"/>
    <w:rsid w:val="00E37200"/>
    <w:rsid w:val="00E37569"/>
    <w:rsid w:val="00E3769B"/>
    <w:rsid w:val="00E41E30"/>
    <w:rsid w:val="00E4203D"/>
    <w:rsid w:val="00E43D70"/>
    <w:rsid w:val="00E440CF"/>
    <w:rsid w:val="00E47B2C"/>
    <w:rsid w:val="00E47E96"/>
    <w:rsid w:val="00E508A9"/>
    <w:rsid w:val="00E51560"/>
    <w:rsid w:val="00E5406E"/>
    <w:rsid w:val="00E55424"/>
    <w:rsid w:val="00E55BB5"/>
    <w:rsid w:val="00E55E3E"/>
    <w:rsid w:val="00E56772"/>
    <w:rsid w:val="00E57F39"/>
    <w:rsid w:val="00E63FEF"/>
    <w:rsid w:val="00E65E79"/>
    <w:rsid w:val="00E67416"/>
    <w:rsid w:val="00E6757E"/>
    <w:rsid w:val="00E718B6"/>
    <w:rsid w:val="00E72709"/>
    <w:rsid w:val="00E73581"/>
    <w:rsid w:val="00E749C2"/>
    <w:rsid w:val="00E7754A"/>
    <w:rsid w:val="00E83BDF"/>
    <w:rsid w:val="00E90227"/>
    <w:rsid w:val="00E91579"/>
    <w:rsid w:val="00E91F37"/>
    <w:rsid w:val="00EA3864"/>
    <w:rsid w:val="00EA4D3E"/>
    <w:rsid w:val="00EA4D86"/>
    <w:rsid w:val="00EA6FCF"/>
    <w:rsid w:val="00EB15B6"/>
    <w:rsid w:val="00EB3089"/>
    <w:rsid w:val="00EB4916"/>
    <w:rsid w:val="00EB5BDE"/>
    <w:rsid w:val="00EB6AD2"/>
    <w:rsid w:val="00EC00C9"/>
    <w:rsid w:val="00EC037C"/>
    <w:rsid w:val="00EC13CF"/>
    <w:rsid w:val="00EC328F"/>
    <w:rsid w:val="00EC3FCB"/>
    <w:rsid w:val="00EC640B"/>
    <w:rsid w:val="00EC6D3B"/>
    <w:rsid w:val="00ED5A3C"/>
    <w:rsid w:val="00ED6442"/>
    <w:rsid w:val="00ED650A"/>
    <w:rsid w:val="00ED7388"/>
    <w:rsid w:val="00ED7F6D"/>
    <w:rsid w:val="00EE07D3"/>
    <w:rsid w:val="00EE1A15"/>
    <w:rsid w:val="00EE2392"/>
    <w:rsid w:val="00EE636C"/>
    <w:rsid w:val="00EE669C"/>
    <w:rsid w:val="00EE6722"/>
    <w:rsid w:val="00EF0A4A"/>
    <w:rsid w:val="00EF27D0"/>
    <w:rsid w:val="00EF42A0"/>
    <w:rsid w:val="00F0181F"/>
    <w:rsid w:val="00F01E39"/>
    <w:rsid w:val="00F067A2"/>
    <w:rsid w:val="00F06982"/>
    <w:rsid w:val="00F10162"/>
    <w:rsid w:val="00F11146"/>
    <w:rsid w:val="00F13D9B"/>
    <w:rsid w:val="00F146E1"/>
    <w:rsid w:val="00F1574A"/>
    <w:rsid w:val="00F15E8A"/>
    <w:rsid w:val="00F22AEC"/>
    <w:rsid w:val="00F2310B"/>
    <w:rsid w:val="00F24837"/>
    <w:rsid w:val="00F2575F"/>
    <w:rsid w:val="00F25FF3"/>
    <w:rsid w:val="00F3095E"/>
    <w:rsid w:val="00F321A7"/>
    <w:rsid w:val="00F333A8"/>
    <w:rsid w:val="00F333D9"/>
    <w:rsid w:val="00F33DE9"/>
    <w:rsid w:val="00F34DA6"/>
    <w:rsid w:val="00F35DB7"/>
    <w:rsid w:val="00F3619A"/>
    <w:rsid w:val="00F36580"/>
    <w:rsid w:val="00F3770F"/>
    <w:rsid w:val="00F402D4"/>
    <w:rsid w:val="00F40FD3"/>
    <w:rsid w:val="00F42B03"/>
    <w:rsid w:val="00F437BB"/>
    <w:rsid w:val="00F46CB6"/>
    <w:rsid w:val="00F47665"/>
    <w:rsid w:val="00F527ED"/>
    <w:rsid w:val="00F559FE"/>
    <w:rsid w:val="00F55E73"/>
    <w:rsid w:val="00F60092"/>
    <w:rsid w:val="00F72A31"/>
    <w:rsid w:val="00F74DD6"/>
    <w:rsid w:val="00F7643A"/>
    <w:rsid w:val="00F77673"/>
    <w:rsid w:val="00F7769F"/>
    <w:rsid w:val="00F80E5D"/>
    <w:rsid w:val="00F82DB5"/>
    <w:rsid w:val="00F851CE"/>
    <w:rsid w:val="00F86F07"/>
    <w:rsid w:val="00F87639"/>
    <w:rsid w:val="00F91357"/>
    <w:rsid w:val="00F93573"/>
    <w:rsid w:val="00F9563B"/>
    <w:rsid w:val="00F959D5"/>
    <w:rsid w:val="00F97A78"/>
    <w:rsid w:val="00FA24E7"/>
    <w:rsid w:val="00FB1003"/>
    <w:rsid w:val="00FB2FCB"/>
    <w:rsid w:val="00FB4838"/>
    <w:rsid w:val="00FB6682"/>
    <w:rsid w:val="00FC1074"/>
    <w:rsid w:val="00FC1884"/>
    <w:rsid w:val="00FC3ECC"/>
    <w:rsid w:val="00FC3EEA"/>
    <w:rsid w:val="00FC54DA"/>
    <w:rsid w:val="00FC7C92"/>
    <w:rsid w:val="00FD2100"/>
    <w:rsid w:val="00FD43BA"/>
    <w:rsid w:val="00FD446D"/>
    <w:rsid w:val="00FD585A"/>
    <w:rsid w:val="00FD637B"/>
    <w:rsid w:val="00FE5EB2"/>
    <w:rsid w:val="00FF0FFB"/>
    <w:rsid w:val="00FF1C24"/>
    <w:rsid w:val="00FF3DCF"/>
    <w:rsid w:val="00FF5AA3"/>
    <w:rsid w:val="00FF6511"/>
    <w:rsid w:val="00FF77E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6412CE"/>
    <w:pPr>
      <w:outlineLvl w:val="0"/>
    </w:pPr>
  </w:style>
  <w:style w:type="paragraph" w:styleId="Heading2">
    <w:name w:val="heading 2"/>
    <w:basedOn w:val="Normal"/>
    <w:next w:val="Normal"/>
    <w:link w:val="Heading2Char"/>
    <w:qFormat/>
    <w:rsid w:val="006412CE"/>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6412CE"/>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rsid w:val="006412CE"/>
    <w:pPr>
      <w:numPr>
        <w:numId w:val="0"/>
      </w:numPr>
      <w:ind w:left="720" w:hanging="720"/>
    </w:pPr>
  </w:style>
  <w:style w:type="character" w:customStyle="1" w:styleId="TitleChar">
    <w:name w:val="Title Char"/>
    <w:basedOn w:val="DefaultParagraphFont"/>
    <w:link w:val="Title"/>
    <w:rsid w:val="006412CE"/>
    <w:rPr>
      <w:rFonts w:ascii="Arial" w:hAnsi="Arial" w:cs="Arial"/>
      <w:b/>
      <w:snapToGrid w:val="0"/>
      <w:sz w:val="22"/>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ListParagraphChar">
    <w:name w:val="List Paragraph Char"/>
    <w:link w:val="ListParagraph"/>
    <w:uiPriority w:val="72"/>
    <w:rsid w:val="00CB52FF"/>
    <w:rPr>
      <w:rFonts w:ascii="Arial" w:hAnsi="Arial" w:cs="Arial"/>
      <w:snapToGrid w:val="0"/>
      <w:sz w:val="22"/>
      <w:lang w:eastAsia="en-US"/>
    </w:rPr>
  </w:style>
  <w:style w:type="paragraph" w:styleId="FootnoteText">
    <w:name w:val="footnote text"/>
    <w:basedOn w:val="Normal"/>
    <w:link w:val="FootnoteTextChar"/>
    <w:semiHidden/>
    <w:unhideWhenUsed/>
    <w:rsid w:val="00B23B81"/>
    <w:rPr>
      <w:sz w:val="20"/>
    </w:rPr>
  </w:style>
  <w:style w:type="character" w:customStyle="1" w:styleId="FootnoteTextChar">
    <w:name w:val="Footnote Text Char"/>
    <w:basedOn w:val="DefaultParagraphFont"/>
    <w:link w:val="FootnoteText"/>
    <w:semiHidden/>
    <w:rsid w:val="00B23B81"/>
    <w:rPr>
      <w:rFonts w:ascii="Arial" w:hAnsi="Arial" w:cs="Arial"/>
      <w:snapToGrid w:val="0"/>
      <w:lang w:eastAsia="en-US"/>
    </w:rPr>
  </w:style>
  <w:style w:type="character" w:styleId="FootnoteReference">
    <w:name w:val="footnote reference"/>
    <w:basedOn w:val="DefaultParagraphFont"/>
    <w:semiHidden/>
    <w:unhideWhenUsed/>
    <w:rsid w:val="00B23B81"/>
    <w:rPr>
      <w:vertAlign w:val="superscript"/>
    </w:rPr>
  </w:style>
  <w:style w:type="paragraph" w:customStyle="1" w:styleId="Default">
    <w:name w:val="Default"/>
    <w:rsid w:val="0086126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A50FE8"/>
    <w:rPr>
      <w:color w:val="800080" w:themeColor="followedHyperlink"/>
      <w:u w:val="single"/>
    </w:rPr>
  </w:style>
  <w:style w:type="table" w:customStyle="1" w:styleId="Summarybox1">
    <w:name w:val="Summary box1"/>
    <w:basedOn w:val="TableNormal"/>
    <w:next w:val="TableGrid"/>
    <w:uiPriority w:val="59"/>
    <w:rsid w:val="006F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D31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A609B"/>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127509"/>
    <w:rPr>
      <w:b/>
      <w:bCs/>
      <w:i/>
      <w:smallCaps/>
      <w:color w:val="C0504D" w:themeColor="accent2"/>
      <w:spacing w:val="5"/>
      <w:u w:val="none"/>
    </w:rPr>
  </w:style>
  <w:style w:type="character" w:styleId="PlaceholderText">
    <w:name w:val="Placeholder Text"/>
    <w:basedOn w:val="DefaultParagraphFont"/>
    <w:uiPriority w:val="99"/>
    <w:semiHidden/>
    <w:rsid w:val="002D2EFF"/>
    <w:rPr>
      <w:color w:val="808080"/>
    </w:rPr>
  </w:style>
  <w:style w:type="paragraph" w:customStyle="1" w:styleId="StyleTitle14ptFirstline0cm">
    <w:name w:val="Style Title + 14 pt First line:  0 cm"/>
    <w:basedOn w:val="Title"/>
    <w:rsid w:val="006412CE"/>
    <w:pPr>
      <w:ind w:firstLine="0"/>
      <w:outlineLvl w:val="0"/>
    </w:pPr>
    <w:rPr>
      <w:rFonts w:cs="Times New Roman"/>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6412CE"/>
    <w:pPr>
      <w:outlineLvl w:val="0"/>
    </w:pPr>
  </w:style>
  <w:style w:type="paragraph" w:styleId="Heading2">
    <w:name w:val="heading 2"/>
    <w:basedOn w:val="Normal"/>
    <w:next w:val="Normal"/>
    <w:link w:val="Heading2Char"/>
    <w:qFormat/>
    <w:rsid w:val="006412CE"/>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6412CE"/>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rsid w:val="006412CE"/>
    <w:pPr>
      <w:numPr>
        <w:numId w:val="0"/>
      </w:numPr>
      <w:ind w:left="720" w:hanging="720"/>
    </w:pPr>
  </w:style>
  <w:style w:type="character" w:customStyle="1" w:styleId="TitleChar">
    <w:name w:val="Title Char"/>
    <w:basedOn w:val="DefaultParagraphFont"/>
    <w:link w:val="Title"/>
    <w:rsid w:val="006412CE"/>
    <w:rPr>
      <w:rFonts w:ascii="Arial" w:hAnsi="Arial" w:cs="Arial"/>
      <w:b/>
      <w:snapToGrid w:val="0"/>
      <w:sz w:val="22"/>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ListParagraphChar">
    <w:name w:val="List Paragraph Char"/>
    <w:link w:val="ListParagraph"/>
    <w:uiPriority w:val="72"/>
    <w:rsid w:val="00CB52FF"/>
    <w:rPr>
      <w:rFonts w:ascii="Arial" w:hAnsi="Arial" w:cs="Arial"/>
      <w:snapToGrid w:val="0"/>
      <w:sz w:val="22"/>
      <w:lang w:eastAsia="en-US"/>
    </w:rPr>
  </w:style>
  <w:style w:type="paragraph" w:styleId="FootnoteText">
    <w:name w:val="footnote text"/>
    <w:basedOn w:val="Normal"/>
    <w:link w:val="FootnoteTextChar"/>
    <w:semiHidden/>
    <w:unhideWhenUsed/>
    <w:rsid w:val="00B23B81"/>
    <w:rPr>
      <w:sz w:val="20"/>
    </w:rPr>
  </w:style>
  <w:style w:type="character" w:customStyle="1" w:styleId="FootnoteTextChar">
    <w:name w:val="Footnote Text Char"/>
    <w:basedOn w:val="DefaultParagraphFont"/>
    <w:link w:val="FootnoteText"/>
    <w:semiHidden/>
    <w:rsid w:val="00B23B81"/>
    <w:rPr>
      <w:rFonts w:ascii="Arial" w:hAnsi="Arial" w:cs="Arial"/>
      <w:snapToGrid w:val="0"/>
      <w:lang w:eastAsia="en-US"/>
    </w:rPr>
  </w:style>
  <w:style w:type="character" w:styleId="FootnoteReference">
    <w:name w:val="footnote reference"/>
    <w:basedOn w:val="DefaultParagraphFont"/>
    <w:semiHidden/>
    <w:unhideWhenUsed/>
    <w:rsid w:val="00B23B81"/>
    <w:rPr>
      <w:vertAlign w:val="superscript"/>
    </w:rPr>
  </w:style>
  <w:style w:type="paragraph" w:customStyle="1" w:styleId="Default">
    <w:name w:val="Default"/>
    <w:rsid w:val="0086126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A50FE8"/>
    <w:rPr>
      <w:color w:val="800080" w:themeColor="followedHyperlink"/>
      <w:u w:val="single"/>
    </w:rPr>
  </w:style>
  <w:style w:type="table" w:customStyle="1" w:styleId="Summarybox1">
    <w:name w:val="Summary box1"/>
    <w:basedOn w:val="TableNormal"/>
    <w:next w:val="TableGrid"/>
    <w:uiPriority w:val="59"/>
    <w:rsid w:val="006F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D31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A609B"/>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127509"/>
    <w:rPr>
      <w:b/>
      <w:bCs/>
      <w:i/>
      <w:smallCaps/>
      <w:color w:val="C0504D" w:themeColor="accent2"/>
      <w:spacing w:val="5"/>
      <w:u w:val="none"/>
    </w:rPr>
  </w:style>
  <w:style w:type="character" w:styleId="PlaceholderText">
    <w:name w:val="Placeholder Text"/>
    <w:basedOn w:val="DefaultParagraphFont"/>
    <w:uiPriority w:val="99"/>
    <w:semiHidden/>
    <w:rsid w:val="002D2EFF"/>
    <w:rPr>
      <w:color w:val="808080"/>
    </w:rPr>
  </w:style>
  <w:style w:type="paragraph" w:customStyle="1" w:styleId="StyleTitle14ptFirstline0cm">
    <w:name w:val="Style Title + 14 pt First line:  0 cm"/>
    <w:basedOn w:val="Title"/>
    <w:rsid w:val="006412CE"/>
    <w:pPr>
      <w:ind w:firstLine="0"/>
      <w:outlineLvl w:val="0"/>
    </w:pPr>
    <w:rPr>
      <w:rFonts w:cs="Times New Roman"/>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324">
      <w:bodyDiv w:val="1"/>
      <w:marLeft w:val="0"/>
      <w:marRight w:val="0"/>
      <w:marTop w:val="0"/>
      <w:marBottom w:val="0"/>
      <w:divBdr>
        <w:top w:val="none" w:sz="0" w:space="0" w:color="auto"/>
        <w:left w:val="none" w:sz="0" w:space="0" w:color="auto"/>
        <w:bottom w:val="none" w:sz="0" w:space="0" w:color="auto"/>
        <w:right w:val="none" w:sz="0" w:space="0" w:color="auto"/>
      </w:divBdr>
    </w:div>
    <w:div w:id="65493033">
      <w:bodyDiv w:val="1"/>
      <w:marLeft w:val="0"/>
      <w:marRight w:val="0"/>
      <w:marTop w:val="0"/>
      <w:marBottom w:val="0"/>
      <w:divBdr>
        <w:top w:val="none" w:sz="0" w:space="0" w:color="auto"/>
        <w:left w:val="none" w:sz="0" w:space="0" w:color="auto"/>
        <w:bottom w:val="none" w:sz="0" w:space="0" w:color="auto"/>
        <w:right w:val="none" w:sz="0" w:space="0" w:color="auto"/>
      </w:divBdr>
    </w:div>
    <w:div w:id="71200045">
      <w:bodyDiv w:val="1"/>
      <w:marLeft w:val="0"/>
      <w:marRight w:val="0"/>
      <w:marTop w:val="0"/>
      <w:marBottom w:val="0"/>
      <w:divBdr>
        <w:top w:val="none" w:sz="0" w:space="0" w:color="auto"/>
        <w:left w:val="none" w:sz="0" w:space="0" w:color="auto"/>
        <w:bottom w:val="none" w:sz="0" w:space="0" w:color="auto"/>
        <w:right w:val="none" w:sz="0" w:space="0" w:color="auto"/>
      </w:divBdr>
    </w:div>
    <w:div w:id="323096857">
      <w:bodyDiv w:val="1"/>
      <w:marLeft w:val="0"/>
      <w:marRight w:val="0"/>
      <w:marTop w:val="0"/>
      <w:marBottom w:val="0"/>
      <w:divBdr>
        <w:top w:val="none" w:sz="0" w:space="0" w:color="auto"/>
        <w:left w:val="none" w:sz="0" w:space="0" w:color="auto"/>
        <w:bottom w:val="none" w:sz="0" w:space="0" w:color="auto"/>
        <w:right w:val="none" w:sz="0" w:space="0" w:color="auto"/>
      </w:divBdr>
      <w:divsChild>
        <w:div w:id="1682314571">
          <w:marLeft w:val="547"/>
          <w:marRight w:val="0"/>
          <w:marTop w:val="144"/>
          <w:marBottom w:val="0"/>
          <w:divBdr>
            <w:top w:val="none" w:sz="0" w:space="0" w:color="auto"/>
            <w:left w:val="none" w:sz="0" w:space="0" w:color="auto"/>
            <w:bottom w:val="none" w:sz="0" w:space="0" w:color="auto"/>
            <w:right w:val="none" w:sz="0" w:space="0" w:color="auto"/>
          </w:divBdr>
        </w:div>
        <w:div w:id="789470109">
          <w:marLeft w:val="547"/>
          <w:marRight w:val="0"/>
          <w:marTop w:val="144"/>
          <w:marBottom w:val="0"/>
          <w:divBdr>
            <w:top w:val="none" w:sz="0" w:space="0" w:color="auto"/>
            <w:left w:val="none" w:sz="0" w:space="0" w:color="auto"/>
            <w:bottom w:val="none" w:sz="0" w:space="0" w:color="auto"/>
            <w:right w:val="none" w:sz="0" w:space="0" w:color="auto"/>
          </w:divBdr>
        </w:div>
        <w:div w:id="509487967">
          <w:marLeft w:val="547"/>
          <w:marRight w:val="0"/>
          <w:marTop w:val="144"/>
          <w:marBottom w:val="0"/>
          <w:divBdr>
            <w:top w:val="none" w:sz="0" w:space="0" w:color="auto"/>
            <w:left w:val="none" w:sz="0" w:space="0" w:color="auto"/>
            <w:bottom w:val="none" w:sz="0" w:space="0" w:color="auto"/>
            <w:right w:val="none" w:sz="0" w:space="0" w:color="auto"/>
          </w:divBdr>
        </w:div>
        <w:div w:id="1241325837">
          <w:marLeft w:val="547"/>
          <w:marRight w:val="0"/>
          <w:marTop w:val="144"/>
          <w:marBottom w:val="0"/>
          <w:divBdr>
            <w:top w:val="none" w:sz="0" w:space="0" w:color="auto"/>
            <w:left w:val="none" w:sz="0" w:space="0" w:color="auto"/>
            <w:bottom w:val="none" w:sz="0" w:space="0" w:color="auto"/>
            <w:right w:val="none" w:sz="0" w:space="0" w:color="auto"/>
          </w:divBdr>
        </w:div>
      </w:divsChild>
    </w:div>
    <w:div w:id="460653681">
      <w:bodyDiv w:val="1"/>
      <w:marLeft w:val="0"/>
      <w:marRight w:val="0"/>
      <w:marTop w:val="0"/>
      <w:marBottom w:val="0"/>
      <w:divBdr>
        <w:top w:val="none" w:sz="0" w:space="0" w:color="auto"/>
        <w:left w:val="none" w:sz="0" w:space="0" w:color="auto"/>
        <w:bottom w:val="none" w:sz="0" w:space="0" w:color="auto"/>
        <w:right w:val="none" w:sz="0" w:space="0" w:color="auto"/>
      </w:divBdr>
    </w:div>
    <w:div w:id="565147238">
      <w:bodyDiv w:val="1"/>
      <w:marLeft w:val="0"/>
      <w:marRight w:val="0"/>
      <w:marTop w:val="0"/>
      <w:marBottom w:val="0"/>
      <w:divBdr>
        <w:top w:val="none" w:sz="0" w:space="0" w:color="auto"/>
        <w:left w:val="none" w:sz="0" w:space="0" w:color="auto"/>
        <w:bottom w:val="none" w:sz="0" w:space="0" w:color="auto"/>
        <w:right w:val="none" w:sz="0" w:space="0" w:color="auto"/>
      </w:divBdr>
      <w:divsChild>
        <w:div w:id="451559446">
          <w:marLeft w:val="547"/>
          <w:marRight w:val="0"/>
          <w:marTop w:val="86"/>
          <w:marBottom w:val="0"/>
          <w:divBdr>
            <w:top w:val="none" w:sz="0" w:space="0" w:color="auto"/>
            <w:left w:val="none" w:sz="0" w:space="0" w:color="auto"/>
            <w:bottom w:val="none" w:sz="0" w:space="0" w:color="auto"/>
            <w:right w:val="none" w:sz="0" w:space="0" w:color="auto"/>
          </w:divBdr>
        </w:div>
      </w:divsChild>
    </w:div>
    <w:div w:id="584917955">
      <w:bodyDiv w:val="1"/>
      <w:marLeft w:val="0"/>
      <w:marRight w:val="0"/>
      <w:marTop w:val="0"/>
      <w:marBottom w:val="0"/>
      <w:divBdr>
        <w:top w:val="none" w:sz="0" w:space="0" w:color="auto"/>
        <w:left w:val="none" w:sz="0" w:space="0" w:color="auto"/>
        <w:bottom w:val="none" w:sz="0" w:space="0" w:color="auto"/>
        <w:right w:val="none" w:sz="0" w:space="0" w:color="auto"/>
      </w:divBdr>
    </w:div>
    <w:div w:id="898133265">
      <w:bodyDiv w:val="1"/>
      <w:marLeft w:val="0"/>
      <w:marRight w:val="0"/>
      <w:marTop w:val="0"/>
      <w:marBottom w:val="0"/>
      <w:divBdr>
        <w:top w:val="none" w:sz="0" w:space="0" w:color="auto"/>
        <w:left w:val="none" w:sz="0" w:space="0" w:color="auto"/>
        <w:bottom w:val="none" w:sz="0" w:space="0" w:color="auto"/>
        <w:right w:val="none" w:sz="0" w:space="0" w:color="auto"/>
      </w:divBdr>
    </w:div>
    <w:div w:id="1098871900">
      <w:bodyDiv w:val="1"/>
      <w:marLeft w:val="0"/>
      <w:marRight w:val="0"/>
      <w:marTop w:val="0"/>
      <w:marBottom w:val="0"/>
      <w:divBdr>
        <w:top w:val="none" w:sz="0" w:space="0" w:color="auto"/>
        <w:left w:val="none" w:sz="0" w:space="0" w:color="auto"/>
        <w:bottom w:val="none" w:sz="0" w:space="0" w:color="auto"/>
        <w:right w:val="none" w:sz="0" w:space="0" w:color="auto"/>
      </w:divBdr>
    </w:div>
    <w:div w:id="1133985262">
      <w:bodyDiv w:val="1"/>
      <w:marLeft w:val="0"/>
      <w:marRight w:val="0"/>
      <w:marTop w:val="0"/>
      <w:marBottom w:val="0"/>
      <w:divBdr>
        <w:top w:val="none" w:sz="0" w:space="0" w:color="auto"/>
        <w:left w:val="none" w:sz="0" w:space="0" w:color="auto"/>
        <w:bottom w:val="none" w:sz="0" w:space="0" w:color="auto"/>
        <w:right w:val="none" w:sz="0" w:space="0" w:color="auto"/>
      </w:divBdr>
    </w:div>
    <w:div w:id="1473794543">
      <w:bodyDiv w:val="1"/>
      <w:marLeft w:val="0"/>
      <w:marRight w:val="0"/>
      <w:marTop w:val="0"/>
      <w:marBottom w:val="0"/>
      <w:divBdr>
        <w:top w:val="none" w:sz="0" w:space="0" w:color="auto"/>
        <w:left w:val="none" w:sz="0" w:space="0" w:color="auto"/>
        <w:bottom w:val="none" w:sz="0" w:space="0" w:color="auto"/>
        <w:right w:val="none" w:sz="0" w:space="0" w:color="auto"/>
      </w:divBdr>
    </w:div>
    <w:div w:id="1657882262">
      <w:bodyDiv w:val="1"/>
      <w:marLeft w:val="0"/>
      <w:marRight w:val="0"/>
      <w:marTop w:val="0"/>
      <w:marBottom w:val="0"/>
      <w:divBdr>
        <w:top w:val="none" w:sz="0" w:space="0" w:color="auto"/>
        <w:left w:val="none" w:sz="0" w:space="0" w:color="auto"/>
        <w:bottom w:val="none" w:sz="0" w:space="0" w:color="auto"/>
        <w:right w:val="none" w:sz="0" w:space="0" w:color="auto"/>
      </w:divBdr>
      <w:divsChild>
        <w:div w:id="1699157035">
          <w:marLeft w:val="547"/>
          <w:marRight w:val="0"/>
          <w:marTop w:val="120"/>
          <w:marBottom w:val="0"/>
          <w:divBdr>
            <w:top w:val="none" w:sz="0" w:space="0" w:color="auto"/>
            <w:left w:val="none" w:sz="0" w:space="0" w:color="auto"/>
            <w:bottom w:val="none" w:sz="0" w:space="0" w:color="auto"/>
            <w:right w:val="none" w:sz="0" w:space="0" w:color="auto"/>
          </w:divBdr>
        </w:div>
        <w:div w:id="528877468">
          <w:marLeft w:val="547"/>
          <w:marRight w:val="0"/>
          <w:marTop w:val="120"/>
          <w:marBottom w:val="0"/>
          <w:divBdr>
            <w:top w:val="none" w:sz="0" w:space="0" w:color="auto"/>
            <w:left w:val="none" w:sz="0" w:space="0" w:color="auto"/>
            <w:bottom w:val="none" w:sz="0" w:space="0" w:color="auto"/>
            <w:right w:val="none" w:sz="0" w:space="0" w:color="auto"/>
          </w:divBdr>
        </w:div>
      </w:divsChild>
    </w:div>
    <w:div w:id="1712220712">
      <w:bodyDiv w:val="1"/>
      <w:marLeft w:val="0"/>
      <w:marRight w:val="0"/>
      <w:marTop w:val="0"/>
      <w:marBottom w:val="0"/>
      <w:divBdr>
        <w:top w:val="none" w:sz="0" w:space="0" w:color="auto"/>
        <w:left w:val="none" w:sz="0" w:space="0" w:color="auto"/>
        <w:bottom w:val="none" w:sz="0" w:space="0" w:color="auto"/>
        <w:right w:val="none" w:sz="0" w:space="0" w:color="auto"/>
      </w:divBdr>
    </w:div>
    <w:div w:id="19537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tm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01"/>
    <w:rsid w:val="008E1CFC"/>
    <w:rsid w:val="00B22FC1"/>
    <w:rsid w:val="00C16201"/>
    <w:rsid w:val="00C31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20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E71B-ECC2-4B0C-BF00-85298B73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9391</Words>
  <Characters>54981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2016-02-28T23:00:00Z</dcterms:created>
  <dcterms:modified xsi:type="dcterms:W3CDTF">2016-02-28T23:55:00Z</dcterms:modified>
</cp:coreProperties>
</file>