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A6" w:rsidRPr="00140EBB" w:rsidRDefault="007F26A6" w:rsidP="00132D49">
      <w:pPr>
        <w:rPr>
          <w:sz w:val="28"/>
          <w:szCs w:val="28"/>
        </w:rPr>
      </w:pPr>
      <w:bookmarkStart w:id="0" w:name="_Toc430097321"/>
    </w:p>
    <w:p w:rsidR="00140EBB" w:rsidRDefault="003E147C" w:rsidP="00140EBB">
      <w:pPr>
        <w:pStyle w:val="Heading1"/>
        <w:jc w:val="left"/>
        <w:rPr>
          <w:sz w:val="28"/>
          <w:szCs w:val="28"/>
        </w:rPr>
      </w:pPr>
      <w:r w:rsidRPr="00140EBB">
        <w:rPr>
          <w:sz w:val="28"/>
          <w:szCs w:val="28"/>
        </w:rPr>
        <w:t>5</w:t>
      </w:r>
      <w:r w:rsidRPr="00140EBB">
        <w:rPr>
          <w:i/>
          <w:sz w:val="28"/>
          <w:szCs w:val="28"/>
        </w:rPr>
        <w:t>.</w:t>
      </w:r>
      <w:r w:rsidRPr="00140EBB">
        <w:rPr>
          <w:sz w:val="28"/>
          <w:szCs w:val="28"/>
        </w:rPr>
        <w:t>1</w:t>
      </w:r>
      <w:r w:rsidR="00D16942" w:rsidRPr="00140EBB">
        <w:rPr>
          <w:sz w:val="28"/>
          <w:szCs w:val="28"/>
        </w:rPr>
        <w:t>0</w:t>
      </w:r>
      <w:r w:rsidRPr="00140EBB">
        <w:rPr>
          <w:sz w:val="28"/>
          <w:szCs w:val="28"/>
        </w:rPr>
        <w:tab/>
        <w:t>NIVOLUMAB</w:t>
      </w:r>
    </w:p>
    <w:p w:rsidR="00140EBB" w:rsidRDefault="003E147C" w:rsidP="00140EBB">
      <w:pPr>
        <w:pStyle w:val="Heading1"/>
        <w:ind w:firstLine="0"/>
        <w:jc w:val="left"/>
        <w:rPr>
          <w:sz w:val="28"/>
          <w:szCs w:val="28"/>
        </w:rPr>
      </w:pPr>
      <w:proofErr w:type="gramStart"/>
      <w:r w:rsidRPr="00140EBB">
        <w:rPr>
          <w:caps w:val="0"/>
          <w:sz w:val="28"/>
          <w:szCs w:val="28"/>
        </w:rPr>
        <w:t>co</w:t>
      </w:r>
      <w:r w:rsidR="002827E5" w:rsidRPr="00140EBB">
        <w:rPr>
          <w:caps w:val="0"/>
          <w:sz w:val="28"/>
          <w:szCs w:val="28"/>
        </w:rPr>
        <w:t>ncentrate</w:t>
      </w:r>
      <w:proofErr w:type="gramEnd"/>
      <w:r w:rsidR="002827E5" w:rsidRPr="00140EBB">
        <w:rPr>
          <w:caps w:val="0"/>
          <w:sz w:val="28"/>
          <w:szCs w:val="28"/>
        </w:rPr>
        <w:t xml:space="preserve"> solution for infusion</w:t>
      </w:r>
      <w:r w:rsidRPr="00140EBB">
        <w:rPr>
          <w:caps w:val="0"/>
          <w:sz w:val="28"/>
          <w:szCs w:val="28"/>
        </w:rPr>
        <w:t>, 10</w:t>
      </w:r>
      <w:r w:rsidR="00EB5674" w:rsidRPr="00140EBB">
        <w:rPr>
          <w:rFonts w:hint="eastAsia"/>
          <w:caps w:val="0"/>
          <w:sz w:val="28"/>
          <w:szCs w:val="28"/>
        </w:rPr>
        <w:t> </w:t>
      </w:r>
      <w:r w:rsidRPr="00140EBB">
        <w:rPr>
          <w:caps w:val="0"/>
          <w:sz w:val="28"/>
          <w:szCs w:val="28"/>
        </w:rPr>
        <w:t>mg/mL, 1 x 4</w:t>
      </w:r>
      <w:r w:rsidR="00EB5674" w:rsidRPr="00140EBB">
        <w:rPr>
          <w:rFonts w:hint="eastAsia"/>
          <w:caps w:val="0"/>
          <w:sz w:val="28"/>
          <w:szCs w:val="28"/>
        </w:rPr>
        <w:t> </w:t>
      </w:r>
      <w:r w:rsidRPr="00140EBB">
        <w:rPr>
          <w:caps w:val="0"/>
          <w:sz w:val="28"/>
          <w:szCs w:val="28"/>
        </w:rPr>
        <w:t>mL vial, concentrate solution for infusion, 10</w:t>
      </w:r>
      <w:r w:rsidR="00EB5674" w:rsidRPr="00140EBB">
        <w:rPr>
          <w:rFonts w:hint="eastAsia"/>
          <w:caps w:val="0"/>
          <w:sz w:val="28"/>
          <w:szCs w:val="28"/>
        </w:rPr>
        <w:t> </w:t>
      </w:r>
      <w:r w:rsidRPr="00140EBB">
        <w:rPr>
          <w:caps w:val="0"/>
          <w:sz w:val="28"/>
          <w:szCs w:val="28"/>
        </w:rPr>
        <w:t>mg/mL, 1 x 10</w:t>
      </w:r>
      <w:r w:rsidR="00EB5674" w:rsidRPr="00140EBB">
        <w:rPr>
          <w:rFonts w:hint="eastAsia"/>
          <w:caps w:val="0"/>
          <w:sz w:val="28"/>
          <w:szCs w:val="28"/>
        </w:rPr>
        <w:t> </w:t>
      </w:r>
      <w:r w:rsidRPr="00140EBB">
        <w:rPr>
          <w:caps w:val="0"/>
          <w:sz w:val="28"/>
          <w:szCs w:val="28"/>
        </w:rPr>
        <w:t>mL vial</w:t>
      </w:r>
      <w:r w:rsidRPr="00140EBB">
        <w:rPr>
          <w:sz w:val="28"/>
          <w:szCs w:val="28"/>
        </w:rPr>
        <w:t xml:space="preserve">, </w:t>
      </w:r>
      <w:proofErr w:type="spellStart"/>
      <w:r w:rsidRPr="00140EBB">
        <w:rPr>
          <w:caps w:val="0"/>
          <w:sz w:val="28"/>
          <w:szCs w:val="28"/>
        </w:rPr>
        <w:t>Opdivo</w:t>
      </w:r>
      <w:proofErr w:type="spellEnd"/>
      <w:r w:rsidRPr="00140EBB">
        <w:rPr>
          <w:rFonts w:ascii="Arial" w:hAnsi="Arial"/>
          <w:sz w:val="28"/>
          <w:szCs w:val="28"/>
          <w:vertAlign w:val="superscript"/>
        </w:rPr>
        <w:t>®</w:t>
      </w:r>
      <w:r w:rsidR="00140EBB" w:rsidRPr="00140EBB">
        <w:rPr>
          <w:sz w:val="28"/>
          <w:szCs w:val="28"/>
        </w:rPr>
        <w:t>,</w:t>
      </w:r>
      <w:r w:rsidR="00140EBB">
        <w:rPr>
          <w:rFonts w:ascii="Arial" w:hAnsi="Arial"/>
          <w:sz w:val="28"/>
          <w:szCs w:val="28"/>
          <w:vertAlign w:val="superscript"/>
        </w:rPr>
        <w:t xml:space="preserve"> </w:t>
      </w:r>
      <w:r w:rsidR="00140EBB" w:rsidRPr="00140EBB">
        <w:rPr>
          <w:caps w:val="0"/>
          <w:sz w:val="28"/>
          <w:szCs w:val="28"/>
        </w:rPr>
        <w:t>Bristol Myers Squibb</w:t>
      </w:r>
      <w:r w:rsidR="00140EBB" w:rsidRPr="00140EBB">
        <w:rPr>
          <w:sz w:val="28"/>
          <w:szCs w:val="28"/>
        </w:rPr>
        <w:t xml:space="preserve">; </w:t>
      </w:r>
      <w:r w:rsidR="00140EBB">
        <w:rPr>
          <w:caps w:val="0"/>
          <w:sz w:val="28"/>
          <w:szCs w:val="28"/>
        </w:rPr>
        <w:t>plus</w:t>
      </w:r>
      <w:r w:rsidR="00EB5674" w:rsidRPr="00140EBB">
        <w:rPr>
          <w:sz w:val="28"/>
          <w:szCs w:val="28"/>
        </w:rPr>
        <w:br/>
      </w:r>
      <w:r w:rsidRPr="00140EBB">
        <w:rPr>
          <w:sz w:val="28"/>
          <w:szCs w:val="28"/>
        </w:rPr>
        <w:t xml:space="preserve">IPILIMUMAB </w:t>
      </w:r>
    </w:p>
    <w:p w:rsidR="003E147C" w:rsidRPr="00140EBB" w:rsidRDefault="003E147C" w:rsidP="00140EBB">
      <w:pPr>
        <w:pStyle w:val="Heading1"/>
        <w:ind w:firstLine="0"/>
        <w:jc w:val="left"/>
        <w:rPr>
          <w:caps w:val="0"/>
          <w:sz w:val="28"/>
          <w:szCs w:val="28"/>
        </w:rPr>
      </w:pPr>
      <w:proofErr w:type="gramStart"/>
      <w:r w:rsidRPr="00140EBB">
        <w:rPr>
          <w:caps w:val="0"/>
          <w:sz w:val="28"/>
          <w:szCs w:val="28"/>
        </w:rPr>
        <w:t>concentrate</w:t>
      </w:r>
      <w:proofErr w:type="gramEnd"/>
      <w:r w:rsidRPr="00140EBB">
        <w:rPr>
          <w:caps w:val="0"/>
          <w:sz w:val="28"/>
          <w:szCs w:val="28"/>
        </w:rPr>
        <w:t xml:space="preserve"> solution for infusion, 5</w:t>
      </w:r>
      <w:r w:rsidR="00EB5674" w:rsidRPr="00140EBB">
        <w:rPr>
          <w:rFonts w:hint="eastAsia"/>
          <w:caps w:val="0"/>
          <w:sz w:val="28"/>
          <w:szCs w:val="28"/>
        </w:rPr>
        <w:t> </w:t>
      </w:r>
      <w:r w:rsidRPr="00140EBB">
        <w:rPr>
          <w:caps w:val="0"/>
          <w:sz w:val="28"/>
          <w:szCs w:val="28"/>
        </w:rPr>
        <w:t>mg/mL, 1 x 40</w:t>
      </w:r>
      <w:r w:rsidR="00EB5674" w:rsidRPr="00140EBB">
        <w:rPr>
          <w:rFonts w:hint="eastAsia"/>
          <w:caps w:val="0"/>
          <w:sz w:val="28"/>
          <w:szCs w:val="28"/>
        </w:rPr>
        <w:t> </w:t>
      </w:r>
      <w:r w:rsidRPr="00140EBB">
        <w:rPr>
          <w:caps w:val="0"/>
          <w:sz w:val="28"/>
          <w:szCs w:val="28"/>
        </w:rPr>
        <w:t>mL vial, concentrate solutio</w:t>
      </w:r>
      <w:r w:rsidR="00EB5674" w:rsidRPr="00140EBB">
        <w:rPr>
          <w:caps w:val="0"/>
          <w:sz w:val="28"/>
          <w:szCs w:val="28"/>
        </w:rPr>
        <w:t>n for infusion, 5 mg/mL, 1 x 10</w:t>
      </w:r>
      <w:r w:rsidR="00EB5674" w:rsidRPr="00140EBB">
        <w:rPr>
          <w:rFonts w:hint="eastAsia"/>
          <w:caps w:val="0"/>
          <w:sz w:val="28"/>
          <w:szCs w:val="28"/>
        </w:rPr>
        <w:t> </w:t>
      </w:r>
      <w:r w:rsidRPr="00140EBB">
        <w:rPr>
          <w:caps w:val="0"/>
          <w:sz w:val="28"/>
          <w:szCs w:val="28"/>
        </w:rPr>
        <w:t xml:space="preserve">mL vial, </w:t>
      </w:r>
      <w:proofErr w:type="spellStart"/>
      <w:r w:rsidRPr="00140EBB">
        <w:rPr>
          <w:caps w:val="0"/>
          <w:sz w:val="28"/>
          <w:szCs w:val="28"/>
        </w:rPr>
        <w:t>Y</w:t>
      </w:r>
      <w:r w:rsidR="00EB5674" w:rsidRPr="00140EBB">
        <w:rPr>
          <w:caps w:val="0"/>
          <w:sz w:val="28"/>
          <w:szCs w:val="28"/>
        </w:rPr>
        <w:t>ervoy</w:t>
      </w:r>
      <w:proofErr w:type="spellEnd"/>
      <w:r w:rsidRPr="00140EBB">
        <w:rPr>
          <w:caps w:val="0"/>
          <w:sz w:val="28"/>
          <w:szCs w:val="28"/>
          <w:vertAlign w:val="superscript"/>
        </w:rPr>
        <w:t>®</w:t>
      </w:r>
      <w:r w:rsidRPr="00140EBB">
        <w:rPr>
          <w:caps w:val="0"/>
          <w:sz w:val="28"/>
          <w:szCs w:val="28"/>
        </w:rPr>
        <w:t>, Bristol Myers Squibb</w:t>
      </w:r>
      <w:bookmarkEnd w:id="0"/>
    </w:p>
    <w:p w:rsidR="00740FE5" w:rsidRPr="00740FE5" w:rsidRDefault="00740FE5" w:rsidP="00740FE5"/>
    <w:p w:rsidR="00892798" w:rsidRDefault="00892798" w:rsidP="00207D00"/>
    <w:p w:rsidR="003E147C" w:rsidRPr="00407F2D" w:rsidRDefault="003E147C" w:rsidP="00BD6CF3">
      <w:pPr>
        <w:pStyle w:val="PBACHeading1"/>
      </w:pPr>
      <w:bookmarkStart w:id="1" w:name="_Toc430097323"/>
      <w:r w:rsidRPr="00407F2D">
        <w:t>Purpose of Application</w:t>
      </w:r>
      <w:bookmarkEnd w:id="1"/>
    </w:p>
    <w:p w:rsidR="003E147C" w:rsidRPr="00882085" w:rsidRDefault="003E147C" w:rsidP="00B60939">
      <w:pPr>
        <w:rPr>
          <w:szCs w:val="22"/>
        </w:rPr>
      </w:pPr>
    </w:p>
    <w:p w:rsidR="003E147C" w:rsidRPr="00B50DB8" w:rsidRDefault="003E147C" w:rsidP="003E147C">
      <w:pPr>
        <w:pStyle w:val="ListParagraph"/>
        <w:widowControl/>
        <w:numPr>
          <w:ilvl w:val="1"/>
          <w:numId w:val="6"/>
        </w:numPr>
        <w:rPr>
          <w:szCs w:val="22"/>
        </w:rPr>
      </w:pPr>
      <w:r w:rsidRPr="00F15EDE">
        <w:t xml:space="preserve">Section 100 (Efficient Funding of Chemotherapy – Public and Private Hospital) Authority </w:t>
      </w:r>
      <w:proofErr w:type="gramStart"/>
      <w:r w:rsidRPr="00F15EDE">
        <w:t>Required</w:t>
      </w:r>
      <w:proofErr w:type="gramEnd"/>
      <w:r w:rsidRPr="00F15EDE">
        <w:t xml:space="preserve"> listing </w:t>
      </w:r>
      <w:r w:rsidR="001E4751">
        <w:t xml:space="preserve">of </w:t>
      </w:r>
      <w:proofErr w:type="spellStart"/>
      <w:r w:rsidR="001E4751">
        <w:t>nivolumab</w:t>
      </w:r>
      <w:proofErr w:type="spellEnd"/>
      <w:r w:rsidR="001E4751">
        <w:t xml:space="preserve"> plus </w:t>
      </w:r>
      <w:proofErr w:type="spellStart"/>
      <w:r w:rsidR="001E4751">
        <w:t>ipilimumab</w:t>
      </w:r>
      <w:proofErr w:type="spellEnd"/>
      <w:r w:rsidR="001E4751" w:rsidRPr="0018637E">
        <w:t xml:space="preserve"> </w:t>
      </w:r>
      <w:r w:rsidRPr="00F15EDE">
        <w:t xml:space="preserve">for the treatment of </w:t>
      </w:r>
      <w:proofErr w:type="spellStart"/>
      <w:r w:rsidRPr="00F15EDE">
        <w:t>unresectable</w:t>
      </w:r>
      <w:proofErr w:type="spellEnd"/>
      <w:r w:rsidRPr="00F15EDE">
        <w:t xml:space="preserve"> Stage III or Stage IV malignant melanoma.</w:t>
      </w:r>
    </w:p>
    <w:p w:rsidR="003E147C" w:rsidRDefault="003E147C" w:rsidP="004B1CB4"/>
    <w:p w:rsidR="003E147C" w:rsidRPr="00882085" w:rsidRDefault="003E147C" w:rsidP="004B1CB4"/>
    <w:p w:rsidR="003E147C" w:rsidRPr="00407F2D" w:rsidRDefault="003E147C" w:rsidP="00BD6CF3">
      <w:pPr>
        <w:pStyle w:val="PBACHeading1"/>
      </w:pPr>
      <w:bookmarkStart w:id="2" w:name="_Toc430097324"/>
      <w:r w:rsidRPr="00407F2D">
        <w:t>Requested listing</w:t>
      </w:r>
      <w:bookmarkEnd w:id="2"/>
    </w:p>
    <w:p w:rsidR="003E147C" w:rsidRPr="00882085" w:rsidRDefault="003E147C" w:rsidP="004B1CB4"/>
    <w:p w:rsidR="003E147C" w:rsidRPr="00CC59F4" w:rsidRDefault="003E147C" w:rsidP="003E147C">
      <w:pPr>
        <w:pStyle w:val="ListParagraph"/>
        <w:widowControl/>
        <w:numPr>
          <w:ilvl w:val="1"/>
          <w:numId w:val="6"/>
        </w:numPr>
        <w:rPr>
          <w:szCs w:val="22"/>
        </w:rPr>
      </w:pPr>
      <w:r w:rsidRPr="00F15EDE">
        <w:t xml:space="preserve">The requested restrictions </w:t>
      </w:r>
      <w:r w:rsidR="001E4751">
        <w:t xml:space="preserve">for this use of </w:t>
      </w:r>
      <w:proofErr w:type="spellStart"/>
      <w:r w:rsidR="001E4751">
        <w:t>nivolumab</w:t>
      </w:r>
      <w:proofErr w:type="spellEnd"/>
      <w:r w:rsidR="001E4751">
        <w:t xml:space="preserve"> and </w:t>
      </w:r>
      <w:proofErr w:type="spellStart"/>
      <w:r w:rsidR="001E4751">
        <w:t>ipilimumab</w:t>
      </w:r>
      <w:proofErr w:type="spellEnd"/>
      <w:r w:rsidR="001E4751" w:rsidRPr="0018637E">
        <w:t xml:space="preserve"> </w:t>
      </w:r>
      <w:r w:rsidR="001E4751">
        <w:t xml:space="preserve">are </w:t>
      </w:r>
      <w:r w:rsidRPr="00F15EDE">
        <w:t>provided below, including initial and continuing treatment criteria</w:t>
      </w:r>
      <w:r w:rsidRPr="00F15EDE">
        <w:rPr>
          <w:color w:val="0000FF"/>
        </w:rPr>
        <w:t>.</w:t>
      </w:r>
      <w:r w:rsidR="000A651F">
        <w:rPr>
          <w:color w:val="0000FF"/>
        </w:rPr>
        <w:t xml:space="preserve"> </w:t>
      </w:r>
      <w:r w:rsidR="00217855" w:rsidRPr="00DC5D13">
        <w:rPr>
          <w:rFonts w:eastAsia="SimSun"/>
          <w:iCs/>
          <w:color w:val="000000"/>
          <w:szCs w:val="22"/>
        </w:rPr>
        <w:t xml:space="preserve">Suggestions and additions proposed by the Secretariat to the requested listing are added in italics and suggested deletions are crossed out with strikethrough. </w:t>
      </w:r>
      <w:r w:rsidR="000A651F" w:rsidRPr="00DC5D13">
        <w:t xml:space="preserve">The submission </w:t>
      </w:r>
      <w:r w:rsidR="00B45A7A" w:rsidRPr="00DC5D13">
        <w:t>presented</w:t>
      </w:r>
      <w:r w:rsidR="000A651F" w:rsidRPr="00DC5D13">
        <w:t xml:space="preserve"> the ex-manufacturer vial prices instead of dispensed prices per maximum amount. </w:t>
      </w:r>
      <w:r w:rsidR="006A7B52" w:rsidRPr="00D12553">
        <w:t>These requested prices are presented below instead of dispensed price for maximum amount (DPMA).</w:t>
      </w:r>
      <w:r w:rsidR="00217855" w:rsidRPr="00D12553">
        <w:t xml:space="preserve"> </w:t>
      </w:r>
      <w:r w:rsidR="00E2379F" w:rsidRPr="00D12553">
        <w:t>With</w:t>
      </w:r>
      <w:r w:rsidR="00217855" w:rsidRPr="00D12553">
        <w:t xml:space="preserve"> the revised Section</w:t>
      </w:r>
      <w:r w:rsidR="00E2379F" w:rsidRPr="00D12553">
        <w:t>s D and</w:t>
      </w:r>
      <w:r w:rsidR="00217855" w:rsidRPr="00D12553">
        <w:t xml:space="preserve"> E provided, the sponsor s</w:t>
      </w:r>
      <w:r w:rsidR="00E2379F" w:rsidRPr="00D12553">
        <w:t>ought</w:t>
      </w:r>
      <w:r w:rsidR="00217855" w:rsidRPr="00D12553">
        <w:t xml:space="preserve"> to limit</w:t>
      </w:r>
      <w:r w:rsidR="008F7114" w:rsidRPr="00D12553">
        <w:t xml:space="preserve"> any specific details on pricing due to potential </w:t>
      </w:r>
      <w:proofErr w:type="gramStart"/>
      <w:r w:rsidR="008F7114" w:rsidRPr="00D12553">
        <w:t>complexities,</w:t>
      </w:r>
      <w:proofErr w:type="gramEnd"/>
      <w:r w:rsidR="008F7114" w:rsidRPr="00D12553">
        <w:t xml:space="preserve"> therefore</w:t>
      </w:r>
      <w:r w:rsidR="00217855" w:rsidRPr="00D12553">
        <w:t xml:space="preserve"> the proposed ex-manufacturer prices for </w:t>
      </w:r>
      <w:proofErr w:type="spellStart"/>
      <w:r w:rsidR="00217855" w:rsidRPr="00D12553">
        <w:t>nivolumab</w:t>
      </w:r>
      <w:proofErr w:type="spellEnd"/>
      <w:r w:rsidR="00217855" w:rsidRPr="00D12553">
        <w:t xml:space="preserve"> </w:t>
      </w:r>
      <w:r w:rsidR="008F7114" w:rsidRPr="00D12553">
        <w:t>were not presented</w:t>
      </w:r>
      <w:r w:rsidR="008F7114" w:rsidRPr="00D12553">
        <w:rPr>
          <w:i/>
        </w:rPr>
        <w:t>.</w:t>
      </w:r>
    </w:p>
    <w:p w:rsidR="00CC59F4" w:rsidRPr="00E2379F" w:rsidRDefault="00CC59F4" w:rsidP="00AF0595">
      <w:pPr>
        <w:pStyle w:val="BodyText"/>
      </w:pPr>
    </w:p>
    <w:tbl>
      <w:tblPr>
        <w:tblW w:w="8363" w:type="dxa"/>
        <w:tblInd w:w="817" w:type="dxa"/>
        <w:tblLayout w:type="fixed"/>
        <w:tblLook w:val="04A0" w:firstRow="1" w:lastRow="0" w:firstColumn="1" w:lastColumn="0" w:noHBand="0" w:noVBand="1"/>
        <w:tblCaption w:val="Requested listing - induction phase"/>
      </w:tblPr>
      <w:tblGrid>
        <w:gridCol w:w="2552"/>
        <w:gridCol w:w="1417"/>
        <w:gridCol w:w="709"/>
        <w:gridCol w:w="709"/>
        <w:gridCol w:w="1418"/>
        <w:gridCol w:w="993"/>
        <w:gridCol w:w="565"/>
      </w:tblGrid>
      <w:tr w:rsidR="00CC59F4" w:rsidTr="00101D0B">
        <w:trPr>
          <w:cantSplit/>
          <w:trHeight w:val="471"/>
        </w:trPr>
        <w:tc>
          <w:tcPr>
            <w:tcW w:w="3969" w:type="dxa"/>
            <w:gridSpan w:val="2"/>
            <w:tcBorders>
              <w:top w:val="nil"/>
              <w:left w:val="nil"/>
              <w:bottom w:val="single" w:sz="4" w:space="0" w:color="auto"/>
              <w:right w:val="nil"/>
            </w:tcBorders>
            <w:hideMark/>
          </w:tcPr>
          <w:p w:rsidR="00CC59F4" w:rsidRDefault="00CC59F4">
            <w:pPr>
              <w:keepNext/>
              <w:ind w:left="-108"/>
              <w:rPr>
                <w:rFonts w:ascii="Arial Narrow" w:hAnsi="Arial Narrow"/>
                <w:sz w:val="20"/>
              </w:rPr>
            </w:pPr>
            <w:r>
              <w:rPr>
                <w:rFonts w:ascii="Arial Narrow" w:hAnsi="Arial Narrow"/>
                <w:sz w:val="20"/>
              </w:rPr>
              <w:t>Name, Restriction,</w:t>
            </w:r>
          </w:p>
          <w:p w:rsidR="00CC59F4" w:rsidRDefault="00CC59F4">
            <w:pPr>
              <w:keepNext/>
              <w:snapToGrid w:val="0"/>
              <w:ind w:left="-108"/>
              <w:rPr>
                <w:rFonts w:ascii="Arial Narrow" w:hAnsi="Arial Narrow"/>
                <w:sz w:val="20"/>
              </w:rPr>
            </w:pPr>
            <w:r>
              <w:rPr>
                <w:rFonts w:ascii="Arial Narrow" w:hAnsi="Arial Narrow"/>
                <w:sz w:val="20"/>
              </w:rPr>
              <w:t>Manner of administration and form</w:t>
            </w:r>
          </w:p>
        </w:tc>
        <w:tc>
          <w:tcPr>
            <w:tcW w:w="709" w:type="dxa"/>
            <w:tcBorders>
              <w:top w:val="nil"/>
              <w:left w:val="nil"/>
              <w:bottom w:val="single" w:sz="4" w:space="0" w:color="auto"/>
              <w:right w:val="nil"/>
            </w:tcBorders>
            <w:hideMark/>
          </w:tcPr>
          <w:p w:rsidR="00CC59F4" w:rsidRDefault="00CC59F4">
            <w:pPr>
              <w:keepNext/>
              <w:ind w:left="-108"/>
              <w:rPr>
                <w:rFonts w:ascii="Arial Narrow" w:hAnsi="Arial Narrow"/>
                <w:sz w:val="20"/>
              </w:rPr>
            </w:pPr>
            <w:r>
              <w:rPr>
                <w:rFonts w:ascii="Arial Narrow" w:hAnsi="Arial Narrow"/>
                <w:sz w:val="20"/>
              </w:rPr>
              <w:t>Max.</w:t>
            </w:r>
          </w:p>
          <w:p w:rsidR="00CC59F4" w:rsidRDefault="00CC59F4">
            <w:pPr>
              <w:keepNext/>
              <w:snapToGrid w:val="0"/>
              <w:ind w:left="-108"/>
              <w:rPr>
                <w:rFonts w:ascii="Arial Narrow" w:hAnsi="Arial Narrow"/>
                <w:sz w:val="20"/>
              </w:rPr>
            </w:pPr>
            <w:r>
              <w:rPr>
                <w:rFonts w:ascii="Arial Narrow" w:hAnsi="Arial Narrow"/>
                <w:sz w:val="20"/>
              </w:rPr>
              <w:t>amount</w:t>
            </w:r>
          </w:p>
        </w:tc>
        <w:tc>
          <w:tcPr>
            <w:tcW w:w="709" w:type="dxa"/>
            <w:tcBorders>
              <w:top w:val="nil"/>
              <w:left w:val="nil"/>
              <w:bottom w:val="single" w:sz="4" w:space="0" w:color="auto"/>
              <w:right w:val="nil"/>
            </w:tcBorders>
            <w:hideMark/>
          </w:tcPr>
          <w:p w:rsidR="00CC59F4" w:rsidRDefault="00CC59F4">
            <w:pPr>
              <w:keepNext/>
              <w:ind w:left="-108"/>
              <w:rPr>
                <w:rFonts w:ascii="Arial Narrow" w:hAnsi="Arial Narrow"/>
                <w:sz w:val="20"/>
              </w:rPr>
            </w:pPr>
            <w:r>
              <w:rPr>
                <w:rFonts w:ascii="Arial Narrow" w:hAnsi="Arial Narrow"/>
                <w:sz w:val="20"/>
              </w:rPr>
              <w:t>№.of</w:t>
            </w:r>
          </w:p>
          <w:p w:rsidR="00CC59F4" w:rsidRDefault="00CC59F4">
            <w:pPr>
              <w:keepNext/>
              <w:snapToGrid w:val="0"/>
              <w:ind w:left="-108"/>
              <w:rPr>
                <w:rFonts w:ascii="Arial Narrow" w:hAnsi="Arial Narrow"/>
                <w:sz w:val="20"/>
              </w:rPr>
            </w:pPr>
            <w:r>
              <w:rPr>
                <w:rFonts w:ascii="Arial Narrow" w:hAnsi="Arial Narrow"/>
                <w:sz w:val="20"/>
              </w:rPr>
              <w:t>Rpts</w:t>
            </w:r>
          </w:p>
        </w:tc>
        <w:tc>
          <w:tcPr>
            <w:tcW w:w="1418" w:type="dxa"/>
            <w:tcBorders>
              <w:top w:val="nil"/>
              <w:left w:val="nil"/>
              <w:bottom w:val="single" w:sz="4" w:space="0" w:color="auto"/>
              <w:right w:val="nil"/>
            </w:tcBorders>
            <w:hideMark/>
          </w:tcPr>
          <w:p w:rsidR="00CC59F4" w:rsidRDefault="00BA7437">
            <w:pPr>
              <w:keepNext/>
              <w:snapToGrid w:val="0"/>
              <w:ind w:left="-108"/>
              <w:rPr>
                <w:rFonts w:ascii="Arial Narrow" w:hAnsi="Arial Narrow"/>
                <w:sz w:val="20"/>
              </w:rPr>
            </w:pPr>
            <w:r>
              <w:rPr>
                <w:rFonts w:ascii="Arial Narrow" w:hAnsi="Arial Narrow"/>
                <w:sz w:val="20"/>
              </w:rPr>
              <w:t>Ex-manufacturer price</w:t>
            </w:r>
          </w:p>
        </w:tc>
        <w:tc>
          <w:tcPr>
            <w:tcW w:w="1558" w:type="dxa"/>
            <w:gridSpan w:val="2"/>
            <w:tcBorders>
              <w:top w:val="nil"/>
              <w:left w:val="nil"/>
              <w:bottom w:val="single" w:sz="4" w:space="0" w:color="auto"/>
              <w:right w:val="nil"/>
            </w:tcBorders>
            <w:hideMark/>
          </w:tcPr>
          <w:p w:rsidR="00CC59F4" w:rsidRDefault="00CC59F4">
            <w:pPr>
              <w:keepNext/>
              <w:snapToGrid w:val="0"/>
              <w:rPr>
                <w:rFonts w:ascii="Arial Narrow" w:hAnsi="Arial Narrow"/>
                <w:sz w:val="20"/>
                <w:lang w:val="fr-FR"/>
              </w:rPr>
            </w:pPr>
            <w:r>
              <w:rPr>
                <w:rFonts w:ascii="Arial Narrow" w:hAnsi="Arial Narrow"/>
                <w:sz w:val="20"/>
              </w:rPr>
              <w:t>Proprietary Name and Manufacturer</w:t>
            </w:r>
          </w:p>
        </w:tc>
      </w:tr>
      <w:tr w:rsidR="00CC59F4" w:rsidTr="00101D0B">
        <w:trPr>
          <w:cantSplit/>
          <w:trHeight w:val="577"/>
        </w:trPr>
        <w:tc>
          <w:tcPr>
            <w:tcW w:w="3969" w:type="dxa"/>
            <w:gridSpan w:val="2"/>
            <w:hideMark/>
          </w:tcPr>
          <w:p w:rsidR="00CC59F4" w:rsidRDefault="00CC59F4">
            <w:pPr>
              <w:keepNext/>
              <w:ind w:left="-108"/>
              <w:rPr>
                <w:rFonts w:ascii="Arial Narrow" w:hAnsi="Arial Narrow"/>
                <w:sz w:val="20"/>
              </w:rPr>
            </w:pPr>
            <w:r>
              <w:rPr>
                <w:rFonts w:ascii="Arial Narrow" w:hAnsi="Arial Narrow"/>
                <w:smallCaps/>
                <w:sz w:val="20"/>
              </w:rPr>
              <w:t>NIVOLUMAB</w:t>
            </w:r>
          </w:p>
          <w:p w:rsidR="00CC59F4" w:rsidRDefault="00CC59F4">
            <w:pPr>
              <w:keepNext/>
              <w:ind w:left="-108"/>
              <w:rPr>
                <w:rFonts w:ascii="Arial Narrow" w:hAnsi="Arial Narrow"/>
                <w:sz w:val="20"/>
              </w:rPr>
            </w:pPr>
            <w:proofErr w:type="spellStart"/>
            <w:r>
              <w:rPr>
                <w:rFonts w:ascii="Arial Narrow" w:hAnsi="Arial Narrow"/>
                <w:sz w:val="20"/>
              </w:rPr>
              <w:t>nivolumab</w:t>
            </w:r>
            <w:proofErr w:type="spellEnd"/>
            <w:r>
              <w:rPr>
                <w:rFonts w:ascii="Arial Narrow" w:hAnsi="Arial Narrow"/>
                <w:sz w:val="20"/>
              </w:rPr>
              <w:t xml:space="preserve"> 40 mg/4 mL injection, 1 x 4 mL vial</w:t>
            </w:r>
          </w:p>
          <w:p w:rsidR="00BA7437" w:rsidRDefault="00BA7437">
            <w:pPr>
              <w:keepNext/>
              <w:snapToGrid w:val="0"/>
              <w:ind w:left="-108"/>
              <w:rPr>
                <w:rFonts w:ascii="Arial Narrow" w:hAnsi="Arial Narrow"/>
                <w:sz w:val="20"/>
              </w:rPr>
            </w:pPr>
          </w:p>
          <w:p w:rsidR="00BA7437" w:rsidRDefault="00BA7437">
            <w:pPr>
              <w:keepNext/>
              <w:snapToGrid w:val="0"/>
              <w:ind w:left="-108"/>
              <w:rPr>
                <w:rFonts w:ascii="Arial Narrow" w:hAnsi="Arial Narrow"/>
                <w:sz w:val="20"/>
              </w:rPr>
            </w:pPr>
          </w:p>
          <w:p w:rsidR="00BA7437" w:rsidRDefault="00BA7437">
            <w:pPr>
              <w:keepNext/>
              <w:snapToGrid w:val="0"/>
              <w:ind w:left="-108"/>
              <w:rPr>
                <w:rFonts w:ascii="Arial Narrow" w:hAnsi="Arial Narrow"/>
                <w:sz w:val="20"/>
              </w:rPr>
            </w:pPr>
          </w:p>
          <w:p w:rsidR="00CC59F4" w:rsidRDefault="00CC59F4">
            <w:pPr>
              <w:keepNext/>
              <w:snapToGrid w:val="0"/>
              <w:ind w:left="-108"/>
              <w:rPr>
                <w:rFonts w:ascii="Arial Narrow" w:hAnsi="Arial Narrow"/>
                <w:sz w:val="20"/>
              </w:rPr>
            </w:pPr>
            <w:proofErr w:type="spellStart"/>
            <w:r>
              <w:rPr>
                <w:rFonts w:ascii="Arial Narrow" w:hAnsi="Arial Narrow"/>
                <w:sz w:val="20"/>
              </w:rPr>
              <w:t>nivolumab</w:t>
            </w:r>
            <w:proofErr w:type="spellEnd"/>
            <w:r>
              <w:rPr>
                <w:rFonts w:ascii="Arial Narrow" w:hAnsi="Arial Narrow"/>
                <w:sz w:val="20"/>
              </w:rPr>
              <w:t xml:space="preserve"> 100 mg/10 mL injection, 1 x 10 mL vial</w:t>
            </w:r>
          </w:p>
        </w:tc>
        <w:tc>
          <w:tcPr>
            <w:tcW w:w="709" w:type="dxa"/>
          </w:tcPr>
          <w:p w:rsidR="00CC59F4" w:rsidRDefault="00CC59F4">
            <w:pPr>
              <w:keepNext/>
              <w:ind w:left="-108"/>
              <w:rPr>
                <w:rFonts w:ascii="Arial Narrow" w:hAnsi="Arial Narrow"/>
                <w:i/>
                <w:sz w:val="20"/>
              </w:rPr>
            </w:pPr>
          </w:p>
          <w:p w:rsidR="00CC59F4" w:rsidRDefault="00CC59F4">
            <w:pPr>
              <w:keepNext/>
              <w:snapToGrid w:val="0"/>
              <w:ind w:left="-108"/>
              <w:rPr>
                <w:rFonts w:ascii="Arial Narrow" w:hAnsi="Arial Narrow"/>
                <w:i/>
                <w:sz w:val="20"/>
              </w:rPr>
            </w:pPr>
            <w:r>
              <w:rPr>
                <w:rFonts w:ascii="Arial Narrow" w:hAnsi="Arial Narrow"/>
                <w:i/>
                <w:sz w:val="20"/>
              </w:rPr>
              <w:t>120 mg</w:t>
            </w:r>
          </w:p>
        </w:tc>
        <w:tc>
          <w:tcPr>
            <w:tcW w:w="709" w:type="dxa"/>
          </w:tcPr>
          <w:p w:rsidR="00CC59F4" w:rsidRDefault="00CC59F4">
            <w:pPr>
              <w:keepNext/>
              <w:ind w:left="-108"/>
              <w:rPr>
                <w:rFonts w:ascii="Arial Narrow" w:hAnsi="Arial Narrow"/>
                <w:sz w:val="20"/>
              </w:rPr>
            </w:pPr>
          </w:p>
          <w:p w:rsidR="00CC59F4" w:rsidRDefault="00CC59F4">
            <w:pPr>
              <w:keepNext/>
              <w:snapToGrid w:val="0"/>
              <w:ind w:left="-108"/>
              <w:rPr>
                <w:rFonts w:ascii="Arial Narrow" w:hAnsi="Arial Narrow"/>
                <w:sz w:val="20"/>
              </w:rPr>
            </w:pPr>
            <w:r>
              <w:rPr>
                <w:rFonts w:ascii="Arial Narrow" w:hAnsi="Arial Narrow"/>
                <w:sz w:val="20"/>
              </w:rPr>
              <w:t>3</w:t>
            </w:r>
          </w:p>
        </w:tc>
        <w:tc>
          <w:tcPr>
            <w:tcW w:w="1418" w:type="dxa"/>
          </w:tcPr>
          <w:p w:rsidR="00CC59F4" w:rsidRDefault="00CC59F4">
            <w:pPr>
              <w:keepNext/>
              <w:ind w:left="-108"/>
              <w:rPr>
                <w:rFonts w:ascii="Arial Narrow" w:hAnsi="Arial Narrow"/>
                <w:sz w:val="20"/>
              </w:rPr>
            </w:pPr>
          </w:p>
          <w:p w:rsidR="00BA7437" w:rsidRDefault="00101D0B" w:rsidP="00E2379F">
            <w:pPr>
              <w:keepNext/>
              <w:ind w:left="-108"/>
              <w:jc w:val="left"/>
              <w:rPr>
                <w:rFonts w:ascii="Arial Narrow" w:hAnsi="Arial Narrow"/>
                <w:sz w:val="20"/>
              </w:rPr>
            </w:pPr>
            <w:r>
              <w:rPr>
                <w:rFonts w:ascii="Arial Narrow" w:hAnsi="Arial Narrow"/>
                <w:sz w:val="20"/>
              </w:rPr>
              <w:t>$</w:t>
            </w:r>
            <w:r w:rsidR="006D73F0">
              <w:rPr>
                <w:rFonts w:ascii="Arial Narrow" w:hAnsi="Arial Narrow"/>
                <w:noProof/>
                <w:color w:val="000000"/>
                <w:sz w:val="20"/>
                <w:highlight w:val="black"/>
              </w:rPr>
              <w:t>'''''''''''''''''''''''</w:t>
            </w:r>
          </w:p>
          <w:p w:rsidR="00BA7437" w:rsidRDefault="00BA7437" w:rsidP="00E2379F">
            <w:pPr>
              <w:keepNext/>
              <w:ind w:left="-108"/>
              <w:jc w:val="left"/>
              <w:rPr>
                <w:rFonts w:ascii="Arial Narrow" w:hAnsi="Arial Narrow"/>
                <w:sz w:val="20"/>
              </w:rPr>
            </w:pPr>
            <w:r w:rsidRPr="00451A9B">
              <w:rPr>
                <w:rFonts w:ascii="Arial Narrow" w:hAnsi="Arial Narrow"/>
                <w:sz w:val="20"/>
              </w:rPr>
              <w:t>(published price)</w:t>
            </w:r>
          </w:p>
          <w:p w:rsidR="00BA7437" w:rsidRPr="00BA7437" w:rsidRDefault="00BA7437" w:rsidP="00E2379F">
            <w:pPr>
              <w:keepNext/>
              <w:ind w:left="-108"/>
              <w:jc w:val="left"/>
              <w:rPr>
                <w:rFonts w:ascii="Arial Narrow" w:hAnsi="Arial Narrow"/>
                <w:i/>
                <w:sz w:val="20"/>
              </w:rPr>
            </w:pPr>
            <w:r w:rsidRPr="00BA7437">
              <w:rPr>
                <w:rFonts w:ascii="Arial Narrow" w:hAnsi="Arial Narrow"/>
                <w:i/>
                <w:sz w:val="20"/>
              </w:rPr>
              <w:t>TBA</w:t>
            </w:r>
          </w:p>
          <w:p w:rsidR="00BA7437" w:rsidRDefault="00BA7437" w:rsidP="00E2379F">
            <w:pPr>
              <w:keepNext/>
              <w:ind w:left="-108"/>
              <w:jc w:val="left"/>
              <w:rPr>
                <w:rFonts w:ascii="Arial Narrow" w:hAnsi="Arial Narrow"/>
                <w:sz w:val="20"/>
              </w:rPr>
            </w:pPr>
            <w:r>
              <w:rPr>
                <w:rFonts w:ascii="Arial Narrow" w:hAnsi="Arial Narrow"/>
                <w:sz w:val="20"/>
              </w:rPr>
              <w:t>(effective price)</w:t>
            </w:r>
          </w:p>
          <w:p w:rsidR="00BA7437" w:rsidRDefault="00BA7437" w:rsidP="00E2379F">
            <w:pPr>
              <w:keepNext/>
              <w:ind w:left="-108"/>
              <w:jc w:val="left"/>
              <w:rPr>
                <w:rFonts w:ascii="Arial Narrow" w:hAnsi="Arial Narrow"/>
                <w:sz w:val="20"/>
              </w:rPr>
            </w:pPr>
            <w:r>
              <w:rPr>
                <w:rFonts w:ascii="Arial Narrow" w:hAnsi="Arial Narrow"/>
                <w:sz w:val="20"/>
              </w:rPr>
              <w:t>$</w:t>
            </w:r>
            <w:r w:rsidR="006D73F0">
              <w:rPr>
                <w:rFonts w:ascii="Arial Narrow" w:hAnsi="Arial Narrow"/>
                <w:noProof/>
                <w:color w:val="000000"/>
                <w:sz w:val="20"/>
                <w:highlight w:val="black"/>
              </w:rPr>
              <w:t>'''''''''''''''''''</w:t>
            </w:r>
          </w:p>
          <w:p w:rsidR="00BA7437" w:rsidRDefault="00BA7437" w:rsidP="00E2379F">
            <w:pPr>
              <w:keepNext/>
              <w:ind w:left="-108"/>
              <w:jc w:val="left"/>
              <w:rPr>
                <w:rFonts w:ascii="Arial Narrow" w:hAnsi="Arial Narrow"/>
                <w:sz w:val="20"/>
              </w:rPr>
            </w:pPr>
            <w:r>
              <w:rPr>
                <w:rFonts w:ascii="Arial Narrow" w:hAnsi="Arial Narrow"/>
                <w:sz w:val="20"/>
              </w:rPr>
              <w:t>(published price)</w:t>
            </w:r>
          </w:p>
          <w:p w:rsidR="00BA7437" w:rsidRDefault="00BA7437" w:rsidP="00101D0B">
            <w:pPr>
              <w:keepNext/>
              <w:ind w:left="-108"/>
              <w:jc w:val="left"/>
              <w:rPr>
                <w:rFonts w:ascii="Arial Narrow" w:hAnsi="Arial Narrow"/>
                <w:sz w:val="20"/>
              </w:rPr>
            </w:pPr>
            <w:r>
              <w:rPr>
                <w:rFonts w:ascii="Arial Narrow" w:hAnsi="Arial Narrow"/>
                <w:i/>
                <w:sz w:val="20"/>
              </w:rPr>
              <w:t>TBA</w:t>
            </w:r>
          </w:p>
          <w:p w:rsidR="00CC59F4" w:rsidRDefault="00BA7437" w:rsidP="00E2379F">
            <w:pPr>
              <w:keepNext/>
              <w:ind w:left="-108"/>
              <w:jc w:val="left"/>
              <w:rPr>
                <w:rFonts w:ascii="Arial Narrow" w:hAnsi="Arial Narrow"/>
                <w:sz w:val="20"/>
              </w:rPr>
            </w:pPr>
            <w:r>
              <w:rPr>
                <w:rFonts w:ascii="Arial Narrow" w:hAnsi="Arial Narrow"/>
                <w:sz w:val="20"/>
              </w:rPr>
              <w:t>(effective price)</w:t>
            </w:r>
          </w:p>
        </w:tc>
        <w:tc>
          <w:tcPr>
            <w:tcW w:w="993" w:type="dxa"/>
            <w:hideMark/>
          </w:tcPr>
          <w:p w:rsidR="00CC59F4" w:rsidRDefault="00CC59F4">
            <w:pPr>
              <w:keepNext/>
              <w:snapToGrid w:val="0"/>
              <w:rPr>
                <w:rFonts w:ascii="Arial Narrow" w:hAnsi="Arial Narrow"/>
                <w:sz w:val="20"/>
              </w:rPr>
            </w:pPr>
            <w:proofErr w:type="spellStart"/>
            <w:r>
              <w:rPr>
                <w:rFonts w:ascii="Arial Narrow" w:hAnsi="Arial Narrow"/>
                <w:sz w:val="20"/>
              </w:rPr>
              <w:t>Opdivo</w:t>
            </w:r>
            <w:proofErr w:type="spellEnd"/>
          </w:p>
        </w:tc>
        <w:tc>
          <w:tcPr>
            <w:tcW w:w="565" w:type="dxa"/>
            <w:hideMark/>
          </w:tcPr>
          <w:p w:rsidR="00CC59F4" w:rsidRDefault="00CC59F4">
            <w:pPr>
              <w:keepNext/>
              <w:snapToGrid w:val="0"/>
              <w:rPr>
                <w:rFonts w:ascii="Arial Narrow" w:hAnsi="Arial Narrow"/>
                <w:sz w:val="20"/>
              </w:rPr>
            </w:pPr>
            <w:r>
              <w:rPr>
                <w:rFonts w:ascii="Arial Narrow" w:hAnsi="Arial Narrow"/>
                <w:sz w:val="20"/>
              </w:rPr>
              <w:t>BQ</w:t>
            </w:r>
          </w:p>
        </w:tc>
      </w:tr>
      <w:tr w:rsidR="00CC59F4" w:rsidTr="00CC59F4">
        <w:trPr>
          <w:cantSplit/>
          <w:trHeight w:val="360"/>
        </w:trPr>
        <w:tc>
          <w:tcPr>
            <w:tcW w:w="8363" w:type="dxa"/>
            <w:gridSpan w:val="7"/>
            <w:tcBorders>
              <w:top w:val="nil"/>
              <w:left w:val="nil"/>
              <w:bottom w:val="single" w:sz="4" w:space="0" w:color="auto"/>
              <w:right w:val="nil"/>
            </w:tcBorders>
          </w:tcPr>
          <w:p w:rsidR="00CC59F4" w:rsidRDefault="00CC59F4">
            <w:pPr>
              <w:snapToGrid w:val="0"/>
              <w:rPr>
                <w:rFonts w:ascii="Arial Narrow" w:hAnsi="Arial Narrow"/>
                <w:sz w:val="20"/>
              </w:rPr>
            </w:pP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Category / Program</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r>
              <w:rPr>
                <w:rFonts w:ascii="Arial Narrow" w:hAnsi="Arial Narrow"/>
                <w:sz w:val="20"/>
              </w:rPr>
              <w:t>Section 100 – Efficient Funding of Chemotherapy</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Prescriber type:</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4D5DA3" w:rsidP="002F37FB">
            <w:pPr>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 xml:space="preserve">Nurse practitioners  </w:t>
            </w:r>
            <w:r>
              <w:rPr>
                <w:rFonts w:ascii="Arial Narrow" w:hAnsi="Arial Narrow"/>
                <w:sz w:val="20"/>
              </w:rPr>
              <w:fldChar w:fldCharType="begin">
                <w:ffData>
                  <w:name w:val=""/>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Optometrists</w:t>
            </w:r>
            <w:r w:rsidR="00BA7437">
              <w:rPr>
                <w:rFonts w:ascii="Arial Narrow" w:hAnsi="Arial Narrow"/>
                <w:sz w:val="20"/>
              </w:rPr>
              <w:t xml:space="preserve">  </w:t>
            </w:r>
            <w:r>
              <w:rPr>
                <w:rFonts w:ascii="Arial Narrow" w:hAnsi="Arial Narrow"/>
                <w:sz w:val="20"/>
              </w:rPr>
              <w:fldChar w:fldCharType="begin">
                <w:ffData>
                  <w:name w:val="Check5"/>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Midwives</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Episodicity:</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r>
              <w:rPr>
                <w:rFonts w:ascii="Arial Narrow" w:hAnsi="Arial Narrow"/>
                <w:sz w:val="20"/>
              </w:rPr>
              <w:t>-</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Severity:</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proofErr w:type="spellStart"/>
            <w:r>
              <w:rPr>
                <w:rFonts w:ascii="Arial Narrow" w:hAnsi="Arial Narrow"/>
                <w:sz w:val="20"/>
              </w:rPr>
              <w:t>Unresectable</w:t>
            </w:r>
            <w:proofErr w:type="spellEnd"/>
            <w:r>
              <w:rPr>
                <w:rFonts w:ascii="Arial Narrow" w:hAnsi="Arial Narrow"/>
                <w:sz w:val="20"/>
              </w:rPr>
              <w:t xml:space="preserve"> Stage III or Stage IV</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lastRenderedPageBreak/>
              <w:t>Condition:</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r>
              <w:rPr>
                <w:rFonts w:ascii="Arial Narrow" w:hAnsi="Arial Narrow"/>
                <w:sz w:val="20"/>
              </w:rPr>
              <w:t>Malignant melanoma</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PBS Indication:</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proofErr w:type="spellStart"/>
            <w:r>
              <w:rPr>
                <w:rFonts w:ascii="Arial Narrow" w:hAnsi="Arial Narrow"/>
                <w:sz w:val="20"/>
              </w:rPr>
              <w:t>Unresectable</w:t>
            </w:r>
            <w:proofErr w:type="spellEnd"/>
            <w:r>
              <w:rPr>
                <w:rFonts w:ascii="Arial Narrow" w:hAnsi="Arial Narrow"/>
                <w:sz w:val="20"/>
              </w:rPr>
              <w:t xml:space="preserve"> Stage III or Stage IV malignant melanoma</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Treatment phase:</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i/>
                <w:sz w:val="20"/>
              </w:rPr>
            </w:pPr>
            <w:r>
              <w:rPr>
                <w:rFonts w:ascii="Arial Narrow" w:hAnsi="Arial Narrow"/>
                <w:i/>
                <w:sz w:val="20"/>
              </w:rPr>
              <w:t>Induction (combination) phase</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Restriction Level / Method:</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4D5DA3">
            <w:pPr>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Restricted benefit</w:t>
            </w:r>
          </w:p>
          <w:p w:rsidR="00CC59F4" w:rsidRDefault="004D5DA3">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Authority Required - In Writing</w:t>
            </w:r>
          </w:p>
          <w:p w:rsidR="00CC59F4" w:rsidRDefault="004D5DA3">
            <w:pPr>
              <w:rPr>
                <w:rFonts w:ascii="Arial Narrow" w:hAnsi="Arial Narrow"/>
                <w:sz w:val="20"/>
              </w:rPr>
            </w:pPr>
            <w:r>
              <w:rPr>
                <w:rFonts w:ascii="Arial Narrow" w:hAnsi="Arial Narrow"/>
                <w:sz w:val="20"/>
              </w:rPr>
              <w:fldChar w:fldCharType="begin">
                <w:ffData>
                  <w:name w:val="Check3"/>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Authority Required - Telephone</w:t>
            </w:r>
          </w:p>
          <w:p w:rsidR="00CC59F4" w:rsidRDefault="004D5DA3">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Authority Required – Emergency</w:t>
            </w:r>
          </w:p>
          <w:p w:rsidR="00CC59F4" w:rsidRDefault="004D5DA3">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Authority Required - Electronic</w:t>
            </w:r>
          </w:p>
          <w:p w:rsidR="00CC59F4" w:rsidRDefault="004D5DA3">
            <w:pPr>
              <w:snapToGrid w:val="0"/>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bookmarkStart w:id="3" w:name="Check5"/>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fldChar w:fldCharType="end"/>
            </w:r>
            <w:bookmarkEnd w:id="3"/>
            <w:r w:rsidR="00CC59F4">
              <w:rPr>
                <w:rFonts w:ascii="Arial Narrow" w:hAnsi="Arial Narrow"/>
                <w:sz w:val="20"/>
              </w:rPr>
              <w:t>Streamlined</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Clinical criteria:</w:t>
            </w:r>
          </w:p>
        </w:tc>
        <w:tc>
          <w:tcPr>
            <w:tcW w:w="5811" w:type="dxa"/>
            <w:gridSpan w:val="6"/>
            <w:tcBorders>
              <w:top w:val="single" w:sz="4" w:space="0" w:color="auto"/>
              <w:left w:val="single" w:sz="4" w:space="0" w:color="auto"/>
              <w:bottom w:val="single" w:sz="4" w:space="0" w:color="auto"/>
              <w:right w:val="single" w:sz="4" w:space="0" w:color="auto"/>
            </w:tcBorders>
          </w:tcPr>
          <w:p w:rsidR="00CC59F4" w:rsidRDefault="00CC59F4">
            <w:pPr>
              <w:rPr>
                <w:rFonts w:ascii="Arial Narrow" w:hAnsi="Arial Narrow"/>
                <w:i/>
                <w:sz w:val="20"/>
              </w:rPr>
            </w:pPr>
            <w:r>
              <w:rPr>
                <w:rFonts w:ascii="Arial Narrow" w:hAnsi="Arial Narrow"/>
                <w:i/>
                <w:sz w:val="20"/>
              </w:rPr>
              <w:t>Patient must be receiving PBS-subsidised ipilimumab concomitantly for this condition</w:t>
            </w:r>
          </w:p>
          <w:p w:rsidR="00CC59F4" w:rsidRDefault="00CC59F4">
            <w:pPr>
              <w:rPr>
                <w:rFonts w:ascii="Arial Narrow" w:hAnsi="Arial Narrow"/>
                <w:i/>
                <w:sz w:val="20"/>
              </w:rPr>
            </w:pPr>
          </w:p>
          <w:p w:rsidR="00CC59F4" w:rsidRDefault="00CC59F4">
            <w:pPr>
              <w:rPr>
                <w:rFonts w:ascii="Arial Narrow" w:hAnsi="Arial Narrow"/>
                <w:i/>
                <w:sz w:val="20"/>
              </w:rPr>
            </w:pPr>
            <w:r>
              <w:rPr>
                <w:rFonts w:ascii="Arial Narrow" w:hAnsi="Arial Narrow"/>
                <w:i/>
                <w:sz w:val="20"/>
              </w:rPr>
              <w:t>AND</w:t>
            </w:r>
          </w:p>
          <w:p w:rsidR="00CC59F4" w:rsidRDefault="00CC59F4">
            <w:pPr>
              <w:rPr>
                <w:rFonts w:ascii="Arial Narrow" w:hAnsi="Arial Narrow"/>
                <w:i/>
                <w:sz w:val="20"/>
              </w:rPr>
            </w:pPr>
          </w:p>
          <w:p w:rsidR="00CC59F4" w:rsidRDefault="00CC59F4">
            <w:pPr>
              <w:rPr>
                <w:rFonts w:ascii="Arial Narrow" w:hAnsi="Arial Narrow"/>
                <w:i/>
                <w:sz w:val="20"/>
              </w:rPr>
            </w:pPr>
            <w:r>
              <w:rPr>
                <w:rFonts w:ascii="Arial Narrow" w:hAnsi="Arial Narrow"/>
                <w:i/>
                <w:sz w:val="20"/>
              </w:rPr>
              <w:t>Patient must not have received prior treatment with ipilimumab,</w:t>
            </w:r>
          </w:p>
          <w:p w:rsidR="00CC59F4" w:rsidRDefault="00CC59F4">
            <w:pPr>
              <w:rPr>
                <w:rFonts w:ascii="Arial Narrow" w:hAnsi="Arial Narrow"/>
                <w:i/>
                <w:sz w:val="20"/>
              </w:rPr>
            </w:pPr>
          </w:p>
          <w:p w:rsidR="00CC59F4" w:rsidRDefault="00CC59F4">
            <w:pPr>
              <w:rPr>
                <w:rFonts w:ascii="Arial Narrow" w:hAnsi="Arial Narrow"/>
                <w:i/>
                <w:sz w:val="20"/>
              </w:rPr>
            </w:pPr>
            <w:r>
              <w:rPr>
                <w:rFonts w:ascii="Arial Narrow" w:hAnsi="Arial Narrow"/>
                <w:i/>
                <w:sz w:val="20"/>
              </w:rPr>
              <w:t>AND</w:t>
            </w:r>
          </w:p>
          <w:p w:rsidR="00CC59F4" w:rsidRDefault="00CC59F4">
            <w:pPr>
              <w:rPr>
                <w:rFonts w:ascii="Arial Narrow" w:hAnsi="Arial Narrow"/>
                <w:i/>
                <w:sz w:val="20"/>
              </w:rPr>
            </w:pPr>
          </w:p>
          <w:p w:rsidR="00CC59F4" w:rsidRDefault="00CC59F4">
            <w:pPr>
              <w:snapToGrid w:val="0"/>
              <w:rPr>
                <w:rFonts w:ascii="Arial Narrow" w:hAnsi="Arial Narrow"/>
                <w:i/>
                <w:sz w:val="20"/>
              </w:rPr>
            </w:pPr>
            <w:r>
              <w:rPr>
                <w:rFonts w:ascii="Arial Narrow" w:hAnsi="Arial Narrow"/>
                <w:i/>
                <w:sz w:val="20"/>
              </w:rPr>
              <w:t>The treatment must not exceed a total of 4 doses at a maximum dose of 1 mg per kg every 3 weeks.</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Prescriber Instructions</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r>
              <w:rPr>
                <w:rFonts w:ascii="Arial Narrow" w:hAnsi="Arial Narrow"/>
                <w:sz w:val="20"/>
              </w:rPr>
              <w:t>The patient’s body weight must be documented in the patient’s medical records at the time treatment is initiated.</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Administrative Advice</w:t>
            </w:r>
          </w:p>
        </w:tc>
        <w:tc>
          <w:tcPr>
            <w:tcW w:w="5811" w:type="dxa"/>
            <w:gridSpan w:val="6"/>
            <w:tcBorders>
              <w:top w:val="single" w:sz="4" w:space="0" w:color="auto"/>
              <w:left w:val="single" w:sz="4" w:space="0" w:color="auto"/>
              <w:bottom w:val="single" w:sz="4" w:space="0" w:color="auto"/>
              <w:right w:val="single" w:sz="4" w:space="0" w:color="auto"/>
            </w:tcBorders>
          </w:tcPr>
          <w:p w:rsidR="00CC59F4" w:rsidRDefault="00CC59F4">
            <w:pPr>
              <w:rPr>
                <w:rFonts w:ascii="Arial Narrow" w:hAnsi="Arial Narrow"/>
                <w:strike/>
                <w:sz w:val="20"/>
              </w:rPr>
            </w:pPr>
            <w:r>
              <w:rPr>
                <w:rFonts w:ascii="Arial Narrow" w:hAnsi="Arial Narrow"/>
                <w:strike/>
                <w:sz w:val="20"/>
              </w:rPr>
              <w:t xml:space="preserve">The recommended dose and schedule is </w:t>
            </w:r>
            <w:proofErr w:type="spellStart"/>
            <w:r>
              <w:rPr>
                <w:rFonts w:ascii="Arial Narrow" w:hAnsi="Arial Narrow"/>
                <w:strike/>
                <w:sz w:val="20"/>
              </w:rPr>
              <w:t>nivolumab</w:t>
            </w:r>
            <w:proofErr w:type="spellEnd"/>
            <w:r>
              <w:rPr>
                <w:rFonts w:ascii="Arial Narrow" w:hAnsi="Arial Narrow"/>
                <w:strike/>
                <w:sz w:val="20"/>
              </w:rPr>
              <w:t xml:space="preserve"> 1 mg/kg and ipilimumab 3 mg/kg combined with every 3 weeks (Q3W) administered as an intrave</w:t>
            </w:r>
            <w:r w:rsidR="00101D0B">
              <w:rPr>
                <w:rFonts w:ascii="Arial Narrow" w:hAnsi="Arial Narrow"/>
                <w:strike/>
                <w:sz w:val="20"/>
              </w:rPr>
              <w:t>nous (IV) infusion for 4 doses.</w:t>
            </w:r>
          </w:p>
          <w:p w:rsidR="00CC59F4" w:rsidRDefault="00CC59F4">
            <w:pPr>
              <w:rPr>
                <w:rFonts w:ascii="Arial Narrow" w:hAnsi="Arial Narrow"/>
                <w:strike/>
                <w:sz w:val="20"/>
              </w:rPr>
            </w:pPr>
          </w:p>
          <w:p w:rsidR="00CC59F4" w:rsidRDefault="00CC59F4">
            <w:pPr>
              <w:rPr>
                <w:rFonts w:ascii="Arial Narrow" w:hAnsi="Arial Narrow"/>
                <w:strike/>
                <w:sz w:val="20"/>
              </w:rPr>
            </w:pPr>
            <w:r>
              <w:rPr>
                <w:rFonts w:ascii="Arial Narrow" w:hAnsi="Arial Narrow"/>
                <w:strike/>
                <w:sz w:val="20"/>
              </w:rPr>
              <w:t>Treatment will continue as long as clinical benefit is</w:t>
            </w:r>
          </w:p>
          <w:p w:rsidR="00CC59F4" w:rsidRDefault="00CC59F4">
            <w:pPr>
              <w:rPr>
                <w:rFonts w:ascii="Arial Narrow" w:hAnsi="Arial Narrow"/>
                <w:strike/>
                <w:sz w:val="20"/>
              </w:rPr>
            </w:pPr>
            <w:proofErr w:type="gramStart"/>
            <w:r>
              <w:rPr>
                <w:rFonts w:ascii="Arial Narrow" w:hAnsi="Arial Narrow"/>
                <w:strike/>
                <w:sz w:val="20"/>
              </w:rPr>
              <w:t>observed</w:t>
            </w:r>
            <w:proofErr w:type="gramEnd"/>
            <w:r>
              <w:rPr>
                <w:rFonts w:ascii="Arial Narrow" w:hAnsi="Arial Narrow"/>
                <w:strike/>
                <w:sz w:val="20"/>
              </w:rPr>
              <w:t xml:space="preserve"> or until treatment is no longer tolerated by the patient.</w:t>
            </w:r>
          </w:p>
          <w:p w:rsidR="00CC59F4" w:rsidRDefault="00CC59F4">
            <w:pPr>
              <w:rPr>
                <w:rFonts w:ascii="Arial Narrow" w:hAnsi="Arial Narrow"/>
                <w:strike/>
                <w:sz w:val="20"/>
              </w:rPr>
            </w:pPr>
          </w:p>
          <w:p w:rsidR="00CC59F4" w:rsidRDefault="00CC59F4">
            <w:pPr>
              <w:rPr>
                <w:rFonts w:ascii="Arial Narrow" w:hAnsi="Arial Narrow"/>
                <w:i/>
                <w:sz w:val="20"/>
              </w:rPr>
            </w:pPr>
            <w:r>
              <w:rPr>
                <w:rFonts w:ascii="Arial Narrow" w:hAnsi="Arial Narrow"/>
                <w:i/>
                <w:sz w:val="20"/>
              </w:rPr>
              <w:t>No increase in the maximum number of repeats may be authorised.</w:t>
            </w:r>
          </w:p>
          <w:p w:rsidR="00CC59F4" w:rsidRDefault="00CC59F4">
            <w:pPr>
              <w:rPr>
                <w:rFonts w:ascii="Arial Narrow" w:hAnsi="Arial Narrow"/>
                <w:i/>
                <w:sz w:val="20"/>
              </w:rPr>
            </w:pPr>
          </w:p>
          <w:p w:rsidR="00CC59F4" w:rsidRDefault="00CC59F4">
            <w:pPr>
              <w:snapToGrid w:val="0"/>
              <w:rPr>
                <w:rFonts w:ascii="Arial Narrow" w:hAnsi="Arial Narrow"/>
                <w:sz w:val="20"/>
              </w:rPr>
            </w:pPr>
            <w:r>
              <w:rPr>
                <w:rFonts w:ascii="Arial Narrow" w:hAnsi="Arial Narrow"/>
                <w:i/>
                <w:sz w:val="20"/>
              </w:rPr>
              <w:t>Special Pricing Arrangements apply.</w:t>
            </w:r>
          </w:p>
        </w:tc>
      </w:tr>
    </w:tbl>
    <w:p w:rsidR="00CC59F4" w:rsidRPr="002F37FB" w:rsidRDefault="00CC59F4" w:rsidP="00AF0595">
      <w:pPr>
        <w:pStyle w:val="BodyText"/>
      </w:pPr>
    </w:p>
    <w:tbl>
      <w:tblPr>
        <w:tblW w:w="8363" w:type="dxa"/>
        <w:tblInd w:w="817" w:type="dxa"/>
        <w:tblLayout w:type="fixed"/>
        <w:tblLook w:val="04A0" w:firstRow="1" w:lastRow="0" w:firstColumn="1" w:lastColumn="0" w:noHBand="0" w:noVBand="1"/>
        <w:tblCaption w:val="Requested listing - conituing single phase"/>
      </w:tblPr>
      <w:tblGrid>
        <w:gridCol w:w="2552"/>
        <w:gridCol w:w="1275"/>
        <w:gridCol w:w="851"/>
        <w:gridCol w:w="709"/>
        <w:gridCol w:w="1418"/>
        <w:gridCol w:w="993"/>
        <w:gridCol w:w="565"/>
      </w:tblGrid>
      <w:tr w:rsidR="00CC59F4" w:rsidTr="00101D0B">
        <w:trPr>
          <w:cantSplit/>
          <w:trHeight w:val="471"/>
        </w:trPr>
        <w:tc>
          <w:tcPr>
            <w:tcW w:w="3827" w:type="dxa"/>
            <w:gridSpan w:val="2"/>
            <w:tcBorders>
              <w:top w:val="nil"/>
              <w:left w:val="nil"/>
              <w:bottom w:val="single" w:sz="4" w:space="0" w:color="auto"/>
              <w:right w:val="nil"/>
            </w:tcBorders>
            <w:hideMark/>
          </w:tcPr>
          <w:p w:rsidR="00CC59F4" w:rsidRDefault="00CC59F4">
            <w:pPr>
              <w:keepNext/>
              <w:ind w:left="-108"/>
              <w:rPr>
                <w:rFonts w:ascii="Arial Narrow" w:hAnsi="Arial Narrow"/>
                <w:sz w:val="20"/>
              </w:rPr>
            </w:pPr>
            <w:r>
              <w:rPr>
                <w:rFonts w:ascii="Arial Narrow" w:hAnsi="Arial Narrow"/>
                <w:sz w:val="20"/>
              </w:rPr>
              <w:t>Name, Restriction,</w:t>
            </w:r>
          </w:p>
          <w:p w:rsidR="00CC59F4" w:rsidRDefault="00CC59F4">
            <w:pPr>
              <w:keepNext/>
              <w:snapToGrid w:val="0"/>
              <w:ind w:left="-108"/>
              <w:rPr>
                <w:rFonts w:ascii="Arial Narrow" w:hAnsi="Arial Narrow"/>
                <w:sz w:val="20"/>
              </w:rPr>
            </w:pPr>
            <w:r>
              <w:rPr>
                <w:rFonts w:ascii="Arial Narrow" w:hAnsi="Arial Narrow"/>
                <w:sz w:val="20"/>
              </w:rPr>
              <w:t>Manner of administration and form</w:t>
            </w:r>
          </w:p>
        </w:tc>
        <w:tc>
          <w:tcPr>
            <w:tcW w:w="851" w:type="dxa"/>
            <w:tcBorders>
              <w:top w:val="nil"/>
              <w:left w:val="nil"/>
              <w:bottom w:val="single" w:sz="4" w:space="0" w:color="auto"/>
              <w:right w:val="nil"/>
            </w:tcBorders>
            <w:hideMark/>
          </w:tcPr>
          <w:p w:rsidR="00CC59F4" w:rsidRDefault="00CC59F4">
            <w:pPr>
              <w:keepNext/>
              <w:ind w:left="-108"/>
              <w:rPr>
                <w:rFonts w:ascii="Arial Narrow" w:hAnsi="Arial Narrow"/>
                <w:sz w:val="20"/>
              </w:rPr>
            </w:pPr>
            <w:r>
              <w:rPr>
                <w:rFonts w:ascii="Arial Narrow" w:hAnsi="Arial Narrow"/>
                <w:sz w:val="20"/>
              </w:rPr>
              <w:t>Max.</w:t>
            </w:r>
          </w:p>
          <w:p w:rsidR="00CC59F4" w:rsidRDefault="00CC59F4">
            <w:pPr>
              <w:keepNext/>
              <w:snapToGrid w:val="0"/>
              <w:ind w:left="-108"/>
              <w:rPr>
                <w:rFonts w:ascii="Arial Narrow" w:hAnsi="Arial Narrow"/>
                <w:sz w:val="20"/>
              </w:rPr>
            </w:pPr>
            <w:r>
              <w:rPr>
                <w:rFonts w:ascii="Arial Narrow" w:hAnsi="Arial Narrow"/>
                <w:sz w:val="20"/>
              </w:rPr>
              <w:t>amount</w:t>
            </w:r>
          </w:p>
        </w:tc>
        <w:tc>
          <w:tcPr>
            <w:tcW w:w="709" w:type="dxa"/>
            <w:tcBorders>
              <w:top w:val="nil"/>
              <w:left w:val="nil"/>
              <w:bottom w:val="single" w:sz="4" w:space="0" w:color="auto"/>
              <w:right w:val="nil"/>
            </w:tcBorders>
            <w:hideMark/>
          </w:tcPr>
          <w:p w:rsidR="00CC59F4" w:rsidRDefault="00CC59F4">
            <w:pPr>
              <w:keepNext/>
              <w:ind w:left="-108"/>
              <w:rPr>
                <w:rFonts w:ascii="Arial Narrow" w:hAnsi="Arial Narrow"/>
                <w:sz w:val="20"/>
              </w:rPr>
            </w:pPr>
            <w:r>
              <w:rPr>
                <w:rFonts w:ascii="Arial Narrow" w:hAnsi="Arial Narrow"/>
                <w:sz w:val="20"/>
              </w:rPr>
              <w:t>№.of</w:t>
            </w:r>
          </w:p>
          <w:p w:rsidR="00CC59F4" w:rsidRDefault="00CC59F4">
            <w:pPr>
              <w:keepNext/>
              <w:snapToGrid w:val="0"/>
              <w:ind w:left="-108"/>
              <w:rPr>
                <w:rFonts w:ascii="Arial Narrow" w:hAnsi="Arial Narrow"/>
                <w:sz w:val="20"/>
              </w:rPr>
            </w:pPr>
            <w:r>
              <w:rPr>
                <w:rFonts w:ascii="Arial Narrow" w:hAnsi="Arial Narrow"/>
                <w:sz w:val="20"/>
              </w:rPr>
              <w:t>Rpts</w:t>
            </w:r>
          </w:p>
        </w:tc>
        <w:tc>
          <w:tcPr>
            <w:tcW w:w="1418" w:type="dxa"/>
            <w:tcBorders>
              <w:top w:val="nil"/>
              <w:left w:val="nil"/>
              <w:bottom w:val="single" w:sz="4" w:space="0" w:color="auto"/>
              <w:right w:val="nil"/>
            </w:tcBorders>
            <w:hideMark/>
          </w:tcPr>
          <w:p w:rsidR="00CC59F4" w:rsidRDefault="00BA7437">
            <w:pPr>
              <w:keepNext/>
              <w:snapToGrid w:val="0"/>
              <w:ind w:left="-108"/>
              <w:rPr>
                <w:rFonts w:ascii="Arial Narrow" w:hAnsi="Arial Narrow"/>
                <w:sz w:val="20"/>
              </w:rPr>
            </w:pPr>
            <w:r>
              <w:rPr>
                <w:rFonts w:ascii="Arial Narrow" w:hAnsi="Arial Narrow"/>
                <w:sz w:val="20"/>
              </w:rPr>
              <w:t>Ex-manufacturer price</w:t>
            </w:r>
          </w:p>
        </w:tc>
        <w:tc>
          <w:tcPr>
            <w:tcW w:w="1558" w:type="dxa"/>
            <w:gridSpan w:val="2"/>
            <w:tcBorders>
              <w:top w:val="nil"/>
              <w:left w:val="nil"/>
              <w:bottom w:val="single" w:sz="4" w:space="0" w:color="auto"/>
              <w:right w:val="nil"/>
            </w:tcBorders>
            <w:hideMark/>
          </w:tcPr>
          <w:p w:rsidR="00CC59F4" w:rsidRDefault="00CC59F4">
            <w:pPr>
              <w:keepNext/>
              <w:snapToGrid w:val="0"/>
              <w:rPr>
                <w:rFonts w:ascii="Arial Narrow" w:hAnsi="Arial Narrow"/>
                <w:sz w:val="20"/>
                <w:lang w:val="fr-FR"/>
              </w:rPr>
            </w:pPr>
            <w:r>
              <w:rPr>
                <w:rFonts w:ascii="Arial Narrow" w:hAnsi="Arial Narrow"/>
                <w:sz w:val="20"/>
              </w:rPr>
              <w:t>Proprietary Name and Manufacturer</w:t>
            </w:r>
          </w:p>
        </w:tc>
      </w:tr>
      <w:tr w:rsidR="00CC59F4" w:rsidTr="00101D0B">
        <w:trPr>
          <w:cantSplit/>
          <w:trHeight w:val="577"/>
        </w:trPr>
        <w:tc>
          <w:tcPr>
            <w:tcW w:w="3827" w:type="dxa"/>
            <w:gridSpan w:val="2"/>
            <w:hideMark/>
          </w:tcPr>
          <w:p w:rsidR="00CC59F4" w:rsidRDefault="00CC59F4">
            <w:pPr>
              <w:keepNext/>
              <w:ind w:left="-108"/>
              <w:rPr>
                <w:rFonts w:ascii="Arial Narrow" w:hAnsi="Arial Narrow"/>
                <w:sz w:val="20"/>
              </w:rPr>
            </w:pPr>
            <w:r>
              <w:rPr>
                <w:rFonts w:ascii="Arial Narrow" w:hAnsi="Arial Narrow"/>
                <w:smallCaps/>
                <w:sz w:val="20"/>
              </w:rPr>
              <w:t>NIVOLUMAB</w:t>
            </w:r>
          </w:p>
          <w:p w:rsidR="00CC59F4" w:rsidRDefault="00CC59F4">
            <w:pPr>
              <w:keepNext/>
              <w:ind w:left="-108"/>
              <w:rPr>
                <w:rFonts w:ascii="Arial Narrow" w:hAnsi="Arial Narrow"/>
                <w:sz w:val="20"/>
              </w:rPr>
            </w:pPr>
            <w:proofErr w:type="spellStart"/>
            <w:r>
              <w:rPr>
                <w:rFonts w:ascii="Arial Narrow" w:hAnsi="Arial Narrow"/>
                <w:sz w:val="20"/>
              </w:rPr>
              <w:t>nivolumab</w:t>
            </w:r>
            <w:proofErr w:type="spellEnd"/>
            <w:r>
              <w:rPr>
                <w:rFonts w:ascii="Arial Narrow" w:hAnsi="Arial Narrow"/>
                <w:sz w:val="20"/>
              </w:rPr>
              <w:t xml:space="preserve"> 40 mg/4 mL injection, 1 x 4 mL vial</w:t>
            </w:r>
          </w:p>
          <w:p w:rsidR="00BA7437" w:rsidRDefault="00BA7437">
            <w:pPr>
              <w:keepNext/>
              <w:snapToGrid w:val="0"/>
              <w:ind w:left="-108"/>
              <w:rPr>
                <w:rFonts w:ascii="Arial Narrow" w:hAnsi="Arial Narrow"/>
                <w:sz w:val="20"/>
              </w:rPr>
            </w:pPr>
          </w:p>
          <w:p w:rsidR="00BA7437" w:rsidRDefault="00BA7437">
            <w:pPr>
              <w:keepNext/>
              <w:snapToGrid w:val="0"/>
              <w:ind w:left="-108"/>
              <w:rPr>
                <w:rFonts w:ascii="Arial Narrow" w:hAnsi="Arial Narrow"/>
                <w:sz w:val="20"/>
              </w:rPr>
            </w:pPr>
          </w:p>
          <w:p w:rsidR="00BA7437" w:rsidRDefault="00BA7437">
            <w:pPr>
              <w:keepNext/>
              <w:snapToGrid w:val="0"/>
              <w:ind w:left="-108"/>
              <w:rPr>
                <w:rFonts w:ascii="Arial Narrow" w:hAnsi="Arial Narrow"/>
                <w:sz w:val="20"/>
              </w:rPr>
            </w:pPr>
          </w:p>
          <w:p w:rsidR="00CC59F4" w:rsidRDefault="00CC59F4">
            <w:pPr>
              <w:keepNext/>
              <w:snapToGrid w:val="0"/>
              <w:ind w:left="-108"/>
              <w:rPr>
                <w:rFonts w:ascii="Arial Narrow" w:hAnsi="Arial Narrow"/>
                <w:sz w:val="20"/>
              </w:rPr>
            </w:pPr>
            <w:proofErr w:type="spellStart"/>
            <w:r>
              <w:rPr>
                <w:rFonts w:ascii="Arial Narrow" w:hAnsi="Arial Narrow"/>
                <w:sz w:val="20"/>
              </w:rPr>
              <w:t>nivolumab</w:t>
            </w:r>
            <w:proofErr w:type="spellEnd"/>
            <w:r>
              <w:rPr>
                <w:rFonts w:ascii="Arial Narrow" w:hAnsi="Arial Narrow"/>
                <w:sz w:val="20"/>
              </w:rPr>
              <w:t xml:space="preserve"> 100 mg/10 mL injection, 1 x 10 mL vial</w:t>
            </w:r>
          </w:p>
        </w:tc>
        <w:tc>
          <w:tcPr>
            <w:tcW w:w="851" w:type="dxa"/>
          </w:tcPr>
          <w:p w:rsidR="00CC59F4" w:rsidRDefault="00CC59F4">
            <w:pPr>
              <w:keepNext/>
              <w:ind w:left="-108"/>
              <w:rPr>
                <w:rFonts w:ascii="Arial Narrow" w:hAnsi="Arial Narrow"/>
                <w:sz w:val="20"/>
              </w:rPr>
            </w:pPr>
          </w:p>
          <w:p w:rsidR="00CC59F4" w:rsidRDefault="00CC59F4">
            <w:pPr>
              <w:keepNext/>
              <w:snapToGrid w:val="0"/>
              <w:ind w:left="-108"/>
              <w:rPr>
                <w:rFonts w:ascii="Arial Narrow" w:hAnsi="Arial Narrow"/>
                <w:i/>
                <w:sz w:val="20"/>
              </w:rPr>
            </w:pPr>
            <w:r>
              <w:rPr>
                <w:rFonts w:ascii="Arial Narrow" w:hAnsi="Arial Narrow"/>
                <w:i/>
                <w:sz w:val="20"/>
              </w:rPr>
              <w:t>360 mg</w:t>
            </w:r>
          </w:p>
        </w:tc>
        <w:tc>
          <w:tcPr>
            <w:tcW w:w="709" w:type="dxa"/>
          </w:tcPr>
          <w:p w:rsidR="00CC59F4" w:rsidRDefault="00CC59F4">
            <w:pPr>
              <w:keepNext/>
              <w:ind w:left="-108"/>
              <w:rPr>
                <w:rFonts w:ascii="Arial Narrow" w:hAnsi="Arial Narrow"/>
                <w:sz w:val="20"/>
              </w:rPr>
            </w:pPr>
          </w:p>
          <w:p w:rsidR="00CC59F4" w:rsidRDefault="00CC59F4">
            <w:pPr>
              <w:keepNext/>
              <w:snapToGrid w:val="0"/>
              <w:ind w:left="-108"/>
              <w:rPr>
                <w:rFonts w:ascii="Arial Narrow" w:hAnsi="Arial Narrow"/>
                <w:sz w:val="20"/>
              </w:rPr>
            </w:pPr>
            <w:r>
              <w:rPr>
                <w:rFonts w:ascii="Arial Narrow" w:hAnsi="Arial Narrow"/>
                <w:sz w:val="20"/>
              </w:rPr>
              <w:t>3</w:t>
            </w:r>
          </w:p>
        </w:tc>
        <w:tc>
          <w:tcPr>
            <w:tcW w:w="1418" w:type="dxa"/>
          </w:tcPr>
          <w:p w:rsidR="00CC59F4" w:rsidRDefault="00CC59F4">
            <w:pPr>
              <w:keepNext/>
              <w:ind w:left="-108"/>
              <w:rPr>
                <w:rFonts w:ascii="Arial Narrow" w:hAnsi="Arial Narrow"/>
                <w:sz w:val="20"/>
              </w:rPr>
            </w:pPr>
          </w:p>
          <w:p w:rsidR="00101D0B" w:rsidRDefault="00101D0B" w:rsidP="00101D0B">
            <w:pPr>
              <w:keepNext/>
              <w:ind w:left="-109"/>
              <w:jc w:val="left"/>
              <w:rPr>
                <w:rFonts w:ascii="Arial Narrow" w:hAnsi="Arial Narrow"/>
                <w:sz w:val="20"/>
              </w:rPr>
            </w:pPr>
            <w:r>
              <w:rPr>
                <w:rFonts w:ascii="Arial Narrow" w:hAnsi="Arial Narrow"/>
                <w:sz w:val="20"/>
              </w:rPr>
              <w:t>$</w:t>
            </w:r>
            <w:r w:rsidR="006D73F0">
              <w:rPr>
                <w:rFonts w:ascii="Arial Narrow" w:hAnsi="Arial Narrow"/>
                <w:noProof/>
                <w:color w:val="000000"/>
                <w:sz w:val="20"/>
                <w:highlight w:val="black"/>
              </w:rPr>
              <w:t>'''''''''''''''''''''</w:t>
            </w:r>
          </w:p>
          <w:p w:rsidR="00BA7437" w:rsidRDefault="00BA7437" w:rsidP="00101D0B">
            <w:pPr>
              <w:keepNext/>
              <w:ind w:left="-109"/>
              <w:jc w:val="left"/>
              <w:rPr>
                <w:rFonts w:ascii="Arial Narrow" w:hAnsi="Arial Narrow"/>
                <w:sz w:val="20"/>
              </w:rPr>
            </w:pPr>
            <w:r w:rsidRPr="00451A9B">
              <w:rPr>
                <w:rFonts w:ascii="Arial Narrow" w:hAnsi="Arial Narrow"/>
                <w:sz w:val="20"/>
              </w:rPr>
              <w:t>(published price)</w:t>
            </w:r>
          </w:p>
          <w:p w:rsidR="00BA7437" w:rsidRPr="00BA7437" w:rsidRDefault="00BA7437" w:rsidP="00101D0B">
            <w:pPr>
              <w:keepNext/>
              <w:ind w:left="-109"/>
              <w:jc w:val="left"/>
              <w:rPr>
                <w:rFonts w:ascii="Arial Narrow" w:hAnsi="Arial Narrow"/>
                <w:i/>
                <w:sz w:val="20"/>
              </w:rPr>
            </w:pPr>
            <w:r w:rsidRPr="00BA7437">
              <w:rPr>
                <w:rFonts w:ascii="Arial Narrow" w:hAnsi="Arial Narrow"/>
                <w:i/>
                <w:sz w:val="20"/>
              </w:rPr>
              <w:t>TBA</w:t>
            </w:r>
          </w:p>
          <w:p w:rsidR="00BA7437" w:rsidRDefault="00BA7437" w:rsidP="00101D0B">
            <w:pPr>
              <w:keepNext/>
              <w:ind w:left="-109"/>
              <w:jc w:val="left"/>
              <w:rPr>
                <w:rFonts w:ascii="Arial Narrow" w:hAnsi="Arial Narrow"/>
                <w:sz w:val="20"/>
              </w:rPr>
            </w:pPr>
            <w:r>
              <w:rPr>
                <w:rFonts w:ascii="Arial Narrow" w:hAnsi="Arial Narrow"/>
                <w:sz w:val="20"/>
              </w:rPr>
              <w:t>(effective price)</w:t>
            </w:r>
          </w:p>
          <w:p w:rsidR="00101D0B" w:rsidRDefault="00101D0B" w:rsidP="00101D0B">
            <w:pPr>
              <w:keepNext/>
              <w:ind w:left="-109"/>
              <w:jc w:val="left"/>
              <w:rPr>
                <w:rFonts w:ascii="Arial Narrow" w:hAnsi="Arial Narrow"/>
                <w:sz w:val="20"/>
              </w:rPr>
            </w:pPr>
            <w:r>
              <w:rPr>
                <w:rFonts w:ascii="Arial Narrow" w:hAnsi="Arial Narrow"/>
                <w:sz w:val="20"/>
              </w:rPr>
              <w:t>$</w:t>
            </w:r>
            <w:r w:rsidR="006D73F0">
              <w:rPr>
                <w:rFonts w:ascii="Arial Narrow" w:hAnsi="Arial Narrow"/>
                <w:noProof/>
                <w:color w:val="000000"/>
                <w:sz w:val="20"/>
                <w:highlight w:val="black"/>
              </w:rPr>
              <w:t>''''''''''''''''''''''</w:t>
            </w:r>
          </w:p>
          <w:p w:rsidR="00BA7437" w:rsidRDefault="00BA7437" w:rsidP="00101D0B">
            <w:pPr>
              <w:keepNext/>
              <w:ind w:left="-109"/>
              <w:jc w:val="left"/>
              <w:rPr>
                <w:rFonts w:ascii="Arial Narrow" w:hAnsi="Arial Narrow"/>
                <w:sz w:val="20"/>
              </w:rPr>
            </w:pPr>
            <w:r>
              <w:rPr>
                <w:rFonts w:ascii="Arial Narrow" w:hAnsi="Arial Narrow"/>
                <w:sz w:val="20"/>
              </w:rPr>
              <w:t>(published price)</w:t>
            </w:r>
          </w:p>
          <w:p w:rsidR="00BA7437" w:rsidRPr="00BA7437" w:rsidRDefault="00101D0B" w:rsidP="00101D0B">
            <w:pPr>
              <w:keepNext/>
              <w:ind w:left="-109"/>
              <w:jc w:val="left"/>
              <w:rPr>
                <w:rFonts w:ascii="Arial Narrow" w:hAnsi="Arial Narrow"/>
                <w:i/>
                <w:sz w:val="20"/>
              </w:rPr>
            </w:pPr>
            <w:r>
              <w:rPr>
                <w:rFonts w:ascii="Arial Narrow" w:hAnsi="Arial Narrow"/>
                <w:i/>
                <w:sz w:val="20"/>
              </w:rPr>
              <w:t>TBA</w:t>
            </w:r>
          </w:p>
          <w:p w:rsidR="00CC59F4" w:rsidRDefault="00BA7437" w:rsidP="00101D0B">
            <w:pPr>
              <w:keepNext/>
              <w:ind w:left="-109"/>
              <w:jc w:val="left"/>
              <w:rPr>
                <w:rFonts w:ascii="Arial Narrow" w:hAnsi="Arial Narrow"/>
                <w:sz w:val="20"/>
              </w:rPr>
            </w:pPr>
            <w:r>
              <w:rPr>
                <w:rFonts w:ascii="Arial Narrow" w:hAnsi="Arial Narrow"/>
                <w:sz w:val="20"/>
              </w:rPr>
              <w:t>(effective price)</w:t>
            </w:r>
          </w:p>
        </w:tc>
        <w:tc>
          <w:tcPr>
            <w:tcW w:w="993" w:type="dxa"/>
            <w:hideMark/>
          </w:tcPr>
          <w:p w:rsidR="00CC59F4" w:rsidRDefault="00CC59F4">
            <w:pPr>
              <w:keepNext/>
              <w:snapToGrid w:val="0"/>
              <w:rPr>
                <w:rFonts w:ascii="Arial Narrow" w:hAnsi="Arial Narrow"/>
                <w:sz w:val="20"/>
              </w:rPr>
            </w:pPr>
            <w:proofErr w:type="spellStart"/>
            <w:r>
              <w:rPr>
                <w:rFonts w:ascii="Arial Narrow" w:hAnsi="Arial Narrow"/>
                <w:sz w:val="20"/>
              </w:rPr>
              <w:t>Opdivo</w:t>
            </w:r>
            <w:proofErr w:type="spellEnd"/>
          </w:p>
        </w:tc>
        <w:tc>
          <w:tcPr>
            <w:tcW w:w="565" w:type="dxa"/>
            <w:hideMark/>
          </w:tcPr>
          <w:p w:rsidR="00CC59F4" w:rsidRDefault="00CC59F4">
            <w:pPr>
              <w:keepNext/>
              <w:snapToGrid w:val="0"/>
              <w:rPr>
                <w:rFonts w:ascii="Arial Narrow" w:hAnsi="Arial Narrow"/>
                <w:sz w:val="20"/>
              </w:rPr>
            </w:pPr>
            <w:r>
              <w:rPr>
                <w:rFonts w:ascii="Arial Narrow" w:hAnsi="Arial Narrow"/>
                <w:sz w:val="20"/>
              </w:rPr>
              <w:t>BQ</w:t>
            </w:r>
          </w:p>
        </w:tc>
      </w:tr>
      <w:tr w:rsidR="00CC59F4" w:rsidTr="00CC59F4">
        <w:trPr>
          <w:cantSplit/>
          <w:trHeight w:val="360"/>
        </w:trPr>
        <w:tc>
          <w:tcPr>
            <w:tcW w:w="8363" w:type="dxa"/>
            <w:gridSpan w:val="7"/>
            <w:tcBorders>
              <w:top w:val="nil"/>
              <w:left w:val="nil"/>
              <w:bottom w:val="single" w:sz="4" w:space="0" w:color="auto"/>
              <w:right w:val="nil"/>
            </w:tcBorders>
          </w:tcPr>
          <w:p w:rsidR="00CC59F4" w:rsidRDefault="00CC59F4">
            <w:pPr>
              <w:snapToGrid w:val="0"/>
              <w:rPr>
                <w:rFonts w:ascii="Arial Narrow" w:hAnsi="Arial Narrow"/>
                <w:sz w:val="20"/>
              </w:rPr>
            </w:pP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Category / Program</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r>
              <w:rPr>
                <w:rFonts w:ascii="Arial Narrow" w:hAnsi="Arial Narrow"/>
                <w:sz w:val="20"/>
              </w:rPr>
              <w:t>Section 100 – Efficient Funding of Chemotherapy</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Prescriber type:</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4D5DA3" w:rsidP="002F37FB">
            <w:pPr>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 xml:space="preserve">Nurse practitioners  </w:t>
            </w:r>
            <w:r>
              <w:rPr>
                <w:rFonts w:ascii="Arial Narrow" w:hAnsi="Arial Narrow"/>
                <w:sz w:val="20"/>
              </w:rPr>
              <w:fldChar w:fldCharType="begin">
                <w:ffData>
                  <w:name w:val=""/>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Optometrists</w:t>
            </w:r>
            <w:r w:rsidR="00217855">
              <w:rPr>
                <w:rFonts w:ascii="Arial Narrow" w:hAnsi="Arial Narrow"/>
                <w:sz w:val="20"/>
              </w:rPr>
              <w:t xml:space="preserve">  </w:t>
            </w:r>
            <w:r>
              <w:rPr>
                <w:rFonts w:ascii="Arial Narrow" w:hAnsi="Arial Narrow"/>
                <w:sz w:val="20"/>
              </w:rPr>
              <w:fldChar w:fldCharType="begin">
                <w:ffData>
                  <w:name w:val="Check5"/>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Midwives</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Episodicity:</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r>
              <w:rPr>
                <w:rFonts w:ascii="Arial Narrow" w:hAnsi="Arial Narrow"/>
                <w:sz w:val="20"/>
              </w:rPr>
              <w:t>-</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Severity:</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proofErr w:type="spellStart"/>
            <w:r>
              <w:rPr>
                <w:rFonts w:ascii="Arial Narrow" w:hAnsi="Arial Narrow"/>
                <w:sz w:val="20"/>
              </w:rPr>
              <w:t>Unresectable</w:t>
            </w:r>
            <w:proofErr w:type="spellEnd"/>
            <w:r>
              <w:rPr>
                <w:rFonts w:ascii="Arial Narrow" w:hAnsi="Arial Narrow"/>
                <w:sz w:val="20"/>
              </w:rPr>
              <w:t xml:space="preserve"> Stage III or Stage IV</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Condition:</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r>
              <w:rPr>
                <w:rFonts w:ascii="Arial Narrow" w:hAnsi="Arial Narrow"/>
                <w:sz w:val="20"/>
              </w:rPr>
              <w:t>Malignant melanoma</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lastRenderedPageBreak/>
              <w:t>PBS Indication:</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proofErr w:type="spellStart"/>
            <w:r>
              <w:rPr>
                <w:rFonts w:ascii="Arial Narrow" w:hAnsi="Arial Narrow"/>
                <w:sz w:val="20"/>
              </w:rPr>
              <w:t>Unresectable</w:t>
            </w:r>
            <w:proofErr w:type="spellEnd"/>
            <w:r>
              <w:rPr>
                <w:rFonts w:ascii="Arial Narrow" w:hAnsi="Arial Narrow"/>
                <w:sz w:val="20"/>
              </w:rPr>
              <w:t xml:space="preserve"> Stage III or Stage IV malignant melanoma</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Treatment phase:</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i/>
                <w:sz w:val="20"/>
              </w:rPr>
            </w:pPr>
            <w:r>
              <w:rPr>
                <w:rFonts w:ascii="Arial Narrow" w:hAnsi="Arial Narrow"/>
                <w:i/>
                <w:sz w:val="20"/>
              </w:rPr>
              <w:t>Continuing (single) phase</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Restriction Level / Method:</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4D5DA3">
            <w:pPr>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Restricted benefit</w:t>
            </w:r>
          </w:p>
          <w:p w:rsidR="00CC59F4" w:rsidRDefault="004D5DA3">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Authority Required - In Writing</w:t>
            </w:r>
          </w:p>
          <w:p w:rsidR="00CC59F4" w:rsidRDefault="004D5DA3">
            <w:pPr>
              <w:rPr>
                <w:rFonts w:ascii="Arial Narrow" w:hAnsi="Arial Narrow"/>
                <w:sz w:val="20"/>
              </w:rPr>
            </w:pPr>
            <w:r>
              <w:rPr>
                <w:rFonts w:ascii="Arial Narrow" w:hAnsi="Arial Narrow"/>
                <w:sz w:val="20"/>
              </w:rPr>
              <w:fldChar w:fldCharType="begin">
                <w:ffData>
                  <w:name w:val="Check3"/>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Authority Required - Telephone</w:t>
            </w:r>
          </w:p>
          <w:p w:rsidR="00CC59F4" w:rsidRDefault="004D5DA3">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Authority Required – Emergency</w:t>
            </w:r>
          </w:p>
          <w:p w:rsidR="00CC59F4" w:rsidRDefault="004D5DA3">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Authority Required - Electronic</w:t>
            </w:r>
          </w:p>
          <w:p w:rsidR="00CC59F4" w:rsidRDefault="004D5DA3">
            <w:pPr>
              <w:snapToGrid w:val="0"/>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Streamlined</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Clinical criteria:</w:t>
            </w:r>
          </w:p>
        </w:tc>
        <w:tc>
          <w:tcPr>
            <w:tcW w:w="5811" w:type="dxa"/>
            <w:gridSpan w:val="6"/>
            <w:tcBorders>
              <w:top w:val="single" w:sz="4" w:space="0" w:color="auto"/>
              <w:left w:val="single" w:sz="4" w:space="0" w:color="auto"/>
              <w:bottom w:val="single" w:sz="4" w:space="0" w:color="auto"/>
              <w:right w:val="single" w:sz="4" w:space="0" w:color="auto"/>
            </w:tcBorders>
          </w:tcPr>
          <w:p w:rsidR="00CC59F4" w:rsidRDefault="00CC59F4">
            <w:pPr>
              <w:rPr>
                <w:rFonts w:ascii="Arial Narrow" w:hAnsi="Arial Narrow"/>
                <w:i/>
                <w:sz w:val="20"/>
              </w:rPr>
            </w:pPr>
            <w:r>
              <w:rPr>
                <w:rFonts w:ascii="Arial Narrow" w:hAnsi="Arial Narrow"/>
                <w:i/>
                <w:sz w:val="20"/>
              </w:rPr>
              <w:t>Patient must have previously been issued with an authority prescription for this drug for this condition</w:t>
            </w:r>
          </w:p>
          <w:p w:rsidR="00CC59F4" w:rsidRDefault="00CC59F4">
            <w:pPr>
              <w:rPr>
                <w:rFonts w:ascii="Arial Narrow" w:hAnsi="Arial Narrow"/>
                <w:i/>
                <w:sz w:val="20"/>
              </w:rPr>
            </w:pPr>
          </w:p>
          <w:p w:rsidR="00CC59F4" w:rsidRDefault="00CC59F4">
            <w:pPr>
              <w:rPr>
                <w:rFonts w:ascii="Arial Narrow" w:hAnsi="Arial Narrow"/>
                <w:i/>
                <w:sz w:val="20"/>
              </w:rPr>
            </w:pPr>
            <w:r>
              <w:rPr>
                <w:rFonts w:ascii="Arial Narrow" w:hAnsi="Arial Narrow"/>
                <w:i/>
                <w:sz w:val="20"/>
              </w:rPr>
              <w:t>AND</w:t>
            </w:r>
          </w:p>
          <w:p w:rsidR="00CC59F4" w:rsidRDefault="00CC59F4">
            <w:pPr>
              <w:rPr>
                <w:rFonts w:ascii="Arial Narrow" w:hAnsi="Arial Narrow"/>
                <w:i/>
                <w:sz w:val="20"/>
              </w:rPr>
            </w:pPr>
          </w:p>
          <w:p w:rsidR="00CC59F4" w:rsidRDefault="00CC59F4">
            <w:pPr>
              <w:rPr>
                <w:rFonts w:ascii="Arial Narrow" w:hAnsi="Arial Narrow"/>
                <w:i/>
                <w:sz w:val="20"/>
              </w:rPr>
            </w:pPr>
            <w:r>
              <w:rPr>
                <w:rFonts w:ascii="Arial Narrow" w:hAnsi="Arial Narrow"/>
                <w:i/>
                <w:sz w:val="20"/>
              </w:rPr>
              <w:t>Patient must have stable or responding disease</w:t>
            </w:r>
          </w:p>
          <w:p w:rsidR="00CC59F4" w:rsidRDefault="00CC59F4">
            <w:pPr>
              <w:rPr>
                <w:rFonts w:ascii="Arial Narrow" w:hAnsi="Arial Narrow"/>
                <w:i/>
                <w:sz w:val="20"/>
              </w:rPr>
            </w:pPr>
          </w:p>
          <w:p w:rsidR="00CC59F4" w:rsidRDefault="00CC59F4">
            <w:pPr>
              <w:rPr>
                <w:rFonts w:ascii="Arial Narrow" w:hAnsi="Arial Narrow"/>
                <w:i/>
                <w:sz w:val="20"/>
              </w:rPr>
            </w:pPr>
            <w:r>
              <w:rPr>
                <w:rFonts w:ascii="Arial Narrow" w:hAnsi="Arial Narrow"/>
                <w:i/>
                <w:sz w:val="20"/>
              </w:rPr>
              <w:t>AND</w:t>
            </w:r>
          </w:p>
          <w:p w:rsidR="00CC59F4" w:rsidRDefault="00CC59F4">
            <w:pPr>
              <w:rPr>
                <w:rFonts w:ascii="Arial Narrow" w:hAnsi="Arial Narrow"/>
                <w:i/>
                <w:sz w:val="20"/>
              </w:rPr>
            </w:pPr>
          </w:p>
          <w:p w:rsidR="00CC59F4" w:rsidRDefault="00CC59F4">
            <w:pPr>
              <w:snapToGrid w:val="0"/>
              <w:rPr>
                <w:rFonts w:ascii="Arial Narrow" w:hAnsi="Arial Narrow"/>
                <w:i/>
                <w:sz w:val="20"/>
              </w:rPr>
            </w:pPr>
            <w:r>
              <w:rPr>
                <w:rFonts w:ascii="Arial Narrow" w:hAnsi="Arial Narrow"/>
                <w:i/>
                <w:sz w:val="20"/>
              </w:rPr>
              <w:t>The treatment must not exceed a maximum dose of 3 mg per kg every 2 weeks.</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Prescriber Instructions</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r>
              <w:rPr>
                <w:rFonts w:ascii="Arial Narrow" w:hAnsi="Arial Narrow"/>
                <w:sz w:val="20"/>
              </w:rPr>
              <w:t>The patient’s body weight must be documented in the patient’s medical records at the time treatment is initiated.</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Administrative Advice</w:t>
            </w:r>
          </w:p>
        </w:tc>
        <w:tc>
          <w:tcPr>
            <w:tcW w:w="5811" w:type="dxa"/>
            <w:gridSpan w:val="6"/>
            <w:tcBorders>
              <w:top w:val="single" w:sz="4" w:space="0" w:color="auto"/>
              <w:left w:val="single" w:sz="4" w:space="0" w:color="auto"/>
              <w:bottom w:val="single" w:sz="4" w:space="0" w:color="auto"/>
              <w:right w:val="single" w:sz="4" w:space="0" w:color="auto"/>
            </w:tcBorders>
          </w:tcPr>
          <w:p w:rsidR="00CC59F4" w:rsidRDefault="00CC59F4">
            <w:pPr>
              <w:rPr>
                <w:rFonts w:ascii="Arial Narrow" w:hAnsi="Arial Narrow"/>
                <w:i/>
                <w:sz w:val="20"/>
              </w:rPr>
            </w:pPr>
            <w:r>
              <w:rPr>
                <w:rFonts w:ascii="Arial Narrow" w:hAnsi="Arial Narrow"/>
                <w:i/>
                <w:sz w:val="20"/>
              </w:rPr>
              <w:t>No increase in the maximum number of repeats may be authorised.</w:t>
            </w:r>
          </w:p>
          <w:p w:rsidR="00CC59F4" w:rsidRDefault="00CC59F4">
            <w:pPr>
              <w:rPr>
                <w:rFonts w:ascii="Arial Narrow" w:hAnsi="Arial Narrow"/>
                <w:i/>
                <w:sz w:val="20"/>
              </w:rPr>
            </w:pPr>
          </w:p>
          <w:p w:rsidR="00CC59F4" w:rsidRDefault="00CC59F4">
            <w:pPr>
              <w:snapToGrid w:val="0"/>
              <w:rPr>
                <w:rFonts w:ascii="Arial Narrow" w:hAnsi="Arial Narrow"/>
                <w:i/>
                <w:sz w:val="20"/>
              </w:rPr>
            </w:pPr>
            <w:r>
              <w:rPr>
                <w:rFonts w:ascii="Arial Narrow" w:hAnsi="Arial Narrow"/>
                <w:i/>
                <w:sz w:val="20"/>
              </w:rPr>
              <w:t>Special Pricing Arrangements apply.</w:t>
            </w:r>
          </w:p>
        </w:tc>
      </w:tr>
    </w:tbl>
    <w:p w:rsidR="00CC59F4" w:rsidRPr="002F37FB" w:rsidRDefault="00CC59F4" w:rsidP="00AF0595">
      <w:pPr>
        <w:pStyle w:val="BodyText"/>
      </w:pPr>
    </w:p>
    <w:tbl>
      <w:tblPr>
        <w:tblW w:w="8363" w:type="dxa"/>
        <w:tblInd w:w="817" w:type="dxa"/>
        <w:tblLayout w:type="fixed"/>
        <w:tblLook w:val="04A0" w:firstRow="1" w:lastRow="0" w:firstColumn="1" w:lastColumn="0" w:noHBand="0" w:noVBand="1"/>
        <w:tblCaption w:val="Requested listing - induction (combination) phase"/>
      </w:tblPr>
      <w:tblGrid>
        <w:gridCol w:w="2552"/>
        <w:gridCol w:w="1417"/>
        <w:gridCol w:w="709"/>
        <w:gridCol w:w="709"/>
        <w:gridCol w:w="1417"/>
        <w:gridCol w:w="851"/>
        <w:gridCol w:w="708"/>
      </w:tblGrid>
      <w:tr w:rsidR="003F55C0" w:rsidTr="00101D0B">
        <w:trPr>
          <w:cantSplit/>
          <w:trHeight w:val="471"/>
        </w:trPr>
        <w:tc>
          <w:tcPr>
            <w:tcW w:w="3969" w:type="dxa"/>
            <w:gridSpan w:val="2"/>
            <w:tcBorders>
              <w:top w:val="nil"/>
              <w:left w:val="nil"/>
              <w:bottom w:val="single" w:sz="4" w:space="0" w:color="auto"/>
              <w:right w:val="nil"/>
            </w:tcBorders>
            <w:hideMark/>
          </w:tcPr>
          <w:p w:rsidR="00CC59F4" w:rsidRDefault="00CC59F4">
            <w:pPr>
              <w:keepNext/>
              <w:ind w:left="-108"/>
              <w:rPr>
                <w:rFonts w:ascii="Arial Narrow" w:hAnsi="Arial Narrow"/>
                <w:sz w:val="20"/>
              </w:rPr>
            </w:pPr>
            <w:r>
              <w:rPr>
                <w:rFonts w:ascii="Arial Narrow" w:hAnsi="Arial Narrow"/>
                <w:sz w:val="20"/>
              </w:rPr>
              <w:t>Name, Restriction,</w:t>
            </w:r>
          </w:p>
          <w:p w:rsidR="00CC59F4" w:rsidRDefault="00CC59F4">
            <w:pPr>
              <w:keepNext/>
              <w:snapToGrid w:val="0"/>
              <w:ind w:left="-108"/>
              <w:rPr>
                <w:rFonts w:ascii="Arial Narrow" w:hAnsi="Arial Narrow"/>
                <w:sz w:val="20"/>
              </w:rPr>
            </w:pPr>
            <w:r>
              <w:rPr>
                <w:rFonts w:ascii="Arial Narrow" w:hAnsi="Arial Narrow"/>
                <w:sz w:val="20"/>
              </w:rPr>
              <w:t>Manner of administration and form</w:t>
            </w:r>
          </w:p>
        </w:tc>
        <w:tc>
          <w:tcPr>
            <w:tcW w:w="709" w:type="dxa"/>
            <w:tcBorders>
              <w:top w:val="nil"/>
              <w:left w:val="nil"/>
              <w:bottom w:val="single" w:sz="4" w:space="0" w:color="auto"/>
              <w:right w:val="nil"/>
            </w:tcBorders>
            <w:hideMark/>
          </w:tcPr>
          <w:p w:rsidR="00CC59F4" w:rsidRDefault="00CC59F4">
            <w:pPr>
              <w:keepNext/>
              <w:ind w:left="-108"/>
              <w:rPr>
                <w:rFonts w:ascii="Arial Narrow" w:hAnsi="Arial Narrow"/>
                <w:sz w:val="20"/>
              </w:rPr>
            </w:pPr>
            <w:r>
              <w:rPr>
                <w:rFonts w:ascii="Arial Narrow" w:hAnsi="Arial Narrow"/>
                <w:sz w:val="20"/>
              </w:rPr>
              <w:t>Max.</w:t>
            </w:r>
          </w:p>
          <w:p w:rsidR="00CC59F4" w:rsidRDefault="00CC59F4">
            <w:pPr>
              <w:keepNext/>
              <w:snapToGrid w:val="0"/>
              <w:ind w:left="-108"/>
              <w:rPr>
                <w:rFonts w:ascii="Arial Narrow" w:hAnsi="Arial Narrow"/>
                <w:sz w:val="20"/>
              </w:rPr>
            </w:pPr>
            <w:r>
              <w:rPr>
                <w:rFonts w:ascii="Arial Narrow" w:hAnsi="Arial Narrow"/>
                <w:sz w:val="20"/>
              </w:rPr>
              <w:t>amount</w:t>
            </w:r>
          </w:p>
        </w:tc>
        <w:tc>
          <w:tcPr>
            <w:tcW w:w="709" w:type="dxa"/>
            <w:tcBorders>
              <w:top w:val="nil"/>
              <w:left w:val="nil"/>
              <w:bottom w:val="single" w:sz="4" w:space="0" w:color="auto"/>
              <w:right w:val="nil"/>
            </w:tcBorders>
            <w:hideMark/>
          </w:tcPr>
          <w:p w:rsidR="00CC59F4" w:rsidRDefault="00CC59F4">
            <w:pPr>
              <w:keepNext/>
              <w:ind w:left="-108"/>
              <w:rPr>
                <w:rFonts w:ascii="Arial Narrow" w:hAnsi="Arial Narrow"/>
                <w:sz w:val="20"/>
              </w:rPr>
            </w:pPr>
            <w:r>
              <w:rPr>
                <w:rFonts w:ascii="Arial Narrow" w:hAnsi="Arial Narrow"/>
                <w:sz w:val="20"/>
              </w:rPr>
              <w:t>№.of</w:t>
            </w:r>
          </w:p>
          <w:p w:rsidR="00CC59F4" w:rsidRDefault="00CC59F4">
            <w:pPr>
              <w:keepNext/>
              <w:snapToGrid w:val="0"/>
              <w:ind w:left="-108"/>
              <w:rPr>
                <w:rFonts w:ascii="Arial Narrow" w:hAnsi="Arial Narrow"/>
                <w:sz w:val="20"/>
              </w:rPr>
            </w:pPr>
            <w:r>
              <w:rPr>
                <w:rFonts w:ascii="Arial Narrow" w:hAnsi="Arial Narrow"/>
                <w:sz w:val="20"/>
              </w:rPr>
              <w:t>Rpts</w:t>
            </w:r>
          </w:p>
        </w:tc>
        <w:tc>
          <w:tcPr>
            <w:tcW w:w="1417" w:type="dxa"/>
            <w:tcBorders>
              <w:top w:val="nil"/>
              <w:left w:val="nil"/>
              <w:bottom w:val="single" w:sz="4" w:space="0" w:color="auto"/>
              <w:right w:val="nil"/>
            </w:tcBorders>
            <w:hideMark/>
          </w:tcPr>
          <w:p w:rsidR="00CC59F4" w:rsidRDefault="00BA7437">
            <w:pPr>
              <w:keepNext/>
              <w:snapToGrid w:val="0"/>
              <w:ind w:left="-108"/>
              <w:rPr>
                <w:rFonts w:ascii="Arial Narrow" w:hAnsi="Arial Narrow"/>
                <w:sz w:val="20"/>
              </w:rPr>
            </w:pPr>
            <w:r>
              <w:rPr>
                <w:rFonts w:ascii="Arial Narrow" w:hAnsi="Arial Narrow"/>
                <w:sz w:val="20"/>
              </w:rPr>
              <w:t>Ex-manufacturer price</w:t>
            </w:r>
          </w:p>
        </w:tc>
        <w:tc>
          <w:tcPr>
            <w:tcW w:w="1559" w:type="dxa"/>
            <w:gridSpan w:val="2"/>
            <w:tcBorders>
              <w:top w:val="nil"/>
              <w:left w:val="nil"/>
              <w:bottom w:val="single" w:sz="4" w:space="0" w:color="auto"/>
              <w:right w:val="nil"/>
            </w:tcBorders>
            <w:hideMark/>
          </w:tcPr>
          <w:p w:rsidR="00CC59F4" w:rsidRDefault="00CC59F4">
            <w:pPr>
              <w:keepNext/>
              <w:snapToGrid w:val="0"/>
              <w:rPr>
                <w:rFonts w:ascii="Arial Narrow" w:hAnsi="Arial Narrow"/>
                <w:sz w:val="20"/>
                <w:lang w:val="fr-FR"/>
              </w:rPr>
            </w:pPr>
            <w:r>
              <w:rPr>
                <w:rFonts w:ascii="Arial Narrow" w:hAnsi="Arial Narrow"/>
                <w:sz w:val="20"/>
              </w:rPr>
              <w:t>Proprietary Name and Manufacturer</w:t>
            </w:r>
          </w:p>
        </w:tc>
      </w:tr>
      <w:tr w:rsidR="003F55C0" w:rsidTr="00101D0B">
        <w:trPr>
          <w:cantSplit/>
          <w:trHeight w:val="577"/>
        </w:trPr>
        <w:tc>
          <w:tcPr>
            <w:tcW w:w="3969" w:type="dxa"/>
            <w:gridSpan w:val="2"/>
            <w:hideMark/>
          </w:tcPr>
          <w:p w:rsidR="00CC59F4" w:rsidRDefault="00CC59F4">
            <w:pPr>
              <w:keepNext/>
              <w:ind w:left="-108"/>
              <w:rPr>
                <w:rFonts w:ascii="Arial Narrow" w:hAnsi="Arial Narrow"/>
                <w:sz w:val="20"/>
              </w:rPr>
            </w:pPr>
            <w:r>
              <w:rPr>
                <w:rFonts w:ascii="Arial Narrow" w:hAnsi="Arial Narrow"/>
                <w:smallCaps/>
                <w:sz w:val="20"/>
              </w:rPr>
              <w:t>IPILIMUMAB</w:t>
            </w:r>
          </w:p>
          <w:p w:rsidR="00CC59F4" w:rsidRDefault="00CC59F4">
            <w:pPr>
              <w:keepNext/>
              <w:ind w:left="-108"/>
              <w:rPr>
                <w:rFonts w:ascii="Arial Narrow" w:hAnsi="Arial Narrow"/>
                <w:sz w:val="20"/>
              </w:rPr>
            </w:pPr>
            <w:r>
              <w:rPr>
                <w:rFonts w:ascii="Arial Narrow" w:hAnsi="Arial Narrow"/>
                <w:sz w:val="20"/>
              </w:rPr>
              <w:t>ipilimumab 200 mg/40 mL injection, 1 x 40 mL vial</w:t>
            </w:r>
          </w:p>
          <w:p w:rsidR="00BA7437" w:rsidRDefault="00BA7437">
            <w:pPr>
              <w:keepNext/>
              <w:snapToGrid w:val="0"/>
              <w:ind w:left="-108"/>
              <w:rPr>
                <w:rFonts w:ascii="Arial Narrow" w:hAnsi="Arial Narrow"/>
                <w:sz w:val="20"/>
              </w:rPr>
            </w:pPr>
          </w:p>
          <w:p w:rsidR="00101D0B" w:rsidRDefault="00101D0B">
            <w:pPr>
              <w:keepNext/>
              <w:snapToGrid w:val="0"/>
              <w:ind w:left="-108"/>
              <w:rPr>
                <w:rFonts w:ascii="Arial Narrow" w:hAnsi="Arial Narrow"/>
                <w:sz w:val="20"/>
              </w:rPr>
            </w:pPr>
          </w:p>
          <w:p w:rsidR="00CC59F4" w:rsidRDefault="00CC59F4">
            <w:pPr>
              <w:keepNext/>
              <w:snapToGrid w:val="0"/>
              <w:ind w:left="-108"/>
              <w:rPr>
                <w:rFonts w:ascii="Arial Narrow" w:hAnsi="Arial Narrow"/>
                <w:sz w:val="20"/>
              </w:rPr>
            </w:pPr>
            <w:r>
              <w:rPr>
                <w:rFonts w:ascii="Arial Narrow" w:hAnsi="Arial Narrow"/>
                <w:sz w:val="20"/>
              </w:rPr>
              <w:t>ipilimumab 50 mg/10 mL injection, 1 x 10 mL vial</w:t>
            </w:r>
          </w:p>
        </w:tc>
        <w:tc>
          <w:tcPr>
            <w:tcW w:w="709" w:type="dxa"/>
          </w:tcPr>
          <w:p w:rsidR="00CC59F4" w:rsidRDefault="00CC59F4">
            <w:pPr>
              <w:keepNext/>
              <w:ind w:left="-108"/>
              <w:rPr>
                <w:rFonts w:ascii="Arial Narrow" w:hAnsi="Arial Narrow"/>
                <w:sz w:val="20"/>
              </w:rPr>
            </w:pPr>
          </w:p>
          <w:p w:rsidR="00CC59F4" w:rsidRDefault="00CC59F4">
            <w:pPr>
              <w:keepNext/>
              <w:snapToGrid w:val="0"/>
              <w:ind w:left="-108"/>
              <w:rPr>
                <w:rFonts w:ascii="Arial Narrow" w:hAnsi="Arial Narrow"/>
                <w:sz w:val="20"/>
              </w:rPr>
            </w:pPr>
            <w:r>
              <w:rPr>
                <w:rFonts w:ascii="Arial Narrow" w:hAnsi="Arial Narrow"/>
                <w:sz w:val="20"/>
              </w:rPr>
              <w:t>360 mg</w:t>
            </w:r>
          </w:p>
        </w:tc>
        <w:tc>
          <w:tcPr>
            <w:tcW w:w="709" w:type="dxa"/>
          </w:tcPr>
          <w:p w:rsidR="00CC59F4" w:rsidRDefault="00CC59F4">
            <w:pPr>
              <w:keepNext/>
              <w:ind w:left="-108"/>
              <w:rPr>
                <w:rFonts w:ascii="Arial Narrow" w:hAnsi="Arial Narrow"/>
                <w:sz w:val="20"/>
              </w:rPr>
            </w:pPr>
          </w:p>
          <w:p w:rsidR="00CC59F4" w:rsidRDefault="00CC59F4">
            <w:pPr>
              <w:keepNext/>
              <w:snapToGrid w:val="0"/>
              <w:ind w:left="-108"/>
              <w:rPr>
                <w:rFonts w:ascii="Arial Narrow" w:hAnsi="Arial Narrow"/>
                <w:sz w:val="20"/>
              </w:rPr>
            </w:pPr>
            <w:r>
              <w:rPr>
                <w:rFonts w:ascii="Arial Narrow" w:hAnsi="Arial Narrow"/>
                <w:sz w:val="20"/>
              </w:rPr>
              <w:t>3</w:t>
            </w:r>
          </w:p>
        </w:tc>
        <w:tc>
          <w:tcPr>
            <w:tcW w:w="1417" w:type="dxa"/>
          </w:tcPr>
          <w:p w:rsidR="00CC59F4" w:rsidRDefault="00CC59F4">
            <w:pPr>
              <w:keepNext/>
              <w:ind w:left="-108"/>
              <w:rPr>
                <w:rFonts w:ascii="Arial Narrow" w:hAnsi="Arial Narrow"/>
                <w:sz w:val="20"/>
              </w:rPr>
            </w:pPr>
          </w:p>
          <w:p w:rsidR="003F55C0" w:rsidRDefault="00101D0B" w:rsidP="00101D0B">
            <w:pPr>
              <w:keepNext/>
              <w:ind w:left="-108"/>
              <w:rPr>
                <w:rFonts w:ascii="Arial Narrow" w:hAnsi="Arial Narrow"/>
                <w:sz w:val="20"/>
              </w:rPr>
            </w:pPr>
            <w:r>
              <w:rPr>
                <w:rFonts w:ascii="Arial Narrow" w:hAnsi="Arial Narrow"/>
                <w:sz w:val="20"/>
              </w:rPr>
              <w:t>$</w:t>
            </w:r>
            <w:r w:rsidR="006D73F0">
              <w:rPr>
                <w:rFonts w:ascii="Arial Narrow" w:hAnsi="Arial Narrow"/>
                <w:noProof/>
                <w:color w:val="000000"/>
                <w:sz w:val="20"/>
                <w:highlight w:val="black"/>
              </w:rPr>
              <w:t>'''''''''''''''''''''''''</w:t>
            </w:r>
          </w:p>
          <w:p w:rsidR="00CC59F4" w:rsidRDefault="00CC59F4" w:rsidP="00101D0B">
            <w:pPr>
              <w:keepNext/>
              <w:ind w:left="-108"/>
              <w:rPr>
                <w:rFonts w:ascii="Arial Narrow" w:hAnsi="Arial Narrow"/>
                <w:sz w:val="20"/>
              </w:rPr>
            </w:pPr>
            <w:r>
              <w:rPr>
                <w:rFonts w:ascii="Arial Narrow" w:hAnsi="Arial Narrow"/>
                <w:sz w:val="20"/>
              </w:rPr>
              <w:t>(published price)</w:t>
            </w:r>
          </w:p>
          <w:p w:rsidR="003F55C0" w:rsidRDefault="00CC59F4" w:rsidP="00101D0B">
            <w:pPr>
              <w:keepNext/>
              <w:ind w:left="-108"/>
              <w:rPr>
                <w:rFonts w:ascii="Arial Narrow" w:hAnsi="Arial Narrow"/>
                <w:sz w:val="20"/>
              </w:rPr>
            </w:pPr>
            <w:r>
              <w:rPr>
                <w:rFonts w:ascii="Arial Narrow" w:hAnsi="Arial Narrow"/>
                <w:sz w:val="20"/>
              </w:rPr>
              <w:t>$</w:t>
            </w:r>
            <w:r w:rsidR="006D73F0">
              <w:rPr>
                <w:rFonts w:ascii="Arial Narrow" w:hAnsi="Arial Narrow"/>
                <w:noProof/>
                <w:color w:val="000000"/>
                <w:sz w:val="20"/>
                <w:highlight w:val="black"/>
              </w:rPr>
              <w:t>'''''''''''''''''''''''</w:t>
            </w:r>
          </w:p>
          <w:p w:rsidR="00CC59F4" w:rsidRDefault="00CC59F4" w:rsidP="00101D0B">
            <w:pPr>
              <w:keepNext/>
              <w:ind w:left="-108"/>
              <w:rPr>
                <w:rFonts w:ascii="Arial Narrow" w:hAnsi="Arial Narrow"/>
                <w:sz w:val="20"/>
              </w:rPr>
            </w:pPr>
            <w:r>
              <w:rPr>
                <w:rFonts w:ascii="Arial Narrow" w:hAnsi="Arial Narrow"/>
                <w:sz w:val="20"/>
              </w:rPr>
              <w:t>(effective price)</w:t>
            </w:r>
          </w:p>
          <w:p w:rsidR="003F55C0" w:rsidRDefault="00101D0B" w:rsidP="00101D0B">
            <w:pPr>
              <w:keepNext/>
              <w:ind w:left="-108"/>
              <w:rPr>
                <w:rFonts w:ascii="Arial Narrow" w:hAnsi="Arial Narrow"/>
                <w:sz w:val="20"/>
              </w:rPr>
            </w:pPr>
            <w:r>
              <w:rPr>
                <w:rFonts w:ascii="Arial Narrow" w:hAnsi="Arial Narrow"/>
                <w:sz w:val="20"/>
              </w:rPr>
              <w:t>$</w:t>
            </w:r>
            <w:r w:rsidR="006D73F0">
              <w:rPr>
                <w:rFonts w:ascii="Arial Narrow" w:hAnsi="Arial Narrow"/>
                <w:noProof/>
                <w:color w:val="000000"/>
                <w:sz w:val="20"/>
                <w:highlight w:val="black"/>
              </w:rPr>
              <w:t>'''''''''''''''''''''</w:t>
            </w:r>
          </w:p>
          <w:p w:rsidR="00CC59F4" w:rsidRDefault="00CC59F4" w:rsidP="00101D0B">
            <w:pPr>
              <w:keepNext/>
              <w:ind w:left="-108"/>
              <w:rPr>
                <w:rFonts w:ascii="Arial Narrow" w:hAnsi="Arial Narrow"/>
                <w:sz w:val="20"/>
              </w:rPr>
            </w:pPr>
            <w:r>
              <w:rPr>
                <w:rFonts w:ascii="Arial Narrow" w:hAnsi="Arial Narrow"/>
                <w:sz w:val="20"/>
              </w:rPr>
              <w:t>(published price)</w:t>
            </w:r>
          </w:p>
          <w:p w:rsidR="003F55C0" w:rsidRDefault="00BA7437" w:rsidP="00101D0B">
            <w:pPr>
              <w:keepNext/>
              <w:ind w:left="-108"/>
              <w:rPr>
                <w:rFonts w:ascii="Arial Narrow" w:hAnsi="Arial Narrow"/>
                <w:sz w:val="20"/>
              </w:rPr>
            </w:pPr>
            <w:r>
              <w:rPr>
                <w:rFonts w:ascii="Arial Narrow" w:hAnsi="Arial Narrow"/>
                <w:sz w:val="20"/>
              </w:rPr>
              <w:t>$</w:t>
            </w:r>
            <w:r w:rsidR="006D73F0">
              <w:rPr>
                <w:rFonts w:ascii="Arial Narrow" w:hAnsi="Arial Narrow"/>
                <w:noProof/>
                <w:color w:val="000000"/>
                <w:sz w:val="20"/>
                <w:highlight w:val="black"/>
              </w:rPr>
              <w:t>'''''''''''''''''''</w:t>
            </w:r>
          </w:p>
          <w:p w:rsidR="00CC59F4" w:rsidRDefault="00BA7437" w:rsidP="00101D0B">
            <w:pPr>
              <w:keepNext/>
              <w:ind w:left="-108"/>
              <w:rPr>
                <w:rFonts w:ascii="Arial Narrow" w:hAnsi="Arial Narrow"/>
                <w:sz w:val="20"/>
              </w:rPr>
            </w:pPr>
            <w:r>
              <w:rPr>
                <w:rFonts w:ascii="Arial Narrow" w:hAnsi="Arial Narrow"/>
                <w:sz w:val="20"/>
              </w:rPr>
              <w:t>(effective price)</w:t>
            </w:r>
          </w:p>
        </w:tc>
        <w:tc>
          <w:tcPr>
            <w:tcW w:w="851" w:type="dxa"/>
            <w:hideMark/>
          </w:tcPr>
          <w:p w:rsidR="00CC59F4" w:rsidRDefault="00CC59F4">
            <w:pPr>
              <w:keepNext/>
              <w:snapToGrid w:val="0"/>
              <w:rPr>
                <w:rFonts w:ascii="Arial Narrow" w:hAnsi="Arial Narrow"/>
                <w:sz w:val="20"/>
              </w:rPr>
            </w:pPr>
            <w:proofErr w:type="spellStart"/>
            <w:r>
              <w:rPr>
                <w:rFonts w:ascii="Arial Narrow" w:hAnsi="Arial Narrow"/>
                <w:sz w:val="20"/>
              </w:rPr>
              <w:t>Yervoy</w:t>
            </w:r>
            <w:proofErr w:type="spellEnd"/>
          </w:p>
        </w:tc>
        <w:tc>
          <w:tcPr>
            <w:tcW w:w="708" w:type="dxa"/>
            <w:hideMark/>
          </w:tcPr>
          <w:p w:rsidR="00CC59F4" w:rsidRDefault="00CC59F4">
            <w:pPr>
              <w:keepNext/>
              <w:snapToGrid w:val="0"/>
              <w:rPr>
                <w:rFonts w:ascii="Arial Narrow" w:hAnsi="Arial Narrow"/>
                <w:sz w:val="20"/>
              </w:rPr>
            </w:pPr>
            <w:r>
              <w:rPr>
                <w:rFonts w:ascii="Arial Narrow" w:hAnsi="Arial Narrow"/>
                <w:sz w:val="20"/>
              </w:rPr>
              <w:t>BQ</w:t>
            </w:r>
          </w:p>
        </w:tc>
      </w:tr>
      <w:tr w:rsidR="00CC59F4" w:rsidTr="00CC59F4">
        <w:trPr>
          <w:cantSplit/>
          <w:trHeight w:val="360"/>
        </w:trPr>
        <w:tc>
          <w:tcPr>
            <w:tcW w:w="8363" w:type="dxa"/>
            <w:gridSpan w:val="7"/>
            <w:tcBorders>
              <w:top w:val="nil"/>
              <w:left w:val="nil"/>
              <w:bottom w:val="single" w:sz="4" w:space="0" w:color="auto"/>
              <w:right w:val="nil"/>
            </w:tcBorders>
          </w:tcPr>
          <w:p w:rsidR="00CC59F4" w:rsidRDefault="00CC59F4">
            <w:pPr>
              <w:snapToGrid w:val="0"/>
              <w:rPr>
                <w:rFonts w:ascii="Arial Narrow" w:hAnsi="Arial Narrow"/>
                <w:sz w:val="20"/>
              </w:rPr>
            </w:pP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Category / Program</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r>
              <w:rPr>
                <w:rFonts w:ascii="Arial Narrow" w:hAnsi="Arial Narrow"/>
                <w:sz w:val="20"/>
              </w:rPr>
              <w:t>Section 100 – Efficient Funding of Chemotherapy</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Prescriber type:</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4D5DA3" w:rsidP="002F37FB">
            <w:pPr>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 xml:space="preserve">Dental  </w:t>
            </w:r>
            <w:r>
              <w:rPr>
                <w:rFonts w:ascii="Arial Narrow" w:hAnsi="Arial Narrow"/>
                <w:sz w:val="20"/>
              </w:rPr>
              <w:fldChar w:fldCharType="begin">
                <w:ffData>
                  <w:name w:val=""/>
                  <w:enabled/>
                  <w:calcOnExit w:val="0"/>
                  <w:checkBox>
                    <w:sizeAuto/>
                    <w:default w:val="1"/>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 xml:space="preserve">Medical Practitioners  </w:t>
            </w:r>
            <w:r>
              <w:rPr>
                <w:rFonts w:ascii="Arial Narrow" w:hAnsi="Arial Narrow"/>
                <w:sz w:val="20"/>
              </w:rPr>
              <w:fldChar w:fldCharType="begin">
                <w:ffData>
                  <w:name w:val="Check3"/>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 xml:space="preserve">Nurse practitioners  </w:t>
            </w:r>
            <w:r>
              <w:rPr>
                <w:rFonts w:ascii="Arial Narrow" w:hAnsi="Arial Narrow"/>
                <w:sz w:val="20"/>
              </w:rPr>
              <w:fldChar w:fldCharType="begin">
                <w:ffData>
                  <w:name w:val=""/>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Optometrists</w:t>
            </w:r>
            <w:r w:rsidR="00217855">
              <w:rPr>
                <w:rFonts w:ascii="Arial Narrow" w:hAnsi="Arial Narrow"/>
                <w:sz w:val="20"/>
              </w:rPr>
              <w:t xml:space="preserve">  </w:t>
            </w:r>
            <w:r>
              <w:rPr>
                <w:rFonts w:ascii="Arial Narrow" w:hAnsi="Arial Narrow"/>
                <w:sz w:val="20"/>
              </w:rPr>
              <w:fldChar w:fldCharType="begin">
                <w:ffData>
                  <w:name w:val="Check5"/>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Midwives</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Episodicity:</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r>
              <w:rPr>
                <w:rFonts w:ascii="Arial Narrow" w:hAnsi="Arial Narrow"/>
                <w:sz w:val="20"/>
              </w:rPr>
              <w:t>-</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Severity:</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proofErr w:type="spellStart"/>
            <w:r>
              <w:rPr>
                <w:rFonts w:ascii="Arial Narrow" w:hAnsi="Arial Narrow"/>
                <w:sz w:val="20"/>
              </w:rPr>
              <w:t>Unresectable</w:t>
            </w:r>
            <w:proofErr w:type="spellEnd"/>
            <w:r>
              <w:rPr>
                <w:rFonts w:ascii="Arial Narrow" w:hAnsi="Arial Narrow"/>
                <w:sz w:val="20"/>
              </w:rPr>
              <w:t xml:space="preserve"> Stage III or Stage IV</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Condition:</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r>
              <w:rPr>
                <w:rFonts w:ascii="Arial Narrow" w:hAnsi="Arial Narrow"/>
                <w:sz w:val="20"/>
              </w:rPr>
              <w:t>Malignant melanoma</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PBS Indication:</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proofErr w:type="spellStart"/>
            <w:r>
              <w:rPr>
                <w:rFonts w:ascii="Arial Narrow" w:hAnsi="Arial Narrow"/>
                <w:sz w:val="20"/>
              </w:rPr>
              <w:t>Unresectable</w:t>
            </w:r>
            <w:proofErr w:type="spellEnd"/>
            <w:r>
              <w:rPr>
                <w:rFonts w:ascii="Arial Narrow" w:hAnsi="Arial Narrow"/>
                <w:sz w:val="20"/>
              </w:rPr>
              <w:t xml:space="preserve"> Stage III or Stage IV malignant melanoma</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Treatment phase:</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i/>
                <w:sz w:val="20"/>
              </w:rPr>
            </w:pPr>
            <w:r>
              <w:rPr>
                <w:rFonts w:ascii="Arial Narrow" w:hAnsi="Arial Narrow"/>
                <w:i/>
                <w:sz w:val="20"/>
              </w:rPr>
              <w:t>Induction (combination) phase</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lastRenderedPageBreak/>
              <w:t>Restriction Level / Method:</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4D5DA3">
            <w:pPr>
              <w:rPr>
                <w:rFonts w:ascii="Arial Narrow" w:hAnsi="Arial Narrow"/>
                <w:sz w:val="20"/>
              </w:rPr>
            </w:pPr>
            <w:r>
              <w:rPr>
                <w:rFonts w:ascii="Arial Narrow" w:hAnsi="Arial Narrow"/>
                <w:sz w:val="20"/>
              </w:rPr>
              <w:fldChar w:fldCharType="begin">
                <w:ffData>
                  <w:name w:val="Check1"/>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Restricted benefit</w:t>
            </w:r>
          </w:p>
          <w:p w:rsidR="00CC59F4" w:rsidRDefault="004D5DA3">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Authority Required - In Writing</w:t>
            </w:r>
          </w:p>
          <w:p w:rsidR="00CC59F4" w:rsidRDefault="004D5DA3">
            <w:pPr>
              <w:rPr>
                <w:rFonts w:ascii="Arial Narrow" w:hAnsi="Arial Narrow"/>
                <w:sz w:val="20"/>
              </w:rPr>
            </w:pPr>
            <w:r>
              <w:rPr>
                <w:rFonts w:ascii="Arial Narrow" w:hAnsi="Arial Narrow"/>
                <w:sz w:val="20"/>
              </w:rPr>
              <w:fldChar w:fldCharType="begin">
                <w:ffData>
                  <w:name w:val="Check3"/>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Authority Required - Telephone</w:t>
            </w:r>
          </w:p>
          <w:p w:rsidR="00CC59F4" w:rsidRDefault="004D5DA3">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Authority Required – Emergency</w:t>
            </w:r>
          </w:p>
          <w:p w:rsidR="00CC59F4" w:rsidRDefault="004D5DA3">
            <w:pPr>
              <w:rPr>
                <w:rFonts w:ascii="Arial Narrow" w:hAnsi="Arial Narrow"/>
                <w:sz w:val="20"/>
              </w:rPr>
            </w:pPr>
            <w:r>
              <w:rPr>
                <w:rFonts w:ascii="Arial Narrow" w:hAnsi="Arial Narrow"/>
                <w:sz w:val="20"/>
              </w:rPr>
              <w:fldChar w:fldCharType="begin">
                <w:ffData>
                  <w:name w:val="Check5"/>
                  <w:enabled/>
                  <w:calcOnExit w:val="0"/>
                  <w:checkBox>
                    <w:sizeAuto/>
                    <w:default w:val="0"/>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Authority Required - Electronic</w:t>
            </w:r>
          </w:p>
          <w:p w:rsidR="00CC59F4" w:rsidRDefault="004D5DA3">
            <w:pPr>
              <w:snapToGrid w:val="0"/>
              <w:rPr>
                <w:rFonts w:ascii="Arial Narrow" w:hAnsi="Arial Narrow"/>
                <w:sz w:val="20"/>
              </w:rPr>
            </w:pPr>
            <w:r>
              <w:rPr>
                <w:rFonts w:ascii="Arial Narrow" w:hAnsi="Arial Narrow"/>
                <w:sz w:val="20"/>
              </w:rPr>
              <w:fldChar w:fldCharType="begin">
                <w:ffData>
                  <w:name w:val="Check5"/>
                  <w:enabled/>
                  <w:calcOnExit w:val="0"/>
                  <w:checkBox>
                    <w:sizeAuto/>
                    <w:default w:val="1"/>
                  </w:checkBox>
                </w:ffData>
              </w:fldChar>
            </w:r>
            <w:r w:rsidR="00CC59F4">
              <w:rPr>
                <w:rFonts w:ascii="Arial Narrow" w:hAnsi="Arial Narrow"/>
                <w:sz w:val="20"/>
              </w:rPr>
              <w:instrText xml:space="preserve"> FORMCHECKBOX </w:instrText>
            </w:r>
            <w:r w:rsidR="00845279">
              <w:rPr>
                <w:rFonts w:ascii="Arial Narrow" w:hAnsi="Arial Narrow"/>
                <w:sz w:val="20"/>
              </w:rPr>
            </w:r>
            <w:r w:rsidR="00845279">
              <w:rPr>
                <w:rFonts w:ascii="Arial Narrow" w:hAnsi="Arial Narrow"/>
                <w:sz w:val="20"/>
              </w:rPr>
              <w:fldChar w:fldCharType="separate"/>
            </w:r>
            <w:r>
              <w:rPr>
                <w:rFonts w:ascii="Arial Narrow" w:hAnsi="Arial Narrow"/>
                <w:sz w:val="20"/>
              </w:rPr>
              <w:fldChar w:fldCharType="end"/>
            </w:r>
            <w:r w:rsidR="00CC59F4">
              <w:rPr>
                <w:rFonts w:ascii="Arial Narrow" w:hAnsi="Arial Narrow"/>
                <w:sz w:val="20"/>
              </w:rPr>
              <w:t>Streamlined</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Clinical criteria:</w:t>
            </w:r>
          </w:p>
        </w:tc>
        <w:tc>
          <w:tcPr>
            <w:tcW w:w="5811" w:type="dxa"/>
            <w:gridSpan w:val="6"/>
            <w:tcBorders>
              <w:top w:val="single" w:sz="4" w:space="0" w:color="auto"/>
              <w:left w:val="single" w:sz="4" w:space="0" w:color="auto"/>
              <w:bottom w:val="single" w:sz="4" w:space="0" w:color="auto"/>
              <w:right w:val="single" w:sz="4" w:space="0" w:color="auto"/>
            </w:tcBorders>
          </w:tcPr>
          <w:p w:rsidR="00CC59F4" w:rsidRDefault="00CC59F4">
            <w:pPr>
              <w:rPr>
                <w:rFonts w:ascii="Arial Narrow" w:hAnsi="Arial Narrow"/>
                <w:i/>
                <w:sz w:val="20"/>
              </w:rPr>
            </w:pPr>
            <w:r>
              <w:rPr>
                <w:rFonts w:ascii="Arial Narrow" w:hAnsi="Arial Narrow"/>
                <w:i/>
                <w:sz w:val="20"/>
              </w:rPr>
              <w:t xml:space="preserve">Patient must be receiving PBS-subsidised </w:t>
            </w:r>
            <w:proofErr w:type="spellStart"/>
            <w:r>
              <w:rPr>
                <w:rFonts w:ascii="Arial Narrow" w:hAnsi="Arial Narrow"/>
                <w:i/>
                <w:sz w:val="20"/>
              </w:rPr>
              <w:t>nivolumab</w:t>
            </w:r>
            <w:proofErr w:type="spellEnd"/>
            <w:r>
              <w:rPr>
                <w:rFonts w:ascii="Arial Narrow" w:hAnsi="Arial Narrow"/>
                <w:i/>
                <w:sz w:val="20"/>
              </w:rPr>
              <w:t xml:space="preserve"> concomitantly for this condition</w:t>
            </w:r>
          </w:p>
          <w:p w:rsidR="00CC59F4" w:rsidRDefault="00CC59F4">
            <w:pPr>
              <w:rPr>
                <w:rFonts w:ascii="Arial Narrow" w:hAnsi="Arial Narrow"/>
                <w:i/>
                <w:sz w:val="20"/>
              </w:rPr>
            </w:pPr>
          </w:p>
          <w:p w:rsidR="00CC59F4" w:rsidRDefault="00CC59F4">
            <w:pPr>
              <w:rPr>
                <w:rFonts w:ascii="Arial Narrow" w:hAnsi="Arial Narrow"/>
                <w:i/>
                <w:sz w:val="20"/>
              </w:rPr>
            </w:pPr>
            <w:r>
              <w:rPr>
                <w:rFonts w:ascii="Arial Narrow" w:hAnsi="Arial Narrow"/>
                <w:i/>
                <w:sz w:val="20"/>
              </w:rPr>
              <w:t>AND</w:t>
            </w:r>
          </w:p>
          <w:p w:rsidR="00CC59F4" w:rsidRDefault="00CC59F4">
            <w:pPr>
              <w:rPr>
                <w:rFonts w:ascii="Arial Narrow" w:hAnsi="Arial Narrow"/>
                <w:i/>
                <w:sz w:val="20"/>
              </w:rPr>
            </w:pPr>
          </w:p>
          <w:p w:rsidR="00CC59F4" w:rsidRDefault="00CC59F4">
            <w:pPr>
              <w:rPr>
                <w:rFonts w:ascii="Arial Narrow" w:hAnsi="Arial Narrow"/>
                <w:i/>
                <w:sz w:val="20"/>
              </w:rPr>
            </w:pPr>
            <w:r>
              <w:rPr>
                <w:rFonts w:ascii="Arial Narrow" w:hAnsi="Arial Narrow"/>
                <w:i/>
                <w:sz w:val="20"/>
              </w:rPr>
              <w:t>Patient must not have received prior treatment with ipilimumab</w:t>
            </w:r>
          </w:p>
          <w:p w:rsidR="00CC59F4" w:rsidRDefault="00CC59F4">
            <w:pPr>
              <w:rPr>
                <w:rFonts w:ascii="Arial Narrow" w:hAnsi="Arial Narrow"/>
                <w:i/>
                <w:sz w:val="20"/>
              </w:rPr>
            </w:pPr>
          </w:p>
          <w:p w:rsidR="00CC59F4" w:rsidRDefault="00CC59F4">
            <w:pPr>
              <w:rPr>
                <w:rFonts w:ascii="Arial Narrow" w:hAnsi="Arial Narrow"/>
                <w:i/>
                <w:sz w:val="20"/>
              </w:rPr>
            </w:pPr>
            <w:r>
              <w:rPr>
                <w:rFonts w:ascii="Arial Narrow" w:hAnsi="Arial Narrow"/>
                <w:i/>
                <w:sz w:val="20"/>
              </w:rPr>
              <w:t>AND</w:t>
            </w:r>
          </w:p>
          <w:p w:rsidR="00CC59F4" w:rsidRDefault="00CC59F4">
            <w:pPr>
              <w:rPr>
                <w:rFonts w:ascii="Arial Narrow" w:hAnsi="Arial Narrow"/>
                <w:i/>
                <w:sz w:val="20"/>
              </w:rPr>
            </w:pPr>
          </w:p>
          <w:p w:rsidR="00CC59F4" w:rsidRDefault="00CC59F4">
            <w:pPr>
              <w:snapToGrid w:val="0"/>
              <w:rPr>
                <w:rFonts w:ascii="Arial Narrow" w:hAnsi="Arial Narrow"/>
                <w:i/>
                <w:sz w:val="20"/>
              </w:rPr>
            </w:pPr>
            <w:r>
              <w:rPr>
                <w:rFonts w:ascii="Arial Narrow" w:hAnsi="Arial Narrow"/>
                <w:i/>
                <w:sz w:val="20"/>
              </w:rPr>
              <w:t>The treatment must not exceed a total of 4 doses at a maximum dose of 3 mg per kg every 3 weeks.</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Prescriber Instructions</w:t>
            </w:r>
          </w:p>
        </w:tc>
        <w:tc>
          <w:tcPr>
            <w:tcW w:w="5811" w:type="dxa"/>
            <w:gridSpan w:val="6"/>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sz w:val="20"/>
              </w:rPr>
            </w:pPr>
            <w:r>
              <w:rPr>
                <w:rFonts w:ascii="Arial Narrow" w:hAnsi="Arial Narrow"/>
                <w:sz w:val="20"/>
              </w:rPr>
              <w:t>The patient’s body weight must be documented in the patient’s medical records at the time treatment is initiated.</w:t>
            </w:r>
          </w:p>
        </w:tc>
      </w:tr>
      <w:tr w:rsidR="00CC59F4" w:rsidTr="002F37FB">
        <w:trPr>
          <w:cantSplit/>
          <w:trHeight w:val="360"/>
        </w:trPr>
        <w:tc>
          <w:tcPr>
            <w:tcW w:w="2552" w:type="dxa"/>
            <w:tcBorders>
              <w:top w:val="single" w:sz="4" w:space="0" w:color="auto"/>
              <w:left w:val="single" w:sz="4" w:space="0" w:color="auto"/>
              <w:bottom w:val="single" w:sz="4" w:space="0" w:color="auto"/>
              <w:right w:val="single" w:sz="4" w:space="0" w:color="auto"/>
            </w:tcBorders>
            <w:hideMark/>
          </w:tcPr>
          <w:p w:rsidR="00CC59F4" w:rsidRDefault="00CC59F4">
            <w:pPr>
              <w:snapToGrid w:val="0"/>
              <w:rPr>
                <w:rFonts w:ascii="Arial Narrow" w:hAnsi="Arial Narrow"/>
                <w:b/>
                <w:sz w:val="20"/>
              </w:rPr>
            </w:pPr>
            <w:r>
              <w:rPr>
                <w:rFonts w:ascii="Arial Narrow" w:hAnsi="Arial Narrow"/>
                <w:b/>
                <w:sz w:val="20"/>
              </w:rPr>
              <w:t>Administrative Advice</w:t>
            </w:r>
          </w:p>
        </w:tc>
        <w:tc>
          <w:tcPr>
            <w:tcW w:w="5811" w:type="dxa"/>
            <w:gridSpan w:val="6"/>
            <w:tcBorders>
              <w:top w:val="single" w:sz="4" w:space="0" w:color="auto"/>
              <w:left w:val="single" w:sz="4" w:space="0" w:color="auto"/>
              <w:bottom w:val="single" w:sz="4" w:space="0" w:color="auto"/>
              <w:right w:val="single" w:sz="4" w:space="0" w:color="auto"/>
            </w:tcBorders>
          </w:tcPr>
          <w:p w:rsidR="00CC59F4" w:rsidRDefault="00CC59F4">
            <w:pPr>
              <w:rPr>
                <w:rFonts w:ascii="Arial Narrow" w:hAnsi="Arial Narrow"/>
                <w:i/>
                <w:sz w:val="20"/>
              </w:rPr>
            </w:pPr>
            <w:r>
              <w:rPr>
                <w:rFonts w:ascii="Arial Narrow" w:hAnsi="Arial Narrow"/>
                <w:i/>
                <w:sz w:val="20"/>
              </w:rPr>
              <w:t>No increase in the maximum number of repeats may be authorised.</w:t>
            </w:r>
          </w:p>
          <w:p w:rsidR="00CC59F4" w:rsidRDefault="00CC59F4">
            <w:pPr>
              <w:rPr>
                <w:rFonts w:ascii="Arial Narrow" w:hAnsi="Arial Narrow"/>
                <w:i/>
                <w:sz w:val="20"/>
              </w:rPr>
            </w:pPr>
          </w:p>
          <w:p w:rsidR="00CC59F4" w:rsidRDefault="00CC59F4">
            <w:pPr>
              <w:snapToGrid w:val="0"/>
              <w:rPr>
                <w:rFonts w:ascii="Arial Narrow" w:hAnsi="Arial Narrow"/>
                <w:sz w:val="20"/>
              </w:rPr>
            </w:pPr>
            <w:r>
              <w:rPr>
                <w:rFonts w:ascii="Arial Narrow" w:hAnsi="Arial Narrow"/>
                <w:i/>
                <w:sz w:val="20"/>
              </w:rPr>
              <w:t>Special Pricing Arrangements apply.</w:t>
            </w:r>
          </w:p>
        </w:tc>
      </w:tr>
    </w:tbl>
    <w:p w:rsidR="003E147C" w:rsidRPr="00882085" w:rsidRDefault="003E147C" w:rsidP="004B1CB4"/>
    <w:p w:rsidR="003E147C" w:rsidRPr="00240347" w:rsidRDefault="003E147C" w:rsidP="003E147C">
      <w:pPr>
        <w:pStyle w:val="ListParagraph"/>
        <w:widowControl/>
        <w:numPr>
          <w:ilvl w:val="1"/>
          <w:numId w:val="6"/>
        </w:numPr>
        <w:rPr>
          <w:i/>
          <w:szCs w:val="22"/>
        </w:rPr>
      </w:pPr>
      <w:r w:rsidRPr="00185700">
        <w:rPr>
          <w:szCs w:val="22"/>
        </w:rPr>
        <w:t xml:space="preserve">The requested listing </w:t>
      </w:r>
      <w:r w:rsidR="00ED1DAB" w:rsidRPr="00185700">
        <w:rPr>
          <w:szCs w:val="22"/>
        </w:rPr>
        <w:t xml:space="preserve">differed </w:t>
      </w:r>
      <w:r w:rsidRPr="00185700">
        <w:rPr>
          <w:szCs w:val="22"/>
        </w:rPr>
        <w:t>from the PB</w:t>
      </w:r>
      <w:r w:rsidR="001E4751">
        <w:rPr>
          <w:szCs w:val="22"/>
        </w:rPr>
        <w:t>S</w:t>
      </w:r>
      <w:r w:rsidRPr="00185700">
        <w:rPr>
          <w:szCs w:val="22"/>
        </w:rPr>
        <w:t xml:space="preserve"> listing for </w:t>
      </w:r>
      <w:proofErr w:type="spellStart"/>
      <w:r w:rsidRPr="00185700">
        <w:rPr>
          <w:szCs w:val="22"/>
        </w:rPr>
        <w:t>pembrolizumab</w:t>
      </w:r>
      <w:proofErr w:type="spellEnd"/>
      <w:r w:rsidRPr="00185700">
        <w:rPr>
          <w:szCs w:val="22"/>
        </w:rPr>
        <w:t xml:space="preserve">, which </w:t>
      </w:r>
      <w:r w:rsidR="001E4751">
        <w:rPr>
          <w:szCs w:val="22"/>
        </w:rPr>
        <w:t>i</w:t>
      </w:r>
      <w:r w:rsidRPr="00185700">
        <w:rPr>
          <w:szCs w:val="22"/>
        </w:rPr>
        <w:t>s restricted to patients who ha</w:t>
      </w:r>
      <w:r w:rsidR="001E4751">
        <w:rPr>
          <w:szCs w:val="22"/>
        </w:rPr>
        <w:t>ve</w:t>
      </w:r>
      <w:r w:rsidRPr="00185700">
        <w:rPr>
          <w:szCs w:val="22"/>
        </w:rPr>
        <w:t xml:space="preserve"> not been treated with ipilimumab and </w:t>
      </w:r>
      <w:r w:rsidR="001E4751">
        <w:rPr>
          <w:szCs w:val="22"/>
        </w:rPr>
        <w:t xml:space="preserve">to </w:t>
      </w:r>
      <w:r w:rsidR="001E4751" w:rsidRPr="003D533C">
        <w:rPr>
          <w:i/>
          <w:szCs w:val="22"/>
        </w:rPr>
        <w:t>BRAF</w:t>
      </w:r>
      <w:r w:rsidR="001E4751">
        <w:rPr>
          <w:szCs w:val="22"/>
        </w:rPr>
        <w:t xml:space="preserve">-positive </w:t>
      </w:r>
      <w:r w:rsidRPr="00185700">
        <w:rPr>
          <w:szCs w:val="22"/>
        </w:rPr>
        <w:t>patients who ha</w:t>
      </w:r>
      <w:r w:rsidR="001E4751">
        <w:rPr>
          <w:szCs w:val="22"/>
        </w:rPr>
        <w:t>ve</w:t>
      </w:r>
      <w:r w:rsidRPr="00185700">
        <w:rPr>
          <w:szCs w:val="22"/>
        </w:rPr>
        <w:t xml:space="preserve"> progressed after BRAF inhibitor treatment. The requested listing also include</w:t>
      </w:r>
      <w:r w:rsidR="00955788">
        <w:rPr>
          <w:szCs w:val="22"/>
        </w:rPr>
        <w:t>d</w:t>
      </w:r>
      <w:r w:rsidRPr="00185700">
        <w:rPr>
          <w:szCs w:val="22"/>
        </w:rPr>
        <w:t xml:space="preserve"> patients eligible for BRAF inhibitors, which is inconsistent with the PB</w:t>
      </w:r>
      <w:r w:rsidR="001E4751">
        <w:rPr>
          <w:szCs w:val="22"/>
        </w:rPr>
        <w:t>S</w:t>
      </w:r>
      <w:r w:rsidRPr="00185700">
        <w:rPr>
          <w:szCs w:val="22"/>
        </w:rPr>
        <w:t xml:space="preserve"> listing for </w:t>
      </w:r>
      <w:proofErr w:type="spellStart"/>
      <w:r w:rsidRPr="00185700">
        <w:rPr>
          <w:szCs w:val="22"/>
        </w:rPr>
        <w:t>pembrolizumab</w:t>
      </w:r>
      <w:proofErr w:type="spellEnd"/>
      <w:r w:rsidRPr="00185700">
        <w:rPr>
          <w:szCs w:val="22"/>
        </w:rPr>
        <w:t xml:space="preserve"> and the</w:t>
      </w:r>
      <w:r w:rsidRPr="00240347">
        <w:rPr>
          <w:i/>
          <w:szCs w:val="22"/>
        </w:rPr>
        <w:t xml:space="preserve"> </w:t>
      </w:r>
      <w:r w:rsidRPr="00185700">
        <w:rPr>
          <w:szCs w:val="22"/>
        </w:rPr>
        <w:t xml:space="preserve">revisions made by the PBAC to the </w:t>
      </w:r>
      <w:proofErr w:type="spellStart"/>
      <w:r w:rsidRPr="00185700">
        <w:rPr>
          <w:szCs w:val="22"/>
        </w:rPr>
        <w:t>nivolumab</w:t>
      </w:r>
      <w:proofErr w:type="spellEnd"/>
      <w:r w:rsidRPr="00185700">
        <w:rPr>
          <w:szCs w:val="22"/>
        </w:rPr>
        <w:t xml:space="preserve"> monotherapy requested listing</w:t>
      </w:r>
      <w:r w:rsidR="00175576" w:rsidRPr="00185700">
        <w:rPr>
          <w:szCs w:val="22"/>
        </w:rPr>
        <w:t xml:space="preserve"> (</w:t>
      </w:r>
      <w:r w:rsidR="007B63D4" w:rsidRPr="00185700">
        <w:rPr>
          <w:szCs w:val="22"/>
        </w:rPr>
        <w:t>July 2015 PBAC minutes</w:t>
      </w:r>
      <w:r w:rsidR="00175576" w:rsidRPr="00185700">
        <w:rPr>
          <w:szCs w:val="22"/>
        </w:rPr>
        <w:t>)</w:t>
      </w:r>
      <w:r w:rsidR="00ED1DAB" w:rsidRPr="00185700">
        <w:rPr>
          <w:szCs w:val="22"/>
        </w:rPr>
        <w:t>.</w:t>
      </w:r>
    </w:p>
    <w:p w:rsidR="003E147C" w:rsidRPr="00892798" w:rsidRDefault="003E147C" w:rsidP="00C75C26">
      <w:pPr>
        <w:widowControl/>
        <w:rPr>
          <w:szCs w:val="22"/>
        </w:rPr>
      </w:pPr>
    </w:p>
    <w:p w:rsidR="003E147C" w:rsidRPr="00F15EDE" w:rsidRDefault="003E147C" w:rsidP="003E147C">
      <w:pPr>
        <w:pStyle w:val="ListParagraph"/>
        <w:widowControl/>
        <w:numPr>
          <w:ilvl w:val="1"/>
          <w:numId w:val="6"/>
        </w:numPr>
        <w:rPr>
          <w:szCs w:val="22"/>
        </w:rPr>
      </w:pPr>
      <w:r>
        <w:rPr>
          <w:szCs w:val="22"/>
        </w:rPr>
        <w:t>The submissi</w:t>
      </w:r>
      <w:r w:rsidR="00892798">
        <w:rPr>
          <w:szCs w:val="22"/>
        </w:rPr>
        <w:t>on sought listing based on cost-</w:t>
      </w:r>
      <w:r>
        <w:rPr>
          <w:szCs w:val="22"/>
        </w:rPr>
        <w:t xml:space="preserve">utility analyses compared to </w:t>
      </w:r>
      <w:proofErr w:type="spellStart"/>
      <w:r>
        <w:rPr>
          <w:szCs w:val="22"/>
        </w:rPr>
        <w:t>ipilimumab</w:t>
      </w:r>
      <w:proofErr w:type="spellEnd"/>
      <w:r>
        <w:rPr>
          <w:szCs w:val="22"/>
        </w:rPr>
        <w:t xml:space="preserve"> monotherapy, </w:t>
      </w:r>
      <w:proofErr w:type="spellStart"/>
      <w:r>
        <w:rPr>
          <w:szCs w:val="22"/>
        </w:rPr>
        <w:t>nivolumab</w:t>
      </w:r>
      <w:proofErr w:type="spellEnd"/>
      <w:r>
        <w:rPr>
          <w:szCs w:val="22"/>
        </w:rPr>
        <w:t xml:space="preserve"> monotherapy, and </w:t>
      </w:r>
      <w:proofErr w:type="spellStart"/>
      <w:r>
        <w:rPr>
          <w:szCs w:val="22"/>
        </w:rPr>
        <w:t>pembrolizumab</w:t>
      </w:r>
      <w:proofErr w:type="spellEnd"/>
      <w:r>
        <w:rPr>
          <w:szCs w:val="22"/>
        </w:rPr>
        <w:t xml:space="preserve"> monotherapy, via direct comparisons against </w:t>
      </w:r>
      <w:proofErr w:type="spellStart"/>
      <w:r>
        <w:rPr>
          <w:szCs w:val="22"/>
        </w:rPr>
        <w:t>ipilimumab</w:t>
      </w:r>
      <w:proofErr w:type="spellEnd"/>
      <w:r>
        <w:rPr>
          <w:szCs w:val="22"/>
        </w:rPr>
        <w:t xml:space="preserve"> and </w:t>
      </w:r>
      <w:proofErr w:type="spellStart"/>
      <w:r>
        <w:rPr>
          <w:szCs w:val="22"/>
        </w:rPr>
        <w:t>nivolumab</w:t>
      </w:r>
      <w:proofErr w:type="spellEnd"/>
      <w:r>
        <w:rPr>
          <w:szCs w:val="22"/>
        </w:rPr>
        <w:t xml:space="preserve"> and an indirect comparison against </w:t>
      </w:r>
      <w:proofErr w:type="spellStart"/>
      <w:r>
        <w:rPr>
          <w:szCs w:val="22"/>
        </w:rPr>
        <w:t>pembrolizumab</w:t>
      </w:r>
      <w:proofErr w:type="spellEnd"/>
      <w:r>
        <w:rPr>
          <w:szCs w:val="22"/>
        </w:rPr>
        <w:t>.</w:t>
      </w:r>
    </w:p>
    <w:p w:rsidR="002F37FB" w:rsidRDefault="002F37FB" w:rsidP="002F37FB">
      <w:pPr>
        <w:rPr>
          <w:szCs w:val="22"/>
        </w:rPr>
      </w:pPr>
    </w:p>
    <w:p w:rsidR="002F37FB" w:rsidRDefault="002F37FB" w:rsidP="002F37FB">
      <w:pPr>
        <w:pStyle w:val="ListParagraph"/>
        <w:ind w:left="709"/>
        <w:rPr>
          <w:i/>
          <w:szCs w:val="22"/>
        </w:rPr>
      </w:pPr>
      <w:r w:rsidRPr="000679F0">
        <w:rPr>
          <w:i/>
          <w:szCs w:val="22"/>
        </w:rPr>
        <w:t>For more detail on PBAC’s view, see section 7 “PBAC outcome”</w:t>
      </w:r>
      <w:r>
        <w:rPr>
          <w:i/>
          <w:szCs w:val="22"/>
        </w:rPr>
        <w:t>.</w:t>
      </w:r>
    </w:p>
    <w:p w:rsidR="00ED1DAB" w:rsidRDefault="00ED1DAB" w:rsidP="004B1CB4"/>
    <w:p w:rsidR="00523929" w:rsidRPr="00882085" w:rsidRDefault="00523929" w:rsidP="004B1CB4"/>
    <w:p w:rsidR="003E147C" w:rsidRPr="00407F2D" w:rsidRDefault="003E147C" w:rsidP="00BD6CF3">
      <w:pPr>
        <w:pStyle w:val="PBACHeading1"/>
      </w:pPr>
      <w:bookmarkStart w:id="4" w:name="_Toc430097325"/>
      <w:r w:rsidRPr="00407F2D">
        <w:t>Background</w:t>
      </w:r>
      <w:bookmarkEnd w:id="4"/>
    </w:p>
    <w:p w:rsidR="003E147C" w:rsidRPr="00882085" w:rsidRDefault="003E147C" w:rsidP="00B60939">
      <w:pPr>
        <w:rPr>
          <w:szCs w:val="22"/>
        </w:rPr>
      </w:pPr>
    </w:p>
    <w:p w:rsidR="0067400C" w:rsidRPr="00DC5D13" w:rsidRDefault="0067400C" w:rsidP="0067400C">
      <w:pPr>
        <w:pStyle w:val="ListParagraph"/>
        <w:widowControl/>
        <w:numPr>
          <w:ilvl w:val="1"/>
          <w:numId w:val="6"/>
        </w:numPr>
        <w:snapToGrid w:val="0"/>
      </w:pPr>
      <w:r w:rsidRPr="00DC5D13">
        <w:t>The submission was made under TGA/PBAC Para</w:t>
      </w:r>
      <w:r w:rsidR="005519FE">
        <w:t>llel Process. At the time of PBAC consideration</w:t>
      </w:r>
      <w:r w:rsidR="00101D0B" w:rsidRPr="00DC5D13">
        <w:t>,</w:t>
      </w:r>
      <w:r w:rsidRPr="00DC5D13">
        <w:t xml:space="preserve"> the TGA Delegate’s overview </w:t>
      </w:r>
      <w:r w:rsidR="005519FE">
        <w:t>was available</w:t>
      </w:r>
      <w:r w:rsidRPr="00DC5D13">
        <w:t>.</w:t>
      </w:r>
    </w:p>
    <w:p w:rsidR="0067400C" w:rsidRPr="00101D0B" w:rsidRDefault="0067400C" w:rsidP="0067400C">
      <w:pPr>
        <w:widowControl/>
        <w:snapToGrid w:val="0"/>
        <w:rPr>
          <w:highlight w:val="yellow"/>
        </w:rPr>
      </w:pPr>
    </w:p>
    <w:p w:rsidR="003E147C" w:rsidRPr="00882085" w:rsidRDefault="003E147C" w:rsidP="003E147C">
      <w:pPr>
        <w:pStyle w:val="ListParagraph"/>
        <w:widowControl/>
        <w:numPr>
          <w:ilvl w:val="1"/>
          <w:numId w:val="6"/>
        </w:numPr>
      </w:pPr>
      <w:proofErr w:type="spellStart"/>
      <w:r w:rsidRPr="0018637E">
        <w:t>Nivolumab</w:t>
      </w:r>
      <w:proofErr w:type="spellEnd"/>
      <w:r w:rsidRPr="0018637E">
        <w:t xml:space="preserve"> </w:t>
      </w:r>
      <w:r>
        <w:t xml:space="preserve">monotherapy </w:t>
      </w:r>
      <w:r w:rsidRPr="0018637E">
        <w:t>was submitted to the TGA in January 2015.</w:t>
      </w:r>
      <w:r>
        <w:t xml:space="preserve"> The submission stated that </w:t>
      </w:r>
      <w:r w:rsidRPr="0018637E">
        <w:t>subsequently the TGA also agreed to include results</w:t>
      </w:r>
      <w:r>
        <w:t xml:space="preserve"> of</w:t>
      </w:r>
      <w:r w:rsidRPr="0018637E">
        <w:t xml:space="preserve"> t</w:t>
      </w:r>
      <w:r>
        <w:t xml:space="preserve">he safety and efficacy of </w:t>
      </w:r>
      <w:proofErr w:type="spellStart"/>
      <w:r>
        <w:t>nivolumab</w:t>
      </w:r>
      <w:proofErr w:type="spellEnd"/>
      <w:r>
        <w:t xml:space="preserve"> plus </w:t>
      </w:r>
      <w:proofErr w:type="spellStart"/>
      <w:r>
        <w:t>ipilimumab</w:t>
      </w:r>
      <w:proofErr w:type="spellEnd"/>
      <w:r w:rsidRPr="0018637E">
        <w:t xml:space="preserve"> </w:t>
      </w:r>
      <w:r>
        <w:t xml:space="preserve">in </w:t>
      </w:r>
      <w:r w:rsidR="00892798">
        <w:t>its</w:t>
      </w:r>
      <w:r>
        <w:t xml:space="preserve"> review. The</w:t>
      </w:r>
      <w:r w:rsidR="00ED1DAB">
        <w:t>refore</w:t>
      </w:r>
      <w:r>
        <w:t xml:space="preserve"> </w:t>
      </w:r>
      <w:proofErr w:type="spellStart"/>
      <w:r>
        <w:t>nivolumab</w:t>
      </w:r>
      <w:proofErr w:type="spellEnd"/>
      <w:r>
        <w:t xml:space="preserve"> plus </w:t>
      </w:r>
      <w:proofErr w:type="spellStart"/>
      <w:r>
        <w:t>ipilimumab</w:t>
      </w:r>
      <w:proofErr w:type="spellEnd"/>
      <w:r w:rsidR="00ED1DAB">
        <w:t xml:space="preserve"> combination therapy</w:t>
      </w:r>
      <w:r>
        <w:t xml:space="preserve"> </w:t>
      </w:r>
      <w:r w:rsidR="0036093B">
        <w:t xml:space="preserve">was </w:t>
      </w:r>
      <w:r>
        <w:t xml:space="preserve">expected to have the same TGA timeline as </w:t>
      </w:r>
      <w:proofErr w:type="spellStart"/>
      <w:r w:rsidR="001E4751">
        <w:t>nivolumab</w:t>
      </w:r>
      <w:proofErr w:type="spellEnd"/>
      <w:r w:rsidR="001E4751">
        <w:t xml:space="preserve"> </w:t>
      </w:r>
      <w:r>
        <w:t>monotherapy.</w:t>
      </w:r>
    </w:p>
    <w:p w:rsidR="003E147C" w:rsidRPr="00892798" w:rsidRDefault="003E147C" w:rsidP="00B60939">
      <w:pPr>
        <w:rPr>
          <w:szCs w:val="22"/>
        </w:rPr>
      </w:pPr>
    </w:p>
    <w:p w:rsidR="003E147C" w:rsidRDefault="003E147C" w:rsidP="003E147C">
      <w:pPr>
        <w:pStyle w:val="ListParagraph"/>
        <w:widowControl/>
        <w:numPr>
          <w:ilvl w:val="1"/>
          <w:numId w:val="6"/>
        </w:numPr>
        <w:rPr>
          <w:szCs w:val="22"/>
        </w:rPr>
      </w:pPr>
      <w:r w:rsidRPr="00DD639E">
        <w:rPr>
          <w:szCs w:val="22"/>
        </w:rPr>
        <w:t xml:space="preserve">This </w:t>
      </w:r>
      <w:r w:rsidR="001E4751">
        <w:rPr>
          <w:szCs w:val="22"/>
        </w:rPr>
        <w:t>wa</w:t>
      </w:r>
      <w:r w:rsidRPr="00DD639E">
        <w:rPr>
          <w:szCs w:val="22"/>
        </w:rPr>
        <w:t xml:space="preserve">s the first consideration of </w:t>
      </w:r>
      <w:proofErr w:type="spellStart"/>
      <w:r w:rsidRPr="00DD639E">
        <w:rPr>
          <w:szCs w:val="22"/>
        </w:rPr>
        <w:t>nivolumab</w:t>
      </w:r>
      <w:proofErr w:type="spellEnd"/>
      <w:r w:rsidRPr="00DD639E">
        <w:rPr>
          <w:szCs w:val="22"/>
        </w:rPr>
        <w:t xml:space="preserve"> plus </w:t>
      </w:r>
      <w:proofErr w:type="spellStart"/>
      <w:r w:rsidRPr="00DD639E">
        <w:rPr>
          <w:szCs w:val="22"/>
        </w:rPr>
        <w:t>ipilimumab</w:t>
      </w:r>
      <w:proofErr w:type="spellEnd"/>
      <w:r w:rsidRPr="00DD639E">
        <w:rPr>
          <w:szCs w:val="22"/>
        </w:rPr>
        <w:t xml:space="preserve"> combination therapy by the PBAC. A previous submission for </w:t>
      </w:r>
      <w:proofErr w:type="spellStart"/>
      <w:r w:rsidRPr="00DD639E">
        <w:rPr>
          <w:szCs w:val="22"/>
        </w:rPr>
        <w:t>nivolumab</w:t>
      </w:r>
      <w:proofErr w:type="spellEnd"/>
      <w:r w:rsidRPr="00DD639E">
        <w:rPr>
          <w:szCs w:val="22"/>
        </w:rPr>
        <w:t xml:space="preserve"> monotherapy was rejected by the PBAC </w:t>
      </w:r>
      <w:r w:rsidR="001E4751">
        <w:rPr>
          <w:szCs w:val="22"/>
        </w:rPr>
        <w:t>in</w:t>
      </w:r>
      <w:r w:rsidRPr="00DD639E">
        <w:rPr>
          <w:szCs w:val="22"/>
        </w:rPr>
        <w:t xml:space="preserve"> July 2015. Another PD-1 inhibitor, </w:t>
      </w:r>
      <w:proofErr w:type="spellStart"/>
      <w:r w:rsidRPr="00DD639E">
        <w:rPr>
          <w:szCs w:val="22"/>
        </w:rPr>
        <w:t>pembrolizumab</w:t>
      </w:r>
      <w:proofErr w:type="spellEnd"/>
      <w:r w:rsidRPr="00DD639E">
        <w:rPr>
          <w:szCs w:val="22"/>
        </w:rPr>
        <w:t xml:space="preserve">, was </w:t>
      </w:r>
      <w:r w:rsidR="00ED1DAB">
        <w:rPr>
          <w:szCs w:val="22"/>
        </w:rPr>
        <w:t xml:space="preserve">recommended </w:t>
      </w:r>
      <w:r w:rsidR="00892798">
        <w:rPr>
          <w:szCs w:val="22"/>
        </w:rPr>
        <w:t>by the PBAC in March 2015 and PBS-listed in September 2015.</w:t>
      </w:r>
    </w:p>
    <w:p w:rsidR="003E147C" w:rsidRPr="00892798" w:rsidRDefault="003E147C" w:rsidP="00C75C26">
      <w:pPr>
        <w:widowControl/>
        <w:rPr>
          <w:szCs w:val="22"/>
        </w:rPr>
      </w:pPr>
    </w:p>
    <w:p w:rsidR="003E147C" w:rsidRPr="00DD639E" w:rsidRDefault="001E4751" w:rsidP="003E147C">
      <w:pPr>
        <w:pStyle w:val="ListParagraph"/>
        <w:widowControl/>
        <w:numPr>
          <w:ilvl w:val="1"/>
          <w:numId w:val="6"/>
        </w:numPr>
        <w:rPr>
          <w:szCs w:val="22"/>
        </w:rPr>
      </w:pPr>
      <w:r>
        <w:rPr>
          <w:szCs w:val="22"/>
        </w:rPr>
        <w:t xml:space="preserve">During the evaluation of the </w:t>
      </w:r>
      <w:proofErr w:type="spellStart"/>
      <w:r>
        <w:rPr>
          <w:szCs w:val="22"/>
        </w:rPr>
        <w:t>nivolumab</w:t>
      </w:r>
      <w:proofErr w:type="spellEnd"/>
      <w:r>
        <w:rPr>
          <w:szCs w:val="22"/>
        </w:rPr>
        <w:t xml:space="preserve"> plus </w:t>
      </w:r>
      <w:proofErr w:type="spellStart"/>
      <w:r>
        <w:rPr>
          <w:szCs w:val="22"/>
        </w:rPr>
        <w:t>ipilimumab</w:t>
      </w:r>
      <w:proofErr w:type="spellEnd"/>
      <w:r>
        <w:rPr>
          <w:szCs w:val="22"/>
        </w:rPr>
        <w:t xml:space="preserve"> submission, t</w:t>
      </w:r>
      <w:r w:rsidR="003E147C">
        <w:rPr>
          <w:szCs w:val="22"/>
        </w:rPr>
        <w:t xml:space="preserve">he sponsor also lodged a minor re-submission of </w:t>
      </w:r>
      <w:proofErr w:type="spellStart"/>
      <w:r w:rsidR="003E147C">
        <w:rPr>
          <w:szCs w:val="22"/>
        </w:rPr>
        <w:t>nivolumab</w:t>
      </w:r>
      <w:proofErr w:type="spellEnd"/>
      <w:r w:rsidR="003E147C">
        <w:rPr>
          <w:szCs w:val="22"/>
        </w:rPr>
        <w:t xml:space="preserve"> monotherapy </w:t>
      </w:r>
      <w:r w:rsidR="00892798">
        <w:rPr>
          <w:szCs w:val="22"/>
        </w:rPr>
        <w:t>seeking listing based on a cost-</w:t>
      </w:r>
      <w:r w:rsidR="003E147C">
        <w:rPr>
          <w:szCs w:val="22"/>
        </w:rPr>
        <w:t xml:space="preserve">minimisation in comparison to </w:t>
      </w:r>
      <w:proofErr w:type="spellStart"/>
      <w:r w:rsidR="003E147C">
        <w:rPr>
          <w:szCs w:val="22"/>
        </w:rPr>
        <w:t>pembrolizumab</w:t>
      </w:r>
      <w:proofErr w:type="spellEnd"/>
      <w:r w:rsidR="003E147C">
        <w:rPr>
          <w:szCs w:val="22"/>
        </w:rPr>
        <w:t>.</w:t>
      </w:r>
    </w:p>
    <w:p w:rsidR="00DC5D13" w:rsidRDefault="00DC5D13" w:rsidP="004B1CB4"/>
    <w:p w:rsidR="00ED1DAB" w:rsidRPr="00882085" w:rsidRDefault="00ED1DAB" w:rsidP="004B1CB4"/>
    <w:p w:rsidR="003E147C" w:rsidRPr="00407F2D" w:rsidRDefault="003E147C" w:rsidP="00BD6CF3">
      <w:pPr>
        <w:pStyle w:val="PBACHeading1"/>
      </w:pPr>
      <w:bookmarkStart w:id="5" w:name="_Toc430097326"/>
      <w:r w:rsidRPr="00407F2D">
        <w:t>Clinical place for the proposed therapy</w:t>
      </w:r>
      <w:bookmarkEnd w:id="5"/>
    </w:p>
    <w:p w:rsidR="003E147C" w:rsidRPr="00882085" w:rsidRDefault="003E147C" w:rsidP="00B60939">
      <w:pPr>
        <w:rPr>
          <w:szCs w:val="22"/>
        </w:rPr>
      </w:pPr>
    </w:p>
    <w:p w:rsidR="003E147C" w:rsidRDefault="003E147C" w:rsidP="003E147C">
      <w:pPr>
        <w:pStyle w:val="ListParagraph"/>
        <w:widowControl/>
        <w:numPr>
          <w:ilvl w:val="1"/>
          <w:numId w:val="6"/>
        </w:numPr>
      </w:pPr>
      <w:r>
        <w:t>Th</w:t>
      </w:r>
      <w:r w:rsidRPr="000B0D36">
        <w:t xml:space="preserve">e submission considered that most patients receiving </w:t>
      </w:r>
      <w:proofErr w:type="spellStart"/>
      <w:r w:rsidRPr="000B0D36">
        <w:t>nivolumab</w:t>
      </w:r>
      <w:proofErr w:type="spellEnd"/>
      <w:r w:rsidRPr="000B0D36">
        <w:t xml:space="preserve"> plus </w:t>
      </w:r>
      <w:proofErr w:type="spellStart"/>
      <w:r w:rsidRPr="000B0D36">
        <w:t>ipilimumab</w:t>
      </w:r>
      <w:proofErr w:type="spellEnd"/>
      <w:r w:rsidRPr="000B0D36">
        <w:t xml:space="preserve"> would be </w:t>
      </w:r>
      <w:r w:rsidRPr="0036093B">
        <w:rPr>
          <w:i/>
        </w:rPr>
        <w:t>BRAF</w:t>
      </w:r>
      <w:r w:rsidRPr="000B0D36">
        <w:t xml:space="preserve"> wild type </w:t>
      </w:r>
      <w:r w:rsidR="00A33BC5" w:rsidRPr="000B0D36">
        <w:t>patients</w:t>
      </w:r>
      <w:r w:rsidRPr="000B0D36">
        <w:t xml:space="preserve"> in the first </w:t>
      </w:r>
      <w:proofErr w:type="gramStart"/>
      <w:r w:rsidRPr="000B0D36">
        <w:t>line,</w:t>
      </w:r>
      <w:proofErr w:type="gramEnd"/>
      <w:r w:rsidRPr="000B0D36">
        <w:t xml:space="preserve"> or </w:t>
      </w:r>
      <w:r w:rsidRPr="003D533C">
        <w:rPr>
          <w:i/>
        </w:rPr>
        <w:t>BRAF</w:t>
      </w:r>
      <w:r w:rsidRPr="000B0D36">
        <w:t xml:space="preserve"> mutant type patients in the second line. </w:t>
      </w:r>
      <w:r w:rsidR="003702BD">
        <w:t>However,</w:t>
      </w:r>
      <w:r w:rsidR="003702BD" w:rsidRPr="00185700">
        <w:t xml:space="preserve"> </w:t>
      </w:r>
      <w:r w:rsidRPr="00185700">
        <w:t xml:space="preserve">the requested restriction </w:t>
      </w:r>
      <w:r w:rsidR="00196897" w:rsidRPr="00185700">
        <w:t xml:space="preserve">included </w:t>
      </w:r>
      <w:r w:rsidRPr="00185700">
        <w:t xml:space="preserve">all patients with stage III or IV </w:t>
      </w:r>
      <w:proofErr w:type="spellStart"/>
      <w:r w:rsidRPr="00185700">
        <w:t>unresectable</w:t>
      </w:r>
      <w:proofErr w:type="spellEnd"/>
      <w:r w:rsidRPr="00185700">
        <w:t xml:space="preserve"> </w:t>
      </w:r>
      <w:r w:rsidR="00A33BC5" w:rsidRPr="00185700">
        <w:t>metastatic</w:t>
      </w:r>
      <w:r w:rsidRPr="00185700">
        <w:t xml:space="preserve"> melanoma</w:t>
      </w:r>
      <w:r w:rsidR="00196897" w:rsidRPr="00185700">
        <w:t xml:space="preserve">, irrespective of </w:t>
      </w:r>
      <w:r w:rsidR="00196897" w:rsidRPr="003D533C">
        <w:rPr>
          <w:i/>
        </w:rPr>
        <w:t>BRAF</w:t>
      </w:r>
      <w:r w:rsidR="00196897" w:rsidRPr="00185700">
        <w:t xml:space="preserve"> status or treatment line</w:t>
      </w:r>
      <w:r w:rsidRPr="00185700">
        <w:t>.</w:t>
      </w:r>
      <w:r w:rsidRPr="000B0D36">
        <w:t xml:space="preserve"> The submission considered that, given the severity of the disease, no patients who c</w:t>
      </w:r>
      <w:r w:rsidR="00892798">
        <w:t>ould</w:t>
      </w:r>
      <w:r w:rsidRPr="000B0D36">
        <w:t xml:space="preserve"> derive benefit should be excluded from treatment.</w:t>
      </w:r>
    </w:p>
    <w:p w:rsidR="003E147C" w:rsidRDefault="003E147C" w:rsidP="00C75C26">
      <w:pPr>
        <w:widowControl/>
      </w:pPr>
    </w:p>
    <w:p w:rsidR="003E147C" w:rsidRPr="00185700" w:rsidRDefault="00892798" w:rsidP="00892798">
      <w:pPr>
        <w:pStyle w:val="ListParagraph"/>
        <w:widowControl/>
        <w:numPr>
          <w:ilvl w:val="1"/>
          <w:numId w:val="6"/>
        </w:numPr>
      </w:pPr>
      <w:r w:rsidRPr="00185700">
        <w:t>Although</w:t>
      </w:r>
      <w:r w:rsidR="003E147C" w:rsidRPr="00185700">
        <w:t xml:space="preserve"> the submission’s emphasis that treatment should not be withheld from patients who </w:t>
      </w:r>
      <w:r w:rsidRPr="00185700">
        <w:t>could</w:t>
      </w:r>
      <w:r w:rsidR="003E147C" w:rsidRPr="00185700">
        <w:t xml:space="preserve"> derive benefit was noted, </w:t>
      </w:r>
      <w:r w:rsidR="008E4A79" w:rsidRPr="00185700">
        <w:t xml:space="preserve">under the requested </w:t>
      </w:r>
      <w:r w:rsidR="003E147C" w:rsidRPr="00185700">
        <w:t xml:space="preserve">restriction </w:t>
      </w:r>
      <w:proofErr w:type="spellStart"/>
      <w:r w:rsidR="003E147C" w:rsidRPr="00185700">
        <w:t>nivolumab</w:t>
      </w:r>
      <w:proofErr w:type="spellEnd"/>
      <w:r w:rsidR="003E147C" w:rsidRPr="00185700">
        <w:t xml:space="preserve"> plus </w:t>
      </w:r>
      <w:proofErr w:type="spellStart"/>
      <w:r w:rsidR="003E147C" w:rsidRPr="00185700">
        <w:t>ipilimumab</w:t>
      </w:r>
      <w:proofErr w:type="spellEnd"/>
      <w:r w:rsidR="003E147C" w:rsidRPr="00185700">
        <w:t xml:space="preserve"> combination therapy would likely substitute for BRAF inhibitors in the first line</w:t>
      </w:r>
      <w:r w:rsidR="00BB7AD0" w:rsidRPr="00185700">
        <w:t>,</w:t>
      </w:r>
      <w:r w:rsidR="003E147C" w:rsidRPr="00185700">
        <w:t xml:space="preserve"> but no clinical data was presented in the incomplete indirect comparison with </w:t>
      </w:r>
      <w:proofErr w:type="spellStart"/>
      <w:r w:rsidR="003E147C" w:rsidRPr="00185700">
        <w:t>dabrafenib</w:t>
      </w:r>
      <w:proofErr w:type="spellEnd"/>
      <w:r w:rsidRPr="00185700">
        <w:t xml:space="preserve"> ± </w:t>
      </w:r>
      <w:proofErr w:type="spellStart"/>
      <w:r w:rsidRPr="00185700">
        <w:t>trametinib</w:t>
      </w:r>
      <w:proofErr w:type="spellEnd"/>
      <w:r w:rsidR="003E147C" w:rsidRPr="00185700">
        <w:t>. Consequently, both the clinical and economic basis for the listing in this context was not established</w:t>
      </w:r>
      <w:r w:rsidR="00AE28B4" w:rsidRPr="00185700">
        <w:t>.</w:t>
      </w:r>
    </w:p>
    <w:p w:rsidR="00DC5D13" w:rsidRPr="004F080E" w:rsidRDefault="00DC5D13" w:rsidP="004F080E">
      <w:pPr>
        <w:rPr>
          <w:szCs w:val="22"/>
        </w:rPr>
      </w:pPr>
    </w:p>
    <w:p w:rsidR="00196897" w:rsidRPr="00882085" w:rsidRDefault="00196897" w:rsidP="00B60939">
      <w:pPr>
        <w:pStyle w:val="Header"/>
        <w:rPr>
          <w:szCs w:val="22"/>
        </w:rPr>
      </w:pPr>
    </w:p>
    <w:p w:rsidR="003E147C" w:rsidRPr="00407F2D" w:rsidRDefault="003E147C" w:rsidP="00CD1661">
      <w:pPr>
        <w:pStyle w:val="PBACHeading1"/>
      </w:pPr>
      <w:bookmarkStart w:id="6" w:name="_Toc430097327"/>
      <w:r w:rsidRPr="00CD1661">
        <w:t>Comparator</w:t>
      </w:r>
      <w:bookmarkEnd w:id="6"/>
    </w:p>
    <w:p w:rsidR="003E147C" w:rsidRPr="00882085" w:rsidRDefault="003E147C" w:rsidP="004B1CB4"/>
    <w:p w:rsidR="003E147C" w:rsidRPr="003A5FC6" w:rsidRDefault="003E147C" w:rsidP="003E147C">
      <w:pPr>
        <w:pStyle w:val="ListParagraph"/>
        <w:widowControl/>
        <w:numPr>
          <w:ilvl w:val="1"/>
          <w:numId w:val="6"/>
        </w:numPr>
        <w:rPr>
          <w:szCs w:val="22"/>
        </w:rPr>
      </w:pPr>
      <w:r w:rsidRPr="0044221F">
        <w:t xml:space="preserve">The submission nominated ipilimumab monotherapy as the main comparator and </w:t>
      </w:r>
      <w:proofErr w:type="spellStart"/>
      <w:r w:rsidRPr="0044221F">
        <w:t>nivolumab</w:t>
      </w:r>
      <w:proofErr w:type="spellEnd"/>
      <w:r w:rsidRPr="0044221F">
        <w:t xml:space="preserve"> monotherapy, </w:t>
      </w:r>
      <w:proofErr w:type="spellStart"/>
      <w:r w:rsidRPr="0044221F">
        <w:t>pembrolizumab</w:t>
      </w:r>
      <w:proofErr w:type="spellEnd"/>
      <w:r w:rsidRPr="0044221F">
        <w:t xml:space="preserve">, and </w:t>
      </w:r>
      <w:proofErr w:type="spellStart"/>
      <w:r w:rsidRPr="0044221F">
        <w:t>dabrafenib</w:t>
      </w:r>
      <w:proofErr w:type="spellEnd"/>
      <w:r w:rsidRPr="0044221F">
        <w:t xml:space="preserve"> </w:t>
      </w:r>
      <w:r w:rsidR="00AE28B4" w:rsidRPr="0044221F">
        <w:t>±</w:t>
      </w:r>
      <w:r w:rsidRPr="0044221F">
        <w:t xml:space="preserve"> </w:t>
      </w:r>
      <w:proofErr w:type="spellStart"/>
      <w:r w:rsidRPr="0044221F">
        <w:t>trametinib</w:t>
      </w:r>
      <w:proofErr w:type="spellEnd"/>
      <w:r w:rsidRPr="0044221F">
        <w:t xml:space="preserve"> as additional comparators. In </w:t>
      </w:r>
      <w:r w:rsidR="00BB7AD0" w:rsidRPr="0044221F">
        <w:t>its</w:t>
      </w:r>
      <w:r w:rsidRPr="0044221F">
        <w:t xml:space="preserve"> July 2015 meeting, the PBAC considered that </w:t>
      </w:r>
      <w:proofErr w:type="spellStart"/>
      <w:r w:rsidRPr="0044221F">
        <w:t>pembrolizumab</w:t>
      </w:r>
      <w:proofErr w:type="spellEnd"/>
      <w:r w:rsidRPr="0044221F">
        <w:t xml:space="preserve"> and not </w:t>
      </w:r>
      <w:proofErr w:type="spellStart"/>
      <w:r w:rsidRPr="0044221F">
        <w:t>ipilimumab</w:t>
      </w:r>
      <w:proofErr w:type="spellEnd"/>
      <w:r w:rsidRPr="0044221F">
        <w:t xml:space="preserve"> was the most appropriate comparator for </w:t>
      </w:r>
      <w:proofErr w:type="spellStart"/>
      <w:r w:rsidRPr="0044221F">
        <w:t>nivolumab</w:t>
      </w:r>
      <w:proofErr w:type="spellEnd"/>
      <w:r w:rsidRPr="0044221F">
        <w:t xml:space="preserve"> monotherapy</w:t>
      </w:r>
      <w:r w:rsidR="00AE28B4" w:rsidRPr="0044221F">
        <w:t xml:space="preserve"> (</w:t>
      </w:r>
      <w:r w:rsidR="0044221F" w:rsidRPr="0044221F">
        <w:t xml:space="preserve">PBAC July 2015 </w:t>
      </w:r>
      <w:proofErr w:type="spellStart"/>
      <w:r w:rsidR="0044221F" w:rsidRPr="0044221F">
        <w:t>nivolumab</w:t>
      </w:r>
      <w:proofErr w:type="spellEnd"/>
      <w:r w:rsidR="0044221F" w:rsidRPr="0044221F">
        <w:t xml:space="preserve"> minutes, </w:t>
      </w:r>
      <w:r w:rsidR="00AE28B4" w:rsidRPr="0044221F">
        <w:t>paragraph</w:t>
      </w:r>
      <w:r w:rsidR="00144D6E" w:rsidRPr="0044221F">
        <w:t>s 7.1 and 7.3</w:t>
      </w:r>
      <w:r w:rsidR="00AE28B4" w:rsidRPr="0044221F">
        <w:t>)</w:t>
      </w:r>
      <w:r w:rsidRPr="0044221F">
        <w:t>.</w:t>
      </w:r>
    </w:p>
    <w:p w:rsidR="003A5FC6" w:rsidRPr="00101D0B" w:rsidRDefault="003A5FC6" w:rsidP="003A5FC6">
      <w:pPr>
        <w:widowControl/>
        <w:rPr>
          <w:szCs w:val="22"/>
        </w:rPr>
      </w:pPr>
    </w:p>
    <w:p w:rsidR="003A5FC6" w:rsidRPr="00DC5D13" w:rsidRDefault="003A5FC6" w:rsidP="003E147C">
      <w:pPr>
        <w:pStyle w:val="ListParagraph"/>
        <w:widowControl/>
        <w:numPr>
          <w:ilvl w:val="1"/>
          <w:numId w:val="6"/>
        </w:numPr>
        <w:rPr>
          <w:szCs w:val="22"/>
        </w:rPr>
      </w:pPr>
      <w:r w:rsidRPr="00DC5D13">
        <w:rPr>
          <w:szCs w:val="22"/>
        </w:rPr>
        <w:t xml:space="preserve">The PSCR (p.1) accepted the change in comparator from </w:t>
      </w:r>
      <w:proofErr w:type="spellStart"/>
      <w:r w:rsidRPr="00DC5D13">
        <w:rPr>
          <w:szCs w:val="22"/>
        </w:rPr>
        <w:t>ipilimumab</w:t>
      </w:r>
      <w:proofErr w:type="spellEnd"/>
      <w:r w:rsidRPr="00DC5D13">
        <w:rPr>
          <w:szCs w:val="22"/>
        </w:rPr>
        <w:t xml:space="preserve"> monotherapy to </w:t>
      </w:r>
      <w:proofErr w:type="spellStart"/>
      <w:r w:rsidRPr="00DC5D13">
        <w:rPr>
          <w:szCs w:val="22"/>
        </w:rPr>
        <w:t>pembrolizumab</w:t>
      </w:r>
      <w:proofErr w:type="spellEnd"/>
      <w:r w:rsidRPr="00DC5D13">
        <w:rPr>
          <w:szCs w:val="22"/>
        </w:rPr>
        <w:t xml:space="preserve"> monotherapy. The ESC agreed that </w:t>
      </w:r>
      <w:proofErr w:type="spellStart"/>
      <w:r w:rsidRPr="00DC5D13">
        <w:rPr>
          <w:szCs w:val="22"/>
        </w:rPr>
        <w:t>pembrolizumab</w:t>
      </w:r>
      <w:proofErr w:type="spellEnd"/>
      <w:r w:rsidRPr="00DC5D13">
        <w:rPr>
          <w:szCs w:val="22"/>
        </w:rPr>
        <w:t xml:space="preserve"> monotherapy is the appropriate comparator.</w:t>
      </w:r>
    </w:p>
    <w:p w:rsidR="00BB7AD0" w:rsidRPr="00BB7AD0" w:rsidRDefault="00BB7AD0" w:rsidP="00BB7AD0">
      <w:pPr>
        <w:widowControl/>
        <w:rPr>
          <w:szCs w:val="22"/>
        </w:rPr>
      </w:pPr>
    </w:p>
    <w:p w:rsidR="003E147C" w:rsidRPr="00185700" w:rsidRDefault="003E147C" w:rsidP="003E147C">
      <w:pPr>
        <w:pStyle w:val="ListParagraph"/>
        <w:widowControl/>
        <w:numPr>
          <w:ilvl w:val="1"/>
          <w:numId w:val="6"/>
        </w:numPr>
        <w:rPr>
          <w:szCs w:val="22"/>
        </w:rPr>
      </w:pPr>
      <w:r w:rsidRPr="007A562D">
        <w:t xml:space="preserve">The submission also included a feasibility analysis of a comparison against </w:t>
      </w:r>
      <w:proofErr w:type="spellStart"/>
      <w:r w:rsidRPr="007A562D">
        <w:t>dabrafenib</w:t>
      </w:r>
      <w:proofErr w:type="spellEnd"/>
      <w:r w:rsidRPr="007A562D">
        <w:t xml:space="preserve"> </w:t>
      </w:r>
      <w:r w:rsidR="00AE28B4">
        <w:t>±</w:t>
      </w:r>
      <w:r w:rsidRPr="00AE28B4">
        <w:t xml:space="preserve"> </w:t>
      </w:r>
      <w:proofErr w:type="spellStart"/>
      <w:r w:rsidRPr="007A562D">
        <w:t>trametinib</w:t>
      </w:r>
      <w:proofErr w:type="spellEnd"/>
      <w:r w:rsidRPr="007A562D">
        <w:t>, and found that no direct comparisons or indirect comparisons could be conducted.</w:t>
      </w:r>
      <w:r w:rsidR="00AE28B4">
        <w:t xml:space="preserve"> </w:t>
      </w:r>
      <w:r w:rsidR="00AE28B4" w:rsidRPr="00185700">
        <w:t xml:space="preserve">While the lack of relevant evidence </w:t>
      </w:r>
      <w:r w:rsidR="00865B44">
        <w:t>could not inform</w:t>
      </w:r>
      <w:r w:rsidR="00AE28B4" w:rsidRPr="00185700">
        <w:t xml:space="preserve"> such a comparison, the submission’s requested listing and estimated financial implications assume</w:t>
      </w:r>
      <w:r w:rsidR="00E408F9">
        <w:t>d</w:t>
      </w:r>
      <w:r w:rsidR="00AE28B4" w:rsidRPr="00185700">
        <w:t xml:space="preserve"> use of </w:t>
      </w:r>
      <w:proofErr w:type="spellStart"/>
      <w:r w:rsidR="00AE28B4" w:rsidRPr="00185700">
        <w:t>nivolumab</w:t>
      </w:r>
      <w:proofErr w:type="spellEnd"/>
      <w:r w:rsidR="00AE28B4" w:rsidRPr="00185700">
        <w:t xml:space="preserve"> plus </w:t>
      </w:r>
      <w:proofErr w:type="spellStart"/>
      <w:r w:rsidR="00AE28B4" w:rsidRPr="00185700">
        <w:t>ipilimumab</w:t>
      </w:r>
      <w:proofErr w:type="spellEnd"/>
      <w:r w:rsidR="00AE28B4" w:rsidRPr="00185700">
        <w:t xml:space="preserve"> in place of </w:t>
      </w:r>
      <w:proofErr w:type="spellStart"/>
      <w:r w:rsidR="00AE28B4" w:rsidRPr="00185700">
        <w:t>dabrafenib</w:t>
      </w:r>
      <w:proofErr w:type="spellEnd"/>
      <w:r w:rsidR="00AE28B4" w:rsidRPr="00185700">
        <w:t xml:space="preserve"> ± </w:t>
      </w:r>
      <w:proofErr w:type="spellStart"/>
      <w:r w:rsidR="00AE28B4" w:rsidRPr="00185700">
        <w:t>trametinib</w:t>
      </w:r>
      <w:proofErr w:type="spellEnd"/>
      <w:r w:rsidR="00AE28B4" w:rsidRPr="00185700">
        <w:t xml:space="preserve">, for which no </w:t>
      </w:r>
      <w:r w:rsidR="00114D1B" w:rsidRPr="00185700">
        <w:t xml:space="preserve">clinical evidence </w:t>
      </w:r>
      <w:r w:rsidR="00E408F9">
        <w:t>was</w:t>
      </w:r>
      <w:r w:rsidR="00114D1B" w:rsidRPr="00185700">
        <w:t xml:space="preserve"> provided.</w:t>
      </w:r>
    </w:p>
    <w:p w:rsidR="003E147C" w:rsidRDefault="003E147C" w:rsidP="000679F0">
      <w:pPr>
        <w:rPr>
          <w:szCs w:val="22"/>
        </w:rPr>
      </w:pPr>
    </w:p>
    <w:p w:rsidR="00DC5D13" w:rsidRDefault="00DC5D13" w:rsidP="000679F0">
      <w:pPr>
        <w:pStyle w:val="ListParagraph"/>
        <w:ind w:left="709"/>
        <w:rPr>
          <w:i/>
          <w:szCs w:val="22"/>
        </w:rPr>
      </w:pPr>
      <w:r w:rsidRPr="000679F0">
        <w:rPr>
          <w:i/>
          <w:szCs w:val="22"/>
        </w:rPr>
        <w:t>For more detail on PBAC’s view, see section 7 “PBAC outcome”</w:t>
      </w:r>
      <w:r w:rsidR="004F080E">
        <w:rPr>
          <w:i/>
          <w:szCs w:val="22"/>
        </w:rPr>
        <w:t>.</w:t>
      </w:r>
    </w:p>
    <w:p w:rsidR="00DC5D13" w:rsidRPr="004F080E" w:rsidRDefault="00DC5D13" w:rsidP="004F080E">
      <w:pPr>
        <w:rPr>
          <w:szCs w:val="22"/>
        </w:rPr>
      </w:pPr>
    </w:p>
    <w:p w:rsidR="00114D1B" w:rsidRPr="00DF5D2B" w:rsidRDefault="00114D1B" w:rsidP="00DF5D2B">
      <w:pPr>
        <w:rPr>
          <w:szCs w:val="22"/>
        </w:rPr>
      </w:pPr>
    </w:p>
    <w:p w:rsidR="003E147C" w:rsidRPr="00407F2D" w:rsidRDefault="003E147C" w:rsidP="00BD6CF3">
      <w:pPr>
        <w:pStyle w:val="PBACHeading1"/>
      </w:pPr>
      <w:bookmarkStart w:id="7" w:name="_Toc430097328"/>
      <w:r>
        <w:t>C</w:t>
      </w:r>
      <w:r w:rsidRPr="00407F2D">
        <w:t>onsideration of the evidence</w:t>
      </w:r>
      <w:bookmarkEnd w:id="7"/>
    </w:p>
    <w:p w:rsidR="003E147C" w:rsidRPr="00882085" w:rsidRDefault="003E147C" w:rsidP="009E0936"/>
    <w:p w:rsidR="00DC5D13" w:rsidRPr="00AF0595" w:rsidRDefault="00DC5D13" w:rsidP="00AF0595">
      <w:pPr>
        <w:pStyle w:val="Heading2"/>
      </w:pPr>
      <w:bookmarkStart w:id="8" w:name="_Toc430097329"/>
      <w:r w:rsidRPr="00AF0595">
        <w:t>Sponsor hearing</w:t>
      </w:r>
    </w:p>
    <w:p w:rsidR="004F080E" w:rsidRPr="004F080E" w:rsidRDefault="004F080E" w:rsidP="004F080E">
      <w:pPr>
        <w:rPr>
          <w:bCs/>
          <w:szCs w:val="22"/>
        </w:rPr>
      </w:pPr>
    </w:p>
    <w:p w:rsidR="005051B8" w:rsidRDefault="005051B8" w:rsidP="005051B8">
      <w:pPr>
        <w:numPr>
          <w:ilvl w:val="1"/>
          <w:numId w:val="6"/>
        </w:numPr>
        <w:contextualSpacing/>
        <w:rPr>
          <w:bCs/>
          <w:szCs w:val="22"/>
        </w:rPr>
      </w:pPr>
      <w:r w:rsidRPr="00F000B9">
        <w:rPr>
          <w:bCs/>
          <w:szCs w:val="22"/>
        </w:rPr>
        <w:t xml:space="preserve">The sponsor requested a hearing for this item. The clinician discussed how the </w:t>
      </w:r>
      <w:proofErr w:type="spellStart"/>
      <w:r w:rsidRPr="00F000B9">
        <w:rPr>
          <w:bCs/>
          <w:szCs w:val="22"/>
        </w:rPr>
        <w:t>nivolumab</w:t>
      </w:r>
      <w:proofErr w:type="spellEnd"/>
      <w:r w:rsidRPr="00F000B9">
        <w:rPr>
          <w:bCs/>
          <w:szCs w:val="22"/>
        </w:rPr>
        <w:t xml:space="preserve"> and </w:t>
      </w:r>
      <w:proofErr w:type="spellStart"/>
      <w:r w:rsidRPr="00F000B9">
        <w:rPr>
          <w:bCs/>
          <w:szCs w:val="22"/>
        </w:rPr>
        <w:t>ipilimumab</w:t>
      </w:r>
      <w:proofErr w:type="spellEnd"/>
      <w:r w:rsidRPr="00F000B9">
        <w:rPr>
          <w:bCs/>
          <w:szCs w:val="22"/>
        </w:rPr>
        <w:t xml:space="preserve"> combination would be used in practice and addressed </w:t>
      </w:r>
      <w:r w:rsidRPr="00F000B9">
        <w:rPr>
          <w:bCs/>
          <w:szCs w:val="22"/>
        </w:rPr>
        <w:lastRenderedPageBreak/>
        <w:t>other matters in response to the Committee’s questions.</w:t>
      </w:r>
    </w:p>
    <w:p w:rsidR="00407BF9" w:rsidRDefault="00407BF9" w:rsidP="00AF0595">
      <w:pPr>
        <w:pStyle w:val="BodyText"/>
      </w:pPr>
    </w:p>
    <w:p w:rsidR="00407BF9" w:rsidRDefault="00407BF9" w:rsidP="00AF0595">
      <w:pPr>
        <w:pStyle w:val="Heading2"/>
      </w:pPr>
      <w:r>
        <w:t>Consumer</w:t>
      </w:r>
      <w:r w:rsidRPr="009E0936">
        <w:t xml:space="preserve"> hearing</w:t>
      </w:r>
    </w:p>
    <w:p w:rsidR="00407BF9" w:rsidRPr="004F080E" w:rsidRDefault="00407BF9" w:rsidP="00407BF9">
      <w:pPr>
        <w:rPr>
          <w:bCs/>
          <w:szCs w:val="22"/>
        </w:rPr>
      </w:pPr>
    </w:p>
    <w:p w:rsidR="00407BF9" w:rsidRPr="00A375D6" w:rsidRDefault="00407BF9" w:rsidP="00407BF9">
      <w:pPr>
        <w:numPr>
          <w:ilvl w:val="1"/>
          <w:numId w:val="6"/>
        </w:numPr>
        <w:contextualSpacing/>
        <w:rPr>
          <w:szCs w:val="22"/>
        </w:rPr>
      </w:pPr>
      <w:r>
        <w:rPr>
          <w:szCs w:val="22"/>
        </w:rPr>
        <w:t>A</w:t>
      </w:r>
      <w:r w:rsidRPr="00A375D6">
        <w:rPr>
          <w:szCs w:val="22"/>
        </w:rPr>
        <w:t xml:space="preserve"> meeting between Melanoma Patients Australia and the representatives of the PBAC covered the upcoming PBAC consideration of </w:t>
      </w:r>
      <w:proofErr w:type="spellStart"/>
      <w:r w:rsidRPr="00A375D6">
        <w:rPr>
          <w:szCs w:val="22"/>
        </w:rPr>
        <w:t>ipilimumab</w:t>
      </w:r>
      <w:proofErr w:type="spellEnd"/>
      <w:r w:rsidRPr="00A375D6">
        <w:rPr>
          <w:szCs w:val="22"/>
        </w:rPr>
        <w:t xml:space="preserve"> with </w:t>
      </w:r>
      <w:proofErr w:type="spellStart"/>
      <w:r w:rsidRPr="00A375D6">
        <w:rPr>
          <w:szCs w:val="22"/>
        </w:rPr>
        <w:t>nivolumab</w:t>
      </w:r>
      <w:proofErr w:type="spellEnd"/>
      <w:r w:rsidRPr="00A375D6">
        <w:rPr>
          <w:szCs w:val="22"/>
        </w:rPr>
        <w:t xml:space="preserve"> for metastatic melanoma. The following points prov</w:t>
      </w:r>
      <w:r>
        <w:rPr>
          <w:szCs w:val="22"/>
        </w:rPr>
        <w:t>ide a summary of the discussion:</w:t>
      </w:r>
    </w:p>
    <w:p w:rsidR="00407BF9" w:rsidRPr="00A375D6" w:rsidRDefault="00407BF9" w:rsidP="00407BF9">
      <w:pPr>
        <w:pStyle w:val="ListParagraph"/>
        <w:widowControl/>
        <w:numPr>
          <w:ilvl w:val="0"/>
          <w:numId w:val="75"/>
        </w:numPr>
        <w:spacing w:after="200" w:line="276" w:lineRule="auto"/>
        <w:rPr>
          <w:szCs w:val="22"/>
        </w:rPr>
      </w:pPr>
      <w:r w:rsidRPr="00A375D6">
        <w:rPr>
          <w:szCs w:val="22"/>
        </w:rPr>
        <w:t>There is a need to provide therapeutic options to treat melanoma, and for these options to be available regardless of what pr</w:t>
      </w:r>
      <w:r w:rsidR="003D533C">
        <w:rPr>
          <w:szCs w:val="22"/>
        </w:rPr>
        <w:t xml:space="preserve">ior treatments have been used. </w:t>
      </w:r>
      <w:r w:rsidRPr="00A375D6">
        <w:rPr>
          <w:szCs w:val="22"/>
        </w:rPr>
        <w:t xml:space="preserve">The combination of </w:t>
      </w:r>
      <w:proofErr w:type="spellStart"/>
      <w:r w:rsidRPr="00A375D6">
        <w:rPr>
          <w:szCs w:val="22"/>
        </w:rPr>
        <w:t>ipilimumab</w:t>
      </w:r>
      <w:proofErr w:type="spellEnd"/>
      <w:r w:rsidRPr="00A375D6">
        <w:rPr>
          <w:szCs w:val="22"/>
        </w:rPr>
        <w:t xml:space="preserve"> and </w:t>
      </w:r>
      <w:proofErr w:type="spellStart"/>
      <w:r w:rsidRPr="00A375D6">
        <w:rPr>
          <w:szCs w:val="22"/>
        </w:rPr>
        <w:t>nivolumab</w:t>
      </w:r>
      <w:proofErr w:type="spellEnd"/>
      <w:r w:rsidRPr="00A375D6">
        <w:rPr>
          <w:szCs w:val="22"/>
        </w:rPr>
        <w:t xml:space="preserve"> is perceived as suiting patients whose disease is aggressive.</w:t>
      </w:r>
    </w:p>
    <w:p w:rsidR="00407BF9" w:rsidRPr="00A375D6" w:rsidRDefault="00407BF9" w:rsidP="00407BF9">
      <w:pPr>
        <w:pStyle w:val="ListParagraph"/>
        <w:widowControl/>
        <w:numPr>
          <w:ilvl w:val="0"/>
          <w:numId w:val="75"/>
        </w:numPr>
        <w:spacing w:after="200" w:line="276" w:lineRule="auto"/>
        <w:rPr>
          <w:szCs w:val="22"/>
        </w:rPr>
      </w:pPr>
      <w:r w:rsidRPr="00A375D6">
        <w:rPr>
          <w:szCs w:val="22"/>
        </w:rPr>
        <w:t xml:space="preserve">The combination of </w:t>
      </w:r>
      <w:proofErr w:type="spellStart"/>
      <w:r w:rsidRPr="00A375D6">
        <w:rPr>
          <w:szCs w:val="22"/>
        </w:rPr>
        <w:t>ipilimumab</w:t>
      </w:r>
      <w:proofErr w:type="spellEnd"/>
      <w:r w:rsidRPr="00A375D6">
        <w:rPr>
          <w:szCs w:val="22"/>
        </w:rPr>
        <w:t xml:space="preserve"> and </w:t>
      </w:r>
      <w:proofErr w:type="spellStart"/>
      <w:r w:rsidRPr="00A375D6">
        <w:rPr>
          <w:szCs w:val="22"/>
        </w:rPr>
        <w:t>nivolumab</w:t>
      </w:r>
      <w:proofErr w:type="spellEnd"/>
      <w:r w:rsidRPr="00A375D6">
        <w:rPr>
          <w:szCs w:val="22"/>
        </w:rPr>
        <w:t xml:space="preserve"> has a serio</w:t>
      </w:r>
      <w:r w:rsidR="003D533C">
        <w:rPr>
          <w:szCs w:val="22"/>
        </w:rPr>
        <w:t xml:space="preserve">us adverse event (AE) profile. </w:t>
      </w:r>
      <w:r w:rsidRPr="00A375D6">
        <w:rPr>
          <w:szCs w:val="22"/>
        </w:rPr>
        <w:t>Reporting of AEs has mainly involved diarrhoea, fatigue, skin irritation and rash, however clinicians have become more adept at managing these AEs as experience with the drugs is developed.</w:t>
      </w:r>
    </w:p>
    <w:p w:rsidR="00407BF9" w:rsidRPr="00A375D6" w:rsidRDefault="00407BF9" w:rsidP="003D533C">
      <w:pPr>
        <w:pStyle w:val="ListParagraph"/>
        <w:widowControl/>
        <w:numPr>
          <w:ilvl w:val="0"/>
          <w:numId w:val="75"/>
        </w:numPr>
        <w:spacing w:after="200" w:line="276" w:lineRule="auto"/>
        <w:rPr>
          <w:szCs w:val="22"/>
        </w:rPr>
      </w:pPr>
      <w:r w:rsidRPr="00A375D6">
        <w:rPr>
          <w:szCs w:val="22"/>
        </w:rPr>
        <w:t>The possible long-term effects of th</w:t>
      </w:r>
      <w:r w:rsidR="00134E87">
        <w:rPr>
          <w:szCs w:val="22"/>
        </w:rPr>
        <w:t>e</w:t>
      </w:r>
      <w:r w:rsidRPr="00A375D6">
        <w:rPr>
          <w:szCs w:val="22"/>
        </w:rPr>
        <w:t xml:space="preserve"> drug</w:t>
      </w:r>
      <w:r w:rsidR="00134E87">
        <w:rPr>
          <w:szCs w:val="22"/>
        </w:rPr>
        <w:t>s used in this</w:t>
      </w:r>
      <w:r w:rsidRPr="00A375D6">
        <w:rPr>
          <w:szCs w:val="22"/>
        </w:rPr>
        <w:t xml:space="preserve"> combination on pituitary function </w:t>
      </w:r>
      <w:r w:rsidR="003D533C">
        <w:rPr>
          <w:szCs w:val="22"/>
        </w:rPr>
        <w:t>(e</w:t>
      </w:r>
      <w:r w:rsidR="001C4266">
        <w:rPr>
          <w:szCs w:val="22"/>
        </w:rPr>
        <w:t>.</w:t>
      </w:r>
      <w:r w:rsidR="003D533C">
        <w:rPr>
          <w:szCs w:val="22"/>
        </w:rPr>
        <w:t>g</w:t>
      </w:r>
      <w:r w:rsidR="001C4266">
        <w:rPr>
          <w:szCs w:val="22"/>
        </w:rPr>
        <w:t>.</w:t>
      </w:r>
      <w:r w:rsidR="003D533C">
        <w:rPr>
          <w:szCs w:val="22"/>
        </w:rPr>
        <w:t xml:space="preserve"> </w:t>
      </w:r>
      <w:proofErr w:type="gramStart"/>
      <w:r w:rsidR="003D533C">
        <w:rPr>
          <w:szCs w:val="22"/>
        </w:rPr>
        <w:t>Lam</w:t>
      </w:r>
      <w:proofErr w:type="gramEnd"/>
      <w:r w:rsidR="003D533C">
        <w:rPr>
          <w:szCs w:val="22"/>
        </w:rPr>
        <w:t xml:space="preserve"> et al. </w:t>
      </w:r>
      <w:proofErr w:type="spellStart"/>
      <w:r w:rsidR="003D533C" w:rsidRPr="003D533C">
        <w:rPr>
          <w:i/>
          <w:szCs w:val="22"/>
        </w:rPr>
        <w:t>Ipilimumab</w:t>
      </w:r>
      <w:proofErr w:type="spellEnd"/>
      <w:r w:rsidR="003D533C" w:rsidRPr="003D533C">
        <w:rPr>
          <w:i/>
          <w:szCs w:val="22"/>
        </w:rPr>
        <w:t xml:space="preserve">-induced </w:t>
      </w:r>
      <w:proofErr w:type="spellStart"/>
      <w:r w:rsidR="003D533C" w:rsidRPr="003D533C">
        <w:rPr>
          <w:i/>
          <w:szCs w:val="22"/>
        </w:rPr>
        <w:t>hypophysitis</w:t>
      </w:r>
      <w:proofErr w:type="spellEnd"/>
      <w:r w:rsidR="003D533C" w:rsidRPr="003D533C">
        <w:rPr>
          <w:i/>
          <w:szCs w:val="22"/>
        </w:rPr>
        <w:t xml:space="preserve"> in melanoma patients: an Australian case series.</w:t>
      </w:r>
      <w:r w:rsidR="003D533C" w:rsidRPr="003D533C">
        <w:t xml:space="preserve"> </w:t>
      </w:r>
      <w:r w:rsidR="003D533C" w:rsidRPr="003D533C">
        <w:rPr>
          <w:szCs w:val="22"/>
        </w:rPr>
        <w:t>Intern</w:t>
      </w:r>
      <w:r w:rsidR="003D533C">
        <w:rPr>
          <w:szCs w:val="22"/>
        </w:rPr>
        <w:t xml:space="preserve"> Med J 2015; 45(10):1066-73) </w:t>
      </w:r>
      <w:r w:rsidRPr="00A375D6">
        <w:rPr>
          <w:szCs w:val="22"/>
        </w:rPr>
        <w:t>and vision were also noted as ha</w:t>
      </w:r>
      <w:r w:rsidR="003D533C">
        <w:rPr>
          <w:szCs w:val="22"/>
        </w:rPr>
        <w:t xml:space="preserve">ving been recently identified. </w:t>
      </w:r>
      <w:r w:rsidRPr="00A375D6">
        <w:rPr>
          <w:szCs w:val="22"/>
        </w:rPr>
        <w:t>It was considered that these effects could be observed with both agents, but are potentially magnified with the combination.</w:t>
      </w:r>
    </w:p>
    <w:p w:rsidR="007D6866" w:rsidRPr="00407BF9" w:rsidRDefault="00407BF9" w:rsidP="007D6866">
      <w:pPr>
        <w:pStyle w:val="ListParagraph"/>
        <w:widowControl/>
        <w:numPr>
          <w:ilvl w:val="0"/>
          <w:numId w:val="75"/>
        </w:numPr>
        <w:spacing w:after="200" w:line="276" w:lineRule="auto"/>
        <w:rPr>
          <w:szCs w:val="22"/>
        </w:rPr>
      </w:pPr>
      <w:r w:rsidRPr="00A375D6">
        <w:rPr>
          <w:szCs w:val="22"/>
        </w:rPr>
        <w:t xml:space="preserve">The patient view on accepting a higher risk of AEs with the combination of drugs compared with the agents used sequentially – patients would likely opt for the combination only where it is needed to treat more aggressive forms of the disease. </w:t>
      </w:r>
    </w:p>
    <w:p w:rsidR="00DC5D13" w:rsidRDefault="00DC5D13" w:rsidP="00AF0595">
      <w:pPr>
        <w:pStyle w:val="Heading2"/>
      </w:pPr>
      <w:r w:rsidRPr="00507C86">
        <w:t>Consumer comments</w:t>
      </w:r>
    </w:p>
    <w:p w:rsidR="004F080E" w:rsidRPr="004F080E" w:rsidRDefault="004F080E" w:rsidP="004F080E">
      <w:pPr>
        <w:rPr>
          <w:bCs/>
          <w:szCs w:val="22"/>
        </w:rPr>
      </w:pPr>
    </w:p>
    <w:p w:rsidR="008959C6" w:rsidRPr="00507C86" w:rsidRDefault="008959C6" w:rsidP="008959C6">
      <w:pPr>
        <w:numPr>
          <w:ilvl w:val="1"/>
          <w:numId w:val="6"/>
        </w:numPr>
        <w:contextualSpacing/>
        <w:rPr>
          <w:bCs/>
          <w:szCs w:val="22"/>
        </w:rPr>
      </w:pPr>
      <w:r w:rsidRPr="00507C86">
        <w:rPr>
          <w:bCs/>
          <w:szCs w:val="22"/>
        </w:rPr>
        <w:t xml:space="preserve">The PBAC noted and welcomed the input from individuals (24), health care professionals (5) and organisations (2) via the Consumer Comments facility on the PBS website. The comments described the perceived benefits of treatment with combination </w:t>
      </w:r>
      <w:proofErr w:type="spellStart"/>
      <w:r w:rsidRPr="00507C86">
        <w:rPr>
          <w:bCs/>
          <w:szCs w:val="22"/>
        </w:rPr>
        <w:t>nivolumab</w:t>
      </w:r>
      <w:proofErr w:type="spellEnd"/>
      <w:r w:rsidRPr="00507C86">
        <w:rPr>
          <w:bCs/>
          <w:szCs w:val="22"/>
        </w:rPr>
        <w:t xml:space="preserve"> and </w:t>
      </w:r>
      <w:proofErr w:type="spellStart"/>
      <w:r w:rsidRPr="00507C86">
        <w:rPr>
          <w:bCs/>
          <w:szCs w:val="22"/>
        </w:rPr>
        <w:t>ipilimumab</w:t>
      </w:r>
      <w:proofErr w:type="spellEnd"/>
      <w:r w:rsidRPr="00507C86">
        <w:rPr>
          <w:bCs/>
          <w:szCs w:val="22"/>
        </w:rPr>
        <w:t>, including slowing the progression of disease and the clinical need for effective treatment in patients with high disease burden.</w:t>
      </w:r>
    </w:p>
    <w:p w:rsidR="00DC5D13" w:rsidRPr="00507C86" w:rsidRDefault="00DC5D13" w:rsidP="009E0936">
      <w:pPr>
        <w:contextualSpacing/>
        <w:rPr>
          <w:bCs/>
          <w:szCs w:val="22"/>
        </w:rPr>
      </w:pPr>
    </w:p>
    <w:p w:rsidR="00392995" w:rsidRPr="00392995" w:rsidRDefault="00392995" w:rsidP="00392995">
      <w:pPr>
        <w:numPr>
          <w:ilvl w:val="1"/>
          <w:numId w:val="6"/>
        </w:numPr>
        <w:contextualSpacing/>
        <w:rPr>
          <w:bCs/>
          <w:szCs w:val="22"/>
        </w:rPr>
      </w:pPr>
      <w:r w:rsidRPr="00392995">
        <w:rPr>
          <w:bCs/>
          <w:szCs w:val="22"/>
        </w:rPr>
        <w:t xml:space="preserve">The PBAC noted advice received from the Medical Oncology Group of Australia describing that </w:t>
      </w:r>
      <w:r>
        <w:rPr>
          <w:bCs/>
          <w:szCs w:val="22"/>
        </w:rPr>
        <w:t>“</w:t>
      </w:r>
      <w:proofErr w:type="spellStart"/>
      <w:r w:rsidRPr="00392995">
        <w:rPr>
          <w:bCs/>
          <w:szCs w:val="22"/>
        </w:rPr>
        <w:t>nivolumab</w:t>
      </w:r>
      <w:proofErr w:type="spellEnd"/>
      <w:r w:rsidRPr="00392995">
        <w:rPr>
          <w:bCs/>
          <w:szCs w:val="22"/>
        </w:rPr>
        <w:t xml:space="preserve"> monotherapy and in combination with </w:t>
      </w:r>
      <w:proofErr w:type="spellStart"/>
      <w:r w:rsidRPr="00392995">
        <w:rPr>
          <w:bCs/>
          <w:szCs w:val="22"/>
        </w:rPr>
        <w:t>ipilimumab</w:t>
      </w:r>
      <w:proofErr w:type="spellEnd"/>
      <w:r w:rsidRPr="00392995">
        <w:rPr>
          <w:bCs/>
          <w:szCs w:val="22"/>
        </w:rPr>
        <w:t xml:space="preserve"> and </w:t>
      </w:r>
      <w:proofErr w:type="spellStart"/>
      <w:r w:rsidRPr="00392995">
        <w:rPr>
          <w:bCs/>
          <w:szCs w:val="22"/>
        </w:rPr>
        <w:t>pembrolizumab</w:t>
      </w:r>
      <w:proofErr w:type="spellEnd"/>
      <w:r w:rsidRPr="00392995">
        <w:rPr>
          <w:bCs/>
          <w:szCs w:val="22"/>
        </w:rPr>
        <w:t xml:space="preserve"> monotherapy represent the new standards of care for advanced melanoma and offer patients significant survival and quality of life benefits, with manageable side effects in contrast to standard chemotherapy.</w:t>
      </w:r>
      <w:r>
        <w:rPr>
          <w:bCs/>
          <w:szCs w:val="22"/>
        </w:rPr>
        <w:t>”</w:t>
      </w:r>
    </w:p>
    <w:p w:rsidR="00DC5D13" w:rsidRPr="004F080E" w:rsidRDefault="00DC5D13" w:rsidP="00AF0595">
      <w:pPr>
        <w:pStyle w:val="BodyText"/>
      </w:pPr>
    </w:p>
    <w:p w:rsidR="003E147C" w:rsidRPr="002C2775" w:rsidRDefault="003E147C" w:rsidP="00AF0595">
      <w:pPr>
        <w:pStyle w:val="Heading2"/>
      </w:pPr>
      <w:r w:rsidRPr="002C2775">
        <w:t>Clinical trials</w:t>
      </w:r>
      <w:bookmarkEnd w:id="8"/>
    </w:p>
    <w:p w:rsidR="003E147C" w:rsidRPr="00882085" w:rsidRDefault="003E147C" w:rsidP="00B60939">
      <w:pPr>
        <w:rPr>
          <w:szCs w:val="22"/>
        </w:rPr>
      </w:pPr>
    </w:p>
    <w:p w:rsidR="003E147C" w:rsidRPr="00B50DB8" w:rsidRDefault="003E147C" w:rsidP="003E147C">
      <w:pPr>
        <w:pStyle w:val="ListParagraph"/>
        <w:widowControl/>
        <w:numPr>
          <w:ilvl w:val="1"/>
          <w:numId w:val="6"/>
        </w:numPr>
        <w:rPr>
          <w:szCs w:val="22"/>
        </w:rPr>
      </w:pPr>
      <w:r w:rsidRPr="00862502">
        <w:t xml:space="preserve">The submission </w:t>
      </w:r>
      <w:r w:rsidR="00E408F9">
        <w:t>wa</w:t>
      </w:r>
      <w:r w:rsidRPr="00862502">
        <w:t>s based on o</w:t>
      </w:r>
      <w:r>
        <w:t xml:space="preserve">ne head-to-head trial comparing </w:t>
      </w:r>
      <w:proofErr w:type="spellStart"/>
      <w:r>
        <w:t>nivolumab</w:t>
      </w:r>
      <w:proofErr w:type="spellEnd"/>
      <w:r>
        <w:t xml:space="preserve"> plus </w:t>
      </w:r>
      <w:proofErr w:type="spellStart"/>
      <w:r>
        <w:t>ipilimumab</w:t>
      </w:r>
      <w:proofErr w:type="spellEnd"/>
      <w:r>
        <w:t xml:space="preserve"> combination therapy</w:t>
      </w:r>
      <w:r w:rsidRPr="00862502">
        <w:t xml:space="preserve"> to </w:t>
      </w:r>
      <w:proofErr w:type="spellStart"/>
      <w:r>
        <w:t>nivolumab</w:t>
      </w:r>
      <w:proofErr w:type="spellEnd"/>
      <w:r>
        <w:t xml:space="preserve"> and </w:t>
      </w:r>
      <w:proofErr w:type="spellStart"/>
      <w:r>
        <w:t>ipilimumab</w:t>
      </w:r>
      <w:proofErr w:type="spellEnd"/>
      <w:r>
        <w:t xml:space="preserve"> monotherapies </w:t>
      </w:r>
      <w:r w:rsidRPr="00862502">
        <w:t>(</w:t>
      </w:r>
      <w:r>
        <w:t xml:space="preserve">CA209-067: </w:t>
      </w:r>
      <w:r w:rsidR="00BB7AD0">
        <w:t>N</w:t>
      </w:r>
      <w:r w:rsidRPr="00862502">
        <w:t>=</w:t>
      </w:r>
      <w:r w:rsidRPr="008A61DF">
        <w:t>945</w:t>
      </w:r>
      <w:r>
        <w:t>)</w:t>
      </w:r>
      <w:r w:rsidR="00114D1B">
        <w:t xml:space="preserve"> and</w:t>
      </w:r>
      <w:r>
        <w:t xml:space="preserve"> one head to head trial comparing </w:t>
      </w:r>
      <w:proofErr w:type="spellStart"/>
      <w:r>
        <w:t>nivolumab</w:t>
      </w:r>
      <w:proofErr w:type="spellEnd"/>
      <w:r>
        <w:t xml:space="preserve"> plus </w:t>
      </w:r>
      <w:proofErr w:type="spellStart"/>
      <w:r>
        <w:t>ipilimumab</w:t>
      </w:r>
      <w:proofErr w:type="spellEnd"/>
      <w:r>
        <w:t xml:space="preserve"> combination therapy to ipilimu</w:t>
      </w:r>
      <w:r w:rsidR="00BB7AD0">
        <w:t>mab monotherapy (CA209-069: N=</w:t>
      </w:r>
      <w:r w:rsidRPr="008A61DF">
        <w:t>142</w:t>
      </w:r>
      <w:r>
        <w:t>)</w:t>
      </w:r>
      <w:r w:rsidR="00BB7AD0">
        <w:t xml:space="preserve">. </w:t>
      </w:r>
      <w:r w:rsidR="00114D1B">
        <w:t>The</w:t>
      </w:r>
      <w:r>
        <w:t xml:space="preserve"> indirect comparison against </w:t>
      </w:r>
      <w:proofErr w:type="spellStart"/>
      <w:r>
        <w:t>pembrolizumab</w:t>
      </w:r>
      <w:proofErr w:type="spellEnd"/>
      <w:r w:rsidR="00BB7AD0">
        <w:t>,</w:t>
      </w:r>
      <w:r>
        <w:t xml:space="preserve"> with </w:t>
      </w:r>
      <w:proofErr w:type="spellStart"/>
      <w:r>
        <w:t>ipilimumab</w:t>
      </w:r>
      <w:proofErr w:type="spellEnd"/>
      <w:r>
        <w:t xml:space="preserve"> as the common </w:t>
      </w:r>
      <w:r w:rsidR="00BB7AD0">
        <w:lastRenderedPageBreak/>
        <w:t>reference</w:t>
      </w:r>
      <w:r>
        <w:t xml:space="preserve">, </w:t>
      </w:r>
      <w:r w:rsidR="00114D1B">
        <w:t xml:space="preserve">used </w:t>
      </w:r>
      <w:r>
        <w:t xml:space="preserve">the </w:t>
      </w:r>
      <w:r w:rsidR="00114D1B">
        <w:t xml:space="preserve">same two trials as well as </w:t>
      </w:r>
      <w:r w:rsidR="00BB7AD0">
        <w:t>KN-006 (N=</w:t>
      </w:r>
      <w:r w:rsidRPr="008A61DF">
        <w:t>834</w:t>
      </w:r>
      <w:r>
        <w:t xml:space="preserve">) for the </w:t>
      </w:r>
      <w:proofErr w:type="spellStart"/>
      <w:r>
        <w:t>pembrolizumab</w:t>
      </w:r>
      <w:proofErr w:type="spellEnd"/>
      <w:r>
        <w:t xml:space="preserve"> arm.</w:t>
      </w:r>
    </w:p>
    <w:p w:rsidR="003E147C" w:rsidRPr="00862502" w:rsidRDefault="003E147C" w:rsidP="00862502">
      <w:pPr>
        <w:widowControl/>
        <w:rPr>
          <w:szCs w:val="22"/>
        </w:rPr>
      </w:pPr>
    </w:p>
    <w:p w:rsidR="003E147C" w:rsidRDefault="003E147C" w:rsidP="003E147C">
      <w:pPr>
        <w:pStyle w:val="ListParagraph"/>
        <w:widowControl/>
        <w:numPr>
          <w:ilvl w:val="1"/>
          <w:numId w:val="6"/>
        </w:numPr>
        <w:rPr>
          <w:szCs w:val="22"/>
        </w:rPr>
      </w:pPr>
      <w:r w:rsidRPr="00B50DB8">
        <w:rPr>
          <w:szCs w:val="22"/>
        </w:rPr>
        <w:t>Details of the trials presented in the submission ar</w:t>
      </w:r>
      <w:r>
        <w:rPr>
          <w:szCs w:val="22"/>
        </w:rPr>
        <w:t xml:space="preserve">e provided in </w:t>
      </w:r>
      <w:r w:rsidR="0029391F">
        <w:rPr>
          <w:szCs w:val="22"/>
        </w:rPr>
        <w:t>T</w:t>
      </w:r>
      <w:r>
        <w:rPr>
          <w:szCs w:val="22"/>
        </w:rPr>
        <w:t xml:space="preserve">able </w:t>
      </w:r>
      <w:r w:rsidR="0029391F">
        <w:rPr>
          <w:szCs w:val="22"/>
        </w:rPr>
        <w:t xml:space="preserve">1 </w:t>
      </w:r>
      <w:r>
        <w:rPr>
          <w:szCs w:val="22"/>
        </w:rPr>
        <w:t>below</w:t>
      </w:r>
      <w:r w:rsidR="0029391F">
        <w:rPr>
          <w:szCs w:val="22"/>
        </w:rPr>
        <w:t xml:space="preserve"> with the information for the trials included</w:t>
      </w:r>
      <w:r w:rsidR="00600444">
        <w:rPr>
          <w:szCs w:val="22"/>
        </w:rPr>
        <w:t xml:space="preserve"> </w:t>
      </w:r>
      <w:r w:rsidR="0029391F">
        <w:rPr>
          <w:szCs w:val="22"/>
        </w:rPr>
        <w:t xml:space="preserve">in the indirect comparison versus </w:t>
      </w:r>
      <w:proofErr w:type="spellStart"/>
      <w:r w:rsidR="0029391F">
        <w:rPr>
          <w:szCs w:val="22"/>
        </w:rPr>
        <w:t>pembrolizumab</w:t>
      </w:r>
      <w:proofErr w:type="spellEnd"/>
      <w:r w:rsidR="0029391F">
        <w:rPr>
          <w:szCs w:val="22"/>
        </w:rPr>
        <w:t xml:space="preserve"> provided in Table 2</w:t>
      </w:r>
      <w:r>
        <w:rPr>
          <w:szCs w:val="22"/>
        </w:rPr>
        <w:t>.</w:t>
      </w:r>
    </w:p>
    <w:p w:rsidR="00600444" w:rsidRDefault="00600444" w:rsidP="00600444">
      <w:pPr>
        <w:widowControl/>
        <w:rPr>
          <w:szCs w:val="22"/>
        </w:rPr>
      </w:pPr>
    </w:p>
    <w:p w:rsidR="00600444" w:rsidRPr="00600444" w:rsidRDefault="00600444" w:rsidP="00600444">
      <w:pPr>
        <w:widowControl/>
        <w:ind w:left="720"/>
        <w:rPr>
          <w:rFonts w:ascii="Arial Narrow" w:hAnsi="Arial Narrow"/>
          <w:b/>
          <w:sz w:val="20"/>
          <w:szCs w:val="16"/>
        </w:rPr>
      </w:pPr>
      <w:r>
        <w:rPr>
          <w:rStyle w:val="CommentReference"/>
        </w:rPr>
        <w:t>Table 1: Trials (and associated reports) presented in the submission</w:t>
      </w:r>
    </w:p>
    <w:tbl>
      <w:tblPr>
        <w:tblW w:w="4589"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Trials (and associated reports) presented in the submission"/>
      </w:tblPr>
      <w:tblGrid>
        <w:gridCol w:w="1124"/>
        <w:gridCol w:w="4960"/>
        <w:gridCol w:w="2252"/>
      </w:tblGrid>
      <w:tr w:rsidR="00600444" w:rsidRPr="004E2ADC" w:rsidTr="004F080E">
        <w:tc>
          <w:tcPr>
            <w:tcW w:w="674" w:type="pct"/>
          </w:tcPr>
          <w:p w:rsidR="00600444" w:rsidRPr="004E2ADC" w:rsidRDefault="00600444" w:rsidP="009B1575">
            <w:pPr>
              <w:jc w:val="left"/>
              <w:rPr>
                <w:rFonts w:ascii="Arial Narrow" w:hAnsi="Arial Narrow"/>
                <w:b/>
                <w:sz w:val="20"/>
              </w:rPr>
            </w:pPr>
            <w:r w:rsidRPr="004E2ADC">
              <w:rPr>
                <w:rFonts w:ascii="Arial Narrow" w:hAnsi="Arial Narrow"/>
                <w:b/>
                <w:sz w:val="20"/>
              </w:rPr>
              <w:t>Trial ID</w:t>
            </w:r>
          </w:p>
        </w:tc>
        <w:tc>
          <w:tcPr>
            <w:tcW w:w="2975" w:type="pct"/>
          </w:tcPr>
          <w:p w:rsidR="00600444" w:rsidRPr="004E2ADC" w:rsidRDefault="00600444" w:rsidP="009B1575">
            <w:pPr>
              <w:jc w:val="center"/>
              <w:rPr>
                <w:rFonts w:ascii="Arial Narrow" w:hAnsi="Arial Narrow"/>
                <w:b/>
                <w:sz w:val="20"/>
              </w:rPr>
            </w:pPr>
            <w:r w:rsidRPr="004E2ADC">
              <w:rPr>
                <w:rFonts w:ascii="Arial Narrow" w:hAnsi="Arial Narrow"/>
                <w:b/>
                <w:sz w:val="20"/>
              </w:rPr>
              <w:t>Protocol title/ Publication title</w:t>
            </w:r>
          </w:p>
        </w:tc>
        <w:tc>
          <w:tcPr>
            <w:tcW w:w="1351" w:type="pct"/>
          </w:tcPr>
          <w:p w:rsidR="00600444" w:rsidRPr="004E2ADC" w:rsidRDefault="00600444" w:rsidP="009B1575">
            <w:pPr>
              <w:jc w:val="center"/>
              <w:rPr>
                <w:rFonts w:ascii="Arial Narrow" w:hAnsi="Arial Narrow"/>
                <w:b/>
                <w:sz w:val="20"/>
              </w:rPr>
            </w:pPr>
            <w:r w:rsidRPr="004E2ADC">
              <w:rPr>
                <w:rFonts w:ascii="Arial Narrow" w:hAnsi="Arial Narrow"/>
                <w:b/>
                <w:sz w:val="20"/>
              </w:rPr>
              <w:t>Publication citation</w:t>
            </w:r>
          </w:p>
        </w:tc>
      </w:tr>
      <w:tr w:rsidR="00600444" w:rsidRPr="004E2ADC" w:rsidTr="00600444">
        <w:tc>
          <w:tcPr>
            <w:tcW w:w="5000" w:type="pct"/>
            <w:gridSpan w:val="3"/>
          </w:tcPr>
          <w:p w:rsidR="00600444" w:rsidRPr="004E2ADC" w:rsidRDefault="00600444" w:rsidP="009B1575">
            <w:pPr>
              <w:jc w:val="left"/>
              <w:rPr>
                <w:rFonts w:ascii="Arial Narrow" w:hAnsi="Arial Narrow"/>
                <w:b/>
                <w:sz w:val="20"/>
              </w:rPr>
            </w:pPr>
            <w:r>
              <w:rPr>
                <w:rFonts w:ascii="Arial Narrow" w:hAnsi="Arial Narrow"/>
                <w:b/>
                <w:sz w:val="20"/>
              </w:rPr>
              <w:t>Direct randomised trials</w:t>
            </w:r>
          </w:p>
        </w:tc>
      </w:tr>
      <w:tr w:rsidR="00600444" w:rsidRPr="004E2ADC" w:rsidTr="004F080E">
        <w:tc>
          <w:tcPr>
            <w:tcW w:w="674" w:type="pct"/>
          </w:tcPr>
          <w:p w:rsidR="00600444" w:rsidRPr="004E2ADC" w:rsidRDefault="00600444" w:rsidP="009B1575">
            <w:pPr>
              <w:jc w:val="left"/>
              <w:rPr>
                <w:rFonts w:ascii="Arial Narrow" w:hAnsi="Arial Narrow"/>
                <w:sz w:val="20"/>
              </w:rPr>
            </w:pPr>
            <w:r>
              <w:rPr>
                <w:rFonts w:ascii="Arial Narrow" w:hAnsi="Arial Narrow"/>
                <w:sz w:val="20"/>
              </w:rPr>
              <w:t>CA-209-067</w:t>
            </w:r>
          </w:p>
        </w:tc>
        <w:tc>
          <w:tcPr>
            <w:tcW w:w="2975" w:type="pct"/>
          </w:tcPr>
          <w:p w:rsidR="00600444" w:rsidRDefault="00600444" w:rsidP="009B1575">
            <w:pPr>
              <w:jc w:val="left"/>
              <w:rPr>
                <w:rFonts w:ascii="Arial Narrow" w:hAnsi="Arial Narrow"/>
                <w:sz w:val="20"/>
              </w:rPr>
            </w:pPr>
            <w:r w:rsidRPr="00E405E7">
              <w:rPr>
                <w:rFonts w:ascii="Arial Narrow" w:hAnsi="Arial Narrow"/>
                <w:sz w:val="20"/>
              </w:rPr>
              <w:t xml:space="preserve">A Phase 3, Randomized, Double-Blind Study of </w:t>
            </w:r>
            <w:proofErr w:type="spellStart"/>
            <w:r w:rsidRPr="00E405E7">
              <w:rPr>
                <w:rFonts w:ascii="Arial Narrow" w:hAnsi="Arial Narrow"/>
                <w:sz w:val="20"/>
              </w:rPr>
              <w:t>Nivolumab</w:t>
            </w:r>
            <w:proofErr w:type="spellEnd"/>
            <w:r w:rsidRPr="00E405E7">
              <w:rPr>
                <w:rFonts w:ascii="Arial Narrow" w:hAnsi="Arial Narrow"/>
                <w:sz w:val="20"/>
              </w:rPr>
              <w:t xml:space="preserve"> Monotherapy or </w:t>
            </w:r>
            <w:proofErr w:type="spellStart"/>
            <w:r w:rsidRPr="00E405E7">
              <w:rPr>
                <w:rFonts w:ascii="Arial Narrow" w:hAnsi="Arial Narrow"/>
                <w:sz w:val="20"/>
              </w:rPr>
              <w:t>Nivolumab</w:t>
            </w:r>
            <w:proofErr w:type="spellEnd"/>
            <w:r w:rsidRPr="00E405E7">
              <w:rPr>
                <w:rFonts w:ascii="Arial Narrow" w:hAnsi="Arial Narrow"/>
                <w:sz w:val="20"/>
              </w:rPr>
              <w:t xml:space="preserve"> Combined With Ipilimumab Versus Ipilimumab Monotherapy in Subjects With Previously Untreated </w:t>
            </w:r>
            <w:proofErr w:type="spellStart"/>
            <w:r w:rsidRPr="00E405E7">
              <w:rPr>
                <w:rFonts w:ascii="Arial Narrow" w:hAnsi="Arial Narrow"/>
                <w:sz w:val="20"/>
              </w:rPr>
              <w:t>Unresectable</w:t>
            </w:r>
            <w:proofErr w:type="spellEnd"/>
            <w:r w:rsidRPr="00E405E7">
              <w:rPr>
                <w:rFonts w:ascii="Arial Narrow" w:hAnsi="Arial Narrow"/>
                <w:sz w:val="20"/>
              </w:rPr>
              <w:t xml:space="preserve"> or Metastatic Melanoma</w:t>
            </w:r>
          </w:p>
          <w:p w:rsidR="00600444" w:rsidRDefault="00600444" w:rsidP="009B1575">
            <w:pPr>
              <w:jc w:val="left"/>
              <w:rPr>
                <w:rFonts w:ascii="Arial Narrow" w:hAnsi="Arial Narrow"/>
                <w:sz w:val="20"/>
              </w:rPr>
            </w:pPr>
          </w:p>
          <w:p w:rsidR="00600444" w:rsidRPr="004E2ADC" w:rsidRDefault="00600444" w:rsidP="00BB7AD0">
            <w:pPr>
              <w:jc w:val="left"/>
              <w:rPr>
                <w:rFonts w:ascii="Arial Narrow" w:hAnsi="Arial Narrow"/>
                <w:b/>
                <w:sz w:val="20"/>
              </w:rPr>
            </w:pPr>
            <w:r w:rsidRPr="00E405E7">
              <w:rPr>
                <w:rFonts w:ascii="Arial Narrow" w:hAnsi="Arial Narrow"/>
                <w:sz w:val="20"/>
              </w:rPr>
              <w:t xml:space="preserve">Larkin J, </w:t>
            </w:r>
            <w:proofErr w:type="spellStart"/>
            <w:r w:rsidRPr="00E405E7">
              <w:rPr>
                <w:rFonts w:ascii="Arial Narrow" w:hAnsi="Arial Narrow"/>
                <w:sz w:val="20"/>
              </w:rPr>
              <w:t>Chiarion-Sileni</w:t>
            </w:r>
            <w:proofErr w:type="spellEnd"/>
            <w:r w:rsidRPr="00E405E7">
              <w:rPr>
                <w:rFonts w:ascii="Arial Narrow" w:hAnsi="Arial Narrow"/>
                <w:sz w:val="20"/>
              </w:rPr>
              <w:t xml:space="preserve"> V, Gonzalez R et al. Combined </w:t>
            </w:r>
            <w:proofErr w:type="spellStart"/>
            <w:r w:rsidRPr="00E405E7">
              <w:rPr>
                <w:rFonts w:ascii="Arial Narrow" w:hAnsi="Arial Narrow"/>
                <w:sz w:val="20"/>
              </w:rPr>
              <w:t>Nivolumab</w:t>
            </w:r>
            <w:proofErr w:type="spellEnd"/>
            <w:r w:rsidRPr="00E405E7">
              <w:rPr>
                <w:rFonts w:ascii="Arial Narrow" w:hAnsi="Arial Narrow"/>
                <w:sz w:val="20"/>
              </w:rPr>
              <w:t xml:space="preserve"> and </w:t>
            </w:r>
            <w:proofErr w:type="spellStart"/>
            <w:r w:rsidRPr="00E405E7">
              <w:rPr>
                <w:rFonts w:ascii="Arial Narrow" w:hAnsi="Arial Narrow"/>
                <w:sz w:val="20"/>
              </w:rPr>
              <w:t>Ipilimumab</w:t>
            </w:r>
            <w:proofErr w:type="spellEnd"/>
            <w:r w:rsidRPr="00E405E7">
              <w:rPr>
                <w:rFonts w:ascii="Arial Narrow" w:hAnsi="Arial Narrow"/>
                <w:sz w:val="20"/>
              </w:rPr>
              <w:t xml:space="preserve"> or Monotherapy in Untreated Melanoma</w:t>
            </w:r>
          </w:p>
        </w:tc>
        <w:tc>
          <w:tcPr>
            <w:tcW w:w="1351" w:type="pct"/>
          </w:tcPr>
          <w:p w:rsidR="00600444" w:rsidRPr="004E2ADC" w:rsidRDefault="00600444" w:rsidP="009B1575">
            <w:pPr>
              <w:jc w:val="left"/>
              <w:rPr>
                <w:rFonts w:ascii="Arial Narrow" w:hAnsi="Arial Narrow"/>
                <w:sz w:val="20"/>
              </w:rPr>
            </w:pPr>
            <w:r>
              <w:rPr>
                <w:rFonts w:ascii="Arial Narrow" w:hAnsi="Arial Narrow"/>
                <w:sz w:val="20"/>
              </w:rPr>
              <w:t>19 June 2015</w:t>
            </w:r>
          </w:p>
          <w:p w:rsidR="00600444" w:rsidRDefault="00600444" w:rsidP="009B1575">
            <w:pPr>
              <w:jc w:val="left"/>
              <w:rPr>
                <w:rFonts w:ascii="Arial Narrow" w:hAnsi="Arial Narrow"/>
                <w:i/>
                <w:sz w:val="20"/>
              </w:rPr>
            </w:pPr>
          </w:p>
          <w:p w:rsidR="00600444" w:rsidRDefault="00600444" w:rsidP="009B1575">
            <w:pPr>
              <w:jc w:val="left"/>
              <w:rPr>
                <w:rFonts w:ascii="Arial Narrow" w:hAnsi="Arial Narrow"/>
                <w:i/>
                <w:sz w:val="20"/>
              </w:rPr>
            </w:pPr>
          </w:p>
          <w:p w:rsidR="00600444" w:rsidRDefault="00600444" w:rsidP="009B1575">
            <w:pPr>
              <w:jc w:val="left"/>
              <w:rPr>
                <w:rFonts w:ascii="Arial Narrow" w:hAnsi="Arial Narrow"/>
                <w:i/>
                <w:sz w:val="20"/>
              </w:rPr>
            </w:pPr>
          </w:p>
          <w:p w:rsidR="00600444" w:rsidRDefault="00600444" w:rsidP="009B1575">
            <w:pPr>
              <w:jc w:val="left"/>
              <w:rPr>
                <w:rFonts w:ascii="Arial Narrow" w:hAnsi="Arial Narrow"/>
                <w:i/>
                <w:sz w:val="20"/>
              </w:rPr>
            </w:pPr>
          </w:p>
          <w:p w:rsidR="00600444" w:rsidRPr="004E2ADC" w:rsidRDefault="00600444" w:rsidP="009B1575">
            <w:pPr>
              <w:jc w:val="left"/>
              <w:rPr>
                <w:rFonts w:ascii="Arial Narrow" w:hAnsi="Arial Narrow"/>
                <w:b/>
                <w:sz w:val="20"/>
              </w:rPr>
            </w:pPr>
            <w:r w:rsidRPr="002C7223">
              <w:rPr>
                <w:rFonts w:ascii="Arial Narrow" w:eastAsia="SimSun" w:hAnsi="Arial Narrow" w:cs="Arial Narrow"/>
                <w:i/>
                <w:sz w:val="20"/>
              </w:rPr>
              <w:t>NEJM</w:t>
            </w:r>
            <w:r>
              <w:rPr>
                <w:rFonts w:ascii="Arial Narrow" w:eastAsia="SimSun" w:hAnsi="Arial Narrow" w:cs="Arial Narrow"/>
                <w:sz w:val="20"/>
              </w:rPr>
              <w:t xml:space="preserve"> 2015 373 (1) 23-34</w:t>
            </w:r>
          </w:p>
        </w:tc>
      </w:tr>
      <w:tr w:rsidR="00600444" w:rsidRPr="004E2ADC" w:rsidTr="004F080E">
        <w:tc>
          <w:tcPr>
            <w:tcW w:w="674" w:type="pct"/>
          </w:tcPr>
          <w:p w:rsidR="00600444" w:rsidRPr="004E2ADC" w:rsidRDefault="00600444" w:rsidP="009B1575">
            <w:pPr>
              <w:jc w:val="left"/>
              <w:rPr>
                <w:rFonts w:ascii="Arial Narrow" w:hAnsi="Arial Narrow"/>
                <w:sz w:val="20"/>
              </w:rPr>
            </w:pPr>
            <w:r>
              <w:rPr>
                <w:rFonts w:ascii="Arial Narrow" w:hAnsi="Arial Narrow"/>
                <w:sz w:val="20"/>
              </w:rPr>
              <w:t>CA-209-069</w:t>
            </w:r>
          </w:p>
        </w:tc>
        <w:tc>
          <w:tcPr>
            <w:tcW w:w="2975" w:type="pct"/>
          </w:tcPr>
          <w:p w:rsidR="00600444" w:rsidRDefault="00600444" w:rsidP="009B1575">
            <w:pPr>
              <w:jc w:val="left"/>
              <w:rPr>
                <w:rFonts w:ascii="Arial Narrow" w:eastAsia="SimSun" w:hAnsi="Arial Narrow" w:cs="Arial Narrow"/>
                <w:sz w:val="20"/>
              </w:rPr>
            </w:pPr>
            <w:r w:rsidRPr="00E67DC2">
              <w:rPr>
                <w:rFonts w:ascii="Arial Narrow" w:eastAsia="SimSun" w:hAnsi="Arial Narrow" w:cs="Arial Narrow"/>
                <w:sz w:val="20"/>
              </w:rPr>
              <w:t xml:space="preserve">Phase 2, Randomized, Double Blinded, Study of </w:t>
            </w:r>
            <w:proofErr w:type="spellStart"/>
            <w:r w:rsidRPr="00E67DC2">
              <w:rPr>
                <w:rFonts w:ascii="Arial Narrow" w:eastAsia="SimSun" w:hAnsi="Arial Narrow" w:cs="Arial Narrow"/>
                <w:sz w:val="20"/>
              </w:rPr>
              <w:t>Nivolumab</w:t>
            </w:r>
            <w:proofErr w:type="spellEnd"/>
            <w:r w:rsidRPr="00E67DC2">
              <w:rPr>
                <w:rFonts w:ascii="Arial Narrow" w:eastAsia="SimSun" w:hAnsi="Arial Narrow" w:cs="Arial Narrow"/>
                <w:sz w:val="20"/>
              </w:rPr>
              <w:t xml:space="preserve"> (BMS-936558) in Combination With Ipilimumab vs Ipilimumab Alone in Subjects With Previously Untreated, </w:t>
            </w:r>
            <w:proofErr w:type="spellStart"/>
            <w:r w:rsidRPr="00E67DC2">
              <w:rPr>
                <w:rFonts w:ascii="Arial Narrow" w:eastAsia="SimSun" w:hAnsi="Arial Narrow" w:cs="Arial Narrow"/>
                <w:sz w:val="20"/>
              </w:rPr>
              <w:t>Unresectable</w:t>
            </w:r>
            <w:proofErr w:type="spellEnd"/>
            <w:r w:rsidRPr="00E67DC2">
              <w:rPr>
                <w:rFonts w:ascii="Arial Narrow" w:eastAsia="SimSun" w:hAnsi="Arial Narrow" w:cs="Arial Narrow"/>
                <w:sz w:val="20"/>
              </w:rPr>
              <w:t xml:space="preserve"> or Metastatic Melanoma</w:t>
            </w:r>
          </w:p>
          <w:p w:rsidR="00600444" w:rsidRDefault="00600444" w:rsidP="009B1575">
            <w:pPr>
              <w:jc w:val="left"/>
              <w:rPr>
                <w:rFonts w:ascii="Arial Narrow" w:eastAsia="SimSun" w:hAnsi="Arial Narrow" w:cs="Arial Narrow"/>
                <w:sz w:val="20"/>
              </w:rPr>
            </w:pPr>
          </w:p>
          <w:p w:rsidR="00600444" w:rsidRPr="004E2ADC" w:rsidRDefault="00600444" w:rsidP="009B1575">
            <w:pPr>
              <w:jc w:val="left"/>
              <w:rPr>
                <w:rFonts w:ascii="Arial Narrow" w:hAnsi="Arial Narrow"/>
                <w:b/>
                <w:sz w:val="20"/>
              </w:rPr>
            </w:pPr>
            <w:proofErr w:type="spellStart"/>
            <w:r w:rsidRPr="00E67DC2">
              <w:rPr>
                <w:rFonts w:ascii="Arial Narrow" w:eastAsia="SimSun" w:hAnsi="Arial Narrow" w:cs="Arial Narrow"/>
                <w:sz w:val="20"/>
              </w:rPr>
              <w:t>Postow</w:t>
            </w:r>
            <w:proofErr w:type="spellEnd"/>
            <w:r w:rsidRPr="00E67DC2">
              <w:rPr>
                <w:rFonts w:ascii="Arial Narrow" w:eastAsia="SimSun" w:hAnsi="Arial Narrow" w:cs="Arial Narrow"/>
                <w:sz w:val="20"/>
              </w:rPr>
              <w:t xml:space="preserve"> MA, Chesney J, </w:t>
            </w:r>
            <w:proofErr w:type="spellStart"/>
            <w:r w:rsidRPr="00E67DC2">
              <w:rPr>
                <w:rFonts w:ascii="Arial Narrow" w:eastAsia="SimSun" w:hAnsi="Arial Narrow" w:cs="Arial Narrow"/>
                <w:sz w:val="20"/>
              </w:rPr>
              <w:t>Pavlick</w:t>
            </w:r>
            <w:proofErr w:type="spellEnd"/>
            <w:r w:rsidRPr="00E67DC2">
              <w:rPr>
                <w:rFonts w:ascii="Arial Narrow" w:eastAsia="SimSun" w:hAnsi="Arial Narrow" w:cs="Arial Narrow"/>
                <w:sz w:val="20"/>
              </w:rPr>
              <w:t xml:space="preserve"> AC </w:t>
            </w:r>
            <w:r w:rsidRPr="009406C4">
              <w:rPr>
                <w:rFonts w:ascii="Arial Narrow" w:eastAsia="SimSun" w:hAnsi="Arial Narrow" w:cs="Arial Narrow"/>
                <w:sz w:val="20"/>
              </w:rPr>
              <w:t>et al.</w:t>
            </w:r>
            <w:r w:rsidRPr="00E67DC2">
              <w:rPr>
                <w:rFonts w:ascii="Arial Narrow" w:eastAsia="SimSun" w:hAnsi="Arial Narrow" w:cs="Arial Narrow"/>
                <w:sz w:val="20"/>
              </w:rPr>
              <w:t xml:space="preserve"> </w:t>
            </w:r>
            <w:proofErr w:type="spellStart"/>
            <w:r w:rsidRPr="00E67DC2">
              <w:rPr>
                <w:rFonts w:ascii="Arial Narrow" w:eastAsia="SimSun" w:hAnsi="Arial Narrow" w:cs="Arial Narrow"/>
                <w:sz w:val="20"/>
              </w:rPr>
              <w:t>Nivolumab</w:t>
            </w:r>
            <w:proofErr w:type="spellEnd"/>
            <w:r w:rsidRPr="00E67DC2">
              <w:rPr>
                <w:rFonts w:ascii="Arial Narrow" w:eastAsia="SimSun" w:hAnsi="Arial Narrow" w:cs="Arial Narrow"/>
                <w:sz w:val="20"/>
              </w:rPr>
              <w:t xml:space="preserve"> and </w:t>
            </w:r>
            <w:proofErr w:type="spellStart"/>
            <w:r w:rsidRPr="00E67DC2">
              <w:rPr>
                <w:rFonts w:ascii="Arial Narrow" w:eastAsia="SimSun" w:hAnsi="Arial Narrow" w:cs="Arial Narrow"/>
                <w:sz w:val="20"/>
              </w:rPr>
              <w:t>Ipilimumab</w:t>
            </w:r>
            <w:proofErr w:type="spellEnd"/>
            <w:r w:rsidRPr="00E67DC2">
              <w:rPr>
                <w:rFonts w:ascii="Arial Narrow" w:eastAsia="SimSun" w:hAnsi="Arial Narrow" w:cs="Arial Narrow"/>
                <w:sz w:val="20"/>
              </w:rPr>
              <w:t xml:space="preserve"> versus Ipilimumab in Untreated Melanoma</w:t>
            </w:r>
          </w:p>
        </w:tc>
        <w:tc>
          <w:tcPr>
            <w:tcW w:w="1351" w:type="pct"/>
          </w:tcPr>
          <w:p w:rsidR="00600444" w:rsidRPr="004E2ADC" w:rsidRDefault="00600444" w:rsidP="009B1575">
            <w:pPr>
              <w:jc w:val="left"/>
              <w:rPr>
                <w:rFonts w:ascii="Arial Narrow" w:hAnsi="Arial Narrow"/>
                <w:sz w:val="20"/>
              </w:rPr>
            </w:pPr>
            <w:r>
              <w:rPr>
                <w:rFonts w:ascii="Arial Narrow" w:hAnsi="Arial Narrow"/>
                <w:sz w:val="20"/>
              </w:rPr>
              <w:t>4 May 2015</w:t>
            </w:r>
          </w:p>
          <w:p w:rsidR="00600444" w:rsidRDefault="00600444" w:rsidP="009B1575">
            <w:pPr>
              <w:jc w:val="left"/>
              <w:rPr>
                <w:rFonts w:ascii="Arial Narrow" w:hAnsi="Arial Narrow"/>
                <w:i/>
                <w:sz w:val="20"/>
              </w:rPr>
            </w:pPr>
          </w:p>
          <w:p w:rsidR="00600444" w:rsidRDefault="00600444" w:rsidP="009B1575">
            <w:pPr>
              <w:jc w:val="left"/>
              <w:rPr>
                <w:rFonts w:ascii="Arial Narrow" w:hAnsi="Arial Narrow"/>
                <w:i/>
                <w:sz w:val="20"/>
              </w:rPr>
            </w:pPr>
          </w:p>
          <w:p w:rsidR="00600444" w:rsidRDefault="00600444" w:rsidP="009B1575">
            <w:pPr>
              <w:jc w:val="left"/>
              <w:rPr>
                <w:rFonts w:ascii="Arial Narrow" w:hAnsi="Arial Narrow"/>
                <w:i/>
                <w:sz w:val="20"/>
              </w:rPr>
            </w:pPr>
          </w:p>
          <w:p w:rsidR="00600444" w:rsidRDefault="00600444" w:rsidP="009B1575">
            <w:pPr>
              <w:jc w:val="left"/>
              <w:rPr>
                <w:rFonts w:ascii="Arial Narrow" w:hAnsi="Arial Narrow"/>
                <w:i/>
                <w:sz w:val="20"/>
              </w:rPr>
            </w:pPr>
          </w:p>
          <w:p w:rsidR="00600444" w:rsidRPr="002C7223" w:rsidRDefault="00600444" w:rsidP="009B1575">
            <w:pPr>
              <w:jc w:val="left"/>
              <w:rPr>
                <w:rFonts w:ascii="Arial Narrow" w:hAnsi="Arial Narrow"/>
                <w:b/>
                <w:sz w:val="20"/>
              </w:rPr>
            </w:pPr>
            <w:r>
              <w:rPr>
                <w:rFonts w:ascii="Arial Narrow" w:hAnsi="Arial Narrow"/>
                <w:i/>
                <w:sz w:val="20"/>
              </w:rPr>
              <w:t>NEJM</w:t>
            </w:r>
            <w:r w:rsidR="004F080E">
              <w:rPr>
                <w:rFonts w:ascii="Arial Narrow" w:hAnsi="Arial Narrow"/>
                <w:sz w:val="20"/>
              </w:rPr>
              <w:t xml:space="preserve"> 2015 372 (21) 2006-</w:t>
            </w:r>
            <w:r>
              <w:rPr>
                <w:rFonts w:ascii="Arial Narrow" w:hAnsi="Arial Narrow"/>
                <w:sz w:val="20"/>
              </w:rPr>
              <w:t>17</w:t>
            </w:r>
          </w:p>
        </w:tc>
      </w:tr>
    </w:tbl>
    <w:p w:rsidR="00600444" w:rsidRPr="00D13A3E" w:rsidRDefault="00600444" w:rsidP="00600444">
      <w:pPr>
        <w:pStyle w:val="TableFooter"/>
        <w:ind w:left="720"/>
      </w:pPr>
      <w:r w:rsidRPr="00D13A3E">
        <w:t xml:space="preserve">Source: </w:t>
      </w:r>
      <w:r>
        <w:t>Table 10, p60 of the submission.</w:t>
      </w:r>
    </w:p>
    <w:p w:rsidR="00600444" w:rsidRPr="00BB7AD0" w:rsidRDefault="00600444" w:rsidP="00AF0595">
      <w:pPr>
        <w:pStyle w:val="BodyText"/>
      </w:pPr>
    </w:p>
    <w:p w:rsidR="003E147C" w:rsidRDefault="00600444" w:rsidP="00600444">
      <w:pPr>
        <w:pStyle w:val="ListParagraph"/>
        <w:numPr>
          <w:ilvl w:val="1"/>
          <w:numId w:val="6"/>
        </w:numPr>
      </w:pPr>
      <w:r>
        <w:t xml:space="preserve">Table 2 presents the information for the trials included in the indirect comparison versus </w:t>
      </w:r>
      <w:proofErr w:type="spellStart"/>
      <w:r>
        <w:t>pembrolizumab</w:t>
      </w:r>
      <w:proofErr w:type="spellEnd"/>
      <w:r>
        <w:t>.</w:t>
      </w:r>
    </w:p>
    <w:p w:rsidR="00101D0B" w:rsidRPr="00600444" w:rsidRDefault="00101D0B" w:rsidP="00101D0B"/>
    <w:p w:rsidR="003E147C" w:rsidRPr="009F0806" w:rsidRDefault="003E147C" w:rsidP="00600444">
      <w:pPr>
        <w:keepNext/>
        <w:widowControl/>
        <w:ind w:left="720"/>
        <w:rPr>
          <w:rStyle w:val="CommentReference"/>
        </w:rPr>
      </w:pPr>
      <w:r>
        <w:rPr>
          <w:rStyle w:val="CommentReference"/>
        </w:rPr>
        <w:t xml:space="preserve">Table </w:t>
      </w:r>
      <w:r w:rsidR="00600444">
        <w:rPr>
          <w:rStyle w:val="CommentReference"/>
        </w:rPr>
        <w:t>2</w:t>
      </w:r>
      <w:r>
        <w:rPr>
          <w:rStyle w:val="CommentReference"/>
        </w:rPr>
        <w:t>: Trials (and associated reports) presented in the submission</w:t>
      </w:r>
    </w:p>
    <w:tbl>
      <w:tblPr>
        <w:tblW w:w="4520"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Table 2: Trials (and associated reports) presented in the submission"/>
      </w:tblPr>
      <w:tblGrid>
        <w:gridCol w:w="1148"/>
        <w:gridCol w:w="1108"/>
        <w:gridCol w:w="4395"/>
        <w:gridCol w:w="1560"/>
      </w:tblGrid>
      <w:tr w:rsidR="006F26DB" w:rsidRPr="004E2ADC" w:rsidTr="006F26DB">
        <w:tc>
          <w:tcPr>
            <w:tcW w:w="699" w:type="pct"/>
            <w:tcBorders>
              <w:top w:val="single" w:sz="4" w:space="0" w:color="auto"/>
              <w:left w:val="single" w:sz="4" w:space="0" w:color="auto"/>
              <w:bottom w:val="single" w:sz="4" w:space="0" w:color="auto"/>
              <w:right w:val="single" w:sz="4" w:space="0" w:color="auto"/>
            </w:tcBorders>
            <w:vAlign w:val="center"/>
          </w:tcPr>
          <w:p w:rsidR="003E147C" w:rsidRPr="004E2ADC" w:rsidRDefault="003E147C" w:rsidP="00C75C26">
            <w:pPr>
              <w:pStyle w:val="TableHeading"/>
              <w:keepNext w:val="0"/>
              <w:spacing w:before="0" w:after="0"/>
              <w:rPr>
                <w:rFonts w:cs="Arial"/>
                <w:lang w:eastAsia="en-AU"/>
              </w:rPr>
            </w:pPr>
            <w:r w:rsidRPr="004E2ADC">
              <w:rPr>
                <w:rFonts w:cs="Arial"/>
                <w:lang w:eastAsia="en-AU"/>
              </w:rPr>
              <w:t>Trial</w:t>
            </w:r>
          </w:p>
        </w:tc>
        <w:tc>
          <w:tcPr>
            <w:tcW w:w="675" w:type="pct"/>
            <w:tcBorders>
              <w:top w:val="single" w:sz="4" w:space="0" w:color="auto"/>
              <w:left w:val="single" w:sz="4" w:space="0" w:color="auto"/>
              <w:bottom w:val="single" w:sz="4" w:space="0" w:color="auto"/>
              <w:right w:val="single" w:sz="4" w:space="0" w:color="auto"/>
            </w:tcBorders>
            <w:vAlign w:val="center"/>
          </w:tcPr>
          <w:p w:rsidR="003E147C" w:rsidRPr="004E2ADC" w:rsidRDefault="003E147C" w:rsidP="00C75C26">
            <w:pPr>
              <w:pStyle w:val="TableHeading"/>
              <w:keepNext w:val="0"/>
              <w:spacing w:before="0" w:after="0"/>
              <w:jc w:val="center"/>
              <w:rPr>
                <w:rFonts w:cs="Arial"/>
                <w:lang w:eastAsia="en-AU"/>
              </w:rPr>
            </w:pPr>
            <w:r w:rsidRPr="004E2ADC">
              <w:rPr>
                <w:rFonts w:cs="Arial"/>
                <w:lang w:eastAsia="en-AU"/>
              </w:rPr>
              <w:t>Description</w:t>
            </w:r>
          </w:p>
        </w:tc>
        <w:tc>
          <w:tcPr>
            <w:tcW w:w="2676" w:type="pct"/>
            <w:tcBorders>
              <w:top w:val="single" w:sz="4" w:space="0" w:color="auto"/>
              <w:left w:val="single" w:sz="4" w:space="0" w:color="auto"/>
              <w:bottom w:val="single" w:sz="4" w:space="0" w:color="auto"/>
              <w:right w:val="single" w:sz="4" w:space="0" w:color="auto"/>
            </w:tcBorders>
            <w:vAlign w:val="center"/>
          </w:tcPr>
          <w:p w:rsidR="003E147C" w:rsidRPr="004E2ADC" w:rsidRDefault="003E147C" w:rsidP="00C75C26">
            <w:pPr>
              <w:pStyle w:val="TableHeading"/>
              <w:keepNext w:val="0"/>
              <w:spacing w:before="0" w:after="0"/>
              <w:jc w:val="center"/>
              <w:rPr>
                <w:rFonts w:cs="Arial"/>
                <w:lang w:eastAsia="en-AU"/>
              </w:rPr>
            </w:pPr>
            <w:r w:rsidRPr="004E2ADC">
              <w:rPr>
                <w:rFonts w:cs="Arial"/>
                <w:lang w:eastAsia="en-AU"/>
              </w:rPr>
              <w:t>Reports</w:t>
            </w:r>
          </w:p>
        </w:tc>
        <w:tc>
          <w:tcPr>
            <w:tcW w:w="951" w:type="pct"/>
            <w:tcBorders>
              <w:top w:val="single" w:sz="4" w:space="0" w:color="auto"/>
              <w:left w:val="single" w:sz="4" w:space="0" w:color="auto"/>
              <w:bottom w:val="single" w:sz="4" w:space="0" w:color="auto"/>
              <w:right w:val="single" w:sz="4" w:space="0" w:color="auto"/>
            </w:tcBorders>
            <w:vAlign w:val="center"/>
          </w:tcPr>
          <w:p w:rsidR="003E147C" w:rsidRPr="004E2ADC" w:rsidRDefault="003E147C" w:rsidP="00C75C26">
            <w:pPr>
              <w:pStyle w:val="TableHeading"/>
              <w:keepNext w:val="0"/>
              <w:spacing w:before="0" w:after="0"/>
              <w:jc w:val="center"/>
              <w:rPr>
                <w:rFonts w:cs="Arial"/>
                <w:lang w:eastAsia="en-AU"/>
              </w:rPr>
            </w:pPr>
            <w:r>
              <w:rPr>
                <w:rFonts w:cs="Arial"/>
                <w:lang w:eastAsia="en-AU"/>
              </w:rPr>
              <w:t>Exchangeable</w:t>
            </w:r>
            <w:r w:rsidRPr="004E2ADC">
              <w:rPr>
                <w:rFonts w:cs="Arial"/>
                <w:lang w:eastAsia="en-AU"/>
              </w:rPr>
              <w:t>?</w:t>
            </w:r>
          </w:p>
        </w:tc>
      </w:tr>
      <w:tr w:rsidR="003E147C" w:rsidRPr="004E2ADC" w:rsidTr="006F26DB">
        <w:tc>
          <w:tcPr>
            <w:tcW w:w="5000" w:type="pct"/>
            <w:gridSpan w:val="4"/>
            <w:tcBorders>
              <w:top w:val="single" w:sz="4" w:space="0" w:color="auto"/>
              <w:left w:val="single" w:sz="4" w:space="0" w:color="auto"/>
              <w:bottom w:val="single" w:sz="4" w:space="0" w:color="auto"/>
              <w:right w:val="single" w:sz="4" w:space="0" w:color="auto"/>
            </w:tcBorders>
            <w:vAlign w:val="center"/>
          </w:tcPr>
          <w:p w:rsidR="003E147C" w:rsidRPr="004E2ADC" w:rsidRDefault="003E147C" w:rsidP="00C75C26">
            <w:pPr>
              <w:pStyle w:val="TableHeading"/>
              <w:keepNext w:val="0"/>
              <w:spacing w:before="0" w:after="0"/>
              <w:rPr>
                <w:rFonts w:cs="Arial"/>
                <w:lang w:eastAsia="en-AU"/>
              </w:rPr>
            </w:pPr>
            <w:r w:rsidRPr="004E2ADC">
              <w:rPr>
                <w:rFonts w:cs="Arial"/>
                <w:lang w:eastAsia="en-AU"/>
              </w:rPr>
              <w:t xml:space="preserve">Common </w:t>
            </w:r>
            <w:r w:rsidR="00A33BC5" w:rsidRPr="004E2ADC">
              <w:rPr>
                <w:rFonts w:cs="Arial"/>
                <w:lang w:eastAsia="en-AU"/>
              </w:rPr>
              <w:t>reference:</w:t>
            </w:r>
            <w:r>
              <w:rPr>
                <w:rFonts w:cs="Arial"/>
                <w:lang w:eastAsia="en-AU"/>
              </w:rPr>
              <w:t xml:space="preserve"> Ipilimumab monotherapy</w:t>
            </w:r>
          </w:p>
        </w:tc>
      </w:tr>
      <w:tr w:rsidR="003E147C" w:rsidRPr="004E2ADC" w:rsidTr="006F26DB">
        <w:tc>
          <w:tcPr>
            <w:tcW w:w="5000" w:type="pct"/>
            <w:gridSpan w:val="4"/>
            <w:tcBorders>
              <w:top w:val="single" w:sz="4" w:space="0" w:color="auto"/>
              <w:left w:val="single" w:sz="4" w:space="0" w:color="auto"/>
              <w:bottom w:val="single" w:sz="4" w:space="0" w:color="auto"/>
              <w:right w:val="single" w:sz="4" w:space="0" w:color="auto"/>
            </w:tcBorders>
            <w:vAlign w:val="center"/>
          </w:tcPr>
          <w:p w:rsidR="003E147C" w:rsidRPr="00C77845" w:rsidRDefault="003E147C" w:rsidP="00C75C26">
            <w:pPr>
              <w:pStyle w:val="TableText0"/>
              <w:keepNext w:val="0"/>
              <w:spacing w:before="0" w:after="0"/>
              <w:rPr>
                <w:rFonts w:cs="Arial"/>
                <w:iCs/>
                <w:lang w:eastAsia="en-AU"/>
              </w:rPr>
            </w:pPr>
            <w:proofErr w:type="spellStart"/>
            <w:r w:rsidRPr="00C77845">
              <w:rPr>
                <w:rFonts w:cs="Arial"/>
                <w:iCs/>
                <w:lang w:eastAsia="en-AU"/>
              </w:rPr>
              <w:t>Nivolumab</w:t>
            </w:r>
            <w:proofErr w:type="spellEnd"/>
            <w:r>
              <w:rPr>
                <w:rFonts w:cs="Arial"/>
                <w:iCs/>
                <w:lang w:eastAsia="en-AU"/>
              </w:rPr>
              <w:t xml:space="preserve"> plus </w:t>
            </w:r>
            <w:proofErr w:type="spellStart"/>
            <w:r>
              <w:rPr>
                <w:rFonts w:cs="Arial"/>
                <w:iCs/>
                <w:lang w:eastAsia="en-AU"/>
              </w:rPr>
              <w:t>ipilimumab</w:t>
            </w:r>
            <w:proofErr w:type="spellEnd"/>
          </w:p>
        </w:tc>
      </w:tr>
      <w:tr w:rsidR="006F26DB" w:rsidRPr="004E2ADC" w:rsidTr="006F26DB">
        <w:tc>
          <w:tcPr>
            <w:tcW w:w="699" w:type="pct"/>
            <w:tcBorders>
              <w:top w:val="single" w:sz="4" w:space="0" w:color="auto"/>
              <w:left w:val="single" w:sz="4" w:space="0" w:color="auto"/>
              <w:bottom w:val="single" w:sz="4" w:space="0" w:color="auto"/>
              <w:right w:val="single" w:sz="4" w:space="0" w:color="auto"/>
            </w:tcBorders>
          </w:tcPr>
          <w:p w:rsidR="003E147C" w:rsidRPr="004E2ADC" w:rsidRDefault="003E147C" w:rsidP="00C75C26">
            <w:pPr>
              <w:pStyle w:val="TableText0"/>
              <w:keepNext w:val="0"/>
              <w:spacing w:before="0" w:after="0"/>
              <w:rPr>
                <w:rFonts w:cs="Arial"/>
                <w:lang w:eastAsia="en-AU"/>
              </w:rPr>
            </w:pPr>
            <w:r>
              <w:rPr>
                <w:rFonts w:cs="Arial"/>
                <w:lang w:eastAsia="en-AU"/>
              </w:rPr>
              <w:t>CA209-067</w:t>
            </w:r>
          </w:p>
        </w:tc>
        <w:tc>
          <w:tcPr>
            <w:tcW w:w="675" w:type="pct"/>
            <w:tcBorders>
              <w:top w:val="single" w:sz="4" w:space="0" w:color="auto"/>
              <w:left w:val="single" w:sz="4" w:space="0" w:color="auto"/>
              <w:bottom w:val="single" w:sz="4" w:space="0" w:color="auto"/>
              <w:right w:val="single" w:sz="4" w:space="0" w:color="auto"/>
            </w:tcBorders>
          </w:tcPr>
          <w:p w:rsidR="003E147C" w:rsidRPr="004E2ADC" w:rsidRDefault="003E147C" w:rsidP="00C75C26">
            <w:pPr>
              <w:pStyle w:val="TableText0"/>
              <w:keepNext w:val="0"/>
              <w:spacing w:before="0" w:after="0"/>
              <w:rPr>
                <w:rFonts w:cs="Arial"/>
                <w:lang w:eastAsia="en-AU"/>
              </w:rPr>
            </w:pPr>
            <w:r>
              <w:rPr>
                <w:rFonts w:cs="Arial"/>
                <w:lang w:eastAsia="en-AU"/>
              </w:rPr>
              <w:t>R, DB, MC</w:t>
            </w:r>
          </w:p>
        </w:tc>
        <w:tc>
          <w:tcPr>
            <w:tcW w:w="2676" w:type="pct"/>
            <w:tcBorders>
              <w:top w:val="single" w:sz="4" w:space="0" w:color="auto"/>
              <w:left w:val="single" w:sz="4" w:space="0" w:color="auto"/>
              <w:bottom w:val="single" w:sz="4" w:space="0" w:color="auto"/>
              <w:right w:val="single" w:sz="4" w:space="0" w:color="auto"/>
            </w:tcBorders>
            <w:vAlign w:val="center"/>
          </w:tcPr>
          <w:p w:rsidR="003E147C" w:rsidRPr="004E2ADC" w:rsidRDefault="0029391F" w:rsidP="00BB7AD0">
            <w:pPr>
              <w:jc w:val="left"/>
              <w:rPr>
                <w:lang w:eastAsia="en-AU"/>
              </w:rPr>
            </w:pPr>
            <w:r>
              <w:rPr>
                <w:rFonts w:ascii="Arial Narrow" w:hAnsi="Arial Narrow"/>
                <w:sz w:val="20"/>
              </w:rPr>
              <w:t>as in Table 1 above</w:t>
            </w:r>
          </w:p>
        </w:tc>
        <w:tc>
          <w:tcPr>
            <w:tcW w:w="951" w:type="pct"/>
            <w:tcBorders>
              <w:top w:val="single" w:sz="4" w:space="0" w:color="auto"/>
              <w:left w:val="single" w:sz="4" w:space="0" w:color="auto"/>
              <w:bottom w:val="single" w:sz="4" w:space="0" w:color="auto"/>
              <w:right w:val="single" w:sz="4" w:space="0" w:color="auto"/>
            </w:tcBorders>
            <w:vAlign w:val="center"/>
          </w:tcPr>
          <w:p w:rsidR="003E147C" w:rsidRPr="004E2ADC" w:rsidRDefault="003E147C" w:rsidP="00C75C26">
            <w:pPr>
              <w:pStyle w:val="TableText0"/>
              <w:keepNext w:val="0"/>
              <w:spacing w:before="0" w:after="0"/>
              <w:jc w:val="center"/>
              <w:rPr>
                <w:rFonts w:cs="Arial"/>
                <w:lang w:eastAsia="en-AU"/>
              </w:rPr>
            </w:pPr>
            <w:r>
              <w:rPr>
                <w:rFonts w:cs="Arial"/>
                <w:lang w:eastAsia="en-AU"/>
              </w:rPr>
              <w:t>No</w:t>
            </w:r>
          </w:p>
        </w:tc>
      </w:tr>
      <w:tr w:rsidR="006F26DB" w:rsidRPr="004E2ADC" w:rsidTr="006F26DB">
        <w:tc>
          <w:tcPr>
            <w:tcW w:w="699" w:type="pct"/>
            <w:tcBorders>
              <w:top w:val="single" w:sz="4" w:space="0" w:color="auto"/>
              <w:left w:val="single" w:sz="4" w:space="0" w:color="auto"/>
              <w:bottom w:val="single" w:sz="4" w:space="0" w:color="auto"/>
              <w:right w:val="single" w:sz="4" w:space="0" w:color="auto"/>
            </w:tcBorders>
          </w:tcPr>
          <w:p w:rsidR="003E147C" w:rsidRDefault="003E147C" w:rsidP="00C75C26">
            <w:pPr>
              <w:pStyle w:val="TableText0"/>
              <w:keepNext w:val="0"/>
              <w:spacing w:before="0" w:after="0"/>
              <w:rPr>
                <w:rFonts w:cs="Arial"/>
                <w:lang w:eastAsia="en-AU"/>
              </w:rPr>
            </w:pPr>
            <w:r>
              <w:rPr>
                <w:rFonts w:cs="Arial"/>
                <w:lang w:eastAsia="en-AU"/>
              </w:rPr>
              <w:t>CA209-069</w:t>
            </w:r>
          </w:p>
        </w:tc>
        <w:tc>
          <w:tcPr>
            <w:tcW w:w="675" w:type="pct"/>
            <w:tcBorders>
              <w:top w:val="single" w:sz="4" w:space="0" w:color="auto"/>
              <w:left w:val="single" w:sz="4" w:space="0" w:color="auto"/>
              <w:bottom w:val="single" w:sz="4" w:space="0" w:color="auto"/>
              <w:right w:val="single" w:sz="4" w:space="0" w:color="auto"/>
            </w:tcBorders>
          </w:tcPr>
          <w:p w:rsidR="003E147C" w:rsidRDefault="003E147C" w:rsidP="00C75C26">
            <w:pPr>
              <w:pStyle w:val="TableText0"/>
              <w:keepNext w:val="0"/>
              <w:spacing w:before="0" w:after="0"/>
              <w:rPr>
                <w:rFonts w:cs="Arial"/>
                <w:lang w:eastAsia="en-AU"/>
              </w:rPr>
            </w:pPr>
            <w:r>
              <w:rPr>
                <w:rFonts w:cs="Arial"/>
                <w:lang w:eastAsia="en-AU"/>
              </w:rPr>
              <w:t>R, DB, MC</w:t>
            </w:r>
          </w:p>
        </w:tc>
        <w:tc>
          <w:tcPr>
            <w:tcW w:w="2676" w:type="pct"/>
            <w:tcBorders>
              <w:top w:val="single" w:sz="4" w:space="0" w:color="auto"/>
              <w:left w:val="single" w:sz="4" w:space="0" w:color="auto"/>
              <w:bottom w:val="single" w:sz="4" w:space="0" w:color="auto"/>
              <w:right w:val="single" w:sz="4" w:space="0" w:color="auto"/>
            </w:tcBorders>
            <w:vAlign w:val="center"/>
          </w:tcPr>
          <w:p w:rsidR="003E147C" w:rsidRPr="00D07470" w:rsidRDefault="0029391F" w:rsidP="00C75C26">
            <w:pPr>
              <w:jc w:val="left"/>
              <w:rPr>
                <w:rFonts w:ascii="Arial Narrow" w:eastAsia="SimSun" w:hAnsi="Arial Narrow" w:cs="Arial Narrow"/>
                <w:sz w:val="20"/>
              </w:rPr>
            </w:pPr>
            <w:r>
              <w:rPr>
                <w:rFonts w:ascii="Arial Narrow" w:eastAsia="SimSun" w:hAnsi="Arial Narrow" w:cs="Arial Narrow"/>
                <w:sz w:val="20"/>
              </w:rPr>
              <w:t>as in Table 1 above</w:t>
            </w:r>
          </w:p>
        </w:tc>
        <w:tc>
          <w:tcPr>
            <w:tcW w:w="951" w:type="pct"/>
            <w:tcBorders>
              <w:top w:val="single" w:sz="4" w:space="0" w:color="auto"/>
              <w:left w:val="single" w:sz="4" w:space="0" w:color="auto"/>
              <w:bottom w:val="single" w:sz="4" w:space="0" w:color="auto"/>
              <w:right w:val="single" w:sz="4" w:space="0" w:color="auto"/>
            </w:tcBorders>
            <w:vAlign w:val="center"/>
          </w:tcPr>
          <w:p w:rsidR="003E147C" w:rsidRPr="008811DE" w:rsidRDefault="003E147C" w:rsidP="00C75C26">
            <w:pPr>
              <w:pStyle w:val="TableText0"/>
              <w:keepNext w:val="0"/>
              <w:spacing w:before="0" w:after="0"/>
              <w:jc w:val="center"/>
              <w:rPr>
                <w:rFonts w:cs="Arial"/>
                <w:lang w:eastAsia="en-AU"/>
              </w:rPr>
            </w:pPr>
            <w:r>
              <w:rPr>
                <w:rFonts w:cs="Arial"/>
                <w:lang w:eastAsia="en-AU"/>
              </w:rPr>
              <w:t>No</w:t>
            </w:r>
          </w:p>
        </w:tc>
      </w:tr>
      <w:tr w:rsidR="003E147C" w:rsidRPr="004E2ADC" w:rsidTr="006F26DB">
        <w:tc>
          <w:tcPr>
            <w:tcW w:w="5000" w:type="pct"/>
            <w:gridSpan w:val="4"/>
            <w:tcBorders>
              <w:top w:val="single" w:sz="4" w:space="0" w:color="auto"/>
              <w:left w:val="single" w:sz="4" w:space="0" w:color="auto"/>
              <w:bottom w:val="single" w:sz="4" w:space="0" w:color="auto"/>
              <w:right w:val="single" w:sz="4" w:space="0" w:color="auto"/>
            </w:tcBorders>
            <w:vAlign w:val="center"/>
          </w:tcPr>
          <w:p w:rsidR="003E147C" w:rsidRPr="00C77845" w:rsidRDefault="003E147C" w:rsidP="00C75C26">
            <w:pPr>
              <w:pStyle w:val="TableText0"/>
              <w:keepNext w:val="0"/>
              <w:spacing w:before="0" w:after="0"/>
              <w:rPr>
                <w:rFonts w:cs="Arial"/>
                <w:iCs/>
                <w:lang w:eastAsia="en-AU"/>
              </w:rPr>
            </w:pPr>
            <w:proofErr w:type="spellStart"/>
            <w:r>
              <w:rPr>
                <w:rFonts w:cs="Arial"/>
                <w:iCs/>
                <w:lang w:eastAsia="en-AU"/>
              </w:rPr>
              <w:t>Pembrolizumab</w:t>
            </w:r>
            <w:proofErr w:type="spellEnd"/>
          </w:p>
        </w:tc>
      </w:tr>
      <w:tr w:rsidR="006F26DB" w:rsidRPr="004E2ADC" w:rsidTr="006F26DB">
        <w:tc>
          <w:tcPr>
            <w:tcW w:w="699" w:type="pct"/>
            <w:tcBorders>
              <w:top w:val="single" w:sz="4" w:space="0" w:color="auto"/>
              <w:left w:val="single" w:sz="4" w:space="0" w:color="auto"/>
              <w:bottom w:val="single" w:sz="4" w:space="0" w:color="auto"/>
              <w:right w:val="single" w:sz="4" w:space="0" w:color="auto"/>
            </w:tcBorders>
          </w:tcPr>
          <w:p w:rsidR="003E147C" w:rsidRPr="004E2ADC" w:rsidRDefault="003E147C" w:rsidP="00C75C26">
            <w:pPr>
              <w:pStyle w:val="TableText0"/>
              <w:keepNext w:val="0"/>
              <w:spacing w:before="0" w:after="0"/>
              <w:rPr>
                <w:rFonts w:cs="Arial"/>
                <w:lang w:eastAsia="en-AU"/>
              </w:rPr>
            </w:pPr>
            <w:r>
              <w:rPr>
                <w:rFonts w:cs="Arial"/>
                <w:lang w:eastAsia="en-AU"/>
              </w:rPr>
              <w:t>KN-006</w:t>
            </w:r>
          </w:p>
        </w:tc>
        <w:tc>
          <w:tcPr>
            <w:tcW w:w="675" w:type="pct"/>
            <w:tcBorders>
              <w:top w:val="single" w:sz="4" w:space="0" w:color="auto"/>
              <w:left w:val="single" w:sz="4" w:space="0" w:color="auto"/>
              <w:bottom w:val="single" w:sz="4" w:space="0" w:color="auto"/>
              <w:right w:val="single" w:sz="4" w:space="0" w:color="auto"/>
            </w:tcBorders>
          </w:tcPr>
          <w:p w:rsidR="003E147C" w:rsidRPr="004E2ADC" w:rsidRDefault="003E147C" w:rsidP="00BB7AD0">
            <w:pPr>
              <w:pStyle w:val="TableText0"/>
              <w:keepNext w:val="0"/>
              <w:spacing w:before="0" w:after="0"/>
              <w:rPr>
                <w:rFonts w:cs="Arial"/>
                <w:lang w:eastAsia="en-AU"/>
              </w:rPr>
            </w:pPr>
            <w:r>
              <w:rPr>
                <w:rFonts w:cs="Arial"/>
                <w:lang w:eastAsia="en-AU"/>
              </w:rPr>
              <w:t>R, OL, MC</w:t>
            </w:r>
          </w:p>
        </w:tc>
        <w:tc>
          <w:tcPr>
            <w:tcW w:w="2676" w:type="pct"/>
            <w:tcBorders>
              <w:top w:val="single" w:sz="4" w:space="0" w:color="auto"/>
              <w:left w:val="single" w:sz="4" w:space="0" w:color="auto"/>
              <w:bottom w:val="single" w:sz="4" w:space="0" w:color="auto"/>
              <w:right w:val="single" w:sz="4" w:space="0" w:color="auto"/>
            </w:tcBorders>
          </w:tcPr>
          <w:p w:rsidR="003E147C" w:rsidRPr="004B6361" w:rsidRDefault="003E147C" w:rsidP="009406C4">
            <w:pPr>
              <w:pStyle w:val="TableText0"/>
              <w:keepNext w:val="0"/>
              <w:spacing w:before="0" w:after="0"/>
            </w:pPr>
            <w:r w:rsidRPr="00B60C4F">
              <w:t xml:space="preserve">Robert C, </w:t>
            </w:r>
            <w:proofErr w:type="spellStart"/>
            <w:r w:rsidRPr="00B60C4F">
              <w:t>Schachter</w:t>
            </w:r>
            <w:proofErr w:type="spellEnd"/>
            <w:r w:rsidRPr="00B60C4F">
              <w:t xml:space="preserve"> </w:t>
            </w:r>
            <w:r w:rsidR="003D533C">
              <w:t xml:space="preserve">J, Long GV et al. </w:t>
            </w:r>
            <w:proofErr w:type="spellStart"/>
            <w:r w:rsidRPr="00B60C4F">
              <w:t>Pembrolizumab</w:t>
            </w:r>
            <w:proofErr w:type="spellEnd"/>
            <w:r w:rsidRPr="00B60C4F">
              <w:t xml:space="preserve"> versus </w:t>
            </w:r>
            <w:proofErr w:type="spellStart"/>
            <w:r w:rsidRPr="00B60C4F">
              <w:t>Ipilimumab</w:t>
            </w:r>
            <w:proofErr w:type="spellEnd"/>
            <w:r w:rsidRPr="00B60C4F">
              <w:t xml:space="preserve"> in Advanced Melanoma. </w:t>
            </w:r>
            <w:r w:rsidR="009406C4" w:rsidRPr="009406C4">
              <w:rPr>
                <w:i/>
              </w:rPr>
              <w:t>NEJM</w:t>
            </w:r>
            <w:r w:rsidRPr="009406C4">
              <w:rPr>
                <w:i/>
              </w:rPr>
              <w:t xml:space="preserve"> </w:t>
            </w:r>
            <w:r w:rsidRPr="00B60C4F">
              <w:t>2015 Apr. [</w:t>
            </w:r>
            <w:proofErr w:type="spellStart"/>
            <w:r w:rsidRPr="00B60C4F">
              <w:t>Epub</w:t>
            </w:r>
            <w:proofErr w:type="spellEnd"/>
            <w:r w:rsidRPr="00B60C4F">
              <w:t xml:space="preserve"> ahead of print]</w:t>
            </w:r>
          </w:p>
        </w:tc>
        <w:tc>
          <w:tcPr>
            <w:tcW w:w="951" w:type="pct"/>
            <w:tcBorders>
              <w:top w:val="single" w:sz="4" w:space="0" w:color="auto"/>
              <w:left w:val="single" w:sz="4" w:space="0" w:color="auto"/>
              <w:bottom w:val="single" w:sz="4" w:space="0" w:color="auto"/>
              <w:right w:val="single" w:sz="4" w:space="0" w:color="auto"/>
            </w:tcBorders>
            <w:vAlign w:val="center"/>
          </w:tcPr>
          <w:p w:rsidR="003E147C" w:rsidRPr="004E2ADC" w:rsidRDefault="003E147C" w:rsidP="00C75C26">
            <w:pPr>
              <w:pStyle w:val="TableText0"/>
              <w:keepNext w:val="0"/>
              <w:spacing w:before="0" w:after="0"/>
              <w:jc w:val="center"/>
              <w:rPr>
                <w:rFonts w:cs="Arial"/>
                <w:lang w:eastAsia="en-AU"/>
              </w:rPr>
            </w:pPr>
            <w:r>
              <w:rPr>
                <w:rFonts w:cs="Arial"/>
                <w:lang w:eastAsia="en-AU"/>
              </w:rPr>
              <w:t>No</w:t>
            </w:r>
          </w:p>
        </w:tc>
      </w:tr>
    </w:tbl>
    <w:p w:rsidR="003E147C" w:rsidRDefault="003E147C" w:rsidP="00C75C26">
      <w:pPr>
        <w:ind w:left="720"/>
        <w:rPr>
          <w:rStyle w:val="CommentReference"/>
          <w:b w:val="0"/>
          <w:sz w:val="18"/>
        </w:rPr>
      </w:pPr>
      <w:r>
        <w:rPr>
          <w:rStyle w:val="CommentReference"/>
          <w:b w:val="0"/>
          <w:sz w:val="18"/>
        </w:rPr>
        <w:t xml:space="preserve">Source: </w:t>
      </w:r>
      <w:r w:rsidRPr="00C77845">
        <w:rPr>
          <w:rStyle w:val="CommentReference"/>
          <w:b w:val="0"/>
          <w:sz w:val="18"/>
        </w:rPr>
        <w:t>Table</w:t>
      </w:r>
      <w:r>
        <w:rPr>
          <w:rStyle w:val="CommentReference"/>
          <w:b w:val="0"/>
          <w:sz w:val="18"/>
        </w:rPr>
        <w:t xml:space="preserve"> 66, p175-6 of Sections A and B of the </w:t>
      </w:r>
      <w:r w:rsidR="00C71027">
        <w:rPr>
          <w:rStyle w:val="CommentReference"/>
          <w:b w:val="0"/>
          <w:sz w:val="18"/>
        </w:rPr>
        <w:t>s</w:t>
      </w:r>
      <w:r>
        <w:rPr>
          <w:rStyle w:val="CommentReference"/>
          <w:b w:val="0"/>
          <w:sz w:val="18"/>
        </w:rPr>
        <w:t>ubmission</w:t>
      </w:r>
      <w:r w:rsidR="00C71027">
        <w:rPr>
          <w:rStyle w:val="CommentReference"/>
          <w:b w:val="0"/>
          <w:sz w:val="18"/>
        </w:rPr>
        <w:t>.</w:t>
      </w:r>
    </w:p>
    <w:p w:rsidR="003E147C" w:rsidRPr="00AD115E" w:rsidRDefault="003E147C" w:rsidP="00C75C26">
      <w:pPr>
        <w:ind w:left="720"/>
      </w:pPr>
      <w:r>
        <w:rPr>
          <w:rStyle w:val="CommentReference"/>
          <w:b w:val="0"/>
          <w:sz w:val="18"/>
        </w:rPr>
        <w:t>DB</w:t>
      </w:r>
      <w:r w:rsidR="00C71027">
        <w:rPr>
          <w:rStyle w:val="CommentReference"/>
          <w:b w:val="0"/>
          <w:sz w:val="18"/>
        </w:rPr>
        <w:t xml:space="preserve"> </w:t>
      </w:r>
      <w:r>
        <w:rPr>
          <w:rStyle w:val="CommentReference"/>
          <w:b w:val="0"/>
          <w:sz w:val="18"/>
        </w:rPr>
        <w:t>=</w:t>
      </w:r>
      <w:r w:rsidR="00C71027">
        <w:rPr>
          <w:rStyle w:val="CommentReference"/>
          <w:b w:val="0"/>
          <w:sz w:val="18"/>
        </w:rPr>
        <w:t xml:space="preserve"> </w:t>
      </w:r>
      <w:r>
        <w:rPr>
          <w:rStyle w:val="CommentReference"/>
          <w:b w:val="0"/>
          <w:sz w:val="18"/>
        </w:rPr>
        <w:t>double blind; MC</w:t>
      </w:r>
      <w:r w:rsidR="00C71027">
        <w:rPr>
          <w:rStyle w:val="CommentReference"/>
          <w:b w:val="0"/>
          <w:sz w:val="18"/>
        </w:rPr>
        <w:t xml:space="preserve"> </w:t>
      </w:r>
      <w:r>
        <w:rPr>
          <w:rStyle w:val="CommentReference"/>
          <w:b w:val="0"/>
          <w:sz w:val="18"/>
        </w:rPr>
        <w:t>=</w:t>
      </w:r>
      <w:r w:rsidR="00C71027">
        <w:rPr>
          <w:rStyle w:val="CommentReference"/>
          <w:b w:val="0"/>
          <w:sz w:val="18"/>
        </w:rPr>
        <w:t xml:space="preserve"> </w:t>
      </w:r>
      <w:r>
        <w:rPr>
          <w:rStyle w:val="CommentReference"/>
          <w:b w:val="0"/>
          <w:sz w:val="18"/>
        </w:rPr>
        <w:t>multicentre; R</w:t>
      </w:r>
      <w:r w:rsidR="00C71027">
        <w:rPr>
          <w:rStyle w:val="CommentReference"/>
          <w:b w:val="0"/>
          <w:sz w:val="18"/>
        </w:rPr>
        <w:t xml:space="preserve"> </w:t>
      </w:r>
      <w:r>
        <w:rPr>
          <w:rStyle w:val="CommentReference"/>
          <w:b w:val="0"/>
          <w:sz w:val="18"/>
        </w:rPr>
        <w:t>=</w:t>
      </w:r>
      <w:r w:rsidR="00C71027">
        <w:rPr>
          <w:rStyle w:val="CommentReference"/>
          <w:b w:val="0"/>
          <w:sz w:val="18"/>
        </w:rPr>
        <w:t xml:space="preserve"> </w:t>
      </w:r>
      <w:r>
        <w:rPr>
          <w:rStyle w:val="CommentReference"/>
          <w:b w:val="0"/>
          <w:sz w:val="18"/>
        </w:rPr>
        <w:t>randomised</w:t>
      </w:r>
    </w:p>
    <w:p w:rsidR="003E147C" w:rsidRPr="008F120A" w:rsidRDefault="003E147C" w:rsidP="008F120A">
      <w:pPr>
        <w:widowControl/>
        <w:rPr>
          <w:szCs w:val="22"/>
        </w:rPr>
      </w:pPr>
    </w:p>
    <w:p w:rsidR="003A1C7E" w:rsidRPr="00F4103C" w:rsidRDefault="00600444" w:rsidP="003E147C">
      <w:pPr>
        <w:pStyle w:val="ListParagraph"/>
        <w:widowControl/>
        <w:numPr>
          <w:ilvl w:val="1"/>
          <w:numId w:val="6"/>
        </w:numPr>
        <w:rPr>
          <w:i/>
          <w:szCs w:val="22"/>
        </w:rPr>
      </w:pPr>
      <w:r w:rsidRPr="00185700">
        <w:rPr>
          <w:szCs w:val="22"/>
        </w:rPr>
        <w:t xml:space="preserve">The </w:t>
      </w:r>
      <w:r w:rsidR="009B1575" w:rsidRPr="00185700">
        <w:rPr>
          <w:szCs w:val="22"/>
        </w:rPr>
        <w:t xml:space="preserve">main reasons that the trials </w:t>
      </w:r>
      <w:r w:rsidR="006F26DB" w:rsidRPr="00185700">
        <w:rPr>
          <w:szCs w:val="22"/>
        </w:rPr>
        <w:t>we</w:t>
      </w:r>
      <w:r w:rsidR="009B1575" w:rsidRPr="00185700">
        <w:rPr>
          <w:szCs w:val="22"/>
        </w:rPr>
        <w:t xml:space="preserve">re not </w:t>
      </w:r>
      <w:r w:rsidR="001631D1" w:rsidRPr="00185700">
        <w:rPr>
          <w:szCs w:val="22"/>
        </w:rPr>
        <w:t>exchangeable</w:t>
      </w:r>
      <w:r w:rsidR="009B1575" w:rsidRPr="00185700">
        <w:rPr>
          <w:szCs w:val="22"/>
        </w:rPr>
        <w:t xml:space="preserve"> </w:t>
      </w:r>
      <w:r w:rsidR="006F26DB" w:rsidRPr="00185700">
        <w:rPr>
          <w:szCs w:val="22"/>
        </w:rPr>
        <w:t>we</w:t>
      </w:r>
      <w:r w:rsidR="009B1575" w:rsidRPr="00185700">
        <w:rPr>
          <w:szCs w:val="22"/>
        </w:rPr>
        <w:t xml:space="preserve">re that </w:t>
      </w:r>
      <w:r w:rsidRPr="00185700">
        <w:rPr>
          <w:szCs w:val="22"/>
        </w:rPr>
        <w:t xml:space="preserve">KN-006 included patients who had </w:t>
      </w:r>
      <w:r w:rsidR="009B1575" w:rsidRPr="00185700">
        <w:rPr>
          <w:szCs w:val="22"/>
        </w:rPr>
        <w:t xml:space="preserve">already received prior systemic therapies, while the </w:t>
      </w:r>
      <w:proofErr w:type="spellStart"/>
      <w:r w:rsidR="009B1575" w:rsidRPr="00185700">
        <w:rPr>
          <w:szCs w:val="22"/>
        </w:rPr>
        <w:t>nivolumab</w:t>
      </w:r>
      <w:proofErr w:type="spellEnd"/>
      <w:r w:rsidR="009B1575" w:rsidRPr="00185700">
        <w:rPr>
          <w:szCs w:val="22"/>
        </w:rPr>
        <w:t xml:space="preserve"> plus </w:t>
      </w:r>
      <w:proofErr w:type="spellStart"/>
      <w:r w:rsidR="009B1575" w:rsidRPr="00185700">
        <w:rPr>
          <w:szCs w:val="22"/>
        </w:rPr>
        <w:t>ipilimumab</w:t>
      </w:r>
      <w:proofErr w:type="spellEnd"/>
      <w:r w:rsidR="009B1575" w:rsidRPr="00185700">
        <w:rPr>
          <w:szCs w:val="22"/>
        </w:rPr>
        <w:t xml:space="preserve"> trials did not</w:t>
      </w:r>
      <w:r w:rsidR="00497D4D">
        <w:rPr>
          <w:szCs w:val="22"/>
        </w:rPr>
        <w:t>; and</w:t>
      </w:r>
      <w:r w:rsidR="001631D1" w:rsidRPr="00185700">
        <w:rPr>
          <w:szCs w:val="22"/>
        </w:rPr>
        <w:t xml:space="preserve"> the baseline characteristics of the trials differed according to </w:t>
      </w:r>
      <w:r w:rsidR="00BB7AD0" w:rsidRPr="00185700">
        <w:rPr>
          <w:szCs w:val="22"/>
        </w:rPr>
        <w:t>mutation</w:t>
      </w:r>
      <w:r w:rsidR="00F4103C" w:rsidRPr="00185700">
        <w:rPr>
          <w:szCs w:val="22"/>
        </w:rPr>
        <w:t xml:space="preserve"> </w:t>
      </w:r>
      <w:r w:rsidR="001631D1" w:rsidRPr="00185700">
        <w:rPr>
          <w:szCs w:val="22"/>
        </w:rPr>
        <w:t xml:space="preserve">status and percent with </w:t>
      </w:r>
      <w:r w:rsidR="00F4103C" w:rsidRPr="00185700">
        <w:rPr>
          <w:szCs w:val="22"/>
        </w:rPr>
        <w:t xml:space="preserve">brain </w:t>
      </w:r>
      <w:r w:rsidR="001631D1" w:rsidRPr="00185700">
        <w:rPr>
          <w:szCs w:val="22"/>
        </w:rPr>
        <w:t xml:space="preserve">metastases, with the </w:t>
      </w:r>
      <w:proofErr w:type="spellStart"/>
      <w:r w:rsidR="001631D1" w:rsidRPr="00185700">
        <w:rPr>
          <w:szCs w:val="22"/>
        </w:rPr>
        <w:t>nivolumab</w:t>
      </w:r>
      <w:proofErr w:type="spellEnd"/>
      <w:r w:rsidR="001631D1" w:rsidRPr="00185700">
        <w:rPr>
          <w:szCs w:val="22"/>
        </w:rPr>
        <w:t xml:space="preserve"> plus </w:t>
      </w:r>
      <w:proofErr w:type="spellStart"/>
      <w:r w:rsidR="001631D1" w:rsidRPr="00185700">
        <w:rPr>
          <w:szCs w:val="22"/>
        </w:rPr>
        <w:t>ipilimumab</w:t>
      </w:r>
      <w:proofErr w:type="spellEnd"/>
      <w:r w:rsidR="001631D1" w:rsidRPr="00185700">
        <w:rPr>
          <w:szCs w:val="22"/>
        </w:rPr>
        <w:t xml:space="preserve"> combination trials having healthier patients</w:t>
      </w:r>
      <w:r w:rsidR="001631D1" w:rsidRPr="00F4103C">
        <w:rPr>
          <w:i/>
          <w:szCs w:val="22"/>
        </w:rPr>
        <w:t>.</w:t>
      </w:r>
    </w:p>
    <w:p w:rsidR="003A1C7E" w:rsidRPr="003A1C7E" w:rsidRDefault="003A1C7E" w:rsidP="003A1C7E">
      <w:pPr>
        <w:widowControl/>
        <w:rPr>
          <w:szCs w:val="22"/>
        </w:rPr>
      </w:pPr>
    </w:p>
    <w:p w:rsidR="003E147C" w:rsidRPr="00B50DB8" w:rsidRDefault="003E147C" w:rsidP="003E147C">
      <w:pPr>
        <w:pStyle w:val="ListParagraph"/>
        <w:widowControl/>
        <w:numPr>
          <w:ilvl w:val="1"/>
          <w:numId w:val="6"/>
        </w:numPr>
        <w:rPr>
          <w:szCs w:val="22"/>
        </w:rPr>
      </w:pPr>
      <w:r w:rsidRPr="00B50DB8">
        <w:rPr>
          <w:szCs w:val="22"/>
        </w:rPr>
        <w:t>The key features</w:t>
      </w:r>
      <w:r>
        <w:rPr>
          <w:szCs w:val="22"/>
        </w:rPr>
        <w:t xml:space="preserve"> of the direct randomised trials</w:t>
      </w:r>
      <w:r w:rsidRPr="00B50DB8">
        <w:rPr>
          <w:szCs w:val="22"/>
        </w:rPr>
        <w:t xml:space="preserve"> are </w:t>
      </w:r>
      <w:r>
        <w:rPr>
          <w:szCs w:val="22"/>
        </w:rPr>
        <w:t>summarised in the table below.</w:t>
      </w:r>
    </w:p>
    <w:p w:rsidR="003E147C" w:rsidRDefault="003E147C" w:rsidP="007F1017">
      <w:pPr>
        <w:widowControl/>
        <w:rPr>
          <w:szCs w:val="22"/>
        </w:rPr>
      </w:pPr>
    </w:p>
    <w:p w:rsidR="003E147C" w:rsidRPr="00E2771E" w:rsidRDefault="003E147C" w:rsidP="009A14F7">
      <w:pPr>
        <w:keepNext/>
        <w:ind w:firstLine="720"/>
        <w:rPr>
          <w:rStyle w:val="CommentReference"/>
        </w:rPr>
      </w:pPr>
      <w:r w:rsidRPr="00E2771E">
        <w:rPr>
          <w:rStyle w:val="CommentReference"/>
        </w:rPr>
        <w:lastRenderedPageBreak/>
        <w:t xml:space="preserve">Table </w:t>
      </w:r>
      <w:r w:rsidR="001E61B7">
        <w:rPr>
          <w:rStyle w:val="CommentReference"/>
        </w:rPr>
        <w:t>3</w:t>
      </w:r>
      <w:r>
        <w:rPr>
          <w:rStyle w:val="CommentReference"/>
        </w:rPr>
        <w:t>: Summary of trials used in the clinical evaluation</w:t>
      </w:r>
    </w:p>
    <w:tbl>
      <w:tblPr>
        <w:tblStyle w:val="TableGrid"/>
        <w:tblW w:w="4561" w:type="pct"/>
        <w:tblInd w:w="748" w:type="dxa"/>
        <w:tblCellMar>
          <w:left w:w="28" w:type="dxa"/>
          <w:right w:w="28" w:type="dxa"/>
        </w:tblCellMar>
        <w:tblLook w:val="04A0" w:firstRow="1" w:lastRow="0" w:firstColumn="1" w:lastColumn="0" w:noHBand="0" w:noVBand="1"/>
        <w:tblCaption w:val="Table 3: Summary of trials used in the clinical evaluation"/>
      </w:tblPr>
      <w:tblGrid>
        <w:gridCol w:w="972"/>
        <w:gridCol w:w="605"/>
        <w:gridCol w:w="4112"/>
        <w:gridCol w:w="832"/>
        <w:gridCol w:w="897"/>
        <w:gridCol w:w="868"/>
      </w:tblGrid>
      <w:tr w:rsidR="003E147C" w:rsidRPr="00CD0F2E" w:rsidTr="0088434D">
        <w:trPr>
          <w:tblHeader/>
        </w:trPr>
        <w:tc>
          <w:tcPr>
            <w:tcW w:w="587" w:type="pct"/>
            <w:vAlign w:val="center"/>
          </w:tcPr>
          <w:p w:rsidR="003E147C" w:rsidRPr="00CD0F2E" w:rsidRDefault="003E147C" w:rsidP="009A14F7">
            <w:pPr>
              <w:keepNext/>
              <w:jc w:val="left"/>
              <w:rPr>
                <w:rFonts w:ascii="Arial Narrow" w:hAnsi="Arial Narrow"/>
                <w:b/>
                <w:sz w:val="20"/>
              </w:rPr>
            </w:pPr>
            <w:r w:rsidRPr="00CD0F2E">
              <w:rPr>
                <w:rFonts w:ascii="Arial Narrow" w:hAnsi="Arial Narrow"/>
                <w:b/>
                <w:sz w:val="20"/>
              </w:rPr>
              <w:t>Trial</w:t>
            </w:r>
            <w:r>
              <w:rPr>
                <w:rFonts w:ascii="Arial Narrow" w:hAnsi="Arial Narrow"/>
                <w:b/>
                <w:sz w:val="20"/>
              </w:rPr>
              <w:t xml:space="preserve"> ID</w:t>
            </w:r>
          </w:p>
        </w:tc>
        <w:tc>
          <w:tcPr>
            <w:tcW w:w="365" w:type="pct"/>
            <w:vAlign w:val="center"/>
          </w:tcPr>
          <w:p w:rsidR="003E147C" w:rsidRPr="00CD0F2E" w:rsidRDefault="003E147C" w:rsidP="009A14F7">
            <w:pPr>
              <w:keepNext/>
              <w:jc w:val="center"/>
              <w:rPr>
                <w:rFonts w:ascii="Arial Narrow" w:hAnsi="Arial Narrow"/>
                <w:b/>
                <w:sz w:val="20"/>
              </w:rPr>
            </w:pPr>
            <w:r>
              <w:rPr>
                <w:rFonts w:ascii="Arial Narrow" w:hAnsi="Arial Narrow"/>
                <w:b/>
                <w:sz w:val="20"/>
              </w:rPr>
              <w:t>N</w:t>
            </w:r>
          </w:p>
        </w:tc>
        <w:tc>
          <w:tcPr>
            <w:tcW w:w="2481" w:type="pct"/>
            <w:vAlign w:val="center"/>
          </w:tcPr>
          <w:p w:rsidR="003E147C" w:rsidRPr="00CD0F2E" w:rsidRDefault="003E147C" w:rsidP="009A14F7">
            <w:pPr>
              <w:keepNext/>
              <w:jc w:val="center"/>
              <w:rPr>
                <w:rFonts w:ascii="Arial Narrow" w:hAnsi="Arial Narrow"/>
                <w:b/>
                <w:sz w:val="20"/>
              </w:rPr>
            </w:pPr>
            <w:r>
              <w:rPr>
                <w:rFonts w:ascii="Arial Narrow" w:hAnsi="Arial Narrow"/>
                <w:b/>
                <w:sz w:val="20"/>
              </w:rPr>
              <w:t>Comparison</w:t>
            </w:r>
          </w:p>
        </w:tc>
        <w:tc>
          <w:tcPr>
            <w:tcW w:w="502" w:type="pct"/>
            <w:vAlign w:val="center"/>
          </w:tcPr>
          <w:p w:rsidR="003E147C" w:rsidRPr="00CD0F2E" w:rsidRDefault="003E147C" w:rsidP="009A14F7">
            <w:pPr>
              <w:keepNext/>
              <w:jc w:val="center"/>
              <w:rPr>
                <w:rFonts w:ascii="Arial Narrow" w:hAnsi="Arial Narrow"/>
                <w:b/>
                <w:sz w:val="20"/>
              </w:rPr>
            </w:pPr>
            <w:r>
              <w:rPr>
                <w:rFonts w:ascii="Arial Narrow" w:hAnsi="Arial Narrow"/>
                <w:b/>
                <w:sz w:val="20"/>
              </w:rPr>
              <w:t>Trial d</w:t>
            </w:r>
            <w:r w:rsidRPr="00CD0F2E">
              <w:rPr>
                <w:rFonts w:ascii="Arial Narrow" w:hAnsi="Arial Narrow"/>
                <w:b/>
                <w:sz w:val="20"/>
              </w:rPr>
              <w:t>esign</w:t>
            </w:r>
          </w:p>
        </w:tc>
        <w:tc>
          <w:tcPr>
            <w:tcW w:w="541" w:type="pct"/>
            <w:vAlign w:val="center"/>
          </w:tcPr>
          <w:p w:rsidR="003E147C" w:rsidRPr="00CD0F2E" w:rsidRDefault="003E147C" w:rsidP="009A14F7">
            <w:pPr>
              <w:keepNext/>
              <w:jc w:val="center"/>
              <w:rPr>
                <w:rFonts w:ascii="Arial Narrow" w:hAnsi="Arial Narrow"/>
                <w:b/>
                <w:sz w:val="20"/>
              </w:rPr>
            </w:pPr>
            <w:r w:rsidRPr="00CD0F2E">
              <w:rPr>
                <w:rFonts w:ascii="Arial Narrow" w:hAnsi="Arial Narrow"/>
                <w:b/>
                <w:sz w:val="20"/>
              </w:rPr>
              <w:t xml:space="preserve">Primary </w:t>
            </w:r>
            <w:r>
              <w:rPr>
                <w:rFonts w:ascii="Arial Narrow" w:hAnsi="Arial Narrow"/>
                <w:b/>
                <w:sz w:val="20"/>
              </w:rPr>
              <w:t>o</w:t>
            </w:r>
            <w:r w:rsidRPr="00CD0F2E">
              <w:rPr>
                <w:rFonts w:ascii="Arial Narrow" w:hAnsi="Arial Narrow"/>
                <w:b/>
                <w:sz w:val="20"/>
              </w:rPr>
              <w:t>utcome</w:t>
            </w:r>
          </w:p>
        </w:tc>
        <w:tc>
          <w:tcPr>
            <w:tcW w:w="524" w:type="pct"/>
            <w:vAlign w:val="center"/>
          </w:tcPr>
          <w:p w:rsidR="003E147C" w:rsidRPr="00CD0F2E" w:rsidRDefault="003E147C" w:rsidP="009A14F7">
            <w:pPr>
              <w:keepNext/>
              <w:jc w:val="center"/>
              <w:rPr>
                <w:rFonts w:ascii="Arial Narrow" w:hAnsi="Arial Narrow"/>
                <w:b/>
                <w:sz w:val="20"/>
              </w:rPr>
            </w:pPr>
            <w:r>
              <w:rPr>
                <w:rFonts w:ascii="Arial Narrow" w:hAnsi="Arial Narrow"/>
                <w:b/>
                <w:sz w:val="20"/>
              </w:rPr>
              <w:t>Use in the economic evaluation</w:t>
            </w:r>
          </w:p>
        </w:tc>
      </w:tr>
      <w:tr w:rsidR="003E147C" w:rsidRPr="00CD0F2E" w:rsidTr="00C75C26">
        <w:tc>
          <w:tcPr>
            <w:tcW w:w="5000" w:type="pct"/>
            <w:gridSpan w:val="6"/>
            <w:vAlign w:val="center"/>
          </w:tcPr>
          <w:p w:rsidR="003E147C" w:rsidRDefault="003E147C" w:rsidP="009A14F7">
            <w:pPr>
              <w:keepNext/>
              <w:jc w:val="left"/>
              <w:rPr>
                <w:rFonts w:ascii="Arial Narrow" w:hAnsi="Arial Narrow"/>
                <w:b/>
                <w:sz w:val="20"/>
              </w:rPr>
            </w:pPr>
            <w:proofErr w:type="spellStart"/>
            <w:r>
              <w:rPr>
                <w:rFonts w:ascii="Arial Narrow" w:hAnsi="Arial Narrow"/>
                <w:b/>
                <w:sz w:val="20"/>
              </w:rPr>
              <w:t>Nivo</w:t>
            </w:r>
            <w:proofErr w:type="spellEnd"/>
            <w:r>
              <w:rPr>
                <w:rFonts w:ascii="Arial Narrow" w:hAnsi="Arial Narrow"/>
                <w:b/>
                <w:sz w:val="20"/>
              </w:rPr>
              <w:t xml:space="preserve"> + </w:t>
            </w:r>
            <w:proofErr w:type="spellStart"/>
            <w:r>
              <w:rPr>
                <w:rFonts w:ascii="Arial Narrow" w:hAnsi="Arial Narrow"/>
                <w:b/>
                <w:sz w:val="20"/>
              </w:rPr>
              <w:t>Ipi</w:t>
            </w:r>
            <w:proofErr w:type="spellEnd"/>
            <w:r>
              <w:rPr>
                <w:rFonts w:ascii="Arial Narrow" w:hAnsi="Arial Narrow"/>
                <w:b/>
                <w:sz w:val="20"/>
              </w:rPr>
              <w:t xml:space="preserve"> vs </w:t>
            </w:r>
            <w:proofErr w:type="spellStart"/>
            <w:r>
              <w:rPr>
                <w:rFonts w:ascii="Arial Narrow" w:hAnsi="Arial Narrow"/>
                <w:b/>
                <w:sz w:val="20"/>
              </w:rPr>
              <w:t>Ipi</w:t>
            </w:r>
            <w:proofErr w:type="spellEnd"/>
            <w:r>
              <w:rPr>
                <w:rFonts w:ascii="Arial Narrow" w:hAnsi="Arial Narrow"/>
                <w:b/>
                <w:sz w:val="20"/>
              </w:rPr>
              <w:t xml:space="preserve"> monotherapy</w:t>
            </w:r>
          </w:p>
        </w:tc>
      </w:tr>
      <w:tr w:rsidR="003E147C" w:rsidTr="0088434D">
        <w:tc>
          <w:tcPr>
            <w:tcW w:w="587" w:type="pct"/>
            <w:vAlign w:val="center"/>
          </w:tcPr>
          <w:p w:rsidR="003E147C" w:rsidRDefault="003E147C" w:rsidP="009A14F7">
            <w:pPr>
              <w:keepNext/>
              <w:jc w:val="left"/>
              <w:rPr>
                <w:rFonts w:ascii="Arial Narrow" w:hAnsi="Arial Narrow"/>
                <w:sz w:val="20"/>
              </w:rPr>
            </w:pPr>
            <w:r>
              <w:rPr>
                <w:rFonts w:ascii="Arial Narrow" w:hAnsi="Arial Narrow"/>
                <w:sz w:val="20"/>
              </w:rPr>
              <w:t>CA209-067</w:t>
            </w:r>
          </w:p>
        </w:tc>
        <w:tc>
          <w:tcPr>
            <w:tcW w:w="365" w:type="pct"/>
            <w:vAlign w:val="center"/>
          </w:tcPr>
          <w:p w:rsidR="003E147C" w:rsidRDefault="003E147C" w:rsidP="009A14F7">
            <w:pPr>
              <w:keepNext/>
              <w:jc w:val="center"/>
              <w:rPr>
                <w:rFonts w:ascii="Arial Narrow" w:hAnsi="Arial Narrow"/>
                <w:sz w:val="20"/>
              </w:rPr>
            </w:pPr>
            <w:r>
              <w:rPr>
                <w:rFonts w:ascii="Arial Narrow" w:hAnsi="Arial Narrow"/>
                <w:sz w:val="20"/>
              </w:rPr>
              <w:t>945</w:t>
            </w:r>
          </w:p>
        </w:tc>
        <w:tc>
          <w:tcPr>
            <w:tcW w:w="2481" w:type="pct"/>
            <w:vAlign w:val="center"/>
          </w:tcPr>
          <w:p w:rsidR="003E147C" w:rsidRDefault="003E147C" w:rsidP="009A14F7">
            <w:pPr>
              <w:keepNext/>
              <w:jc w:val="center"/>
              <w:rPr>
                <w:rFonts w:ascii="Arial Narrow" w:hAnsi="Arial Narrow"/>
                <w:sz w:val="20"/>
              </w:rPr>
            </w:pPr>
            <w:proofErr w:type="spellStart"/>
            <w:r>
              <w:rPr>
                <w:rFonts w:ascii="Arial Narrow" w:hAnsi="Arial Narrow"/>
                <w:sz w:val="20"/>
              </w:rPr>
              <w:t>Nivo</w:t>
            </w:r>
            <w:proofErr w:type="spellEnd"/>
            <w:r>
              <w:rPr>
                <w:rFonts w:ascii="Arial Narrow" w:hAnsi="Arial Narrow"/>
                <w:sz w:val="20"/>
              </w:rPr>
              <w:t>, 1</w:t>
            </w:r>
            <w:r w:rsidR="00BB7AD0">
              <w:rPr>
                <w:rFonts w:ascii="Arial Narrow" w:hAnsi="Arial Narrow"/>
                <w:sz w:val="20"/>
              </w:rPr>
              <w:t> </w:t>
            </w:r>
            <w:r>
              <w:rPr>
                <w:rFonts w:ascii="Arial Narrow" w:hAnsi="Arial Narrow"/>
                <w:sz w:val="20"/>
              </w:rPr>
              <w:t xml:space="preserve">mg/kg IV, combined with </w:t>
            </w:r>
            <w:proofErr w:type="spellStart"/>
            <w:r>
              <w:rPr>
                <w:rFonts w:ascii="Arial Narrow" w:hAnsi="Arial Narrow"/>
                <w:sz w:val="20"/>
              </w:rPr>
              <w:t>Ipi</w:t>
            </w:r>
            <w:proofErr w:type="spellEnd"/>
            <w:r>
              <w:rPr>
                <w:rFonts w:ascii="Arial Narrow" w:hAnsi="Arial Narrow"/>
                <w:sz w:val="20"/>
              </w:rPr>
              <w:t xml:space="preserve"> 3</w:t>
            </w:r>
            <w:r w:rsidR="00BB7AD0">
              <w:rPr>
                <w:rFonts w:ascii="Arial Narrow" w:hAnsi="Arial Narrow"/>
                <w:sz w:val="20"/>
              </w:rPr>
              <w:t> </w:t>
            </w:r>
            <w:r>
              <w:rPr>
                <w:rFonts w:ascii="Arial Narrow" w:hAnsi="Arial Narrow"/>
                <w:sz w:val="20"/>
              </w:rPr>
              <w:t xml:space="preserve">mg/kg, Q3W x 4, then </w:t>
            </w:r>
            <w:proofErr w:type="spellStart"/>
            <w:r>
              <w:rPr>
                <w:rFonts w:ascii="Arial Narrow" w:hAnsi="Arial Narrow"/>
                <w:sz w:val="20"/>
              </w:rPr>
              <w:t>Nivo</w:t>
            </w:r>
            <w:proofErr w:type="spellEnd"/>
            <w:r>
              <w:rPr>
                <w:rFonts w:ascii="Arial Narrow" w:hAnsi="Arial Narrow"/>
                <w:sz w:val="20"/>
              </w:rPr>
              <w:t>, 3</w:t>
            </w:r>
            <w:r w:rsidR="00BB7AD0">
              <w:rPr>
                <w:rFonts w:ascii="Arial Narrow" w:hAnsi="Arial Narrow"/>
                <w:sz w:val="20"/>
              </w:rPr>
              <w:t> </w:t>
            </w:r>
            <w:r>
              <w:rPr>
                <w:rFonts w:ascii="Arial Narrow" w:hAnsi="Arial Narrow"/>
                <w:sz w:val="20"/>
              </w:rPr>
              <w:t>mg/kg IV Q2W (n =314);</w:t>
            </w:r>
          </w:p>
          <w:p w:rsidR="003E147C" w:rsidRPr="007C1A7A" w:rsidRDefault="003E147C" w:rsidP="009A14F7">
            <w:pPr>
              <w:keepNext/>
              <w:jc w:val="center"/>
              <w:rPr>
                <w:rFonts w:ascii="Arial Narrow" w:hAnsi="Arial Narrow"/>
                <w:sz w:val="20"/>
                <w:highlight w:val="yellow"/>
              </w:rPr>
            </w:pPr>
            <w:proofErr w:type="spellStart"/>
            <w:r>
              <w:rPr>
                <w:rFonts w:ascii="Arial Narrow" w:hAnsi="Arial Narrow"/>
                <w:sz w:val="20"/>
              </w:rPr>
              <w:t>Ipi</w:t>
            </w:r>
            <w:proofErr w:type="spellEnd"/>
            <w:r>
              <w:rPr>
                <w:rFonts w:ascii="Arial Narrow" w:hAnsi="Arial Narrow"/>
                <w:sz w:val="20"/>
              </w:rPr>
              <w:t>, 3</w:t>
            </w:r>
            <w:r w:rsidR="00BB7AD0">
              <w:rPr>
                <w:rFonts w:ascii="Arial Narrow" w:hAnsi="Arial Narrow"/>
                <w:sz w:val="20"/>
              </w:rPr>
              <w:t> </w:t>
            </w:r>
            <w:r>
              <w:rPr>
                <w:rFonts w:ascii="Arial Narrow" w:hAnsi="Arial Narrow"/>
                <w:sz w:val="20"/>
              </w:rPr>
              <w:t>mg/kg Q3W x 4 (n=315)</w:t>
            </w:r>
          </w:p>
        </w:tc>
        <w:tc>
          <w:tcPr>
            <w:tcW w:w="502" w:type="pct"/>
            <w:vAlign w:val="center"/>
          </w:tcPr>
          <w:p w:rsidR="003E147C" w:rsidRDefault="003E147C" w:rsidP="009A14F7">
            <w:pPr>
              <w:keepNext/>
              <w:jc w:val="center"/>
              <w:rPr>
                <w:rFonts w:ascii="Arial Narrow" w:hAnsi="Arial Narrow"/>
                <w:sz w:val="20"/>
              </w:rPr>
            </w:pPr>
            <w:r>
              <w:rPr>
                <w:rFonts w:ascii="Arial Narrow" w:hAnsi="Arial Narrow"/>
                <w:sz w:val="20"/>
              </w:rPr>
              <w:t>Phase III</w:t>
            </w:r>
          </w:p>
          <w:p w:rsidR="003E147C" w:rsidRDefault="003E147C" w:rsidP="009A14F7">
            <w:pPr>
              <w:keepNext/>
              <w:jc w:val="center"/>
              <w:rPr>
                <w:rFonts w:ascii="Arial Narrow" w:hAnsi="Arial Narrow"/>
                <w:sz w:val="20"/>
              </w:rPr>
            </w:pPr>
            <w:r>
              <w:rPr>
                <w:rFonts w:ascii="Arial Narrow" w:hAnsi="Arial Narrow"/>
                <w:sz w:val="20"/>
              </w:rPr>
              <w:t>R, DB, MC</w:t>
            </w:r>
          </w:p>
        </w:tc>
        <w:tc>
          <w:tcPr>
            <w:tcW w:w="541" w:type="pct"/>
            <w:vAlign w:val="center"/>
          </w:tcPr>
          <w:p w:rsidR="003E147C" w:rsidRDefault="003E147C" w:rsidP="009A14F7">
            <w:pPr>
              <w:keepNext/>
              <w:jc w:val="center"/>
              <w:rPr>
                <w:rFonts w:ascii="Arial Narrow" w:hAnsi="Arial Narrow"/>
                <w:sz w:val="20"/>
              </w:rPr>
            </w:pPr>
            <w:r>
              <w:rPr>
                <w:rFonts w:ascii="Arial Narrow" w:hAnsi="Arial Narrow"/>
                <w:sz w:val="20"/>
              </w:rPr>
              <w:t>PFS</w:t>
            </w:r>
            <w:r w:rsidR="0088434D">
              <w:rPr>
                <w:rFonts w:ascii="Arial Narrow" w:hAnsi="Arial Narrow"/>
                <w:sz w:val="20"/>
              </w:rPr>
              <w:t>,</w:t>
            </w:r>
            <w:r>
              <w:rPr>
                <w:rFonts w:ascii="Arial Narrow" w:hAnsi="Arial Narrow"/>
                <w:sz w:val="20"/>
              </w:rPr>
              <w:t xml:space="preserve"> OS*</w:t>
            </w:r>
          </w:p>
        </w:tc>
        <w:tc>
          <w:tcPr>
            <w:tcW w:w="524" w:type="pct"/>
            <w:vMerge w:val="restart"/>
            <w:vAlign w:val="center"/>
          </w:tcPr>
          <w:p w:rsidR="003E147C" w:rsidRPr="00A1638A" w:rsidRDefault="003E147C" w:rsidP="009A14F7">
            <w:pPr>
              <w:keepNext/>
              <w:jc w:val="center"/>
              <w:rPr>
                <w:rFonts w:ascii="Arial Narrow" w:hAnsi="Arial Narrow"/>
                <w:sz w:val="20"/>
              </w:rPr>
            </w:pPr>
            <w:r>
              <w:rPr>
                <w:rFonts w:ascii="Arial Narrow" w:hAnsi="Arial Narrow"/>
                <w:sz w:val="20"/>
              </w:rPr>
              <w:t>Pooled PFS HR</w:t>
            </w:r>
          </w:p>
        </w:tc>
      </w:tr>
      <w:tr w:rsidR="003E147C" w:rsidTr="0088434D">
        <w:tc>
          <w:tcPr>
            <w:tcW w:w="587" w:type="pct"/>
            <w:vAlign w:val="center"/>
          </w:tcPr>
          <w:p w:rsidR="003E147C" w:rsidRDefault="003E147C" w:rsidP="00C75C26">
            <w:pPr>
              <w:jc w:val="left"/>
              <w:rPr>
                <w:rFonts w:ascii="Arial Narrow" w:hAnsi="Arial Narrow"/>
                <w:sz w:val="20"/>
              </w:rPr>
            </w:pPr>
            <w:r>
              <w:rPr>
                <w:rFonts w:ascii="Arial Narrow" w:hAnsi="Arial Narrow"/>
                <w:sz w:val="20"/>
              </w:rPr>
              <w:t>CA209-069</w:t>
            </w:r>
          </w:p>
        </w:tc>
        <w:tc>
          <w:tcPr>
            <w:tcW w:w="365" w:type="pct"/>
            <w:vAlign w:val="center"/>
          </w:tcPr>
          <w:p w:rsidR="003E147C" w:rsidRDefault="003E147C" w:rsidP="00C75C26">
            <w:pPr>
              <w:jc w:val="center"/>
              <w:rPr>
                <w:rFonts w:ascii="Arial Narrow" w:hAnsi="Arial Narrow"/>
                <w:sz w:val="20"/>
              </w:rPr>
            </w:pPr>
            <w:r>
              <w:rPr>
                <w:rFonts w:ascii="Arial Narrow" w:hAnsi="Arial Narrow"/>
                <w:sz w:val="20"/>
              </w:rPr>
              <w:t>142</w:t>
            </w:r>
          </w:p>
        </w:tc>
        <w:tc>
          <w:tcPr>
            <w:tcW w:w="2481" w:type="pct"/>
            <w:vAlign w:val="center"/>
          </w:tcPr>
          <w:p w:rsidR="003E147C" w:rsidRDefault="003E147C" w:rsidP="00C75C26">
            <w:pPr>
              <w:jc w:val="center"/>
              <w:rPr>
                <w:rFonts w:ascii="Arial Narrow" w:hAnsi="Arial Narrow"/>
                <w:sz w:val="20"/>
              </w:rPr>
            </w:pPr>
            <w:proofErr w:type="spellStart"/>
            <w:r>
              <w:rPr>
                <w:rFonts w:ascii="Arial Narrow" w:hAnsi="Arial Narrow"/>
                <w:sz w:val="20"/>
              </w:rPr>
              <w:t>Nivo</w:t>
            </w:r>
            <w:proofErr w:type="spellEnd"/>
            <w:r>
              <w:rPr>
                <w:rFonts w:ascii="Arial Narrow" w:hAnsi="Arial Narrow"/>
                <w:sz w:val="20"/>
              </w:rPr>
              <w:t>, 1</w:t>
            </w:r>
            <w:r w:rsidR="00BB7AD0">
              <w:rPr>
                <w:rFonts w:ascii="Arial Narrow" w:hAnsi="Arial Narrow"/>
                <w:sz w:val="20"/>
              </w:rPr>
              <w:t> </w:t>
            </w:r>
            <w:r>
              <w:rPr>
                <w:rFonts w:ascii="Arial Narrow" w:hAnsi="Arial Narrow"/>
                <w:sz w:val="20"/>
              </w:rPr>
              <w:t xml:space="preserve">mg/kg IV, combined with </w:t>
            </w:r>
            <w:proofErr w:type="spellStart"/>
            <w:r>
              <w:rPr>
                <w:rFonts w:ascii="Arial Narrow" w:hAnsi="Arial Narrow"/>
                <w:sz w:val="20"/>
              </w:rPr>
              <w:t>Ipi</w:t>
            </w:r>
            <w:proofErr w:type="spellEnd"/>
            <w:r>
              <w:rPr>
                <w:rFonts w:ascii="Arial Narrow" w:hAnsi="Arial Narrow"/>
                <w:sz w:val="20"/>
              </w:rPr>
              <w:t xml:space="preserve"> 3</w:t>
            </w:r>
            <w:r w:rsidR="00BB7AD0">
              <w:rPr>
                <w:rFonts w:ascii="Arial Narrow" w:hAnsi="Arial Narrow"/>
                <w:sz w:val="20"/>
              </w:rPr>
              <w:t> </w:t>
            </w:r>
            <w:r>
              <w:rPr>
                <w:rFonts w:ascii="Arial Narrow" w:hAnsi="Arial Narrow"/>
                <w:sz w:val="20"/>
              </w:rPr>
              <w:t xml:space="preserve">mg/kg Q3W x 4, then </w:t>
            </w:r>
            <w:proofErr w:type="spellStart"/>
            <w:r>
              <w:rPr>
                <w:rFonts w:ascii="Arial Narrow" w:hAnsi="Arial Narrow"/>
                <w:sz w:val="20"/>
              </w:rPr>
              <w:t>Nivo</w:t>
            </w:r>
            <w:proofErr w:type="spellEnd"/>
            <w:r>
              <w:rPr>
                <w:rFonts w:ascii="Arial Narrow" w:hAnsi="Arial Narrow"/>
                <w:sz w:val="20"/>
              </w:rPr>
              <w:t xml:space="preserve"> 3</w:t>
            </w:r>
            <w:r w:rsidR="00BB7AD0">
              <w:rPr>
                <w:rFonts w:ascii="Arial Narrow" w:hAnsi="Arial Narrow"/>
                <w:sz w:val="20"/>
              </w:rPr>
              <w:t> </w:t>
            </w:r>
            <w:r>
              <w:rPr>
                <w:rFonts w:ascii="Arial Narrow" w:hAnsi="Arial Narrow"/>
                <w:sz w:val="20"/>
              </w:rPr>
              <w:t>mg/kg IV Q2W (n=95);</w:t>
            </w:r>
          </w:p>
          <w:p w:rsidR="003E147C" w:rsidRPr="00D30840" w:rsidRDefault="003E147C" w:rsidP="00BB7AD0">
            <w:pPr>
              <w:jc w:val="center"/>
              <w:rPr>
                <w:rFonts w:ascii="Arial Narrow" w:hAnsi="Arial Narrow"/>
                <w:sz w:val="20"/>
              </w:rPr>
            </w:pPr>
            <w:proofErr w:type="spellStart"/>
            <w:r>
              <w:rPr>
                <w:rFonts w:ascii="Arial Narrow" w:hAnsi="Arial Narrow"/>
                <w:sz w:val="20"/>
              </w:rPr>
              <w:t>Ipi</w:t>
            </w:r>
            <w:proofErr w:type="spellEnd"/>
            <w:r>
              <w:rPr>
                <w:rFonts w:ascii="Arial Narrow" w:hAnsi="Arial Narrow"/>
                <w:sz w:val="20"/>
              </w:rPr>
              <w:t xml:space="preserve"> 3</w:t>
            </w:r>
            <w:r w:rsidR="00BB7AD0">
              <w:rPr>
                <w:rFonts w:ascii="Arial Narrow" w:hAnsi="Arial Narrow"/>
                <w:sz w:val="20"/>
              </w:rPr>
              <w:t> </w:t>
            </w:r>
            <w:r>
              <w:rPr>
                <w:rFonts w:ascii="Arial Narrow" w:hAnsi="Arial Narrow"/>
                <w:sz w:val="20"/>
              </w:rPr>
              <w:t>mg/kg, Q3</w:t>
            </w:r>
            <w:r w:rsidR="00BB7AD0">
              <w:rPr>
                <w:rFonts w:ascii="Arial Narrow" w:hAnsi="Arial Narrow"/>
                <w:sz w:val="20"/>
              </w:rPr>
              <w:t>W</w:t>
            </w:r>
            <w:r>
              <w:rPr>
                <w:rFonts w:ascii="Arial Narrow" w:hAnsi="Arial Narrow"/>
                <w:sz w:val="20"/>
              </w:rPr>
              <w:t xml:space="preserve"> x 4 (n=47)</w:t>
            </w:r>
          </w:p>
        </w:tc>
        <w:tc>
          <w:tcPr>
            <w:tcW w:w="502" w:type="pct"/>
            <w:vAlign w:val="center"/>
          </w:tcPr>
          <w:p w:rsidR="003E147C" w:rsidRDefault="003E147C" w:rsidP="00C75C26">
            <w:pPr>
              <w:jc w:val="center"/>
              <w:rPr>
                <w:rFonts w:ascii="Arial Narrow" w:hAnsi="Arial Narrow"/>
                <w:sz w:val="20"/>
              </w:rPr>
            </w:pPr>
            <w:r>
              <w:rPr>
                <w:rFonts w:ascii="Arial Narrow" w:hAnsi="Arial Narrow"/>
                <w:sz w:val="20"/>
              </w:rPr>
              <w:t>Phase II</w:t>
            </w:r>
          </w:p>
          <w:p w:rsidR="003E147C" w:rsidRDefault="003E147C" w:rsidP="00C75C26">
            <w:pPr>
              <w:jc w:val="center"/>
              <w:rPr>
                <w:rFonts w:ascii="Arial Narrow" w:hAnsi="Arial Narrow"/>
                <w:sz w:val="20"/>
              </w:rPr>
            </w:pPr>
            <w:r>
              <w:rPr>
                <w:rFonts w:ascii="Arial Narrow" w:hAnsi="Arial Narrow"/>
                <w:sz w:val="20"/>
              </w:rPr>
              <w:t>R, DB, MC</w:t>
            </w:r>
          </w:p>
        </w:tc>
        <w:tc>
          <w:tcPr>
            <w:tcW w:w="541" w:type="pct"/>
            <w:vAlign w:val="center"/>
          </w:tcPr>
          <w:p w:rsidR="003E147C" w:rsidRDefault="003E147C" w:rsidP="00C75C26">
            <w:pPr>
              <w:jc w:val="center"/>
              <w:rPr>
                <w:rFonts w:ascii="Arial Narrow" w:hAnsi="Arial Narrow"/>
                <w:sz w:val="20"/>
              </w:rPr>
            </w:pPr>
            <w:r>
              <w:rPr>
                <w:rFonts w:ascii="Arial Narrow" w:hAnsi="Arial Narrow"/>
                <w:sz w:val="20"/>
              </w:rPr>
              <w:t xml:space="preserve">ORR in </w:t>
            </w:r>
            <w:r w:rsidRPr="003D533C">
              <w:rPr>
                <w:rFonts w:ascii="Arial Narrow" w:hAnsi="Arial Narrow"/>
                <w:i/>
                <w:sz w:val="20"/>
              </w:rPr>
              <w:t>BRAF</w:t>
            </w:r>
            <w:r>
              <w:rPr>
                <w:rFonts w:ascii="Arial Narrow" w:hAnsi="Arial Narrow"/>
                <w:sz w:val="20"/>
              </w:rPr>
              <w:t xml:space="preserve"> WT patients</w:t>
            </w:r>
          </w:p>
        </w:tc>
        <w:tc>
          <w:tcPr>
            <w:tcW w:w="524" w:type="pct"/>
            <w:vMerge/>
            <w:vAlign w:val="center"/>
          </w:tcPr>
          <w:p w:rsidR="003E147C" w:rsidRPr="00A1638A" w:rsidRDefault="003E147C" w:rsidP="00C75C26">
            <w:pPr>
              <w:jc w:val="center"/>
              <w:rPr>
                <w:rFonts w:ascii="Arial Narrow" w:hAnsi="Arial Narrow"/>
                <w:sz w:val="20"/>
              </w:rPr>
            </w:pPr>
          </w:p>
        </w:tc>
      </w:tr>
      <w:tr w:rsidR="003E147C" w:rsidTr="00C75C26">
        <w:trPr>
          <w:trHeight w:val="215"/>
        </w:trPr>
        <w:tc>
          <w:tcPr>
            <w:tcW w:w="5000" w:type="pct"/>
            <w:gridSpan w:val="6"/>
            <w:vAlign w:val="center"/>
          </w:tcPr>
          <w:p w:rsidR="003E147C" w:rsidRPr="00292347" w:rsidRDefault="003E147C" w:rsidP="00C75C26">
            <w:pPr>
              <w:jc w:val="left"/>
              <w:rPr>
                <w:rFonts w:ascii="Arial Narrow" w:hAnsi="Arial Narrow"/>
                <w:b/>
                <w:sz w:val="20"/>
              </w:rPr>
            </w:pPr>
            <w:proofErr w:type="spellStart"/>
            <w:r>
              <w:rPr>
                <w:rFonts w:ascii="Arial Narrow" w:hAnsi="Arial Narrow"/>
                <w:b/>
                <w:sz w:val="20"/>
              </w:rPr>
              <w:t>Nivo</w:t>
            </w:r>
            <w:proofErr w:type="spellEnd"/>
            <w:r>
              <w:rPr>
                <w:rFonts w:ascii="Arial Narrow" w:hAnsi="Arial Narrow"/>
                <w:b/>
                <w:sz w:val="20"/>
              </w:rPr>
              <w:t xml:space="preserve"> + </w:t>
            </w:r>
            <w:proofErr w:type="spellStart"/>
            <w:r>
              <w:rPr>
                <w:rFonts w:ascii="Arial Narrow" w:hAnsi="Arial Narrow"/>
                <w:b/>
                <w:sz w:val="20"/>
              </w:rPr>
              <w:t>Ipi</w:t>
            </w:r>
            <w:proofErr w:type="spellEnd"/>
            <w:r w:rsidRPr="00292347">
              <w:rPr>
                <w:rFonts w:ascii="Arial Narrow" w:hAnsi="Arial Narrow"/>
                <w:b/>
                <w:sz w:val="20"/>
              </w:rPr>
              <w:t xml:space="preserve"> vs. </w:t>
            </w:r>
            <w:proofErr w:type="spellStart"/>
            <w:r w:rsidRPr="00292347">
              <w:rPr>
                <w:rFonts w:ascii="Arial Narrow" w:hAnsi="Arial Narrow"/>
                <w:b/>
                <w:sz w:val="20"/>
              </w:rPr>
              <w:t>Nivo</w:t>
            </w:r>
            <w:proofErr w:type="spellEnd"/>
            <w:r w:rsidRPr="00292347">
              <w:rPr>
                <w:rFonts w:ascii="Arial Narrow" w:hAnsi="Arial Narrow"/>
                <w:b/>
                <w:sz w:val="20"/>
              </w:rPr>
              <w:t xml:space="preserve"> monotherapy</w:t>
            </w:r>
          </w:p>
        </w:tc>
      </w:tr>
      <w:tr w:rsidR="0088434D" w:rsidTr="0088434D">
        <w:tc>
          <w:tcPr>
            <w:tcW w:w="587" w:type="pct"/>
            <w:vAlign w:val="center"/>
          </w:tcPr>
          <w:p w:rsidR="0088434D" w:rsidRDefault="0088434D" w:rsidP="0088434D">
            <w:pPr>
              <w:jc w:val="left"/>
              <w:rPr>
                <w:rFonts w:ascii="Arial Narrow" w:hAnsi="Arial Narrow"/>
                <w:sz w:val="20"/>
              </w:rPr>
            </w:pPr>
            <w:r>
              <w:rPr>
                <w:rFonts w:ascii="Arial Narrow" w:hAnsi="Arial Narrow"/>
                <w:sz w:val="20"/>
              </w:rPr>
              <w:t>CA209-067</w:t>
            </w:r>
          </w:p>
        </w:tc>
        <w:tc>
          <w:tcPr>
            <w:tcW w:w="365" w:type="pct"/>
            <w:vAlign w:val="center"/>
          </w:tcPr>
          <w:p w:rsidR="0088434D" w:rsidRDefault="0088434D" w:rsidP="0088434D">
            <w:pPr>
              <w:jc w:val="center"/>
              <w:rPr>
                <w:rFonts w:ascii="Arial Narrow" w:hAnsi="Arial Narrow"/>
                <w:sz w:val="20"/>
              </w:rPr>
            </w:pPr>
            <w:r>
              <w:rPr>
                <w:rFonts w:ascii="Arial Narrow" w:hAnsi="Arial Narrow"/>
                <w:sz w:val="20"/>
              </w:rPr>
              <w:t>945</w:t>
            </w:r>
          </w:p>
        </w:tc>
        <w:tc>
          <w:tcPr>
            <w:tcW w:w="2481" w:type="pct"/>
            <w:vAlign w:val="center"/>
          </w:tcPr>
          <w:p w:rsidR="0088434D" w:rsidRDefault="0088434D" w:rsidP="00C75C26">
            <w:pPr>
              <w:jc w:val="center"/>
              <w:rPr>
                <w:rFonts w:ascii="Arial Narrow" w:hAnsi="Arial Narrow"/>
                <w:sz w:val="20"/>
              </w:rPr>
            </w:pPr>
            <w:proofErr w:type="spellStart"/>
            <w:r>
              <w:rPr>
                <w:rFonts w:ascii="Arial Narrow" w:hAnsi="Arial Narrow"/>
                <w:sz w:val="20"/>
              </w:rPr>
              <w:t>Nivo</w:t>
            </w:r>
            <w:proofErr w:type="spellEnd"/>
            <w:r>
              <w:rPr>
                <w:rFonts w:ascii="Arial Narrow" w:hAnsi="Arial Narrow"/>
                <w:sz w:val="20"/>
              </w:rPr>
              <w:t xml:space="preserve">, 1mg /kg IV, combined with </w:t>
            </w:r>
            <w:proofErr w:type="spellStart"/>
            <w:r>
              <w:rPr>
                <w:rFonts w:ascii="Arial Narrow" w:hAnsi="Arial Narrow"/>
                <w:sz w:val="20"/>
              </w:rPr>
              <w:t>Ipi</w:t>
            </w:r>
            <w:proofErr w:type="spellEnd"/>
            <w:r>
              <w:rPr>
                <w:rFonts w:ascii="Arial Narrow" w:hAnsi="Arial Narrow"/>
                <w:sz w:val="20"/>
              </w:rPr>
              <w:t xml:space="preserve"> 3 mg/kg, Q3W x 4, then </w:t>
            </w:r>
            <w:proofErr w:type="spellStart"/>
            <w:r>
              <w:rPr>
                <w:rFonts w:ascii="Arial Narrow" w:hAnsi="Arial Narrow"/>
                <w:sz w:val="20"/>
              </w:rPr>
              <w:t>Nivo</w:t>
            </w:r>
            <w:proofErr w:type="spellEnd"/>
            <w:r>
              <w:rPr>
                <w:rFonts w:ascii="Arial Narrow" w:hAnsi="Arial Narrow"/>
                <w:sz w:val="20"/>
              </w:rPr>
              <w:t>, 3 mg/kg IV Q2W (n =314);</w:t>
            </w:r>
          </w:p>
          <w:p w:rsidR="0088434D" w:rsidRDefault="0088434D" w:rsidP="00C75C26">
            <w:pPr>
              <w:jc w:val="center"/>
              <w:rPr>
                <w:rFonts w:ascii="Arial Narrow" w:hAnsi="Arial Narrow"/>
                <w:sz w:val="20"/>
              </w:rPr>
            </w:pPr>
            <w:proofErr w:type="spellStart"/>
            <w:r>
              <w:rPr>
                <w:rFonts w:ascii="Arial Narrow" w:hAnsi="Arial Narrow"/>
                <w:sz w:val="20"/>
              </w:rPr>
              <w:t>Nivo</w:t>
            </w:r>
            <w:proofErr w:type="spellEnd"/>
            <w:r>
              <w:rPr>
                <w:rFonts w:ascii="Arial Narrow" w:hAnsi="Arial Narrow"/>
                <w:sz w:val="20"/>
              </w:rPr>
              <w:t xml:space="preserve"> 3 mg/kg IV, Q2W (n=316)</w:t>
            </w:r>
          </w:p>
        </w:tc>
        <w:tc>
          <w:tcPr>
            <w:tcW w:w="502" w:type="pct"/>
            <w:vAlign w:val="center"/>
          </w:tcPr>
          <w:p w:rsidR="0088434D" w:rsidRDefault="0088434D" w:rsidP="00C75C26">
            <w:pPr>
              <w:jc w:val="center"/>
              <w:rPr>
                <w:rFonts w:ascii="Arial Narrow" w:hAnsi="Arial Narrow"/>
                <w:sz w:val="20"/>
              </w:rPr>
            </w:pPr>
            <w:r>
              <w:rPr>
                <w:rFonts w:ascii="Arial Narrow" w:hAnsi="Arial Narrow"/>
                <w:sz w:val="20"/>
              </w:rPr>
              <w:t>Phase III</w:t>
            </w:r>
          </w:p>
          <w:p w:rsidR="0088434D" w:rsidRDefault="0088434D" w:rsidP="00C75C26">
            <w:pPr>
              <w:jc w:val="center"/>
              <w:rPr>
                <w:rFonts w:ascii="Arial Narrow" w:hAnsi="Arial Narrow"/>
                <w:sz w:val="20"/>
              </w:rPr>
            </w:pPr>
            <w:r>
              <w:rPr>
                <w:rFonts w:ascii="Arial Narrow" w:hAnsi="Arial Narrow"/>
                <w:sz w:val="20"/>
              </w:rPr>
              <w:t>R, DB, MC</w:t>
            </w:r>
          </w:p>
        </w:tc>
        <w:tc>
          <w:tcPr>
            <w:tcW w:w="541" w:type="pct"/>
            <w:vAlign w:val="center"/>
          </w:tcPr>
          <w:p w:rsidR="0088434D" w:rsidRDefault="0088434D" w:rsidP="00C75C26">
            <w:pPr>
              <w:jc w:val="center"/>
              <w:rPr>
                <w:rFonts w:ascii="Arial Narrow" w:hAnsi="Arial Narrow"/>
                <w:sz w:val="20"/>
              </w:rPr>
            </w:pPr>
            <w:r>
              <w:rPr>
                <w:rFonts w:ascii="Arial Narrow" w:hAnsi="Arial Narrow"/>
                <w:sz w:val="20"/>
              </w:rPr>
              <w:t>PFS, OS*</w:t>
            </w:r>
          </w:p>
        </w:tc>
        <w:tc>
          <w:tcPr>
            <w:tcW w:w="524" w:type="pct"/>
            <w:vAlign w:val="center"/>
          </w:tcPr>
          <w:p w:rsidR="0088434D" w:rsidRPr="00A1638A" w:rsidRDefault="0088434D" w:rsidP="00C75C26">
            <w:pPr>
              <w:jc w:val="center"/>
              <w:rPr>
                <w:rFonts w:ascii="Arial Narrow" w:hAnsi="Arial Narrow"/>
                <w:sz w:val="20"/>
              </w:rPr>
            </w:pPr>
            <w:r>
              <w:rPr>
                <w:rFonts w:ascii="Arial Narrow" w:hAnsi="Arial Narrow"/>
                <w:sz w:val="20"/>
              </w:rPr>
              <w:t>PFS HR</w:t>
            </w:r>
          </w:p>
        </w:tc>
      </w:tr>
      <w:tr w:rsidR="003E147C" w:rsidRPr="00A1638A" w:rsidTr="00C75C26">
        <w:tc>
          <w:tcPr>
            <w:tcW w:w="5000" w:type="pct"/>
            <w:gridSpan w:val="6"/>
            <w:vAlign w:val="center"/>
          </w:tcPr>
          <w:p w:rsidR="003E147C" w:rsidRPr="00A1638A" w:rsidRDefault="003E147C" w:rsidP="00C75C26">
            <w:pPr>
              <w:jc w:val="left"/>
              <w:rPr>
                <w:rFonts w:ascii="Arial Narrow" w:hAnsi="Arial Narrow"/>
                <w:b/>
                <w:sz w:val="20"/>
              </w:rPr>
            </w:pPr>
            <w:proofErr w:type="spellStart"/>
            <w:r>
              <w:rPr>
                <w:rFonts w:ascii="Arial Narrow" w:hAnsi="Arial Narrow"/>
                <w:b/>
                <w:sz w:val="20"/>
              </w:rPr>
              <w:t>Pembro</w:t>
            </w:r>
            <w:proofErr w:type="spellEnd"/>
            <w:r>
              <w:rPr>
                <w:rFonts w:ascii="Arial Narrow" w:hAnsi="Arial Narrow"/>
                <w:b/>
                <w:sz w:val="20"/>
              </w:rPr>
              <w:t xml:space="preserve"> vs </w:t>
            </w:r>
            <w:proofErr w:type="spellStart"/>
            <w:r>
              <w:rPr>
                <w:rFonts w:ascii="Arial Narrow" w:hAnsi="Arial Narrow"/>
                <w:b/>
                <w:sz w:val="20"/>
              </w:rPr>
              <w:t>Ipi</w:t>
            </w:r>
            <w:proofErr w:type="spellEnd"/>
            <w:r>
              <w:rPr>
                <w:rFonts w:ascii="Arial Narrow" w:hAnsi="Arial Narrow"/>
                <w:b/>
                <w:sz w:val="20"/>
              </w:rPr>
              <w:t xml:space="preserve"> monotherapy</w:t>
            </w:r>
          </w:p>
        </w:tc>
      </w:tr>
      <w:tr w:rsidR="003E147C" w:rsidTr="0088434D">
        <w:tc>
          <w:tcPr>
            <w:tcW w:w="587" w:type="pct"/>
            <w:vAlign w:val="center"/>
          </w:tcPr>
          <w:p w:rsidR="003E147C" w:rsidRDefault="003E147C" w:rsidP="00C75C26">
            <w:pPr>
              <w:jc w:val="left"/>
              <w:rPr>
                <w:rFonts w:ascii="Arial Narrow" w:hAnsi="Arial Narrow"/>
                <w:sz w:val="20"/>
              </w:rPr>
            </w:pPr>
            <w:r>
              <w:rPr>
                <w:rFonts w:ascii="Arial Narrow" w:hAnsi="Arial Narrow"/>
                <w:sz w:val="20"/>
              </w:rPr>
              <w:t>KN-006</w:t>
            </w:r>
          </w:p>
        </w:tc>
        <w:tc>
          <w:tcPr>
            <w:tcW w:w="365" w:type="pct"/>
            <w:vAlign w:val="center"/>
          </w:tcPr>
          <w:p w:rsidR="003E147C" w:rsidRDefault="003E147C" w:rsidP="00C75C26">
            <w:pPr>
              <w:jc w:val="center"/>
              <w:rPr>
                <w:rFonts w:ascii="Arial Narrow" w:hAnsi="Arial Narrow"/>
                <w:sz w:val="20"/>
              </w:rPr>
            </w:pPr>
            <w:r>
              <w:rPr>
                <w:rFonts w:ascii="Arial Narrow" w:hAnsi="Arial Narrow"/>
                <w:sz w:val="20"/>
              </w:rPr>
              <w:t>834</w:t>
            </w:r>
          </w:p>
        </w:tc>
        <w:tc>
          <w:tcPr>
            <w:tcW w:w="2481" w:type="pct"/>
            <w:vAlign w:val="center"/>
          </w:tcPr>
          <w:p w:rsidR="003E147C" w:rsidRDefault="003E147C" w:rsidP="00C75C26">
            <w:pPr>
              <w:jc w:val="center"/>
              <w:rPr>
                <w:rFonts w:ascii="Arial Narrow" w:hAnsi="Arial Narrow"/>
                <w:sz w:val="20"/>
              </w:rPr>
            </w:pPr>
            <w:proofErr w:type="spellStart"/>
            <w:r>
              <w:rPr>
                <w:rFonts w:ascii="Arial Narrow" w:hAnsi="Arial Narrow"/>
                <w:sz w:val="20"/>
              </w:rPr>
              <w:t>Pembro</w:t>
            </w:r>
            <w:proofErr w:type="spellEnd"/>
            <w:r>
              <w:rPr>
                <w:rFonts w:ascii="Arial Narrow" w:hAnsi="Arial Narrow"/>
                <w:sz w:val="20"/>
              </w:rPr>
              <w:t xml:space="preserve"> 10</w:t>
            </w:r>
            <w:r w:rsidR="0088434D">
              <w:rPr>
                <w:rFonts w:ascii="Arial Narrow" w:hAnsi="Arial Narrow"/>
                <w:sz w:val="20"/>
              </w:rPr>
              <w:t> </w:t>
            </w:r>
            <w:r>
              <w:rPr>
                <w:rFonts w:ascii="Arial Narrow" w:hAnsi="Arial Narrow"/>
                <w:sz w:val="20"/>
              </w:rPr>
              <w:t>mg/kg Q2W, IV (n=279);</w:t>
            </w:r>
          </w:p>
          <w:p w:rsidR="003E147C" w:rsidRDefault="0088434D" w:rsidP="00C75C26">
            <w:pPr>
              <w:jc w:val="center"/>
              <w:rPr>
                <w:rFonts w:ascii="Arial Narrow" w:hAnsi="Arial Narrow"/>
                <w:sz w:val="20"/>
              </w:rPr>
            </w:pPr>
            <w:proofErr w:type="spellStart"/>
            <w:r>
              <w:rPr>
                <w:rFonts w:ascii="Arial Narrow" w:hAnsi="Arial Narrow"/>
                <w:sz w:val="20"/>
              </w:rPr>
              <w:t>Pembro</w:t>
            </w:r>
            <w:proofErr w:type="spellEnd"/>
            <w:r>
              <w:rPr>
                <w:rFonts w:ascii="Arial Narrow" w:hAnsi="Arial Narrow"/>
                <w:sz w:val="20"/>
              </w:rPr>
              <w:t xml:space="preserve"> 10 </w:t>
            </w:r>
            <w:r w:rsidR="003E147C">
              <w:rPr>
                <w:rFonts w:ascii="Arial Narrow" w:hAnsi="Arial Narrow"/>
                <w:sz w:val="20"/>
              </w:rPr>
              <w:t>mg/kg Q3W, IV (n= 277);</w:t>
            </w:r>
          </w:p>
          <w:p w:rsidR="003E147C" w:rsidRDefault="0088434D" w:rsidP="00C75C26">
            <w:pPr>
              <w:jc w:val="center"/>
              <w:rPr>
                <w:rFonts w:ascii="Arial Narrow" w:hAnsi="Arial Narrow"/>
                <w:sz w:val="20"/>
              </w:rPr>
            </w:pPr>
            <w:proofErr w:type="spellStart"/>
            <w:r>
              <w:rPr>
                <w:rFonts w:ascii="Arial Narrow" w:hAnsi="Arial Narrow"/>
                <w:sz w:val="20"/>
              </w:rPr>
              <w:t>Ipi</w:t>
            </w:r>
            <w:proofErr w:type="spellEnd"/>
            <w:r>
              <w:rPr>
                <w:rFonts w:ascii="Arial Narrow" w:hAnsi="Arial Narrow"/>
                <w:sz w:val="20"/>
              </w:rPr>
              <w:t xml:space="preserve"> </w:t>
            </w:r>
            <w:r w:rsidR="003E147C">
              <w:rPr>
                <w:rFonts w:ascii="Arial Narrow" w:hAnsi="Arial Narrow"/>
                <w:sz w:val="20"/>
              </w:rPr>
              <w:t>3</w:t>
            </w:r>
            <w:r>
              <w:rPr>
                <w:rFonts w:ascii="Arial Narrow" w:hAnsi="Arial Narrow"/>
                <w:sz w:val="20"/>
              </w:rPr>
              <w:t> </w:t>
            </w:r>
            <w:r w:rsidR="003E147C">
              <w:rPr>
                <w:rFonts w:ascii="Arial Narrow" w:hAnsi="Arial Narrow"/>
                <w:sz w:val="20"/>
              </w:rPr>
              <w:t>mg/kg Q3W x 4, IV (n=278)</w:t>
            </w:r>
          </w:p>
        </w:tc>
        <w:tc>
          <w:tcPr>
            <w:tcW w:w="502" w:type="pct"/>
            <w:vAlign w:val="center"/>
          </w:tcPr>
          <w:p w:rsidR="003E147C" w:rsidRDefault="003E147C" w:rsidP="00C75C26">
            <w:pPr>
              <w:jc w:val="center"/>
              <w:rPr>
                <w:rFonts w:ascii="Arial Narrow" w:hAnsi="Arial Narrow"/>
                <w:sz w:val="20"/>
              </w:rPr>
            </w:pPr>
            <w:r>
              <w:rPr>
                <w:rFonts w:ascii="Arial Narrow" w:hAnsi="Arial Narrow"/>
                <w:sz w:val="20"/>
              </w:rPr>
              <w:t xml:space="preserve">Phase III </w:t>
            </w:r>
          </w:p>
          <w:p w:rsidR="003E147C" w:rsidRDefault="003E147C" w:rsidP="00C75C26">
            <w:pPr>
              <w:jc w:val="center"/>
              <w:rPr>
                <w:rFonts w:ascii="Arial Narrow" w:hAnsi="Arial Narrow"/>
                <w:sz w:val="20"/>
              </w:rPr>
            </w:pPr>
            <w:r>
              <w:rPr>
                <w:rFonts w:ascii="Arial Narrow" w:hAnsi="Arial Narrow"/>
                <w:sz w:val="20"/>
              </w:rPr>
              <w:t xml:space="preserve">R, OL, MC </w:t>
            </w:r>
          </w:p>
        </w:tc>
        <w:tc>
          <w:tcPr>
            <w:tcW w:w="541" w:type="pct"/>
            <w:vAlign w:val="center"/>
          </w:tcPr>
          <w:p w:rsidR="003E147C" w:rsidRDefault="0088434D" w:rsidP="00C75C26">
            <w:pPr>
              <w:jc w:val="center"/>
              <w:rPr>
                <w:rFonts w:ascii="Arial Narrow" w:hAnsi="Arial Narrow"/>
                <w:sz w:val="20"/>
              </w:rPr>
            </w:pPr>
            <w:r>
              <w:rPr>
                <w:rFonts w:ascii="Arial Narrow" w:hAnsi="Arial Narrow"/>
                <w:sz w:val="20"/>
              </w:rPr>
              <w:t>PFS,</w:t>
            </w:r>
            <w:r w:rsidR="003E147C">
              <w:rPr>
                <w:rFonts w:ascii="Arial Narrow" w:hAnsi="Arial Narrow"/>
                <w:sz w:val="20"/>
              </w:rPr>
              <w:t xml:space="preserve"> OS</w:t>
            </w:r>
          </w:p>
        </w:tc>
        <w:tc>
          <w:tcPr>
            <w:tcW w:w="524" w:type="pct"/>
            <w:vAlign w:val="center"/>
          </w:tcPr>
          <w:p w:rsidR="003E147C" w:rsidRPr="00A1638A" w:rsidRDefault="003E147C" w:rsidP="00C75C26">
            <w:pPr>
              <w:jc w:val="center"/>
              <w:rPr>
                <w:rFonts w:ascii="Arial Narrow" w:hAnsi="Arial Narrow"/>
                <w:sz w:val="20"/>
              </w:rPr>
            </w:pPr>
            <w:r>
              <w:rPr>
                <w:rFonts w:ascii="Arial Narrow" w:hAnsi="Arial Narrow"/>
                <w:sz w:val="20"/>
              </w:rPr>
              <w:t>PFS HR</w:t>
            </w:r>
          </w:p>
        </w:tc>
      </w:tr>
    </w:tbl>
    <w:p w:rsidR="00C71027" w:rsidRDefault="003E147C" w:rsidP="00C75C26">
      <w:pPr>
        <w:pStyle w:val="TableFooter"/>
        <w:ind w:left="720"/>
      </w:pPr>
      <w:r>
        <w:t xml:space="preserve">Source: compiled during </w:t>
      </w:r>
      <w:r w:rsidR="00A97408">
        <w:t xml:space="preserve">the </w:t>
      </w:r>
      <w:r>
        <w:t>evaluation.</w:t>
      </w:r>
    </w:p>
    <w:p w:rsidR="003E147C" w:rsidRDefault="003E147C" w:rsidP="00C75C26">
      <w:pPr>
        <w:pStyle w:val="TableFooter"/>
        <w:ind w:left="720"/>
      </w:pPr>
      <w:r>
        <w:t xml:space="preserve">DB = double blind; HR = hazard ratio; </w:t>
      </w:r>
      <w:proofErr w:type="spellStart"/>
      <w:r>
        <w:t>Ipi</w:t>
      </w:r>
      <w:proofErr w:type="spellEnd"/>
      <w:r>
        <w:t xml:space="preserve"> = </w:t>
      </w:r>
      <w:proofErr w:type="spellStart"/>
      <w:r>
        <w:t>ipilimumab</w:t>
      </w:r>
      <w:proofErr w:type="spellEnd"/>
      <w:r>
        <w:t xml:space="preserve">; IV = intravenous; MC = multi-centre; </w:t>
      </w:r>
      <w:proofErr w:type="spellStart"/>
      <w:r>
        <w:t>Nivo</w:t>
      </w:r>
      <w:proofErr w:type="spellEnd"/>
      <w:r>
        <w:t xml:space="preserve"> = </w:t>
      </w:r>
      <w:proofErr w:type="spellStart"/>
      <w:r>
        <w:t>nivolumab</w:t>
      </w:r>
      <w:proofErr w:type="spellEnd"/>
      <w:r>
        <w:t xml:space="preserve">; OL = open label; </w:t>
      </w:r>
      <w:r w:rsidR="00DD7DF2">
        <w:t xml:space="preserve">ORR = objective response rate; </w:t>
      </w:r>
      <w:r>
        <w:t xml:space="preserve">OS = overall survival; </w:t>
      </w:r>
      <w:proofErr w:type="spellStart"/>
      <w:r>
        <w:t>Pembro</w:t>
      </w:r>
      <w:proofErr w:type="spellEnd"/>
      <w:r>
        <w:t xml:space="preserve"> = </w:t>
      </w:r>
      <w:proofErr w:type="spellStart"/>
      <w:r>
        <w:t>p</w:t>
      </w:r>
      <w:r w:rsidR="00C71027">
        <w:t>embrolizumab</w:t>
      </w:r>
      <w:proofErr w:type="spellEnd"/>
      <w:r w:rsidR="00C71027">
        <w:t>; PFS = progression-</w:t>
      </w:r>
      <w:r>
        <w:t>free survival; Q2W = every 2 weeks; Q3W = every 3 weeks; R = randomised; WT = wild type</w:t>
      </w:r>
    </w:p>
    <w:p w:rsidR="003E147C" w:rsidRDefault="003E147C" w:rsidP="00C75C26">
      <w:pPr>
        <w:pStyle w:val="TableFooter"/>
        <w:ind w:left="720"/>
      </w:pPr>
      <w:r>
        <w:t>*OS data was not made available for this trial.</w:t>
      </w:r>
    </w:p>
    <w:p w:rsidR="003E147C" w:rsidRDefault="003E147C" w:rsidP="00B60939">
      <w:pPr>
        <w:rPr>
          <w:szCs w:val="22"/>
        </w:rPr>
      </w:pPr>
    </w:p>
    <w:p w:rsidR="007B63D4" w:rsidRPr="00DC5D13" w:rsidRDefault="007B63D4" w:rsidP="00A70255">
      <w:pPr>
        <w:pStyle w:val="ListParagraph"/>
        <w:numPr>
          <w:ilvl w:val="1"/>
          <w:numId w:val="64"/>
        </w:numPr>
      </w:pPr>
      <w:r w:rsidRPr="00185700">
        <w:t xml:space="preserve">The submission did not provide any </w:t>
      </w:r>
      <w:r w:rsidR="006F26DB" w:rsidRPr="00185700">
        <w:t>overall survival</w:t>
      </w:r>
      <w:r w:rsidRPr="00185700">
        <w:t xml:space="preserve"> data for CA209-067</w:t>
      </w:r>
      <w:r w:rsidR="00FA0DEC" w:rsidRPr="00185700">
        <w:t xml:space="preserve"> </w:t>
      </w:r>
      <w:r w:rsidR="00C66F56" w:rsidRPr="00185700">
        <w:t xml:space="preserve">on the basis that the </w:t>
      </w:r>
      <w:r w:rsidR="00380262" w:rsidRPr="00185700">
        <w:t xml:space="preserve">data </w:t>
      </w:r>
      <w:r w:rsidR="00E202A9" w:rsidRPr="00185700">
        <w:t>remain</w:t>
      </w:r>
      <w:r w:rsidR="00497D4D">
        <w:t>ed</w:t>
      </w:r>
      <w:r w:rsidR="00380262" w:rsidRPr="00185700">
        <w:t xml:space="preserve"> immature</w:t>
      </w:r>
      <w:r w:rsidRPr="00185700">
        <w:t xml:space="preserve">, </w:t>
      </w:r>
      <w:r w:rsidRPr="00D74403">
        <w:t xml:space="preserve">even though </w:t>
      </w:r>
      <w:r w:rsidR="006F26DB" w:rsidRPr="00D74403">
        <w:t>overall survival</w:t>
      </w:r>
      <w:r w:rsidRPr="00D74403">
        <w:t xml:space="preserve"> data for the monotherapy arms </w:t>
      </w:r>
      <w:r w:rsidR="006F26DB" w:rsidRPr="00D74403">
        <w:t>of the</w:t>
      </w:r>
      <w:r w:rsidR="004C22FF" w:rsidRPr="00D74403">
        <w:t xml:space="preserve"> trial </w:t>
      </w:r>
      <w:r w:rsidR="006F26DB" w:rsidRPr="00D74403">
        <w:t xml:space="preserve">were provided </w:t>
      </w:r>
      <w:r w:rsidR="004C22FF" w:rsidRPr="00D74403">
        <w:t xml:space="preserve">in the </w:t>
      </w:r>
      <w:proofErr w:type="spellStart"/>
      <w:r w:rsidR="004C22FF" w:rsidRPr="00D74403">
        <w:t>nivolumab</w:t>
      </w:r>
      <w:proofErr w:type="spellEnd"/>
      <w:r w:rsidR="004C22FF" w:rsidRPr="00D74403">
        <w:t xml:space="preserve"> monotherapy </w:t>
      </w:r>
      <w:r w:rsidR="006F26DB" w:rsidRPr="00D74403">
        <w:t>Pre-Sub-Committee Response (PSCR) in May 2015.</w:t>
      </w:r>
      <w:r w:rsidR="001E0324" w:rsidRPr="00D74403">
        <w:t xml:space="preserve"> The PSCR (p.1) </w:t>
      </w:r>
      <w:r w:rsidR="00497D4D" w:rsidRPr="00D74403">
        <w:t xml:space="preserve">for the current submission </w:t>
      </w:r>
      <w:r w:rsidR="001E0324" w:rsidRPr="00D74403">
        <w:t>noted that this was based on a local analysis of immature data from CA209-067 and was previously submitted in error.</w:t>
      </w:r>
      <w:r w:rsidR="001E0324" w:rsidRPr="00DC5D13">
        <w:t xml:space="preserve"> </w:t>
      </w:r>
      <w:r w:rsidR="00497D4D">
        <w:t>The f</w:t>
      </w:r>
      <w:r w:rsidR="001E0324" w:rsidRPr="00DC5D13">
        <w:t xml:space="preserve">inal OS analysis </w:t>
      </w:r>
      <w:r w:rsidR="00497D4D">
        <w:t>wa</w:t>
      </w:r>
      <w:r w:rsidR="001E0324" w:rsidRPr="00DC5D13">
        <w:t xml:space="preserve">s anticipated </w:t>
      </w:r>
      <w:r w:rsidR="00497D4D">
        <w:t xml:space="preserve">to become available </w:t>
      </w:r>
      <w:r w:rsidR="001E0324" w:rsidRPr="00DC5D13">
        <w:t>around the third quarter of 2016.</w:t>
      </w:r>
    </w:p>
    <w:p w:rsidR="007B63D4" w:rsidRPr="00185700" w:rsidRDefault="007B63D4" w:rsidP="00B60939">
      <w:pPr>
        <w:rPr>
          <w:szCs w:val="22"/>
        </w:rPr>
      </w:pPr>
    </w:p>
    <w:p w:rsidR="003E147C" w:rsidRPr="002C2775" w:rsidRDefault="003E147C" w:rsidP="00AF0595">
      <w:pPr>
        <w:pStyle w:val="Heading2"/>
      </w:pPr>
      <w:bookmarkStart w:id="9" w:name="_Toc430097330"/>
      <w:r w:rsidRPr="002C2775">
        <w:t>Comparative effectiveness</w:t>
      </w:r>
      <w:bookmarkEnd w:id="9"/>
    </w:p>
    <w:p w:rsidR="003E147C" w:rsidRPr="00882085" w:rsidRDefault="003E147C" w:rsidP="00B60939">
      <w:pPr>
        <w:rPr>
          <w:szCs w:val="22"/>
        </w:rPr>
      </w:pPr>
    </w:p>
    <w:p w:rsidR="00F717A6" w:rsidRPr="00E408F9" w:rsidRDefault="003E147C" w:rsidP="00E408F9">
      <w:pPr>
        <w:pStyle w:val="ListParagraph"/>
        <w:widowControl/>
        <w:numPr>
          <w:ilvl w:val="1"/>
          <w:numId w:val="6"/>
        </w:numPr>
        <w:rPr>
          <w:szCs w:val="22"/>
        </w:rPr>
      </w:pPr>
      <w:r w:rsidRPr="00A966FC">
        <w:rPr>
          <w:szCs w:val="22"/>
        </w:rPr>
        <w:t xml:space="preserve">Table </w:t>
      </w:r>
      <w:r w:rsidR="001E61B7">
        <w:rPr>
          <w:szCs w:val="22"/>
        </w:rPr>
        <w:t>4</w:t>
      </w:r>
      <w:r w:rsidR="001E61B7" w:rsidRPr="00A966FC">
        <w:rPr>
          <w:szCs w:val="22"/>
        </w:rPr>
        <w:t xml:space="preserve"> </w:t>
      </w:r>
      <w:r w:rsidRPr="00A966FC">
        <w:rPr>
          <w:szCs w:val="22"/>
        </w:rPr>
        <w:t>provides a summary of the direct comparison</w:t>
      </w:r>
      <w:r w:rsidR="00B04F34">
        <w:rPr>
          <w:szCs w:val="22"/>
        </w:rPr>
        <w:t xml:space="preserve"> between </w:t>
      </w:r>
      <w:proofErr w:type="spellStart"/>
      <w:r w:rsidR="00B04F34">
        <w:rPr>
          <w:szCs w:val="22"/>
        </w:rPr>
        <w:t>nivolumab</w:t>
      </w:r>
      <w:proofErr w:type="spellEnd"/>
      <w:r w:rsidR="00B04F34">
        <w:rPr>
          <w:szCs w:val="22"/>
        </w:rPr>
        <w:t xml:space="preserve"> plus </w:t>
      </w:r>
      <w:proofErr w:type="spellStart"/>
      <w:r w:rsidR="00B04F34">
        <w:rPr>
          <w:szCs w:val="22"/>
        </w:rPr>
        <w:t>ipilimumab</w:t>
      </w:r>
      <w:proofErr w:type="spellEnd"/>
      <w:r w:rsidR="00B04F34">
        <w:rPr>
          <w:szCs w:val="22"/>
        </w:rPr>
        <w:t xml:space="preserve"> combination therapy and ipilimumab monotherapy</w:t>
      </w:r>
      <w:r w:rsidR="0088434D">
        <w:rPr>
          <w:szCs w:val="22"/>
        </w:rPr>
        <w:t>.</w:t>
      </w:r>
    </w:p>
    <w:p w:rsidR="003E147C" w:rsidRDefault="003E147C" w:rsidP="007F1017">
      <w:pPr>
        <w:widowControl/>
        <w:rPr>
          <w:szCs w:val="22"/>
        </w:rPr>
      </w:pPr>
    </w:p>
    <w:p w:rsidR="003E147C" w:rsidRDefault="003E147C" w:rsidP="009A14F7">
      <w:pPr>
        <w:keepNext/>
        <w:ind w:firstLine="720"/>
        <w:rPr>
          <w:rStyle w:val="CommentReference"/>
        </w:rPr>
      </w:pPr>
      <w:r w:rsidRPr="001F7361">
        <w:rPr>
          <w:rStyle w:val="CommentReference"/>
        </w:rPr>
        <w:lastRenderedPageBreak/>
        <w:t xml:space="preserve">Table </w:t>
      </w:r>
      <w:r w:rsidR="001E61B7">
        <w:rPr>
          <w:rStyle w:val="CommentReference"/>
        </w:rPr>
        <w:t>4</w:t>
      </w:r>
      <w:r>
        <w:rPr>
          <w:rStyle w:val="CommentReference"/>
        </w:rPr>
        <w:t xml:space="preserve">: Results </w:t>
      </w:r>
      <w:r w:rsidR="00B04F34">
        <w:rPr>
          <w:rStyle w:val="CommentReference"/>
        </w:rPr>
        <w:t xml:space="preserve">for </w:t>
      </w:r>
      <w:r>
        <w:rPr>
          <w:rStyle w:val="CommentReference"/>
        </w:rPr>
        <w:t>PFS and OS from the direct comparison</w:t>
      </w:r>
      <w:r w:rsidRPr="001F7361">
        <w:rPr>
          <w:rStyle w:val="CommentReference"/>
        </w:rPr>
        <w:t xml:space="preserve"> </w:t>
      </w:r>
      <w:r>
        <w:rPr>
          <w:rStyle w:val="CommentReference"/>
        </w:rPr>
        <w:t>against ipilimumab monotherapy</w:t>
      </w:r>
    </w:p>
    <w:tbl>
      <w:tblPr>
        <w:tblW w:w="4589"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Results for PFS and OS from the direct comparison against ipilimumab monotherapy"/>
      </w:tblPr>
      <w:tblGrid>
        <w:gridCol w:w="2431"/>
        <w:gridCol w:w="1529"/>
        <w:gridCol w:w="1530"/>
        <w:gridCol w:w="1080"/>
        <w:gridCol w:w="1766"/>
      </w:tblGrid>
      <w:tr w:rsidR="003E147C" w:rsidRPr="004E2ADC" w:rsidTr="00C75C26">
        <w:tc>
          <w:tcPr>
            <w:tcW w:w="1458" w:type="pct"/>
            <w:vAlign w:val="center"/>
          </w:tcPr>
          <w:p w:rsidR="003E147C" w:rsidRPr="004E2ADC" w:rsidRDefault="003E147C" w:rsidP="009A14F7">
            <w:pPr>
              <w:keepNext/>
              <w:jc w:val="left"/>
              <w:rPr>
                <w:rFonts w:ascii="Arial Narrow" w:hAnsi="Arial Narrow"/>
                <w:sz w:val="20"/>
              </w:rPr>
            </w:pPr>
            <w:r w:rsidRPr="004E2ADC">
              <w:rPr>
                <w:rFonts w:ascii="Arial Narrow" w:hAnsi="Arial Narrow"/>
                <w:b/>
                <w:sz w:val="20"/>
              </w:rPr>
              <w:t>Trial ID</w:t>
            </w:r>
          </w:p>
        </w:tc>
        <w:tc>
          <w:tcPr>
            <w:tcW w:w="917" w:type="pct"/>
            <w:vAlign w:val="center"/>
          </w:tcPr>
          <w:p w:rsidR="003E147C" w:rsidRDefault="003E147C" w:rsidP="009A14F7">
            <w:pPr>
              <w:keepNext/>
              <w:ind w:right="-108"/>
              <w:jc w:val="center"/>
              <w:rPr>
                <w:rFonts w:ascii="Arial Narrow" w:hAnsi="Arial Narrow"/>
                <w:b/>
                <w:sz w:val="20"/>
              </w:rPr>
            </w:pPr>
            <w:proofErr w:type="spellStart"/>
            <w:r>
              <w:rPr>
                <w:rFonts w:ascii="Arial Narrow" w:hAnsi="Arial Narrow"/>
                <w:b/>
                <w:sz w:val="20"/>
              </w:rPr>
              <w:t>Nivo</w:t>
            </w:r>
            <w:proofErr w:type="spellEnd"/>
            <w:r>
              <w:rPr>
                <w:rFonts w:ascii="Arial Narrow" w:hAnsi="Arial Narrow"/>
                <w:b/>
                <w:sz w:val="20"/>
              </w:rPr>
              <w:t xml:space="preserve"> + </w:t>
            </w:r>
            <w:proofErr w:type="spellStart"/>
            <w:r>
              <w:rPr>
                <w:rFonts w:ascii="Arial Narrow" w:hAnsi="Arial Narrow"/>
                <w:b/>
                <w:sz w:val="20"/>
              </w:rPr>
              <w:t>Ipi</w:t>
            </w:r>
            <w:proofErr w:type="spellEnd"/>
          </w:p>
          <w:p w:rsidR="003E147C" w:rsidRPr="004E2ADC" w:rsidRDefault="003E147C" w:rsidP="009A14F7">
            <w:pPr>
              <w:keepNext/>
              <w:ind w:right="-108"/>
              <w:jc w:val="center"/>
              <w:rPr>
                <w:rFonts w:ascii="Arial Narrow" w:hAnsi="Arial Narrow"/>
                <w:sz w:val="20"/>
              </w:rPr>
            </w:pPr>
            <w:proofErr w:type="gramStart"/>
            <w:r>
              <w:rPr>
                <w:rFonts w:ascii="Arial Narrow" w:hAnsi="Arial Narrow"/>
                <w:b/>
                <w:sz w:val="20"/>
              </w:rPr>
              <w:t>n</w:t>
            </w:r>
            <w:r w:rsidRPr="004E2ADC">
              <w:rPr>
                <w:rFonts w:ascii="Arial Narrow" w:hAnsi="Arial Narrow"/>
                <w:b/>
                <w:sz w:val="20"/>
              </w:rPr>
              <w:t>/N</w:t>
            </w:r>
            <w:proofErr w:type="gramEnd"/>
            <w:r w:rsidRPr="004E2ADC">
              <w:rPr>
                <w:rFonts w:ascii="Arial Narrow" w:hAnsi="Arial Narrow"/>
                <w:b/>
                <w:sz w:val="20"/>
              </w:rPr>
              <w:t xml:space="preserve"> (%)</w:t>
            </w:r>
          </w:p>
        </w:tc>
        <w:tc>
          <w:tcPr>
            <w:tcW w:w="918" w:type="pct"/>
            <w:vAlign w:val="center"/>
          </w:tcPr>
          <w:p w:rsidR="003E147C" w:rsidRDefault="003E147C" w:rsidP="009A14F7">
            <w:pPr>
              <w:keepNext/>
              <w:jc w:val="center"/>
              <w:rPr>
                <w:rFonts w:ascii="Arial Narrow" w:hAnsi="Arial Narrow"/>
                <w:b/>
                <w:sz w:val="20"/>
              </w:rPr>
            </w:pPr>
            <w:proofErr w:type="spellStart"/>
            <w:r>
              <w:rPr>
                <w:rFonts w:ascii="Arial Narrow" w:hAnsi="Arial Narrow"/>
                <w:b/>
                <w:sz w:val="20"/>
              </w:rPr>
              <w:t>Ipi</w:t>
            </w:r>
            <w:proofErr w:type="spellEnd"/>
          </w:p>
          <w:p w:rsidR="003E147C" w:rsidRPr="00672A4D" w:rsidRDefault="003E147C" w:rsidP="009A14F7">
            <w:pPr>
              <w:keepNext/>
              <w:jc w:val="center"/>
              <w:rPr>
                <w:rFonts w:ascii="Arial Narrow" w:hAnsi="Arial Narrow"/>
                <w:sz w:val="20"/>
              </w:rPr>
            </w:pPr>
            <w:proofErr w:type="gramStart"/>
            <w:r>
              <w:rPr>
                <w:rFonts w:ascii="Arial Narrow" w:hAnsi="Arial Narrow"/>
                <w:b/>
                <w:sz w:val="20"/>
              </w:rPr>
              <w:t>n</w:t>
            </w:r>
            <w:r w:rsidRPr="004E2ADC">
              <w:rPr>
                <w:rFonts w:ascii="Arial Narrow" w:hAnsi="Arial Narrow"/>
                <w:b/>
                <w:sz w:val="20"/>
              </w:rPr>
              <w:t>/N</w:t>
            </w:r>
            <w:proofErr w:type="gramEnd"/>
            <w:r w:rsidRPr="004E2ADC">
              <w:rPr>
                <w:rFonts w:ascii="Arial Narrow" w:hAnsi="Arial Narrow"/>
                <w:b/>
                <w:sz w:val="20"/>
              </w:rPr>
              <w:t xml:space="preserve"> (%)</w:t>
            </w:r>
          </w:p>
        </w:tc>
        <w:tc>
          <w:tcPr>
            <w:tcW w:w="648" w:type="pct"/>
            <w:vAlign w:val="center"/>
          </w:tcPr>
          <w:p w:rsidR="003E147C" w:rsidRPr="004E2ADC" w:rsidRDefault="003E147C" w:rsidP="009A14F7">
            <w:pPr>
              <w:keepNext/>
              <w:jc w:val="center"/>
              <w:rPr>
                <w:rFonts w:ascii="Arial Narrow" w:hAnsi="Arial Narrow"/>
                <w:b/>
                <w:sz w:val="20"/>
              </w:rPr>
            </w:pPr>
            <w:r>
              <w:rPr>
                <w:rFonts w:ascii="Arial Narrow" w:hAnsi="Arial Narrow"/>
                <w:b/>
                <w:sz w:val="20"/>
              </w:rPr>
              <w:t>Absolute difference</w:t>
            </w:r>
          </w:p>
        </w:tc>
        <w:tc>
          <w:tcPr>
            <w:tcW w:w="1059" w:type="pct"/>
            <w:vAlign w:val="center"/>
          </w:tcPr>
          <w:p w:rsidR="003E147C" w:rsidRPr="004E2ADC" w:rsidRDefault="003E147C" w:rsidP="009A14F7">
            <w:pPr>
              <w:keepNext/>
              <w:jc w:val="center"/>
              <w:rPr>
                <w:rFonts w:ascii="Arial Narrow" w:hAnsi="Arial Narrow"/>
                <w:sz w:val="20"/>
              </w:rPr>
            </w:pPr>
            <w:r>
              <w:rPr>
                <w:rFonts w:ascii="Arial Narrow" w:hAnsi="Arial Narrow"/>
                <w:b/>
                <w:sz w:val="20"/>
              </w:rPr>
              <w:t>HR (</w:t>
            </w:r>
            <w:r w:rsidRPr="004E2ADC">
              <w:rPr>
                <w:rFonts w:ascii="Arial Narrow" w:hAnsi="Arial Narrow"/>
                <w:b/>
                <w:sz w:val="20"/>
              </w:rPr>
              <w:t>95% CI)</w:t>
            </w:r>
          </w:p>
        </w:tc>
      </w:tr>
      <w:tr w:rsidR="003E147C" w:rsidRPr="004E2ADC" w:rsidTr="00C75C26">
        <w:tc>
          <w:tcPr>
            <w:tcW w:w="5000" w:type="pct"/>
            <w:gridSpan w:val="5"/>
            <w:vAlign w:val="center"/>
          </w:tcPr>
          <w:p w:rsidR="003E147C" w:rsidRPr="004E2ADC" w:rsidRDefault="003E147C" w:rsidP="009A14F7">
            <w:pPr>
              <w:keepNext/>
              <w:jc w:val="left"/>
              <w:rPr>
                <w:rFonts w:ascii="Arial Narrow" w:hAnsi="Arial Narrow"/>
                <w:sz w:val="20"/>
              </w:rPr>
            </w:pPr>
            <w:r>
              <w:rPr>
                <w:rFonts w:ascii="Arial Narrow" w:hAnsi="Arial Narrow"/>
                <w:b/>
                <w:sz w:val="20"/>
              </w:rPr>
              <w:t>Overall survival - CA</w:t>
            </w:r>
            <w:r w:rsidRPr="00672A4D">
              <w:rPr>
                <w:rFonts w:ascii="Arial Narrow" w:hAnsi="Arial Narrow"/>
                <w:b/>
                <w:sz w:val="20"/>
              </w:rPr>
              <w:t>209-067</w:t>
            </w:r>
          </w:p>
        </w:tc>
      </w:tr>
      <w:tr w:rsidR="003E147C" w:rsidRPr="004E2ADC" w:rsidTr="00C75C26">
        <w:tc>
          <w:tcPr>
            <w:tcW w:w="1458" w:type="pct"/>
            <w:vAlign w:val="center"/>
          </w:tcPr>
          <w:p w:rsidR="003E147C" w:rsidRPr="004E2ADC" w:rsidRDefault="003E147C" w:rsidP="009A14F7">
            <w:pPr>
              <w:keepNext/>
              <w:jc w:val="left"/>
              <w:rPr>
                <w:rFonts w:ascii="Arial Narrow" w:hAnsi="Arial Narrow"/>
                <w:sz w:val="20"/>
              </w:rPr>
            </w:pPr>
            <w:r>
              <w:rPr>
                <w:rFonts w:ascii="Arial Narrow" w:hAnsi="Arial Narrow"/>
                <w:sz w:val="20"/>
              </w:rPr>
              <w:t>Number of deaths</w:t>
            </w:r>
          </w:p>
        </w:tc>
        <w:tc>
          <w:tcPr>
            <w:tcW w:w="917"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NR</w:t>
            </w:r>
          </w:p>
        </w:tc>
        <w:tc>
          <w:tcPr>
            <w:tcW w:w="918"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NR</w:t>
            </w:r>
          </w:p>
        </w:tc>
        <w:tc>
          <w:tcPr>
            <w:tcW w:w="648" w:type="pct"/>
            <w:vAlign w:val="center"/>
          </w:tcPr>
          <w:p w:rsidR="003E147C" w:rsidRPr="004E2ADC" w:rsidRDefault="003E147C" w:rsidP="009A14F7">
            <w:pPr>
              <w:keepNext/>
              <w:jc w:val="center"/>
              <w:rPr>
                <w:rFonts w:ascii="Arial Narrow" w:hAnsi="Arial Narrow"/>
                <w:sz w:val="20"/>
              </w:rPr>
            </w:pPr>
          </w:p>
        </w:tc>
        <w:tc>
          <w:tcPr>
            <w:tcW w:w="1059" w:type="pct"/>
            <w:vAlign w:val="center"/>
          </w:tcPr>
          <w:p w:rsidR="003E147C" w:rsidRPr="004E2ADC" w:rsidRDefault="003E147C" w:rsidP="009A14F7">
            <w:pPr>
              <w:keepNext/>
              <w:jc w:val="center"/>
              <w:rPr>
                <w:rFonts w:ascii="Arial Narrow" w:hAnsi="Arial Narrow"/>
                <w:sz w:val="20"/>
              </w:rPr>
            </w:pPr>
          </w:p>
        </w:tc>
      </w:tr>
      <w:tr w:rsidR="003E147C" w:rsidRPr="004E2ADC" w:rsidTr="00C75C26">
        <w:tc>
          <w:tcPr>
            <w:tcW w:w="1458" w:type="pct"/>
            <w:vAlign w:val="center"/>
          </w:tcPr>
          <w:p w:rsidR="003E147C" w:rsidRPr="004E2ADC" w:rsidRDefault="0088434D" w:rsidP="009A14F7">
            <w:pPr>
              <w:keepNext/>
              <w:jc w:val="left"/>
              <w:rPr>
                <w:rFonts w:ascii="Arial Narrow" w:hAnsi="Arial Narrow"/>
                <w:sz w:val="20"/>
              </w:rPr>
            </w:pPr>
            <w:r>
              <w:rPr>
                <w:rFonts w:ascii="Arial Narrow" w:hAnsi="Arial Narrow"/>
                <w:sz w:val="20"/>
              </w:rPr>
              <w:t xml:space="preserve">Median OS </w:t>
            </w:r>
            <w:r w:rsidR="003E147C">
              <w:rPr>
                <w:rFonts w:ascii="Arial Narrow" w:hAnsi="Arial Narrow"/>
                <w:sz w:val="20"/>
              </w:rPr>
              <w:t>(95%</w:t>
            </w:r>
            <w:r w:rsidR="00C71027">
              <w:rPr>
                <w:rFonts w:ascii="Arial Narrow" w:hAnsi="Arial Narrow"/>
                <w:sz w:val="20"/>
              </w:rPr>
              <w:t xml:space="preserve"> </w:t>
            </w:r>
            <w:r w:rsidR="003E147C">
              <w:rPr>
                <w:rFonts w:ascii="Arial Narrow" w:hAnsi="Arial Narrow"/>
                <w:sz w:val="20"/>
              </w:rPr>
              <w:t>CI</w:t>
            </w:r>
            <w:r>
              <w:rPr>
                <w:rFonts w:ascii="Arial Narrow" w:hAnsi="Arial Narrow"/>
                <w:sz w:val="20"/>
              </w:rPr>
              <w:t>), months</w:t>
            </w:r>
          </w:p>
        </w:tc>
        <w:tc>
          <w:tcPr>
            <w:tcW w:w="917"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NR</w:t>
            </w:r>
          </w:p>
        </w:tc>
        <w:tc>
          <w:tcPr>
            <w:tcW w:w="918"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NR</w:t>
            </w:r>
          </w:p>
        </w:tc>
        <w:tc>
          <w:tcPr>
            <w:tcW w:w="648" w:type="pct"/>
            <w:vAlign w:val="center"/>
          </w:tcPr>
          <w:p w:rsidR="003E147C" w:rsidRPr="004E2ADC" w:rsidRDefault="003E147C" w:rsidP="009A14F7">
            <w:pPr>
              <w:keepNext/>
              <w:jc w:val="center"/>
              <w:rPr>
                <w:rFonts w:ascii="Arial Narrow" w:hAnsi="Arial Narrow"/>
                <w:sz w:val="20"/>
              </w:rPr>
            </w:pPr>
          </w:p>
        </w:tc>
        <w:tc>
          <w:tcPr>
            <w:tcW w:w="1059" w:type="pct"/>
            <w:vAlign w:val="center"/>
          </w:tcPr>
          <w:p w:rsidR="003E147C" w:rsidRPr="00372C30" w:rsidRDefault="003E147C" w:rsidP="009A14F7">
            <w:pPr>
              <w:keepNext/>
              <w:jc w:val="center"/>
              <w:rPr>
                <w:rFonts w:ascii="Arial Narrow" w:hAnsi="Arial Narrow"/>
                <w:sz w:val="20"/>
              </w:rPr>
            </w:pPr>
            <w:r>
              <w:rPr>
                <w:rFonts w:ascii="Arial Narrow" w:hAnsi="Arial Narrow" w:cs="Times New Roman"/>
                <w:sz w:val="20"/>
                <w:lang w:val="en-US"/>
              </w:rPr>
              <w:t>NR</w:t>
            </w:r>
          </w:p>
        </w:tc>
      </w:tr>
      <w:tr w:rsidR="003E147C" w:rsidRPr="004E2ADC" w:rsidTr="00C75C26">
        <w:tc>
          <w:tcPr>
            <w:tcW w:w="5000" w:type="pct"/>
            <w:gridSpan w:val="5"/>
            <w:vAlign w:val="center"/>
          </w:tcPr>
          <w:p w:rsidR="003E147C" w:rsidRPr="004E2ADC" w:rsidRDefault="003E147C" w:rsidP="009A14F7">
            <w:pPr>
              <w:keepNext/>
              <w:jc w:val="left"/>
              <w:rPr>
                <w:rFonts w:ascii="Arial Narrow" w:hAnsi="Arial Narrow"/>
                <w:sz w:val="20"/>
              </w:rPr>
            </w:pPr>
            <w:r>
              <w:rPr>
                <w:rFonts w:ascii="Arial Narrow" w:hAnsi="Arial Narrow"/>
                <w:b/>
                <w:sz w:val="20"/>
              </w:rPr>
              <w:t xml:space="preserve">Overall survival - </w:t>
            </w:r>
            <w:r w:rsidRPr="00672A4D">
              <w:rPr>
                <w:rFonts w:ascii="Arial Narrow" w:hAnsi="Arial Narrow"/>
                <w:b/>
                <w:sz w:val="20"/>
              </w:rPr>
              <w:t>CA209-069</w:t>
            </w:r>
          </w:p>
        </w:tc>
      </w:tr>
      <w:tr w:rsidR="003E147C" w:rsidRPr="004E2ADC" w:rsidTr="00C75C26">
        <w:tc>
          <w:tcPr>
            <w:tcW w:w="1458" w:type="pct"/>
            <w:vAlign w:val="center"/>
          </w:tcPr>
          <w:p w:rsidR="003E147C" w:rsidRDefault="0088434D" w:rsidP="009A14F7">
            <w:pPr>
              <w:keepNext/>
              <w:ind w:right="-108"/>
              <w:jc w:val="left"/>
              <w:rPr>
                <w:rFonts w:ascii="Arial Narrow" w:hAnsi="Arial Narrow"/>
                <w:sz w:val="20"/>
              </w:rPr>
            </w:pPr>
            <w:r>
              <w:rPr>
                <w:rFonts w:ascii="Arial Narrow" w:hAnsi="Arial Narrow"/>
                <w:sz w:val="20"/>
              </w:rPr>
              <w:t>Median follow-</w:t>
            </w:r>
            <w:r w:rsidR="003E147C">
              <w:rPr>
                <w:rFonts w:ascii="Arial Narrow" w:hAnsi="Arial Narrow"/>
                <w:sz w:val="20"/>
              </w:rPr>
              <w:t>up</w:t>
            </w:r>
            <w:r>
              <w:rPr>
                <w:rFonts w:ascii="Arial Narrow" w:hAnsi="Arial Narrow"/>
                <w:sz w:val="20"/>
              </w:rPr>
              <w:t>,</w:t>
            </w:r>
            <w:r w:rsidR="003E147C">
              <w:rPr>
                <w:rFonts w:ascii="Arial Narrow" w:hAnsi="Arial Narrow"/>
                <w:sz w:val="20"/>
              </w:rPr>
              <w:t xml:space="preserve"> months</w:t>
            </w:r>
          </w:p>
        </w:tc>
        <w:tc>
          <w:tcPr>
            <w:tcW w:w="1835" w:type="pct"/>
            <w:gridSpan w:val="2"/>
            <w:vAlign w:val="center"/>
          </w:tcPr>
          <w:p w:rsidR="003E147C" w:rsidRPr="004E2ADC" w:rsidRDefault="003E147C" w:rsidP="009A14F7">
            <w:pPr>
              <w:keepNext/>
              <w:jc w:val="center"/>
              <w:rPr>
                <w:rFonts w:ascii="Arial Narrow" w:hAnsi="Arial Narrow"/>
                <w:sz w:val="20"/>
              </w:rPr>
            </w:pPr>
            <w:r>
              <w:rPr>
                <w:rFonts w:ascii="Arial Narrow" w:hAnsi="Arial Narrow"/>
                <w:sz w:val="20"/>
              </w:rPr>
              <w:t>11</w:t>
            </w:r>
          </w:p>
        </w:tc>
        <w:tc>
          <w:tcPr>
            <w:tcW w:w="648" w:type="pct"/>
            <w:vAlign w:val="center"/>
          </w:tcPr>
          <w:p w:rsidR="003E147C" w:rsidRPr="004E2ADC" w:rsidRDefault="003E147C" w:rsidP="009A14F7">
            <w:pPr>
              <w:keepNext/>
              <w:jc w:val="center"/>
              <w:rPr>
                <w:rFonts w:ascii="Arial Narrow" w:hAnsi="Arial Narrow"/>
                <w:sz w:val="20"/>
              </w:rPr>
            </w:pPr>
          </w:p>
        </w:tc>
        <w:tc>
          <w:tcPr>
            <w:tcW w:w="1059" w:type="pct"/>
            <w:vAlign w:val="center"/>
          </w:tcPr>
          <w:p w:rsidR="003E147C" w:rsidRPr="004E2ADC" w:rsidRDefault="003E147C" w:rsidP="009A14F7">
            <w:pPr>
              <w:keepNext/>
              <w:jc w:val="center"/>
              <w:rPr>
                <w:rFonts w:ascii="Arial Narrow" w:hAnsi="Arial Narrow"/>
                <w:sz w:val="20"/>
              </w:rPr>
            </w:pPr>
          </w:p>
        </w:tc>
      </w:tr>
      <w:tr w:rsidR="003E147C" w:rsidRPr="004E2ADC" w:rsidTr="00C75C26">
        <w:tc>
          <w:tcPr>
            <w:tcW w:w="1458" w:type="pct"/>
            <w:vAlign w:val="center"/>
          </w:tcPr>
          <w:p w:rsidR="003E147C" w:rsidRDefault="003E147C" w:rsidP="009A14F7">
            <w:pPr>
              <w:keepNext/>
              <w:ind w:right="-108"/>
              <w:jc w:val="left"/>
              <w:rPr>
                <w:rFonts w:ascii="Arial Narrow" w:hAnsi="Arial Narrow"/>
                <w:sz w:val="20"/>
              </w:rPr>
            </w:pPr>
            <w:r>
              <w:rPr>
                <w:rFonts w:ascii="Arial Narrow" w:hAnsi="Arial Narrow"/>
                <w:sz w:val="20"/>
              </w:rPr>
              <w:t>Number of deaths</w:t>
            </w:r>
          </w:p>
        </w:tc>
        <w:tc>
          <w:tcPr>
            <w:tcW w:w="917"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25/95 (26.3)</w:t>
            </w:r>
          </w:p>
        </w:tc>
        <w:tc>
          <w:tcPr>
            <w:tcW w:w="918"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17/47 (36.2)</w:t>
            </w:r>
          </w:p>
        </w:tc>
        <w:tc>
          <w:tcPr>
            <w:tcW w:w="648" w:type="pct"/>
            <w:vAlign w:val="center"/>
          </w:tcPr>
          <w:p w:rsidR="003E147C" w:rsidRPr="004E2ADC" w:rsidRDefault="003E147C" w:rsidP="009A14F7">
            <w:pPr>
              <w:keepNext/>
              <w:jc w:val="center"/>
              <w:rPr>
                <w:rFonts w:ascii="Arial Narrow" w:hAnsi="Arial Narrow"/>
                <w:sz w:val="20"/>
              </w:rPr>
            </w:pPr>
          </w:p>
        </w:tc>
        <w:tc>
          <w:tcPr>
            <w:tcW w:w="1059" w:type="pct"/>
            <w:vAlign w:val="center"/>
          </w:tcPr>
          <w:p w:rsidR="003E147C" w:rsidRPr="004E2ADC" w:rsidRDefault="003E147C" w:rsidP="009A14F7">
            <w:pPr>
              <w:keepNext/>
              <w:jc w:val="center"/>
              <w:rPr>
                <w:rFonts w:ascii="Arial Narrow" w:hAnsi="Arial Narrow"/>
                <w:sz w:val="20"/>
              </w:rPr>
            </w:pPr>
          </w:p>
        </w:tc>
      </w:tr>
      <w:tr w:rsidR="003E147C" w:rsidRPr="004E2ADC" w:rsidTr="00C75C26">
        <w:tc>
          <w:tcPr>
            <w:tcW w:w="1458" w:type="pct"/>
            <w:vAlign w:val="center"/>
          </w:tcPr>
          <w:p w:rsidR="003E147C" w:rsidRDefault="003E147C" w:rsidP="009A14F7">
            <w:pPr>
              <w:keepNext/>
              <w:ind w:right="-108"/>
              <w:jc w:val="left"/>
              <w:rPr>
                <w:rFonts w:ascii="Arial Narrow" w:hAnsi="Arial Narrow"/>
                <w:sz w:val="20"/>
              </w:rPr>
            </w:pPr>
            <w:r>
              <w:rPr>
                <w:rFonts w:ascii="Arial Narrow" w:hAnsi="Arial Narrow"/>
                <w:sz w:val="20"/>
              </w:rPr>
              <w:t>Median OS (95%</w:t>
            </w:r>
            <w:r w:rsidR="00C71027">
              <w:rPr>
                <w:rFonts w:ascii="Arial Narrow" w:hAnsi="Arial Narrow"/>
                <w:sz w:val="20"/>
              </w:rPr>
              <w:t xml:space="preserve"> </w:t>
            </w:r>
            <w:r>
              <w:rPr>
                <w:rFonts w:ascii="Arial Narrow" w:hAnsi="Arial Narrow"/>
                <w:sz w:val="20"/>
              </w:rPr>
              <w:t>CI</w:t>
            </w:r>
            <w:r w:rsidR="0088434D">
              <w:rPr>
                <w:rFonts w:ascii="Arial Narrow" w:hAnsi="Arial Narrow"/>
                <w:sz w:val="20"/>
              </w:rPr>
              <w:t>)</w:t>
            </w:r>
            <w:r w:rsidR="00C71027">
              <w:rPr>
                <w:rFonts w:ascii="Arial Narrow" w:hAnsi="Arial Narrow"/>
                <w:sz w:val="20"/>
              </w:rPr>
              <w:t>,</w:t>
            </w:r>
            <w:r w:rsidR="0088434D">
              <w:rPr>
                <w:rFonts w:ascii="Arial Narrow" w:hAnsi="Arial Narrow"/>
                <w:sz w:val="20"/>
              </w:rPr>
              <w:t xml:space="preserve"> months</w:t>
            </w:r>
          </w:p>
        </w:tc>
        <w:tc>
          <w:tcPr>
            <w:tcW w:w="917"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Not reached</w:t>
            </w:r>
          </w:p>
        </w:tc>
        <w:tc>
          <w:tcPr>
            <w:tcW w:w="918"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Not reached</w:t>
            </w:r>
          </w:p>
        </w:tc>
        <w:tc>
          <w:tcPr>
            <w:tcW w:w="648"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w:t>
            </w:r>
          </w:p>
        </w:tc>
        <w:tc>
          <w:tcPr>
            <w:tcW w:w="1059"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0.73 (0.39, 1.36)</w:t>
            </w:r>
          </w:p>
        </w:tc>
      </w:tr>
      <w:tr w:rsidR="003E147C" w:rsidRPr="004E2ADC" w:rsidTr="00C75C26">
        <w:tc>
          <w:tcPr>
            <w:tcW w:w="5000" w:type="pct"/>
            <w:gridSpan w:val="5"/>
            <w:vAlign w:val="center"/>
          </w:tcPr>
          <w:p w:rsidR="003E147C" w:rsidRPr="004E2ADC" w:rsidRDefault="0088434D" w:rsidP="009A14F7">
            <w:pPr>
              <w:keepNext/>
              <w:jc w:val="left"/>
              <w:rPr>
                <w:rFonts w:ascii="Arial Narrow" w:hAnsi="Arial Narrow"/>
                <w:sz w:val="20"/>
              </w:rPr>
            </w:pPr>
            <w:r>
              <w:rPr>
                <w:rFonts w:ascii="Arial Narrow" w:hAnsi="Arial Narrow"/>
                <w:b/>
                <w:sz w:val="20"/>
              </w:rPr>
              <w:t>Progression-</w:t>
            </w:r>
            <w:r w:rsidR="003E147C">
              <w:rPr>
                <w:rFonts w:ascii="Arial Narrow" w:hAnsi="Arial Narrow"/>
                <w:b/>
                <w:sz w:val="20"/>
              </w:rPr>
              <w:t>free survival - CA</w:t>
            </w:r>
            <w:r w:rsidR="003E147C" w:rsidRPr="00672A4D">
              <w:rPr>
                <w:rFonts w:ascii="Arial Narrow" w:hAnsi="Arial Narrow"/>
                <w:b/>
                <w:sz w:val="20"/>
              </w:rPr>
              <w:t>209-067</w:t>
            </w:r>
          </w:p>
        </w:tc>
      </w:tr>
      <w:tr w:rsidR="003E147C" w:rsidRPr="004E2ADC" w:rsidTr="00C75C26">
        <w:tc>
          <w:tcPr>
            <w:tcW w:w="1458" w:type="pct"/>
            <w:vAlign w:val="center"/>
          </w:tcPr>
          <w:p w:rsidR="003E147C" w:rsidRDefault="003E147C" w:rsidP="009A14F7">
            <w:pPr>
              <w:keepNext/>
              <w:jc w:val="left"/>
              <w:rPr>
                <w:rFonts w:ascii="Arial Narrow" w:hAnsi="Arial Narrow"/>
                <w:sz w:val="20"/>
              </w:rPr>
            </w:pPr>
            <w:r>
              <w:rPr>
                <w:rFonts w:ascii="Arial Narrow" w:hAnsi="Arial Narrow"/>
                <w:sz w:val="20"/>
              </w:rPr>
              <w:t>Median follow</w:t>
            </w:r>
            <w:r w:rsidR="0088434D">
              <w:rPr>
                <w:rFonts w:ascii="Arial Narrow" w:hAnsi="Arial Narrow"/>
                <w:sz w:val="20"/>
              </w:rPr>
              <w:t>-</w:t>
            </w:r>
            <w:r>
              <w:rPr>
                <w:rFonts w:ascii="Arial Narrow" w:hAnsi="Arial Narrow"/>
                <w:sz w:val="20"/>
              </w:rPr>
              <w:t>up</w:t>
            </w:r>
            <w:r w:rsidR="0088434D">
              <w:rPr>
                <w:rFonts w:ascii="Arial Narrow" w:hAnsi="Arial Narrow"/>
                <w:sz w:val="20"/>
              </w:rPr>
              <w:t>,</w:t>
            </w:r>
            <w:r>
              <w:rPr>
                <w:rFonts w:ascii="Arial Narrow" w:hAnsi="Arial Narrow"/>
                <w:sz w:val="20"/>
              </w:rPr>
              <w:t xml:space="preserve"> months</w:t>
            </w:r>
          </w:p>
        </w:tc>
        <w:tc>
          <w:tcPr>
            <w:tcW w:w="1835" w:type="pct"/>
            <w:gridSpan w:val="2"/>
            <w:vAlign w:val="center"/>
          </w:tcPr>
          <w:p w:rsidR="003E147C" w:rsidRDefault="003E147C" w:rsidP="009A14F7">
            <w:pPr>
              <w:keepNext/>
              <w:jc w:val="center"/>
              <w:rPr>
                <w:rFonts w:ascii="Arial Narrow" w:hAnsi="Arial Narrow"/>
                <w:sz w:val="20"/>
              </w:rPr>
            </w:pPr>
            <w:r>
              <w:rPr>
                <w:rFonts w:ascii="Arial Narrow" w:hAnsi="Arial Narrow"/>
                <w:sz w:val="20"/>
              </w:rPr>
              <w:t xml:space="preserve">12.2 to 12.5 </w:t>
            </w:r>
          </w:p>
        </w:tc>
        <w:tc>
          <w:tcPr>
            <w:tcW w:w="648" w:type="pct"/>
            <w:vAlign w:val="center"/>
          </w:tcPr>
          <w:p w:rsidR="003E147C" w:rsidRPr="004E2ADC" w:rsidRDefault="003E147C" w:rsidP="009A14F7">
            <w:pPr>
              <w:keepNext/>
              <w:jc w:val="center"/>
              <w:rPr>
                <w:rFonts w:ascii="Arial Narrow" w:hAnsi="Arial Narrow"/>
                <w:sz w:val="20"/>
              </w:rPr>
            </w:pPr>
          </w:p>
        </w:tc>
        <w:tc>
          <w:tcPr>
            <w:tcW w:w="1059" w:type="pct"/>
            <w:vAlign w:val="center"/>
          </w:tcPr>
          <w:p w:rsidR="003E147C" w:rsidRPr="004E2ADC" w:rsidRDefault="003E147C" w:rsidP="009A14F7">
            <w:pPr>
              <w:keepNext/>
              <w:jc w:val="center"/>
              <w:rPr>
                <w:rFonts w:ascii="Arial Narrow" w:hAnsi="Arial Narrow"/>
                <w:sz w:val="20"/>
              </w:rPr>
            </w:pPr>
          </w:p>
        </w:tc>
      </w:tr>
      <w:tr w:rsidR="003E147C" w:rsidRPr="004E2ADC" w:rsidTr="00C75C26">
        <w:tc>
          <w:tcPr>
            <w:tcW w:w="1458" w:type="pct"/>
            <w:vAlign w:val="center"/>
          </w:tcPr>
          <w:p w:rsidR="003E147C" w:rsidRPr="004E2ADC" w:rsidRDefault="003E147C" w:rsidP="009A14F7">
            <w:pPr>
              <w:keepNext/>
              <w:jc w:val="left"/>
              <w:rPr>
                <w:rFonts w:ascii="Arial Narrow" w:hAnsi="Arial Narrow"/>
                <w:sz w:val="20"/>
              </w:rPr>
            </w:pPr>
            <w:r>
              <w:rPr>
                <w:rFonts w:ascii="Arial Narrow" w:hAnsi="Arial Narrow"/>
                <w:sz w:val="20"/>
              </w:rPr>
              <w:t>Number of progressions</w:t>
            </w:r>
          </w:p>
        </w:tc>
        <w:tc>
          <w:tcPr>
            <w:tcW w:w="917"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151/314 (48.1)</w:t>
            </w:r>
          </w:p>
        </w:tc>
        <w:tc>
          <w:tcPr>
            <w:tcW w:w="918"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234/315 (74.3)</w:t>
            </w:r>
          </w:p>
        </w:tc>
        <w:tc>
          <w:tcPr>
            <w:tcW w:w="648" w:type="pct"/>
            <w:vAlign w:val="center"/>
          </w:tcPr>
          <w:p w:rsidR="003E147C" w:rsidRPr="004E2ADC" w:rsidRDefault="003E147C" w:rsidP="009A14F7">
            <w:pPr>
              <w:keepNext/>
              <w:jc w:val="center"/>
              <w:rPr>
                <w:rFonts w:ascii="Arial Narrow" w:hAnsi="Arial Narrow"/>
                <w:sz w:val="20"/>
              </w:rPr>
            </w:pPr>
          </w:p>
        </w:tc>
        <w:tc>
          <w:tcPr>
            <w:tcW w:w="1059" w:type="pct"/>
            <w:vAlign w:val="center"/>
          </w:tcPr>
          <w:p w:rsidR="003E147C" w:rsidRPr="004E2ADC" w:rsidRDefault="003E147C" w:rsidP="009A14F7">
            <w:pPr>
              <w:keepNext/>
              <w:jc w:val="center"/>
              <w:rPr>
                <w:rFonts w:ascii="Arial Narrow" w:hAnsi="Arial Narrow"/>
                <w:sz w:val="20"/>
              </w:rPr>
            </w:pPr>
          </w:p>
        </w:tc>
      </w:tr>
      <w:tr w:rsidR="003E147C" w:rsidRPr="004E2ADC" w:rsidTr="00C75C26">
        <w:tc>
          <w:tcPr>
            <w:tcW w:w="1458" w:type="pct"/>
            <w:vAlign w:val="center"/>
          </w:tcPr>
          <w:p w:rsidR="003E147C" w:rsidRPr="004E2ADC" w:rsidRDefault="003E147C" w:rsidP="009A14F7">
            <w:pPr>
              <w:keepNext/>
              <w:jc w:val="left"/>
              <w:rPr>
                <w:rFonts w:ascii="Arial Narrow" w:hAnsi="Arial Narrow"/>
                <w:sz w:val="20"/>
              </w:rPr>
            </w:pPr>
            <w:r>
              <w:rPr>
                <w:rFonts w:ascii="Arial Narrow" w:hAnsi="Arial Narrow"/>
                <w:sz w:val="20"/>
              </w:rPr>
              <w:t>Median PFS (95%</w:t>
            </w:r>
            <w:r w:rsidR="00C71027">
              <w:rPr>
                <w:rFonts w:ascii="Arial Narrow" w:hAnsi="Arial Narrow"/>
                <w:sz w:val="20"/>
              </w:rPr>
              <w:t xml:space="preserve"> </w:t>
            </w:r>
            <w:r>
              <w:rPr>
                <w:rFonts w:ascii="Arial Narrow" w:hAnsi="Arial Narrow"/>
                <w:sz w:val="20"/>
              </w:rPr>
              <w:t>CI</w:t>
            </w:r>
            <w:r w:rsidR="0088434D">
              <w:rPr>
                <w:rFonts w:ascii="Arial Narrow" w:hAnsi="Arial Narrow"/>
                <w:sz w:val="20"/>
              </w:rPr>
              <w:t>)</w:t>
            </w:r>
            <w:r w:rsidR="00C71027">
              <w:rPr>
                <w:rFonts w:ascii="Arial Narrow" w:hAnsi="Arial Narrow"/>
                <w:sz w:val="20"/>
              </w:rPr>
              <w:t>,</w:t>
            </w:r>
            <w:r w:rsidR="0088434D">
              <w:rPr>
                <w:rFonts w:ascii="Arial Narrow" w:hAnsi="Arial Narrow"/>
                <w:sz w:val="20"/>
              </w:rPr>
              <w:t xml:space="preserve"> months</w:t>
            </w:r>
          </w:p>
        </w:tc>
        <w:tc>
          <w:tcPr>
            <w:tcW w:w="917"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11.50 (8.90, 16.72)</w:t>
            </w:r>
          </w:p>
        </w:tc>
        <w:tc>
          <w:tcPr>
            <w:tcW w:w="918"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2.9 (2.8, 3.4)</w:t>
            </w:r>
          </w:p>
        </w:tc>
        <w:tc>
          <w:tcPr>
            <w:tcW w:w="648" w:type="pct"/>
            <w:vAlign w:val="center"/>
          </w:tcPr>
          <w:p w:rsidR="003E147C" w:rsidRPr="00F813CD" w:rsidRDefault="003E147C" w:rsidP="009A14F7">
            <w:pPr>
              <w:keepNext/>
              <w:jc w:val="center"/>
              <w:rPr>
                <w:rFonts w:ascii="Arial Narrow" w:hAnsi="Arial Narrow"/>
                <w:i/>
                <w:sz w:val="20"/>
              </w:rPr>
            </w:pPr>
            <w:r w:rsidRPr="00F813CD">
              <w:rPr>
                <w:rFonts w:ascii="Arial Narrow" w:hAnsi="Arial Narrow"/>
                <w:i/>
                <w:sz w:val="20"/>
              </w:rPr>
              <w:t>8.60</w:t>
            </w:r>
          </w:p>
        </w:tc>
        <w:tc>
          <w:tcPr>
            <w:tcW w:w="1059" w:type="pct"/>
            <w:vAlign w:val="center"/>
          </w:tcPr>
          <w:p w:rsidR="003E147C" w:rsidRDefault="003E147C" w:rsidP="009A14F7">
            <w:pPr>
              <w:keepNext/>
              <w:jc w:val="center"/>
              <w:rPr>
                <w:rFonts w:ascii="Arial Narrow" w:hAnsi="Arial Narrow"/>
                <w:sz w:val="20"/>
              </w:rPr>
            </w:pPr>
            <w:r>
              <w:rPr>
                <w:rFonts w:ascii="Arial Narrow" w:hAnsi="Arial Narrow"/>
                <w:sz w:val="20"/>
              </w:rPr>
              <w:t>0.43 (0.35, 0.53)</w:t>
            </w:r>
          </w:p>
          <w:p w:rsidR="003E147C" w:rsidRDefault="003E147C" w:rsidP="009A14F7">
            <w:pPr>
              <w:keepNext/>
              <w:jc w:val="center"/>
              <w:rPr>
                <w:rFonts w:ascii="Arial Narrow" w:hAnsi="Arial Narrow"/>
                <w:sz w:val="20"/>
              </w:rPr>
            </w:pPr>
          </w:p>
          <w:p w:rsidR="003E147C" w:rsidRPr="004E2ADC" w:rsidRDefault="003E147C" w:rsidP="009A14F7">
            <w:pPr>
              <w:keepNext/>
              <w:jc w:val="center"/>
              <w:rPr>
                <w:rFonts w:ascii="Arial Narrow" w:hAnsi="Arial Narrow"/>
                <w:sz w:val="20"/>
              </w:rPr>
            </w:pPr>
            <w:r>
              <w:rPr>
                <w:rFonts w:ascii="Arial Narrow" w:hAnsi="Arial Narrow"/>
                <w:sz w:val="20"/>
              </w:rPr>
              <w:t>Primary analysis: 0.42 (99.5%CI: 0.31, 0.57)</w:t>
            </w:r>
          </w:p>
        </w:tc>
      </w:tr>
      <w:tr w:rsidR="003E147C" w:rsidRPr="004E2ADC" w:rsidTr="00C75C26">
        <w:tc>
          <w:tcPr>
            <w:tcW w:w="5000" w:type="pct"/>
            <w:gridSpan w:val="5"/>
            <w:vAlign w:val="center"/>
          </w:tcPr>
          <w:p w:rsidR="003E147C" w:rsidRPr="004E2ADC" w:rsidRDefault="0088434D" w:rsidP="009A14F7">
            <w:pPr>
              <w:keepNext/>
              <w:jc w:val="left"/>
              <w:rPr>
                <w:rFonts w:ascii="Arial Narrow" w:hAnsi="Arial Narrow"/>
                <w:sz w:val="20"/>
              </w:rPr>
            </w:pPr>
            <w:r>
              <w:rPr>
                <w:rFonts w:ascii="Arial Narrow" w:hAnsi="Arial Narrow"/>
                <w:b/>
                <w:sz w:val="20"/>
              </w:rPr>
              <w:t>Progression-</w:t>
            </w:r>
            <w:r w:rsidR="003E147C">
              <w:rPr>
                <w:rFonts w:ascii="Arial Narrow" w:hAnsi="Arial Narrow"/>
                <w:b/>
                <w:sz w:val="20"/>
              </w:rPr>
              <w:t xml:space="preserve">free survival - </w:t>
            </w:r>
            <w:r w:rsidR="003E147C" w:rsidRPr="00672A4D">
              <w:rPr>
                <w:rFonts w:ascii="Arial Narrow" w:hAnsi="Arial Narrow"/>
                <w:b/>
                <w:sz w:val="20"/>
              </w:rPr>
              <w:t>CA209-069</w:t>
            </w:r>
          </w:p>
        </w:tc>
      </w:tr>
      <w:tr w:rsidR="003E147C" w:rsidRPr="004E2ADC" w:rsidTr="00C75C26">
        <w:tc>
          <w:tcPr>
            <w:tcW w:w="1458" w:type="pct"/>
            <w:vAlign w:val="center"/>
          </w:tcPr>
          <w:p w:rsidR="003E147C" w:rsidRDefault="0088434D" w:rsidP="009A14F7">
            <w:pPr>
              <w:keepNext/>
              <w:ind w:right="-108"/>
              <w:jc w:val="left"/>
              <w:rPr>
                <w:rFonts w:ascii="Arial Narrow" w:hAnsi="Arial Narrow"/>
                <w:sz w:val="20"/>
              </w:rPr>
            </w:pPr>
            <w:r>
              <w:rPr>
                <w:rFonts w:ascii="Arial Narrow" w:hAnsi="Arial Narrow"/>
                <w:sz w:val="20"/>
              </w:rPr>
              <w:t>Median follow-</w:t>
            </w:r>
            <w:r w:rsidR="003E147C">
              <w:rPr>
                <w:rFonts w:ascii="Arial Narrow" w:hAnsi="Arial Narrow"/>
                <w:sz w:val="20"/>
              </w:rPr>
              <w:t>up</w:t>
            </w:r>
            <w:r>
              <w:rPr>
                <w:rFonts w:ascii="Arial Narrow" w:hAnsi="Arial Narrow"/>
                <w:sz w:val="20"/>
              </w:rPr>
              <w:t>,</w:t>
            </w:r>
            <w:r w:rsidR="003E147C">
              <w:rPr>
                <w:rFonts w:ascii="Arial Narrow" w:hAnsi="Arial Narrow"/>
                <w:sz w:val="20"/>
              </w:rPr>
              <w:t xml:space="preserve"> months</w:t>
            </w:r>
          </w:p>
        </w:tc>
        <w:tc>
          <w:tcPr>
            <w:tcW w:w="1835" w:type="pct"/>
            <w:gridSpan w:val="2"/>
            <w:vAlign w:val="center"/>
          </w:tcPr>
          <w:p w:rsidR="003E147C" w:rsidRPr="004E2ADC" w:rsidRDefault="003E147C" w:rsidP="009A14F7">
            <w:pPr>
              <w:keepNext/>
              <w:jc w:val="center"/>
              <w:rPr>
                <w:rFonts w:ascii="Arial Narrow" w:hAnsi="Arial Narrow"/>
                <w:sz w:val="20"/>
              </w:rPr>
            </w:pPr>
            <w:r>
              <w:rPr>
                <w:rFonts w:ascii="Arial Narrow" w:hAnsi="Arial Narrow"/>
                <w:sz w:val="20"/>
              </w:rPr>
              <w:t>11</w:t>
            </w:r>
          </w:p>
        </w:tc>
        <w:tc>
          <w:tcPr>
            <w:tcW w:w="648" w:type="pct"/>
            <w:vAlign w:val="center"/>
          </w:tcPr>
          <w:p w:rsidR="003E147C" w:rsidRPr="004E2ADC" w:rsidRDefault="003E147C" w:rsidP="009A14F7">
            <w:pPr>
              <w:keepNext/>
              <w:jc w:val="center"/>
              <w:rPr>
                <w:rFonts w:ascii="Arial Narrow" w:hAnsi="Arial Narrow"/>
                <w:sz w:val="20"/>
              </w:rPr>
            </w:pPr>
          </w:p>
        </w:tc>
        <w:tc>
          <w:tcPr>
            <w:tcW w:w="1059" w:type="pct"/>
            <w:vAlign w:val="center"/>
          </w:tcPr>
          <w:p w:rsidR="003E147C" w:rsidRPr="004E2ADC" w:rsidRDefault="003E147C" w:rsidP="009A14F7">
            <w:pPr>
              <w:keepNext/>
              <w:jc w:val="center"/>
              <w:rPr>
                <w:rFonts w:ascii="Arial Narrow" w:hAnsi="Arial Narrow"/>
                <w:sz w:val="20"/>
              </w:rPr>
            </w:pPr>
          </w:p>
        </w:tc>
      </w:tr>
      <w:tr w:rsidR="003E147C" w:rsidRPr="004E2ADC" w:rsidTr="00C75C26">
        <w:tc>
          <w:tcPr>
            <w:tcW w:w="1458" w:type="pct"/>
            <w:vAlign w:val="center"/>
          </w:tcPr>
          <w:p w:rsidR="003E147C" w:rsidRDefault="003E147C" w:rsidP="009A14F7">
            <w:pPr>
              <w:keepNext/>
              <w:ind w:right="-108"/>
              <w:jc w:val="left"/>
              <w:rPr>
                <w:rFonts w:ascii="Arial Narrow" w:hAnsi="Arial Narrow"/>
                <w:sz w:val="20"/>
              </w:rPr>
            </w:pPr>
            <w:r>
              <w:rPr>
                <w:rFonts w:ascii="Arial Narrow" w:hAnsi="Arial Narrow"/>
                <w:sz w:val="20"/>
              </w:rPr>
              <w:t>Number of progressions</w:t>
            </w:r>
          </w:p>
        </w:tc>
        <w:tc>
          <w:tcPr>
            <w:tcW w:w="917"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42/95 (44.2)</w:t>
            </w:r>
          </w:p>
        </w:tc>
        <w:tc>
          <w:tcPr>
            <w:tcW w:w="918"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32/47 (68.1)</w:t>
            </w:r>
          </w:p>
        </w:tc>
        <w:tc>
          <w:tcPr>
            <w:tcW w:w="648" w:type="pct"/>
            <w:vAlign w:val="center"/>
          </w:tcPr>
          <w:p w:rsidR="003E147C" w:rsidRPr="004E2ADC" w:rsidRDefault="003E147C" w:rsidP="009A14F7">
            <w:pPr>
              <w:keepNext/>
              <w:jc w:val="center"/>
              <w:rPr>
                <w:rFonts w:ascii="Arial Narrow" w:hAnsi="Arial Narrow"/>
                <w:sz w:val="20"/>
              </w:rPr>
            </w:pPr>
          </w:p>
        </w:tc>
        <w:tc>
          <w:tcPr>
            <w:tcW w:w="1059" w:type="pct"/>
            <w:vAlign w:val="center"/>
          </w:tcPr>
          <w:p w:rsidR="003E147C" w:rsidRPr="004E2ADC" w:rsidRDefault="003E147C" w:rsidP="009A14F7">
            <w:pPr>
              <w:keepNext/>
              <w:jc w:val="center"/>
              <w:rPr>
                <w:rFonts w:ascii="Arial Narrow" w:hAnsi="Arial Narrow"/>
                <w:sz w:val="20"/>
              </w:rPr>
            </w:pPr>
          </w:p>
        </w:tc>
      </w:tr>
      <w:tr w:rsidR="003E147C" w:rsidRPr="004E2ADC" w:rsidTr="00C75C26">
        <w:tc>
          <w:tcPr>
            <w:tcW w:w="1458" w:type="pct"/>
            <w:vAlign w:val="center"/>
          </w:tcPr>
          <w:p w:rsidR="003E147C" w:rsidRDefault="003E147C" w:rsidP="009A14F7">
            <w:pPr>
              <w:keepNext/>
              <w:ind w:right="-108"/>
              <w:jc w:val="left"/>
              <w:rPr>
                <w:rFonts w:ascii="Arial Narrow" w:hAnsi="Arial Narrow"/>
                <w:sz w:val="20"/>
              </w:rPr>
            </w:pPr>
            <w:r>
              <w:rPr>
                <w:rFonts w:ascii="Arial Narrow" w:hAnsi="Arial Narrow"/>
                <w:sz w:val="20"/>
              </w:rPr>
              <w:t>Median PFS (95%</w:t>
            </w:r>
            <w:r w:rsidR="00C71027">
              <w:rPr>
                <w:rFonts w:ascii="Arial Narrow" w:hAnsi="Arial Narrow"/>
                <w:sz w:val="20"/>
              </w:rPr>
              <w:t xml:space="preserve"> </w:t>
            </w:r>
            <w:r>
              <w:rPr>
                <w:rFonts w:ascii="Arial Narrow" w:hAnsi="Arial Narrow"/>
                <w:sz w:val="20"/>
              </w:rPr>
              <w:t>CI</w:t>
            </w:r>
            <w:r w:rsidR="0088434D">
              <w:rPr>
                <w:rFonts w:ascii="Arial Narrow" w:hAnsi="Arial Narrow"/>
                <w:sz w:val="20"/>
              </w:rPr>
              <w:t>)</w:t>
            </w:r>
            <w:r w:rsidR="00C71027">
              <w:rPr>
                <w:rFonts w:ascii="Arial Narrow" w:hAnsi="Arial Narrow"/>
                <w:sz w:val="20"/>
              </w:rPr>
              <w:t>,</w:t>
            </w:r>
            <w:r w:rsidR="0088434D">
              <w:rPr>
                <w:rFonts w:ascii="Arial Narrow" w:hAnsi="Arial Narrow"/>
                <w:sz w:val="20"/>
              </w:rPr>
              <w:t xml:space="preserve"> months</w:t>
            </w:r>
          </w:p>
        </w:tc>
        <w:tc>
          <w:tcPr>
            <w:tcW w:w="917"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Not reached</w:t>
            </w:r>
          </w:p>
        </w:tc>
        <w:tc>
          <w:tcPr>
            <w:tcW w:w="918"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3.02 (2.76, 5.13)</w:t>
            </w:r>
          </w:p>
        </w:tc>
        <w:tc>
          <w:tcPr>
            <w:tcW w:w="648"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w:t>
            </w:r>
          </w:p>
        </w:tc>
        <w:tc>
          <w:tcPr>
            <w:tcW w:w="1059" w:type="pct"/>
            <w:vAlign w:val="center"/>
          </w:tcPr>
          <w:p w:rsidR="003E147C" w:rsidRPr="004E2ADC" w:rsidRDefault="003E147C" w:rsidP="009A14F7">
            <w:pPr>
              <w:keepNext/>
              <w:jc w:val="center"/>
              <w:rPr>
                <w:rFonts w:ascii="Arial Narrow" w:hAnsi="Arial Narrow"/>
                <w:sz w:val="20"/>
              </w:rPr>
            </w:pPr>
            <w:r>
              <w:rPr>
                <w:rFonts w:ascii="Arial Narrow" w:hAnsi="Arial Narrow"/>
                <w:sz w:val="20"/>
              </w:rPr>
              <w:t>0.39 (0.25, 0.63)</w:t>
            </w:r>
          </w:p>
        </w:tc>
      </w:tr>
      <w:tr w:rsidR="003E147C" w:rsidRPr="004E2ADC" w:rsidTr="00C75C26">
        <w:tc>
          <w:tcPr>
            <w:tcW w:w="3941" w:type="pct"/>
            <w:gridSpan w:val="4"/>
            <w:vAlign w:val="center"/>
          </w:tcPr>
          <w:p w:rsidR="003E147C" w:rsidRPr="004E2ADC" w:rsidRDefault="003E147C" w:rsidP="009A14F7">
            <w:pPr>
              <w:keepNext/>
              <w:jc w:val="left"/>
              <w:rPr>
                <w:rFonts w:ascii="Arial Narrow" w:hAnsi="Arial Narrow"/>
                <w:sz w:val="20"/>
              </w:rPr>
            </w:pPr>
            <w:r w:rsidRPr="00F813CD">
              <w:rPr>
                <w:rFonts w:ascii="Arial Narrow" w:hAnsi="Arial Narrow"/>
                <w:b/>
                <w:sz w:val="20"/>
              </w:rPr>
              <w:t>P</w:t>
            </w:r>
            <w:r w:rsidR="0088434D">
              <w:rPr>
                <w:rFonts w:ascii="Arial Narrow" w:hAnsi="Arial Narrow"/>
                <w:b/>
                <w:sz w:val="20"/>
              </w:rPr>
              <w:t>rogression-free survival - p</w:t>
            </w:r>
            <w:r w:rsidRPr="00F813CD">
              <w:rPr>
                <w:rFonts w:ascii="Arial Narrow" w:hAnsi="Arial Narrow"/>
                <w:b/>
                <w:sz w:val="20"/>
              </w:rPr>
              <w:t>ooled analysis</w:t>
            </w:r>
          </w:p>
        </w:tc>
        <w:tc>
          <w:tcPr>
            <w:tcW w:w="1059" w:type="pct"/>
            <w:vAlign w:val="center"/>
          </w:tcPr>
          <w:p w:rsidR="003E147C" w:rsidRDefault="003E147C" w:rsidP="009A14F7">
            <w:pPr>
              <w:keepNext/>
              <w:jc w:val="center"/>
              <w:rPr>
                <w:rFonts w:ascii="Arial Narrow" w:hAnsi="Arial Narrow"/>
                <w:sz w:val="20"/>
              </w:rPr>
            </w:pPr>
            <w:r>
              <w:rPr>
                <w:rFonts w:ascii="Arial Narrow" w:hAnsi="Arial Narrow"/>
                <w:sz w:val="20"/>
              </w:rPr>
              <w:t>0.42 (0.35, 0.51)</w:t>
            </w:r>
          </w:p>
        </w:tc>
      </w:tr>
    </w:tbl>
    <w:p w:rsidR="003E147C" w:rsidRDefault="003E147C" w:rsidP="009A14F7">
      <w:pPr>
        <w:pStyle w:val="TableFooter"/>
        <w:keepNext/>
        <w:ind w:left="720"/>
      </w:pPr>
      <w:r w:rsidRPr="00D13A3E">
        <w:t>Source:</w:t>
      </w:r>
      <w:r w:rsidR="00C71027">
        <w:t xml:space="preserve"> Table 26, p99 </w:t>
      </w:r>
      <w:r>
        <w:t xml:space="preserve">and </w:t>
      </w:r>
      <w:r w:rsidR="00C71027">
        <w:t>Table 23, p</w:t>
      </w:r>
      <w:r w:rsidRPr="00DE0270">
        <w:t>93-4</w:t>
      </w:r>
      <w:r>
        <w:t xml:space="preserve"> of Sect</w:t>
      </w:r>
      <w:r w:rsidR="00C71027">
        <w:t>ions A and B of the submission.</w:t>
      </w:r>
    </w:p>
    <w:p w:rsidR="003E147C" w:rsidRDefault="003E147C" w:rsidP="009A14F7">
      <w:pPr>
        <w:pStyle w:val="TableFooter"/>
        <w:keepNext/>
        <w:ind w:left="720"/>
      </w:pPr>
      <w:r w:rsidRPr="00DE0270">
        <w:t xml:space="preserve">CI = confidence interval; HR = hazard ratio; </w:t>
      </w:r>
      <w:proofErr w:type="spellStart"/>
      <w:r w:rsidRPr="00DE0270">
        <w:t>I</w:t>
      </w:r>
      <w:r>
        <w:t>pi</w:t>
      </w:r>
      <w:proofErr w:type="spellEnd"/>
      <w:r w:rsidRPr="00DE0270">
        <w:t xml:space="preserve"> = </w:t>
      </w:r>
      <w:proofErr w:type="spellStart"/>
      <w:r w:rsidRPr="00DE0270">
        <w:t>ipilimumab</w:t>
      </w:r>
      <w:proofErr w:type="spellEnd"/>
      <w:r w:rsidRPr="00DE0270">
        <w:t xml:space="preserve">; </w:t>
      </w:r>
      <w:proofErr w:type="spellStart"/>
      <w:r w:rsidRPr="00DE0270">
        <w:t>N</w:t>
      </w:r>
      <w:r>
        <w:t>ivo</w:t>
      </w:r>
      <w:proofErr w:type="spellEnd"/>
      <w:r w:rsidRPr="00DE0270">
        <w:t xml:space="preserve"> + </w:t>
      </w:r>
      <w:proofErr w:type="spellStart"/>
      <w:r w:rsidRPr="00DE0270">
        <w:t>I</w:t>
      </w:r>
      <w:r>
        <w:t>pi</w:t>
      </w:r>
      <w:proofErr w:type="spellEnd"/>
      <w:r w:rsidRPr="00DE0270">
        <w:t xml:space="preserve"> = </w:t>
      </w:r>
      <w:proofErr w:type="spellStart"/>
      <w:r w:rsidRPr="00DE0270">
        <w:t>nivolumab</w:t>
      </w:r>
      <w:proofErr w:type="spellEnd"/>
      <w:r w:rsidRPr="00DE0270">
        <w:t xml:space="preserve"> plus ipilimumab</w:t>
      </w:r>
      <w:r w:rsidRPr="007E62EB">
        <w:t xml:space="preserve">; </w:t>
      </w:r>
      <w:r>
        <w:t>NR</w:t>
      </w:r>
      <w:r w:rsidR="00C71027">
        <w:t xml:space="preserve"> </w:t>
      </w:r>
      <w:r>
        <w:t>=</w:t>
      </w:r>
      <w:r w:rsidR="00C71027">
        <w:t xml:space="preserve"> </w:t>
      </w:r>
      <w:r>
        <w:t xml:space="preserve">not reported; </w:t>
      </w:r>
      <w:r w:rsidRPr="007E62EB">
        <w:t>OS = overall survival</w:t>
      </w:r>
      <w:r>
        <w:t>; PFS = progression</w:t>
      </w:r>
      <w:r w:rsidR="00C71027">
        <w:t>-</w:t>
      </w:r>
      <w:r>
        <w:t>free survival</w:t>
      </w:r>
    </w:p>
    <w:p w:rsidR="003E147C" w:rsidRPr="0088434D" w:rsidRDefault="003E147C" w:rsidP="0088434D">
      <w:pPr>
        <w:pStyle w:val="TableFooter"/>
        <w:rPr>
          <w:rFonts w:ascii="Arial" w:hAnsi="Arial"/>
          <w:sz w:val="22"/>
          <w:szCs w:val="22"/>
        </w:rPr>
      </w:pPr>
    </w:p>
    <w:p w:rsidR="003E147C" w:rsidRPr="00185700" w:rsidRDefault="003E147C" w:rsidP="003E147C">
      <w:pPr>
        <w:pStyle w:val="ListParagraph"/>
        <w:numPr>
          <w:ilvl w:val="1"/>
          <w:numId w:val="6"/>
        </w:numPr>
      </w:pPr>
      <w:r>
        <w:rPr>
          <w:szCs w:val="22"/>
        </w:rPr>
        <w:t xml:space="preserve">The direct comparison </w:t>
      </w:r>
      <w:r w:rsidR="001E61B7">
        <w:rPr>
          <w:szCs w:val="22"/>
        </w:rPr>
        <w:t xml:space="preserve">indicated </w:t>
      </w:r>
      <w:r>
        <w:rPr>
          <w:szCs w:val="22"/>
        </w:rPr>
        <w:t>that there</w:t>
      </w:r>
      <w:r w:rsidRPr="00A966FC">
        <w:rPr>
          <w:szCs w:val="22"/>
        </w:rPr>
        <w:t xml:space="preserve"> was </w:t>
      </w:r>
      <w:r>
        <w:rPr>
          <w:szCs w:val="22"/>
        </w:rPr>
        <w:t>a significant</w:t>
      </w:r>
      <w:r w:rsidR="0088434D">
        <w:rPr>
          <w:szCs w:val="22"/>
        </w:rPr>
        <w:t xml:space="preserve"> improvement in progression-</w:t>
      </w:r>
      <w:r w:rsidRPr="00A966FC">
        <w:rPr>
          <w:szCs w:val="22"/>
        </w:rPr>
        <w:t>free survival compared to ipilimumab, but no statistically significant improvement in overall survival.</w:t>
      </w:r>
      <w:r w:rsidR="001E61B7">
        <w:rPr>
          <w:szCs w:val="22"/>
        </w:rPr>
        <w:t xml:space="preserve"> </w:t>
      </w:r>
      <w:r w:rsidR="001E61B7" w:rsidRPr="00185700">
        <w:rPr>
          <w:szCs w:val="22"/>
        </w:rPr>
        <w:t xml:space="preserve">The submission’s claim of superiority over ipilimumab monotherapy (see </w:t>
      </w:r>
      <w:r w:rsidR="00C71027" w:rsidRPr="00185700">
        <w:rPr>
          <w:szCs w:val="22"/>
        </w:rPr>
        <w:t>c</w:t>
      </w:r>
      <w:r w:rsidR="001E61B7" w:rsidRPr="00185700">
        <w:rPr>
          <w:szCs w:val="22"/>
        </w:rPr>
        <w:t>linical claim b</w:t>
      </w:r>
      <w:r w:rsidR="0088434D" w:rsidRPr="00185700">
        <w:rPr>
          <w:szCs w:val="22"/>
        </w:rPr>
        <w:t xml:space="preserve">elow) </w:t>
      </w:r>
      <w:r w:rsidR="00497D4D">
        <w:rPr>
          <w:szCs w:val="22"/>
        </w:rPr>
        <w:t>wa</w:t>
      </w:r>
      <w:r w:rsidR="0088434D" w:rsidRPr="00185700">
        <w:rPr>
          <w:szCs w:val="22"/>
        </w:rPr>
        <w:t>s focused on progression-</w:t>
      </w:r>
      <w:r w:rsidR="001E61B7" w:rsidRPr="00185700">
        <w:rPr>
          <w:szCs w:val="22"/>
        </w:rPr>
        <w:t>free survival.</w:t>
      </w:r>
    </w:p>
    <w:p w:rsidR="003E147C" w:rsidRPr="00933CB5" w:rsidRDefault="003E147C" w:rsidP="00C75C26"/>
    <w:p w:rsidR="003E147C" w:rsidRDefault="003E147C" w:rsidP="003E147C">
      <w:pPr>
        <w:pStyle w:val="ListParagraph"/>
        <w:numPr>
          <w:ilvl w:val="1"/>
          <w:numId w:val="6"/>
        </w:numPr>
      </w:pPr>
      <w:r>
        <w:t>The submission did not present overall survival data for CA209-067 and stated that overall survival was an exploratory endpoint in CA209-069 and was co</w:t>
      </w:r>
      <w:r w:rsidR="0088434D">
        <w:t>nfounded by post-study therapy.</w:t>
      </w:r>
    </w:p>
    <w:p w:rsidR="00A94EF2" w:rsidRDefault="00A94EF2" w:rsidP="00A94EF2"/>
    <w:p w:rsidR="00A94EF2" w:rsidRPr="00185700" w:rsidRDefault="0088434D" w:rsidP="003E147C">
      <w:pPr>
        <w:pStyle w:val="ListParagraph"/>
        <w:numPr>
          <w:ilvl w:val="1"/>
          <w:numId w:val="6"/>
        </w:numPr>
      </w:pPr>
      <w:r w:rsidRPr="00185700">
        <w:t>Although</w:t>
      </w:r>
      <w:r w:rsidR="00A94EF2" w:rsidRPr="00185700">
        <w:t xml:space="preserve"> </w:t>
      </w:r>
      <w:r w:rsidR="00C71027" w:rsidRPr="00185700">
        <w:t xml:space="preserve">it </w:t>
      </w:r>
      <w:r w:rsidR="0039788D">
        <w:t xml:space="preserve">was difficult for the PBAC </w:t>
      </w:r>
      <w:r w:rsidR="00C71027" w:rsidRPr="00185700">
        <w:t xml:space="preserve">to </w:t>
      </w:r>
      <w:r w:rsidR="0039788D">
        <w:t>interpret</w:t>
      </w:r>
      <w:r w:rsidR="00C71027" w:rsidRPr="00185700">
        <w:t xml:space="preserve"> the overall survival results from </w:t>
      </w:r>
      <w:r w:rsidR="00A94EF2" w:rsidRPr="00185700">
        <w:t xml:space="preserve">trial CA209-069 </w:t>
      </w:r>
      <w:r w:rsidR="00C71027" w:rsidRPr="00185700">
        <w:t>given the issues identified</w:t>
      </w:r>
      <w:r w:rsidR="00A94EF2" w:rsidRPr="00185700">
        <w:t xml:space="preserve">, the </w:t>
      </w:r>
      <w:r w:rsidR="0039788D">
        <w:t xml:space="preserve">PBAC also </w:t>
      </w:r>
      <w:r w:rsidR="00DA0826" w:rsidRPr="00185700">
        <w:t>raise</w:t>
      </w:r>
      <w:r w:rsidR="00497D4D">
        <w:t>d</w:t>
      </w:r>
      <w:r w:rsidR="00DA0826" w:rsidRPr="00185700">
        <w:t xml:space="preserve"> concerns </w:t>
      </w:r>
      <w:r w:rsidRPr="00185700">
        <w:t xml:space="preserve">about the </w:t>
      </w:r>
      <w:r w:rsidR="0039788D">
        <w:t xml:space="preserve">submission’s </w:t>
      </w:r>
      <w:r w:rsidRPr="00185700">
        <w:t>focus on progression-</w:t>
      </w:r>
      <w:r w:rsidR="001E61B7" w:rsidRPr="00185700">
        <w:t>free survival results.</w:t>
      </w:r>
    </w:p>
    <w:p w:rsidR="003E147C" w:rsidRDefault="003E147C" w:rsidP="00C75C26"/>
    <w:p w:rsidR="003E147C" w:rsidRDefault="003E147C" w:rsidP="003E147C">
      <w:pPr>
        <w:pStyle w:val="ListParagraph"/>
        <w:numPr>
          <w:ilvl w:val="1"/>
          <w:numId w:val="6"/>
        </w:numPr>
      </w:pPr>
      <w:r>
        <w:t xml:space="preserve">Table </w:t>
      </w:r>
      <w:r w:rsidR="003710E1">
        <w:t xml:space="preserve">5 </w:t>
      </w:r>
      <w:r>
        <w:t xml:space="preserve">summarises the efficacy results of the direct comparison against </w:t>
      </w:r>
      <w:proofErr w:type="spellStart"/>
      <w:r>
        <w:t>nivolumab</w:t>
      </w:r>
      <w:proofErr w:type="spellEnd"/>
      <w:r>
        <w:t xml:space="preserve"> monotherapy</w:t>
      </w:r>
      <w:r w:rsidR="00C71027">
        <w:t>.</w:t>
      </w:r>
    </w:p>
    <w:p w:rsidR="003E147C" w:rsidRPr="00C71027" w:rsidRDefault="003E147C" w:rsidP="00C71027">
      <w:pPr>
        <w:rPr>
          <w:rStyle w:val="CommentReference"/>
          <w:rFonts w:ascii="Arial" w:hAnsi="Arial"/>
          <w:b w:val="0"/>
          <w:sz w:val="22"/>
          <w:szCs w:val="22"/>
        </w:rPr>
      </w:pPr>
    </w:p>
    <w:p w:rsidR="003E147C" w:rsidRPr="00E604EF" w:rsidRDefault="003E147C" w:rsidP="00C75C26">
      <w:pPr>
        <w:ind w:left="720"/>
        <w:rPr>
          <w:rStyle w:val="CommentReference"/>
        </w:rPr>
      </w:pPr>
      <w:r w:rsidRPr="00E604EF">
        <w:rPr>
          <w:rStyle w:val="CommentReference"/>
        </w:rPr>
        <w:t>Table</w:t>
      </w:r>
      <w:r>
        <w:rPr>
          <w:rStyle w:val="CommentReference"/>
        </w:rPr>
        <w:t xml:space="preserve"> </w:t>
      </w:r>
      <w:r w:rsidR="003710E1">
        <w:rPr>
          <w:rStyle w:val="CommentReference"/>
        </w:rPr>
        <w:t>5</w:t>
      </w:r>
      <w:r w:rsidRPr="00E604EF">
        <w:rPr>
          <w:rStyle w:val="CommentReference"/>
        </w:rPr>
        <w:t xml:space="preserve">: Results of PFS from the direct comparison – </w:t>
      </w:r>
      <w:proofErr w:type="spellStart"/>
      <w:r w:rsidRPr="00E604EF">
        <w:rPr>
          <w:rStyle w:val="CommentReference"/>
        </w:rPr>
        <w:t>nivolumab</w:t>
      </w:r>
      <w:proofErr w:type="spellEnd"/>
      <w:r w:rsidRPr="00E604EF">
        <w:rPr>
          <w:rStyle w:val="CommentReference"/>
        </w:rPr>
        <w:t xml:space="preserve"> monotherapy</w:t>
      </w:r>
    </w:p>
    <w:tbl>
      <w:tblPr>
        <w:tblW w:w="4589"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5: Results of PFS from the direct comparison – nivolumab monotherapy"/>
      </w:tblPr>
      <w:tblGrid>
        <w:gridCol w:w="2431"/>
        <w:gridCol w:w="1529"/>
        <w:gridCol w:w="1530"/>
        <w:gridCol w:w="1080"/>
        <w:gridCol w:w="1766"/>
      </w:tblGrid>
      <w:tr w:rsidR="003E147C" w:rsidRPr="004E2ADC" w:rsidTr="00C75C26">
        <w:tc>
          <w:tcPr>
            <w:tcW w:w="1458" w:type="pct"/>
            <w:vAlign w:val="center"/>
          </w:tcPr>
          <w:p w:rsidR="003E147C" w:rsidRPr="004E2ADC" w:rsidRDefault="003E147C" w:rsidP="00C75C26">
            <w:pPr>
              <w:jc w:val="left"/>
              <w:rPr>
                <w:rFonts w:ascii="Arial Narrow" w:hAnsi="Arial Narrow"/>
                <w:sz w:val="20"/>
              </w:rPr>
            </w:pPr>
            <w:r w:rsidRPr="004E2ADC">
              <w:rPr>
                <w:rFonts w:ascii="Arial Narrow" w:hAnsi="Arial Narrow"/>
                <w:b/>
                <w:sz w:val="20"/>
              </w:rPr>
              <w:t>Trial ID</w:t>
            </w:r>
          </w:p>
        </w:tc>
        <w:tc>
          <w:tcPr>
            <w:tcW w:w="917" w:type="pct"/>
            <w:vAlign w:val="center"/>
          </w:tcPr>
          <w:p w:rsidR="003E147C" w:rsidRDefault="003E147C" w:rsidP="00C75C26">
            <w:pPr>
              <w:ind w:right="-108"/>
              <w:jc w:val="center"/>
              <w:rPr>
                <w:rFonts w:ascii="Arial Narrow" w:hAnsi="Arial Narrow"/>
                <w:b/>
                <w:sz w:val="20"/>
              </w:rPr>
            </w:pPr>
            <w:proofErr w:type="spellStart"/>
            <w:r>
              <w:rPr>
                <w:rFonts w:ascii="Arial Narrow" w:hAnsi="Arial Narrow"/>
                <w:b/>
                <w:sz w:val="20"/>
              </w:rPr>
              <w:t>Nivo</w:t>
            </w:r>
            <w:proofErr w:type="spellEnd"/>
            <w:r>
              <w:rPr>
                <w:rFonts w:ascii="Arial Narrow" w:hAnsi="Arial Narrow"/>
                <w:b/>
                <w:sz w:val="20"/>
              </w:rPr>
              <w:t xml:space="preserve"> + </w:t>
            </w:r>
            <w:proofErr w:type="spellStart"/>
            <w:r>
              <w:rPr>
                <w:rFonts w:ascii="Arial Narrow" w:hAnsi="Arial Narrow"/>
                <w:b/>
                <w:sz w:val="20"/>
              </w:rPr>
              <w:t>Ipi</w:t>
            </w:r>
            <w:proofErr w:type="spellEnd"/>
          </w:p>
          <w:p w:rsidR="003E147C" w:rsidRPr="004E2ADC" w:rsidRDefault="003E147C" w:rsidP="00C75C26">
            <w:pPr>
              <w:ind w:right="-108"/>
              <w:jc w:val="center"/>
              <w:rPr>
                <w:rFonts w:ascii="Arial Narrow" w:hAnsi="Arial Narrow"/>
                <w:sz w:val="20"/>
              </w:rPr>
            </w:pPr>
            <w:proofErr w:type="gramStart"/>
            <w:r>
              <w:rPr>
                <w:rFonts w:ascii="Arial Narrow" w:hAnsi="Arial Narrow"/>
                <w:b/>
                <w:sz w:val="20"/>
              </w:rPr>
              <w:t>n</w:t>
            </w:r>
            <w:r w:rsidRPr="004E2ADC">
              <w:rPr>
                <w:rFonts w:ascii="Arial Narrow" w:hAnsi="Arial Narrow"/>
                <w:b/>
                <w:sz w:val="20"/>
              </w:rPr>
              <w:t>/N</w:t>
            </w:r>
            <w:proofErr w:type="gramEnd"/>
            <w:r w:rsidRPr="004E2ADC">
              <w:rPr>
                <w:rFonts w:ascii="Arial Narrow" w:hAnsi="Arial Narrow"/>
                <w:b/>
                <w:sz w:val="20"/>
              </w:rPr>
              <w:t xml:space="preserve"> (%)</w:t>
            </w:r>
          </w:p>
        </w:tc>
        <w:tc>
          <w:tcPr>
            <w:tcW w:w="918" w:type="pct"/>
            <w:vAlign w:val="center"/>
          </w:tcPr>
          <w:p w:rsidR="003E147C" w:rsidRDefault="003E147C" w:rsidP="00C75C26">
            <w:pPr>
              <w:jc w:val="center"/>
              <w:rPr>
                <w:rFonts w:ascii="Arial Narrow" w:hAnsi="Arial Narrow"/>
                <w:b/>
                <w:sz w:val="20"/>
              </w:rPr>
            </w:pPr>
            <w:proofErr w:type="spellStart"/>
            <w:r>
              <w:rPr>
                <w:rFonts w:ascii="Arial Narrow" w:hAnsi="Arial Narrow"/>
                <w:b/>
                <w:sz w:val="20"/>
              </w:rPr>
              <w:t>Nivo</w:t>
            </w:r>
            <w:proofErr w:type="spellEnd"/>
          </w:p>
          <w:p w:rsidR="003E147C" w:rsidRPr="00672A4D" w:rsidRDefault="003E147C" w:rsidP="00C75C26">
            <w:pPr>
              <w:jc w:val="center"/>
              <w:rPr>
                <w:rFonts w:ascii="Arial Narrow" w:hAnsi="Arial Narrow"/>
                <w:sz w:val="20"/>
              </w:rPr>
            </w:pPr>
            <w:proofErr w:type="gramStart"/>
            <w:r>
              <w:rPr>
                <w:rFonts w:ascii="Arial Narrow" w:hAnsi="Arial Narrow"/>
                <w:b/>
                <w:sz w:val="20"/>
              </w:rPr>
              <w:t>n</w:t>
            </w:r>
            <w:r w:rsidRPr="004E2ADC">
              <w:rPr>
                <w:rFonts w:ascii="Arial Narrow" w:hAnsi="Arial Narrow"/>
                <w:b/>
                <w:sz w:val="20"/>
              </w:rPr>
              <w:t>/N</w:t>
            </w:r>
            <w:proofErr w:type="gramEnd"/>
            <w:r w:rsidRPr="004E2ADC">
              <w:rPr>
                <w:rFonts w:ascii="Arial Narrow" w:hAnsi="Arial Narrow"/>
                <w:b/>
                <w:sz w:val="20"/>
              </w:rPr>
              <w:t xml:space="preserve"> (%)</w:t>
            </w:r>
          </w:p>
        </w:tc>
        <w:tc>
          <w:tcPr>
            <w:tcW w:w="648" w:type="pct"/>
            <w:vAlign w:val="center"/>
          </w:tcPr>
          <w:p w:rsidR="003E147C" w:rsidRPr="004E2ADC" w:rsidRDefault="003E147C" w:rsidP="00C75C26">
            <w:pPr>
              <w:jc w:val="center"/>
              <w:rPr>
                <w:rFonts w:ascii="Arial Narrow" w:hAnsi="Arial Narrow"/>
                <w:b/>
                <w:sz w:val="20"/>
              </w:rPr>
            </w:pPr>
            <w:r>
              <w:rPr>
                <w:rFonts w:ascii="Arial Narrow" w:hAnsi="Arial Narrow"/>
                <w:b/>
                <w:sz w:val="20"/>
              </w:rPr>
              <w:t>Absolute difference</w:t>
            </w:r>
          </w:p>
        </w:tc>
        <w:tc>
          <w:tcPr>
            <w:tcW w:w="1059" w:type="pct"/>
            <w:vAlign w:val="center"/>
          </w:tcPr>
          <w:p w:rsidR="003E147C" w:rsidRPr="004E2ADC" w:rsidRDefault="003E147C" w:rsidP="00C75C26">
            <w:pPr>
              <w:jc w:val="center"/>
              <w:rPr>
                <w:rFonts w:ascii="Arial Narrow" w:hAnsi="Arial Narrow"/>
                <w:sz w:val="20"/>
              </w:rPr>
            </w:pPr>
            <w:r>
              <w:rPr>
                <w:rFonts w:ascii="Arial Narrow" w:hAnsi="Arial Narrow"/>
                <w:b/>
                <w:sz w:val="20"/>
              </w:rPr>
              <w:t>HR (</w:t>
            </w:r>
            <w:r w:rsidRPr="004E2ADC">
              <w:rPr>
                <w:rFonts w:ascii="Arial Narrow" w:hAnsi="Arial Narrow"/>
                <w:b/>
                <w:sz w:val="20"/>
              </w:rPr>
              <w:t>95% CI)</w:t>
            </w:r>
          </w:p>
        </w:tc>
      </w:tr>
      <w:tr w:rsidR="003E147C" w:rsidRPr="004E2ADC" w:rsidTr="00C75C26">
        <w:tc>
          <w:tcPr>
            <w:tcW w:w="5000" w:type="pct"/>
            <w:gridSpan w:val="5"/>
            <w:vAlign w:val="center"/>
          </w:tcPr>
          <w:p w:rsidR="003E147C" w:rsidRPr="004E2ADC" w:rsidRDefault="00C71027" w:rsidP="00C75C26">
            <w:pPr>
              <w:jc w:val="left"/>
              <w:rPr>
                <w:rFonts w:ascii="Arial Narrow" w:hAnsi="Arial Narrow"/>
                <w:sz w:val="20"/>
              </w:rPr>
            </w:pPr>
            <w:r>
              <w:rPr>
                <w:rFonts w:ascii="Arial Narrow" w:hAnsi="Arial Narrow"/>
                <w:b/>
                <w:sz w:val="20"/>
              </w:rPr>
              <w:t>Progression-</w:t>
            </w:r>
            <w:r w:rsidR="003E147C">
              <w:rPr>
                <w:rFonts w:ascii="Arial Narrow" w:hAnsi="Arial Narrow"/>
                <w:b/>
                <w:sz w:val="20"/>
              </w:rPr>
              <w:t>free survival - CA</w:t>
            </w:r>
            <w:r w:rsidR="003E147C" w:rsidRPr="00672A4D">
              <w:rPr>
                <w:rFonts w:ascii="Arial Narrow" w:hAnsi="Arial Narrow"/>
                <w:b/>
                <w:sz w:val="20"/>
              </w:rPr>
              <w:t>209-067</w:t>
            </w:r>
          </w:p>
        </w:tc>
      </w:tr>
      <w:tr w:rsidR="003E147C" w:rsidRPr="004E2ADC" w:rsidTr="00C75C26">
        <w:tc>
          <w:tcPr>
            <w:tcW w:w="1458" w:type="pct"/>
            <w:vAlign w:val="center"/>
          </w:tcPr>
          <w:p w:rsidR="003E147C" w:rsidRPr="004E2ADC" w:rsidRDefault="003E147C" w:rsidP="00C75C26">
            <w:pPr>
              <w:jc w:val="left"/>
              <w:rPr>
                <w:rFonts w:ascii="Arial Narrow" w:hAnsi="Arial Narrow"/>
                <w:sz w:val="20"/>
              </w:rPr>
            </w:pPr>
            <w:r>
              <w:rPr>
                <w:rFonts w:ascii="Arial Narrow" w:hAnsi="Arial Narrow"/>
                <w:sz w:val="20"/>
              </w:rPr>
              <w:t>Number of progressions</w:t>
            </w:r>
          </w:p>
        </w:tc>
        <w:tc>
          <w:tcPr>
            <w:tcW w:w="917" w:type="pct"/>
            <w:vAlign w:val="center"/>
          </w:tcPr>
          <w:p w:rsidR="003E147C" w:rsidRPr="004E2ADC" w:rsidRDefault="003E147C" w:rsidP="00C75C26">
            <w:pPr>
              <w:jc w:val="center"/>
              <w:rPr>
                <w:rFonts w:ascii="Arial Narrow" w:hAnsi="Arial Narrow"/>
                <w:sz w:val="20"/>
              </w:rPr>
            </w:pPr>
            <w:r>
              <w:rPr>
                <w:rFonts w:ascii="Arial Narrow" w:hAnsi="Arial Narrow"/>
                <w:sz w:val="20"/>
              </w:rPr>
              <w:t>151/314 (48.1)</w:t>
            </w:r>
          </w:p>
        </w:tc>
        <w:tc>
          <w:tcPr>
            <w:tcW w:w="918" w:type="pct"/>
            <w:vAlign w:val="center"/>
          </w:tcPr>
          <w:p w:rsidR="003E147C" w:rsidRPr="004E2ADC" w:rsidRDefault="003E147C" w:rsidP="00C75C26">
            <w:pPr>
              <w:jc w:val="center"/>
              <w:rPr>
                <w:rFonts w:ascii="Arial Narrow" w:hAnsi="Arial Narrow"/>
                <w:sz w:val="20"/>
              </w:rPr>
            </w:pPr>
            <w:r>
              <w:rPr>
                <w:rFonts w:ascii="Arial Narrow" w:hAnsi="Arial Narrow"/>
                <w:sz w:val="20"/>
              </w:rPr>
              <w:t>174/316 (55.1)</w:t>
            </w:r>
          </w:p>
        </w:tc>
        <w:tc>
          <w:tcPr>
            <w:tcW w:w="648" w:type="pct"/>
            <w:vAlign w:val="center"/>
          </w:tcPr>
          <w:p w:rsidR="003E147C" w:rsidRPr="004E2ADC" w:rsidRDefault="003E147C" w:rsidP="00C75C26">
            <w:pPr>
              <w:jc w:val="center"/>
              <w:rPr>
                <w:rFonts w:ascii="Arial Narrow" w:hAnsi="Arial Narrow"/>
                <w:sz w:val="20"/>
              </w:rPr>
            </w:pPr>
            <w:r>
              <w:rPr>
                <w:rFonts w:ascii="Arial Narrow" w:hAnsi="Arial Narrow"/>
                <w:sz w:val="20"/>
              </w:rPr>
              <w:t>--</w:t>
            </w:r>
          </w:p>
        </w:tc>
        <w:tc>
          <w:tcPr>
            <w:tcW w:w="1059" w:type="pct"/>
            <w:vAlign w:val="center"/>
          </w:tcPr>
          <w:p w:rsidR="003E147C" w:rsidRPr="004E2ADC" w:rsidRDefault="003E147C" w:rsidP="00C75C26">
            <w:pPr>
              <w:jc w:val="center"/>
              <w:rPr>
                <w:rFonts w:ascii="Arial Narrow" w:hAnsi="Arial Narrow"/>
                <w:sz w:val="20"/>
              </w:rPr>
            </w:pPr>
            <w:r>
              <w:rPr>
                <w:rFonts w:ascii="Arial Narrow" w:hAnsi="Arial Narrow"/>
                <w:sz w:val="20"/>
              </w:rPr>
              <w:t>0.74 (0.60, 0.92)</w:t>
            </w:r>
          </w:p>
        </w:tc>
      </w:tr>
      <w:tr w:rsidR="003E147C" w:rsidRPr="004E2ADC" w:rsidTr="00C75C26">
        <w:tc>
          <w:tcPr>
            <w:tcW w:w="1458" w:type="pct"/>
            <w:vAlign w:val="center"/>
          </w:tcPr>
          <w:p w:rsidR="003E147C" w:rsidRPr="004E2ADC" w:rsidRDefault="00C71027" w:rsidP="00C71027">
            <w:pPr>
              <w:jc w:val="left"/>
              <w:rPr>
                <w:rFonts w:ascii="Arial Narrow" w:hAnsi="Arial Narrow"/>
                <w:sz w:val="20"/>
              </w:rPr>
            </w:pPr>
            <w:r>
              <w:rPr>
                <w:rFonts w:ascii="Arial Narrow" w:hAnsi="Arial Narrow"/>
                <w:sz w:val="20"/>
              </w:rPr>
              <w:t xml:space="preserve">Median PFS </w:t>
            </w:r>
            <w:r w:rsidR="003E147C">
              <w:rPr>
                <w:rFonts w:ascii="Arial Narrow" w:hAnsi="Arial Narrow"/>
                <w:sz w:val="20"/>
              </w:rPr>
              <w:t>(95% CI)</w:t>
            </w:r>
            <w:r>
              <w:rPr>
                <w:rFonts w:ascii="Arial Narrow" w:hAnsi="Arial Narrow"/>
                <w:sz w:val="20"/>
              </w:rPr>
              <w:t>, months</w:t>
            </w:r>
          </w:p>
        </w:tc>
        <w:tc>
          <w:tcPr>
            <w:tcW w:w="917" w:type="pct"/>
            <w:vAlign w:val="center"/>
          </w:tcPr>
          <w:p w:rsidR="003E147C" w:rsidRPr="004E2ADC" w:rsidRDefault="003E147C" w:rsidP="00C75C26">
            <w:pPr>
              <w:jc w:val="center"/>
              <w:rPr>
                <w:rFonts w:ascii="Arial Narrow" w:hAnsi="Arial Narrow"/>
                <w:sz w:val="20"/>
              </w:rPr>
            </w:pPr>
            <w:r>
              <w:rPr>
                <w:rFonts w:ascii="Arial Narrow" w:hAnsi="Arial Narrow"/>
                <w:sz w:val="20"/>
              </w:rPr>
              <w:t>11.50 (8.90 16.72)</w:t>
            </w:r>
          </w:p>
        </w:tc>
        <w:tc>
          <w:tcPr>
            <w:tcW w:w="918" w:type="pct"/>
            <w:vAlign w:val="center"/>
          </w:tcPr>
          <w:p w:rsidR="003E147C" w:rsidRPr="004E2ADC" w:rsidRDefault="003E147C" w:rsidP="00C75C26">
            <w:pPr>
              <w:jc w:val="center"/>
              <w:rPr>
                <w:rFonts w:ascii="Arial Narrow" w:hAnsi="Arial Narrow"/>
                <w:sz w:val="20"/>
              </w:rPr>
            </w:pPr>
            <w:r>
              <w:rPr>
                <w:rFonts w:ascii="Arial Narrow" w:hAnsi="Arial Narrow"/>
                <w:i/>
                <w:sz w:val="20"/>
              </w:rPr>
              <w:t>6.90</w:t>
            </w:r>
            <w:r w:rsidRPr="00F35D9D">
              <w:rPr>
                <w:rFonts w:ascii="Arial Narrow" w:hAnsi="Arial Narrow"/>
                <w:i/>
                <w:sz w:val="20"/>
              </w:rPr>
              <w:t xml:space="preserve"> (4.34, 9.46)</w:t>
            </w:r>
          </w:p>
        </w:tc>
        <w:tc>
          <w:tcPr>
            <w:tcW w:w="648" w:type="pct"/>
            <w:vAlign w:val="center"/>
          </w:tcPr>
          <w:p w:rsidR="003E147C" w:rsidRPr="00F813CD" w:rsidRDefault="003E147C" w:rsidP="00C75C26">
            <w:pPr>
              <w:jc w:val="center"/>
              <w:rPr>
                <w:rFonts w:ascii="Arial Narrow" w:hAnsi="Arial Narrow"/>
                <w:i/>
                <w:sz w:val="20"/>
              </w:rPr>
            </w:pPr>
            <w:r>
              <w:rPr>
                <w:rFonts w:ascii="Arial Narrow" w:hAnsi="Arial Narrow"/>
                <w:sz w:val="20"/>
              </w:rPr>
              <w:t>4.60</w:t>
            </w:r>
          </w:p>
        </w:tc>
        <w:tc>
          <w:tcPr>
            <w:tcW w:w="1059" w:type="pct"/>
            <w:vAlign w:val="center"/>
          </w:tcPr>
          <w:p w:rsidR="003E147C" w:rsidRPr="004E2ADC" w:rsidRDefault="003E147C" w:rsidP="00C75C26">
            <w:pPr>
              <w:jc w:val="center"/>
              <w:rPr>
                <w:rFonts w:ascii="Arial Narrow" w:hAnsi="Arial Narrow"/>
                <w:sz w:val="20"/>
              </w:rPr>
            </w:pPr>
            <w:r>
              <w:rPr>
                <w:rFonts w:ascii="Arial Narrow" w:hAnsi="Arial Narrow"/>
                <w:sz w:val="20"/>
              </w:rPr>
              <w:t>--</w:t>
            </w:r>
          </w:p>
        </w:tc>
      </w:tr>
    </w:tbl>
    <w:p w:rsidR="00C71027" w:rsidRDefault="003E147C" w:rsidP="00C75C26">
      <w:pPr>
        <w:pStyle w:val="TableFooter"/>
        <w:ind w:left="720"/>
      </w:pPr>
      <w:r>
        <w:t xml:space="preserve">Source: </w:t>
      </w:r>
      <w:r w:rsidRPr="00B144AE">
        <w:t>Table 49, p 150 of Sections A and B of the submission</w:t>
      </w:r>
      <w:r>
        <w:t>.</w:t>
      </w:r>
    </w:p>
    <w:p w:rsidR="003E147C" w:rsidRPr="00A966FC" w:rsidRDefault="003E147C" w:rsidP="00C75C26">
      <w:pPr>
        <w:pStyle w:val="TableFooter"/>
        <w:ind w:left="720"/>
      </w:pPr>
      <w:r>
        <w:t xml:space="preserve">CI = confidence interval; HR = hazard ratio; </w:t>
      </w:r>
      <w:proofErr w:type="spellStart"/>
      <w:r>
        <w:t>Ipi</w:t>
      </w:r>
      <w:proofErr w:type="spellEnd"/>
      <w:r>
        <w:t xml:space="preserve"> = </w:t>
      </w:r>
      <w:proofErr w:type="spellStart"/>
      <w:r>
        <w:t>ipilimumab</w:t>
      </w:r>
      <w:proofErr w:type="spellEnd"/>
      <w:r>
        <w:t xml:space="preserve">; </w:t>
      </w:r>
      <w:proofErr w:type="spellStart"/>
      <w:r>
        <w:t>Nivo</w:t>
      </w:r>
      <w:proofErr w:type="spellEnd"/>
      <w:r>
        <w:t xml:space="preserve"> = </w:t>
      </w:r>
      <w:proofErr w:type="spellStart"/>
      <w:r w:rsidR="00A33BC5">
        <w:t>nivolumab</w:t>
      </w:r>
      <w:proofErr w:type="spellEnd"/>
      <w:r>
        <w:t>; NR = not reported; OS = overall survi</w:t>
      </w:r>
      <w:r w:rsidR="00C71027">
        <w:t>val; PFS = progression-free survival</w:t>
      </w:r>
    </w:p>
    <w:p w:rsidR="003E147C" w:rsidRDefault="003E147C" w:rsidP="00C71027"/>
    <w:p w:rsidR="001814D6" w:rsidRPr="00185700" w:rsidRDefault="004C22FF" w:rsidP="003E147C">
      <w:pPr>
        <w:pStyle w:val="ListParagraph"/>
        <w:numPr>
          <w:ilvl w:val="1"/>
          <w:numId w:val="6"/>
        </w:numPr>
      </w:pPr>
      <w:r>
        <w:lastRenderedPageBreak/>
        <w:t>The results indicate</w:t>
      </w:r>
      <w:r w:rsidR="00E408F9">
        <w:t>d</w:t>
      </w:r>
      <w:r>
        <w:t xml:space="preserve"> a statistically signifi</w:t>
      </w:r>
      <w:r w:rsidR="00C71027">
        <w:t>cant improvement in progression-</w:t>
      </w:r>
      <w:r>
        <w:t xml:space="preserve">free survival associated with combination therapy compared to </w:t>
      </w:r>
      <w:proofErr w:type="spellStart"/>
      <w:r>
        <w:t>nivolumab</w:t>
      </w:r>
      <w:proofErr w:type="spellEnd"/>
      <w:r>
        <w:t xml:space="preserve"> monotherapy. </w:t>
      </w:r>
      <w:r w:rsidRPr="00185700">
        <w:t xml:space="preserve">No </w:t>
      </w:r>
      <w:r w:rsidR="00B73862" w:rsidRPr="00185700">
        <w:t>overall survival</w:t>
      </w:r>
      <w:r w:rsidRPr="00185700">
        <w:t xml:space="preserve"> data w</w:t>
      </w:r>
      <w:r w:rsidR="0063230C">
        <w:t>ere</w:t>
      </w:r>
      <w:r w:rsidRPr="00185700">
        <w:t xml:space="preserve"> presented</w:t>
      </w:r>
      <w:r w:rsidR="004C0B20">
        <w:t xml:space="preserve"> for this comparison</w:t>
      </w:r>
      <w:r w:rsidR="00B73862" w:rsidRPr="00185700">
        <w:t>.</w:t>
      </w:r>
    </w:p>
    <w:p w:rsidR="001814D6" w:rsidRDefault="001814D6" w:rsidP="001814D6"/>
    <w:p w:rsidR="003E147C" w:rsidRDefault="003E147C" w:rsidP="003E147C">
      <w:pPr>
        <w:pStyle w:val="ListParagraph"/>
        <w:numPr>
          <w:ilvl w:val="1"/>
          <w:numId w:val="6"/>
        </w:numPr>
      </w:pPr>
      <w:r>
        <w:t xml:space="preserve">Table </w:t>
      </w:r>
      <w:r w:rsidR="003710E1">
        <w:t xml:space="preserve">6 </w:t>
      </w:r>
      <w:r>
        <w:t>summarises the efficacy results of the indirect co</w:t>
      </w:r>
      <w:r w:rsidR="00C71027">
        <w:t xml:space="preserve">mparison against </w:t>
      </w:r>
      <w:proofErr w:type="spellStart"/>
      <w:r w:rsidR="00C71027">
        <w:t>pembrolizumab</w:t>
      </w:r>
      <w:proofErr w:type="spellEnd"/>
      <w:r w:rsidR="00C71027">
        <w:t>.</w:t>
      </w:r>
    </w:p>
    <w:p w:rsidR="003E147C" w:rsidRPr="007F1017" w:rsidRDefault="003E147C" w:rsidP="00C75C26"/>
    <w:p w:rsidR="003E147C" w:rsidRPr="009910F6" w:rsidRDefault="003E147C" w:rsidP="009910F6">
      <w:pPr>
        <w:ind w:left="720"/>
      </w:pPr>
      <w:r w:rsidRPr="009910F6">
        <w:rPr>
          <w:rStyle w:val="CommentReference"/>
        </w:rPr>
        <w:t xml:space="preserve">Table </w:t>
      </w:r>
      <w:r w:rsidR="003710E1">
        <w:rPr>
          <w:rStyle w:val="CommentReference"/>
        </w:rPr>
        <w:t>6</w:t>
      </w:r>
      <w:r w:rsidRPr="009910F6">
        <w:rPr>
          <w:rStyle w:val="CommentReference"/>
        </w:rPr>
        <w:t xml:space="preserve">: Results of PFS and OS from the indirect comparison against </w:t>
      </w:r>
      <w:proofErr w:type="spellStart"/>
      <w:r w:rsidRPr="009910F6">
        <w:rPr>
          <w:rStyle w:val="CommentReference"/>
        </w:rPr>
        <w:t>pembrolizumab</w:t>
      </w:r>
      <w:proofErr w:type="spellEnd"/>
    </w:p>
    <w:tbl>
      <w:tblPr>
        <w:tblStyle w:val="TableGrid"/>
        <w:tblW w:w="4528" w:type="pct"/>
        <w:tblInd w:w="828" w:type="dxa"/>
        <w:tblLook w:val="04A0" w:firstRow="1" w:lastRow="0" w:firstColumn="1" w:lastColumn="0" w:noHBand="0" w:noVBand="1"/>
        <w:tblCaption w:val="Table 6: Results of PFS and OS from the indirect comparison against pembrolizumab"/>
      </w:tblPr>
      <w:tblGrid>
        <w:gridCol w:w="6570"/>
        <w:gridCol w:w="1800"/>
      </w:tblGrid>
      <w:tr w:rsidR="00644B49" w:rsidRPr="00294F70" w:rsidTr="006D73F0">
        <w:trPr>
          <w:tblHeader/>
        </w:trPr>
        <w:tc>
          <w:tcPr>
            <w:tcW w:w="3925" w:type="pct"/>
          </w:tcPr>
          <w:p w:rsidR="00644B49" w:rsidRPr="00294F70" w:rsidRDefault="00644B49" w:rsidP="00644B49">
            <w:pPr>
              <w:jc w:val="left"/>
              <w:rPr>
                <w:rFonts w:ascii="Arial Narrow" w:hAnsi="Arial Narrow"/>
                <w:b/>
                <w:sz w:val="20"/>
              </w:rPr>
            </w:pPr>
            <w:r>
              <w:rPr>
                <w:rFonts w:ascii="Arial Narrow" w:hAnsi="Arial Narrow"/>
                <w:b/>
                <w:sz w:val="20"/>
              </w:rPr>
              <w:t>Comparison and endpoint</w:t>
            </w:r>
          </w:p>
        </w:tc>
        <w:tc>
          <w:tcPr>
            <w:tcW w:w="1075" w:type="pct"/>
          </w:tcPr>
          <w:p w:rsidR="00644B49" w:rsidRPr="00294F70" w:rsidRDefault="00644B49" w:rsidP="00C75C26">
            <w:pPr>
              <w:jc w:val="center"/>
              <w:rPr>
                <w:rFonts w:ascii="Arial Narrow" w:hAnsi="Arial Narrow"/>
                <w:b/>
                <w:sz w:val="20"/>
              </w:rPr>
            </w:pPr>
            <w:r>
              <w:rPr>
                <w:rFonts w:ascii="Arial Narrow" w:hAnsi="Arial Narrow"/>
                <w:b/>
                <w:sz w:val="20"/>
              </w:rPr>
              <w:t>HR (95% CI)</w:t>
            </w:r>
          </w:p>
        </w:tc>
      </w:tr>
      <w:tr w:rsidR="003E147C" w:rsidRPr="00294F70" w:rsidTr="00C75C26">
        <w:tc>
          <w:tcPr>
            <w:tcW w:w="5000" w:type="pct"/>
            <w:gridSpan w:val="2"/>
          </w:tcPr>
          <w:p w:rsidR="003E147C" w:rsidRPr="005158A4" w:rsidRDefault="003E147C" w:rsidP="00C75C26">
            <w:pPr>
              <w:jc w:val="left"/>
              <w:rPr>
                <w:rFonts w:ascii="Arial Narrow" w:hAnsi="Arial Narrow"/>
                <w:b/>
                <w:sz w:val="20"/>
              </w:rPr>
            </w:pPr>
            <w:r>
              <w:rPr>
                <w:rFonts w:ascii="Arial Narrow" w:hAnsi="Arial Narrow"/>
                <w:b/>
                <w:sz w:val="20"/>
              </w:rPr>
              <w:t xml:space="preserve">Overall survival - </w:t>
            </w:r>
            <w:r w:rsidRPr="005158A4">
              <w:rPr>
                <w:rFonts w:ascii="Arial Narrow" w:hAnsi="Arial Narrow"/>
                <w:b/>
                <w:sz w:val="20"/>
              </w:rPr>
              <w:t>Indirect</w:t>
            </w:r>
            <w:r>
              <w:rPr>
                <w:rFonts w:ascii="Arial Narrow" w:hAnsi="Arial Narrow"/>
                <w:b/>
                <w:sz w:val="20"/>
              </w:rPr>
              <w:t xml:space="preserve"> comparison</w:t>
            </w:r>
            <w:r w:rsidR="004C22FF">
              <w:rPr>
                <w:rFonts w:ascii="Arial Narrow" w:hAnsi="Arial Narrow"/>
                <w:b/>
                <w:sz w:val="20"/>
              </w:rPr>
              <w:t xml:space="preserve"> of </w:t>
            </w:r>
            <w:proofErr w:type="spellStart"/>
            <w:r w:rsidR="004C22FF">
              <w:rPr>
                <w:rFonts w:ascii="Arial Narrow" w:hAnsi="Arial Narrow"/>
                <w:b/>
                <w:sz w:val="20"/>
              </w:rPr>
              <w:t>Nivo</w:t>
            </w:r>
            <w:proofErr w:type="spellEnd"/>
            <w:r w:rsidR="004C22FF">
              <w:rPr>
                <w:rFonts w:ascii="Arial Narrow" w:hAnsi="Arial Narrow"/>
                <w:b/>
                <w:sz w:val="20"/>
              </w:rPr>
              <w:t xml:space="preserve"> + </w:t>
            </w:r>
            <w:proofErr w:type="spellStart"/>
            <w:r w:rsidR="004C22FF">
              <w:rPr>
                <w:rFonts w:ascii="Arial Narrow" w:hAnsi="Arial Narrow"/>
                <w:b/>
                <w:sz w:val="20"/>
              </w:rPr>
              <w:t>Ipi</w:t>
            </w:r>
            <w:proofErr w:type="spellEnd"/>
            <w:r w:rsidR="004C22FF">
              <w:rPr>
                <w:rFonts w:ascii="Arial Narrow" w:hAnsi="Arial Narrow"/>
                <w:b/>
                <w:sz w:val="20"/>
              </w:rPr>
              <w:t xml:space="preserve"> (CA-209-069) and </w:t>
            </w:r>
            <w:proofErr w:type="spellStart"/>
            <w:r w:rsidR="004C22FF">
              <w:rPr>
                <w:rFonts w:ascii="Arial Narrow" w:hAnsi="Arial Narrow"/>
                <w:b/>
                <w:sz w:val="20"/>
              </w:rPr>
              <w:t>Pembro</w:t>
            </w:r>
            <w:proofErr w:type="spellEnd"/>
            <w:r w:rsidR="004C22FF">
              <w:rPr>
                <w:rFonts w:ascii="Arial Narrow" w:hAnsi="Arial Narrow"/>
                <w:b/>
                <w:sz w:val="20"/>
              </w:rPr>
              <w:t xml:space="preserve"> (KN-006)</w:t>
            </w:r>
          </w:p>
        </w:tc>
      </w:tr>
      <w:tr w:rsidR="003E147C" w:rsidRPr="00294F70" w:rsidTr="00C75C26">
        <w:tc>
          <w:tcPr>
            <w:tcW w:w="3925" w:type="pct"/>
          </w:tcPr>
          <w:p w:rsidR="003E147C" w:rsidRPr="00294F70" w:rsidRDefault="003E147C" w:rsidP="00C75C26">
            <w:pPr>
              <w:jc w:val="right"/>
              <w:rPr>
                <w:rFonts w:ascii="Arial Narrow" w:hAnsi="Arial Narrow"/>
                <w:sz w:val="20"/>
              </w:rPr>
            </w:pPr>
            <w:proofErr w:type="spellStart"/>
            <w:r>
              <w:rPr>
                <w:rFonts w:ascii="Arial Narrow" w:hAnsi="Arial Narrow"/>
                <w:sz w:val="20"/>
              </w:rPr>
              <w:t>Nivo</w:t>
            </w:r>
            <w:proofErr w:type="spellEnd"/>
            <w:r>
              <w:rPr>
                <w:rFonts w:ascii="Arial Narrow" w:hAnsi="Arial Narrow"/>
                <w:sz w:val="20"/>
              </w:rPr>
              <w:t xml:space="preserve"> + </w:t>
            </w:r>
            <w:proofErr w:type="spellStart"/>
            <w:r>
              <w:rPr>
                <w:rFonts w:ascii="Arial Narrow" w:hAnsi="Arial Narrow"/>
                <w:sz w:val="20"/>
              </w:rPr>
              <w:t>Ipi</w:t>
            </w:r>
            <w:proofErr w:type="spellEnd"/>
            <w:r>
              <w:rPr>
                <w:rFonts w:ascii="Arial Narrow" w:hAnsi="Arial Narrow"/>
                <w:sz w:val="20"/>
              </w:rPr>
              <w:t xml:space="preserve"> vs </w:t>
            </w:r>
            <w:proofErr w:type="spellStart"/>
            <w:r>
              <w:rPr>
                <w:rFonts w:ascii="Arial Narrow" w:hAnsi="Arial Narrow"/>
                <w:sz w:val="20"/>
              </w:rPr>
              <w:t>Pembro</w:t>
            </w:r>
            <w:proofErr w:type="spellEnd"/>
            <w:r>
              <w:rPr>
                <w:rFonts w:ascii="Arial Narrow" w:hAnsi="Arial Narrow"/>
                <w:sz w:val="20"/>
              </w:rPr>
              <w:t xml:space="preserve"> Q2W</w:t>
            </w:r>
          </w:p>
        </w:tc>
        <w:tc>
          <w:tcPr>
            <w:tcW w:w="1075" w:type="pct"/>
          </w:tcPr>
          <w:p w:rsidR="003E147C" w:rsidRPr="00294F70" w:rsidRDefault="003E147C" w:rsidP="00C75C26">
            <w:pPr>
              <w:jc w:val="center"/>
              <w:rPr>
                <w:rFonts w:ascii="Arial Narrow" w:hAnsi="Arial Narrow"/>
                <w:sz w:val="20"/>
              </w:rPr>
            </w:pPr>
            <w:r>
              <w:rPr>
                <w:rFonts w:ascii="Arial Narrow" w:hAnsi="Arial Narrow"/>
                <w:sz w:val="20"/>
              </w:rPr>
              <w:t>1.159 (0.398, 3.373)</w:t>
            </w:r>
          </w:p>
        </w:tc>
      </w:tr>
      <w:tr w:rsidR="003E147C" w:rsidRPr="00294F70" w:rsidTr="00C75C26">
        <w:tc>
          <w:tcPr>
            <w:tcW w:w="3925" w:type="pct"/>
          </w:tcPr>
          <w:p w:rsidR="003E147C" w:rsidRPr="00294F70" w:rsidRDefault="003E147C" w:rsidP="00C75C26">
            <w:pPr>
              <w:jc w:val="right"/>
              <w:rPr>
                <w:rFonts w:ascii="Arial Narrow" w:hAnsi="Arial Narrow"/>
                <w:sz w:val="20"/>
              </w:rPr>
            </w:pPr>
            <w:proofErr w:type="spellStart"/>
            <w:r>
              <w:rPr>
                <w:rFonts w:ascii="Arial Narrow" w:hAnsi="Arial Narrow"/>
                <w:sz w:val="20"/>
              </w:rPr>
              <w:t>Nivo</w:t>
            </w:r>
            <w:proofErr w:type="spellEnd"/>
            <w:r>
              <w:rPr>
                <w:rFonts w:ascii="Arial Narrow" w:hAnsi="Arial Narrow"/>
                <w:sz w:val="20"/>
              </w:rPr>
              <w:t xml:space="preserve"> + </w:t>
            </w:r>
            <w:proofErr w:type="spellStart"/>
            <w:r>
              <w:rPr>
                <w:rFonts w:ascii="Arial Narrow" w:hAnsi="Arial Narrow"/>
                <w:sz w:val="20"/>
              </w:rPr>
              <w:t>Ipi</w:t>
            </w:r>
            <w:proofErr w:type="spellEnd"/>
            <w:r>
              <w:rPr>
                <w:rFonts w:ascii="Arial Narrow" w:hAnsi="Arial Narrow"/>
                <w:sz w:val="20"/>
              </w:rPr>
              <w:t xml:space="preserve"> vs </w:t>
            </w:r>
            <w:proofErr w:type="spellStart"/>
            <w:r>
              <w:rPr>
                <w:rFonts w:ascii="Arial Narrow" w:hAnsi="Arial Narrow"/>
                <w:sz w:val="20"/>
              </w:rPr>
              <w:t>Pembro</w:t>
            </w:r>
            <w:proofErr w:type="spellEnd"/>
            <w:r>
              <w:rPr>
                <w:rFonts w:ascii="Arial Narrow" w:hAnsi="Arial Narrow"/>
                <w:sz w:val="20"/>
              </w:rPr>
              <w:t xml:space="preserve"> Q3W</w:t>
            </w:r>
          </w:p>
        </w:tc>
        <w:tc>
          <w:tcPr>
            <w:tcW w:w="1075" w:type="pct"/>
          </w:tcPr>
          <w:p w:rsidR="003E147C" w:rsidRPr="00294F70" w:rsidRDefault="003E147C" w:rsidP="00C75C26">
            <w:pPr>
              <w:jc w:val="center"/>
              <w:rPr>
                <w:rFonts w:ascii="Arial Narrow" w:hAnsi="Arial Narrow"/>
                <w:sz w:val="20"/>
              </w:rPr>
            </w:pPr>
            <w:r>
              <w:rPr>
                <w:rFonts w:ascii="Arial Narrow" w:hAnsi="Arial Narrow"/>
                <w:sz w:val="20"/>
              </w:rPr>
              <w:t>1.058 (0.535, 2.093)</w:t>
            </w:r>
          </w:p>
        </w:tc>
      </w:tr>
      <w:tr w:rsidR="003E147C" w:rsidRPr="00294F70" w:rsidTr="00C75C26">
        <w:tc>
          <w:tcPr>
            <w:tcW w:w="5000" w:type="pct"/>
            <w:gridSpan w:val="2"/>
          </w:tcPr>
          <w:p w:rsidR="003E147C" w:rsidRPr="005158A4" w:rsidRDefault="003E147C" w:rsidP="00C75C26">
            <w:pPr>
              <w:jc w:val="left"/>
              <w:rPr>
                <w:rFonts w:ascii="Arial Narrow" w:hAnsi="Arial Narrow"/>
                <w:b/>
                <w:sz w:val="20"/>
              </w:rPr>
            </w:pPr>
            <w:r>
              <w:rPr>
                <w:rFonts w:ascii="Arial Narrow" w:hAnsi="Arial Narrow"/>
                <w:b/>
                <w:sz w:val="20"/>
              </w:rPr>
              <w:t>Progressio</w:t>
            </w:r>
            <w:r w:rsidR="00C71027">
              <w:rPr>
                <w:rFonts w:ascii="Arial Narrow" w:hAnsi="Arial Narrow"/>
                <w:b/>
                <w:sz w:val="20"/>
              </w:rPr>
              <w:t>n-</w:t>
            </w:r>
            <w:r>
              <w:rPr>
                <w:rFonts w:ascii="Arial Narrow" w:hAnsi="Arial Narrow"/>
                <w:b/>
                <w:sz w:val="20"/>
              </w:rPr>
              <w:t xml:space="preserve">free survival - </w:t>
            </w:r>
            <w:r w:rsidR="004C22FF" w:rsidRPr="005158A4">
              <w:rPr>
                <w:rFonts w:ascii="Arial Narrow" w:hAnsi="Arial Narrow"/>
                <w:b/>
                <w:sz w:val="20"/>
              </w:rPr>
              <w:t>Indirect</w:t>
            </w:r>
            <w:r w:rsidR="004C22FF">
              <w:rPr>
                <w:rFonts w:ascii="Arial Narrow" w:hAnsi="Arial Narrow"/>
                <w:b/>
                <w:sz w:val="20"/>
              </w:rPr>
              <w:t xml:space="preserve"> comparison of </w:t>
            </w:r>
            <w:proofErr w:type="spellStart"/>
            <w:r w:rsidR="004C22FF">
              <w:rPr>
                <w:rFonts w:ascii="Arial Narrow" w:hAnsi="Arial Narrow"/>
                <w:b/>
                <w:sz w:val="20"/>
              </w:rPr>
              <w:t>Nivo</w:t>
            </w:r>
            <w:proofErr w:type="spellEnd"/>
            <w:r w:rsidR="004C22FF">
              <w:rPr>
                <w:rFonts w:ascii="Arial Narrow" w:hAnsi="Arial Narrow"/>
                <w:b/>
                <w:sz w:val="20"/>
              </w:rPr>
              <w:t xml:space="preserve"> + </w:t>
            </w:r>
            <w:proofErr w:type="spellStart"/>
            <w:r w:rsidR="004C22FF">
              <w:rPr>
                <w:rFonts w:ascii="Arial Narrow" w:hAnsi="Arial Narrow"/>
                <w:b/>
                <w:sz w:val="20"/>
              </w:rPr>
              <w:t>Ipi</w:t>
            </w:r>
            <w:proofErr w:type="spellEnd"/>
            <w:r w:rsidR="004C22FF">
              <w:rPr>
                <w:rFonts w:ascii="Arial Narrow" w:hAnsi="Arial Narrow"/>
                <w:b/>
                <w:sz w:val="20"/>
              </w:rPr>
              <w:t xml:space="preserve"> (pooled*) and </w:t>
            </w:r>
            <w:proofErr w:type="spellStart"/>
            <w:r w:rsidR="004C22FF">
              <w:rPr>
                <w:rFonts w:ascii="Arial Narrow" w:hAnsi="Arial Narrow"/>
                <w:b/>
                <w:sz w:val="20"/>
              </w:rPr>
              <w:t>Pembro</w:t>
            </w:r>
            <w:proofErr w:type="spellEnd"/>
            <w:r w:rsidR="004C22FF">
              <w:rPr>
                <w:rFonts w:ascii="Arial Narrow" w:hAnsi="Arial Narrow"/>
                <w:b/>
                <w:sz w:val="20"/>
              </w:rPr>
              <w:t xml:space="preserve"> (KN-006)</w:t>
            </w:r>
          </w:p>
        </w:tc>
      </w:tr>
      <w:tr w:rsidR="003E147C" w:rsidRPr="00294F70" w:rsidTr="00C75C26">
        <w:tc>
          <w:tcPr>
            <w:tcW w:w="3925" w:type="pct"/>
          </w:tcPr>
          <w:p w:rsidR="003E147C" w:rsidRPr="00294F70" w:rsidRDefault="003E147C" w:rsidP="00C75C26">
            <w:pPr>
              <w:jc w:val="right"/>
              <w:rPr>
                <w:rFonts w:ascii="Arial Narrow" w:hAnsi="Arial Narrow"/>
                <w:sz w:val="20"/>
              </w:rPr>
            </w:pPr>
            <w:proofErr w:type="spellStart"/>
            <w:r>
              <w:rPr>
                <w:rFonts w:ascii="Arial Narrow" w:hAnsi="Arial Narrow"/>
                <w:sz w:val="20"/>
              </w:rPr>
              <w:t>Nivo</w:t>
            </w:r>
            <w:proofErr w:type="spellEnd"/>
            <w:r>
              <w:rPr>
                <w:rFonts w:ascii="Arial Narrow" w:hAnsi="Arial Narrow"/>
                <w:sz w:val="20"/>
              </w:rPr>
              <w:t xml:space="preserve"> + </w:t>
            </w:r>
            <w:proofErr w:type="spellStart"/>
            <w:r>
              <w:rPr>
                <w:rFonts w:ascii="Arial Narrow" w:hAnsi="Arial Narrow"/>
                <w:sz w:val="20"/>
              </w:rPr>
              <w:t>Ipi</w:t>
            </w:r>
            <w:proofErr w:type="spellEnd"/>
            <w:r>
              <w:rPr>
                <w:rFonts w:ascii="Arial Narrow" w:hAnsi="Arial Narrow"/>
                <w:sz w:val="20"/>
              </w:rPr>
              <w:t xml:space="preserve"> vs </w:t>
            </w:r>
            <w:proofErr w:type="spellStart"/>
            <w:r>
              <w:rPr>
                <w:rFonts w:ascii="Arial Narrow" w:hAnsi="Arial Narrow"/>
                <w:sz w:val="20"/>
              </w:rPr>
              <w:t>Pembro</w:t>
            </w:r>
            <w:proofErr w:type="spellEnd"/>
            <w:r>
              <w:rPr>
                <w:rFonts w:ascii="Arial Narrow" w:hAnsi="Arial Narrow"/>
                <w:sz w:val="20"/>
              </w:rPr>
              <w:t xml:space="preserve"> Q2W</w:t>
            </w:r>
          </w:p>
        </w:tc>
        <w:tc>
          <w:tcPr>
            <w:tcW w:w="1075" w:type="pct"/>
          </w:tcPr>
          <w:p w:rsidR="003E147C" w:rsidRPr="00294F70" w:rsidRDefault="003E147C" w:rsidP="00C75C26">
            <w:pPr>
              <w:jc w:val="center"/>
              <w:rPr>
                <w:rFonts w:ascii="Arial Narrow" w:hAnsi="Arial Narrow"/>
                <w:sz w:val="20"/>
              </w:rPr>
            </w:pPr>
            <w:r>
              <w:rPr>
                <w:rFonts w:ascii="Arial Narrow" w:hAnsi="Arial Narrow"/>
                <w:sz w:val="20"/>
              </w:rPr>
              <w:t>0.724 (0.54, 0.97)</w:t>
            </w:r>
          </w:p>
        </w:tc>
      </w:tr>
      <w:tr w:rsidR="003E147C" w:rsidRPr="00294F70" w:rsidTr="00C75C26">
        <w:tc>
          <w:tcPr>
            <w:tcW w:w="3925" w:type="pct"/>
          </w:tcPr>
          <w:p w:rsidR="003E147C" w:rsidRPr="00294F70" w:rsidRDefault="003E147C" w:rsidP="00C75C26">
            <w:pPr>
              <w:jc w:val="right"/>
              <w:rPr>
                <w:rFonts w:ascii="Arial Narrow" w:hAnsi="Arial Narrow"/>
                <w:sz w:val="20"/>
              </w:rPr>
            </w:pPr>
            <w:proofErr w:type="spellStart"/>
            <w:r>
              <w:rPr>
                <w:rFonts w:ascii="Arial Narrow" w:hAnsi="Arial Narrow"/>
                <w:sz w:val="20"/>
              </w:rPr>
              <w:t>Nivo</w:t>
            </w:r>
            <w:proofErr w:type="spellEnd"/>
            <w:r>
              <w:rPr>
                <w:rFonts w:ascii="Arial Narrow" w:hAnsi="Arial Narrow"/>
                <w:sz w:val="20"/>
              </w:rPr>
              <w:t xml:space="preserve"> + </w:t>
            </w:r>
            <w:proofErr w:type="spellStart"/>
            <w:r>
              <w:rPr>
                <w:rFonts w:ascii="Arial Narrow" w:hAnsi="Arial Narrow"/>
                <w:sz w:val="20"/>
              </w:rPr>
              <w:t>Ipi</w:t>
            </w:r>
            <w:proofErr w:type="spellEnd"/>
            <w:r>
              <w:rPr>
                <w:rFonts w:ascii="Arial Narrow" w:hAnsi="Arial Narrow"/>
                <w:sz w:val="20"/>
              </w:rPr>
              <w:t xml:space="preserve"> vs </w:t>
            </w:r>
            <w:proofErr w:type="spellStart"/>
            <w:r>
              <w:rPr>
                <w:rFonts w:ascii="Arial Narrow" w:hAnsi="Arial Narrow"/>
                <w:sz w:val="20"/>
              </w:rPr>
              <w:t>Pembro</w:t>
            </w:r>
            <w:proofErr w:type="spellEnd"/>
            <w:r>
              <w:rPr>
                <w:rFonts w:ascii="Arial Narrow" w:hAnsi="Arial Narrow"/>
                <w:sz w:val="20"/>
              </w:rPr>
              <w:t xml:space="preserve"> Q3W</w:t>
            </w:r>
          </w:p>
        </w:tc>
        <w:tc>
          <w:tcPr>
            <w:tcW w:w="1075" w:type="pct"/>
          </w:tcPr>
          <w:p w:rsidR="003E147C" w:rsidRPr="00294F70" w:rsidRDefault="003E147C" w:rsidP="00C75C26">
            <w:pPr>
              <w:jc w:val="center"/>
              <w:rPr>
                <w:rFonts w:ascii="Arial Narrow" w:hAnsi="Arial Narrow"/>
                <w:sz w:val="20"/>
              </w:rPr>
            </w:pPr>
            <w:r>
              <w:rPr>
                <w:rFonts w:ascii="Arial Narrow" w:hAnsi="Arial Narrow"/>
                <w:sz w:val="20"/>
              </w:rPr>
              <w:t>0.724 (0.55, 0.96)</w:t>
            </w:r>
          </w:p>
        </w:tc>
      </w:tr>
    </w:tbl>
    <w:p w:rsidR="00C71027" w:rsidRDefault="003E147C" w:rsidP="00C75C26">
      <w:pPr>
        <w:pStyle w:val="TableFooter"/>
        <w:ind w:left="720"/>
      </w:pPr>
      <w:r>
        <w:t xml:space="preserve">Source: Tables 80 and 81, p228-9 and Tables 84 and 85, p236-7 of Sections A and B </w:t>
      </w:r>
      <w:r w:rsidR="00C71027">
        <w:t>of the submission.</w:t>
      </w:r>
    </w:p>
    <w:p w:rsidR="003E147C" w:rsidRDefault="003E147C" w:rsidP="00C75C26">
      <w:pPr>
        <w:pStyle w:val="TableFooter"/>
        <w:ind w:left="720"/>
      </w:pPr>
      <w:r>
        <w:t xml:space="preserve">CI = confidence interval; HR = hazard ratio; </w:t>
      </w:r>
      <w:proofErr w:type="spellStart"/>
      <w:r>
        <w:t>Ipi</w:t>
      </w:r>
      <w:proofErr w:type="spellEnd"/>
      <w:r>
        <w:t xml:space="preserve"> = </w:t>
      </w:r>
      <w:proofErr w:type="spellStart"/>
      <w:r>
        <w:t>ipilimumab</w:t>
      </w:r>
      <w:proofErr w:type="spellEnd"/>
      <w:r>
        <w:t xml:space="preserve">; </w:t>
      </w:r>
      <w:proofErr w:type="spellStart"/>
      <w:r>
        <w:t>Nivo</w:t>
      </w:r>
      <w:proofErr w:type="spellEnd"/>
      <w:r>
        <w:t xml:space="preserve"> = </w:t>
      </w:r>
      <w:proofErr w:type="spellStart"/>
      <w:r>
        <w:t>nivolumab</w:t>
      </w:r>
      <w:proofErr w:type="spellEnd"/>
      <w:r>
        <w:t xml:space="preserve">; OS = overall survival; </w:t>
      </w:r>
      <w:proofErr w:type="spellStart"/>
      <w:r>
        <w:t>Pembro</w:t>
      </w:r>
      <w:proofErr w:type="spellEnd"/>
      <w:r>
        <w:t xml:space="preserve"> = </w:t>
      </w:r>
      <w:proofErr w:type="spellStart"/>
      <w:r>
        <w:t>pembrolizumab</w:t>
      </w:r>
      <w:proofErr w:type="spellEnd"/>
      <w:r>
        <w:t xml:space="preserve">; Q2W = every 2 </w:t>
      </w:r>
      <w:r w:rsidR="00C71027">
        <w:t>weeks; Q3W = every three weeks</w:t>
      </w:r>
    </w:p>
    <w:p w:rsidR="004C22FF" w:rsidRDefault="004C22FF" w:rsidP="00C75C26">
      <w:pPr>
        <w:pStyle w:val="TableFooter"/>
        <w:ind w:left="720"/>
      </w:pPr>
      <w:r>
        <w:t>*Pooled trial data from CA209-067 and CA209-069</w:t>
      </w:r>
      <w:r w:rsidR="00A97408">
        <w:t>.</w:t>
      </w:r>
    </w:p>
    <w:p w:rsidR="003E147C" w:rsidRDefault="003E147C" w:rsidP="00B60939">
      <w:pPr>
        <w:rPr>
          <w:szCs w:val="22"/>
        </w:rPr>
      </w:pPr>
    </w:p>
    <w:p w:rsidR="003E147C" w:rsidRDefault="003E147C" w:rsidP="003E147C">
      <w:pPr>
        <w:pStyle w:val="ListParagraph"/>
        <w:numPr>
          <w:ilvl w:val="1"/>
          <w:numId w:val="6"/>
        </w:numPr>
      </w:pPr>
      <w:r>
        <w:t>The results of the</w:t>
      </w:r>
      <w:r w:rsidR="00B31D9F">
        <w:t>se</w:t>
      </w:r>
      <w:r>
        <w:t xml:space="preserve"> indirect comparison</w:t>
      </w:r>
      <w:r w:rsidR="00B31D9F">
        <w:t>s</w:t>
      </w:r>
      <w:r>
        <w:t xml:space="preserve"> indicated that</w:t>
      </w:r>
      <w:r w:rsidR="00C71027">
        <w:t>,</w:t>
      </w:r>
      <w:r>
        <w:t xml:space="preserve"> </w:t>
      </w:r>
      <w:r w:rsidR="00C71027">
        <w:t>although</w:t>
      </w:r>
      <w:r w:rsidR="008E2306">
        <w:t xml:space="preserve"> </w:t>
      </w:r>
      <w:r>
        <w:t>there was a statistically signifi</w:t>
      </w:r>
      <w:r w:rsidR="00C71027">
        <w:t>cant improvement in progression-</w:t>
      </w:r>
      <w:r>
        <w:t xml:space="preserve">free survival for </w:t>
      </w:r>
      <w:proofErr w:type="spellStart"/>
      <w:r>
        <w:t>nivolumab</w:t>
      </w:r>
      <w:proofErr w:type="spellEnd"/>
      <w:r>
        <w:t xml:space="preserve"> plus </w:t>
      </w:r>
      <w:proofErr w:type="spellStart"/>
      <w:r>
        <w:t>ipilimumab</w:t>
      </w:r>
      <w:proofErr w:type="spellEnd"/>
      <w:r>
        <w:t xml:space="preserve"> compared to </w:t>
      </w:r>
      <w:proofErr w:type="spellStart"/>
      <w:r>
        <w:t>pembrolizumab</w:t>
      </w:r>
      <w:proofErr w:type="spellEnd"/>
      <w:r>
        <w:t>, there was no statistically significant improvement in overall survival.</w:t>
      </w:r>
    </w:p>
    <w:p w:rsidR="00B31D9F" w:rsidRPr="00630D3D" w:rsidRDefault="00B31D9F" w:rsidP="00B31D9F">
      <w:pPr>
        <w:rPr>
          <w:rStyle w:val="CommentReference"/>
          <w:rFonts w:ascii="Arial" w:hAnsi="Arial"/>
          <w:b w:val="0"/>
          <w:sz w:val="22"/>
          <w:szCs w:val="22"/>
        </w:rPr>
      </w:pPr>
    </w:p>
    <w:p w:rsidR="00B31D9F" w:rsidRPr="00630D3D" w:rsidRDefault="00B31D9F" w:rsidP="00503AAF">
      <w:pPr>
        <w:ind w:left="709"/>
        <w:rPr>
          <w:rFonts w:ascii="Arial Narrow" w:hAnsi="Arial Narrow"/>
          <w:b/>
          <w:sz w:val="20"/>
          <w:szCs w:val="16"/>
        </w:rPr>
      </w:pPr>
      <w:r w:rsidRPr="00630D3D">
        <w:rPr>
          <w:rStyle w:val="CommentReference"/>
        </w:rPr>
        <w:t xml:space="preserve">Table </w:t>
      </w:r>
      <w:r w:rsidR="00503AAF" w:rsidRPr="00630D3D">
        <w:rPr>
          <w:rStyle w:val="CommentReference"/>
        </w:rPr>
        <w:t>7</w:t>
      </w:r>
      <w:r w:rsidRPr="00630D3D">
        <w:rPr>
          <w:rStyle w:val="CommentReference"/>
        </w:rPr>
        <w:t xml:space="preserve">: Results of </w:t>
      </w:r>
      <w:r w:rsidR="00503AAF" w:rsidRPr="00630D3D">
        <w:rPr>
          <w:rStyle w:val="CommentReference"/>
        </w:rPr>
        <w:t>objective response rate</w:t>
      </w:r>
      <w:r w:rsidRPr="00630D3D">
        <w:rPr>
          <w:rStyle w:val="CommentReference"/>
        </w:rPr>
        <w:t xml:space="preserve"> from the </w:t>
      </w:r>
      <w:proofErr w:type="gramStart"/>
      <w:r w:rsidRPr="00630D3D">
        <w:rPr>
          <w:rStyle w:val="CommentReference"/>
        </w:rPr>
        <w:t>Indirect</w:t>
      </w:r>
      <w:proofErr w:type="gramEnd"/>
      <w:r w:rsidRPr="00630D3D">
        <w:rPr>
          <w:rStyle w:val="CommentReference"/>
        </w:rPr>
        <w:t xml:space="preserve"> comparison against </w:t>
      </w:r>
      <w:proofErr w:type="spellStart"/>
      <w:r w:rsidRPr="00630D3D">
        <w:rPr>
          <w:rStyle w:val="CommentReference"/>
        </w:rPr>
        <w:t>pembrolizumab</w:t>
      </w:r>
      <w:proofErr w:type="spellEnd"/>
    </w:p>
    <w:tbl>
      <w:tblPr>
        <w:tblStyle w:val="TableGrid"/>
        <w:tblW w:w="8363" w:type="dxa"/>
        <w:tblInd w:w="817" w:type="dxa"/>
        <w:tblLook w:val="04A0" w:firstRow="1" w:lastRow="0" w:firstColumn="1" w:lastColumn="0" w:noHBand="0" w:noVBand="1"/>
        <w:tblCaption w:val="Table 7: Results of objective response rate from the Indirect comparison against pembrolizumab"/>
      </w:tblPr>
      <w:tblGrid>
        <w:gridCol w:w="2410"/>
        <w:gridCol w:w="2977"/>
        <w:gridCol w:w="2976"/>
      </w:tblGrid>
      <w:tr w:rsidR="00B31D9F" w:rsidRPr="00630D3D" w:rsidTr="006D73F0">
        <w:trPr>
          <w:tblHeader/>
        </w:trPr>
        <w:tc>
          <w:tcPr>
            <w:tcW w:w="2410" w:type="dxa"/>
            <w:vAlign w:val="center"/>
          </w:tcPr>
          <w:p w:rsidR="00B31D9F" w:rsidRPr="00630D3D" w:rsidRDefault="00B31D9F" w:rsidP="00B31D9F">
            <w:pPr>
              <w:jc w:val="left"/>
              <w:rPr>
                <w:rFonts w:ascii="Arial Narrow" w:hAnsi="Arial Narrow"/>
                <w:b/>
                <w:sz w:val="20"/>
              </w:rPr>
            </w:pPr>
            <w:r w:rsidRPr="00630D3D">
              <w:rPr>
                <w:rFonts w:ascii="Arial Narrow" w:hAnsi="Arial Narrow"/>
                <w:b/>
                <w:sz w:val="20"/>
              </w:rPr>
              <w:t>Comparison and measure</w:t>
            </w:r>
          </w:p>
        </w:tc>
        <w:tc>
          <w:tcPr>
            <w:tcW w:w="2977" w:type="dxa"/>
            <w:vAlign w:val="center"/>
          </w:tcPr>
          <w:p w:rsidR="00B31D9F" w:rsidRPr="00630D3D" w:rsidRDefault="00B31D9F" w:rsidP="00503AAF">
            <w:pPr>
              <w:jc w:val="center"/>
              <w:rPr>
                <w:rFonts w:ascii="Arial Narrow" w:hAnsi="Arial Narrow"/>
                <w:b/>
                <w:sz w:val="20"/>
              </w:rPr>
            </w:pPr>
            <w:proofErr w:type="spellStart"/>
            <w:r w:rsidRPr="00630D3D">
              <w:rPr>
                <w:rFonts w:ascii="Arial Narrow" w:hAnsi="Arial Narrow"/>
                <w:b/>
                <w:sz w:val="20"/>
              </w:rPr>
              <w:t>Nivo</w:t>
            </w:r>
            <w:proofErr w:type="spellEnd"/>
            <w:r w:rsidRPr="00630D3D">
              <w:rPr>
                <w:rFonts w:ascii="Arial Narrow" w:hAnsi="Arial Narrow"/>
                <w:b/>
                <w:sz w:val="20"/>
              </w:rPr>
              <w:t xml:space="preserve"> + </w:t>
            </w:r>
            <w:proofErr w:type="spellStart"/>
            <w:r w:rsidRPr="00630D3D">
              <w:rPr>
                <w:rFonts w:ascii="Arial Narrow" w:hAnsi="Arial Narrow"/>
                <w:b/>
                <w:sz w:val="20"/>
              </w:rPr>
              <w:t>Ipi</w:t>
            </w:r>
            <w:proofErr w:type="spellEnd"/>
            <w:r w:rsidRPr="00630D3D">
              <w:rPr>
                <w:rFonts w:ascii="Arial Narrow" w:hAnsi="Arial Narrow"/>
                <w:b/>
                <w:sz w:val="20"/>
              </w:rPr>
              <w:t xml:space="preserve"> vs. </w:t>
            </w:r>
            <w:proofErr w:type="spellStart"/>
            <w:r w:rsidRPr="00630D3D">
              <w:rPr>
                <w:rFonts w:ascii="Arial Narrow" w:hAnsi="Arial Narrow"/>
                <w:b/>
                <w:sz w:val="20"/>
              </w:rPr>
              <w:t>Pembro</w:t>
            </w:r>
            <w:r w:rsidR="00503AAF" w:rsidRPr="00630D3D">
              <w:rPr>
                <w:rFonts w:ascii="Arial Narrow" w:hAnsi="Arial Narrow"/>
                <w:b/>
                <w:sz w:val="20"/>
              </w:rPr>
              <w:t>lizumab</w:t>
            </w:r>
            <w:proofErr w:type="spellEnd"/>
            <w:r w:rsidRPr="00630D3D">
              <w:rPr>
                <w:rFonts w:ascii="Arial Narrow" w:hAnsi="Arial Narrow"/>
                <w:b/>
                <w:sz w:val="20"/>
              </w:rPr>
              <w:t xml:space="preserve"> Q2W</w:t>
            </w:r>
          </w:p>
        </w:tc>
        <w:tc>
          <w:tcPr>
            <w:tcW w:w="2976" w:type="dxa"/>
            <w:vAlign w:val="center"/>
          </w:tcPr>
          <w:p w:rsidR="00B31D9F" w:rsidRPr="00630D3D" w:rsidRDefault="00B31D9F" w:rsidP="00503AAF">
            <w:pPr>
              <w:jc w:val="center"/>
              <w:rPr>
                <w:rFonts w:ascii="Arial Narrow" w:hAnsi="Arial Narrow"/>
                <w:b/>
                <w:sz w:val="20"/>
              </w:rPr>
            </w:pPr>
            <w:proofErr w:type="spellStart"/>
            <w:r w:rsidRPr="00630D3D">
              <w:rPr>
                <w:rFonts w:ascii="Arial Narrow" w:hAnsi="Arial Narrow"/>
                <w:b/>
                <w:sz w:val="20"/>
              </w:rPr>
              <w:t>Nivo</w:t>
            </w:r>
            <w:proofErr w:type="spellEnd"/>
            <w:r w:rsidRPr="00630D3D">
              <w:rPr>
                <w:rFonts w:ascii="Arial Narrow" w:hAnsi="Arial Narrow"/>
                <w:b/>
                <w:sz w:val="20"/>
              </w:rPr>
              <w:t xml:space="preserve"> + </w:t>
            </w:r>
            <w:proofErr w:type="spellStart"/>
            <w:r w:rsidRPr="00630D3D">
              <w:rPr>
                <w:rFonts w:ascii="Arial Narrow" w:hAnsi="Arial Narrow"/>
                <w:b/>
                <w:sz w:val="20"/>
              </w:rPr>
              <w:t>Ipi</w:t>
            </w:r>
            <w:proofErr w:type="spellEnd"/>
            <w:r w:rsidRPr="00630D3D">
              <w:rPr>
                <w:rFonts w:ascii="Arial Narrow" w:hAnsi="Arial Narrow"/>
                <w:b/>
                <w:sz w:val="20"/>
              </w:rPr>
              <w:t xml:space="preserve"> vs. </w:t>
            </w:r>
            <w:proofErr w:type="spellStart"/>
            <w:r w:rsidRPr="00630D3D">
              <w:rPr>
                <w:rFonts w:ascii="Arial Narrow" w:hAnsi="Arial Narrow"/>
                <w:b/>
                <w:sz w:val="20"/>
              </w:rPr>
              <w:t>Pembro</w:t>
            </w:r>
            <w:r w:rsidR="00503AAF" w:rsidRPr="00630D3D">
              <w:rPr>
                <w:rFonts w:ascii="Arial Narrow" w:hAnsi="Arial Narrow"/>
                <w:b/>
                <w:sz w:val="20"/>
              </w:rPr>
              <w:t>lizumab</w:t>
            </w:r>
            <w:proofErr w:type="spellEnd"/>
            <w:r w:rsidRPr="00630D3D">
              <w:rPr>
                <w:rFonts w:ascii="Arial Narrow" w:hAnsi="Arial Narrow"/>
                <w:b/>
                <w:sz w:val="20"/>
              </w:rPr>
              <w:t xml:space="preserve"> Q3W</w:t>
            </w:r>
          </w:p>
        </w:tc>
      </w:tr>
      <w:tr w:rsidR="00B31D9F" w:rsidRPr="00630D3D" w:rsidTr="00503AAF">
        <w:tc>
          <w:tcPr>
            <w:tcW w:w="2410" w:type="dxa"/>
          </w:tcPr>
          <w:p w:rsidR="00B31D9F" w:rsidRPr="00630D3D" w:rsidRDefault="00B31D9F" w:rsidP="00B31D9F">
            <w:pPr>
              <w:jc w:val="left"/>
              <w:rPr>
                <w:rFonts w:ascii="Arial Narrow" w:hAnsi="Arial Narrow"/>
                <w:sz w:val="20"/>
              </w:rPr>
            </w:pPr>
            <w:r w:rsidRPr="00630D3D">
              <w:rPr>
                <w:rFonts w:ascii="Arial Narrow" w:hAnsi="Arial Narrow"/>
                <w:sz w:val="20"/>
              </w:rPr>
              <w:t>Odds ratio (95% CI)</w:t>
            </w:r>
          </w:p>
        </w:tc>
        <w:tc>
          <w:tcPr>
            <w:tcW w:w="2977" w:type="dxa"/>
          </w:tcPr>
          <w:p w:rsidR="00B31D9F" w:rsidRPr="00630D3D" w:rsidRDefault="00B31D9F" w:rsidP="00503AAF">
            <w:pPr>
              <w:jc w:val="center"/>
              <w:rPr>
                <w:rFonts w:ascii="Arial Narrow" w:hAnsi="Arial Narrow"/>
                <w:sz w:val="20"/>
              </w:rPr>
            </w:pPr>
            <w:r w:rsidRPr="00630D3D">
              <w:rPr>
                <w:rFonts w:ascii="Arial Narrow" w:hAnsi="Arial Narrow"/>
                <w:sz w:val="20"/>
              </w:rPr>
              <w:t>1.89 (0.86, 4.14)</w:t>
            </w:r>
          </w:p>
        </w:tc>
        <w:tc>
          <w:tcPr>
            <w:tcW w:w="2976" w:type="dxa"/>
          </w:tcPr>
          <w:p w:rsidR="00B31D9F" w:rsidRPr="00630D3D" w:rsidRDefault="00B31D9F" w:rsidP="00503AAF">
            <w:pPr>
              <w:jc w:val="center"/>
              <w:rPr>
                <w:rFonts w:ascii="Arial Narrow" w:hAnsi="Arial Narrow"/>
                <w:sz w:val="20"/>
              </w:rPr>
            </w:pPr>
            <w:r w:rsidRPr="00630D3D">
              <w:rPr>
                <w:rFonts w:ascii="Arial Narrow" w:hAnsi="Arial Narrow"/>
                <w:sz w:val="20"/>
              </w:rPr>
              <w:t>1.96 (0.89, 4.3)</w:t>
            </w:r>
          </w:p>
        </w:tc>
      </w:tr>
      <w:tr w:rsidR="00B31D9F" w:rsidRPr="00630D3D" w:rsidTr="00503AAF">
        <w:tc>
          <w:tcPr>
            <w:tcW w:w="2410" w:type="dxa"/>
          </w:tcPr>
          <w:p w:rsidR="00B31D9F" w:rsidRPr="00630D3D" w:rsidRDefault="00B31D9F" w:rsidP="00503AAF">
            <w:pPr>
              <w:jc w:val="left"/>
              <w:rPr>
                <w:rFonts w:ascii="Arial Narrow" w:hAnsi="Arial Narrow"/>
                <w:sz w:val="20"/>
              </w:rPr>
            </w:pPr>
            <w:r w:rsidRPr="00630D3D">
              <w:rPr>
                <w:rFonts w:ascii="Arial Narrow" w:hAnsi="Arial Narrow"/>
                <w:sz w:val="20"/>
              </w:rPr>
              <w:t>R</w:t>
            </w:r>
            <w:r w:rsidR="00503AAF" w:rsidRPr="00630D3D">
              <w:rPr>
                <w:rFonts w:ascii="Arial Narrow" w:hAnsi="Arial Narrow"/>
                <w:sz w:val="20"/>
              </w:rPr>
              <w:t>isk ratio</w:t>
            </w:r>
            <w:r w:rsidRPr="00630D3D">
              <w:rPr>
                <w:rFonts w:ascii="Arial Narrow" w:hAnsi="Arial Narrow"/>
                <w:sz w:val="20"/>
              </w:rPr>
              <w:t xml:space="preserve"> (95% CI)</w:t>
            </w:r>
          </w:p>
        </w:tc>
        <w:tc>
          <w:tcPr>
            <w:tcW w:w="2977" w:type="dxa"/>
          </w:tcPr>
          <w:p w:rsidR="00B31D9F" w:rsidRPr="00630D3D" w:rsidRDefault="00B31D9F" w:rsidP="00503AAF">
            <w:pPr>
              <w:jc w:val="center"/>
              <w:rPr>
                <w:rFonts w:ascii="Arial Narrow" w:hAnsi="Arial Narrow"/>
                <w:sz w:val="20"/>
              </w:rPr>
            </w:pPr>
            <w:r w:rsidRPr="00630D3D">
              <w:rPr>
                <w:rFonts w:ascii="Arial Narrow" w:hAnsi="Arial Narrow"/>
                <w:sz w:val="20"/>
              </w:rPr>
              <w:t>1.25 (0.66, 2.37)</w:t>
            </w:r>
          </w:p>
        </w:tc>
        <w:tc>
          <w:tcPr>
            <w:tcW w:w="2976" w:type="dxa"/>
          </w:tcPr>
          <w:p w:rsidR="00B31D9F" w:rsidRPr="00630D3D" w:rsidRDefault="00B31D9F" w:rsidP="00503AAF">
            <w:pPr>
              <w:jc w:val="center"/>
              <w:rPr>
                <w:rFonts w:ascii="Arial Narrow" w:hAnsi="Arial Narrow"/>
                <w:sz w:val="20"/>
              </w:rPr>
            </w:pPr>
            <w:r w:rsidRPr="00630D3D">
              <w:rPr>
                <w:rFonts w:ascii="Arial Narrow" w:hAnsi="Arial Narrow"/>
                <w:sz w:val="20"/>
              </w:rPr>
              <w:t>1.29 (0.68, 2.43)</w:t>
            </w:r>
          </w:p>
        </w:tc>
      </w:tr>
      <w:tr w:rsidR="00503AAF" w:rsidRPr="00630D3D" w:rsidTr="00503AAF">
        <w:tc>
          <w:tcPr>
            <w:tcW w:w="2410" w:type="dxa"/>
          </w:tcPr>
          <w:p w:rsidR="00503AAF" w:rsidRPr="00630D3D" w:rsidRDefault="00503AAF" w:rsidP="00503AAF">
            <w:pPr>
              <w:jc w:val="left"/>
              <w:rPr>
                <w:rFonts w:ascii="Arial Narrow" w:hAnsi="Arial Narrow"/>
                <w:sz w:val="20"/>
              </w:rPr>
            </w:pPr>
            <w:r w:rsidRPr="00630D3D">
              <w:rPr>
                <w:rFonts w:ascii="Arial Narrow" w:hAnsi="Arial Narrow"/>
                <w:sz w:val="20"/>
              </w:rPr>
              <w:t>Risk difference (95% CI)</w:t>
            </w:r>
          </w:p>
        </w:tc>
        <w:tc>
          <w:tcPr>
            <w:tcW w:w="2977" w:type="dxa"/>
          </w:tcPr>
          <w:p w:rsidR="00503AAF" w:rsidRPr="00630D3D" w:rsidRDefault="00503AAF" w:rsidP="00503AAF">
            <w:pPr>
              <w:jc w:val="center"/>
              <w:rPr>
                <w:rFonts w:ascii="Arial Narrow" w:hAnsi="Arial Narrow"/>
                <w:sz w:val="20"/>
              </w:rPr>
            </w:pPr>
            <w:r w:rsidRPr="00630D3D">
              <w:rPr>
                <w:rFonts w:ascii="Arial Narrow" w:hAnsi="Arial Narrow"/>
                <w:sz w:val="20"/>
              </w:rPr>
              <w:t>0.2 (0.09, 0.31)</w:t>
            </w:r>
          </w:p>
        </w:tc>
        <w:tc>
          <w:tcPr>
            <w:tcW w:w="2976" w:type="dxa"/>
          </w:tcPr>
          <w:p w:rsidR="00503AAF" w:rsidRPr="00630D3D" w:rsidRDefault="00503AAF" w:rsidP="00503AAF">
            <w:pPr>
              <w:jc w:val="center"/>
              <w:rPr>
                <w:rFonts w:ascii="Arial Narrow" w:hAnsi="Arial Narrow"/>
                <w:sz w:val="20"/>
              </w:rPr>
            </w:pPr>
            <w:r w:rsidRPr="00630D3D">
              <w:rPr>
                <w:rFonts w:ascii="Arial Narrow" w:hAnsi="Arial Narrow"/>
                <w:sz w:val="20"/>
              </w:rPr>
              <w:t>0.21 (0.1, 0.32)</w:t>
            </w:r>
          </w:p>
        </w:tc>
      </w:tr>
    </w:tbl>
    <w:p w:rsidR="00503AAF" w:rsidRPr="00630D3D" w:rsidRDefault="00B31D9F" w:rsidP="00503AAF">
      <w:pPr>
        <w:pStyle w:val="TableFooter"/>
        <w:ind w:left="709"/>
      </w:pPr>
      <w:r w:rsidRPr="00630D3D">
        <w:t>Source: Tables 88 and 89, p242 and p244 of Sections A and B of the submission.</w:t>
      </w:r>
    </w:p>
    <w:p w:rsidR="00B31D9F" w:rsidRPr="00630D3D" w:rsidRDefault="00B31D9F" w:rsidP="00503AAF">
      <w:pPr>
        <w:pStyle w:val="TableFooter"/>
        <w:ind w:left="709"/>
      </w:pPr>
      <w:r w:rsidRPr="00630D3D">
        <w:t xml:space="preserve">CI = confidence interval; </w:t>
      </w:r>
      <w:proofErr w:type="spellStart"/>
      <w:r w:rsidRPr="00630D3D">
        <w:t>Nivo</w:t>
      </w:r>
      <w:proofErr w:type="spellEnd"/>
      <w:r w:rsidRPr="00630D3D">
        <w:t xml:space="preserve"> + </w:t>
      </w:r>
      <w:proofErr w:type="spellStart"/>
      <w:r w:rsidRPr="00630D3D">
        <w:t>Ipi</w:t>
      </w:r>
      <w:proofErr w:type="spellEnd"/>
      <w:r w:rsidRPr="00630D3D">
        <w:t xml:space="preserve"> = </w:t>
      </w:r>
      <w:proofErr w:type="spellStart"/>
      <w:r w:rsidRPr="00630D3D">
        <w:t>nivolumab</w:t>
      </w:r>
      <w:proofErr w:type="spellEnd"/>
      <w:r w:rsidRPr="00630D3D">
        <w:t xml:space="preserve"> plus </w:t>
      </w:r>
      <w:proofErr w:type="spellStart"/>
      <w:r w:rsidRPr="00630D3D">
        <w:t>ipilimumab</w:t>
      </w:r>
      <w:proofErr w:type="spellEnd"/>
      <w:r w:rsidRPr="00630D3D">
        <w:t>; Q2W = every 2 weeks; Q3W = every 3 weeks</w:t>
      </w:r>
    </w:p>
    <w:p w:rsidR="003E147C" w:rsidRDefault="003E147C" w:rsidP="00C75C26"/>
    <w:p w:rsidR="003E147C" w:rsidRPr="00491851" w:rsidRDefault="003E147C" w:rsidP="003E147C">
      <w:pPr>
        <w:pStyle w:val="ListParagraph"/>
        <w:numPr>
          <w:ilvl w:val="1"/>
          <w:numId w:val="6"/>
        </w:numPr>
        <w:rPr>
          <w:szCs w:val="22"/>
        </w:rPr>
      </w:pPr>
      <w:r>
        <w:t xml:space="preserve">The submission pointed out concerns regarding the indirect comparison. These concerns included the poor exchangeability between the trials, </w:t>
      </w:r>
      <w:r w:rsidR="0039788D">
        <w:t xml:space="preserve">and </w:t>
      </w:r>
      <w:r>
        <w:t xml:space="preserve">the difference in dose between KN-006 and the TGA restriction for </w:t>
      </w:r>
      <w:proofErr w:type="spellStart"/>
      <w:r>
        <w:t>pembrolizumab</w:t>
      </w:r>
      <w:proofErr w:type="spellEnd"/>
      <w:r>
        <w:t>.</w:t>
      </w:r>
    </w:p>
    <w:p w:rsidR="00491851" w:rsidRPr="00491851" w:rsidRDefault="00491851" w:rsidP="00491851">
      <w:pPr>
        <w:rPr>
          <w:szCs w:val="22"/>
        </w:rPr>
      </w:pPr>
    </w:p>
    <w:p w:rsidR="00491851" w:rsidRPr="00185700" w:rsidRDefault="00491851" w:rsidP="003E147C">
      <w:pPr>
        <w:pStyle w:val="ListParagraph"/>
        <w:numPr>
          <w:ilvl w:val="1"/>
          <w:numId w:val="6"/>
        </w:numPr>
        <w:rPr>
          <w:szCs w:val="22"/>
        </w:rPr>
      </w:pPr>
      <w:r w:rsidRPr="00185700">
        <w:rPr>
          <w:szCs w:val="22"/>
        </w:rPr>
        <w:t xml:space="preserve">The poor exchangeability of the trials </w:t>
      </w:r>
      <w:r w:rsidR="00E408F9">
        <w:rPr>
          <w:szCs w:val="22"/>
        </w:rPr>
        <w:t>was</w:t>
      </w:r>
      <w:r w:rsidRPr="00185700">
        <w:rPr>
          <w:szCs w:val="22"/>
        </w:rPr>
        <w:t xml:space="preserve"> a concern</w:t>
      </w:r>
      <w:r w:rsidR="00CF3269" w:rsidRPr="00185700">
        <w:rPr>
          <w:szCs w:val="22"/>
        </w:rPr>
        <w:t>.</w:t>
      </w:r>
      <w:r w:rsidRPr="00185700">
        <w:rPr>
          <w:szCs w:val="22"/>
        </w:rPr>
        <w:t xml:space="preserve"> </w:t>
      </w:r>
      <w:r w:rsidR="00CF3269" w:rsidRPr="00185700">
        <w:rPr>
          <w:szCs w:val="22"/>
        </w:rPr>
        <w:t>KN-006 included</w:t>
      </w:r>
      <w:r w:rsidR="001631D1" w:rsidRPr="00185700">
        <w:rPr>
          <w:szCs w:val="22"/>
        </w:rPr>
        <w:t xml:space="preserve"> patients who had received previous systemic therapy and KN-006 </w:t>
      </w:r>
      <w:r w:rsidR="00CF3269" w:rsidRPr="00185700">
        <w:rPr>
          <w:szCs w:val="22"/>
        </w:rPr>
        <w:t>had</w:t>
      </w:r>
      <w:r w:rsidR="001631D1" w:rsidRPr="00185700">
        <w:rPr>
          <w:szCs w:val="22"/>
        </w:rPr>
        <w:t xml:space="preserve"> less healthy patients than the </w:t>
      </w:r>
      <w:proofErr w:type="spellStart"/>
      <w:r w:rsidR="001631D1" w:rsidRPr="00185700">
        <w:rPr>
          <w:szCs w:val="22"/>
        </w:rPr>
        <w:t>nivolumab</w:t>
      </w:r>
      <w:proofErr w:type="spellEnd"/>
      <w:r w:rsidR="001631D1" w:rsidRPr="00185700">
        <w:rPr>
          <w:szCs w:val="22"/>
        </w:rPr>
        <w:t xml:space="preserve"> plus </w:t>
      </w:r>
      <w:proofErr w:type="spellStart"/>
      <w:r w:rsidR="001631D1" w:rsidRPr="00185700">
        <w:rPr>
          <w:szCs w:val="22"/>
        </w:rPr>
        <w:t>ipilimumab</w:t>
      </w:r>
      <w:proofErr w:type="spellEnd"/>
      <w:r w:rsidR="001631D1" w:rsidRPr="00185700">
        <w:rPr>
          <w:szCs w:val="22"/>
        </w:rPr>
        <w:t xml:space="preserve"> trials with respect to percent with brain metastases and </w:t>
      </w:r>
      <w:r w:rsidR="00C71027" w:rsidRPr="00185700">
        <w:rPr>
          <w:szCs w:val="22"/>
        </w:rPr>
        <w:t>mutation</w:t>
      </w:r>
      <w:r w:rsidR="006F26DB" w:rsidRPr="00185700">
        <w:rPr>
          <w:szCs w:val="22"/>
        </w:rPr>
        <w:t xml:space="preserve"> </w:t>
      </w:r>
      <w:r w:rsidR="001631D1" w:rsidRPr="00185700">
        <w:rPr>
          <w:szCs w:val="22"/>
        </w:rPr>
        <w:t>status.</w:t>
      </w:r>
    </w:p>
    <w:p w:rsidR="0073666D" w:rsidRPr="0073666D" w:rsidRDefault="0073666D" w:rsidP="0073666D">
      <w:pPr>
        <w:rPr>
          <w:szCs w:val="22"/>
        </w:rPr>
      </w:pPr>
    </w:p>
    <w:p w:rsidR="0073666D" w:rsidRPr="00185700" w:rsidRDefault="001631D1" w:rsidP="003E147C">
      <w:pPr>
        <w:pStyle w:val="ListParagraph"/>
        <w:numPr>
          <w:ilvl w:val="1"/>
          <w:numId w:val="6"/>
        </w:numPr>
        <w:rPr>
          <w:szCs w:val="22"/>
        </w:rPr>
      </w:pPr>
      <w:r w:rsidRPr="00185700">
        <w:rPr>
          <w:szCs w:val="22"/>
        </w:rPr>
        <w:t>Though the PBAC had expressed concerns regarding the different dose in KN-006 and the TGA restriction, it considered that the evidence suggested, but did not guarantee, equivalent efficacy and safety (</w:t>
      </w:r>
      <w:proofErr w:type="spellStart"/>
      <w:r w:rsidR="006F26DB" w:rsidRPr="00185700">
        <w:rPr>
          <w:szCs w:val="22"/>
        </w:rPr>
        <w:t>p</w:t>
      </w:r>
      <w:r w:rsidRPr="00185700">
        <w:rPr>
          <w:szCs w:val="22"/>
        </w:rPr>
        <w:t>embrolizumab</w:t>
      </w:r>
      <w:proofErr w:type="spellEnd"/>
      <w:r w:rsidRPr="00185700">
        <w:rPr>
          <w:szCs w:val="22"/>
        </w:rPr>
        <w:t xml:space="preserve"> PSD March 2015, </w:t>
      </w:r>
      <w:r w:rsidRPr="0053064E">
        <w:rPr>
          <w:szCs w:val="22"/>
        </w:rPr>
        <w:t>paragraph 7.7).</w:t>
      </w:r>
      <w:r w:rsidRPr="00185700">
        <w:rPr>
          <w:szCs w:val="22"/>
        </w:rPr>
        <w:t xml:space="preserve"> </w:t>
      </w:r>
      <w:r w:rsidR="00C71027" w:rsidRPr="00185700">
        <w:rPr>
          <w:szCs w:val="22"/>
        </w:rPr>
        <w:t>A</w:t>
      </w:r>
      <w:r w:rsidR="00E408F9">
        <w:rPr>
          <w:szCs w:val="22"/>
        </w:rPr>
        <w:t>s</w:t>
      </w:r>
      <w:r w:rsidRPr="00185700">
        <w:rPr>
          <w:szCs w:val="22"/>
        </w:rPr>
        <w:t xml:space="preserve"> the PBAC </w:t>
      </w:r>
      <w:r w:rsidR="00C71027" w:rsidRPr="00185700">
        <w:rPr>
          <w:szCs w:val="22"/>
        </w:rPr>
        <w:t>recommended</w:t>
      </w:r>
      <w:r w:rsidRPr="00185700">
        <w:rPr>
          <w:szCs w:val="22"/>
        </w:rPr>
        <w:t xml:space="preserve"> </w:t>
      </w:r>
      <w:proofErr w:type="spellStart"/>
      <w:r w:rsidRPr="00185700">
        <w:rPr>
          <w:szCs w:val="22"/>
        </w:rPr>
        <w:t>pembrolizumab</w:t>
      </w:r>
      <w:proofErr w:type="spellEnd"/>
      <w:r w:rsidRPr="00185700">
        <w:rPr>
          <w:szCs w:val="22"/>
        </w:rPr>
        <w:t xml:space="preserve"> despite the</w:t>
      </w:r>
      <w:r w:rsidR="006F26DB" w:rsidRPr="00185700">
        <w:rPr>
          <w:szCs w:val="22"/>
        </w:rPr>
        <w:t xml:space="preserve"> dosage</w:t>
      </w:r>
      <w:r w:rsidRPr="00185700">
        <w:rPr>
          <w:szCs w:val="22"/>
        </w:rPr>
        <w:t xml:space="preserve"> inconsistency, and no </w:t>
      </w:r>
      <w:r w:rsidR="002C0E84" w:rsidRPr="00185700">
        <w:rPr>
          <w:szCs w:val="22"/>
        </w:rPr>
        <w:t xml:space="preserve">evidence has been raised </w:t>
      </w:r>
      <w:r w:rsidR="0039788D">
        <w:rPr>
          <w:szCs w:val="22"/>
        </w:rPr>
        <w:t xml:space="preserve">in the current submission </w:t>
      </w:r>
      <w:r w:rsidR="002C0E84" w:rsidRPr="00185700">
        <w:rPr>
          <w:szCs w:val="22"/>
        </w:rPr>
        <w:t>to challenge this consideration, th</w:t>
      </w:r>
      <w:r w:rsidR="0063230C">
        <w:rPr>
          <w:szCs w:val="22"/>
        </w:rPr>
        <w:t>is</w:t>
      </w:r>
      <w:r w:rsidR="002C0E84" w:rsidRPr="00185700">
        <w:rPr>
          <w:szCs w:val="22"/>
        </w:rPr>
        <w:t xml:space="preserve"> dosage issue </w:t>
      </w:r>
      <w:r w:rsidR="00E408F9">
        <w:rPr>
          <w:szCs w:val="22"/>
        </w:rPr>
        <w:t>wa</w:t>
      </w:r>
      <w:r w:rsidR="002C0E84" w:rsidRPr="00185700">
        <w:rPr>
          <w:szCs w:val="22"/>
        </w:rPr>
        <w:t xml:space="preserve">s </w:t>
      </w:r>
      <w:r w:rsidR="006F26DB" w:rsidRPr="00185700">
        <w:rPr>
          <w:szCs w:val="22"/>
        </w:rPr>
        <w:t>not a relevant concern</w:t>
      </w:r>
      <w:r w:rsidR="002C0E84" w:rsidRPr="00185700">
        <w:rPr>
          <w:szCs w:val="22"/>
        </w:rPr>
        <w:t>.</w:t>
      </w:r>
    </w:p>
    <w:p w:rsidR="003E147C" w:rsidRPr="002B205B" w:rsidRDefault="003E147C" w:rsidP="00C75C26">
      <w:pPr>
        <w:rPr>
          <w:szCs w:val="22"/>
        </w:rPr>
      </w:pPr>
    </w:p>
    <w:p w:rsidR="003E147C" w:rsidRPr="002C2775" w:rsidRDefault="003E147C" w:rsidP="009A14F7">
      <w:pPr>
        <w:pStyle w:val="Heading2"/>
        <w:keepNext/>
      </w:pPr>
      <w:bookmarkStart w:id="10" w:name="_Toc430097331"/>
      <w:r w:rsidRPr="002C2775">
        <w:lastRenderedPageBreak/>
        <w:t>Comparative harms</w:t>
      </w:r>
      <w:bookmarkEnd w:id="10"/>
    </w:p>
    <w:p w:rsidR="003E147C" w:rsidRPr="00882085" w:rsidRDefault="003E147C" w:rsidP="009A14F7">
      <w:pPr>
        <w:keepNext/>
        <w:ind w:left="720" w:hanging="720"/>
        <w:rPr>
          <w:szCs w:val="22"/>
        </w:rPr>
      </w:pPr>
    </w:p>
    <w:p w:rsidR="003E147C" w:rsidRPr="00743E84" w:rsidRDefault="003E147C" w:rsidP="003E147C">
      <w:pPr>
        <w:pStyle w:val="ListParagraph"/>
        <w:widowControl/>
        <w:numPr>
          <w:ilvl w:val="1"/>
          <w:numId w:val="6"/>
        </w:numPr>
        <w:rPr>
          <w:szCs w:val="22"/>
        </w:rPr>
      </w:pPr>
      <w:r w:rsidRPr="00743E84">
        <w:t>The submission completed statistical analyses across</w:t>
      </w:r>
      <w:r w:rsidR="007A23CE">
        <w:t xml:space="preserve"> the two direct comparisons</w:t>
      </w:r>
      <w:r w:rsidR="00EC6219">
        <w:t xml:space="preserve"> (versus </w:t>
      </w:r>
      <w:proofErr w:type="spellStart"/>
      <w:r w:rsidR="00EC6219">
        <w:t>ipilimumab</w:t>
      </w:r>
      <w:proofErr w:type="spellEnd"/>
      <w:r w:rsidR="00EC6219">
        <w:t xml:space="preserve"> and </w:t>
      </w:r>
      <w:proofErr w:type="spellStart"/>
      <w:r w:rsidR="00EC6219">
        <w:t>nivolumab</w:t>
      </w:r>
      <w:proofErr w:type="spellEnd"/>
      <w:r w:rsidR="00EC6219">
        <w:t xml:space="preserve"> monotherapy) and the indirect comparison v</w:t>
      </w:r>
      <w:r w:rsidR="003710E1">
        <w:t>e</w:t>
      </w:r>
      <w:r w:rsidR="00EC6219">
        <w:t xml:space="preserve">rsus </w:t>
      </w:r>
      <w:proofErr w:type="spellStart"/>
      <w:r w:rsidR="00EC6219">
        <w:t>pembrolizumab</w:t>
      </w:r>
      <w:proofErr w:type="spellEnd"/>
      <w:r w:rsidR="00EC6219">
        <w:t>.</w:t>
      </w:r>
      <w:r w:rsidRPr="00743E84">
        <w:t xml:space="preserve"> </w:t>
      </w:r>
      <w:r w:rsidR="003710E1">
        <w:t xml:space="preserve">Table </w:t>
      </w:r>
      <w:r w:rsidR="00503AAF">
        <w:t>8</w:t>
      </w:r>
      <w:r w:rsidR="003710E1">
        <w:t xml:space="preserve"> pro</w:t>
      </w:r>
      <w:r w:rsidR="00C71027">
        <w:t>vides a summary of the results.</w:t>
      </w:r>
    </w:p>
    <w:p w:rsidR="003E147C" w:rsidRPr="00C71027" w:rsidRDefault="003E147C" w:rsidP="00C75C26">
      <w:pPr>
        <w:widowControl/>
        <w:rPr>
          <w:szCs w:val="22"/>
        </w:rPr>
      </w:pPr>
    </w:p>
    <w:p w:rsidR="003710E1" w:rsidRPr="00EC79FE" w:rsidRDefault="003710E1" w:rsidP="003710E1">
      <w:pPr>
        <w:ind w:left="709"/>
        <w:rPr>
          <w:rFonts w:ascii="Arial Narrow" w:hAnsi="Arial Narrow"/>
          <w:b/>
          <w:sz w:val="20"/>
        </w:rPr>
      </w:pPr>
      <w:r w:rsidRPr="00EC79FE">
        <w:rPr>
          <w:rFonts w:ascii="Arial Narrow" w:hAnsi="Arial Narrow"/>
          <w:b/>
          <w:sz w:val="20"/>
        </w:rPr>
        <w:t xml:space="preserve">Table </w:t>
      </w:r>
      <w:r w:rsidR="00503AAF">
        <w:rPr>
          <w:rFonts w:ascii="Arial Narrow" w:hAnsi="Arial Narrow"/>
          <w:b/>
          <w:sz w:val="20"/>
        </w:rPr>
        <w:t>8</w:t>
      </w:r>
      <w:r w:rsidR="00C71027">
        <w:rPr>
          <w:rFonts w:ascii="Arial Narrow" w:hAnsi="Arial Narrow"/>
          <w:b/>
          <w:sz w:val="20"/>
        </w:rPr>
        <w:t xml:space="preserve">: </w:t>
      </w:r>
      <w:r w:rsidRPr="00EC79FE">
        <w:rPr>
          <w:rFonts w:ascii="Arial Narrow" w:hAnsi="Arial Narrow"/>
          <w:b/>
          <w:sz w:val="20"/>
        </w:rPr>
        <w:t xml:space="preserve">Summary of </w:t>
      </w:r>
      <w:r>
        <w:rPr>
          <w:rFonts w:ascii="Arial Narrow" w:hAnsi="Arial Narrow"/>
          <w:b/>
          <w:sz w:val="20"/>
        </w:rPr>
        <w:t>all comparisons</w:t>
      </w:r>
      <w:r w:rsidRPr="00EC79FE">
        <w:rPr>
          <w:rFonts w:ascii="Arial Narrow" w:hAnsi="Arial Narrow"/>
          <w:b/>
          <w:sz w:val="20"/>
        </w:rPr>
        <w:t xml:space="preserve"> – safety outcomes</w:t>
      </w:r>
    </w:p>
    <w:tbl>
      <w:tblPr>
        <w:tblW w:w="4509" w:type="pct"/>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8: Summary of all comparisons – safety outcomes"/>
      </w:tblPr>
      <w:tblGrid>
        <w:gridCol w:w="3198"/>
        <w:gridCol w:w="1558"/>
        <w:gridCol w:w="1558"/>
        <w:gridCol w:w="1877"/>
      </w:tblGrid>
      <w:tr w:rsidR="00983131" w:rsidRPr="00B21520" w:rsidTr="00983131">
        <w:trPr>
          <w:trHeight w:val="350"/>
        </w:trPr>
        <w:tc>
          <w:tcPr>
            <w:tcW w:w="1952" w:type="pct"/>
          </w:tcPr>
          <w:p w:rsidR="003710E1" w:rsidRDefault="003710E1" w:rsidP="0005153E">
            <w:pPr>
              <w:tabs>
                <w:tab w:val="left" w:pos="150"/>
              </w:tabs>
              <w:jc w:val="left"/>
              <w:rPr>
                <w:rFonts w:ascii="Arial Narrow" w:hAnsi="Arial Narrow"/>
                <w:b/>
                <w:sz w:val="20"/>
              </w:rPr>
            </w:pPr>
          </w:p>
          <w:p w:rsidR="003710E1" w:rsidRPr="00B21520" w:rsidRDefault="003710E1" w:rsidP="0005153E">
            <w:pPr>
              <w:tabs>
                <w:tab w:val="left" w:pos="150"/>
              </w:tabs>
              <w:jc w:val="left"/>
              <w:rPr>
                <w:rFonts w:ascii="Arial Narrow" w:hAnsi="Arial Narrow"/>
                <w:sz w:val="20"/>
              </w:rPr>
            </w:pPr>
            <w:r>
              <w:rPr>
                <w:rFonts w:ascii="Arial Narrow" w:hAnsi="Arial Narrow"/>
                <w:b/>
                <w:sz w:val="20"/>
              </w:rPr>
              <w:t>Adverse event</w:t>
            </w:r>
          </w:p>
        </w:tc>
        <w:tc>
          <w:tcPr>
            <w:tcW w:w="951" w:type="pct"/>
          </w:tcPr>
          <w:p w:rsidR="003710E1" w:rsidRPr="00B21520" w:rsidRDefault="003710E1" w:rsidP="0005153E">
            <w:pPr>
              <w:widowControl/>
              <w:jc w:val="center"/>
              <w:rPr>
                <w:rFonts w:ascii="Arial Narrow" w:hAnsi="Arial Narrow" w:cs="Times New Roman"/>
                <w:b/>
                <w:snapToGrid/>
                <w:color w:val="000000"/>
                <w:sz w:val="20"/>
                <w:lang w:val="en-US"/>
              </w:rPr>
            </w:pPr>
            <w:r w:rsidRPr="00B21520">
              <w:rPr>
                <w:rFonts w:ascii="Arial Narrow" w:hAnsi="Arial Narrow"/>
                <w:b/>
                <w:sz w:val="20"/>
              </w:rPr>
              <w:t>RD</w:t>
            </w:r>
          </w:p>
          <w:p w:rsidR="003710E1" w:rsidRPr="00B21520" w:rsidRDefault="003710E1" w:rsidP="0005153E">
            <w:pPr>
              <w:jc w:val="center"/>
              <w:rPr>
                <w:rFonts w:ascii="Arial Narrow" w:hAnsi="Arial Narrow"/>
                <w:b/>
                <w:sz w:val="20"/>
              </w:rPr>
            </w:pPr>
            <w:r w:rsidRPr="00B21520">
              <w:rPr>
                <w:rFonts w:ascii="Arial Narrow" w:hAnsi="Arial Narrow" w:cs="Times New Roman"/>
                <w:b/>
                <w:snapToGrid/>
                <w:color w:val="000000"/>
                <w:sz w:val="20"/>
                <w:lang w:val="en-US"/>
              </w:rPr>
              <w:t>(95% CI)</w:t>
            </w:r>
          </w:p>
        </w:tc>
        <w:tc>
          <w:tcPr>
            <w:tcW w:w="951" w:type="pct"/>
          </w:tcPr>
          <w:p w:rsidR="003710E1" w:rsidRPr="00B21520" w:rsidRDefault="003710E1" w:rsidP="0005153E">
            <w:pPr>
              <w:widowControl/>
              <w:jc w:val="center"/>
              <w:rPr>
                <w:rFonts w:ascii="Arial Narrow" w:hAnsi="Arial Narrow" w:cs="Times New Roman"/>
                <w:b/>
                <w:snapToGrid/>
                <w:color w:val="000000"/>
                <w:sz w:val="20"/>
                <w:lang w:val="en-US"/>
              </w:rPr>
            </w:pPr>
            <w:r w:rsidRPr="00B21520">
              <w:rPr>
                <w:rFonts w:ascii="Arial Narrow" w:hAnsi="Arial Narrow"/>
                <w:b/>
                <w:sz w:val="20"/>
              </w:rPr>
              <w:t>RR</w:t>
            </w:r>
          </w:p>
          <w:p w:rsidR="003710E1" w:rsidRPr="00B21520" w:rsidRDefault="003710E1" w:rsidP="0005153E">
            <w:pPr>
              <w:jc w:val="center"/>
              <w:rPr>
                <w:rFonts w:ascii="Arial Narrow" w:hAnsi="Arial Narrow"/>
                <w:b/>
                <w:sz w:val="20"/>
              </w:rPr>
            </w:pPr>
            <w:r w:rsidRPr="00B21520">
              <w:rPr>
                <w:rFonts w:ascii="Arial Narrow" w:hAnsi="Arial Narrow" w:cs="Times New Roman"/>
                <w:b/>
                <w:snapToGrid/>
                <w:color w:val="000000"/>
                <w:sz w:val="20"/>
                <w:lang w:val="en-US"/>
              </w:rPr>
              <w:t>(95% CI)</w:t>
            </w:r>
          </w:p>
        </w:tc>
        <w:tc>
          <w:tcPr>
            <w:tcW w:w="1146" w:type="pct"/>
          </w:tcPr>
          <w:p w:rsidR="003710E1" w:rsidRPr="00B21520" w:rsidRDefault="003710E1" w:rsidP="0005153E">
            <w:pPr>
              <w:widowControl/>
              <w:jc w:val="center"/>
              <w:rPr>
                <w:rFonts w:ascii="Arial Narrow" w:hAnsi="Arial Narrow" w:cs="Times New Roman"/>
                <w:b/>
                <w:snapToGrid/>
                <w:color w:val="000000"/>
                <w:sz w:val="20"/>
                <w:lang w:val="en-US"/>
              </w:rPr>
            </w:pPr>
            <w:r w:rsidRPr="00B21520">
              <w:rPr>
                <w:rFonts w:ascii="Arial Narrow" w:hAnsi="Arial Narrow"/>
                <w:b/>
                <w:sz w:val="20"/>
              </w:rPr>
              <w:t>OR</w:t>
            </w:r>
          </w:p>
          <w:p w:rsidR="003710E1" w:rsidRPr="00B21520" w:rsidRDefault="003710E1" w:rsidP="0005153E">
            <w:pPr>
              <w:jc w:val="center"/>
              <w:rPr>
                <w:rFonts w:ascii="Arial Narrow" w:hAnsi="Arial Narrow"/>
                <w:b/>
                <w:sz w:val="20"/>
              </w:rPr>
            </w:pPr>
            <w:r w:rsidRPr="00B21520">
              <w:rPr>
                <w:rFonts w:ascii="Arial Narrow" w:hAnsi="Arial Narrow" w:cs="Times New Roman"/>
                <w:b/>
                <w:snapToGrid/>
                <w:color w:val="000000"/>
                <w:sz w:val="20"/>
                <w:lang w:val="en-US"/>
              </w:rPr>
              <w:t>(95% CI)</w:t>
            </w:r>
          </w:p>
        </w:tc>
      </w:tr>
      <w:tr w:rsidR="003710E1" w:rsidRPr="00B21520" w:rsidTr="00051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710E1" w:rsidRPr="00CD273A" w:rsidRDefault="003710E1" w:rsidP="0005153E">
            <w:pPr>
              <w:widowControl/>
              <w:jc w:val="left"/>
              <w:rPr>
                <w:rFonts w:ascii="Arial Narrow" w:hAnsi="Arial Narrow" w:cs="Times New Roman"/>
                <w:b/>
                <w:snapToGrid/>
                <w:color w:val="000000"/>
                <w:sz w:val="20"/>
                <w:lang w:val="en-US"/>
              </w:rPr>
            </w:pPr>
            <w:r w:rsidRPr="00B21520">
              <w:rPr>
                <w:rFonts w:ascii="Arial Narrow" w:hAnsi="Arial Narrow"/>
                <w:b/>
                <w:sz w:val="20"/>
              </w:rPr>
              <w:t>Pooled</w:t>
            </w:r>
            <w:r>
              <w:rPr>
                <w:rFonts w:ascii="Arial Narrow" w:hAnsi="Arial Narrow"/>
                <w:b/>
                <w:sz w:val="20"/>
              </w:rPr>
              <w:t xml:space="preserve"> CA209-067 and CA209-069: </w:t>
            </w:r>
            <w:proofErr w:type="spellStart"/>
            <w:r>
              <w:rPr>
                <w:rFonts w:ascii="Arial Narrow" w:hAnsi="Arial Narrow"/>
                <w:b/>
                <w:sz w:val="20"/>
              </w:rPr>
              <w:t>Nivo</w:t>
            </w:r>
            <w:proofErr w:type="spellEnd"/>
            <w:r>
              <w:rPr>
                <w:rFonts w:ascii="Arial Narrow" w:hAnsi="Arial Narrow"/>
                <w:b/>
                <w:sz w:val="20"/>
              </w:rPr>
              <w:t xml:space="preserve"> + </w:t>
            </w:r>
            <w:proofErr w:type="spellStart"/>
            <w:r>
              <w:rPr>
                <w:rFonts w:ascii="Arial Narrow" w:hAnsi="Arial Narrow"/>
                <w:b/>
                <w:sz w:val="20"/>
              </w:rPr>
              <w:t>Ipi</w:t>
            </w:r>
            <w:proofErr w:type="spellEnd"/>
            <w:r>
              <w:rPr>
                <w:rFonts w:ascii="Arial Narrow" w:hAnsi="Arial Narrow"/>
                <w:b/>
                <w:sz w:val="20"/>
              </w:rPr>
              <w:t xml:space="preserve"> vs </w:t>
            </w:r>
            <w:proofErr w:type="spellStart"/>
            <w:r>
              <w:rPr>
                <w:rFonts w:ascii="Arial Narrow" w:hAnsi="Arial Narrow"/>
                <w:b/>
                <w:sz w:val="20"/>
              </w:rPr>
              <w:t>Ipi</w:t>
            </w:r>
            <w:proofErr w:type="spellEnd"/>
          </w:p>
        </w:tc>
      </w:tr>
      <w:tr w:rsidR="003710E1" w:rsidRPr="00B21520" w:rsidTr="00051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0E1" w:rsidRPr="00572494" w:rsidRDefault="003710E1" w:rsidP="00A97408">
            <w:pPr>
              <w:widowControl/>
              <w:jc w:val="left"/>
              <w:rPr>
                <w:rFonts w:ascii="Arial Narrow" w:hAnsi="Arial Narrow" w:cs="Times New Roman"/>
                <w:snapToGrid/>
                <w:color w:val="000000"/>
                <w:sz w:val="20"/>
                <w:lang w:val="en-US"/>
              </w:rPr>
            </w:pPr>
            <w:r w:rsidRPr="00572494">
              <w:rPr>
                <w:rFonts w:ascii="Arial Narrow" w:hAnsi="Arial Narrow" w:cs="Times New Roman"/>
                <w:snapToGrid/>
                <w:color w:val="000000"/>
                <w:sz w:val="20"/>
                <w:lang w:val="en-US"/>
              </w:rPr>
              <w:t>Overall drug-related AEs</w:t>
            </w:r>
          </w:p>
        </w:tc>
      </w:tr>
      <w:tr w:rsidR="00983131" w:rsidRPr="00B21520" w:rsidTr="00983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16"/>
        </w:trPr>
        <w:tc>
          <w:tcPr>
            <w:tcW w:w="1952" w:type="pct"/>
            <w:tcBorders>
              <w:top w:val="single" w:sz="4" w:space="0" w:color="auto"/>
              <w:left w:val="single" w:sz="4" w:space="0" w:color="auto"/>
              <w:right w:val="single" w:sz="4" w:space="0" w:color="auto"/>
            </w:tcBorders>
            <w:shd w:val="clear" w:color="auto" w:fill="auto"/>
            <w:noWrap/>
            <w:vAlign w:val="bottom"/>
            <w:hideMark/>
          </w:tcPr>
          <w:p w:rsidR="003710E1" w:rsidRPr="00CD273A" w:rsidRDefault="003710E1" w:rsidP="0005153E">
            <w:pPr>
              <w:widowControl/>
              <w:tabs>
                <w:tab w:val="left" w:pos="268"/>
              </w:tabs>
              <w:jc w:val="left"/>
              <w:rPr>
                <w:rFonts w:ascii="Arial Narrow" w:hAnsi="Arial Narrow" w:cs="Times New Roman"/>
                <w:snapToGrid/>
                <w:color w:val="000000"/>
                <w:sz w:val="20"/>
                <w:lang w:val="en-US"/>
              </w:rPr>
            </w:pPr>
            <w:r>
              <w:rPr>
                <w:rFonts w:ascii="Arial Narrow" w:hAnsi="Arial Narrow" w:cs="Times New Roman"/>
                <w:snapToGrid/>
                <w:color w:val="000000"/>
                <w:sz w:val="20"/>
                <w:lang w:val="en-US"/>
              </w:rPr>
              <w:tab/>
              <w:t>Any AE</w:t>
            </w:r>
          </w:p>
        </w:tc>
        <w:tc>
          <w:tcPr>
            <w:tcW w:w="951" w:type="pct"/>
            <w:tcBorders>
              <w:top w:val="single" w:sz="4" w:space="0" w:color="auto"/>
              <w:left w:val="single" w:sz="4" w:space="0" w:color="auto"/>
              <w:right w:val="single" w:sz="4" w:space="0" w:color="auto"/>
            </w:tcBorders>
            <w:shd w:val="clear" w:color="auto" w:fill="auto"/>
            <w:noWrap/>
            <w:vAlign w:val="bottom"/>
            <w:hideMark/>
          </w:tcPr>
          <w:p w:rsidR="003710E1" w:rsidRPr="00CD273A" w:rsidRDefault="003710E1" w:rsidP="0005153E">
            <w:pPr>
              <w:widowControl/>
              <w:jc w:val="center"/>
              <w:rPr>
                <w:rFonts w:ascii="Arial Narrow" w:hAnsi="Arial Narrow" w:cs="Times New Roman"/>
                <w:snapToGrid/>
                <w:color w:val="000000"/>
                <w:sz w:val="20"/>
                <w:lang w:val="en-US"/>
              </w:rPr>
            </w:pPr>
            <w:r w:rsidRPr="00B21520">
              <w:rPr>
                <w:rFonts w:ascii="Arial Narrow" w:hAnsi="Arial Narrow" w:cs="Times New Roman"/>
                <w:snapToGrid/>
                <w:color w:val="000000"/>
                <w:sz w:val="20"/>
                <w:lang w:val="en-US"/>
              </w:rPr>
              <w:t>0.26 (</w:t>
            </w:r>
            <w:r w:rsidRPr="00CD273A">
              <w:rPr>
                <w:rFonts w:ascii="Arial Narrow" w:hAnsi="Arial Narrow" w:cs="Times New Roman"/>
                <w:snapToGrid/>
                <w:color w:val="000000"/>
                <w:sz w:val="20"/>
                <w:lang w:val="en-US"/>
              </w:rPr>
              <w:t>0.20, 0.33</w:t>
            </w:r>
            <w:r w:rsidRPr="00B21520">
              <w:rPr>
                <w:rFonts w:ascii="Arial Narrow" w:hAnsi="Arial Narrow" w:cs="Times New Roman"/>
                <w:snapToGrid/>
                <w:color w:val="000000"/>
                <w:sz w:val="20"/>
                <w:lang w:val="en-US"/>
              </w:rPr>
              <w:t>)</w:t>
            </w:r>
          </w:p>
        </w:tc>
        <w:tc>
          <w:tcPr>
            <w:tcW w:w="951" w:type="pct"/>
            <w:tcBorders>
              <w:top w:val="single" w:sz="4" w:space="0" w:color="auto"/>
              <w:left w:val="single" w:sz="4" w:space="0" w:color="auto"/>
              <w:right w:val="single" w:sz="4" w:space="0" w:color="auto"/>
            </w:tcBorders>
            <w:shd w:val="clear" w:color="auto" w:fill="auto"/>
            <w:noWrap/>
            <w:vAlign w:val="bottom"/>
            <w:hideMark/>
          </w:tcPr>
          <w:p w:rsidR="003710E1" w:rsidRPr="00CD273A" w:rsidRDefault="003710E1" w:rsidP="0005153E">
            <w:pPr>
              <w:widowControl/>
              <w:jc w:val="center"/>
              <w:rPr>
                <w:rFonts w:ascii="Arial Narrow" w:hAnsi="Arial Narrow" w:cs="Times New Roman"/>
                <w:snapToGrid/>
                <w:color w:val="000000"/>
                <w:sz w:val="20"/>
                <w:lang w:val="en-US"/>
              </w:rPr>
            </w:pPr>
            <w:r w:rsidRPr="00B21520">
              <w:rPr>
                <w:rFonts w:ascii="Arial Narrow" w:hAnsi="Arial Narrow" w:cs="Times New Roman"/>
                <w:snapToGrid/>
                <w:color w:val="000000"/>
                <w:sz w:val="20"/>
                <w:lang w:val="en-US"/>
              </w:rPr>
              <w:t>1.07 (</w:t>
            </w:r>
            <w:r w:rsidRPr="00CD273A">
              <w:rPr>
                <w:rFonts w:ascii="Arial Narrow" w:hAnsi="Arial Narrow" w:cs="Times New Roman"/>
                <w:snapToGrid/>
                <w:color w:val="000000"/>
                <w:sz w:val="20"/>
                <w:lang w:val="en-US"/>
              </w:rPr>
              <w:t>0.97, 1.17</w:t>
            </w:r>
            <w:r w:rsidRPr="00B21520">
              <w:rPr>
                <w:rFonts w:ascii="Arial Narrow" w:hAnsi="Arial Narrow" w:cs="Times New Roman"/>
                <w:snapToGrid/>
                <w:color w:val="000000"/>
                <w:sz w:val="20"/>
                <w:lang w:val="en-US"/>
              </w:rPr>
              <w:t>)</w:t>
            </w:r>
          </w:p>
        </w:tc>
        <w:tc>
          <w:tcPr>
            <w:tcW w:w="1146" w:type="pct"/>
            <w:tcBorders>
              <w:top w:val="single" w:sz="4" w:space="0" w:color="auto"/>
              <w:left w:val="single" w:sz="4" w:space="0" w:color="auto"/>
              <w:right w:val="single" w:sz="4" w:space="0" w:color="auto"/>
            </w:tcBorders>
            <w:shd w:val="clear" w:color="auto" w:fill="auto"/>
            <w:noWrap/>
            <w:vAlign w:val="bottom"/>
            <w:hideMark/>
          </w:tcPr>
          <w:p w:rsidR="003710E1" w:rsidRPr="00CD273A" w:rsidRDefault="003710E1" w:rsidP="0005153E">
            <w:pPr>
              <w:widowControl/>
              <w:jc w:val="center"/>
              <w:rPr>
                <w:rFonts w:ascii="Arial Narrow" w:hAnsi="Arial Narrow" w:cs="Times New Roman"/>
                <w:snapToGrid/>
                <w:color w:val="000000"/>
                <w:sz w:val="20"/>
                <w:lang w:val="en-US"/>
              </w:rPr>
            </w:pPr>
            <w:r w:rsidRPr="00B21520">
              <w:rPr>
                <w:rFonts w:ascii="Arial Narrow" w:hAnsi="Arial Narrow" w:cs="Times New Roman"/>
                <w:snapToGrid/>
                <w:color w:val="000000"/>
                <w:sz w:val="20"/>
                <w:lang w:val="en-US"/>
              </w:rPr>
              <w:t>2.13 (</w:t>
            </w:r>
            <w:r w:rsidR="00463315">
              <w:rPr>
                <w:rFonts w:ascii="Arial Narrow" w:hAnsi="Arial Narrow" w:cs="Times New Roman"/>
                <w:snapToGrid/>
                <w:color w:val="000000"/>
                <w:sz w:val="20"/>
                <w:lang w:val="en-US"/>
              </w:rPr>
              <w:t>0</w:t>
            </w:r>
            <w:r w:rsidRPr="00CD273A">
              <w:rPr>
                <w:rFonts w:ascii="Arial Narrow" w:hAnsi="Arial Narrow" w:cs="Times New Roman"/>
                <w:snapToGrid/>
                <w:color w:val="000000"/>
                <w:sz w:val="20"/>
                <w:lang w:val="en-US"/>
              </w:rPr>
              <w:t>.67, 6.77</w:t>
            </w:r>
            <w:r w:rsidRPr="00B21520">
              <w:rPr>
                <w:rFonts w:ascii="Arial Narrow" w:hAnsi="Arial Narrow" w:cs="Times New Roman"/>
                <w:snapToGrid/>
                <w:color w:val="000000"/>
                <w:sz w:val="20"/>
                <w:lang w:val="en-US"/>
              </w:rPr>
              <w:t>)</w:t>
            </w:r>
          </w:p>
        </w:tc>
      </w:tr>
      <w:tr w:rsidR="00983131" w:rsidRPr="00B21520" w:rsidTr="00983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9"/>
        </w:trPr>
        <w:tc>
          <w:tcPr>
            <w:tcW w:w="19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0E1" w:rsidRPr="00CD273A" w:rsidRDefault="003710E1" w:rsidP="00A97408">
            <w:pPr>
              <w:widowControl/>
              <w:tabs>
                <w:tab w:val="left" w:pos="268"/>
              </w:tabs>
              <w:jc w:val="left"/>
              <w:rPr>
                <w:rFonts w:ascii="Arial Narrow" w:hAnsi="Arial Narrow" w:cs="Times New Roman"/>
                <w:snapToGrid/>
                <w:color w:val="000000"/>
                <w:sz w:val="20"/>
                <w:lang w:val="en-US"/>
              </w:rPr>
            </w:pPr>
            <w:r>
              <w:rPr>
                <w:rFonts w:ascii="Arial Narrow" w:hAnsi="Arial Narrow" w:cs="Times New Roman"/>
                <w:snapToGrid/>
                <w:color w:val="000000"/>
                <w:sz w:val="20"/>
                <w:lang w:val="en-US"/>
              </w:rPr>
              <w:tab/>
              <w:t xml:space="preserve">Any </w:t>
            </w:r>
            <w:r w:rsidR="00A97408">
              <w:rPr>
                <w:rFonts w:ascii="Arial Narrow" w:hAnsi="Arial Narrow" w:cs="Times New Roman"/>
                <w:snapToGrid/>
                <w:color w:val="000000"/>
                <w:sz w:val="20"/>
                <w:lang w:val="en-US"/>
              </w:rPr>
              <w:t>s</w:t>
            </w:r>
            <w:r>
              <w:rPr>
                <w:rFonts w:ascii="Arial Narrow" w:hAnsi="Arial Narrow" w:cs="Times New Roman"/>
                <w:snapToGrid/>
                <w:color w:val="000000"/>
                <w:sz w:val="20"/>
                <w:lang w:val="en-US"/>
              </w:rPr>
              <w:t>erious AE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0E1" w:rsidRPr="00CD273A" w:rsidRDefault="003710E1" w:rsidP="0005153E">
            <w:pPr>
              <w:widowControl/>
              <w:jc w:val="center"/>
              <w:rPr>
                <w:rFonts w:ascii="Arial Narrow" w:hAnsi="Arial Narrow" w:cs="Times New Roman"/>
                <w:snapToGrid/>
                <w:color w:val="000000"/>
                <w:sz w:val="20"/>
                <w:lang w:val="en-US"/>
              </w:rPr>
            </w:pPr>
            <w:r w:rsidRPr="00B21520">
              <w:rPr>
                <w:rFonts w:ascii="Arial Narrow" w:hAnsi="Arial Narrow" w:cs="Times New Roman"/>
                <w:snapToGrid/>
                <w:color w:val="000000"/>
                <w:sz w:val="20"/>
                <w:lang w:val="en-US"/>
              </w:rPr>
              <w:t>0.26 (0.20, 0.33)</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0E1" w:rsidRPr="00CD273A" w:rsidRDefault="003710E1" w:rsidP="0005153E">
            <w:pPr>
              <w:widowControl/>
              <w:jc w:val="center"/>
              <w:rPr>
                <w:rFonts w:ascii="Arial Narrow" w:hAnsi="Arial Narrow" w:cs="Times New Roman"/>
                <w:snapToGrid/>
                <w:color w:val="000000"/>
                <w:sz w:val="20"/>
                <w:lang w:val="en-US"/>
              </w:rPr>
            </w:pPr>
            <w:r w:rsidRPr="00B21520">
              <w:rPr>
                <w:rFonts w:ascii="Arial Narrow" w:hAnsi="Arial Narrow" w:cs="Times New Roman"/>
                <w:snapToGrid/>
                <w:color w:val="000000"/>
                <w:sz w:val="20"/>
                <w:lang w:val="en-US"/>
              </w:rPr>
              <w:t>2.19 (1.76, 2.74)</w:t>
            </w:r>
          </w:p>
        </w:tc>
        <w:tc>
          <w:tcPr>
            <w:tcW w:w="1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0E1" w:rsidRPr="00CD273A" w:rsidRDefault="003710E1" w:rsidP="004F080E">
            <w:pPr>
              <w:widowControl/>
              <w:jc w:val="center"/>
              <w:rPr>
                <w:rFonts w:ascii="Arial Narrow" w:hAnsi="Arial Narrow" w:cs="Times New Roman"/>
                <w:snapToGrid/>
                <w:color w:val="000000"/>
                <w:sz w:val="20"/>
                <w:lang w:val="en-US"/>
              </w:rPr>
            </w:pPr>
            <w:r w:rsidRPr="00B21520">
              <w:rPr>
                <w:rFonts w:ascii="Arial Narrow" w:hAnsi="Arial Narrow" w:cs="Times New Roman"/>
                <w:snapToGrid/>
                <w:color w:val="000000"/>
                <w:sz w:val="20"/>
                <w:lang w:val="en-US"/>
              </w:rPr>
              <w:t>3.30 (2.40, 4.55)</w:t>
            </w:r>
          </w:p>
        </w:tc>
      </w:tr>
      <w:tr w:rsidR="00983131" w:rsidRPr="00B21520" w:rsidTr="00983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79"/>
        </w:trPr>
        <w:tc>
          <w:tcPr>
            <w:tcW w:w="1952" w:type="pct"/>
            <w:tcBorders>
              <w:top w:val="single" w:sz="4" w:space="0" w:color="auto"/>
              <w:left w:val="single" w:sz="4" w:space="0" w:color="auto"/>
              <w:bottom w:val="single" w:sz="2" w:space="0" w:color="auto"/>
              <w:right w:val="single" w:sz="4" w:space="0" w:color="auto"/>
            </w:tcBorders>
            <w:shd w:val="clear" w:color="auto" w:fill="auto"/>
            <w:noWrap/>
            <w:vAlign w:val="bottom"/>
            <w:hideMark/>
          </w:tcPr>
          <w:p w:rsidR="003710E1" w:rsidRPr="00B9183B" w:rsidRDefault="003710E1" w:rsidP="0005153E">
            <w:pPr>
              <w:widowControl/>
              <w:tabs>
                <w:tab w:val="left" w:pos="268"/>
              </w:tabs>
              <w:jc w:val="left"/>
              <w:rPr>
                <w:rFonts w:ascii="Arial Narrow" w:hAnsi="Arial Narrow" w:cs="Times New Roman"/>
                <w:snapToGrid/>
                <w:color w:val="000000"/>
                <w:sz w:val="20"/>
                <w:lang w:val="en-US"/>
              </w:rPr>
            </w:pPr>
            <w:r>
              <w:rPr>
                <w:rFonts w:ascii="Arial Narrow" w:hAnsi="Arial Narrow" w:cs="Times New Roman"/>
                <w:snapToGrid/>
                <w:color w:val="000000"/>
                <w:sz w:val="20"/>
                <w:lang w:val="en-US"/>
              </w:rPr>
              <w:tab/>
              <w:t xml:space="preserve">Any severe AE (Grade </w:t>
            </w:r>
            <w:r w:rsidRPr="006A20C4">
              <w:rPr>
                <w:rFonts w:ascii="Arial Narrow" w:hAnsi="Arial Narrow" w:cs="Times New Roman"/>
                <w:snapToGrid/>
                <w:color w:val="000000"/>
                <w:sz w:val="20"/>
                <w:lang w:val="en-US"/>
              </w:rPr>
              <w:t>≥</w:t>
            </w:r>
            <w:r>
              <w:rPr>
                <w:rFonts w:ascii="Arial Narrow" w:hAnsi="Arial Narrow" w:cs="Times New Roman"/>
                <w:snapToGrid/>
                <w:color w:val="000000"/>
                <w:sz w:val="20"/>
                <w:lang w:val="en-US"/>
              </w:rPr>
              <w:t>3)</w:t>
            </w:r>
          </w:p>
        </w:tc>
        <w:tc>
          <w:tcPr>
            <w:tcW w:w="951" w:type="pct"/>
            <w:tcBorders>
              <w:top w:val="single" w:sz="4" w:space="0" w:color="auto"/>
              <w:left w:val="single" w:sz="4" w:space="0" w:color="auto"/>
              <w:bottom w:val="single" w:sz="2" w:space="0" w:color="auto"/>
              <w:right w:val="single" w:sz="4" w:space="0" w:color="auto"/>
            </w:tcBorders>
            <w:shd w:val="clear" w:color="auto" w:fill="auto"/>
            <w:noWrap/>
            <w:vAlign w:val="bottom"/>
            <w:hideMark/>
          </w:tcPr>
          <w:p w:rsidR="003710E1" w:rsidRPr="00CD273A" w:rsidRDefault="003710E1" w:rsidP="004F080E">
            <w:pPr>
              <w:widowControl/>
              <w:jc w:val="center"/>
              <w:rPr>
                <w:rFonts w:ascii="Arial Narrow" w:hAnsi="Arial Narrow" w:cs="Times New Roman"/>
                <w:snapToGrid/>
                <w:color w:val="000000"/>
                <w:sz w:val="20"/>
                <w:lang w:val="en-US"/>
              </w:rPr>
            </w:pPr>
            <w:r w:rsidRPr="00B21520">
              <w:rPr>
                <w:rFonts w:ascii="Arial Narrow" w:hAnsi="Arial Narrow" w:cs="Times New Roman"/>
                <w:snapToGrid/>
                <w:color w:val="000000"/>
                <w:sz w:val="20"/>
                <w:lang w:val="en-US"/>
              </w:rPr>
              <w:t>0.28 (0.22, 0.35)</w:t>
            </w:r>
          </w:p>
        </w:tc>
        <w:tc>
          <w:tcPr>
            <w:tcW w:w="951" w:type="pct"/>
            <w:tcBorders>
              <w:top w:val="single" w:sz="4" w:space="0" w:color="auto"/>
              <w:left w:val="single" w:sz="4" w:space="0" w:color="auto"/>
              <w:bottom w:val="single" w:sz="2" w:space="0" w:color="auto"/>
              <w:right w:val="single" w:sz="4" w:space="0" w:color="auto"/>
            </w:tcBorders>
            <w:shd w:val="clear" w:color="auto" w:fill="auto"/>
            <w:noWrap/>
            <w:vAlign w:val="bottom"/>
            <w:hideMark/>
          </w:tcPr>
          <w:p w:rsidR="003710E1" w:rsidRPr="00CD273A" w:rsidRDefault="003710E1" w:rsidP="0005153E">
            <w:pPr>
              <w:widowControl/>
              <w:jc w:val="center"/>
              <w:rPr>
                <w:rFonts w:ascii="Arial Narrow" w:hAnsi="Arial Narrow" w:cs="Times New Roman"/>
                <w:snapToGrid/>
                <w:color w:val="000000"/>
                <w:sz w:val="20"/>
                <w:lang w:val="en-US"/>
              </w:rPr>
            </w:pPr>
            <w:r w:rsidRPr="00B21520">
              <w:rPr>
                <w:rFonts w:ascii="Arial Narrow" w:hAnsi="Arial Narrow" w:cs="Times New Roman"/>
                <w:snapToGrid/>
                <w:color w:val="000000"/>
                <w:sz w:val="20"/>
                <w:lang w:val="en-US"/>
              </w:rPr>
              <w:t>2.05 (1.68, 2.49)</w:t>
            </w:r>
          </w:p>
        </w:tc>
        <w:tc>
          <w:tcPr>
            <w:tcW w:w="1146" w:type="pct"/>
            <w:tcBorders>
              <w:top w:val="single" w:sz="4" w:space="0" w:color="auto"/>
              <w:left w:val="single" w:sz="4" w:space="0" w:color="auto"/>
              <w:bottom w:val="single" w:sz="2" w:space="0" w:color="auto"/>
              <w:right w:val="single" w:sz="4" w:space="0" w:color="auto"/>
            </w:tcBorders>
            <w:shd w:val="clear" w:color="auto" w:fill="auto"/>
            <w:noWrap/>
            <w:vAlign w:val="bottom"/>
            <w:hideMark/>
          </w:tcPr>
          <w:p w:rsidR="003710E1" w:rsidRPr="00CD273A" w:rsidRDefault="003710E1" w:rsidP="0005153E">
            <w:pPr>
              <w:widowControl/>
              <w:jc w:val="center"/>
              <w:rPr>
                <w:rFonts w:ascii="Arial Narrow" w:hAnsi="Arial Narrow" w:cs="Times New Roman"/>
                <w:snapToGrid/>
                <w:color w:val="000000"/>
                <w:sz w:val="20"/>
                <w:lang w:val="en-US"/>
              </w:rPr>
            </w:pPr>
            <w:r w:rsidRPr="00B21520">
              <w:rPr>
                <w:rFonts w:ascii="Arial Narrow" w:hAnsi="Arial Narrow" w:cs="Times New Roman"/>
                <w:snapToGrid/>
                <w:color w:val="000000"/>
                <w:sz w:val="20"/>
                <w:lang w:val="en-US"/>
              </w:rPr>
              <w:t>3.34 (2.45, 4.56)</w:t>
            </w:r>
          </w:p>
        </w:tc>
      </w:tr>
      <w:tr w:rsidR="003710E1" w:rsidRPr="00B21520" w:rsidTr="00051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7"/>
        </w:trPr>
        <w:tc>
          <w:tcPr>
            <w:tcW w:w="5000" w:type="pct"/>
            <w:gridSpan w:val="4"/>
            <w:tcBorders>
              <w:top w:val="single" w:sz="2" w:space="0" w:color="auto"/>
              <w:left w:val="single" w:sz="4" w:space="0" w:color="auto"/>
              <w:bottom w:val="single" w:sz="4" w:space="0" w:color="auto"/>
              <w:right w:val="single" w:sz="4" w:space="0" w:color="auto"/>
            </w:tcBorders>
            <w:shd w:val="clear" w:color="auto" w:fill="auto"/>
            <w:noWrap/>
            <w:vAlign w:val="bottom"/>
          </w:tcPr>
          <w:p w:rsidR="003710E1" w:rsidRPr="00572494" w:rsidRDefault="003710E1" w:rsidP="00A97408">
            <w:pPr>
              <w:widowControl/>
              <w:jc w:val="left"/>
              <w:rPr>
                <w:rFonts w:ascii="Arial Narrow" w:hAnsi="Arial Narrow" w:cs="Times New Roman"/>
                <w:snapToGrid/>
                <w:color w:val="000000"/>
                <w:sz w:val="20"/>
                <w:lang w:val="en-US"/>
              </w:rPr>
            </w:pPr>
            <w:r w:rsidRPr="00572494">
              <w:rPr>
                <w:rFonts w:ascii="Arial Narrow" w:hAnsi="Arial Narrow" w:cs="Times New Roman"/>
                <w:snapToGrid/>
                <w:color w:val="000000"/>
                <w:sz w:val="20"/>
                <w:lang w:val="en-US"/>
              </w:rPr>
              <w:t>A</w:t>
            </w:r>
            <w:r w:rsidR="00A97408">
              <w:rPr>
                <w:rFonts w:ascii="Arial Narrow" w:hAnsi="Arial Narrow" w:cs="Times New Roman"/>
                <w:snapToGrid/>
                <w:color w:val="000000"/>
                <w:sz w:val="20"/>
                <w:lang w:val="en-US"/>
              </w:rPr>
              <w:t>Es</w:t>
            </w:r>
            <w:r w:rsidRPr="00572494">
              <w:rPr>
                <w:rFonts w:ascii="Arial Narrow" w:hAnsi="Arial Narrow" w:cs="Times New Roman"/>
                <w:snapToGrid/>
                <w:color w:val="000000"/>
                <w:sz w:val="20"/>
                <w:lang w:val="en-US"/>
              </w:rPr>
              <w:t xml:space="preserve"> of special interest</w:t>
            </w:r>
          </w:p>
        </w:tc>
      </w:tr>
      <w:tr w:rsidR="00983131" w:rsidRPr="00B21520" w:rsidTr="00983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7"/>
        </w:trPr>
        <w:tc>
          <w:tcPr>
            <w:tcW w:w="1952" w:type="pct"/>
            <w:tcBorders>
              <w:left w:val="single" w:sz="4" w:space="0" w:color="auto"/>
              <w:bottom w:val="single" w:sz="4" w:space="0" w:color="auto"/>
              <w:right w:val="single" w:sz="4" w:space="0" w:color="auto"/>
            </w:tcBorders>
            <w:shd w:val="clear" w:color="auto" w:fill="auto"/>
            <w:noWrap/>
            <w:vAlign w:val="bottom"/>
          </w:tcPr>
          <w:p w:rsidR="003710E1" w:rsidRPr="00A95BA7" w:rsidRDefault="003710E1" w:rsidP="0005153E">
            <w:pPr>
              <w:widowControl/>
              <w:tabs>
                <w:tab w:val="left" w:pos="268"/>
              </w:tabs>
              <w:jc w:val="left"/>
              <w:rPr>
                <w:rFonts w:ascii="Arial Narrow" w:hAnsi="Arial Narrow" w:cs="Times New Roman"/>
                <w:snapToGrid/>
                <w:color w:val="000000"/>
                <w:sz w:val="20"/>
                <w:lang w:val="en-US"/>
              </w:rPr>
            </w:pPr>
            <w:r>
              <w:rPr>
                <w:rFonts w:ascii="Arial Narrow" w:hAnsi="Arial Narrow"/>
                <w:color w:val="000000"/>
                <w:sz w:val="20"/>
              </w:rPr>
              <w:tab/>
            </w:r>
            <w:r w:rsidRPr="00A95BA7">
              <w:rPr>
                <w:rFonts w:ascii="Arial Narrow" w:hAnsi="Arial Narrow"/>
                <w:color w:val="000000"/>
                <w:sz w:val="20"/>
              </w:rPr>
              <w:t xml:space="preserve"> Endocrine</w:t>
            </w:r>
          </w:p>
        </w:tc>
        <w:tc>
          <w:tcPr>
            <w:tcW w:w="951" w:type="pct"/>
            <w:tcBorders>
              <w:left w:val="single" w:sz="4" w:space="0" w:color="auto"/>
              <w:bottom w:val="single" w:sz="4" w:space="0" w:color="auto"/>
              <w:right w:val="single" w:sz="4" w:space="0" w:color="auto"/>
            </w:tcBorders>
            <w:shd w:val="clear" w:color="auto" w:fill="auto"/>
            <w:noWrap/>
            <w:vAlign w:val="bottom"/>
          </w:tcPr>
          <w:p w:rsidR="003710E1" w:rsidRPr="00A95BA7" w:rsidRDefault="003710E1" w:rsidP="0005153E">
            <w:pPr>
              <w:widowControl/>
              <w:jc w:val="center"/>
              <w:rPr>
                <w:rFonts w:ascii="Arial Narrow" w:hAnsi="Arial Narrow" w:cs="Times New Roman"/>
                <w:snapToGrid/>
                <w:color w:val="000000"/>
                <w:sz w:val="20"/>
                <w:lang w:val="en-US"/>
              </w:rPr>
            </w:pPr>
            <w:r>
              <w:rPr>
                <w:rFonts w:ascii="Arial Narrow" w:hAnsi="Arial Narrow"/>
                <w:color w:val="000000"/>
                <w:sz w:val="20"/>
              </w:rPr>
              <w:t>0.21 (0.15, 0.27)</w:t>
            </w:r>
          </w:p>
        </w:tc>
        <w:tc>
          <w:tcPr>
            <w:tcW w:w="951" w:type="pct"/>
            <w:tcBorders>
              <w:left w:val="single" w:sz="4" w:space="0" w:color="auto"/>
              <w:bottom w:val="single" w:sz="4" w:space="0" w:color="auto"/>
              <w:right w:val="single" w:sz="4" w:space="0" w:color="auto"/>
            </w:tcBorders>
            <w:shd w:val="clear" w:color="auto" w:fill="auto"/>
            <w:noWrap/>
            <w:vAlign w:val="bottom"/>
          </w:tcPr>
          <w:p w:rsidR="003710E1" w:rsidRPr="00A95BA7" w:rsidRDefault="003710E1" w:rsidP="0005153E">
            <w:pPr>
              <w:widowControl/>
              <w:jc w:val="center"/>
              <w:rPr>
                <w:rFonts w:ascii="Arial Narrow" w:hAnsi="Arial Narrow" w:cs="Times New Roman"/>
                <w:snapToGrid/>
                <w:color w:val="000000"/>
                <w:sz w:val="20"/>
                <w:lang w:val="en-US"/>
              </w:rPr>
            </w:pPr>
            <w:r>
              <w:rPr>
                <w:rFonts w:ascii="Arial Narrow" w:hAnsi="Arial Narrow"/>
                <w:color w:val="000000"/>
                <w:sz w:val="20"/>
              </w:rPr>
              <w:t>2.64 (</w:t>
            </w:r>
            <w:r w:rsidRPr="00A95BA7">
              <w:rPr>
                <w:rFonts w:ascii="Arial Narrow" w:hAnsi="Arial Narrow"/>
                <w:color w:val="000000"/>
                <w:sz w:val="20"/>
              </w:rPr>
              <w:t>1.94, 3.58</w:t>
            </w:r>
            <w:r>
              <w:rPr>
                <w:rFonts w:ascii="Arial Narrow" w:hAnsi="Arial Narrow"/>
                <w:color w:val="000000"/>
                <w:sz w:val="20"/>
              </w:rPr>
              <w:t>)</w:t>
            </w:r>
          </w:p>
        </w:tc>
        <w:tc>
          <w:tcPr>
            <w:tcW w:w="1146" w:type="pct"/>
            <w:tcBorders>
              <w:left w:val="single" w:sz="4" w:space="0" w:color="auto"/>
              <w:bottom w:val="single" w:sz="4" w:space="0" w:color="auto"/>
              <w:right w:val="single" w:sz="4" w:space="0" w:color="auto"/>
            </w:tcBorders>
            <w:shd w:val="clear" w:color="auto" w:fill="auto"/>
            <w:noWrap/>
            <w:vAlign w:val="bottom"/>
          </w:tcPr>
          <w:p w:rsidR="003710E1" w:rsidRPr="00B21520" w:rsidRDefault="003710E1" w:rsidP="0005153E">
            <w:pPr>
              <w:widowControl/>
              <w:jc w:val="center"/>
              <w:rPr>
                <w:rFonts w:ascii="Arial Narrow" w:hAnsi="Arial Narrow" w:cs="Times New Roman"/>
                <w:snapToGrid/>
                <w:color w:val="000000"/>
                <w:sz w:val="20"/>
                <w:lang w:val="en-US"/>
              </w:rPr>
            </w:pPr>
            <w:r>
              <w:rPr>
                <w:rFonts w:ascii="Arial Narrow" w:hAnsi="Arial Narrow" w:cs="Times New Roman"/>
                <w:snapToGrid/>
                <w:color w:val="000000"/>
                <w:sz w:val="20"/>
                <w:lang w:val="en-US"/>
              </w:rPr>
              <w:t>NR</w:t>
            </w:r>
          </w:p>
        </w:tc>
      </w:tr>
      <w:tr w:rsidR="00983131" w:rsidRPr="00B21520" w:rsidTr="00983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7"/>
        </w:trPr>
        <w:tc>
          <w:tcPr>
            <w:tcW w:w="1952" w:type="pct"/>
            <w:tcBorders>
              <w:left w:val="single" w:sz="4" w:space="0" w:color="auto"/>
              <w:bottom w:val="single" w:sz="4" w:space="0" w:color="auto"/>
              <w:right w:val="single" w:sz="4" w:space="0" w:color="auto"/>
            </w:tcBorders>
            <w:shd w:val="clear" w:color="auto" w:fill="auto"/>
            <w:noWrap/>
            <w:vAlign w:val="bottom"/>
          </w:tcPr>
          <w:p w:rsidR="003710E1" w:rsidRPr="00A95BA7" w:rsidRDefault="003710E1" w:rsidP="0005153E">
            <w:pPr>
              <w:widowControl/>
              <w:tabs>
                <w:tab w:val="left" w:pos="268"/>
              </w:tabs>
              <w:jc w:val="left"/>
              <w:rPr>
                <w:rFonts w:ascii="Arial Narrow" w:hAnsi="Arial Narrow" w:cs="Times New Roman"/>
                <w:snapToGrid/>
                <w:color w:val="000000"/>
                <w:sz w:val="20"/>
                <w:lang w:val="en-US"/>
              </w:rPr>
            </w:pPr>
            <w:r>
              <w:rPr>
                <w:rFonts w:ascii="Arial Narrow" w:hAnsi="Arial Narrow"/>
                <w:color w:val="000000"/>
                <w:sz w:val="20"/>
              </w:rPr>
              <w:tab/>
            </w:r>
            <w:r w:rsidRPr="00A95BA7">
              <w:rPr>
                <w:rFonts w:ascii="Arial Narrow" w:hAnsi="Arial Narrow"/>
                <w:color w:val="000000"/>
                <w:sz w:val="20"/>
              </w:rPr>
              <w:t xml:space="preserve"> Gastrointestinal</w:t>
            </w:r>
          </w:p>
        </w:tc>
        <w:tc>
          <w:tcPr>
            <w:tcW w:w="951" w:type="pct"/>
            <w:tcBorders>
              <w:left w:val="single" w:sz="4" w:space="0" w:color="auto"/>
              <w:bottom w:val="single" w:sz="4" w:space="0" w:color="auto"/>
              <w:right w:val="single" w:sz="4" w:space="0" w:color="auto"/>
            </w:tcBorders>
            <w:shd w:val="clear" w:color="auto" w:fill="auto"/>
            <w:noWrap/>
            <w:vAlign w:val="bottom"/>
          </w:tcPr>
          <w:p w:rsidR="003710E1" w:rsidRPr="00A95BA7" w:rsidRDefault="003710E1" w:rsidP="0005153E">
            <w:pPr>
              <w:widowControl/>
              <w:jc w:val="center"/>
              <w:rPr>
                <w:rFonts w:ascii="Arial Narrow" w:hAnsi="Arial Narrow" w:cs="Times New Roman"/>
                <w:snapToGrid/>
                <w:color w:val="000000"/>
                <w:sz w:val="20"/>
                <w:lang w:val="en-US"/>
              </w:rPr>
            </w:pPr>
            <w:r>
              <w:rPr>
                <w:rFonts w:ascii="Arial Narrow" w:hAnsi="Arial Narrow"/>
                <w:color w:val="000000"/>
                <w:sz w:val="20"/>
              </w:rPr>
              <w:t>0.07 (0.00, 0.14)</w:t>
            </w:r>
          </w:p>
        </w:tc>
        <w:tc>
          <w:tcPr>
            <w:tcW w:w="951" w:type="pct"/>
            <w:tcBorders>
              <w:left w:val="single" w:sz="4" w:space="0" w:color="auto"/>
              <w:bottom w:val="single" w:sz="4" w:space="0" w:color="auto"/>
              <w:right w:val="single" w:sz="4" w:space="0" w:color="auto"/>
            </w:tcBorders>
            <w:shd w:val="clear" w:color="auto" w:fill="auto"/>
            <w:noWrap/>
            <w:vAlign w:val="bottom"/>
          </w:tcPr>
          <w:p w:rsidR="003710E1" w:rsidRPr="00A95BA7" w:rsidRDefault="003710E1" w:rsidP="0005153E">
            <w:pPr>
              <w:widowControl/>
              <w:jc w:val="center"/>
              <w:rPr>
                <w:rFonts w:ascii="Arial Narrow" w:hAnsi="Arial Narrow" w:cs="Times New Roman"/>
                <w:snapToGrid/>
                <w:color w:val="000000"/>
                <w:sz w:val="20"/>
                <w:lang w:val="en-US"/>
              </w:rPr>
            </w:pPr>
            <w:r>
              <w:rPr>
                <w:rFonts w:ascii="Arial Narrow" w:hAnsi="Arial Narrow"/>
                <w:color w:val="000000"/>
                <w:sz w:val="20"/>
              </w:rPr>
              <w:t>1.15 (</w:t>
            </w:r>
            <w:r w:rsidRPr="00A95BA7">
              <w:rPr>
                <w:rFonts w:ascii="Arial Narrow" w:hAnsi="Arial Narrow"/>
                <w:color w:val="000000"/>
                <w:sz w:val="20"/>
              </w:rPr>
              <w:t>1.00, 1.32</w:t>
            </w:r>
            <w:r>
              <w:rPr>
                <w:rFonts w:ascii="Arial Narrow" w:hAnsi="Arial Narrow"/>
                <w:color w:val="000000"/>
                <w:sz w:val="20"/>
              </w:rPr>
              <w:t>)</w:t>
            </w:r>
          </w:p>
        </w:tc>
        <w:tc>
          <w:tcPr>
            <w:tcW w:w="1146" w:type="pct"/>
            <w:tcBorders>
              <w:left w:val="single" w:sz="4" w:space="0" w:color="auto"/>
              <w:bottom w:val="single" w:sz="4" w:space="0" w:color="auto"/>
              <w:right w:val="single" w:sz="4" w:space="0" w:color="auto"/>
            </w:tcBorders>
            <w:shd w:val="clear" w:color="auto" w:fill="auto"/>
            <w:noWrap/>
            <w:vAlign w:val="bottom"/>
          </w:tcPr>
          <w:p w:rsidR="003710E1" w:rsidRPr="00B21520" w:rsidRDefault="003710E1" w:rsidP="0005153E">
            <w:pPr>
              <w:widowControl/>
              <w:jc w:val="center"/>
              <w:rPr>
                <w:rFonts w:ascii="Arial Narrow" w:hAnsi="Arial Narrow" w:cs="Times New Roman"/>
                <w:snapToGrid/>
                <w:color w:val="000000"/>
                <w:sz w:val="20"/>
                <w:lang w:val="en-US"/>
              </w:rPr>
            </w:pPr>
            <w:r>
              <w:rPr>
                <w:rFonts w:ascii="Arial Narrow" w:hAnsi="Arial Narrow" w:cs="Times New Roman"/>
                <w:snapToGrid/>
                <w:color w:val="000000"/>
                <w:sz w:val="20"/>
                <w:lang w:val="en-US"/>
              </w:rPr>
              <w:t>NR</w:t>
            </w:r>
          </w:p>
        </w:tc>
      </w:tr>
      <w:tr w:rsidR="00983131" w:rsidRPr="00B21520" w:rsidTr="00983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7"/>
        </w:trPr>
        <w:tc>
          <w:tcPr>
            <w:tcW w:w="1952" w:type="pct"/>
            <w:tcBorders>
              <w:left w:val="single" w:sz="4" w:space="0" w:color="auto"/>
              <w:bottom w:val="single" w:sz="4" w:space="0" w:color="auto"/>
              <w:right w:val="single" w:sz="4" w:space="0" w:color="auto"/>
            </w:tcBorders>
            <w:shd w:val="clear" w:color="auto" w:fill="auto"/>
            <w:noWrap/>
            <w:vAlign w:val="bottom"/>
          </w:tcPr>
          <w:p w:rsidR="003710E1" w:rsidRPr="00A95BA7" w:rsidRDefault="003710E1" w:rsidP="0005153E">
            <w:pPr>
              <w:widowControl/>
              <w:tabs>
                <w:tab w:val="left" w:pos="268"/>
              </w:tabs>
              <w:jc w:val="left"/>
              <w:rPr>
                <w:rFonts w:ascii="Arial Narrow" w:hAnsi="Arial Narrow" w:cs="Times New Roman"/>
                <w:snapToGrid/>
                <w:color w:val="000000"/>
                <w:sz w:val="20"/>
                <w:lang w:val="en-US"/>
              </w:rPr>
            </w:pPr>
            <w:r>
              <w:rPr>
                <w:rFonts w:ascii="Arial Narrow" w:hAnsi="Arial Narrow"/>
                <w:color w:val="000000"/>
                <w:sz w:val="20"/>
              </w:rPr>
              <w:tab/>
            </w:r>
            <w:r w:rsidRPr="00A95BA7">
              <w:rPr>
                <w:rFonts w:ascii="Arial Narrow" w:hAnsi="Arial Narrow"/>
                <w:color w:val="000000"/>
                <w:sz w:val="20"/>
              </w:rPr>
              <w:t xml:space="preserve"> Hepatic</w:t>
            </w:r>
          </w:p>
        </w:tc>
        <w:tc>
          <w:tcPr>
            <w:tcW w:w="951" w:type="pct"/>
            <w:tcBorders>
              <w:left w:val="single" w:sz="4" w:space="0" w:color="auto"/>
              <w:bottom w:val="single" w:sz="4" w:space="0" w:color="auto"/>
              <w:right w:val="single" w:sz="4" w:space="0" w:color="auto"/>
            </w:tcBorders>
            <w:shd w:val="clear" w:color="auto" w:fill="auto"/>
            <w:noWrap/>
            <w:vAlign w:val="bottom"/>
          </w:tcPr>
          <w:p w:rsidR="003710E1" w:rsidRPr="00A95BA7" w:rsidRDefault="003710E1" w:rsidP="0005153E">
            <w:pPr>
              <w:widowControl/>
              <w:jc w:val="center"/>
              <w:rPr>
                <w:rFonts w:ascii="Arial Narrow" w:hAnsi="Arial Narrow" w:cs="Times New Roman"/>
                <w:snapToGrid/>
                <w:color w:val="000000"/>
                <w:sz w:val="20"/>
                <w:lang w:val="en-US"/>
              </w:rPr>
            </w:pPr>
            <w:r>
              <w:rPr>
                <w:rFonts w:ascii="Arial Narrow" w:hAnsi="Arial Narrow"/>
                <w:color w:val="000000"/>
                <w:sz w:val="20"/>
              </w:rPr>
              <w:t>0.23 (0.18, 0.29)</w:t>
            </w:r>
          </w:p>
        </w:tc>
        <w:tc>
          <w:tcPr>
            <w:tcW w:w="951" w:type="pct"/>
            <w:tcBorders>
              <w:left w:val="single" w:sz="4" w:space="0" w:color="auto"/>
              <w:bottom w:val="single" w:sz="4" w:space="0" w:color="auto"/>
              <w:right w:val="single" w:sz="4" w:space="0" w:color="auto"/>
            </w:tcBorders>
            <w:shd w:val="clear" w:color="auto" w:fill="auto"/>
            <w:noWrap/>
            <w:vAlign w:val="bottom"/>
          </w:tcPr>
          <w:p w:rsidR="003710E1" w:rsidRPr="00A95BA7" w:rsidRDefault="003710E1" w:rsidP="0005153E">
            <w:pPr>
              <w:widowControl/>
              <w:jc w:val="center"/>
              <w:rPr>
                <w:rFonts w:ascii="Arial Narrow" w:hAnsi="Arial Narrow" w:cs="Times New Roman"/>
                <w:snapToGrid/>
                <w:color w:val="000000"/>
                <w:sz w:val="20"/>
                <w:lang w:val="en-US"/>
              </w:rPr>
            </w:pPr>
            <w:r>
              <w:rPr>
                <w:rFonts w:ascii="Arial Narrow" w:hAnsi="Arial Narrow"/>
                <w:color w:val="000000"/>
                <w:sz w:val="20"/>
              </w:rPr>
              <w:t>3.20 (</w:t>
            </w:r>
            <w:r w:rsidRPr="00A95BA7">
              <w:rPr>
                <w:rFonts w:ascii="Arial Narrow" w:hAnsi="Arial Narrow"/>
                <w:color w:val="000000"/>
                <w:sz w:val="20"/>
              </w:rPr>
              <w:t>2.28, 4.48</w:t>
            </w:r>
            <w:r>
              <w:rPr>
                <w:rFonts w:ascii="Arial Narrow" w:hAnsi="Arial Narrow"/>
                <w:color w:val="000000"/>
                <w:sz w:val="20"/>
              </w:rPr>
              <w:t>)</w:t>
            </w:r>
          </w:p>
        </w:tc>
        <w:tc>
          <w:tcPr>
            <w:tcW w:w="1146" w:type="pct"/>
            <w:tcBorders>
              <w:left w:val="single" w:sz="4" w:space="0" w:color="auto"/>
              <w:bottom w:val="single" w:sz="4" w:space="0" w:color="auto"/>
              <w:right w:val="single" w:sz="4" w:space="0" w:color="auto"/>
            </w:tcBorders>
            <w:shd w:val="clear" w:color="auto" w:fill="auto"/>
            <w:noWrap/>
            <w:vAlign w:val="bottom"/>
          </w:tcPr>
          <w:p w:rsidR="003710E1" w:rsidRPr="00B21520" w:rsidRDefault="003710E1" w:rsidP="0005153E">
            <w:pPr>
              <w:widowControl/>
              <w:jc w:val="center"/>
              <w:rPr>
                <w:rFonts w:ascii="Arial Narrow" w:hAnsi="Arial Narrow" w:cs="Times New Roman"/>
                <w:snapToGrid/>
                <w:color w:val="000000"/>
                <w:sz w:val="20"/>
                <w:lang w:val="en-US"/>
              </w:rPr>
            </w:pPr>
            <w:r>
              <w:rPr>
                <w:rFonts w:ascii="Arial Narrow" w:hAnsi="Arial Narrow" w:cs="Times New Roman"/>
                <w:snapToGrid/>
                <w:color w:val="000000"/>
                <w:sz w:val="20"/>
                <w:lang w:val="en-US"/>
              </w:rPr>
              <w:t>NR</w:t>
            </w:r>
          </w:p>
        </w:tc>
      </w:tr>
      <w:tr w:rsidR="00983131" w:rsidRPr="00B21520" w:rsidTr="00983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7"/>
        </w:trPr>
        <w:tc>
          <w:tcPr>
            <w:tcW w:w="1952" w:type="pct"/>
            <w:tcBorders>
              <w:left w:val="single" w:sz="4" w:space="0" w:color="auto"/>
              <w:bottom w:val="single" w:sz="4" w:space="0" w:color="auto"/>
              <w:right w:val="single" w:sz="4" w:space="0" w:color="auto"/>
            </w:tcBorders>
            <w:shd w:val="clear" w:color="auto" w:fill="auto"/>
            <w:noWrap/>
            <w:vAlign w:val="bottom"/>
          </w:tcPr>
          <w:p w:rsidR="003710E1" w:rsidRPr="00A95BA7" w:rsidRDefault="003710E1" w:rsidP="0005153E">
            <w:pPr>
              <w:widowControl/>
              <w:tabs>
                <w:tab w:val="left" w:pos="268"/>
              </w:tabs>
              <w:jc w:val="left"/>
              <w:rPr>
                <w:rFonts w:ascii="Arial Narrow" w:hAnsi="Arial Narrow" w:cs="Times New Roman"/>
                <w:snapToGrid/>
                <w:color w:val="000000"/>
                <w:sz w:val="20"/>
                <w:lang w:val="en-US"/>
              </w:rPr>
            </w:pPr>
            <w:r>
              <w:rPr>
                <w:rFonts w:ascii="Arial Narrow" w:hAnsi="Arial Narrow"/>
                <w:color w:val="000000"/>
                <w:sz w:val="20"/>
              </w:rPr>
              <w:tab/>
            </w:r>
            <w:r w:rsidRPr="00A95BA7">
              <w:rPr>
                <w:rFonts w:ascii="Arial Narrow" w:hAnsi="Arial Narrow"/>
                <w:color w:val="000000"/>
                <w:sz w:val="20"/>
              </w:rPr>
              <w:t xml:space="preserve"> Pulmonary</w:t>
            </w:r>
          </w:p>
        </w:tc>
        <w:tc>
          <w:tcPr>
            <w:tcW w:w="951" w:type="pct"/>
            <w:tcBorders>
              <w:left w:val="single" w:sz="4" w:space="0" w:color="auto"/>
              <w:bottom w:val="single" w:sz="4" w:space="0" w:color="auto"/>
              <w:right w:val="single" w:sz="4" w:space="0" w:color="auto"/>
            </w:tcBorders>
            <w:shd w:val="clear" w:color="auto" w:fill="auto"/>
            <w:noWrap/>
            <w:vAlign w:val="bottom"/>
          </w:tcPr>
          <w:p w:rsidR="003710E1" w:rsidRPr="00A95BA7" w:rsidRDefault="003710E1" w:rsidP="0005153E">
            <w:pPr>
              <w:widowControl/>
              <w:jc w:val="center"/>
              <w:rPr>
                <w:rFonts w:ascii="Arial Narrow" w:hAnsi="Arial Narrow" w:cs="Times New Roman"/>
                <w:snapToGrid/>
                <w:color w:val="000000"/>
                <w:sz w:val="20"/>
                <w:lang w:val="en-US"/>
              </w:rPr>
            </w:pPr>
            <w:r>
              <w:rPr>
                <w:rFonts w:ascii="Arial Narrow" w:hAnsi="Arial Narrow"/>
                <w:color w:val="000000"/>
                <w:sz w:val="20"/>
              </w:rPr>
              <w:t>0.05 (</w:t>
            </w:r>
            <w:r w:rsidRPr="00A95BA7">
              <w:rPr>
                <w:rFonts w:ascii="Arial Narrow" w:hAnsi="Arial Narrow"/>
                <w:color w:val="000000"/>
                <w:sz w:val="20"/>
              </w:rPr>
              <w:t>0.02, 0.08</w:t>
            </w:r>
            <w:r>
              <w:rPr>
                <w:rFonts w:ascii="Arial Narrow" w:hAnsi="Arial Narrow"/>
                <w:color w:val="000000"/>
                <w:sz w:val="20"/>
              </w:rPr>
              <w:t>)</w:t>
            </w:r>
          </w:p>
        </w:tc>
        <w:tc>
          <w:tcPr>
            <w:tcW w:w="951" w:type="pct"/>
            <w:tcBorders>
              <w:left w:val="single" w:sz="4" w:space="0" w:color="auto"/>
              <w:bottom w:val="single" w:sz="4" w:space="0" w:color="auto"/>
              <w:right w:val="single" w:sz="4" w:space="0" w:color="auto"/>
            </w:tcBorders>
            <w:shd w:val="clear" w:color="auto" w:fill="auto"/>
            <w:noWrap/>
            <w:vAlign w:val="bottom"/>
          </w:tcPr>
          <w:p w:rsidR="003710E1" w:rsidRPr="00A95BA7" w:rsidRDefault="003710E1" w:rsidP="0005153E">
            <w:pPr>
              <w:widowControl/>
              <w:jc w:val="center"/>
              <w:rPr>
                <w:rFonts w:ascii="Arial Narrow" w:hAnsi="Arial Narrow" w:cs="Times New Roman"/>
                <w:snapToGrid/>
                <w:color w:val="000000"/>
                <w:sz w:val="20"/>
                <w:lang w:val="en-US"/>
              </w:rPr>
            </w:pPr>
            <w:r>
              <w:rPr>
                <w:rFonts w:ascii="Arial Narrow" w:hAnsi="Arial Narrow"/>
                <w:color w:val="000000"/>
                <w:sz w:val="20"/>
              </w:rPr>
              <w:t>2.46 (1.24, 4.87)</w:t>
            </w:r>
          </w:p>
        </w:tc>
        <w:tc>
          <w:tcPr>
            <w:tcW w:w="1146" w:type="pct"/>
            <w:tcBorders>
              <w:left w:val="single" w:sz="4" w:space="0" w:color="auto"/>
              <w:bottom w:val="single" w:sz="4" w:space="0" w:color="auto"/>
              <w:right w:val="single" w:sz="4" w:space="0" w:color="auto"/>
            </w:tcBorders>
            <w:shd w:val="clear" w:color="auto" w:fill="auto"/>
            <w:noWrap/>
            <w:vAlign w:val="bottom"/>
          </w:tcPr>
          <w:p w:rsidR="003710E1" w:rsidRPr="00B21520" w:rsidRDefault="003710E1" w:rsidP="0005153E">
            <w:pPr>
              <w:widowControl/>
              <w:jc w:val="center"/>
              <w:rPr>
                <w:rFonts w:ascii="Arial Narrow" w:hAnsi="Arial Narrow" w:cs="Times New Roman"/>
                <w:snapToGrid/>
                <w:color w:val="000000"/>
                <w:sz w:val="20"/>
                <w:lang w:val="en-US"/>
              </w:rPr>
            </w:pPr>
            <w:r>
              <w:rPr>
                <w:rFonts w:ascii="Arial Narrow" w:hAnsi="Arial Narrow" w:cs="Times New Roman"/>
                <w:snapToGrid/>
                <w:color w:val="000000"/>
                <w:sz w:val="20"/>
                <w:lang w:val="en-US"/>
              </w:rPr>
              <w:t>NR</w:t>
            </w:r>
          </w:p>
        </w:tc>
      </w:tr>
      <w:tr w:rsidR="00983131" w:rsidRPr="00B21520" w:rsidTr="00983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0"/>
        </w:trPr>
        <w:tc>
          <w:tcPr>
            <w:tcW w:w="19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0E1" w:rsidRPr="00CD273A" w:rsidRDefault="003710E1" w:rsidP="00A97408">
            <w:pPr>
              <w:widowControl/>
              <w:tabs>
                <w:tab w:val="left" w:pos="268"/>
              </w:tabs>
              <w:jc w:val="left"/>
              <w:rPr>
                <w:rFonts w:ascii="Arial Narrow" w:hAnsi="Arial Narrow" w:cs="Times New Roman"/>
                <w:snapToGrid/>
                <w:color w:val="000000"/>
                <w:sz w:val="20"/>
                <w:lang w:val="en-US"/>
              </w:rPr>
            </w:pPr>
            <w:r>
              <w:rPr>
                <w:rFonts w:ascii="Arial Narrow" w:hAnsi="Arial Narrow" w:cs="Times New Roman"/>
                <w:snapToGrid/>
                <w:color w:val="000000"/>
                <w:sz w:val="20"/>
                <w:lang w:val="en-US"/>
              </w:rPr>
              <w:t>Drug</w:t>
            </w:r>
            <w:r w:rsidRPr="003E2C40">
              <w:rPr>
                <w:rFonts w:ascii="Arial Narrow" w:hAnsi="Arial Narrow" w:cs="Times New Roman"/>
                <w:snapToGrid/>
                <w:color w:val="000000"/>
                <w:sz w:val="20"/>
                <w:lang w:val="en-US"/>
              </w:rPr>
              <w:t>-related</w:t>
            </w:r>
            <w:r>
              <w:rPr>
                <w:rFonts w:ascii="Arial Narrow" w:hAnsi="Arial Narrow" w:cs="Times New Roman"/>
                <w:snapToGrid/>
                <w:color w:val="000000"/>
                <w:sz w:val="20"/>
                <w:lang w:val="en-US"/>
              </w:rPr>
              <w:t xml:space="preserve"> AE leading to discontinuation</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0E1" w:rsidRPr="00CD273A" w:rsidRDefault="003710E1" w:rsidP="004F080E">
            <w:pPr>
              <w:widowControl/>
              <w:jc w:val="center"/>
              <w:rPr>
                <w:rFonts w:ascii="Arial Narrow" w:hAnsi="Arial Narrow" w:cs="Times New Roman"/>
                <w:snapToGrid/>
                <w:color w:val="000000"/>
                <w:sz w:val="20"/>
                <w:lang w:val="en-US"/>
              </w:rPr>
            </w:pPr>
            <w:r w:rsidRPr="00B21520">
              <w:rPr>
                <w:rFonts w:ascii="Arial Narrow" w:hAnsi="Arial Narrow" w:cs="Times New Roman"/>
                <w:snapToGrid/>
                <w:color w:val="000000"/>
                <w:sz w:val="20"/>
                <w:lang w:val="en-US"/>
              </w:rPr>
              <w:t>0.23 (0.17, 0.29)</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0E1" w:rsidRPr="00CD273A" w:rsidRDefault="003710E1" w:rsidP="0005153E">
            <w:pPr>
              <w:widowControl/>
              <w:jc w:val="center"/>
              <w:rPr>
                <w:rFonts w:ascii="Arial Narrow" w:hAnsi="Arial Narrow" w:cs="Times New Roman"/>
                <w:snapToGrid/>
                <w:color w:val="000000"/>
                <w:sz w:val="20"/>
                <w:lang w:val="en-US"/>
              </w:rPr>
            </w:pPr>
            <w:r w:rsidRPr="00B21520">
              <w:rPr>
                <w:rFonts w:ascii="Arial Narrow" w:hAnsi="Arial Narrow" w:cs="Times New Roman"/>
                <w:snapToGrid/>
                <w:color w:val="000000"/>
                <w:sz w:val="20"/>
                <w:lang w:val="en-US"/>
              </w:rPr>
              <w:t>2.59 (1.92, 3.49)</w:t>
            </w:r>
          </w:p>
        </w:tc>
        <w:tc>
          <w:tcPr>
            <w:tcW w:w="1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0E1" w:rsidRPr="00CD273A" w:rsidRDefault="003710E1" w:rsidP="0005153E">
            <w:pPr>
              <w:widowControl/>
              <w:jc w:val="center"/>
              <w:rPr>
                <w:rFonts w:ascii="Arial Narrow" w:hAnsi="Arial Narrow" w:cs="Times New Roman"/>
                <w:snapToGrid/>
                <w:color w:val="000000"/>
                <w:sz w:val="20"/>
                <w:lang w:val="en-US"/>
              </w:rPr>
            </w:pPr>
            <w:r w:rsidRPr="00B21520">
              <w:rPr>
                <w:rFonts w:ascii="Arial Narrow" w:hAnsi="Arial Narrow" w:cs="Times New Roman"/>
                <w:snapToGrid/>
                <w:color w:val="000000"/>
                <w:sz w:val="20"/>
                <w:lang w:val="en-US"/>
              </w:rPr>
              <w:t>3.52 (</w:t>
            </w:r>
            <w:r w:rsidRPr="00CD273A">
              <w:rPr>
                <w:rFonts w:ascii="Arial Narrow" w:hAnsi="Arial Narrow" w:cs="Times New Roman"/>
                <w:snapToGrid/>
                <w:color w:val="000000"/>
                <w:sz w:val="20"/>
                <w:lang w:val="en-US"/>
              </w:rPr>
              <w:t>2</w:t>
            </w:r>
            <w:r w:rsidRPr="00B21520">
              <w:rPr>
                <w:rFonts w:ascii="Arial Narrow" w:hAnsi="Arial Narrow" w:cs="Times New Roman"/>
                <w:snapToGrid/>
                <w:color w:val="000000"/>
                <w:sz w:val="20"/>
                <w:lang w:val="en-US"/>
              </w:rPr>
              <w:t>.44, 5.08)</w:t>
            </w:r>
          </w:p>
        </w:tc>
      </w:tr>
      <w:tr w:rsidR="003710E1" w:rsidRPr="00B21520" w:rsidTr="000515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710E1" w:rsidRDefault="003710E1" w:rsidP="0005153E">
            <w:pPr>
              <w:widowControl/>
              <w:jc w:val="left"/>
              <w:rPr>
                <w:rFonts w:ascii="Arial Narrow" w:hAnsi="Arial Narrow" w:cs="Times New Roman"/>
                <w:snapToGrid/>
                <w:color w:val="000000"/>
                <w:sz w:val="20"/>
                <w:lang w:val="en-US"/>
              </w:rPr>
            </w:pPr>
            <w:r>
              <w:rPr>
                <w:rFonts w:ascii="Arial Narrow" w:hAnsi="Arial Narrow" w:cs="Times New Roman"/>
                <w:b/>
                <w:snapToGrid/>
                <w:color w:val="000000"/>
                <w:sz w:val="20"/>
                <w:lang w:val="en-US"/>
              </w:rPr>
              <w:t xml:space="preserve">CA-209-067 – </w:t>
            </w:r>
            <w:proofErr w:type="spellStart"/>
            <w:r>
              <w:rPr>
                <w:rFonts w:ascii="Arial Narrow" w:hAnsi="Arial Narrow" w:cs="Times New Roman"/>
                <w:b/>
                <w:snapToGrid/>
                <w:color w:val="000000"/>
                <w:sz w:val="20"/>
                <w:lang w:val="en-US"/>
              </w:rPr>
              <w:t>Nivo</w:t>
            </w:r>
            <w:proofErr w:type="spellEnd"/>
            <w:r>
              <w:rPr>
                <w:rFonts w:ascii="Arial Narrow" w:hAnsi="Arial Narrow" w:cs="Times New Roman"/>
                <w:b/>
                <w:snapToGrid/>
                <w:color w:val="000000"/>
                <w:sz w:val="20"/>
                <w:lang w:val="en-US"/>
              </w:rPr>
              <w:t xml:space="preserve"> + </w:t>
            </w:r>
            <w:proofErr w:type="spellStart"/>
            <w:r>
              <w:rPr>
                <w:rFonts w:ascii="Arial Narrow" w:hAnsi="Arial Narrow" w:cs="Times New Roman"/>
                <w:b/>
                <w:snapToGrid/>
                <w:color w:val="000000"/>
                <w:sz w:val="20"/>
                <w:lang w:val="en-US"/>
              </w:rPr>
              <w:t>Ipi</w:t>
            </w:r>
            <w:proofErr w:type="spellEnd"/>
            <w:r>
              <w:rPr>
                <w:rFonts w:ascii="Arial Narrow" w:hAnsi="Arial Narrow" w:cs="Times New Roman"/>
                <w:b/>
                <w:snapToGrid/>
                <w:color w:val="000000"/>
                <w:sz w:val="20"/>
                <w:lang w:val="en-US"/>
              </w:rPr>
              <w:t xml:space="preserve"> vs </w:t>
            </w:r>
            <w:proofErr w:type="spellStart"/>
            <w:r>
              <w:rPr>
                <w:rFonts w:ascii="Arial Narrow" w:hAnsi="Arial Narrow" w:cs="Times New Roman"/>
                <w:b/>
                <w:snapToGrid/>
                <w:color w:val="000000"/>
                <w:sz w:val="20"/>
                <w:lang w:val="en-US"/>
              </w:rPr>
              <w:t>Nivo</w:t>
            </w:r>
            <w:proofErr w:type="spellEnd"/>
          </w:p>
        </w:tc>
      </w:tr>
      <w:tr w:rsidR="003710E1" w:rsidRPr="003E2C40" w:rsidTr="0005153E">
        <w:tblPrEx>
          <w:tblCellMar>
            <w:left w:w="108" w:type="dxa"/>
            <w:right w:w="108" w:type="dxa"/>
          </w:tblCellMar>
          <w:tblLook w:val="04A0" w:firstRow="1" w:lastRow="0" w:firstColumn="1" w:lastColumn="0" w:noHBand="0" w:noVBand="1"/>
        </w:tblPrEx>
        <w:tc>
          <w:tcPr>
            <w:tcW w:w="5000" w:type="pct"/>
            <w:gridSpan w:val="4"/>
            <w:tcBorders>
              <w:bottom w:val="single" w:sz="4" w:space="0" w:color="auto"/>
            </w:tcBorders>
            <w:shd w:val="clear" w:color="auto" w:fill="auto"/>
            <w:noWrap/>
            <w:vAlign w:val="bottom"/>
            <w:hideMark/>
          </w:tcPr>
          <w:p w:rsidR="003710E1" w:rsidRPr="008C0997" w:rsidRDefault="003710E1" w:rsidP="00A97408">
            <w:pPr>
              <w:widowControl/>
              <w:jc w:val="left"/>
              <w:rPr>
                <w:rFonts w:ascii="Arial Narrow" w:hAnsi="Arial Narrow" w:cs="Times New Roman"/>
                <w:snapToGrid/>
                <w:color w:val="000000"/>
                <w:sz w:val="20"/>
                <w:lang w:val="en-US"/>
              </w:rPr>
            </w:pPr>
            <w:r w:rsidRPr="008C0997">
              <w:rPr>
                <w:rFonts w:ascii="Arial Narrow" w:hAnsi="Arial Narrow" w:cs="Times New Roman"/>
                <w:snapToGrid/>
                <w:color w:val="000000"/>
                <w:sz w:val="20"/>
                <w:lang w:val="en-US"/>
              </w:rPr>
              <w:t>Overall drug-related AEs</w:t>
            </w:r>
          </w:p>
        </w:tc>
      </w:tr>
      <w:tr w:rsidR="00983131" w:rsidRPr="003E2C40" w:rsidTr="00983131">
        <w:tblPrEx>
          <w:tblCellMar>
            <w:left w:w="108" w:type="dxa"/>
            <w:right w:w="108" w:type="dxa"/>
          </w:tblCellMar>
          <w:tblLook w:val="04A0" w:firstRow="1" w:lastRow="0" w:firstColumn="1" w:lastColumn="0" w:noHBand="0" w:noVBand="1"/>
        </w:tblPrEx>
        <w:tc>
          <w:tcPr>
            <w:tcW w:w="1952" w:type="pct"/>
            <w:shd w:val="clear" w:color="auto" w:fill="auto"/>
            <w:noWrap/>
            <w:vAlign w:val="bottom"/>
            <w:hideMark/>
          </w:tcPr>
          <w:p w:rsidR="003710E1" w:rsidRPr="003E2C40" w:rsidRDefault="003710E1" w:rsidP="0005153E">
            <w:pPr>
              <w:widowControl/>
              <w:tabs>
                <w:tab w:val="left" w:pos="268"/>
              </w:tabs>
              <w:jc w:val="left"/>
              <w:rPr>
                <w:rFonts w:ascii="Arial Narrow" w:hAnsi="Arial Narrow" w:cs="Times New Roman"/>
                <w:snapToGrid/>
                <w:color w:val="000000"/>
                <w:sz w:val="20"/>
                <w:lang w:val="en-US"/>
              </w:rPr>
            </w:pPr>
            <w:r>
              <w:rPr>
                <w:rFonts w:ascii="Arial Narrow" w:hAnsi="Arial Narrow" w:cs="Times New Roman"/>
                <w:snapToGrid/>
                <w:color w:val="000000"/>
                <w:sz w:val="20"/>
                <w:lang w:val="en-US"/>
              </w:rPr>
              <w:tab/>
              <w:t>Any AE</w:t>
            </w:r>
          </w:p>
        </w:tc>
        <w:tc>
          <w:tcPr>
            <w:tcW w:w="951" w:type="pct"/>
            <w:shd w:val="clear" w:color="auto" w:fill="auto"/>
            <w:noWrap/>
            <w:vAlign w:val="bottom"/>
            <w:hideMark/>
          </w:tcPr>
          <w:p w:rsidR="003710E1" w:rsidRPr="003E2C40" w:rsidRDefault="003710E1" w:rsidP="0005153E">
            <w:pPr>
              <w:widowControl/>
              <w:jc w:val="center"/>
              <w:rPr>
                <w:rFonts w:ascii="Arial Narrow" w:hAnsi="Arial Narrow" w:cs="Times New Roman"/>
                <w:snapToGrid/>
                <w:color w:val="000000"/>
                <w:sz w:val="20"/>
                <w:lang w:val="en-US"/>
              </w:rPr>
            </w:pPr>
            <w:r w:rsidRPr="003E2C40">
              <w:rPr>
                <w:rFonts w:ascii="Arial Narrow" w:hAnsi="Arial Narrow" w:cs="Times New Roman"/>
                <w:snapToGrid/>
                <w:color w:val="000000"/>
                <w:sz w:val="20"/>
                <w:lang w:val="en-US"/>
              </w:rPr>
              <w:t>0.13 (0.09, 0.18)</w:t>
            </w:r>
          </w:p>
        </w:tc>
        <w:tc>
          <w:tcPr>
            <w:tcW w:w="951" w:type="pct"/>
            <w:shd w:val="clear" w:color="auto" w:fill="auto"/>
            <w:noWrap/>
            <w:vAlign w:val="bottom"/>
            <w:hideMark/>
          </w:tcPr>
          <w:p w:rsidR="003710E1" w:rsidRPr="003E2C40" w:rsidRDefault="003710E1" w:rsidP="0005153E">
            <w:pPr>
              <w:widowControl/>
              <w:jc w:val="center"/>
              <w:rPr>
                <w:rFonts w:ascii="Arial Narrow" w:hAnsi="Arial Narrow" w:cs="Times New Roman"/>
                <w:snapToGrid/>
                <w:color w:val="000000"/>
                <w:sz w:val="20"/>
                <w:lang w:val="en-US"/>
              </w:rPr>
            </w:pPr>
            <w:r w:rsidRPr="003E2C40">
              <w:rPr>
                <w:rFonts w:ascii="Arial Narrow" w:hAnsi="Arial Narrow" w:cs="Times New Roman"/>
                <w:snapToGrid/>
                <w:color w:val="000000"/>
                <w:sz w:val="20"/>
                <w:lang w:val="en-US"/>
              </w:rPr>
              <w:t>1.16 (1.10, 1.23)</w:t>
            </w:r>
          </w:p>
        </w:tc>
        <w:tc>
          <w:tcPr>
            <w:tcW w:w="1146" w:type="pct"/>
            <w:shd w:val="clear" w:color="auto" w:fill="auto"/>
            <w:noWrap/>
            <w:vAlign w:val="bottom"/>
            <w:hideMark/>
          </w:tcPr>
          <w:p w:rsidR="003710E1" w:rsidRPr="003E2C40" w:rsidRDefault="003710E1" w:rsidP="0005153E">
            <w:pPr>
              <w:widowControl/>
              <w:jc w:val="center"/>
              <w:rPr>
                <w:rFonts w:ascii="Arial Narrow" w:hAnsi="Arial Narrow" w:cs="Times New Roman"/>
                <w:snapToGrid/>
                <w:color w:val="000000"/>
                <w:sz w:val="20"/>
                <w:lang w:val="en-US"/>
              </w:rPr>
            </w:pPr>
            <w:r w:rsidRPr="003E2C40">
              <w:rPr>
                <w:rFonts w:ascii="Arial Narrow" w:hAnsi="Arial Narrow" w:cs="Times New Roman"/>
                <w:snapToGrid/>
                <w:color w:val="000000"/>
                <w:sz w:val="20"/>
                <w:lang w:val="en-US"/>
              </w:rPr>
              <w:t>4.65 (3.70, 5.85)</w:t>
            </w:r>
          </w:p>
        </w:tc>
      </w:tr>
      <w:tr w:rsidR="00983131" w:rsidRPr="003E2C40" w:rsidTr="00983131">
        <w:tblPrEx>
          <w:tblCellMar>
            <w:left w:w="108" w:type="dxa"/>
            <w:right w:w="108" w:type="dxa"/>
          </w:tblCellMar>
          <w:tblLook w:val="04A0" w:firstRow="1" w:lastRow="0" w:firstColumn="1" w:lastColumn="0" w:noHBand="0" w:noVBand="1"/>
        </w:tblPrEx>
        <w:tc>
          <w:tcPr>
            <w:tcW w:w="1952" w:type="pct"/>
            <w:shd w:val="clear" w:color="auto" w:fill="auto"/>
            <w:noWrap/>
            <w:vAlign w:val="bottom"/>
            <w:hideMark/>
          </w:tcPr>
          <w:p w:rsidR="003710E1" w:rsidRPr="003E2C40" w:rsidRDefault="003710E1" w:rsidP="0005153E">
            <w:pPr>
              <w:widowControl/>
              <w:tabs>
                <w:tab w:val="left" w:pos="268"/>
              </w:tabs>
              <w:jc w:val="left"/>
              <w:rPr>
                <w:rFonts w:ascii="Arial Narrow" w:hAnsi="Arial Narrow" w:cs="Times New Roman"/>
                <w:snapToGrid/>
                <w:color w:val="000000"/>
                <w:sz w:val="20"/>
                <w:lang w:val="en-US"/>
              </w:rPr>
            </w:pPr>
            <w:r>
              <w:rPr>
                <w:rFonts w:ascii="Arial Narrow" w:hAnsi="Arial Narrow" w:cs="Times New Roman"/>
                <w:snapToGrid/>
                <w:color w:val="000000"/>
                <w:sz w:val="20"/>
                <w:lang w:val="en-US"/>
              </w:rPr>
              <w:tab/>
              <w:t>Any serious AE</w:t>
            </w:r>
          </w:p>
        </w:tc>
        <w:tc>
          <w:tcPr>
            <w:tcW w:w="951" w:type="pct"/>
            <w:shd w:val="clear" w:color="auto" w:fill="auto"/>
            <w:noWrap/>
            <w:vAlign w:val="bottom"/>
            <w:hideMark/>
          </w:tcPr>
          <w:p w:rsidR="003710E1" w:rsidRPr="003E2C40" w:rsidRDefault="003710E1" w:rsidP="0005153E">
            <w:pPr>
              <w:widowControl/>
              <w:jc w:val="center"/>
              <w:rPr>
                <w:rFonts w:ascii="Arial Narrow" w:hAnsi="Arial Narrow" w:cs="Times New Roman"/>
                <w:snapToGrid/>
                <w:color w:val="000000"/>
                <w:sz w:val="20"/>
                <w:lang w:val="en-US"/>
              </w:rPr>
            </w:pPr>
            <w:r w:rsidRPr="003E2C40">
              <w:rPr>
                <w:rFonts w:ascii="Arial Narrow" w:hAnsi="Arial Narrow" w:cs="Times New Roman"/>
                <w:snapToGrid/>
                <w:color w:val="000000"/>
                <w:sz w:val="20"/>
                <w:lang w:val="en-US"/>
              </w:rPr>
              <w:t>0.40 (0.34, 0.46)</w:t>
            </w:r>
          </w:p>
        </w:tc>
        <w:tc>
          <w:tcPr>
            <w:tcW w:w="951" w:type="pct"/>
            <w:shd w:val="clear" w:color="auto" w:fill="auto"/>
            <w:noWrap/>
            <w:vAlign w:val="bottom"/>
            <w:hideMark/>
          </w:tcPr>
          <w:p w:rsidR="003710E1" w:rsidRPr="003E2C40" w:rsidRDefault="003710E1" w:rsidP="0005153E">
            <w:pPr>
              <w:widowControl/>
              <w:jc w:val="center"/>
              <w:rPr>
                <w:rFonts w:ascii="Arial Narrow" w:hAnsi="Arial Narrow" w:cs="Times New Roman"/>
                <w:snapToGrid/>
                <w:color w:val="000000"/>
                <w:sz w:val="20"/>
                <w:lang w:val="en-US"/>
              </w:rPr>
            </w:pPr>
            <w:r w:rsidRPr="003E2C40">
              <w:rPr>
                <w:rFonts w:ascii="Arial Narrow" w:hAnsi="Arial Narrow" w:cs="Times New Roman"/>
                <w:snapToGrid/>
                <w:color w:val="000000"/>
                <w:sz w:val="20"/>
                <w:lang w:val="en-US"/>
              </w:rPr>
              <w:t>6.00 (4.05, 8.89)</w:t>
            </w:r>
          </w:p>
        </w:tc>
        <w:tc>
          <w:tcPr>
            <w:tcW w:w="1146" w:type="pct"/>
            <w:shd w:val="clear" w:color="auto" w:fill="auto"/>
            <w:noWrap/>
            <w:vAlign w:val="bottom"/>
            <w:hideMark/>
          </w:tcPr>
          <w:p w:rsidR="003710E1" w:rsidRPr="003E2C40" w:rsidRDefault="003710E1" w:rsidP="0005153E">
            <w:pPr>
              <w:widowControl/>
              <w:jc w:val="center"/>
              <w:rPr>
                <w:rFonts w:ascii="Arial Narrow" w:hAnsi="Arial Narrow" w:cs="Times New Roman"/>
                <w:snapToGrid/>
                <w:color w:val="000000"/>
                <w:sz w:val="20"/>
                <w:lang w:val="en-US"/>
              </w:rPr>
            </w:pPr>
            <w:r w:rsidRPr="003E2C40">
              <w:rPr>
                <w:rFonts w:ascii="Arial Narrow" w:hAnsi="Arial Narrow" w:cs="Times New Roman"/>
                <w:snapToGrid/>
                <w:color w:val="000000"/>
                <w:sz w:val="20"/>
                <w:lang w:val="en-US"/>
              </w:rPr>
              <w:t>10.6 (6.75, 16.65)</w:t>
            </w:r>
          </w:p>
        </w:tc>
      </w:tr>
      <w:tr w:rsidR="00983131" w:rsidRPr="003E2C40" w:rsidTr="00983131">
        <w:tblPrEx>
          <w:tblCellMar>
            <w:left w:w="108" w:type="dxa"/>
            <w:right w:w="108" w:type="dxa"/>
          </w:tblCellMar>
          <w:tblLook w:val="04A0" w:firstRow="1" w:lastRow="0" w:firstColumn="1" w:lastColumn="0" w:noHBand="0" w:noVBand="1"/>
        </w:tblPrEx>
        <w:tc>
          <w:tcPr>
            <w:tcW w:w="1952" w:type="pct"/>
            <w:shd w:val="clear" w:color="auto" w:fill="auto"/>
            <w:noWrap/>
            <w:vAlign w:val="bottom"/>
            <w:hideMark/>
          </w:tcPr>
          <w:p w:rsidR="003710E1" w:rsidRPr="003E2C40" w:rsidRDefault="003710E1" w:rsidP="0005153E">
            <w:pPr>
              <w:widowControl/>
              <w:tabs>
                <w:tab w:val="left" w:pos="268"/>
              </w:tabs>
              <w:jc w:val="left"/>
              <w:rPr>
                <w:rFonts w:ascii="Arial Narrow" w:hAnsi="Arial Narrow" w:cs="Times New Roman"/>
                <w:snapToGrid/>
                <w:color w:val="000000"/>
                <w:sz w:val="20"/>
                <w:lang w:val="en-US"/>
              </w:rPr>
            </w:pPr>
            <w:r>
              <w:rPr>
                <w:rFonts w:ascii="Arial Narrow" w:hAnsi="Arial Narrow" w:cs="Times New Roman"/>
                <w:snapToGrid/>
                <w:color w:val="000000"/>
                <w:sz w:val="20"/>
                <w:lang w:val="en-US"/>
              </w:rPr>
              <w:tab/>
              <w:t xml:space="preserve">Any severe AE (Grade </w:t>
            </w:r>
            <w:r w:rsidRPr="006A20C4">
              <w:rPr>
                <w:rFonts w:ascii="Arial Narrow" w:hAnsi="Arial Narrow" w:cs="Times New Roman"/>
                <w:snapToGrid/>
                <w:color w:val="000000"/>
                <w:sz w:val="20"/>
                <w:lang w:val="en-US"/>
              </w:rPr>
              <w:t>≥</w:t>
            </w:r>
            <w:r>
              <w:rPr>
                <w:rFonts w:ascii="Arial Narrow" w:hAnsi="Arial Narrow" w:cs="Times New Roman"/>
                <w:snapToGrid/>
                <w:color w:val="000000"/>
                <w:sz w:val="20"/>
                <w:lang w:val="en-US"/>
              </w:rPr>
              <w:t>3)</w:t>
            </w:r>
          </w:p>
        </w:tc>
        <w:tc>
          <w:tcPr>
            <w:tcW w:w="951" w:type="pct"/>
            <w:shd w:val="clear" w:color="auto" w:fill="auto"/>
            <w:noWrap/>
            <w:vAlign w:val="bottom"/>
            <w:hideMark/>
          </w:tcPr>
          <w:p w:rsidR="003710E1" w:rsidRPr="003E2C40" w:rsidRDefault="003710E1" w:rsidP="0005153E">
            <w:pPr>
              <w:widowControl/>
              <w:jc w:val="center"/>
              <w:rPr>
                <w:rFonts w:ascii="Arial Narrow" w:hAnsi="Arial Narrow" w:cs="Times New Roman"/>
                <w:snapToGrid/>
                <w:color w:val="000000"/>
                <w:sz w:val="20"/>
                <w:lang w:val="en-US"/>
              </w:rPr>
            </w:pPr>
            <w:r w:rsidRPr="003E2C40">
              <w:rPr>
                <w:rFonts w:ascii="Arial Narrow" w:hAnsi="Arial Narrow" w:cs="Times New Roman"/>
                <w:snapToGrid/>
                <w:color w:val="000000"/>
                <w:sz w:val="20"/>
                <w:lang w:val="en-US"/>
              </w:rPr>
              <w:t>0.39 (0.32, 0.46)</w:t>
            </w:r>
          </w:p>
        </w:tc>
        <w:tc>
          <w:tcPr>
            <w:tcW w:w="951" w:type="pct"/>
            <w:shd w:val="clear" w:color="auto" w:fill="auto"/>
            <w:noWrap/>
            <w:vAlign w:val="bottom"/>
            <w:hideMark/>
          </w:tcPr>
          <w:p w:rsidR="003710E1" w:rsidRPr="003E2C40" w:rsidRDefault="003710E1" w:rsidP="0005153E">
            <w:pPr>
              <w:widowControl/>
              <w:jc w:val="center"/>
              <w:rPr>
                <w:rFonts w:ascii="Arial Narrow" w:hAnsi="Arial Narrow" w:cs="Times New Roman"/>
                <w:snapToGrid/>
                <w:color w:val="000000"/>
                <w:sz w:val="20"/>
                <w:lang w:val="en-US"/>
              </w:rPr>
            </w:pPr>
            <w:r w:rsidRPr="003E2C40">
              <w:rPr>
                <w:rFonts w:ascii="Arial Narrow" w:hAnsi="Arial Narrow" w:cs="Times New Roman"/>
                <w:snapToGrid/>
                <w:color w:val="000000"/>
                <w:sz w:val="20"/>
                <w:lang w:val="en-US"/>
              </w:rPr>
              <w:t>3.37 (2.57, 4.42)</w:t>
            </w:r>
          </w:p>
        </w:tc>
        <w:tc>
          <w:tcPr>
            <w:tcW w:w="1146" w:type="pct"/>
            <w:shd w:val="clear" w:color="auto" w:fill="auto"/>
            <w:noWrap/>
            <w:vAlign w:val="bottom"/>
            <w:hideMark/>
          </w:tcPr>
          <w:p w:rsidR="003710E1" w:rsidRPr="003E2C40" w:rsidRDefault="003710E1" w:rsidP="0005153E">
            <w:pPr>
              <w:widowControl/>
              <w:jc w:val="center"/>
              <w:rPr>
                <w:rFonts w:ascii="Arial Narrow" w:hAnsi="Arial Narrow" w:cs="Times New Roman"/>
                <w:snapToGrid/>
                <w:color w:val="000000"/>
                <w:sz w:val="20"/>
                <w:lang w:val="en-US"/>
              </w:rPr>
            </w:pPr>
            <w:r w:rsidRPr="003E2C40">
              <w:rPr>
                <w:rFonts w:ascii="Arial Narrow" w:hAnsi="Arial Narrow" w:cs="Times New Roman"/>
                <w:snapToGrid/>
                <w:color w:val="000000"/>
                <w:sz w:val="20"/>
                <w:lang w:val="en-US"/>
              </w:rPr>
              <w:t>6.27 (4.42, 8.89)</w:t>
            </w:r>
          </w:p>
        </w:tc>
      </w:tr>
      <w:tr w:rsidR="003710E1" w:rsidRPr="003E2C40" w:rsidTr="0005153E">
        <w:tblPrEx>
          <w:tblCellMar>
            <w:left w:w="108" w:type="dxa"/>
            <w:right w:w="108" w:type="dxa"/>
          </w:tblCellMar>
          <w:tblLook w:val="04A0" w:firstRow="1" w:lastRow="0" w:firstColumn="1" w:lastColumn="0" w:noHBand="0" w:noVBand="1"/>
        </w:tblPrEx>
        <w:tc>
          <w:tcPr>
            <w:tcW w:w="5000" w:type="pct"/>
            <w:gridSpan w:val="4"/>
            <w:shd w:val="clear" w:color="auto" w:fill="auto"/>
            <w:noWrap/>
            <w:vAlign w:val="bottom"/>
          </w:tcPr>
          <w:p w:rsidR="003710E1" w:rsidRPr="008C0997" w:rsidRDefault="00A97408" w:rsidP="00A97408">
            <w:pPr>
              <w:widowControl/>
              <w:jc w:val="left"/>
              <w:rPr>
                <w:rFonts w:ascii="Arial Narrow" w:hAnsi="Arial Narrow"/>
                <w:color w:val="000000"/>
                <w:sz w:val="20"/>
              </w:rPr>
            </w:pPr>
            <w:r>
              <w:rPr>
                <w:rFonts w:ascii="Arial Narrow" w:hAnsi="Arial Narrow"/>
                <w:sz w:val="20"/>
              </w:rPr>
              <w:t>Drug-</w:t>
            </w:r>
            <w:r w:rsidR="003710E1">
              <w:rPr>
                <w:rFonts w:ascii="Arial Narrow" w:hAnsi="Arial Narrow"/>
                <w:sz w:val="20"/>
              </w:rPr>
              <w:t xml:space="preserve">related </w:t>
            </w:r>
            <w:r>
              <w:rPr>
                <w:rFonts w:ascii="Arial Narrow" w:hAnsi="Arial Narrow"/>
                <w:sz w:val="20"/>
              </w:rPr>
              <w:t>AEs</w:t>
            </w:r>
            <w:r w:rsidR="003710E1" w:rsidRPr="008C0997">
              <w:rPr>
                <w:rFonts w:ascii="Arial Narrow" w:hAnsi="Arial Narrow"/>
                <w:sz w:val="20"/>
              </w:rPr>
              <w:t xml:space="preserve"> of special interest</w:t>
            </w:r>
          </w:p>
        </w:tc>
      </w:tr>
      <w:tr w:rsidR="00983131" w:rsidRPr="003E2C40" w:rsidTr="00983131">
        <w:tblPrEx>
          <w:tblCellMar>
            <w:left w:w="108" w:type="dxa"/>
            <w:right w:w="108" w:type="dxa"/>
          </w:tblCellMar>
          <w:tblLook w:val="04A0" w:firstRow="1" w:lastRow="0" w:firstColumn="1" w:lastColumn="0" w:noHBand="0" w:noVBand="1"/>
        </w:tblPrEx>
        <w:tc>
          <w:tcPr>
            <w:tcW w:w="1952" w:type="pct"/>
            <w:shd w:val="clear" w:color="auto" w:fill="auto"/>
            <w:noWrap/>
            <w:vAlign w:val="bottom"/>
          </w:tcPr>
          <w:p w:rsidR="003710E1" w:rsidRPr="00F06221" w:rsidRDefault="003710E1" w:rsidP="0005153E">
            <w:pPr>
              <w:widowControl/>
              <w:tabs>
                <w:tab w:val="left" w:pos="180"/>
              </w:tabs>
              <w:jc w:val="left"/>
              <w:rPr>
                <w:rFonts w:ascii="Arial Narrow" w:hAnsi="Arial Narrow"/>
                <w:sz w:val="20"/>
              </w:rPr>
            </w:pPr>
            <w:r>
              <w:rPr>
                <w:rFonts w:ascii="Arial Narrow" w:hAnsi="Arial Narrow"/>
                <w:sz w:val="20"/>
              </w:rPr>
              <w:tab/>
            </w:r>
            <w:r w:rsidRPr="00F06221">
              <w:rPr>
                <w:rFonts w:ascii="Arial Narrow" w:hAnsi="Arial Narrow"/>
                <w:color w:val="000000"/>
                <w:sz w:val="20"/>
                <w:szCs w:val="24"/>
              </w:rPr>
              <w:t>Endocrine</w:t>
            </w:r>
          </w:p>
        </w:tc>
        <w:tc>
          <w:tcPr>
            <w:tcW w:w="951" w:type="pct"/>
            <w:shd w:val="clear" w:color="auto" w:fill="auto"/>
            <w:noWrap/>
            <w:vAlign w:val="bottom"/>
          </w:tcPr>
          <w:p w:rsidR="003710E1" w:rsidRPr="00F06221" w:rsidRDefault="003710E1" w:rsidP="0005153E">
            <w:pPr>
              <w:widowControl/>
              <w:jc w:val="center"/>
              <w:rPr>
                <w:rFonts w:ascii="Arial Narrow" w:hAnsi="Arial Narrow"/>
                <w:color w:val="000000"/>
                <w:sz w:val="20"/>
                <w:szCs w:val="24"/>
              </w:rPr>
            </w:pPr>
            <w:r w:rsidRPr="00F06221">
              <w:rPr>
                <w:rFonts w:ascii="Arial Narrow" w:hAnsi="Arial Narrow"/>
                <w:color w:val="000000"/>
                <w:sz w:val="20"/>
                <w:szCs w:val="24"/>
              </w:rPr>
              <w:t>0.16 (0.09, 0.22)</w:t>
            </w:r>
          </w:p>
        </w:tc>
        <w:tc>
          <w:tcPr>
            <w:tcW w:w="951" w:type="pct"/>
            <w:shd w:val="clear" w:color="auto" w:fill="auto"/>
            <w:noWrap/>
            <w:vAlign w:val="bottom"/>
          </w:tcPr>
          <w:p w:rsidR="003710E1" w:rsidRPr="00F06221" w:rsidRDefault="003710E1" w:rsidP="0005153E">
            <w:pPr>
              <w:widowControl/>
              <w:jc w:val="center"/>
              <w:rPr>
                <w:rFonts w:ascii="Arial Narrow" w:hAnsi="Arial Narrow"/>
                <w:color w:val="000000"/>
                <w:sz w:val="20"/>
                <w:szCs w:val="24"/>
              </w:rPr>
            </w:pPr>
            <w:r w:rsidRPr="00F06221">
              <w:rPr>
                <w:rFonts w:ascii="Arial Narrow" w:hAnsi="Arial Narrow"/>
                <w:color w:val="000000"/>
                <w:sz w:val="20"/>
                <w:szCs w:val="24"/>
              </w:rPr>
              <w:t>2.09 (1.52, 2.87)</w:t>
            </w:r>
          </w:p>
        </w:tc>
        <w:tc>
          <w:tcPr>
            <w:tcW w:w="1146" w:type="pct"/>
            <w:shd w:val="clear" w:color="auto" w:fill="auto"/>
            <w:noWrap/>
            <w:vAlign w:val="bottom"/>
          </w:tcPr>
          <w:p w:rsidR="003710E1" w:rsidRPr="00F06221" w:rsidRDefault="003710E1" w:rsidP="0005153E">
            <w:pPr>
              <w:widowControl/>
              <w:jc w:val="center"/>
              <w:rPr>
                <w:rFonts w:ascii="Arial Narrow" w:hAnsi="Arial Narrow"/>
                <w:color w:val="000000"/>
                <w:sz w:val="20"/>
                <w:szCs w:val="24"/>
              </w:rPr>
            </w:pPr>
            <w:r w:rsidRPr="00F06221">
              <w:rPr>
                <w:rFonts w:ascii="Arial Narrow" w:hAnsi="Arial Narrow"/>
                <w:color w:val="000000"/>
                <w:sz w:val="20"/>
                <w:szCs w:val="24"/>
              </w:rPr>
              <w:t>2.56 (1.73, 3.77)</w:t>
            </w:r>
          </w:p>
        </w:tc>
      </w:tr>
      <w:tr w:rsidR="00983131" w:rsidRPr="003E2C40" w:rsidTr="00983131">
        <w:tblPrEx>
          <w:tblCellMar>
            <w:left w:w="108" w:type="dxa"/>
            <w:right w:w="108" w:type="dxa"/>
          </w:tblCellMar>
          <w:tblLook w:val="04A0" w:firstRow="1" w:lastRow="0" w:firstColumn="1" w:lastColumn="0" w:noHBand="0" w:noVBand="1"/>
        </w:tblPrEx>
        <w:tc>
          <w:tcPr>
            <w:tcW w:w="1952" w:type="pct"/>
            <w:shd w:val="clear" w:color="auto" w:fill="auto"/>
            <w:noWrap/>
            <w:vAlign w:val="bottom"/>
          </w:tcPr>
          <w:p w:rsidR="003710E1" w:rsidRPr="00F06221" w:rsidRDefault="003710E1" w:rsidP="0005153E">
            <w:pPr>
              <w:widowControl/>
              <w:tabs>
                <w:tab w:val="left" w:pos="180"/>
              </w:tabs>
              <w:jc w:val="left"/>
              <w:rPr>
                <w:rFonts w:ascii="Arial Narrow" w:hAnsi="Arial Narrow"/>
                <w:sz w:val="20"/>
              </w:rPr>
            </w:pPr>
            <w:r>
              <w:rPr>
                <w:rFonts w:ascii="Arial Narrow" w:hAnsi="Arial Narrow"/>
                <w:sz w:val="20"/>
              </w:rPr>
              <w:tab/>
            </w:r>
            <w:r w:rsidRPr="00F06221">
              <w:rPr>
                <w:rFonts w:ascii="Arial Narrow" w:hAnsi="Arial Narrow"/>
                <w:color w:val="000000"/>
                <w:sz w:val="20"/>
                <w:szCs w:val="24"/>
              </w:rPr>
              <w:t>Gastrointestinal</w:t>
            </w:r>
          </w:p>
        </w:tc>
        <w:tc>
          <w:tcPr>
            <w:tcW w:w="951" w:type="pct"/>
            <w:shd w:val="clear" w:color="auto" w:fill="auto"/>
            <w:noWrap/>
            <w:vAlign w:val="bottom"/>
          </w:tcPr>
          <w:p w:rsidR="003710E1" w:rsidRPr="00F06221" w:rsidRDefault="003710E1" w:rsidP="0005153E">
            <w:pPr>
              <w:widowControl/>
              <w:jc w:val="center"/>
              <w:rPr>
                <w:rFonts w:ascii="Arial Narrow" w:hAnsi="Arial Narrow"/>
                <w:color w:val="000000"/>
                <w:sz w:val="20"/>
                <w:szCs w:val="24"/>
              </w:rPr>
            </w:pPr>
            <w:r w:rsidRPr="00F06221">
              <w:rPr>
                <w:rFonts w:ascii="Arial Narrow" w:hAnsi="Arial Narrow"/>
                <w:color w:val="000000"/>
                <w:sz w:val="20"/>
                <w:szCs w:val="24"/>
              </w:rPr>
              <w:t>0.27 (0.20, 0.34)</w:t>
            </w:r>
          </w:p>
        </w:tc>
        <w:tc>
          <w:tcPr>
            <w:tcW w:w="951" w:type="pct"/>
            <w:shd w:val="clear" w:color="auto" w:fill="auto"/>
            <w:noWrap/>
            <w:vAlign w:val="bottom"/>
          </w:tcPr>
          <w:p w:rsidR="003710E1" w:rsidRPr="00F06221" w:rsidRDefault="003710E1" w:rsidP="0005153E">
            <w:pPr>
              <w:widowControl/>
              <w:jc w:val="center"/>
              <w:rPr>
                <w:rFonts w:ascii="Arial Narrow" w:hAnsi="Arial Narrow"/>
                <w:color w:val="000000"/>
                <w:sz w:val="20"/>
                <w:szCs w:val="24"/>
              </w:rPr>
            </w:pPr>
            <w:r w:rsidRPr="00F06221">
              <w:rPr>
                <w:rFonts w:ascii="Arial Narrow" w:hAnsi="Arial Narrow"/>
                <w:color w:val="000000"/>
                <w:sz w:val="20"/>
                <w:szCs w:val="24"/>
              </w:rPr>
              <w:t>2.38 (1.84, 3.07)</w:t>
            </w:r>
          </w:p>
        </w:tc>
        <w:tc>
          <w:tcPr>
            <w:tcW w:w="1146" w:type="pct"/>
            <w:shd w:val="clear" w:color="auto" w:fill="auto"/>
            <w:noWrap/>
            <w:vAlign w:val="bottom"/>
          </w:tcPr>
          <w:p w:rsidR="003710E1" w:rsidRPr="00F06221" w:rsidRDefault="003710E1" w:rsidP="0005153E">
            <w:pPr>
              <w:widowControl/>
              <w:jc w:val="center"/>
              <w:rPr>
                <w:rFonts w:ascii="Arial Narrow" w:hAnsi="Arial Narrow"/>
                <w:color w:val="000000"/>
                <w:sz w:val="20"/>
                <w:szCs w:val="24"/>
              </w:rPr>
            </w:pPr>
            <w:r w:rsidRPr="00F06221">
              <w:rPr>
                <w:rFonts w:ascii="Arial Narrow" w:hAnsi="Arial Narrow"/>
                <w:color w:val="000000"/>
                <w:sz w:val="20"/>
                <w:szCs w:val="24"/>
              </w:rPr>
              <w:t>3.57 (2.54, 5.00)</w:t>
            </w:r>
          </w:p>
        </w:tc>
      </w:tr>
      <w:tr w:rsidR="00983131" w:rsidRPr="003E2C40" w:rsidTr="00983131">
        <w:tblPrEx>
          <w:tblCellMar>
            <w:left w:w="108" w:type="dxa"/>
            <w:right w:w="108" w:type="dxa"/>
          </w:tblCellMar>
          <w:tblLook w:val="04A0" w:firstRow="1" w:lastRow="0" w:firstColumn="1" w:lastColumn="0" w:noHBand="0" w:noVBand="1"/>
        </w:tblPrEx>
        <w:tc>
          <w:tcPr>
            <w:tcW w:w="1952" w:type="pct"/>
            <w:shd w:val="clear" w:color="auto" w:fill="auto"/>
            <w:noWrap/>
            <w:vAlign w:val="bottom"/>
          </w:tcPr>
          <w:p w:rsidR="003710E1" w:rsidRPr="00F06221" w:rsidRDefault="003710E1" w:rsidP="0005153E">
            <w:pPr>
              <w:widowControl/>
              <w:tabs>
                <w:tab w:val="left" w:pos="180"/>
              </w:tabs>
              <w:jc w:val="left"/>
              <w:rPr>
                <w:rFonts w:ascii="Arial Narrow" w:hAnsi="Arial Narrow"/>
                <w:sz w:val="20"/>
              </w:rPr>
            </w:pPr>
            <w:r>
              <w:rPr>
                <w:rFonts w:ascii="Arial Narrow" w:hAnsi="Arial Narrow"/>
                <w:sz w:val="20"/>
              </w:rPr>
              <w:tab/>
            </w:r>
            <w:r w:rsidRPr="00F06221">
              <w:rPr>
                <w:rFonts w:ascii="Arial Narrow" w:hAnsi="Arial Narrow"/>
                <w:color w:val="000000"/>
                <w:sz w:val="20"/>
                <w:szCs w:val="24"/>
              </w:rPr>
              <w:t>Hepatic</w:t>
            </w:r>
          </w:p>
        </w:tc>
        <w:tc>
          <w:tcPr>
            <w:tcW w:w="951" w:type="pct"/>
            <w:shd w:val="clear" w:color="auto" w:fill="auto"/>
            <w:noWrap/>
            <w:vAlign w:val="bottom"/>
          </w:tcPr>
          <w:p w:rsidR="003710E1" w:rsidRPr="00F06221" w:rsidRDefault="003710E1" w:rsidP="0005153E">
            <w:pPr>
              <w:widowControl/>
              <w:jc w:val="center"/>
              <w:rPr>
                <w:rFonts w:ascii="Arial Narrow" w:hAnsi="Arial Narrow"/>
                <w:color w:val="000000"/>
                <w:sz w:val="20"/>
                <w:szCs w:val="24"/>
              </w:rPr>
            </w:pPr>
            <w:r w:rsidRPr="00F06221">
              <w:rPr>
                <w:rFonts w:ascii="Arial Narrow" w:hAnsi="Arial Narrow"/>
                <w:color w:val="000000"/>
                <w:sz w:val="20"/>
                <w:szCs w:val="24"/>
              </w:rPr>
              <w:t>0.18 (0.11, 0.24)</w:t>
            </w:r>
          </w:p>
        </w:tc>
        <w:tc>
          <w:tcPr>
            <w:tcW w:w="951" w:type="pct"/>
            <w:shd w:val="clear" w:color="auto" w:fill="auto"/>
            <w:noWrap/>
            <w:vAlign w:val="bottom"/>
          </w:tcPr>
          <w:p w:rsidR="003710E1" w:rsidRPr="00F06221" w:rsidRDefault="003710E1" w:rsidP="0005153E">
            <w:pPr>
              <w:widowControl/>
              <w:jc w:val="center"/>
              <w:rPr>
                <w:rFonts w:ascii="Arial Narrow" w:hAnsi="Arial Narrow"/>
                <w:color w:val="000000"/>
                <w:sz w:val="20"/>
                <w:szCs w:val="24"/>
              </w:rPr>
            </w:pPr>
            <w:r w:rsidRPr="00F06221">
              <w:rPr>
                <w:rFonts w:ascii="Arial Narrow" w:hAnsi="Arial Narrow"/>
                <w:color w:val="000000"/>
                <w:sz w:val="20"/>
                <w:szCs w:val="24"/>
              </w:rPr>
              <w:t>2.38 (1.70, 3.32)</w:t>
            </w:r>
          </w:p>
        </w:tc>
        <w:tc>
          <w:tcPr>
            <w:tcW w:w="1146" w:type="pct"/>
            <w:shd w:val="clear" w:color="auto" w:fill="auto"/>
            <w:noWrap/>
            <w:vAlign w:val="bottom"/>
          </w:tcPr>
          <w:p w:rsidR="003710E1" w:rsidRPr="00F06221" w:rsidRDefault="003710E1" w:rsidP="0005153E">
            <w:pPr>
              <w:widowControl/>
              <w:jc w:val="center"/>
              <w:rPr>
                <w:rFonts w:ascii="Arial Narrow" w:hAnsi="Arial Narrow"/>
                <w:color w:val="000000"/>
                <w:sz w:val="20"/>
                <w:szCs w:val="24"/>
              </w:rPr>
            </w:pPr>
            <w:r w:rsidRPr="00F06221">
              <w:rPr>
                <w:rFonts w:ascii="Arial Narrow" w:hAnsi="Arial Narrow"/>
                <w:color w:val="000000"/>
                <w:sz w:val="20"/>
                <w:szCs w:val="24"/>
              </w:rPr>
              <w:t>2.97 (1.99, 4.44)</w:t>
            </w:r>
          </w:p>
        </w:tc>
      </w:tr>
      <w:tr w:rsidR="00983131" w:rsidRPr="003E2C40" w:rsidTr="00983131">
        <w:tblPrEx>
          <w:tblCellMar>
            <w:left w:w="108" w:type="dxa"/>
            <w:right w:w="108" w:type="dxa"/>
          </w:tblCellMar>
          <w:tblLook w:val="04A0" w:firstRow="1" w:lastRow="0" w:firstColumn="1" w:lastColumn="0" w:noHBand="0" w:noVBand="1"/>
        </w:tblPrEx>
        <w:tc>
          <w:tcPr>
            <w:tcW w:w="1952" w:type="pct"/>
            <w:shd w:val="clear" w:color="auto" w:fill="auto"/>
            <w:noWrap/>
            <w:vAlign w:val="bottom"/>
          </w:tcPr>
          <w:p w:rsidR="003710E1" w:rsidRPr="00F06221" w:rsidRDefault="003710E1" w:rsidP="0005153E">
            <w:pPr>
              <w:widowControl/>
              <w:tabs>
                <w:tab w:val="left" w:pos="180"/>
              </w:tabs>
              <w:jc w:val="left"/>
              <w:rPr>
                <w:rFonts w:ascii="Arial Narrow" w:hAnsi="Arial Narrow"/>
                <w:sz w:val="20"/>
              </w:rPr>
            </w:pPr>
            <w:r>
              <w:rPr>
                <w:rFonts w:ascii="Arial Narrow" w:hAnsi="Arial Narrow"/>
                <w:sz w:val="20"/>
              </w:rPr>
              <w:tab/>
            </w:r>
            <w:r w:rsidRPr="00F06221">
              <w:rPr>
                <w:rFonts w:ascii="Arial Narrow" w:hAnsi="Arial Narrow"/>
                <w:color w:val="000000"/>
                <w:sz w:val="20"/>
                <w:szCs w:val="24"/>
              </w:rPr>
              <w:t>Pulmonary</w:t>
            </w:r>
          </w:p>
        </w:tc>
        <w:tc>
          <w:tcPr>
            <w:tcW w:w="951" w:type="pct"/>
            <w:shd w:val="clear" w:color="auto" w:fill="auto"/>
            <w:noWrap/>
            <w:vAlign w:val="bottom"/>
          </w:tcPr>
          <w:p w:rsidR="003710E1" w:rsidRPr="00F06221" w:rsidRDefault="003710E1" w:rsidP="0005153E">
            <w:pPr>
              <w:widowControl/>
              <w:jc w:val="center"/>
              <w:rPr>
                <w:rFonts w:ascii="Arial Narrow" w:hAnsi="Arial Narrow"/>
                <w:color w:val="000000"/>
                <w:sz w:val="20"/>
                <w:szCs w:val="24"/>
              </w:rPr>
            </w:pPr>
            <w:r w:rsidRPr="00F06221">
              <w:rPr>
                <w:rFonts w:ascii="Arial Narrow" w:hAnsi="Arial Narrow"/>
                <w:color w:val="000000"/>
                <w:sz w:val="20"/>
                <w:szCs w:val="24"/>
              </w:rPr>
              <w:t>0.05 (0.02, 0.08)</w:t>
            </w:r>
          </w:p>
        </w:tc>
        <w:tc>
          <w:tcPr>
            <w:tcW w:w="951" w:type="pct"/>
            <w:shd w:val="clear" w:color="auto" w:fill="auto"/>
            <w:noWrap/>
            <w:vAlign w:val="bottom"/>
          </w:tcPr>
          <w:p w:rsidR="003710E1" w:rsidRPr="00F06221" w:rsidRDefault="003710E1" w:rsidP="0005153E">
            <w:pPr>
              <w:widowControl/>
              <w:jc w:val="center"/>
              <w:rPr>
                <w:rFonts w:ascii="Arial Narrow" w:hAnsi="Arial Narrow"/>
                <w:color w:val="000000"/>
                <w:sz w:val="20"/>
                <w:szCs w:val="24"/>
              </w:rPr>
            </w:pPr>
            <w:r w:rsidRPr="00F06221">
              <w:rPr>
                <w:rFonts w:ascii="Arial Narrow" w:hAnsi="Arial Narrow"/>
                <w:color w:val="000000"/>
                <w:sz w:val="20"/>
                <w:szCs w:val="24"/>
              </w:rPr>
              <w:t>3.14 (1.36, 7.25)</w:t>
            </w:r>
          </w:p>
        </w:tc>
        <w:tc>
          <w:tcPr>
            <w:tcW w:w="1146" w:type="pct"/>
            <w:shd w:val="clear" w:color="auto" w:fill="auto"/>
            <w:noWrap/>
            <w:vAlign w:val="bottom"/>
          </w:tcPr>
          <w:p w:rsidR="003710E1" w:rsidRPr="00F06221" w:rsidRDefault="003710E1" w:rsidP="0005153E">
            <w:pPr>
              <w:widowControl/>
              <w:jc w:val="center"/>
              <w:rPr>
                <w:rFonts w:ascii="Arial Narrow" w:hAnsi="Arial Narrow"/>
                <w:color w:val="000000"/>
                <w:sz w:val="20"/>
                <w:szCs w:val="24"/>
              </w:rPr>
            </w:pPr>
            <w:r w:rsidRPr="00F06221">
              <w:rPr>
                <w:rFonts w:ascii="Arial Narrow" w:hAnsi="Arial Narrow"/>
                <w:color w:val="000000"/>
                <w:sz w:val="20"/>
                <w:szCs w:val="24"/>
              </w:rPr>
              <w:t>3.31 (1.39, 7.85)</w:t>
            </w:r>
          </w:p>
        </w:tc>
      </w:tr>
      <w:tr w:rsidR="00983131" w:rsidRPr="003E2C40" w:rsidTr="00983131">
        <w:tblPrEx>
          <w:tblCellMar>
            <w:left w:w="108" w:type="dxa"/>
            <w:right w:w="108" w:type="dxa"/>
          </w:tblCellMar>
          <w:tblLook w:val="04A0" w:firstRow="1" w:lastRow="0" w:firstColumn="1" w:lastColumn="0" w:noHBand="0" w:noVBand="1"/>
        </w:tblPrEx>
        <w:tc>
          <w:tcPr>
            <w:tcW w:w="1952" w:type="pct"/>
            <w:shd w:val="clear" w:color="auto" w:fill="auto"/>
            <w:noWrap/>
            <w:vAlign w:val="bottom"/>
            <w:hideMark/>
          </w:tcPr>
          <w:p w:rsidR="003710E1" w:rsidRPr="003E2C40" w:rsidRDefault="003710E1" w:rsidP="00A97408">
            <w:pPr>
              <w:widowControl/>
              <w:tabs>
                <w:tab w:val="left" w:pos="162"/>
              </w:tabs>
              <w:jc w:val="left"/>
              <w:rPr>
                <w:rFonts w:ascii="Arial Narrow" w:hAnsi="Arial Narrow" w:cs="Times New Roman"/>
                <w:snapToGrid/>
                <w:color w:val="000000"/>
                <w:sz w:val="20"/>
                <w:lang w:val="en-US"/>
              </w:rPr>
            </w:pPr>
            <w:r>
              <w:rPr>
                <w:rFonts w:ascii="Arial Narrow" w:hAnsi="Arial Narrow" w:cs="Times New Roman"/>
                <w:snapToGrid/>
                <w:color w:val="000000"/>
                <w:sz w:val="20"/>
                <w:lang w:val="en-US"/>
              </w:rPr>
              <w:t>Drug</w:t>
            </w:r>
            <w:r w:rsidRPr="003E2C40">
              <w:rPr>
                <w:rFonts w:ascii="Arial Narrow" w:hAnsi="Arial Narrow" w:cs="Times New Roman"/>
                <w:snapToGrid/>
                <w:color w:val="000000"/>
                <w:sz w:val="20"/>
                <w:lang w:val="en-US"/>
              </w:rPr>
              <w:t>-related</w:t>
            </w:r>
            <w:r>
              <w:rPr>
                <w:rFonts w:ascii="Arial Narrow" w:hAnsi="Arial Narrow" w:cs="Times New Roman"/>
                <w:snapToGrid/>
                <w:color w:val="000000"/>
                <w:sz w:val="20"/>
                <w:lang w:val="en-US"/>
              </w:rPr>
              <w:t xml:space="preserve"> AE leading to discontinuation</w:t>
            </w:r>
          </w:p>
        </w:tc>
        <w:tc>
          <w:tcPr>
            <w:tcW w:w="951" w:type="pct"/>
            <w:shd w:val="clear" w:color="auto" w:fill="auto"/>
            <w:noWrap/>
            <w:vAlign w:val="bottom"/>
            <w:hideMark/>
          </w:tcPr>
          <w:p w:rsidR="003710E1" w:rsidRPr="003E2C40" w:rsidRDefault="003710E1" w:rsidP="0005153E">
            <w:pPr>
              <w:widowControl/>
              <w:jc w:val="center"/>
              <w:rPr>
                <w:rFonts w:ascii="Arial Narrow" w:hAnsi="Arial Narrow" w:cs="Times New Roman"/>
                <w:snapToGrid/>
                <w:color w:val="000000"/>
                <w:sz w:val="20"/>
                <w:lang w:val="en-US"/>
              </w:rPr>
            </w:pPr>
            <w:r w:rsidRPr="003E2C40">
              <w:rPr>
                <w:rFonts w:ascii="Arial Narrow" w:hAnsi="Arial Narrow" w:cs="Times New Roman"/>
                <w:snapToGrid/>
                <w:color w:val="000000"/>
                <w:sz w:val="20"/>
                <w:lang w:val="en-US"/>
              </w:rPr>
              <w:t>0.29 (0.23, 0.35)</w:t>
            </w:r>
          </w:p>
        </w:tc>
        <w:tc>
          <w:tcPr>
            <w:tcW w:w="951" w:type="pct"/>
            <w:shd w:val="clear" w:color="auto" w:fill="auto"/>
            <w:noWrap/>
            <w:vAlign w:val="bottom"/>
            <w:hideMark/>
          </w:tcPr>
          <w:p w:rsidR="003710E1" w:rsidRPr="003E2C40" w:rsidRDefault="003710E1" w:rsidP="0005153E">
            <w:pPr>
              <w:widowControl/>
              <w:jc w:val="center"/>
              <w:rPr>
                <w:rFonts w:ascii="Arial Narrow" w:hAnsi="Arial Narrow" w:cs="Times New Roman"/>
                <w:snapToGrid/>
                <w:color w:val="000000"/>
                <w:sz w:val="20"/>
                <w:lang w:val="en-US"/>
              </w:rPr>
            </w:pPr>
            <w:r w:rsidRPr="003E2C40">
              <w:rPr>
                <w:rFonts w:ascii="Arial Narrow" w:hAnsi="Arial Narrow" w:cs="Times New Roman"/>
                <w:snapToGrid/>
                <w:color w:val="000000"/>
                <w:sz w:val="20"/>
                <w:lang w:val="en-US"/>
              </w:rPr>
              <w:t>4.75 (3.15, 7.17)</w:t>
            </w:r>
          </w:p>
        </w:tc>
        <w:tc>
          <w:tcPr>
            <w:tcW w:w="1146" w:type="pct"/>
            <w:shd w:val="clear" w:color="auto" w:fill="auto"/>
            <w:noWrap/>
            <w:vAlign w:val="bottom"/>
            <w:hideMark/>
          </w:tcPr>
          <w:p w:rsidR="003710E1" w:rsidRPr="003E2C40" w:rsidRDefault="003710E1" w:rsidP="0005153E">
            <w:pPr>
              <w:widowControl/>
              <w:jc w:val="center"/>
              <w:rPr>
                <w:rFonts w:ascii="Arial Narrow" w:hAnsi="Arial Narrow" w:cs="Times New Roman"/>
                <w:snapToGrid/>
                <w:color w:val="000000"/>
                <w:sz w:val="20"/>
                <w:lang w:val="en-US"/>
              </w:rPr>
            </w:pPr>
            <w:r w:rsidRPr="003E2C40">
              <w:rPr>
                <w:rFonts w:ascii="Arial Narrow" w:hAnsi="Arial Narrow" w:cs="Times New Roman"/>
                <w:snapToGrid/>
                <w:color w:val="000000"/>
                <w:sz w:val="20"/>
                <w:lang w:val="en-US"/>
              </w:rPr>
              <w:t>6.90 (4.32, 11.01)</w:t>
            </w:r>
          </w:p>
        </w:tc>
      </w:tr>
      <w:tr w:rsidR="003710E1" w:rsidRPr="003E2C40" w:rsidTr="0005153E">
        <w:tblPrEx>
          <w:tblCellMar>
            <w:left w:w="108" w:type="dxa"/>
            <w:right w:w="108" w:type="dxa"/>
          </w:tblCellMar>
          <w:tblLook w:val="04A0" w:firstRow="1" w:lastRow="0" w:firstColumn="1" w:lastColumn="0" w:noHBand="0" w:noVBand="1"/>
        </w:tblPrEx>
        <w:tc>
          <w:tcPr>
            <w:tcW w:w="5000" w:type="pct"/>
            <w:gridSpan w:val="4"/>
            <w:shd w:val="clear" w:color="auto" w:fill="auto"/>
            <w:noWrap/>
            <w:vAlign w:val="bottom"/>
          </w:tcPr>
          <w:p w:rsidR="003710E1" w:rsidRPr="003E2C40" w:rsidRDefault="003710E1" w:rsidP="0005153E">
            <w:pPr>
              <w:widowControl/>
              <w:jc w:val="left"/>
              <w:rPr>
                <w:rFonts w:ascii="Arial Narrow" w:hAnsi="Arial Narrow" w:cs="Times New Roman"/>
                <w:snapToGrid/>
                <w:color w:val="000000"/>
                <w:sz w:val="20"/>
                <w:lang w:val="en-US"/>
              </w:rPr>
            </w:pPr>
            <w:r>
              <w:rPr>
                <w:rFonts w:ascii="Arial Narrow" w:hAnsi="Arial Narrow" w:cs="Times New Roman"/>
                <w:b/>
                <w:snapToGrid/>
                <w:color w:val="000000"/>
                <w:sz w:val="20"/>
                <w:lang w:val="en-US"/>
              </w:rPr>
              <w:t xml:space="preserve">Indirect comparison: </w:t>
            </w:r>
            <w:proofErr w:type="spellStart"/>
            <w:r>
              <w:rPr>
                <w:rFonts w:ascii="Arial Narrow" w:hAnsi="Arial Narrow" w:cs="Times New Roman"/>
                <w:b/>
                <w:snapToGrid/>
                <w:color w:val="000000"/>
                <w:sz w:val="20"/>
                <w:lang w:val="en-US"/>
              </w:rPr>
              <w:t>Nivo</w:t>
            </w:r>
            <w:proofErr w:type="spellEnd"/>
            <w:r>
              <w:rPr>
                <w:rFonts w:ascii="Arial Narrow" w:hAnsi="Arial Narrow" w:cs="Times New Roman"/>
                <w:b/>
                <w:snapToGrid/>
                <w:color w:val="000000"/>
                <w:sz w:val="20"/>
                <w:lang w:val="en-US"/>
              </w:rPr>
              <w:t xml:space="preserve"> + </w:t>
            </w:r>
            <w:proofErr w:type="spellStart"/>
            <w:r>
              <w:rPr>
                <w:rFonts w:ascii="Arial Narrow" w:hAnsi="Arial Narrow" w:cs="Times New Roman"/>
                <w:b/>
                <w:snapToGrid/>
                <w:color w:val="000000"/>
                <w:sz w:val="20"/>
                <w:lang w:val="en-US"/>
              </w:rPr>
              <w:t>Ipi</w:t>
            </w:r>
            <w:proofErr w:type="spellEnd"/>
            <w:r>
              <w:rPr>
                <w:rFonts w:ascii="Arial Narrow" w:hAnsi="Arial Narrow" w:cs="Times New Roman"/>
                <w:b/>
                <w:snapToGrid/>
                <w:color w:val="000000"/>
                <w:sz w:val="20"/>
                <w:lang w:val="en-US"/>
              </w:rPr>
              <w:t xml:space="preserve"> vs </w:t>
            </w:r>
            <w:proofErr w:type="spellStart"/>
            <w:r>
              <w:rPr>
                <w:rFonts w:ascii="Arial Narrow" w:hAnsi="Arial Narrow" w:cs="Times New Roman"/>
                <w:b/>
                <w:snapToGrid/>
                <w:color w:val="000000"/>
                <w:sz w:val="20"/>
                <w:lang w:val="en-US"/>
              </w:rPr>
              <w:t>Pembro</w:t>
            </w:r>
            <w:proofErr w:type="spellEnd"/>
            <w:r>
              <w:rPr>
                <w:rFonts w:ascii="Arial Narrow" w:hAnsi="Arial Narrow" w:cs="Times New Roman"/>
                <w:b/>
                <w:snapToGrid/>
                <w:color w:val="000000"/>
                <w:sz w:val="20"/>
                <w:lang w:val="en-US"/>
              </w:rPr>
              <w:t xml:space="preserve"> (via </w:t>
            </w:r>
            <w:proofErr w:type="spellStart"/>
            <w:r>
              <w:rPr>
                <w:rFonts w:ascii="Arial Narrow" w:hAnsi="Arial Narrow" w:cs="Times New Roman"/>
                <w:b/>
                <w:snapToGrid/>
                <w:color w:val="000000"/>
                <w:sz w:val="20"/>
                <w:lang w:val="en-US"/>
              </w:rPr>
              <w:t>Ipi</w:t>
            </w:r>
            <w:proofErr w:type="spellEnd"/>
            <w:r>
              <w:rPr>
                <w:rFonts w:ascii="Arial Narrow" w:hAnsi="Arial Narrow" w:cs="Times New Roman"/>
                <w:b/>
                <w:snapToGrid/>
                <w:color w:val="000000"/>
                <w:sz w:val="20"/>
                <w:lang w:val="en-US"/>
              </w:rPr>
              <w:t>)</w:t>
            </w:r>
          </w:p>
        </w:tc>
      </w:tr>
      <w:tr w:rsidR="00983131" w:rsidRPr="003F4EE7" w:rsidTr="00983131">
        <w:tblPrEx>
          <w:tblCellMar>
            <w:left w:w="108" w:type="dxa"/>
            <w:right w:w="108" w:type="dxa"/>
          </w:tblCellMar>
          <w:tblLook w:val="04A0" w:firstRow="1" w:lastRow="0" w:firstColumn="1" w:lastColumn="0" w:noHBand="0" w:noVBand="1"/>
        </w:tblPrEx>
        <w:trPr>
          <w:trHeight w:val="404"/>
        </w:trPr>
        <w:tc>
          <w:tcPr>
            <w:tcW w:w="1952" w:type="pct"/>
            <w:tcBorders>
              <w:top w:val="single" w:sz="4" w:space="0" w:color="auto"/>
              <w:left w:val="single" w:sz="4" w:space="0" w:color="auto"/>
              <w:right w:val="single" w:sz="4" w:space="0" w:color="auto"/>
            </w:tcBorders>
            <w:shd w:val="clear" w:color="auto" w:fill="auto"/>
            <w:noWrap/>
            <w:vAlign w:val="bottom"/>
          </w:tcPr>
          <w:p w:rsidR="003710E1" w:rsidRPr="00F445B0" w:rsidRDefault="003710E1" w:rsidP="0005153E">
            <w:pPr>
              <w:widowControl/>
              <w:jc w:val="left"/>
              <w:rPr>
                <w:rFonts w:ascii="Arial Narrow" w:hAnsi="Arial Narrow" w:cs="Times New Roman"/>
                <w:b/>
                <w:snapToGrid/>
                <w:color w:val="000000"/>
                <w:sz w:val="20"/>
                <w:lang w:val="en-US"/>
              </w:rPr>
            </w:pPr>
          </w:p>
          <w:p w:rsidR="003710E1" w:rsidRPr="00F445B0" w:rsidRDefault="00A97408" w:rsidP="00A97408">
            <w:pPr>
              <w:widowControl/>
              <w:jc w:val="left"/>
              <w:rPr>
                <w:rFonts w:ascii="Arial Narrow" w:hAnsi="Arial Narrow" w:cs="Times New Roman"/>
                <w:b/>
                <w:snapToGrid/>
                <w:color w:val="000000"/>
                <w:sz w:val="20"/>
                <w:lang w:val="en-US"/>
              </w:rPr>
            </w:pPr>
            <w:r>
              <w:rPr>
                <w:rFonts w:ascii="Arial Narrow" w:hAnsi="Arial Narrow" w:cs="Times New Roman"/>
                <w:b/>
                <w:snapToGrid/>
                <w:color w:val="000000"/>
                <w:sz w:val="20"/>
                <w:lang w:val="en-US"/>
              </w:rPr>
              <w:t>Adverse event</w:t>
            </w:r>
          </w:p>
        </w:tc>
        <w:tc>
          <w:tcPr>
            <w:tcW w:w="951" w:type="pct"/>
            <w:tcBorders>
              <w:top w:val="single" w:sz="4" w:space="0" w:color="auto"/>
              <w:left w:val="single" w:sz="4" w:space="0" w:color="auto"/>
              <w:right w:val="single" w:sz="4" w:space="0" w:color="auto"/>
            </w:tcBorders>
            <w:shd w:val="clear" w:color="auto" w:fill="auto"/>
            <w:noWrap/>
            <w:vAlign w:val="bottom"/>
          </w:tcPr>
          <w:p w:rsidR="003710E1" w:rsidRPr="00F445B0" w:rsidRDefault="003710E1" w:rsidP="0005153E">
            <w:pPr>
              <w:widowControl/>
              <w:jc w:val="center"/>
              <w:rPr>
                <w:rFonts w:ascii="Arial Narrow" w:hAnsi="Arial Narrow" w:cs="Times New Roman"/>
                <w:b/>
                <w:snapToGrid/>
                <w:color w:val="000000"/>
                <w:sz w:val="20"/>
                <w:lang w:val="en-US"/>
              </w:rPr>
            </w:pPr>
            <w:proofErr w:type="spellStart"/>
            <w:r>
              <w:rPr>
                <w:rFonts w:ascii="Arial Narrow" w:hAnsi="Arial Narrow" w:cs="Times New Roman"/>
                <w:b/>
                <w:snapToGrid/>
                <w:color w:val="000000"/>
                <w:sz w:val="20"/>
                <w:lang w:val="en-US"/>
              </w:rPr>
              <w:t>Nivo+Ipi</w:t>
            </w:r>
            <w:proofErr w:type="spellEnd"/>
            <w:r>
              <w:rPr>
                <w:rFonts w:ascii="Arial Narrow" w:hAnsi="Arial Narrow" w:cs="Times New Roman"/>
                <w:b/>
                <w:snapToGrid/>
                <w:color w:val="000000"/>
                <w:sz w:val="20"/>
                <w:lang w:val="en-US"/>
              </w:rPr>
              <w:t xml:space="preserve"> vs </w:t>
            </w:r>
            <w:proofErr w:type="spellStart"/>
            <w:r>
              <w:rPr>
                <w:rFonts w:ascii="Arial Narrow" w:hAnsi="Arial Narrow" w:cs="Times New Roman"/>
                <w:b/>
                <w:snapToGrid/>
                <w:color w:val="000000"/>
                <w:sz w:val="20"/>
                <w:lang w:val="en-US"/>
              </w:rPr>
              <w:t>Ipi</w:t>
            </w:r>
            <w:proofErr w:type="spellEnd"/>
            <w:r>
              <w:rPr>
                <w:rFonts w:ascii="Arial Narrow" w:hAnsi="Arial Narrow" w:cs="Times New Roman"/>
                <w:b/>
                <w:snapToGrid/>
                <w:color w:val="000000"/>
                <w:sz w:val="20"/>
                <w:lang w:val="en-US"/>
              </w:rPr>
              <w:t>*</w:t>
            </w:r>
          </w:p>
          <w:p w:rsidR="003710E1" w:rsidRPr="00F445B0" w:rsidRDefault="003710E1" w:rsidP="0005153E">
            <w:pPr>
              <w:jc w:val="center"/>
              <w:rPr>
                <w:rFonts w:ascii="Arial Narrow" w:hAnsi="Arial Narrow" w:cs="Times New Roman"/>
                <w:b/>
                <w:snapToGrid/>
                <w:color w:val="000000"/>
                <w:sz w:val="20"/>
                <w:lang w:val="en-US"/>
              </w:rPr>
            </w:pPr>
            <w:r w:rsidRPr="008D7DF1">
              <w:rPr>
                <w:rFonts w:ascii="Arial Narrow" w:hAnsi="Arial Narrow" w:cs="Times New Roman"/>
                <w:b/>
                <w:snapToGrid/>
                <w:color w:val="000000"/>
                <w:sz w:val="20"/>
                <w:lang w:val="en-US"/>
              </w:rPr>
              <w:t>RR (95%CI)</w:t>
            </w:r>
          </w:p>
        </w:tc>
        <w:tc>
          <w:tcPr>
            <w:tcW w:w="951" w:type="pct"/>
            <w:tcBorders>
              <w:top w:val="single" w:sz="4" w:space="0" w:color="auto"/>
              <w:left w:val="single" w:sz="4" w:space="0" w:color="auto"/>
              <w:right w:val="single" w:sz="4" w:space="0" w:color="auto"/>
            </w:tcBorders>
            <w:shd w:val="clear" w:color="auto" w:fill="auto"/>
            <w:noWrap/>
            <w:vAlign w:val="bottom"/>
          </w:tcPr>
          <w:p w:rsidR="003710E1" w:rsidRPr="00F445B0" w:rsidRDefault="003710E1" w:rsidP="0005153E">
            <w:pPr>
              <w:widowControl/>
              <w:jc w:val="center"/>
              <w:rPr>
                <w:rFonts w:ascii="Arial Narrow" w:hAnsi="Arial Narrow" w:cs="Times New Roman"/>
                <w:b/>
                <w:snapToGrid/>
                <w:color w:val="000000"/>
                <w:sz w:val="20"/>
                <w:lang w:val="en-US"/>
              </w:rPr>
            </w:pPr>
            <w:proofErr w:type="spellStart"/>
            <w:r>
              <w:rPr>
                <w:rFonts w:ascii="Arial Narrow" w:hAnsi="Arial Narrow" w:cs="Times New Roman"/>
                <w:b/>
                <w:snapToGrid/>
                <w:color w:val="000000"/>
                <w:sz w:val="20"/>
                <w:lang w:val="en-US"/>
              </w:rPr>
              <w:t>Pembro</w:t>
            </w:r>
            <w:proofErr w:type="spellEnd"/>
            <w:r>
              <w:rPr>
                <w:rFonts w:ascii="Arial Narrow" w:hAnsi="Arial Narrow" w:cs="Times New Roman"/>
                <w:b/>
                <w:snapToGrid/>
                <w:color w:val="000000"/>
                <w:sz w:val="20"/>
                <w:lang w:val="en-US"/>
              </w:rPr>
              <w:t xml:space="preserve"> vs </w:t>
            </w:r>
            <w:proofErr w:type="spellStart"/>
            <w:r>
              <w:rPr>
                <w:rFonts w:ascii="Arial Narrow" w:hAnsi="Arial Narrow" w:cs="Times New Roman"/>
                <w:b/>
                <w:snapToGrid/>
                <w:color w:val="000000"/>
                <w:sz w:val="20"/>
                <w:lang w:val="en-US"/>
              </w:rPr>
              <w:t>Ipi</w:t>
            </w:r>
            <w:proofErr w:type="spellEnd"/>
            <w:r>
              <w:rPr>
                <w:rFonts w:ascii="Arial Narrow" w:hAnsi="Arial Narrow" w:cs="Times New Roman"/>
                <w:b/>
                <w:snapToGrid/>
                <w:color w:val="000000"/>
                <w:sz w:val="20"/>
                <w:lang w:val="en-US"/>
              </w:rPr>
              <w:t>**</w:t>
            </w:r>
          </w:p>
          <w:p w:rsidR="003710E1" w:rsidRPr="00F445B0" w:rsidRDefault="003710E1" w:rsidP="0005153E">
            <w:pPr>
              <w:jc w:val="center"/>
              <w:rPr>
                <w:rFonts w:ascii="Arial Narrow" w:hAnsi="Arial Narrow" w:cs="Times New Roman"/>
                <w:b/>
                <w:snapToGrid/>
                <w:color w:val="000000"/>
                <w:sz w:val="20"/>
                <w:lang w:val="en-US"/>
              </w:rPr>
            </w:pPr>
            <w:r w:rsidRPr="008D7DF1">
              <w:rPr>
                <w:rFonts w:ascii="Arial Narrow" w:hAnsi="Arial Narrow" w:cs="Times New Roman"/>
                <w:b/>
                <w:snapToGrid/>
                <w:color w:val="000000"/>
                <w:sz w:val="20"/>
                <w:lang w:val="en-US"/>
              </w:rPr>
              <w:t>RR (95%CI)</w:t>
            </w:r>
          </w:p>
        </w:tc>
        <w:tc>
          <w:tcPr>
            <w:tcW w:w="1146" w:type="pct"/>
            <w:tcBorders>
              <w:top w:val="single" w:sz="4" w:space="0" w:color="auto"/>
              <w:left w:val="single" w:sz="4" w:space="0" w:color="auto"/>
              <w:right w:val="single" w:sz="4" w:space="0" w:color="auto"/>
            </w:tcBorders>
            <w:shd w:val="clear" w:color="auto" w:fill="auto"/>
            <w:noWrap/>
            <w:vAlign w:val="bottom"/>
          </w:tcPr>
          <w:p w:rsidR="003710E1" w:rsidRPr="00F445B0" w:rsidRDefault="003710E1" w:rsidP="0005153E">
            <w:pPr>
              <w:widowControl/>
              <w:jc w:val="center"/>
              <w:rPr>
                <w:rFonts w:ascii="Arial Narrow" w:hAnsi="Arial Narrow" w:cs="Times New Roman"/>
                <w:b/>
                <w:snapToGrid/>
                <w:color w:val="000000"/>
                <w:sz w:val="20"/>
                <w:lang w:val="en-US"/>
              </w:rPr>
            </w:pPr>
            <w:proofErr w:type="spellStart"/>
            <w:r>
              <w:rPr>
                <w:rFonts w:ascii="Arial Narrow" w:hAnsi="Arial Narrow" w:cs="Times New Roman"/>
                <w:b/>
                <w:snapToGrid/>
                <w:color w:val="000000"/>
                <w:sz w:val="20"/>
                <w:lang w:val="en-US"/>
              </w:rPr>
              <w:t>Nivo+Ipi</w:t>
            </w:r>
            <w:proofErr w:type="spellEnd"/>
            <w:r w:rsidRPr="00F445B0">
              <w:rPr>
                <w:rFonts w:ascii="Arial Narrow" w:hAnsi="Arial Narrow" w:cs="Times New Roman"/>
                <w:b/>
                <w:snapToGrid/>
                <w:color w:val="000000"/>
                <w:sz w:val="20"/>
                <w:lang w:val="en-US"/>
              </w:rPr>
              <w:t xml:space="preserve"> </w:t>
            </w:r>
            <w:r>
              <w:rPr>
                <w:rFonts w:ascii="Arial Narrow" w:hAnsi="Arial Narrow" w:cs="Times New Roman"/>
                <w:b/>
                <w:snapToGrid/>
                <w:color w:val="000000"/>
                <w:sz w:val="20"/>
                <w:lang w:val="en-US"/>
              </w:rPr>
              <w:t xml:space="preserve">vs </w:t>
            </w:r>
            <w:proofErr w:type="spellStart"/>
            <w:r>
              <w:rPr>
                <w:rFonts w:ascii="Arial Narrow" w:hAnsi="Arial Narrow" w:cs="Times New Roman"/>
                <w:b/>
                <w:snapToGrid/>
                <w:color w:val="000000"/>
                <w:sz w:val="20"/>
                <w:lang w:val="en-US"/>
              </w:rPr>
              <w:t>Pembro</w:t>
            </w:r>
            <w:proofErr w:type="spellEnd"/>
          </w:p>
          <w:p w:rsidR="003710E1" w:rsidRPr="00F445B0" w:rsidRDefault="003710E1" w:rsidP="0005153E">
            <w:pPr>
              <w:jc w:val="center"/>
              <w:rPr>
                <w:rFonts w:ascii="Arial Narrow" w:hAnsi="Arial Narrow" w:cs="Times New Roman"/>
                <w:b/>
                <w:snapToGrid/>
                <w:color w:val="000000"/>
                <w:sz w:val="20"/>
                <w:lang w:val="en-US"/>
              </w:rPr>
            </w:pPr>
            <w:r w:rsidRPr="008D7DF1">
              <w:rPr>
                <w:rFonts w:ascii="Arial Narrow" w:hAnsi="Arial Narrow" w:cs="Times New Roman"/>
                <w:b/>
                <w:snapToGrid/>
                <w:color w:val="000000"/>
                <w:sz w:val="20"/>
                <w:lang w:val="en-US"/>
              </w:rPr>
              <w:t>RR (95%CI)</w:t>
            </w:r>
          </w:p>
        </w:tc>
      </w:tr>
      <w:tr w:rsidR="00A97408" w:rsidRPr="003F4EE7" w:rsidTr="00A97408">
        <w:tblPrEx>
          <w:tblCellMar>
            <w:left w:w="108" w:type="dxa"/>
            <w:right w:w="108" w:type="dxa"/>
          </w:tblCellMar>
          <w:tblLook w:val="04A0" w:firstRow="1" w:lastRow="0" w:firstColumn="1" w:lastColumn="0" w:noHBand="0" w:noVBand="1"/>
        </w:tblPrEx>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97408" w:rsidRPr="00A97408" w:rsidRDefault="00A97408" w:rsidP="00A97408">
            <w:pPr>
              <w:widowControl/>
              <w:jc w:val="left"/>
              <w:rPr>
                <w:rFonts w:ascii="Arial Narrow" w:hAnsi="Arial Narrow" w:cs="Times New Roman"/>
                <w:snapToGrid/>
                <w:color w:val="000000"/>
                <w:sz w:val="20"/>
                <w:lang w:val="en-US"/>
              </w:rPr>
            </w:pPr>
            <w:r w:rsidRPr="00A97408">
              <w:rPr>
                <w:rFonts w:ascii="Arial Narrow" w:hAnsi="Arial Narrow" w:cs="Times New Roman"/>
                <w:snapToGrid/>
                <w:color w:val="000000"/>
                <w:sz w:val="20"/>
                <w:lang w:val="en-US"/>
              </w:rPr>
              <w:t>Overall drug-related AEs</w:t>
            </w:r>
          </w:p>
        </w:tc>
      </w:tr>
      <w:tr w:rsidR="00983131" w:rsidRPr="003F4EE7" w:rsidTr="00983131">
        <w:tblPrEx>
          <w:tblCellMar>
            <w:left w:w="108" w:type="dxa"/>
            <w:right w:w="108" w:type="dxa"/>
          </w:tblCellMar>
          <w:tblLook w:val="04A0" w:firstRow="1" w:lastRow="0" w:firstColumn="1" w:lastColumn="0" w:noHBand="0" w:noVBand="1"/>
        </w:tblPrEx>
        <w:tc>
          <w:tcPr>
            <w:tcW w:w="19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0E1" w:rsidRPr="004F6B37" w:rsidRDefault="003710E1" w:rsidP="0005153E">
            <w:pPr>
              <w:widowControl/>
              <w:tabs>
                <w:tab w:val="left" w:pos="162"/>
              </w:tabs>
              <w:jc w:val="left"/>
              <w:rPr>
                <w:rFonts w:ascii="Arial Narrow" w:hAnsi="Arial Narrow" w:cs="Times New Roman"/>
                <w:snapToGrid/>
                <w:color w:val="000000"/>
                <w:sz w:val="20"/>
                <w:lang w:val="en-US"/>
              </w:rPr>
            </w:pPr>
            <w:r>
              <w:rPr>
                <w:rFonts w:ascii="Arial Narrow" w:hAnsi="Arial Narrow" w:cs="Times New Roman"/>
                <w:snapToGrid/>
                <w:color w:val="000000"/>
                <w:sz w:val="20"/>
                <w:lang w:val="en-US"/>
              </w:rPr>
              <w:tab/>
              <w:t>Any AE</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0E1" w:rsidRPr="004F6B37" w:rsidRDefault="003710E1" w:rsidP="0005153E">
            <w:pPr>
              <w:widowControl/>
              <w:jc w:val="center"/>
              <w:rPr>
                <w:rFonts w:ascii="Arial Narrow" w:hAnsi="Arial Narrow" w:cs="Times New Roman"/>
                <w:snapToGrid/>
                <w:color w:val="000000"/>
                <w:sz w:val="20"/>
                <w:lang w:val="en-US"/>
              </w:rPr>
            </w:pPr>
            <w:r>
              <w:rPr>
                <w:rFonts w:ascii="Arial Narrow" w:hAnsi="Arial Narrow" w:cs="Times New Roman"/>
                <w:snapToGrid/>
                <w:color w:val="000000"/>
                <w:sz w:val="20"/>
                <w:lang w:val="en-US"/>
              </w:rPr>
              <w:t>1.07 (</w:t>
            </w:r>
            <w:r w:rsidRPr="004F6B37">
              <w:rPr>
                <w:rFonts w:ascii="Arial Narrow" w:hAnsi="Arial Narrow" w:cs="Times New Roman"/>
                <w:snapToGrid/>
                <w:color w:val="000000"/>
                <w:sz w:val="20"/>
                <w:lang w:val="en-US"/>
              </w:rPr>
              <w:t>0.97, 1.17</w:t>
            </w:r>
            <w:r>
              <w:rPr>
                <w:rFonts w:ascii="Arial Narrow" w:hAnsi="Arial Narrow" w:cs="Times New Roman"/>
                <w:snapToGrid/>
                <w:color w:val="000000"/>
                <w:sz w:val="20"/>
                <w:lang w:val="en-US"/>
              </w:rPr>
              <w:t>)</w:t>
            </w:r>
          </w:p>
        </w:tc>
        <w:tc>
          <w:tcPr>
            <w:tcW w:w="9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0E1" w:rsidRPr="004F6B37" w:rsidRDefault="003710E1" w:rsidP="0005153E">
            <w:pPr>
              <w:widowControl/>
              <w:jc w:val="center"/>
              <w:rPr>
                <w:rFonts w:ascii="Arial Narrow" w:hAnsi="Arial Narrow" w:cs="Times New Roman"/>
                <w:snapToGrid/>
                <w:color w:val="000000"/>
                <w:sz w:val="20"/>
                <w:lang w:val="en-US"/>
              </w:rPr>
            </w:pPr>
            <w:r w:rsidRPr="00F445B0">
              <w:rPr>
                <w:rFonts w:ascii="Arial Narrow" w:hAnsi="Arial Narrow" w:cs="Times New Roman"/>
                <w:snapToGrid/>
                <w:color w:val="000000"/>
                <w:sz w:val="20"/>
                <w:lang w:val="en-US"/>
              </w:rPr>
              <w:t>1.04 (0.96, 1.14)</w:t>
            </w:r>
          </w:p>
        </w:tc>
        <w:tc>
          <w:tcPr>
            <w:tcW w:w="11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3710E1" w:rsidRPr="004F6B37" w:rsidRDefault="003710E1" w:rsidP="0005153E">
            <w:pPr>
              <w:widowControl/>
              <w:jc w:val="center"/>
              <w:rPr>
                <w:rFonts w:ascii="Arial Narrow" w:hAnsi="Arial Narrow" w:cs="Times New Roman"/>
                <w:snapToGrid/>
                <w:color w:val="000000"/>
                <w:sz w:val="20"/>
                <w:lang w:val="en-US"/>
              </w:rPr>
            </w:pPr>
            <w:r w:rsidRPr="00F445B0">
              <w:rPr>
                <w:rFonts w:ascii="Arial Narrow" w:hAnsi="Arial Narrow" w:cs="Times New Roman"/>
                <w:snapToGrid/>
                <w:color w:val="000000"/>
                <w:sz w:val="20"/>
                <w:lang w:val="en-US"/>
              </w:rPr>
              <w:t>1.03 (0.91, 1.17)</w:t>
            </w:r>
          </w:p>
        </w:tc>
      </w:tr>
      <w:tr w:rsidR="00983131" w:rsidRPr="003F4EE7" w:rsidTr="00983131">
        <w:tblPrEx>
          <w:tblCellMar>
            <w:left w:w="108" w:type="dxa"/>
            <w:right w:w="108" w:type="dxa"/>
          </w:tblCellMar>
          <w:tblLook w:val="04A0" w:firstRow="1" w:lastRow="0" w:firstColumn="1" w:lastColumn="0" w:noHBand="0" w:noVBand="1"/>
        </w:tblPrEx>
        <w:tc>
          <w:tcPr>
            <w:tcW w:w="1952" w:type="pct"/>
            <w:shd w:val="clear" w:color="auto" w:fill="auto"/>
            <w:noWrap/>
            <w:vAlign w:val="bottom"/>
            <w:hideMark/>
          </w:tcPr>
          <w:p w:rsidR="003710E1" w:rsidRPr="003F4EE7" w:rsidRDefault="003710E1" w:rsidP="0005153E">
            <w:pPr>
              <w:widowControl/>
              <w:tabs>
                <w:tab w:val="left" w:pos="162"/>
              </w:tabs>
              <w:jc w:val="left"/>
              <w:rPr>
                <w:rFonts w:ascii="Arial Narrow" w:hAnsi="Arial Narrow" w:cs="Times New Roman"/>
                <w:snapToGrid/>
                <w:color w:val="000000"/>
                <w:sz w:val="20"/>
                <w:lang w:val="en-US"/>
              </w:rPr>
            </w:pPr>
            <w:r>
              <w:rPr>
                <w:rFonts w:ascii="Arial Narrow" w:hAnsi="Arial Narrow" w:cs="Times New Roman"/>
                <w:snapToGrid/>
                <w:color w:val="000000"/>
                <w:sz w:val="20"/>
                <w:lang w:val="en-US"/>
              </w:rPr>
              <w:tab/>
              <w:t xml:space="preserve">Severe AE (Grade </w:t>
            </w:r>
            <w:r w:rsidRPr="006A20C4">
              <w:rPr>
                <w:rFonts w:ascii="Arial Narrow" w:hAnsi="Arial Narrow" w:cs="Times New Roman"/>
                <w:snapToGrid/>
                <w:color w:val="000000"/>
                <w:sz w:val="20"/>
                <w:lang w:val="en-US"/>
              </w:rPr>
              <w:t>≥</w:t>
            </w:r>
            <w:r>
              <w:rPr>
                <w:rFonts w:ascii="Arial Narrow" w:hAnsi="Arial Narrow" w:cs="Times New Roman"/>
                <w:snapToGrid/>
                <w:color w:val="000000"/>
                <w:sz w:val="20"/>
                <w:lang w:val="en-US"/>
              </w:rPr>
              <w:t>3)</w:t>
            </w:r>
          </w:p>
        </w:tc>
        <w:tc>
          <w:tcPr>
            <w:tcW w:w="951" w:type="pct"/>
            <w:shd w:val="clear" w:color="auto" w:fill="auto"/>
            <w:noWrap/>
            <w:vAlign w:val="bottom"/>
            <w:hideMark/>
          </w:tcPr>
          <w:p w:rsidR="003710E1" w:rsidRPr="003F4EE7" w:rsidRDefault="003710E1" w:rsidP="0005153E">
            <w:pPr>
              <w:widowControl/>
              <w:jc w:val="center"/>
              <w:rPr>
                <w:rFonts w:ascii="Arial Narrow" w:hAnsi="Arial Narrow" w:cs="Times New Roman"/>
                <w:snapToGrid/>
                <w:color w:val="000000"/>
                <w:sz w:val="20"/>
                <w:lang w:val="en-US"/>
              </w:rPr>
            </w:pPr>
            <w:r>
              <w:rPr>
                <w:rFonts w:ascii="Arial Narrow" w:hAnsi="Arial Narrow" w:cs="Times New Roman"/>
                <w:snapToGrid/>
                <w:color w:val="000000"/>
                <w:sz w:val="20"/>
                <w:lang w:val="en-US"/>
              </w:rPr>
              <w:t>2.07 (</w:t>
            </w:r>
            <w:r w:rsidRPr="003F4EE7">
              <w:rPr>
                <w:rFonts w:ascii="Arial Narrow" w:hAnsi="Arial Narrow" w:cs="Times New Roman"/>
                <w:snapToGrid/>
                <w:color w:val="000000"/>
                <w:sz w:val="20"/>
                <w:lang w:val="en-US"/>
              </w:rPr>
              <w:t>1.70, 2.52</w:t>
            </w:r>
            <w:r>
              <w:rPr>
                <w:rFonts w:ascii="Arial Narrow" w:hAnsi="Arial Narrow" w:cs="Times New Roman"/>
                <w:snapToGrid/>
                <w:color w:val="000000"/>
                <w:sz w:val="20"/>
                <w:lang w:val="en-US"/>
              </w:rPr>
              <w:t>)</w:t>
            </w:r>
          </w:p>
        </w:tc>
        <w:tc>
          <w:tcPr>
            <w:tcW w:w="951" w:type="pct"/>
            <w:shd w:val="clear" w:color="auto" w:fill="auto"/>
            <w:noWrap/>
            <w:vAlign w:val="bottom"/>
            <w:hideMark/>
          </w:tcPr>
          <w:p w:rsidR="003710E1" w:rsidRPr="003F4EE7" w:rsidRDefault="003710E1" w:rsidP="0005153E">
            <w:pPr>
              <w:widowControl/>
              <w:jc w:val="center"/>
              <w:rPr>
                <w:rFonts w:ascii="Arial Narrow" w:hAnsi="Arial Narrow" w:cs="Times New Roman"/>
                <w:snapToGrid/>
                <w:color w:val="000000"/>
                <w:sz w:val="20"/>
                <w:lang w:val="en-US"/>
              </w:rPr>
            </w:pPr>
            <w:r>
              <w:rPr>
                <w:rFonts w:ascii="Arial Narrow" w:hAnsi="Arial Narrow" w:cs="Times New Roman"/>
                <w:snapToGrid/>
                <w:color w:val="000000"/>
                <w:sz w:val="20"/>
                <w:lang w:val="en-US"/>
              </w:rPr>
              <w:t>0.59 (0.42, 0.82)</w:t>
            </w:r>
          </w:p>
        </w:tc>
        <w:tc>
          <w:tcPr>
            <w:tcW w:w="1146" w:type="pct"/>
            <w:shd w:val="clear" w:color="auto" w:fill="auto"/>
            <w:noWrap/>
            <w:vAlign w:val="bottom"/>
            <w:hideMark/>
          </w:tcPr>
          <w:p w:rsidR="003710E1" w:rsidRPr="003F4EE7" w:rsidRDefault="003710E1" w:rsidP="0005153E">
            <w:pPr>
              <w:widowControl/>
              <w:jc w:val="center"/>
              <w:rPr>
                <w:rFonts w:ascii="Arial Narrow" w:hAnsi="Arial Narrow" w:cs="Times New Roman"/>
                <w:snapToGrid/>
                <w:color w:val="000000"/>
                <w:sz w:val="20"/>
                <w:lang w:val="en-US"/>
              </w:rPr>
            </w:pPr>
            <w:r>
              <w:rPr>
                <w:rFonts w:ascii="Arial Narrow" w:hAnsi="Arial Narrow" w:cs="Times New Roman"/>
                <w:snapToGrid/>
                <w:color w:val="000000"/>
                <w:sz w:val="20"/>
                <w:lang w:val="en-US"/>
              </w:rPr>
              <w:t>3.51 (2.38, 5.17)</w:t>
            </w:r>
          </w:p>
        </w:tc>
      </w:tr>
      <w:tr w:rsidR="00983131" w:rsidRPr="003F4EE7" w:rsidTr="00983131">
        <w:tblPrEx>
          <w:tblCellMar>
            <w:left w:w="108" w:type="dxa"/>
            <w:right w:w="108" w:type="dxa"/>
          </w:tblCellMar>
          <w:tblLook w:val="04A0" w:firstRow="1" w:lastRow="0" w:firstColumn="1" w:lastColumn="0" w:noHBand="0" w:noVBand="1"/>
        </w:tblPrEx>
        <w:tc>
          <w:tcPr>
            <w:tcW w:w="1952" w:type="pct"/>
            <w:shd w:val="clear" w:color="auto" w:fill="auto"/>
            <w:noWrap/>
            <w:vAlign w:val="bottom"/>
            <w:hideMark/>
          </w:tcPr>
          <w:p w:rsidR="003710E1" w:rsidRPr="003F4EE7" w:rsidRDefault="003710E1" w:rsidP="0005153E">
            <w:pPr>
              <w:widowControl/>
              <w:tabs>
                <w:tab w:val="left" w:pos="162"/>
              </w:tabs>
              <w:jc w:val="left"/>
              <w:rPr>
                <w:rFonts w:ascii="Arial Narrow" w:hAnsi="Arial Narrow" w:cs="Times New Roman"/>
                <w:snapToGrid/>
                <w:color w:val="000000"/>
                <w:sz w:val="20"/>
                <w:lang w:val="en-US"/>
              </w:rPr>
            </w:pPr>
            <w:r>
              <w:rPr>
                <w:rFonts w:ascii="Arial Narrow" w:hAnsi="Arial Narrow" w:cs="Times New Roman"/>
                <w:snapToGrid/>
                <w:color w:val="000000"/>
                <w:sz w:val="20"/>
                <w:lang w:val="en-US"/>
              </w:rPr>
              <w:tab/>
              <w:t>AE leading to discontinuation</w:t>
            </w:r>
          </w:p>
        </w:tc>
        <w:tc>
          <w:tcPr>
            <w:tcW w:w="951" w:type="pct"/>
            <w:shd w:val="clear" w:color="auto" w:fill="auto"/>
            <w:noWrap/>
            <w:vAlign w:val="bottom"/>
            <w:hideMark/>
          </w:tcPr>
          <w:p w:rsidR="003710E1" w:rsidRPr="003F4EE7" w:rsidRDefault="003710E1" w:rsidP="0005153E">
            <w:pPr>
              <w:widowControl/>
              <w:jc w:val="center"/>
              <w:rPr>
                <w:rFonts w:ascii="Arial Narrow" w:hAnsi="Arial Narrow" w:cs="Times New Roman"/>
                <w:snapToGrid/>
                <w:color w:val="000000"/>
                <w:sz w:val="20"/>
                <w:lang w:val="en-US"/>
              </w:rPr>
            </w:pPr>
            <w:r>
              <w:rPr>
                <w:rFonts w:ascii="Arial Narrow" w:hAnsi="Arial Narrow" w:cs="Times New Roman"/>
                <w:snapToGrid/>
                <w:color w:val="000000"/>
                <w:sz w:val="20"/>
                <w:lang w:val="en-US"/>
              </w:rPr>
              <w:t>2.59 (</w:t>
            </w:r>
            <w:r w:rsidRPr="003F4EE7">
              <w:rPr>
                <w:rFonts w:ascii="Arial Narrow" w:hAnsi="Arial Narrow" w:cs="Times New Roman"/>
                <w:snapToGrid/>
                <w:color w:val="000000"/>
                <w:sz w:val="20"/>
                <w:lang w:val="en-US"/>
              </w:rPr>
              <w:t>1.92, 3.49</w:t>
            </w:r>
            <w:r>
              <w:rPr>
                <w:rFonts w:ascii="Arial Narrow" w:hAnsi="Arial Narrow" w:cs="Times New Roman"/>
                <w:snapToGrid/>
                <w:color w:val="000000"/>
                <w:sz w:val="20"/>
                <w:lang w:val="en-US"/>
              </w:rPr>
              <w:t>)</w:t>
            </w:r>
          </w:p>
        </w:tc>
        <w:tc>
          <w:tcPr>
            <w:tcW w:w="951" w:type="pct"/>
            <w:shd w:val="clear" w:color="auto" w:fill="auto"/>
            <w:noWrap/>
            <w:vAlign w:val="bottom"/>
            <w:hideMark/>
          </w:tcPr>
          <w:p w:rsidR="003710E1" w:rsidRPr="003F4EE7" w:rsidRDefault="003710E1" w:rsidP="0005153E">
            <w:pPr>
              <w:widowControl/>
              <w:jc w:val="center"/>
              <w:rPr>
                <w:rFonts w:ascii="Arial Narrow" w:hAnsi="Arial Narrow" w:cs="Times New Roman"/>
                <w:snapToGrid/>
                <w:color w:val="000000"/>
                <w:sz w:val="20"/>
                <w:lang w:val="en-US"/>
              </w:rPr>
            </w:pPr>
            <w:r>
              <w:rPr>
                <w:rFonts w:ascii="Arial Narrow" w:hAnsi="Arial Narrow" w:cs="Times New Roman"/>
                <w:snapToGrid/>
                <w:color w:val="000000"/>
                <w:sz w:val="20"/>
                <w:lang w:val="en-US"/>
              </w:rPr>
              <w:t>0.58 (0.34, 0.97)</w:t>
            </w:r>
          </w:p>
        </w:tc>
        <w:tc>
          <w:tcPr>
            <w:tcW w:w="1146" w:type="pct"/>
            <w:shd w:val="clear" w:color="auto" w:fill="auto"/>
            <w:noWrap/>
            <w:vAlign w:val="bottom"/>
            <w:hideMark/>
          </w:tcPr>
          <w:p w:rsidR="003710E1" w:rsidRPr="003F4EE7" w:rsidRDefault="003710E1" w:rsidP="0005153E">
            <w:pPr>
              <w:widowControl/>
              <w:jc w:val="center"/>
              <w:rPr>
                <w:rFonts w:ascii="Arial Narrow" w:hAnsi="Arial Narrow" w:cs="Times New Roman"/>
                <w:snapToGrid/>
                <w:color w:val="000000"/>
                <w:sz w:val="20"/>
                <w:lang w:val="en-US"/>
              </w:rPr>
            </w:pPr>
            <w:r>
              <w:rPr>
                <w:rFonts w:ascii="Arial Narrow" w:hAnsi="Arial Narrow" w:cs="Times New Roman"/>
                <w:snapToGrid/>
                <w:color w:val="000000"/>
                <w:sz w:val="20"/>
                <w:lang w:val="en-US"/>
              </w:rPr>
              <w:t>4.47 (2.44, 8.16)</w:t>
            </w:r>
          </w:p>
        </w:tc>
      </w:tr>
    </w:tbl>
    <w:p w:rsidR="003710E1" w:rsidRDefault="00A97408" w:rsidP="003710E1">
      <w:pPr>
        <w:pStyle w:val="TableFooter"/>
        <w:ind w:left="720"/>
      </w:pPr>
      <w:r>
        <w:t>Source: c</w:t>
      </w:r>
      <w:r w:rsidR="003710E1">
        <w:t>ompiled during the evaluation.</w:t>
      </w:r>
    </w:p>
    <w:p w:rsidR="003710E1" w:rsidRDefault="00A97408" w:rsidP="003710E1">
      <w:pPr>
        <w:pStyle w:val="TableFooter"/>
        <w:ind w:left="720"/>
      </w:pPr>
      <w:r>
        <w:t>AE = adverse event</w:t>
      </w:r>
      <w:r w:rsidR="003710E1">
        <w:t xml:space="preserve">; CI = confidence interval; </w:t>
      </w:r>
      <w:proofErr w:type="spellStart"/>
      <w:r w:rsidR="003710E1">
        <w:t>Ipi</w:t>
      </w:r>
      <w:proofErr w:type="spellEnd"/>
      <w:r w:rsidR="003710E1">
        <w:t xml:space="preserve"> = </w:t>
      </w:r>
      <w:proofErr w:type="spellStart"/>
      <w:r w:rsidR="003710E1">
        <w:t>ipilimumab</w:t>
      </w:r>
      <w:proofErr w:type="spellEnd"/>
      <w:r w:rsidR="003710E1">
        <w:t xml:space="preserve">; </w:t>
      </w:r>
      <w:proofErr w:type="spellStart"/>
      <w:r w:rsidR="003710E1">
        <w:t>Nivo</w:t>
      </w:r>
      <w:proofErr w:type="spellEnd"/>
      <w:r w:rsidR="003710E1">
        <w:t xml:space="preserve"> = </w:t>
      </w:r>
      <w:proofErr w:type="spellStart"/>
      <w:r w:rsidR="003710E1">
        <w:t>nivolumab</w:t>
      </w:r>
      <w:proofErr w:type="spellEnd"/>
      <w:r w:rsidR="003710E1">
        <w:t xml:space="preserve">; </w:t>
      </w:r>
      <w:r w:rsidR="00DD7DF2">
        <w:t xml:space="preserve">NR = not reported; </w:t>
      </w:r>
      <w:r w:rsidR="003710E1">
        <w:t xml:space="preserve">OR = odds ratio; </w:t>
      </w:r>
      <w:proofErr w:type="spellStart"/>
      <w:r w:rsidR="003710E1">
        <w:t>Pembro</w:t>
      </w:r>
      <w:proofErr w:type="spellEnd"/>
      <w:r w:rsidR="003710E1">
        <w:t xml:space="preserve"> = </w:t>
      </w:r>
      <w:proofErr w:type="spellStart"/>
      <w:r w:rsidR="003710E1">
        <w:t>pembrolizumab</w:t>
      </w:r>
      <w:proofErr w:type="spellEnd"/>
      <w:r w:rsidR="003710E1">
        <w:t>; Q2W = every 2 weeks; Q3W = every 3 weeks; RD = risk difference; RR = risk ratio</w:t>
      </w:r>
    </w:p>
    <w:p w:rsidR="003710E1" w:rsidRDefault="003710E1" w:rsidP="003710E1">
      <w:pPr>
        <w:pStyle w:val="TableFooter"/>
        <w:ind w:left="720"/>
      </w:pPr>
      <w:r>
        <w:t>*Pooled CA209-067 and CA209-069 data</w:t>
      </w:r>
      <w:r w:rsidR="00A97408">
        <w:t>.</w:t>
      </w:r>
    </w:p>
    <w:p w:rsidR="003710E1" w:rsidRDefault="003710E1" w:rsidP="003710E1">
      <w:pPr>
        <w:pStyle w:val="TableFooter"/>
        <w:ind w:left="720"/>
      </w:pPr>
      <w:r>
        <w:t>**Q2W and Q3W arms of KN-006</w:t>
      </w:r>
      <w:r w:rsidR="00A97408">
        <w:t>.</w:t>
      </w:r>
    </w:p>
    <w:p w:rsidR="003710E1" w:rsidRPr="00A97408" w:rsidRDefault="003710E1" w:rsidP="00A97408">
      <w:pPr>
        <w:widowControl/>
        <w:rPr>
          <w:szCs w:val="22"/>
        </w:rPr>
      </w:pPr>
    </w:p>
    <w:p w:rsidR="003E147C" w:rsidRPr="00743E84" w:rsidRDefault="003E147C" w:rsidP="003E147C">
      <w:pPr>
        <w:pStyle w:val="ListParagraph"/>
        <w:widowControl/>
        <w:numPr>
          <w:ilvl w:val="1"/>
          <w:numId w:val="6"/>
        </w:numPr>
        <w:rPr>
          <w:szCs w:val="22"/>
        </w:rPr>
      </w:pPr>
      <w:r w:rsidRPr="00743E84">
        <w:t xml:space="preserve">Compared to </w:t>
      </w:r>
      <w:proofErr w:type="spellStart"/>
      <w:r w:rsidRPr="00743E84">
        <w:t>ipilimumab</w:t>
      </w:r>
      <w:proofErr w:type="spellEnd"/>
      <w:r w:rsidRPr="00743E84">
        <w:t xml:space="preserve"> monotherapy, </w:t>
      </w:r>
      <w:proofErr w:type="spellStart"/>
      <w:r w:rsidRPr="00743E84">
        <w:t>nivolumab</w:t>
      </w:r>
      <w:proofErr w:type="spellEnd"/>
      <w:r w:rsidRPr="00743E84">
        <w:t xml:space="preserve"> plus </w:t>
      </w:r>
      <w:proofErr w:type="spellStart"/>
      <w:r w:rsidRPr="00743E84">
        <w:t>ipilimumab</w:t>
      </w:r>
      <w:proofErr w:type="spellEnd"/>
      <w:r w:rsidRPr="00743E84">
        <w:t xml:space="preserve"> had statistically significant higher rates of serious adverse events, severe adverse events (grade 3 or higher), endocrine gastrointestinal</w:t>
      </w:r>
      <w:r>
        <w:t>, hepa</w:t>
      </w:r>
      <w:r w:rsidRPr="00743E84">
        <w:t>tic or pulmonary events, and adverse events leading to discontinuation.</w:t>
      </w:r>
    </w:p>
    <w:p w:rsidR="003E147C" w:rsidRPr="00743E84" w:rsidRDefault="003E147C" w:rsidP="00C75C26">
      <w:pPr>
        <w:widowControl/>
        <w:rPr>
          <w:szCs w:val="22"/>
        </w:rPr>
      </w:pPr>
    </w:p>
    <w:p w:rsidR="003E147C" w:rsidRPr="00185700" w:rsidRDefault="003E147C" w:rsidP="003E147C">
      <w:pPr>
        <w:pStyle w:val="ListParagraph"/>
        <w:widowControl/>
        <w:numPr>
          <w:ilvl w:val="1"/>
          <w:numId w:val="6"/>
        </w:numPr>
        <w:rPr>
          <w:szCs w:val="22"/>
        </w:rPr>
      </w:pPr>
      <w:r w:rsidRPr="00743E84">
        <w:t xml:space="preserve">Compared to </w:t>
      </w:r>
      <w:proofErr w:type="spellStart"/>
      <w:r w:rsidRPr="00743E84">
        <w:t>nivolumab</w:t>
      </w:r>
      <w:proofErr w:type="spellEnd"/>
      <w:r w:rsidRPr="00743E84">
        <w:t xml:space="preserve"> monotherapy, </w:t>
      </w:r>
      <w:proofErr w:type="spellStart"/>
      <w:r w:rsidRPr="00743E84">
        <w:t>nivolumab</w:t>
      </w:r>
      <w:proofErr w:type="spellEnd"/>
      <w:r w:rsidRPr="00743E84">
        <w:t xml:space="preserve"> plus ipilimumab had statistically significant higher rates of</w:t>
      </w:r>
      <w:r>
        <w:rPr>
          <w:color w:val="3366FF"/>
        </w:rPr>
        <w:t xml:space="preserve"> </w:t>
      </w:r>
      <w:r w:rsidR="00A97408" w:rsidRPr="00185700">
        <w:t>study drug-</w:t>
      </w:r>
      <w:r w:rsidRPr="00185700">
        <w:t>related adverse events</w:t>
      </w:r>
      <w:r w:rsidR="00A97408" w:rsidRPr="00185700">
        <w:t>, serious drug-</w:t>
      </w:r>
      <w:r w:rsidRPr="00185700">
        <w:t xml:space="preserve">related </w:t>
      </w:r>
      <w:r w:rsidRPr="00185700">
        <w:lastRenderedPageBreak/>
        <w:t>adverse events</w:t>
      </w:r>
      <w:r w:rsidR="00A97408" w:rsidRPr="00185700">
        <w:t>, severe drug-</w:t>
      </w:r>
      <w:r w:rsidRPr="00185700">
        <w:t>related adverse events</w:t>
      </w:r>
      <w:r w:rsidR="00A97408" w:rsidRPr="00185700">
        <w:t xml:space="preserve"> and drug-</w:t>
      </w:r>
      <w:r w:rsidRPr="00185700">
        <w:t>related adverse events leading to discontinuation.</w:t>
      </w:r>
    </w:p>
    <w:p w:rsidR="003E147C" w:rsidRPr="00743E84" w:rsidRDefault="003E147C" w:rsidP="00C75C26">
      <w:pPr>
        <w:widowControl/>
        <w:rPr>
          <w:szCs w:val="22"/>
        </w:rPr>
      </w:pPr>
    </w:p>
    <w:p w:rsidR="003E147C" w:rsidRDefault="003E147C" w:rsidP="003E147C">
      <w:pPr>
        <w:pStyle w:val="ListParagraph"/>
        <w:widowControl/>
        <w:numPr>
          <w:ilvl w:val="1"/>
          <w:numId w:val="6"/>
        </w:numPr>
        <w:rPr>
          <w:szCs w:val="22"/>
        </w:rPr>
      </w:pPr>
      <w:r>
        <w:rPr>
          <w:szCs w:val="22"/>
        </w:rPr>
        <w:t xml:space="preserve">Compared to </w:t>
      </w:r>
      <w:proofErr w:type="spellStart"/>
      <w:r>
        <w:rPr>
          <w:szCs w:val="22"/>
        </w:rPr>
        <w:t>pembrolizumab</w:t>
      </w:r>
      <w:proofErr w:type="spellEnd"/>
      <w:r>
        <w:rPr>
          <w:szCs w:val="22"/>
        </w:rPr>
        <w:t xml:space="preserve">, </w:t>
      </w:r>
      <w:proofErr w:type="spellStart"/>
      <w:r>
        <w:rPr>
          <w:szCs w:val="22"/>
        </w:rPr>
        <w:t>nivolumab</w:t>
      </w:r>
      <w:proofErr w:type="spellEnd"/>
      <w:r>
        <w:rPr>
          <w:szCs w:val="22"/>
        </w:rPr>
        <w:t xml:space="preserve"> plus </w:t>
      </w:r>
      <w:proofErr w:type="spellStart"/>
      <w:r>
        <w:rPr>
          <w:szCs w:val="22"/>
        </w:rPr>
        <w:t>ipilimumab</w:t>
      </w:r>
      <w:proofErr w:type="spellEnd"/>
      <w:r>
        <w:rPr>
          <w:szCs w:val="22"/>
        </w:rPr>
        <w:t xml:space="preserve"> had statistically significant higher rates of severe adverse events, adverse events leading to discontinuation and </w:t>
      </w:r>
      <w:r w:rsidR="00A97408">
        <w:rPr>
          <w:szCs w:val="22"/>
        </w:rPr>
        <w:t>drug-</w:t>
      </w:r>
      <w:r>
        <w:rPr>
          <w:szCs w:val="22"/>
        </w:rPr>
        <w:t xml:space="preserve">related adverse events leading to death. </w:t>
      </w:r>
      <w:r w:rsidRPr="00743E84">
        <w:rPr>
          <w:szCs w:val="22"/>
        </w:rPr>
        <w:t xml:space="preserve">The submission considered that the safety comparison against </w:t>
      </w:r>
      <w:proofErr w:type="spellStart"/>
      <w:r w:rsidRPr="00743E84">
        <w:rPr>
          <w:szCs w:val="22"/>
        </w:rPr>
        <w:t>pembrolizumab</w:t>
      </w:r>
      <w:proofErr w:type="spellEnd"/>
      <w:r w:rsidRPr="00743E84">
        <w:rPr>
          <w:szCs w:val="22"/>
        </w:rPr>
        <w:t xml:space="preserve"> should be considered in light of the small numbers of patients being compared.</w:t>
      </w:r>
    </w:p>
    <w:p w:rsidR="003E147C" w:rsidRPr="00247B98" w:rsidRDefault="003E147C" w:rsidP="00C75C26">
      <w:pPr>
        <w:widowControl/>
        <w:rPr>
          <w:szCs w:val="22"/>
        </w:rPr>
      </w:pPr>
    </w:p>
    <w:p w:rsidR="003E147C" w:rsidRPr="00A97408" w:rsidRDefault="003E147C" w:rsidP="003E147C">
      <w:pPr>
        <w:pStyle w:val="ListParagraph"/>
        <w:widowControl/>
        <w:numPr>
          <w:ilvl w:val="1"/>
          <w:numId w:val="6"/>
        </w:numPr>
        <w:rPr>
          <w:szCs w:val="22"/>
        </w:rPr>
      </w:pPr>
      <w:r w:rsidRPr="00185700">
        <w:t>The analysis show</w:t>
      </w:r>
      <w:r w:rsidR="00E408F9">
        <w:t>ed</w:t>
      </w:r>
      <w:r w:rsidRPr="00185700">
        <w:t xml:space="preserve"> across all comparisons a </w:t>
      </w:r>
      <w:r w:rsidR="001E4751">
        <w:t>worse</w:t>
      </w:r>
      <w:r w:rsidRPr="00185700">
        <w:t xml:space="preserve"> toxicity profile related to </w:t>
      </w:r>
      <w:proofErr w:type="spellStart"/>
      <w:r w:rsidRPr="00185700">
        <w:t>nivolumab</w:t>
      </w:r>
      <w:proofErr w:type="spellEnd"/>
      <w:r w:rsidRPr="00185700">
        <w:t xml:space="preserve"> plus </w:t>
      </w:r>
      <w:proofErr w:type="spellStart"/>
      <w:r w:rsidRPr="00185700">
        <w:t>ipilimumab</w:t>
      </w:r>
      <w:proofErr w:type="spellEnd"/>
      <w:r w:rsidRPr="00185700">
        <w:t xml:space="preserve"> treatment, particularly in serious and severe adverse events and </w:t>
      </w:r>
      <w:r w:rsidR="001E4751">
        <w:t xml:space="preserve">in </w:t>
      </w:r>
      <w:r w:rsidRPr="00185700">
        <w:t>adverse eve</w:t>
      </w:r>
      <w:r w:rsidR="00A97408" w:rsidRPr="00185700">
        <w:t>nts leading to discontinuation</w:t>
      </w:r>
      <w:r w:rsidR="00A97408">
        <w:rPr>
          <w:i/>
        </w:rPr>
        <w:t>.</w:t>
      </w:r>
    </w:p>
    <w:p w:rsidR="003E147C" w:rsidRDefault="003E147C" w:rsidP="007F1017">
      <w:pPr>
        <w:pStyle w:val="ListParagraph"/>
        <w:ind w:left="0"/>
        <w:rPr>
          <w:szCs w:val="22"/>
        </w:rPr>
      </w:pPr>
    </w:p>
    <w:p w:rsidR="003E147C" w:rsidRPr="002C2775" w:rsidRDefault="003E147C" w:rsidP="00AF0595">
      <w:pPr>
        <w:pStyle w:val="Heading2"/>
      </w:pPr>
      <w:bookmarkStart w:id="11" w:name="_Toc430097332"/>
      <w:r w:rsidRPr="002C2775">
        <w:t>Benefits/harms</w:t>
      </w:r>
      <w:bookmarkEnd w:id="11"/>
    </w:p>
    <w:p w:rsidR="003E147C" w:rsidRDefault="003E147C" w:rsidP="00C75C26">
      <w:pPr>
        <w:widowControl/>
      </w:pPr>
    </w:p>
    <w:p w:rsidR="003E147C" w:rsidRPr="00B50DB8" w:rsidRDefault="0062235A" w:rsidP="003E147C">
      <w:pPr>
        <w:pStyle w:val="ListParagraph"/>
        <w:widowControl/>
        <w:numPr>
          <w:ilvl w:val="1"/>
          <w:numId w:val="6"/>
        </w:numPr>
        <w:rPr>
          <w:szCs w:val="22"/>
        </w:rPr>
      </w:pPr>
      <w:r>
        <w:rPr>
          <w:szCs w:val="22"/>
        </w:rPr>
        <w:t xml:space="preserve">Table </w:t>
      </w:r>
      <w:r w:rsidR="00503AAF">
        <w:rPr>
          <w:szCs w:val="22"/>
        </w:rPr>
        <w:t>9</w:t>
      </w:r>
      <w:r>
        <w:rPr>
          <w:szCs w:val="22"/>
        </w:rPr>
        <w:t xml:space="preserve"> presents a</w:t>
      </w:r>
      <w:r w:rsidR="003E147C" w:rsidRPr="00B50DB8">
        <w:rPr>
          <w:szCs w:val="22"/>
        </w:rPr>
        <w:t xml:space="preserve"> summary of the comp</w:t>
      </w:r>
      <w:r w:rsidR="003E147C">
        <w:rPr>
          <w:szCs w:val="22"/>
        </w:rPr>
        <w:t xml:space="preserve">arative benefits and harms for </w:t>
      </w:r>
      <w:proofErr w:type="spellStart"/>
      <w:r w:rsidR="003E147C">
        <w:rPr>
          <w:szCs w:val="22"/>
        </w:rPr>
        <w:t>nivolumab</w:t>
      </w:r>
      <w:proofErr w:type="spellEnd"/>
      <w:r w:rsidR="003E147C">
        <w:rPr>
          <w:szCs w:val="22"/>
        </w:rPr>
        <w:t xml:space="preserve"> plus </w:t>
      </w:r>
      <w:proofErr w:type="spellStart"/>
      <w:r w:rsidR="003E147C">
        <w:rPr>
          <w:szCs w:val="22"/>
        </w:rPr>
        <w:t>ipilimumab</w:t>
      </w:r>
      <w:proofErr w:type="spellEnd"/>
      <w:r w:rsidR="003E147C">
        <w:rPr>
          <w:szCs w:val="22"/>
        </w:rPr>
        <w:t xml:space="preserve"> versus ipilimumab monotherapy</w:t>
      </w:r>
      <w:r w:rsidR="00A97408">
        <w:rPr>
          <w:szCs w:val="22"/>
        </w:rPr>
        <w:t>.</w:t>
      </w:r>
    </w:p>
    <w:p w:rsidR="003E147C" w:rsidRDefault="003E147C" w:rsidP="004B1CB4"/>
    <w:p w:rsidR="003E147C" w:rsidRPr="00A578DC" w:rsidRDefault="003E147C" w:rsidP="00552BD3">
      <w:pPr>
        <w:ind w:firstLine="720"/>
        <w:rPr>
          <w:rStyle w:val="CommentReference"/>
        </w:rPr>
      </w:pPr>
      <w:r>
        <w:rPr>
          <w:rStyle w:val="CommentReference"/>
        </w:rPr>
        <w:t xml:space="preserve">Table </w:t>
      </w:r>
      <w:r w:rsidR="00503AAF">
        <w:rPr>
          <w:rStyle w:val="CommentReference"/>
        </w:rPr>
        <w:t>9</w:t>
      </w:r>
      <w:r w:rsidRPr="00A578DC">
        <w:rPr>
          <w:rStyle w:val="CommentReference"/>
        </w:rPr>
        <w:t xml:space="preserve">: Summary of comparative benefits and harms for </w:t>
      </w:r>
      <w:proofErr w:type="spellStart"/>
      <w:r>
        <w:rPr>
          <w:rStyle w:val="CommentReference"/>
        </w:rPr>
        <w:t>Nivo</w:t>
      </w:r>
      <w:proofErr w:type="spellEnd"/>
      <w:r>
        <w:rPr>
          <w:rStyle w:val="CommentReference"/>
        </w:rPr>
        <w:t xml:space="preserve"> </w:t>
      </w:r>
      <w:r w:rsidR="00E52335">
        <w:rPr>
          <w:rStyle w:val="CommentReference"/>
        </w:rPr>
        <w:t xml:space="preserve">+ </w:t>
      </w:r>
      <w:proofErr w:type="spellStart"/>
      <w:r>
        <w:rPr>
          <w:rStyle w:val="CommentReference"/>
        </w:rPr>
        <w:t>Ipi</w:t>
      </w:r>
      <w:proofErr w:type="spellEnd"/>
      <w:r>
        <w:rPr>
          <w:rStyle w:val="CommentReference"/>
        </w:rPr>
        <w:t xml:space="preserve"> </w:t>
      </w:r>
      <w:r w:rsidR="00E52335">
        <w:rPr>
          <w:rStyle w:val="CommentReference"/>
        </w:rPr>
        <w:t xml:space="preserve">versus </w:t>
      </w:r>
      <w:proofErr w:type="spellStart"/>
      <w:r w:rsidR="00A97408">
        <w:rPr>
          <w:rStyle w:val="CommentReference"/>
        </w:rPr>
        <w:t>Ipi</w:t>
      </w:r>
      <w:proofErr w:type="spellEnd"/>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9: Summary of comparative benefits and harms for Nivo + Ipi versus Ipi"/>
      </w:tblPr>
      <w:tblGrid>
        <w:gridCol w:w="890"/>
        <w:gridCol w:w="1422"/>
        <w:gridCol w:w="17"/>
        <w:gridCol w:w="120"/>
        <w:gridCol w:w="1170"/>
        <w:gridCol w:w="393"/>
        <w:gridCol w:w="1175"/>
        <w:gridCol w:w="249"/>
        <w:gridCol w:w="891"/>
        <w:gridCol w:w="809"/>
        <w:gridCol w:w="126"/>
        <w:gridCol w:w="1276"/>
      </w:tblGrid>
      <w:tr w:rsidR="003E147C" w:rsidRPr="00E2771E" w:rsidTr="006D73F0">
        <w:trPr>
          <w:tblHeader/>
        </w:trPr>
        <w:tc>
          <w:tcPr>
            <w:tcW w:w="5000" w:type="pct"/>
            <w:gridSpan w:val="12"/>
            <w:shd w:val="clear" w:color="auto" w:fill="auto"/>
            <w:vAlign w:val="center"/>
          </w:tcPr>
          <w:p w:rsidR="003E147C" w:rsidRPr="00E2771E" w:rsidRDefault="003E147C" w:rsidP="00EC00C9">
            <w:pPr>
              <w:rPr>
                <w:rFonts w:ascii="Arial Narrow" w:hAnsi="Arial Narrow"/>
                <w:b/>
                <w:color w:val="000000"/>
                <w:sz w:val="20"/>
                <w:szCs w:val="18"/>
              </w:rPr>
            </w:pPr>
            <w:r w:rsidRPr="00E2771E">
              <w:rPr>
                <w:rFonts w:ascii="Arial Narrow" w:hAnsi="Arial Narrow"/>
                <w:b/>
                <w:color w:val="000000"/>
                <w:sz w:val="20"/>
                <w:szCs w:val="18"/>
              </w:rPr>
              <w:t>Benefits</w:t>
            </w:r>
          </w:p>
        </w:tc>
      </w:tr>
      <w:tr w:rsidR="003E147C" w:rsidRPr="00E2771E" w:rsidTr="00552BD3">
        <w:tc>
          <w:tcPr>
            <w:tcW w:w="5000" w:type="pct"/>
            <w:gridSpan w:val="12"/>
            <w:shd w:val="clear" w:color="auto" w:fill="auto"/>
            <w:vAlign w:val="center"/>
          </w:tcPr>
          <w:p w:rsidR="003E147C" w:rsidRPr="00E2771E" w:rsidRDefault="003E147C" w:rsidP="00EC00C9">
            <w:pPr>
              <w:rPr>
                <w:rFonts w:ascii="Arial Narrow" w:hAnsi="Arial Narrow"/>
                <w:b/>
                <w:color w:val="000000"/>
                <w:sz w:val="20"/>
                <w:szCs w:val="18"/>
              </w:rPr>
            </w:pPr>
            <w:r>
              <w:rPr>
                <w:rFonts w:ascii="Arial Narrow" w:hAnsi="Arial Narrow"/>
                <w:b/>
                <w:color w:val="000000"/>
                <w:sz w:val="20"/>
                <w:szCs w:val="18"/>
              </w:rPr>
              <w:t>OS- CA209-069</w:t>
            </w:r>
          </w:p>
        </w:tc>
      </w:tr>
      <w:tr w:rsidR="003E147C" w:rsidRPr="00E2771E" w:rsidTr="0062235A">
        <w:tc>
          <w:tcPr>
            <w:tcW w:w="1434" w:type="pct"/>
            <w:gridSpan w:val="4"/>
            <w:shd w:val="clear" w:color="auto" w:fill="auto"/>
            <w:vAlign w:val="center"/>
          </w:tcPr>
          <w:p w:rsidR="003E147C" w:rsidRPr="00E2771E" w:rsidRDefault="003E147C" w:rsidP="00EC00C9">
            <w:pPr>
              <w:jc w:val="center"/>
              <w:rPr>
                <w:rFonts w:ascii="Arial Narrow" w:hAnsi="Arial Narrow"/>
                <w:color w:val="000000"/>
                <w:sz w:val="20"/>
                <w:szCs w:val="18"/>
              </w:rPr>
            </w:pPr>
          </w:p>
        </w:tc>
        <w:tc>
          <w:tcPr>
            <w:tcW w:w="915" w:type="pct"/>
            <w:gridSpan w:val="2"/>
            <w:vAlign w:val="center"/>
          </w:tcPr>
          <w:p w:rsidR="003E147C" w:rsidRPr="00E2771E" w:rsidRDefault="003E147C" w:rsidP="00B235DF">
            <w:pPr>
              <w:jc w:val="center"/>
              <w:rPr>
                <w:rFonts w:ascii="Arial Narrow" w:hAnsi="Arial Narrow"/>
                <w:b/>
                <w:color w:val="000000"/>
                <w:sz w:val="20"/>
                <w:szCs w:val="18"/>
              </w:rPr>
            </w:pPr>
            <w:proofErr w:type="spellStart"/>
            <w:r>
              <w:rPr>
                <w:rFonts w:ascii="Arial Narrow" w:hAnsi="Arial Narrow"/>
                <w:b/>
                <w:color w:val="000000"/>
                <w:sz w:val="20"/>
                <w:szCs w:val="18"/>
              </w:rPr>
              <w:t>Nivo</w:t>
            </w:r>
            <w:proofErr w:type="spellEnd"/>
            <w:r>
              <w:rPr>
                <w:rFonts w:ascii="Arial Narrow" w:hAnsi="Arial Narrow"/>
                <w:b/>
                <w:color w:val="000000"/>
                <w:sz w:val="20"/>
                <w:szCs w:val="18"/>
              </w:rPr>
              <w:t xml:space="preserve"> + </w:t>
            </w:r>
            <w:proofErr w:type="spellStart"/>
            <w:r>
              <w:rPr>
                <w:rFonts w:ascii="Arial Narrow" w:hAnsi="Arial Narrow"/>
                <w:b/>
                <w:color w:val="000000"/>
                <w:sz w:val="20"/>
                <w:szCs w:val="18"/>
              </w:rPr>
              <w:t>Ipi</w:t>
            </w:r>
            <w:proofErr w:type="spellEnd"/>
          </w:p>
        </w:tc>
        <w:tc>
          <w:tcPr>
            <w:tcW w:w="834" w:type="pct"/>
            <w:gridSpan w:val="2"/>
            <w:vAlign w:val="center"/>
          </w:tcPr>
          <w:p w:rsidR="003E147C" w:rsidRPr="00E2771E" w:rsidRDefault="003E147C" w:rsidP="00EC00C9">
            <w:pPr>
              <w:jc w:val="center"/>
              <w:rPr>
                <w:rFonts w:ascii="Arial Narrow" w:hAnsi="Arial Narrow"/>
                <w:b/>
                <w:color w:val="000000"/>
                <w:sz w:val="20"/>
                <w:szCs w:val="18"/>
              </w:rPr>
            </w:pPr>
            <w:proofErr w:type="spellStart"/>
            <w:r>
              <w:rPr>
                <w:rFonts w:ascii="Arial Narrow" w:hAnsi="Arial Narrow"/>
                <w:b/>
                <w:color w:val="000000"/>
                <w:sz w:val="20"/>
                <w:szCs w:val="18"/>
              </w:rPr>
              <w:t>Ipi</w:t>
            </w:r>
            <w:proofErr w:type="spellEnd"/>
          </w:p>
        </w:tc>
        <w:tc>
          <w:tcPr>
            <w:tcW w:w="996" w:type="pct"/>
            <w:gridSpan w:val="2"/>
            <w:vAlign w:val="center"/>
          </w:tcPr>
          <w:p w:rsidR="003E147C" w:rsidRPr="00E2771E" w:rsidRDefault="003E147C" w:rsidP="00A97408">
            <w:pPr>
              <w:jc w:val="center"/>
              <w:rPr>
                <w:rFonts w:ascii="Arial Narrow" w:hAnsi="Arial Narrow"/>
                <w:b/>
                <w:color w:val="000000"/>
                <w:sz w:val="20"/>
                <w:szCs w:val="18"/>
              </w:rPr>
            </w:pPr>
            <w:r w:rsidRPr="00E2771E">
              <w:rPr>
                <w:rFonts w:ascii="Arial Narrow" w:hAnsi="Arial Narrow"/>
                <w:b/>
                <w:color w:val="000000"/>
                <w:sz w:val="20"/>
                <w:szCs w:val="18"/>
              </w:rPr>
              <w:t xml:space="preserve">Absolute </w:t>
            </w:r>
            <w:r w:rsidR="00A97408">
              <w:rPr>
                <w:rFonts w:ascii="Arial Narrow" w:hAnsi="Arial Narrow"/>
                <w:b/>
                <w:color w:val="000000"/>
                <w:sz w:val="20"/>
                <w:szCs w:val="18"/>
              </w:rPr>
              <w:t>d</w:t>
            </w:r>
            <w:r w:rsidRPr="00E2771E">
              <w:rPr>
                <w:rFonts w:ascii="Arial Narrow" w:hAnsi="Arial Narrow"/>
                <w:b/>
                <w:color w:val="000000"/>
                <w:sz w:val="20"/>
                <w:szCs w:val="18"/>
              </w:rPr>
              <w:t>ifference</w:t>
            </w:r>
          </w:p>
        </w:tc>
        <w:tc>
          <w:tcPr>
            <w:tcW w:w="821" w:type="pct"/>
            <w:gridSpan w:val="2"/>
            <w:vAlign w:val="center"/>
          </w:tcPr>
          <w:p w:rsidR="003E147C" w:rsidRPr="00E2771E" w:rsidRDefault="003E147C" w:rsidP="00EC00C9">
            <w:pPr>
              <w:jc w:val="center"/>
              <w:rPr>
                <w:rFonts w:ascii="Arial Narrow" w:hAnsi="Arial Narrow"/>
                <w:b/>
                <w:color w:val="000000"/>
                <w:sz w:val="20"/>
                <w:szCs w:val="18"/>
              </w:rPr>
            </w:pPr>
            <w:r w:rsidRPr="00E2771E">
              <w:rPr>
                <w:rFonts w:ascii="Arial Narrow" w:hAnsi="Arial Narrow"/>
                <w:b/>
                <w:color w:val="000000"/>
                <w:sz w:val="20"/>
                <w:szCs w:val="18"/>
              </w:rPr>
              <w:t>HR (95% CI)</w:t>
            </w:r>
          </w:p>
        </w:tc>
      </w:tr>
      <w:tr w:rsidR="003E147C" w:rsidRPr="00E2771E" w:rsidTr="0062235A">
        <w:tc>
          <w:tcPr>
            <w:tcW w:w="1434" w:type="pct"/>
            <w:gridSpan w:val="4"/>
            <w:shd w:val="clear" w:color="auto" w:fill="auto"/>
            <w:vAlign w:val="center"/>
          </w:tcPr>
          <w:p w:rsidR="003E147C" w:rsidRPr="00E2771E" w:rsidRDefault="0026178A" w:rsidP="0026178A">
            <w:pPr>
              <w:rPr>
                <w:rFonts w:ascii="Arial Narrow" w:hAnsi="Arial Narrow"/>
                <w:color w:val="000000"/>
                <w:sz w:val="20"/>
                <w:szCs w:val="18"/>
              </w:rPr>
            </w:pPr>
            <w:r>
              <w:rPr>
                <w:rFonts w:ascii="Arial Narrow" w:hAnsi="Arial Narrow"/>
                <w:color w:val="000000"/>
                <w:sz w:val="20"/>
                <w:szCs w:val="18"/>
              </w:rPr>
              <w:t>Number of d</w:t>
            </w:r>
            <w:r w:rsidR="003E147C">
              <w:rPr>
                <w:rFonts w:ascii="Arial Narrow" w:hAnsi="Arial Narrow"/>
                <w:color w:val="000000"/>
                <w:sz w:val="20"/>
                <w:szCs w:val="18"/>
              </w:rPr>
              <w:t>eath</w:t>
            </w:r>
            <w:r>
              <w:rPr>
                <w:rFonts w:ascii="Arial Narrow" w:hAnsi="Arial Narrow"/>
                <w:color w:val="000000"/>
                <w:sz w:val="20"/>
                <w:szCs w:val="18"/>
              </w:rPr>
              <w:t>s</w:t>
            </w:r>
            <w:r w:rsidR="00B235DF" w:rsidRPr="0026178A">
              <w:rPr>
                <w:rFonts w:ascii="Arial Narrow" w:hAnsi="Arial Narrow"/>
                <w:sz w:val="20"/>
              </w:rPr>
              <w:t xml:space="preserve"> n/N (%)</w:t>
            </w:r>
          </w:p>
        </w:tc>
        <w:tc>
          <w:tcPr>
            <w:tcW w:w="915" w:type="pct"/>
            <w:gridSpan w:val="2"/>
            <w:vAlign w:val="center"/>
          </w:tcPr>
          <w:p w:rsidR="003E147C" w:rsidRPr="00E2771E" w:rsidRDefault="003E147C" w:rsidP="00127DF3">
            <w:pPr>
              <w:jc w:val="center"/>
              <w:rPr>
                <w:rFonts w:ascii="Arial Narrow" w:hAnsi="Arial Narrow"/>
                <w:sz w:val="20"/>
              </w:rPr>
            </w:pPr>
            <w:r>
              <w:rPr>
                <w:rFonts w:ascii="Arial Narrow" w:hAnsi="Arial Narrow"/>
                <w:sz w:val="20"/>
              </w:rPr>
              <w:t>25/95 (26.3)</w:t>
            </w:r>
          </w:p>
        </w:tc>
        <w:tc>
          <w:tcPr>
            <w:tcW w:w="834" w:type="pct"/>
            <w:gridSpan w:val="2"/>
            <w:vAlign w:val="center"/>
          </w:tcPr>
          <w:p w:rsidR="003E147C" w:rsidRPr="00E2771E" w:rsidRDefault="003E147C" w:rsidP="00B235DF">
            <w:pPr>
              <w:jc w:val="center"/>
              <w:rPr>
                <w:rFonts w:ascii="Arial Narrow" w:hAnsi="Arial Narrow"/>
                <w:sz w:val="20"/>
              </w:rPr>
            </w:pPr>
            <w:r>
              <w:rPr>
                <w:rFonts w:ascii="Arial Narrow" w:hAnsi="Arial Narrow"/>
                <w:sz w:val="20"/>
              </w:rPr>
              <w:t>17/47 (36.2)</w:t>
            </w:r>
          </w:p>
        </w:tc>
        <w:tc>
          <w:tcPr>
            <w:tcW w:w="996" w:type="pct"/>
            <w:gridSpan w:val="2"/>
            <w:vAlign w:val="center"/>
          </w:tcPr>
          <w:p w:rsidR="003E147C" w:rsidRPr="00E2771E" w:rsidRDefault="003E147C" w:rsidP="00EC00C9">
            <w:pPr>
              <w:jc w:val="center"/>
              <w:rPr>
                <w:rFonts w:ascii="Arial Narrow" w:hAnsi="Arial Narrow"/>
                <w:color w:val="000000"/>
                <w:sz w:val="20"/>
                <w:szCs w:val="18"/>
              </w:rPr>
            </w:pPr>
          </w:p>
        </w:tc>
        <w:tc>
          <w:tcPr>
            <w:tcW w:w="821" w:type="pct"/>
            <w:gridSpan w:val="2"/>
            <w:vAlign w:val="center"/>
          </w:tcPr>
          <w:p w:rsidR="003E147C" w:rsidRPr="00E2771E" w:rsidRDefault="003E147C" w:rsidP="00EC00C9">
            <w:pPr>
              <w:jc w:val="center"/>
              <w:rPr>
                <w:rFonts w:ascii="Arial Narrow" w:hAnsi="Arial Narrow"/>
                <w:color w:val="000000"/>
                <w:sz w:val="20"/>
                <w:szCs w:val="18"/>
              </w:rPr>
            </w:pPr>
          </w:p>
        </w:tc>
      </w:tr>
      <w:tr w:rsidR="003E147C" w:rsidRPr="00E2771E" w:rsidTr="0062235A">
        <w:tc>
          <w:tcPr>
            <w:tcW w:w="1434" w:type="pct"/>
            <w:gridSpan w:val="4"/>
            <w:shd w:val="clear" w:color="auto" w:fill="auto"/>
            <w:vAlign w:val="center"/>
          </w:tcPr>
          <w:p w:rsidR="003E147C" w:rsidRPr="00E2771E" w:rsidRDefault="00A97408" w:rsidP="00A97408">
            <w:pPr>
              <w:rPr>
                <w:rFonts w:ascii="Arial Narrow" w:hAnsi="Arial Narrow"/>
                <w:color w:val="000000"/>
                <w:sz w:val="20"/>
                <w:szCs w:val="18"/>
              </w:rPr>
            </w:pPr>
            <w:r>
              <w:rPr>
                <w:rFonts w:ascii="Arial Narrow" w:hAnsi="Arial Narrow"/>
                <w:color w:val="000000"/>
                <w:sz w:val="20"/>
                <w:szCs w:val="18"/>
              </w:rPr>
              <w:t>M</w:t>
            </w:r>
            <w:r w:rsidR="003E147C">
              <w:rPr>
                <w:rFonts w:ascii="Arial Narrow" w:hAnsi="Arial Narrow"/>
                <w:color w:val="000000"/>
                <w:sz w:val="20"/>
                <w:szCs w:val="18"/>
              </w:rPr>
              <w:t xml:space="preserve">edian </w:t>
            </w:r>
            <w:r>
              <w:rPr>
                <w:rFonts w:ascii="Arial Narrow" w:hAnsi="Arial Narrow"/>
                <w:color w:val="000000"/>
                <w:sz w:val="20"/>
                <w:szCs w:val="18"/>
              </w:rPr>
              <w:t xml:space="preserve">OS, </w:t>
            </w:r>
            <w:r w:rsidR="003E147C">
              <w:rPr>
                <w:rFonts w:ascii="Arial Narrow" w:hAnsi="Arial Narrow"/>
                <w:color w:val="000000"/>
                <w:sz w:val="20"/>
                <w:szCs w:val="18"/>
              </w:rPr>
              <w:t>months</w:t>
            </w:r>
          </w:p>
        </w:tc>
        <w:tc>
          <w:tcPr>
            <w:tcW w:w="915" w:type="pct"/>
            <w:gridSpan w:val="2"/>
            <w:vAlign w:val="center"/>
          </w:tcPr>
          <w:p w:rsidR="003E147C" w:rsidRPr="00E2771E" w:rsidRDefault="003E147C" w:rsidP="00EC00C9">
            <w:pPr>
              <w:jc w:val="center"/>
              <w:rPr>
                <w:rFonts w:ascii="Arial Narrow" w:hAnsi="Arial Narrow"/>
                <w:sz w:val="20"/>
              </w:rPr>
            </w:pPr>
            <w:r>
              <w:rPr>
                <w:rFonts w:ascii="Arial Narrow" w:hAnsi="Arial Narrow"/>
                <w:sz w:val="20"/>
              </w:rPr>
              <w:t>Not reached</w:t>
            </w:r>
          </w:p>
        </w:tc>
        <w:tc>
          <w:tcPr>
            <w:tcW w:w="834" w:type="pct"/>
            <w:gridSpan w:val="2"/>
            <w:vAlign w:val="center"/>
          </w:tcPr>
          <w:p w:rsidR="003E147C" w:rsidRPr="00E2771E" w:rsidRDefault="003E147C" w:rsidP="00EC00C9">
            <w:pPr>
              <w:jc w:val="center"/>
              <w:rPr>
                <w:rFonts w:ascii="Arial Narrow" w:hAnsi="Arial Narrow"/>
                <w:sz w:val="20"/>
              </w:rPr>
            </w:pPr>
            <w:r>
              <w:rPr>
                <w:rFonts w:ascii="Arial Narrow" w:hAnsi="Arial Narrow"/>
                <w:sz w:val="20"/>
              </w:rPr>
              <w:t>Not reached</w:t>
            </w:r>
          </w:p>
        </w:tc>
        <w:tc>
          <w:tcPr>
            <w:tcW w:w="996" w:type="pct"/>
            <w:gridSpan w:val="2"/>
            <w:vAlign w:val="center"/>
          </w:tcPr>
          <w:p w:rsidR="003E147C" w:rsidRPr="00E2771E" w:rsidRDefault="003E147C" w:rsidP="00EC00C9">
            <w:pPr>
              <w:jc w:val="center"/>
              <w:rPr>
                <w:rFonts w:ascii="Arial Narrow" w:hAnsi="Arial Narrow"/>
                <w:color w:val="000000"/>
                <w:sz w:val="20"/>
                <w:szCs w:val="18"/>
              </w:rPr>
            </w:pPr>
            <w:r>
              <w:rPr>
                <w:rFonts w:ascii="Arial Narrow" w:hAnsi="Arial Narrow"/>
                <w:sz w:val="20"/>
              </w:rPr>
              <w:t>-</w:t>
            </w:r>
          </w:p>
        </w:tc>
        <w:tc>
          <w:tcPr>
            <w:tcW w:w="821" w:type="pct"/>
            <w:gridSpan w:val="2"/>
            <w:vAlign w:val="center"/>
          </w:tcPr>
          <w:p w:rsidR="003E147C" w:rsidRPr="00E2771E" w:rsidRDefault="003E147C" w:rsidP="00EC00C9">
            <w:pPr>
              <w:jc w:val="center"/>
              <w:rPr>
                <w:rFonts w:ascii="Arial Narrow" w:hAnsi="Arial Narrow"/>
                <w:color w:val="000000"/>
                <w:sz w:val="20"/>
                <w:szCs w:val="18"/>
              </w:rPr>
            </w:pPr>
            <w:r>
              <w:rPr>
                <w:rFonts w:ascii="Arial Narrow" w:hAnsi="Arial Narrow"/>
                <w:sz w:val="20"/>
              </w:rPr>
              <w:t>0.73 (0.39, 1.36)</w:t>
            </w:r>
          </w:p>
        </w:tc>
      </w:tr>
      <w:tr w:rsidR="00C84B9D" w:rsidRPr="00E2771E" w:rsidTr="00C84B9D">
        <w:tc>
          <w:tcPr>
            <w:tcW w:w="5000" w:type="pct"/>
            <w:gridSpan w:val="12"/>
            <w:shd w:val="clear" w:color="auto" w:fill="auto"/>
            <w:vAlign w:val="center"/>
          </w:tcPr>
          <w:p w:rsidR="00C84B9D" w:rsidRPr="00E2771E" w:rsidRDefault="00C84B9D" w:rsidP="00C84B9D">
            <w:pPr>
              <w:jc w:val="left"/>
              <w:rPr>
                <w:rFonts w:ascii="Arial Narrow" w:hAnsi="Arial Narrow"/>
                <w:color w:val="000000"/>
                <w:sz w:val="20"/>
                <w:szCs w:val="18"/>
              </w:rPr>
            </w:pPr>
            <w:r>
              <w:rPr>
                <w:rFonts w:ascii="Arial Narrow" w:hAnsi="Arial Narrow"/>
                <w:b/>
                <w:color w:val="000000"/>
                <w:sz w:val="20"/>
                <w:szCs w:val="18"/>
              </w:rPr>
              <w:t>PFS-</w:t>
            </w:r>
            <w:r w:rsidR="00983131">
              <w:rPr>
                <w:rFonts w:ascii="Arial Narrow" w:hAnsi="Arial Narrow"/>
                <w:b/>
                <w:color w:val="000000"/>
                <w:sz w:val="20"/>
                <w:szCs w:val="18"/>
              </w:rPr>
              <w:t xml:space="preserve"> </w:t>
            </w:r>
            <w:r>
              <w:rPr>
                <w:rFonts w:ascii="Arial Narrow" w:hAnsi="Arial Narrow"/>
                <w:b/>
                <w:color w:val="000000"/>
                <w:sz w:val="20"/>
                <w:szCs w:val="18"/>
              </w:rPr>
              <w:t>CA209-069</w:t>
            </w:r>
          </w:p>
        </w:tc>
      </w:tr>
      <w:tr w:rsidR="00644B49" w:rsidRPr="00E2771E" w:rsidTr="0062235A">
        <w:tc>
          <w:tcPr>
            <w:tcW w:w="1434" w:type="pct"/>
            <w:gridSpan w:val="4"/>
            <w:shd w:val="clear" w:color="auto" w:fill="auto"/>
            <w:vAlign w:val="center"/>
          </w:tcPr>
          <w:p w:rsidR="00644B49" w:rsidRPr="0026178A" w:rsidRDefault="0026178A" w:rsidP="0026178A">
            <w:pPr>
              <w:rPr>
                <w:rFonts w:ascii="Arial Narrow" w:hAnsi="Arial Narrow"/>
                <w:color w:val="000000"/>
                <w:sz w:val="20"/>
                <w:szCs w:val="18"/>
              </w:rPr>
            </w:pPr>
            <w:r>
              <w:rPr>
                <w:rFonts w:ascii="Arial Narrow" w:hAnsi="Arial Narrow"/>
                <w:color w:val="000000"/>
                <w:sz w:val="20"/>
                <w:szCs w:val="18"/>
              </w:rPr>
              <w:t>Number of p</w:t>
            </w:r>
            <w:r w:rsidR="00644B49" w:rsidRPr="0026178A">
              <w:rPr>
                <w:rFonts w:ascii="Arial Narrow" w:hAnsi="Arial Narrow"/>
                <w:color w:val="000000"/>
                <w:sz w:val="20"/>
                <w:szCs w:val="18"/>
              </w:rPr>
              <w:t>rogress</w:t>
            </w:r>
            <w:r>
              <w:rPr>
                <w:rFonts w:ascii="Arial Narrow" w:hAnsi="Arial Narrow"/>
                <w:color w:val="000000"/>
                <w:sz w:val="20"/>
                <w:szCs w:val="18"/>
              </w:rPr>
              <w:t>ions</w:t>
            </w:r>
            <w:r w:rsidR="00B235DF" w:rsidRPr="0026178A">
              <w:rPr>
                <w:rFonts w:ascii="Arial Narrow" w:hAnsi="Arial Narrow"/>
                <w:sz w:val="20"/>
              </w:rPr>
              <w:t xml:space="preserve"> n/N (%)</w:t>
            </w:r>
          </w:p>
        </w:tc>
        <w:tc>
          <w:tcPr>
            <w:tcW w:w="915" w:type="pct"/>
            <w:gridSpan w:val="2"/>
            <w:vAlign w:val="center"/>
          </w:tcPr>
          <w:p w:rsidR="00644B49" w:rsidRPr="00E2771E" w:rsidRDefault="00644B49" w:rsidP="00EC00C9">
            <w:pPr>
              <w:jc w:val="center"/>
              <w:rPr>
                <w:rFonts w:ascii="Arial Narrow" w:hAnsi="Arial Narrow"/>
                <w:sz w:val="20"/>
              </w:rPr>
            </w:pPr>
            <w:r>
              <w:rPr>
                <w:rFonts w:ascii="Arial Narrow" w:hAnsi="Arial Narrow"/>
                <w:sz w:val="20"/>
              </w:rPr>
              <w:t>42/95 (44.2)</w:t>
            </w:r>
          </w:p>
        </w:tc>
        <w:tc>
          <w:tcPr>
            <w:tcW w:w="834" w:type="pct"/>
            <w:gridSpan w:val="2"/>
            <w:vAlign w:val="center"/>
          </w:tcPr>
          <w:p w:rsidR="00644B49" w:rsidRPr="00E2771E" w:rsidRDefault="00644B49" w:rsidP="00EC00C9">
            <w:pPr>
              <w:jc w:val="center"/>
              <w:rPr>
                <w:rFonts w:ascii="Arial Narrow" w:hAnsi="Arial Narrow"/>
                <w:sz w:val="20"/>
              </w:rPr>
            </w:pPr>
            <w:r>
              <w:rPr>
                <w:rFonts w:ascii="Arial Narrow" w:hAnsi="Arial Narrow"/>
                <w:sz w:val="20"/>
              </w:rPr>
              <w:t>32/47 (68.1)</w:t>
            </w:r>
          </w:p>
        </w:tc>
        <w:tc>
          <w:tcPr>
            <w:tcW w:w="996" w:type="pct"/>
            <w:gridSpan w:val="2"/>
            <w:vAlign w:val="center"/>
          </w:tcPr>
          <w:p w:rsidR="00644B49" w:rsidRPr="00E2771E" w:rsidRDefault="00644B49" w:rsidP="00EC00C9">
            <w:pPr>
              <w:jc w:val="center"/>
              <w:rPr>
                <w:rFonts w:ascii="Arial Narrow" w:hAnsi="Arial Narrow"/>
                <w:color w:val="000000"/>
                <w:sz w:val="20"/>
                <w:szCs w:val="18"/>
              </w:rPr>
            </w:pPr>
          </w:p>
        </w:tc>
        <w:tc>
          <w:tcPr>
            <w:tcW w:w="821" w:type="pct"/>
            <w:gridSpan w:val="2"/>
            <w:vAlign w:val="center"/>
          </w:tcPr>
          <w:p w:rsidR="00644B49" w:rsidRPr="00E2771E" w:rsidRDefault="00644B49" w:rsidP="00EC00C9">
            <w:pPr>
              <w:jc w:val="center"/>
              <w:rPr>
                <w:rFonts w:ascii="Arial Narrow" w:hAnsi="Arial Narrow"/>
                <w:color w:val="000000"/>
                <w:sz w:val="20"/>
                <w:szCs w:val="18"/>
              </w:rPr>
            </w:pPr>
          </w:p>
        </w:tc>
      </w:tr>
      <w:tr w:rsidR="00644B49" w:rsidRPr="00E2771E" w:rsidTr="0062235A">
        <w:tc>
          <w:tcPr>
            <w:tcW w:w="1434" w:type="pct"/>
            <w:gridSpan w:val="4"/>
            <w:shd w:val="clear" w:color="auto" w:fill="auto"/>
            <w:vAlign w:val="center"/>
          </w:tcPr>
          <w:p w:rsidR="00644B49" w:rsidRDefault="00A97408" w:rsidP="00EC00C9">
            <w:pPr>
              <w:rPr>
                <w:rFonts w:ascii="Arial Narrow" w:hAnsi="Arial Narrow"/>
                <w:b/>
                <w:color w:val="000000"/>
                <w:sz w:val="20"/>
                <w:szCs w:val="18"/>
              </w:rPr>
            </w:pPr>
            <w:r>
              <w:rPr>
                <w:rFonts w:ascii="Arial Narrow" w:hAnsi="Arial Narrow"/>
                <w:color w:val="000000"/>
                <w:sz w:val="20"/>
                <w:szCs w:val="18"/>
              </w:rPr>
              <w:t>M</w:t>
            </w:r>
            <w:r w:rsidR="00644B49">
              <w:rPr>
                <w:rFonts w:ascii="Arial Narrow" w:hAnsi="Arial Narrow"/>
                <w:color w:val="000000"/>
                <w:sz w:val="20"/>
                <w:szCs w:val="18"/>
              </w:rPr>
              <w:t xml:space="preserve">edian </w:t>
            </w:r>
            <w:r>
              <w:rPr>
                <w:rFonts w:ascii="Arial Narrow" w:hAnsi="Arial Narrow"/>
                <w:color w:val="000000"/>
                <w:sz w:val="20"/>
                <w:szCs w:val="18"/>
              </w:rPr>
              <w:t>PFS</w:t>
            </w:r>
            <w:r w:rsidR="00983131">
              <w:rPr>
                <w:rFonts w:ascii="Arial Narrow" w:hAnsi="Arial Narrow"/>
                <w:color w:val="000000"/>
                <w:sz w:val="20"/>
                <w:szCs w:val="18"/>
              </w:rPr>
              <w:t xml:space="preserve"> (95% CI)</w:t>
            </w:r>
            <w:r>
              <w:rPr>
                <w:rFonts w:ascii="Arial Narrow" w:hAnsi="Arial Narrow"/>
                <w:color w:val="000000"/>
                <w:sz w:val="20"/>
                <w:szCs w:val="18"/>
              </w:rPr>
              <w:t xml:space="preserve">, </w:t>
            </w:r>
            <w:r w:rsidR="00644B49">
              <w:rPr>
                <w:rFonts w:ascii="Arial Narrow" w:hAnsi="Arial Narrow"/>
                <w:color w:val="000000"/>
                <w:sz w:val="20"/>
                <w:szCs w:val="18"/>
              </w:rPr>
              <w:t>months</w:t>
            </w:r>
          </w:p>
        </w:tc>
        <w:tc>
          <w:tcPr>
            <w:tcW w:w="915" w:type="pct"/>
            <w:gridSpan w:val="2"/>
            <w:vAlign w:val="center"/>
          </w:tcPr>
          <w:p w:rsidR="00644B49" w:rsidRPr="00E2771E" w:rsidRDefault="00644B49" w:rsidP="00EC00C9">
            <w:pPr>
              <w:jc w:val="center"/>
              <w:rPr>
                <w:rFonts w:ascii="Arial Narrow" w:hAnsi="Arial Narrow"/>
                <w:sz w:val="20"/>
              </w:rPr>
            </w:pPr>
            <w:r>
              <w:rPr>
                <w:rFonts w:ascii="Arial Narrow" w:hAnsi="Arial Narrow"/>
                <w:sz w:val="20"/>
              </w:rPr>
              <w:t>Not reached</w:t>
            </w:r>
          </w:p>
        </w:tc>
        <w:tc>
          <w:tcPr>
            <w:tcW w:w="834" w:type="pct"/>
            <w:gridSpan w:val="2"/>
            <w:vAlign w:val="center"/>
          </w:tcPr>
          <w:p w:rsidR="00644B49" w:rsidRPr="00E2771E" w:rsidRDefault="00644B49" w:rsidP="00EC00C9">
            <w:pPr>
              <w:jc w:val="center"/>
              <w:rPr>
                <w:rFonts w:ascii="Arial Narrow" w:hAnsi="Arial Narrow"/>
                <w:sz w:val="20"/>
              </w:rPr>
            </w:pPr>
            <w:r>
              <w:rPr>
                <w:rFonts w:ascii="Arial Narrow" w:hAnsi="Arial Narrow"/>
                <w:sz w:val="20"/>
              </w:rPr>
              <w:t>3.02 (2.76, 5.13)</w:t>
            </w:r>
          </w:p>
        </w:tc>
        <w:tc>
          <w:tcPr>
            <w:tcW w:w="996" w:type="pct"/>
            <w:gridSpan w:val="2"/>
            <w:vAlign w:val="center"/>
          </w:tcPr>
          <w:p w:rsidR="00644B49" w:rsidRPr="00E2771E" w:rsidRDefault="00644B49" w:rsidP="00EC00C9">
            <w:pPr>
              <w:jc w:val="center"/>
              <w:rPr>
                <w:rFonts w:ascii="Arial Narrow" w:hAnsi="Arial Narrow"/>
                <w:color w:val="000000"/>
                <w:sz w:val="20"/>
                <w:szCs w:val="18"/>
              </w:rPr>
            </w:pPr>
            <w:r>
              <w:rPr>
                <w:rFonts w:ascii="Arial Narrow" w:hAnsi="Arial Narrow"/>
                <w:sz w:val="20"/>
              </w:rPr>
              <w:t>-</w:t>
            </w:r>
          </w:p>
        </w:tc>
        <w:tc>
          <w:tcPr>
            <w:tcW w:w="821" w:type="pct"/>
            <w:gridSpan w:val="2"/>
            <w:vAlign w:val="center"/>
          </w:tcPr>
          <w:p w:rsidR="00644B49" w:rsidRPr="00E2771E" w:rsidRDefault="00644B49" w:rsidP="00EC00C9">
            <w:pPr>
              <w:jc w:val="center"/>
              <w:rPr>
                <w:rFonts w:ascii="Arial Narrow" w:hAnsi="Arial Narrow"/>
                <w:color w:val="000000"/>
                <w:sz w:val="20"/>
                <w:szCs w:val="18"/>
              </w:rPr>
            </w:pPr>
            <w:r>
              <w:rPr>
                <w:rFonts w:ascii="Arial Narrow" w:hAnsi="Arial Narrow"/>
                <w:sz w:val="20"/>
              </w:rPr>
              <w:t>0.39 (0.25, 0.63)</w:t>
            </w:r>
          </w:p>
        </w:tc>
      </w:tr>
      <w:tr w:rsidR="00C84B9D" w:rsidRPr="00E2771E" w:rsidTr="00C84B9D">
        <w:tc>
          <w:tcPr>
            <w:tcW w:w="5000" w:type="pct"/>
            <w:gridSpan w:val="12"/>
            <w:shd w:val="clear" w:color="auto" w:fill="auto"/>
            <w:vAlign w:val="center"/>
          </w:tcPr>
          <w:p w:rsidR="00C84B9D" w:rsidRDefault="00C84B9D" w:rsidP="00C84B9D">
            <w:pPr>
              <w:jc w:val="left"/>
              <w:rPr>
                <w:rFonts w:ascii="Arial Narrow" w:hAnsi="Arial Narrow"/>
                <w:sz w:val="20"/>
              </w:rPr>
            </w:pPr>
            <w:r>
              <w:rPr>
                <w:rFonts w:ascii="Arial Narrow" w:hAnsi="Arial Narrow"/>
                <w:b/>
                <w:color w:val="000000"/>
                <w:sz w:val="20"/>
                <w:szCs w:val="18"/>
              </w:rPr>
              <w:t>PFS-</w:t>
            </w:r>
            <w:r w:rsidR="00983131">
              <w:rPr>
                <w:rFonts w:ascii="Arial Narrow" w:hAnsi="Arial Narrow"/>
                <w:b/>
                <w:color w:val="000000"/>
                <w:sz w:val="20"/>
                <w:szCs w:val="18"/>
              </w:rPr>
              <w:t xml:space="preserve"> </w:t>
            </w:r>
            <w:r>
              <w:rPr>
                <w:rFonts w:ascii="Arial Narrow" w:hAnsi="Arial Narrow"/>
                <w:b/>
                <w:color w:val="000000"/>
                <w:sz w:val="20"/>
                <w:szCs w:val="18"/>
              </w:rPr>
              <w:t>CA209-067</w:t>
            </w:r>
          </w:p>
        </w:tc>
      </w:tr>
      <w:tr w:rsidR="00644B49" w:rsidRPr="00E2771E" w:rsidTr="0062235A">
        <w:tc>
          <w:tcPr>
            <w:tcW w:w="1434" w:type="pct"/>
            <w:gridSpan w:val="4"/>
            <w:shd w:val="clear" w:color="auto" w:fill="auto"/>
            <w:vAlign w:val="center"/>
          </w:tcPr>
          <w:p w:rsidR="00644B49" w:rsidRPr="0026178A" w:rsidRDefault="0026178A" w:rsidP="0026178A">
            <w:pPr>
              <w:rPr>
                <w:rFonts w:ascii="Arial Narrow" w:hAnsi="Arial Narrow"/>
                <w:color w:val="000000"/>
                <w:sz w:val="20"/>
                <w:szCs w:val="18"/>
              </w:rPr>
            </w:pPr>
            <w:r>
              <w:rPr>
                <w:rFonts w:ascii="Arial Narrow" w:hAnsi="Arial Narrow"/>
                <w:color w:val="000000"/>
                <w:sz w:val="20"/>
                <w:szCs w:val="18"/>
              </w:rPr>
              <w:t>Number of p</w:t>
            </w:r>
            <w:r w:rsidR="00644B49" w:rsidRPr="0026178A">
              <w:rPr>
                <w:rFonts w:ascii="Arial Narrow" w:hAnsi="Arial Narrow"/>
                <w:color w:val="000000"/>
                <w:sz w:val="20"/>
                <w:szCs w:val="18"/>
              </w:rPr>
              <w:t>rogress</w:t>
            </w:r>
            <w:r>
              <w:rPr>
                <w:rFonts w:ascii="Arial Narrow" w:hAnsi="Arial Narrow"/>
                <w:color w:val="000000"/>
                <w:sz w:val="20"/>
                <w:szCs w:val="18"/>
              </w:rPr>
              <w:t>ions</w:t>
            </w:r>
            <w:r w:rsidR="00B235DF" w:rsidRPr="0026178A">
              <w:rPr>
                <w:rFonts w:ascii="Arial Narrow" w:hAnsi="Arial Narrow"/>
                <w:sz w:val="20"/>
              </w:rPr>
              <w:t xml:space="preserve"> n/N (%)</w:t>
            </w:r>
          </w:p>
        </w:tc>
        <w:tc>
          <w:tcPr>
            <w:tcW w:w="915" w:type="pct"/>
            <w:gridSpan w:val="2"/>
            <w:vAlign w:val="center"/>
          </w:tcPr>
          <w:p w:rsidR="00644B49" w:rsidRPr="00E2771E" w:rsidRDefault="00644B49" w:rsidP="00127DF3">
            <w:pPr>
              <w:jc w:val="center"/>
              <w:rPr>
                <w:rFonts w:ascii="Arial Narrow" w:hAnsi="Arial Narrow"/>
                <w:sz w:val="20"/>
              </w:rPr>
            </w:pPr>
            <w:r>
              <w:rPr>
                <w:rFonts w:ascii="Arial Narrow" w:hAnsi="Arial Narrow"/>
                <w:sz w:val="20"/>
              </w:rPr>
              <w:t>151/314 (48.1)</w:t>
            </w:r>
          </w:p>
        </w:tc>
        <w:tc>
          <w:tcPr>
            <w:tcW w:w="834" w:type="pct"/>
            <w:gridSpan w:val="2"/>
            <w:vAlign w:val="center"/>
          </w:tcPr>
          <w:p w:rsidR="00644B49" w:rsidRPr="00E2771E" w:rsidRDefault="00644B49" w:rsidP="00B235DF">
            <w:pPr>
              <w:jc w:val="center"/>
              <w:rPr>
                <w:rFonts w:ascii="Arial Narrow" w:hAnsi="Arial Narrow"/>
                <w:sz w:val="20"/>
              </w:rPr>
            </w:pPr>
            <w:r>
              <w:rPr>
                <w:rFonts w:ascii="Arial Narrow" w:hAnsi="Arial Narrow"/>
                <w:sz w:val="20"/>
              </w:rPr>
              <w:t>234/315 (74.3)</w:t>
            </w:r>
          </w:p>
        </w:tc>
        <w:tc>
          <w:tcPr>
            <w:tcW w:w="996" w:type="pct"/>
            <w:gridSpan w:val="2"/>
            <w:vAlign w:val="center"/>
          </w:tcPr>
          <w:p w:rsidR="00644B49" w:rsidRPr="00E2771E" w:rsidRDefault="00644B49" w:rsidP="00EC00C9">
            <w:pPr>
              <w:jc w:val="center"/>
              <w:rPr>
                <w:rFonts w:ascii="Arial Narrow" w:hAnsi="Arial Narrow"/>
                <w:color w:val="000000"/>
                <w:sz w:val="20"/>
                <w:szCs w:val="18"/>
              </w:rPr>
            </w:pPr>
          </w:p>
        </w:tc>
        <w:tc>
          <w:tcPr>
            <w:tcW w:w="821" w:type="pct"/>
            <w:gridSpan w:val="2"/>
            <w:vAlign w:val="center"/>
          </w:tcPr>
          <w:p w:rsidR="00644B49" w:rsidRPr="00E2771E" w:rsidRDefault="00644B49" w:rsidP="00EC00C9">
            <w:pPr>
              <w:jc w:val="center"/>
              <w:rPr>
                <w:rFonts w:ascii="Arial Narrow" w:hAnsi="Arial Narrow"/>
                <w:color w:val="000000"/>
                <w:sz w:val="20"/>
                <w:szCs w:val="18"/>
              </w:rPr>
            </w:pPr>
          </w:p>
        </w:tc>
      </w:tr>
      <w:tr w:rsidR="00644B49" w:rsidRPr="00E2771E" w:rsidTr="0062235A">
        <w:tc>
          <w:tcPr>
            <w:tcW w:w="1434" w:type="pct"/>
            <w:gridSpan w:val="4"/>
            <w:shd w:val="clear" w:color="auto" w:fill="auto"/>
            <w:vAlign w:val="center"/>
          </w:tcPr>
          <w:p w:rsidR="00644B49" w:rsidRPr="00E2771E" w:rsidRDefault="0062235A" w:rsidP="0062235A">
            <w:pPr>
              <w:rPr>
                <w:rFonts w:ascii="Arial Narrow" w:hAnsi="Arial Narrow"/>
                <w:color w:val="000000"/>
                <w:sz w:val="20"/>
                <w:szCs w:val="18"/>
              </w:rPr>
            </w:pPr>
            <w:r>
              <w:rPr>
                <w:rFonts w:ascii="Arial Narrow" w:hAnsi="Arial Narrow"/>
                <w:color w:val="000000"/>
                <w:sz w:val="20"/>
                <w:szCs w:val="18"/>
              </w:rPr>
              <w:t>M</w:t>
            </w:r>
            <w:r w:rsidR="00644B49">
              <w:rPr>
                <w:rFonts w:ascii="Arial Narrow" w:hAnsi="Arial Narrow"/>
                <w:color w:val="000000"/>
                <w:sz w:val="20"/>
                <w:szCs w:val="18"/>
              </w:rPr>
              <w:t xml:space="preserve">edian </w:t>
            </w:r>
            <w:r w:rsidR="00A97408">
              <w:rPr>
                <w:rFonts w:ascii="Arial Narrow" w:hAnsi="Arial Narrow"/>
                <w:color w:val="000000"/>
                <w:sz w:val="20"/>
                <w:szCs w:val="18"/>
              </w:rPr>
              <w:t>PFS</w:t>
            </w:r>
            <w:r>
              <w:rPr>
                <w:rFonts w:ascii="Arial Narrow" w:hAnsi="Arial Narrow"/>
                <w:color w:val="000000"/>
                <w:sz w:val="20"/>
                <w:szCs w:val="18"/>
              </w:rPr>
              <w:t xml:space="preserve"> (95% CI)</w:t>
            </w:r>
            <w:r w:rsidR="00A97408">
              <w:rPr>
                <w:rFonts w:ascii="Arial Narrow" w:hAnsi="Arial Narrow"/>
                <w:color w:val="000000"/>
                <w:sz w:val="20"/>
                <w:szCs w:val="18"/>
              </w:rPr>
              <w:t xml:space="preserve">, </w:t>
            </w:r>
            <w:r w:rsidR="00644B49">
              <w:rPr>
                <w:rFonts w:ascii="Arial Narrow" w:hAnsi="Arial Narrow"/>
                <w:color w:val="000000"/>
                <w:sz w:val="20"/>
                <w:szCs w:val="18"/>
              </w:rPr>
              <w:t>months</w:t>
            </w:r>
          </w:p>
        </w:tc>
        <w:tc>
          <w:tcPr>
            <w:tcW w:w="915" w:type="pct"/>
            <w:gridSpan w:val="2"/>
            <w:vAlign w:val="center"/>
          </w:tcPr>
          <w:p w:rsidR="00644B49" w:rsidRPr="00E2771E" w:rsidRDefault="00644B49" w:rsidP="00EC00C9">
            <w:pPr>
              <w:jc w:val="center"/>
              <w:rPr>
                <w:rFonts w:ascii="Arial Narrow" w:hAnsi="Arial Narrow"/>
                <w:sz w:val="20"/>
              </w:rPr>
            </w:pPr>
            <w:r>
              <w:rPr>
                <w:rFonts w:ascii="Arial Narrow" w:hAnsi="Arial Narrow"/>
                <w:sz w:val="20"/>
              </w:rPr>
              <w:t>11.50 (8.90, 16.72)</w:t>
            </w:r>
          </w:p>
        </w:tc>
        <w:tc>
          <w:tcPr>
            <w:tcW w:w="834" w:type="pct"/>
            <w:gridSpan w:val="2"/>
            <w:vAlign w:val="center"/>
          </w:tcPr>
          <w:p w:rsidR="00644B49" w:rsidRPr="00E2771E" w:rsidRDefault="00644B49" w:rsidP="00EC00C9">
            <w:pPr>
              <w:jc w:val="center"/>
              <w:rPr>
                <w:rFonts w:ascii="Arial Narrow" w:hAnsi="Arial Narrow"/>
                <w:sz w:val="20"/>
              </w:rPr>
            </w:pPr>
            <w:r>
              <w:rPr>
                <w:rFonts w:ascii="Arial Narrow" w:hAnsi="Arial Narrow"/>
                <w:sz w:val="20"/>
              </w:rPr>
              <w:t>2.9 (2.8, 3.4)</w:t>
            </w:r>
          </w:p>
        </w:tc>
        <w:tc>
          <w:tcPr>
            <w:tcW w:w="996" w:type="pct"/>
            <w:gridSpan w:val="2"/>
            <w:vAlign w:val="center"/>
          </w:tcPr>
          <w:p w:rsidR="00644B49" w:rsidRPr="00170560" w:rsidRDefault="00644B49" w:rsidP="00EC00C9">
            <w:pPr>
              <w:jc w:val="center"/>
              <w:rPr>
                <w:rFonts w:ascii="Arial Narrow" w:hAnsi="Arial Narrow"/>
                <w:color w:val="000000"/>
                <w:sz w:val="20"/>
                <w:szCs w:val="18"/>
              </w:rPr>
            </w:pPr>
            <w:r w:rsidRPr="00170560">
              <w:rPr>
                <w:rFonts w:ascii="Arial Narrow" w:hAnsi="Arial Narrow"/>
                <w:sz w:val="20"/>
              </w:rPr>
              <w:t>8.60</w:t>
            </w:r>
          </w:p>
        </w:tc>
        <w:tc>
          <w:tcPr>
            <w:tcW w:w="821" w:type="pct"/>
            <w:gridSpan w:val="2"/>
            <w:vAlign w:val="center"/>
          </w:tcPr>
          <w:p w:rsidR="00644B49" w:rsidRPr="00094BBB" w:rsidRDefault="00644B49" w:rsidP="00C75C26">
            <w:pPr>
              <w:jc w:val="center"/>
              <w:rPr>
                <w:rFonts w:ascii="Arial Narrow" w:hAnsi="Arial Narrow"/>
                <w:sz w:val="20"/>
              </w:rPr>
            </w:pPr>
            <w:r>
              <w:rPr>
                <w:rFonts w:ascii="Arial Narrow" w:hAnsi="Arial Narrow"/>
                <w:sz w:val="20"/>
              </w:rPr>
              <w:t>0.43 (0.35, 0.53)</w:t>
            </w:r>
          </w:p>
        </w:tc>
      </w:tr>
      <w:tr w:rsidR="00644B49" w:rsidRPr="00E2771E" w:rsidTr="0062235A">
        <w:tc>
          <w:tcPr>
            <w:tcW w:w="4179" w:type="pct"/>
            <w:gridSpan w:val="10"/>
            <w:shd w:val="clear" w:color="auto" w:fill="auto"/>
            <w:vAlign w:val="center"/>
          </w:tcPr>
          <w:p w:rsidR="00644B49" w:rsidRPr="00E2771E" w:rsidRDefault="00644B49" w:rsidP="00C75C26">
            <w:pPr>
              <w:jc w:val="left"/>
              <w:rPr>
                <w:rFonts w:ascii="Arial Narrow" w:hAnsi="Arial Narrow"/>
                <w:color w:val="000000"/>
                <w:sz w:val="20"/>
                <w:szCs w:val="18"/>
              </w:rPr>
            </w:pPr>
            <w:r>
              <w:rPr>
                <w:rFonts w:ascii="Arial Narrow" w:hAnsi="Arial Narrow"/>
                <w:color w:val="000000"/>
                <w:sz w:val="20"/>
                <w:szCs w:val="18"/>
              </w:rPr>
              <w:t>Pooled PFS:</w:t>
            </w:r>
          </w:p>
        </w:tc>
        <w:tc>
          <w:tcPr>
            <w:tcW w:w="821" w:type="pct"/>
            <w:gridSpan w:val="2"/>
            <w:vAlign w:val="center"/>
          </w:tcPr>
          <w:p w:rsidR="00644B49" w:rsidRPr="00E2771E" w:rsidRDefault="00644B49" w:rsidP="00EC00C9">
            <w:pPr>
              <w:jc w:val="center"/>
              <w:rPr>
                <w:rFonts w:ascii="Arial Narrow" w:hAnsi="Arial Narrow"/>
                <w:color w:val="000000"/>
                <w:sz w:val="20"/>
                <w:szCs w:val="18"/>
              </w:rPr>
            </w:pPr>
            <w:r>
              <w:rPr>
                <w:rFonts w:ascii="Arial Narrow" w:hAnsi="Arial Narrow"/>
                <w:sz w:val="20"/>
              </w:rPr>
              <w:t>0.42 (0.35, 0.51)</w:t>
            </w:r>
          </w:p>
        </w:tc>
      </w:tr>
      <w:tr w:rsidR="00644B49" w:rsidRPr="00E2771E" w:rsidTr="00552BD3">
        <w:tc>
          <w:tcPr>
            <w:tcW w:w="5000" w:type="pct"/>
            <w:gridSpan w:val="12"/>
            <w:tcBorders>
              <w:top w:val="double" w:sz="4" w:space="0" w:color="auto"/>
            </w:tcBorders>
            <w:shd w:val="clear" w:color="auto" w:fill="auto"/>
            <w:vAlign w:val="center"/>
          </w:tcPr>
          <w:p w:rsidR="00644B49" w:rsidRPr="00E2771E" w:rsidRDefault="00644B49" w:rsidP="00EC00C9">
            <w:pPr>
              <w:rPr>
                <w:rFonts w:ascii="Arial Narrow" w:hAnsi="Arial Narrow"/>
                <w:b/>
                <w:color w:val="000000"/>
                <w:sz w:val="20"/>
                <w:szCs w:val="18"/>
              </w:rPr>
            </w:pPr>
            <w:r w:rsidRPr="00E2771E">
              <w:rPr>
                <w:rFonts w:ascii="Arial Narrow" w:hAnsi="Arial Narrow"/>
                <w:b/>
                <w:color w:val="000000"/>
                <w:sz w:val="20"/>
                <w:szCs w:val="18"/>
              </w:rPr>
              <w:t>Harms</w:t>
            </w:r>
          </w:p>
        </w:tc>
      </w:tr>
      <w:tr w:rsidR="00644B49" w:rsidRPr="00E2771E" w:rsidTr="00127DF3">
        <w:trPr>
          <w:trHeight w:val="70"/>
        </w:trPr>
        <w:tc>
          <w:tcPr>
            <w:tcW w:w="521" w:type="pct"/>
            <w:vMerge w:val="restart"/>
            <w:shd w:val="clear" w:color="auto" w:fill="auto"/>
            <w:vAlign w:val="center"/>
          </w:tcPr>
          <w:p w:rsidR="00644B49" w:rsidRPr="00E2771E" w:rsidRDefault="00644B49" w:rsidP="00EC00C9">
            <w:pPr>
              <w:rPr>
                <w:rFonts w:ascii="Arial Narrow" w:hAnsi="Arial Narrow"/>
                <w:b/>
                <w:color w:val="000000"/>
                <w:sz w:val="20"/>
                <w:szCs w:val="18"/>
              </w:rPr>
            </w:pPr>
          </w:p>
        </w:tc>
        <w:tc>
          <w:tcPr>
            <w:tcW w:w="833" w:type="pct"/>
            <w:vMerge w:val="restart"/>
            <w:vAlign w:val="center"/>
          </w:tcPr>
          <w:p w:rsidR="00644B49" w:rsidRPr="00E2771E" w:rsidRDefault="00644B49" w:rsidP="00127DF3">
            <w:pPr>
              <w:jc w:val="center"/>
              <w:rPr>
                <w:rFonts w:ascii="Arial Narrow" w:hAnsi="Arial Narrow"/>
                <w:b/>
                <w:color w:val="000000"/>
                <w:sz w:val="20"/>
                <w:szCs w:val="18"/>
              </w:rPr>
            </w:pPr>
            <w:proofErr w:type="spellStart"/>
            <w:r>
              <w:rPr>
                <w:rFonts w:ascii="Arial Narrow" w:hAnsi="Arial Narrow"/>
                <w:b/>
                <w:color w:val="000000"/>
                <w:sz w:val="20"/>
                <w:szCs w:val="18"/>
              </w:rPr>
              <w:t>Nivo</w:t>
            </w:r>
            <w:proofErr w:type="spellEnd"/>
            <w:r>
              <w:rPr>
                <w:rFonts w:ascii="Arial Narrow" w:hAnsi="Arial Narrow"/>
                <w:b/>
                <w:color w:val="000000"/>
                <w:sz w:val="20"/>
                <w:szCs w:val="18"/>
              </w:rPr>
              <w:t xml:space="preserve"> + </w:t>
            </w:r>
            <w:proofErr w:type="spellStart"/>
            <w:r>
              <w:rPr>
                <w:rFonts w:ascii="Arial Narrow" w:hAnsi="Arial Narrow"/>
                <w:b/>
                <w:color w:val="000000"/>
                <w:sz w:val="20"/>
                <w:szCs w:val="18"/>
              </w:rPr>
              <w:t>Ipi</w:t>
            </w:r>
            <w:proofErr w:type="spellEnd"/>
            <w:r w:rsidR="00127DF3">
              <w:rPr>
                <w:rFonts w:ascii="Arial Narrow" w:hAnsi="Arial Narrow"/>
                <w:b/>
                <w:color w:val="000000"/>
                <w:sz w:val="20"/>
                <w:szCs w:val="18"/>
              </w:rPr>
              <w:t xml:space="preserve"> </w:t>
            </w:r>
            <w:r w:rsidR="00127DF3">
              <w:rPr>
                <w:rFonts w:ascii="Arial Narrow" w:hAnsi="Arial Narrow"/>
                <w:b/>
                <w:sz w:val="20"/>
              </w:rPr>
              <w:t>n/N (%)</w:t>
            </w:r>
          </w:p>
        </w:tc>
        <w:tc>
          <w:tcPr>
            <w:tcW w:w="765" w:type="pct"/>
            <w:gridSpan w:val="3"/>
            <w:vMerge w:val="restart"/>
            <w:vAlign w:val="center"/>
          </w:tcPr>
          <w:p w:rsidR="00127DF3" w:rsidRPr="00E2771E" w:rsidRDefault="00644B49" w:rsidP="00127DF3">
            <w:pPr>
              <w:jc w:val="center"/>
              <w:rPr>
                <w:rFonts w:ascii="Arial Narrow" w:hAnsi="Arial Narrow"/>
                <w:b/>
                <w:color w:val="000000"/>
                <w:sz w:val="20"/>
                <w:szCs w:val="18"/>
              </w:rPr>
            </w:pPr>
            <w:proofErr w:type="spellStart"/>
            <w:r>
              <w:rPr>
                <w:rFonts w:ascii="Arial Narrow" w:hAnsi="Arial Narrow"/>
                <w:b/>
                <w:color w:val="000000"/>
                <w:sz w:val="20"/>
                <w:szCs w:val="18"/>
              </w:rPr>
              <w:t>Ipi</w:t>
            </w:r>
            <w:proofErr w:type="spellEnd"/>
            <w:r w:rsidR="00127DF3">
              <w:rPr>
                <w:rFonts w:ascii="Arial Narrow" w:hAnsi="Arial Narrow"/>
                <w:b/>
                <w:color w:val="000000"/>
                <w:sz w:val="20"/>
                <w:szCs w:val="18"/>
              </w:rPr>
              <w:t xml:space="preserve"> </w:t>
            </w:r>
            <w:r w:rsidR="00127DF3">
              <w:rPr>
                <w:rFonts w:ascii="Arial Narrow" w:hAnsi="Arial Narrow"/>
                <w:b/>
                <w:sz w:val="20"/>
              </w:rPr>
              <w:t>n/N (%)</w:t>
            </w:r>
          </w:p>
        </w:tc>
        <w:tc>
          <w:tcPr>
            <w:tcW w:w="918" w:type="pct"/>
            <w:gridSpan w:val="2"/>
            <w:vMerge w:val="restart"/>
            <w:vAlign w:val="center"/>
          </w:tcPr>
          <w:p w:rsidR="00644B49" w:rsidRPr="00E2771E" w:rsidRDefault="00644B49" w:rsidP="00127DF3">
            <w:pPr>
              <w:jc w:val="center"/>
              <w:rPr>
                <w:rFonts w:ascii="Arial Narrow" w:hAnsi="Arial Narrow"/>
                <w:b/>
                <w:color w:val="000000"/>
                <w:sz w:val="20"/>
                <w:szCs w:val="18"/>
              </w:rPr>
            </w:pPr>
            <w:r w:rsidRPr="00E2771E">
              <w:rPr>
                <w:rFonts w:ascii="Arial Narrow" w:hAnsi="Arial Narrow"/>
                <w:b/>
                <w:color w:val="000000"/>
                <w:sz w:val="20"/>
                <w:szCs w:val="18"/>
              </w:rPr>
              <w:t>RR</w:t>
            </w:r>
            <w:r w:rsidR="00127DF3">
              <w:rPr>
                <w:rFonts w:ascii="Arial Narrow" w:hAnsi="Arial Narrow"/>
                <w:b/>
                <w:color w:val="000000"/>
                <w:sz w:val="20"/>
                <w:szCs w:val="18"/>
              </w:rPr>
              <w:t xml:space="preserve"> </w:t>
            </w:r>
            <w:r w:rsidRPr="00E2771E">
              <w:rPr>
                <w:rFonts w:ascii="Arial Narrow" w:hAnsi="Arial Narrow"/>
                <w:b/>
                <w:color w:val="000000"/>
                <w:sz w:val="20"/>
                <w:szCs w:val="18"/>
              </w:rPr>
              <w:t>(95% CI)</w:t>
            </w:r>
          </w:p>
        </w:tc>
        <w:tc>
          <w:tcPr>
            <w:tcW w:w="1215" w:type="pct"/>
            <w:gridSpan w:val="4"/>
            <w:vAlign w:val="center"/>
          </w:tcPr>
          <w:p w:rsidR="00644B49" w:rsidRPr="00E2771E" w:rsidRDefault="00644B49" w:rsidP="0062235A">
            <w:pPr>
              <w:jc w:val="center"/>
              <w:rPr>
                <w:rFonts w:ascii="Arial Narrow" w:hAnsi="Arial Narrow"/>
                <w:b/>
                <w:color w:val="000000"/>
                <w:sz w:val="20"/>
                <w:szCs w:val="18"/>
              </w:rPr>
            </w:pPr>
            <w:r w:rsidRPr="00E2771E">
              <w:rPr>
                <w:rFonts w:ascii="Arial Narrow" w:hAnsi="Arial Narrow"/>
                <w:b/>
                <w:color w:val="000000"/>
                <w:sz w:val="20"/>
                <w:szCs w:val="18"/>
              </w:rPr>
              <w:t>Event rate/100 patients*</w:t>
            </w:r>
          </w:p>
        </w:tc>
        <w:tc>
          <w:tcPr>
            <w:tcW w:w="747" w:type="pct"/>
            <w:vMerge w:val="restart"/>
            <w:vAlign w:val="center"/>
          </w:tcPr>
          <w:p w:rsidR="00644B49" w:rsidRPr="00E2771E" w:rsidRDefault="00644B49" w:rsidP="00127DF3">
            <w:pPr>
              <w:jc w:val="center"/>
              <w:rPr>
                <w:rFonts w:ascii="Arial Narrow" w:hAnsi="Arial Narrow"/>
                <w:b/>
                <w:color w:val="000000"/>
                <w:sz w:val="20"/>
                <w:szCs w:val="18"/>
              </w:rPr>
            </w:pPr>
            <w:r w:rsidRPr="00E2771E">
              <w:rPr>
                <w:rFonts w:ascii="Arial Narrow" w:hAnsi="Arial Narrow"/>
                <w:b/>
                <w:color w:val="000000"/>
                <w:sz w:val="20"/>
                <w:szCs w:val="18"/>
              </w:rPr>
              <w:t>RD</w:t>
            </w:r>
            <w:r w:rsidR="00127DF3">
              <w:rPr>
                <w:rFonts w:ascii="Arial Narrow" w:hAnsi="Arial Narrow"/>
                <w:b/>
                <w:color w:val="000000"/>
                <w:sz w:val="20"/>
                <w:szCs w:val="18"/>
              </w:rPr>
              <w:t xml:space="preserve"> </w:t>
            </w:r>
            <w:r w:rsidRPr="00E2771E">
              <w:rPr>
                <w:rFonts w:ascii="Arial Narrow" w:hAnsi="Arial Narrow"/>
                <w:b/>
                <w:color w:val="000000"/>
                <w:sz w:val="20"/>
                <w:szCs w:val="18"/>
              </w:rPr>
              <w:t>(95% CI)</w:t>
            </w:r>
          </w:p>
        </w:tc>
      </w:tr>
      <w:tr w:rsidR="00644B49" w:rsidRPr="00E2771E" w:rsidTr="00127DF3">
        <w:trPr>
          <w:trHeight w:val="297"/>
        </w:trPr>
        <w:tc>
          <w:tcPr>
            <w:tcW w:w="521" w:type="pct"/>
            <w:vMerge/>
            <w:shd w:val="clear" w:color="auto" w:fill="auto"/>
            <w:vAlign w:val="center"/>
          </w:tcPr>
          <w:p w:rsidR="00644B49" w:rsidRPr="00E2771E" w:rsidRDefault="00644B49" w:rsidP="00EC00C9">
            <w:pPr>
              <w:rPr>
                <w:rFonts w:ascii="Arial Narrow" w:hAnsi="Arial Narrow"/>
                <w:b/>
                <w:color w:val="000000"/>
                <w:sz w:val="20"/>
                <w:szCs w:val="18"/>
              </w:rPr>
            </w:pPr>
          </w:p>
        </w:tc>
        <w:tc>
          <w:tcPr>
            <w:tcW w:w="833" w:type="pct"/>
            <w:vMerge/>
            <w:vAlign w:val="center"/>
          </w:tcPr>
          <w:p w:rsidR="00644B49" w:rsidRPr="00E2771E" w:rsidRDefault="00644B49" w:rsidP="00EC00C9">
            <w:pPr>
              <w:jc w:val="center"/>
              <w:rPr>
                <w:rFonts w:ascii="Arial Narrow" w:hAnsi="Arial Narrow"/>
                <w:b/>
                <w:color w:val="000000"/>
                <w:sz w:val="20"/>
                <w:szCs w:val="18"/>
              </w:rPr>
            </w:pPr>
          </w:p>
        </w:tc>
        <w:tc>
          <w:tcPr>
            <w:tcW w:w="765" w:type="pct"/>
            <w:gridSpan w:val="3"/>
            <w:vMerge/>
            <w:vAlign w:val="center"/>
          </w:tcPr>
          <w:p w:rsidR="00644B49" w:rsidRPr="00E2771E" w:rsidRDefault="00644B49" w:rsidP="00EC00C9">
            <w:pPr>
              <w:jc w:val="center"/>
              <w:rPr>
                <w:rFonts w:ascii="Arial Narrow" w:hAnsi="Arial Narrow"/>
                <w:b/>
                <w:color w:val="000000"/>
                <w:sz w:val="20"/>
                <w:szCs w:val="18"/>
              </w:rPr>
            </w:pPr>
          </w:p>
        </w:tc>
        <w:tc>
          <w:tcPr>
            <w:tcW w:w="918" w:type="pct"/>
            <w:gridSpan w:val="2"/>
            <w:vMerge/>
            <w:vAlign w:val="center"/>
          </w:tcPr>
          <w:p w:rsidR="00644B49" w:rsidRPr="00E2771E" w:rsidRDefault="00644B49" w:rsidP="00EC00C9">
            <w:pPr>
              <w:jc w:val="center"/>
              <w:rPr>
                <w:rFonts w:ascii="Arial Narrow" w:hAnsi="Arial Narrow"/>
                <w:b/>
                <w:color w:val="000000"/>
                <w:sz w:val="20"/>
                <w:szCs w:val="18"/>
              </w:rPr>
            </w:pPr>
          </w:p>
        </w:tc>
        <w:tc>
          <w:tcPr>
            <w:tcW w:w="668" w:type="pct"/>
            <w:gridSpan w:val="2"/>
            <w:vAlign w:val="center"/>
          </w:tcPr>
          <w:p w:rsidR="00644B49" w:rsidRPr="00E2771E" w:rsidRDefault="00644B49" w:rsidP="00EC00C9">
            <w:pPr>
              <w:jc w:val="center"/>
              <w:rPr>
                <w:rFonts w:ascii="Arial Narrow" w:hAnsi="Arial Narrow"/>
                <w:b/>
                <w:color w:val="000000"/>
                <w:sz w:val="20"/>
                <w:szCs w:val="18"/>
              </w:rPr>
            </w:pPr>
            <w:proofErr w:type="spellStart"/>
            <w:r>
              <w:rPr>
                <w:rFonts w:ascii="Arial Narrow" w:hAnsi="Arial Narrow"/>
                <w:b/>
                <w:color w:val="000000"/>
                <w:sz w:val="20"/>
                <w:szCs w:val="18"/>
              </w:rPr>
              <w:t>Nivo</w:t>
            </w:r>
            <w:proofErr w:type="spellEnd"/>
            <w:r>
              <w:rPr>
                <w:rFonts w:ascii="Arial Narrow" w:hAnsi="Arial Narrow"/>
                <w:b/>
                <w:color w:val="000000"/>
                <w:sz w:val="20"/>
                <w:szCs w:val="18"/>
              </w:rPr>
              <w:t xml:space="preserve"> + </w:t>
            </w:r>
            <w:proofErr w:type="spellStart"/>
            <w:r>
              <w:rPr>
                <w:rFonts w:ascii="Arial Narrow" w:hAnsi="Arial Narrow"/>
                <w:b/>
                <w:color w:val="000000"/>
                <w:sz w:val="20"/>
                <w:szCs w:val="18"/>
              </w:rPr>
              <w:t>Ipi</w:t>
            </w:r>
            <w:proofErr w:type="spellEnd"/>
          </w:p>
        </w:tc>
        <w:tc>
          <w:tcPr>
            <w:tcW w:w="548" w:type="pct"/>
            <w:gridSpan w:val="2"/>
            <w:vAlign w:val="center"/>
          </w:tcPr>
          <w:p w:rsidR="00644B49" w:rsidRPr="00E2771E" w:rsidRDefault="00644B49" w:rsidP="00EC00C9">
            <w:pPr>
              <w:jc w:val="center"/>
              <w:rPr>
                <w:rFonts w:ascii="Arial Narrow" w:hAnsi="Arial Narrow"/>
                <w:b/>
                <w:color w:val="000000"/>
                <w:sz w:val="20"/>
                <w:szCs w:val="18"/>
              </w:rPr>
            </w:pPr>
            <w:proofErr w:type="spellStart"/>
            <w:r>
              <w:rPr>
                <w:rFonts w:ascii="Arial Narrow" w:hAnsi="Arial Narrow"/>
                <w:b/>
                <w:color w:val="000000"/>
                <w:sz w:val="20"/>
                <w:szCs w:val="18"/>
              </w:rPr>
              <w:t>Ipi</w:t>
            </w:r>
            <w:proofErr w:type="spellEnd"/>
          </w:p>
        </w:tc>
        <w:tc>
          <w:tcPr>
            <w:tcW w:w="747" w:type="pct"/>
            <w:vMerge/>
            <w:vAlign w:val="center"/>
          </w:tcPr>
          <w:p w:rsidR="00644B49" w:rsidRPr="00E2771E" w:rsidRDefault="00644B49" w:rsidP="00EC00C9">
            <w:pPr>
              <w:jc w:val="center"/>
              <w:rPr>
                <w:rFonts w:ascii="Arial Narrow" w:hAnsi="Arial Narrow"/>
                <w:b/>
                <w:color w:val="000000"/>
                <w:sz w:val="20"/>
                <w:szCs w:val="18"/>
              </w:rPr>
            </w:pPr>
          </w:p>
        </w:tc>
      </w:tr>
      <w:tr w:rsidR="00644B49" w:rsidRPr="00E2771E" w:rsidTr="00552BD3">
        <w:tc>
          <w:tcPr>
            <w:tcW w:w="5000" w:type="pct"/>
            <w:gridSpan w:val="12"/>
            <w:shd w:val="clear" w:color="auto" w:fill="auto"/>
            <w:vAlign w:val="center"/>
          </w:tcPr>
          <w:p w:rsidR="00644B49" w:rsidRPr="00E2771E" w:rsidRDefault="00644B49" w:rsidP="00A97408">
            <w:pPr>
              <w:rPr>
                <w:rFonts w:ascii="Arial Narrow" w:hAnsi="Arial Narrow"/>
                <w:b/>
                <w:color w:val="000000"/>
                <w:sz w:val="20"/>
                <w:szCs w:val="18"/>
              </w:rPr>
            </w:pPr>
            <w:r>
              <w:rPr>
                <w:rFonts w:ascii="Arial Narrow" w:hAnsi="Arial Narrow"/>
                <w:b/>
                <w:color w:val="000000"/>
                <w:sz w:val="20"/>
                <w:szCs w:val="18"/>
              </w:rPr>
              <w:t>Any serious drug</w:t>
            </w:r>
            <w:r w:rsidR="00A97408">
              <w:rPr>
                <w:rFonts w:ascii="Arial Narrow" w:hAnsi="Arial Narrow"/>
                <w:b/>
                <w:color w:val="000000"/>
                <w:sz w:val="20"/>
                <w:szCs w:val="18"/>
              </w:rPr>
              <w:t>-</w:t>
            </w:r>
            <w:r>
              <w:rPr>
                <w:rFonts w:ascii="Arial Narrow" w:hAnsi="Arial Narrow"/>
                <w:b/>
                <w:color w:val="000000"/>
                <w:sz w:val="20"/>
                <w:szCs w:val="18"/>
              </w:rPr>
              <w:t>related adverse events</w:t>
            </w:r>
          </w:p>
        </w:tc>
      </w:tr>
      <w:tr w:rsidR="00644B49" w:rsidRPr="00E2771E" w:rsidTr="00127DF3">
        <w:tc>
          <w:tcPr>
            <w:tcW w:w="521" w:type="pct"/>
            <w:shd w:val="clear" w:color="auto" w:fill="auto"/>
            <w:vAlign w:val="center"/>
          </w:tcPr>
          <w:p w:rsidR="00644B49" w:rsidRPr="00E2771E" w:rsidRDefault="00644B49" w:rsidP="00EC00C9">
            <w:pPr>
              <w:rPr>
                <w:rFonts w:ascii="Arial Narrow" w:hAnsi="Arial Narrow"/>
                <w:color w:val="000000"/>
                <w:sz w:val="20"/>
                <w:szCs w:val="18"/>
              </w:rPr>
            </w:pPr>
            <w:r>
              <w:rPr>
                <w:rFonts w:ascii="Arial Narrow" w:hAnsi="Arial Narrow"/>
                <w:color w:val="000000"/>
                <w:sz w:val="20"/>
                <w:szCs w:val="18"/>
              </w:rPr>
              <w:t>Pooled**</w:t>
            </w:r>
          </w:p>
        </w:tc>
        <w:tc>
          <w:tcPr>
            <w:tcW w:w="843" w:type="pct"/>
            <w:gridSpan w:val="2"/>
            <w:vAlign w:val="center"/>
          </w:tcPr>
          <w:p w:rsidR="00644B49" w:rsidRPr="00E2771E" w:rsidRDefault="00644B49" w:rsidP="00B235DF">
            <w:pPr>
              <w:jc w:val="center"/>
              <w:rPr>
                <w:rFonts w:ascii="Arial Narrow" w:hAnsi="Arial Narrow"/>
                <w:color w:val="000000"/>
                <w:sz w:val="20"/>
                <w:szCs w:val="18"/>
              </w:rPr>
            </w:pPr>
            <w:r>
              <w:rPr>
                <w:rFonts w:ascii="Arial Narrow" w:hAnsi="Arial Narrow"/>
                <w:color w:val="000000"/>
                <w:sz w:val="20"/>
                <w:szCs w:val="18"/>
              </w:rPr>
              <w:t>195/407 (47.9)</w:t>
            </w:r>
          </w:p>
        </w:tc>
        <w:tc>
          <w:tcPr>
            <w:tcW w:w="755" w:type="pct"/>
            <w:gridSpan w:val="2"/>
            <w:vAlign w:val="center"/>
          </w:tcPr>
          <w:p w:rsidR="00644B49" w:rsidRPr="00E2771E" w:rsidRDefault="00644B49" w:rsidP="00B235DF">
            <w:pPr>
              <w:jc w:val="center"/>
              <w:rPr>
                <w:rFonts w:ascii="Arial Narrow" w:hAnsi="Arial Narrow"/>
                <w:color w:val="000000"/>
                <w:sz w:val="20"/>
                <w:szCs w:val="18"/>
              </w:rPr>
            </w:pPr>
            <w:r>
              <w:rPr>
                <w:rFonts w:ascii="Arial Narrow" w:hAnsi="Arial Narrow"/>
                <w:color w:val="000000"/>
                <w:sz w:val="20"/>
                <w:szCs w:val="18"/>
              </w:rPr>
              <w:t>78/357 (21.8)</w:t>
            </w:r>
          </w:p>
        </w:tc>
        <w:tc>
          <w:tcPr>
            <w:tcW w:w="918" w:type="pct"/>
            <w:gridSpan w:val="2"/>
            <w:vAlign w:val="center"/>
          </w:tcPr>
          <w:p w:rsidR="00644B49" w:rsidRPr="00911EA4" w:rsidRDefault="001634C4" w:rsidP="001634C4">
            <w:pPr>
              <w:widowControl/>
              <w:jc w:val="center"/>
              <w:rPr>
                <w:rFonts w:ascii="Arial Narrow" w:hAnsi="Arial Narrow" w:cs="Times New Roman"/>
                <w:snapToGrid/>
                <w:color w:val="000000"/>
                <w:sz w:val="20"/>
                <w:lang w:val="en-US"/>
              </w:rPr>
            </w:pPr>
            <w:r>
              <w:rPr>
                <w:rFonts w:ascii="Arial Narrow" w:hAnsi="Arial Narrow" w:cs="Times New Roman"/>
                <w:snapToGrid/>
                <w:color w:val="000000"/>
                <w:sz w:val="20"/>
                <w:lang w:val="en-US"/>
              </w:rPr>
              <w:t>2.19 (1.76, 2.74)</w:t>
            </w:r>
          </w:p>
        </w:tc>
        <w:tc>
          <w:tcPr>
            <w:tcW w:w="668" w:type="pct"/>
            <w:gridSpan w:val="2"/>
            <w:vAlign w:val="center"/>
          </w:tcPr>
          <w:p w:rsidR="00644B49" w:rsidRPr="00E2771E" w:rsidRDefault="00644B49" w:rsidP="00EC00C9">
            <w:pPr>
              <w:jc w:val="center"/>
              <w:rPr>
                <w:rFonts w:ascii="Arial Narrow" w:hAnsi="Arial Narrow"/>
                <w:color w:val="000000"/>
                <w:sz w:val="20"/>
                <w:szCs w:val="18"/>
              </w:rPr>
            </w:pPr>
            <w:r>
              <w:rPr>
                <w:rFonts w:ascii="Arial Narrow" w:hAnsi="Arial Narrow"/>
                <w:color w:val="000000"/>
                <w:sz w:val="20"/>
                <w:szCs w:val="18"/>
              </w:rPr>
              <w:t>48</w:t>
            </w:r>
          </w:p>
        </w:tc>
        <w:tc>
          <w:tcPr>
            <w:tcW w:w="548" w:type="pct"/>
            <w:gridSpan w:val="2"/>
            <w:vAlign w:val="center"/>
          </w:tcPr>
          <w:p w:rsidR="00644B49" w:rsidRPr="00E2771E" w:rsidRDefault="00644B49" w:rsidP="00EC00C9">
            <w:pPr>
              <w:jc w:val="center"/>
              <w:rPr>
                <w:rFonts w:ascii="Arial Narrow" w:hAnsi="Arial Narrow"/>
                <w:color w:val="000000"/>
                <w:sz w:val="20"/>
                <w:szCs w:val="18"/>
              </w:rPr>
            </w:pPr>
            <w:r>
              <w:rPr>
                <w:rFonts w:ascii="Arial Narrow" w:hAnsi="Arial Narrow"/>
                <w:color w:val="000000"/>
                <w:sz w:val="20"/>
                <w:szCs w:val="18"/>
              </w:rPr>
              <w:t>22</w:t>
            </w:r>
          </w:p>
        </w:tc>
        <w:tc>
          <w:tcPr>
            <w:tcW w:w="747" w:type="pct"/>
            <w:vAlign w:val="center"/>
          </w:tcPr>
          <w:p w:rsidR="00644B49" w:rsidRPr="00911EA4" w:rsidRDefault="00644B49" w:rsidP="00C75C26">
            <w:pPr>
              <w:widowControl/>
              <w:jc w:val="center"/>
              <w:rPr>
                <w:rFonts w:ascii="Arial Narrow" w:hAnsi="Arial Narrow" w:cs="Times New Roman"/>
                <w:snapToGrid/>
                <w:color w:val="000000"/>
                <w:sz w:val="20"/>
                <w:lang w:val="en-US"/>
              </w:rPr>
            </w:pPr>
            <w:r>
              <w:rPr>
                <w:rFonts w:ascii="Arial Narrow" w:hAnsi="Arial Narrow" w:cs="Times New Roman"/>
                <w:snapToGrid/>
                <w:color w:val="000000"/>
                <w:sz w:val="20"/>
                <w:lang w:val="en-US"/>
              </w:rPr>
              <w:t>0.26 (0.20, 0.33)</w:t>
            </w:r>
          </w:p>
        </w:tc>
      </w:tr>
      <w:tr w:rsidR="00644B49" w:rsidRPr="00E2771E" w:rsidTr="00552BD3">
        <w:tc>
          <w:tcPr>
            <w:tcW w:w="5000" w:type="pct"/>
            <w:gridSpan w:val="12"/>
            <w:shd w:val="clear" w:color="auto" w:fill="auto"/>
            <w:vAlign w:val="center"/>
          </w:tcPr>
          <w:p w:rsidR="00644B49" w:rsidRPr="00F107A4" w:rsidRDefault="00644B49" w:rsidP="00A97408">
            <w:pPr>
              <w:rPr>
                <w:rFonts w:ascii="Arial Narrow" w:hAnsi="Arial Narrow"/>
                <w:b/>
                <w:color w:val="000000"/>
                <w:sz w:val="20"/>
                <w:szCs w:val="18"/>
                <w:u w:val="single"/>
              </w:rPr>
            </w:pPr>
            <w:r>
              <w:rPr>
                <w:rFonts w:ascii="Arial Narrow" w:hAnsi="Arial Narrow"/>
                <w:b/>
                <w:color w:val="000000"/>
                <w:sz w:val="20"/>
                <w:szCs w:val="18"/>
              </w:rPr>
              <w:t>Any severe adverse events (grade</w:t>
            </w:r>
            <w:r w:rsidR="00A97408">
              <w:rPr>
                <w:rFonts w:ascii="Arial Narrow" w:hAnsi="Arial Narrow"/>
                <w:b/>
                <w:color w:val="000000"/>
                <w:sz w:val="20"/>
                <w:szCs w:val="18"/>
              </w:rPr>
              <w:t xml:space="preserve"> ≥</w:t>
            </w:r>
            <w:r w:rsidRPr="00A97408">
              <w:rPr>
                <w:rFonts w:ascii="Arial Narrow" w:hAnsi="Arial Narrow"/>
                <w:b/>
                <w:color w:val="000000"/>
                <w:sz w:val="20"/>
                <w:szCs w:val="18"/>
              </w:rPr>
              <w:t>3)</w:t>
            </w:r>
          </w:p>
        </w:tc>
      </w:tr>
      <w:tr w:rsidR="00644B49" w:rsidRPr="00E2771E" w:rsidTr="00127DF3">
        <w:tc>
          <w:tcPr>
            <w:tcW w:w="521" w:type="pct"/>
            <w:shd w:val="clear" w:color="auto" w:fill="auto"/>
            <w:vAlign w:val="center"/>
          </w:tcPr>
          <w:p w:rsidR="00644B49" w:rsidRPr="00E2771E" w:rsidRDefault="00033E1F" w:rsidP="00C75C26">
            <w:pPr>
              <w:rPr>
                <w:rFonts w:ascii="Arial Narrow" w:hAnsi="Arial Narrow"/>
                <w:color w:val="000000"/>
                <w:sz w:val="20"/>
                <w:szCs w:val="18"/>
              </w:rPr>
            </w:pPr>
            <w:r>
              <w:rPr>
                <w:rFonts w:ascii="Arial Narrow" w:hAnsi="Arial Narrow"/>
                <w:color w:val="000000"/>
                <w:sz w:val="20"/>
                <w:szCs w:val="18"/>
              </w:rPr>
              <w:t>Pooled</w:t>
            </w:r>
            <w:r w:rsidR="00644B49">
              <w:rPr>
                <w:rFonts w:ascii="Arial Narrow" w:hAnsi="Arial Narrow"/>
                <w:color w:val="000000"/>
                <w:sz w:val="20"/>
                <w:szCs w:val="18"/>
              </w:rPr>
              <w:t>**</w:t>
            </w:r>
          </w:p>
        </w:tc>
        <w:tc>
          <w:tcPr>
            <w:tcW w:w="843" w:type="pct"/>
            <w:gridSpan w:val="2"/>
            <w:vAlign w:val="center"/>
          </w:tcPr>
          <w:p w:rsidR="00644B49" w:rsidRPr="00E2771E" w:rsidRDefault="00644B49" w:rsidP="00EC00C9">
            <w:pPr>
              <w:jc w:val="center"/>
              <w:rPr>
                <w:rFonts w:ascii="Arial Narrow" w:hAnsi="Arial Narrow"/>
                <w:color w:val="000000"/>
                <w:sz w:val="20"/>
                <w:szCs w:val="18"/>
              </w:rPr>
            </w:pPr>
            <w:r>
              <w:rPr>
                <w:rFonts w:ascii="Arial Narrow" w:hAnsi="Arial Narrow"/>
                <w:color w:val="000000"/>
                <w:sz w:val="20"/>
                <w:szCs w:val="18"/>
              </w:rPr>
              <w:t>221/407</w:t>
            </w:r>
            <w:r w:rsidR="001634C4">
              <w:rPr>
                <w:rFonts w:ascii="Arial Narrow" w:hAnsi="Arial Narrow"/>
                <w:color w:val="000000"/>
                <w:sz w:val="20"/>
                <w:szCs w:val="18"/>
              </w:rPr>
              <w:t xml:space="preserve"> </w:t>
            </w:r>
            <w:r>
              <w:rPr>
                <w:rFonts w:ascii="Arial Narrow" w:hAnsi="Arial Narrow"/>
                <w:color w:val="000000"/>
                <w:sz w:val="20"/>
                <w:szCs w:val="18"/>
              </w:rPr>
              <w:t>(54.3</w:t>
            </w:r>
            <w:r w:rsidR="00983131">
              <w:rPr>
                <w:rFonts w:ascii="Arial Narrow" w:hAnsi="Arial Narrow"/>
                <w:color w:val="000000"/>
                <w:sz w:val="20"/>
                <w:szCs w:val="18"/>
              </w:rPr>
              <w:t>%</w:t>
            </w:r>
            <w:r>
              <w:rPr>
                <w:rFonts w:ascii="Arial Narrow" w:hAnsi="Arial Narrow"/>
                <w:color w:val="000000"/>
                <w:sz w:val="20"/>
                <w:szCs w:val="18"/>
              </w:rPr>
              <w:t>)</w:t>
            </w:r>
          </w:p>
        </w:tc>
        <w:tc>
          <w:tcPr>
            <w:tcW w:w="755" w:type="pct"/>
            <w:gridSpan w:val="2"/>
            <w:vAlign w:val="center"/>
          </w:tcPr>
          <w:p w:rsidR="00644B49" w:rsidRPr="00E2771E" w:rsidRDefault="00644B49" w:rsidP="00EC00C9">
            <w:pPr>
              <w:jc w:val="center"/>
              <w:rPr>
                <w:rFonts w:ascii="Arial Narrow" w:hAnsi="Arial Narrow"/>
                <w:color w:val="000000"/>
                <w:sz w:val="20"/>
                <w:szCs w:val="18"/>
              </w:rPr>
            </w:pPr>
            <w:r>
              <w:rPr>
                <w:rFonts w:ascii="Arial Narrow" w:hAnsi="Arial Narrow"/>
                <w:color w:val="000000"/>
                <w:sz w:val="20"/>
                <w:szCs w:val="18"/>
              </w:rPr>
              <w:t>95/357</w:t>
            </w:r>
            <w:r w:rsidR="001634C4">
              <w:rPr>
                <w:rFonts w:ascii="Arial Narrow" w:hAnsi="Arial Narrow"/>
                <w:color w:val="000000"/>
                <w:sz w:val="20"/>
                <w:szCs w:val="18"/>
              </w:rPr>
              <w:t xml:space="preserve"> </w:t>
            </w:r>
            <w:r>
              <w:rPr>
                <w:rFonts w:ascii="Arial Narrow" w:hAnsi="Arial Narrow"/>
                <w:color w:val="000000"/>
                <w:sz w:val="20"/>
                <w:szCs w:val="18"/>
              </w:rPr>
              <w:t>(26.6</w:t>
            </w:r>
            <w:r w:rsidR="00983131">
              <w:rPr>
                <w:rFonts w:ascii="Arial Narrow" w:hAnsi="Arial Narrow"/>
                <w:color w:val="000000"/>
                <w:sz w:val="20"/>
                <w:szCs w:val="18"/>
              </w:rPr>
              <w:t>%</w:t>
            </w:r>
            <w:r>
              <w:rPr>
                <w:rFonts w:ascii="Arial Narrow" w:hAnsi="Arial Narrow"/>
                <w:color w:val="000000"/>
                <w:sz w:val="20"/>
                <w:szCs w:val="18"/>
              </w:rPr>
              <w:t>)</w:t>
            </w:r>
          </w:p>
        </w:tc>
        <w:tc>
          <w:tcPr>
            <w:tcW w:w="918" w:type="pct"/>
            <w:gridSpan w:val="2"/>
            <w:vAlign w:val="center"/>
          </w:tcPr>
          <w:p w:rsidR="00644B49" w:rsidRPr="00E2771E" w:rsidRDefault="00644B49" w:rsidP="00EC00C9">
            <w:pPr>
              <w:jc w:val="center"/>
              <w:rPr>
                <w:rFonts w:ascii="Arial Narrow" w:hAnsi="Arial Narrow"/>
                <w:color w:val="000000"/>
                <w:sz w:val="20"/>
                <w:szCs w:val="18"/>
              </w:rPr>
            </w:pPr>
            <w:r w:rsidRPr="00446BBC">
              <w:rPr>
                <w:rFonts w:ascii="Arial Narrow" w:hAnsi="Arial Narrow" w:cs="Times New Roman"/>
                <w:snapToGrid/>
                <w:color w:val="000000"/>
                <w:sz w:val="20"/>
                <w:lang w:val="en-US"/>
              </w:rPr>
              <w:t>2.05 (1.68, 2.49)</w:t>
            </w:r>
          </w:p>
        </w:tc>
        <w:tc>
          <w:tcPr>
            <w:tcW w:w="668" w:type="pct"/>
            <w:gridSpan w:val="2"/>
            <w:vAlign w:val="center"/>
          </w:tcPr>
          <w:p w:rsidR="00644B49" w:rsidRPr="00E2771E" w:rsidRDefault="00644B49" w:rsidP="00EC00C9">
            <w:pPr>
              <w:jc w:val="center"/>
              <w:rPr>
                <w:rFonts w:ascii="Arial Narrow" w:hAnsi="Arial Narrow"/>
                <w:color w:val="000000"/>
                <w:sz w:val="20"/>
                <w:szCs w:val="18"/>
              </w:rPr>
            </w:pPr>
            <w:r>
              <w:rPr>
                <w:rFonts w:ascii="Arial Narrow" w:hAnsi="Arial Narrow"/>
                <w:color w:val="000000"/>
                <w:sz w:val="20"/>
                <w:szCs w:val="18"/>
              </w:rPr>
              <w:t>54</w:t>
            </w:r>
          </w:p>
        </w:tc>
        <w:tc>
          <w:tcPr>
            <w:tcW w:w="548" w:type="pct"/>
            <w:gridSpan w:val="2"/>
            <w:vAlign w:val="center"/>
          </w:tcPr>
          <w:p w:rsidR="00644B49" w:rsidRPr="00E2771E" w:rsidRDefault="00644B49" w:rsidP="00EC00C9">
            <w:pPr>
              <w:jc w:val="center"/>
              <w:rPr>
                <w:rFonts w:ascii="Arial Narrow" w:hAnsi="Arial Narrow"/>
                <w:color w:val="000000"/>
                <w:sz w:val="20"/>
                <w:szCs w:val="18"/>
              </w:rPr>
            </w:pPr>
            <w:r>
              <w:rPr>
                <w:rFonts w:ascii="Arial Narrow" w:hAnsi="Arial Narrow"/>
                <w:color w:val="000000"/>
                <w:sz w:val="20"/>
                <w:szCs w:val="18"/>
              </w:rPr>
              <w:t>27</w:t>
            </w:r>
          </w:p>
        </w:tc>
        <w:tc>
          <w:tcPr>
            <w:tcW w:w="747" w:type="pct"/>
            <w:vAlign w:val="center"/>
          </w:tcPr>
          <w:p w:rsidR="00644B49" w:rsidRPr="00E2771E" w:rsidRDefault="00644B49" w:rsidP="00EC00C9">
            <w:pPr>
              <w:jc w:val="center"/>
              <w:rPr>
                <w:rFonts w:ascii="Arial Narrow" w:hAnsi="Arial Narrow"/>
                <w:color w:val="000000"/>
                <w:sz w:val="20"/>
                <w:szCs w:val="18"/>
              </w:rPr>
            </w:pPr>
            <w:r w:rsidRPr="00B21520">
              <w:rPr>
                <w:rFonts w:ascii="Arial Narrow" w:hAnsi="Arial Narrow" w:cs="Times New Roman"/>
                <w:snapToGrid/>
                <w:color w:val="000000"/>
                <w:sz w:val="20"/>
                <w:lang w:val="en-US"/>
              </w:rPr>
              <w:t>0.28 (0.22, 0.35)</w:t>
            </w:r>
          </w:p>
        </w:tc>
      </w:tr>
      <w:tr w:rsidR="00644B49" w:rsidRPr="00E2771E" w:rsidTr="00552BD3">
        <w:tc>
          <w:tcPr>
            <w:tcW w:w="5000" w:type="pct"/>
            <w:gridSpan w:val="12"/>
            <w:shd w:val="clear" w:color="auto" w:fill="auto"/>
            <w:vAlign w:val="center"/>
          </w:tcPr>
          <w:p w:rsidR="00644B49" w:rsidRPr="00E2771E" w:rsidRDefault="00644B49" w:rsidP="00C75C26">
            <w:pPr>
              <w:rPr>
                <w:rFonts w:ascii="Arial Narrow" w:hAnsi="Arial Narrow"/>
                <w:color w:val="000000"/>
                <w:sz w:val="20"/>
                <w:szCs w:val="18"/>
              </w:rPr>
            </w:pPr>
            <w:r w:rsidRPr="00E2771E">
              <w:rPr>
                <w:rFonts w:ascii="Arial Narrow" w:hAnsi="Arial Narrow"/>
                <w:b/>
                <w:color w:val="000000"/>
                <w:sz w:val="20"/>
                <w:szCs w:val="18"/>
              </w:rPr>
              <w:t xml:space="preserve">Adverse </w:t>
            </w:r>
            <w:r>
              <w:rPr>
                <w:rFonts w:ascii="Arial Narrow" w:hAnsi="Arial Narrow"/>
                <w:b/>
                <w:color w:val="000000"/>
                <w:sz w:val="20"/>
                <w:szCs w:val="18"/>
              </w:rPr>
              <w:t>events leading to discontinuation</w:t>
            </w:r>
          </w:p>
        </w:tc>
      </w:tr>
      <w:tr w:rsidR="00644B49" w:rsidRPr="00E2771E" w:rsidTr="00127DF3">
        <w:tc>
          <w:tcPr>
            <w:tcW w:w="521" w:type="pct"/>
            <w:shd w:val="clear" w:color="auto" w:fill="auto"/>
            <w:vAlign w:val="center"/>
          </w:tcPr>
          <w:p w:rsidR="00644B49" w:rsidRPr="00E2771E" w:rsidRDefault="00644B49" w:rsidP="00EC00C9">
            <w:pPr>
              <w:rPr>
                <w:rFonts w:ascii="Arial Narrow" w:hAnsi="Arial Narrow"/>
                <w:color w:val="000000"/>
                <w:sz w:val="20"/>
                <w:szCs w:val="18"/>
              </w:rPr>
            </w:pPr>
            <w:r>
              <w:rPr>
                <w:rFonts w:ascii="Arial Narrow" w:hAnsi="Arial Narrow"/>
                <w:color w:val="000000"/>
                <w:sz w:val="20"/>
                <w:szCs w:val="18"/>
              </w:rPr>
              <w:t>Pooled**</w:t>
            </w:r>
          </w:p>
        </w:tc>
        <w:tc>
          <w:tcPr>
            <w:tcW w:w="843" w:type="pct"/>
            <w:gridSpan w:val="2"/>
            <w:vAlign w:val="center"/>
          </w:tcPr>
          <w:p w:rsidR="00644B49" w:rsidRPr="00E2771E" w:rsidRDefault="00644B49" w:rsidP="00EC00C9">
            <w:pPr>
              <w:jc w:val="center"/>
              <w:rPr>
                <w:rFonts w:ascii="Arial Narrow" w:hAnsi="Arial Narrow"/>
                <w:color w:val="000000"/>
                <w:sz w:val="20"/>
                <w:szCs w:val="18"/>
              </w:rPr>
            </w:pPr>
            <w:r>
              <w:rPr>
                <w:rFonts w:ascii="Arial Narrow" w:hAnsi="Arial Narrow"/>
                <w:color w:val="000000"/>
                <w:sz w:val="20"/>
                <w:szCs w:val="18"/>
              </w:rPr>
              <w:t>148/407</w:t>
            </w:r>
            <w:r w:rsidR="001634C4">
              <w:rPr>
                <w:rFonts w:ascii="Arial Narrow" w:hAnsi="Arial Narrow"/>
                <w:color w:val="000000"/>
                <w:sz w:val="20"/>
                <w:szCs w:val="18"/>
              </w:rPr>
              <w:t xml:space="preserve"> </w:t>
            </w:r>
            <w:r>
              <w:rPr>
                <w:rFonts w:ascii="Arial Narrow" w:hAnsi="Arial Narrow"/>
                <w:color w:val="000000"/>
                <w:sz w:val="20"/>
                <w:szCs w:val="18"/>
              </w:rPr>
              <w:t>(36.4</w:t>
            </w:r>
            <w:r w:rsidR="00983131">
              <w:rPr>
                <w:rFonts w:ascii="Arial Narrow" w:hAnsi="Arial Narrow"/>
                <w:color w:val="000000"/>
                <w:sz w:val="20"/>
                <w:szCs w:val="18"/>
              </w:rPr>
              <w:t>%</w:t>
            </w:r>
            <w:r>
              <w:rPr>
                <w:rFonts w:ascii="Arial Narrow" w:hAnsi="Arial Narrow"/>
                <w:color w:val="000000"/>
                <w:sz w:val="20"/>
                <w:szCs w:val="18"/>
              </w:rPr>
              <w:t>)</w:t>
            </w:r>
          </w:p>
        </w:tc>
        <w:tc>
          <w:tcPr>
            <w:tcW w:w="755" w:type="pct"/>
            <w:gridSpan w:val="2"/>
            <w:vAlign w:val="center"/>
          </w:tcPr>
          <w:p w:rsidR="00644B49" w:rsidRPr="00E2771E" w:rsidRDefault="00644B49" w:rsidP="00EC00C9">
            <w:pPr>
              <w:jc w:val="center"/>
              <w:rPr>
                <w:rFonts w:ascii="Arial Narrow" w:hAnsi="Arial Narrow"/>
                <w:color w:val="000000"/>
                <w:sz w:val="20"/>
                <w:szCs w:val="18"/>
              </w:rPr>
            </w:pPr>
            <w:r>
              <w:rPr>
                <w:rFonts w:ascii="Arial Narrow" w:hAnsi="Arial Narrow"/>
                <w:color w:val="000000"/>
                <w:sz w:val="20"/>
                <w:szCs w:val="18"/>
              </w:rPr>
              <w:t>50/357</w:t>
            </w:r>
            <w:r w:rsidR="001634C4">
              <w:rPr>
                <w:rFonts w:ascii="Arial Narrow" w:hAnsi="Arial Narrow"/>
                <w:color w:val="000000"/>
                <w:sz w:val="20"/>
                <w:szCs w:val="18"/>
              </w:rPr>
              <w:t xml:space="preserve"> </w:t>
            </w:r>
            <w:r w:rsidR="00983131">
              <w:rPr>
                <w:rFonts w:ascii="Arial Narrow" w:hAnsi="Arial Narrow"/>
                <w:color w:val="000000"/>
                <w:sz w:val="20"/>
                <w:szCs w:val="18"/>
              </w:rPr>
              <w:t>(</w:t>
            </w:r>
            <w:r>
              <w:rPr>
                <w:rFonts w:ascii="Arial Narrow" w:hAnsi="Arial Narrow"/>
                <w:color w:val="000000"/>
                <w:sz w:val="20"/>
                <w:szCs w:val="18"/>
              </w:rPr>
              <w:t>14</w:t>
            </w:r>
            <w:r w:rsidR="00983131">
              <w:rPr>
                <w:rFonts w:ascii="Arial Narrow" w:hAnsi="Arial Narrow"/>
                <w:color w:val="000000"/>
                <w:sz w:val="20"/>
                <w:szCs w:val="18"/>
              </w:rPr>
              <w:t>.0%</w:t>
            </w:r>
            <w:r>
              <w:rPr>
                <w:rFonts w:ascii="Arial Narrow" w:hAnsi="Arial Narrow"/>
                <w:color w:val="000000"/>
                <w:sz w:val="20"/>
                <w:szCs w:val="18"/>
              </w:rPr>
              <w:t>)</w:t>
            </w:r>
          </w:p>
        </w:tc>
        <w:tc>
          <w:tcPr>
            <w:tcW w:w="918" w:type="pct"/>
            <w:gridSpan w:val="2"/>
            <w:vAlign w:val="center"/>
          </w:tcPr>
          <w:p w:rsidR="00644B49" w:rsidRPr="00E2771E" w:rsidRDefault="00644B49" w:rsidP="00EC00C9">
            <w:pPr>
              <w:jc w:val="center"/>
              <w:rPr>
                <w:rFonts w:ascii="Arial Narrow" w:hAnsi="Arial Narrow"/>
                <w:color w:val="000000"/>
                <w:sz w:val="20"/>
                <w:szCs w:val="18"/>
              </w:rPr>
            </w:pPr>
            <w:r w:rsidRPr="00911EA4">
              <w:rPr>
                <w:rFonts w:ascii="Arial Narrow" w:hAnsi="Arial Narrow"/>
                <w:color w:val="000000"/>
                <w:sz w:val="20"/>
                <w:szCs w:val="18"/>
              </w:rPr>
              <w:t>2.59 (1.92, 3.49)</w:t>
            </w:r>
          </w:p>
        </w:tc>
        <w:tc>
          <w:tcPr>
            <w:tcW w:w="668" w:type="pct"/>
            <w:gridSpan w:val="2"/>
            <w:vAlign w:val="center"/>
          </w:tcPr>
          <w:p w:rsidR="00644B49" w:rsidRPr="00E2771E" w:rsidRDefault="00644B49" w:rsidP="00EC00C9">
            <w:pPr>
              <w:jc w:val="center"/>
              <w:rPr>
                <w:rFonts w:ascii="Arial Narrow" w:hAnsi="Arial Narrow"/>
                <w:color w:val="000000"/>
                <w:sz w:val="20"/>
                <w:szCs w:val="18"/>
              </w:rPr>
            </w:pPr>
            <w:r>
              <w:rPr>
                <w:rFonts w:ascii="Arial Narrow" w:hAnsi="Arial Narrow"/>
                <w:color w:val="000000"/>
                <w:sz w:val="20"/>
                <w:szCs w:val="18"/>
              </w:rPr>
              <w:t>36</w:t>
            </w:r>
          </w:p>
        </w:tc>
        <w:tc>
          <w:tcPr>
            <w:tcW w:w="548" w:type="pct"/>
            <w:gridSpan w:val="2"/>
            <w:vAlign w:val="center"/>
          </w:tcPr>
          <w:p w:rsidR="00644B49" w:rsidRPr="00E2771E" w:rsidRDefault="00644B49" w:rsidP="00EC00C9">
            <w:pPr>
              <w:jc w:val="center"/>
              <w:rPr>
                <w:rFonts w:ascii="Arial Narrow" w:hAnsi="Arial Narrow"/>
                <w:color w:val="000000"/>
                <w:sz w:val="20"/>
                <w:szCs w:val="18"/>
              </w:rPr>
            </w:pPr>
            <w:r>
              <w:rPr>
                <w:rFonts w:ascii="Arial Narrow" w:hAnsi="Arial Narrow"/>
                <w:color w:val="000000"/>
                <w:sz w:val="20"/>
                <w:szCs w:val="18"/>
              </w:rPr>
              <w:t>1</w:t>
            </w:r>
            <w:r w:rsidR="00D479ED">
              <w:rPr>
                <w:rFonts w:ascii="Arial Narrow" w:hAnsi="Arial Narrow"/>
                <w:color w:val="000000"/>
                <w:sz w:val="20"/>
                <w:szCs w:val="18"/>
              </w:rPr>
              <w:t>4</w:t>
            </w:r>
          </w:p>
        </w:tc>
        <w:tc>
          <w:tcPr>
            <w:tcW w:w="747" w:type="pct"/>
            <w:vAlign w:val="center"/>
          </w:tcPr>
          <w:p w:rsidR="00644B49" w:rsidRPr="00E2771E" w:rsidRDefault="00644B49" w:rsidP="00EC00C9">
            <w:pPr>
              <w:jc w:val="center"/>
              <w:rPr>
                <w:rFonts w:ascii="Arial Narrow" w:hAnsi="Arial Narrow"/>
                <w:color w:val="000000"/>
                <w:sz w:val="20"/>
                <w:szCs w:val="18"/>
              </w:rPr>
            </w:pPr>
            <w:r w:rsidRPr="00911EA4">
              <w:rPr>
                <w:rFonts w:ascii="Arial Narrow" w:hAnsi="Arial Narrow"/>
                <w:color w:val="000000"/>
                <w:sz w:val="20"/>
                <w:szCs w:val="18"/>
              </w:rPr>
              <w:t>0.23 (0.17, 0.29)</w:t>
            </w:r>
          </w:p>
        </w:tc>
      </w:tr>
    </w:tbl>
    <w:p w:rsidR="00A97408" w:rsidRPr="0072416F" w:rsidRDefault="00A97408" w:rsidP="00A97408">
      <w:pPr>
        <w:pStyle w:val="TableFooter"/>
        <w:ind w:firstLine="720"/>
      </w:pPr>
      <w:r w:rsidRPr="0072416F">
        <w:t xml:space="preserve">Source: </w:t>
      </w:r>
      <w:r w:rsidR="0062235A">
        <w:t>c</w:t>
      </w:r>
      <w:r w:rsidRPr="0072416F">
        <w:t>ompiled during the evaluation</w:t>
      </w:r>
      <w:r w:rsidR="0062235A">
        <w:t>.</w:t>
      </w:r>
    </w:p>
    <w:p w:rsidR="003E147C" w:rsidRPr="0072416F" w:rsidRDefault="003E147C" w:rsidP="00C75C26">
      <w:pPr>
        <w:pStyle w:val="TableFooter"/>
        <w:tabs>
          <w:tab w:val="left" w:pos="90"/>
        </w:tabs>
        <w:ind w:left="720"/>
      </w:pPr>
      <w:r>
        <w:t xml:space="preserve">AE = adverse event; CI = confidence interval; HR = hazard ratio; </w:t>
      </w:r>
      <w:proofErr w:type="spellStart"/>
      <w:r>
        <w:t>Ipi</w:t>
      </w:r>
      <w:proofErr w:type="spellEnd"/>
      <w:r>
        <w:t xml:space="preserve"> = </w:t>
      </w:r>
      <w:proofErr w:type="spellStart"/>
      <w:r>
        <w:t>ipilimumab</w:t>
      </w:r>
      <w:proofErr w:type="spellEnd"/>
      <w:r>
        <w:t xml:space="preserve">; </w:t>
      </w:r>
      <w:proofErr w:type="spellStart"/>
      <w:r>
        <w:t>Nivo</w:t>
      </w:r>
      <w:proofErr w:type="spellEnd"/>
      <w:r>
        <w:t xml:space="preserve"> = </w:t>
      </w:r>
      <w:proofErr w:type="spellStart"/>
      <w:r>
        <w:t>nivolumab</w:t>
      </w:r>
      <w:proofErr w:type="spellEnd"/>
      <w:r>
        <w:t>; OS = over</w:t>
      </w:r>
      <w:r w:rsidR="00A97408">
        <w:t>all survival; PFS = progression-</w:t>
      </w:r>
      <w:r>
        <w:t>free survival</w:t>
      </w:r>
      <w:r w:rsidRPr="0072416F">
        <w:t>; RD = risk difference; RR = risk ratio</w:t>
      </w:r>
    </w:p>
    <w:p w:rsidR="00A97408" w:rsidRDefault="00A97408" w:rsidP="00A97408">
      <w:pPr>
        <w:pStyle w:val="TableFooter"/>
        <w:ind w:left="720"/>
      </w:pPr>
      <w:r>
        <w:t xml:space="preserve">* </w:t>
      </w:r>
      <w:r w:rsidRPr="0072416F">
        <w:t>Median</w:t>
      </w:r>
      <w:r>
        <w:t xml:space="preserve"> follow-up in CA209-067: 12.2-12.5 months; minimum follow-up in CA209-069: 11 months.</w:t>
      </w:r>
    </w:p>
    <w:p w:rsidR="00A97408" w:rsidRPr="0072416F" w:rsidRDefault="00A97408" w:rsidP="00A97408">
      <w:pPr>
        <w:pStyle w:val="TableFooter"/>
        <w:ind w:left="720"/>
      </w:pPr>
      <w:r>
        <w:t>**Pooled CA209-067 and CA209-069.</w:t>
      </w:r>
    </w:p>
    <w:p w:rsidR="003E147C" w:rsidRPr="00A97408" w:rsidRDefault="003E147C" w:rsidP="00A97408">
      <w:pPr>
        <w:pStyle w:val="TableFooter"/>
        <w:rPr>
          <w:rFonts w:ascii="Arial" w:hAnsi="Arial"/>
          <w:sz w:val="22"/>
          <w:szCs w:val="22"/>
        </w:rPr>
      </w:pPr>
    </w:p>
    <w:p w:rsidR="003E147C" w:rsidRDefault="003E147C" w:rsidP="003E147C">
      <w:pPr>
        <w:pStyle w:val="ListParagraph"/>
        <w:numPr>
          <w:ilvl w:val="1"/>
          <w:numId w:val="6"/>
        </w:numPr>
      </w:pPr>
      <w:r>
        <w:t xml:space="preserve">On the basis of the direct comparison presented by the submission, the comparison of </w:t>
      </w:r>
      <w:proofErr w:type="spellStart"/>
      <w:r>
        <w:t>nivolumab</w:t>
      </w:r>
      <w:proofErr w:type="spellEnd"/>
      <w:r>
        <w:t xml:space="preserve"> plus </w:t>
      </w:r>
      <w:proofErr w:type="spellStart"/>
      <w:r>
        <w:t>ipilimumab</w:t>
      </w:r>
      <w:proofErr w:type="spellEnd"/>
      <w:r>
        <w:t xml:space="preserve"> and ipilimumab monotherapy resulted in</w:t>
      </w:r>
      <w:r w:rsidR="0005153E">
        <w:t>:</w:t>
      </w:r>
    </w:p>
    <w:p w:rsidR="003E147C" w:rsidRPr="00185700" w:rsidRDefault="00A97408" w:rsidP="00A70255">
      <w:pPr>
        <w:pStyle w:val="ListParagraph"/>
        <w:numPr>
          <w:ilvl w:val="0"/>
          <w:numId w:val="56"/>
        </w:numPr>
        <w:ind w:left="1080"/>
      </w:pPr>
      <w:r w:rsidRPr="00185700">
        <w:t>n</w:t>
      </w:r>
      <w:r w:rsidR="003E147C" w:rsidRPr="00185700">
        <w:t xml:space="preserve">o statistically significant differences in </w:t>
      </w:r>
      <w:r w:rsidR="00586E58">
        <w:t>overall survival</w:t>
      </w:r>
    </w:p>
    <w:p w:rsidR="003E147C" w:rsidRPr="00185700" w:rsidRDefault="00A97408" w:rsidP="00A70255">
      <w:pPr>
        <w:pStyle w:val="ListParagraph"/>
        <w:numPr>
          <w:ilvl w:val="0"/>
          <w:numId w:val="56"/>
        </w:numPr>
        <w:ind w:left="1080"/>
      </w:pPr>
      <w:proofErr w:type="gramStart"/>
      <w:r w:rsidRPr="00185700">
        <w:t>a</w:t>
      </w:r>
      <w:proofErr w:type="gramEnd"/>
      <w:r w:rsidR="003E147C" w:rsidRPr="00185700">
        <w:t xml:space="preserve"> statistically significant difference in PFS, </w:t>
      </w:r>
      <w:r w:rsidR="00586E58" w:rsidRPr="00185700">
        <w:t xml:space="preserve">with </w:t>
      </w:r>
      <w:r w:rsidR="00586E58">
        <w:t xml:space="preserve">a median difference of </w:t>
      </w:r>
      <w:r w:rsidR="00586E58" w:rsidRPr="00185700">
        <w:t xml:space="preserve">approximately 8.60 months </w:t>
      </w:r>
      <w:r w:rsidR="003E147C" w:rsidRPr="00185700">
        <w:t xml:space="preserve">favouring </w:t>
      </w:r>
      <w:proofErr w:type="spellStart"/>
      <w:r w:rsidR="003E147C" w:rsidRPr="00185700">
        <w:t>nivolumab</w:t>
      </w:r>
      <w:proofErr w:type="spellEnd"/>
      <w:r w:rsidR="003E147C" w:rsidRPr="00185700">
        <w:t xml:space="preserve"> plus </w:t>
      </w:r>
      <w:proofErr w:type="spellStart"/>
      <w:r w:rsidR="003E147C" w:rsidRPr="00185700">
        <w:t>ipilimuma</w:t>
      </w:r>
      <w:r w:rsidR="00C84B9D" w:rsidRPr="00185700">
        <w:t>b</w:t>
      </w:r>
      <w:proofErr w:type="spellEnd"/>
      <w:r w:rsidR="00C84B9D" w:rsidRPr="00185700">
        <w:t>.</w:t>
      </w:r>
    </w:p>
    <w:p w:rsidR="003E147C" w:rsidRPr="00A97408" w:rsidRDefault="003E147C" w:rsidP="00A97408"/>
    <w:p w:rsidR="003E147C" w:rsidRDefault="003E147C" w:rsidP="003E147C">
      <w:pPr>
        <w:pStyle w:val="ListParagraph"/>
        <w:numPr>
          <w:ilvl w:val="1"/>
          <w:numId w:val="6"/>
        </w:numPr>
      </w:pPr>
      <w:r>
        <w:lastRenderedPageBreak/>
        <w:t xml:space="preserve">On the basis of the direct comparison presented by the submission, </w:t>
      </w:r>
      <w:r w:rsidR="00A97408">
        <w:t xml:space="preserve">for </w:t>
      </w:r>
      <w:r>
        <w:t xml:space="preserve">every 100 patients </w:t>
      </w:r>
      <w:r w:rsidR="0062235A">
        <w:t xml:space="preserve">treated </w:t>
      </w:r>
      <w:r>
        <w:t xml:space="preserve">with </w:t>
      </w:r>
      <w:proofErr w:type="spellStart"/>
      <w:r>
        <w:t>nivolumab</w:t>
      </w:r>
      <w:proofErr w:type="spellEnd"/>
      <w:r>
        <w:t xml:space="preserve"> plus </w:t>
      </w:r>
      <w:proofErr w:type="spellStart"/>
      <w:r>
        <w:t>ipilimumab</w:t>
      </w:r>
      <w:proofErr w:type="spellEnd"/>
      <w:r>
        <w:t xml:space="preserve"> compar</w:t>
      </w:r>
      <w:r w:rsidR="0062235A">
        <w:t>ed</w:t>
      </w:r>
      <w:r>
        <w:t xml:space="preserve"> to ipilimumab monotherapy:</w:t>
      </w:r>
    </w:p>
    <w:p w:rsidR="003E147C" w:rsidRDefault="0062235A" w:rsidP="00A70255">
      <w:pPr>
        <w:pStyle w:val="ListParagraph"/>
        <w:numPr>
          <w:ilvl w:val="0"/>
          <w:numId w:val="57"/>
        </w:numPr>
        <w:ind w:left="1080"/>
      </w:pPr>
      <w:r>
        <w:t>a</w:t>
      </w:r>
      <w:r w:rsidR="003E147C">
        <w:t xml:space="preserve">pproximately 26 more patients </w:t>
      </w:r>
      <w:r>
        <w:t>experienced serious drug-</w:t>
      </w:r>
      <w:r w:rsidR="003E147C">
        <w:t>related adverse events</w:t>
      </w:r>
    </w:p>
    <w:p w:rsidR="003E147C" w:rsidRDefault="0062235A" w:rsidP="00A70255">
      <w:pPr>
        <w:pStyle w:val="ListParagraph"/>
        <w:numPr>
          <w:ilvl w:val="0"/>
          <w:numId w:val="57"/>
        </w:numPr>
        <w:ind w:left="1080"/>
      </w:pPr>
      <w:proofErr w:type="gramStart"/>
      <w:r>
        <w:t>a</w:t>
      </w:r>
      <w:r w:rsidR="003E147C">
        <w:t>pproximately</w:t>
      </w:r>
      <w:proofErr w:type="gramEnd"/>
      <w:r w:rsidR="003E147C">
        <w:t xml:space="preserve"> 2</w:t>
      </w:r>
      <w:r w:rsidR="00D479ED">
        <w:t>8</w:t>
      </w:r>
      <w:r w:rsidR="003E147C">
        <w:t xml:space="preserve"> more patients </w:t>
      </w:r>
      <w:r>
        <w:t>experienced</w:t>
      </w:r>
      <w:r w:rsidR="003E147C">
        <w:t xml:space="preserve"> severe (grade three or higher) adverse events</w:t>
      </w:r>
      <w:r w:rsidR="0005153E">
        <w:t>.</w:t>
      </w:r>
    </w:p>
    <w:p w:rsidR="003E147C" w:rsidRDefault="0062235A" w:rsidP="00A70255">
      <w:pPr>
        <w:pStyle w:val="ListParagraph"/>
        <w:numPr>
          <w:ilvl w:val="0"/>
          <w:numId w:val="57"/>
        </w:numPr>
        <w:ind w:left="1080"/>
      </w:pPr>
      <w:proofErr w:type="gramStart"/>
      <w:r>
        <w:t>a</w:t>
      </w:r>
      <w:r w:rsidR="003E147C">
        <w:t>pproximately</w:t>
      </w:r>
      <w:proofErr w:type="gramEnd"/>
      <w:r w:rsidR="003E147C">
        <w:t xml:space="preserve"> </w:t>
      </w:r>
      <w:r w:rsidR="00127DF3">
        <w:t>22</w:t>
      </w:r>
      <w:r w:rsidR="003E147C">
        <w:t xml:space="preserve"> more patients </w:t>
      </w:r>
      <w:r>
        <w:t>experienced</w:t>
      </w:r>
      <w:r w:rsidR="003E147C">
        <w:t xml:space="preserve"> adverse events leading to discontinuation of treatment.</w:t>
      </w:r>
    </w:p>
    <w:p w:rsidR="003E147C" w:rsidRDefault="003E147C" w:rsidP="0062235A"/>
    <w:p w:rsidR="003E147C" w:rsidRPr="0000002D" w:rsidRDefault="003E147C" w:rsidP="003E147C">
      <w:pPr>
        <w:pStyle w:val="ListParagraph"/>
        <w:numPr>
          <w:ilvl w:val="1"/>
          <w:numId w:val="6"/>
        </w:numPr>
      </w:pPr>
      <w:r>
        <w:t xml:space="preserve">Table </w:t>
      </w:r>
      <w:r w:rsidR="00503AAF">
        <w:t>10</w:t>
      </w:r>
      <w:r w:rsidR="0005153E">
        <w:t xml:space="preserve"> </w:t>
      </w:r>
      <w:r>
        <w:t xml:space="preserve">presents a summary of </w:t>
      </w:r>
      <w:r w:rsidR="0005153E">
        <w:t xml:space="preserve">the </w:t>
      </w:r>
      <w:r>
        <w:t xml:space="preserve">comparative </w:t>
      </w:r>
      <w:r w:rsidR="0005153E">
        <w:t xml:space="preserve">benefits and </w:t>
      </w:r>
      <w:r>
        <w:t xml:space="preserve">harms for the </w:t>
      </w:r>
      <w:proofErr w:type="spellStart"/>
      <w:r>
        <w:t>nivolumab</w:t>
      </w:r>
      <w:proofErr w:type="spellEnd"/>
      <w:r>
        <w:t xml:space="preserve"> plus </w:t>
      </w:r>
      <w:proofErr w:type="spellStart"/>
      <w:r>
        <w:t>ipilimumab</w:t>
      </w:r>
      <w:proofErr w:type="spellEnd"/>
      <w:r>
        <w:t xml:space="preserve"> versus </w:t>
      </w:r>
      <w:proofErr w:type="spellStart"/>
      <w:r>
        <w:t>nivolumab</w:t>
      </w:r>
      <w:proofErr w:type="spellEnd"/>
      <w:r w:rsidR="0005153E">
        <w:t xml:space="preserve"> comparison.</w:t>
      </w:r>
    </w:p>
    <w:p w:rsidR="003E147C" w:rsidRPr="0062235A" w:rsidRDefault="003E147C" w:rsidP="0062235A">
      <w:pPr>
        <w:pStyle w:val="TableFooter"/>
        <w:rPr>
          <w:rFonts w:ascii="Arial" w:hAnsi="Arial"/>
          <w:sz w:val="22"/>
          <w:szCs w:val="22"/>
        </w:rPr>
      </w:pPr>
    </w:p>
    <w:p w:rsidR="003E147C" w:rsidRPr="00572494" w:rsidRDefault="003E147C" w:rsidP="00C75C26">
      <w:pPr>
        <w:ind w:firstLine="720"/>
        <w:rPr>
          <w:rFonts w:ascii="Arial Narrow" w:hAnsi="Arial Narrow"/>
          <w:b/>
          <w:sz w:val="20"/>
          <w:szCs w:val="16"/>
        </w:rPr>
      </w:pPr>
      <w:r>
        <w:rPr>
          <w:rStyle w:val="CommentReference"/>
        </w:rPr>
        <w:t xml:space="preserve">Table </w:t>
      </w:r>
      <w:r w:rsidR="00503AAF">
        <w:rPr>
          <w:rStyle w:val="CommentReference"/>
        </w:rPr>
        <w:t>10</w:t>
      </w:r>
      <w:r w:rsidRPr="00A578DC">
        <w:rPr>
          <w:rStyle w:val="CommentReference"/>
        </w:rPr>
        <w:t xml:space="preserve">: Summary of comparative benefits and harms for </w:t>
      </w:r>
      <w:proofErr w:type="spellStart"/>
      <w:r>
        <w:rPr>
          <w:rStyle w:val="CommentReference"/>
        </w:rPr>
        <w:t>Nivo</w:t>
      </w:r>
      <w:proofErr w:type="spellEnd"/>
      <w:r>
        <w:rPr>
          <w:rStyle w:val="CommentReference"/>
        </w:rPr>
        <w:t xml:space="preserve"> </w:t>
      </w:r>
      <w:r w:rsidR="00E52335">
        <w:rPr>
          <w:rStyle w:val="CommentReference"/>
        </w:rPr>
        <w:t xml:space="preserve">+ </w:t>
      </w:r>
      <w:proofErr w:type="spellStart"/>
      <w:r>
        <w:rPr>
          <w:rStyle w:val="CommentReference"/>
        </w:rPr>
        <w:t>Ipi</w:t>
      </w:r>
      <w:proofErr w:type="spellEnd"/>
      <w:r>
        <w:rPr>
          <w:rStyle w:val="CommentReference"/>
        </w:rPr>
        <w:t xml:space="preserve"> </w:t>
      </w:r>
      <w:r w:rsidR="00E52335">
        <w:rPr>
          <w:rStyle w:val="CommentReference"/>
        </w:rPr>
        <w:t xml:space="preserve">versus </w:t>
      </w:r>
      <w:proofErr w:type="spellStart"/>
      <w:r>
        <w:rPr>
          <w:rStyle w:val="CommentReference"/>
        </w:rPr>
        <w:t>Nivo</w:t>
      </w:r>
      <w:proofErr w:type="spellEnd"/>
    </w:p>
    <w:tbl>
      <w:tblPr>
        <w:tblStyle w:val="TableGrid"/>
        <w:tblW w:w="4700" w:type="pct"/>
        <w:tblInd w:w="698" w:type="dxa"/>
        <w:tblLayout w:type="fixed"/>
        <w:tblCellMar>
          <w:left w:w="28" w:type="dxa"/>
          <w:right w:w="28" w:type="dxa"/>
        </w:tblCellMar>
        <w:tblLook w:val="04A0" w:firstRow="1" w:lastRow="0" w:firstColumn="1" w:lastColumn="0" w:noHBand="0" w:noVBand="1"/>
        <w:tblCaption w:val="Table 10: Summary of comparative benefits and harms for Nivo + Ipi versus Nivo"/>
      </w:tblPr>
      <w:tblGrid>
        <w:gridCol w:w="1032"/>
        <w:gridCol w:w="1417"/>
        <w:gridCol w:w="1277"/>
        <w:gridCol w:w="283"/>
        <w:gridCol w:w="1168"/>
        <w:gridCol w:w="251"/>
        <w:gridCol w:w="890"/>
        <w:gridCol w:w="811"/>
        <w:gridCol w:w="128"/>
        <w:gridCol w:w="1281"/>
      </w:tblGrid>
      <w:tr w:rsidR="003E147C" w:rsidRPr="00E2771E" w:rsidTr="006D73F0">
        <w:trPr>
          <w:tblHeader/>
        </w:trPr>
        <w:tc>
          <w:tcPr>
            <w:tcW w:w="5000" w:type="pct"/>
            <w:gridSpan w:val="10"/>
            <w:shd w:val="clear" w:color="auto" w:fill="auto"/>
            <w:vAlign w:val="center"/>
          </w:tcPr>
          <w:p w:rsidR="003E147C" w:rsidRPr="00E2771E" w:rsidRDefault="003E147C" w:rsidP="00C75C26">
            <w:pPr>
              <w:rPr>
                <w:rFonts w:ascii="Arial Narrow" w:hAnsi="Arial Narrow"/>
                <w:b/>
                <w:color w:val="000000"/>
                <w:sz w:val="20"/>
                <w:szCs w:val="18"/>
              </w:rPr>
            </w:pPr>
            <w:r w:rsidRPr="00E2771E">
              <w:rPr>
                <w:rFonts w:ascii="Arial Narrow" w:hAnsi="Arial Narrow"/>
                <w:b/>
                <w:color w:val="000000"/>
                <w:sz w:val="20"/>
                <w:szCs w:val="18"/>
              </w:rPr>
              <w:t>Benefits</w:t>
            </w:r>
          </w:p>
        </w:tc>
      </w:tr>
      <w:tr w:rsidR="003E147C" w:rsidRPr="00E2771E" w:rsidTr="00C75C26">
        <w:tc>
          <w:tcPr>
            <w:tcW w:w="5000" w:type="pct"/>
            <w:gridSpan w:val="10"/>
            <w:shd w:val="clear" w:color="auto" w:fill="auto"/>
            <w:vAlign w:val="center"/>
          </w:tcPr>
          <w:p w:rsidR="003E147C" w:rsidRPr="00E2771E" w:rsidRDefault="003E147C" w:rsidP="00C75C26">
            <w:pPr>
              <w:rPr>
                <w:rFonts w:ascii="Arial Narrow" w:hAnsi="Arial Narrow"/>
                <w:b/>
                <w:color w:val="000000"/>
                <w:sz w:val="20"/>
                <w:szCs w:val="18"/>
              </w:rPr>
            </w:pPr>
            <w:r>
              <w:rPr>
                <w:rFonts w:ascii="Arial Narrow" w:hAnsi="Arial Narrow"/>
                <w:b/>
                <w:sz w:val="20"/>
              </w:rPr>
              <w:t>PFS - CA</w:t>
            </w:r>
            <w:r w:rsidRPr="00672A4D">
              <w:rPr>
                <w:rFonts w:ascii="Arial Narrow" w:hAnsi="Arial Narrow"/>
                <w:b/>
                <w:sz w:val="20"/>
              </w:rPr>
              <w:t>209-067</w:t>
            </w:r>
          </w:p>
        </w:tc>
      </w:tr>
      <w:tr w:rsidR="003E147C" w:rsidRPr="00E2771E" w:rsidTr="0062235A">
        <w:tc>
          <w:tcPr>
            <w:tcW w:w="1434" w:type="pct"/>
            <w:gridSpan w:val="2"/>
            <w:shd w:val="clear" w:color="auto" w:fill="auto"/>
            <w:vAlign w:val="center"/>
          </w:tcPr>
          <w:p w:rsidR="003E147C" w:rsidRPr="00E2771E" w:rsidRDefault="003E147C" w:rsidP="00C75C26">
            <w:pPr>
              <w:jc w:val="center"/>
              <w:rPr>
                <w:rFonts w:ascii="Arial Narrow" w:hAnsi="Arial Narrow"/>
                <w:color w:val="000000"/>
                <w:sz w:val="20"/>
                <w:szCs w:val="18"/>
              </w:rPr>
            </w:pPr>
          </w:p>
        </w:tc>
        <w:tc>
          <w:tcPr>
            <w:tcW w:w="914" w:type="pct"/>
            <w:gridSpan w:val="2"/>
            <w:vAlign w:val="center"/>
          </w:tcPr>
          <w:p w:rsidR="003E147C" w:rsidRPr="00E2771E" w:rsidRDefault="003E147C" w:rsidP="00B235DF">
            <w:pPr>
              <w:jc w:val="center"/>
              <w:rPr>
                <w:rFonts w:ascii="Arial Narrow" w:hAnsi="Arial Narrow"/>
                <w:b/>
                <w:color w:val="000000"/>
                <w:sz w:val="20"/>
                <w:szCs w:val="18"/>
              </w:rPr>
            </w:pPr>
            <w:proofErr w:type="spellStart"/>
            <w:r>
              <w:rPr>
                <w:rFonts w:ascii="Arial Narrow" w:hAnsi="Arial Narrow"/>
                <w:b/>
                <w:color w:val="000000"/>
                <w:sz w:val="20"/>
                <w:szCs w:val="18"/>
              </w:rPr>
              <w:t>Nivo</w:t>
            </w:r>
            <w:proofErr w:type="spellEnd"/>
            <w:r>
              <w:rPr>
                <w:rFonts w:ascii="Arial Narrow" w:hAnsi="Arial Narrow"/>
                <w:b/>
                <w:color w:val="000000"/>
                <w:sz w:val="20"/>
                <w:szCs w:val="18"/>
              </w:rPr>
              <w:t xml:space="preserve"> + </w:t>
            </w:r>
            <w:proofErr w:type="spellStart"/>
            <w:r>
              <w:rPr>
                <w:rFonts w:ascii="Arial Narrow" w:hAnsi="Arial Narrow"/>
                <w:b/>
                <w:color w:val="000000"/>
                <w:sz w:val="20"/>
                <w:szCs w:val="18"/>
              </w:rPr>
              <w:t>Ipi</w:t>
            </w:r>
            <w:proofErr w:type="spellEnd"/>
          </w:p>
        </w:tc>
        <w:tc>
          <w:tcPr>
            <w:tcW w:w="831" w:type="pct"/>
            <w:gridSpan w:val="2"/>
            <w:vAlign w:val="center"/>
          </w:tcPr>
          <w:p w:rsidR="003E147C" w:rsidRPr="00E2771E" w:rsidRDefault="003E147C" w:rsidP="00B235DF">
            <w:pPr>
              <w:jc w:val="center"/>
              <w:rPr>
                <w:rFonts w:ascii="Arial Narrow" w:hAnsi="Arial Narrow"/>
                <w:b/>
                <w:color w:val="000000"/>
                <w:sz w:val="20"/>
                <w:szCs w:val="18"/>
              </w:rPr>
            </w:pPr>
            <w:proofErr w:type="spellStart"/>
            <w:r>
              <w:rPr>
                <w:rFonts w:ascii="Arial Narrow" w:hAnsi="Arial Narrow"/>
                <w:b/>
                <w:color w:val="000000"/>
                <w:sz w:val="20"/>
                <w:szCs w:val="18"/>
              </w:rPr>
              <w:t>Nivo</w:t>
            </w:r>
            <w:proofErr w:type="spellEnd"/>
          </w:p>
        </w:tc>
        <w:tc>
          <w:tcPr>
            <w:tcW w:w="996" w:type="pct"/>
            <w:gridSpan w:val="2"/>
            <w:vAlign w:val="center"/>
          </w:tcPr>
          <w:p w:rsidR="003E147C" w:rsidRPr="00E2771E" w:rsidRDefault="003E147C" w:rsidP="0062235A">
            <w:pPr>
              <w:jc w:val="center"/>
              <w:rPr>
                <w:rFonts w:ascii="Arial Narrow" w:hAnsi="Arial Narrow"/>
                <w:b/>
                <w:color w:val="000000"/>
                <w:sz w:val="20"/>
                <w:szCs w:val="18"/>
              </w:rPr>
            </w:pPr>
            <w:r w:rsidRPr="00E2771E">
              <w:rPr>
                <w:rFonts w:ascii="Arial Narrow" w:hAnsi="Arial Narrow"/>
                <w:b/>
                <w:color w:val="000000"/>
                <w:sz w:val="20"/>
                <w:szCs w:val="18"/>
              </w:rPr>
              <w:t xml:space="preserve">Absolute </w:t>
            </w:r>
            <w:r w:rsidR="0062235A">
              <w:rPr>
                <w:rFonts w:ascii="Arial Narrow" w:hAnsi="Arial Narrow"/>
                <w:b/>
                <w:color w:val="000000"/>
                <w:sz w:val="20"/>
                <w:szCs w:val="18"/>
              </w:rPr>
              <w:t>d</w:t>
            </w:r>
            <w:r w:rsidRPr="00E2771E">
              <w:rPr>
                <w:rFonts w:ascii="Arial Narrow" w:hAnsi="Arial Narrow"/>
                <w:b/>
                <w:color w:val="000000"/>
                <w:sz w:val="20"/>
                <w:szCs w:val="18"/>
              </w:rPr>
              <w:t>ifference</w:t>
            </w:r>
          </w:p>
        </w:tc>
        <w:tc>
          <w:tcPr>
            <w:tcW w:w="825" w:type="pct"/>
            <w:gridSpan w:val="2"/>
            <w:vAlign w:val="center"/>
          </w:tcPr>
          <w:p w:rsidR="003E147C" w:rsidRPr="00E2771E" w:rsidRDefault="003E147C" w:rsidP="00C75C26">
            <w:pPr>
              <w:jc w:val="center"/>
              <w:rPr>
                <w:rFonts w:ascii="Arial Narrow" w:hAnsi="Arial Narrow"/>
                <w:b/>
                <w:color w:val="000000"/>
                <w:sz w:val="20"/>
                <w:szCs w:val="18"/>
              </w:rPr>
            </w:pPr>
            <w:r w:rsidRPr="00E2771E">
              <w:rPr>
                <w:rFonts w:ascii="Arial Narrow" w:hAnsi="Arial Narrow"/>
                <w:b/>
                <w:color w:val="000000"/>
                <w:sz w:val="20"/>
                <w:szCs w:val="18"/>
              </w:rPr>
              <w:t>HR (95% CI)</w:t>
            </w:r>
          </w:p>
        </w:tc>
      </w:tr>
      <w:tr w:rsidR="003E147C" w:rsidRPr="00E2771E" w:rsidTr="0062235A">
        <w:tc>
          <w:tcPr>
            <w:tcW w:w="1434" w:type="pct"/>
            <w:gridSpan w:val="2"/>
            <w:shd w:val="clear" w:color="auto" w:fill="auto"/>
            <w:vAlign w:val="center"/>
          </w:tcPr>
          <w:p w:rsidR="003E147C" w:rsidRPr="00E2771E" w:rsidRDefault="003E147C" w:rsidP="00C75C26">
            <w:pPr>
              <w:rPr>
                <w:rFonts w:ascii="Arial Narrow" w:hAnsi="Arial Narrow"/>
                <w:color w:val="000000"/>
                <w:sz w:val="20"/>
                <w:szCs w:val="18"/>
              </w:rPr>
            </w:pPr>
            <w:r>
              <w:rPr>
                <w:rFonts w:ascii="Arial Narrow" w:hAnsi="Arial Narrow"/>
                <w:sz w:val="20"/>
              </w:rPr>
              <w:t>Number of progressions</w:t>
            </w:r>
            <w:r w:rsidR="00B235DF" w:rsidRPr="0026178A">
              <w:rPr>
                <w:rFonts w:ascii="Arial Narrow" w:hAnsi="Arial Narrow"/>
                <w:sz w:val="20"/>
              </w:rPr>
              <w:t xml:space="preserve"> n/N (%)</w:t>
            </w:r>
          </w:p>
        </w:tc>
        <w:tc>
          <w:tcPr>
            <w:tcW w:w="914" w:type="pct"/>
            <w:gridSpan w:val="2"/>
            <w:vAlign w:val="center"/>
          </w:tcPr>
          <w:p w:rsidR="003E147C" w:rsidRPr="00E2771E" w:rsidRDefault="003E147C" w:rsidP="00B235DF">
            <w:pPr>
              <w:jc w:val="center"/>
              <w:rPr>
                <w:rFonts w:ascii="Arial Narrow" w:hAnsi="Arial Narrow"/>
                <w:sz w:val="20"/>
              </w:rPr>
            </w:pPr>
            <w:r>
              <w:rPr>
                <w:rFonts w:ascii="Arial Narrow" w:hAnsi="Arial Narrow"/>
                <w:sz w:val="20"/>
              </w:rPr>
              <w:t>151/314 (48.1)</w:t>
            </w:r>
          </w:p>
        </w:tc>
        <w:tc>
          <w:tcPr>
            <w:tcW w:w="831" w:type="pct"/>
            <w:gridSpan w:val="2"/>
            <w:vAlign w:val="center"/>
          </w:tcPr>
          <w:p w:rsidR="003E147C" w:rsidRPr="00E2771E" w:rsidRDefault="003E147C" w:rsidP="00B235DF">
            <w:pPr>
              <w:jc w:val="center"/>
              <w:rPr>
                <w:rFonts w:ascii="Arial Narrow" w:hAnsi="Arial Narrow"/>
                <w:sz w:val="20"/>
              </w:rPr>
            </w:pPr>
            <w:r>
              <w:rPr>
                <w:rFonts w:ascii="Arial Narrow" w:hAnsi="Arial Narrow"/>
                <w:sz w:val="20"/>
              </w:rPr>
              <w:t>174/316 (55.1)</w:t>
            </w:r>
          </w:p>
        </w:tc>
        <w:tc>
          <w:tcPr>
            <w:tcW w:w="996" w:type="pct"/>
            <w:gridSpan w:val="2"/>
            <w:vAlign w:val="center"/>
          </w:tcPr>
          <w:p w:rsidR="003E147C" w:rsidRPr="00E2771E" w:rsidRDefault="003E147C" w:rsidP="00C75C26">
            <w:pPr>
              <w:jc w:val="center"/>
              <w:rPr>
                <w:rFonts w:ascii="Arial Narrow" w:hAnsi="Arial Narrow"/>
                <w:color w:val="000000"/>
                <w:sz w:val="20"/>
                <w:szCs w:val="18"/>
              </w:rPr>
            </w:pPr>
            <w:r>
              <w:rPr>
                <w:rFonts w:ascii="Arial Narrow" w:hAnsi="Arial Narrow"/>
                <w:sz w:val="20"/>
              </w:rPr>
              <w:t>--</w:t>
            </w:r>
          </w:p>
        </w:tc>
        <w:tc>
          <w:tcPr>
            <w:tcW w:w="825" w:type="pct"/>
            <w:gridSpan w:val="2"/>
            <w:vAlign w:val="center"/>
          </w:tcPr>
          <w:p w:rsidR="003E147C" w:rsidRPr="00E2771E" w:rsidRDefault="003E147C" w:rsidP="00C75C26">
            <w:pPr>
              <w:jc w:val="center"/>
              <w:rPr>
                <w:rFonts w:ascii="Arial Narrow" w:hAnsi="Arial Narrow"/>
                <w:color w:val="000000"/>
                <w:sz w:val="20"/>
                <w:szCs w:val="18"/>
              </w:rPr>
            </w:pPr>
            <w:r>
              <w:rPr>
                <w:rFonts w:ascii="Arial Narrow" w:hAnsi="Arial Narrow"/>
                <w:sz w:val="20"/>
              </w:rPr>
              <w:t>0.74 (0.60, 0.92)</w:t>
            </w:r>
          </w:p>
        </w:tc>
      </w:tr>
      <w:tr w:rsidR="003E147C" w:rsidRPr="00E2771E" w:rsidTr="0062235A">
        <w:tc>
          <w:tcPr>
            <w:tcW w:w="1434" w:type="pct"/>
            <w:gridSpan w:val="2"/>
            <w:shd w:val="clear" w:color="auto" w:fill="auto"/>
            <w:vAlign w:val="center"/>
          </w:tcPr>
          <w:p w:rsidR="003E147C" w:rsidRPr="00E2771E" w:rsidRDefault="003E147C" w:rsidP="0062235A">
            <w:pPr>
              <w:rPr>
                <w:rFonts w:ascii="Arial Narrow" w:hAnsi="Arial Narrow"/>
                <w:color w:val="000000"/>
                <w:sz w:val="20"/>
                <w:szCs w:val="18"/>
              </w:rPr>
            </w:pPr>
            <w:r>
              <w:rPr>
                <w:rFonts w:ascii="Arial Narrow" w:hAnsi="Arial Narrow"/>
                <w:sz w:val="20"/>
              </w:rPr>
              <w:t xml:space="preserve">Median PFS </w:t>
            </w:r>
            <w:r w:rsidR="0062235A">
              <w:rPr>
                <w:rFonts w:ascii="Arial Narrow" w:hAnsi="Arial Narrow"/>
                <w:sz w:val="20"/>
              </w:rPr>
              <w:t>(95% CI),</w:t>
            </w:r>
            <w:r>
              <w:rPr>
                <w:rFonts w:ascii="Arial Narrow" w:hAnsi="Arial Narrow"/>
                <w:sz w:val="20"/>
              </w:rPr>
              <w:t xml:space="preserve"> months</w:t>
            </w:r>
          </w:p>
        </w:tc>
        <w:tc>
          <w:tcPr>
            <w:tcW w:w="914" w:type="pct"/>
            <w:gridSpan w:val="2"/>
            <w:vAlign w:val="center"/>
          </w:tcPr>
          <w:p w:rsidR="003E147C" w:rsidRPr="00E2771E" w:rsidRDefault="003E147C" w:rsidP="00C75C26">
            <w:pPr>
              <w:jc w:val="center"/>
              <w:rPr>
                <w:rFonts w:ascii="Arial Narrow" w:hAnsi="Arial Narrow"/>
                <w:sz w:val="20"/>
              </w:rPr>
            </w:pPr>
            <w:r>
              <w:rPr>
                <w:rFonts w:ascii="Arial Narrow" w:hAnsi="Arial Narrow"/>
                <w:sz w:val="20"/>
              </w:rPr>
              <w:t>11.50 (8.90 16.72)</w:t>
            </w:r>
          </w:p>
        </w:tc>
        <w:tc>
          <w:tcPr>
            <w:tcW w:w="831" w:type="pct"/>
            <w:gridSpan w:val="2"/>
            <w:vAlign w:val="center"/>
          </w:tcPr>
          <w:p w:rsidR="003E147C" w:rsidRPr="000E35FC" w:rsidRDefault="003E147C" w:rsidP="00C75C26">
            <w:pPr>
              <w:jc w:val="center"/>
              <w:rPr>
                <w:rFonts w:ascii="Arial Narrow" w:hAnsi="Arial Narrow"/>
                <w:sz w:val="20"/>
              </w:rPr>
            </w:pPr>
            <w:r w:rsidRPr="000E35FC">
              <w:rPr>
                <w:rFonts w:ascii="Arial Narrow" w:hAnsi="Arial Narrow"/>
                <w:sz w:val="20"/>
              </w:rPr>
              <w:t>6.90 (4.34, 9.46)</w:t>
            </w:r>
          </w:p>
        </w:tc>
        <w:tc>
          <w:tcPr>
            <w:tcW w:w="996" w:type="pct"/>
            <w:gridSpan w:val="2"/>
            <w:vAlign w:val="center"/>
          </w:tcPr>
          <w:p w:rsidR="003E147C" w:rsidRPr="00E2771E" w:rsidRDefault="003E147C" w:rsidP="00C75C26">
            <w:pPr>
              <w:jc w:val="center"/>
              <w:rPr>
                <w:rFonts w:ascii="Arial Narrow" w:hAnsi="Arial Narrow"/>
                <w:color w:val="000000"/>
                <w:sz w:val="20"/>
                <w:szCs w:val="18"/>
              </w:rPr>
            </w:pPr>
            <w:r>
              <w:rPr>
                <w:rFonts w:ascii="Arial Narrow" w:hAnsi="Arial Narrow"/>
                <w:sz w:val="20"/>
              </w:rPr>
              <w:t>4.60</w:t>
            </w:r>
          </w:p>
        </w:tc>
        <w:tc>
          <w:tcPr>
            <w:tcW w:w="825" w:type="pct"/>
            <w:gridSpan w:val="2"/>
            <w:vAlign w:val="center"/>
          </w:tcPr>
          <w:p w:rsidR="003E147C" w:rsidRPr="00E2771E" w:rsidRDefault="003E147C" w:rsidP="00C75C26">
            <w:pPr>
              <w:jc w:val="center"/>
              <w:rPr>
                <w:rFonts w:ascii="Arial Narrow" w:hAnsi="Arial Narrow"/>
                <w:color w:val="000000"/>
                <w:sz w:val="20"/>
                <w:szCs w:val="18"/>
              </w:rPr>
            </w:pPr>
            <w:r>
              <w:rPr>
                <w:rFonts w:ascii="Arial Narrow" w:hAnsi="Arial Narrow"/>
                <w:sz w:val="20"/>
              </w:rPr>
              <w:t>--</w:t>
            </w:r>
          </w:p>
        </w:tc>
      </w:tr>
      <w:tr w:rsidR="003E147C" w:rsidRPr="00E2771E" w:rsidTr="00C75C26">
        <w:tc>
          <w:tcPr>
            <w:tcW w:w="5000" w:type="pct"/>
            <w:gridSpan w:val="10"/>
            <w:tcBorders>
              <w:top w:val="double" w:sz="4" w:space="0" w:color="auto"/>
            </w:tcBorders>
            <w:shd w:val="clear" w:color="auto" w:fill="auto"/>
            <w:vAlign w:val="center"/>
          </w:tcPr>
          <w:p w:rsidR="003E147C" w:rsidRPr="00E2771E" w:rsidRDefault="001634C4" w:rsidP="00C75C26">
            <w:pPr>
              <w:rPr>
                <w:rFonts w:ascii="Arial Narrow" w:hAnsi="Arial Narrow"/>
                <w:b/>
                <w:color w:val="000000"/>
                <w:sz w:val="20"/>
                <w:szCs w:val="18"/>
              </w:rPr>
            </w:pPr>
            <w:r>
              <w:rPr>
                <w:rFonts w:ascii="Arial Narrow" w:hAnsi="Arial Narrow"/>
                <w:b/>
                <w:color w:val="000000"/>
                <w:sz w:val="20"/>
                <w:szCs w:val="18"/>
              </w:rPr>
              <w:t>Harms</w:t>
            </w:r>
          </w:p>
        </w:tc>
      </w:tr>
      <w:tr w:rsidR="003E147C" w:rsidRPr="00E2771E" w:rsidTr="00127DF3">
        <w:trPr>
          <w:trHeight w:val="70"/>
        </w:trPr>
        <w:tc>
          <w:tcPr>
            <w:tcW w:w="604" w:type="pct"/>
            <w:vMerge w:val="restart"/>
            <w:shd w:val="clear" w:color="auto" w:fill="auto"/>
            <w:vAlign w:val="center"/>
          </w:tcPr>
          <w:p w:rsidR="003E147C" w:rsidRPr="00E2771E" w:rsidRDefault="003E147C" w:rsidP="00C75C26">
            <w:pPr>
              <w:rPr>
                <w:rFonts w:ascii="Arial Narrow" w:hAnsi="Arial Narrow"/>
                <w:b/>
                <w:color w:val="000000"/>
                <w:sz w:val="20"/>
                <w:szCs w:val="18"/>
              </w:rPr>
            </w:pPr>
          </w:p>
        </w:tc>
        <w:tc>
          <w:tcPr>
            <w:tcW w:w="830" w:type="pct"/>
            <w:vMerge w:val="restart"/>
            <w:vAlign w:val="center"/>
          </w:tcPr>
          <w:p w:rsidR="003E147C" w:rsidRPr="00E2771E" w:rsidRDefault="003E147C" w:rsidP="00C75C26">
            <w:pPr>
              <w:jc w:val="center"/>
              <w:rPr>
                <w:rFonts w:ascii="Arial Narrow" w:hAnsi="Arial Narrow"/>
                <w:b/>
                <w:color w:val="000000"/>
                <w:sz w:val="20"/>
                <w:szCs w:val="18"/>
              </w:rPr>
            </w:pPr>
            <w:proofErr w:type="spellStart"/>
            <w:r>
              <w:rPr>
                <w:rFonts w:ascii="Arial Narrow" w:hAnsi="Arial Narrow"/>
                <w:b/>
                <w:color w:val="000000"/>
                <w:sz w:val="20"/>
                <w:szCs w:val="18"/>
              </w:rPr>
              <w:t>Nivo</w:t>
            </w:r>
            <w:proofErr w:type="spellEnd"/>
            <w:r>
              <w:rPr>
                <w:rFonts w:ascii="Arial Narrow" w:hAnsi="Arial Narrow"/>
                <w:b/>
                <w:color w:val="000000"/>
                <w:sz w:val="20"/>
                <w:szCs w:val="18"/>
              </w:rPr>
              <w:t xml:space="preserve"> </w:t>
            </w:r>
            <w:r w:rsidR="00A33BC5">
              <w:rPr>
                <w:rFonts w:ascii="Arial Narrow" w:hAnsi="Arial Narrow"/>
                <w:b/>
                <w:color w:val="000000"/>
                <w:sz w:val="20"/>
                <w:szCs w:val="18"/>
              </w:rPr>
              <w:t xml:space="preserve">+ </w:t>
            </w:r>
            <w:proofErr w:type="spellStart"/>
            <w:r w:rsidR="00A33BC5">
              <w:rPr>
                <w:rFonts w:ascii="Arial Narrow" w:hAnsi="Arial Narrow"/>
                <w:b/>
                <w:color w:val="000000"/>
                <w:sz w:val="20"/>
                <w:szCs w:val="18"/>
              </w:rPr>
              <w:t>Ipi</w:t>
            </w:r>
            <w:proofErr w:type="spellEnd"/>
            <w:r w:rsidR="00127DF3">
              <w:rPr>
                <w:rFonts w:ascii="Arial Narrow" w:hAnsi="Arial Narrow"/>
                <w:b/>
                <w:sz w:val="20"/>
              </w:rPr>
              <w:t xml:space="preserve"> n/N (%)</w:t>
            </w:r>
          </w:p>
        </w:tc>
        <w:tc>
          <w:tcPr>
            <w:tcW w:w="748" w:type="pct"/>
            <w:vMerge w:val="restart"/>
            <w:vAlign w:val="center"/>
          </w:tcPr>
          <w:p w:rsidR="003E147C" w:rsidRPr="00E2771E" w:rsidRDefault="003E147C" w:rsidP="00C75C26">
            <w:pPr>
              <w:jc w:val="center"/>
              <w:rPr>
                <w:rFonts w:ascii="Arial Narrow" w:hAnsi="Arial Narrow"/>
                <w:b/>
                <w:color w:val="000000"/>
                <w:sz w:val="20"/>
                <w:szCs w:val="18"/>
              </w:rPr>
            </w:pPr>
            <w:proofErr w:type="spellStart"/>
            <w:r>
              <w:rPr>
                <w:rFonts w:ascii="Arial Narrow" w:hAnsi="Arial Narrow"/>
                <w:b/>
                <w:color w:val="000000"/>
                <w:sz w:val="20"/>
                <w:szCs w:val="18"/>
              </w:rPr>
              <w:t>Nivo</w:t>
            </w:r>
            <w:proofErr w:type="spellEnd"/>
            <w:r w:rsidR="00127DF3">
              <w:rPr>
                <w:rFonts w:ascii="Arial Narrow" w:hAnsi="Arial Narrow"/>
                <w:b/>
                <w:sz w:val="20"/>
              </w:rPr>
              <w:t xml:space="preserve"> n/N (%)</w:t>
            </w:r>
          </w:p>
        </w:tc>
        <w:tc>
          <w:tcPr>
            <w:tcW w:w="850" w:type="pct"/>
            <w:gridSpan w:val="2"/>
            <w:vMerge w:val="restart"/>
            <w:vAlign w:val="center"/>
          </w:tcPr>
          <w:p w:rsidR="003E147C" w:rsidRPr="00E2771E" w:rsidRDefault="003E147C" w:rsidP="00127DF3">
            <w:pPr>
              <w:jc w:val="center"/>
              <w:rPr>
                <w:rFonts w:ascii="Arial Narrow" w:hAnsi="Arial Narrow"/>
                <w:b/>
                <w:color w:val="000000"/>
                <w:sz w:val="20"/>
                <w:szCs w:val="18"/>
              </w:rPr>
            </w:pPr>
            <w:r w:rsidRPr="00E2771E">
              <w:rPr>
                <w:rFonts w:ascii="Arial Narrow" w:hAnsi="Arial Narrow"/>
                <w:b/>
                <w:color w:val="000000"/>
                <w:sz w:val="20"/>
                <w:szCs w:val="18"/>
              </w:rPr>
              <w:t>RR</w:t>
            </w:r>
            <w:r w:rsidR="00127DF3">
              <w:rPr>
                <w:rFonts w:ascii="Arial Narrow" w:hAnsi="Arial Narrow"/>
                <w:b/>
                <w:color w:val="000000"/>
                <w:sz w:val="20"/>
                <w:szCs w:val="18"/>
              </w:rPr>
              <w:t xml:space="preserve"> </w:t>
            </w:r>
            <w:r w:rsidRPr="00E2771E">
              <w:rPr>
                <w:rFonts w:ascii="Arial Narrow" w:hAnsi="Arial Narrow"/>
                <w:b/>
                <w:color w:val="000000"/>
                <w:sz w:val="20"/>
                <w:szCs w:val="18"/>
              </w:rPr>
              <w:t>(95% CI)</w:t>
            </w:r>
          </w:p>
        </w:tc>
        <w:tc>
          <w:tcPr>
            <w:tcW w:w="1218" w:type="pct"/>
            <w:gridSpan w:val="4"/>
            <w:vAlign w:val="center"/>
          </w:tcPr>
          <w:p w:rsidR="003E147C" w:rsidRPr="00E2771E" w:rsidRDefault="003E147C" w:rsidP="0062235A">
            <w:pPr>
              <w:jc w:val="center"/>
              <w:rPr>
                <w:rFonts w:ascii="Arial Narrow" w:hAnsi="Arial Narrow"/>
                <w:b/>
                <w:color w:val="000000"/>
                <w:sz w:val="20"/>
                <w:szCs w:val="18"/>
              </w:rPr>
            </w:pPr>
            <w:r w:rsidRPr="00E2771E">
              <w:rPr>
                <w:rFonts w:ascii="Arial Narrow" w:hAnsi="Arial Narrow"/>
                <w:b/>
                <w:color w:val="000000"/>
                <w:sz w:val="20"/>
                <w:szCs w:val="18"/>
              </w:rPr>
              <w:t>Event rate/100 patients*</w:t>
            </w:r>
          </w:p>
        </w:tc>
        <w:tc>
          <w:tcPr>
            <w:tcW w:w="750" w:type="pct"/>
            <w:vMerge w:val="restart"/>
            <w:vAlign w:val="center"/>
          </w:tcPr>
          <w:p w:rsidR="003E147C" w:rsidRPr="00E2771E" w:rsidRDefault="003E147C" w:rsidP="00127DF3">
            <w:pPr>
              <w:jc w:val="center"/>
              <w:rPr>
                <w:rFonts w:ascii="Arial Narrow" w:hAnsi="Arial Narrow"/>
                <w:b/>
                <w:color w:val="000000"/>
                <w:sz w:val="20"/>
                <w:szCs w:val="18"/>
              </w:rPr>
            </w:pPr>
            <w:r w:rsidRPr="00E2771E">
              <w:rPr>
                <w:rFonts w:ascii="Arial Narrow" w:hAnsi="Arial Narrow"/>
                <w:b/>
                <w:color w:val="000000"/>
                <w:sz w:val="20"/>
                <w:szCs w:val="18"/>
              </w:rPr>
              <w:t>RD</w:t>
            </w:r>
            <w:r w:rsidR="00127DF3">
              <w:rPr>
                <w:rFonts w:ascii="Arial Narrow" w:hAnsi="Arial Narrow"/>
                <w:b/>
                <w:color w:val="000000"/>
                <w:sz w:val="20"/>
                <w:szCs w:val="18"/>
              </w:rPr>
              <w:t xml:space="preserve"> </w:t>
            </w:r>
            <w:r w:rsidRPr="00E2771E">
              <w:rPr>
                <w:rFonts w:ascii="Arial Narrow" w:hAnsi="Arial Narrow"/>
                <w:b/>
                <w:color w:val="000000"/>
                <w:sz w:val="20"/>
                <w:szCs w:val="18"/>
              </w:rPr>
              <w:t>(95% CI)</w:t>
            </w:r>
          </w:p>
        </w:tc>
      </w:tr>
      <w:tr w:rsidR="003E147C" w:rsidRPr="00E2771E" w:rsidTr="00127DF3">
        <w:trPr>
          <w:trHeight w:val="268"/>
        </w:trPr>
        <w:tc>
          <w:tcPr>
            <w:tcW w:w="604" w:type="pct"/>
            <w:vMerge/>
            <w:shd w:val="clear" w:color="auto" w:fill="auto"/>
            <w:vAlign w:val="center"/>
          </w:tcPr>
          <w:p w:rsidR="003E147C" w:rsidRPr="00E2771E" w:rsidRDefault="003E147C" w:rsidP="00C75C26">
            <w:pPr>
              <w:rPr>
                <w:rFonts w:ascii="Arial Narrow" w:hAnsi="Arial Narrow"/>
                <w:b/>
                <w:color w:val="000000"/>
                <w:sz w:val="20"/>
                <w:szCs w:val="18"/>
              </w:rPr>
            </w:pPr>
          </w:p>
        </w:tc>
        <w:tc>
          <w:tcPr>
            <w:tcW w:w="830" w:type="pct"/>
            <w:vMerge/>
            <w:vAlign w:val="center"/>
          </w:tcPr>
          <w:p w:rsidR="003E147C" w:rsidRPr="00E2771E" w:rsidRDefault="003E147C" w:rsidP="00C75C26">
            <w:pPr>
              <w:jc w:val="center"/>
              <w:rPr>
                <w:rFonts w:ascii="Arial Narrow" w:hAnsi="Arial Narrow"/>
                <w:b/>
                <w:color w:val="000000"/>
                <w:sz w:val="20"/>
                <w:szCs w:val="18"/>
              </w:rPr>
            </w:pPr>
          </w:p>
        </w:tc>
        <w:tc>
          <w:tcPr>
            <w:tcW w:w="748" w:type="pct"/>
            <w:vMerge/>
            <w:vAlign w:val="center"/>
          </w:tcPr>
          <w:p w:rsidR="003E147C" w:rsidRPr="00E2771E" w:rsidRDefault="003E147C" w:rsidP="00C75C26">
            <w:pPr>
              <w:jc w:val="center"/>
              <w:rPr>
                <w:rFonts w:ascii="Arial Narrow" w:hAnsi="Arial Narrow"/>
                <w:b/>
                <w:color w:val="000000"/>
                <w:sz w:val="20"/>
                <w:szCs w:val="18"/>
              </w:rPr>
            </w:pPr>
          </w:p>
        </w:tc>
        <w:tc>
          <w:tcPr>
            <w:tcW w:w="850" w:type="pct"/>
            <w:gridSpan w:val="2"/>
            <w:vMerge/>
            <w:vAlign w:val="center"/>
          </w:tcPr>
          <w:p w:rsidR="003E147C" w:rsidRPr="00E2771E" w:rsidRDefault="003E147C" w:rsidP="00C75C26">
            <w:pPr>
              <w:jc w:val="center"/>
              <w:rPr>
                <w:rFonts w:ascii="Arial Narrow" w:hAnsi="Arial Narrow"/>
                <w:b/>
                <w:color w:val="000000"/>
                <w:sz w:val="20"/>
                <w:szCs w:val="18"/>
              </w:rPr>
            </w:pPr>
          </w:p>
        </w:tc>
        <w:tc>
          <w:tcPr>
            <w:tcW w:w="668" w:type="pct"/>
            <w:gridSpan w:val="2"/>
            <w:vAlign w:val="center"/>
          </w:tcPr>
          <w:p w:rsidR="003E147C" w:rsidRPr="00E2771E" w:rsidRDefault="003E147C" w:rsidP="00C75C26">
            <w:pPr>
              <w:jc w:val="center"/>
              <w:rPr>
                <w:rFonts w:ascii="Arial Narrow" w:hAnsi="Arial Narrow"/>
                <w:b/>
                <w:color w:val="000000"/>
                <w:sz w:val="20"/>
                <w:szCs w:val="18"/>
              </w:rPr>
            </w:pPr>
            <w:proofErr w:type="spellStart"/>
            <w:r>
              <w:rPr>
                <w:rFonts w:ascii="Arial Narrow" w:hAnsi="Arial Narrow"/>
                <w:b/>
                <w:color w:val="000000"/>
                <w:sz w:val="20"/>
                <w:szCs w:val="18"/>
              </w:rPr>
              <w:t>Nivo</w:t>
            </w:r>
            <w:proofErr w:type="spellEnd"/>
            <w:r>
              <w:rPr>
                <w:rFonts w:ascii="Arial Narrow" w:hAnsi="Arial Narrow"/>
                <w:b/>
                <w:color w:val="000000"/>
                <w:sz w:val="20"/>
                <w:szCs w:val="18"/>
              </w:rPr>
              <w:t xml:space="preserve"> + </w:t>
            </w:r>
            <w:proofErr w:type="spellStart"/>
            <w:r>
              <w:rPr>
                <w:rFonts w:ascii="Arial Narrow" w:hAnsi="Arial Narrow"/>
                <w:b/>
                <w:color w:val="000000"/>
                <w:sz w:val="20"/>
                <w:szCs w:val="18"/>
              </w:rPr>
              <w:t>Ipi</w:t>
            </w:r>
            <w:proofErr w:type="spellEnd"/>
          </w:p>
        </w:tc>
        <w:tc>
          <w:tcPr>
            <w:tcW w:w="550" w:type="pct"/>
            <w:gridSpan w:val="2"/>
            <w:vAlign w:val="center"/>
          </w:tcPr>
          <w:p w:rsidR="003E147C" w:rsidRPr="00E2771E" w:rsidRDefault="003E147C" w:rsidP="00C75C26">
            <w:pPr>
              <w:jc w:val="center"/>
              <w:rPr>
                <w:rFonts w:ascii="Arial Narrow" w:hAnsi="Arial Narrow"/>
                <w:b/>
                <w:color w:val="000000"/>
                <w:sz w:val="20"/>
                <w:szCs w:val="18"/>
              </w:rPr>
            </w:pPr>
            <w:proofErr w:type="spellStart"/>
            <w:r>
              <w:rPr>
                <w:rFonts w:ascii="Arial Narrow" w:hAnsi="Arial Narrow"/>
                <w:b/>
                <w:color w:val="000000"/>
                <w:sz w:val="20"/>
                <w:szCs w:val="18"/>
              </w:rPr>
              <w:t>Nivo</w:t>
            </w:r>
            <w:proofErr w:type="spellEnd"/>
          </w:p>
        </w:tc>
        <w:tc>
          <w:tcPr>
            <w:tcW w:w="750" w:type="pct"/>
            <w:vMerge/>
            <w:vAlign w:val="center"/>
          </w:tcPr>
          <w:p w:rsidR="003E147C" w:rsidRPr="00E2771E" w:rsidRDefault="003E147C" w:rsidP="00C75C26">
            <w:pPr>
              <w:jc w:val="center"/>
              <w:rPr>
                <w:rFonts w:ascii="Arial Narrow" w:hAnsi="Arial Narrow"/>
                <w:b/>
                <w:color w:val="000000"/>
                <w:sz w:val="20"/>
                <w:szCs w:val="18"/>
              </w:rPr>
            </w:pPr>
          </w:p>
        </w:tc>
      </w:tr>
      <w:tr w:rsidR="003E147C" w:rsidRPr="00E2771E" w:rsidTr="00C75C26">
        <w:tc>
          <w:tcPr>
            <w:tcW w:w="5000" w:type="pct"/>
            <w:gridSpan w:val="10"/>
            <w:shd w:val="clear" w:color="auto" w:fill="auto"/>
            <w:vAlign w:val="center"/>
          </w:tcPr>
          <w:p w:rsidR="003E147C" w:rsidRPr="00E2771E" w:rsidRDefault="003E147C" w:rsidP="0062235A">
            <w:pPr>
              <w:rPr>
                <w:rFonts w:ascii="Arial Narrow" w:hAnsi="Arial Narrow"/>
                <w:b/>
                <w:color w:val="000000"/>
                <w:sz w:val="20"/>
                <w:szCs w:val="18"/>
              </w:rPr>
            </w:pPr>
            <w:r>
              <w:rPr>
                <w:rFonts w:ascii="Arial Narrow" w:hAnsi="Arial Narrow"/>
                <w:b/>
                <w:color w:val="000000"/>
                <w:sz w:val="20"/>
                <w:szCs w:val="18"/>
              </w:rPr>
              <w:t>Any serious drug</w:t>
            </w:r>
            <w:r w:rsidR="0062235A">
              <w:rPr>
                <w:rFonts w:ascii="Arial Narrow" w:hAnsi="Arial Narrow"/>
                <w:b/>
                <w:color w:val="000000"/>
                <w:sz w:val="20"/>
                <w:szCs w:val="18"/>
              </w:rPr>
              <w:t>-</w:t>
            </w:r>
            <w:r>
              <w:rPr>
                <w:rFonts w:ascii="Arial Narrow" w:hAnsi="Arial Narrow"/>
                <w:b/>
                <w:color w:val="000000"/>
                <w:sz w:val="20"/>
                <w:szCs w:val="18"/>
              </w:rPr>
              <w:t>related adverse events</w:t>
            </w:r>
          </w:p>
        </w:tc>
      </w:tr>
      <w:tr w:rsidR="003E147C" w:rsidRPr="00E2771E" w:rsidTr="00127DF3">
        <w:tc>
          <w:tcPr>
            <w:tcW w:w="604" w:type="pct"/>
            <w:shd w:val="clear" w:color="auto" w:fill="auto"/>
            <w:vAlign w:val="center"/>
          </w:tcPr>
          <w:p w:rsidR="003E147C" w:rsidRPr="00E2771E" w:rsidRDefault="003E147C" w:rsidP="00C75C26">
            <w:pPr>
              <w:rPr>
                <w:rFonts w:ascii="Arial Narrow" w:hAnsi="Arial Narrow"/>
                <w:color w:val="000000"/>
                <w:sz w:val="20"/>
                <w:szCs w:val="18"/>
              </w:rPr>
            </w:pPr>
            <w:r>
              <w:rPr>
                <w:rFonts w:ascii="Arial Narrow" w:hAnsi="Arial Narrow"/>
                <w:color w:val="000000"/>
                <w:sz w:val="20"/>
                <w:szCs w:val="18"/>
              </w:rPr>
              <w:t>CA209-067</w:t>
            </w:r>
          </w:p>
        </w:tc>
        <w:tc>
          <w:tcPr>
            <w:tcW w:w="830" w:type="pct"/>
            <w:vAlign w:val="bottom"/>
          </w:tcPr>
          <w:p w:rsidR="003E147C" w:rsidRPr="00E2771E" w:rsidRDefault="003E147C" w:rsidP="00B235DF">
            <w:pPr>
              <w:jc w:val="center"/>
              <w:rPr>
                <w:rFonts w:ascii="Arial Narrow" w:hAnsi="Arial Narrow"/>
                <w:color w:val="000000"/>
                <w:sz w:val="20"/>
                <w:szCs w:val="18"/>
              </w:rPr>
            </w:pPr>
            <w:r w:rsidRPr="00A60EF9">
              <w:rPr>
                <w:rFonts w:ascii="Arial Narrow" w:hAnsi="Arial Narrow"/>
                <w:color w:val="000000"/>
                <w:sz w:val="20"/>
              </w:rPr>
              <w:t>150</w:t>
            </w:r>
            <w:r>
              <w:rPr>
                <w:rFonts w:ascii="Arial Narrow" w:hAnsi="Arial Narrow"/>
                <w:color w:val="000000"/>
                <w:sz w:val="20"/>
              </w:rPr>
              <w:t>/313</w:t>
            </w:r>
            <w:r w:rsidRPr="00A60EF9">
              <w:rPr>
                <w:rFonts w:ascii="Arial Narrow" w:hAnsi="Arial Narrow"/>
                <w:color w:val="000000"/>
                <w:sz w:val="20"/>
              </w:rPr>
              <w:t xml:space="preserve"> (47.9)</w:t>
            </w:r>
          </w:p>
        </w:tc>
        <w:tc>
          <w:tcPr>
            <w:tcW w:w="748" w:type="pct"/>
            <w:vAlign w:val="bottom"/>
          </w:tcPr>
          <w:p w:rsidR="003E147C" w:rsidRPr="00E2771E" w:rsidRDefault="003E147C" w:rsidP="00B235DF">
            <w:pPr>
              <w:jc w:val="center"/>
              <w:rPr>
                <w:rFonts w:ascii="Arial Narrow" w:hAnsi="Arial Narrow"/>
                <w:color w:val="000000"/>
                <w:sz w:val="20"/>
                <w:szCs w:val="18"/>
              </w:rPr>
            </w:pPr>
            <w:r w:rsidRPr="00A60EF9">
              <w:rPr>
                <w:rFonts w:ascii="Arial Narrow" w:hAnsi="Arial Narrow"/>
                <w:color w:val="000000"/>
                <w:sz w:val="20"/>
              </w:rPr>
              <w:t>25</w:t>
            </w:r>
            <w:r>
              <w:rPr>
                <w:rFonts w:ascii="Arial Narrow" w:hAnsi="Arial Narrow"/>
                <w:color w:val="000000"/>
                <w:sz w:val="20"/>
              </w:rPr>
              <w:t>/313</w:t>
            </w:r>
            <w:r w:rsidRPr="00A60EF9">
              <w:rPr>
                <w:rFonts w:ascii="Arial Narrow" w:hAnsi="Arial Narrow"/>
                <w:color w:val="000000"/>
                <w:sz w:val="20"/>
              </w:rPr>
              <w:t xml:space="preserve"> (8.0)</w:t>
            </w:r>
          </w:p>
        </w:tc>
        <w:tc>
          <w:tcPr>
            <w:tcW w:w="850" w:type="pct"/>
            <w:gridSpan w:val="2"/>
            <w:vAlign w:val="center"/>
          </w:tcPr>
          <w:p w:rsidR="003E147C" w:rsidRPr="00E2771E" w:rsidRDefault="003E147C" w:rsidP="00C75C26">
            <w:pPr>
              <w:jc w:val="center"/>
              <w:rPr>
                <w:rFonts w:ascii="Arial Narrow" w:hAnsi="Arial Narrow"/>
                <w:color w:val="000000"/>
                <w:sz w:val="20"/>
                <w:szCs w:val="18"/>
              </w:rPr>
            </w:pPr>
            <w:r w:rsidRPr="003E2C40">
              <w:rPr>
                <w:rFonts w:ascii="Arial Narrow" w:hAnsi="Arial Narrow" w:cs="Times New Roman"/>
                <w:snapToGrid/>
                <w:color w:val="000000"/>
                <w:sz w:val="20"/>
                <w:lang w:val="en-US"/>
              </w:rPr>
              <w:t>6.00 (4.05, 8.89)</w:t>
            </w:r>
          </w:p>
        </w:tc>
        <w:tc>
          <w:tcPr>
            <w:tcW w:w="668" w:type="pct"/>
            <w:gridSpan w:val="2"/>
            <w:vAlign w:val="center"/>
          </w:tcPr>
          <w:p w:rsidR="003E147C" w:rsidRPr="00E2771E" w:rsidRDefault="003E147C" w:rsidP="00C75C26">
            <w:pPr>
              <w:jc w:val="center"/>
              <w:rPr>
                <w:rFonts w:ascii="Arial Narrow" w:hAnsi="Arial Narrow"/>
                <w:color w:val="000000"/>
                <w:sz w:val="20"/>
                <w:szCs w:val="18"/>
              </w:rPr>
            </w:pPr>
            <w:r>
              <w:rPr>
                <w:rFonts w:ascii="Arial Narrow" w:hAnsi="Arial Narrow"/>
                <w:color w:val="000000"/>
                <w:sz w:val="20"/>
                <w:szCs w:val="18"/>
              </w:rPr>
              <w:t>48</w:t>
            </w:r>
          </w:p>
        </w:tc>
        <w:tc>
          <w:tcPr>
            <w:tcW w:w="550" w:type="pct"/>
            <w:gridSpan w:val="2"/>
            <w:vAlign w:val="center"/>
          </w:tcPr>
          <w:p w:rsidR="003E147C" w:rsidRPr="00E2771E" w:rsidRDefault="003E147C" w:rsidP="00C75C26">
            <w:pPr>
              <w:jc w:val="center"/>
              <w:rPr>
                <w:rFonts w:ascii="Arial Narrow" w:hAnsi="Arial Narrow"/>
                <w:color w:val="000000"/>
                <w:sz w:val="20"/>
                <w:szCs w:val="18"/>
              </w:rPr>
            </w:pPr>
            <w:r>
              <w:rPr>
                <w:rFonts w:ascii="Arial Narrow" w:hAnsi="Arial Narrow"/>
                <w:color w:val="000000"/>
                <w:sz w:val="20"/>
                <w:szCs w:val="18"/>
              </w:rPr>
              <w:t>8</w:t>
            </w:r>
          </w:p>
        </w:tc>
        <w:tc>
          <w:tcPr>
            <w:tcW w:w="750" w:type="pct"/>
            <w:vAlign w:val="center"/>
          </w:tcPr>
          <w:p w:rsidR="003E147C" w:rsidRPr="00E2771E" w:rsidRDefault="003E147C" w:rsidP="00C75C26">
            <w:pPr>
              <w:jc w:val="center"/>
              <w:rPr>
                <w:rFonts w:ascii="Arial Narrow" w:hAnsi="Arial Narrow"/>
                <w:color w:val="000000"/>
                <w:sz w:val="20"/>
                <w:szCs w:val="18"/>
              </w:rPr>
            </w:pPr>
            <w:r w:rsidRPr="003E2C40">
              <w:rPr>
                <w:rFonts w:ascii="Arial Narrow" w:hAnsi="Arial Narrow" w:cs="Times New Roman"/>
                <w:snapToGrid/>
                <w:color w:val="000000"/>
                <w:sz w:val="20"/>
                <w:lang w:val="en-US"/>
              </w:rPr>
              <w:t>0.40 (0.34, 0.46)</w:t>
            </w:r>
          </w:p>
        </w:tc>
      </w:tr>
      <w:tr w:rsidR="003E147C" w:rsidRPr="00E2771E" w:rsidTr="00C75C26">
        <w:tc>
          <w:tcPr>
            <w:tcW w:w="5000" w:type="pct"/>
            <w:gridSpan w:val="10"/>
            <w:shd w:val="clear" w:color="auto" w:fill="auto"/>
            <w:vAlign w:val="center"/>
          </w:tcPr>
          <w:p w:rsidR="003E147C" w:rsidRPr="00E2771E" w:rsidRDefault="003E147C" w:rsidP="00C75C26">
            <w:pPr>
              <w:rPr>
                <w:rFonts w:ascii="Arial Narrow" w:hAnsi="Arial Narrow"/>
                <w:b/>
                <w:color w:val="000000"/>
                <w:sz w:val="20"/>
                <w:szCs w:val="18"/>
              </w:rPr>
            </w:pPr>
            <w:r>
              <w:rPr>
                <w:rFonts w:ascii="Arial Narrow" w:hAnsi="Arial Narrow"/>
                <w:b/>
                <w:color w:val="000000"/>
                <w:sz w:val="20"/>
                <w:szCs w:val="18"/>
              </w:rPr>
              <w:t>Any severe adverse events (grade ≥</w:t>
            </w:r>
            <w:r w:rsidRPr="004713E7">
              <w:rPr>
                <w:rFonts w:ascii="Arial Narrow" w:hAnsi="Arial Narrow"/>
                <w:b/>
                <w:color w:val="000000"/>
                <w:sz w:val="20"/>
                <w:szCs w:val="18"/>
              </w:rPr>
              <w:t>3)</w:t>
            </w:r>
          </w:p>
        </w:tc>
      </w:tr>
      <w:tr w:rsidR="003E147C" w:rsidRPr="00E2771E" w:rsidTr="00127DF3">
        <w:tc>
          <w:tcPr>
            <w:tcW w:w="604" w:type="pct"/>
            <w:shd w:val="clear" w:color="auto" w:fill="auto"/>
            <w:vAlign w:val="center"/>
          </w:tcPr>
          <w:p w:rsidR="003E147C" w:rsidRPr="00E2771E" w:rsidRDefault="003E147C" w:rsidP="00C75C26">
            <w:pPr>
              <w:rPr>
                <w:rFonts w:ascii="Arial Narrow" w:hAnsi="Arial Narrow"/>
                <w:color w:val="000000"/>
                <w:sz w:val="20"/>
                <w:szCs w:val="18"/>
              </w:rPr>
            </w:pPr>
            <w:r>
              <w:rPr>
                <w:rFonts w:ascii="Arial Narrow" w:hAnsi="Arial Narrow"/>
                <w:color w:val="000000"/>
                <w:sz w:val="20"/>
                <w:szCs w:val="18"/>
              </w:rPr>
              <w:t>CA209-067</w:t>
            </w:r>
          </w:p>
        </w:tc>
        <w:tc>
          <w:tcPr>
            <w:tcW w:w="830" w:type="pct"/>
            <w:vAlign w:val="bottom"/>
          </w:tcPr>
          <w:p w:rsidR="003E147C" w:rsidRPr="00E2771E" w:rsidRDefault="003E147C" w:rsidP="00127DF3">
            <w:pPr>
              <w:jc w:val="center"/>
              <w:rPr>
                <w:rFonts w:ascii="Arial Narrow" w:hAnsi="Arial Narrow"/>
                <w:color w:val="000000"/>
                <w:sz w:val="20"/>
                <w:szCs w:val="18"/>
              </w:rPr>
            </w:pPr>
            <w:r w:rsidRPr="00A60EF9">
              <w:rPr>
                <w:rFonts w:ascii="Arial Narrow" w:hAnsi="Arial Narrow"/>
                <w:color w:val="000000"/>
                <w:sz w:val="20"/>
              </w:rPr>
              <w:t>172</w:t>
            </w:r>
            <w:r>
              <w:rPr>
                <w:rFonts w:ascii="Arial Narrow" w:hAnsi="Arial Narrow"/>
                <w:color w:val="000000"/>
                <w:sz w:val="20"/>
              </w:rPr>
              <w:t>/313</w:t>
            </w:r>
            <w:r w:rsidRPr="00A60EF9">
              <w:rPr>
                <w:rFonts w:ascii="Arial Narrow" w:hAnsi="Arial Narrow"/>
                <w:color w:val="000000"/>
                <w:sz w:val="20"/>
              </w:rPr>
              <w:t xml:space="preserve"> (55.0)</w:t>
            </w:r>
          </w:p>
        </w:tc>
        <w:tc>
          <w:tcPr>
            <w:tcW w:w="748" w:type="pct"/>
            <w:vAlign w:val="bottom"/>
          </w:tcPr>
          <w:p w:rsidR="003E147C" w:rsidRPr="00E2771E" w:rsidRDefault="003E147C" w:rsidP="00B235DF">
            <w:pPr>
              <w:jc w:val="center"/>
              <w:rPr>
                <w:rFonts w:ascii="Arial Narrow" w:hAnsi="Arial Narrow"/>
                <w:color w:val="000000"/>
                <w:sz w:val="20"/>
                <w:szCs w:val="18"/>
              </w:rPr>
            </w:pPr>
            <w:r w:rsidRPr="00A60EF9">
              <w:rPr>
                <w:rFonts w:ascii="Arial Narrow" w:hAnsi="Arial Narrow"/>
                <w:color w:val="000000"/>
                <w:sz w:val="20"/>
              </w:rPr>
              <w:t>51</w:t>
            </w:r>
            <w:r>
              <w:rPr>
                <w:rFonts w:ascii="Arial Narrow" w:hAnsi="Arial Narrow"/>
                <w:color w:val="000000"/>
                <w:sz w:val="20"/>
              </w:rPr>
              <w:t>/313</w:t>
            </w:r>
            <w:r w:rsidRPr="00A60EF9">
              <w:rPr>
                <w:rFonts w:ascii="Arial Narrow" w:hAnsi="Arial Narrow"/>
                <w:color w:val="000000"/>
                <w:sz w:val="20"/>
              </w:rPr>
              <w:t xml:space="preserve"> (16.3)</w:t>
            </w:r>
          </w:p>
        </w:tc>
        <w:tc>
          <w:tcPr>
            <w:tcW w:w="850" w:type="pct"/>
            <w:gridSpan w:val="2"/>
            <w:vAlign w:val="center"/>
          </w:tcPr>
          <w:p w:rsidR="003E147C" w:rsidRPr="00E2771E" w:rsidRDefault="003E147C" w:rsidP="00C75C26">
            <w:pPr>
              <w:jc w:val="center"/>
              <w:rPr>
                <w:rFonts w:ascii="Arial Narrow" w:hAnsi="Arial Narrow"/>
                <w:color w:val="000000"/>
                <w:sz w:val="20"/>
                <w:szCs w:val="18"/>
              </w:rPr>
            </w:pPr>
            <w:r w:rsidRPr="003E2C40">
              <w:rPr>
                <w:rFonts w:ascii="Arial Narrow" w:hAnsi="Arial Narrow" w:cs="Times New Roman"/>
                <w:snapToGrid/>
                <w:color w:val="000000"/>
                <w:sz w:val="20"/>
                <w:lang w:val="en-US"/>
              </w:rPr>
              <w:t>3.37 (2.57, 4.42)</w:t>
            </w:r>
          </w:p>
        </w:tc>
        <w:tc>
          <w:tcPr>
            <w:tcW w:w="668" w:type="pct"/>
            <w:gridSpan w:val="2"/>
            <w:vAlign w:val="center"/>
          </w:tcPr>
          <w:p w:rsidR="003E147C" w:rsidRPr="00E2771E" w:rsidRDefault="003E147C" w:rsidP="00C75C26">
            <w:pPr>
              <w:jc w:val="center"/>
              <w:rPr>
                <w:rFonts w:ascii="Arial Narrow" w:hAnsi="Arial Narrow"/>
                <w:color w:val="000000"/>
                <w:sz w:val="20"/>
                <w:szCs w:val="18"/>
              </w:rPr>
            </w:pPr>
            <w:r>
              <w:rPr>
                <w:rFonts w:ascii="Arial Narrow" w:hAnsi="Arial Narrow"/>
                <w:color w:val="000000"/>
                <w:sz w:val="20"/>
                <w:szCs w:val="18"/>
              </w:rPr>
              <w:t>55</w:t>
            </w:r>
          </w:p>
        </w:tc>
        <w:tc>
          <w:tcPr>
            <w:tcW w:w="550" w:type="pct"/>
            <w:gridSpan w:val="2"/>
            <w:vAlign w:val="center"/>
          </w:tcPr>
          <w:p w:rsidR="003E147C" w:rsidRPr="00E2771E" w:rsidRDefault="003E147C" w:rsidP="00C75C26">
            <w:pPr>
              <w:jc w:val="center"/>
              <w:rPr>
                <w:rFonts w:ascii="Arial Narrow" w:hAnsi="Arial Narrow"/>
                <w:color w:val="000000"/>
                <w:sz w:val="20"/>
                <w:szCs w:val="18"/>
              </w:rPr>
            </w:pPr>
            <w:r>
              <w:rPr>
                <w:rFonts w:ascii="Arial Narrow" w:hAnsi="Arial Narrow"/>
                <w:color w:val="000000"/>
                <w:sz w:val="20"/>
                <w:szCs w:val="18"/>
              </w:rPr>
              <w:t>16</w:t>
            </w:r>
          </w:p>
        </w:tc>
        <w:tc>
          <w:tcPr>
            <w:tcW w:w="750" w:type="pct"/>
            <w:vAlign w:val="center"/>
          </w:tcPr>
          <w:p w:rsidR="003E147C" w:rsidRPr="00E2771E" w:rsidRDefault="003E147C" w:rsidP="00C75C26">
            <w:pPr>
              <w:jc w:val="center"/>
              <w:rPr>
                <w:rFonts w:ascii="Arial Narrow" w:hAnsi="Arial Narrow"/>
                <w:color w:val="000000"/>
                <w:sz w:val="20"/>
                <w:szCs w:val="18"/>
              </w:rPr>
            </w:pPr>
            <w:r w:rsidRPr="003E2C40">
              <w:rPr>
                <w:rFonts w:ascii="Arial Narrow" w:hAnsi="Arial Narrow" w:cs="Times New Roman"/>
                <w:snapToGrid/>
                <w:color w:val="000000"/>
                <w:sz w:val="20"/>
                <w:lang w:val="en-US"/>
              </w:rPr>
              <w:t>0.39 (0.32, 0.46)</w:t>
            </w:r>
          </w:p>
        </w:tc>
      </w:tr>
      <w:tr w:rsidR="003E147C" w:rsidRPr="00E2771E" w:rsidTr="00C75C26">
        <w:tc>
          <w:tcPr>
            <w:tcW w:w="5000" w:type="pct"/>
            <w:gridSpan w:val="10"/>
            <w:shd w:val="clear" w:color="auto" w:fill="auto"/>
            <w:vAlign w:val="center"/>
          </w:tcPr>
          <w:p w:rsidR="003E147C" w:rsidRPr="00E2771E" w:rsidRDefault="003E147C" w:rsidP="00C75C26">
            <w:pPr>
              <w:rPr>
                <w:rFonts w:ascii="Arial Narrow" w:hAnsi="Arial Narrow"/>
                <w:color w:val="000000"/>
                <w:sz w:val="20"/>
                <w:szCs w:val="18"/>
              </w:rPr>
            </w:pPr>
            <w:r w:rsidRPr="00E2771E">
              <w:rPr>
                <w:rFonts w:ascii="Arial Narrow" w:hAnsi="Arial Narrow"/>
                <w:b/>
                <w:color w:val="000000"/>
                <w:sz w:val="20"/>
                <w:szCs w:val="18"/>
              </w:rPr>
              <w:t xml:space="preserve">Adverse </w:t>
            </w:r>
            <w:r>
              <w:rPr>
                <w:rFonts w:ascii="Arial Narrow" w:hAnsi="Arial Narrow"/>
                <w:b/>
                <w:color w:val="000000"/>
                <w:sz w:val="20"/>
                <w:szCs w:val="18"/>
              </w:rPr>
              <w:t>events leading to discontinuation</w:t>
            </w:r>
          </w:p>
        </w:tc>
      </w:tr>
      <w:tr w:rsidR="003E147C" w:rsidRPr="00E2771E" w:rsidTr="00127DF3">
        <w:tc>
          <w:tcPr>
            <w:tcW w:w="604" w:type="pct"/>
            <w:shd w:val="clear" w:color="auto" w:fill="auto"/>
            <w:vAlign w:val="center"/>
          </w:tcPr>
          <w:p w:rsidR="003E147C" w:rsidRPr="00E2771E" w:rsidRDefault="003E147C" w:rsidP="00C75C26">
            <w:pPr>
              <w:rPr>
                <w:rFonts w:ascii="Arial Narrow" w:hAnsi="Arial Narrow"/>
                <w:color w:val="000000"/>
                <w:sz w:val="20"/>
                <w:szCs w:val="18"/>
              </w:rPr>
            </w:pPr>
            <w:r>
              <w:rPr>
                <w:rFonts w:ascii="Arial Narrow" w:hAnsi="Arial Narrow"/>
                <w:color w:val="000000"/>
                <w:sz w:val="20"/>
                <w:szCs w:val="18"/>
              </w:rPr>
              <w:t>CA209-067</w:t>
            </w:r>
          </w:p>
        </w:tc>
        <w:tc>
          <w:tcPr>
            <w:tcW w:w="830" w:type="pct"/>
            <w:vAlign w:val="bottom"/>
          </w:tcPr>
          <w:p w:rsidR="003E147C" w:rsidRPr="00E2771E" w:rsidRDefault="003E147C" w:rsidP="00C75C26">
            <w:pPr>
              <w:jc w:val="center"/>
              <w:rPr>
                <w:rFonts w:ascii="Arial Narrow" w:hAnsi="Arial Narrow"/>
                <w:color w:val="000000"/>
                <w:sz w:val="20"/>
                <w:szCs w:val="18"/>
              </w:rPr>
            </w:pPr>
            <w:r w:rsidRPr="00A60EF9">
              <w:rPr>
                <w:rFonts w:ascii="Arial Narrow" w:hAnsi="Arial Narrow"/>
                <w:color w:val="000000"/>
                <w:sz w:val="20"/>
              </w:rPr>
              <w:t>114</w:t>
            </w:r>
            <w:r>
              <w:rPr>
                <w:rFonts w:ascii="Arial Narrow" w:hAnsi="Arial Narrow"/>
                <w:color w:val="000000"/>
                <w:sz w:val="20"/>
              </w:rPr>
              <w:t>/313</w:t>
            </w:r>
            <w:r w:rsidRPr="00A60EF9">
              <w:rPr>
                <w:rFonts w:ascii="Arial Narrow" w:hAnsi="Arial Narrow"/>
                <w:color w:val="000000"/>
                <w:sz w:val="20"/>
              </w:rPr>
              <w:t xml:space="preserve"> (36.4)</w:t>
            </w:r>
          </w:p>
        </w:tc>
        <w:tc>
          <w:tcPr>
            <w:tcW w:w="748" w:type="pct"/>
            <w:vAlign w:val="bottom"/>
          </w:tcPr>
          <w:p w:rsidR="003E147C" w:rsidRPr="00E2771E" w:rsidRDefault="003E147C" w:rsidP="00C75C26">
            <w:pPr>
              <w:jc w:val="center"/>
              <w:rPr>
                <w:rFonts w:ascii="Arial Narrow" w:hAnsi="Arial Narrow"/>
                <w:color w:val="000000"/>
                <w:sz w:val="20"/>
                <w:szCs w:val="18"/>
              </w:rPr>
            </w:pPr>
            <w:r w:rsidRPr="00A60EF9">
              <w:rPr>
                <w:rFonts w:ascii="Arial Narrow" w:hAnsi="Arial Narrow"/>
                <w:color w:val="000000"/>
                <w:sz w:val="20"/>
              </w:rPr>
              <w:t>24</w:t>
            </w:r>
            <w:r>
              <w:rPr>
                <w:rFonts w:ascii="Arial Narrow" w:hAnsi="Arial Narrow"/>
                <w:color w:val="000000"/>
                <w:sz w:val="20"/>
              </w:rPr>
              <w:t>/313</w:t>
            </w:r>
            <w:r w:rsidRPr="00A60EF9">
              <w:rPr>
                <w:rFonts w:ascii="Arial Narrow" w:hAnsi="Arial Narrow"/>
                <w:color w:val="000000"/>
                <w:sz w:val="20"/>
              </w:rPr>
              <w:t xml:space="preserve"> (7.7)</w:t>
            </w:r>
          </w:p>
        </w:tc>
        <w:tc>
          <w:tcPr>
            <w:tcW w:w="850" w:type="pct"/>
            <w:gridSpan w:val="2"/>
            <w:vAlign w:val="center"/>
          </w:tcPr>
          <w:p w:rsidR="003E147C" w:rsidRPr="00E2771E" w:rsidRDefault="003E147C" w:rsidP="00C75C26">
            <w:pPr>
              <w:jc w:val="center"/>
              <w:rPr>
                <w:rFonts w:ascii="Arial Narrow" w:hAnsi="Arial Narrow"/>
                <w:color w:val="000000"/>
                <w:sz w:val="20"/>
                <w:szCs w:val="18"/>
              </w:rPr>
            </w:pPr>
            <w:r w:rsidRPr="003E2C40">
              <w:rPr>
                <w:rFonts w:ascii="Arial Narrow" w:hAnsi="Arial Narrow" w:cs="Times New Roman"/>
                <w:snapToGrid/>
                <w:color w:val="000000"/>
                <w:sz w:val="20"/>
                <w:lang w:val="en-US"/>
              </w:rPr>
              <w:t>4.75 (3.15, 7.17)</w:t>
            </w:r>
          </w:p>
        </w:tc>
        <w:tc>
          <w:tcPr>
            <w:tcW w:w="668" w:type="pct"/>
            <w:gridSpan w:val="2"/>
            <w:vAlign w:val="center"/>
          </w:tcPr>
          <w:p w:rsidR="003E147C" w:rsidRPr="00E2771E" w:rsidRDefault="003E147C" w:rsidP="00C75C26">
            <w:pPr>
              <w:jc w:val="center"/>
              <w:rPr>
                <w:rFonts w:ascii="Arial Narrow" w:hAnsi="Arial Narrow"/>
                <w:color w:val="000000"/>
                <w:sz w:val="20"/>
                <w:szCs w:val="18"/>
              </w:rPr>
            </w:pPr>
            <w:r>
              <w:rPr>
                <w:rFonts w:ascii="Arial Narrow" w:hAnsi="Arial Narrow"/>
                <w:color w:val="000000"/>
                <w:sz w:val="20"/>
                <w:szCs w:val="18"/>
              </w:rPr>
              <w:t>36</w:t>
            </w:r>
          </w:p>
        </w:tc>
        <w:tc>
          <w:tcPr>
            <w:tcW w:w="550" w:type="pct"/>
            <w:gridSpan w:val="2"/>
            <w:vAlign w:val="center"/>
          </w:tcPr>
          <w:p w:rsidR="003E147C" w:rsidRPr="00E2771E" w:rsidRDefault="003E147C" w:rsidP="00C75C26">
            <w:pPr>
              <w:jc w:val="center"/>
              <w:rPr>
                <w:rFonts w:ascii="Arial Narrow" w:hAnsi="Arial Narrow"/>
                <w:color w:val="000000"/>
                <w:sz w:val="20"/>
                <w:szCs w:val="18"/>
              </w:rPr>
            </w:pPr>
            <w:r>
              <w:rPr>
                <w:rFonts w:ascii="Arial Narrow" w:hAnsi="Arial Narrow"/>
                <w:color w:val="000000"/>
                <w:sz w:val="20"/>
                <w:szCs w:val="18"/>
              </w:rPr>
              <w:t>8</w:t>
            </w:r>
          </w:p>
        </w:tc>
        <w:tc>
          <w:tcPr>
            <w:tcW w:w="750" w:type="pct"/>
            <w:vAlign w:val="center"/>
          </w:tcPr>
          <w:p w:rsidR="003E147C" w:rsidRPr="00E2771E" w:rsidRDefault="003E147C" w:rsidP="00C75C26">
            <w:pPr>
              <w:jc w:val="center"/>
              <w:rPr>
                <w:rFonts w:ascii="Arial Narrow" w:hAnsi="Arial Narrow"/>
                <w:color w:val="000000"/>
                <w:sz w:val="20"/>
                <w:szCs w:val="18"/>
              </w:rPr>
            </w:pPr>
            <w:r w:rsidRPr="003E2C40">
              <w:rPr>
                <w:rFonts w:ascii="Arial Narrow" w:hAnsi="Arial Narrow" w:cs="Times New Roman"/>
                <w:snapToGrid/>
                <w:color w:val="000000"/>
                <w:sz w:val="20"/>
                <w:lang w:val="en-US"/>
              </w:rPr>
              <w:t>0.29 (0.23, 0.35)</w:t>
            </w:r>
          </w:p>
        </w:tc>
      </w:tr>
    </w:tbl>
    <w:p w:rsidR="0062235A" w:rsidRPr="0072416F" w:rsidRDefault="0062235A" w:rsidP="0062235A">
      <w:pPr>
        <w:pStyle w:val="TableFooter"/>
        <w:ind w:firstLine="720"/>
      </w:pPr>
      <w:r w:rsidRPr="0072416F">
        <w:t xml:space="preserve">Source: </w:t>
      </w:r>
      <w:r>
        <w:t>c</w:t>
      </w:r>
      <w:r w:rsidRPr="0072416F">
        <w:t>ompiled during the evaluation</w:t>
      </w:r>
      <w:r>
        <w:t>.</w:t>
      </w:r>
    </w:p>
    <w:p w:rsidR="003E147C" w:rsidRPr="0072416F" w:rsidRDefault="003E147C" w:rsidP="00C75C26">
      <w:pPr>
        <w:pStyle w:val="TableFooter"/>
        <w:tabs>
          <w:tab w:val="left" w:pos="90"/>
        </w:tabs>
        <w:ind w:left="720"/>
      </w:pPr>
      <w:r>
        <w:t xml:space="preserve">AE = adverse event; CI = confidence interval; HR = hazard ratio; </w:t>
      </w:r>
      <w:proofErr w:type="spellStart"/>
      <w:r>
        <w:t>Ipi</w:t>
      </w:r>
      <w:proofErr w:type="spellEnd"/>
      <w:r>
        <w:t xml:space="preserve"> = </w:t>
      </w:r>
      <w:proofErr w:type="spellStart"/>
      <w:r>
        <w:t>ipilimumab</w:t>
      </w:r>
      <w:proofErr w:type="spellEnd"/>
      <w:r>
        <w:t xml:space="preserve">; </w:t>
      </w:r>
      <w:proofErr w:type="spellStart"/>
      <w:r>
        <w:t>Nivo</w:t>
      </w:r>
      <w:proofErr w:type="spellEnd"/>
      <w:r w:rsidR="0062235A">
        <w:t xml:space="preserve"> = </w:t>
      </w:r>
      <w:proofErr w:type="spellStart"/>
      <w:r w:rsidR="0062235A">
        <w:t>nivolumab</w:t>
      </w:r>
      <w:proofErr w:type="spellEnd"/>
      <w:r w:rsidR="0062235A">
        <w:t>; PFS = progression-</w:t>
      </w:r>
      <w:r>
        <w:t>free survival</w:t>
      </w:r>
      <w:r w:rsidRPr="0072416F">
        <w:t>; RD = risk difference; RR = risk ratio</w:t>
      </w:r>
    </w:p>
    <w:p w:rsidR="0062235A" w:rsidRPr="0072416F" w:rsidRDefault="0062235A" w:rsidP="0062235A">
      <w:pPr>
        <w:pStyle w:val="TableFooter"/>
        <w:ind w:left="720"/>
      </w:pPr>
      <w:r>
        <w:t>*</w:t>
      </w:r>
      <w:r w:rsidRPr="0072416F">
        <w:t>Media</w:t>
      </w:r>
      <w:r>
        <w:t>n follow-up: CA209-067</w:t>
      </w:r>
      <w:r w:rsidRPr="0072416F">
        <w:t xml:space="preserve"> = </w:t>
      </w:r>
      <w:r>
        <w:t>12.2 – 12.5 months.</w:t>
      </w:r>
    </w:p>
    <w:p w:rsidR="003E147C" w:rsidRDefault="003E147C" w:rsidP="00B62715"/>
    <w:p w:rsidR="003E147C" w:rsidRDefault="003E147C" w:rsidP="003E147C">
      <w:pPr>
        <w:pStyle w:val="ListParagraph"/>
        <w:numPr>
          <w:ilvl w:val="1"/>
          <w:numId w:val="6"/>
        </w:numPr>
      </w:pPr>
      <w:r>
        <w:t xml:space="preserve">On the basis of the direct comparison presented by the submission, the comparison of </w:t>
      </w:r>
      <w:proofErr w:type="spellStart"/>
      <w:r>
        <w:t>nivolumab</w:t>
      </w:r>
      <w:proofErr w:type="spellEnd"/>
      <w:r>
        <w:t xml:space="preserve"> plus </w:t>
      </w:r>
      <w:proofErr w:type="spellStart"/>
      <w:r>
        <w:t>ipilimumab</w:t>
      </w:r>
      <w:proofErr w:type="spellEnd"/>
      <w:r>
        <w:t xml:space="preserve"> and </w:t>
      </w:r>
      <w:proofErr w:type="spellStart"/>
      <w:r>
        <w:t>nivolumab</w:t>
      </w:r>
      <w:proofErr w:type="spellEnd"/>
      <w:r>
        <w:t xml:space="preserve"> monotherapy resulted in</w:t>
      </w:r>
      <w:r w:rsidR="0005153E">
        <w:t>:</w:t>
      </w:r>
    </w:p>
    <w:p w:rsidR="003E147C" w:rsidRPr="00185700" w:rsidRDefault="0062235A" w:rsidP="00425C30">
      <w:pPr>
        <w:pStyle w:val="ListParagraph"/>
        <w:numPr>
          <w:ilvl w:val="0"/>
          <w:numId w:val="19"/>
        </w:numPr>
        <w:ind w:left="1080"/>
      </w:pPr>
      <w:r w:rsidRPr="00185700">
        <w:t>n</w:t>
      </w:r>
      <w:r w:rsidR="003E147C" w:rsidRPr="00185700">
        <w:t xml:space="preserve">o conclusions regarding </w:t>
      </w:r>
      <w:r w:rsidRPr="00185700">
        <w:t>differences in overall survival</w:t>
      </w:r>
    </w:p>
    <w:p w:rsidR="003E147C" w:rsidRPr="00185700" w:rsidRDefault="0062235A" w:rsidP="00A70255">
      <w:pPr>
        <w:pStyle w:val="ListParagraph"/>
        <w:numPr>
          <w:ilvl w:val="0"/>
          <w:numId w:val="56"/>
        </w:numPr>
        <w:ind w:left="1080"/>
      </w:pPr>
      <w:proofErr w:type="gramStart"/>
      <w:r w:rsidRPr="00185700">
        <w:t>a</w:t>
      </w:r>
      <w:proofErr w:type="gramEnd"/>
      <w:r w:rsidR="003E147C" w:rsidRPr="00185700">
        <w:t xml:space="preserve"> statistically significant difference in PFS, </w:t>
      </w:r>
      <w:r w:rsidR="00586E58" w:rsidRPr="00185700">
        <w:t xml:space="preserve">with </w:t>
      </w:r>
      <w:r w:rsidR="00586E58">
        <w:t xml:space="preserve">a median difference of </w:t>
      </w:r>
      <w:r w:rsidR="00586E58" w:rsidRPr="00185700">
        <w:t xml:space="preserve">approximately </w:t>
      </w:r>
      <w:r w:rsidR="00586E58">
        <w:t>4</w:t>
      </w:r>
      <w:r w:rsidR="00586E58" w:rsidRPr="00185700">
        <w:t>.60 months</w:t>
      </w:r>
      <w:r w:rsidR="00586E58">
        <w:t xml:space="preserve"> </w:t>
      </w:r>
      <w:r w:rsidR="003E147C" w:rsidRPr="00185700">
        <w:t xml:space="preserve">favouring </w:t>
      </w:r>
      <w:proofErr w:type="spellStart"/>
      <w:r w:rsidR="003E147C" w:rsidRPr="00185700">
        <w:t>nivolumab</w:t>
      </w:r>
      <w:proofErr w:type="spellEnd"/>
      <w:r w:rsidR="003E147C" w:rsidRPr="00185700">
        <w:t xml:space="preserve"> plus </w:t>
      </w:r>
      <w:proofErr w:type="spellStart"/>
      <w:r w:rsidR="003E147C" w:rsidRPr="00185700">
        <w:t>ipilimumab</w:t>
      </w:r>
      <w:proofErr w:type="spellEnd"/>
      <w:r w:rsidR="00C84B9D" w:rsidRPr="00185700">
        <w:t>.</w:t>
      </w:r>
    </w:p>
    <w:p w:rsidR="003E147C" w:rsidRPr="009A5D56" w:rsidRDefault="003E147C" w:rsidP="00C75C26">
      <w:pPr>
        <w:rPr>
          <w:i/>
        </w:rPr>
      </w:pPr>
    </w:p>
    <w:p w:rsidR="003E147C" w:rsidRDefault="003E147C" w:rsidP="003E147C">
      <w:pPr>
        <w:pStyle w:val="ListParagraph"/>
        <w:numPr>
          <w:ilvl w:val="1"/>
          <w:numId w:val="6"/>
        </w:numPr>
      </w:pPr>
      <w:r>
        <w:t xml:space="preserve">On the basis of the direct comparison presented by the submission, </w:t>
      </w:r>
      <w:r w:rsidR="0062235A">
        <w:t xml:space="preserve">for </w:t>
      </w:r>
      <w:r>
        <w:t xml:space="preserve">every 100 patients </w:t>
      </w:r>
      <w:r w:rsidR="0062235A">
        <w:t xml:space="preserve">treated </w:t>
      </w:r>
      <w:r>
        <w:t xml:space="preserve">with </w:t>
      </w:r>
      <w:proofErr w:type="spellStart"/>
      <w:r>
        <w:t>nivolumab</w:t>
      </w:r>
      <w:proofErr w:type="spellEnd"/>
      <w:r>
        <w:t xml:space="preserve"> plus </w:t>
      </w:r>
      <w:proofErr w:type="spellStart"/>
      <w:r>
        <w:t>ipilimumab</w:t>
      </w:r>
      <w:proofErr w:type="spellEnd"/>
      <w:r>
        <w:t xml:space="preserve"> compar</w:t>
      </w:r>
      <w:r w:rsidR="0062235A">
        <w:t>ed</w:t>
      </w:r>
      <w:r>
        <w:t xml:space="preserve"> to </w:t>
      </w:r>
      <w:proofErr w:type="spellStart"/>
      <w:r w:rsidR="006E2851">
        <w:t>n</w:t>
      </w:r>
      <w:r>
        <w:t>i</w:t>
      </w:r>
      <w:r w:rsidR="006E2851">
        <w:t>volu</w:t>
      </w:r>
      <w:r>
        <w:t>mab</w:t>
      </w:r>
      <w:proofErr w:type="spellEnd"/>
      <w:r>
        <w:t xml:space="preserve"> monotherapy:</w:t>
      </w:r>
    </w:p>
    <w:p w:rsidR="003E147C" w:rsidRDefault="0062235A" w:rsidP="00A70255">
      <w:pPr>
        <w:pStyle w:val="ListParagraph"/>
        <w:numPr>
          <w:ilvl w:val="0"/>
          <w:numId w:val="57"/>
        </w:numPr>
        <w:ind w:left="1080"/>
      </w:pPr>
      <w:r>
        <w:t>a</w:t>
      </w:r>
      <w:r w:rsidR="003E147C">
        <w:t xml:space="preserve">pproximately 40 more patients </w:t>
      </w:r>
      <w:r>
        <w:t>experienced serious drug-</w:t>
      </w:r>
      <w:r w:rsidR="003E147C">
        <w:t>related adverse events</w:t>
      </w:r>
    </w:p>
    <w:p w:rsidR="003E147C" w:rsidRDefault="0062235A" w:rsidP="00A70255">
      <w:pPr>
        <w:pStyle w:val="ListParagraph"/>
        <w:numPr>
          <w:ilvl w:val="0"/>
          <w:numId w:val="57"/>
        </w:numPr>
        <w:ind w:left="1080"/>
      </w:pPr>
      <w:r>
        <w:t>a</w:t>
      </w:r>
      <w:r w:rsidR="003E147C">
        <w:t xml:space="preserve">pproximately 39 more patients </w:t>
      </w:r>
      <w:r>
        <w:t>experienced</w:t>
      </w:r>
      <w:r w:rsidR="003E147C">
        <w:t xml:space="preserve"> severe (grade three or higher) adverse events</w:t>
      </w:r>
    </w:p>
    <w:p w:rsidR="003E147C" w:rsidRPr="0000002D" w:rsidRDefault="0062235A" w:rsidP="00127DF3">
      <w:pPr>
        <w:pStyle w:val="ListParagraph"/>
        <w:numPr>
          <w:ilvl w:val="0"/>
          <w:numId w:val="57"/>
        </w:numPr>
        <w:ind w:left="1080"/>
      </w:pPr>
      <w:proofErr w:type="gramStart"/>
      <w:r>
        <w:t>a</w:t>
      </w:r>
      <w:r w:rsidR="003E147C">
        <w:t>pproximately</w:t>
      </w:r>
      <w:proofErr w:type="gramEnd"/>
      <w:r w:rsidR="003E147C">
        <w:t xml:space="preserve"> 2</w:t>
      </w:r>
      <w:r w:rsidR="00127DF3">
        <w:t>9</w:t>
      </w:r>
      <w:r w:rsidR="003E147C">
        <w:t xml:space="preserve"> more patients </w:t>
      </w:r>
      <w:r>
        <w:t>experienced</w:t>
      </w:r>
      <w:r w:rsidR="003E147C">
        <w:t xml:space="preserve"> adverse events leading to discontinuation of treatment.</w:t>
      </w:r>
    </w:p>
    <w:p w:rsidR="003E147C" w:rsidRDefault="003E147C" w:rsidP="0062235A"/>
    <w:p w:rsidR="003E147C" w:rsidRDefault="003E147C" w:rsidP="003E147C">
      <w:pPr>
        <w:pStyle w:val="ListParagraph"/>
        <w:numPr>
          <w:ilvl w:val="1"/>
          <w:numId w:val="6"/>
        </w:numPr>
      </w:pPr>
      <w:r>
        <w:t xml:space="preserve">Table </w:t>
      </w:r>
      <w:r w:rsidR="00CB67AC">
        <w:t>1</w:t>
      </w:r>
      <w:r w:rsidR="00503AAF">
        <w:t>1</w:t>
      </w:r>
      <w:r w:rsidR="00CB67AC">
        <w:t xml:space="preserve"> </w:t>
      </w:r>
      <w:r>
        <w:t xml:space="preserve">presents a summary of comparative </w:t>
      </w:r>
      <w:r w:rsidR="0005153E">
        <w:t xml:space="preserve">benefits and </w:t>
      </w:r>
      <w:r>
        <w:t xml:space="preserve">harms for the </w:t>
      </w:r>
      <w:proofErr w:type="spellStart"/>
      <w:r>
        <w:t>nivolumab</w:t>
      </w:r>
      <w:proofErr w:type="spellEnd"/>
      <w:r>
        <w:t xml:space="preserve"> </w:t>
      </w:r>
      <w:r w:rsidR="00A33BC5">
        <w:t>plus</w:t>
      </w:r>
      <w:r>
        <w:t xml:space="preserve"> </w:t>
      </w:r>
      <w:proofErr w:type="spellStart"/>
      <w:r>
        <w:t>ipilimumab</w:t>
      </w:r>
      <w:proofErr w:type="spellEnd"/>
      <w:r>
        <w:t xml:space="preserve"> versus </w:t>
      </w:r>
      <w:proofErr w:type="spellStart"/>
      <w:r>
        <w:t>pembrolizumab</w:t>
      </w:r>
      <w:proofErr w:type="spellEnd"/>
      <w:r>
        <w:t xml:space="preserve"> indirect comparison</w:t>
      </w:r>
      <w:r w:rsidR="0062235A">
        <w:t>.</w:t>
      </w:r>
    </w:p>
    <w:p w:rsidR="003E147C" w:rsidRDefault="003E147C" w:rsidP="00B62715"/>
    <w:p w:rsidR="001C3FAB" w:rsidRDefault="001C3FAB">
      <w:pPr>
        <w:widowControl/>
        <w:jc w:val="left"/>
        <w:rPr>
          <w:rStyle w:val="CommentReference"/>
        </w:rPr>
      </w:pPr>
      <w:r>
        <w:rPr>
          <w:rStyle w:val="CommentReference"/>
        </w:rPr>
        <w:br w:type="page"/>
      </w:r>
    </w:p>
    <w:p w:rsidR="003E147C" w:rsidRPr="00A578DC" w:rsidRDefault="003E147C" w:rsidP="00C750C8">
      <w:pPr>
        <w:ind w:left="720"/>
        <w:rPr>
          <w:rStyle w:val="CommentReference"/>
        </w:rPr>
      </w:pPr>
      <w:r>
        <w:rPr>
          <w:rStyle w:val="CommentReference"/>
        </w:rPr>
        <w:lastRenderedPageBreak/>
        <w:t xml:space="preserve">Table </w:t>
      </w:r>
      <w:r w:rsidR="00CB67AC">
        <w:rPr>
          <w:rStyle w:val="CommentReference"/>
        </w:rPr>
        <w:t>1</w:t>
      </w:r>
      <w:r w:rsidR="00503AAF">
        <w:rPr>
          <w:rStyle w:val="CommentReference"/>
        </w:rPr>
        <w:t>1</w:t>
      </w:r>
      <w:r>
        <w:rPr>
          <w:rStyle w:val="CommentReference"/>
        </w:rPr>
        <w:t xml:space="preserve">: </w:t>
      </w:r>
      <w:r w:rsidRPr="00A578DC">
        <w:rPr>
          <w:rStyle w:val="CommentReference"/>
        </w:rPr>
        <w:t xml:space="preserve">Summary of comparative benefits and harms for </w:t>
      </w:r>
      <w:proofErr w:type="spellStart"/>
      <w:r>
        <w:rPr>
          <w:rStyle w:val="CommentReference"/>
        </w:rPr>
        <w:t>Nivo</w:t>
      </w:r>
      <w:proofErr w:type="spellEnd"/>
      <w:r>
        <w:rPr>
          <w:rStyle w:val="CommentReference"/>
        </w:rPr>
        <w:t xml:space="preserve"> + </w:t>
      </w:r>
      <w:proofErr w:type="spellStart"/>
      <w:r>
        <w:rPr>
          <w:rStyle w:val="CommentReference"/>
        </w:rPr>
        <w:t>Ipi</w:t>
      </w:r>
      <w:proofErr w:type="spellEnd"/>
      <w:r>
        <w:rPr>
          <w:rStyle w:val="CommentReference"/>
        </w:rPr>
        <w:t xml:space="preserve"> versus</w:t>
      </w:r>
      <w:r w:rsidRPr="00A578DC">
        <w:rPr>
          <w:rStyle w:val="CommentReference"/>
        </w:rPr>
        <w:t xml:space="preserve"> </w:t>
      </w:r>
      <w:proofErr w:type="spellStart"/>
      <w:r>
        <w:rPr>
          <w:rStyle w:val="CommentReference"/>
        </w:rPr>
        <w:t>Pembro</w:t>
      </w:r>
      <w:proofErr w:type="spellEnd"/>
    </w:p>
    <w:tbl>
      <w:tblPr>
        <w:tblStyle w:val="TableGrid"/>
        <w:tblW w:w="4700" w:type="pct"/>
        <w:tblInd w:w="705" w:type="dxa"/>
        <w:tblLayout w:type="fixed"/>
        <w:tblCellMar>
          <w:left w:w="28" w:type="dxa"/>
          <w:right w:w="28" w:type="dxa"/>
        </w:tblCellMar>
        <w:tblLook w:val="04A0" w:firstRow="1" w:lastRow="0" w:firstColumn="1" w:lastColumn="0" w:noHBand="0" w:noVBand="1"/>
        <w:tblCaption w:val="Table 11: Summary of comparative benefits and harms for Nivo + Ipi versus Pembro"/>
      </w:tblPr>
      <w:tblGrid>
        <w:gridCol w:w="1486"/>
        <w:gridCol w:w="1098"/>
        <w:gridCol w:w="143"/>
        <w:gridCol w:w="1137"/>
        <w:gridCol w:w="137"/>
        <w:gridCol w:w="14"/>
        <w:gridCol w:w="1277"/>
        <w:gridCol w:w="131"/>
        <w:gridCol w:w="14"/>
        <w:gridCol w:w="10"/>
        <w:gridCol w:w="741"/>
        <w:gridCol w:w="12"/>
        <w:gridCol w:w="714"/>
        <w:gridCol w:w="207"/>
        <w:gridCol w:w="1417"/>
      </w:tblGrid>
      <w:tr w:rsidR="003E147C" w:rsidRPr="00E2771E" w:rsidTr="006D73F0">
        <w:trPr>
          <w:tblHeader/>
        </w:trPr>
        <w:tc>
          <w:tcPr>
            <w:tcW w:w="5000" w:type="pct"/>
            <w:gridSpan w:val="15"/>
            <w:shd w:val="clear" w:color="auto" w:fill="auto"/>
            <w:vAlign w:val="center"/>
          </w:tcPr>
          <w:p w:rsidR="003E147C" w:rsidRPr="00E2771E" w:rsidRDefault="003E147C" w:rsidP="00C75C26">
            <w:pPr>
              <w:rPr>
                <w:rFonts w:ascii="Arial Narrow" w:hAnsi="Arial Narrow"/>
                <w:b/>
                <w:color w:val="000000"/>
                <w:sz w:val="20"/>
                <w:szCs w:val="18"/>
              </w:rPr>
            </w:pPr>
            <w:r w:rsidRPr="00E2771E">
              <w:rPr>
                <w:rFonts w:ascii="Arial Narrow" w:hAnsi="Arial Narrow"/>
                <w:b/>
                <w:color w:val="000000"/>
                <w:sz w:val="20"/>
                <w:szCs w:val="18"/>
              </w:rPr>
              <w:t>Benefits</w:t>
            </w:r>
          </w:p>
        </w:tc>
      </w:tr>
      <w:tr w:rsidR="003E147C" w:rsidRPr="00E2771E" w:rsidTr="001634C4">
        <w:tc>
          <w:tcPr>
            <w:tcW w:w="5000" w:type="pct"/>
            <w:gridSpan w:val="15"/>
            <w:shd w:val="clear" w:color="auto" w:fill="auto"/>
            <w:vAlign w:val="center"/>
          </w:tcPr>
          <w:p w:rsidR="003E147C" w:rsidRPr="00E2771E" w:rsidRDefault="003E147C" w:rsidP="00C75C26">
            <w:pPr>
              <w:rPr>
                <w:rFonts w:ascii="Arial Narrow" w:hAnsi="Arial Narrow"/>
                <w:b/>
                <w:color w:val="000000"/>
                <w:sz w:val="20"/>
                <w:szCs w:val="18"/>
              </w:rPr>
            </w:pPr>
            <w:r>
              <w:rPr>
                <w:rFonts w:ascii="Arial Narrow" w:hAnsi="Arial Narrow"/>
                <w:b/>
                <w:color w:val="000000"/>
                <w:sz w:val="20"/>
                <w:szCs w:val="18"/>
              </w:rPr>
              <w:t>OS</w:t>
            </w:r>
            <w:r w:rsidRPr="00E2771E">
              <w:rPr>
                <w:rFonts w:ascii="Arial Narrow" w:hAnsi="Arial Narrow"/>
                <w:b/>
                <w:color w:val="000000"/>
                <w:sz w:val="20"/>
                <w:szCs w:val="18"/>
              </w:rPr>
              <w:t xml:space="preserve">: </w:t>
            </w:r>
            <w:r>
              <w:rPr>
                <w:rFonts w:ascii="Arial Narrow" w:hAnsi="Arial Narrow"/>
                <w:b/>
                <w:color w:val="000000"/>
                <w:sz w:val="20"/>
                <w:szCs w:val="18"/>
              </w:rPr>
              <w:t xml:space="preserve">CA209-069 </w:t>
            </w:r>
            <w:proofErr w:type="spellStart"/>
            <w:r>
              <w:rPr>
                <w:rFonts w:ascii="Arial Narrow" w:hAnsi="Arial Narrow"/>
                <w:b/>
                <w:color w:val="000000"/>
                <w:sz w:val="20"/>
                <w:szCs w:val="18"/>
              </w:rPr>
              <w:t>nivolumab</w:t>
            </w:r>
            <w:proofErr w:type="spellEnd"/>
          </w:p>
        </w:tc>
      </w:tr>
      <w:tr w:rsidR="001634C4" w:rsidRPr="00E2771E" w:rsidTr="000E35FC">
        <w:tc>
          <w:tcPr>
            <w:tcW w:w="1513" w:type="pct"/>
            <w:gridSpan w:val="2"/>
            <w:shd w:val="clear" w:color="auto" w:fill="auto"/>
            <w:vAlign w:val="center"/>
          </w:tcPr>
          <w:p w:rsidR="003E147C" w:rsidRPr="00E2771E" w:rsidRDefault="003E147C" w:rsidP="00C75C26">
            <w:pPr>
              <w:jc w:val="center"/>
              <w:rPr>
                <w:rFonts w:ascii="Arial Narrow" w:hAnsi="Arial Narrow"/>
                <w:color w:val="000000"/>
                <w:sz w:val="20"/>
                <w:szCs w:val="18"/>
              </w:rPr>
            </w:pPr>
          </w:p>
        </w:tc>
        <w:tc>
          <w:tcPr>
            <w:tcW w:w="838" w:type="pct"/>
            <w:gridSpan w:val="4"/>
          </w:tcPr>
          <w:p w:rsidR="003E147C" w:rsidRPr="00E2771E" w:rsidRDefault="003E147C" w:rsidP="0026178A">
            <w:pPr>
              <w:jc w:val="center"/>
              <w:rPr>
                <w:rFonts w:ascii="Arial Narrow" w:hAnsi="Arial Narrow"/>
                <w:b/>
                <w:color w:val="000000"/>
                <w:sz w:val="20"/>
                <w:szCs w:val="18"/>
              </w:rPr>
            </w:pPr>
            <w:proofErr w:type="spellStart"/>
            <w:r>
              <w:rPr>
                <w:rFonts w:ascii="Arial Narrow" w:hAnsi="Arial Narrow"/>
                <w:b/>
                <w:sz w:val="20"/>
              </w:rPr>
              <w:t>Nivo</w:t>
            </w:r>
            <w:proofErr w:type="spellEnd"/>
            <w:r>
              <w:rPr>
                <w:rFonts w:ascii="Arial Narrow" w:hAnsi="Arial Narrow"/>
                <w:b/>
                <w:sz w:val="20"/>
              </w:rPr>
              <w:t xml:space="preserve"> + </w:t>
            </w:r>
            <w:proofErr w:type="spellStart"/>
            <w:r>
              <w:rPr>
                <w:rFonts w:ascii="Arial Narrow" w:hAnsi="Arial Narrow"/>
                <w:b/>
                <w:sz w:val="20"/>
              </w:rPr>
              <w:t>Ipi</w:t>
            </w:r>
            <w:proofErr w:type="spellEnd"/>
          </w:p>
        </w:tc>
        <w:tc>
          <w:tcPr>
            <w:tcW w:w="825" w:type="pct"/>
            <w:gridSpan w:val="2"/>
          </w:tcPr>
          <w:p w:rsidR="003E147C" w:rsidRPr="00E2771E" w:rsidRDefault="003E147C" w:rsidP="0026178A">
            <w:pPr>
              <w:jc w:val="center"/>
              <w:rPr>
                <w:rFonts w:ascii="Arial Narrow" w:hAnsi="Arial Narrow"/>
                <w:b/>
                <w:color w:val="000000"/>
                <w:sz w:val="20"/>
                <w:szCs w:val="18"/>
              </w:rPr>
            </w:pPr>
            <w:proofErr w:type="spellStart"/>
            <w:r>
              <w:rPr>
                <w:rFonts w:ascii="Arial Narrow" w:hAnsi="Arial Narrow"/>
                <w:b/>
                <w:sz w:val="20"/>
              </w:rPr>
              <w:t>Ipi</w:t>
            </w:r>
            <w:proofErr w:type="spellEnd"/>
          </w:p>
        </w:tc>
        <w:tc>
          <w:tcPr>
            <w:tcW w:w="994" w:type="pct"/>
            <w:gridSpan w:val="6"/>
            <w:vAlign w:val="center"/>
          </w:tcPr>
          <w:p w:rsidR="003E147C" w:rsidRPr="00E2771E" w:rsidRDefault="003E147C" w:rsidP="00C75C26">
            <w:pPr>
              <w:jc w:val="center"/>
              <w:rPr>
                <w:rFonts w:ascii="Arial Narrow" w:hAnsi="Arial Narrow"/>
                <w:b/>
                <w:color w:val="000000"/>
                <w:sz w:val="20"/>
                <w:szCs w:val="18"/>
              </w:rPr>
            </w:pPr>
            <w:r w:rsidRPr="00E2771E">
              <w:rPr>
                <w:rFonts w:ascii="Arial Narrow" w:hAnsi="Arial Narrow"/>
                <w:b/>
                <w:color w:val="000000"/>
                <w:sz w:val="20"/>
                <w:szCs w:val="18"/>
              </w:rPr>
              <w:t>Absolute difference</w:t>
            </w:r>
          </w:p>
        </w:tc>
        <w:tc>
          <w:tcPr>
            <w:tcW w:w="830" w:type="pct"/>
            <w:vAlign w:val="center"/>
          </w:tcPr>
          <w:p w:rsidR="003E147C" w:rsidRPr="00E2771E" w:rsidRDefault="003E147C" w:rsidP="00C75C26">
            <w:pPr>
              <w:jc w:val="center"/>
              <w:rPr>
                <w:rFonts w:ascii="Arial Narrow" w:hAnsi="Arial Narrow"/>
                <w:b/>
                <w:color w:val="000000"/>
                <w:sz w:val="20"/>
                <w:szCs w:val="18"/>
              </w:rPr>
            </w:pPr>
            <w:r w:rsidRPr="00E2771E">
              <w:rPr>
                <w:rFonts w:ascii="Arial Narrow" w:hAnsi="Arial Narrow"/>
                <w:b/>
                <w:color w:val="000000"/>
                <w:sz w:val="20"/>
                <w:szCs w:val="18"/>
              </w:rPr>
              <w:t>HR (95% CI)</w:t>
            </w:r>
          </w:p>
        </w:tc>
      </w:tr>
      <w:tr w:rsidR="001634C4" w:rsidRPr="00E2771E" w:rsidTr="000E35FC">
        <w:tc>
          <w:tcPr>
            <w:tcW w:w="1513" w:type="pct"/>
            <w:gridSpan w:val="2"/>
            <w:shd w:val="clear" w:color="auto" w:fill="auto"/>
          </w:tcPr>
          <w:p w:rsidR="003E147C" w:rsidRPr="00E2771E" w:rsidRDefault="003E147C" w:rsidP="00C75C26">
            <w:pPr>
              <w:rPr>
                <w:rFonts w:ascii="Arial Narrow" w:hAnsi="Arial Narrow"/>
                <w:color w:val="000000"/>
                <w:sz w:val="20"/>
                <w:szCs w:val="18"/>
              </w:rPr>
            </w:pPr>
            <w:r>
              <w:rPr>
                <w:rFonts w:ascii="Arial Narrow" w:hAnsi="Arial Narrow"/>
                <w:sz w:val="20"/>
              </w:rPr>
              <w:t>Number of deaths</w:t>
            </w:r>
            <w:r w:rsidR="0026178A" w:rsidRPr="0026178A">
              <w:rPr>
                <w:rFonts w:ascii="Arial Narrow" w:hAnsi="Arial Narrow"/>
                <w:sz w:val="20"/>
              </w:rPr>
              <w:t xml:space="preserve"> n/N (%)</w:t>
            </w:r>
          </w:p>
        </w:tc>
        <w:tc>
          <w:tcPr>
            <w:tcW w:w="838" w:type="pct"/>
            <w:gridSpan w:val="4"/>
          </w:tcPr>
          <w:p w:rsidR="003E147C" w:rsidRPr="00E2771E" w:rsidRDefault="003E147C" w:rsidP="00C75C26">
            <w:pPr>
              <w:jc w:val="center"/>
              <w:rPr>
                <w:rFonts w:ascii="Arial Narrow" w:hAnsi="Arial Narrow"/>
                <w:sz w:val="20"/>
              </w:rPr>
            </w:pPr>
            <w:r>
              <w:rPr>
                <w:rFonts w:ascii="Arial Narrow" w:hAnsi="Arial Narrow"/>
                <w:sz w:val="20"/>
              </w:rPr>
              <w:t>50/210 (23.8)</w:t>
            </w:r>
          </w:p>
        </w:tc>
        <w:tc>
          <w:tcPr>
            <w:tcW w:w="825" w:type="pct"/>
            <w:gridSpan w:val="2"/>
          </w:tcPr>
          <w:p w:rsidR="003E147C" w:rsidRPr="00E2771E" w:rsidRDefault="003E147C" w:rsidP="00C75C26">
            <w:pPr>
              <w:jc w:val="center"/>
              <w:rPr>
                <w:rFonts w:ascii="Arial Narrow" w:hAnsi="Arial Narrow"/>
                <w:sz w:val="20"/>
              </w:rPr>
            </w:pPr>
            <w:r>
              <w:rPr>
                <w:rFonts w:ascii="Arial Narrow" w:hAnsi="Arial Narrow"/>
                <w:sz w:val="20"/>
              </w:rPr>
              <w:t>96/208 (46.2)</w:t>
            </w:r>
          </w:p>
        </w:tc>
        <w:tc>
          <w:tcPr>
            <w:tcW w:w="994" w:type="pct"/>
            <w:gridSpan w:val="6"/>
          </w:tcPr>
          <w:p w:rsidR="003E147C" w:rsidRPr="00E2771E" w:rsidRDefault="003E147C" w:rsidP="00C75C26">
            <w:pPr>
              <w:jc w:val="center"/>
              <w:rPr>
                <w:rFonts w:ascii="Arial Narrow" w:hAnsi="Arial Narrow"/>
                <w:color w:val="000000"/>
                <w:sz w:val="20"/>
                <w:szCs w:val="18"/>
              </w:rPr>
            </w:pPr>
          </w:p>
        </w:tc>
        <w:tc>
          <w:tcPr>
            <w:tcW w:w="830" w:type="pct"/>
          </w:tcPr>
          <w:p w:rsidR="003E147C" w:rsidRPr="00E2771E" w:rsidRDefault="003E147C" w:rsidP="00C75C26">
            <w:pPr>
              <w:jc w:val="center"/>
              <w:rPr>
                <w:rFonts w:ascii="Arial Narrow" w:hAnsi="Arial Narrow"/>
                <w:sz w:val="20"/>
              </w:rPr>
            </w:pPr>
          </w:p>
        </w:tc>
      </w:tr>
      <w:tr w:rsidR="001634C4" w:rsidRPr="00E2771E" w:rsidTr="000E35FC">
        <w:tc>
          <w:tcPr>
            <w:tcW w:w="1513" w:type="pct"/>
            <w:gridSpan w:val="2"/>
            <w:shd w:val="clear" w:color="auto" w:fill="auto"/>
          </w:tcPr>
          <w:p w:rsidR="003E147C" w:rsidRPr="00E2771E" w:rsidRDefault="001634C4" w:rsidP="00C75C26">
            <w:pPr>
              <w:rPr>
                <w:rFonts w:ascii="Arial Narrow" w:hAnsi="Arial Narrow"/>
                <w:color w:val="000000"/>
                <w:sz w:val="20"/>
                <w:szCs w:val="18"/>
              </w:rPr>
            </w:pPr>
            <w:r>
              <w:rPr>
                <w:rFonts w:ascii="Arial Narrow" w:hAnsi="Arial Narrow"/>
                <w:sz w:val="20"/>
              </w:rPr>
              <w:t>M</w:t>
            </w:r>
            <w:r w:rsidR="003E147C">
              <w:rPr>
                <w:rFonts w:ascii="Arial Narrow" w:hAnsi="Arial Narrow"/>
                <w:sz w:val="20"/>
              </w:rPr>
              <w:t xml:space="preserve">edian </w:t>
            </w:r>
            <w:r>
              <w:rPr>
                <w:rFonts w:ascii="Arial Narrow" w:hAnsi="Arial Narrow"/>
                <w:sz w:val="20"/>
              </w:rPr>
              <w:t xml:space="preserve">OS (95% CI), </w:t>
            </w:r>
            <w:r w:rsidR="003E147C">
              <w:rPr>
                <w:rFonts w:ascii="Arial Narrow" w:hAnsi="Arial Narrow"/>
                <w:sz w:val="20"/>
              </w:rPr>
              <w:t>months</w:t>
            </w:r>
          </w:p>
        </w:tc>
        <w:tc>
          <w:tcPr>
            <w:tcW w:w="838" w:type="pct"/>
            <w:gridSpan w:val="4"/>
          </w:tcPr>
          <w:p w:rsidR="003E147C" w:rsidRPr="00E2771E" w:rsidRDefault="003E147C" w:rsidP="00C75C26">
            <w:pPr>
              <w:jc w:val="center"/>
              <w:rPr>
                <w:rFonts w:ascii="Arial Narrow" w:hAnsi="Arial Narrow"/>
                <w:sz w:val="20"/>
              </w:rPr>
            </w:pPr>
            <w:r>
              <w:rPr>
                <w:rFonts w:ascii="Arial Narrow" w:hAnsi="Arial Narrow"/>
                <w:sz w:val="20"/>
              </w:rPr>
              <w:t>NR</w:t>
            </w:r>
          </w:p>
        </w:tc>
        <w:tc>
          <w:tcPr>
            <w:tcW w:w="825" w:type="pct"/>
            <w:gridSpan w:val="2"/>
          </w:tcPr>
          <w:p w:rsidR="003E147C" w:rsidRPr="00E2771E" w:rsidRDefault="003E147C" w:rsidP="000E35FC">
            <w:pPr>
              <w:jc w:val="center"/>
              <w:rPr>
                <w:rFonts w:ascii="Arial Narrow" w:hAnsi="Arial Narrow"/>
                <w:sz w:val="20"/>
              </w:rPr>
            </w:pPr>
            <w:r>
              <w:rPr>
                <w:rFonts w:ascii="Arial Narrow" w:hAnsi="Arial Narrow"/>
                <w:sz w:val="20"/>
              </w:rPr>
              <w:t>10.8 (9.3, 12.</w:t>
            </w:r>
            <w:r w:rsidR="000E35FC">
              <w:rPr>
                <w:rFonts w:ascii="Arial Narrow" w:hAnsi="Arial Narrow"/>
                <w:sz w:val="20"/>
              </w:rPr>
              <w:t>1</w:t>
            </w:r>
            <w:r>
              <w:rPr>
                <w:rFonts w:ascii="Arial Narrow" w:hAnsi="Arial Narrow"/>
                <w:sz w:val="20"/>
              </w:rPr>
              <w:t>)</w:t>
            </w:r>
          </w:p>
        </w:tc>
        <w:tc>
          <w:tcPr>
            <w:tcW w:w="994" w:type="pct"/>
            <w:gridSpan w:val="6"/>
          </w:tcPr>
          <w:p w:rsidR="003E147C" w:rsidRPr="00E2771E" w:rsidRDefault="003E147C" w:rsidP="00C75C26">
            <w:pPr>
              <w:jc w:val="center"/>
              <w:rPr>
                <w:rFonts w:ascii="Arial Narrow" w:hAnsi="Arial Narrow"/>
                <w:color w:val="000000"/>
                <w:sz w:val="20"/>
                <w:szCs w:val="18"/>
              </w:rPr>
            </w:pPr>
            <w:r>
              <w:rPr>
                <w:rFonts w:ascii="Arial Narrow" w:hAnsi="Arial Narrow"/>
                <w:sz w:val="20"/>
              </w:rPr>
              <w:t>-</w:t>
            </w:r>
          </w:p>
        </w:tc>
        <w:tc>
          <w:tcPr>
            <w:tcW w:w="830" w:type="pct"/>
          </w:tcPr>
          <w:p w:rsidR="003E147C" w:rsidRPr="00E2771E" w:rsidRDefault="003E147C" w:rsidP="00C75C26">
            <w:pPr>
              <w:jc w:val="center"/>
              <w:rPr>
                <w:rFonts w:ascii="Arial Narrow" w:hAnsi="Arial Narrow"/>
                <w:sz w:val="20"/>
              </w:rPr>
            </w:pPr>
            <w:r>
              <w:rPr>
                <w:rFonts w:ascii="Arial Narrow" w:hAnsi="Arial Narrow"/>
                <w:sz w:val="20"/>
              </w:rPr>
              <w:t>0.42 (0.30, 0.60)</w:t>
            </w:r>
          </w:p>
        </w:tc>
      </w:tr>
      <w:tr w:rsidR="003E147C" w:rsidRPr="00E2771E" w:rsidTr="001634C4">
        <w:tc>
          <w:tcPr>
            <w:tcW w:w="5000" w:type="pct"/>
            <w:gridSpan w:val="15"/>
            <w:shd w:val="clear" w:color="auto" w:fill="auto"/>
          </w:tcPr>
          <w:p w:rsidR="003E147C" w:rsidRPr="00673A97" w:rsidRDefault="003E147C" w:rsidP="00C75C26">
            <w:pPr>
              <w:jc w:val="left"/>
              <w:rPr>
                <w:rFonts w:ascii="Arial Narrow" w:hAnsi="Arial Narrow"/>
                <w:b/>
                <w:sz w:val="20"/>
              </w:rPr>
            </w:pPr>
            <w:r>
              <w:rPr>
                <w:rFonts w:ascii="Arial Narrow" w:hAnsi="Arial Narrow"/>
                <w:b/>
                <w:sz w:val="20"/>
              </w:rPr>
              <w:t xml:space="preserve">OS: KN-006- </w:t>
            </w:r>
            <w:proofErr w:type="spellStart"/>
            <w:r>
              <w:rPr>
                <w:rFonts w:ascii="Arial Narrow" w:hAnsi="Arial Narrow"/>
                <w:b/>
                <w:sz w:val="20"/>
              </w:rPr>
              <w:t>pembrolizumab</w:t>
            </w:r>
            <w:proofErr w:type="spellEnd"/>
            <w:r>
              <w:rPr>
                <w:rFonts w:ascii="Arial Narrow" w:hAnsi="Arial Narrow"/>
                <w:b/>
                <w:sz w:val="20"/>
              </w:rPr>
              <w:t xml:space="preserve"> Q2W</w:t>
            </w:r>
          </w:p>
        </w:tc>
      </w:tr>
      <w:tr w:rsidR="001634C4" w:rsidRPr="00E2771E" w:rsidTr="000E35FC">
        <w:tc>
          <w:tcPr>
            <w:tcW w:w="1513" w:type="pct"/>
            <w:gridSpan w:val="2"/>
            <w:shd w:val="clear" w:color="auto" w:fill="auto"/>
          </w:tcPr>
          <w:p w:rsidR="003E147C" w:rsidRDefault="003E147C" w:rsidP="00C75C26">
            <w:pPr>
              <w:rPr>
                <w:rFonts w:ascii="Arial Narrow" w:hAnsi="Arial Narrow"/>
                <w:sz w:val="20"/>
              </w:rPr>
            </w:pPr>
          </w:p>
        </w:tc>
        <w:tc>
          <w:tcPr>
            <w:tcW w:w="838" w:type="pct"/>
            <w:gridSpan w:val="4"/>
          </w:tcPr>
          <w:p w:rsidR="003E147C" w:rsidRPr="002029BE" w:rsidRDefault="003E147C" w:rsidP="0026178A">
            <w:pPr>
              <w:jc w:val="center"/>
              <w:rPr>
                <w:rFonts w:ascii="Arial Narrow" w:hAnsi="Arial Narrow"/>
                <w:b/>
                <w:sz w:val="20"/>
              </w:rPr>
            </w:pPr>
            <w:proofErr w:type="spellStart"/>
            <w:r>
              <w:rPr>
                <w:rFonts w:ascii="Arial Narrow" w:hAnsi="Arial Narrow"/>
                <w:b/>
                <w:sz w:val="20"/>
              </w:rPr>
              <w:t>Pembro</w:t>
            </w:r>
            <w:proofErr w:type="spellEnd"/>
            <w:r>
              <w:rPr>
                <w:rFonts w:ascii="Arial Narrow" w:hAnsi="Arial Narrow"/>
                <w:b/>
                <w:sz w:val="20"/>
              </w:rPr>
              <w:t xml:space="preserve"> Q2W</w:t>
            </w:r>
          </w:p>
        </w:tc>
        <w:tc>
          <w:tcPr>
            <w:tcW w:w="839" w:type="pct"/>
            <w:gridSpan w:val="4"/>
          </w:tcPr>
          <w:p w:rsidR="003E147C" w:rsidRDefault="003E147C" w:rsidP="0026178A">
            <w:pPr>
              <w:jc w:val="center"/>
              <w:rPr>
                <w:rFonts w:ascii="Arial Narrow" w:hAnsi="Arial Narrow"/>
                <w:sz w:val="20"/>
              </w:rPr>
            </w:pPr>
            <w:proofErr w:type="spellStart"/>
            <w:r>
              <w:rPr>
                <w:rFonts w:ascii="Arial Narrow" w:hAnsi="Arial Narrow"/>
                <w:b/>
                <w:sz w:val="20"/>
              </w:rPr>
              <w:t>Ipi</w:t>
            </w:r>
            <w:proofErr w:type="spellEnd"/>
          </w:p>
        </w:tc>
        <w:tc>
          <w:tcPr>
            <w:tcW w:w="980" w:type="pct"/>
            <w:gridSpan w:val="4"/>
          </w:tcPr>
          <w:p w:rsidR="003E147C" w:rsidRPr="00E2771E" w:rsidRDefault="003E147C" w:rsidP="00C75C26">
            <w:pPr>
              <w:jc w:val="center"/>
              <w:rPr>
                <w:rFonts w:ascii="Arial Narrow" w:hAnsi="Arial Narrow"/>
                <w:color w:val="000000"/>
                <w:sz w:val="20"/>
                <w:szCs w:val="18"/>
              </w:rPr>
            </w:pPr>
          </w:p>
        </w:tc>
        <w:tc>
          <w:tcPr>
            <w:tcW w:w="830" w:type="pct"/>
          </w:tcPr>
          <w:p w:rsidR="003E147C" w:rsidRPr="00E2771E" w:rsidRDefault="003E147C" w:rsidP="00C75C26">
            <w:pPr>
              <w:jc w:val="center"/>
              <w:rPr>
                <w:rFonts w:ascii="Arial Narrow" w:hAnsi="Arial Narrow"/>
                <w:sz w:val="20"/>
              </w:rPr>
            </w:pPr>
          </w:p>
        </w:tc>
      </w:tr>
      <w:tr w:rsidR="001634C4" w:rsidRPr="00E2771E" w:rsidTr="000E35FC">
        <w:tc>
          <w:tcPr>
            <w:tcW w:w="1513" w:type="pct"/>
            <w:gridSpan w:val="2"/>
            <w:shd w:val="clear" w:color="auto" w:fill="auto"/>
          </w:tcPr>
          <w:p w:rsidR="003E147C" w:rsidRPr="00E2771E" w:rsidRDefault="003E147C" w:rsidP="00C75C26">
            <w:pPr>
              <w:rPr>
                <w:rFonts w:ascii="Arial Narrow" w:hAnsi="Arial Narrow"/>
                <w:color w:val="000000"/>
                <w:sz w:val="20"/>
                <w:szCs w:val="18"/>
              </w:rPr>
            </w:pPr>
            <w:r>
              <w:rPr>
                <w:rFonts w:ascii="Arial Narrow" w:hAnsi="Arial Narrow"/>
                <w:sz w:val="20"/>
              </w:rPr>
              <w:t>Number of deaths</w:t>
            </w:r>
            <w:r w:rsidR="0026178A" w:rsidRPr="0026178A">
              <w:rPr>
                <w:rFonts w:ascii="Arial Narrow" w:hAnsi="Arial Narrow"/>
                <w:sz w:val="20"/>
              </w:rPr>
              <w:t xml:space="preserve"> n/N (%)</w:t>
            </w:r>
          </w:p>
        </w:tc>
        <w:tc>
          <w:tcPr>
            <w:tcW w:w="838" w:type="pct"/>
            <w:gridSpan w:val="4"/>
          </w:tcPr>
          <w:p w:rsidR="003E147C" w:rsidRDefault="003E147C" w:rsidP="00C75C26">
            <w:pPr>
              <w:jc w:val="center"/>
              <w:rPr>
                <w:rFonts w:ascii="Arial Narrow" w:hAnsi="Arial Narrow"/>
                <w:b/>
                <w:sz w:val="20"/>
              </w:rPr>
            </w:pPr>
            <w:r>
              <w:rPr>
                <w:rFonts w:ascii="Arial Narrow" w:hAnsi="Arial Narrow"/>
                <w:sz w:val="20"/>
              </w:rPr>
              <w:t>NR</w:t>
            </w:r>
          </w:p>
        </w:tc>
        <w:tc>
          <w:tcPr>
            <w:tcW w:w="839" w:type="pct"/>
            <w:gridSpan w:val="4"/>
          </w:tcPr>
          <w:p w:rsidR="003E147C" w:rsidRDefault="003E147C" w:rsidP="00C75C26">
            <w:pPr>
              <w:jc w:val="center"/>
              <w:rPr>
                <w:rFonts w:ascii="Arial Narrow" w:hAnsi="Arial Narrow"/>
                <w:b/>
                <w:sz w:val="20"/>
              </w:rPr>
            </w:pPr>
            <w:r>
              <w:rPr>
                <w:rFonts w:ascii="Arial Narrow" w:hAnsi="Arial Narrow"/>
                <w:sz w:val="20"/>
              </w:rPr>
              <w:t>NR</w:t>
            </w:r>
          </w:p>
        </w:tc>
        <w:tc>
          <w:tcPr>
            <w:tcW w:w="980" w:type="pct"/>
            <w:gridSpan w:val="4"/>
          </w:tcPr>
          <w:p w:rsidR="003E147C" w:rsidRPr="00E2771E" w:rsidRDefault="003E147C" w:rsidP="00C75C26">
            <w:pPr>
              <w:jc w:val="center"/>
              <w:rPr>
                <w:rFonts w:ascii="Arial Narrow" w:hAnsi="Arial Narrow"/>
                <w:color w:val="000000"/>
                <w:sz w:val="20"/>
                <w:szCs w:val="18"/>
              </w:rPr>
            </w:pPr>
          </w:p>
        </w:tc>
        <w:tc>
          <w:tcPr>
            <w:tcW w:w="830" w:type="pct"/>
          </w:tcPr>
          <w:p w:rsidR="003E147C" w:rsidRPr="00E2771E" w:rsidRDefault="003E147C" w:rsidP="00C75C26">
            <w:pPr>
              <w:jc w:val="center"/>
              <w:rPr>
                <w:rFonts w:ascii="Arial Narrow" w:hAnsi="Arial Narrow"/>
                <w:sz w:val="20"/>
              </w:rPr>
            </w:pPr>
          </w:p>
        </w:tc>
      </w:tr>
      <w:tr w:rsidR="001634C4" w:rsidRPr="00E2771E" w:rsidTr="000E35FC">
        <w:tc>
          <w:tcPr>
            <w:tcW w:w="1513" w:type="pct"/>
            <w:gridSpan w:val="2"/>
            <w:shd w:val="clear" w:color="auto" w:fill="auto"/>
          </w:tcPr>
          <w:p w:rsidR="001634C4" w:rsidRPr="00E2771E" w:rsidRDefault="001634C4" w:rsidP="00C75C26">
            <w:pPr>
              <w:rPr>
                <w:rFonts w:ascii="Arial Narrow" w:hAnsi="Arial Narrow"/>
                <w:color w:val="000000"/>
                <w:sz w:val="20"/>
                <w:szCs w:val="18"/>
              </w:rPr>
            </w:pPr>
            <w:r>
              <w:rPr>
                <w:rFonts w:ascii="Arial Narrow" w:hAnsi="Arial Narrow"/>
                <w:sz w:val="20"/>
              </w:rPr>
              <w:t>Median OS (95% CI), months</w:t>
            </w:r>
          </w:p>
        </w:tc>
        <w:tc>
          <w:tcPr>
            <w:tcW w:w="838" w:type="pct"/>
            <w:gridSpan w:val="4"/>
          </w:tcPr>
          <w:p w:rsidR="001634C4" w:rsidRDefault="001634C4" w:rsidP="00C75C26">
            <w:pPr>
              <w:jc w:val="center"/>
              <w:rPr>
                <w:rFonts w:ascii="Arial Narrow" w:hAnsi="Arial Narrow"/>
                <w:b/>
                <w:sz w:val="20"/>
              </w:rPr>
            </w:pPr>
            <w:r>
              <w:rPr>
                <w:rFonts w:ascii="Arial Narrow" w:hAnsi="Arial Narrow"/>
                <w:sz w:val="20"/>
              </w:rPr>
              <w:t>Not reached</w:t>
            </w:r>
          </w:p>
        </w:tc>
        <w:tc>
          <w:tcPr>
            <w:tcW w:w="839" w:type="pct"/>
            <w:gridSpan w:val="4"/>
          </w:tcPr>
          <w:p w:rsidR="001634C4" w:rsidRDefault="001634C4" w:rsidP="00C75C26">
            <w:pPr>
              <w:jc w:val="center"/>
              <w:rPr>
                <w:rFonts w:ascii="Arial Narrow" w:hAnsi="Arial Narrow"/>
                <w:b/>
                <w:sz w:val="20"/>
              </w:rPr>
            </w:pPr>
            <w:r>
              <w:rPr>
                <w:rFonts w:ascii="Arial Narrow" w:hAnsi="Arial Narrow"/>
                <w:sz w:val="20"/>
              </w:rPr>
              <w:t>Not reached</w:t>
            </w:r>
          </w:p>
        </w:tc>
        <w:tc>
          <w:tcPr>
            <w:tcW w:w="980" w:type="pct"/>
            <w:gridSpan w:val="4"/>
          </w:tcPr>
          <w:p w:rsidR="001634C4" w:rsidRPr="00E2771E" w:rsidRDefault="001634C4" w:rsidP="00C75C26">
            <w:pPr>
              <w:jc w:val="center"/>
              <w:rPr>
                <w:rFonts w:ascii="Arial Narrow" w:hAnsi="Arial Narrow"/>
                <w:color w:val="000000"/>
                <w:sz w:val="20"/>
                <w:szCs w:val="18"/>
              </w:rPr>
            </w:pPr>
            <w:r>
              <w:rPr>
                <w:rFonts w:ascii="Arial Narrow" w:hAnsi="Arial Narrow"/>
                <w:color w:val="000000"/>
                <w:sz w:val="20"/>
                <w:szCs w:val="18"/>
              </w:rPr>
              <w:t>-</w:t>
            </w:r>
          </w:p>
        </w:tc>
        <w:tc>
          <w:tcPr>
            <w:tcW w:w="830" w:type="pct"/>
          </w:tcPr>
          <w:p w:rsidR="001634C4" w:rsidRPr="00E2771E" w:rsidRDefault="001634C4" w:rsidP="00C75C26">
            <w:pPr>
              <w:jc w:val="center"/>
              <w:rPr>
                <w:rFonts w:ascii="Arial Narrow" w:hAnsi="Arial Narrow"/>
                <w:sz w:val="20"/>
              </w:rPr>
            </w:pPr>
            <w:r>
              <w:rPr>
                <w:rFonts w:ascii="Arial Narrow" w:hAnsi="Arial Narrow"/>
                <w:sz w:val="20"/>
              </w:rPr>
              <w:t>0.63 (0.47, 0.83)</w:t>
            </w:r>
          </w:p>
        </w:tc>
      </w:tr>
      <w:tr w:rsidR="001634C4" w:rsidRPr="00E2771E" w:rsidTr="001634C4">
        <w:tc>
          <w:tcPr>
            <w:tcW w:w="5000" w:type="pct"/>
            <w:gridSpan w:val="15"/>
            <w:shd w:val="clear" w:color="auto" w:fill="auto"/>
          </w:tcPr>
          <w:p w:rsidR="001634C4" w:rsidRDefault="001634C4" w:rsidP="0005153E">
            <w:pPr>
              <w:jc w:val="left"/>
              <w:rPr>
                <w:rFonts w:ascii="Arial Narrow" w:hAnsi="Arial Narrow"/>
                <w:sz w:val="20"/>
              </w:rPr>
            </w:pPr>
            <w:r>
              <w:rPr>
                <w:rFonts w:ascii="Arial Narrow" w:hAnsi="Arial Narrow"/>
                <w:b/>
                <w:sz w:val="20"/>
              </w:rPr>
              <w:t xml:space="preserve">OS: KN-006- </w:t>
            </w:r>
            <w:proofErr w:type="spellStart"/>
            <w:r>
              <w:rPr>
                <w:rFonts w:ascii="Arial Narrow" w:hAnsi="Arial Narrow"/>
                <w:b/>
                <w:sz w:val="20"/>
              </w:rPr>
              <w:t>pembrolizumab</w:t>
            </w:r>
            <w:proofErr w:type="spellEnd"/>
            <w:r>
              <w:rPr>
                <w:rFonts w:ascii="Arial Narrow" w:hAnsi="Arial Narrow"/>
                <w:b/>
                <w:sz w:val="20"/>
              </w:rPr>
              <w:t xml:space="preserve"> Q3W</w:t>
            </w:r>
          </w:p>
        </w:tc>
      </w:tr>
      <w:tr w:rsidR="001634C4" w:rsidRPr="00E2771E" w:rsidTr="000E35FC">
        <w:tc>
          <w:tcPr>
            <w:tcW w:w="1513" w:type="pct"/>
            <w:gridSpan w:val="2"/>
            <w:shd w:val="clear" w:color="auto" w:fill="auto"/>
          </w:tcPr>
          <w:p w:rsidR="001634C4" w:rsidRPr="00E2771E" w:rsidRDefault="001634C4" w:rsidP="00C75C26">
            <w:pPr>
              <w:rPr>
                <w:rFonts w:ascii="Arial Narrow" w:hAnsi="Arial Narrow"/>
                <w:color w:val="000000"/>
                <w:sz w:val="20"/>
                <w:szCs w:val="18"/>
              </w:rPr>
            </w:pPr>
          </w:p>
        </w:tc>
        <w:tc>
          <w:tcPr>
            <w:tcW w:w="838" w:type="pct"/>
            <w:gridSpan w:val="4"/>
          </w:tcPr>
          <w:p w:rsidR="001634C4" w:rsidRDefault="001634C4" w:rsidP="0026178A">
            <w:pPr>
              <w:jc w:val="center"/>
              <w:rPr>
                <w:rFonts w:ascii="Arial Narrow" w:hAnsi="Arial Narrow"/>
                <w:b/>
                <w:sz w:val="20"/>
              </w:rPr>
            </w:pPr>
            <w:proofErr w:type="spellStart"/>
            <w:r>
              <w:rPr>
                <w:rFonts w:ascii="Arial Narrow" w:hAnsi="Arial Narrow"/>
                <w:b/>
                <w:sz w:val="20"/>
              </w:rPr>
              <w:t>Pembro</w:t>
            </w:r>
            <w:proofErr w:type="spellEnd"/>
            <w:r>
              <w:rPr>
                <w:rFonts w:ascii="Arial Narrow" w:hAnsi="Arial Narrow"/>
                <w:b/>
                <w:sz w:val="20"/>
              </w:rPr>
              <w:t xml:space="preserve"> Q3W</w:t>
            </w:r>
          </w:p>
        </w:tc>
        <w:tc>
          <w:tcPr>
            <w:tcW w:w="839" w:type="pct"/>
            <w:gridSpan w:val="4"/>
          </w:tcPr>
          <w:p w:rsidR="001634C4" w:rsidRDefault="001634C4" w:rsidP="0026178A">
            <w:pPr>
              <w:jc w:val="center"/>
              <w:rPr>
                <w:rFonts w:ascii="Arial Narrow" w:hAnsi="Arial Narrow"/>
                <w:b/>
                <w:sz w:val="20"/>
              </w:rPr>
            </w:pPr>
            <w:proofErr w:type="spellStart"/>
            <w:r>
              <w:rPr>
                <w:rFonts w:ascii="Arial Narrow" w:hAnsi="Arial Narrow"/>
                <w:b/>
                <w:sz w:val="20"/>
              </w:rPr>
              <w:t>Ipi</w:t>
            </w:r>
            <w:proofErr w:type="spellEnd"/>
          </w:p>
        </w:tc>
        <w:tc>
          <w:tcPr>
            <w:tcW w:w="980" w:type="pct"/>
            <w:gridSpan w:val="4"/>
          </w:tcPr>
          <w:p w:rsidR="001634C4" w:rsidRPr="00E2771E" w:rsidRDefault="001634C4" w:rsidP="00C75C26">
            <w:pPr>
              <w:jc w:val="center"/>
              <w:rPr>
                <w:rFonts w:ascii="Arial Narrow" w:hAnsi="Arial Narrow"/>
                <w:color w:val="000000"/>
                <w:sz w:val="20"/>
                <w:szCs w:val="18"/>
              </w:rPr>
            </w:pPr>
          </w:p>
        </w:tc>
        <w:tc>
          <w:tcPr>
            <w:tcW w:w="830" w:type="pct"/>
          </w:tcPr>
          <w:p w:rsidR="001634C4" w:rsidRPr="00E2771E" w:rsidRDefault="001634C4" w:rsidP="00C75C26">
            <w:pPr>
              <w:jc w:val="center"/>
              <w:rPr>
                <w:rFonts w:ascii="Arial Narrow" w:hAnsi="Arial Narrow"/>
                <w:sz w:val="20"/>
              </w:rPr>
            </w:pPr>
          </w:p>
        </w:tc>
      </w:tr>
      <w:tr w:rsidR="001634C4" w:rsidRPr="00E2771E" w:rsidTr="000E35FC">
        <w:tc>
          <w:tcPr>
            <w:tcW w:w="1513" w:type="pct"/>
            <w:gridSpan w:val="2"/>
            <w:shd w:val="clear" w:color="auto" w:fill="auto"/>
          </w:tcPr>
          <w:p w:rsidR="001634C4" w:rsidRPr="00E2771E" w:rsidRDefault="001634C4" w:rsidP="00C75C26">
            <w:pPr>
              <w:rPr>
                <w:rFonts w:ascii="Arial Narrow" w:hAnsi="Arial Narrow"/>
                <w:color w:val="000000"/>
                <w:sz w:val="20"/>
                <w:szCs w:val="18"/>
              </w:rPr>
            </w:pPr>
            <w:r>
              <w:rPr>
                <w:rFonts w:ascii="Arial Narrow" w:hAnsi="Arial Narrow"/>
                <w:sz w:val="20"/>
              </w:rPr>
              <w:t>Number of deaths</w:t>
            </w:r>
            <w:r w:rsidR="0026178A" w:rsidRPr="0026178A">
              <w:rPr>
                <w:rFonts w:ascii="Arial Narrow" w:hAnsi="Arial Narrow"/>
                <w:sz w:val="20"/>
              </w:rPr>
              <w:t xml:space="preserve"> n/N (%)</w:t>
            </w:r>
          </w:p>
        </w:tc>
        <w:tc>
          <w:tcPr>
            <w:tcW w:w="838" w:type="pct"/>
            <w:gridSpan w:val="4"/>
          </w:tcPr>
          <w:p w:rsidR="001634C4" w:rsidRPr="00E2771E" w:rsidRDefault="001634C4" w:rsidP="00C75C26">
            <w:pPr>
              <w:jc w:val="center"/>
              <w:rPr>
                <w:rFonts w:ascii="Arial Narrow" w:hAnsi="Arial Narrow"/>
                <w:sz w:val="20"/>
              </w:rPr>
            </w:pPr>
            <w:r>
              <w:rPr>
                <w:rFonts w:ascii="Arial Narrow" w:hAnsi="Arial Narrow"/>
                <w:sz w:val="20"/>
              </w:rPr>
              <w:t>NR</w:t>
            </w:r>
          </w:p>
        </w:tc>
        <w:tc>
          <w:tcPr>
            <w:tcW w:w="839" w:type="pct"/>
            <w:gridSpan w:val="4"/>
          </w:tcPr>
          <w:p w:rsidR="001634C4" w:rsidRPr="00E2771E" w:rsidRDefault="001634C4" w:rsidP="00C75C26">
            <w:pPr>
              <w:jc w:val="center"/>
              <w:rPr>
                <w:rFonts w:ascii="Arial Narrow" w:hAnsi="Arial Narrow"/>
                <w:sz w:val="20"/>
              </w:rPr>
            </w:pPr>
            <w:r>
              <w:rPr>
                <w:rFonts w:ascii="Arial Narrow" w:hAnsi="Arial Narrow"/>
                <w:sz w:val="20"/>
              </w:rPr>
              <w:t>NR</w:t>
            </w:r>
          </w:p>
        </w:tc>
        <w:tc>
          <w:tcPr>
            <w:tcW w:w="980" w:type="pct"/>
            <w:gridSpan w:val="4"/>
          </w:tcPr>
          <w:p w:rsidR="001634C4" w:rsidRPr="00E2771E" w:rsidRDefault="001634C4" w:rsidP="00C75C26">
            <w:pPr>
              <w:jc w:val="center"/>
              <w:rPr>
                <w:rFonts w:ascii="Arial Narrow" w:hAnsi="Arial Narrow"/>
                <w:color w:val="000000"/>
                <w:sz w:val="20"/>
                <w:szCs w:val="18"/>
              </w:rPr>
            </w:pPr>
          </w:p>
        </w:tc>
        <w:tc>
          <w:tcPr>
            <w:tcW w:w="830" w:type="pct"/>
          </w:tcPr>
          <w:p w:rsidR="001634C4" w:rsidRPr="00E2771E" w:rsidRDefault="001634C4" w:rsidP="00C75C26">
            <w:pPr>
              <w:jc w:val="center"/>
              <w:rPr>
                <w:rFonts w:ascii="Arial Narrow" w:hAnsi="Arial Narrow"/>
                <w:sz w:val="20"/>
              </w:rPr>
            </w:pPr>
          </w:p>
        </w:tc>
      </w:tr>
      <w:tr w:rsidR="001634C4" w:rsidRPr="00E2771E" w:rsidTr="000E35FC">
        <w:tc>
          <w:tcPr>
            <w:tcW w:w="1513" w:type="pct"/>
            <w:gridSpan w:val="2"/>
            <w:shd w:val="clear" w:color="auto" w:fill="auto"/>
          </w:tcPr>
          <w:p w:rsidR="001634C4" w:rsidRPr="00E2771E" w:rsidRDefault="001634C4" w:rsidP="00C75C26">
            <w:pPr>
              <w:rPr>
                <w:rFonts w:ascii="Arial Narrow" w:hAnsi="Arial Narrow"/>
                <w:color w:val="000000"/>
                <w:sz w:val="20"/>
                <w:szCs w:val="18"/>
              </w:rPr>
            </w:pPr>
            <w:r>
              <w:rPr>
                <w:rFonts w:ascii="Arial Narrow" w:hAnsi="Arial Narrow"/>
                <w:sz w:val="20"/>
              </w:rPr>
              <w:t>Median OS (95% CI), months</w:t>
            </w:r>
          </w:p>
        </w:tc>
        <w:tc>
          <w:tcPr>
            <w:tcW w:w="838" w:type="pct"/>
            <w:gridSpan w:val="4"/>
          </w:tcPr>
          <w:p w:rsidR="001634C4" w:rsidRPr="00E2771E" w:rsidRDefault="001634C4" w:rsidP="00C75C26">
            <w:pPr>
              <w:jc w:val="center"/>
              <w:rPr>
                <w:rFonts w:ascii="Arial Narrow" w:hAnsi="Arial Narrow"/>
                <w:sz w:val="20"/>
              </w:rPr>
            </w:pPr>
            <w:r>
              <w:rPr>
                <w:rFonts w:ascii="Arial Narrow" w:hAnsi="Arial Narrow"/>
                <w:sz w:val="20"/>
              </w:rPr>
              <w:t>Not reached</w:t>
            </w:r>
          </w:p>
        </w:tc>
        <w:tc>
          <w:tcPr>
            <w:tcW w:w="839" w:type="pct"/>
            <w:gridSpan w:val="4"/>
          </w:tcPr>
          <w:p w:rsidR="001634C4" w:rsidRPr="00E2771E" w:rsidRDefault="001634C4" w:rsidP="00C75C26">
            <w:pPr>
              <w:jc w:val="center"/>
              <w:rPr>
                <w:rFonts w:ascii="Arial Narrow" w:hAnsi="Arial Narrow"/>
                <w:sz w:val="20"/>
              </w:rPr>
            </w:pPr>
            <w:r>
              <w:rPr>
                <w:rFonts w:ascii="Arial Narrow" w:hAnsi="Arial Narrow"/>
                <w:sz w:val="20"/>
              </w:rPr>
              <w:t>Not reached</w:t>
            </w:r>
          </w:p>
        </w:tc>
        <w:tc>
          <w:tcPr>
            <w:tcW w:w="980" w:type="pct"/>
            <w:gridSpan w:val="4"/>
          </w:tcPr>
          <w:p w:rsidR="001634C4" w:rsidRPr="00E2771E" w:rsidRDefault="001634C4" w:rsidP="00C75C26">
            <w:pPr>
              <w:jc w:val="center"/>
              <w:rPr>
                <w:rFonts w:ascii="Arial Narrow" w:hAnsi="Arial Narrow"/>
                <w:color w:val="000000"/>
                <w:sz w:val="20"/>
                <w:szCs w:val="18"/>
              </w:rPr>
            </w:pPr>
            <w:r>
              <w:rPr>
                <w:rFonts w:ascii="Arial Narrow" w:hAnsi="Arial Narrow"/>
                <w:color w:val="000000"/>
                <w:sz w:val="20"/>
                <w:szCs w:val="18"/>
              </w:rPr>
              <w:t>-</w:t>
            </w:r>
          </w:p>
        </w:tc>
        <w:tc>
          <w:tcPr>
            <w:tcW w:w="830" w:type="pct"/>
          </w:tcPr>
          <w:p w:rsidR="001634C4" w:rsidRPr="00E2771E" w:rsidRDefault="001634C4" w:rsidP="00C75C26">
            <w:pPr>
              <w:jc w:val="center"/>
              <w:rPr>
                <w:rFonts w:ascii="Arial Narrow" w:hAnsi="Arial Narrow"/>
                <w:sz w:val="20"/>
              </w:rPr>
            </w:pPr>
            <w:r>
              <w:rPr>
                <w:rFonts w:ascii="Arial Narrow" w:hAnsi="Arial Narrow"/>
                <w:sz w:val="20"/>
              </w:rPr>
              <w:t>0.69 (0.52, 0.90)</w:t>
            </w:r>
          </w:p>
        </w:tc>
      </w:tr>
      <w:tr w:rsidR="001634C4" w:rsidRPr="00E2771E" w:rsidTr="001634C4">
        <w:tc>
          <w:tcPr>
            <w:tcW w:w="5000" w:type="pct"/>
            <w:gridSpan w:val="15"/>
            <w:shd w:val="clear" w:color="auto" w:fill="auto"/>
          </w:tcPr>
          <w:p w:rsidR="001634C4" w:rsidRPr="00E2771E" w:rsidRDefault="001634C4" w:rsidP="00C75C26">
            <w:pPr>
              <w:jc w:val="left"/>
              <w:rPr>
                <w:rFonts w:ascii="Arial Narrow" w:hAnsi="Arial Narrow"/>
                <w:sz w:val="20"/>
              </w:rPr>
            </w:pPr>
            <w:r>
              <w:rPr>
                <w:rFonts w:ascii="Arial Narrow" w:hAnsi="Arial Narrow"/>
                <w:b/>
                <w:sz w:val="20"/>
              </w:rPr>
              <w:t>Overall survival - i</w:t>
            </w:r>
            <w:r w:rsidRPr="005158A4">
              <w:rPr>
                <w:rFonts w:ascii="Arial Narrow" w:hAnsi="Arial Narrow"/>
                <w:b/>
                <w:sz w:val="20"/>
              </w:rPr>
              <w:t>ndirect</w:t>
            </w:r>
            <w:r>
              <w:rPr>
                <w:rFonts w:ascii="Arial Narrow" w:hAnsi="Arial Narrow"/>
                <w:b/>
                <w:sz w:val="20"/>
              </w:rPr>
              <w:t xml:space="preserve"> comparison</w:t>
            </w:r>
          </w:p>
        </w:tc>
      </w:tr>
      <w:tr w:rsidR="001634C4" w:rsidRPr="00E2771E" w:rsidTr="000E35FC">
        <w:trPr>
          <w:trHeight w:val="206"/>
        </w:trPr>
        <w:tc>
          <w:tcPr>
            <w:tcW w:w="4170" w:type="pct"/>
            <w:gridSpan w:val="14"/>
            <w:shd w:val="clear" w:color="auto" w:fill="auto"/>
          </w:tcPr>
          <w:p w:rsidR="001634C4" w:rsidRPr="00C15748" w:rsidRDefault="001634C4" w:rsidP="00C75C26">
            <w:pPr>
              <w:jc w:val="left"/>
              <w:rPr>
                <w:rFonts w:ascii="Arial Narrow" w:hAnsi="Arial Narrow"/>
                <w:b/>
                <w:color w:val="000000"/>
                <w:sz w:val="20"/>
                <w:szCs w:val="18"/>
              </w:rPr>
            </w:pPr>
            <w:proofErr w:type="spellStart"/>
            <w:r w:rsidRPr="00C15748">
              <w:rPr>
                <w:rFonts w:ascii="Arial Narrow" w:hAnsi="Arial Narrow"/>
                <w:b/>
                <w:sz w:val="20"/>
              </w:rPr>
              <w:t>Nivo</w:t>
            </w:r>
            <w:proofErr w:type="spellEnd"/>
            <w:r w:rsidRPr="00C15748">
              <w:rPr>
                <w:rFonts w:ascii="Arial Narrow" w:hAnsi="Arial Narrow"/>
                <w:b/>
                <w:sz w:val="20"/>
              </w:rPr>
              <w:t xml:space="preserve"> + </w:t>
            </w:r>
            <w:proofErr w:type="spellStart"/>
            <w:r w:rsidRPr="00C15748">
              <w:rPr>
                <w:rFonts w:ascii="Arial Narrow" w:hAnsi="Arial Narrow"/>
                <w:b/>
                <w:sz w:val="20"/>
              </w:rPr>
              <w:t>Ipi</w:t>
            </w:r>
            <w:proofErr w:type="spellEnd"/>
            <w:r w:rsidRPr="00C15748">
              <w:rPr>
                <w:rFonts w:ascii="Arial Narrow" w:hAnsi="Arial Narrow"/>
                <w:b/>
                <w:sz w:val="20"/>
              </w:rPr>
              <w:t xml:space="preserve"> vs </w:t>
            </w:r>
            <w:proofErr w:type="spellStart"/>
            <w:r w:rsidRPr="00C15748">
              <w:rPr>
                <w:rFonts w:ascii="Arial Narrow" w:hAnsi="Arial Narrow"/>
                <w:b/>
                <w:sz w:val="20"/>
              </w:rPr>
              <w:t>Pembro</w:t>
            </w:r>
            <w:proofErr w:type="spellEnd"/>
            <w:r w:rsidRPr="00C15748">
              <w:rPr>
                <w:rFonts w:ascii="Arial Narrow" w:hAnsi="Arial Narrow"/>
                <w:b/>
                <w:sz w:val="20"/>
              </w:rPr>
              <w:t xml:space="preserve"> Q2W</w:t>
            </w:r>
          </w:p>
        </w:tc>
        <w:tc>
          <w:tcPr>
            <w:tcW w:w="830" w:type="pct"/>
          </w:tcPr>
          <w:p w:rsidR="001634C4" w:rsidRPr="00E2771E" w:rsidRDefault="001634C4" w:rsidP="00C75C26">
            <w:pPr>
              <w:jc w:val="center"/>
              <w:rPr>
                <w:rFonts w:ascii="Arial Narrow" w:hAnsi="Arial Narrow"/>
                <w:sz w:val="20"/>
              </w:rPr>
            </w:pPr>
            <w:r>
              <w:rPr>
                <w:rFonts w:ascii="Arial Narrow" w:hAnsi="Arial Narrow"/>
                <w:sz w:val="20"/>
              </w:rPr>
              <w:t>1.16 (0.40, 3.37)</w:t>
            </w:r>
          </w:p>
        </w:tc>
      </w:tr>
      <w:tr w:rsidR="001634C4" w:rsidRPr="00E2771E" w:rsidTr="000E35FC">
        <w:tc>
          <w:tcPr>
            <w:tcW w:w="4170" w:type="pct"/>
            <w:gridSpan w:val="14"/>
            <w:shd w:val="clear" w:color="auto" w:fill="auto"/>
          </w:tcPr>
          <w:p w:rsidR="001634C4" w:rsidRPr="00C15748" w:rsidRDefault="001634C4" w:rsidP="00C75C26">
            <w:pPr>
              <w:jc w:val="left"/>
              <w:rPr>
                <w:rFonts w:ascii="Arial Narrow" w:hAnsi="Arial Narrow"/>
                <w:b/>
                <w:sz w:val="20"/>
              </w:rPr>
            </w:pPr>
            <w:proofErr w:type="spellStart"/>
            <w:r w:rsidRPr="00C15748">
              <w:rPr>
                <w:rFonts w:ascii="Arial Narrow" w:hAnsi="Arial Narrow"/>
                <w:b/>
                <w:sz w:val="20"/>
              </w:rPr>
              <w:t>Nivo</w:t>
            </w:r>
            <w:proofErr w:type="spellEnd"/>
            <w:r w:rsidRPr="00C15748">
              <w:rPr>
                <w:rFonts w:ascii="Arial Narrow" w:hAnsi="Arial Narrow"/>
                <w:b/>
                <w:sz w:val="20"/>
              </w:rPr>
              <w:t xml:space="preserve"> + </w:t>
            </w:r>
            <w:proofErr w:type="spellStart"/>
            <w:r w:rsidRPr="00C15748">
              <w:rPr>
                <w:rFonts w:ascii="Arial Narrow" w:hAnsi="Arial Narrow"/>
                <w:b/>
                <w:sz w:val="20"/>
              </w:rPr>
              <w:t>Ipi</w:t>
            </w:r>
            <w:proofErr w:type="spellEnd"/>
            <w:r w:rsidRPr="00C15748">
              <w:rPr>
                <w:rFonts w:ascii="Arial Narrow" w:hAnsi="Arial Narrow"/>
                <w:b/>
                <w:sz w:val="20"/>
              </w:rPr>
              <w:t xml:space="preserve"> vs </w:t>
            </w:r>
            <w:proofErr w:type="spellStart"/>
            <w:r w:rsidRPr="00C15748">
              <w:rPr>
                <w:rFonts w:ascii="Arial Narrow" w:hAnsi="Arial Narrow"/>
                <w:b/>
                <w:sz w:val="20"/>
              </w:rPr>
              <w:t>Pembro</w:t>
            </w:r>
            <w:proofErr w:type="spellEnd"/>
            <w:r w:rsidRPr="00C15748">
              <w:rPr>
                <w:rFonts w:ascii="Arial Narrow" w:hAnsi="Arial Narrow"/>
                <w:b/>
                <w:sz w:val="20"/>
              </w:rPr>
              <w:t xml:space="preserve"> Q3W</w:t>
            </w:r>
          </w:p>
        </w:tc>
        <w:tc>
          <w:tcPr>
            <w:tcW w:w="830" w:type="pct"/>
          </w:tcPr>
          <w:p w:rsidR="001634C4" w:rsidRPr="00DC2AA1" w:rsidRDefault="001634C4" w:rsidP="00C75C26">
            <w:pPr>
              <w:jc w:val="center"/>
              <w:rPr>
                <w:rFonts w:ascii="Arial Narrow" w:hAnsi="Arial Narrow"/>
                <w:b/>
                <w:sz w:val="20"/>
              </w:rPr>
            </w:pPr>
            <w:r>
              <w:rPr>
                <w:rFonts w:ascii="Arial Narrow" w:hAnsi="Arial Narrow"/>
                <w:sz w:val="20"/>
              </w:rPr>
              <w:t>1.06 (0.54, 2.09)</w:t>
            </w:r>
          </w:p>
        </w:tc>
      </w:tr>
      <w:tr w:rsidR="001634C4" w:rsidRPr="00E2771E" w:rsidTr="001634C4">
        <w:tc>
          <w:tcPr>
            <w:tcW w:w="5000" w:type="pct"/>
            <w:gridSpan w:val="15"/>
            <w:shd w:val="clear" w:color="auto" w:fill="auto"/>
            <w:vAlign w:val="center"/>
          </w:tcPr>
          <w:p w:rsidR="001634C4" w:rsidRPr="00673A97" w:rsidRDefault="001634C4" w:rsidP="00C75C26">
            <w:pPr>
              <w:jc w:val="left"/>
              <w:rPr>
                <w:rFonts w:ascii="Arial Narrow" w:hAnsi="Arial Narrow"/>
                <w:b/>
                <w:sz w:val="20"/>
              </w:rPr>
            </w:pPr>
            <w:r>
              <w:rPr>
                <w:rFonts w:ascii="Arial Narrow" w:hAnsi="Arial Narrow"/>
                <w:b/>
                <w:sz w:val="20"/>
              </w:rPr>
              <w:t>PFS - CA209-067</w:t>
            </w:r>
            <w:r w:rsidRPr="00D7126A">
              <w:rPr>
                <w:rFonts w:ascii="Arial Narrow" w:hAnsi="Arial Narrow"/>
                <w:b/>
                <w:sz w:val="20"/>
              </w:rPr>
              <w:t xml:space="preserve"> </w:t>
            </w:r>
            <w:proofErr w:type="spellStart"/>
            <w:r w:rsidRPr="00D7126A">
              <w:rPr>
                <w:rFonts w:ascii="Arial Narrow" w:hAnsi="Arial Narrow"/>
                <w:b/>
                <w:sz w:val="20"/>
              </w:rPr>
              <w:t>nivo</w:t>
            </w:r>
            <w:r>
              <w:rPr>
                <w:rFonts w:ascii="Arial Narrow" w:hAnsi="Arial Narrow"/>
                <w:b/>
                <w:sz w:val="20"/>
              </w:rPr>
              <w:t>lumab</w:t>
            </w:r>
            <w:proofErr w:type="spellEnd"/>
          </w:p>
        </w:tc>
      </w:tr>
      <w:tr w:rsidR="001634C4" w:rsidRPr="00E2771E" w:rsidTr="000E35FC">
        <w:tc>
          <w:tcPr>
            <w:tcW w:w="1513" w:type="pct"/>
            <w:gridSpan w:val="2"/>
            <w:shd w:val="clear" w:color="auto" w:fill="auto"/>
            <w:vAlign w:val="center"/>
          </w:tcPr>
          <w:p w:rsidR="001634C4" w:rsidRPr="00E2771E" w:rsidRDefault="001634C4" w:rsidP="00C75C26">
            <w:pPr>
              <w:rPr>
                <w:rFonts w:ascii="Arial Narrow" w:hAnsi="Arial Narrow"/>
                <w:color w:val="000000"/>
                <w:sz w:val="20"/>
                <w:szCs w:val="18"/>
              </w:rPr>
            </w:pPr>
          </w:p>
        </w:tc>
        <w:tc>
          <w:tcPr>
            <w:tcW w:w="838" w:type="pct"/>
            <w:gridSpan w:val="4"/>
          </w:tcPr>
          <w:p w:rsidR="001634C4" w:rsidRPr="00E2771E" w:rsidRDefault="001634C4" w:rsidP="0026178A">
            <w:pPr>
              <w:jc w:val="center"/>
              <w:rPr>
                <w:rFonts w:ascii="Arial Narrow" w:hAnsi="Arial Narrow"/>
                <w:sz w:val="20"/>
              </w:rPr>
            </w:pPr>
            <w:proofErr w:type="spellStart"/>
            <w:r>
              <w:rPr>
                <w:rFonts w:ascii="Arial Narrow" w:hAnsi="Arial Narrow"/>
                <w:b/>
                <w:sz w:val="20"/>
              </w:rPr>
              <w:t>Nivo</w:t>
            </w:r>
            <w:proofErr w:type="spellEnd"/>
          </w:p>
        </w:tc>
        <w:tc>
          <w:tcPr>
            <w:tcW w:w="839" w:type="pct"/>
            <w:gridSpan w:val="4"/>
          </w:tcPr>
          <w:p w:rsidR="001634C4" w:rsidRPr="00E2771E" w:rsidRDefault="001634C4" w:rsidP="00C75C26">
            <w:pPr>
              <w:jc w:val="center"/>
              <w:rPr>
                <w:rFonts w:ascii="Arial Narrow" w:hAnsi="Arial Narrow"/>
                <w:sz w:val="20"/>
              </w:rPr>
            </w:pPr>
            <w:proofErr w:type="spellStart"/>
            <w:r>
              <w:rPr>
                <w:rFonts w:ascii="Arial Narrow" w:hAnsi="Arial Narrow"/>
                <w:b/>
                <w:sz w:val="20"/>
              </w:rPr>
              <w:t>Ipi</w:t>
            </w:r>
            <w:proofErr w:type="spellEnd"/>
          </w:p>
        </w:tc>
        <w:tc>
          <w:tcPr>
            <w:tcW w:w="980" w:type="pct"/>
            <w:gridSpan w:val="4"/>
            <w:vAlign w:val="center"/>
          </w:tcPr>
          <w:p w:rsidR="001634C4" w:rsidRPr="00E2771E" w:rsidRDefault="001634C4" w:rsidP="00C75C26">
            <w:pPr>
              <w:jc w:val="center"/>
              <w:rPr>
                <w:rFonts w:ascii="Arial Narrow" w:hAnsi="Arial Narrow"/>
                <w:color w:val="000000"/>
                <w:sz w:val="20"/>
                <w:szCs w:val="18"/>
              </w:rPr>
            </w:pPr>
          </w:p>
        </w:tc>
        <w:tc>
          <w:tcPr>
            <w:tcW w:w="830" w:type="pct"/>
            <w:vAlign w:val="center"/>
          </w:tcPr>
          <w:p w:rsidR="001634C4" w:rsidRPr="00E2771E" w:rsidRDefault="001634C4" w:rsidP="00C75C26">
            <w:pPr>
              <w:jc w:val="center"/>
              <w:rPr>
                <w:rFonts w:ascii="Arial Narrow" w:hAnsi="Arial Narrow"/>
                <w:sz w:val="20"/>
              </w:rPr>
            </w:pPr>
          </w:p>
        </w:tc>
      </w:tr>
      <w:tr w:rsidR="001634C4" w:rsidRPr="00E2771E" w:rsidTr="000E35FC">
        <w:tc>
          <w:tcPr>
            <w:tcW w:w="1513" w:type="pct"/>
            <w:gridSpan w:val="2"/>
            <w:shd w:val="clear" w:color="auto" w:fill="auto"/>
          </w:tcPr>
          <w:p w:rsidR="001634C4" w:rsidRPr="00E2771E" w:rsidRDefault="001634C4" w:rsidP="00C75C26">
            <w:pPr>
              <w:rPr>
                <w:rFonts w:ascii="Arial Narrow" w:hAnsi="Arial Narrow"/>
                <w:color w:val="000000"/>
                <w:sz w:val="20"/>
                <w:szCs w:val="18"/>
              </w:rPr>
            </w:pPr>
            <w:r>
              <w:rPr>
                <w:rFonts w:ascii="Arial Narrow" w:hAnsi="Arial Narrow"/>
                <w:sz w:val="20"/>
              </w:rPr>
              <w:t xml:space="preserve">Number of progressions </w:t>
            </w:r>
            <w:r w:rsidR="0026178A" w:rsidRPr="0026178A">
              <w:rPr>
                <w:rFonts w:ascii="Arial Narrow" w:hAnsi="Arial Narrow"/>
                <w:sz w:val="20"/>
              </w:rPr>
              <w:t>n/N (%)</w:t>
            </w:r>
          </w:p>
        </w:tc>
        <w:tc>
          <w:tcPr>
            <w:tcW w:w="838" w:type="pct"/>
            <w:gridSpan w:val="4"/>
          </w:tcPr>
          <w:p w:rsidR="001634C4" w:rsidRPr="00E2771E" w:rsidRDefault="000E35FC" w:rsidP="00C75C26">
            <w:pPr>
              <w:jc w:val="center"/>
              <w:rPr>
                <w:rFonts w:ascii="Arial Narrow" w:hAnsi="Arial Narrow"/>
                <w:sz w:val="20"/>
              </w:rPr>
            </w:pPr>
            <w:r>
              <w:rPr>
                <w:rFonts w:ascii="Arial Narrow" w:hAnsi="Arial Narrow"/>
                <w:sz w:val="20"/>
              </w:rPr>
              <w:t>151/</w:t>
            </w:r>
            <w:r w:rsidR="001634C4">
              <w:rPr>
                <w:rFonts w:ascii="Arial Narrow" w:hAnsi="Arial Narrow"/>
                <w:sz w:val="20"/>
              </w:rPr>
              <w:t>314 (48.1)</w:t>
            </w:r>
          </w:p>
        </w:tc>
        <w:tc>
          <w:tcPr>
            <w:tcW w:w="839" w:type="pct"/>
            <w:gridSpan w:val="4"/>
          </w:tcPr>
          <w:p w:rsidR="001634C4" w:rsidRPr="00E2771E" w:rsidRDefault="000E35FC" w:rsidP="00C75C26">
            <w:pPr>
              <w:jc w:val="center"/>
              <w:rPr>
                <w:rFonts w:ascii="Arial Narrow" w:hAnsi="Arial Narrow"/>
                <w:sz w:val="20"/>
              </w:rPr>
            </w:pPr>
            <w:r>
              <w:rPr>
                <w:rFonts w:ascii="Arial Narrow" w:hAnsi="Arial Narrow"/>
                <w:sz w:val="20"/>
              </w:rPr>
              <w:t>234/</w:t>
            </w:r>
            <w:r w:rsidR="001634C4">
              <w:rPr>
                <w:rFonts w:ascii="Arial Narrow" w:hAnsi="Arial Narrow"/>
                <w:sz w:val="20"/>
              </w:rPr>
              <w:t>314 (74.3)</w:t>
            </w:r>
          </w:p>
        </w:tc>
        <w:tc>
          <w:tcPr>
            <w:tcW w:w="980" w:type="pct"/>
            <w:gridSpan w:val="4"/>
          </w:tcPr>
          <w:p w:rsidR="001634C4" w:rsidRPr="00E2771E" w:rsidRDefault="001634C4" w:rsidP="00C75C26">
            <w:pPr>
              <w:jc w:val="center"/>
              <w:rPr>
                <w:rFonts w:ascii="Arial Narrow" w:hAnsi="Arial Narrow"/>
                <w:color w:val="000000"/>
                <w:sz w:val="20"/>
                <w:szCs w:val="18"/>
              </w:rPr>
            </w:pPr>
          </w:p>
        </w:tc>
        <w:tc>
          <w:tcPr>
            <w:tcW w:w="830" w:type="pct"/>
          </w:tcPr>
          <w:p w:rsidR="001634C4" w:rsidRPr="00E2771E" w:rsidRDefault="001634C4" w:rsidP="00C75C26">
            <w:pPr>
              <w:jc w:val="center"/>
              <w:rPr>
                <w:rFonts w:ascii="Arial Narrow" w:hAnsi="Arial Narrow"/>
                <w:sz w:val="20"/>
              </w:rPr>
            </w:pPr>
          </w:p>
        </w:tc>
      </w:tr>
      <w:tr w:rsidR="001634C4" w:rsidRPr="00E2771E" w:rsidTr="000E35FC">
        <w:tc>
          <w:tcPr>
            <w:tcW w:w="1513" w:type="pct"/>
            <w:gridSpan w:val="2"/>
            <w:shd w:val="clear" w:color="auto" w:fill="auto"/>
          </w:tcPr>
          <w:p w:rsidR="001634C4" w:rsidRPr="00E2771E" w:rsidRDefault="001634C4" w:rsidP="001634C4">
            <w:pPr>
              <w:rPr>
                <w:rFonts w:ascii="Arial Narrow" w:hAnsi="Arial Narrow"/>
                <w:color w:val="000000"/>
                <w:sz w:val="20"/>
                <w:szCs w:val="18"/>
              </w:rPr>
            </w:pPr>
            <w:r>
              <w:rPr>
                <w:rFonts w:ascii="Arial Narrow" w:hAnsi="Arial Narrow"/>
                <w:sz w:val="20"/>
              </w:rPr>
              <w:t>Median PFS (95% CI), months</w:t>
            </w:r>
          </w:p>
        </w:tc>
        <w:tc>
          <w:tcPr>
            <w:tcW w:w="838" w:type="pct"/>
            <w:gridSpan w:val="4"/>
          </w:tcPr>
          <w:p w:rsidR="001634C4" w:rsidRPr="00E2771E" w:rsidRDefault="001634C4" w:rsidP="00C75C26">
            <w:pPr>
              <w:jc w:val="center"/>
              <w:rPr>
                <w:rFonts w:ascii="Arial Narrow" w:hAnsi="Arial Narrow"/>
                <w:sz w:val="20"/>
              </w:rPr>
            </w:pPr>
            <w:r>
              <w:rPr>
                <w:rFonts w:ascii="Arial Narrow" w:hAnsi="Arial Narrow"/>
                <w:sz w:val="20"/>
              </w:rPr>
              <w:t>11.5 (8.9, 16.7)</w:t>
            </w:r>
          </w:p>
        </w:tc>
        <w:tc>
          <w:tcPr>
            <w:tcW w:w="839" w:type="pct"/>
            <w:gridSpan w:val="4"/>
          </w:tcPr>
          <w:p w:rsidR="001634C4" w:rsidRPr="00E2771E" w:rsidRDefault="001634C4" w:rsidP="00C75C26">
            <w:pPr>
              <w:jc w:val="center"/>
              <w:rPr>
                <w:rFonts w:ascii="Arial Narrow" w:hAnsi="Arial Narrow"/>
                <w:sz w:val="20"/>
              </w:rPr>
            </w:pPr>
            <w:r>
              <w:rPr>
                <w:rFonts w:ascii="Arial Narrow" w:hAnsi="Arial Narrow"/>
                <w:sz w:val="20"/>
              </w:rPr>
              <w:t>2.9 (2.8, 3.4)</w:t>
            </w:r>
          </w:p>
        </w:tc>
        <w:tc>
          <w:tcPr>
            <w:tcW w:w="980" w:type="pct"/>
            <w:gridSpan w:val="4"/>
          </w:tcPr>
          <w:p w:rsidR="001634C4" w:rsidRPr="00E2771E" w:rsidRDefault="001634C4" w:rsidP="00C75C26">
            <w:pPr>
              <w:jc w:val="center"/>
              <w:rPr>
                <w:rFonts w:ascii="Arial Narrow" w:hAnsi="Arial Narrow"/>
                <w:color w:val="000000"/>
                <w:sz w:val="20"/>
                <w:szCs w:val="18"/>
              </w:rPr>
            </w:pPr>
            <w:r>
              <w:rPr>
                <w:rFonts w:ascii="Arial Narrow" w:hAnsi="Arial Narrow"/>
                <w:color w:val="000000"/>
                <w:sz w:val="20"/>
                <w:szCs w:val="18"/>
              </w:rPr>
              <w:t>8.6</w:t>
            </w:r>
          </w:p>
        </w:tc>
        <w:tc>
          <w:tcPr>
            <w:tcW w:w="830" w:type="pct"/>
          </w:tcPr>
          <w:p w:rsidR="001634C4" w:rsidRPr="00E2771E" w:rsidRDefault="001634C4" w:rsidP="00C75C26">
            <w:pPr>
              <w:jc w:val="center"/>
              <w:rPr>
                <w:rFonts w:ascii="Arial Narrow" w:hAnsi="Arial Narrow"/>
                <w:sz w:val="20"/>
              </w:rPr>
            </w:pPr>
            <w:r>
              <w:rPr>
                <w:rFonts w:ascii="Arial Narrow" w:hAnsi="Arial Narrow"/>
                <w:sz w:val="20"/>
              </w:rPr>
              <w:t>0.43 (0.35, 0.53)</w:t>
            </w:r>
          </w:p>
        </w:tc>
      </w:tr>
      <w:tr w:rsidR="001634C4" w:rsidRPr="00E2771E" w:rsidTr="001634C4">
        <w:tc>
          <w:tcPr>
            <w:tcW w:w="5000" w:type="pct"/>
            <w:gridSpan w:val="15"/>
            <w:shd w:val="clear" w:color="auto" w:fill="auto"/>
            <w:vAlign w:val="center"/>
          </w:tcPr>
          <w:p w:rsidR="001634C4" w:rsidRPr="00673A97" w:rsidRDefault="001634C4" w:rsidP="00C75C26">
            <w:pPr>
              <w:jc w:val="left"/>
              <w:rPr>
                <w:rFonts w:ascii="Arial Narrow" w:hAnsi="Arial Narrow"/>
                <w:b/>
                <w:sz w:val="20"/>
              </w:rPr>
            </w:pPr>
            <w:r>
              <w:rPr>
                <w:rFonts w:ascii="Arial Narrow" w:hAnsi="Arial Narrow"/>
                <w:b/>
                <w:sz w:val="20"/>
              </w:rPr>
              <w:t>PFS - CA209-069</w:t>
            </w:r>
            <w:r w:rsidRPr="00D7126A">
              <w:rPr>
                <w:rFonts w:ascii="Arial Narrow" w:hAnsi="Arial Narrow"/>
                <w:b/>
                <w:sz w:val="20"/>
              </w:rPr>
              <w:t xml:space="preserve"> </w:t>
            </w:r>
            <w:proofErr w:type="spellStart"/>
            <w:r w:rsidRPr="00D7126A">
              <w:rPr>
                <w:rFonts w:ascii="Arial Narrow" w:hAnsi="Arial Narrow"/>
                <w:b/>
                <w:sz w:val="20"/>
              </w:rPr>
              <w:t>nivo</w:t>
            </w:r>
            <w:r>
              <w:rPr>
                <w:rFonts w:ascii="Arial Narrow" w:hAnsi="Arial Narrow"/>
                <w:b/>
                <w:sz w:val="20"/>
              </w:rPr>
              <w:t>lumab</w:t>
            </w:r>
            <w:proofErr w:type="spellEnd"/>
          </w:p>
        </w:tc>
      </w:tr>
      <w:tr w:rsidR="001634C4" w:rsidRPr="00E2771E" w:rsidTr="000E35FC">
        <w:tc>
          <w:tcPr>
            <w:tcW w:w="1513" w:type="pct"/>
            <w:gridSpan w:val="2"/>
            <w:shd w:val="clear" w:color="auto" w:fill="auto"/>
            <w:vAlign w:val="center"/>
          </w:tcPr>
          <w:p w:rsidR="001634C4" w:rsidRPr="00E2771E" w:rsidRDefault="001634C4" w:rsidP="00C75C26">
            <w:pPr>
              <w:rPr>
                <w:rFonts w:ascii="Arial Narrow" w:hAnsi="Arial Narrow"/>
                <w:color w:val="000000"/>
                <w:sz w:val="20"/>
                <w:szCs w:val="18"/>
              </w:rPr>
            </w:pPr>
          </w:p>
        </w:tc>
        <w:tc>
          <w:tcPr>
            <w:tcW w:w="838" w:type="pct"/>
            <w:gridSpan w:val="4"/>
          </w:tcPr>
          <w:p w:rsidR="001634C4" w:rsidRPr="00E2771E" w:rsidRDefault="001634C4" w:rsidP="0026178A">
            <w:pPr>
              <w:jc w:val="center"/>
              <w:rPr>
                <w:rFonts w:ascii="Arial Narrow" w:hAnsi="Arial Narrow"/>
                <w:sz w:val="20"/>
              </w:rPr>
            </w:pPr>
            <w:proofErr w:type="spellStart"/>
            <w:r>
              <w:rPr>
                <w:rFonts w:ascii="Arial Narrow" w:hAnsi="Arial Narrow"/>
                <w:b/>
                <w:sz w:val="20"/>
              </w:rPr>
              <w:t>Nivo</w:t>
            </w:r>
            <w:proofErr w:type="spellEnd"/>
          </w:p>
        </w:tc>
        <w:tc>
          <w:tcPr>
            <w:tcW w:w="839" w:type="pct"/>
            <w:gridSpan w:val="4"/>
          </w:tcPr>
          <w:p w:rsidR="001634C4" w:rsidRPr="00E2771E" w:rsidRDefault="001634C4" w:rsidP="00C75C26">
            <w:pPr>
              <w:jc w:val="center"/>
              <w:rPr>
                <w:rFonts w:ascii="Arial Narrow" w:hAnsi="Arial Narrow"/>
                <w:sz w:val="20"/>
              </w:rPr>
            </w:pPr>
            <w:proofErr w:type="spellStart"/>
            <w:r>
              <w:rPr>
                <w:rFonts w:ascii="Arial Narrow" w:hAnsi="Arial Narrow"/>
                <w:b/>
                <w:sz w:val="20"/>
              </w:rPr>
              <w:t>Ipi</w:t>
            </w:r>
            <w:proofErr w:type="spellEnd"/>
          </w:p>
        </w:tc>
        <w:tc>
          <w:tcPr>
            <w:tcW w:w="980" w:type="pct"/>
            <w:gridSpan w:val="4"/>
            <w:vAlign w:val="center"/>
          </w:tcPr>
          <w:p w:rsidR="001634C4" w:rsidRPr="00E2771E" w:rsidRDefault="001634C4" w:rsidP="00C75C26">
            <w:pPr>
              <w:jc w:val="center"/>
              <w:rPr>
                <w:rFonts w:ascii="Arial Narrow" w:hAnsi="Arial Narrow"/>
                <w:color w:val="000000"/>
                <w:sz w:val="20"/>
                <w:szCs w:val="18"/>
              </w:rPr>
            </w:pPr>
          </w:p>
        </w:tc>
        <w:tc>
          <w:tcPr>
            <w:tcW w:w="830" w:type="pct"/>
            <w:vAlign w:val="center"/>
          </w:tcPr>
          <w:p w:rsidR="001634C4" w:rsidRPr="00E2771E" w:rsidRDefault="001634C4" w:rsidP="00C75C26">
            <w:pPr>
              <w:jc w:val="center"/>
              <w:rPr>
                <w:rFonts w:ascii="Arial Narrow" w:hAnsi="Arial Narrow"/>
                <w:sz w:val="20"/>
              </w:rPr>
            </w:pPr>
          </w:p>
        </w:tc>
      </w:tr>
      <w:tr w:rsidR="001634C4" w:rsidRPr="00E2771E" w:rsidTr="000E35FC">
        <w:tc>
          <w:tcPr>
            <w:tcW w:w="1513" w:type="pct"/>
            <w:gridSpan w:val="2"/>
            <w:shd w:val="clear" w:color="auto" w:fill="auto"/>
          </w:tcPr>
          <w:p w:rsidR="001634C4" w:rsidRPr="00E2771E" w:rsidRDefault="001634C4" w:rsidP="00C75C26">
            <w:pPr>
              <w:rPr>
                <w:rFonts w:ascii="Arial Narrow" w:hAnsi="Arial Narrow"/>
                <w:color w:val="000000"/>
                <w:sz w:val="20"/>
                <w:szCs w:val="18"/>
              </w:rPr>
            </w:pPr>
            <w:r>
              <w:rPr>
                <w:rFonts w:ascii="Arial Narrow" w:hAnsi="Arial Narrow"/>
                <w:sz w:val="20"/>
              </w:rPr>
              <w:t>Number of progressions</w:t>
            </w:r>
            <w:r w:rsidR="0026178A" w:rsidRPr="0026178A">
              <w:rPr>
                <w:rFonts w:ascii="Arial Narrow" w:hAnsi="Arial Narrow"/>
                <w:sz w:val="20"/>
              </w:rPr>
              <w:t xml:space="preserve"> n/N (%)</w:t>
            </w:r>
          </w:p>
        </w:tc>
        <w:tc>
          <w:tcPr>
            <w:tcW w:w="838" w:type="pct"/>
            <w:gridSpan w:val="4"/>
          </w:tcPr>
          <w:p w:rsidR="001634C4" w:rsidRPr="00E2771E" w:rsidRDefault="001634C4" w:rsidP="00C75C26">
            <w:pPr>
              <w:jc w:val="center"/>
              <w:rPr>
                <w:rFonts w:ascii="Arial Narrow" w:hAnsi="Arial Narrow"/>
                <w:sz w:val="20"/>
              </w:rPr>
            </w:pPr>
            <w:r>
              <w:rPr>
                <w:rFonts w:ascii="Arial Narrow" w:hAnsi="Arial Narrow"/>
                <w:sz w:val="20"/>
              </w:rPr>
              <w:t>42/95 (44.2)</w:t>
            </w:r>
          </w:p>
        </w:tc>
        <w:tc>
          <w:tcPr>
            <w:tcW w:w="839" w:type="pct"/>
            <w:gridSpan w:val="4"/>
          </w:tcPr>
          <w:p w:rsidR="001634C4" w:rsidRPr="00E2771E" w:rsidRDefault="001634C4" w:rsidP="00C75C26">
            <w:pPr>
              <w:jc w:val="center"/>
              <w:rPr>
                <w:rFonts w:ascii="Arial Narrow" w:hAnsi="Arial Narrow"/>
                <w:sz w:val="20"/>
              </w:rPr>
            </w:pPr>
            <w:r>
              <w:rPr>
                <w:rFonts w:ascii="Arial Narrow" w:hAnsi="Arial Narrow"/>
                <w:sz w:val="20"/>
              </w:rPr>
              <w:t>32/47 (68.1)</w:t>
            </w:r>
          </w:p>
        </w:tc>
        <w:tc>
          <w:tcPr>
            <w:tcW w:w="980" w:type="pct"/>
            <w:gridSpan w:val="4"/>
          </w:tcPr>
          <w:p w:rsidR="001634C4" w:rsidRPr="00E2771E" w:rsidRDefault="001634C4" w:rsidP="00C75C26">
            <w:pPr>
              <w:jc w:val="center"/>
              <w:rPr>
                <w:rFonts w:ascii="Arial Narrow" w:hAnsi="Arial Narrow"/>
                <w:color w:val="000000"/>
                <w:sz w:val="20"/>
                <w:szCs w:val="18"/>
              </w:rPr>
            </w:pPr>
          </w:p>
        </w:tc>
        <w:tc>
          <w:tcPr>
            <w:tcW w:w="830" w:type="pct"/>
          </w:tcPr>
          <w:p w:rsidR="001634C4" w:rsidRPr="00E2771E" w:rsidRDefault="001634C4" w:rsidP="00C75C26">
            <w:pPr>
              <w:jc w:val="center"/>
              <w:rPr>
                <w:rFonts w:ascii="Arial Narrow" w:hAnsi="Arial Narrow"/>
                <w:sz w:val="20"/>
              </w:rPr>
            </w:pPr>
          </w:p>
        </w:tc>
      </w:tr>
      <w:tr w:rsidR="001634C4" w:rsidRPr="00E2771E" w:rsidTr="000E35FC">
        <w:tc>
          <w:tcPr>
            <w:tcW w:w="1513" w:type="pct"/>
            <w:gridSpan w:val="2"/>
            <w:shd w:val="clear" w:color="auto" w:fill="auto"/>
          </w:tcPr>
          <w:p w:rsidR="001634C4" w:rsidRPr="00E2771E" w:rsidRDefault="001634C4" w:rsidP="00C75C26">
            <w:pPr>
              <w:rPr>
                <w:rFonts w:ascii="Arial Narrow" w:hAnsi="Arial Narrow"/>
                <w:color w:val="000000"/>
                <w:sz w:val="20"/>
                <w:szCs w:val="18"/>
              </w:rPr>
            </w:pPr>
            <w:r>
              <w:rPr>
                <w:rFonts w:ascii="Arial Narrow" w:hAnsi="Arial Narrow"/>
                <w:sz w:val="20"/>
              </w:rPr>
              <w:t>Median PFS (95% CI), months</w:t>
            </w:r>
          </w:p>
        </w:tc>
        <w:tc>
          <w:tcPr>
            <w:tcW w:w="838" w:type="pct"/>
            <w:gridSpan w:val="4"/>
          </w:tcPr>
          <w:p w:rsidR="001634C4" w:rsidRPr="00E2771E" w:rsidRDefault="001634C4" w:rsidP="00C75C26">
            <w:pPr>
              <w:jc w:val="center"/>
              <w:rPr>
                <w:rFonts w:ascii="Arial Narrow" w:hAnsi="Arial Narrow"/>
                <w:sz w:val="20"/>
              </w:rPr>
            </w:pPr>
            <w:r>
              <w:rPr>
                <w:rFonts w:ascii="Arial Narrow" w:hAnsi="Arial Narrow"/>
                <w:sz w:val="20"/>
              </w:rPr>
              <w:t>Not reached</w:t>
            </w:r>
          </w:p>
        </w:tc>
        <w:tc>
          <w:tcPr>
            <w:tcW w:w="839" w:type="pct"/>
            <w:gridSpan w:val="4"/>
          </w:tcPr>
          <w:p w:rsidR="001634C4" w:rsidRPr="00E2771E" w:rsidRDefault="001634C4" w:rsidP="000E35FC">
            <w:pPr>
              <w:jc w:val="center"/>
              <w:rPr>
                <w:rFonts w:ascii="Arial Narrow" w:hAnsi="Arial Narrow"/>
                <w:sz w:val="20"/>
              </w:rPr>
            </w:pPr>
            <w:r>
              <w:rPr>
                <w:rFonts w:ascii="Arial Narrow" w:hAnsi="Arial Narrow"/>
                <w:sz w:val="20"/>
              </w:rPr>
              <w:t>3.0</w:t>
            </w:r>
            <w:r w:rsidR="000E35FC">
              <w:rPr>
                <w:rFonts w:ascii="Arial Narrow" w:hAnsi="Arial Narrow"/>
                <w:sz w:val="20"/>
              </w:rPr>
              <w:t xml:space="preserve"> (2.8</w:t>
            </w:r>
            <w:r>
              <w:rPr>
                <w:rFonts w:ascii="Arial Narrow" w:hAnsi="Arial Narrow"/>
                <w:sz w:val="20"/>
              </w:rPr>
              <w:t>, 5.1)</w:t>
            </w:r>
          </w:p>
        </w:tc>
        <w:tc>
          <w:tcPr>
            <w:tcW w:w="980" w:type="pct"/>
            <w:gridSpan w:val="4"/>
          </w:tcPr>
          <w:p w:rsidR="001634C4" w:rsidRPr="00E2771E" w:rsidRDefault="001634C4" w:rsidP="00C75C26">
            <w:pPr>
              <w:jc w:val="center"/>
              <w:rPr>
                <w:rFonts w:ascii="Arial Narrow" w:hAnsi="Arial Narrow"/>
                <w:color w:val="000000"/>
                <w:sz w:val="20"/>
                <w:szCs w:val="18"/>
              </w:rPr>
            </w:pPr>
            <w:r>
              <w:rPr>
                <w:rFonts w:ascii="Arial Narrow" w:hAnsi="Arial Narrow"/>
                <w:color w:val="000000"/>
                <w:sz w:val="20"/>
                <w:szCs w:val="18"/>
              </w:rPr>
              <w:t>-</w:t>
            </w:r>
          </w:p>
        </w:tc>
        <w:tc>
          <w:tcPr>
            <w:tcW w:w="830" w:type="pct"/>
          </w:tcPr>
          <w:p w:rsidR="001634C4" w:rsidRPr="00E2771E" w:rsidRDefault="001634C4" w:rsidP="00C75C26">
            <w:pPr>
              <w:jc w:val="center"/>
              <w:rPr>
                <w:rFonts w:ascii="Arial Narrow" w:hAnsi="Arial Narrow"/>
                <w:sz w:val="20"/>
              </w:rPr>
            </w:pPr>
            <w:r>
              <w:rPr>
                <w:rFonts w:ascii="Arial Narrow" w:hAnsi="Arial Narrow"/>
                <w:sz w:val="20"/>
              </w:rPr>
              <w:t>0.39 (0.25, 0.63)</w:t>
            </w:r>
          </w:p>
        </w:tc>
      </w:tr>
      <w:tr w:rsidR="001634C4" w:rsidRPr="00E2771E" w:rsidTr="000E35FC">
        <w:tc>
          <w:tcPr>
            <w:tcW w:w="4170" w:type="pct"/>
            <w:gridSpan w:val="14"/>
            <w:shd w:val="clear" w:color="auto" w:fill="auto"/>
          </w:tcPr>
          <w:p w:rsidR="001634C4" w:rsidRDefault="001634C4" w:rsidP="001634C4">
            <w:pPr>
              <w:jc w:val="left"/>
              <w:rPr>
                <w:rFonts w:ascii="Arial Narrow" w:hAnsi="Arial Narrow"/>
                <w:sz w:val="20"/>
              </w:rPr>
            </w:pPr>
            <w:r>
              <w:rPr>
                <w:rFonts w:ascii="Arial Narrow" w:hAnsi="Arial Narrow"/>
                <w:b/>
                <w:sz w:val="20"/>
              </w:rPr>
              <w:t xml:space="preserve">PFS pooled </w:t>
            </w:r>
            <w:r w:rsidR="0026178A">
              <w:rPr>
                <w:rFonts w:ascii="Arial Narrow" w:hAnsi="Arial Narrow"/>
                <w:b/>
                <w:sz w:val="20"/>
              </w:rPr>
              <w:t>–</w:t>
            </w:r>
            <w:r>
              <w:rPr>
                <w:rFonts w:ascii="Arial Narrow" w:hAnsi="Arial Narrow"/>
                <w:b/>
                <w:sz w:val="20"/>
              </w:rPr>
              <w:t xml:space="preserve"> </w:t>
            </w:r>
            <w:proofErr w:type="spellStart"/>
            <w:r>
              <w:rPr>
                <w:rFonts w:ascii="Arial Narrow" w:hAnsi="Arial Narrow"/>
                <w:b/>
                <w:sz w:val="20"/>
              </w:rPr>
              <w:t>nivolumab</w:t>
            </w:r>
            <w:proofErr w:type="spellEnd"/>
          </w:p>
        </w:tc>
        <w:tc>
          <w:tcPr>
            <w:tcW w:w="830" w:type="pct"/>
          </w:tcPr>
          <w:p w:rsidR="001634C4" w:rsidRDefault="001634C4" w:rsidP="00C75C26">
            <w:pPr>
              <w:jc w:val="center"/>
              <w:rPr>
                <w:rFonts w:ascii="Arial Narrow" w:hAnsi="Arial Narrow"/>
                <w:sz w:val="20"/>
              </w:rPr>
            </w:pPr>
            <w:r>
              <w:rPr>
                <w:rFonts w:ascii="Arial Narrow" w:hAnsi="Arial Narrow"/>
                <w:sz w:val="20"/>
              </w:rPr>
              <w:t>0.42 (0.35, 0.51)</w:t>
            </w:r>
          </w:p>
        </w:tc>
      </w:tr>
      <w:tr w:rsidR="001634C4" w:rsidRPr="00E2771E" w:rsidTr="001634C4">
        <w:tc>
          <w:tcPr>
            <w:tcW w:w="5000" w:type="pct"/>
            <w:gridSpan w:val="15"/>
            <w:shd w:val="clear" w:color="auto" w:fill="auto"/>
          </w:tcPr>
          <w:p w:rsidR="001634C4" w:rsidRDefault="001634C4" w:rsidP="00C75C26">
            <w:pPr>
              <w:jc w:val="left"/>
              <w:rPr>
                <w:rFonts w:ascii="Arial Narrow" w:hAnsi="Arial Narrow"/>
                <w:sz w:val="20"/>
              </w:rPr>
            </w:pPr>
            <w:r>
              <w:rPr>
                <w:rFonts w:ascii="Arial Narrow" w:hAnsi="Arial Narrow"/>
                <w:b/>
                <w:sz w:val="20"/>
              </w:rPr>
              <w:t xml:space="preserve">PFS – KN-006 </w:t>
            </w:r>
            <w:proofErr w:type="spellStart"/>
            <w:r>
              <w:rPr>
                <w:rFonts w:ascii="Arial Narrow" w:hAnsi="Arial Narrow"/>
                <w:b/>
                <w:sz w:val="20"/>
              </w:rPr>
              <w:t>Pembro</w:t>
            </w:r>
            <w:proofErr w:type="spellEnd"/>
            <w:r>
              <w:rPr>
                <w:rFonts w:ascii="Arial Narrow" w:hAnsi="Arial Narrow"/>
                <w:b/>
                <w:sz w:val="20"/>
              </w:rPr>
              <w:t xml:space="preserve"> Q2W</w:t>
            </w:r>
          </w:p>
        </w:tc>
      </w:tr>
      <w:tr w:rsidR="001634C4" w:rsidRPr="00E2771E" w:rsidTr="000E35FC">
        <w:tc>
          <w:tcPr>
            <w:tcW w:w="1513" w:type="pct"/>
            <w:gridSpan w:val="2"/>
            <w:shd w:val="clear" w:color="auto" w:fill="auto"/>
            <w:vAlign w:val="center"/>
          </w:tcPr>
          <w:p w:rsidR="001634C4" w:rsidRDefault="001634C4" w:rsidP="00C75C26">
            <w:pPr>
              <w:rPr>
                <w:rFonts w:ascii="Arial Narrow" w:hAnsi="Arial Narrow"/>
                <w:sz w:val="20"/>
              </w:rPr>
            </w:pPr>
          </w:p>
        </w:tc>
        <w:tc>
          <w:tcPr>
            <w:tcW w:w="838" w:type="pct"/>
            <w:gridSpan w:val="4"/>
          </w:tcPr>
          <w:p w:rsidR="001634C4" w:rsidRPr="008C0997" w:rsidRDefault="001634C4" w:rsidP="0026178A">
            <w:pPr>
              <w:jc w:val="center"/>
              <w:rPr>
                <w:rFonts w:ascii="Arial Narrow" w:hAnsi="Arial Narrow"/>
                <w:b/>
                <w:sz w:val="20"/>
              </w:rPr>
            </w:pPr>
            <w:proofErr w:type="spellStart"/>
            <w:r>
              <w:rPr>
                <w:rFonts w:ascii="Arial Narrow" w:hAnsi="Arial Narrow"/>
                <w:b/>
                <w:sz w:val="20"/>
              </w:rPr>
              <w:t>Pembro</w:t>
            </w:r>
            <w:proofErr w:type="spellEnd"/>
            <w:r>
              <w:rPr>
                <w:rFonts w:ascii="Arial Narrow" w:hAnsi="Arial Narrow"/>
                <w:b/>
                <w:sz w:val="20"/>
              </w:rPr>
              <w:t xml:space="preserve"> Q2W</w:t>
            </w:r>
          </w:p>
        </w:tc>
        <w:tc>
          <w:tcPr>
            <w:tcW w:w="833" w:type="pct"/>
            <w:gridSpan w:val="3"/>
          </w:tcPr>
          <w:p w:rsidR="001634C4" w:rsidRDefault="001634C4" w:rsidP="00C75C26">
            <w:pPr>
              <w:jc w:val="center"/>
              <w:rPr>
                <w:rFonts w:ascii="Arial Narrow" w:hAnsi="Arial Narrow"/>
                <w:sz w:val="20"/>
              </w:rPr>
            </w:pPr>
            <w:proofErr w:type="spellStart"/>
            <w:r>
              <w:rPr>
                <w:rFonts w:ascii="Arial Narrow" w:hAnsi="Arial Narrow"/>
                <w:b/>
                <w:sz w:val="20"/>
              </w:rPr>
              <w:t>Ipi</w:t>
            </w:r>
            <w:proofErr w:type="spellEnd"/>
          </w:p>
        </w:tc>
        <w:tc>
          <w:tcPr>
            <w:tcW w:w="986" w:type="pct"/>
            <w:gridSpan w:val="5"/>
            <w:vAlign w:val="center"/>
          </w:tcPr>
          <w:p w:rsidR="001634C4" w:rsidRDefault="001634C4" w:rsidP="00C75C26">
            <w:pPr>
              <w:jc w:val="center"/>
              <w:rPr>
                <w:rFonts w:ascii="Arial Narrow" w:hAnsi="Arial Narrow"/>
                <w:sz w:val="20"/>
              </w:rPr>
            </w:pPr>
          </w:p>
        </w:tc>
        <w:tc>
          <w:tcPr>
            <w:tcW w:w="830" w:type="pct"/>
            <w:vAlign w:val="center"/>
          </w:tcPr>
          <w:p w:rsidR="001634C4" w:rsidRDefault="001634C4" w:rsidP="00C75C26">
            <w:pPr>
              <w:jc w:val="center"/>
              <w:rPr>
                <w:rFonts w:ascii="Arial Narrow" w:hAnsi="Arial Narrow"/>
                <w:sz w:val="20"/>
              </w:rPr>
            </w:pPr>
          </w:p>
        </w:tc>
      </w:tr>
      <w:tr w:rsidR="001634C4" w:rsidRPr="00E2771E" w:rsidTr="000E35FC">
        <w:tc>
          <w:tcPr>
            <w:tcW w:w="1513" w:type="pct"/>
            <w:gridSpan w:val="2"/>
            <w:shd w:val="clear" w:color="auto" w:fill="auto"/>
          </w:tcPr>
          <w:p w:rsidR="001634C4" w:rsidRDefault="001634C4" w:rsidP="00C75C26">
            <w:pPr>
              <w:rPr>
                <w:rFonts w:ascii="Arial Narrow" w:hAnsi="Arial Narrow"/>
                <w:sz w:val="20"/>
              </w:rPr>
            </w:pPr>
            <w:r>
              <w:rPr>
                <w:rFonts w:ascii="Arial Narrow" w:hAnsi="Arial Narrow"/>
                <w:sz w:val="20"/>
              </w:rPr>
              <w:t>Number of progressions</w:t>
            </w:r>
            <w:r w:rsidR="0026178A" w:rsidRPr="0026178A">
              <w:rPr>
                <w:rFonts w:ascii="Arial Narrow" w:hAnsi="Arial Narrow"/>
                <w:sz w:val="20"/>
              </w:rPr>
              <w:t xml:space="preserve"> n/N (%)</w:t>
            </w:r>
          </w:p>
        </w:tc>
        <w:tc>
          <w:tcPr>
            <w:tcW w:w="838" w:type="pct"/>
            <w:gridSpan w:val="4"/>
          </w:tcPr>
          <w:p w:rsidR="001634C4" w:rsidRDefault="001634C4" w:rsidP="00C75C26">
            <w:pPr>
              <w:jc w:val="center"/>
              <w:rPr>
                <w:rFonts w:ascii="Arial Narrow" w:hAnsi="Arial Narrow"/>
                <w:sz w:val="20"/>
              </w:rPr>
            </w:pPr>
            <w:r>
              <w:rPr>
                <w:rFonts w:ascii="Arial Narrow" w:hAnsi="Arial Narrow"/>
                <w:sz w:val="20"/>
              </w:rPr>
              <w:t>NR</w:t>
            </w:r>
          </w:p>
        </w:tc>
        <w:tc>
          <w:tcPr>
            <w:tcW w:w="833" w:type="pct"/>
            <w:gridSpan w:val="3"/>
          </w:tcPr>
          <w:p w:rsidR="001634C4" w:rsidRDefault="001634C4" w:rsidP="00C75C26">
            <w:pPr>
              <w:jc w:val="center"/>
              <w:rPr>
                <w:rFonts w:ascii="Arial Narrow" w:hAnsi="Arial Narrow"/>
                <w:sz w:val="20"/>
              </w:rPr>
            </w:pPr>
            <w:r>
              <w:rPr>
                <w:rFonts w:ascii="Arial Narrow" w:hAnsi="Arial Narrow"/>
                <w:sz w:val="20"/>
              </w:rPr>
              <w:t>NR</w:t>
            </w:r>
          </w:p>
        </w:tc>
        <w:tc>
          <w:tcPr>
            <w:tcW w:w="986" w:type="pct"/>
            <w:gridSpan w:val="5"/>
          </w:tcPr>
          <w:p w:rsidR="001634C4" w:rsidRDefault="001634C4" w:rsidP="00C75C26">
            <w:pPr>
              <w:jc w:val="center"/>
              <w:rPr>
                <w:rFonts w:ascii="Arial Narrow" w:hAnsi="Arial Narrow"/>
                <w:sz w:val="20"/>
              </w:rPr>
            </w:pPr>
          </w:p>
        </w:tc>
        <w:tc>
          <w:tcPr>
            <w:tcW w:w="830" w:type="pct"/>
          </w:tcPr>
          <w:p w:rsidR="001634C4" w:rsidRDefault="001634C4" w:rsidP="00C75C26">
            <w:pPr>
              <w:jc w:val="center"/>
              <w:rPr>
                <w:rFonts w:ascii="Arial Narrow" w:hAnsi="Arial Narrow"/>
                <w:sz w:val="20"/>
              </w:rPr>
            </w:pPr>
          </w:p>
        </w:tc>
      </w:tr>
      <w:tr w:rsidR="001634C4" w:rsidRPr="00E2771E" w:rsidTr="000E35FC">
        <w:tc>
          <w:tcPr>
            <w:tcW w:w="1513" w:type="pct"/>
            <w:gridSpan w:val="2"/>
            <w:shd w:val="clear" w:color="auto" w:fill="auto"/>
          </w:tcPr>
          <w:p w:rsidR="001634C4" w:rsidRDefault="001634C4" w:rsidP="00C75C26">
            <w:pPr>
              <w:rPr>
                <w:rFonts w:ascii="Arial Narrow" w:hAnsi="Arial Narrow"/>
                <w:sz w:val="20"/>
              </w:rPr>
            </w:pPr>
            <w:r>
              <w:rPr>
                <w:rFonts w:ascii="Arial Narrow" w:hAnsi="Arial Narrow"/>
                <w:sz w:val="20"/>
              </w:rPr>
              <w:t>Median PFS (95% CI), months</w:t>
            </w:r>
          </w:p>
        </w:tc>
        <w:tc>
          <w:tcPr>
            <w:tcW w:w="838" w:type="pct"/>
            <w:gridSpan w:val="4"/>
          </w:tcPr>
          <w:p w:rsidR="001634C4" w:rsidRPr="000E35FC" w:rsidRDefault="001634C4" w:rsidP="00C75C26">
            <w:pPr>
              <w:jc w:val="center"/>
              <w:rPr>
                <w:rFonts w:ascii="Arial Narrow" w:hAnsi="Arial Narrow"/>
                <w:sz w:val="20"/>
              </w:rPr>
            </w:pPr>
            <w:r w:rsidRPr="000E35FC">
              <w:rPr>
                <w:rFonts w:ascii="Arial Narrow" w:hAnsi="Arial Narrow"/>
                <w:sz w:val="20"/>
              </w:rPr>
              <w:t>5.5 (3.4, 6.9)*</w:t>
            </w:r>
          </w:p>
        </w:tc>
        <w:tc>
          <w:tcPr>
            <w:tcW w:w="833" w:type="pct"/>
            <w:gridSpan w:val="3"/>
          </w:tcPr>
          <w:p w:rsidR="001634C4" w:rsidRDefault="001634C4" w:rsidP="00C75C26">
            <w:pPr>
              <w:jc w:val="center"/>
              <w:rPr>
                <w:rFonts w:ascii="Arial Narrow" w:hAnsi="Arial Narrow"/>
                <w:sz w:val="20"/>
              </w:rPr>
            </w:pPr>
            <w:r>
              <w:rPr>
                <w:rFonts w:ascii="Arial Narrow" w:hAnsi="Arial Narrow"/>
                <w:sz w:val="20"/>
              </w:rPr>
              <w:t>2.8 (2.8,</w:t>
            </w:r>
            <w:r w:rsidR="000E35FC">
              <w:rPr>
                <w:rFonts w:ascii="Arial Narrow" w:hAnsi="Arial Narrow"/>
                <w:sz w:val="20"/>
              </w:rPr>
              <w:t xml:space="preserve"> </w:t>
            </w:r>
            <w:r>
              <w:rPr>
                <w:rFonts w:ascii="Arial Narrow" w:hAnsi="Arial Narrow"/>
                <w:sz w:val="20"/>
              </w:rPr>
              <w:t>2.9)</w:t>
            </w:r>
          </w:p>
        </w:tc>
        <w:tc>
          <w:tcPr>
            <w:tcW w:w="986" w:type="pct"/>
            <w:gridSpan w:val="5"/>
          </w:tcPr>
          <w:p w:rsidR="001634C4" w:rsidRDefault="001634C4" w:rsidP="00C75C26">
            <w:pPr>
              <w:jc w:val="center"/>
              <w:rPr>
                <w:rFonts w:ascii="Arial Narrow" w:hAnsi="Arial Narrow"/>
                <w:sz w:val="20"/>
              </w:rPr>
            </w:pPr>
            <w:r>
              <w:rPr>
                <w:rFonts w:ascii="Arial Narrow" w:hAnsi="Arial Narrow"/>
                <w:sz w:val="20"/>
              </w:rPr>
              <w:t>2.7</w:t>
            </w:r>
          </w:p>
        </w:tc>
        <w:tc>
          <w:tcPr>
            <w:tcW w:w="830" w:type="pct"/>
          </w:tcPr>
          <w:p w:rsidR="001634C4" w:rsidRDefault="001634C4" w:rsidP="00C75C26">
            <w:pPr>
              <w:jc w:val="center"/>
              <w:rPr>
                <w:rFonts w:ascii="Arial Narrow" w:hAnsi="Arial Narrow"/>
                <w:sz w:val="20"/>
              </w:rPr>
            </w:pPr>
            <w:r>
              <w:rPr>
                <w:rFonts w:ascii="Arial Narrow" w:hAnsi="Arial Narrow"/>
                <w:sz w:val="20"/>
              </w:rPr>
              <w:t>0.58 (0.46, 0.72)</w:t>
            </w:r>
          </w:p>
        </w:tc>
      </w:tr>
      <w:tr w:rsidR="001634C4" w:rsidRPr="00E2771E" w:rsidTr="001634C4">
        <w:tc>
          <w:tcPr>
            <w:tcW w:w="5000" w:type="pct"/>
            <w:gridSpan w:val="15"/>
            <w:shd w:val="clear" w:color="auto" w:fill="auto"/>
            <w:vAlign w:val="center"/>
          </w:tcPr>
          <w:p w:rsidR="001634C4" w:rsidRDefault="001634C4" w:rsidP="00C75C26">
            <w:pPr>
              <w:jc w:val="left"/>
              <w:rPr>
                <w:rFonts w:ascii="Arial Narrow" w:hAnsi="Arial Narrow"/>
                <w:sz w:val="20"/>
              </w:rPr>
            </w:pPr>
            <w:r>
              <w:rPr>
                <w:rFonts w:ascii="Arial Narrow" w:hAnsi="Arial Narrow"/>
                <w:b/>
                <w:sz w:val="20"/>
              </w:rPr>
              <w:t xml:space="preserve">PFS – KN-006 </w:t>
            </w:r>
            <w:proofErr w:type="spellStart"/>
            <w:r>
              <w:rPr>
                <w:rFonts w:ascii="Arial Narrow" w:hAnsi="Arial Narrow"/>
                <w:b/>
                <w:sz w:val="20"/>
              </w:rPr>
              <w:t>Pembro</w:t>
            </w:r>
            <w:proofErr w:type="spellEnd"/>
            <w:r>
              <w:rPr>
                <w:rFonts w:ascii="Arial Narrow" w:hAnsi="Arial Narrow"/>
                <w:b/>
                <w:sz w:val="20"/>
              </w:rPr>
              <w:t xml:space="preserve"> Q3W</w:t>
            </w:r>
          </w:p>
        </w:tc>
      </w:tr>
      <w:tr w:rsidR="001634C4" w:rsidRPr="00E2771E" w:rsidTr="000E35FC">
        <w:tc>
          <w:tcPr>
            <w:tcW w:w="1513" w:type="pct"/>
            <w:gridSpan w:val="2"/>
            <w:shd w:val="clear" w:color="auto" w:fill="auto"/>
            <w:vAlign w:val="center"/>
          </w:tcPr>
          <w:p w:rsidR="001634C4" w:rsidRDefault="001634C4" w:rsidP="00C75C26">
            <w:pPr>
              <w:rPr>
                <w:rFonts w:ascii="Arial Narrow" w:hAnsi="Arial Narrow"/>
                <w:sz w:val="20"/>
              </w:rPr>
            </w:pPr>
          </w:p>
        </w:tc>
        <w:tc>
          <w:tcPr>
            <w:tcW w:w="830" w:type="pct"/>
            <w:gridSpan w:val="3"/>
          </w:tcPr>
          <w:p w:rsidR="001634C4" w:rsidRPr="008C0997" w:rsidRDefault="001634C4" w:rsidP="0026178A">
            <w:pPr>
              <w:jc w:val="center"/>
              <w:rPr>
                <w:rFonts w:ascii="Arial Narrow" w:hAnsi="Arial Narrow"/>
                <w:b/>
                <w:sz w:val="20"/>
              </w:rPr>
            </w:pPr>
            <w:proofErr w:type="spellStart"/>
            <w:r>
              <w:rPr>
                <w:rFonts w:ascii="Arial Narrow" w:hAnsi="Arial Narrow"/>
                <w:b/>
                <w:sz w:val="20"/>
              </w:rPr>
              <w:t>Pembro</w:t>
            </w:r>
            <w:proofErr w:type="spellEnd"/>
            <w:r>
              <w:rPr>
                <w:rFonts w:ascii="Arial Narrow" w:hAnsi="Arial Narrow"/>
                <w:b/>
                <w:sz w:val="20"/>
              </w:rPr>
              <w:t xml:space="preserve"> Q3W</w:t>
            </w:r>
          </w:p>
        </w:tc>
        <w:tc>
          <w:tcPr>
            <w:tcW w:w="833" w:type="pct"/>
            <w:gridSpan w:val="3"/>
          </w:tcPr>
          <w:p w:rsidR="001634C4" w:rsidRDefault="001634C4" w:rsidP="00C75C26">
            <w:pPr>
              <w:jc w:val="center"/>
              <w:rPr>
                <w:rFonts w:ascii="Arial Narrow" w:hAnsi="Arial Narrow"/>
                <w:sz w:val="20"/>
              </w:rPr>
            </w:pPr>
            <w:proofErr w:type="spellStart"/>
            <w:r>
              <w:rPr>
                <w:rFonts w:ascii="Arial Narrow" w:hAnsi="Arial Narrow"/>
                <w:b/>
                <w:sz w:val="20"/>
              </w:rPr>
              <w:t>Ipi</w:t>
            </w:r>
            <w:proofErr w:type="spellEnd"/>
          </w:p>
        </w:tc>
        <w:tc>
          <w:tcPr>
            <w:tcW w:w="994" w:type="pct"/>
            <w:gridSpan w:val="6"/>
            <w:vAlign w:val="center"/>
          </w:tcPr>
          <w:p w:rsidR="001634C4" w:rsidRDefault="001634C4" w:rsidP="00C75C26">
            <w:pPr>
              <w:jc w:val="center"/>
              <w:rPr>
                <w:rFonts w:ascii="Arial Narrow" w:hAnsi="Arial Narrow"/>
                <w:sz w:val="20"/>
              </w:rPr>
            </w:pPr>
          </w:p>
        </w:tc>
        <w:tc>
          <w:tcPr>
            <w:tcW w:w="830" w:type="pct"/>
            <w:vAlign w:val="center"/>
          </w:tcPr>
          <w:p w:rsidR="001634C4" w:rsidRDefault="001634C4" w:rsidP="00C75C26">
            <w:pPr>
              <w:jc w:val="center"/>
              <w:rPr>
                <w:rFonts w:ascii="Arial Narrow" w:hAnsi="Arial Narrow"/>
                <w:sz w:val="20"/>
              </w:rPr>
            </w:pPr>
          </w:p>
        </w:tc>
      </w:tr>
      <w:tr w:rsidR="001634C4" w:rsidRPr="00E2771E" w:rsidTr="000E35FC">
        <w:tc>
          <w:tcPr>
            <w:tcW w:w="1513" w:type="pct"/>
            <w:gridSpan w:val="2"/>
            <w:shd w:val="clear" w:color="auto" w:fill="auto"/>
          </w:tcPr>
          <w:p w:rsidR="001634C4" w:rsidRDefault="001634C4" w:rsidP="00C75C26">
            <w:pPr>
              <w:rPr>
                <w:rFonts w:ascii="Arial Narrow" w:hAnsi="Arial Narrow"/>
                <w:sz w:val="20"/>
              </w:rPr>
            </w:pPr>
            <w:r>
              <w:rPr>
                <w:rFonts w:ascii="Arial Narrow" w:hAnsi="Arial Narrow"/>
                <w:sz w:val="20"/>
              </w:rPr>
              <w:t>Number of progressions</w:t>
            </w:r>
            <w:r w:rsidR="0026178A" w:rsidRPr="0026178A">
              <w:rPr>
                <w:rFonts w:ascii="Arial Narrow" w:hAnsi="Arial Narrow"/>
                <w:sz w:val="20"/>
              </w:rPr>
              <w:t xml:space="preserve"> n/N (%)</w:t>
            </w:r>
          </w:p>
        </w:tc>
        <w:tc>
          <w:tcPr>
            <w:tcW w:w="830" w:type="pct"/>
            <w:gridSpan w:val="3"/>
          </w:tcPr>
          <w:p w:rsidR="001634C4" w:rsidRDefault="001634C4" w:rsidP="00C75C26">
            <w:pPr>
              <w:jc w:val="center"/>
              <w:rPr>
                <w:rFonts w:ascii="Arial Narrow" w:hAnsi="Arial Narrow"/>
                <w:sz w:val="20"/>
              </w:rPr>
            </w:pPr>
            <w:r>
              <w:rPr>
                <w:rFonts w:ascii="Arial Narrow" w:hAnsi="Arial Narrow"/>
                <w:sz w:val="20"/>
              </w:rPr>
              <w:t>NR</w:t>
            </w:r>
          </w:p>
        </w:tc>
        <w:tc>
          <w:tcPr>
            <w:tcW w:w="833" w:type="pct"/>
            <w:gridSpan w:val="3"/>
          </w:tcPr>
          <w:p w:rsidR="001634C4" w:rsidRDefault="001634C4" w:rsidP="00C75C26">
            <w:pPr>
              <w:jc w:val="center"/>
              <w:rPr>
                <w:rFonts w:ascii="Arial Narrow" w:hAnsi="Arial Narrow"/>
                <w:sz w:val="20"/>
              </w:rPr>
            </w:pPr>
            <w:r>
              <w:rPr>
                <w:rFonts w:ascii="Arial Narrow" w:hAnsi="Arial Narrow"/>
                <w:sz w:val="20"/>
              </w:rPr>
              <w:t>NR</w:t>
            </w:r>
          </w:p>
        </w:tc>
        <w:tc>
          <w:tcPr>
            <w:tcW w:w="994" w:type="pct"/>
            <w:gridSpan w:val="6"/>
          </w:tcPr>
          <w:p w:rsidR="001634C4" w:rsidRDefault="001634C4" w:rsidP="00C75C26">
            <w:pPr>
              <w:jc w:val="center"/>
              <w:rPr>
                <w:rFonts w:ascii="Arial Narrow" w:hAnsi="Arial Narrow"/>
                <w:sz w:val="20"/>
              </w:rPr>
            </w:pPr>
          </w:p>
        </w:tc>
        <w:tc>
          <w:tcPr>
            <w:tcW w:w="830" w:type="pct"/>
          </w:tcPr>
          <w:p w:rsidR="001634C4" w:rsidRDefault="001634C4" w:rsidP="00C75C26">
            <w:pPr>
              <w:jc w:val="center"/>
              <w:rPr>
                <w:rFonts w:ascii="Arial Narrow" w:hAnsi="Arial Narrow"/>
                <w:sz w:val="20"/>
              </w:rPr>
            </w:pPr>
          </w:p>
        </w:tc>
      </w:tr>
      <w:tr w:rsidR="001634C4" w:rsidRPr="00E2771E" w:rsidTr="000E35FC">
        <w:tc>
          <w:tcPr>
            <w:tcW w:w="1513" w:type="pct"/>
            <w:gridSpan w:val="2"/>
            <w:shd w:val="clear" w:color="auto" w:fill="auto"/>
          </w:tcPr>
          <w:p w:rsidR="001634C4" w:rsidRDefault="001634C4" w:rsidP="00C75C26">
            <w:pPr>
              <w:rPr>
                <w:rFonts w:ascii="Arial Narrow" w:hAnsi="Arial Narrow"/>
                <w:sz w:val="20"/>
              </w:rPr>
            </w:pPr>
            <w:r>
              <w:rPr>
                <w:rFonts w:ascii="Arial Narrow" w:hAnsi="Arial Narrow"/>
                <w:sz w:val="20"/>
              </w:rPr>
              <w:t>Median PFS (95% CI), months</w:t>
            </w:r>
          </w:p>
        </w:tc>
        <w:tc>
          <w:tcPr>
            <w:tcW w:w="830" w:type="pct"/>
            <w:gridSpan w:val="3"/>
          </w:tcPr>
          <w:p w:rsidR="001634C4" w:rsidRDefault="001634C4" w:rsidP="00C75C26">
            <w:pPr>
              <w:jc w:val="center"/>
              <w:rPr>
                <w:rFonts w:ascii="Arial Narrow" w:hAnsi="Arial Narrow"/>
                <w:sz w:val="20"/>
              </w:rPr>
            </w:pPr>
            <w:r>
              <w:rPr>
                <w:rFonts w:ascii="Arial Narrow" w:hAnsi="Arial Narrow"/>
                <w:sz w:val="20"/>
              </w:rPr>
              <w:t>4.1 (2.9, 6.9)</w:t>
            </w:r>
          </w:p>
        </w:tc>
        <w:tc>
          <w:tcPr>
            <w:tcW w:w="833" w:type="pct"/>
            <w:gridSpan w:val="3"/>
          </w:tcPr>
          <w:p w:rsidR="001634C4" w:rsidRDefault="001634C4" w:rsidP="00C75C26">
            <w:pPr>
              <w:jc w:val="center"/>
              <w:rPr>
                <w:rFonts w:ascii="Arial Narrow" w:hAnsi="Arial Narrow"/>
                <w:sz w:val="20"/>
              </w:rPr>
            </w:pPr>
            <w:r>
              <w:rPr>
                <w:rFonts w:ascii="Arial Narrow" w:hAnsi="Arial Narrow"/>
                <w:sz w:val="20"/>
              </w:rPr>
              <w:t>2.8 (2.8,</w:t>
            </w:r>
            <w:r w:rsidR="000E35FC">
              <w:rPr>
                <w:rFonts w:ascii="Arial Narrow" w:hAnsi="Arial Narrow"/>
                <w:sz w:val="20"/>
              </w:rPr>
              <w:t xml:space="preserve"> </w:t>
            </w:r>
            <w:r>
              <w:rPr>
                <w:rFonts w:ascii="Arial Narrow" w:hAnsi="Arial Narrow"/>
                <w:sz w:val="20"/>
              </w:rPr>
              <w:t>2.9)</w:t>
            </w:r>
          </w:p>
        </w:tc>
        <w:tc>
          <w:tcPr>
            <w:tcW w:w="994" w:type="pct"/>
            <w:gridSpan w:val="6"/>
          </w:tcPr>
          <w:p w:rsidR="001634C4" w:rsidRDefault="001634C4" w:rsidP="00C75C26">
            <w:pPr>
              <w:jc w:val="center"/>
              <w:rPr>
                <w:rFonts w:ascii="Arial Narrow" w:hAnsi="Arial Narrow"/>
                <w:sz w:val="20"/>
              </w:rPr>
            </w:pPr>
            <w:r>
              <w:rPr>
                <w:rFonts w:ascii="Arial Narrow" w:hAnsi="Arial Narrow"/>
                <w:sz w:val="20"/>
              </w:rPr>
              <w:t>1.3</w:t>
            </w:r>
          </w:p>
        </w:tc>
        <w:tc>
          <w:tcPr>
            <w:tcW w:w="830" w:type="pct"/>
          </w:tcPr>
          <w:p w:rsidR="001634C4" w:rsidRDefault="001634C4" w:rsidP="00C75C26">
            <w:pPr>
              <w:jc w:val="center"/>
              <w:rPr>
                <w:rFonts w:ascii="Arial Narrow" w:hAnsi="Arial Narrow"/>
                <w:sz w:val="20"/>
              </w:rPr>
            </w:pPr>
            <w:r>
              <w:rPr>
                <w:rFonts w:ascii="Arial Narrow" w:hAnsi="Arial Narrow"/>
                <w:sz w:val="20"/>
              </w:rPr>
              <w:t>0.58 (0.47, 0.72)</w:t>
            </w:r>
          </w:p>
        </w:tc>
      </w:tr>
      <w:tr w:rsidR="001634C4" w:rsidRPr="00E2771E" w:rsidTr="000E35FC">
        <w:tc>
          <w:tcPr>
            <w:tcW w:w="4170" w:type="pct"/>
            <w:gridSpan w:val="14"/>
            <w:shd w:val="clear" w:color="auto" w:fill="auto"/>
            <w:vAlign w:val="center"/>
          </w:tcPr>
          <w:p w:rsidR="001634C4" w:rsidRDefault="001634C4" w:rsidP="00C75C26">
            <w:pPr>
              <w:jc w:val="left"/>
              <w:rPr>
                <w:rFonts w:ascii="Arial Narrow" w:hAnsi="Arial Narrow"/>
                <w:sz w:val="20"/>
              </w:rPr>
            </w:pPr>
            <w:r>
              <w:rPr>
                <w:rFonts w:ascii="Arial Narrow" w:hAnsi="Arial Narrow"/>
                <w:b/>
                <w:sz w:val="20"/>
              </w:rPr>
              <w:t xml:space="preserve">Indirect comparison PFS – </w:t>
            </w:r>
            <w:proofErr w:type="spellStart"/>
            <w:r>
              <w:rPr>
                <w:rFonts w:ascii="Arial Narrow" w:hAnsi="Arial Narrow"/>
                <w:b/>
                <w:sz w:val="20"/>
              </w:rPr>
              <w:t>Nivo</w:t>
            </w:r>
            <w:proofErr w:type="spellEnd"/>
            <w:r>
              <w:rPr>
                <w:rFonts w:ascii="Arial Narrow" w:hAnsi="Arial Narrow"/>
                <w:b/>
                <w:sz w:val="20"/>
              </w:rPr>
              <w:t xml:space="preserve"> + </w:t>
            </w:r>
            <w:proofErr w:type="spellStart"/>
            <w:r>
              <w:rPr>
                <w:rFonts w:ascii="Arial Narrow" w:hAnsi="Arial Narrow"/>
                <w:b/>
                <w:sz w:val="20"/>
              </w:rPr>
              <w:t>Ipi</w:t>
            </w:r>
            <w:proofErr w:type="spellEnd"/>
            <w:r>
              <w:rPr>
                <w:rFonts w:ascii="Arial Narrow" w:hAnsi="Arial Narrow"/>
                <w:b/>
                <w:sz w:val="20"/>
              </w:rPr>
              <w:t xml:space="preserve"> vs </w:t>
            </w:r>
            <w:proofErr w:type="spellStart"/>
            <w:r>
              <w:rPr>
                <w:rFonts w:ascii="Arial Narrow" w:hAnsi="Arial Narrow"/>
                <w:b/>
                <w:sz w:val="20"/>
              </w:rPr>
              <w:t>Pembro</w:t>
            </w:r>
            <w:proofErr w:type="spellEnd"/>
            <w:r>
              <w:rPr>
                <w:rFonts w:ascii="Arial Narrow" w:hAnsi="Arial Narrow"/>
                <w:b/>
                <w:sz w:val="20"/>
              </w:rPr>
              <w:t xml:space="preserve"> Q2W</w:t>
            </w:r>
          </w:p>
        </w:tc>
        <w:tc>
          <w:tcPr>
            <w:tcW w:w="830" w:type="pct"/>
          </w:tcPr>
          <w:p w:rsidR="001634C4" w:rsidRDefault="001634C4" w:rsidP="00C75C26">
            <w:pPr>
              <w:jc w:val="center"/>
              <w:rPr>
                <w:rFonts w:ascii="Arial Narrow" w:hAnsi="Arial Narrow"/>
                <w:sz w:val="20"/>
              </w:rPr>
            </w:pPr>
            <w:r>
              <w:rPr>
                <w:rFonts w:ascii="Arial Narrow" w:hAnsi="Arial Narrow"/>
                <w:sz w:val="20"/>
              </w:rPr>
              <w:t>0.72 (0.54, 0.97)</w:t>
            </w:r>
          </w:p>
        </w:tc>
      </w:tr>
      <w:tr w:rsidR="001634C4" w:rsidRPr="00E2771E" w:rsidTr="000E35FC">
        <w:tc>
          <w:tcPr>
            <w:tcW w:w="4170" w:type="pct"/>
            <w:gridSpan w:val="14"/>
            <w:shd w:val="clear" w:color="auto" w:fill="auto"/>
            <w:vAlign w:val="center"/>
          </w:tcPr>
          <w:p w:rsidR="001634C4" w:rsidRPr="00673A97" w:rsidRDefault="001634C4" w:rsidP="00C75C26">
            <w:pPr>
              <w:jc w:val="left"/>
              <w:rPr>
                <w:rFonts w:ascii="Arial Narrow" w:hAnsi="Arial Narrow"/>
                <w:b/>
                <w:color w:val="000000"/>
                <w:sz w:val="20"/>
                <w:szCs w:val="18"/>
              </w:rPr>
            </w:pPr>
            <w:r>
              <w:rPr>
                <w:rFonts w:ascii="Arial Narrow" w:hAnsi="Arial Narrow"/>
                <w:b/>
                <w:sz w:val="20"/>
              </w:rPr>
              <w:t xml:space="preserve">Indirect comparison PFS – </w:t>
            </w:r>
            <w:proofErr w:type="spellStart"/>
            <w:r>
              <w:rPr>
                <w:rFonts w:ascii="Arial Narrow" w:hAnsi="Arial Narrow"/>
                <w:b/>
                <w:sz w:val="20"/>
              </w:rPr>
              <w:t>Nivo</w:t>
            </w:r>
            <w:proofErr w:type="spellEnd"/>
            <w:r>
              <w:rPr>
                <w:rFonts w:ascii="Arial Narrow" w:hAnsi="Arial Narrow"/>
                <w:b/>
                <w:sz w:val="20"/>
              </w:rPr>
              <w:t xml:space="preserve"> + </w:t>
            </w:r>
            <w:proofErr w:type="spellStart"/>
            <w:r>
              <w:rPr>
                <w:rFonts w:ascii="Arial Narrow" w:hAnsi="Arial Narrow"/>
                <w:b/>
                <w:sz w:val="20"/>
              </w:rPr>
              <w:t>Ipi</w:t>
            </w:r>
            <w:proofErr w:type="spellEnd"/>
            <w:r>
              <w:rPr>
                <w:rFonts w:ascii="Arial Narrow" w:hAnsi="Arial Narrow"/>
                <w:b/>
                <w:sz w:val="20"/>
              </w:rPr>
              <w:t xml:space="preserve"> vs </w:t>
            </w:r>
            <w:proofErr w:type="spellStart"/>
            <w:r>
              <w:rPr>
                <w:rFonts w:ascii="Arial Narrow" w:hAnsi="Arial Narrow"/>
                <w:b/>
                <w:sz w:val="20"/>
              </w:rPr>
              <w:t>Pembro</w:t>
            </w:r>
            <w:proofErr w:type="spellEnd"/>
            <w:r>
              <w:rPr>
                <w:rFonts w:ascii="Arial Narrow" w:hAnsi="Arial Narrow"/>
                <w:b/>
                <w:sz w:val="20"/>
              </w:rPr>
              <w:t xml:space="preserve"> Q3W</w:t>
            </w:r>
          </w:p>
        </w:tc>
        <w:tc>
          <w:tcPr>
            <w:tcW w:w="830" w:type="pct"/>
          </w:tcPr>
          <w:p w:rsidR="001634C4" w:rsidRPr="00E2771E" w:rsidRDefault="001634C4" w:rsidP="00C75C26">
            <w:pPr>
              <w:jc w:val="center"/>
              <w:rPr>
                <w:rFonts w:ascii="Arial Narrow" w:hAnsi="Arial Narrow"/>
                <w:sz w:val="20"/>
              </w:rPr>
            </w:pPr>
            <w:r>
              <w:rPr>
                <w:rFonts w:ascii="Arial Narrow" w:hAnsi="Arial Narrow"/>
                <w:sz w:val="20"/>
              </w:rPr>
              <w:t>0.72 (0.55, 0.96)</w:t>
            </w:r>
          </w:p>
        </w:tc>
      </w:tr>
      <w:tr w:rsidR="001634C4" w:rsidRPr="00E2771E" w:rsidTr="001634C4">
        <w:tc>
          <w:tcPr>
            <w:tcW w:w="5000" w:type="pct"/>
            <w:gridSpan w:val="15"/>
            <w:tcBorders>
              <w:top w:val="double" w:sz="4" w:space="0" w:color="auto"/>
            </w:tcBorders>
            <w:shd w:val="clear" w:color="auto" w:fill="auto"/>
            <w:vAlign w:val="center"/>
          </w:tcPr>
          <w:p w:rsidR="001634C4" w:rsidRPr="00E2771E" w:rsidRDefault="001634C4" w:rsidP="00C75C26">
            <w:pPr>
              <w:rPr>
                <w:rFonts w:ascii="Arial Narrow" w:hAnsi="Arial Narrow"/>
                <w:b/>
                <w:color w:val="000000"/>
                <w:sz w:val="20"/>
                <w:szCs w:val="18"/>
              </w:rPr>
            </w:pPr>
            <w:r>
              <w:rPr>
                <w:rFonts w:ascii="Arial Narrow" w:hAnsi="Arial Narrow"/>
                <w:b/>
                <w:color w:val="000000"/>
                <w:sz w:val="20"/>
                <w:szCs w:val="18"/>
              </w:rPr>
              <w:t>Harms</w:t>
            </w:r>
          </w:p>
        </w:tc>
      </w:tr>
      <w:tr w:rsidR="001634C4" w:rsidRPr="00E2771E" w:rsidTr="000E35FC">
        <w:tc>
          <w:tcPr>
            <w:tcW w:w="870" w:type="pct"/>
            <w:vMerge w:val="restart"/>
            <w:shd w:val="clear" w:color="auto" w:fill="auto"/>
            <w:vAlign w:val="center"/>
          </w:tcPr>
          <w:p w:rsidR="001634C4" w:rsidRPr="00E2771E" w:rsidRDefault="001634C4" w:rsidP="00C75C26">
            <w:pPr>
              <w:rPr>
                <w:rFonts w:ascii="Arial Narrow" w:hAnsi="Arial Narrow"/>
                <w:b/>
                <w:color w:val="000000"/>
                <w:sz w:val="20"/>
                <w:szCs w:val="18"/>
              </w:rPr>
            </w:pPr>
          </w:p>
        </w:tc>
        <w:tc>
          <w:tcPr>
            <w:tcW w:w="727" w:type="pct"/>
            <w:gridSpan w:val="2"/>
            <w:vMerge w:val="restart"/>
            <w:vAlign w:val="center"/>
          </w:tcPr>
          <w:p w:rsidR="001634C4" w:rsidRPr="00E2771E" w:rsidRDefault="001634C4" w:rsidP="00C75C26">
            <w:pPr>
              <w:jc w:val="center"/>
              <w:rPr>
                <w:rFonts w:ascii="Arial Narrow" w:hAnsi="Arial Narrow"/>
                <w:b/>
                <w:color w:val="000000"/>
                <w:sz w:val="20"/>
                <w:szCs w:val="18"/>
              </w:rPr>
            </w:pPr>
            <w:proofErr w:type="spellStart"/>
            <w:r>
              <w:rPr>
                <w:rFonts w:ascii="Arial Narrow" w:hAnsi="Arial Narrow"/>
                <w:b/>
                <w:color w:val="000000"/>
                <w:sz w:val="20"/>
                <w:szCs w:val="18"/>
              </w:rPr>
              <w:t>Nivo</w:t>
            </w:r>
            <w:proofErr w:type="spellEnd"/>
            <w:r>
              <w:rPr>
                <w:rFonts w:ascii="Arial Narrow" w:hAnsi="Arial Narrow"/>
                <w:b/>
                <w:color w:val="000000"/>
                <w:sz w:val="20"/>
                <w:szCs w:val="18"/>
              </w:rPr>
              <w:t xml:space="preserve"> +</w:t>
            </w:r>
            <w:proofErr w:type="spellStart"/>
            <w:r>
              <w:rPr>
                <w:rFonts w:ascii="Arial Narrow" w:hAnsi="Arial Narrow"/>
                <w:b/>
                <w:color w:val="000000"/>
                <w:sz w:val="20"/>
                <w:szCs w:val="18"/>
              </w:rPr>
              <w:t>Ipi</w:t>
            </w:r>
            <w:proofErr w:type="spellEnd"/>
          </w:p>
        </w:tc>
        <w:tc>
          <w:tcPr>
            <w:tcW w:w="666" w:type="pct"/>
            <w:vMerge w:val="restart"/>
            <w:vAlign w:val="center"/>
          </w:tcPr>
          <w:p w:rsidR="001634C4" w:rsidRPr="00E2771E" w:rsidRDefault="001634C4" w:rsidP="00C75C26">
            <w:pPr>
              <w:jc w:val="center"/>
              <w:rPr>
                <w:rFonts w:ascii="Arial Narrow" w:hAnsi="Arial Narrow"/>
                <w:b/>
                <w:color w:val="000000"/>
                <w:sz w:val="20"/>
                <w:szCs w:val="18"/>
              </w:rPr>
            </w:pPr>
            <w:proofErr w:type="spellStart"/>
            <w:r>
              <w:rPr>
                <w:rFonts w:ascii="Arial Narrow" w:hAnsi="Arial Narrow"/>
                <w:b/>
                <w:color w:val="000000"/>
                <w:sz w:val="20"/>
                <w:szCs w:val="18"/>
              </w:rPr>
              <w:t>Ipi</w:t>
            </w:r>
            <w:proofErr w:type="spellEnd"/>
          </w:p>
        </w:tc>
        <w:tc>
          <w:tcPr>
            <w:tcW w:w="836" w:type="pct"/>
            <w:gridSpan w:val="3"/>
            <w:vMerge w:val="restart"/>
            <w:vAlign w:val="center"/>
          </w:tcPr>
          <w:p w:rsidR="001634C4" w:rsidRPr="000E35FC" w:rsidRDefault="001634C4" w:rsidP="00C75C26">
            <w:pPr>
              <w:jc w:val="center"/>
              <w:rPr>
                <w:rFonts w:ascii="Arial Narrow" w:hAnsi="Arial Narrow"/>
                <w:b/>
                <w:color w:val="000000"/>
                <w:sz w:val="20"/>
                <w:szCs w:val="18"/>
              </w:rPr>
            </w:pPr>
            <w:r w:rsidRPr="000E35FC">
              <w:rPr>
                <w:rFonts w:ascii="Arial Narrow" w:hAnsi="Arial Narrow"/>
                <w:b/>
                <w:color w:val="000000"/>
                <w:sz w:val="20"/>
                <w:szCs w:val="18"/>
              </w:rPr>
              <w:t>RR</w:t>
            </w:r>
          </w:p>
          <w:p w:rsidR="001634C4" w:rsidRPr="000E35FC" w:rsidRDefault="001634C4" w:rsidP="00C75C26">
            <w:pPr>
              <w:jc w:val="center"/>
              <w:rPr>
                <w:rFonts w:ascii="Arial Narrow" w:hAnsi="Arial Narrow"/>
                <w:b/>
                <w:color w:val="000000"/>
                <w:sz w:val="20"/>
                <w:szCs w:val="18"/>
              </w:rPr>
            </w:pPr>
            <w:r w:rsidRPr="000E35FC">
              <w:rPr>
                <w:rFonts w:ascii="Arial Narrow" w:hAnsi="Arial Narrow"/>
                <w:b/>
                <w:color w:val="000000"/>
                <w:sz w:val="20"/>
                <w:szCs w:val="18"/>
              </w:rPr>
              <w:t>(95% CI)</w:t>
            </w:r>
          </w:p>
        </w:tc>
        <w:tc>
          <w:tcPr>
            <w:tcW w:w="950" w:type="pct"/>
            <w:gridSpan w:val="6"/>
            <w:vAlign w:val="center"/>
          </w:tcPr>
          <w:p w:rsidR="001634C4" w:rsidRPr="00E2771E" w:rsidRDefault="001634C4" w:rsidP="00C75C26">
            <w:pPr>
              <w:jc w:val="center"/>
              <w:rPr>
                <w:rFonts w:ascii="Arial Narrow" w:hAnsi="Arial Narrow"/>
                <w:b/>
                <w:color w:val="000000"/>
                <w:sz w:val="20"/>
                <w:szCs w:val="18"/>
              </w:rPr>
            </w:pPr>
            <w:r>
              <w:rPr>
                <w:rFonts w:ascii="Arial Narrow" w:hAnsi="Arial Narrow"/>
                <w:b/>
                <w:color w:val="000000"/>
                <w:sz w:val="20"/>
                <w:szCs w:val="18"/>
              </w:rPr>
              <w:t>Event rate/100 patients**</w:t>
            </w:r>
          </w:p>
        </w:tc>
        <w:tc>
          <w:tcPr>
            <w:tcW w:w="951" w:type="pct"/>
            <w:gridSpan w:val="2"/>
            <w:vMerge w:val="restart"/>
            <w:vAlign w:val="center"/>
          </w:tcPr>
          <w:p w:rsidR="001634C4" w:rsidRPr="000E35FC" w:rsidRDefault="001634C4" w:rsidP="00C75C26">
            <w:pPr>
              <w:jc w:val="center"/>
              <w:rPr>
                <w:rFonts w:ascii="Arial Narrow" w:hAnsi="Arial Narrow"/>
                <w:b/>
                <w:color w:val="000000"/>
                <w:sz w:val="20"/>
                <w:szCs w:val="18"/>
              </w:rPr>
            </w:pPr>
            <w:r w:rsidRPr="000E35FC">
              <w:rPr>
                <w:rFonts w:ascii="Arial Narrow" w:hAnsi="Arial Narrow"/>
                <w:b/>
                <w:color w:val="000000"/>
                <w:sz w:val="20"/>
                <w:szCs w:val="18"/>
              </w:rPr>
              <w:t>RD%</w:t>
            </w:r>
          </w:p>
          <w:p w:rsidR="001634C4" w:rsidRPr="000E35FC" w:rsidRDefault="001634C4" w:rsidP="00C75C26">
            <w:pPr>
              <w:jc w:val="center"/>
              <w:rPr>
                <w:rFonts w:ascii="Arial Narrow" w:hAnsi="Arial Narrow"/>
                <w:b/>
                <w:color w:val="000000"/>
                <w:sz w:val="20"/>
                <w:szCs w:val="18"/>
              </w:rPr>
            </w:pPr>
            <w:r w:rsidRPr="000E35FC">
              <w:rPr>
                <w:rFonts w:ascii="Arial Narrow" w:hAnsi="Arial Narrow"/>
                <w:b/>
                <w:color w:val="000000"/>
                <w:sz w:val="20"/>
                <w:szCs w:val="18"/>
              </w:rPr>
              <w:t>(95% CI)</w:t>
            </w:r>
          </w:p>
        </w:tc>
      </w:tr>
      <w:tr w:rsidR="001634C4" w:rsidRPr="00E2771E" w:rsidTr="000E35FC">
        <w:trPr>
          <w:trHeight w:val="98"/>
        </w:trPr>
        <w:tc>
          <w:tcPr>
            <w:tcW w:w="870" w:type="pct"/>
            <w:vMerge/>
            <w:shd w:val="clear" w:color="auto" w:fill="auto"/>
            <w:vAlign w:val="center"/>
          </w:tcPr>
          <w:p w:rsidR="001634C4" w:rsidRPr="00E2771E" w:rsidRDefault="001634C4" w:rsidP="00C75C26">
            <w:pPr>
              <w:rPr>
                <w:rFonts w:ascii="Arial Narrow" w:hAnsi="Arial Narrow"/>
                <w:b/>
                <w:color w:val="000000"/>
                <w:sz w:val="20"/>
                <w:szCs w:val="18"/>
              </w:rPr>
            </w:pPr>
          </w:p>
        </w:tc>
        <w:tc>
          <w:tcPr>
            <w:tcW w:w="727" w:type="pct"/>
            <w:gridSpan w:val="2"/>
            <w:vMerge/>
            <w:vAlign w:val="center"/>
          </w:tcPr>
          <w:p w:rsidR="001634C4" w:rsidRPr="00E2771E" w:rsidRDefault="001634C4" w:rsidP="00C75C26">
            <w:pPr>
              <w:jc w:val="center"/>
              <w:rPr>
                <w:rFonts w:ascii="Arial Narrow" w:hAnsi="Arial Narrow"/>
                <w:b/>
                <w:color w:val="000000"/>
                <w:sz w:val="20"/>
                <w:szCs w:val="18"/>
              </w:rPr>
            </w:pPr>
          </w:p>
        </w:tc>
        <w:tc>
          <w:tcPr>
            <w:tcW w:w="666" w:type="pct"/>
            <w:vMerge/>
            <w:vAlign w:val="center"/>
          </w:tcPr>
          <w:p w:rsidR="001634C4" w:rsidRPr="00E2771E" w:rsidRDefault="001634C4" w:rsidP="00C75C26">
            <w:pPr>
              <w:jc w:val="center"/>
              <w:rPr>
                <w:rFonts w:ascii="Arial Narrow" w:hAnsi="Arial Narrow"/>
                <w:b/>
                <w:color w:val="000000"/>
                <w:sz w:val="20"/>
                <w:szCs w:val="18"/>
              </w:rPr>
            </w:pPr>
          </w:p>
        </w:tc>
        <w:tc>
          <w:tcPr>
            <w:tcW w:w="836" w:type="pct"/>
            <w:gridSpan w:val="3"/>
            <w:vMerge/>
            <w:vAlign w:val="center"/>
          </w:tcPr>
          <w:p w:rsidR="001634C4" w:rsidRPr="00E2771E" w:rsidRDefault="001634C4" w:rsidP="00C75C26">
            <w:pPr>
              <w:jc w:val="center"/>
              <w:rPr>
                <w:rFonts w:ascii="Arial Narrow" w:hAnsi="Arial Narrow"/>
                <w:b/>
                <w:color w:val="000000"/>
                <w:sz w:val="20"/>
                <w:szCs w:val="18"/>
              </w:rPr>
            </w:pPr>
          </w:p>
        </w:tc>
        <w:tc>
          <w:tcPr>
            <w:tcW w:w="525" w:type="pct"/>
            <w:gridSpan w:val="4"/>
            <w:vAlign w:val="center"/>
          </w:tcPr>
          <w:p w:rsidR="001634C4" w:rsidRPr="00E2771E" w:rsidRDefault="001634C4" w:rsidP="00C75C26">
            <w:pPr>
              <w:jc w:val="center"/>
              <w:rPr>
                <w:rFonts w:ascii="Arial Narrow" w:hAnsi="Arial Narrow"/>
                <w:b/>
                <w:color w:val="000000"/>
                <w:sz w:val="20"/>
                <w:szCs w:val="18"/>
              </w:rPr>
            </w:pPr>
            <w:proofErr w:type="spellStart"/>
            <w:r>
              <w:rPr>
                <w:rFonts w:ascii="Arial Narrow" w:hAnsi="Arial Narrow"/>
                <w:b/>
                <w:color w:val="000000"/>
                <w:sz w:val="20"/>
                <w:szCs w:val="18"/>
              </w:rPr>
              <w:t>Nivo</w:t>
            </w:r>
            <w:proofErr w:type="spellEnd"/>
            <w:r>
              <w:rPr>
                <w:rFonts w:ascii="Arial Narrow" w:hAnsi="Arial Narrow"/>
                <w:b/>
                <w:color w:val="000000"/>
                <w:sz w:val="20"/>
                <w:szCs w:val="18"/>
              </w:rPr>
              <w:t xml:space="preserve"> + </w:t>
            </w:r>
            <w:proofErr w:type="spellStart"/>
            <w:r>
              <w:rPr>
                <w:rFonts w:ascii="Arial Narrow" w:hAnsi="Arial Narrow"/>
                <w:b/>
                <w:color w:val="000000"/>
                <w:sz w:val="20"/>
                <w:szCs w:val="18"/>
              </w:rPr>
              <w:t>Ipi</w:t>
            </w:r>
            <w:proofErr w:type="spellEnd"/>
          </w:p>
        </w:tc>
        <w:tc>
          <w:tcPr>
            <w:tcW w:w="425" w:type="pct"/>
            <w:gridSpan w:val="2"/>
            <w:vAlign w:val="center"/>
          </w:tcPr>
          <w:p w:rsidR="001634C4" w:rsidRPr="00E2771E" w:rsidRDefault="001634C4" w:rsidP="00C75C26">
            <w:pPr>
              <w:jc w:val="center"/>
              <w:rPr>
                <w:rFonts w:ascii="Arial Narrow" w:hAnsi="Arial Narrow"/>
                <w:b/>
                <w:color w:val="000000"/>
                <w:sz w:val="20"/>
                <w:szCs w:val="18"/>
              </w:rPr>
            </w:pPr>
            <w:proofErr w:type="spellStart"/>
            <w:r>
              <w:rPr>
                <w:rFonts w:ascii="Arial Narrow" w:hAnsi="Arial Narrow"/>
                <w:b/>
                <w:color w:val="000000"/>
                <w:sz w:val="20"/>
                <w:szCs w:val="18"/>
              </w:rPr>
              <w:t>Ipi</w:t>
            </w:r>
            <w:proofErr w:type="spellEnd"/>
          </w:p>
        </w:tc>
        <w:tc>
          <w:tcPr>
            <w:tcW w:w="951" w:type="pct"/>
            <w:gridSpan w:val="2"/>
            <w:vMerge/>
            <w:vAlign w:val="center"/>
          </w:tcPr>
          <w:p w:rsidR="001634C4" w:rsidRPr="00E2771E" w:rsidRDefault="001634C4" w:rsidP="00C75C26">
            <w:pPr>
              <w:jc w:val="center"/>
              <w:rPr>
                <w:rFonts w:ascii="Arial Narrow" w:hAnsi="Arial Narrow"/>
                <w:b/>
                <w:color w:val="000000"/>
                <w:sz w:val="20"/>
                <w:szCs w:val="18"/>
              </w:rPr>
            </w:pPr>
          </w:p>
        </w:tc>
      </w:tr>
      <w:tr w:rsidR="001634C4" w:rsidRPr="00E2771E" w:rsidTr="001634C4">
        <w:tc>
          <w:tcPr>
            <w:tcW w:w="5000" w:type="pct"/>
            <w:gridSpan w:val="15"/>
            <w:shd w:val="clear" w:color="auto" w:fill="auto"/>
            <w:vAlign w:val="center"/>
          </w:tcPr>
          <w:p w:rsidR="001634C4" w:rsidRPr="00E2771E" w:rsidRDefault="001634C4" w:rsidP="001634C4">
            <w:pPr>
              <w:rPr>
                <w:rFonts w:ascii="Arial Narrow" w:hAnsi="Arial Narrow"/>
                <w:color w:val="000000"/>
                <w:sz w:val="20"/>
                <w:szCs w:val="18"/>
              </w:rPr>
            </w:pPr>
            <w:r>
              <w:rPr>
                <w:rFonts w:ascii="Arial Narrow" w:hAnsi="Arial Narrow"/>
                <w:b/>
                <w:color w:val="000000"/>
                <w:sz w:val="20"/>
                <w:szCs w:val="18"/>
              </w:rPr>
              <w:t>Any drug-related severe AE (grade ≥3)</w:t>
            </w:r>
          </w:p>
        </w:tc>
      </w:tr>
      <w:tr w:rsidR="001634C4" w:rsidRPr="00E2771E" w:rsidTr="000E35FC">
        <w:tc>
          <w:tcPr>
            <w:tcW w:w="870" w:type="pct"/>
            <w:shd w:val="clear" w:color="auto" w:fill="auto"/>
            <w:vAlign w:val="center"/>
          </w:tcPr>
          <w:p w:rsidR="001634C4" w:rsidRDefault="001634C4" w:rsidP="00C75C26">
            <w:pPr>
              <w:rPr>
                <w:rFonts w:ascii="Arial Narrow" w:hAnsi="Arial Narrow"/>
                <w:color w:val="000000"/>
                <w:sz w:val="20"/>
                <w:szCs w:val="18"/>
              </w:rPr>
            </w:pPr>
            <w:r>
              <w:rPr>
                <w:rFonts w:ascii="Arial Narrow" w:hAnsi="Arial Narrow"/>
                <w:color w:val="000000"/>
                <w:sz w:val="20"/>
                <w:szCs w:val="18"/>
              </w:rPr>
              <w:t xml:space="preserve">Pooled – </w:t>
            </w:r>
            <w:proofErr w:type="spellStart"/>
            <w:r>
              <w:rPr>
                <w:rFonts w:ascii="Arial Narrow" w:hAnsi="Arial Narrow"/>
                <w:color w:val="000000"/>
                <w:sz w:val="20"/>
                <w:szCs w:val="18"/>
              </w:rPr>
              <w:t>Nivo</w:t>
            </w:r>
            <w:proofErr w:type="spellEnd"/>
            <w:r>
              <w:rPr>
                <w:rFonts w:ascii="Arial Narrow" w:hAnsi="Arial Narrow"/>
                <w:color w:val="000000"/>
                <w:sz w:val="20"/>
                <w:szCs w:val="18"/>
              </w:rPr>
              <w:t xml:space="preserve"> + </w:t>
            </w:r>
            <w:proofErr w:type="spellStart"/>
            <w:r>
              <w:rPr>
                <w:rFonts w:ascii="Arial Narrow" w:hAnsi="Arial Narrow"/>
                <w:color w:val="000000"/>
                <w:sz w:val="20"/>
                <w:szCs w:val="18"/>
              </w:rPr>
              <w:t>Ipi</w:t>
            </w:r>
            <w:proofErr w:type="spellEnd"/>
          </w:p>
        </w:tc>
        <w:tc>
          <w:tcPr>
            <w:tcW w:w="727" w:type="pct"/>
            <w:gridSpan w:val="2"/>
            <w:vAlign w:val="center"/>
          </w:tcPr>
          <w:p w:rsidR="001634C4" w:rsidRDefault="001634C4" w:rsidP="00C75C26">
            <w:pPr>
              <w:jc w:val="center"/>
              <w:rPr>
                <w:rFonts w:ascii="Arial Narrow" w:hAnsi="Arial Narrow"/>
                <w:color w:val="000000"/>
                <w:sz w:val="20"/>
                <w:szCs w:val="18"/>
              </w:rPr>
            </w:pPr>
            <w:r>
              <w:rPr>
                <w:rFonts w:ascii="Arial Narrow" w:hAnsi="Arial Narrow"/>
                <w:color w:val="000000"/>
                <w:sz w:val="20"/>
                <w:szCs w:val="18"/>
              </w:rPr>
              <w:t>221/407 (54.3)</w:t>
            </w:r>
          </w:p>
        </w:tc>
        <w:tc>
          <w:tcPr>
            <w:tcW w:w="666" w:type="pct"/>
            <w:vAlign w:val="center"/>
          </w:tcPr>
          <w:p w:rsidR="001634C4" w:rsidRDefault="001634C4" w:rsidP="00C75C26">
            <w:pPr>
              <w:jc w:val="center"/>
              <w:rPr>
                <w:rFonts w:ascii="Arial Narrow" w:hAnsi="Arial Narrow"/>
                <w:color w:val="000000"/>
                <w:sz w:val="20"/>
                <w:szCs w:val="18"/>
              </w:rPr>
            </w:pPr>
            <w:r>
              <w:rPr>
                <w:rFonts w:ascii="Arial Narrow" w:hAnsi="Arial Narrow"/>
                <w:color w:val="000000"/>
                <w:sz w:val="20"/>
                <w:szCs w:val="18"/>
              </w:rPr>
              <w:t>95/357 (26.6)</w:t>
            </w:r>
          </w:p>
        </w:tc>
        <w:tc>
          <w:tcPr>
            <w:tcW w:w="836" w:type="pct"/>
            <w:gridSpan w:val="3"/>
            <w:vAlign w:val="center"/>
          </w:tcPr>
          <w:p w:rsidR="001634C4" w:rsidRPr="00BE4F2B" w:rsidRDefault="001634C4" w:rsidP="00C75C26">
            <w:pPr>
              <w:widowControl/>
              <w:jc w:val="center"/>
              <w:rPr>
                <w:rFonts w:ascii="Arial Narrow" w:hAnsi="Arial Narrow" w:cs="Times New Roman"/>
                <w:snapToGrid/>
                <w:color w:val="000000"/>
                <w:sz w:val="20"/>
                <w:lang w:val="en-US"/>
              </w:rPr>
            </w:pPr>
            <w:r w:rsidRPr="00446BBC">
              <w:rPr>
                <w:rFonts w:ascii="Arial Narrow" w:hAnsi="Arial Narrow" w:cs="Times New Roman"/>
                <w:snapToGrid/>
                <w:color w:val="000000"/>
                <w:sz w:val="20"/>
                <w:lang w:val="en-US"/>
              </w:rPr>
              <w:t>2.05 (1.68, 2.49)</w:t>
            </w:r>
          </w:p>
        </w:tc>
        <w:tc>
          <w:tcPr>
            <w:tcW w:w="532" w:type="pct"/>
            <w:gridSpan w:val="5"/>
            <w:vAlign w:val="center"/>
          </w:tcPr>
          <w:p w:rsidR="001634C4" w:rsidRDefault="001634C4" w:rsidP="00C75C26">
            <w:pPr>
              <w:jc w:val="center"/>
              <w:rPr>
                <w:rFonts w:ascii="Arial Narrow" w:hAnsi="Arial Narrow"/>
                <w:color w:val="000000"/>
                <w:sz w:val="20"/>
                <w:szCs w:val="18"/>
              </w:rPr>
            </w:pPr>
            <w:r>
              <w:rPr>
                <w:rFonts w:ascii="Arial Narrow" w:hAnsi="Arial Narrow"/>
                <w:color w:val="000000"/>
                <w:sz w:val="20"/>
                <w:szCs w:val="18"/>
              </w:rPr>
              <w:t>54</w:t>
            </w:r>
          </w:p>
        </w:tc>
        <w:tc>
          <w:tcPr>
            <w:tcW w:w="418" w:type="pct"/>
            <w:vAlign w:val="center"/>
          </w:tcPr>
          <w:p w:rsidR="001634C4" w:rsidRDefault="001634C4" w:rsidP="00C75C26">
            <w:pPr>
              <w:jc w:val="center"/>
              <w:rPr>
                <w:rFonts w:ascii="Arial Narrow" w:hAnsi="Arial Narrow"/>
                <w:color w:val="000000"/>
                <w:sz w:val="20"/>
                <w:szCs w:val="18"/>
              </w:rPr>
            </w:pPr>
            <w:r>
              <w:rPr>
                <w:rFonts w:ascii="Arial Narrow" w:hAnsi="Arial Narrow"/>
                <w:color w:val="000000"/>
                <w:sz w:val="20"/>
                <w:szCs w:val="18"/>
              </w:rPr>
              <w:t>27</w:t>
            </w:r>
          </w:p>
        </w:tc>
        <w:tc>
          <w:tcPr>
            <w:tcW w:w="951" w:type="pct"/>
            <w:gridSpan w:val="2"/>
            <w:vAlign w:val="center"/>
          </w:tcPr>
          <w:p w:rsidR="001634C4" w:rsidRDefault="001634C4" w:rsidP="00C75C26">
            <w:pPr>
              <w:jc w:val="center"/>
              <w:rPr>
                <w:rFonts w:ascii="Arial Narrow" w:hAnsi="Arial Narrow"/>
                <w:color w:val="000000"/>
                <w:sz w:val="20"/>
                <w:szCs w:val="18"/>
              </w:rPr>
            </w:pPr>
            <w:r w:rsidRPr="00B21520">
              <w:rPr>
                <w:rFonts w:ascii="Arial Narrow" w:hAnsi="Arial Narrow" w:cs="Times New Roman"/>
                <w:snapToGrid/>
                <w:color w:val="000000"/>
                <w:sz w:val="20"/>
                <w:lang w:val="en-US"/>
              </w:rPr>
              <w:t>0.28 (0.22, 0.35</w:t>
            </w:r>
            <w:r>
              <w:rPr>
                <w:rFonts w:ascii="Arial Narrow" w:hAnsi="Arial Narrow" w:cs="Times New Roman"/>
                <w:snapToGrid/>
                <w:color w:val="000000"/>
                <w:sz w:val="20"/>
                <w:lang w:val="en-US"/>
              </w:rPr>
              <w:t>)</w:t>
            </w:r>
          </w:p>
        </w:tc>
      </w:tr>
      <w:tr w:rsidR="001634C4" w:rsidRPr="00E2771E" w:rsidTr="000E35FC">
        <w:tc>
          <w:tcPr>
            <w:tcW w:w="870" w:type="pct"/>
            <w:shd w:val="clear" w:color="auto" w:fill="auto"/>
            <w:vAlign w:val="center"/>
          </w:tcPr>
          <w:p w:rsidR="001634C4" w:rsidRPr="00DA1C86" w:rsidRDefault="001634C4" w:rsidP="00C75C26">
            <w:pPr>
              <w:rPr>
                <w:rFonts w:ascii="Arial Narrow" w:hAnsi="Arial Narrow"/>
                <w:sz w:val="20"/>
              </w:rPr>
            </w:pPr>
          </w:p>
        </w:tc>
        <w:tc>
          <w:tcPr>
            <w:tcW w:w="727" w:type="pct"/>
            <w:gridSpan w:val="2"/>
            <w:vAlign w:val="center"/>
          </w:tcPr>
          <w:p w:rsidR="001634C4" w:rsidRPr="00DA1C86" w:rsidRDefault="001634C4" w:rsidP="00C75C26">
            <w:pPr>
              <w:jc w:val="center"/>
              <w:rPr>
                <w:rFonts w:ascii="Arial Narrow" w:hAnsi="Arial Narrow"/>
                <w:b/>
                <w:color w:val="000000"/>
                <w:sz w:val="20"/>
                <w:szCs w:val="18"/>
              </w:rPr>
            </w:pPr>
            <w:proofErr w:type="spellStart"/>
            <w:r>
              <w:rPr>
                <w:rFonts w:ascii="Arial Narrow" w:hAnsi="Arial Narrow"/>
                <w:b/>
                <w:color w:val="000000"/>
                <w:sz w:val="20"/>
                <w:szCs w:val="18"/>
              </w:rPr>
              <w:t>Pembro</w:t>
            </w:r>
            <w:proofErr w:type="spellEnd"/>
          </w:p>
        </w:tc>
        <w:tc>
          <w:tcPr>
            <w:tcW w:w="666" w:type="pct"/>
            <w:vAlign w:val="center"/>
          </w:tcPr>
          <w:p w:rsidR="001634C4" w:rsidRPr="00DA1C86" w:rsidRDefault="001634C4" w:rsidP="00C75C26">
            <w:pPr>
              <w:jc w:val="center"/>
              <w:rPr>
                <w:rFonts w:ascii="Arial Narrow" w:hAnsi="Arial Narrow"/>
                <w:b/>
                <w:color w:val="000000"/>
                <w:sz w:val="20"/>
                <w:szCs w:val="18"/>
              </w:rPr>
            </w:pPr>
            <w:proofErr w:type="spellStart"/>
            <w:r>
              <w:rPr>
                <w:rFonts w:ascii="Arial Narrow" w:hAnsi="Arial Narrow"/>
                <w:b/>
                <w:color w:val="000000"/>
                <w:sz w:val="20"/>
                <w:szCs w:val="18"/>
              </w:rPr>
              <w:t>Ipi</w:t>
            </w:r>
            <w:proofErr w:type="spellEnd"/>
          </w:p>
        </w:tc>
        <w:tc>
          <w:tcPr>
            <w:tcW w:w="836" w:type="pct"/>
            <w:gridSpan w:val="3"/>
            <w:vAlign w:val="center"/>
          </w:tcPr>
          <w:p w:rsidR="001634C4" w:rsidRPr="00E2771E" w:rsidRDefault="001634C4" w:rsidP="00C75C26">
            <w:pPr>
              <w:jc w:val="center"/>
              <w:rPr>
                <w:rFonts w:ascii="Arial Narrow" w:hAnsi="Arial Narrow"/>
                <w:color w:val="000000"/>
                <w:sz w:val="20"/>
                <w:szCs w:val="18"/>
              </w:rPr>
            </w:pPr>
          </w:p>
        </w:tc>
        <w:tc>
          <w:tcPr>
            <w:tcW w:w="532" w:type="pct"/>
            <w:gridSpan w:val="5"/>
            <w:vAlign w:val="center"/>
          </w:tcPr>
          <w:p w:rsidR="001634C4" w:rsidRPr="00E2771E" w:rsidRDefault="001634C4" w:rsidP="00C75C26">
            <w:pPr>
              <w:jc w:val="center"/>
              <w:rPr>
                <w:rFonts w:ascii="Arial Narrow" w:hAnsi="Arial Narrow"/>
                <w:color w:val="000000"/>
                <w:sz w:val="20"/>
                <w:szCs w:val="18"/>
              </w:rPr>
            </w:pPr>
            <w:proofErr w:type="spellStart"/>
            <w:r>
              <w:rPr>
                <w:rFonts w:ascii="Arial Narrow" w:hAnsi="Arial Narrow"/>
                <w:b/>
                <w:color w:val="000000"/>
                <w:sz w:val="20"/>
                <w:szCs w:val="18"/>
              </w:rPr>
              <w:t>Pembro</w:t>
            </w:r>
            <w:proofErr w:type="spellEnd"/>
          </w:p>
        </w:tc>
        <w:tc>
          <w:tcPr>
            <w:tcW w:w="418" w:type="pct"/>
            <w:vAlign w:val="center"/>
          </w:tcPr>
          <w:p w:rsidR="001634C4" w:rsidRPr="00E2771E" w:rsidRDefault="001634C4" w:rsidP="00C75C26">
            <w:pPr>
              <w:jc w:val="center"/>
              <w:rPr>
                <w:rFonts w:ascii="Arial Narrow" w:hAnsi="Arial Narrow"/>
                <w:color w:val="000000"/>
                <w:sz w:val="20"/>
                <w:szCs w:val="18"/>
              </w:rPr>
            </w:pPr>
            <w:proofErr w:type="spellStart"/>
            <w:r>
              <w:rPr>
                <w:rFonts w:ascii="Arial Narrow" w:hAnsi="Arial Narrow"/>
                <w:b/>
                <w:color w:val="000000"/>
                <w:sz w:val="20"/>
                <w:szCs w:val="18"/>
              </w:rPr>
              <w:t>Ipi</w:t>
            </w:r>
            <w:proofErr w:type="spellEnd"/>
          </w:p>
        </w:tc>
        <w:tc>
          <w:tcPr>
            <w:tcW w:w="951" w:type="pct"/>
            <w:gridSpan w:val="2"/>
            <w:vAlign w:val="center"/>
          </w:tcPr>
          <w:p w:rsidR="001634C4" w:rsidRPr="00E2771E" w:rsidRDefault="001634C4" w:rsidP="00C75C26">
            <w:pPr>
              <w:jc w:val="center"/>
              <w:rPr>
                <w:rFonts w:ascii="Arial Narrow" w:hAnsi="Arial Narrow"/>
                <w:color w:val="000000"/>
                <w:sz w:val="20"/>
                <w:szCs w:val="18"/>
              </w:rPr>
            </w:pPr>
          </w:p>
        </w:tc>
      </w:tr>
      <w:tr w:rsidR="001634C4" w:rsidRPr="00E2771E" w:rsidTr="000E35FC">
        <w:tc>
          <w:tcPr>
            <w:tcW w:w="870" w:type="pct"/>
            <w:shd w:val="clear" w:color="auto" w:fill="auto"/>
            <w:vAlign w:val="center"/>
          </w:tcPr>
          <w:p w:rsidR="001634C4" w:rsidRPr="00DA1C86" w:rsidRDefault="001634C4" w:rsidP="00C75C26">
            <w:pPr>
              <w:rPr>
                <w:rFonts w:ascii="Arial Narrow" w:hAnsi="Arial Narrow"/>
                <w:color w:val="000000"/>
                <w:sz w:val="20"/>
                <w:szCs w:val="18"/>
              </w:rPr>
            </w:pPr>
            <w:r>
              <w:rPr>
                <w:rFonts w:ascii="Arial Narrow" w:hAnsi="Arial Narrow"/>
                <w:sz w:val="20"/>
              </w:rPr>
              <w:t xml:space="preserve">KN-006 - </w:t>
            </w:r>
            <w:proofErr w:type="spellStart"/>
            <w:r>
              <w:rPr>
                <w:rFonts w:ascii="Arial Narrow" w:hAnsi="Arial Narrow"/>
                <w:sz w:val="20"/>
              </w:rPr>
              <w:t>Pembro</w:t>
            </w:r>
            <w:proofErr w:type="spellEnd"/>
          </w:p>
        </w:tc>
        <w:tc>
          <w:tcPr>
            <w:tcW w:w="727" w:type="pct"/>
            <w:gridSpan w:val="2"/>
            <w:vAlign w:val="bottom"/>
          </w:tcPr>
          <w:p w:rsidR="001634C4" w:rsidRPr="00E2771E" w:rsidRDefault="001634C4" w:rsidP="00C75C26">
            <w:pPr>
              <w:jc w:val="center"/>
              <w:rPr>
                <w:rFonts w:ascii="Arial Narrow" w:hAnsi="Arial Narrow"/>
                <w:color w:val="000000"/>
                <w:sz w:val="20"/>
                <w:szCs w:val="18"/>
              </w:rPr>
            </w:pPr>
            <w:r>
              <w:rPr>
                <w:rFonts w:ascii="Arial Narrow" w:hAnsi="Arial Narrow" w:cs="Times New Roman"/>
                <w:snapToGrid/>
                <w:color w:val="000000"/>
                <w:sz w:val="20"/>
                <w:lang w:val="en-US"/>
              </w:rPr>
              <w:t xml:space="preserve">65/ 555 </w:t>
            </w:r>
            <w:r w:rsidRPr="00446BBC">
              <w:rPr>
                <w:rFonts w:ascii="Arial Narrow" w:hAnsi="Arial Narrow" w:cs="Times New Roman"/>
                <w:snapToGrid/>
                <w:color w:val="000000"/>
                <w:sz w:val="20"/>
                <w:lang w:val="en-US"/>
              </w:rPr>
              <w:t>(</w:t>
            </w:r>
            <w:r>
              <w:rPr>
                <w:rFonts w:ascii="Arial Narrow" w:hAnsi="Arial Narrow" w:cs="Times New Roman"/>
                <w:snapToGrid/>
                <w:color w:val="000000"/>
                <w:sz w:val="20"/>
                <w:lang w:val="en-US"/>
              </w:rPr>
              <w:t>11.7</w:t>
            </w:r>
            <w:r w:rsidRPr="00446BBC">
              <w:rPr>
                <w:rFonts w:ascii="Arial Narrow" w:hAnsi="Arial Narrow" w:cs="Times New Roman"/>
                <w:snapToGrid/>
                <w:color w:val="000000"/>
                <w:sz w:val="20"/>
                <w:lang w:val="en-US"/>
              </w:rPr>
              <w:t>)</w:t>
            </w:r>
          </w:p>
        </w:tc>
        <w:tc>
          <w:tcPr>
            <w:tcW w:w="666" w:type="pct"/>
            <w:vAlign w:val="bottom"/>
          </w:tcPr>
          <w:p w:rsidR="001634C4" w:rsidRPr="00E2771E" w:rsidRDefault="001634C4" w:rsidP="00C75C26">
            <w:pPr>
              <w:jc w:val="center"/>
              <w:rPr>
                <w:rFonts w:ascii="Arial Narrow" w:hAnsi="Arial Narrow"/>
                <w:color w:val="000000"/>
                <w:sz w:val="20"/>
                <w:szCs w:val="18"/>
              </w:rPr>
            </w:pPr>
            <w:r>
              <w:rPr>
                <w:rFonts w:ascii="Arial Narrow" w:hAnsi="Arial Narrow" w:cs="Times New Roman"/>
                <w:snapToGrid/>
                <w:color w:val="000000"/>
                <w:sz w:val="20"/>
                <w:lang w:val="en-US"/>
              </w:rPr>
              <w:t>51/ 256</w:t>
            </w:r>
            <w:r w:rsidRPr="00446BBC">
              <w:rPr>
                <w:rFonts w:ascii="Arial Narrow" w:hAnsi="Arial Narrow" w:cs="Times New Roman"/>
                <w:snapToGrid/>
                <w:color w:val="000000"/>
                <w:sz w:val="20"/>
                <w:lang w:val="en-US"/>
              </w:rPr>
              <w:t xml:space="preserve"> (</w:t>
            </w:r>
            <w:r>
              <w:rPr>
                <w:rFonts w:ascii="Arial Narrow" w:hAnsi="Arial Narrow" w:cs="Times New Roman"/>
                <w:snapToGrid/>
                <w:color w:val="000000"/>
                <w:sz w:val="20"/>
                <w:lang w:val="en-US"/>
              </w:rPr>
              <w:t>19.9</w:t>
            </w:r>
            <w:r w:rsidRPr="00446BBC">
              <w:rPr>
                <w:rFonts w:ascii="Arial Narrow" w:hAnsi="Arial Narrow" w:cs="Times New Roman"/>
                <w:snapToGrid/>
                <w:color w:val="000000"/>
                <w:sz w:val="20"/>
                <w:lang w:val="en-US"/>
              </w:rPr>
              <w:t>)</w:t>
            </w:r>
          </w:p>
        </w:tc>
        <w:tc>
          <w:tcPr>
            <w:tcW w:w="836" w:type="pct"/>
            <w:gridSpan w:val="3"/>
            <w:vAlign w:val="center"/>
          </w:tcPr>
          <w:p w:rsidR="001634C4" w:rsidRPr="00E2771E" w:rsidRDefault="001634C4" w:rsidP="00C75C26">
            <w:pPr>
              <w:jc w:val="center"/>
              <w:rPr>
                <w:rFonts w:ascii="Arial Narrow" w:hAnsi="Arial Narrow"/>
                <w:color w:val="000000"/>
                <w:sz w:val="20"/>
                <w:szCs w:val="18"/>
              </w:rPr>
            </w:pPr>
            <w:r>
              <w:rPr>
                <w:rFonts w:ascii="Arial Narrow" w:hAnsi="Arial Narrow" w:cs="Times New Roman"/>
                <w:snapToGrid/>
                <w:color w:val="000000"/>
                <w:sz w:val="20"/>
                <w:lang w:val="en-US"/>
              </w:rPr>
              <w:t>0.59 (0.42, 0.82)</w:t>
            </w:r>
          </w:p>
        </w:tc>
        <w:tc>
          <w:tcPr>
            <w:tcW w:w="532" w:type="pct"/>
            <w:gridSpan w:val="5"/>
            <w:vAlign w:val="center"/>
          </w:tcPr>
          <w:p w:rsidR="001634C4" w:rsidRPr="00E2771E" w:rsidRDefault="001634C4" w:rsidP="00C75C26">
            <w:pPr>
              <w:jc w:val="center"/>
              <w:rPr>
                <w:rFonts w:ascii="Arial Narrow" w:hAnsi="Arial Narrow"/>
                <w:color w:val="000000"/>
                <w:sz w:val="20"/>
                <w:szCs w:val="18"/>
              </w:rPr>
            </w:pPr>
            <w:r>
              <w:rPr>
                <w:rFonts w:ascii="Arial Narrow" w:hAnsi="Arial Narrow"/>
                <w:color w:val="000000"/>
                <w:sz w:val="20"/>
                <w:szCs w:val="18"/>
              </w:rPr>
              <w:t>12</w:t>
            </w:r>
          </w:p>
        </w:tc>
        <w:tc>
          <w:tcPr>
            <w:tcW w:w="418" w:type="pct"/>
            <w:vAlign w:val="center"/>
          </w:tcPr>
          <w:p w:rsidR="001634C4" w:rsidRPr="00E2771E" w:rsidRDefault="001634C4" w:rsidP="00C75C26">
            <w:pPr>
              <w:jc w:val="center"/>
              <w:rPr>
                <w:rFonts w:ascii="Arial Narrow" w:hAnsi="Arial Narrow"/>
                <w:color w:val="000000"/>
                <w:sz w:val="20"/>
                <w:szCs w:val="18"/>
              </w:rPr>
            </w:pPr>
            <w:r>
              <w:rPr>
                <w:rFonts w:ascii="Arial Narrow" w:hAnsi="Arial Narrow"/>
                <w:color w:val="000000"/>
                <w:sz w:val="20"/>
                <w:szCs w:val="18"/>
              </w:rPr>
              <w:t>20</w:t>
            </w:r>
          </w:p>
        </w:tc>
        <w:tc>
          <w:tcPr>
            <w:tcW w:w="951" w:type="pct"/>
            <w:gridSpan w:val="2"/>
            <w:vAlign w:val="center"/>
          </w:tcPr>
          <w:p w:rsidR="001634C4" w:rsidRPr="000E35FC" w:rsidRDefault="001634C4" w:rsidP="00C75C26">
            <w:pPr>
              <w:jc w:val="center"/>
              <w:rPr>
                <w:rFonts w:ascii="Arial Narrow" w:hAnsi="Arial Narrow"/>
                <w:color w:val="000000"/>
                <w:sz w:val="20"/>
                <w:szCs w:val="18"/>
                <w:vertAlign w:val="superscript"/>
              </w:rPr>
            </w:pPr>
            <w:r w:rsidRPr="000E35FC">
              <w:rPr>
                <w:rFonts w:ascii="Arial Narrow" w:hAnsi="Arial Narrow"/>
                <w:color w:val="000000"/>
                <w:sz w:val="20"/>
                <w:szCs w:val="18"/>
              </w:rPr>
              <w:t>-0.08 (-0.13, -0.03)</w:t>
            </w:r>
            <w:r w:rsidRPr="000E35FC">
              <w:rPr>
                <w:rFonts w:ascii="Arial Narrow" w:hAnsi="Arial Narrow"/>
                <w:color w:val="000000"/>
                <w:sz w:val="20"/>
                <w:szCs w:val="18"/>
                <w:vertAlign w:val="superscript"/>
              </w:rPr>
              <w:t>a</w:t>
            </w:r>
          </w:p>
        </w:tc>
      </w:tr>
      <w:tr w:rsidR="001634C4" w:rsidRPr="00E2771E" w:rsidTr="000E35FC">
        <w:tc>
          <w:tcPr>
            <w:tcW w:w="4049" w:type="pct"/>
            <w:gridSpan w:val="13"/>
            <w:shd w:val="clear" w:color="auto" w:fill="auto"/>
            <w:vAlign w:val="center"/>
          </w:tcPr>
          <w:p w:rsidR="001634C4" w:rsidRPr="009C4D95" w:rsidRDefault="001634C4" w:rsidP="00C75C26">
            <w:pPr>
              <w:jc w:val="left"/>
              <w:rPr>
                <w:rFonts w:ascii="Arial Narrow" w:hAnsi="Arial Narrow"/>
                <w:b/>
                <w:color w:val="000000"/>
                <w:sz w:val="20"/>
                <w:szCs w:val="18"/>
              </w:rPr>
            </w:pPr>
            <w:r>
              <w:rPr>
                <w:rFonts w:ascii="Arial Narrow" w:hAnsi="Arial Narrow"/>
                <w:b/>
                <w:sz w:val="20"/>
              </w:rPr>
              <w:t xml:space="preserve">Indirect comparison any drug-related severe AE (graded ≥3) – </w:t>
            </w:r>
            <w:proofErr w:type="spellStart"/>
            <w:r>
              <w:rPr>
                <w:rFonts w:ascii="Arial Narrow" w:hAnsi="Arial Narrow"/>
                <w:b/>
                <w:sz w:val="20"/>
              </w:rPr>
              <w:t>nivo</w:t>
            </w:r>
            <w:proofErr w:type="spellEnd"/>
            <w:r>
              <w:rPr>
                <w:rFonts w:ascii="Arial Narrow" w:hAnsi="Arial Narrow"/>
                <w:b/>
                <w:sz w:val="20"/>
              </w:rPr>
              <w:t xml:space="preserve"> + </w:t>
            </w:r>
            <w:proofErr w:type="spellStart"/>
            <w:r>
              <w:rPr>
                <w:rFonts w:ascii="Arial Narrow" w:hAnsi="Arial Narrow"/>
                <w:b/>
                <w:sz w:val="20"/>
              </w:rPr>
              <w:t>ipi</w:t>
            </w:r>
            <w:proofErr w:type="spellEnd"/>
            <w:r>
              <w:rPr>
                <w:rFonts w:ascii="Arial Narrow" w:hAnsi="Arial Narrow"/>
                <w:b/>
                <w:sz w:val="20"/>
              </w:rPr>
              <w:t xml:space="preserve"> vs. </w:t>
            </w:r>
            <w:proofErr w:type="spellStart"/>
            <w:r>
              <w:rPr>
                <w:rFonts w:ascii="Arial Narrow" w:hAnsi="Arial Narrow"/>
                <w:b/>
                <w:sz w:val="20"/>
              </w:rPr>
              <w:t>pembro</w:t>
            </w:r>
            <w:proofErr w:type="spellEnd"/>
          </w:p>
        </w:tc>
        <w:tc>
          <w:tcPr>
            <w:tcW w:w="951" w:type="pct"/>
            <w:gridSpan w:val="2"/>
            <w:vAlign w:val="center"/>
          </w:tcPr>
          <w:p w:rsidR="001634C4" w:rsidRPr="000E35FC" w:rsidRDefault="001634C4" w:rsidP="00C75C26">
            <w:pPr>
              <w:jc w:val="center"/>
              <w:rPr>
                <w:rFonts w:ascii="Arial Narrow" w:hAnsi="Arial Narrow"/>
                <w:b/>
                <w:color w:val="000000"/>
                <w:sz w:val="20"/>
                <w:szCs w:val="18"/>
                <w:vertAlign w:val="superscript"/>
              </w:rPr>
            </w:pPr>
            <w:r w:rsidRPr="000E35FC">
              <w:rPr>
                <w:rFonts w:ascii="Arial Narrow" w:hAnsi="Arial Narrow"/>
                <w:b/>
                <w:color w:val="000000"/>
                <w:sz w:val="20"/>
                <w:szCs w:val="18"/>
              </w:rPr>
              <w:t>0.36 (0.28, 0.44)</w:t>
            </w:r>
            <w:r w:rsidRPr="000E35FC">
              <w:rPr>
                <w:rFonts w:ascii="Arial Narrow" w:hAnsi="Arial Narrow"/>
                <w:b/>
                <w:color w:val="000000"/>
                <w:sz w:val="20"/>
                <w:szCs w:val="18"/>
                <w:vertAlign w:val="superscript"/>
              </w:rPr>
              <w:t>b</w:t>
            </w:r>
          </w:p>
        </w:tc>
      </w:tr>
      <w:tr w:rsidR="001634C4" w:rsidRPr="00E2771E" w:rsidTr="001634C4">
        <w:tc>
          <w:tcPr>
            <w:tcW w:w="5000" w:type="pct"/>
            <w:gridSpan w:val="15"/>
            <w:shd w:val="clear" w:color="auto" w:fill="auto"/>
            <w:vAlign w:val="center"/>
          </w:tcPr>
          <w:p w:rsidR="001634C4" w:rsidRPr="009C4D95" w:rsidRDefault="001634C4" w:rsidP="00C75C26">
            <w:pPr>
              <w:jc w:val="left"/>
              <w:rPr>
                <w:rFonts w:ascii="Arial Narrow" w:hAnsi="Arial Narrow"/>
                <w:b/>
                <w:color w:val="000000"/>
                <w:sz w:val="20"/>
                <w:szCs w:val="18"/>
              </w:rPr>
            </w:pPr>
            <w:r>
              <w:rPr>
                <w:rFonts w:ascii="Arial Narrow" w:hAnsi="Arial Narrow"/>
                <w:b/>
                <w:color w:val="000000"/>
                <w:sz w:val="20"/>
                <w:szCs w:val="18"/>
              </w:rPr>
              <w:t>Any drug-related AE leading to discontinuation</w:t>
            </w:r>
          </w:p>
        </w:tc>
      </w:tr>
      <w:tr w:rsidR="001634C4" w:rsidRPr="00E2771E" w:rsidTr="000E35FC">
        <w:tc>
          <w:tcPr>
            <w:tcW w:w="870" w:type="pct"/>
            <w:shd w:val="clear" w:color="auto" w:fill="auto"/>
            <w:vAlign w:val="center"/>
          </w:tcPr>
          <w:p w:rsidR="001634C4" w:rsidRPr="00E2771E" w:rsidRDefault="001634C4" w:rsidP="00C75C26">
            <w:pPr>
              <w:rPr>
                <w:rFonts w:ascii="Arial Narrow" w:hAnsi="Arial Narrow"/>
                <w:color w:val="000000"/>
                <w:sz w:val="20"/>
                <w:szCs w:val="18"/>
              </w:rPr>
            </w:pPr>
          </w:p>
        </w:tc>
        <w:tc>
          <w:tcPr>
            <w:tcW w:w="727" w:type="pct"/>
            <w:gridSpan w:val="2"/>
            <w:vAlign w:val="center"/>
          </w:tcPr>
          <w:p w:rsidR="001634C4" w:rsidRPr="00E2771E" w:rsidRDefault="001634C4" w:rsidP="00C75C26">
            <w:pPr>
              <w:jc w:val="center"/>
              <w:rPr>
                <w:rFonts w:ascii="Arial Narrow" w:hAnsi="Arial Narrow"/>
                <w:color w:val="000000"/>
                <w:sz w:val="20"/>
                <w:szCs w:val="18"/>
              </w:rPr>
            </w:pPr>
            <w:proofErr w:type="spellStart"/>
            <w:r>
              <w:rPr>
                <w:rFonts w:ascii="Arial Narrow" w:hAnsi="Arial Narrow"/>
                <w:b/>
                <w:color w:val="000000"/>
                <w:sz w:val="20"/>
                <w:szCs w:val="18"/>
              </w:rPr>
              <w:t>Nivo</w:t>
            </w:r>
            <w:proofErr w:type="spellEnd"/>
            <w:r>
              <w:rPr>
                <w:rFonts w:ascii="Arial Narrow" w:hAnsi="Arial Narrow"/>
                <w:b/>
                <w:color w:val="000000"/>
                <w:sz w:val="20"/>
                <w:szCs w:val="18"/>
              </w:rPr>
              <w:t xml:space="preserve"> + </w:t>
            </w:r>
            <w:proofErr w:type="spellStart"/>
            <w:r>
              <w:rPr>
                <w:rFonts w:ascii="Arial Narrow" w:hAnsi="Arial Narrow"/>
                <w:b/>
                <w:color w:val="000000"/>
                <w:sz w:val="20"/>
                <w:szCs w:val="18"/>
              </w:rPr>
              <w:t>Ipi</w:t>
            </w:r>
            <w:proofErr w:type="spellEnd"/>
          </w:p>
        </w:tc>
        <w:tc>
          <w:tcPr>
            <w:tcW w:w="666" w:type="pct"/>
            <w:vAlign w:val="center"/>
          </w:tcPr>
          <w:p w:rsidR="001634C4" w:rsidRPr="00E2771E" w:rsidRDefault="001634C4" w:rsidP="00C75C26">
            <w:pPr>
              <w:jc w:val="center"/>
              <w:rPr>
                <w:rFonts w:ascii="Arial Narrow" w:hAnsi="Arial Narrow"/>
                <w:color w:val="000000"/>
                <w:sz w:val="20"/>
                <w:szCs w:val="18"/>
              </w:rPr>
            </w:pPr>
            <w:proofErr w:type="spellStart"/>
            <w:r>
              <w:rPr>
                <w:rFonts w:ascii="Arial Narrow" w:hAnsi="Arial Narrow"/>
                <w:b/>
                <w:color w:val="000000"/>
                <w:sz w:val="20"/>
                <w:szCs w:val="18"/>
              </w:rPr>
              <w:t>Ipi</w:t>
            </w:r>
            <w:proofErr w:type="spellEnd"/>
          </w:p>
        </w:tc>
        <w:tc>
          <w:tcPr>
            <w:tcW w:w="836" w:type="pct"/>
            <w:gridSpan w:val="3"/>
            <w:vAlign w:val="center"/>
          </w:tcPr>
          <w:p w:rsidR="001634C4" w:rsidRPr="00E2771E" w:rsidRDefault="001634C4" w:rsidP="00C75C26">
            <w:pPr>
              <w:jc w:val="center"/>
              <w:rPr>
                <w:rFonts w:ascii="Arial Narrow" w:hAnsi="Arial Narrow"/>
                <w:color w:val="000000"/>
                <w:sz w:val="20"/>
                <w:szCs w:val="18"/>
              </w:rPr>
            </w:pPr>
          </w:p>
        </w:tc>
        <w:tc>
          <w:tcPr>
            <w:tcW w:w="532" w:type="pct"/>
            <w:gridSpan w:val="5"/>
            <w:vAlign w:val="center"/>
          </w:tcPr>
          <w:p w:rsidR="001634C4" w:rsidRPr="00E2771E" w:rsidRDefault="001634C4" w:rsidP="00C75C26">
            <w:pPr>
              <w:jc w:val="center"/>
              <w:rPr>
                <w:rFonts w:ascii="Arial Narrow" w:hAnsi="Arial Narrow"/>
                <w:color w:val="000000"/>
                <w:sz w:val="20"/>
                <w:szCs w:val="18"/>
              </w:rPr>
            </w:pPr>
            <w:proofErr w:type="spellStart"/>
            <w:r>
              <w:rPr>
                <w:rFonts w:ascii="Arial Narrow" w:hAnsi="Arial Narrow"/>
                <w:b/>
                <w:color w:val="000000"/>
                <w:sz w:val="20"/>
                <w:szCs w:val="18"/>
              </w:rPr>
              <w:t>Nivo</w:t>
            </w:r>
            <w:proofErr w:type="spellEnd"/>
          </w:p>
        </w:tc>
        <w:tc>
          <w:tcPr>
            <w:tcW w:w="418" w:type="pct"/>
            <w:vAlign w:val="center"/>
          </w:tcPr>
          <w:p w:rsidR="001634C4" w:rsidRPr="00E2771E" w:rsidRDefault="001634C4" w:rsidP="00C75C26">
            <w:pPr>
              <w:jc w:val="center"/>
              <w:rPr>
                <w:rFonts w:ascii="Arial Narrow" w:hAnsi="Arial Narrow"/>
                <w:color w:val="000000"/>
                <w:sz w:val="20"/>
                <w:szCs w:val="18"/>
              </w:rPr>
            </w:pPr>
            <w:proofErr w:type="spellStart"/>
            <w:r>
              <w:rPr>
                <w:rFonts w:ascii="Arial Narrow" w:hAnsi="Arial Narrow"/>
                <w:b/>
                <w:color w:val="000000"/>
                <w:sz w:val="20"/>
                <w:szCs w:val="18"/>
              </w:rPr>
              <w:t>Ipi</w:t>
            </w:r>
            <w:proofErr w:type="spellEnd"/>
          </w:p>
        </w:tc>
        <w:tc>
          <w:tcPr>
            <w:tcW w:w="951" w:type="pct"/>
            <w:gridSpan w:val="2"/>
            <w:vAlign w:val="center"/>
          </w:tcPr>
          <w:p w:rsidR="001634C4" w:rsidRPr="00E2771E" w:rsidRDefault="001634C4" w:rsidP="00C75C26">
            <w:pPr>
              <w:jc w:val="center"/>
              <w:rPr>
                <w:rFonts w:ascii="Arial Narrow" w:hAnsi="Arial Narrow"/>
                <w:color w:val="000000"/>
                <w:sz w:val="20"/>
                <w:szCs w:val="18"/>
              </w:rPr>
            </w:pPr>
          </w:p>
        </w:tc>
      </w:tr>
      <w:tr w:rsidR="001634C4" w:rsidRPr="00E2771E" w:rsidTr="000E35FC">
        <w:tc>
          <w:tcPr>
            <w:tcW w:w="870" w:type="pct"/>
            <w:shd w:val="clear" w:color="auto" w:fill="auto"/>
            <w:vAlign w:val="center"/>
          </w:tcPr>
          <w:p w:rsidR="001634C4" w:rsidRPr="00DA1C86" w:rsidRDefault="001634C4" w:rsidP="00C75C26">
            <w:pPr>
              <w:rPr>
                <w:rFonts w:ascii="Arial Narrow" w:hAnsi="Arial Narrow"/>
                <w:color w:val="000000"/>
                <w:sz w:val="20"/>
                <w:szCs w:val="18"/>
              </w:rPr>
            </w:pPr>
            <w:r>
              <w:rPr>
                <w:rFonts w:ascii="Arial Narrow" w:hAnsi="Arial Narrow"/>
                <w:color w:val="000000"/>
                <w:sz w:val="20"/>
                <w:szCs w:val="18"/>
              </w:rPr>
              <w:t xml:space="preserve">Pooled </w:t>
            </w:r>
            <w:proofErr w:type="spellStart"/>
            <w:r>
              <w:rPr>
                <w:rFonts w:ascii="Arial Narrow" w:hAnsi="Arial Narrow"/>
                <w:color w:val="000000"/>
                <w:sz w:val="20"/>
                <w:szCs w:val="18"/>
              </w:rPr>
              <w:t>N</w:t>
            </w:r>
            <w:r w:rsidRPr="00DA1C86">
              <w:rPr>
                <w:rFonts w:ascii="Arial Narrow" w:hAnsi="Arial Narrow"/>
                <w:color w:val="000000"/>
                <w:sz w:val="20"/>
                <w:szCs w:val="18"/>
              </w:rPr>
              <w:t>ivo</w:t>
            </w:r>
            <w:proofErr w:type="spellEnd"/>
            <w:r>
              <w:rPr>
                <w:rFonts w:ascii="Arial Narrow" w:hAnsi="Arial Narrow"/>
                <w:color w:val="000000"/>
                <w:sz w:val="20"/>
                <w:szCs w:val="18"/>
              </w:rPr>
              <w:t xml:space="preserve"> + </w:t>
            </w:r>
            <w:proofErr w:type="spellStart"/>
            <w:r>
              <w:rPr>
                <w:rFonts w:ascii="Arial Narrow" w:hAnsi="Arial Narrow"/>
                <w:color w:val="000000"/>
                <w:sz w:val="20"/>
                <w:szCs w:val="18"/>
              </w:rPr>
              <w:t>Ipi</w:t>
            </w:r>
            <w:proofErr w:type="spellEnd"/>
          </w:p>
        </w:tc>
        <w:tc>
          <w:tcPr>
            <w:tcW w:w="727" w:type="pct"/>
            <w:gridSpan w:val="2"/>
            <w:vAlign w:val="center"/>
          </w:tcPr>
          <w:p w:rsidR="001634C4" w:rsidRDefault="001634C4" w:rsidP="00C75C26">
            <w:pPr>
              <w:jc w:val="center"/>
              <w:rPr>
                <w:rFonts w:ascii="Arial Narrow" w:hAnsi="Arial Narrow"/>
                <w:color w:val="000000"/>
                <w:sz w:val="20"/>
                <w:szCs w:val="18"/>
              </w:rPr>
            </w:pPr>
            <w:r>
              <w:rPr>
                <w:rFonts w:ascii="Arial Narrow" w:hAnsi="Arial Narrow"/>
                <w:color w:val="000000"/>
                <w:sz w:val="20"/>
                <w:szCs w:val="18"/>
              </w:rPr>
              <w:t>148/407 (36.4)</w:t>
            </w:r>
          </w:p>
        </w:tc>
        <w:tc>
          <w:tcPr>
            <w:tcW w:w="666" w:type="pct"/>
            <w:vAlign w:val="center"/>
          </w:tcPr>
          <w:p w:rsidR="001634C4" w:rsidRDefault="001634C4" w:rsidP="000E35FC">
            <w:pPr>
              <w:jc w:val="center"/>
              <w:rPr>
                <w:rFonts w:ascii="Arial Narrow" w:hAnsi="Arial Narrow"/>
                <w:color w:val="000000"/>
                <w:sz w:val="20"/>
                <w:szCs w:val="18"/>
              </w:rPr>
            </w:pPr>
            <w:r>
              <w:rPr>
                <w:rFonts w:ascii="Arial Narrow" w:hAnsi="Arial Narrow"/>
                <w:color w:val="000000"/>
                <w:sz w:val="20"/>
                <w:szCs w:val="18"/>
              </w:rPr>
              <w:t>50/357 (</w:t>
            </w:r>
            <w:r w:rsidR="000E35FC">
              <w:rPr>
                <w:rFonts w:ascii="Arial Narrow" w:hAnsi="Arial Narrow"/>
                <w:color w:val="000000"/>
                <w:sz w:val="20"/>
                <w:szCs w:val="18"/>
              </w:rPr>
              <w:t>14</w:t>
            </w:r>
            <w:r>
              <w:rPr>
                <w:rFonts w:ascii="Arial Narrow" w:hAnsi="Arial Narrow"/>
                <w:color w:val="000000"/>
                <w:sz w:val="20"/>
                <w:szCs w:val="18"/>
              </w:rPr>
              <w:t>.</w:t>
            </w:r>
            <w:r w:rsidR="000E35FC">
              <w:rPr>
                <w:rFonts w:ascii="Arial Narrow" w:hAnsi="Arial Narrow"/>
                <w:color w:val="000000"/>
                <w:sz w:val="20"/>
                <w:szCs w:val="18"/>
              </w:rPr>
              <w:t>0</w:t>
            </w:r>
            <w:r>
              <w:rPr>
                <w:rFonts w:ascii="Arial Narrow" w:hAnsi="Arial Narrow"/>
                <w:color w:val="000000"/>
                <w:sz w:val="20"/>
                <w:szCs w:val="18"/>
              </w:rPr>
              <w:t>)</w:t>
            </w:r>
          </w:p>
        </w:tc>
        <w:tc>
          <w:tcPr>
            <w:tcW w:w="836" w:type="pct"/>
            <w:gridSpan w:val="3"/>
            <w:vAlign w:val="center"/>
          </w:tcPr>
          <w:p w:rsidR="001634C4" w:rsidRPr="00996B66" w:rsidRDefault="001634C4" w:rsidP="00C75C26">
            <w:pPr>
              <w:jc w:val="center"/>
              <w:rPr>
                <w:rFonts w:ascii="Arial Narrow" w:hAnsi="Arial Narrow"/>
                <w:i/>
                <w:sz w:val="20"/>
              </w:rPr>
            </w:pPr>
            <w:r w:rsidRPr="00911EA4">
              <w:rPr>
                <w:rFonts w:ascii="Arial Narrow" w:hAnsi="Arial Narrow"/>
                <w:color w:val="000000"/>
                <w:sz w:val="20"/>
                <w:szCs w:val="18"/>
              </w:rPr>
              <w:t>2.59 (1.92, 3.49)</w:t>
            </w:r>
          </w:p>
        </w:tc>
        <w:tc>
          <w:tcPr>
            <w:tcW w:w="532" w:type="pct"/>
            <w:gridSpan w:val="5"/>
            <w:vAlign w:val="center"/>
          </w:tcPr>
          <w:p w:rsidR="001634C4" w:rsidRDefault="001634C4" w:rsidP="00C75C26">
            <w:pPr>
              <w:jc w:val="center"/>
              <w:rPr>
                <w:rFonts w:ascii="Arial Narrow" w:hAnsi="Arial Narrow"/>
                <w:color w:val="000000"/>
                <w:sz w:val="20"/>
                <w:szCs w:val="18"/>
              </w:rPr>
            </w:pPr>
            <w:r>
              <w:rPr>
                <w:rFonts w:ascii="Arial Narrow" w:hAnsi="Arial Narrow"/>
                <w:color w:val="000000"/>
                <w:sz w:val="20"/>
                <w:szCs w:val="18"/>
              </w:rPr>
              <w:t>36</w:t>
            </w:r>
          </w:p>
        </w:tc>
        <w:tc>
          <w:tcPr>
            <w:tcW w:w="418" w:type="pct"/>
            <w:vAlign w:val="center"/>
          </w:tcPr>
          <w:p w:rsidR="001634C4" w:rsidRDefault="001634C4" w:rsidP="00C75C26">
            <w:pPr>
              <w:jc w:val="center"/>
              <w:rPr>
                <w:rFonts w:ascii="Arial Narrow" w:hAnsi="Arial Narrow"/>
                <w:color w:val="000000"/>
                <w:sz w:val="20"/>
                <w:szCs w:val="18"/>
              </w:rPr>
            </w:pPr>
            <w:r>
              <w:rPr>
                <w:rFonts w:ascii="Arial Narrow" w:hAnsi="Arial Narrow"/>
                <w:color w:val="000000"/>
                <w:sz w:val="20"/>
                <w:szCs w:val="18"/>
              </w:rPr>
              <w:t>1</w:t>
            </w:r>
            <w:r w:rsidR="000E35FC">
              <w:rPr>
                <w:rFonts w:ascii="Arial Narrow" w:hAnsi="Arial Narrow"/>
                <w:color w:val="000000"/>
                <w:sz w:val="20"/>
                <w:szCs w:val="18"/>
              </w:rPr>
              <w:t>4</w:t>
            </w:r>
          </w:p>
        </w:tc>
        <w:tc>
          <w:tcPr>
            <w:tcW w:w="951" w:type="pct"/>
            <w:gridSpan w:val="2"/>
            <w:vAlign w:val="center"/>
          </w:tcPr>
          <w:p w:rsidR="001634C4" w:rsidRDefault="001634C4" w:rsidP="00C75C26">
            <w:pPr>
              <w:jc w:val="center"/>
              <w:rPr>
                <w:rFonts w:ascii="Arial Narrow" w:hAnsi="Arial Narrow"/>
                <w:color w:val="000000"/>
                <w:sz w:val="20"/>
                <w:szCs w:val="18"/>
              </w:rPr>
            </w:pPr>
            <w:r w:rsidRPr="00911EA4">
              <w:rPr>
                <w:rFonts w:ascii="Arial Narrow" w:hAnsi="Arial Narrow"/>
                <w:color w:val="000000"/>
                <w:sz w:val="20"/>
                <w:szCs w:val="18"/>
              </w:rPr>
              <w:t>0.23 (0.17, 0.29)</w:t>
            </w:r>
          </w:p>
        </w:tc>
      </w:tr>
      <w:tr w:rsidR="001634C4" w:rsidRPr="00E2771E" w:rsidTr="000E35FC">
        <w:tc>
          <w:tcPr>
            <w:tcW w:w="870" w:type="pct"/>
            <w:shd w:val="clear" w:color="auto" w:fill="auto"/>
            <w:vAlign w:val="center"/>
          </w:tcPr>
          <w:p w:rsidR="001634C4" w:rsidRPr="00E2771E" w:rsidRDefault="001634C4" w:rsidP="00C75C26">
            <w:pPr>
              <w:rPr>
                <w:rFonts w:ascii="Arial Narrow" w:hAnsi="Arial Narrow"/>
                <w:color w:val="000000"/>
                <w:sz w:val="20"/>
                <w:szCs w:val="18"/>
              </w:rPr>
            </w:pPr>
          </w:p>
        </w:tc>
        <w:tc>
          <w:tcPr>
            <w:tcW w:w="727" w:type="pct"/>
            <w:gridSpan w:val="2"/>
            <w:vAlign w:val="center"/>
          </w:tcPr>
          <w:p w:rsidR="001634C4" w:rsidRPr="00E2771E" w:rsidRDefault="001634C4" w:rsidP="00C75C26">
            <w:pPr>
              <w:jc w:val="center"/>
              <w:rPr>
                <w:rFonts w:ascii="Arial Narrow" w:hAnsi="Arial Narrow"/>
                <w:color w:val="000000"/>
                <w:sz w:val="20"/>
                <w:szCs w:val="18"/>
              </w:rPr>
            </w:pPr>
            <w:proofErr w:type="spellStart"/>
            <w:r>
              <w:rPr>
                <w:rFonts w:ascii="Arial Narrow" w:hAnsi="Arial Narrow"/>
                <w:b/>
                <w:color w:val="000000"/>
                <w:sz w:val="20"/>
                <w:szCs w:val="18"/>
              </w:rPr>
              <w:t>Pembro</w:t>
            </w:r>
            <w:proofErr w:type="spellEnd"/>
          </w:p>
        </w:tc>
        <w:tc>
          <w:tcPr>
            <w:tcW w:w="666" w:type="pct"/>
            <w:vAlign w:val="center"/>
          </w:tcPr>
          <w:p w:rsidR="001634C4" w:rsidRPr="00E2771E" w:rsidRDefault="001634C4" w:rsidP="00C75C26">
            <w:pPr>
              <w:jc w:val="center"/>
              <w:rPr>
                <w:rFonts w:ascii="Arial Narrow" w:hAnsi="Arial Narrow"/>
                <w:color w:val="000000"/>
                <w:sz w:val="20"/>
                <w:szCs w:val="18"/>
              </w:rPr>
            </w:pPr>
            <w:proofErr w:type="spellStart"/>
            <w:r>
              <w:rPr>
                <w:rFonts w:ascii="Arial Narrow" w:hAnsi="Arial Narrow"/>
                <w:b/>
                <w:color w:val="000000"/>
                <w:sz w:val="20"/>
                <w:szCs w:val="18"/>
              </w:rPr>
              <w:t>Ipi</w:t>
            </w:r>
            <w:proofErr w:type="spellEnd"/>
          </w:p>
        </w:tc>
        <w:tc>
          <w:tcPr>
            <w:tcW w:w="836" w:type="pct"/>
            <w:gridSpan w:val="3"/>
            <w:vAlign w:val="center"/>
          </w:tcPr>
          <w:p w:rsidR="001634C4" w:rsidRPr="00E2771E" w:rsidRDefault="001634C4" w:rsidP="00C75C26">
            <w:pPr>
              <w:jc w:val="center"/>
              <w:rPr>
                <w:rFonts w:ascii="Arial Narrow" w:hAnsi="Arial Narrow"/>
                <w:color w:val="000000"/>
                <w:sz w:val="20"/>
                <w:szCs w:val="18"/>
              </w:rPr>
            </w:pPr>
          </w:p>
        </w:tc>
        <w:tc>
          <w:tcPr>
            <w:tcW w:w="532" w:type="pct"/>
            <w:gridSpan w:val="5"/>
            <w:vAlign w:val="center"/>
          </w:tcPr>
          <w:p w:rsidR="001634C4" w:rsidRPr="00E2771E" w:rsidRDefault="001634C4" w:rsidP="00C75C26">
            <w:pPr>
              <w:jc w:val="center"/>
              <w:rPr>
                <w:rFonts w:ascii="Arial Narrow" w:hAnsi="Arial Narrow"/>
                <w:color w:val="000000"/>
                <w:sz w:val="20"/>
                <w:szCs w:val="18"/>
              </w:rPr>
            </w:pPr>
            <w:proofErr w:type="spellStart"/>
            <w:r>
              <w:rPr>
                <w:rFonts w:ascii="Arial Narrow" w:hAnsi="Arial Narrow"/>
                <w:b/>
                <w:color w:val="000000"/>
                <w:sz w:val="20"/>
                <w:szCs w:val="18"/>
              </w:rPr>
              <w:t>Pembro</w:t>
            </w:r>
            <w:proofErr w:type="spellEnd"/>
          </w:p>
        </w:tc>
        <w:tc>
          <w:tcPr>
            <w:tcW w:w="418" w:type="pct"/>
            <w:vAlign w:val="center"/>
          </w:tcPr>
          <w:p w:rsidR="001634C4" w:rsidRPr="00E2771E" w:rsidRDefault="001634C4" w:rsidP="00C75C26">
            <w:pPr>
              <w:jc w:val="center"/>
              <w:rPr>
                <w:rFonts w:ascii="Arial Narrow" w:hAnsi="Arial Narrow"/>
                <w:color w:val="000000"/>
                <w:sz w:val="20"/>
                <w:szCs w:val="18"/>
              </w:rPr>
            </w:pPr>
            <w:proofErr w:type="spellStart"/>
            <w:r>
              <w:rPr>
                <w:rFonts w:ascii="Arial Narrow" w:hAnsi="Arial Narrow"/>
                <w:b/>
                <w:color w:val="000000"/>
                <w:sz w:val="20"/>
                <w:szCs w:val="18"/>
              </w:rPr>
              <w:t>Ipi</w:t>
            </w:r>
            <w:proofErr w:type="spellEnd"/>
          </w:p>
        </w:tc>
        <w:tc>
          <w:tcPr>
            <w:tcW w:w="951" w:type="pct"/>
            <w:gridSpan w:val="2"/>
            <w:vAlign w:val="center"/>
          </w:tcPr>
          <w:p w:rsidR="001634C4" w:rsidRPr="00E2771E" w:rsidRDefault="001634C4" w:rsidP="00C75C26">
            <w:pPr>
              <w:jc w:val="center"/>
              <w:rPr>
                <w:rFonts w:ascii="Arial Narrow" w:hAnsi="Arial Narrow"/>
                <w:color w:val="000000"/>
                <w:sz w:val="20"/>
                <w:szCs w:val="18"/>
              </w:rPr>
            </w:pPr>
          </w:p>
        </w:tc>
      </w:tr>
      <w:tr w:rsidR="001634C4" w:rsidRPr="00E2771E" w:rsidTr="000E35FC">
        <w:tc>
          <w:tcPr>
            <w:tcW w:w="870" w:type="pct"/>
            <w:shd w:val="clear" w:color="auto" w:fill="auto"/>
            <w:vAlign w:val="center"/>
          </w:tcPr>
          <w:p w:rsidR="001634C4" w:rsidRPr="00E2771E" w:rsidRDefault="001634C4" w:rsidP="00C75C26">
            <w:pPr>
              <w:rPr>
                <w:rFonts w:ascii="Arial Narrow" w:hAnsi="Arial Narrow"/>
                <w:color w:val="000000"/>
                <w:sz w:val="20"/>
                <w:szCs w:val="18"/>
              </w:rPr>
            </w:pPr>
            <w:r>
              <w:rPr>
                <w:rFonts w:ascii="Arial Narrow" w:hAnsi="Arial Narrow"/>
                <w:sz w:val="20"/>
              </w:rPr>
              <w:t xml:space="preserve">KN-006 - </w:t>
            </w:r>
            <w:proofErr w:type="spellStart"/>
            <w:r>
              <w:rPr>
                <w:rFonts w:ascii="Arial Narrow" w:hAnsi="Arial Narrow"/>
                <w:sz w:val="20"/>
              </w:rPr>
              <w:t>Pembro</w:t>
            </w:r>
            <w:proofErr w:type="spellEnd"/>
          </w:p>
        </w:tc>
        <w:tc>
          <w:tcPr>
            <w:tcW w:w="727" w:type="pct"/>
            <w:gridSpan w:val="2"/>
            <w:vAlign w:val="bottom"/>
          </w:tcPr>
          <w:p w:rsidR="001634C4" w:rsidRPr="00E2771E" w:rsidRDefault="001634C4" w:rsidP="00C75C26">
            <w:pPr>
              <w:jc w:val="center"/>
              <w:rPr>
                <w:rFonts w:ascii="Arial Narrow" w:hAnsi="Arial Narrow"/>
                <w:color w:val="000000"/>
                <w:sz w:val="20"/>
                <w:szCs w:val="18"/>
              </w:rPr>
            </w:pPr>
            <w:r w:rsidRPr="00446BBC">
              <w:rPr>
                <w:rFonts w:ascii="Arial Narrow" w:hAnsi="Arial Narrow" w:cs="Times New Roman"/>
                <w:snapToGrid/>
                <w:color w:val="000000"/>
                <w:sz w:val="20"/>
                <w:lang w:val="en-US"/>
              </w:rPr>
              <w:t>30</w:t>
            </w:r>
            <w:r>
              <w:rPr>
                <w:rFonts w:ascii="Arial Narrow" w:hAnsi="Arial Narrow" w:cs="Times New Roman"/>
                <w:snapToGrid/>
                <w:color w:val="000000"/>
                <w:sz w:val="20"/>
                <w:lang w:val="en-US"/>
              </w:rPr>
              <w:t>/555</w:t>
            </w:r>
            <w:r w:rsidRPr="00446BBC">
              <w:rPr>
                <w:rFonts w:ascii="Arial Narrow" w:hAnsi="Arial Narrow" w:cs="Times New Roman"/>
                <w:snapToGrid/>
                <w:color w:val="000000"/>
                <w:sz w:val="20"/>
                <w:lang w:val="en-US"/>
              </w:rPr>
              <w:t xml:space="preserve"> (5.4)</w:t>
            </w:r>
          </w:p>
        </w:tc>
        <w:tc>
          <w:tcPr>
            <w:tcW w:w="666" w:type="pct"/>
            <w:vAlign w:val="bottom"/>
          </w:tcPr>
          <w:p w:rsidR="001634C4" w:rsidRPr="00E2771E" w:rsidRDefault="001634C4" w:rsidP="00C75C26">
            <w:pPr>
              <w:jc w:val="center"/>
              <w:rPr>
                <w:rFonts w:ascii="Arial Narrow" w:hAnsi="Arial Narrow"/>
                <w:color w:val="000000"/>
                <w:sz w:val="20"/>
                <w:szCs w:val="18"/>
              </w:rPr>
            </w:pPr>
            <w:r w:rsidRPr="00446BBC">
              <w:rPr>
                <w:rFonts w:ascii="Arial Narrow" w:hAnsi="Arial Narrow" w:cs="Times New Roman"/>
                <w:snapToGrid/>
                <w:color w:val="000000"/>
                <w:sz w:val="20"/>
                <w:lang w:val="en-US"/>
              </w:rPr>
              <w:t>24</w:t>
            </w:r>
            <w:r>
              <w:rPr>
                <w:rFonts w:ascii="Arial Narrow" w:hAnsi="Arial Narrow" w:cs="Times New Roman"/>
                <w:snapToGrid/>
                <w:color w:val="000000"/>
                <w:sz w:val="20"/>
                <w:lang w:val="en-US"/>
              </w:rPr>
              <w:t>/256</w:t>
            </w:r>
            <w:r w:rsidRPr="00446BBC">
              <w:rPr>
                <w:rFonts w:ascii="Arial Narrow" w:hAnsi="Arial Narrow" w:cs="Times New Roman"/>
                <w:snapToGrid/>
                <w:color w:val="000000"/>
                <w:sz w:val="20"/>
                <w:lang w:val="en-US"/>
              </w:rPr>
              <w:t xml:space="preserve"> (9.4)</w:t>
            </w:r>
          </w:p>
        </w:tc>
        <w:tc>
          <w:tcPr>
            <w:tcW w:w="836" w:type="pct"/>
            <w:gridSpan w:val="3"/>
            <w:vAlign w:val="center"/>
          </w:tcPr>
          <w:p w:rsidR="001634C4" w:rsidRPr="00E2771E" w:rsidRDefault="001634C4" w:rsidP="00C75C26">
            <w:pPr>
              <w:jc w:val="center"/>
              <w:rPr>
                <w:rFonts w:ascii="Arial Narrow" w:hAnsi="Arial Narrow"/>
                <w:color w:val="000000"/>
                <w:sz w:val="20"/>
                <w:szCs w:val="18"/>
              </w:rPr>
            </w:pPr>
            <w:r>
              <w:rPr>
                <w:rFonts w:ascii="Arial Narrow" w:hAnsi="Arial Narrow"/>
                <w:color w:val="000000"/>
                <w:sz w:val="20"/>
                <w:szCs w:val="18"/>
              </w:rPr>
              <w:t>0.58 (0.34, 0.97)</w:t>
            </w:r>
          </w:p>
        </w:tc>
        <w:tc>
          <w:tcPr>
            <w:tcW w:w="532" w:type="pct"/>
            <w:gridSpan w:val="5"/>
            <w:vAlign w:val="center"/>
          </w:tcPr>
          <w:p w:rsidR="001634C4" w:rsidRPr="00E2771E" w:rsidRDefault="001634C4" w:rsidP="00C75C26">
            <w:pPr>
              <w:jc w:val="center"/>
              <w:rPr>
                <w:rFonts w:ascii="Arial Narrow" w:hAnsi="Arial Narrow"/>
                <w:color w:val="000000"/>
                <w:sz w:val="20"/>
                <w:szCs w:val="18"/>
              </w:rPr>
            </w:pPr>
            <w:r>
              <w:rPr>
                <w:rFonts w:ascii="Arial Narrow" w:hAnsi="Arial Narrow"/>
                <w:color w:val="000000"/>
                <w:sz w:val="20"/>
                <w:szCs w:val="18"/>
              </w:rPr>
              <w:t>5</w:t>
            </w:r>
          </w:p>
        </w:tc>
        <w:tc>
          <w:tcPr>
            <w:tcW w:w="418" w:type="pct"/>
            <w:vAlign w:val="center"/>
          </w:tcPr>
          <w:p w:rsidR="001634C4" w:rsidRPr="00E2771E" w:rsidRDefault="001634C4" w:rsidP="00C75C26">
            <w:pPr>
              <w:jc w:val="center"/>
              <w:rPr>
                <w:rFonts w:ascii="Arial Narrow" w:hAnsi="Arial Narrow"/>
                <w:color w:val="000000"/>
                <w:sz w:val="20"/>
                <w:szCs w:val="18"/>
              </w:rPr>
            </w:pPr>
            <w:r>
              <w:rPr>
                <w:rFonts w:ascii="Arial Narrow" w:hAnsi="Arial Narrow"/>
                <w:color w:val="000000"/>
                <w:sz w:val="20"/>
                <w:szCs w:val="18"/>
              </w:rPr>
              <w:t>9</w:t>
            </w:r>
          </w:p>
        </w:tc>
        <w:tc>
          <w:tcPr>
            <w:tcW w:w="951" w:type="pct"/>
            <w:gridSpan w:val="2"/>
            <w:vAlign w:val="center"/>
          </w:tcPr>
          <w:p w:rsidR="001634C4" w:rsidRPr="000E35FC" w:rsidRDefault="001634C4" w:rsidP="000E35FC">
            <w:pPr>
              <w:jc w:val="center"/>
              <w:rPr>
                <w:rFonts w:ascii="Arial Narrow" w:hAnsi="Arial Narrow"/>
                <w:color w:val="000000"/>
                <w:sz w:val="20"/>
                <w:szCs w:val="18"/>
              </w:rPr>
            </w:pPr>
            <w:r w:rsidRPr="000E35FC">
              <w:rPr>
                <w:rFonts w:ascii="Arial Narrow" w:hAnsi="Arial Narrow"/>
                <w:color w:val="000000"/>
                <w:sz w:val="20"/>
                <w:szCs w:val="18"/>
              </w:rPr>
              <w:t>-0.04 (-0.08, 0.06</w:t>
            </w:r>
            <w:r w:rsidR="000E35FC">
              <w:rPr>
                <w:rFonts w:ascii="Arial Narrow" w:hAnsi="Arial Narrow"/>
                <w:color w:val="000000"/>
                <w:sz w:val="20"/>
                <w:szCs w:val="18"/>
              </w:rPr>
              <w:t>)</w:t>
            </w:r>
            <w:r w:rsidRPr="000E35FC">
              <w:rPr>
                <w:rFonts w:ascii="Arial Narrow" w:hAnsi="Arial Narrow"/>
                <w:color w:val="000000"/>
                <w:sz w:val="20"/>
                <w:szCs w:val="18"/>
                <w:vertAlign w:val="superscript"/>
              </w:rPr>
              <w:t>a</w:t>
            </w:r>
          </w:p>
        </w:tc>
      </w:tr>
      <w:tr w:rsidR="001634C4" w:rsidRPr="00E2771E" w:rsidTr="000E35FC">
        <w:tc>
          <w:tcPr>
            <w:tcW w:w="4049" w:type="pct"/>
            <w:gridSpan w:val="13"/>
            <w:shd w:val="clear" w:color="auto" w:fill="auto"/>
            <w:vAlign w:val="center"/>
          </w:tcPr>
          <w:p w:rsidR="001634C4" w:rsidRPr="00E2771E" w:rsidRDefault="001634C4" w:rsidP="00C75C26">
            <w:pPr>
              <w:jc w:val="left"/>
              <w:rPr>
                <w:rFonts w:ascii="Arial Narrow" w:hAnsi="Arial Narrow"/>
                <w:color w:val="000000"/>
                <w:sz w:val="20"/>
                <w:szCs w:val="18"/>
              </w:rPr>
            </w:pPr>
            <w:r>
              <w:rPr>
                <w:rFonts w:ascii="Arial Narrow" w:hAnsi="Arial Narrow"/>
                <w:b/>
                <w:sz w:val="20"/>
              </w:rPr>
              <w:t xml:space="preserve">Indirect comparison any AE leading to discontinuation – </w:t>
            </w:r>
            <w:proofErr w:type="spellStart"/>
            <w:r>
              <w:rPr>
                <w:rFonts w:ascii="Arial Narrow" w:hAnsi="Arial Narrow"/>
                <w:b/>
                <w:sz w:val="20"/>
              </w:rPr>
              <w:t>Nivo</w:t>
            </w:r>
            <w:proofErr w:type="spellEnd"/>
            <w:r>
              <w:rPr>
                <w:rFonts w:ascii="Arial Narrow" w:hAnsi="Arial Narrow"/>
                <w:b/>
                <w:sz w:val="20"/>
              </w:rPr>
              <w:t xml:space="preserve">+ </w:t>
            </w:r>
            <w:proofErr w:type="spellStart"/>
            <w:r>
              <w:rPr>
                <w:rFonts w:ascii="Arial Narrow" w:hAnsi="Arial Narrow"/>
                <w:b/>
                <w:sz w:val="20"/>
              </w:rPr>
              <w:t>Ipi</w:t>
            </w:r>
            <w:proofErr w:type="spellEnd"/>
            <w:r>
              <w:rPr>
                <w:rFonts w:ascii="Arial Narrow" w:hAnsi="Arial Narrow"/>
                <w:b/>
                <w:sz w:val="20"/>
              </w:rPr>
              <w:t xml:space="preserve"> vs. </w:t>
            </w:r>
            <w:proofErr w:type="spellStart"/>
            <w:r>
              <w:rPr>
                <w:rFonts w:ascii="Arial Narrow" w:hAnsi="Arial Narrow"/>
                <w:b/>
                <w:sz w:val="20"/>
              </w:rPr>
              <w:t>Pembro</w:t>
            </w:r>
            <w:proofErr w:type="spellEnd"/>
          </w:p>
        </w:tc>
        <w:tc>
          <w:tcPr>
            <w:tcW w:w="951" w:type="pct"/>
            <w:gridSpan w:val="2"/>
            <w:vAlign w:val="center"/>
          </w:tcPr>
          <w:p w:rsidR="001634C4" w:rsidRPr="000E35FC" w:rsidRDefault="001634C4" w:rsidP="00C75C26">
            <w:pPr>
              <w:jc w:val="center"/>
              <w:rPr>
                <w:rFonts w:ascii="Arial Narrow" w:hAnsi="Arial Narrow"/>
                <w:b/>
                <w:color w:val="000000"/>
                <w:sz w:val="20"/>
                <w:szCs w:val="18"/>
                <w:vertAlign w:val="superscript"/>
              </w:rPr>
            </w:pPr>
            <w:r w:rsidRPr="000E35FC">
              <w:rPr>
                <w:rFonts w:ascii="Arial Narrow" w:hAnsi="Arial Narrow"/>
                <w:b/>
                <w:color w:val="000000"/>
                <w:sz w:val="20"/>
                <w:szCs w:val="18"/>
              </w:rPr>
              <w:t>0.27 (0.18, 0.36)</w:t>
            </w:r>
            <w:r w:rsidRPr="000E35FC">
              <w:rPr>
                <w:rFonts w:ascii="Arial Narrow" w:hAnsi="Arial Narrow"/>
                <w:b/>
                <w:color w:val="000000"/>
                <w:sz w:val="20"/>
                <w:szCs w:val="18"/>
                <w:vertAlign w:val="superscript"/>
              </w:rPr>
              <w:t>b</w:t>
            </w:r>
          </w:p>
        </w:tc>
      </w:tr>
    </w:tbl>
    <w:p w:rsidR="001634C4" w:rsidRPr="0072416F" w:rsidRDefault="001634C4" w:rsidP="001634C4">
      <w:pPr>
        <w:pStyle w:val="TableFooter"/>
        <w:ind w:firstLine="720"/>
      </w:pPr>
      <w:r w:rsidRPr="0072416F">
        <w:t xml:space="preserve">Source: </w:t>
      </w:r>
      <w:r>
        <w:t>c</w:t>
      </w:r>
      <w:r w:rsidRPr="0072416F">
        <w:t>ompiled during the evaluation</w:t>
      </w:r>
      <w:r>
        <w:t>.</w:t>
      </w:r>
    </w:p>
    <w:p w:rsidR="001634C4" w:rsidRPr="0072416F" w:rsidRDefault="001634C4" w:rsidP="001634C4">
      <w:pPr>
        <w:pStyle w:val="TableFooter"/>
        <w:tabs>
          <w:tab w:val="left" w:pos="90"/>
        </w:tabs>
        <w:ind w:left="720"/>
      </w:pPr>
      <w:r>
        <w:t xml:space="preserve">AE = adverse event; CI = confidence interval; HR = hazard ratio; </w:t>
      </w:r>
      <w:proofErr w:type="spellStart"/>
      <w:r>
        <w:t>Ipi</w:t>
      </w:r>
      <w:proofErr w:type="spellEnd"/>
      <w:r>
        <w:t xml:space="preserve"> = </w:t>
      </w:r>
      <w:proofErr w:type="spellStart"/>
      <w:r>
        <w:t>ipilimumab</w:t>
      </w:r>
      <w:proofErr w:type="spellEnd"/>
      <w:r>
        <w:t xml:space="preserve">; </w:t>
      </w:r>
      <w:proofErr w:type="spellStart"/>
      <w:r>
        <w:t>Nivo</w:t>
      </w:r>
      <w:proofErr w:type="spellEnd"/>
      <w:r>
        <w:t xml:space="preserve"> = </w:t>
      </w:r>
      <w:proofErr w:type="spellStart"/>
      <w:r>
        <w:t>nivolumab</w:t>
      </w:r>
      <w:proofErr w:type="spellEnd"/>
      <w:r>
        <w:t xml:space="preserve">; OS = overall survival; </w:t>
      </w:r>
      <w:proofErr w:type="spellStart"/>
      <w:r>
        <w:t>Pembro</w:t>
      </w:r>
      <w:proofErr w:type="spellEnd"/>
      <w:r>
        <w:t xml:space="preserve"> = </w:t>
      </w:r>
      <w:proofErr w:type="spellStart"/>
      <w:r>
        <w:t>pembrolizumab</w:t>
      </w:r>
      <w:proofErr w:type="spellEnd"/>
      <w:r>
        <w:t>; PFS = progression-free survival</w:t>
      </w:r>
      <w:r w:rsidRPr="0072416F">
        <w:t>; RD = risk difference; RR = risk ratio</w:t>
      </w:r>
      <w:r>
        <w:t xml:space="preserve">; Q2W = every two weeks; </w:t>
      </w:r>
      <w:r>
        <w:lastRenderedPageBreak/>
        <w:t>Q3W = every three weeks</w:t>
      </w:r>
    </w:p>
    <w:p w:rsidR="001634C4" w:rsidRDefault="003E147C" w:rsidP="00C75C26">
      <w:pPr>
        <w:pStyle w:val="TableFooter"/>
        <w:ind w:left="720"/>
      </w:pPr>
      <w:r>
        <w:t>*</w:t>
      </w:r>
      <w:r w:rsidR="001634C4">
        <w:t xml:space="preserve"> </w:t>
      </w:r>
      <w:r>
        <w:t>Incorrectly stated as 5.</w:t>
      </w:r>
      <w:r w:rsidR="001634C4">
        <w:t>5 (2.9, 6.9) in the submission.</w:t>
      </w:r>
    </w:p>
    <w:p w:rsidR="003E147C" w:rsidRDefault="003E147C" w:rsidP="00C75C26">
      <w:pPr>
        <w:pStyle w:val="TableFooter"/>
        <w:ind w:left="720"/>
      </w:pPr>
      <w:r>
        <w:t>**</w:t>
      </w:r>
      <w:r w:rsidRPr="0072416F">
        <w:t>Median</w:t>
      </w:r>
      <w:r>
        <w:t xml:space="preserve"> follow-up in CA209-067: 12.2-12.5 months; minimum follow-up in CA209-069: 11 months</w:t>
      </w:r>
      <w:r w:rsidRPr="0072416F">
        <w:t xml:space="preserve">; </w:t>
      </w:r>
      <w:r w:rsidR="001634C4">
        <w:t>m</w:t>
      </w:r>
      <w:r>
        <w:t>inimum follow-up of KN-006</w:t>
      </w:r>
      <w:r w:rsidRPr="0072416F">
        <w:t xml:space="preserve"> = </w:t>
      </w:r>
      <w:r>
        <w:t>6 months</w:t>
      </w:r>
      <w:r w:rsidR="006E2851">
        <w:t>.</w:t>
      </w:r>
    </w:p>
    <w:p w:rsidR="006E2851" w:rsidRDefault="003E147C" w:rsidP="00C75C26">
      <w:pPr>
        <w:pStyle w:val="TableFooter"/>
        <w:ind w:left="720"/>
      </w:pPr>
      <w:proofErr w:type="gramStart"/>
      <w:r>
        <w:rPr>
          <w:vertAlign w:val="superscript"/>
        </w:rPr>
        <w:t>a</w:t>
      </w:r>
      <w:proofErr w:type="gramEnd"/>
      <w:r w:rsidR="001634C4">
        <w:rPr>
          <w:vertAlign w:val="superscript"/>
        </w:rPr>
        <w:t xml:space="preserve"> </w:t>
      </w:r>
      <w:r>
        <w:t>Calculated during the evalua</w:t>
      </w:r>
      <w:r w:rsidR="006E2851">
        <w:t xml:space="preserve">tion using </w:t>
      </w:r>
      <w:proofErr w:type="spellStart"/>
      <w:r w:rsidR="006E2851">
        <w:t>OpenEpi</w:t>
      </w:r>
      <w:proofErr w:type="spellEnd"/>
      <w:r w:rsidR="006E2851">
        <w:t xml:space="preserve"> version 2.2.</w:t>
      </w:r>
    </w:p>
    <w:p w:rsidR="003E147C" w:rsidRPr="00EE7072" w:rsidRDefault="003E147C" w:rsidP="00C75C26">
      <w:pPr>
        <w:pStyle w:val="TableFooter"/>
        <w:ind w:left="720"/>
      </w:pPr>
      <w:proofErr w:type="gramStart"/>
      <w:r>
        <w:rPr>
          <w:vertAlign w:val="superscript"/>
        </w:rPr>
        <w:t>b</w:t>
      </w:r>
      <w:proofErr w:type="gramEnd"/>
      <w:r w:rsidR="001634C4">
        <w:rPr>
          <w:vertAlign w:val="superscript"/>
        </w:rPr>
        <w:t xml:space="preserve"> </w:t>
      </w:r>
      <w:r>
        <w:t>Calculated during the evaluation</w:t>
      </w:r>
      <w:r w:rsidR="001634C4">
        <w:t>.</w:t>
      </w:r>
    </w:p>
    <w:p w:rsidR="003E147C" w:rsidRPr="00882085" w:rsidRDefault="003E147C" w:rsidP="004B1CB4"/>
    <w:p w:rsidR="003E147C" w:rsidRDefault="003E147C" w:rsidP="003E147C">
      <w:pPr>
        <w:pStyle w:val="ListParagraph"/>
        <w:numPr>
          <w:ilvl w:val="1"/>
          <w:numId w:val="6"/>
        </w:numPr>
      </w:pPr>
      <w:r>
        <w:t xml:space="preserve">On the basis of the </w:t>
      </w:r>
      <w:r w:rsidR="0005153E">
        <w:t>in</w:t>
      </w:r>
      <w:r>
        <w:t xml:space="preserve">direct comparison presented by the submission, the comparison of </w:t>
      </w:r>
      <w:proofErr w:type="spellStart"/>
      <w:r>
        <w:t>nivolumab</w:t>
      </w:r>
      <w:proofErr w:type="spellEnd"/>
      <w:r>
        <w:t xml:space="preserve"> plus </w:t>
      </w:r>
      <w:proofErr w:type="spellStart"/>
      <w:r>
        <w:t>ipilimumab</w:t>
      </w:r>
      <w:proofErr w:type="spellEnd"/>
      <w:r>
        <w:t xml:space="preserve"> and </w:t>
      </w:r>
      <w:proofErr w:type="spellStart"/>
      <w:r>
        <w:t>pembrolizumab</w:t>
      </w:r>
      <w:proofErr w:type="spellEnd"/>
      <w:r>
        <w:t xml:space="preserve"> resulted in</w:t>
      </w:r>
      <w:r w:rsidR="0005153E">
        <w:t>:</w:t>
      </w:r>
    </w:p>
    <w:p w:rsidR="003E147C" w:rsidRPr="00185700" w:rsidRDefault="006E2851" w:rsidP="003E147C">
      <w:pPr>
        <w:pStyle w:val="ListParagraph"/>
        <w:widowControl/>
        <w:numPr>
          <w:ilvl w:val="0"/>
          <w:numId w:val="5"/>
        </w:numPr>
        <w:ind w:left="993" w:hanging="284"/>
      </w:pPr>
      <w:r w:rsidRPr="00185700">
        <w:t>n</w:t>
      </w:r>
      <w:r w:rsidR="003E147C" w:rsidRPr="00185700">
        <w:t>o statistically significant difference in overall survival</w:t>
      </w:r>
    </w:p>
    <w:p w:rsidR="003E147C" w:rsidRPr="00185700" w:rsidRDefault="006E2851" w:rsidP="003E147C">
      <w:pPr>
        <w:pStyle w:val="ListParagraph"/>
        <w:widowControl/>
        <w:numPr>
          <w:ilvl w:val="0"/>
          <w:numId w:val="5"/>
        </w:numPr>
        <w:ind w:left="993" w:hanging="284"/>
        <w:rPr>
          <w:szCs w:val="22"/>
        </w:rPr>
      </w:pPr>
      <w:proofErr w:type="gramStart"/>
      <w:r w:rsidRPr="00185700">
        <w:t>a</w:t>
      </w:r>
      <w:proofErr w:type="gramEnd"/>
      <w:r w:rsidRPr="00185700">
        <w:t xml:space="preserve"> s</w:t>
      </w:r>
      <w:r w:rsidR="003E147C" w:rsidRPr="00185700">
        <w:t>tatistically significant difference in PFS</w:t>
      </w:r>
      <w:r w:rsidR="001F47B7" w:rsidRPr="001F47B7">
        <w:t xml:space="preserve"> </w:t>
      </w:r>
      <w:r w:rsidR="001F47B7" w:rsidRPr="00185700">
        <w:t xml:space="preserve">favouring </w:t>
      </w:r>
      <w:proofErr w:type="spellStart"/>
      <w:r w:rsidR="001F47B7" w:rsidRPr="00185700">
        <w:t>nivolumab</w:t>
      </w:r>
      <w:proofErr w:type="spellEnd"/>
      <w:r w:rsidR="001F47B7" w:rsidRPr="00185700">
        <w:t xml:space="preserve"> plus </w:t>
      </w:r>
      <w:proofErr w:type="spellStart"/>
      <w:r w:rsidR="001F47B7" w:rsidRPr="00185700">
        <w:t>ipilimumab</w:t>
      </w:r>
      <w:proofErr w:type="spellEnd"/>
      <w:r w:rsidRPr="00185700">
        <w:t>, but the</w:t>
      </w:r>
      <w:r w:rsidR="003E147C" w:rsidRPr="00185700">
        <w:t xml:space="preserve"> </w:t>
      </w:r>
      <w:r w:rsidRPr="00185700">
        <w:t xml:space="preserve">extent of </w:t>
      </w:r>
      <w:r w:rsidR="004C0B20">
        <w:t xml:space="preserve">median </w:t>
      </w:r>
      <w:r w:rsidRPr="00185700">
        <w:t>d</w:t>
      </w:r>
      <w:r w:rsidR="003E147C" w:rsidRPr="00185700">
        <w:t xml:space="preserve">ifference in months of </w:t>
      </w:r>
      <w:r w:rsidRPr="00185700">
        <w:t>PFS</w:t>
      </w:r>
      <w:r w:rsidR="003E147C" w:rsidRPr="00185700">
        <w:t xml:space="preserve"> c</w:t>
      </w:r>
      <w:r w:rsidR="001F47B7">
        <w:t xml:space="preserve">ould </w:t>
      </w:r>
      <w:r w:rsidR="003E147C" w:rsidRPr="00185700">
        <w:t>not be ascertained.</w:t>
      </w:r>
    </w:p>
    <w:p w:rsidR="003E147C" w:rsidRPr="006E2851" w:rsidRDefault="003E147C" w:rsidP="006E2851">
      <w:pPr>
        <w:rPr>
          <w:szCs w:val="22"/>
        </w:rPr>
      </w:pPr>
    </w:p>
    <w:p w:rsidR="003E147C" w:rsidRDefault="003E147C" w:rsidP="003E147C">
      <w:pPr>
        <w:pStyle w:val="ListParagraph"/>
        <w:numPr>
          <w:ilvl w:val="1"/>
          <w:numId w:val="6"/>
        </w:numPr>
      </w:pPr>
      <w:r>
        <w:t xml:space="preserve">On the basis of the indirect comparison presented by the submission, </w:t>
      </w:r>
      <w:r w:rsidR="006E2851">
        <w:t xml:space="preserve">for </w:t>
      </w:r>
      <w:r>
        <w:t xml:space="preserve">every 100 patients </w:t>
      </w:r>
      <w:r w:rsidR="006E2851">
        <w:t xml:space="preserve">treated </w:t>
      </w:r>
      <w:r>
        <w:t xml:space="preserve">with </w:t>
      </w:r>
      <w:proofErr w:type="spellStart"/>
      <w:r>
        <w:t>nivolumab</w:t>
      </w:r>
      <w:proofErr w:type="spellEnd"/>
      <w:r>
        <w:t xml:space="preserve"> plus </w:t>
      </w:r>
      <w:proofErr w:type="spellStart"/>
      <w:r>
        <w:t>ipilimumab</w:t>
      </w:r>
      <w:proofErr w:type="spellEnd"/>
      <w:r>
        <w:t xml:space="preserve"> compar</w:t>
      </w:r>
      <w:r w:rsidR="006E2851">
        <w:t>ed</w:t>
      </w:r>
      <w:r>
        <w:t xml:space="preserve"> to </w:t>
      </w:r>
      <w:proofErr w:type="spellStart"/>
      <w:r>
        <w:t>pembrolizumab</w:t>
      </w:r>
      <w:proofErr w:type="spellEnd"/>
      <w:r w:rsidR="006E2851">
        <w:t xml:space="preserve"> monotherapy</w:t>
      </w:r>
      <w:r>
        <w:t>:</w:t>
      </w:r>
    </w:p>
    <w:p w:rsidR="003E147C" w:rsidRDefault="006E2851" w:rsidP="00425C30">
      <w:pPr>
        <w:pStyle w:val="ListParagraph"/>
        <w:numPr>
          <w:ilvl w:val="0"/>
          <w:numId w:val="19"/>
        </w:numPr>
        <w:ind w:left="1080"/>
      </w:pPr>
      <w:r>
        <w:t>a</w:t>
      </w:r>
      <w:r w:rsidR="003E147C">
        <w:t xml:space="preserve">pproximately 36 more patients </w:t>
      </w:r>
      <w:r>
        <w:t>experienced severe drug-</w:t>
      </w:r>
      <w:r w:rsidR="003E147C">
        <w:t>related adverse events</w:t>
      </w:r>
    </w:p>
    <w:p w:rsidR="003E147C" w:rsidRPr="0000002D" w:rsidRDefault="006E2851" w:rsidP="00A70255">
      <w:pPr>
        <w:pStyle w:val="ListParagraph"/>
        <w:numPr>
          <w:ilvl w:val="0"/>
          <w:numId w:val="57"/>
        </w:numPr>
        <w:ind w:left="1080"/>
      </w:pPr>
      <w:proofErr w:type="gramStart"/>
      <w:r>
        <w:t>a</w:t>
      </w:r>
      <w:r w:rsidR="003E147C">
        <w:t>pproximately</w:t>
      </w:r>
      <w:proofErr w:type="gramEnd"/>
      <w:r w:rsidR="003E147C">
        <w:t xml:space="preserve"> 27 more patients </w:t>
      </w:r>
      <w:r>
        <w:t>experienced</w:t>
      </w:r>
      <w:r w:rsidR="003E147C">
        <w:t xml:space="preserve"> adverse events leading to discontinuation of treatment.</w:t>
      </w:r>
    </w:p>
    <w:p w:rsidR="003E147C" w:rsidRPr="00882085" w:rsidRDefault="003E147C" w:rsidP="00FC1884"/>
    <w:p w:rsidR="003E147C" w:rsidRPr="002C2775" w:rsidRDefault="003E147C" w:rsidP="00AF0595">
      <w:pPr>
        <w:pStyle w:val="Heading2"/>
      </w:pPr>
      <w:bookmarkStart w:id="12" w:name="_Toc430097333"/>
      <w:r w:rsidRPr="002C2775">
        <w:t>Clinical claim</w:t>
      </w:r>
      <w:bookmarkEnd w:id="12"/>
    </w:p>
    <w:p w:rsidR="003E147C" w:rsidRPr="00882085" w:rsidRDefault="003E147C" w:rsidP="00B60939">
      <w:pPr>
        <w:ind w:left="720" w:hanging="720"/>
        <w:rPr>
          <w:szCs w:val="22"/>
        </w:rPr>
      </w:pPr>
    </w:p>
    <w:p w:rsidR="0076111C" w:rsidRDefault="0076111C" w:rsidP="0076111C">
      <w:pPr>
        <w:pStyle w:val="ListParagraph"/>
        <w:widowControl/>
        <w:numPr>
          <w:ilvl w:val="1"/>
          <w:numId w:val="6"/>
        </w:numPr>
        <w:rPr>
          <w:szCs w:val="22"/>
        </w:rPr>
      </w:pPr>
      <w:r>
        <w:rPr>
          <w:szCs w:val="22"/>
        </w:rPr>
        <w:t>The submission described</w:t>
      </w:r>
      <w:r w:rsidRPr="00D3659B">
        <w:rPr>
          <w:szCs w:val="22"/>
        </w:rPr>
        <w:t xml:space="preserve"> </w:t>
      </w:r>
      <w:proofErr w:type="spellStart"/>
      <w:r w:rsidRPr="00D3659B">
        <w:rPr>
          <w:szCs w:val="22"/>
        </w:rPr>
        <w:t>nivolumab</w:t>
      </w:r>
      <w:proofErr w:type="spellEnd"/>
      <w:r w:rsidRPr="00D3659B">
        <w:rPr>
          <w:szCs w:val="22"/>
        </w:rPr>
        <w:t xml:space="preserve"> plus </w:t>
      </w:r>
      <w:proofErr w:type="spellStart"/>
      <w:r w:rsidRPr="00D3659B">
        <w:rPr>
          <w:szCs w:val="22"/>
        </w:rPr>
        <w:t>ipilimumab</w:t>
      </w:r>
      <w:proofErr w:type="spellEnd"/>
      <w:r w:rsidRPr="00D3659B">
        <w:rPr>
          <w:szCs w:val="22"/>
        </w:rPr>
        <w:t xml:space="preserve"> combination therapy as superior in terms of comparative effectiveness and inferior in terms of comparative safety </w:t>
      </w:r>
      <w:r w:rsidRPr="00E408F9">
        <w:rPr>
          <w:szCs w:val="22"/>
        </w:rPr>
        <w:t>over the revised main comparator,</w:t>
      </w:r>
      <w:r>
        <w:rPr>
          <w:i/>
          <w:szCs w:val="22"/>
        </w:rPr>
        <w:t xml:space="preserve"> </w:t>
      </w:r>
      <w:proofErr w:type="spellStart"/>
      <w:r w:rsidRPr="008460B4">
        <w:rPr>
          <w:szCs w:val="22"/>
          <w:u w:val="single"/>
        </w:rPr>
        <w:t>pembrolizumab</w:t>
      </w:r>
      <w:proofErr w:type="spellEnd"/>
      <w:r w:rsidRPr="008460B4">
        <w:rPr>
          <w:szCs w:val="22"/>
          <w:u w:val="single"/>
        </w:rPr>
        <w:t xml:space="preserve"> monotherapy</w:t>
      </w:r>
      <w:r>
        <w:rPr>
          <w:szCs w:val="22"/>
        </w:rPr>
        <w:t>.</w:t>
      </w:r>
    </w:p>
    <w:p w:rsidR="0076111C" w:rsidRPr="00D3659B" w:rsidRDefault="0076111C" w:rsidP="0076111C">
      <w:pPr>
        <w:widowControl/>
        <w:rPr>
          <w:szCs w:val="22"/>
        </w:rPr>
      </w:pPr>
    </w:p>
    <w:p w:rsidR="0076111C" w:rsidRPr="00005302" w:rsidRDefault="0076111C" w:rsidP="0076111C">
      <w:pPr>
        <w:pStyle w:val="ListParagraph"/>
        <w:numPr>
          <w:ilvl w:val="1"/>
          <w:numId w:val="6"/>
        </w:numPr>
      </w:pPr>
      <w:r w:rsidRPr="00005302">
        <w:t>This claim to superior efficacy was based on the indirect comparison of PFS. This claim was weakened for the following reasons:</w:t>
      </w:r>
    </w:p>
    <w:p w:rsidR="0076111C" w:rsidRPr="00005302" w:rsidRDefault="0076111C" w:rsidP="0076111C">
      <w:pPr>
        <w:pStyle w:val="ListParagraph"/>
        <w:numPr>
          <w:ilvl w:val="0"/>
          <w:numId w:val="3"/>
        </w:numPr>
        <w:tabs>
          <w:tab w:val="clear" w:pos="720"/>
        </w:tabs>
        <w:ind w:left="1080"/>
      </w:pPr>
      <w:r w:rsidRPr="00005302">
        <w:t>differences in eligibility criteria across trials and baseline characteristics that may</w:t>
      </w:r>
      <w:r>
        <w:rPr>
          <w:i/>
        </w:rPr>
        <w:t xml:space="preserve"> </w:t>
      </w:r>
      <w:r w:rsidRPr="00005302">
        <w:t>favour the combination</w:t>
      </w:r>
    </w:p>
    <w:p w:rsidR="0076111C" w:rsidRPr="00005302" w:rsidRDefault="0076111C" w:rsidP="0076111C">
      <w:pPr>
        <w:pStyle w:val="ListParagraph"/>
        <w:numPr>
          <w:ilvl w:val="0"/>
          <w:numId w:val="3"/>
        </w:numPr>
        <w:tabs>
          <w:tab w:val="clear" w:pos="720"/>
        </w:tabs>
        <w:ind w:left="1080"/>
      </w:pPr>
      <w:r w:rsidRPr="00005302">
        <w:t>no statistically significant differences in overall survival</w:t>
      </w:r>
    </w:p>
    <w:p w:rsidR="0076111C" w:rsidRDefault="0076111C" w:rsidP="0076111C">
      <w:pPr>
        <w:pStyle w:val="ListParagraph"/>
        <w:numPr>
          <w:ilvl w:val="0"/>
          <w:numId w:val="3"/>
        </w:numPr>
        <w:tabs>
          <w:tab w:val="clear" w:pos="720"/>
        </w:tabs>
        <w:ind w:left="1080"/>
        <w:rPr>
          <w:i/>
        </w:rPr>
      </w:pPr>
      <w:proofErr w:type="gramStart"/>
      <w:r w:rsidRPr="00005302">
        <w:t>only</w:t>
      </w:r>
      <w:proofErr w:type="gramEnd"/>
      <w:r w:rsidRPr="00005302">
        <w:t xml:space="preserve"> a</w:t>
      </w:r>
      <w:r w:rsidR="00256E0E">
        <w:t>n</w:t>
      </w:r>
      <w:r w:rsidRPr="00005302">
        <w:t xml:space="preserve"> improvement in </w:t>
      </w:r>
      <w:r w:rsidR="00101D0B">
        <w:t xml:space="preserve">the </w:t>
      </w:r>
      <w:r w:rsidRPr="00005302">
        <w:t xml:space="preserve">objective response rate shown for </w:t>
      </w:r>
      <w:proofErr w:type="spellStart"/>
      <w:r w:rsidRPr="00005302">
        <w:t>nivolumab</w:t>
      </w:r>
      <w:proofErr w:type="spellEnd"/>
      <w:r w:rsidRPr="00005302">
        <w:t xml:space="preserve"> plus </w:t>
      </w:r>
      <w:proofErr w:type="spellStart"/>
      <w:r w:rsidRPr="00005302">
        <w:t>ipilimumab</w:t>
      </w:r>
      <w:proofErr w:type="spellEnd"/>
      <w:r w:rsidRPr="00005302">
        <w:t xml:space="preserve"> </w:t>
      </w:r>
      <w:r w:rsidR="00256E0E">
        <w:t xml:space="preserve">over </w:t>
      </w:r>
      <w:proofErr w:type="spellStart"/>
      <w:r w:rsidR="00256E0E">
        <w:t>pembrolizumab</w:t>
      </w:r>
      <w:proofErr w:type="spellEnd"/>
      <w:r w:rsidR="00256E0E">
        <w:t xml:space="preserve"> </w:t>
      </w:r>
      <w:r w:rsidRPr="00005302">
        <w:t xml:space="preserve">based on </w:t>
      </w:r>
      <w:r w:rsidR="00101D0B">
        <w:t xml:space="preserve">the </w:t>
      </w:r>
      <w:r w:rsidRPr="00005302">
        <w:t xml:space="preserve">risk difference, with no statistically significant improvements based on </w:t>
      </w:r>
      <w:r w:rsidR="00101D0B">
        <w:t xml:space="preserve">the </w:t>
      </w:r>
      <w:r w:rsidRPr="00005302">
        <w:t xml:space="preserve">risk ratio or </w:t>
      </w:r>
      <w:r w:rsidR="00101D0B">
        <w:t xml:space="preserve">the </w:t>
      </w:r>
      <w:r w:rsidRPr="00005302">
        <w:t>odds ratio</w:t>
      </w:r>
      <w:r w:rsidRPr="00D3659B">
        <w:rPr>
          <w:i/>
        </w:rPr>
        <w:t>.</w:t>
      </w:r>
    </w:p>
    <w:p w:rsidR="00432A07" w:rsidRDefault="00432A07" w:rsidP="00432A07">
      <w:pPr>
        <w:rPr>
          <w:i/>
        </w:rPr>
      </w:pPr>
    </w:p>
    <w:p w:rsidR="00DD7DF2" w:rsidRPr="00DC5D13" w:rsidRDefault="00DD7DF2" w:rsidP="00DD7DF2">
      <w:pPr>
        <w:pStyle w:val="ListParagraph"/>
        <w:widowControl/>
        <w:numPr>
          <w:ilvl w:val="1"/>
          <w:numId w:val="6"/>
        </w:numPr>
      </w:pPr>
      <w:r w:rsidRPr="00DC5D13">
        <w:t xml:space="preserve">The ESC considered that a claim of superior comparative effectiveness with respect to PFS gain of </w:t>
      </w:r>
      <w:proofErr w:type="spellStart"/>
      <w:r w:rsidRPr="00DC5D13">
        <w:t>nivolumab</w:t>
      </w:r>
      <w:proofErr w:type="spellEnd"/>
      <w:r w:rsidRPr="00DC5D13">
        <w:t xml:space="preserve"> plus </w:t>
      </w:r>
      <w:proofErr w:type="spellStart"/>
      <w:r w:rsidRPr="00DC5D13">
        <w:t>ipilimumab</w:t>
      </w:r>
      <w:proofErr w:type="spellEnd"/>
      <w:r w:rsidRPr="00DC5D13">
        <w:t xml:space="preserve"> combination therapy over </w:t>
      </w:r>
      <w:proofErr w:type="spellStart"/>
      <w:r w:rsidRPr="00DC5D13">
        <w:rPr>
          <w:u w:val="single"/>
        </w:rPr>
        <w:t>pembrolizumab</w:t>
      </w:r>
      <w:proofErr w:type="spellEnd"/>
      <w:r w:rsidRPr="00DC5D13">
        <w:rPr>
          <w:u w:val="single"/>
        </w:rPr>
        <w:t xml:space="preserve"> monotherapy</w:t>
      </w:r>
      <w:r w:rsidRPr="00DC5D13">
        <w:t xml:space="preserve"> may be reasonable, however the magnitude of treatment effect on PFS is uncertain given the issues with </w:t>
      </w:r>
      <w:proofErr w:type="spellStart"/>
      <w:r w:rsidRPr="00DC5D13">
        <w:t>exchangeabilty</w:t>
      </w:r>
      <w:proofErr w:type="spellEnd"/>
      <w:r w:rsidRPr="00DC5D13">
        <w:t xml:space="preserve"> across the trials. Additionally, the ESC considered there was considerable uncertainty as to whether the magnitude of treatment effect on PFS was a reasonable surrogate for the magnitude of treatment effect on OS in melanoma.</w:t>
      </w:r>
    </w:p>
    <w:p w:rsidR="00B538DE" w:rsidRPr="00B538DE" w:rsidRDefault="00B538DE" w:rsidP="00B538DE">
      <w:pPr>
        <w:widowControl/>
        <w:rPr>
          <w:i/>
        </w:rPr>
      </w:pPr>
    </w:p>
    <w:p w:rsidR="00B538DE" w:rsidRPr="00005302" w:rsidRDefault="00B538DE" w:rsidP="00B538DE">
      <w:pPr>
        <w:pStyle w:val="ListParagraph"/>
        <w:numPr>
          <w:ilvl w:val="1"/>
          <w:numId w:val="6"/>
        </w:numPr>
      </w:pPr>
      <w:r w:rsidRPr="00C7714E">
        <w:t xml:space="preserve">The submission noted that caution must be used in interpreting the safety comparison of </w:t>
      </w:r>
      <w:proofErr w:type="spellStart"/>
      <w:r w:rsidRPr="00C7714E">
        <w:t>nivolumab</w:t>
      </w:r>
      <w:proofErr w:type="spellEnd"/>
      <w:r w:rsidRPr="00C7714E">
        <w:t xml:space="preserve"> plus </w:t>
      </w:r>
      <w:proofErr w:type="spellStart"/>
      <w:r w:rsidRPr="00C7714E">
        <w:t>ipilimumab</w:t>
      </w:r>
      <w:proofErr w:type="spellEnd"/>
      <w:r w:rsidRPr="00C7714E">
        <w:t xml:space="preserve"> </w:t>
      </w:r>
      <w:r>
        <w:t xml:space="preserve">and </w:t>
      </w:r>
      <w:proofErr w:type="spellStart"/>
      <w:r w:rsidRPr="008460B4">
        <w:rPr>
          <w:u w:val="single"/>
        </w:rPr>
        <w:t>pembrolizumab</w:t>
      </w:r>
      <w:proofErr w:type="spellEnd"/>
      <w:r>
        <w:t xml:space="preserve">, </w:t>
      </w:r>
      <w:r w:rsidRPr="00C7714E">
        <w:t>especially where small numbers of patients were being compared.</w:t>
      </w:r>
      <w:r w:rsidRPr="00740D21">
        <w:rPr>
          <w:i/>
        </w:rPr>
        <w:t xml:space="preserve"> </w:t>
      </w:r>
      <w:r w:rsidRPr="00005302">
        <w:t>Nevertheless, the submission’s claim to inferior safety was supported by:</w:t>
      </w:r>
    </w:p>
    <w:p w:rsidR="00B538DE" w:rsidRPr="00005302" w:rsidRDefault="00B538DE" w:rsidP="00B538DE">
      <w:pPr>
        <w:pStyle w:val="ListParagraph"/>
        <w:numPr>
          <w:ilvl w:val="0"/>
          <w:numId w:val="30"/>
        </w:numPr>
        <w:ind w:left="1080"/>
      </w:pPr>
      <w:r w:rsidRPr="00005302">
        <w:t xml:space="preserve">statistically significant higher relative risk in the </w:t>
      </w:r>
      <w:proofErr w:type="spellStart"/>
      <w:r w:rsidRPr="00005302">
        <w:t>nivolumab</w:t>
      </w:r>
      <w:proofErr w:type="spellEnd"/>
      <w:r w:rsidRPr="00005302">
        <w:t xml:space="preserve"> plus </w:t>
      </w:r>
      <w:proofErr w:type="spellStart"/>
      <w:r w:rsidRPr="00005302">
        <w:t>ipilimumab</w:t>
      </w:r>
      <w:proofErr w:type="spellEnd"/>
      <w:r w:rsidRPr="00005302">
        <w:t xml:space="preserve"> arms for severe adverse events, adverse events leading to discontinuation, and drug-related adverse events leading to death</w:t>
      </w:r>
    </w:p>
    <w:p w:rsidR="00B538DE" w:rsidRPr="00005302" w:rsidRDefault="00B538DE" w:rsidP="00B538DE">
      <w:pPr>
        <w:pStyle w:val="ListParagraph"/>
        <w:numPr>
          <w:ilvl w:val="0"/>
          <w:numId w:val="30"/>
        </w:numPr>
        <w:ind w:left="1080"/>
      </w:pPr>
      <w:r w:rsidRPr="00005302">
        <w:t xml:space="preserve">the PBAC’s previous consideration that </w:t>
      </w:r>
      <w:proofErr w:type="spellStart"/>
      <w:r w:rsidRPr="00404E06">
        <w:rPr>
          <w:u w:val="single"/>
        </w:rPr>
        <w:t>pembrolizumab</w:t>
      </w:r>
      <w:proofErr w:type="spellEnd"/>
      <w:r w:rsidRPr="00005302">
        <w:t xml:space="preserve"> was likely non-inferior in </w:t>
      </w:r>
      <w:r w:rsidRPr="00005302">
        <w:lastRenderedPageBreak/>
        <w:t>safety to ipilimumab monotherapy (March 2015 PSD, paragraph 6.44)</w:t>
      </w:r>
    </w:p>
    <w:p w:rsidR="00B538DE" w:rsidRPr="00005302" w:rsidRDefault="00B538DE" w:rsidP="00B538DE">
      <w:pPr>
        <w:pStyle w:val="ListParagraph"/>
        <w:numPr>
          <w:ilvl w:val="0"/>
          <w:numId w:val="30"/>
        </w:numPr>
        <w:ind w:left="1080"/>
      </w:pPr>
      <w:proofErr w:type="gramStart"/>
      <w:r w:rsidRPr="00005302">
        <w:t>the</w:t>
      </w:r>
      <w:proofErr w:type="gramEnd"/>
      <w:r w:rsidRPr="00005302">
        <w:t xml:space="preserve"> evidence suggesting that </w:t>
      </w:r>
      <w:proofErr w:type="spellStart"/>
      <w:r w:rsidRPr="00005302">
        <w:t>nivolumab</w:t>
      </w:r>
      <w:proofErr w:type="spellEnd"/>
      <w:r w:rsidRPr="00005302">
        <w:t xml:space="preserve"> plus </w:t>
      </w:r>
      <w:proofErr w:type="spellStart"/>
      <w:r w:rsidRPr="00005302">
        <w:t>ipilimumab</w:t>
      </w:r>
      <w:proofErr w:type="spellEnd"/>
      <w:r w:rsidRPr="00005302">
        <w:t xml:space="preserve"> is significantly more toxic than ipilimumab monotherapy.</w:t>
      </w:r>
    </w:p>
    <w:p w:rsidR="00B538DE" w:rsidRPr="00C731C8" w:rsidRDefault="00B538DE" w:rsidP="00B538DE">
      <w:pPr>
        <w:rPr>
          <w:i/>
        </w:rPr>
      </w:pPr>
    </w:p>
    <w:p w:rsidR="00B538DE" w:rsidRDefault="00B538DE" w:rsidP="00B538DE">
      <w:pPr>
        <w:pStyle w:val="ListParagraph"/>
        <w:numPr>
          <w:ilvl w:val="1"/>
          <w:numId w:val="6"/>
        </w:numPr>
      </w:pPr>
      <w:r>
        <w:t xml:space="preserve">The critical evidence supporting the submission’s superior efficacy of </w:t>
      </w:r>
      <w:proofErr w:type="spellStart"/>
      <w:r>
        <w:t>nivolumab</w:t>
      </w:r>
      <w:proofErr w:type="spellEnd"/>
      <w:r>
        <w:t xml:space="preserve"> plus </w:t>
      </w:r>
      <w:proofErr w:type="spellStart"/>
      <w:r>
        <w:t>ipilimumab</w:t>
      </w:r>
      <w:proofErr w:type="spellEnd"/>
      <w:r>
        <w:t xml:space="preserve"> was improved PFS compared </w:t>
      </w:r>
      <w:r w:rsidRPr="00404E06">
        <w:t xml:space="preserve">to </w:t>
      </w:r>
      <w:proofErr w:type="spellStart"/>
      <w:r w:rsidRPr="00404E06">
        <w:t>ipilimumab</w:t>
      </w:r>
      <w:proofErr w:type="spellEnd"/>
      <w:r w:rsidRPr="00404E06">
        <w:t xml:space="preserve"> monotherapy </w:t>
      </w:r>
      <w:r>
        <w:t xml:space="preserve">and </w:t>
      </w:r>
      <w:proofErr w:type="spellStart"/>
      <w:r w:rsidRPr="008460B4">
        <w:rPr>
          <w:u w:val="single"/>
        </w:rPr>
        <w:t>pembrolizumab</w:t>
      </w:r>
      <w:proofErr w:type="spellEnd"/>
      <w:r w:rsidRPr="008460B4">
        <w:rPr>
          <w:u w:val="single"/>
        </w:rPr>
        <w:t xml:space="preserve"> </w:t>
      </w:r>
      <w:r w:rsidR="00621CE3">
        <w:rPr>
          <w:u w:val="single"/>
        </w:rPr>
        <w:t>mono</w:t>
      </w:r>
      <w:r w:rsidRPr="008460B4">
        <w:rPr>
          <w:u w:val="single"/>
        </w:rPr>
        <w:t>therapy</w:t>
      </w:r>
      <w:r>
        <w:t>.</w:t>
      </w:r>
    </w:p>
    <w:p w:rsidR="00B538DE" w:rsidRDefault="00B538DE" w:rsidP="00B538DE"/>
    <w:p w:rsidR="00B538DE" w:rsidRPr="004C0B20" w:rsidRDefault="00621CE3" w:rsidP="00B538DE">
      <w:pPr>
        <w:pStyle w:val="ListParagraph"/>
        <w:numPr>
          <w:ilvl w:val="1"/>
          <w:numId w:val="6"/>
        </w:numPr>
      </w:pPr>
      <w:r w:rsidRPr="004C0B20">
        <w:t>The ESC advised that t</w:t>
      </w:r>
      <w:r w:rsidR="00B538DE" w:rsidRPr="004C0B20">
        <w:t xml:space="preserve">he two most critical pieces of evidence that </w:t>
      </w:r>
      <w:r w:rsidRPr="004C0B20">
        <w:t>required consideration we</w:t>
      </w:r>
      <w:r w:rsidR="00B538DE" w:rsidRPr="004C0B20">
        <w:t>re:</w:t>
      </w:r>
    </w:p>
    <w:p w:rsidR="00B538DE" w:rsidRPr="00005302" w:rsidRDefault="00B538DE" w:rsidP="00B538DE">
      <w:pPr>
        <w:pStyle w:val="ListParagraph"/>
        <w:numPr>
          <w:ilvl w:val="0"/>
          <w:numId w:val="31"/>
        </w:numPr>
        <w:ind w:left="1080"/>
      </w:pPr>
      <w:r w:rsidRPr="00005302">
        <w:t xml:space="preserve">the indirectly supported statistically significant improvement in PFS compared to </w:t>
      </w:r>
      <w:proofErr w:type="spellStart"/>
      <w:r w:rsidRPr="008460B4">
        <w:rPr>
          <w:u w:val="single"/>
        </w:rPr>
        <w:t>pembrolizumab</w:t>
      </w:r>
      <w:proofErr w:type="spellEnd"/>
      <w:r w:rsidRPr="00005302">
        <w:t>, with significant concerns regarding exchangeability of the trials</w:t>
      </w:r>
    </w:p>
    <w:p w:rsidR="00B538DE" w:rsidRDefault="00B538DE" w:rsidP="00B538DE">
      <w:pPr>
        <w:pStyle w:val="ListParagraph"/>
        <w:numPr>
          <w:ilvl w:val="0"/>
          <w:numId w:val="31"/>
        </w:numPr>
        <w:ind w:left="1080"/>
        <w:rPr>
          <w:i/>
        </w:rPr>
      </w:pPr>
      <w:proofErr w:type="gramStart"/>
      <w:r w:rsidRPr="00005302">
        <w:t>the</w:t>
      </w:r>
      <w:proofErr w:type="gramEnd"/>
      <w:r w:rsidRPr="00005302">
        <w:t xml:space="preserve"> evidence supporting inferior safety of </w:t>
      </w:r>
      <w:proofErr w:type="spellStart"/>
      <w:r w:rsidRPr="00005302">
        <w:t>nivolumab</w:t>
      </w:r>
      <w:proofErr w:type="spellEnd"/>
      <w:r w:rsidRPr="00005302">
        <w:t xml:space="preserve"> plus </w:t>
      </w:r>
      <w:proofErr w:type="spellStart"/>
      <w:r w:rsidRPr="00005302">
        <w:t>ipilimumab</w:t>
      </w:r>
      <w:proofErr w:type="spellEnd"/>
      <w:r w:rsidRPr="00005302">
        <w:t xml:space="preserve"> compared to </w:t>
      </w:r>
      <w:proofErr w:type="spellStart"/>
      <w:r w:rsidRPr="008460B4">
        <w:rPr>
          <w:u w:val="single"/>
        </w:rPr>
        <w:t>pembrolizumab</w:t>
      </w:r>
      <w:proofErr w:type="spellEnd"/>
      <w:r>
        <w:rPr>
          <w:i/>
        </w:rPr>
        <w:t>.</w:t>
      </w:r>
    </w:p>
    <w:p w:rsidR="00B538DE" w:rsidRDefault="00B538DE" w:rsidP="00B538DE"/>
    <w:p w:rsidR="00B538DE" w:rsidRPr="00005302" w:rsidRDefault="00B538DE" w:rsidP="00B538DE">
      <w:pPr>
        <w:pStyle w:val="ListParagraph"/>
        <w:numPr>
          <w:ilvl w:val="1"/>
          <w:numId w:val="6"/>
        </w:numPr>
      </w:pPr>
      <w:r w:rsidRPr="00005302">
        <w:t xml:space="preserve">The </w:t>
      </w:r>
      <w:r w:rsidR="00621CE3">
        <w:t xml:space="preserve">ESC also advised that the </w:t>
      </w:r>
      <w:r w:rsidRPr="00005302">
        <w:t xml:space="preserve">potential health benefit based on a surrogate outcome (PFS), with absence of any conclusive evidence based on overall survival also </w:t>
      </w:r>
      <w:r w:rsidR="00621CE3">
        <w:t xml:space="preserve">required </w:t>
      </w:r>
      <w:r w:rsidRPr="00005302">
        <w:t>consider</w:t>
      </w:r>
      <w:r w:rsidR="00621CE3">
        <w:t>ation</w:t>
      </w:r>
      <w:r w:rsidRPr="00005302">
        <w:t xml:space="preserve"> versus the comparative harms demonstrated with </w:t>
      </w:r>
      <w:r w:rsidR="00621CE3">
        <w:t xml:space="preserve">the </w:t>
      </w:r>
      <w:r w:rsidRPr="00005302">
        <w:t xml:space="preserve">clinical adverse event data. </w:t>
      </w:r>
      <w:r w:rsidR="00804D03">
        <w:t>If</w:t>
      </w:r>
      <w:r w:rsidRPr="00005302">
        <w:t xml:space="preserve"> the comparative harms outweigh the potential benefits in terms of PFS, then there </w:t>
      </w:r>
      <w:r w:rsidR="00804D03">
        <w:t>would be</w:t>
      </w:r>
      <w:r w:rsidRPr="00005302">
        <w:t xml:space="preserve"> no basis for listing </w:t>
      </w:r>
      <w:proofErr w:type="spellStart"/>
      <w:r w:rsidRPr="00005302">
        <w:t>nivolumab</w:t>
      </w:r>
      <w:proofErr w:type="spellEnd"/>
      <w:r w:rsidRPr="00005302">
        <w:t xml:space="preserve"> plus </w:t>
      </w:r>
      <w:proofErr w:type="spellStart"/>
      <w:r w:rsidRPr="00005302">
        <w:t>ipilimumab</w:t>
      </w:r>
      <w:proofErr w:type="spellEnd"/>
      <w:r w:rsidRPr="00005302">
        <w:t xml:space="preserve"> on either a cost-minimisation or cost-effectiveness basis. </w:t>
      </w:r>
      <w:r w:rsidR="00804D03">
        <w:t>If not</w:t>
      </w:r>
      <w:r w:rsidRPr="00005302">
        <w:t xml:space="preserve">, </w:t>
      </w:r>
      <w:r w:rsidR="00804D03">
        <w:t xml:space="preserve">then </w:t>
      </w:r>
      <w:r w:rsidRPr="00005302">
        <w:t>the</w:t>
      </w:r>
      <w:r w:rsidR="00804D03">
        <w:t>se</w:t>
      </w:r>
      <w:r w:rsidRPr="00005302">
        <w:t xml:space="preserve"> trade-offs </w:t>
      </w:r>
      <w:r w:rsidR="00804D03">
        <w:t xml:space="preserve">would still </w:t>
      </w:r>
      <w:r w:rsidRPr="00005302">
        <w:t>need to be carefully and explicitly weighed in an economic model. The current model d</w:t>
      </w:r>
      <w:r w:rsidR="00804D03">
        <w:t>id</w:t>
      </w:r>
      <w:r w:rsidRPr="00005302">
        <w:t xml:space="preserve"> not do this (refer to Economic analysis below).</w:t>
      </w:r>
    </w:p>
    <w:p w:rsidR="0076111C" w:rsidRPr="00C731C8" w:rsidRDefault="0076111C" w:rsidP="0076111C"/>
    <w:p w:rsidR="00C731C8" w:rsidRDefault="003E147C" w:rsidP="003E147C">
      <w:pPr>
        <w:pStyle w:val="ListParagraph"/>
        <w:numPr>
          <w:ilvl w:val="1"/>
          <w:numId w:val="6"/>
        </w:numPr>
      </w:pPr>
      <w:r>
        <w:t xml:space="preserve">The submission </w:t>
      </w:r>
      <w:r w:rsidR="00B538DE">
        <w:t xml:space="preserve">also </w:t>
      </w:r>
      <w:r>
        <w:t>described</w:t>
      </w:r>
      <w:r w:rsidRPr="00D13A3E">
        <w:t xml:space="preserve"> </w:t>
      </w:r>
      <w:proofErr w:type="spellStart"/>
      <w:r>
        <w:t>nivolumab</w:t>
      </w:r>
      <w:proofErr w:type="spellEnd"/>
      <w:r>
        <w:t xml:space="preserve"> plus </w:t>
      </w:r>
      <w:proofErr w:type="spellStart"/>
      <w:r>
        <w:t>ipilimumab</w:t>
      </w:r>
      <w:proofErr w:type="spellEnd"/>
      <w:r>
        <w:t xml:space="preserve"> combination therapy as superior in</w:t>
      </w:r>
      <w:r w:rsidRPr="00D13A3E">
        <w:t xml:space="preserve"> terms of compara</w:t>
      </w:r>
      <w:r>
        <w:t>tive effectiveness and inferior</w:t>
      </w:r>
      <w:r w:rsidRPr="00D13A3E">
        <w:t xml:space="preserve"> in te</w:t>
      </w:r>
      <w:r>
        <w:t xml:space="preserve">rms of comparative safety over </w:t>
      </w:r>
      <w:r w:rsidRPr="00404E06">
        <w:t>ipilimumab monotherapy.</w:t>
      </w:r>
    </w:p>
    <w:p w:rsidR="00C731C8" w:rsidRDefault="00C731C8" w:rsidP="00C731C8"/>
    <w:p w:rsidR="003E147C" w:rsidRPr="00005302" w:rsidRDefault="003E147C" w:rsidP="00C731C8">
      <w:pPr>
        <w:pStyle w:val="ListParagraph"/>
        <w:numPr>
          <w:ilvl w:val="1"/>
          <w:numId w:val="6"/>
        </w:numPr>
      </w:pPr>
      <w:r w:rsidRPr="00005302">
        <w:t xml:space="preserve">This claim of superior efficacy was supported </w:t>
      </w:r>
      <w:r w:rsidR="006E2851" w:rsidRPr="00005302">
        <w:t>on the basis of PFS only. The only OS data presented (CA209-069) showed no statistically significant improvement in patients treated with combination therapy.</w:t>
      </w:r>
      <w:r w:rsidR="00C731C8" w:rsidRPr="00005302">
        <w:t xml:space="preserve"> </w:t>
      </w:r>
      <w:r w:rsidRPr="00005302">
        <w:t>The claim of inferior safety was supported by statistically significant differences in:</w:t>
      </w:r>
    </w:p>
    <w:p w:rsidR="003E147C" w:rsidRPr="00005302" w:rsidRDefault="006E2851" w:rsidP="003E147C">
      <w:pPr>
        <w:pStyle w:val="ListParagraph"/>
        <w:numPr>
          <w:ilvl w:val="0"/>
          <w:numId w:val="19"/>
        </w:numPr>
        <w:ind w:left="1080"/>
      </w:pPr>
      <w:r w:rsidRPr="00005302">
        <w:t>s</w:t>
      </w:r>
      <w:r w:rsidR="003E147C" w:rsidRPr="00005302">
        <w:t>erious adverse events</w:t>
      </w:r>
    </w:p>
    <w:p w:rsidR="003E147C" w:rsidRPr="00005302" w:rsidRDefault="006E2851" w:rsidP="003E147C">
      <w:pPr>
        <w:pStyle w:val="ListParagraph"/>
        <w:numPr>
          <w:ilvl w:val="0"/>
          <w:numId w:val="19"/>
        </w:numPr>
        <w:ind w:left="1080"/>
      </w:pPr>
      <w:r w:rsidRPr="00005302">
        <w:t>s</w:t>
      </w:r>
      <w:r w:rsidR="003E147C" w:rsidRPr="00005302">
        <w:t>evere adverse events (grade ≥3)</w:t>
      </w:r>
    </w:p>
    <w:p w:rsidR="003E147C" w:rsidRPr="00005302" w:rsidRDefault="006E2851" w:rsidP="003E147C">
      <w:pPr>
        <w:pStyle w:val="ListParagraph"/>
        <w:numPr>
          <w:ilvl w:val="0"/>
          <w:numId w:val="19"/>
        </w:numPr>
        <w:ind w:left="1080"/>
      </w:pPr>
      <w:r w:rsidRPr="00005302">
        <w:t>e</w:t>
      </w:r>
      <w:r w:rsidR="003E147C" w:rsidRPr="00005302">
        <w:t>ndocrine, gastrointestinal, hepatic or pulmonary events</w:t>
      </w:r>
    </w:p>
    <w:p w:rsidR="003E147C" w:rsidRPr="00EA14CC" w:rsidRDefault="006E2851" w:rsidP="003E147C">
      <w:pPr>
        <w:pStyle w:val="ListParagraph"/>
        <w:numPr>
          <w:ilvl w:val="0"/>
          <w:numId w:val="19"/>
        </w:numPr>
        <w:ind w:left="1080"/>
        <w:rPr>
          <w:i/>
        </w:rPr>
      </w:pPr>
      <w:proofErr w:type="gramStart"/>
      <w:r w:rsidRPr="00005302">
        <w:t>a</w:t>
      </w:r>
      <w:r w:rsidR="003E147C" w:rsidRPr="00005302">
        <w:t>dverse</w:t>
      </w:r>
      <w:proofErr w:type="gramEnd"/>
      <w:r w:rsidR="003E147C" w:rsidRPr="00005302">
        <w:t xml:space="preserve"> events leading to discontinuation.</w:t>
      </w:r>
    </w:p>
    <w:p w:rsidR="003E147C" w:rsidRPr="00094BBB" w:rsidRDefault="003E147C" w:rsidP="00C75C26">
      <w:pPr>
        <w:widowControl/>
        <w:rPr>
          <w:szCs w:val="22"/>
        </w:rPr>
      </w:pPr>
    </w:p>
    <w:p w:rsidR="003E147C" w:rsidRPr="00404E06" w:rsidRDefault="003E147C" w:rsidP="003E147C">
      <w:pPr>
        <w:pStyle w:val="ListParagraph"/>
        <w:widowControl/>
        <w:numPr>
          <w:ilvl w:val="1"/>
          <w:numId w:val="6"/>
        </w:numPr>
        <w:rPr>
          <w:szCs w:val="22"/>
        </w:rPr>
      </w:pPr>
      <w:r w:rsidRPr="00404E06">
        <w:t xml:space="preserve">The submission described </w:t>
      </w:r>
      <w:proofErr w:type="spellStart"/>
      <w:r w:rsidRPr="00404E06">
        <w:t>nivolumab</w:t>
      </w:r>
      <w:proofErr w:type="spellEnd"/>
      <w:r w:rsidRPr="00404E06">
        <w:t xml:space="preserve"> plus </w:t>
      </w:r>
      <w:proofErr w:type="spellStart"/>
      <w:r w:rsidRPr="00404E06">
        <w:t>ipilimumab</w:t>
      </w:r>
      <w:proofErr w:type="spellEnd"/>
      <w:r w:rsidRPr="00404E06">
        <w:t xml:space="preserve"> combination therapy as superior in terms of comparative effectiveness and inferior in terms of comparative safety over one of the submission’s additional comparators, </w:t>
      </w:r>
      <w:proofErr w:type="spellStart"/>
      <w:r w:rsidRPr="00404E06">
        <w:t>nivolumab</w:t>
      </w:r>
      <w:proofErr w:type="spellEnd"/>
      <w:r w:rsidRPr="00404E06">
        <w:t xml:space="preserve"> monotherapy</w:t>
      </w:r>
      <w:r w:rsidR="006E2851" w:rsidRPr="00404E06">
        <w:t>.</w:t>
      </w:r>
    </w:p>
    <w:p w:rsidR="003E147C" w:rsidRPr="00C731C8" w:rsidRDefault="003E147C" w:rsidP="00C75C26">
      <w:pPr>
        <w:widowControl/>
        <w:rPr>
          <w:szCs w:val="22"/>
        </w:rPr>
      </w:pPr>
    </w:p>
    <w:p w:rsidR="003E147C" w:rsidRDefault="003E147C" w:rsidP="003E147C">
      <w:pPr>
        <w:pStyle w:val="ListParagraph"/>
        <w:widowControl/>
        <w:numPr>
          <w:ilvl w:val="1"/>
          <w:numId w:val="6"/>
        </w:numPr>
        <w:rPr>
          <w:szCs w:val="22"/>
        </w:rPr>
      </w:pPr>
      <w:r w:rsidRPr="00005302">
        <w:rPr>
          <w:szCs w:val="22"/>
        </w:rPr>
        <w:t>Similar to the submission’s comparison against ipilimumab monotherapy, th</w:t>
      </w:r>
      <w:r w:rsidR="00C731C8" w:rsidRPr="00005302">
        <w:rPr>
          <w:szCs w:val="22"/>
        </w:rPr>
        <w:t>is</w:t>
      </w:r>
      <w:r w:rsidRPr="00005302">
        <w:rPr>
          <w:szCs w:val="22"/>
        </w:rPr>
        <w:t xml:space="preserve"> efficacy claim was supported </w:t>
      </w:r>
      <w:r w:rsidR="006E2851" w:rsidRPr="00005302">
        <w:t>on the basis of PFS only</w:t>
      </w:r>
      <w:r w:rsidR="006E2851" w:rsidRPr="00005302">
        <w:rPr>
          <w:szCs w:val="22"/>
        </w:rPr>
        <w:t xml:space="preserve"> </w:t>
      </w:r>
      <w:r w:rsidRPr="00005302">
        <w:rPr>
          <w:szCs w:val="22"/>
        </w:rPr>
        <w:t xml:space="preserve">due </w:t>
      </w:r>
      <w:r w:rsidR="007F430C" w:rsidRPr="00005302">
        <w:rPr>
          <w:szCs w:val="22"/>
        </w:rPr>
        <w:t xml:space="preserve">to </w:t>
      </w:r>
      <w:r w:rsidRPr="00005302">
        <w:rPr>
          <w:szCs w:val="22"/>
        </w:rPr>
        <w:t>the absence of OS data. The submission’s safety claim of inferior safety was supported by statistically significant</w:t>
      </w:r>
      <w:r w:rsidR="00C731C8" w:rsidRPr="00005302">
        <w:rPr>
          <w:szCs w:val="22"/>
        </w:rPr>
        <w:t xml:space="preserve"> higher frequency of study drug-</w:t>
      </w:r>
      <w:r w:rsidRPr="00005302">
        <w:rPr>
          <w:szCs w:val="22"/>
        </w:rPr>
        <w:t>relat</w:t>
      </w:r>
      <w:r w:rsidR="00C731C8" w:rsidRPr="00005302">
        <w:rPr>
          <w:szCs w:val="22"/>
        </w:rPr>
        <w:t>ed adverse events, serious drug-related adverse events, severe-</w:t>
      </w:r>
      <w:r w:rsidRPr="00005302">
        <w:rPr>
          <w:szCs w:val="22"/>
        </w:rPr>
        <w:t xml:space="preserve">drug </w:t>
      </w:r>
      <w:r w:rsidR="00C731C8" w:rsidRPr="00005302">
        <w:rPr>
          <w:szCs w:val="22"/>
        </w:rPr>
        <w:t>related adverse events and drug-</w:t>
      </w:r>
      <w:r w:rsidRPr="00005302">
        <w:rPr>
          <w:szCs w:val="22"/>
        </w:rPr>
        <w:t xml:space="preserve">related adverse events leading to discontinuation in the </w:t>
      </w:r>
      <w:proofErr w:type="spellStart"/>
      <w:r w:rsidRPr="00005302">
        <w:rPr>
          <w:szCs w:val="22"/>
        </w:rPr>
        <w:t>nivolumab</w:t>
      </w:r>
      <w:proofErr w:type="spellEnd"/>
      <w:r w:rsidRPr="00005302">
        <w:rPr>
          <w:szCs w:val="22"/>
        </w:rPr>
        <w:t xml:space="preserve"> plus </w:t>
      </w:r>
      <w:proofErr w:type="spellStart"/>
      <w:r w:rsidRPr="00005302">
        <w:rPr>
          <w:szCs w:val="22"/>
        </w:rPr>
        <w:t>ipilimumab</w:t>
      </w:r>
      <w:proofErr w:type="spellEnd"/>
      <w:r w:rsidRPr="00005302">
        <w:rPr>
          <w:szCs w:val="22"/>
        </w:rPr>
        <w:t xml:space="preserve"> arm of the CA209-067 trial.</w:t>
      </w:r>
    </w:p>
    <w:p w:rsidR="000862BA" w:rsidRPr="00621CE3" w:rsidRDefault="000862BA" w:rsidP="000862BA">
      <w:pPr>
        <w:rPr>
          <w:szCs w:val="22"/>
        </w:rPr>
      </w:pPr>
    </w:p>
    <w:p w:rsidR="000862BA" w:rsidRDefault="000862BA" w:rsidP="003E147C">
      <w:pPr>
        <w:pStyle w:val="ListParagraph"/>
        <w:widowControl/>
        <w:numPr>
          <w:ilvl w:val="1"/>
          <w:numId w:val="6"/>
        </w:numPr>
        <w:rPr>
          <w:szCs w:val="22"/>
        </w:rPr>
      </w:pPr>
      <w:r>
        <w:rPr>
          <w:szCs w:val="22"/>
        </w:rPr>
        <w:t xml:space="preserve">The PBAC considered that </w:t>
      </w:r>
      <w:proofErr w:type="spellStart"/>
      <w:r>
        <w:rPr>
          <w:szCs w:val="22"/>
        </w:rPr>
        <w:t>nivolumab</w:t>
      </w:r>
      <w:proofErr w:type="spellEnd"/>
      <w:r>
        <w:rPr>
          <w:szCs w:val="22"/>
        </w:rPr>
        <w:t xml:space="preserve"> plus </w:t>
      </w:r>
      <w:proofErr w:type="spellStart"/>
      <w:r>
        <w:rPr>
          <w:szCs w:val="22"/>
        </w:rPr>
        <w:t>ipilimumab</w:t>
      </w:r>
      <w:proofErr w:type="spellEnd"/>
      <w:r>
        <w:rPr>
          <w:szCs w:val="22"/>
        </w:rPr>
        <w:t xml:space="preserve"> demonstrated gain</w:t>
      </w:r>
      <w:r w:rsidR="00621CE3">
        <w:rPr>
          <w:szCs w:val="22"/>
        </w:rPr>
        <w:t>s</w:t>
      </w:r>
      <w:r>
        <w:rPr>
          <w:szCs w:val="22"/>
        </w:rPr>
        <w:t xml:space="preserve"> in PFS</w:t>
      </w:r>
      <w:r w:rsidR="00BD31A9">
        <w:rPr>
          <w:szCs w:val="22"/>
        </w:rPr>
        <w:t xml:space="preserve"> </w:t>
      </w:r>
      <w:r w:rsidR="00621CE3">
        <w:rPr>
          <w:szCs w:val="22"/>
        </w:rPr>
        <w:t>over</w:t>
      </w:r>
      <w:r w:rsidR="004C0B20">
        <w:rPr>
          <w:szCs w:val="22"/>
        </w:rPr>
        <w:t xml:space="preserve"> </w:t>
      </w:r>
      <w:proofErr w:type="spellStart"/>
      <w:r w:rsidR="00B91660">
        <w:rPr>
          <w:szCs w:val="22"/>
        </w:rPr>
        <w:t>pembrolizumab</w:t>
      </w:r>
      <w:proofErr w:type="spellEnd"/>
      <w:r w:rsidR="00B91660">
        <w:rPr>
          <w:szCs w:val="22"/>
        </w:rPr>
        <w:t xml:space="preserve">, </w:t>
      </w:r>
      <w:proofErr w:type="spellStart"/>
      <w:r w:rsidR="00B91660">
        <w:rPr>
          <w:szCs w:val="22"/>
        </w:rPr>
        <w:t>nivolumab</w:t>
      </w:r>
      <w:proofErr w:type="spellEnd"/>
      <w:r w:rsidR="00B91660">
        <w:rPr>
          <w:szCs w:val="22"/>
        </w:rPr>
        <w:t xml:space="preserve"> and </w:t>
      </w:r>
      <w:proofErr w:type="spellStart"/>
      <w:r w:rsidR="00B91660">
        <w:rPr>
          <w:szCs w:val="22"/>
        </w:rPr>
        <w:t>ipilimumab</w:t>
      </w:r>
      <w:proofErr w:type="spellEnd"/>
      <w:r w:rsidR="00B91660">
        <w:rPr>
          <w:szCs w:val="22"/>
        </w:rPr>
        <w:t xml:space="preserve"> monotherapies</w:t>
      </w:r>
      <w:r>
        <w:rPr>
          <w:szCs w:val="22"/>
        </w:rPr>
        <w:t xml:space="preserve">, but was not </w:t>
      </w:r>
      <w:r>
        <w:rPr>
          <w:szCs w:val="22"/>
        </w:rPr>
        <w:lastRenderedPageBreak/>
        <w:t xml:space="preserve">convinced </w:t>
      </w:r>
      <w:r w:rsidR="00621CE3">
        <w:rPr>
          <w:szCs w:val="22"/>
        </w:rPr>
        <w:t>that</w:t>
      </w:r>
      <w:r>
        <w:rPr>
          <w:szCs w:val="22"/>
        </w:rPr>
        <w:t xml:space="preserve"> this gain in PFS had a clinically meaningful benefit with regard to </w:t>
      </w:r>
      <w:r w:rsidR="003F0422">
        <w:rPr>
          <w:szCs w:val="22"/>
        </w:rPr>
        <w:t xml:space="preserve">estimating any effect on quality of life or </w:t>
      </w:r>
      <w:r w:rsidR="00621CE3">
        <w:rPr>
          <w:szCs w:val="22"/>
        </w:rPr>
        <w:t xml:space="preserve">predicting any effect on </w:t>
      </w:r>
      <w:r>
        <w:rPr>
          <w:szCs w:val="22"/>
        </w:rPr>
        <w:t>overall survival.</w:t>
      </w:r>
    </w:p>
    <w:p w:rsidR="00C65963" w:rsidRPr="00621CE3" w:rsidRDefault="00C65963" w:rsidP="00C65963">
      <w:pPr>
        <w:rPr>
          <w:szCs w:val="22"/>
        </w:rPr>
      </w:pPr>
    </w:p>
    <w:p w:rsidR="00C65963" w:rsidRPr="00005302" w:rsidRDefault="00C65963" w:rsidP="003E147C">
      <w:pPr>
        <w:pStyle w:val="ListParagraph"/>
        <w:widowControl/>
        <w:numPr>
          <w:ilvl w:val="1"/>
          <w:numId w:val="6"/>
        </w:numPr>
        <w:rPr>
          <w:szCs w:val="22"/>
        </w:rPr>
      </w:pPr>
      <w:r>
        <w:rPr>
          <w:szCs w:val="22"/>
        </w:rPr>
        <w:t xml:space="preserve">The PBAC considered that </w:t>
      </w:r>
      <w:proofErr w:type="spellStart"/>
      <w:r>
        <w:rPr>
          <w:szCs w:val="22"/>
        </w:rPr>
        <w:t>nivolumab</w:t>
      </w:r>
      <w:proofErr w:type="spellEnd"/>
      <w:r>
        <w:rPr>
          <w:szCs w:val="22"/>
        </w:rPr>
        <w:t xml:space="preserve"> plus </w:t>
      </w:r>
      <w:proofErr w:type="spellStart"/>
      <w:r>
        <w:rPr>
          <w:szCs w:val="22"/>
        </w:rPr>
        <w:t>ipilimumab</w:t>
      </w:r>
      <w:proofErr w:type="spellEnd"/>
      <w:r>
        <w:rPr>
          <w:szCs w:val="22"/>
        </w:rPr>
        <w:t xml:space="preserve"> had a significantly worse safety profile compared to </w:t>
      </w:r>
      <w:proofErr w:type="spellStart"/>
      <w:r>
        <w:rPr>
          <w:szCs w:val="22"/>
        </w:rPr>
        <w:t>pembrolizumab</w:t>
      </w:r>
      <w:proofErr w:type="spellEnd"/>
      <w:r>
        <w:rPr>
          <w:szCs w:val="22"/>
        </w:rPr>
        <w:t xml:space="preserve">, </w:t>
      </w:r>
      <w:proofErr w:type="spellStart"/>
      <w:r>
        <w:rPr>
          <w:szCs w:val="22"/>
        </w:rPr>
        <w:t>nivolumab</w:t>
      </w:r>
      <w:proofErr w:type="spellEnd"/>
      <w:r>
        <w:rPr>
          <w:szCs w:val="22"/>
        </w:rPr>
        <w:t xml:space="preserve"> and </w:t>
      </w:r>
      <w:proofErr w:type="spellStart"/>
      <w:r>
        <w:rPr>
          <w:szCs w:val="22"/>
        </w:rPr>
        <w:t>ipilimumab</w:t>
      </w:r>
      <w:proofErr w:type="spellEnd"/>
      <w:r>
        <w:rPr>
          <w:szCs w:val="22"/>
        </w:rPr>
        <w:t xml:space="preserve"> monotherapies.</w:t>
      </w:r>
    </w:p>
    <w:p w:rsidR="003E147C" w:rsidRPr="00882085" w:rsidRDefault="003E147C" w:rsidP="00C75C26">
      <w:pPr>
        <w:rPr>
          <w:szCs w:val="22"/>
        </w:rPr>
      </w:pPr>
    </w:p>
    <w:p w:rsidR="003E147C" w:rsidRPr="002C2775" w:rsidRDefault="003E147C" w:rsidP="00AF0595">
      <w:pPr>
        <w:pStyle w:val="Heading2"/>
      </w:pPr>
      <w:bookmarkStart w:id="13" w:name="_Toc430097334"/>
      <w:r w:rsidRPr="002C2775">
        <w:t>Economic analysis</w:t>
      </w:r>
      <w:bookmarkEnd w:id="13"/>
    </w:p>
    <w:p w:rsidR="003E147C" w:rsidRPr="00882085" w:rsidRDefault="003E147C" w:rsidP="00B60939">
      <w:pPr>
        <w:ind w:left="720" w:hanging="720"/>
        <w:rPr>
          <w:szCs w:val="22"/>
        </w:rPr>
      </w:pPr>
    </w:p>
    <w:p w:rsidR="003E147C" w:rsidRPr="00005302" w:rsidRDefault="003E147C" w:rsidP="003E147C">
      <w:pPr>
        <w:pStyle w:val="ListParagraph"/>
        <w:widowControl/>
        <w:numPr>
          <w:ilvl w:val="1"/>
          <w:numId w:val="6"/>
        </w:numPr>
        <w:rPr>
          <w:szCs w:val="22"/>
        </w:rPr>
      </w:pPr>
      <w:r w:rsidRPr="005308BC">
        <w:t xml:space="preserve">The submission presented 3 cost-utility analyses of </w:t>
      </w:r>
      <w:proofErr w:type="spellStart"/>
      <w:r w:rsidRPr="005308BC">
        <w:t>nivolumab</w:t>
      </w:r>
      <w:proofErr w:type="spellEnd"/>
      <w:r w:rsidRPr="005308BC">
        <w:t xml:space="preserve"> plus </w:t>
      </w:r>
      <w:proofErr w:type="spellStart"/>
      <w:r w:rsidRPr="005308BC">
        <w:t>ipilimumab</w:t>
      </w:r>
      <w:proofErr w:type="spellEnd"/>
      <w:r w:rsidRPr="005308BC">
        <w:t xml:space="preserve"> versus </w:t>
      </w:r>
      <w:proofErr w:type="spellStart"/>
      <w:r w:rsidRPr="005308BC">
        <w:t>ipilimumab</w:t>
      </w:r>
      <w:proofErr w:type="spellEnd"/>
      <w:r w:rsidRPr="005308BC">
        <w:t xml:space="preserve">, </w:t>
      </w:r>
      <w:proofErr w:type="spellStart"/>
      <w:r w:rsidRPr="005308BC">
        <w:t>nivolumab</w:t>
      </w:r>
      <w:proofErr w:type="spellEnd"/>
      <w:r w:rsidRPr="005308BC">
        <w:t xml:space="preserve"> and </w:t>
      </w:r>
      <w:proofErr w:type="spellStart"/>
      <w:r w:rsidRPr="005308BC">
        <w:t>pembrolizumab</w:t>
      </w:r>
      <w:proofErr w:type="spellEnd"/>
      <w:r w:rsidRPr="005308BC">
        <w:t>.</w:t>
      </w:r>
      <w:r>
        <w:t xml:space="preserve"> </w:t>
      </w:r>
      <w:r w:rsidRPr="00005302">
        <w:t xml:space="preserve">All analyses shared the same overall </w:t>
      </w:r>
      <w:r w:rsidR="00CB67AC" w:rsidRPr="00005302">
        <w:t xml:space="preserve">model </w:t>
      </w:r>
      <w:r w:rsidRPr="00005302">
        <w:t xml:space="preserve">structure with the economic evaluation presented in the July 2015 </w:t>
      </w:r>
      <w:proofErr w:type="spellStart"/>
      <w:r w:rsidRPr="00005302">
        <w:t>nivolumab</w:t>
      </w:r>
      <w:proofErr w:type="spellEnd"/>
      <w:r w:rsidRPr="00005302">
        <w:t xml:space="preserve"> monotherapy submission, over which the PBAC had expressed many concerns (paragraph 7.5</w:t>
      </w:r>
      <w:r w:rsidR="00CB67AC" w:rsidRPr="00005302">
        <w:t xml:space="preserve"> of the July 2015 Minutes</w:t>
      </w:r>
      <w:r w:rsidRPr="00005302">
        <w:t>), including:</w:t>
      </w:r>
    </w:p>
    <w:p w:rsidR="003E147C" w:rsidRPr="00005302" w:rsidRDefault="00DA5A53" w:rsidP="00425C30">
      <w:pPr>
        <w:pStyle w:val="ListParagraph"/>
        <w:numPr>
          <w:ilvl w:val="0"/>
          <w:numId w:val="19"/>
        </w:numPr>
        <w:ind w:left="1080"/>
        <w:rPr>
          <w:szCs w:val="22"/>
        </w:rPr>
      </w:pPr>
      <w:r w:rsidRPr="00005302">
        <w:t>t</w:t>
      </w:r>
      <w:r w:rsidR="003E147C" w:rsidRPr="00005302">
        <w:t>he unnecessarily complex approach to modelling the transitions across the usual three health state structure of a model in metastatic cancer</w:t>
      </w:r>
    </w:p>
    <w:p w:rsidR="003E147C" w:rsidRPr="00005302" w:rsidRDefault="00DA5A53" w:rsidP="00425C30">
      <w:pPr>
        <w:pStyle w:val="ListParagraph"/>
        <w:numPr>
          <w:ilvl w:val="0"/>
          <w:numId w:val="19"/>
        </w:numPr>
        <w:ind w:left="1080"/>
        <w:rPr>
          <w:szCs w:val="22"/>
        </w:rPr>
      </w:pPr>
      <w:r w:rsidRPr="00425C30">
        <w:t>o</w:t>
      </w:r>
      <w:r w:rsidR="003E147C" w:rsidRPr="00425C30">
        <w:t>nly</w:t>
      </w:r>
      <w:r w:rsidR="003E147C" w:rsidRPr="00005302">
        <w:rPr>
          <w:szCs w:val="22"/>
        </w:rPr>
        <w:t xml:space="preserve"> the </w:t>
      </w:r>
      <w:proofErr w:type="spellStart"/>
      <w:r w:rsidR="003E147C" w:rsidRPr="00425C30">
        <w:t>Akaike</w:t>
      </w:r>
      <w:proofErr w:type="spellEnd"/>
      <w:r w:rsidR="003E147C" w:rsidRPr="00005302">
        <w:rPr>
          <w:szCs w:val="22"/>
        </w:rPr>
        <w:t xml:space="preserve"> information criterion (AIC) statistics were presented for the extrapolated cu</w:t>
      </w:r>
      <w:r w:rsidRPr="00005302">
        <w:rPr>
          <w:szCs w:val="22"/>
        </w:rPr>
        <w:t>rves used throughout the model;</w:t>
      </w:r>
      <w:r w:rsidR="003E147C" w:rsidRPr="00005302">
        <w:rPr>
          <w:szCs w:val="22"/>
        </w:rPr>
        <w:t xml:space="preserve"> </w:t>
      </w:r>
      <w:r w:rsidRPr="00005302">
        <w:rPr>
          <w:szCs w:val="22"/>
        </w:rPr>
        <w:t>t</w:t>
      </w:r>
      <w:r w:rsidR="003E147C" w:rsidRPr="00005302">
        <w:rPr>
          <w:szCs w:val="22"/>
        </w:rPr>
        <w:t>he modelled PFS curves, in particular, appeared to be</w:t>
      </w:r>
      <w:r w:rsidRPr="00005302">
        <w:rPr>
          <w:szCs w:val="22"/>
        </w:rPr>
        <w:t xml:space="preserve"> highly favourable to </w:t>
      </w:r>
      <w:proofErr w:type="spellStart"/>
      <w:r w:rsidRPr="00005302">
        <w:rPr>
          <w:szCs w:val="22"/>
        </w:rPr>
        <w:t>nivolumab</w:t>
      </w:r>
      <w:proofErr w:type="spellEnd"/>
    </w:p>
    <w:p w:rsidR="003E147C" w:rsidRPr="00005302" w:rsidRDefault="00DA5A53" w:rsidP="00425C30">
      <w:pPr>
        <w:pStyle w:val="ListParagraph"/>
        <w:numPr>
          <w:ilvl w:val="0"/>
          <w:numId w:val="19"/>
        </w:numPr>
        <w:ind w:left="1080"/>
        <w:rPr>
          <w:szCs w:val="22"/>
        </w:rPr>
      </w:pPr>
      <w:r w:rsidRPr="00425C30">
        <w:t>t</w:t>
      </w:r>
      <w:r w:rsidR="003E147C" w:rsidRPr="00425C30">
        <w:t>he</w:t>
      </w:r>
      <w:r w:rsidR="003E147C" w:rsidRPr="00005302">
        <w:rPr>
          <w:szCs w:val="22"/>
        </w:rPr>
        <w:t xml:space="preserve"> 10-year time horizon </w:t>
      </w:r>
      <w:r w:rsidR="00CB67AC" w:rsidRPr="00005302">
        <w:rPr>
          <w:szCs w:val="22"/>
        </w:rPr>
        <w:t xml:space="preserve">was </w:t>
      </w:r>
      <w:r w:rsidR="003E147C" w:rsidRPr="00005302">
        <w:rPr>
          <w:szCs w:val="22"/>
        </w:rPr>
        <w:t xml:space="preserve">not strongly supported by the clinical evidence and favoured </w:t>
      </w:r>
      <w:proofErr w:type="spellStart"/>
      <w:r w:rsidR="003E147C" w:rsidRPr="00005302">
        <w:rPr>
          <w:szCs w:val="22"/>
        </w:rPr>
        <w:t>nivolumab</w:t>
      </w:r>
      <w:proofErr w:type="spellEnd"/>
      <w:r w:rsidR="003E147C" w:rsidRPr="00005302">
        <w:rPr>
          <w:szCs w:val="22"/>
        </w:rPr>
        <w:t xml:space="preserve"> sign</w:t>
      </w:r>
      <w:r w:rsidRPr="00005302">
        <w:rPr>
          <w:szCs w:val="22"/>
        </w:rPr>
        <w:t>ificantly in the economic model</w:t>
      </w:r>
    </w:p>
    <w:p w:rsidR="003E147C" w:rsidRPr="00005302" w:rsidRDefault="00DA5A53" w:rsidP="00425C30">
      <w:pPr>
        <w:pStyle w:val="ListParagraph"/>
        <w:numPr>
          <w:ilvl w:val="0"/>
          <w:numId w:val="19"/>
        </w:numPr>
        <w:ind w:left="1080"/>
        <w:rPr>
          <w:szCs w:val="22"/>
        </w:rPr>
      </w:pPr>
      <w:proofErr w:type="gramStart"/>
      <w:r w:rsidRPr="00425C30">
        <w:t>t</w:t>
      </w:r>
      <w:r w:rsidR="003E147C" w:rsidRPr="00425C30">
        <w:t>he</w:t>
      </w:r>
      <w:proofErr w:type="gramEnd"/>
      <w:r w:rsidR="003E147C" w:rsidRPr="00005302">
        <w:rPr>
          <w:szCs w:val="22"/>
        </w:rPr>
        <w:t xml:space="preserve"> absolute utility values (around 0.8) used for non-progressive and progressive disease states appeared to be high for a population with advanced cancer, and </w:t>
      </w:r>
      <w:r w:rsidR="00CB67AC" w:rsidRPr="00005302">
        <w:rPr>
          <w:szCs w:val="22"/>
        </w:rPr>
        <w:t xml:space="preserve">had </w:t>
      </w:r>
      <w:r w:rsidR="003E147C" w:rsidRPr="00005302">
        <w:rPr>
          <w:szCs w:val="22"/>
        </w:rPr>
        <w:t>a significant effect on the ICER.</w:t>
      </w:r>
    </w:p>
    <w:p w:rsidR="003E147C" w:rsidRDefault="003E147C" w:rsidP="00C75C26"/>
    <w:p w:rsidR="003E147C" w:rsidRDefault="003E147C" w:rsidP="003E147C">
      <w:pPr>
        <w:pStyle w:val="ListParagraph"/>
        <w:numPr>
          <w:ilvl w:val="1"/>
          <w:numId w:val="6"/>
        </w:numPr>
      </w:pPr>
      <w:r w:rsidRPr="004A6AEF">
        <w:t>T</w:t>
      </w:r>
      <w:r w:rsidRPr="00005302">
        <w:t xml:space="preserve">hese issues were considered </w:t>
      </w:r>
      <w:r w:rsidR="00DA5A53" w:rsidRPr="00005302">
        <w:t xml:space="preserve">to be </w:t>
      </w:r>
      <w:r w:rsidRPr="00005302">
        <w:t>equally applicable to the current model</w:t>
      </w:r>
      <w:r>
        <w:rPr>
          <w:i/>
        </w:rPr>
        <w:t xml:space="preserve">. </w:t>
      </w:r>
      <w:r>
        <w:t xml:space="preserve">Table </w:t>
      </w:r>
      <w:r w:rsidR="00CB67AC">
        <w:t>1</w:t>
      </w:r>
      <w:r w:rsidR="00503AAF">
        <w:t>2</w:t>
      </w:r>
      <w:r w:rsidR="00CB67AC">
        <w:t xml:space="preserve"> </w:t>
      </w:r>
      <w:r>
        <w:t>presents a summary of the model structure.</w:t>
      </w:r>
    </w:p>
    <w:p w:rsidR="003E147C" w:rsidRDefault="003E147C" w:rsidP="00C75C26"/>
    <w:p w:rsidR="003E147C" w:rsidRDefault="003E147C" w:rsidP="00C75C26">
      <w:pPr>
        <w:ind w:firstLine="720"/>
        <w:rPr>
          <w:rStyle w:val="CommentReference"/>
        </w:rPr>
      </w:pPr>
      <w:r w:rsidRPr="00A56B6A">
        <w:rPr>
          <w:rStyle w:val="CommentReference"/>
        </w:rPr>
        <w:t xml:space="preserve">Table </w:t>
      </w:r>
      <w:r w:rsidR="00CB67AC">
        <w:rPr>
          <w:rStyle w:val="CommentReference"/>
        </w:rPr>
        <w:t>1</w:t>
      </w:r>
      <w:r w:rsidR="00503AAF">
        <w:rPr>
          <w:rStyle w:val="CommentReference"/>
        </w:rPr>
        <w:t>2</w:t>
      </w:r>
      <w:r w:rsidRPr="00A56B6A">
        <w:rPr>
          <w:rStyle w:val="CommentReference"/>
        </w:rPr>
        <w:t>: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Summary of model structure and rationale"/>
      </w:tblPr>
      <w:tblGrid>
        <w:gridCol w:w="1277"/>
        <w:gridCol w:w="7068"/>
      </w:tblGrid>
      <w:tr w:rsidR="003E147C" w:rsidRPr="00E2771E" w:rsidTr="00DA5A53">
        <w:trPr>
          <w:tblHeader/>
        </w:trPr>
        <w:tc>
          <w:tcPr>
            <w:tcW w:w="765" w:type="pct"/>
            <w:shd w:val="clear" w:color="auto" w:fill="auto"/>
            <w:vAlign w:val="center"/>
          </w:tcPr>
          <w:p w:rsidR="003E147C" w:rsidRPr="00E2771E" w:rsidRDefault="003E147C" w:rsidP="00C75C26">
            <w:pPr>
              <w:jc w:val="left"/>
              <w:rPr>
                <w:rFonts w:ascii="Arial Narrow" w:hAnsi="Arial Narrow"/>
                <w:b/>
                <w:sz w:val="20"/>
              </w:rPr>
            </w:pPr>
            <w:r w:rsidRPr="00E2771E">
              <w:rPr>
                <w:rFonts w:ascii="Arial Narrow" w:hAnsi="Arial Narrow"/>
                <w:b/>
                <w:sz w:val="20"/>
              </w:rPr>
              <w:t>Component</w:t>
            </w:r>
          </w:p>
        </w:tc>
        <w:tc>
          <w:tcPr>
            <w:tcW w:w="4235" w:type="pct"/>
            <w:shd w:val="clear" w:color="auto" w:fill="auto"/>
            <w:vAlign w:val="center"/>
          </w:tcPr>
          <w:p w:rsidR="003E147C" w:rsidRPr="00E2771E" w:rsidRDefault="003E147C" w:rsidP="00C75C26">
            <w:pPr>
              <w:jc w:val="center"/>
              <w:rPr>
                <w:rFonts w:ascii="Arial Narrow" w:hAnsi="Arial Narrow"/>
                <w:b/>
                <w:sz w:val="20"/>
              </w:rPr>
            </w:pPr>
            <w:r w:rsidRPr="00E2771E">
              <w:rPr>
                <w:rFonts w:ascii="Arial Narrow" w:hAnsi="Arial Narrow"/>
                <w:b/>
                <w:sz w:val="20"/>
              </w:rPr>
              <w:t>Summary</w:t>
            </w:r>
          </w:p>
        </w:tc>
      </w:tr>
      <w:tr w:rsidR="003E147C" w:rsidRPr="00E2771E" w:rsidTr="00DA5A53">
        <w:tc>
          <w:tcPr>
            <w:tcW w:w="765" w:type="pct"/>
            <w:shd w:val="clear" w:color="auto" w:fill="auto"/>
            <w:vAlign w:val="center"/>
          </w:tcPr>
          <w:p w:rsidR="003E147C" w:rsidRPr="00E2771E" w:rsidRDefault="003E147C" w:rsidP="00C75C26">
            <w:pPr>
              <w:jc w:val="left"/>
              <w:rPr>
                <w:rFonts w:ascii="Arial Narrow" w:hAnsi="Arial Narrow"/>
                <w:sz w:val="20"/>
              </w:rPr>
            </w:pPr>
            <w:r w:rsidRPr="00E2771E">
              <w:rPr>
                <w:rFonts w:ascii="Arial Narrow" w:hAnsi="Arial Narrow"/>
                <w:sz w:val="20"/>
              </w:rPr>
              <w:t>Time horizon</w:t>
            </w:r>
          </w:p>
        </w:tc>
        <w:tc>
          <w:tcPr>
            <w:tcW w:w="4235" w:type="pct"/>
            <w:shd w:val="clear" w:color="auto" w:fill="auto"/>
            <w:vAlign w:val="center"/>
          </w:tcPr>
          <w:p w:rsidR="003E147C" w:rsidRPr="00E2771E" w:rsidRDefault="003E147C" w:rsidP="00C75C26">
            <w:pPr>
              <w:jc w:val="left"/>
              <w:rPr>
                <w:rFonts w:ascii="Arial Narrow" w:hAnsi="Arial Narrow"/>
                <w:sz w:val="20"/>
              </w:rPr>
            </w:pPr>
            <w:r w:rsidRPr="00653D30">
              <w:rPr>
                <w:rFonts w:ascii="Arial Narrow" w:hAnsi="Arial Narrow"/>
                <w:sz w:val="20"/>
              </w:rPr>
              <w:t>10</w:t>
            </w:r>
            <w:r>
              <w:rPr>
                <w:rFonts w:ascii="Arial Narrow" w:hAnsi="Arial Narrow"/>
                <w:sz w:val="20"/>
              </w:rPr>
              <w:t>.12</w:t>
            </w:r>
            <w:r w:rsidRPr="00653D30">
              <w:rPr>
                <w:rFonts w:ascii="Arial Narrow" w:hAnsi="Arial Narrow"/>
                <w:sz w:val="20"/>
              </w:rPr>
              <w:t xml:space="preserve"> years in the model base case versus</w:t>
            </w:r>
            <w:r>
              <w:rPr>
                <w:rFonts w:ascii="Arial Narrow" w:hAnsi="Arial Narrow"/>
                <w:sz w:val="20"/>
              </w:rPr>
              <w:t xml:space="preserve"> 12.2-12.5 months of median follow up in CA209-067</w:t>
            </w:r>
            <w:r w:rsidR="00CB67AC">
              <w:rPr>
                <w:rFonts w:ascii="Arial Narrow" w:hAnsi="Arial Narrow"/>
                <w:sz w:val="20"/>
              </w:rPr>
              <w:t>.</w:t>
            </w:r>
          </w:p>
        </w:tc>
      </w:tr>
      <w:tr w:rsidR="003E147C" w:rsidRPr="00E2771E" w:rsidTr="00DA5A53">
        <w:tc>
          <w:tcPr>
            <w:tcW w:w="765" w:type="pct"/>
            <w:shd w:val="clear" w:color="auto" w:fill="auto"/>
            <w:vAlign w:val="center"/>
          </w:tcPr>
          <w:p w:rsidR="003E147C" w:rsidRPr="00E2771E" w:rsidRDefault="003E147C" w:rsidP="00C75C26">
            <w:pPr>
              <w:jc w:val="left"/>
              <w:rPr>
                <w:rFonts w:ascii="Arial Narrow" w:hAnsi="Arial Narrow"/>
                <w:sz w:val="20"/>
              </w:rPr>
            </w:pPr>
            <w:r w:rsidRPr="00E2771E">
              <w:rPr>
                <w:rFonts w:ascii="Arial Narrow" w:hAnsi="Arial Narrow"/>
                <w:sz w:val="20"/>
              </w:rPr>
              <w:t>Outcomes</w:t>
            </w:r>
          </w:p>
        </w:tc>
        <w:tc>
          <w:tcPr>
            <w:tcW w:w="4235" w:type="pct"/>
            <w:shd w:val="clear" w:color="auto" w:fill="auto"/>
            <w:vAlign w:val="center"/>
          </w:tcPr>
          <w:p w:rsidR="003E147C" w:rsidRPr="00E2771E" w:rsidRDefault="003E147C" w:rsidP="00C75C26">
            <w:pPr>
              <w:jc w:val="left"/>
              <w:rPr>
                <w:rFonts w:ascii="Arial Narrow" w:hAnsi="Arial Narrow"/>
                <w:sz w:val="20"/>
              </w:rPr>
            </w:pPr>
            <w:r>
              <w:rPr>
                <w:rFonts w:ascii="Arial Narrow" w:hAnsi="Arial Narrow"/>
                <w:sz w:val="20"/>
              </w:rPr>
              <w:t>LYs and QALYs</w:t>
            </w:r>
          </w:p>
        </w:tc>
      </w:tr>
      <w:tr w:rsidR="003E147C" w:rsidRPr="00E2771E" w:rsidTr="00DA5A53">
        <w:tc>
          <w:tcPr>
            <w:tcW w:w="765" w:type="pct"/>
            <w:shd w:val="clear" w:color="auto" w:fill="auto"/>
            <w:vAlign w:val="center"/>
          </w:tcPr>
          <w:p w:rsidR="003E147C" w:rsidRPr="00E2771E" w:rsidRDefault="003E147C" w:rsidP="00C75C26">
            <w:pPr>
              <w:jc w:val="left"/>
              <w:rPr>
                <w:rFonts w:ascii="Arial Narrow" w:hAnsi="Arial Narrow"/>
                <w:sz w:val="20"/>
              </w:rPr>
            </w:pPr>
            <w:r w:rsidRPr="00E2771E">
              <w:rPr>
                <w:rFonts w:ascii="Arial Narrow" w:hAnsi="Arial Narrow"/>
                <w:sz w:val="20"/>
              </w:rPr>
              <w:t>Methods used to generate results</w:t>
            </w:r>
          </w:p>
        </w:tc>
        <w:tc>
          <w:tcPr>
            <w:tcW w:w="4235" w:type="pct"/>
            <w:shd w:val="clear" w:color="auto" w:fill="auto"/>
            <w:vAlign w:val="center"/>
          </w:tcPr>
          <w:p w:rsidR="003E147C" w:rsidRPr="00E2771E" w:rsidRDefault="003E147C" w:rsidP="00C75C26">
            <w:pPr>
              <w:jc w:val="left"/>
              <w:rPr>
                <w:rFonts w:ascii="Arial Narrow" w:hAnsi="Arial Narrow"/>
                <w:sz w:val="20"/>
              </w:rPr>
            </w:pPr>
            <w:r>
              <w:rPr>
                <w:rFonts w:ascii="Arial Narrow" w:hAnsi="Arial Narrow"/>
                <w:sz w:val="20"/>
              </w:rPr>
              <w:t>C</w:t>
            </w:r>
            <w:r w:rsidRPr="00653D30">
              <w:rPr>
                <w:rFonts w:ascii="Arial Narrow" w:hAnsi="Arial Narrow"/>
                <w:sz w:val="20"/>
              </w:rPr>
              <w:t>ohort expected value analysis</w:t>
            </w:r>
            <w:r>
              <w:rPr>
                <w:rFonts w:ascii="Arial Narrow" w:hAnsi="Arial Narrow"/>
                <w:sz w:val="20"/>
              </w:rPr>
              <w:t xml:space="preserve"> based on log-logistic survival curves extrapolated from CA209-066 data, and the hazard ratio calculated from the indirect comparison of </w:t>
            </w:r>
            <w:proofErr w:type="spellStart"/>
            <w:r>
              <w:rPr>
                <w:rFonts w:ascii="Arial Narrow" w:hAnsi="Arial Narrow"/>
                <w:sz w:val="20"/>
              </w:rPr>
              <w:t>Nivo</w:t>
            </w:r>
            <w:proofErr w:type="spellEnd"/>
            <w:r>
              <w:rPr>
                <w:rFonts w:ascii="Arial Narrow" w:hAnsi="Arial Narrow"/>
                <w:sz w:val="20"/>
              </w:rPr>
              <w:t xml:space="preserve"> and </w:t>
            </w:r>
            <w:proofErr w:type="spellStart"/>
            <w:r>
              <w:rPr>
                <w:rFonts w:ascii="Arial Narrow" w:hAnsi="Arial Narrow"/>
                <w:sz w:val="20"/>
              </w:rPr>
              <w:t>Ipi</w:t>
            </w:r>
            <w:proofErr w:type="spellEnd"/>
            <w:r>
              <w:rPr>
                <w:rFonts w:ascii="Arial Narrow" w:hAnsi="Arial Narrow"/>
                <w:sz w:val="20"/>
              </w:rPr>
              <w:t>.</w:t>
            </w:r>
          </w:p>
        </w:tc>
      </w:tr>
      <w:tr w:rsidR="003E147C" w:rsidRPr="00E2771E" w:rsidTr="00DA5A53">
        <w:tc>
          <w:tcPr>
            <w:tcW w:w="765" w:type="pct"/>
            <w:shd w:val="clear" w:color="auto" w:fill="auto"/>
            <w:vAlign w:val="center"/>
          </w:tcPr>
          <w:p w:rsidR="003E147C" w:rsidRPr="00E2771E" w:rsidRDefault="003E147C" w:rsidP="00C75C26">
            <w:pPr>
              <w:jc w:val="left"/>
              <w:rPr>
                <w:rFonts w:ascii="Arial Narrow" w:hAnsi="Arial Narrow"/>
                <w:sz w:val="20"/>
              </w:rPr>
            </w:pPr>
            <w:r w:rsidRPr="00E2771E">
              <w:rPr>
                <w:rFonts w:ascii="Arial Narrow" w:hAnsi="Arial Narrow"/>
                <w:sz w:val="20"/>
              </w:rPr>
              <w:t>Health states</w:t>
            </w:r>
          </w:p>
        </w:tc>
        <w:tc>
          <w:tcPr>
            <w:tcW w:w="4235" w:type="pct"/>
            <w:shd w:val="clear" w:color="auto" w:fill="auto"/>
            <w:vAlign w:val="center"/>
          </w:tcPr>
          <w:p w:rsidR="003E147C" w:rsidRPr="00E2771E" w:rsidRDefault="003E147C" w:rsidP="00B5168D">
            <w:pPr>
              <w:jc w:val="left"/>
              <w:rPr>
                <w:rFonts w:ascii="Arial Narrow" w:hAnsi="Arial Narrow"/>
                <w:sz w:val="20"/>
              </w:rPr>
            </w:pPr>
            <w:r>
              <w:rPr>
                <w:rFonts w:ascii="Arial Narrow" w:hAnsi="Arial Narrow"/>
                <w:sz w:val="20"/>
              </w:rPr>
              <w:t>Alive without progressive disease, alive with progressive disease, dead</w:t>
            </w:r>
            <w:r w:rsidR="002C0E84">
              <w:rPr>
                <w:rFonts w:ascii="Arial Narrow" w:hAnsi="Arial Narrow"/>
                <w:sz w:val="20"/>
              </w:rPr>
              <w:t>. The model allowed for a splitting of overall survival into pre-progression overall survival and post-progression overall survival.</w:t>
            </w:r>
          </w:p>
        </w:tc>
      </w:tr>
      <w:tr w:rsidR="003E147C" w:rsidRPr="00E2771E" w:rsidTr="00DA5A53">
        <w:tc>
          <w:tcPr>
            <w:tcW w:w="765" w:type="pct"/>
            <w:shd w:val="clear" w:color="auto" w:fill="auto"/>
            <w:vAlign w:val="center"/>
          </w:tcPr>
          <w:p w:rsidR="003E147C" w:rsidRPr="00E2771E" w:rsidRDefault="003E147C" w:rsidP="00C75C26">
            <w:pPr>
              <w:jc w:val="left"/>
              <w:rPr>
                <w:rFonts w:ascii="Arial Narrow" w:hAnsi="Arial Narrow"/>
                <w:sz w:val="20"/>
              </w:rPr>
            </w:pPr>
            <w:r w:rsidRPr="00E2771E">
              <w:rPr>
                <w:rFonts w:ascii="Arial Narrow" w:hAnsi="Arial Narrow"/>
                <w:sz w:val="20"/>
              </w:rPr>
              <w:t>Cycle length</w:t>
            </w:r>
          </w:p>
        </w:tc>
        <w:tc>
          <w:tcPr>
            <w:tcW w:w="4235" w:type="pct"/>
            <w:shd w:val="clear" w:color="auto" w:fill="auto"/>
            <w:vAlign w:val="center"/>
          </w:tcPr>
          <w:p w:rsidR="003E147C" w:rsidRPr="00E2771E" w:rsidRDefault="003E147C" w:rsidP="00C75C26">
            <w:pPr>
              <w:jc w:val="left"/>
              <w:rPr>
                <w:rFonts w:ascii="Arial Narrow" w:hAnsi="Arial Narrow"/>
                <w:sz w:val="20"/>
              </w:rPr>
            </w:pPr>
            <w:r>
              <w:rPr>
                <w:rFonts w:ascii="Arial Narrow" w:hAnsi="Arial Narrow"/>
                <w:sz w:val="20"/>
              </w:rPr>
              <w:t>12 weeks. Half cycle correction applied</w:t>
            </w:r>
            <w:r w:rsidR="00B538DE">
              <w:rPr>
                <w:rFonts w:ascii="Arial Narrow" w:hAnsi="Arial Narrow"/>
                <w:sz w:val="20"/>
              </w:rPr>
              <w:t>.</w:t>
            </w:r>
          </w:p>
        </w:tc>
      </w:tr>
      <w:tr w:rsidR="003E147C" w:rsidRPr="00E2771E" w:rsidTr="00DA5A53">
        <w:tc>
          <w:tcPr>
            <w:tcW w:w="765" w:type="pct"/>
            <w:shd w:val="clear" w:color="auto" w:fill="auto"/>
            <w:vAlign w:val="center"/>
          </w:tcPr>
          <w:p w:rsidR="003E147C" w:rsidRPr="00E2771E" w:rsidRDefault="003E147C" w:rsidP="00C75C26">
            <w:pPr>
              <w:jc w:val="left"/>
              <w:rPr>
                <w:rFonts w:ascii="Arial Narrow" w:hAnsi="Arial Narrow"/>
                <w:sz w:val="20"/>
              </w:rPr>
            </w:pPr>
            <w:r w:rsidRPr="00E2771E">
              <w:rPr>
                <w:rFonts w:ascii="Arial Narrow" w:hAnsi="Arial Narrow"/>
                <w:sz w:val="20"/>
              </w:rPr>
              <w:t>Transition probabilities</w:t>
            </w:r>
          </w:p>
        </w:tc>
        <w:tc>
          <w:tcPr>
            <w:tcW w:w="4235" w:type="pct"/>
            <w:shd w:val="clear" w:color="auto" w:fill="auto"/>
            <w:vAlign w:val="center"/>
          </w:tcPr>
          <w:p w:rsidR="003E147C" w:rsidRPr="00E2771E" w:rsidRDefault="003E147C" w:rsidP="00C75C26">
            <w:pPr>
              <w:jc w:val="left"/>
              <w:rPr>
                <w:rFonts w:ascii="Arial Narrow" w:hAnsi="Arial Narrow"/>
                <w:sz w:val="20"/>
              </w:rPr>
            </w:pPr>
            <w:r>
              <w:rPr>
                <w:rFonts w:ascii="Arial Narrow" w:hAnsi="Arial Narrow"/>
                <w:sz w:val="20"/>
              </w:rPr>
              <w:t xml:space="preserve">PFS transition probabilities were derived from CA209-067 </w:t>
            </w:r>
            <w:proofErr w:type="spellStart"/>
            <w:r>
              <w:rPr>
                <w:rFonts w:ascii="Arial Narrow" w:hAnsi="Arial Narrow"/>
                <w:sz w:val="20"/>
              </w:rPr>
              <w:t>Ipi</w:t>
            </w:r>
            <w:proofErr w:type="spellEnd"/>
            <w:r>
              <w:rPr>
                <w:rFonts w:ascii="Arial Narrow" w:hAnsi="Arial Narrow"/>
                <w:sz w:val="20"/>
              </w:rPr>
              <w:t xml:space="preserve"> + </w:t>
            </w:r>
            <w:proofErr w:type="spellStart"/>
            <w:r>
              <w:rPr>
                <w:rFonts w:ascii="Arial Narrow" w:hAnsi="Arial Narrow"/>
                <w:sz w:val="20"/>
              </w:rPr>
              <w:t>Nivo</w:t>
            </w:r>
            <w:proofErr w:type="spellEnd"/>
            <w:r>
              <w:rPr>
                <w:rFonts w:ascii="Arial Narrow" w:hAnsi="Arial Narrow"/>
                <w:sz w:val="20"/>
              </w:rPr>
              <w:t xml:space="preserve"> data, and the transition probabilities for other treatments were calculated by applying HRs from the </w:t>
            </w:r>
            <w:proofErr w:type="spellStart"/>
            <w:r>
              <w:rPr>
                <w:rFonts w:ascii="Arial Narrow" w:hAnsi="Arial Narrow"/>
                <w:sz w:val="20"/>
              </w:rPr>
              <w:t>Nivo</w:t>
            </w:r>
            <w:proofErr w:type="spellEnd"/>
            <w:r>
              <w:rPr>
                <w:rFonts w:ascii="Arial Narrow" w:hAnsi="Arial Narrow"/>
                <w:sz w:val="20"/>
              </w:rPr>
              <w:t xml:space="preserve">, </w:t>
            </w:r>
            <w:proofErr w:type="spellStart"/>
            <w:r>
              <w:rPr>
                <w:rFonts w:ascii="Arial Narrow" w:hAnsi="Arial Narrow"/>
                <w:sz w:val="20"/>
              </w:rPr>
              <w:t>Ipi</w:t>
            </w:r>
            <w:proofErr w:type="spellEnd"/>
            <w:r>
              <w:rPr>
                <w:rFonts w:ascii="Arial Narrow" w:hAnsi="Arial Narrow"/>
                <w:sz w:val="20"/>
              </w:rPr>
              <w:t xml:space="preserve"> and </w:t>
            </w:r>
            <w:proofErr w:type="spellStart"/>
            <w:r>
              <w:rPr>
                <w:rFonts w:ascii="Arial Narrow" w:hAnsi="Arial Narrow"/>
                <w:sz w:val="20"/>
              </w:rPr>
              <w:t>Pembro</w:t>
            </w:r>
            <w:proofErr w:type="spellEnd"/>
            <w:r>
              <w:rPr>
                <w:rFonts w:ascii="Arial Narrow" w:hAnsi="Arial Narrow"/>
                <w:sz w:val="20"/>
              </w:rPr>
              <w:t xml:space="preserve"> comparisons transition probabilities. For OS, a similar process was done with CA209-066 </w:t>
            </w:r>
            <w:proofErr w:type="spellStart"/>
            <w:r>
              <w:rPr>
                <w:rFonts w:ascii="Arial Narrow" w:hAnsi="Arial Narrow"/>
                <w:sz w:val="20"/>
              </w:rPr>
              <w:t>Nivo</w:t>
            </w:r>
            <w:proofErr w:type="spellEnd"/>
            <w:r>
              <w:rPr>
                <w:rFonts w:ascii="Arial Narrow" w:hAnsi="Arial Narrow"/>
                <w:sz w:val="20"/>
              </w:rPr>
              <w:t xml:space="preserve"> monotherapy survival curves used as the starting point.</w:t>
            </w:r>
          </w:p>
        </w:tc>
      </w:tr>
    </w:tbl>
    <w:p w:rsidR="003E147C" w:rsidRDefault="003E147C" w:rsidP="00C75C26">
      <w:pPr>
        <w:pStyle w:val="TableFooter"/>
        <w:ind w:firstLine="720"/>
      </w:pPr>
      <w:r w:rsidRPr="00275C5A">
        <w:t>Source: compiled during the evaluation</w:t>
      </w:r>
      <w:r w:rsidR="00DA5A53">
        <w:t>.</w:t>
      </w:r>
    </w:p>
    <w:p w:rsidR="003E147C" w:rsidRPr="00D13A3E" w:rsidRDefault="003E147C" w:rsidP="00C75C26">
      <w:pPr>
        <w:pStyle w:val="TableFooter"/>
        <w:ind w:left="720"/>
      </w:pPr>
      <w:proofErr w:type="spellStart"/>
      <w:r>
        <w:t>Ipi</w:t>
      </w:r>
      <w:proofErr w:type="spellEnd"/>
      <w:r>
        <w:t xml:space="preserve"> = </w:t>
      </w:r>
      <w:proofErr w:type="spellStart"/>
      <w:r>
        <w:t>ipil</w:t>
      </w:r>
      <w:r w:rsidR="00DA5A53">
        <w:t>imumab</w:t>
      </w:r>
      <w:proofErr w:type="spellEnd"/>
      <w:r w:rsidR="00DA5A53">
        <w:t>; HR = hazard ratio; LY</w:t>
      </w:r>
      <w:r w:rsidR="00124B44">
        <w:t>s</w:t>
      </w:r>
      <w:r>
        <w:t xml:space="preserve"> = life-years; </w:t>
      </w:r>
      <w:proofErr w:type="spellStart"/>
      <w:r>
        <w:t>Nivo</w:t>
      </w:r>
      <w:proofErr w:type="spellEnd"/>
      <w:r>
        <w:t xml:space="preserve"> = </w:t>
      </w:r>
      <w:proofErr w:type="spellStart"/>
      <w:r>
        <w:t>nivolumab</w:t>
      </w:r>
      <w:proofErr w:type="spellEnd"/>
      <w:r>
        <w:t xml:space="preserve">; OS = overall survival; </w:t>
      </w:r>
      <w:proofErr w:type="spellStart"/>
      <w:r>
        <w:t>Pembro</w:t>
      </w:r>
      <w:proofErr w:type="spellEnd"/>
      <w:r>
        <w:t xml:space="preserve"> = </w:t>
      </w:r>
      <w:proofErr w:type="spellStart"/>
      <w:r w:rsidR="00DA5A53">
        <w:t>pembrolizumab</w:t>
      </w:r>
      <w:proofErr w:type="spellEnd"/>
      <w:r w:rsidR="00DA5A53">
        <w:t xml:space="preserve"> PFS = progression-</w:t>
      </w:r>
      <w:r>
        <w:t>free survival</w:t>
      </w:r>
      <w:r w:rsidR="00DA5A53">
        <w:t>; QALYs = quality-adjusted life-</w:t>
      </w:r>
      <w:r>
        <w:t>years.</w:t>
      </w:r>
    </w:p>
    <w:p w:rsidR="003E147C" w:rsidRDefault="003E147C" w:rsidP="00C75C26"/>
    <w:p w:rsidR="000D5027" w:rsidRPr="00DC5D13" w:rsidRDefault="00C96214" w:rsidP="00787840">
      <w:pPr>
        <w:pStyle w:val="ListParagraph"/>
        <w:numPr>
          <w:ilvl w:val="1"/>
          <w:numId w:val="6"/>
        </w:numPr>
      </w:pPr>
      <w:r w:rsidRPr="00005302">
        <w:t xml:space="preserve">Of particular concern </w:t>
      </w:r>
      <w:r w:rsidR="00E408F9">
        <w:t>wa</w:t>
      </w:r>
      <w:r w:rsidRPr="00005302">
        <w:t>s the mainten</w:t>
      </w:r>
      <w:r w:rsidR="00923682" w:rsidRPr="00005302">
        <w:t>an</w:t>
      </w:r>
      <w:r w:rsidRPr="00005302">
        <w:t xml:space="preserve">ce of the </w:t>
      </w:r>
      <w:r w:rsidR="000D5027" w:rsidRPr="00005302">
        <w:t xml:space="preserve">structure of the </w:t>
      </w:r>
      <w:proofErr w:type="spellStart"/>
      <w:r w:rsidR="000D5027" w:rsidRPr="00005302">
        <w:t>nivolumab</w:t>
      </w:r>
      <w:proofErr w:type="spellEnd"/>
      <w:r w:rsidR="000D5027" w:rsidRPr="00005302">
        <w:t xml:space="preserve"> monotherapy model, which included the splitting of overall </w:t>
      </w:r>
      <w:r w:rsidR="000D5027" w:rsidRPr="00AB379B">
        <w:t>survival into pre-progression overall survival and pos</w:t>
      </w:r>
      <w:r w:rsidR="00DA5A53" w:rsidRPr="00AB379B">
        <w:t>t-progression overall survival.</w:t>
      </w:r>
      <w:r w:rsidR="00574D4D" w:rsidRPr="00AB379B">
        <w:t xml:space="preserve"> The ESC considered that the application of hazard ratios for both PFS and OS result</w:t>
      </w:r>
      <w:r w:rsidR="00672505" w:rsidRPr="00AB379B">
        <w:t xml:space="preserve">ed in </w:t>
      </w:r>
      <w:r w:rsidR="00574D4D" w:rsidRPr="00AB379B">
        <w:t>double-counting of the treatment effect.</w:t>
      </w:r>
      <w:r w:rsidR="002923CA" w:rsidRPr="00AB379B">
        <w:t xml:space="preserve"> In the comparison against </w:t>
      </w:r>
      <w:proofErr w:type="spellStart"/>
      <w:r w:rsidR="002923CA" w:rsidRPr="00AB379B">
        <w:t>pembrolizumab</w:t>
      </w:r>
      <w:proofErr w:type="spellEnd"/>
      <w:r w:rsidR="002923CA" w:rsidRPr="00AB379B">
        <w:t xml:space="preserve">, setting the HR for OS to 1 increased the ICER </w:t>
      </w:r>
      <w:r w:rsidR="005674E1" w:rsidRPr="00AB379B">
        <w:t xml:space="preserve">over </w:t>
      </w:r>
      <w:proofErr w:type="spellStart"/>
      <w:r w:rsidR="005674E1" w:rsidRPr="00AB379B">
        <w:t>pembrolizumab</w:t>
      </w:r>
      <w:proofErr w:type="spellEnd"/>
      <w:r w:rsidR="005674E1" w:rsidRPr="00AB379B">
        <w:t xml:space="preserve"> </w:t>
      </w:r>
      <w:r w:rsidR="00503AAF" w:rsidRPr="00AB379B">
        <w:t xml:space="preserve">in the original </w:t>
      </w:r>
      <w:r w:rsidR="00503AAF" w:rsidRPr="00AB379B">
        <w:lastRenderedPageBreak/>
        <w:t xml:space="preserve">submission </w:t>
      </w:r>
      <w:r w:rsidR="00A86EF9">
        <w:t xml:space="preserve">from around </w:t>
      </w:r>
      <w:r w:rsidR="00787840" w:rsidRPr="00787840">
        <w:t>$75,000</w:t>
      </w:r>
      <w:r w:rsidR="00FF10A9">
        <w:t>/QALY</w:t>
      </w:r>
      <w:r w:rsidR="00787840" w:rsidRPr="00787840">
        <w:t xml:space="preserve"> – $105,000 </w:t>
      </w:r>
      <w:r w:rsidR="002923CA" w:rsidRPr="00AB379B">
        <w:t xml:space="preserve">/QALY to around </w:t>
      </w:r>
      <w:r w:rsidR="00787840" w:rsidRPr="00787840">
        <w:t xml:space="preserve">$75,000 – $105,000 </w:t>
      </w:r>
      <w:r w:rsidR="002923CA" w:rsidRPr="00AB379B">
        <w:t>/QALY.</w:t>
      </w:r>
    </w:p>
    <w:p w:rsidR="00CA068A" w:rsidRDefault="00CA068A" w:rsidP="000D5027"/>
    <w:p w:rsidR="00F717A6" w:rsidRDefault="003E147C" w:rsidP="0003065E">
      <w:pPr>
        <w:pStyle w:val="ListParagraph"/>
        <w:numPr>
          <w:ilvl w:val="1"/>
          <w:numId w:val="6"/>
        </w:numPr>
      </w:pPr>
      <w:r>
        <w:t xml:space="preserve">Table </w:t>
      </w:r>
      <w:r w:rsidR="00F308CF">
        <w:t>1</w:t>
      </w:r>
      <w:r w:rsidR="00503AAF">
        <w:t>3</w:t>
      </w:r>
      <w:r w:rsidR="00F308CF">
        <w:t xml:space="preserve"> </w:t>
      </w:r>
      <w:r>
        <w:t>presents the key drivers of the model</w:t>
      </w:r>
      <w:r w:rsidR="00CB67AC">
        <w:t>.</w:t>
      </w:r>
    </w:p>
    <w:p w:rsidR="003E147C" w:rsidRDefault="003E147C" w:rsidP="00C75C26"/>
    <w:p w:rsidR="003E147C" w:rsidRDefault="003E147C" w:rsidP="005D044D">
      <w:pPr>
        <w:ind w:firstLine="720"/>
        <w:rPr>
          <w:rStyle w:val="CommentReference"/>
        </w:rPr>
      </w:pPr>
      <w:r w:rsidRPr="00A56B6A">
        <w:rPr>
          <w:rStyle w:val="CommentReference"/>
        </w:rPr>
        <w:t xml:space="preserve">Table </w:t>
      </w:r>
      <w:r w:rsidR="00F308CF">
        <w:rPr>
          <w:rStyle w:val="CommentReference"/>
        </w:rPr>
        <w:t>1</w:t>
      </w:r>
      <w:r w:rsidR="00503AAF">
        <w:rPr>
          <w:rStyle w:val="CommentReference"/>
        </w:rPr>
        <w:t>3</w:t>
      </w:r>
      <w:r w:rsidRPr="00A56B6A">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Key drivers of the model"/>
      </w:tblPr>
      <w:tblGrid>
        <w:gridCol w:w="1701"/>
        <w:gridCol w:w="4394"/>
        <w:gridCol w:w="2250"/>
      </w:tblGrid>
      <w:tr w:rsidR="003E147C" w:rsidRPr="00E2771E" w:rsidTr="00DA5A53">
        <w:trPr>
          <w:tblHeader/>
        </w:trPr>
        <w:tc>
          <w:tcPr>
            <w:tcW w:w="1019" w:type="pct"/>
            <w:shd w:val="clear" w:color="auto" w:fill="auto"/>
            <w:vAlign w:val="center"/>
          </w:tcPr>
          <w:p w:rsidR="003E147C" w:rsidRPr="00E2771E" w:rsidRDefault="003E147C" w:rsidP="00D110BD">
            <w:pPr>
              <w:jc w:val="left"/>
              <w:rPr>
                <w:rFonts w:ascii="Arial Narrow" w:hAnsi="Arial Narrow"/>
                <w:b/>
                <w:sz w:val="20"/>
                <w:lang w:val="en-US"/>
              </w:rPr>
            </w:pPr>
            <w:r w:rsidRPr="00E2771E">
              <w:rPr>
                <w:rFonts w:ascii="Arial Narrow" w:hAnsi="Arial Narrow"/>
                <w:b/>
                <w:sz w:val="20"/>
                <w:lang w:val="en-US"/>
              </w:rPr>
              <w:t>Description</w:t>
            </w:r>
          </w:p>
        </w:tc>
        <w:tc>
          <w:tcPr>
            <w:tcW w:w="2633" w:type="pct"/>
            <w:shd w:val="clear" w:color="auto" w:fill="auto"/>
            <w:vAlign w:val="center"/>
          </w:tcPr>
          <w:p w:rsidR="003E147C" w:rsidRPr="00E2771E" w:rsidRDefault="003E147C" w:rsidP="00D110BD">
            <w:pPr>
              <w:jc w:val="center"/>
              <w:rPr>
                <w:rFonts w:ascii="Arial Narrow" w:hAnsi="Arial Narrow"/>
                <w:b/>
                <w:sz w:val="20"/>
                <w:lang w:val="en-US"/>
              </w:rPr>
            </w:pPr>
            <w:r w:rsidRPr="00E2771E">
              <w:rPr>
                <w:rFonts w:ascii="Arial Narrow" w:hAnsi="Arial Narrow"/>
                <w:b/>
                <w:sz w:val="20"/>
                <w:lang w:val="en-US"/>
              </w:rPr>
              <w:t>Method/Value</w:t>
            </w:r>
          </w:p>
        </w:tc>
        <w:tc>
          <w:tcPr>
            <w:tcW w:w="1348" w:type="pct"/>
            <w:shd w:val="clear" w:color="auto" w:fill="auto"/>
            <w:vAlign w:val="center"/>
          </w:tcPr>
          <w:p w:rsidR="003E147C" w:rsidRPr="00E2771E" w:rsidRDefault="003E147C" w:rsidP="00D110BD">
            <w:pPr>
              <w:jc w:val="center"/>
              <w:rPr>
                <w:rFonts w:ascii="Arial Narrow" w:hAnsi="Arial Narrow"/>
                <w:b/>
                <w:sz w:val="20"/>
                <w:lang w:val="en-US"/>
              </w:rPr>
            </w:pPr>
            <w:r w:rsidRPr="00E2771E">
              <w:rPr>
                <w:rFonts w:ascii="Arial Narrow" w:hAnsi="Arial Narrow"/>
                <w:b/>
                <w:sz w:val="20"/>
                <w:lang w:val="en-US"/>
              </w:rPr>
              <w:t>Impact</w:t>
            </w:r>
          </w:p>
        </w:tc>
      </w:tr>
      <w:tr w:rsidR="003E147C" w:rsidRPr="00E2771E" w:rsidTr="00DA5A53">
        <w:tc>
          <w:tcPr>
            <w:tcW w:w="1019" w:type="pct"/>
            <w:shd w:val="clear" w:color="auto" w:fill="auto"/>
            <w:vAlign w:val="center"/>
          </w:tcPr>
          <w:p w:rsidR="003E147C" w:rsidRPr="00E2771E" w:rsidRDefault="003E147C" w:rsidP="00D110BD">
            <w:pPr>
              <w:jc w:val="left"/>
              <w:rPr>
                <w:rFonts w:ascii="Arial Narrow" w:hAnsi="Arial Narrow"/>
                <w:sz w:val="20"/>
                <w:lang w:val="en-US"/>
              </w:rPr>
            </w:pPr>
            <w:r w:rsidRPr="00E2771E">
              <w:rPr>
                <w:rFonts w:ascii="Arial Narrow" w:hAnsi="Arial Narrow"/>
                <w:sz w:val="20"/>
                <w:lang w:val="en-US"/>
              </w:rPr>
              <w:t>Time horizon</w:t>
            </w:r>
          </w:p>
        </w:tc>
        <w:tc>
          <w:tcPr>
            <w:tcW w:w="2633" w:type="pct"/>
            <w:shd w:val="clear" w:color="auto" w:fill="auto"/>
            <w:vAlign w:val="center"/>
          </w:tcPr>
          <w:p w:rsidR="003E147C" w:rsidRPr="00E2771E" w:rsidRDefault="003E147C" w:rsidP="00D110BD">
            <w:pPr>
              <w:jc w:val="center"/>
              <w:rPr>
                <w:rFonts w:ascii="Arial Narrow" w:hAnsi="Arial Narrow"/>
                <w:sz w:val="20"/>
                <w:lang w:val="en-US"/>
              </w:rPr>
            </w:pPr>
            <w:r w:rsidRPr="00653D30">
              <w:rPr>
                <w:rFonts w:ascii="Arial Narrow" w:hAnsi="Arial Narrow"/>
                <w:sz w:val="20"/>
              </w:rPr>
              <w:t>10</w:t>
            </w:r>
            <w:r>
              <w:rPr>
                <w:rFonts w:ascii="Arial Narrow" w:hAnsi="Arial Narrow"/>
                <w:sz w:val="20"/>
              </w:rPr>
              <w:t>.12</w:t>
            </w:r>
            <w:r w:rsidRPr="00653D30">
              <w:rPr>
                <w:rFonts w:ascii="Arial Narrow" w:hAnsi="Arial Narrow"/>
                <w:sz w:val="20"/>
              </w:rPr>
              <w:t xml:space="preserve"> years in the model base case versus</w:t>
            </w:r>
            <w:r>
              <w:rPr>
                <w:rFonts w:ascii="Arial Narrow" w:hAnsi="Arial Narrow"/>
                <w:sz w:val="20"/>
              </w:rPr>
              <w:t xml:space="preserve"> 12.2-12.5 months of median follow up</w:t>
            </w:r>
          </w:p>
        </w:tc>
        <w:tc>
          <w:tcPr>
            <w:tcW w:w="1348" w:type="pct"/>
            <w:shd w:val="clear" w:color="auto" w:fill="auto"/>
            <w:vAlign w:val="center"/>
          </w:tcPr>
          <w:p w:rsidR="003E147C" w:rsidRPr="00E2771E" w:rsidRDefault="003E147C" w:rsidP="00C75C26">
            <w:pPr>
              <w:jc w:val="center"/>
              <w:rPr>
                <w:rFonts w:ascii="Arial Narrow" w:hAnsi="Arial Narrow"/>
                <w:sz w:val="20"/>
                <w:lang w:val="en-US"/>
              </w:rPr>
            </w:pPr>
            <w:r w:rsidRPr="00E2771E">
              <w:rPr>
                <w:rFonts w:ascii="Arial Narrow" w:hAnsi="Arial Narrow"/>
                <w:sz w:val="20"/>
                <w:lang w:val="en-US"/>
              </w:rPr>
              <w:t xml:space="preserve">High, </w:t>
            </w:r>
            <w:proofErr w:type="spellStart"/>
            <w:r w:rsidRPr="00E2771E">
              <w:rPr>
                <w:rFonts w:ascii="Arial Narrow" w:hAnsi="Arial Narrow"/>
                <w:sz w:val="20"/>
                <w:lang w:val="en-US"/>
              </w:rPr>
              <w:t>favours</w:t>
            </w:r>
            <w:proofErr w:type="spellEnd"/>
            <w:r w:rsidRPr="00E2771E">
              <w:rPr>
                <w:rFonts w:ascii="Arial Narrow" w:hAnsi="Arial Narrow"/>
                <w:sz w:val="20"/>
                <w:lang w:val="en-US"/>
              </w:rPr>
              <w:t xml:space="preserve"> </w:t>
            </w:r>
            <w:proofErr w:type="spellStart"/>
            <w:r>
              <w:rPr>
                <w:rFonts w:ascii="Arial Narrow" w:hAnsi="Arial Narrow"/>
                <w:sz w:val="20"/>
                <w:lang w:val="en-US"/>
              </w:rPr>
              <w:t>nivolumab</w:t>
            </w:r>
            <w:proofErr w:type="spellEnd"/>
            <w:r>
              <w:rPr>
                <w:rFonts w:ascii="Arial Narrow" w:hAnsi="Arial Narrow"/>
                <w:sz w:val="20"/>
                <w:lang w:val="en-US"/>
              </w:rPr>
              <w:t xml:space="preserve"> plus </w:t>
            </w:r>
            <w:proofErr w:type="spellStart"/>
            <w:r>
              <w:rPr>
                <w:rFonts w:ascii="Arial Narrow" w:hAnsi="Arial Narrow"/>
                <w:sz w:val="20"/>
                <w:lang w:val="en-US"/>
              </w:rPr>
              <w:t>ipilimumab</w:t>
            </w:r>
            <w:proofErr w:type="spellEnd"/>
          </w:p>
        </w:tc>
      </w:tr>
      <w:tr w:rsidR="003E147C" w:rsidRPr="00E2771E" w:rsidTr="00DA5A53">
        <w:tc>
          <w:tcPr>
            <w:tcW w:w="1019" w:type="pct"/>
            <w:shd w:val="clear" w:color="auto" w:fill="auto"/>
            <w:vAlign w:val="center"/>
          </w:tcPr>
          <w:p w:rsidR="003E147C" w:rsidRPr="00040393" w:rsidRDefault="003E147C" w:rsidP="00D110BD">
            <w:pPr>
              <w:jc w:val="left"/>
              <w:rPr>
                <w:rFonts w:ascii="Arial Narrow" w:hAnsi="Arial Narrow"/>
                <w:sz w:val="20"/>
                <w:lang w:val="en-US"/>
              </w:rPr>
            </w:pPr>
            <w:r w:rsidRPr="00040393">
              <w:rPr>
                <w:rFonts w:ascii="Arial Narrow" w:hAnsi="Arial Narrow"/>
                <w:sz w:val="20"/>
                <w:lang w:val="en-US"/>
              </w:rPr>
              <w:t>Estimates of hazard ratios</w:t>
            </w:r>
          </w:p>
        </w:tc>
        <w:tc>
          <w:tcPr>
            <w:tcW w:w="2633" w:type="pct"/>
            <w:shd w:val="clear" w:color="auto" w:fill="auto"/>
            <w:vAlign w:val="center"/>
          </w:tcPr>
          <w:p w:rsidR="003E147C" w:rsidRPr="00040393" w:rsidRDefault="003E147C" w:rsidP="00D110BD">
            <w:pPr>
              <w:jc w:val="center"/>
              <w:rPr>
                <w:rFonts w:ascii="Arial Narrow" w:hAnsi="Arial Narrow"/>
                <w:sz w:val="20"/>
                <w:lang w:val="en-US"/>
              </w:rPr>
            </w:pPr>
            <w:r w:rsidRPr="00040393">
              <w:rPr>
                <w:rFonts w:ascii="Arial Narrow" w:hAnsi="Arial Narrow"/>
                <w:sz w:val="20"/>
                <w:lang w:val="en-US"/>
              </w:rPr>
              <w:t>PFS estimates from respective trial data: OS estimates derived by converting from PFS hazard ratios</w:t>
            </w:r>
          </w:p>
        </w:tc>
        <w:tc>
          <w:tcPr>
            <w:tcW w:w="1348" w:type="pct"/>
            <w:shd w:val="clear" w:color="auto" w:fill="auto"/>
            <w:vAlign w:val="center"/>
          </w:tcPr>
          <w:p w:rsidR="003E147C" w:rsidRPr="00040393" w:rsidRDefault="003E147C" w:rsidP="00D110BD">
            <w:pPr>
              <w:jc w:val="center"/>
              <w:rPr>
                <w:rFonts w:ascii="Arial Narrow" w:hAnsi="Arial Narrow"/>
                <w:sz w:val="20"/>
                <w:lang w:val="en-US"/>
              </w:rPr>
            </w:pPr>
            <w:r w:rsidRPr="00040393">
              <w:rPr>
                <w:rFonts w:ascii="Arial Narrow" w:hAnsi="Arial Narrow"/>
                <w:sz w:val="20"/>
                <w:lang w:val="en-US"/>
              </w:rPr>
              <w:t xml:space="preserve">High, </w:t>
            </w:r>
            <w:proofErr w:type="spellStart"/>
            <w:r w:rsidRPr="00040393">
              <w:rPr>
                <w:rFonts w:ascii="Arial Narrow" w:hAnsi="Arial Narrow"/>
                <w:sz w:val="20"/>
                <w:lang w:val="en-US"/>
              </w:rPr>
              <w:t>favours</w:t>
            </w:r>
            <w:proofErr w:type="spellEnd"/>
            <w:r w:rsidRPr="00040393">
              <w:rPr>
                <w:rFonts w:ascii="Arial Narrow" w:hAnsi="Arial Narrow"/>
                <w:sz w:val="20"/>
                <w:lang w:val="en-US"/>
              </w:rPr>
              <w:t xml:space="preserve"> </w:t>
            </w:r>
            <w:proofErr w:type="spellStart"/>
            <w:r w:rsidRPr="00040393">
              <w:rPr>
                <w:rFonts w:ascii="Arial Narrow" w:hAnsi="Arial Narrow"/>
                <w:sz w:val="20"/>
                <w:lang w:val="en-US"/>
              </w:rPr>
              <w:t>nivolumab</w:t>
            </w:r>
            <w:proofErr w:type="spellEnd"/>
            <w:r w:rsidRPr="00040393">
              <w:rPr>
                <w:rFonts w:ascii="Arial Narrow" w:hAnsi="Arial Narrow"/>
                <w:sz w:val="20"/>
                <w:lang w:val="en-US"/>
              </w:rPr>
              <w:t xml:space="preserve"> plus </w:t>
            </w:r>
            <w:proofErr w:type="spellStart"/>
            <w:r w:rsidRPr="00040393">
              <w:rPr>
                <w:rFonts w:ascii="Arial Narrow" w:hAnsi="Arial Narrow"/>
                <w:sz w:val="20"/>
                <w:lang w:val="en-US"/>
              </w:rPr>
              <w:t>ipilimumab</w:t>
            </w:r>
            <w:proofErr w:type="spellEnd"/>
          </w:p>
        </w:tc>
      </w:tr>
      <w:tr w:rsidR="008934F9" w:rsidRPr="00E2771E" w:rsidTr="00DA5A53">
        <w:tc>
          <w:tcPr>
            <w:tcW w:w="1019" w:type="pct"/>
            <w:shd w:val="clear" w:color="auto" w:fill="auto"/>
            <w:vAlign w:val="center"/>
          </w:tcPr>
          <w:p w:rsidR="008934F9" w:rsidRPr="00040393" w:rsidRDefault="008934F9" w:rsidP="00D110BD">
            <w:pPr>
              <w:jc w:val="left"/>
              <w:rPr>
                <w:rFonts w:ascii="Arial Narrow" w:hAnsi="Arial Narrow"/>
                <w:sz w:val="20"/>
                <w:lang w:val="en-US"/>
              </w:rPr>
            </w:pPr>
            <w:r w:rsidRPr="00040393">
              <w:rPr>
                <w:rFonts w:ascii="Arial Narrow" w:hAnsi="Arial Narrow"/>
                <w:sz w:val="20"/>
                <w:lang w:val="en-US"/>
              </w:rPr>
              <w:t>Application of HRs</w:t>
            </w:r>
          </w:p>
        </w:tc>
        <w:tc>
          <w:tcPr>
            <w:tcW w:w="2633" w:type="pct"/>
            <w:shd w:val="clear" w:color="auto" w:fill="auto"/>
            <w:vAlign w:val="center"/>
          </w:tcPr>
          <w:p w:rsidR="008934F9" w:rsidRPr="00040393" w:rsidRDefault="008934F9" w:rsidP="00D110BD">
            <w:pPr>
              <w:jc w:val="center"/>
              <w:rPr>
                <w:rFonts w:ascii="Arial Narrow" w:hAnsi="Arial Narrow"/>
                <w:sz w:val="20"/>
                <w:lang w:val="en-US"/>
              </w:rPr>
            </w:pPr>
            <w:r w:rsidRPr="00040393">
              <w:rPr>
                <w:rFonts w:ascii="Arial Narrow" w:hAnsi="Arial Narrow"/>
                <w:sz w:val="20"/>
              </w:rPr>
              <w:t>Application of hazard ratios for both PFS and OS</w:t>
            </w:r>
          </w:p>
        </w:tc>
        <w:tc>
          <w:tcPr>
            <w:tcW w:w="1348" w:type="pct"/>
            <w:shd w:val="clear" w:color="auto" w:fill="auto"/>
            <w:vAlign w:val="center"/>
          </w:tcPr>
          <w:p w:rsidR="008934F9" w:rsidRPr="00040393" w:rsidRDefault="008934F9" w:rsidP="00D110BD">
            <w:pPr>
              <w:jc w:val="center"/>
              <w:rPr>
                <w:rFonts w:ascii="Arial Narrow" w:hAnsi="Arial Narrow"/>
                <w:sz w:val="20"/>
                <w:lang w:val="en-US"/>
              </w:rPr>
            </w:pPr>
            <w:r w:rsidRPr="00040393">
              <w:rPr>
                <w:rFonts w:ascii="Arial Narrow" w:hAnsi="Arial Narrow"/>
                <w:sz w:val="20"/>
                <w:lang w:val="en-US"/>
              </w:rPr>
              <w:t xml:space="preserve">High, </w:t>
            </w:r>
            <w:proofErr w:type="spellStart"/>
            <w:r w:rsidRPr="00040393">
              <w:rPr>
                <w:rFonts w:ascii="Arial Narrow" w:hAnsi="Arial Narrow"/>
                <w:sz w:val="20"/>
                <w:lang w:val="en-US"/>
              </w:rPr>
              <w:t>favours</w:t>
            </w:r>
            <w:proofErr w:type="spellEnd"/>
            <w:r w:rsidRPr="00040393">
              <w:rPr>
                <w:rFonts w:ascii="Arial Narrow" w:hAnsi="Arial Narrow"/>
                <w:sz w:val="20"/>
                <w:lang w:val="en-US"/>
              </w:rPr>
              <w:t xml:space="preserve"> </w:t>
            </w:r>
            <w:proofErr w:type="spellStart"/>
            <w:r w:rsidRPr="00040393">
              <w:rPr>
                <w:rFonts w:ascii="Arial Narrow" w:hAnsi="Arial Narrow"/>
                <w:sz w:val="20"/>
                <w:lang w:val="en-US"/>
              </w:rPr>
              <w:t>nivolumab</w:t>
            </w:r>
            <w:proofErr w:type="spellEnd"/>
            <w:r w:rsidRPr="00040393">
              <w:rPr>
                <w:rFonts w:ascii="Arial Narrow" w:hAnsi="Arial Narrow"/>
                <w:sz w:val="20"/>
                <w:lang w:val="en-US"/>
              </w:rPr>
              <w:t xml:space="preserve"> plus </w:t>
            </w:r>
            <w:proofErr w:type="spellStart"/>
            <w:r w:rsidRPr="00040393">
              <w:rPr>
                <w:rFonts w:ascii="Arial Narrow" w:hAnsi="Arial Narrow"/>
                <w:sz w:val="20"/>
                <w:lang w:val="en-US"/>
              </w:rPr>
              <w:t>ipilimumab</w:t>
            </w:r>
            <w:proofErr w:type="spellEnd"/>
          </w:p>
        </w:tc>
      </w:tr>
      <w:tr w:rsidR="003E147C" w:rsidRPr="00E2771E" w:rsidTr="00DA5A53">
        <w:tc>
          <w:tcPr>
            <w:tcW w:w="1019" w:type="pct"/>
            <w:shd w:val="clear" w:color="auto" w:fill="auto"/>
            <w:vAlign w:val="center"/>
          </w:tcPr>
          <w:p w:rsidR="003E147C" w:rsidRPr="00040393" w:rsidRDefault="003E147C" w:rsidP="00D110BD">
            <w:pPr>
              <w:jc w:val="left"/>
              <w:rPr>
                <w:rFonts w:ascii="Arial Narrow" w:hAnsi="Arial Narrow"/>
                <w:sz w:val="20"/>
                <w:lang w:val="en-US"/>
              </w:rPr>
            </w:pPr>
            <w:r w:rsidRPr="00040393">
              <w:rPr>
                <w:rFonts w:ascii="Arial Narrow" w:hAnsi="Arial Narrow"/>
                <w:sz w:val="20"/>
                <w:lang w:val="en-US"/>
              </w:rPr>
              <w:t>Model structure</w:t>
            </w:r>
          </w:p>
        </w:tc>
        <w:tc>
          <w:tcPr>
            <w:tcW w:w="2633" w:type="pct"/>
            <w:shd w:val="clear" w:color="auto" w:fill="auto"/>
            <w:vAlign w:val="center"/>
          </w:tcPr>
          <w:p w:rsidR="003E147C" w:rsidRPr="00040393" w:rsidRDefault="003E147C" w:rsidP="00D110BD">
            <w:pPr>
              <w:jc w:val="center"/>
              <w:rPr>
                <w:rFonts w:ascii="Arial Narrow" w:hAnsi="Arial Narrow"/>
                <w:sz w:val="20"/>
                <w:lang w:val="en-US"/>
              </w:rPr>
            </w:pPr>
            <w:r w:rsidRPr="00040393">
              <w:rPr>
                <w:rFonts w:ascii="Arial Narrow" w:hAnsi="Arial Narrow"/>
                <w:sz w:val="20"/>
                <w:lang w:val="en-US"/>
              </w:rPr>
              <w:t>Splitting overall survival into pre-progression overall survival and post-progression survival</w:t>
            </w:r>
          </w:p>
        </w:tc>
        <w:tc>
          <w:tcPr>
            <w:tcW w:w="1348" w:type="pct"/>
            <w:shd w:val="clear" w:color="auto" w:fill="auto"/>
            <w:vAlign w:val="center"/>
          </w:tcPr>
          <w:p w:rsidR="003E147C" w:rsidRPr="00040393" w:rsidRDefault="003E147C" w:rsidP="008934F9">
            <w:pPr>
              <w:jc w:val="center"/>
              <w:rPr>
                <w:rFonts w:ascii="Arial Narrow" w:hAnsi="Arial Narrow"/>
                <w:sz w:val="20"/>
                <w:lang w:val="en-US"/>
              </w:rPr>
            </w:pPr>
            <w:r w:rsidRPr="00040393">
              <w:rPr>
                <w:rFonts w:ascii="Arial Narrow" w:hAnsi="Arial Narrow"/>
                <w:sz w:val="20"/>
                <w:lang w:val="en-US"/>
              </w:rPr>
              <w:t>Unclear</w:t>
            </w:r>
          </w:p>
        </w:tc>
      </w:tr>
      <w:tr w:rsidR="003E147C" w:rsidRPr="00E2771E" w:rsidTr="00DA5A53">
        <w:tc>
          <w:tcPr>
            <w:tcW w:w="1019" w:type="pct"/>
            <w:shd w:val="clear" w:color="auto" w:fill="auto"/>
            <w:vAlign w:val="center"/>
          </w:tcPr>
          <w:p w:rsidR="003E147C" w:rsidRPr="00040393" w:rsidRDefault="003E147C" w:rsidP="00D110BD">
            <w:pPr>
              <w:jc w:val="left"/>
              <w:rPr>
                <w:rFonts w:ascii="Arial Narrow" w:hAnsi="Arial Narrow"/>
                <w:sz w:val="20"/>
                <w:lang w:val="en-US"/>
              </w:rPr>
            </w:pPr>
            <w:r w:rsidRPr="00040393">
              <w:rPr>
                <w:rFonts w:ascii="Arial Narrow" w:hAnsi="Arial Narrow"/>
                <w:sz w:val="20"/>
                <w:lang w:val="en-US"/>
              </w:rPr>
              <w:t>Extrapolation curve</w:t>
            </w:r>
            <w:r w:rsidR="00F96679" w:rsidRPr="00040393">
              <w:rPr>
                <w:rFonts w:ascii="Arial Narrow" w:hAnsi="Arial Narrow"/>
                <w:sz w:val="20"/>
                <w:lang w:val="en-US"/>
              </w:rPr>
              <w:t>s</w:t>
            </w:r>
          </w:p>
        </w:tc>
        <w:tc>
          <w:tcPr>
            <w:tcW w:w="2633" w:type="pct"/>
            <w:shd w:val="clear" w:color="auto" w:fill="auto"/>
            <w:vAlign w:val="center"/>
          </w:tcPr>
          <w:p w:rsidR="003E147C" w:rsidRPr="00040393" w:rsidRDefault="003E147C" w:rsidP="00C75C26">
            <w:pPr>
              <w:jc w:val="center"/>
              <w:rPr>
                <w:rFonts w:ascii="Arial Narrow" w:hAnsi="Arial Narrow"/>
                <w:sz w:val="20"/>
                <w:lang w:val="en-US"/>
              </w:rPr>
            </w:pPr>
            <w:r w:rsidRPr="00040393">
              <w:rPr>
                <w:rFonts w:ascii="Arial Narrow" w:hAnsi="Arial Narrow"/>
                <w:sz w:val="20"/>
                <w:lang w:val="en-US"/>
              </w:rPr>
              <w:t>Log-logistic curves for PFS and OS</w:t>
            </w:r>
          </w:p>
        </w:tc>
        <w:tc>
          <w:tcPr>
            <w:tcW w:w="1348" w:type="pct"/>
            <w:shd w:val="clear" w:color="auto" w:fill="auto"/>
            <w:vAlign w:val="center"/>
          </w:tcPr>
          <w:p w:rsidR="003E147C" w:rsidRPr="00040393" w:rsidRDefault="003E147C" w:rsidP="00D110BD">
            <w:pPr>
              <w:jc w:val="center"/>
              <w:rPr>
                <w:rFonts w:ascii="Arial Narrow" w:hAnsi="Arial Narrow"/>
                <w:sz w:val="20"/>
                <w:lang w:val="en-US"/>
              </w:rPr>
            </w:pPr>
            <w:r w:rsidRPr="00040393">
              <w:rPr>
                <w:rFonts w:ascii="Arial Narrow" w:hAnsi="Arial Narrow"/>
                <w:sz w:val="20"/>
                <w:lang w:val="en-US"/>
              </w:rPr>
              <w:t xml:space="preserve">High, </w:t>
            </w:r>
            <w:proofErr w:type="spellStart"/>
            <w:r w:rsidRPr="00040393">
              <w:rPr>
                <w:rFonts w:ascii="Arial Narrow" w:hAnsi="Arial Narrow"/>
                <w:sz w:val="20"/>
                <w:lang w:val="en-US"/>
              </w:rPr>
              <w:t>favours</w:t>
            </w:r>
            <w:proofErr w:type="spellEnd"/>
            <w:r w:rsidRPr="00040393">
              <w:rPr>
                <w:rFonts w:ascii="Arial Narrow" w:hAnsi="Arial Narrow"/>
                <w:sz w:val="20"/>
                <w:lang w:val="en-US"/>
              </w:rPr>
              <w:t xml:space="preserve"> </w:t>
            </w:r>
            <w:proofErr w:type="spellStart"/>
            <w:r w:rsidRPr="00040393">
              <w:rPr>
                <w:rFonts w:ascii="Arial Narrow" w:hAnsi="Arial Narrow"/>
                <w:sz w:val="20"/>
                <w:lang w:val="en-US"/>
              </w:rPr>
              <w:t>nivolumab</w:t>
            </w:r>
            <w:proofErr w:type="spellEnd"/>
            <w:r w:rsidRPr="00040393">
              <w:rPr>
                <w:rFonts w:ascii="Arial Narrow" w:hAnsi="Arial Narrow"/>
                <w:sz w:val="20"/>
                <w:lang w:val="en-US"/>
              </w:rPr>
              <w:t xml:space="preserve"> plus </w:t>
            </w:r>
            <w:proofErr w:type="spellStart"/>
            <w:r w:rsidRPr="00040393">
              <w:rPr>
                <w:rFonts w:ascii="Arial Narrow" w:hAnsi="Arial Narrow"/>
                <w:sz w:val="20"/>
                <w:lang w:val="en-US"/>
              </w:rPr>
              <w:t>ipilimumab</w:t>
            </w:r>
            <w:proofErr w:type="spellEnd"/>
          </w:p>
        </w:tc>
      </w:tr>
      <w:tr w:rsidR="008934F9" w:rsidRPr="00E2771E" w:rsidTr="00DA5A53">
        <w:tc>
          <w:tcPr>
            <w:tcW w:w="1019" w:type="pct"/>
            <w:shd w:val="clear" w:color="auto" w:fill="auto"/>
            <w:vAlign w:val="center"/>
          </w:tcPr>
          <w:p w:rsidR="008934F9" w:rsidRPr="00040393" w:rsidRDefault="008934F9" w:rsidP="00D110BD">
            <w:pPr>
              <w:jc w:val="left"/>
              <w:rPr>
                <w:rFonts w:ascii="Arial Narrow" w:hAnsi="Arial Narrow"/>
                <w:sz w:val="20"/>
                <w:lang w:val="en-US"/>
              </w:rPr>
            </w:pPr>
            <w:r w:rsidRPr="00040393">
              <w:rPr>
                <w:rFonts w:ascii="Arial Narrow" w:hAnsi="Arial Narrow"/>
                <w:sz w:val="20"/>
                <w:lang w:val="en-US"/>
              </w:rPr>
              <w:t>Utility values</w:t>
            </w:r>
          </w:p>
        </w:tc>
        <w:tc>
          <w:tcPr>
            <w:tcW w:w="2633" w:type="pct"/>
            <w:shd w:val="clear" w:color="auto" w:fill="auto"/>
            <w:vAlign w:val="center"/>
          </w:tcPr>
          <w:p w:rsidR="008934F9" w:rsidRPr="00040393" w:rsidRDefault="008934F9" w:rsidP="00C75C26">
            <w:pPr>
              <w:jc w:val="center"/>
              <w:rPr>
                <w:rFonts w:ascii="Arial Narrow" w:hAnsi="Arial Narrow"/>
                <w:sz w:val="20"/>
                <w:lang w:val="en-US"/>
              </w:rPr>
            </w:pPr>
            <w:r w:rsidRPr="00040393">
              <w:rPr>
                <w:rFonts w:ascii="Arial Narrow" w:hAnsi="Arial Narrow"/>
                <w:sz w:val="20"/>
                <w:lang w:val="en-US"/>
              </w:rPr>
              <w:t>High values for model health states, and no utility effects for AEs</w:t>
            </w:r>
          </w:p>
        </w:tc>
        <w:tc>
          <w:tcPr>
            <w:tcW w:w="1348" w:type="pct"/>
            <w:shd w:val="clear" w:color="auto" w:fill="auto"/>
            <w:vAlign w:val="center"/>
          </w:tcPr>
          <w:p w:rsidR="008934F9" w:rsidRPr="00040393" w:rsidRDefault="008934F9" w:rsidP="00D110BD">
            <w:pPr>
              <w:jc w:val="center"/>
              <w:rPr>
                <w:rFonts w:ascii="Arial Narrow" w:hAnsi="Arial Narrow"/>
                <w:sz w:val="20"/>
                <w:lang w:val="en-US"/>
              </w:rPr>
            </w:pPr>
            <w:r w:rsidRPr="00040393">
              <w:rPr>
                <w:rFonts w:ascii="Arial Narrow" w:hAnsi="Arial Narrow"/>
                <w:sz w:val="20"/>
                <w:lang w:val="en-US"/>
              </w:rPr>
              <w:t xml:space="preserve">High, </w:t>
            </w:r>
            <w:proofErr w:type="spellStart"/>
            <w:r w:rsidRPr="00040393">
              <w:rPr>
                <w:rFonts w:ascii="Arial Narrow" w:hAnsi="Arial Narrow"/>
                <w:sz w:val="20"/>
                <w:lang w:val="en-US"/>
              </w:rPr>
              <w:t>favours</w:t>
            </w:r>
            <w:proofErr w:type="spellEnd"/>
            <w:r w:rsidRPr="00040393">
              <w:rPr>
                <w:rFonts w:ascii="Arial Narrow" w:hAnsi="Arial Narrow"/>
                <w:sz w:val="20"/>
                <w:lang w:val="en-US"/>
              </w:rPr>
              <w:t xml:space="preserve"> </w:t>
            </w:r>
            <w:proofErr w:type="spellStart"/>
            <w:r w:rsidRPr="00040393">
              <w:rPr>
                <w:rFonts w:ascii="Arial Narrow" w:hAnsi="Arial Narrow"/>
                <w:sz w:val="20"/>
                <w:lang w:val="en-US"/>
              </w:rPr>
              <w:t>nivolumab</w:t>
            </w:r>
            <w:proofErr w:type="spellEnd"/>
            <w:r w:rsidRPr="00040393">
              <w:rPr>
                <w:rFonts w:ascii="Arial Narrow" w:hAnsi="Arial Narrow"/>
                <w:sz w:val="20"/>
                <w:lang w:val="en-US"/>
              </w:rPr>
              <w:t xml:space="preserve"> plus </w:t>
            </w:r>
            <w:proofErr w:type="spellStart"/>
            <w:r w:rsidRPr="00040393">
              <w:rPr>
                <w:rFonts w:ascii="Arial Narrow" w:hAnsi="Arial Narrow"/>
                <w:sz w:val="20"/>
                <w:lang w:val="en-US"/>
              </w:rPr>
              <w:t>ipilimumab</w:t>
            </w:r>
            <w:proofErr w:type="spellEnd"/>
          </w:p>
        </w:tc>
      </w:tr>
    </w:tbl>
    <w:p w:rsidR="003E147C" w:rsidRDefault="003E147C" w:rsidP="005D044D">
      <w:pPr>
        <w:pStyle w:val="TableFooter"/>
        <w:ind w:firstLine="720"/>
      </w:pPr>
      <w:r w:rsidRPr="00D110BD">
        <w:t>Source: compiled during the evaluation</w:t>
      </w:r>
      <w:r>
        <w:t>.</w:t>
      </w:r>
    </w:p>
    <w:p w:rsidR="003E147C" w:rsidRPr="00D110BD" w:rsidRDefault="003E147C" w:rsidP="005D044D">
      <w:pPr>
        <w:pStyle w:val="TableFooter"/>
        <w:ind w:firstLine="720"/>
      </w:pPr>
      <w:r>
        <w:t>OS = over</w:t>
      </w:r>
      <w:r w:rsidR="00DA5A53">
        <w:t>all survival; PFS = progression-</w:t>
      </w:r>
      <w:r>
        <w:t>free survival</w:t>
      </w:r>
    </w:p>
    <w:p w:rsidR="003E147C" w:rsidRPr="00275C5A" w:rsidRDefault="003E147C" w:rsidP="00DA5A53"/>
    <w:p w:rsidR="00971C8A" w:rsidRPr="00971C8A" w:rsidRDefault="003E147C" w:rsidP="003E147C">
      <w:pPr>
        <w:pStyle w:val="ListParagraph"/>
        <w:numPr>
          <w:ilvl w:val="1"/>
          <w:numId w:val="6"/>
        </w:numPr>
      </w:pPr>
      <w:r w:rsidRPr="00971C8A">
        <w:t>The model relie</w:t>
      </w:r>
      <w:r w:rsidR="00346A00">
        <w:t>d</w:t>
      </w:r>
      <w:r w:rsidR="00971C8A">
        <w:t xml:space="preserve"> </w:t>
      </w:r>
      <w:r w:rsidRPr="00971C8A">
        <w:t xml:space="preserve">on overall survival hazard ratios derived from </w:t>
      </w:r>
      <w:r w:rsidR="00DA5A53">
        <w:t>progression-</w:t>
      </w:r>
      <w:r w:rsidR="00971C8A">
        <w:t xml:space="preserve">free survival hazard ratios. This conversion was based on </w:t>
      </w:r>
      <w:r w:rsidRPr="00971C8A">
        <w:t xml:space="preserve">a Pearson correlation </w:t>
      </w:r>
      <w:r w:rsidRPr="00B2403F">
        <w:t>coefficient of PFS and OS hazard ratios in melanoma trials</w:t>
      </w:r>
      <w:r w:rsidR="00971C8A" w:rsidRPr="00B2403F">
        <w:t xml:space="preserve"> sourced from Flaherty 2014.</w:t>
      </w:r>
      <w:r w:rsidR="00B2403F" w:rsidRPr="00B2403F">
        <w:t xml:space="preserve"> The PSCR (p.2) asserted that evidence from Flaherty et al </w:t>
      </w:r>
      <w:proofErr w:type="gramStart"/>
      <w:r w:rsidR="00B2403F" w:rsidRPr="00B2403F">
        <w:t>2014,</w:t>
      </w:r>
      <w:proofErr w:type="gramEnd"/>
      <w:r w:rsidR="00B2403F" w:rsidRPr="00B2403F">
        <w:t xml:space="preserve"> and emerging data from PD-1 immunotherapy clinical trials (CA209-066 and KN-006) support a positive link between PFS and OS. The ESC considered that the evidence used in the submission to support the correlation between PFS and OS in melanoma (Flaherty et al 2014), had several methodological limitations that biased the analysis in favour of a correlation.</w:t>
      </w:r>
    </w:p>
    <w:p w:rsidR="00971C8A" w:rsidRPr="00971C8A" w:rsidRDefault="00971C8A" w:rsidP="00971C8A"/>
    <w:p w:rsidR="003E147C" w:rsidRPr="00DC5D13" w:rsidRDefault="003E147C" w:rsidP="003E147C">
      <w:pPr>
        <w:pStyle w:val="ListParagraph"/>
        <w:numPr>
          <w:ilvl w:val="1"/>
          <w:numId w:val="6"/>
        </w:numPr>
      </w:pPr>
      <w:r w:rsidRPr="00005302">
        <w:t>The Pearson correlation is only a measure of the variation between data points and the line of best fit. It is not</w:t>
      </w:r>
      <w:r w:rsidR="00804D03">
        <w:t>,</w:t>
      </w:r>
      <w:r w:rsidRPr="00005302">
        <w:t xml:space="preserve"> and cannot be used as</w:t>
      </w:r>
      <w:r w:rsidR="00804D03">
        <w:t>,</w:t>
      </w:r>
      <w:r w:rsidRPr="00005302">
        <w:t xml:space="preserve"> the slope of the line of best fit. The submission misinterpreted the Pearson coefficient as a slope of log transformed line</w:t>
      </w:r>
      <w:r>
        <w:rPr>
          <w:i/>
        </w:rPr>
        <w:t xml:space="preserve"> </w:t>
      </w:r>
      <w:r w:rsidRPr="00005302">
        <w:t xml:space="preserve">of best fit. This misinterpretation </w:t>
      </w:r>
      <w:r w:rsidR="00804D03">
        <w:t>wa</w:t>
      </w:r>
      <w:r w:rsidRPr="00005302">
        <w:t>s the critical component of the submission’s strategy to convert PFS hazard ratios to OS hazard ratios, and so the generated OS hazard ratios were largely deemed invalid.</w:t>
      </w:r>
      <w:r w:rsidR="004E2050">
        <w:t xml:space="preserve"> </w:t>
      </w:r>
      <w:r w:rsidR="004E2050" w:rsidRPr="00DC5D13">
        <w:t xml:space="preserve">The PSCR (p.5) </w:t>
      </w:r>
      <w:r w:rsidR="007658ED" w:rsidRPr="00DC5D13">
        <w:t>provided a recalculated regression line from the Pearson coefficient data of Flaherty et al 2014, which the sponsor claim</w:t>
      </w:r>
      <w:r w:rsidR="00B538DE" w:rsidRPr="00DC5D13">
        <w:t>ed was</w:t>
      </w:r>
      <w:r w:rsidR="007658ED" w:rsidRPr="00DC5D13">
        <w:t xml:space="preserve"> a 4-5% lower factor compa</w:t>
      </w:r>
      <w:r w:rsidR="009A14F7">
        <w:t>red to using the correlation co</w:t>
      </w:r>
      <w:r w:rsidR="009A14F7">
        <w:noBreakHyphen/>
      </w:r>
      <w:r w:rsidR="007658ED" w:rsidRPr="00DC5D13">
        <w:t>efficient and result</w:t>
      </w:r>
      <w:r w:rsidR="00B538DE" w:rsidRPr="00DC5D13">
        <w:t>ed</w:t>
      </w:r>
      <w:r w:rsidR="007658ED" w:rsidRPr="00DC5D13">
        <w:t xml:space="preserve"> in marginally higher ICERs.</w:t>
      </w:r>
    </w:p>
    <w:p w:rsidR="003E147C" w:rsidRPr="00DC5D13" w:rsidRDefault="003E147C" w:rsidP="00C75C26"/>
    <w:p w:rsidR="003E147C" w:rsidRPr="00005302" w:rsidRDefault="003E147C" w:rsidP="003E147C">
      <w:pPr>
        <w:pStyle w:val="ListParagraph"/>
        <w:numPr>
          <w:ilvl w:val="1"/>
          <w:numId w:val="6"/>
        </w:numPr>
      </w:pPr>
      <w:r>
        <w:t>The submission also relied</w:t>
      </w:r>
      <w:r w:rsidRPr="009548E3">
        <w:t xml:space="preserve"> on the overall survival curve of </w:t>
      </w:r>
      <w:proofErr w:type="spellStart"/>
      <w:r w:rsidRPr="009548E3">
        <w:t>nivolumab</w:t>
      </w:r>
      <w:proofErr w:type="spellEnd"/>
      <w:r w:rsidRPr="009548E3">
        <w:t xml:space="preserve"> monotherapy from CA209-066 to populate overall survival curves for all treatments.</w:t>
      </w:r>
      <w:r>
        <w:t xml:space="preserve"> </w:t>
      </w:r>
      <w:r w:rsidRPr="00005302">
        <w:t xml:space="preserve">The PBAC had expressed concerns regarding this extrapolation in the July 2015 </w:t>
      </w:r>
      <w:r w:rsidRPr="006E3E7D">
        <w:t>Meeting (</w:t>
      </w:r>
      <w:r w:rsidR="006E3E7D" w:rsidRPr="006E3E7D">
        <w:t xml:space="preserve">PBAC July 2015 </w:t>
      </w:r>
      <w:proofErr w:type="spellStart"/>
      <w:r w:rsidR="006E3E7D" w:rsidRPr="006E3E7D">
        <w:t>nivolumab</w:t>
      </w:r>
      <w:proofErr w:type="spellEnd"/>
      <w:r w:rsidR="006E3E7D" w:rsidRPr="006E3E7D">
        <w:t xml:space="preserve"> minutes, </w:t>
      </w:r>
      <w:r w:rsidRPr="006E3E7D">
        <w:t xml:space="preserve">paragraph 7.5). </w:t>
      </w:r>
      <w:r w:rsidR="00651FF6" w:rsidRPr="006E3E7D">
        <w:t>Notably, the model did not use</w:t>
      </w:r>
      <w:r w:rsidR="00651FF6" w:rsidRPr="00005302">
        <w:t xml:space="preserve"> Kaplan Meier trial-based data followed by extrapolated curves.</w:t>
      </w:r>
    </w:p>
    <w:p w:rsidR="003E147C" w:rsidRPr="00124B44" w:rsidRDefault="003E147C" w:rsidP="00C75C26">
      <w:pPr>
        <w:rPr>
          <w:i/>
        </w:rPr>
      </w:pPr>
    </w:p>
    <w:p w:rsidR="003E147C" w:rsidRPr="00005302" w:rsidRDefault="003C0410" w:rsidP="003E147C">
      <w:pPr>
        <w:pStyle w:val="ListParagraph"/>
        <w:numPr>
          <w:ilvl w:val="1"/>
          <w:numId w:val="6"/>
        </w:numPr>
      </w:pPr>
      <w:r w:rsidRPr="00005302">
        <w:t xml:space="preserve">The submission also maintained the same time horizon as the </w:t>
      </w:r>
      <w:proofErr w:type="spellStart"/>
      <w:r w:rsidRPr="00005302">
        <w:t>nivolumab</w:t>
      </w:r>
      <w:proofErr w:type="spellEnd"/>
      <w:r w:rsidRPr="00005302">
        <w:t xml:space="preserve"> monotherapy model, 10 years, which the PBAC did not consider to be strongly supported (paragraph 6</w:t>
      </w:r>
      <w:r w:rsidR="00124B44" w:rsidRPr="00005302">
        <w:t xml:space="preserve">.36 of the July 2015 Minutes). </w:t>
      </w:r>
      <w:r w:rsidRPr="00005302">
        <w:t xml:space="preserve">The submission did </w:t>
      </w:r>
      <w:r w:rsidR="00BF4F88" w:rsidRPr="00005302">
        <w:t>not provide</w:t>
      </w:r>
      <w:r w:rsidRPr="00005302">
        <w:t xml:space="preserve"> additional </w:t>
      </w:r>
      <w:r w:rsidR="00BF4F88" w:rsidRPr="00005302">
        <w:t>support</w:t>
      </w:r>
      <w:r w:rsidRPr="00005302">
        <w:t xml:space="preserve"> for this model duration, and the model remained sensitive to the </w:t>
      </w:r>
      <w:r w:rsidRPr="00005302">
        <w:lastRenderedPageBreak/>
        <w:t>time horizon</w:t>
      </w:r>
      <w:r w:rsidR="00124B44" w:rsidRPr="00005302">
        <w:t>.</w:t>
      </w:r>
    </w:p>
    <w:p w:rsidR="003E147C" w:rsidRPr="003F0422" w:rsidRDefault="003E147C" w:rsidP="00C75C26"/>
    <w:p w:rsidR="003E147C" w:rsidRPr="003F0422" w:rsidRDefault="003E147C" w:rsidP="00603976">
      <w:pPr>
        <w:pStyle w:val="ListParagraph"/>
        <w:numPr>
          <w:ilvl w:val="1"/>
          <w:numId w:val="6"/>
        </w:numPr>
      </w:pPr>
      <w:r w:rsidRPr="00005302">
        <w:t xml:space="preserve">The length of the maintenance phase of </w:t>
      </w:r>
      <w:proofErr w:type="spellStart"/>
      <w:r w:rsidRPr="00005302">
        <w:t>nivolumab</w:t>
      </w:r>
      <w:proofErr w:type="spellEnd"/>
      <w:r w:rsidRPr="00005302">
        <w:t xml:space="preserve"> plus </w:t>
      </w:r>
      <w:proofErr w:type="spellStart"/>
      <w:r w:rsidRPr="00005302">
        <w:t>ipilimumab</w:t>
      </w:r>
      <w:proofErr w:type="spellEnd"/>
      <w:r w:rsidRPr="00005302">
        <w:t xml:space="preserve"> in the economic model assumed only 7 doses of </w:t>
      </w:r>
      <w:proofErr w:type="spellStart"/>
      <w:r w:rsidRPr="00005302">
        <w:t>nivolumab</w:t>
      </w:r>
      <w:proofErr w:type="spellEnd"/>
      <w:r w:rsidRPr="00005302">
        <w:t>, compared to 16.</w:t>
      </w:r>
      <w:r w:rsidR="00231ADF" w:rsidRPr="00005302">
        <w:t xml:space="preserve">65 </w:t>
      </w:r>
      <w:r w:rsidRPr="00005302">
        <w:t>in the financial estimates. This significantly underestimated incremental costs in the model.</w:t>
      </w:r>
      <w:r w:rsidR="00603976" w:rsidRPr="00603976">
        <w:t xml:space="preserve"> The PSCR (p.5) noted that this was also changed in the revised </w:t>
      </w:r>
      <w:r w:rsidR="00603976">
        <w:t>economic evaluation</w:t>
      </w:r>
      <w:r w:rsidR="00603976" w:rsidRPr="00603976">
        <w:t xml:space="preserve"> to reflect the maximum mean duration of </w:t>
      </w:r>
      <w:proofErr w:type="spellStart"/>
      <w:r w:rsidR="00603976" w:rsidRPr="00603976">
        <w:t>nivolumab</w:t>
      </w:r>
      <w:proofErr w:type="spellEnd"/>
      <w:r w:rsidR="00603976" w:rsidRPr="00603976">
        <w:t xml:space="preserve"> monotherapy in CA209-003, which was the basis of the financial estimates.</w:t>
      </w:r>
    </w:p>
    <w:p w:rsidR="003E147C" w:rsidRPr="003F0422" w:rsidRDefault="003E147C" w:rsidP="00C75C26"/>
    <w:p w:rsidR="003E147C" w:rsidRPr="00005302" w:rsidRDefault="003E147C" w:rsidP="00E8194D">
      <w:pPr>
        <w:pStyle w:val="ListParagraph"/>
        <w:numPr>
          <w:ilvl w:val="1"/>
          <w:numId w:val="6"/>
        </w:numPr>
      </w:pPr>
      <w:r w:rsidRPr="00005302">
        <w:t>The submission stated that utility values were derived from CA209-067 EQ-5D data, but the clinica</w:t>
      </w:r>
      <w:r w:rsidR="00124B44" w:rsidRPr="00005302">
        <w:t>l study report did not mention</w:t>
      </w:r>
      <w:r w:rsidRPr="00005302">
        <w:t xml:space="preserve"> EQ-5D results. The utility values in the model were similar to the </w:t>
      </w:r>
      <w:proofErr w:type="spellStart"/>
      <w:r w:rsidRPr="00005302">
        <w:t>nivolumab</w:t>
      </w:r>
      <w:proofErr w:type="spellEnd"/>
      <w:r w:rsidRPr="00005302">
        <w:t xml:space="preserve"> monotherapy submission, which the PBAC had considered to be high for melanoma patients (July 2015 PBAC Minutes, paragraph 7.5). Since the safety claim of </w:t>
      </w:r>
      <w:proofErr w:type="spellStart"/>
      <w:r w:rsidRPr="00005302">
        <w:t>nivolumab</w:t>
      </w:r>
      <w:proofErr w:type="spellEnd"/>
      <w:r w:rsidRPr="00005302">
        <w:t xml:space="preserve"> plus </w:t>
      </w:r>
      <w:proofErr w:type="spellStart"/>
      <w:r w:rsidRPr="00005302">
        <w:t>ipilimumab</w:t>
      </w:r>
      <w:proofErr w:type="spellEnd"/>
      <w:r w:rsidRPr="00005302">
        <w:t xml:space="preserve"> </w:t>
      </w:r>
      <w:r w:rsidR="00804D03">
        <w:t>wa</w:t>
      </w:r>
      <w:r w:rsidRPr="00005302">
        <w:t>s one of inferior safety, the incorporated utility values favour</w:t>
      </w:r>
      <w:r w:rsidR="00804D03">
        <w:t>ed</w:t>
      </w:r>
      <w:r w:rsidRPr="00005302">
        <w:t xml:space="preserve"> </w:t>
      </w:r>
      <w:proofErr w:type="spellStart"/>
      <w:r w:rsidRPr="00005302">
        <w:t>nivolumab</w:t>
      </w:r>
      <w:proofErr w:type="spellEnd"/>
      <w:r w:rsidRPr="00005302">
        <w:t xml:space="preserve"> plus </w:t>
      </w:r>
      <w:proofErr w:type="spellStart"/>
      <w:r w:rsidRPr="00005302">
        <w:t>ipilimumab</w:t>
      </w:r>
      <w:proofErr w:type="spellEnd"/>
      <w:r w:rsidRPr="00005302">
        <w:t xml:space="preserve"> treatment</w:t>
      </w:r>
      <w:r w:rsidR="003C0410" w:rsidRPr="00005302">
        <w:t>.</w:t>
      </w:r>
      <w:r w:rsidR="00E8194D">
        <w:t xml:space="preserve"> The ESC also noted that a</w:t>
      </w:r>
      <w:r w:rsidR="00E8194D" w:rsidRPr="00E8194D">
        <w:t xml:space="preserve">dverse event costs were included in the model, but not associated </w:t>
      </w:r>
      <w:proofErr w:type="spellStart"/>
      <w:r w:rsidR="00E8194D" w:rsidRPr="00E8194D">
        <w:t>disutilities</w:t>
      </w:r>
      <w:proofErr w:type="spellEnd"/>
      <w:r w:rsidR="00E8194D" w:rsidRPr="00E8194D">
        <w:t>.</w:t>
      </w:r>
    </w:p>
    <w:p w:rsidR="003E147C" w:rsidRPr="00094BBB" w:rsidRDefault="003E147C" w:rsidP="00C75C26">
      <w:pPr>
        <w:rPr>
          <w:i/>
        </w:rPr>
      </w:pPr>
    </w:p>
    <w:p w:rsidR="003E147C" w:rsidRPr="00005302" w:rsidRDefault="003E147C" w:rsidP="003E147C">
      <w:pPr>
        <w:pStyle w:val="ListParagraph"/>
        <w:numPr>
          <w:ilvl w:val="1"/>
          <w:numId w:val="6"/>
        </w:numPr>
      </w:pPr>
      <w:r>
        <w:t>The table below presents the results of the economic evaluation</w:t>
      </w:r>
      <w:r w:rsidR="00231ADF">
        <w:t xml:space="preserve"> for all three comparisons – versus </w:t>
      </w:r>
      <w:proofErr w:type="spellStart"/>
      <w:r w:rsidR="00231ADF">
        <w:t>ipilimumab</w:t>
      </w:r>
      <w:proofErr w:type="spellEnd"/>
      <w:r w:rsidR="00231ADF">
        <w:t xml:space="preserve">, versus </w:t>
      </w:r>
      <w:proofErr w:type="spellStart"/>
      <w:r w:rsidR="00231ADF">
        <w:t>nivolumab</w:t>
      </w:r>
      <w:proofErr w:type="spellEnd"/>
      <w:r w:rsidR="00231ADF">
        <w:t xml:space="preserve"> and versus </w:t>
      </w:r>
      <w:proofErr w:type="spellStart"/>
      <w:r w:rsidR="00231ADF">
        <w:t>pembrolizumab</w:t>
      </w:r>
      <w:proofErr w:type="spellEnd"/>
      <w:r>
        <w:t>.</w:t>
      </w:r>
      <w:r w:rsidR="0095515C">
        <w:t xml:space="preserve"> </w:t>
      </w:r>
      <w:r w:rsidR="00B930FC" w:rsidRPr="00005302">
        <w:t xml:space="preserve">All costs </w:t>
      </w:r>
      <w:r w:rsidR="00804D03">
        <w:t>we</w:t>
      </w:r>
      <w:r w:rsidR="00B930FC" w:rsidRPr="00005302">
        <w:t xml:space="preserve">re based on the drug costs used in the submission and </w:t>
      </w:r>
      <w:r w:rsidR="00804D03">
        <w:t>were</w:t>
      </w:r>
      <w:r w:rsidR="00B930FC" w:rsidRPr="00005302">
        <w:t xml:space="preserve"> not altered to reflect the July 1 2015 </w:t>
      </w:r>
      <w:r w:rsidR="005525D6" w:rsidRPr="00005302">
        <w:t xml:space="preserve">Sixth Community Pharmacy Agreement (6CPA) </w:t>
      </w:r>
      <w:r w:rsidR="00104C87" w:rsidRPr="00005302">
        <w:t>changes</w:t>
      </w:r>
      <w:r w:rsidR="00B930FC" w:rsidRPr="00005302">
        <w:t xml:space="preserve"> and DPMA costs. Inclusion of these alterations to drug cost would have </w:t>
      </w:r>
      <w:r w:rsidR="00A14C38">
        <w:t xml:space="preserve">had </w:t>
      </w:r>
      <w:r w:rsidR="00B930FC" w:rsidRPr="00005302">
        <w:t>mi</w:t>
      </w:r>
      <w:r w:rsidR="00AD115E">
        <w:t>nimal impact on model results.</w:t>
      </w:r>
    </w:p>
    <w:p w:rsidR="003E147C" w:rsidRDefault="003E147C" w:rsidP="00D110BD">
      <w:pPr>
        <w:widowControl/>
        <w:rPr>
          <w:szCs w:val="22"/>
        </w:rPr>
      </w:pPr>
    </w:p>
    <w:p w:rsidR="00F34833" w:rsidRDefault="003E147C" w:rsidP="005D044D">
      <w:pPr>
        <w:ind w:firstLine="720"/>
        <w:rPr>
          <w:rStyle w:val="CommentReference"/>
        </w:rPr>
      </w:pPr>
      <w:r>
        <w:rPr>
          <w:rStyle w:val="CommentReference"/>
        </w:rPr>
        <w:t xml:space="preserve">Table </w:t>
      </w:r>
      <w:r w:rsidR="005F4E5C">
        <w:rPr>
          <w:rStyle w:val="CommentReference"/>
        </w:rPr>
        <w:t>1</w:t>
      </w:r>
      <w:r w:rsidR="00503AAF">
        <w:rPr>
          <w:rStyle w:val="CommentReference"/>
        </w:rPr>
        <w:t>4</w:t>
      </w:r>
      <w:r>
        <w:rPr>
          <w:rStyle w:val="CommentReference"/>
        </w:rPr>
        <w:t>:</w:t>
      </w:r>
      <w:r w:rsidRPr="001222FC">
        <w:rPr>
          <w:rStyle w:val="CommentReference"/>
        </w:rPr>
        <w:t xml:space="preserve"> Results of the economic evaluation</w:t>
      </w:r>
    </w:p>
    <w:tbl>
      <w:tblPr>
        <w:tblStyle w:val="TableGrid"/>
        <w:tblW w:w="4524" w:type="pct"/>
        <w:tblInd w:w="817" w:type="dxa"/>
        <w:tblLayout w:type="fixed"/>
        <w:tblLook w:val="04A0" w:firstRow="1" w:lastRow="0" w:firstColumn="1" w:lastColumn="0" w:noHBand="0" w:noVBand="1"/>
        <w:tblCaption w:val="Table 14: Results of the economic evaluation"/>
      </w:tblPr>
      <w:tblGrid>
        <w:gridCol w:w="1136"/>
        <w:gridCol w:w="1131"/>
        <w:gridCol w:w="1278"/>
        <w:gridCol w:w="1137"/>
        <w:gridCol w:w="1276"/>
        <w:gridCol w:w="1132"/>
        <w:gridCol w:w="1273"/>
      </w:tblGrid>
      <w:tr w:rsidR="00B633FA" w:rsidRPr="00A64843" w:rsidTr="006D73F0">
        <w:trPr>
          <w:tblHeader/>
        </w:trPr>
        <w:tc>
          <w:tcPr>
            <w:tcW w:w="679" w:type="pct"/>
            <w:vMerge w:val="restart"/>
            <w:vAlign w:val="center"/>
          </w:tcPr>
          <w:p w:rsidR="00B633FA" w:rsidRPr="00B633FA" w:rsidRDefault="00B633FA" w:rsidP="00E408F9">
            <w:pPr>
              <w:rPr>
                <w:rFonts w:ascii="Arial Narrow" w:hAnsi="Arial Narrow"/>
                <w:b/>
                <w:sz w:val="20"/>
              </w:rPr>
            </w:pPr>
            <w:r w:rsidRPr="00B633FA">
              <w:rPr>
                <w:rFonts w:ascii="Arial Narrow" w:hAnsi="Arial Narrow"/>
                <w:b/>
                <w:sz w:val="20"/>
              </w:rPr>
              <w:t>Component</w:t>
            </w:r>
          </w:p>
        </w:tc>
        <w:tc>
          <w:tcPr>
            <w:tcW w:w="1440" w:type="pct"/>
            <w:gridSpan w:val="2"/>
          </w:tcPr>
          <w:p w:rsidR="00B633FA" w:rsidRPr="00B633FA" w:rsidRDefault="00B633FA" w:rsidP="00E408F9">
            <w:pPr>
              <w:jc w:val="center"/>
              <w:rPr>
                <w:rFonts w:ascii="Arial Narrow" w:hAnsi="Arial Narrow"/>
                <w:b/>
                <w:sz w:val="20"/>
              </w:rPr>
            </w:pPr>
            <w:proofErr w:type="spellStart"/>
            <w:r w:rsidRPr="00B633FA">
              <w:rPr>
                <w:rFonts w:ascii="Arial Narrow" w:hAnsi="Arial Narrow"/>
                <w:b/>
                <w:sz w:val="20"/>
              </w:rPr>
              <w:t>Nivo</w:t>
            </w:r>
            <w:proofErr w:type="spellEnd"/>
            <w:r w:rsidRPr="00B633FA">
              <w:rPr>
                <w:rFonts w:ascii="Arial Narrow" w:hAnsi="Arial Narrow"/>
                <w:b/>
                <w:sz w:val="20"/>
              </w:rPr>
              <w:t xml:space="preserve"> + </w:t>
            </w:r>
            <w:proofErr w:type="spellStart"/>
            <w:r w:rsidRPr="00B633FA">
              <w:rPr>
                <w:rFonts w:ascii="Arial Narrow" w:hAnsi="Arial Narrow"/>
                <w:b/>
                <w:sz w:val="20"/>
              </w:rPr>
              <w:t>ipi</w:t>
            </w:r>
            <w:proofErr w:type="spellEnd"/>
          </w:p>
        </w:tc>
        <w:tc>
          <w:tcPr>
            <w:tcW w:w="1443" w:type="pct"/>
            <w:gridSpan w:val="2"/>
          </w:tcPr>
          <w:p w:rsidR="00B633FA" w:rsidRPr="00B633FA" w:rsidRDefault="00B633FA" w:rsidP="00E408F9">
            <w:pPr>
              <w:jc w:val="center"/>
              <w:rPr>
                <w:rFonts w:ascii="Arial Narrow" w:hAnsi="Arial Narrow"/>
                <w:b/>
                <w:sz w:val="20"/>
              </w:rPr>
            </w:pPr>
            <w:proofErr w:type="spellStart"/>
            <w:r w:rsidRPr="00B633FA">
              <w:rPr>
                <w:rFonts w:ascii="Arial Narrow" w:hAnsi="Arial Narrow"/>
                <w:b/>
                <w:sz w:val="20"/>
              </w:rPr>
              <w:t>Ipi</w:t>
            </w:r>
            <w:proofErr w:type="spellEnd"/>
          </w:p>
        </w:tc>
        <w:tc>
          <w:tcPr>
            <w:tcW w:w="1438" w:type="pct"/>
            <w:gridSpan w:val="2"/>
          </w:tcPr>
          <w:p w:rsidR="00B633FA" w:rsidRPr="00B633FA" w:rsidRDefault="00B633FA" w:rsidP="00E408F9">
            <w:pPr>
              <w:jc w:val="center"/>
              <w:rPr>
                <w:rFonts w:ascii="Arial Narrow" w:hAnsi="Arial Narrow"/>
                <w:b/>
                <w:sz w:val="20"/>
              </w:rPr>
            </w:pPr>
            <w:r w:rsidRPr="00B633FA">
              <w:rPr>
                <w:rFonts w:ascii="Arial Narrow" w:hAnsi="Arial Narrow"/>
                <w:b/>
                <w:sz w:val="20"/>
              </w:rPr>
              <w:t>Increment</w:t>
            </w:r>
          </w:p>
        </w:tc>
      </w:tr>
      <w:tr w:rsidR="00B633FA" w:rsidTr="006D73F0">
        <w:trPr>
          <w:tblHeader/>
        </w:trPr>
        <w:tc>
          <w:tcPr>
            <w:tcW w:w="679" w:type="pct"/>
            <w:vMerge/>
          </w:tcPr>
          <w:p w:rsidR="00B633FA" w:rsidRPr="00B633FA" w:rsidRDefault="00B633FA" w:rsidP="00E408F9">
            <w:pPr>
              <w:rPr>
                <w:rFonts w:ascii="Arial Narrow" w:hAnsi="Arial Narrow"/>
                <w:sz w:val="20"/>
              </w:rPr>
            </w:pPr>
          </w:p>
        </w:tc>
        <w:tc>
          <w:tcPr>
            <w:tcW w:w="676" w:type="pct"/>
          </w:tcPr>
          <w:p w:rsidR="00B633FA" w:rsidRPr="00B633FA" w:rsidRDefault="00B633FA" w:rsidP="00E408F9">
            <w:pPr>
              <w:jc w:val="center"/>
              <w:rPr>
                <w:rFonts w:ascii="Arial Narrow" w:hAnsi="Arial Narrow"/>
                <w:b/>
                <w:sz w:val="20"/>
              </w:rPr>
            </w:pPr>
            <w:r w:rsidRPr="00B633FA">
              <w:rPr>
                <w:rFonts w:ascii="Arial Narrow" w:hAnsi="Arial Narrow"/>
                <w:b/>
                <w:sz w:val="20"/>
              </w:rPr>
              <w:t>Original subm</w:t>
            </w:r>
            <w:r w:rsidR="00804D03">
              <w:rPr>
                <w:rFonts w:ascii="Arial Narrow" w:hAnsi="Arial Narrow"/>
                <w:b/>
                <w:sz w:val="20"/>
              </w:rPr>
              <w:t>ission</w:t>
            </w:r>
          </w:p>
        </w:tc>
        <w:tc>
          <w:tcPr>
            <w:tcW w:w="764" w:type="pct"/>
          </w:tcPr>
          <w:p w:rsidR="00B633FA" w:rsidRPr="00B633FA" w:rsidRDefault="00B633FA" w:rsidP="00A14C38">
            <w:pPr>
              <w:jc w:val="center"/>
              <w:rPr>
                <w:rFonts w:ascii="Arial Narrow" w:hAnsi="Arial Narrow"/>
                <w:b/>
                <w:sz w:val="20"/>
              </w:rPr>
            </w:pPr>
            <w:r w:rsidRPr="00B633FA">
              <w:rPr>
                <w:rFonts w:ascii="Arial Narrow" w:hAnsi="Arial Narrow"/>
                <w:b/>
                <w:sz w:val="20"/>
              </w:rPr>
              <w:t>S</w:t>
            </w:r>
            <w:r w:rsidR="00804D03">
              <w:rPr>
                <w:rFonts w:ascii="Arial Narrow" w:hAnsi="Arial Narrow"/>
                <w:b/>
                <w:sz w:val="20"/>
              </w:rPr>
              <w:t>pons</w:t>
            </w:r>
            <w:r w:rsidR="00A14C38">
              <w:rPr>
                <w:rFonts w:ascii="Arial Narrow" w:hAnsi="Arial Narrow"/>
                <w:b/>
                <w:sz w:val="20"/>
              </w:rPr>
              <w:t>o</w:t>
            </w:r>
            <w:r w:rsidR="00804D03">
              <w:rPr>
                <w:rFonts w:ascii="Arial Narrow" w:hAnsi="Arial Narrow"/>
                <w:b/>
                <w:sz w:val="20"/>
              </w:rPr>
              <w:t>r</w:t>
            </w:r>
            <w:r w:rsidRPr="00B633FA">
              <w:rPr>
                <w:rFonts w:ascii="Arial Narrow" w:hAnsi="Arial Narrow"/>
                <w:b/>
                <w:sz w:val="20"/>
              </w:rPr>
              <w:t xml:space="preserve"> revision</w:t>
            </w:r>
          </w:p>
        </w:tc>
        <w:tc>
          <w:tcPr>
            <w:tcW w:w="680" w:type="pct"/>
          </w:tcPr>
          <w:p w:rsidR="00B633FA" w:rsidRPr="00B633FA" w:rsidRDefault="00B633FA" w:rsidP="00E408F9">
            <w:pPr>
              <w:jc w:val="center"/>
              <w:rPr>
                <w:rFonts w:ascii="Arial Narrow" w:hAnsi="Arial Narrow"/>
                <w:b/>
                <w:sz w:val="20"/>
              </w:rPr>
            </w:pPr>
            <w:r w:rsidRPr="00B633FA">
              <w:rPr>
                <w:rFonts w:ascii="Arial Narrow" w:hAnsi="Arial Narrow"/>
                <w:b/>
                <w:sz w:val="20"/>
              </w:rPr>
              <w:t>Original subm</w:t>
            </w:r>
            <w:r w:rsidR="00804D03">
              <w:rPr>
                <w:rFonts w:ascii="Arial Narrow" w:hAnsi="Arial Narrow"/>
                <w:b/>
                <w:sz w:val="20"/>
              </w:rPr>
              <w:t>ission</w:t>
            </w:r>
          </w:p>
        </w:tc>
        <w:tc>
          <w:tcPr>
            <w:tcW w:w="763" w:type="pct"/>
          </w:tcPr>
          <w:p w:rsidR="00B633FA" w:rsidRPr="00B633FA" w:rsidRDefault="00B633FA" w:rsidP="00A14C38">
            <w:pPr>
              <w:jc w:val="center"/>
              <w:rPr>
                <w:rFonts w:ascii="Arial Narrow" w:hAnsi="Arial Narrow"/>
                <w:b/>
                <w:sz w:val="20"/>
              </w:rPr>
            </w:pPr>
            <w:r w:rsidRPr="00B633FA">
              <w:rPr>
                <w:rFonts w:ascii="Arial Narrow" w:hAnsi="Arial Narrow"/>
                <w:b/>
                <w:sz w:val="20"/>
              </w:rPr>
              <w:t>S</w:t>
            </w:r>
            <w:r w:rsidR="00A14C38">
              <w:rPr>
                <w:rFonts w:ascii="Arial Narrow" w:hAnsi="Arial Narrow"/>
                <w:b/>
                <w:sz w:val="20"/>
              </w:rPr>
              <w:t>ponsor</w:t>
            </w:r>
            <w:r w:rsidRPr="00B633FA">
              <w:rPr>
                <w:rFonts w:ascii="Arial Narrow" w:hAnsi="Arial Narrow"/>
                <w:b/>
                <w:sz w:val="20"/>
              </w:rPr>
              <w:t xml:space="preserve"> revision</w:t>
            </w:r>
          </w:p>
        </w:tc>
        <w:tc>
          <w:tcPr>
            <w:tcW w:w="677" w:type="pct"/>
          </w:tcPr>
          <w:p w:rsidR="00B633FA" w:rsidRPr="00B633FA" w:rsidRDefault="00B633FA" w:rsidP="00E408F9">
            <w:pPr>
              <w:jc w:val="center"/>
              <w:rPr>
                <w:rFonts w:ascii="Arial Narrow" w:hAnsi="Arial Narrow"/>
                <w:b/>
                <w:sz w:val="20"/>
              </w:rPr>
            </w:pPr>
            <w:r w:rsidRPr="00B633FA">
              <w:rPr>
                <w:rFonts w:ascii="Arial Narrow" w:hAnsi="Arial Narrow"/>
                <w:b/>
                <w:sz w:val="20"/>
              </w:rPr>
              <w:t>Original subm</w:t>
            </w:r>
            <w:r w:rsidR="00804D03">
              <w:rPr>
                <w:rFonts w:ascii="Arial Narrow" w:hAnsi="Arial Narrow"/>
                <w:b/>
                <w:sz w:val="20"/>
              </w:rPr>
              <w:t>ission</w:t>
            </w:r>
          </w:p>
        </w:tc>
        <w:tc>
          <w:tcPr>
            <w:tcW w:w="761" w:type="pct"/>
          </w:tcPr>
          <w:p w:rsidR="00B633FA" w:rsidRPr="00B633FA" w:rsidRDefault="00B633FA" w:rsidP="00A14C38">
            <w:pPr>
              <w:jc w:val="center"/>
              <w:rPr>
                <w:rFonts w:ascii="Arial Narrow" w:hAnsi="Arial Narrow"/>
                <w:b/>
                <w:sz w:val="20"/>
              </w:rPr>
            </w:pPr>
            <w:r w:rsidRPr="00B633FA">
              <w:rPr>
                <w:rFonts w:ascii="Arial Narrow" w:hAnsi="Arial Narrow"/>
                <w:b/>
                <w:sz w:val="20"/>
              </w:rPr>
              <w:t>S</w:t>
            </w:r>
            <w:r w:rsidR="00A14C38">
              <w:rPr>
                <w:rFonts w:ascii="Arial Narrow" w:hAnsi="Arial Narrow"/>
                <w:b/>
                <w:sz w:val="20"/>
              </w:rPr>
              <w:t>ponsor</w:t>
            </w:r>
            <w:r w:rsidRPr="00B633FA">
              <w:rPr>
                <w:rFonts w:ascii="Arial Narrow" w:hAnsi="Arial Narrow"/>
                <w:b/>
                <w:sz w:val="20"/>
              </w:rPr>
              <w:t xml:space="preserve"> revision</w:t>
            </w:r>
          </w:p>
        </w:tc>
      </w:tr>
      <w:tr w:rsidR="00B633FA" w:rsidTr="00A14C38">
        <w:tc>
          <w:tcPr>
            <w:tcW w:w="679" w:type="pct"/>
          </w:tcPr>
          <w:p w:rsidR="00B633FA" w:rsidRPr="00B633FA" w:rsidRDefault="00B633FA" w:rsidP="00E408F9">
            <w:pPr>
              <w:rPr>
                <w:rFonts w:ascii="Arial Narrow" w:hAnsi="Arial Narrow"/>
                <w:sz w:val="20"/>
              </w:rPr>
            </w:pPr>
            <w:r w:rsidRPr="00B633FA">
              <w:rPr>
                <w:rFonts w:ascii="Arial Narrow" w:hAnsi="Arial Narrow"/>
                <w:sz w:val="20"/>
              </w:rPr>
              <w:t>Costs</w:t>
            </w:r>
          </w:p>
        </w:tc>
        <w:tc>
          <w:tcPr>
            <w:tcW w:w="676"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c>
          <w:tcPr>
            <w:tcW w:w="764"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c>
          <w:tcPr>
            <w:tcW w:w="680"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c>
          <w:tcPr>
            <w:tcW w:w="763"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c>
          <w:tcPr>
            <w:tcW w:w="677"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c>
          <w:tcPr>
            <w:tcW w:w="761"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r>
      <w:tr w:rsidR="00B633FA" w:rsidTr="00A14C38">
        <w:tc>
          <w:tcPr>
            <w:tcW w:w="679" w:type="pct"/>
            <w:tcBorders>
              <w:bottom w:val="single" w:sz="4" w:space="0" w:color="auto"/>
            </w:tcBorders>
          </w:tcPr>
          <w:p w:rsidR="00B633FA" w:rsidRPr="00B633FA" w:rsidRDefault="00B633FA" w:rsidP="00E408F9">
            <w:pPr>
              <w:rPr>
                <w:rFonts w:ascii="Arial Narrow" w:hAnsi="Arial Narrow"/>
                <w:sz w:val="20"/>
              </w:rPr>
            </w:pPr>
            <w:r w:rsidRPr="00B633FA">
              <w:rPr>
                <w:rFonts w:ascii="Arial Narrow" w:hAnsi="Arial Narrow"/>
                <w:sz w:val="20"/>
              </w:rPr>
              <w:t>QALYs</w:t>
            </w:r>
          </w:p>
        </w:tc>
        <w:tc>
          <w:tcPr>
            <w:tcW w:w="676" w:type="pct"/>
            <w:tcBorders>
              <w:bottom w:val="single" w:sz="4" w:space="0" w:color="auto"/>
            </w:tcBorders>
          </w:tcPr>
          <w:p w:rsidR="00B633FA" w:rsidRPr="00B633FA" w:rsidRDefault="00B633FA" w:rsidP="00E408F9">
            <w:pPr>
              <w:jc w:val="center"/>
              <w:rPr>
                <w:rFonts w:ascii="Arial Narrow" w:hAnsi="Arial Narrow"/>
                <w:sz w:val="20"/>
              </w:rPr>
            </w:pPr>
            <w:r w:rsidRPr="00B633FA">
              <w:rPr>
                <w:rFonts w:ascii="Arial Narrow" w:hAnsi="Arial Narrow"/>
                <w:sz w:val="20"/>
              </w:rPr>
              <w:t>3.290</w:t>
            </w:r>
          </w:p>
        </w:tc>
        <w:tc>
          <w:tcPr>
            <w:tcW w:w="764" w:type="pct"/>
            <w:tcBorders>
              <w:bottom w:val="single" w:sz="4" w:space="0" w:color="auto"/>
            </w:tcBorders>
          </w:tcPr>
          <w:p w:rsidR="00B633FA" w:rsidRPr="00B633FA" w:rsidRDefault="00B633FA" w:rsidP="00E408F9">
            <w:pPr>
              <w:jc w:val="center"/>
              <w:rPr>
                <w:rFonts w:ascii="Arial Narrow" w:hAnsi="Arial Narrow"/>
                <w:sz w:val="20"/>
              </w:rPr>
            </w:pPr>
            <w:r w:rsidRPr="00B633FA">
              <w:rPr>
                <w:rFonts w:ascii="Arial Narrow" w:hAnsi="Arial Narrow"/>
                <w:sz w:val="20"/>
              </w:rPr>
              <w:t>3.290</w:t>
            </w:r>
          </w:p>
        </w:tc>
        <w:tc>
          <w:tcPr>
            <w:tcW w:w="680" w:type="pct"/>
            <w:tcBorders>
              <w:bottom w:val="single" w:sz="4" w:space="0" w:color="auto"/>
            </w:tcBorders>
          </w:tcPr>
          <w:p w:rsidR="00B633FA" w:rsidRPr="00B633FA" w:rsidRDefault="00B633FA" w:rsidP="00E408F9">
            <w:pPr>
              <w:jc w:val="center"/>
              <w:rPr>
                <w:rFonts w:ascii="Arial Narrow" w:hAnsi="Arial Narrow"/>
                <w:sz w:val="20"/>
              </w:rPr>
            </w:pPr>
            <w:r w:rsidRPr="00B633FA">
              <w:rPr>
                <w:rFonts w:ascii="Arial Narrow" w:hAnsi="Arial Narrow"/>
                <w:sz w:val="20"/>
              </w:rPr>
              <w:t>1.299</w:t>
            </w:r>
          </w:p>
        </w:tc>
        <w:tc>
          <w:tcPr>
            <w:tcW w:w="763" w:type="pct"/>
            <w:tcBorders>
              <w:bottom w:val="single" w:sz="4" w:space="0" w:color="auto"/>
            </w:tcBorders>
          </w:tcPr>
          <w:p w:rsidR="00B633FA" w:rsidRPr="00B633FA" w:rsidRDefault="00B633FA" w:rsidP="00E408F9">
            <w:pPr>
              <w:jc w:val="center"/>
              <w:rPr>
                <w:rFonts w:ascii="Arial Narrow" w:hAnsi="Arial Narrow"/>
                <w:sz w:val="20"/>
              </w:rPr>
            </w:pPr>
            <w:r w:rsidRPr="00B633FA">
              <w:rPr>
                <w:rFonts w:ascii="Arial Narrow" w:hAnsi="Arial Narrow"/>
                <w:sz w:val="20"/>
              </w:rPr>
              <w:t>1.299</w:t>
            </w:r>
          </w:p>
        </w:tc>
        <w:tc>
          <w:tcPr>
            <w:tcW w:w="677" w:type="pct"/>
            <w:tcBorders>
              <w:bottom w:val="single" w:sz="4" w:space="0" w:color="auto"/>
            </w:tcBorders>
          </w:tcPr>
          <w:p w:rsidR="00B633FA" w:rsidRPr="00B633FA" w:rsidRDefault="00B633FA" w:rsidP="00E408F9">
            <w:pPr>
              <w:jc w:val="center"/>
              <w:rPr>
                <w:rFonts w:ascii="Arial Narrow" w:hAnsi="Arial Narrow"/>
                <w:sz w:val="20"/>
              </w:rPr>
            </w:pPr>
            <w:r w:rsidRPr="00B633FA">
              <w:rPr>
                <w:rFonts w:ascii="Arial Narrow" w:hAnsi="Arial Narrow"/>
                <w:sz w:val="20"/>
              </w:rPr>
              <w:t>1.991</w:t>
            </w:r>
          </w:p>
        </w:tc>
        <w:tc>
          <w:tcPr>
            <w:tcW w:w="761" w:type="pct"/>
          </w:tcPr>
          <w:p w:rsidR="00B633FA" w:rsidRPr="00B633FA" w:rsidRDefault="00B633FA" w:rsidP="00E408F9">
            <w:pPr>
              <w:jc w:val="center"/>
              <w:rPr>
                <w:rFonts w:ascii="Arial Narrow" w:hAnsi="Arial Narrow"/>
                <w:sz w:val="20"/>
              </w:rPr>
            </w:pPr>
            <w:r w:rsidRPr="00B633FA">
              <w:rPr>
                <w:rFonts w:ascii="Arial Narrow" w:hAnsi="Arial Narrow"/>
                <w:sz w:val="20"/>
              </w:rPr>
              <w:t>1.991</w:t>
            </w:r>
          </w:p>
        </w:tc>
      </w:tr>
      <w:tr w:rsidR="00B633FA" w:rsidTr="00A14C38">
        <w:tc>
          <w:tcPr>
            <w:tcW w:w="2799" w:type="pct"/>
            <w:gridSpan w:val="4"/>
            <w:tcBorders>
              <w:right w:val="nil"/>
            </w:tcBorders>
            <w:vAlign w:val="center"/>
          </w:tcPr>
          <w:p w:rsidR="00B633FA" w:rsidRPr="00B633FA" w:rsidRDefault="00B633FA" w:rsidP="00E408F9">
            <w:pPr>
              <w:rPr>
                <w:rFonts w:ascii="Arial Narrow" w:hAnsi="Arial Narrow"/>
                <w:b/>
                <w:sz w:val="20"/>
              </w:rPr>
            </w:pPr>
            <w:r w:rsidRPr="00B633FA">
              <w:rPr>
                <w:rFonts w:ascii="Arial Narrow" w:hAnsi="Arial Narrow"/>
                <w:b/>
                <w:sz w:val="20"/>
              </w:rPr>
              <w:t>Incremental cost/QALY</w:t>
            </w:r>
          </w:p>
        </w:tc>
        <w:tc>
          <w:tcPr>
            <w:tcW w:w="763" w:type="pct"/>
            <w:tcBorders>
              <w:left w:val="nil"/>
              <w:right w:val="single" w:sz="4" w:space="0" w:color="auto"/>
            </w:tcBorders>
          </w:tcPr>
          <w:p w:rsidR="00B633FA" w:rsidRPr="00B633FA" w:rsidRDefault="00B633FA" w:rsidP="00E408F9">
            <w:pPr>
              <w:jc w:val="right"/>
              <w:rPr>
                <w:rFonts w:ascii="Arial Narrow" w:hAnsi="Arial Narrow"/>
                <w:b/>
                <w:sz w:val="20"/>
              </w:rPr>
            </w:pPr>
            <w:r w:rsidRPr="00B633FA">
              <w:rPr>
                <w:rFonts w:ascii="Arial Narrow" w:hAnsi="Arial Narrow"/>
                <w:b/>
                <w:sz w:val="20"/>
              </w:rPr>
              <w:t xml:space="preserve">vs. </w:t>
            </w:r>
            <w:proofErr w:type="spellStart"/>
            <w:r w:rsidRPr="00B633FA">
              <w:rPr>
                <w:rFonts w:ascii="Arial Narrow" w:hAnsi="Arial Narrow"/>
                <w:b/>
                <w:sz w:val="20"/>
              </w:rPr>
              <w:t>Ipi</w:t>
            </w:r>
            <w:proofErr w:type="spellEnd"/>
            <w:r w:rsidRPr="00B633FA">
              <w:rPr>
                <w:rFonts w:ascii="Arial Narrow" w:hAnsi="Arial Narrow"/>
                <w:b/>
                <w:sz w:val="20"/>
              </w:rPr>
              <w:t>:</w:t>
            </w:r>
          </w:p>
        </w:tc>
        <w:tc>
          <w:tcPr>
            <w:tcW w:w="677" w:type="pct"/>
            <w:tcBorders>
              <w:left w:val="single" w:sz="4" w:space="0" w:color="auto"/>
            </w:tcBorders>
          </w:tcPr>
          <w:p w:rsidR="00B633FA" w:rsidRPr="00B633FA" w:rsidRDefault="00B633FA" w:rsidP="00E408F9">
            <w:pPr>
              <w:jc w:val="center"/>
              <w:rPr>
                <w:rFonts w:ascii="Arial Narrow" w:hAnsi="Arial Narrow"/>
                <w:b/>
                <w:sz w:val="20"/>
              </w:rPr>
            </w:pPr>
            <w:r w:rsidRPr="00B633FA">
              <w:rPr>
                <w:rFonts w:ascii="Arial Narrow" w:hAnsi="Arial Narrow"/>
                <w:b/>
                <w:sz w:val="20"/>
              </w:rPr>
              <w:t>$</w:t>
            </w:r>
            <w:r w:rsidR="006D73F0">
              <w:rPr>
                <w:rFonts w:ascii="Arial Narrow" w:hAnsi="Arial Narrow"/>
                <w:b/>
                <w:noProof/>
                <w:color w:val="000000"/>
                <w:sz w:val="20"/>
                <w:highlight w:val="black"/>
              </w:rPr>
              <w:t>''''''''''''''</w:t>
            </w:r>
          </w:p>
        </w:tc>
        <w:tc>
          <w:tcPr>
            <w:tcW w:w="761" w:type="pct"/>
          </w:tcPr>
          <w:p w:rsidR="00B633FA" w:rsidRPr="00B633FA" w:rsidRDefault="00B633FA" w:rsidP="00E408F9">
            <w:pPr>
              <w:jc w:val="center"/>
              <w:rPr>
                <w:rFonts w:ascii="Arial Narrow" w:hAnsi="Arial Narrow"/>
                <w:b/>
                <w:sz w:val="20"/>
              </w:rPr>
            </w:pPr>
            <w:r w:rsidRPr="00B633FA">
              <w:rPr>
                <w:rFonts w:ascii="Arial Narrow" w:hAnsi="Arial Narrow"/>
                <w:b/>
                <w:sz w:val="20"/>
              </w:rPr>
              <w:t>$</w:t>
            </w:r>
            <w:r w:rsidR="006D73F0">
              <w:rPr>
                <w:rFonts w:ascii="Arial Narrow" w:hAnsi="Arial Narrow"/>
                <w:b/>
                <w:noProof/>
                <w:color w:val="000000"/>
                <w:sz w:val="20"/>
                <w:highlight w:val="black"/>
              </w:rPr>
              <w:t>''''''''''''</w:t>
            </w:r>
          </w:p>
        </w:tc>
      </w:tr>
      <w:tr w:rsidR="00B633FA" w:rsidTr="00A14C38">
        <w:tc>
          <w:tcPr>
            <w:tcW w:w="679" w:type="pct"/>
            <w:vMerge w:val="restart"/>
            <w:vAlign w:val="center"/>
          </w:tcPr>
          <w:p w:rsidR="00B633FA" w:rsidRPr="00B633FA" w:rsidRDefault="00B633FA" w:rsidP="00E408F9">
            <w:pPr>
              <w:rPr>
                <w:rFonts w:ascii="Arial Narrow" w:hAnsi="Arial Narrow"/>
                <w:b/>
                <w:sz w:val="20"/>
              </w:rPr>
            </w:pPr>
            <w:r w:rsidRPr="00B633FA">
              <w:rPr>
                <w:rFonts w:ascii="Arial Narrow" w:hAnsi="Arial Narrow"/>
                <w:b/>
                <w:sz w:val="20"/>
              </w:rPr>
              <w:t>Component</w:t>
            </w:r>
          </w:p>
        </w:tc>
        <w:tc>
          <w:tcPr>
            <w:tcW w:w="1440" w:type="pct"/>
            <w:gridSpan w:val="2"/>
          </w:tcPr>
          <w:p w:rsidR="00B633FA" w:rsidRPr="00B633FA" w:rsidRDefault="00B633FA" w:rsidP="00E408F9">
            <w:pPr>
              <w:jc w:val="center"/>
              <w:rPr>
                <w:rFonts w:ascii="Arial Narrow" w:hAnsi="Arial Narrow"/>
                <w:b/>
                <w:sz w:val="20"/>
              </w:rPr>
            </w:pPr>
            <w:proofErr w:type="spellStart"/>
            <w:r w:rsidRPr="00B633FA">
              <w:rPr>
                <w:rFonts w:ascii="Arial Narrow" w:hAnsi="Arial Narrow"/>
                <w:b/>
                <w:sz w:val="20"/>
              </w:rPr>
              <w:t>Nivo</w:t>
            </w:r>
            <w:proofErr w:type="spellEnd"/>
            <w:r w:rsidRPr="00B633FA">
              <w:rPr>
                <w:rFonts w:ascii="Arial Narrow" w:hAnsi="Arial Narrow"/>
                <w:b/>
                <w:sz w:val="20"/>
              </w:rPr>
              <w:t xml:space="preserve"> + </w:t>
            </w:r>
            <w:proofErr w:type="spellStart"/>
            <w:r w:rsidRPr="00B633FA">
              <w:rPr>
                <w:rFonts w:ascii="Arial Narrow" w:hAnsi="Arial Narrow"/>
                <w:b/>
                <w:sz w:val="20"/>
              </w:rPr>
              <w:t>Ipi</w:t>
            </w:r>
            <w:proofErr w:type="spellEnd"/>
          </w:p>
        </w:tc>
        <w:tc>
          <w:tcPr>
            <w:tcW w:w="1443" w:type="pct"/>
            <w:gridSpan w:val="2"/>
          </w:tcPr>
          <w:p w:rsidR="00B633FA" w:rsidRPr="00B633FA" w:rsidRDefault="00B633FA" w:rsidP="00E408F9">
            <w:pPr>
              <w:jc w:val="center"/>
              <w:rPr>
                <w:rFonts w:ascii="Arial Narrow" w:hAnsi="Arial Narrow"/>
                <w:b/>
                <w:sz w:val="20"/>
              </w:rPr>
            </w:pPr>
            <w:proofErr w:type="spellStart"/>
            <w:r w:rsidRPr="00B633FA">
              <w:rPr>
                <w:rFonts w:ascii="Arial Narrow" w:hAnsi="Arial Narrow"/>
                <w:b/>
                <w:sz w:val="20"/>
              </w:rPr>
              <w:t>Nivo</w:t>
            </w:r>
            <w:proofErr w:type="spellEnd"/>
          </w:p>
        </w:tc>
        <w:tc>
          <w:tcPr>
            <w:tcW w:w="1438" w:type="pct"/>
            <w:gridSpan w:val="2"/>
          </w:tcPr>
          <w:p w:rsidR="00B633FA" w:rsidRPr="00B633FA" w:rsidRDefault="00B633FA" w:rsidP="00E408F9">
            <w:pPr>
              <w:jc w:val="center"/>
              <w:rPr>
                <w:rFonts w:ascii="Arial Narrow" w:hAnsi="Arial Narrow"/>
                <w:sz w:val="20"/>
              </w:rPr>
            </w:pPr>
            <w:r w:rsidRPr="00B633FA">
              <w:rPr>
                <w:rFonts w:ascii="Arial Narrow" w:hAnsi="Arial Narrow"/>
                <w:b/>
                <w:sz w:val="20"/>
              </w:rPr>
              <w:t>Increment</w:t>
            </w:r>
          </w:p>
        </w:tc>
      </w:tr>
      <w:tr w:rsidR="00B633FA" w:rsidTr="00A14C38">
        <w:tc>
          <w:tcPr>
            <w:tcW w:w="679" w:type="pct"/>
            <w:vMerge/>
          </w:tcPr>
          <w:p w:rsidR="00B633FA" w:rsidRPr="00B633FA" w:rsidRDefault="00B633FA" w:rsidP="00E408F9">
            <w:pPr>
              <w:rPr>
                <w:rFonts w:ascii="Arial Narrow" w:hAnsi="Arial Narrow"/>
                <w:sz w:val="20"/>
              </w:rPr>
            </w:pPr>
          </w:p>
        </w:tc>
        <w:tc>
          <w:tcPr>
            <w:tcW w:w="676" w:type="pct"/>
          </w:tcPr>
          <w:p w:rsidR="00B633FA" w:rsidRPr="00B633FA" w:rsidRDefault="00B633FA" w:rsidP="00E408F9">
            <w:pPr>
              <w:jc w:val="center"/>
              <w:rPr>
                <w:rFonts w:ascii="Arial Narrow" w:hAnsi="Arial Narrow"/>
                <w:b/>
                <w:sz w:val="20"/>
              </w:rPr>
            </w:pPr>
            <w:r w:rsidRPr="00B633FA">
              <w:rPr>
                <w:rFonts w:ascii="Arial Narrow" w:hAnsi="Arial Narrow"/>
                <w:b/>
                <w:sz w:val="20"/>
              </w:rPr>
              <w:t>Original subm</w:t>
            </w:r>
            <w:r w:rsidR="00A14C38">
              <w:rPr>
                <w:rFonts w:ascii="Arial Narrow" w:hAnsi="Arial Narrow"/>
                <w:b/>
                <w:sz w:val="20"/>
              </w:rPr>
              <w:t>ission</w:t>
            </w:r>
          </w:p>
        </w:tc>
        <w:tc>
          <w:tcPr>
            <w:tcW w:w="764" w:type="pct"/>
          </w:tcPr>
          <w:p w:rsidR="00B633FA" w:rsidRPr="00B633FA" w:rsidRDefault="00B633FA" w:rsidP="00A14C38">
            <w:pPr>
              <w:jc w:val="center"/>
              <w:rPr>
                <w:rFonts w:ascii="Arial Narrow" w:hAnsi="Arial Narrow"/>
                <w:b/>
                <w:sz w:val="20"/>
              </w:rPr>
            </w:pPr>
            <w:r w:rsidRPr="00B633FA">
              <w:rPr>
                <w:rFonts w:ascii="Arial Narrow" w:hAnsi="Arial Narrow"/>
                <w:b/>
                <w:sz w:val="20"/>
              </w:rPr>
              <w:t>S</w:t>
            </w:r>
            <w:r w:rsidR="00A14C38">
              <w:rPr>
                <w:rFonts w:ascii="Arial Narrow" w:hAnsi="Arial Narrow"/>
                <w:b/>
                <w:sz w:val="20"/>
              </w:rPr>
              <w:t>ponsor</w:t>
            </w:r>
            <w:r w:rsidRPr="00B633FA">
              <w:rPr>
                <w:rFonts w:ascii="Arial Narrow" w:hAnsi="Arial Narrow"/>
                <w:b/>
                <w:sz w:val="20"/>
              </w:rPr>
              <w:t xml:space="preserve"> revision</w:t>
            </w:r>
          </w:p>
        </w:tc>
        <w:tc>
          <w:tcPr>
            <w:tcW w:w="680" w:type="pct"/>
          </w:tcPr>
          <w:p w:rsidR="00B633FA" w:rsidRPr="00B633FA" w:rsidRDefault="00B633FA" w:rsidP="00E408F9">
            <w:pPr>
              <w:jc w:val="center"/>
              <w:rPr>
                <w:rFonts w:ascii="Arial Narrow" w:hAnsi="Arial Narrow"/>
                <w:b/>
                <w:sz w:val="20"/>
              </w:rPr>
            </w:pPr>
            <w:r w:rsidRPr="00B633FA">
              <w:rPr>
                <w:rFonts w:ascii="Arial Narrow" w:hAnsi="Arial Narrow"/>
                <w:b/>
                <w:sz w:val="20"/>
              </w:rPr>
              <w:t>Original subm</w:t>
            </w:r>
            <w:r w:rsidR="00A14C38">
              <w:rPr>
                <w:rFonts w:ascii="Arial Narrow" w:hAnsi="Arial Narrow"/>
                <w:b/>
                <w:sz w:val="20"/>
              </w:rPr>
              <w:t>ission</w:t>
            </w:r>
          </w:p>
        </w:tc>
        <w:tc>
          <w:tcPr>
            <w:tcW w:w="763" w:type="pct"/>
          </w:tcPr>
          <w:p w:rsidR="00B633FA" w:rsidRPr="00B633FA" w:rsidRDefault="00B633FA" w:rsidP="00A14C38">
            <w:pPr>
              <w:jc w:val="center"/>
              <w:rPr>
                <w:rFonts w:ascii="Arial Narrow" w:hAnsi="Arial Narrow"/>
                <w:b/>
                <w:sz w:val="20"/>
              </w:rPr>
            </w:pPr>
            <w:r w:rsidRPr="00B633FA">
              <w:rPr>
                <w:rFonts w:ascii="Arial Narrow" w:hAnsi="Arial Narrow"/>
                <w:b/>
                <w:sz w:val="20"/>
              </w:rPr>
              <w:t>S</w:t>
            </w:r>
            <w:r w:rsidR="00A14C38">
              <w:rPr>
                <w:rFonts w:ascii="Arial Narrow" w:hAnsi="Arial Narrow"/>
                <w:b/>
                <w:sz w:val="20"/>
              </w:rPr>
              <w:t>ponsor</w:t>
            </w:r>
            <w:r w:rsidRPr="00B633FA">
              <w:rPr>
                <w:rFonts w:ascii="Arial Narrow" w:hAnsi="Arial Narrow"/>
                <w:b/>
                <w:sz w:val="20"/>
              </w:rPr>
              <w:t xml:space="preserve"> revision</w:t>
            </w:r>
          </w:p>
        </w:tc>
        <w:tc>
          <w:tcPr>
            <w:tcW w:w="677" w:type="pct"/>
          </w:tcPr>
          <w:p w:rsidR="00B633FA" w:rsidRPr="00B633FA" w:rsidRDefault="00B633FA" w:rsidP="00E408F9">
            <w:pPr>
              <w:jc w:val="center"/>
              <w:rPr>
                <w:rFonts w:ascii="Arial Narrow" w:hAnsi="Arial Narrow"/>
                <w:b/>
                <w:sz w:val="20"/>
              </w:rPr>
            </w:pPr>
            <w:r w:rsidRPr="00B633FA">
              <w:rPr>
                <w:rFonts w:ascii="Arial Narrow" w:hAnsi="Arial Narrow"/>
                <w:b/>
                <w:sz w:val="20"/>
              </w:rPr>
              <w:t>Original subm</w:t>
            </w:r>
            <w:r w:rsidR="00A14C38">
              <w:rPr>
                <w:rFonts w:ascii="Arial Narrow" w:hAnsi="Arial Narrow"/>
                <w:b/>
                <w:sz w:val="20"/>
              </w:rPr>
              <w:t>ission</w:t>
            </w:r>
          </w:p>
        </w:tc>
        <w:tc>
          <w:tcPr>
            <w:tcW w:w="761" w:type="pct"/>
          </w:tcPr>
          <w:p w:rsidR="00B633FA" w:rsidRPr="00B633FA" w:rsidRDefault="00B633FA" w:rsidP="00A14C38">
            <w:pPr>
              <w:jc w:val="center"/>
              <w:rPr>
                <w:rFonts w:ascii="Arial Narrow" w:hAnsi="Arial Narrow"/>
                <w:b/>
                <w:sz w:val="20"/>
              </w:rPr>
            </w:pPr>
            <w:r w:rsidRPr="00B633FA">
              <w:rPr>
                <w:rFonts w:ascii="Arial Narrow" w:hAnsi="Arial Narrow"/>
                <w:b/>
                <w:sz w:val="20"/>
              </w:rPr>
              <w:t>S</w:t>
            </w:r>
            <w:r w:rsidR="00A14C38">
              <w:rPr>
                <w:rFonts w:ascii="Arial Narrow" w:hAnsi="Arial Narrow"/>
                <w:b/>
                <w:sz w:val="20"/>
              </w:rPr>
              <w:t>ponsor</w:t>
            </w:r>
            <w:r w:rsidRPr="00B633FA">
              <w:rPr>
                <w:rFonts w:ascii="Arial Narrow" w:hAnsi="Arial Narrow"/>
                <w:b/>
                <w:sz w:val="20"/>
              </w:rPr>
              <w:t xml:space="preserve"> revision</w:t>
            </w:r>
          </w:p>
        </w:tc>
      </w:tr>
      <w:tr w:rsidR="00B633FA" w:rsidTr="00A14C38">
        <w:tc>
          <w:tcPr>
            <w:tcW w:w="679" w:type="pct"/>
          </w:tcPr>
          <w:p w:rsidR="00B633FA" w:rsidRPr="00B633FA" w:rsidRDefault="00B633FA" w:rsidP="00E408F9">
            <w:pPr>
              <w:rPr>
                <w:rFonts w:ascii="Arial Narrow" w:hAnsi="Arial Narrow"/>
                <w:sz w:val="20"/>
              </w:rPr>
            </w:pPr>
            <w:r w:rsidRPr="00B633FA">
              <w:rPr>
                <w:rFonts w:ascii="Arial Narrow" w:hAnsi="Arial Narrow"/>
                <w:sz w:val="20"/>
              </w:rPr>
              <w:t>Costs</w:t>
            </w:r>
          </w:p>
        </w:tc>
        <w:tc>
          <w:tcPr>
            <w:tcW w:w="676"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c>
          <w:tcPr>
            <w:tcW w:w="764"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c>
          <w:tcPr>
            <w:tcW w:w="680"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c>
          <w:tcPr>
            <w:tcW w:w="763"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c>
          <w:tcPr>
            <w:tcW w:w="677"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c>
          <w:tcPr>
            <w:tcW w:w="761"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r>
      <w:tr w:rsidR="00B633FA" w:rsidTr="00A14C38">
        <w:tc>
          <w:tcPr>
            <w:tcW w:w="679" w:type="pct"/>
            <w:tcBorders>
              <w:bottom w:val="single" w:sz="4" w:space="0" w:color="auto"/>
            </w:tcBorders>
          </w:tcPr>
          <w:p w:rsidR="00B633FA" w:rsidRPr="00B633FA" w:rsidRDefault="00B633FA" w:rsidP="00E408F9">
            <w:pPr>
              <w:rPr>
                <w:rFonts w:ascii="Arial Narrow" w:hAnsi="Arial Narrow"/>
                <w:sz w:val="20"/>
              </w:rPr>
            </w:pPr>
            <w:r w:rsidRPr="00B633FA">
              <w:rPr>
                <w:rFonts w:ascii="Arial Narrow" w:hAnsi="Arial Narrow"/>
                <w:sz w:val="20"/>
              </w:rPr>
              <w:t>QALYs</w:t>
            </w:r>
          </w:p>
        </w:tc>
        <w:tc>
          <w:tcPr>
            <w:tcW w:w="676" w:type="pct"/>
            <w:tcBorders>
              <w:bottom w:val="single" w:sz="4" w:space="0" w:color="auto"/>
            </w:tcBorders>
          </w:tcPr>
          <w:p w:rsidR="00B633FA" w:rsidRPr="00B633FA" w:rsidRDefault="00B633FA" w:rsidP="00E408F9">
            <w:pPr>
              <w:jc w:val="center"/>
              <w:rPr>
                <w:rFonts w:ascii="Arial Narrow" w:hAnsi="Arial Narrow"/>
                <w:sz w:val="20"/>
              </w:rPr>
            </w:pPr>
            <w:r w:rsidRPr="00B633FA">
              <w:rPr>
                <w:rFonts w:ascii="Arial Narrow" w:hAnsi="Arial Narrow"/>
                <w:sz w:val="20"/>
              </w:rPr>
              <w:t>3.290</w:t>
            </w:r>
          </w:p>
        </w:tc>
        <w:tc>
          <w:tcPr>
            <w:tcW w:w="764" w:type="pct"/>
            <w:tcBorders>
              <w:bottom w:val="single" w:sz="4" w:space="0" w:color="auto"/>
            </w:tcBorders>
          </w:tcPr>
          <w:p w:rsidR="00B633FA" w:rsidRPr="00B633FA" w:rsidRDefault="00B633FA" w:rsidP="00E408F9">
            <w:pPr>
              <w:jc w:val="center"/>
              <w:rPr>
                <w:rFonts w:ascii="Arial Narrow" w:hAnsi="Arial Narrow"/>
                <w:sz w:val="20"/>
              </w:rPr>
            </w:pPr>
            <w:r w:rsidRPr="00B633FA">
              <w:rPr>
                <w:rFonts w:ascii="Arial Narrow" w:hAnsi="Arial Narrow"/>
                <w:sz w:val="20"/>
              </w:rPr>
              <w:t>3.290</w:t>
            </w:r>
          </w:p>
        </w:tc>
        <w:tc>
          <w:tcPr>
            <w:tcW w:w="680" w:type="pct"/>
            <w:tcBorders>
              <w:bottom w:val="single" w:sz="4" w:space="0" w:color="auto"/>
            </w:tcBorders>
          </w:tcPr>
          <w:p w:rsidR="00B633FA" w:rsidRPr="00B633FA" w:rsidRDefault="00B633FA" w:rsidP="00E408F9">
            <w:pPr>
              <w:jc w:val="center"/>
              <w:rPr>
                <w:rFonts w:ascii="Arial Narrow" w:hAnsi="Arial Narrow"/>
                <w:sz w:val="20"/>
              </w:rPr>
            </w:pPr>
            <w:r w:rsidRPr="00B633FA">
              <w:rPr>
                <w:rFonts w:ascii="Arial Narrow" w:hAnsi="Arial Narrow"/>
                <w:sz w:val="20"/>
              </w:rPr>
              <w:t>1.995</w:t>
            </w:r>
          </w:p>
        </w:tc>
        <w:tc>
          <w:tcPr>
            <w:tcW w:w="763" w:type="pct"/>
            <w:tcBorders>
              <w:bottom w:val="single" w:sz="4" w:space="0" w:color="auto"/>
            </w:tcBorders>
          </w:tcPr>
          <w:p w:rsidR="00B633FA" w:rsidRPr="00B633FA" w:rsidRDefault="00B633FA" w:rsidP="00E408F9">
            <w:pPr>
              <w:jc w:val="center"/>
              <w:rPr>
                <w:rFonts w:ascii="Arial Narrow" w:hAnsi="Arial Narrow"/>
                <w:sz w:val="20"/>
              </w:rPr>
            </w:pPr>
            <w:r w:rsidRPr="00B633FA">
              <w:rPr>
                <w:rFonts w:ascii="Arial Narrow" w:hAnsi="Arial Narrow"/>
                <w:sz w:val="20"/>
              </w:rPr>
              <w:t>1.995</w:t>
            </w:r>
          </w:p>
        </w:tc>
        <w:tc>
          <w:tcPr>
            <w:tcW w:w="677" w:type="pct"/>
            <w:tcBorders>
              <w:bottom w:val="single" w:sz="4" w:space="0" w:color="auto"/>
            </w:tcBorders>
          </w:tcPr>
          <w:p w:rsidR="00B633FA" w:rsidRPr="00B633FA" w:rsidRDefault="00B633FA" w:rsidP="00E408F9">
            <w:pPr>
              <w:jc w:val="center"/>
              <w:rPr>
                <w:rFonts w:ascii="Arial Narrow" w:hAnsi="Arial Narrow"/>
                <w:sz w:val="20"/>
              </w:rPr>
            </w:pPr>
            <w:r w:rsidRPr="00B633FA">
              <w:rPr>
                <w:rFonts w:ascii="Arial Narrow" w:hAnsi="Arial Narrow"/>
                <w:sz w:val="20"/>
              </w:rPr>
              <w:t>1.295</w:t>
            </w:r>
          </w:p>
        </w:tc>
        <w:tc>
          <w:tcPr>
            <w:tcW w:w="761" w:type="pct"/>
          </w:tcPr>
          <w:p w:rsidR="00B633FA" w:rsidRPr="00B633FA" w:rsidRDefault="00B633FA" w:rsidP="00E408F9">
            <w:pPr>
              <w:jc w:val="center"/>
              <w:rPr>
                <w:rFonts w:ascii="Arial Narrow" w:hAnsi="Arial Narrow"/>
                <w:sz w:val="20"/>
              </w:rPr>
            </w:pPr>
            <w:r w:rsidRPr="00B633FA">
              <w:rPr>
                <w:rFonts w:ascii="Arial Narrow" w:hAnsi="Arial Narrow"/>
                <w:sz w:val="20"/>
              </w:rPr>
              <w:t>1.295</w:t>
            </w:r>
          </w:p>
        </w:tc>
      </w:tr>
      <w:tr w:rsidR="00B633FA" w:rsidTr="00A14C38">
        <w:tc>
          <w:tcPr>
            <w:tcW w:w="2799" w:type="pct"/>
            <w:gridSpan w:val="4"/>
            <w:tcBorders>
              <w:right w:val="nil"/>
            </w:tcBorders>
            <w:vAlign w:val="center"/>
          </w:tcPr>
          <w:p w:rsidR="00B633FA" w:rsidRPr="00B633FA" w:rsidRDefault="00B633FA" w:rsidP="00C92356">
            <w:pPr>
              <w:rPr>
                <w:rFonts w:ascii="Arial Narrow" w:hAnsi="Arial Narrow"/>
                <w:b/>
                <w:sz w:val="20"/>
              </w:rPr>
            </w:pPr>
            <w:r w:rsidRPr="00B633FA">
              <w:rPr>
                <w:rFonts w:ascii="Arial Narrow" w:hAnsi="Arial Narrow"/>
                <w:b/>
                <w:sz w:val="20"/>
              </w:rPr>
              <w:t>Incremental cost/QALY</w:t>
            </w:r>
          </w:p>
        </w:tc>
        <w:tc>
          <w:tcPr>
            <w:tcW w:w="763" w:type="pct"/>
            <w:tcBorders>
              <w:left w:val="nil"/>
              <w:right w:val="single" w:sz="4" w:space="0" w:color="auto"/>
            </w:tcBorders>
          </w:tcPr>
          <w:p w:rsidR="00B633FA" w:rsidRPr="00B633FA" w:rsidRDefault="00B633FA" w:rsidP="00E408F9">
            <w:pPr>
              <w:jc w:val="right"/>
              <w:rPr>
                <w:rFonts w:ascii="Arial Narrow" w:hAnsi="Arial Narrow"/>
                <w:b/>
                <w:sz w:val="20"/>
              </w:rPr>
            </w:pPr>
            <w:r w:rsidRPr="00B633FA">
              <w:rPr>
                <w:rFonts w:ascii="Arial Narrow" w:hAnsi="Arial Narrow"/>
                <w:b/>
                <w:sz w:val="20"/>
              </w:rPr>
              <w:t xml:space="preserve">vs. </w:t>
            </w:r>
            <w:proofErr w:type="spellStart"/>
            <w:r w:rsidRPr="00B633FA">
              <w:rPr>
                <w:rFonts w:ascii="Arial Narrow" w:hAnsi="Arial Narrow"/>
                <w:b/>
                <w:sz w:val="20"/>
              </w:rPr>
              <w:t>Nivo</w:t>
            </w:r>
            <w:proofErr w:type="spellEnd"/>
            <w:r w:rsidRPr="00B633FA">
              <w:rPr>
                <w:rFonts w:ascii="Arial Narrow" w:hAnsi="Arial Narrow"/>
                <w:b/>
                <w:sz w:val="20"/>
              </w:rPr>
              <w:t>:</w:t>
            </w:r>
          </w:p>
        </w:tc>
        <w:tc>
          <w:tcPr>
            <w:tcW w:w="677" w:type="pct"/>
            <w:tcBorders>
              <w:left w:val="single" w:sz="4" w:space="0" w:color="auto"/>
            </w:tcBorders>
          </w:tcPr>
          <w:p w:rsidR="00B633FA" w:rsidRPr="00B633FA" w:rsidRDefault="00B633FA" w:rsidP="00E408F9">
            <w:pPr>
              <w:jc w:val="center"/>
              <w:rPr>
                <w:rFonts w:ascii="Arial Narrow" w:hAnsi="Arial Narrow"/>
                <w:b/>
                <w:sz w:val="20"/>
              </w:rPr>
            </w:pPr>
            <w:r w:rsidRPr="00B633FA">
              <w:rPr>
                <w:rFonts w:ascii="Arial Narrow" w:hAnsi="Arial Narrow"/>
                <w:b/>
                <w:sz w:val="20"/>
              </w:rPr>
              <w:t>$</w:t>
            </w:r>
            <w:r w:rsidR="006D73F0">
              <w:rPr>
                <w:rFonts w:ascii="Arial Narrow" w:hAnsi="Arial Narrow"/>
                <w:b/>
                <w:noProof/>
                <w:color w:val="000000"/>
                <w:sz w:val="20"/>
                <w:highlight w:val="black"/>
              </w:rPr>
              <w:t>''''''''''''''</w:t>
            </w:r>
          </w:p>
        </w:tc>
        <w:tc>
          <w:tcPr>
            <w:tcW w:w="761" w:type="pct"/>
          </w:tcPr>
          <w:p w:rsidR="00B633FA" w:rsidRPr="00B633FA" w:rsidRDefault="00B633FA" w:rsidP="00E408F9">
            <w:pPr>
              <w:jc w:val="center"/>
              <w:rPr>
                <w:rFonts w:ascii="Arial Narrow" w:hAnsi="Arial Narrow"/>
                <w:b/>
                <w:sz w:val="20"/>
              </w:rPr>
            </w:pPr>
            <w:r w:rsidRPr="00B633FA">
              <w:rPr>
                <w:rFonts w:ascii="Arial Narrow" w:hAnsi="Arial Narrow"/>
                <w:b/>
                <w:sz w:val="20"/>
              </w:rPr>
              <w:t>$</w:t>
            </w:r>
            <w:r w:rsidR="006D73F0">
              <w:rPr>
                <w:rFonts w:ascii="Arial Narrow" w:hAnsi="Arial Narrow"/>
                <w:b/>
                <w:noProof/>
                <w:color w:val="000000"/>
                <w:sz w:val="20"/>
                <w:highlight w:val="black"/>
              </w:rPr>
              <w:t>''''''''''''</w:t>
            </w:r>
          </w:p>
        </w:tc>
      </w:tr>
      <w:tr w:rsidR="00B633FA" w:rsidTr="00A14C38">
        <w:tc>
          <w:tcPr>
            <w:tcW w:w="679" w:type="pct"/>
            <w:vMerge w:val="restart"/>
            <w:vAlign w:val="center"/>
          </w:tcPr>
          <w:p w:rsidR="00B633FA" w:rsidRPr="00B633FA" w:rsidRDefault="00B633FA" w:rsidP="00E408F9">
            <w:pPr>
              <w:rPr>
                <w:rFonts w:ascii="Arial Narrow" w:hAnsi="Arial Narrow"/>
                <w:sz w:val="20"/>
              </w:rPr>
            </w:pPr>
            <w:r w:rsidRPr="00B633FA">
              <w:rPr>
                <w:rFonts w:ascii="Arial Narrow" w:hAnsi="Arial Narrow"/>
                <w:b/>
                <w:sz w:val="20"/>
              </w:rPr>
              <w:t>Component</w:t>
            </w:r>
          </w:p>
        </w:tc>
        <w:tc>
          <w:tcPr>
            <w:tcW w:w="1440" w:type="pct"/>
            <w:gridSpan w:val="2"/>
          </w:tcPr>
          <w:p w:rsidR="00B633FA" w:rsidRPr="00B633FA" w:rsidRDefault="00B633FA" w:rsidP="00E408F9">
            <w:pPr>
              <w:jc w:val="center"/>
              <w:rPr>
                <w:rFonts w:ascii="Arial Narrow" w:hAnsi="Arial Narrow"/>
                <w:b/>
                <w:sz w:val="20"/>
              </w:rPr>
            </w:pPr>
            <w:proofErr w:type="spellStart"/>
            <w:r w:rsidRPr="00B633FA">
              <w:rPr>
                <w:rFonts w:ascii="Arial Narrow" w:hAnsi="Arial Narrow"/>
                <w:b/>
                <w:sz w:val="20"/>
              </w:rPr>
              <w:t>Nivo</w:t>
            </w:r>
            <w:proofErr w:type="spellEnd"/>
            <w:r w:rsidRPr="00B633FA">
              <w:rPr>
                <w:rFonts w:ascii="Arial Narrow" w:hAnsi="Arial Narrow"/>
                <w:b/>
                <w:sz w:val="20"/>
              </w:rPr>
              <w:t xml:space="preserve"> + </w:t>
            </w:r>
            <w:proofErr w:type="spellStart"/>
            <w:r w:rsidRPr="00B633FA">
              <w:rPr>
                <w:rFonts w:ascii="Arial Narrow" w:hAnsi="Arial Narrow"/>
                <w:b/>
                <w:sz w:val="20"/>
              </w:rPr>
              <w:t>Ipi</w:t>
            </w:r>
            <w:proofErr w:type="spellEnd"/>
          </w:p>
        </w:tc>
        <w:tc>
          <w:tcPr>
            <w:tcW w:w="1443" w:type="pct"/>
            <w:gridSpan w:val="2"/>
          </w:tcPr>
          <w:p w:rsidR="00B633FA" w:rsidRPr="00B633FA" w:rsidRDefault="00B633FA" w:rsidP="00E408F9">
            <w:pPr>
              <w:jc w:val="center"/>
              <w:rPr>
                <w:rFonts w:ascii="Arial Narrow" w:hAnsi="Arial Narrow"/>
                <w:b/>
                <w:sz w:val="20"/>
              </w:rPr>
            </w:pPr>
            <w:proofErr w:type="spellStart"/>
            <w:r w:rsidRPr="00B633FA">
              <w:rPr>
                <w:rFonts w:ascii="Arial Narrow" w:hAnsi="Arial Narrow"/>
                <w:b/>
                <w:sz w:val="20"/>
              </w:rPr>
              <w:t>Pembro</w:t>
            </w:r>
            <w:proofErr w:type="spellEnd"/>
          </w:p>
        </w:tc>
        <w:tc>
          <w:tcPr>
            <w:tcW w:w="1438" w:type="pct"/>
            <w:gridSpan w:val="2"/>
          </w:tcPr>
          <w:p w:rsidR="00B633FA" w:rsidRPr="00B633FA" w:rsidRDefault="00B633FA" w:rsidP="00E408F9">
            <w:pPr>
              <w:jc w:val="center"/>
              <w:rPr>
                <w:rFonts w:ascii="Arial Narrow" w:hAnsi="Arial Narrow"/>
                <w:sz w:val="20"/>
              </w:rPr>
            </w:pPr>
            <w:r w:rsidRPr="00B633FA">
              <w:rPr>
                <w:rFonts w:ascii="Arial Narrow" w:hAnsi="Arial Narrow"/>
                <w:b/>
                <w:sz w:val="20"/>
              </w:rPr>
              <w:t>Increment</w:t>
            </w:r>
          </w:p>
        </w:tc>
      </w:tr>
      <w:tr w:rsidR="00B633FA" w:rsidTr="00A14C38">
        <w:tc>
          <w:tcPr>
            <w:tcW w:w="679" w:type="pct"/>
            <w:vMerge/>
          </w:tcPr>
          <w:p w:rsidR="00B633FA" w:rsidRPr="00B633FA" w:rsidRDefault="00B633FA" w:rsidP="00E408F9">
            <w:pPr>
              <w:rPr>
                <w:rFonts w:ascii="Arial Narrow" w:hAnsi="Arial Narrow"/>
                <w:sz w:val="20"/>
              </w:rPr>
            </w:pPr>
          </w:p>
        </w:tc>
        <w:tc>
          <w:tcPr>
            <w:tcW w:w="676" w:type="pct"/>
          </w:tcPr>
          <w:p w:rsidR="00B633FA" w:rsidRPr="00B633FA" w:rsidRDefault="00B633FA" w:rsidP="00E408F9">
            <w:pPr>
              <w:jc w:val="center"/>
              <w:rPr>
                <w:rFonts w:ascii="Arial Narrow" w:hAnsi="Arial Narrow"/>
                <w:b/>
                <w:sz w:val="20"/>
              </w:rPr>
            </w:pPr>
            <w:r w:rsidRPr="00B633FA">
              <w:rPr>
                <w:rFonts w:ascii="Arial Narrow" w:hAnsi="Arial Narrow"/>
                <w:b/>
                <w:sz w:val="20"/>
              </w:rPr>
              <w:t>Original subm</w:t>
            </w:r>
            <w:r w:rsidR="00A14C38">
              <w:rPr>
                <w:rFonts w:ascii="Arial Narrow" w:hAnsi="Arial Narrow"/>
                <w:b/>
                <w:sz w:val="20"/>
              </w:rPr>
              <w:t>ission</w:t>
            </w:r>
          </w:p>
        </w:tc>
        <w:tc>
          <w:tcPr>
            <w:tcW w:w="764" w:type="pct"/>
          </w:tcPr>
          <w:p w:rsidR="00B633FA" w:rsidRPr="00B633FA" w:rsidRDefault="00B633FA" w:rsidP="00A14C38">
            <w:pPr>
              <w:jc w:val="center"/>
              <w:rPr>
                <w:rFonts w:ascii="Arial Narrow" w:hAnsi="Arial Narrow"/>
                <w:b/>
                <w:sz w:val="20"/>
              </w:rPr>
            </w:pPr>
            <w:r w:rsidRPr="00B633FA">
              <w:rPr>
                <w:rFonts w:ascii="Arial Narrow" w:hAnsi="Arial Narrow"/>
                <w:b/>
                <w:sz w:val="20"/>
              </w:rPr>
              <w:t>S</w:t>
            </w:r>
            <w:r w:rsidR="00A14C38">
              <w:rPr>
                <w:rFonts w:ascii="Arial Narrow" w:hAnsi="Arial Narrow"/>
                <w:b/>
                <w:sz w:val="20"/>
              </w:rPr>
              <w:t>ponsor</w:t>
            </w:r>
            <w:r w:rsidRPr="00B633FA">
              <w:rPr>
                <w:rFonts w:ascii="Arial Narrow" w:hAnsi="Arial Narrow"/>
                <w:b/>
                <w:sz w:val="20"/>
              </w:rPr>
              <w:t xml:space="preserve"> revision</w:t>
            </w:r>
          </w:p>
        </w:tc>
        <w:tc>
          <w:tcPr>
            <w:tcW w:w="680" w:type="pct"/>
          </w:tcPr>
          <w:p w:rsidR="00B633FA" w:rsidRPr="00B633FA" w:rsidRDefault="00B633FA" w:rsidP="00E408F9">
            <w:pPr>
              <w:jc w:val="center"/>
              <w:rPr>
                <w:rFonts w:ascii="Arial Narrow" w:hAnsi="Arial Narrow"/>
                <w:b/>
                <w:sz w:val="20"/>
              </w:rPr>
            </w:pPr>
            <w:r w:rsidRPr="00B633FA">
              <w:rPr>
                <w:rFonts w:ascii="Arial Narrow" w:hAnsi="Arial Narrow"/>
                <w:b/>
                <w:sz w:val="20"/>
              </w:rPr>
              <w:t>Original subm</w:t>
            </w:r>
            <w:r w:rsidR="00A14C38">
              <w:rPr>
                <w:rFonts w:ascii="Arial Narrow" w:hAnsi="Arial Narrow"/>
                <w:b/>
                <w:sz w:val="20"/>
              </w:rPr>
              <w:t>ission</w:t>
            </w:r>
          </w:p>
        </w:tc>
        <w:tc>
          <w:tcPr>
            <w:tcW w:w="763" w:type="pct"/>
          </w:tcPr>
          <w:p w:rsidR="00B633FA" w:rsidRPr="00B633FA" w:rsidRDefault="00B633FA" w:rsidP="00A14C38">
            <w:pPr>
              <w:jc w:val="center"/>
              <w:rPr>
                <w:rFonts w:ascii="Arial Narrow" w:hAnsi="Arial Narrow"/>
                <w:b/>
                <w:sz w:val="20"/>
              </w:rPr>
            </w:pPr>
            <w:r w:rsidRPr="00B633FA">
              <w:rPr>
                <w:rFonts w:ascii="Arial Narrow" w:hAnsi="Arial Narrow"/>
                <w:b/>
                <w:sz w:val="20"/>
              </w:rPr>
              <w:t>S</w:t>
            </w:r>
            <w:r w:rsidR="00A14C38">
              <w:rPr>
                <w:rFonts w:ascii="Arial Narrow" w:hAnsi="Arial Narrow"/>
                <w:b/>
                <w:sz w:val="20"/>
              </w:rPr>
              <w:t>ponsor</w:t>
            </w:r>
            <w:r w:rsidRPr="00B633FA">
              <w:rPr>
                <w:rFonts w:ascii="Arial Narrow" w:hAnsi="Arial Narrow"/>
                <w:b/>
                <w:sz w:val="20"/>
              </w:rPr>
              <w:t xml:space="preserve"> revision</w:t>
            </w:r>
          </w:p>
        </w:tc>
        <w:tc>
          <w:tcPr>
            <w:tcW w:w="676" w:type="pct"/>
          </w:tcPr>
          <w:p w:rsidR="00B633FA" w:rsidRPr="00B633FA" w:rsidRDefault="00B633FA" w:rsidP="00E408F9">
            <w:pPr>
              <w:jc w:val="center"/>
              <w:rPr>
                <w:rFonts w:ascii="Arial Narrow" w:hAnsi="Arial Narrow"/>
                <w:b/>
                <w:sz w:val="20"/>
              </w:rPr>
            </w:pPr>
            <w:r w:rsidRPr="00B633FA">
              <w:rPr>
                <w:rFonts w:ascii="Arial Narrow" w:hAnsi="Arial Narrow"/>
                <w:b/>
                <w:sz w:val="20"/>
              </w:rPr>
              <w:t>Original subm</w:t>
            </w:r>
            <w:r w:rsidR="00A14C38">
              <w:rPr>
                <w:rFonts w:ascii="Arial Narrow" w:hAnsi="Arial Narrow"/>
                <w:b/>
                <w:sz w:val="20"/>
              </w:rPr>
              <w:t>ission</w:t>
            </w:r>
          </w:p>
        </w:tc>
        <w:tc>
          <w:tcPr>
            <w:tcW w:w="762" w:type="pct"/>
          </w:tcPr>
          <w:p w:rsidR="00B633FA" w:rsidRPr="00B633FA" w:rsidRDefault="00B633FA" w:rsidP="00A14C38">
            <w:pPr>
              <w:jc w:val="center"/>
              <w:rPr>
                <w:rFonts w:ascii="Arial Narrow" w:hAnsi="Arial Narrow"/>
                <w:b/>
                <w:sz w:val="20"/>
              </w:rPr>
            </w:pPr>
            <w:r w:rsidRPr="00B633FA">
              <w:rPr>
                <w:rFonts w:ascii="Arial Narrow" w:hAnsi="Arial Narrow"/>
                <w:b/>
                <w:sz w:val="20"/>
              </w:rPr>
              <w:t>S</w:t>
            </w:r>
            <w:r w:rsidR="00A14C38">
              <w:rPr>
                <w:rFonts w:ascii="Arial Narrow" w:hAnsi="Arial Narrow"/>
                <w:b/>
                <w:sz w:val="20"/>
              </w:rPr>
              <w:t>ponsor</w:t>
            </w:r>
            <w:r w:rsidRPr="00B633FA">
              <w:rPr>
                <w:rFonts w:ascii="Arial Narrow" w:hAnsi="Arial Narrow"/>
                <w:b/>
                <w:sz w:val="20"/>
              </w:rPr>
              <w:t xml:space="preserve"> revision</w:t>
            </w:r>
          </w:p>
        </w:tc>
      </w:tr>
      <w:tr w:rsidR="00B633FA" w:rsidTr="00A14C38">
        <w:tc>
          <w:tcPr>
            <w:tcW w:w="679" w:type="pct"/>
          </w:tcPr>
          <w:p w:rsidR="00B633FA" w:rsidRPr="00B633FA" w:rsidRDefault="00B633FA" w:rsidP="00E408F9">
            <w:pPr>
              <w:rPr>
                <w:rFonts w:ascii="Arial Narrow" w:hAnsi="Arial Narrow"/>
                <w:sz w:val="20"/>
              </w:rPr>
            </w:pPr>
            <w:r w:rsidRPr="00B633FA">
              <w:rPr>
                <w:rFonts w:ascii="Arial Narrow" w:hAnsi="Arial Narrow"/>
                <w:sz w:val="20"/>
              </w:rPr>
              <w:t>Costs</w:t>
            </w:r>
          </w:p>
        </w:tc>
        <w:tc>
          <w:tcPr>
            <w:tcW w:w="676"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c>
          <w:tcPr>
            <w:tcW w:w="764"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c>
          <w:tcPr>
            <w:tcW w:w="680"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c>
          <w:tcPr>
            <w:tcW w:w="763"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c>
          <w:tcPr>
            <w:tcW w:w="676"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c>
          <w:tcPr>
            <w:tcW w:w="762" w:type="pct"/>
          </w:tcPr>
          <w:p w:rsidR="00B633FA" w:rsidRPr="00B633FA" w:rsidRDefault="00B633FA" w:rsidP="00E408F9">
            <w:pPr>
              <w:jc w:val="center"/>
              <w:rPr>
                <w:rFonts w:ascii="Arial Narrow" w:hAnsi="Arial Narrow"/>
                <w:sz w:val="20"/>
              </w:rPr>
            </w:pPr>
            <w:r w:rsidRPr="00B633FA">
              <w:rPr>
                <w:rFonts w:ascii="Arial Narrow" w:hAnsi="Arial Narrow"/>
                <w:sz w:val="20"/>
              </w:rPr>
              <w:t>$</w:t>
            </w:r>
            <w:r w:rsidR="006D73F0">
              <w:rPr>
                <w:rFonts w:ascii="Arial Narrow" w:hAnsi="Arial Narrow"/>
                <w:noProof/>
                <w:color w:val="000000"/>
                <w:sz w:val="20"/>
                <w:highlight w:val="black"/>
              </w:rPr>
              <w:t>'''''''''''''''''''''</w:t>
            </w:r>
          </w:p>
        </w:tc>
      </w:tr>
      <w:tr w:rsidR="00B633FA" w:rsidTr="00A14C38">
        <w:tc>
          <w:tcPr>
            <w:tcW w:w="679" w:type="pct"/>
          </w:tcPr>
          <w:p w:rsidR="00B633FA" w:rsidRPr="00B633FA" w:rsidRDefault="00B633FA" w:rsidP="00E408F9">
            <w:pPr>
              <w:rPr>
                <w:rFonts w:ascii="Arial Narrow" w:hAnsi="Arial Narrow"/>
                <w:sz w:val="20"/>
              </w:rPr>
            </w:pPr>
            <w:r w:rsidRPr="00B633FA">
              <w:rPr>
                <w:rFonts w:ascii="Arial Narrow" w:hAnsi="Arial Narrow"/>
                <w:sz w:val="20"/>
              </w:rPr>
              <w:t>QALYs</w:t>
            </w:r>
          </w:p>
        </w:tc>
        <w:tc>
          <w:tcPr>
            <w:tcW w:w="676" w:type="pct"/>
          </w:tcPr>
          <w:p w:rsidR="00B633FA" w:rsidRPr="00B633FA" w:rsidRDefault="00B633FA" w:rsidP="00E408F9">
            <w:pPr>
              <w:jc w:val="center"/>
              <w:rPr>
                <w:rFonts w:ascii="Arial Narrow" w:hAnsi="Arial Narrow"/>
                <w:sz w:val="20"/>
              </w:rPr>
            </w:pPr>
            <w:r w:rsidRPr="00B633FA">
              <w:rPr>
                <w:rFonts w:ascii="Arial Narrow" w:hAnsi="Arial Narrow"/>
                <w:sz w:val="20"/>
              </w:rPr>
              <w:t>3.290</w:t>
            </w:r>
          </w:p>
        </w:tc>
        <w:tc>
          <w:tcPr>
            <w:tcW w:w="764" w:type="pct"/>
          </w:tcPr>
          <w:p w:rsidR="00B633FA" w:rsidRPr="00B633FA" w:rsidRDefault="00B633FA" w:rsidP="00E408F9">
            <w:pPr>
              <w:jc w:val="center"/>
              <w:rPr>
                <w:rFonts w:ascii="Arial Narrow" w:hAnsi="Arial Narrow"/>
                <w:sz w:val="20"/>
              </w:rPr>
            </w:pPr>
            <w:r w:rsidRPr="00B633FA">
              <w:rPr>
                <w:rFonts w:ascii="Arial Narrow" w:hAnsi="Arial Narrow"/>
                <w:sz w:val="20"/>
              </w:rPr>
              <w:t>3.290</w:t>
            </w:r>
          </w:p>
        </w:tc>
        <w:tc>
          <w:tcPr>
            <w:tcW w:w="680" w:type="pct"/>
          </w:tcPr>
          <w:p w:rsidR="00B633FA" w:rsidRPr="00B633FA" w:rsidRDefault="00B633FA" w:rsidP="00E408F9">
            <w:pPr>
              <w:jc w:val="center"/>
              <w:rPr>
                <w:rFonts w:ascii="Arial Narrow" w:hAnsi="Arial Narrow"/>
                <w:sz w:val="20"/>
              </w:rPr>
            </w:pPr>
            <w:r w:rsidRPr="00B633FA">
              <w:rPr>
                <w:rFonts w:ascii="Arial Narrow" w:hAnsi="Arial Narrow"/>
                <w:sz w:val="20"/>
              </w:rPr>
              <w:t>2.058</w:t>
            </w:r>
          </w:p>
        </w:tc>
        <w:tc>
          <w:tcPr>
            <w:tcW w:w="763" w:type="pct"/>
            <w:tcBorders>
              <w:bottom w:val="single" w:sz="4" w:space="0" w:color="auto"/>
            </w:tcBorders>
          </w:tcPr>
          <w:p w:rsidR="00B633FA" w:rsidRPr="00B633FA" w:rsidRDefault="00B633FA" w:rsidP="00E408F9">
            <w:pPr>
              <w:jc w:val="center"/>
              <w:rPr>
                <w:rFonts w:ascii="Arial Narrow" w:hAnsi="Arial Narrow"/>
                <w:sz w:val="20"/>
              </w:rPr>
            </w:pPr>
            <w:r w:rsidRPr="00B633FA">
              <w:rPr>
                <w:rFonts w:ascii="Arial Narrow" w:hAnsi="Arial Narrow"/>
                <w:sz w:val="20"/>
              </w:rPr>
              <w:t>2.058</w:t>
            </w:r>
          </w:p>
        </w:tc>
        <w:tc>
          <w:tcPr>
            <w:tcW w:w="676" w:type="pct"/>
            <w:tcBorders>
              <w:bottom w:val="single" w:sz="4" w:space="0" w:color="auto"/>
            </w:tcBorders>
          </w:tcPr>
          <w:p w:rsidR="00B633FA" w:rsidRPr="00B633FA" w:rsidRDefault="00B633FA" w:rsidP="00E408F9">
            <w:pPr>
              <w:jc w:val="center"/>
              <w:rPr>
                <w:rFonts w:ascii="Arial Narrow" w:hAnsi="Arial Narrow"/>
                <w:sz w:val="20"/>
              </w:rPr>
            </w:pPr>
            <w:r w:rsidRPr="00B633FA">
              <w:rPr>
                <w:rFonts w:ascii="Arial Narrow" w:hAnsi="Arial Narrow"/>
                <w:sz w:val="20"/>
              </w:rPr>
              <w:t>1.232</w:t>
            </w:r>
          </w:p>
        </w:tc>
        <w:tc>
          <w:tcPr>
            <w:tcW w:w="762" w:type="pct"/>
          </w:tcPr>
          <w:p w:rsidR="00B633FA" w:rsidRPr="00B633FA" w:rsidRDefault="00B633FA" w:rsidP="00E408F9">
            <w:pPr>
              <w:jc w:val="center"/>
              <w:rPr>
                <w:rFonts w:ascii="Arial Narrow" w:hAnsi="Arial Narrow"/>
                <w:sz w:val="20"/>
              </w:rPr>
            </w:pPr>
            <w:r w:rsidRPr="00B633FA">
              <w:rPr>
                <w:rFonts w:ascii="Arial Narrow" w:hAnsi="Arial Narrow"/>
                <w:sz w:val="20"/>
              </w:rPr>
              <w:t>1.232</w:t>
            </w:r>
          </w:p>
        </w:tc>
      </w:tr>
      <w:tr w:rsidR="00B633FA" w:rsidTr="00A14C38">
        <w:tc>
          <w:tcPr>
            <w:tcW w:w="2799" w:type="pct"/>
            <w:gridSpan w:val="4"/>
            <w:tcBorders>
              <w:right w:val="nil"/>
            </w:tcBorders>
          </w:tcPr>
          <w:p w:rsidR="00B633FA" w:rsidRPr="00B633FA" w:rsidRDefault="00B633FA" w:rsidP="00C92356">
            <w:pPr>
              <w:rPr>
                <w:rFonts w:ascii="Arial Narrow" w:hAnsi="Arial Narrow"/>
                <w:sz w:val="20"/>
              </w:rPr>
            </w:pPr>
            <w:r w:rsidRPr="00B633FA">
              <w:rPr>
                <w:rFonts w:ascii="Arial Narrow" w:hAnsi="Arial Narrow"/>
                <w:b/>
                <w:sz w:val="20"/>
              </w:rPr>
              <w:t>Incremental cost/QALY</w:t>
            </w:r>
          </w:p>
        </w:tc>
        <w:tc>
          <w:tcPr>
            <w:tcW w:w="763" w:type="pct"/>
            <w:tcBorders>
              <w:left w:val="nil"/>
              <w:right w:val="single" w:sz="4" w:space="0" w:color="auto"/>
            </w:tcBorders>
          </w:tcPr>
          <w:p w:rsidR="00B633FA" w:rsidRPr="00B633FA" w:rsidRDefault="00B633FA" w:rsidP="00E408F9">
            <w:pPr>
              <w:jc w:val="right"/>
              <w:rPr>
                <w:rFonts w:ascii="Arial Narrow" w:hAnsi="Arial Narrow"/>
                <w:sz w:val="20"/>
              </w:rPr>
            </w:pPr>
            <w:r w:rsidRPr="00B633FA">
              <w:rPr>
                <w:rFonts w:ascii="Arial Narrow" w:hAnsi="Arial Narrow"/>
                <w:b/>
                <w:sz w:val="20"/>
              </w:rPr>
              <w:t xml:space="preserve">vs. </w:t>
            </w:r>
            <w:proofErr w:type="spellStart"/>
            <w:r w:rsidRPr="00B633FA">
              <w:rPr>
                <w:rFonts w:ascii="Arial Narrow" w:hAnsi="Arial Narrow"/>
                <w:b/>
                <w:sz w:val="20"/>
              </w:rPr>
              <w:t>Pembro</w:t>
            </w:r>
            <w:proofErr w:type="spellEnd"/>
            <w:r w:rsidRPr="00B633FA">
              <w:rPr>
                <w:rFonts w:ascii="Arial Narrow" w:hAnsi="Arial Narrow"/>
                <w:b/>
                <w:sz w:val="20"/>
              </w:rPr>
              <w:t>:</w:t>
            </w:r>
          </w:p>
        </w:tc>
        <w:tc>
          <w:tcPr>
            <w:tcW w:w="676" w:type="pct"/>
            <w:tcBorders>
              <w:left w:val="single" w:sz="4" w:space="0" w:color="auto"/>
            </w:tcBorders>
          </w:tcPr>
          <w:p w:rsidR="00B633FA" w:rsidRPr="00B633FA" w:rsidRDefault="00B633FA" w:rsidP="00E408F9">
            <w:pPr>
              <w:jc w:val="center"/>
              <w:rPr>
                <w:rFonts w:ascii="Arial Narrow" w:hAnsi="Arial Narrow"/>
                <w:sz w:val="20"/>
              </w:rPr>
            </w:pPr>
            <w:r w:rsidRPr="00B633FA">
              <w:rPr>
                <w:rFonts w:ascii="Arial Narrow" w:hAnsi="Arial Narrow"/>
                <w:b/>
                <w:sz w:val="20"/>
              </w:rPr>
              <w:t>$</w:t>
            </w:r>
            <w:r w:rsidR="006D73F0">
              <w:rPr>
                <w:rFonts w:ascii="Arial Narrow" w:hAnsi="Arial Narrow"/>
                <w:b/>
                <w:noProof/>
                <w:color w:val="000000"/>
                <w:sz w:val="20"/>
                <w:highlight w:val="black"/>
              </w:rPr>
              <w:t>'''''''''''''</w:t>
            </w:r>
          </w:p>
        </w:tc>
        <w:tc>
          <w:tcPr>
            <w:tcW w:w="762" w:type="pct"/>
          </w:tcPr>
          <w:p w:rsidR="00B633FA" w:rsidRPr="00B633FA" w:rsidRDefault="00B633FA" w:rsidP="00E408F9">
            <w:pPr>
              <w:jc w:val="center"/>
              <w:rPr>
                <w:rFonts w:ascii="Arial Narrow" w:hAnsi="Arial Narrow"/>
                <w:sz w:val="20"/>
              </w:rPr>
            </w:pPr>
            <w:r w:rsidRPr="00B633FA">
              <w:rPr>
                <w:rFonts w:ascii="Arial Narrow" w:hAnsi="Arial Narrow"/>
                <w:b/>
                <w:sz w:val="20"/>
              </w:rPr>
              <w:t>$</w:t>
            </w:r>
            <w:r w:rsidR="006D73F0">
              <w:rPr>
                <w:rFonts w:ascii="Arial Narrow" w:hAnsi="Arial Narrow"/>
                <w:b/>
                <w:noProof/>
                <w:color w:val="000000"/>
                <w:sz w:val="20"/>
                <w:highlight w:val="black"/>
              </w:rPr>
              <w:t>''''''''''''''''</w:t>
            </w:r>
          </w:p>
        </w:tc>
      </w:tr>
    </w:tbl>
    <w:p w:rsidR="00B633FA" w:rsidRDefault="00B633FA" w:rsidP="00B633FA">
      <w:pPr>
        <w:pStyle w:val="TableFooter"/>
        <w:ind w:left="709"/>
      </w:pPr>
      <w:r w:rsidRPr="00D13A3E">
        <w:t xml:space="preserve">Source: </w:t>
      </w:r>
      <w:r>
        <w:t xml:space="preserve">‘Appendix 1 and 2 </w:t>
      </w:r>
      <w:proofErr w:type="spellStart"/>
      <w:r>
        <w:t>Nivo_ipi</w:t>
      </w:r>
      <w:proofErr w:type="spellEnd"/>
      <w:r>
        <w:t xml:space="preserve"> combo model revised.xlsx’ and ‘Appendix 1 Section D – Combo vs </w:t>
      </w:r>
      <w:proofErr w:type="spellStart"/>
      <w:r>
        <w:t>nivo</w:t>
      </w:r>
      <w:proofErr w:type="spellEnd"/>
      <w:r>
        <w:t xml:space="preserve"> and </w:t>
      </w:r>
      <w:proofErr w:type="spellStart"/>
      <w:r>
        <w:t>ipi</w:t>
      </w:r>
      <w:proofErr w:type="spellEnd"/>
      <w:r>
        <w:t xml:space="preserve"> model.xlsx.’ and ‘Appendix 2 Section D – Combo vs </w:t>
      </w:r>
      <w:proofErr w:type="spellStart"/>
      <w:r>
        <w:t>pembro</w:t>
      </w:r>
      <w:proofErr w:type="spellEnd"/>
      <w:r>
        <w:t xml:space="preserve"> model.xlsx’</w:t>
      </w:r>
    </w:p>
    <w:p w:rsidR="00B633FA" w:rsidRPr="00D13A3E" w:rsidRDefault="00B633FA" w:rsidP="00B633FA">
      <w:pPr>
        <w:pStyle w:val="TableFooter"/>
        <w:ind w:left="709"/>
      </w:pPr>
      <w:proofErr w:type="spellStart"/>
      <w:r>
        <w:t>Ipi</w:t>
      </w:r>
      <w:proofErr w:type="spellEnd"/>
      <w:r>
        <w:t xml:space="preserve"> = </w:t>
      </w:r>
      <w:proofErr w:type="spellStart"/>
      <w:r>
        <w:t>ipilimumab</w:t>
      </w:r>
      <w:proofErr w:type="spellEnd"/>
      <w:r>
        <w:t xml:space="preserve">; </w:t>
      </w:r>
      <w:proofErr w:type="spellStart"/>
      <w:r>
        <w:t>Nivo</w:t>
      </w:r>
      <w:proofErr w:type="spellEnd"/>
      <w:r>
        <w:t xml:space="preserve"> = </w:t>
      </w:r>
      <w:proofErr w:type="spellStart"/>
      <w:r>
        <w:t>nivolumab</w:t>
      </w:r>
      <w:proofErr w:type="spellEnd"/>
      <w:r>
        <w:t xml:space="preserve">; </w:t>
      </w:r>
      <w:proofErr w:type="spellStart"/>
      <w:r>
        <w:t>Pembro</w:t>
      </w:r>
      <w:proofErr w:type="spellEnd"/>
      <w:r>
        <w:t xml:space="preserve"> = </w:t>
      </w:r>
      <w:proofErr w:type="spellStart"/>
      <w:r>
        <w:t>pembrolizumab</w:t>
      </w:r>
      <w:proofErr w:type="spellEnd"/>
      <w:r>
        <w:t>; QALY = Quality adjusted life-year</w:t>
      </w:r>
    </w:p>
    <w:p w:rsidR="00A14C38" w:rsidRPr="00804D03" w:rsidRDefault="00B633FA" w:rsidP="00B633FA">
      <w:pPr>
        <w:pStyle w:val="TableFooter"/>
        <w:ind w:left="709"/>
      </w:pPr>
      <w:r w:rsidRPr="00804D03">
        <w:t>Note: incremental costs and incremental QALYs were presented in 1000 person totals in the model. These values were divided by 1000 (individual patient average values) during the evaluation for clarity.</w:t>
      </w:r>
    </w:p>
    <w:p w:rsidR="003E147C" w:rsidRPr="003F0422" w:rsidRDefault="003E147C" w:rsidP="00D110BD">
      <w:pPr>
        <w:widowControl/>
        <w:rPr>
          <w:szCs w:val="22"/>
        </w:rPr>
      </w:pPr>
    </w:p>
    <w:p w:rsidR="003E147C" w:rsidRPr="009548E3" w:rsidRDefault="003E147C" w:rsidP="003E147C">
      <w:pPr>
        <w:pStyle w:val="ListParagraph"/>
        <w:numPr>
          <w:ilvl w:val="1"/>
          <w:numId w:val="6"/>
        </w:numPr>
        <w:rPr>
          <w:i/>
          <w:szCs w:val="22"/>
        </w:rPr>
      </w:pPr>
      <w:r w:rsidRPr="00005302">
        <w:t xml:space="preserve">Acknowledging that the submission was lodged before the </w:t>
      </w:r>
      <w:proofErr w:type="spellStart"/>
      <w:r w:rsidRPr="00005302">
        <w:t>nivolumab</w:t>
      </w:r>
      <w:proofErr w:type="spellEnd"/>
      <w:r w:rsidRPr="00005302">
        <w:t xml:space="preserve"> monotherapy </w:t>
      </w:r>
      <w:r w:rsidR="00923682" w:rsidRPr="00005302">
        <w:t>PBAC M</w:t>
      </w:r>
      <w:r w:rsidRPr="00005302">
        <w:t xml:space="preserve">inutes had been made available to the sponsor, the issues identified by the PBAC, particularly those regarding model structure were not addressed in current </w:t>
      </w:r>
      <w:r w:rsidRPr="00005302">
        <w:lastRenderedPageBreak/>
        <w:t xml:space="preserve">submission. These structural issues, combined with a lack of valid overall survival estimates, and unrealistic assumptions regarding </w:t>
      </w:r>
      <w:proofErr w:type="spellStart"/>
      <w:r w:rsidRPr="00005302">
        <w:t>nivolumab</w:t>
      </w:r>
      <w:proofErr w:type="spellEnd"/>
      <w:r w:rsidRPr="00005302">
        <w:t xml:space="preserve"> plus </w:t>
      </w:r>
      <w:proofErr w:type="spellStart"/>
      <w:r w:rsidRPr="00005302">
        <w:t>ipilimumab</w:t>
      </w:r>
      <w:proofErr w:type="spellEnd"/>
      <w:r w:rsidRPr="00005302">
        <w:t xml:space="preserve"> treatment costs and time horizon,</w:t>
      </w:r>
      <w:r w:rsidR="00E60247" w:rsidRPr="00005302">
        <w:t xml:space="preserve"> rendered the result</w:t>
      </w:r>
      <w:r w:rsidR="008B18C5" w:rsidRPr="00005302">
        <w:t xml:space="preserve">s </w:t>
      </w:r>
      <w:r w:rsidR="00E60247" w:rsidRPr="00005302">
        <w:t xml:space="preserve">unlikely to accurately represent the cost-effectiveness of </w:t>
      </w:r>
      <w:proofErr w:type="spellStart"/>
      <w:r w:rsidR="00E60247" w:rsidRPr="00005302">
        <w:t>nivolumab</w:t>
      </w:r>
      <w:proofErr w:type="spellEnd"/>
      <w:r w:rsidR="00E60247" w:rsidRPr="00005302">
        <w:t xml:space="preserve"> plus </w:t>
      </w:r>
      <w:proofErr w:type="spellStart"/>
      <w:r w:rsidR="00E60247" w:rsidRPr="00005302">
        <w:t>ipilimumab</w:t>
      </w:r>
      <w:proofErr w:type="spellEnd"/>
      <w:r w:rsidR="00E60247" w:rsidRPr="00005302">
        <w:t xml:space="preserve"> combination therapy</w:t>
      </w:r>
      <w:r w:rsidR="00E60247">
        <w:rPr>
          <w:i/>
        </w:rPr>
        <w:t>.</w:t>
      </w:r>
    </w:p>
    <w:p w:rsidR="003E147C" w:rsidRDefault="003E147C" w:rsidP="00C75C26">
      <w:pPr>
        <w:rPr>
          <w:szCs w:val="22"/>
        </w:rPr>
      </w:pPr>
    </w:p>
    <w:p w:rsidR="003E147C" w:rsidRPr="00005302" w:rsidRDefault="003E147C" w:rsidP="00AF0595">
      <w:pPr>
        <w:pStyle w:val="Heading2"/>
      </w:pPr>
      <w:r w:rsidRPr="00AF0595">
        <w:t>Drug cost/patient/course</w:t>
      </w:r>
      <w:r w:rsidRPr="00005302">
        <w:t xml:space="preserve">: </w:t>
      </w:r>
      <w:r w:rsidR="009B4358" w:rsidRPr="00E408F9">
        <w:t>$</w:t>
      </w:r>
      <w:r w:rsidR="006D73F0">
        <w:rPr>
          <w:noProof/>
          <w:color w:val="000000"/>
          <w:highlight w:val="black"/>
        </w:rPr>
        <w:t>'''''''''''''''''''''</w:t>
      </w:r>
      <w:r w:rsidR="00DE58B4" w:rsidRPr="00005302">
        <w:t>, including mark-ups and fees</w:t>
      </w:r>
      <w:r w:rsidRPr="00005302">
        <w:t>.</w:t>
      </w:r>
    </w:p>
    <w:p w:rsidR="003E147C" w:rsidRPr="00D54BA7" w:rsidRDefault="003E147C" w:rsidP="00C75C26">
      <w:pPr>
        <w:rPr>
          <w:szCs w:val="22"/>
        </w:rPr>
      </w:pPr>
    </w:p>
    <w:p w:rsidR="003E147C" w:rsidRPr="00005302" w:rsidRDefault="003E147C" w:rsidP="003E147C">
      <w:pPr>
        <w:pStyle w:val="ListParagraph"/>
        <w:numPr>
          <w:ilvl w:val="1"/>
          <w:numId w:val="6"/>
        </w:numPr>
        <w:rPr>
          <w:szCs w:val="22"/>
        </w:rPr>
      </w:pPr>
      <w:r w:rsidRPr="00743587">
        <w:t xml:space="preserve">A summary of the estimated drug cost/patient/course of </w:t>
      </w:r>
      <w:proofErr w:type="spellStart"/>
      <w:r w:rsidRPr="00743587">
        <w:t>nivolumab</w:t>
      </w:r>
      <w:proofErr w:type="spellEnd"/>
      <w:r w:rsidRPr="00743587">
        <w:t xml:space="preserve"> plus </w:t>
      </w:r>
      <w:proofErr w:type="spellStart"/>
      <w:r w:rsidRPr="00743587">
        <w:t>ipilimumab</w:t>
      </w:r>
      <w:proofErr w:type="spellEnd"/>
      <w:r w:rsidRPr="00743587">
        <w:t xml:space="preserve"> is presented in the table below. </w:t>
      </w:r>
      <w:r w:rsidRPr="00005302">
        <w:t xml:space="preserve">Based on the estimates presented in the submission, and the assumption of cost-parity of </w:t>
      </w:r>
      <w:proofErr w:type="spellStart"/>
      <w:r w:rsidRPr="00005302">
        <w:t>pembrolizumab</w:t>
      </w:r>
      <w:proofErr w:type="spellEnd"/>
      <w:r w:rsidRPr="00005302">
        <w:t xml:space="preserve"> and </w:t>
      </w:r>
      <w:proofErr w:type="spellStart"/>
      <w:r w:rsidRPr="00005302">
        <w:t>ipilimumab</w:t>
      </w:r>
      <w:proofErr w:type="spellEnd"/>
      <w:r w:rsidRPr="00005302">
        <w:t xml:space="preserve"> ($</w:t>
      </w:r>
      <w:r w:rsidR="00140EBB">
        <w:rPr>
          <w:noProof/>
          <w:color w:val="000000"/>
          <w:highlight w:val="black"/>
        </w:rPr>
        <w:t>''''''''''''''''</w:t>
      </w:r>
      <w:r w:rsidRPr="00005302">
        <w:t xml:space="preserve">/patient/course), the drug cost/patient/course for </w:t>
      </w:r>
      <w:proofErr w:type="spellStart"/>
      <w:r w:rsidRPr="00005302">
        <w:t>nivolumab</w:t>
      </w:r>
      <w:proofErr w:type="spellEnd"/>
      <w:r w:rsidRPr="00005302">
        <w:t xml:space="preserve"> plus </w:t>
      </w:r>
      <w:proofErr w:type="spellStart"/>
      <w:r w:rsidRPr="00005302">
        <w:t>ipilimumab</w:t>
      </w:r>
      <w:proofErr w:type="spellEnd"/>
      <w:r w:rsidRPr="00005302">
        <w:t xml:space="preserve"> was </w:t>
      </w:r>
      <w:r w:rsidR="006D73F0">
        <w:rPr>
          <w:noProof/>
          <w:color w:val="000000"/>
          <w:highlight w:val="black"/>
        </w:rPr>
        <w:t>''''''''''</w:t>
      </w:r>
      <w:r w:rsidRPr="00005302">
        <w:t xml:space="preserve"> times greater than that of </w:t>
      </w:r>
      <w:proofErr w:type="spellStart"/>
      <w:r w:rsidRPr="00005302">
        <w:t>pembrolizumab</w:t>
      </w:r>
      <w:proofErr w:type="spellEnd"/>
      <w:r w:rsidRPr="00005302">
        <w:t>.</w:t>
      </w:r>
    </w:p>
    <w:p w:rsidR="003E147C" w:rsidRPr="00124B44" w:rsidRDefault="003E147C" w:rsidP="00C75C26">
      <w:pPr>
        <w:rPr>
          <w:szCs w:val="22"/>
        </w:rPr>
      </w:pPr>
    </w:p>
    <w:p w:rsidR="003E147C" w:rsidRDefault="003E147C" w:rsidP="00C75C26">
      <w:pPr>
        <w:pStyle w:val="ListParagraph"/>
        <w:widowControl/>
        <w:rPr>
          <w:rFonts w:ascii="Arial Narrow" w:hAnsi="Arial Narrow"/>
          <w:b/>
          <w:sz w:val="20"/>
          <w:szCs w:val="22"/>
        </w:rPr>
      </w:pPr>
      <w:r>
        <w:rPr>
          <w:rStyle w:val="CommentReference"/>
        </w:rPr>
        <w:t xml:space="preserve">Table </w:t>
      </w:r>
      <w:r w:rsidR="005F4E5C">
        <w:rPr>
          <w:rStyle w:val="CommentReference"/>
        </w:rPr>
        <w:t>1</w:t>
      </w:r>
      <w:r w:rsidR="00503AAF">
        <w:rPr>
          <w:rStyle w:val="CommentReference"/>
        </w:rPr>
        <w:t>5</w:t>
      </w:r>
      <w:r w:rsidRPr="003F5A9C">
        <w:rPr>
          <w:rFonts w:ascii="Arial Narrow" w:hAnsi="Arial Narrow"/>
          <w:b/>
          <w:sz w:val="20"/>
          <w:szCs w:val="22"/>
        </w:rPr>
        <w:t xml:space="preserve">: </w:t>
      </w:r>
      <w:r>
        <w:rPr>
          <w:rFonts w:ascii="Arial Narrow" w:hAnsi="Arial Narrow"/>
          <w:b/>
          <w:sz w:val="20"/>
          <w:szCs w:val="22"/>
        </w:rPr>
        <w:t>Summary of</w:t>
      </w:r>
      <w:r w:rsidRPr="003F5A9C">
        <w:rPr>
          <w:rFonts w:ascii="Arial Narrow" w:hAnsi="Arial Narrow"/>
          <w:b/>
          <w:sz w:val="20"/>
          <w:szCs w:val="22"/>
        </w:rPr>
        <w:t xml:space="preserve"> drug costs/patient/course</w:t>
      </w:r>
      <w:r>
        <w:rPr>
          <w:rFonts w:ascii="Arial Narrow" w:hAnsi="Arial Narrow"/>
          <w:b/>
          <w:sz w:val="20"/>
          <w:szCs w:val="22"/>
        </w:rPr>
        <w:t xml:space="preserve"> for </w:t>
      </w:r>
      <w:proofErr w:type="spellStart"/>
      <w:r>
        <w:rPr>
          <w:rFonts w:ascii="Arial Narrow" w:hAnsi="Arial Narrow"/>
          <w:b/>
          <w:sz w:val="20"/>
          <w:szCs w:val="22"/>
        </w:rPr>
        <w:t>nivolumab</w:t>
      </w:r>
      <w:proofErr w:type="spellEnd"/>
      <w:r>
        <w:rPr>
          <w:rFonts w:ascii="Arial Narrow" w:hAnsi="Arial Narrow"/>
          <w:b/>
          <w:sz w:val="20"/>
          <w:szCs w:val="22"/>
        </w:rPr>
        <w:t xml:space="preserve"> plus </w:t>
      </w:r>
      <w:proofErr w:type="spellStart"/>
      <w:r>
        <w:rPr>
          <w:rFonts w:ascii="Arial Narrow" w:hAnsi="Arial Narrow"/>
          <w:b/>
          <w:sz w:val="20"/>
          <w:szCs w:val="22"/>
        </w:rPr>
        <w:t>ipilimumab</w:t>
      </w:r>
      <w:proofErr w:type="spellEnd"/>
    </w:p>
    <w:tbl>
      <w:tblPr>
        <w:tblStyle w:val="TableGrid"/>
        <w:tblW w:w="4604" w:type="pct"/>
        <w:tblInd w:w="737" w:type="dxa"/>
        <w:tblLayout w:type="fixed"/>
        <w:tblCellMar>
          <w:left w:w="28" w:type="dxa"/>
          <w:right w:w="28" w:type="dxa"/>
        </w:tblCellMar>
        <w:tblLook w:val="04A0" w:firstRow="1" w:lastRow="0" w:firstColumn="1" w:lastColumn="0" w:noHBand="0" w:noVBand="1"/>
        <w:tblCaption w:val="Table 15: Summary of drug costs/patient/course for nivolumab plus ipilimumab"/>
      </w:tblPr>
      <w:tblGrid>
        <w:gridCol w:w="710"/>
        <w:gridCol w:w="990"/>
        <w:gridCol w:w="3050"/>
        <w:gridCol w:w="1527"/>
        <w:gridCol w:w="1097"/>
        <w:gridCol w:w="990"/>
      </w:tblGrid>
      <w:tr w:rsidR="001264F2" w:rsidRPr="001264F2" w:rsidTr="006D73F0">
        <w:trPr>
          <w:tblHeader/>
        </w:trPr>
        <w:tc>
          <w:tcPr>
            <w:tcW w:w="424" w:type="pct"/>
            <w:vAlign w:val="center"/>
          </w:tcPr>
          <w:p w:rsidR="001264F2" w:rsidRPr="001264F2" w:rsidRDefault="001264F2" w:rsidP="00E408F9">
            <w:pPr>
              <w:rPr>
                <w:rFonts w:ascii="Arial Narrow" w:hAnsi="Arial Narrow"/>
                <w:b/>
                <w:sz w:val="20"/>
              </w:rPr>
            </w:pPr>
            <w:r w:rsidRPr="001264F2">
              <w:rPr>
                <w:rFonts w:ascii="Arial Narrow" w:hAnsi="Arial Narrow"/>
                <w:b/>
                <w:sz w:val="20"/>
              </w:rPr>
              <w:t>Drug</w:t>
            </w:r>
          </w:p>
        </w:tc>
        <w:tc>
          <w:tcPr>
            <w:tcW w:w="592" w:type="pct"/>
            <w:vAlign w:val="center"/>
          </w:tcPr>
          <w:p w:rsidR="001264F2" w:rsidRPr="001264F2" w:rsidRDefault="001264F2" w:rsidP="00E408F9">
            <w:pPr>
              <w:jc w:val="center"/>
              <w:rPr>
                <w:rFonts w:ascii="Arial Narrow" w:hAnsi="Arial Narrow"/>
                <w:b/>
                <w:sz w:val="20"/>
              </w:rPr>
            </w:pPr>
            <w:r w:rsidRPr="001264F2">
              <w:rPr>
                <w:rFonts w:ascii="Arial Narrow" w:hAnsi="Arial Narrow"/>
                <w:b/>
                <w:sz w:val="20"/>
              </w:rPr>
              <w:t>Parameter</w:t>
            </w:r>
          </w:p>
        </w:tc>
        <w:tc>
          <w:tcPr>
            <w:tcW w:w="1823" w:type="pct"/>
            <w:vAlign w:val="center"/>
          </w:tcPr>
          <w:p w:rsidR="001264F2" w:rsidRPr="001264F2" w:rsidRDefault="001264F2" w:rsidP="00E408F9">
            <w:pPr>
              <w:jc w:val="center"/>
              <w:rPr>
                <w:rFonts w:ascii="Arial Narrow" w:hAnsi="Arial Narrow"/>
                <w:b/>
                <w:sz w:val="20"/>
              </w:rPr>
            </w:pPr>
            <w:r w:rsidRPr="001264F2">
              <w:rPr>
                <w:rFonts w:ascii="Arial Narrow" w:hAnsi="Arial Narrow"/>
                <w:b/>
                <w:sz w:val="20"/>
              </w:rPr>
              <w:t>Source</w:t>
            </w:r>
          </w:p>
        </w:tc>
        <w:tc>
          <w:tcPr>
            <w:tcW w:w="913" w:type="pct"/>
            <w:vAlign w:val="center"/>
          </w:tcPr>
          <w:p w:rsidR="001264F2" w:rsidRPr="001264F2" w:rsidRDefault="001264F2" w:rsidP="00E408F9">
            <w:pPr>
              <w:jc w:val="center"/>
              <w:rPr>
                <w:rFonts w:ascii="Arial Narrow" w:hAnsi="Arial Narrow"/>
                <w:b/>
                <w:sz w:val="20"/>
              </w:rPr>
            </w:pPr>
            <w:r w:rsidRPr="001264F2">
              <w:rPr>
                <w:rFonts w:ascii="Arial Narrow" w:hAnsi="Arial Narrow"/>
                <w:b/>
                <w:sz w:val="20"/>
              </w:rPr>
              <w:t>Number of vials and doses</w:t>
            </w:r>
          </w:p>
        </w:tc>
        <w:tc>
          <w:tcPr>
            <w:tcW w:w="656" w:type="pct"/>
            <w:vAlign w:val="center"/>
          </w:tcPr>
          <w:p w:rsidR="001264F2" w:rsidRPr="001264F2" w:rsidRDefault="001264F2" w:rsidP="00E408F9">
            <w:pPr>
              <w:jc w:val="center"/>
              <w:rPr>
                <w:rFonts w:ascii="Arial Narrow" w:hAnsi="Arial Narrow"/>
                <w:b/>
                <w:sz w:val="20"/>
              </w:rPr>
            </w:pPr>
            <w:r w:rsidRPr="001264F2">
              <w:rPr>
                <w:rFonts w:ascii="Arial Narrow" w:hAnsi="Arial Narrow"/>
                <w:b/>
                <w:sz w:val="20"/>
              </w:rPr>
              <w:t>Drug costs per infusion</w:t>
            </w:r>
          </w:p>
        </w:tc>
        <w:tc>
          <w:tcPr>
            <w:tcW w:w="592" w:type="pct"/>
            <w:vAlign w:val="center"/>
          </w:tcPr>
          <w:p w:rsidR="001264F2" w:rsidRPr="001264F2" w:rsidRDefault="001264F2" w:rsidP="00E408F9">
            <w:pPr>
              <w:jc w:val="center"/>
              <w:rPr>
                <w:rFonts w:ascii="Arial Narrow" w:hAnsi="Arial Narrow"/>
                <w:b/>
                <w:sz w:val="20"/>
              </w:rPr>
            </w:pPr>
            <w:r w:rsidRPr="001264F2">
              <w:rPr>
                <w:rFonts w:ascii="Arial Narrow" w:hAnsi="Arial Narrow"/>
                <w:b/>
                <w:sz w:val="20"/>
              </w:rPr>
              <w:t>Drug costs per patient</w:t>
            </w:r>
          </w:p>
        </w:tc>
      </w:tr>
      <w:tr w:rsidR="001264F2" w:rsidRPr="001264F2" w:rsidTr="001264F2">
        <w:tc>
          <w:tcPr>
            <w:tcW w:w="5000" w:type="pct"/>
            <w:gridSpan w:val="6"/>
            <w:vAlign w:val="center"/>
          </w:tcPr>
          <w:p w:rsidR="001264F2" w:rsidRPr="001264F2" w:rsidRDefault="001264F2" w:rsidP="00E408F9">
            <w:pPr>
              <w:jc w:val="left"/>
              <w:rPr>
                <w:rFonts w:ascii="Arial Narrow" w:hAnsi="Arial Narrow"/>
                <w:sz w:val="20"/>
              </w:rPr>
            </w:pPr>
            <w:r w:rsidRPr="001264F2">
              <w:rPr>
                <w:rFonts w:ascii="Arial Narrow" w:hAnsi="Arial Narrow"/>
                <w:sz w:val="20"/>
              </w:rPr>
              <w:t>Combination phase</w:t>
            </w:r>
          </w:p>
        </w:tc>
      </w:tr>
      <w:tr w:rsidR="001264F2" w:rsidRPr="001264F2" w:rsidTr="001264F2">
        <w:tc>
          <w:tcPr>
            <w:tcW w:w="424" w:type="pct"/>
            <w:vMerge w:val="restart"/>
            <w:vAlign w:val="center"/>
          </w:tcPr>
          <w:p w:rsidR="001264F2" w:rsidRPr="001264F2" w:rsidRDefault="001264F2" w:rsidP="001264F2">
            <w:pPr>
              <w:rPr>
                <w:rFonts w:ascii="Arial Narrow" w:hAnsi="Arial Narrow"/>
                <w:sz w:val="20"/>
              </w:rPr>
            </w:pPr>
            <w:proofErr w:type="spellStart"/>
            <w:r w:rsidRPr="001264F2">
              <w:rPr>
                <w:rFonts w:ascii="Arial Narrow" w:hAnsi="Arial Narrow"/>
                <w:sz w:val="20"/>
              </w:rPr>
              <w:t>Nivo</w:t>
            </w:r>
            <w:proofErr w:type="spellEnd"/>
          </w:p>
        </w:tc>
        <w:tc>
          <w:tcPr>
            <w:tcW w:w="592" w:type="pc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Doses per patient</w:t>
            </w:r>
          </w:p>
        </w:tc>
        <w:tc>
          <w:tcPr>
            <w:tcW w:w="1823" w:type="pc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 xml:space="preserve">Combination phase CA209-067: Q3W </w:t>
            </w:r>
          </w:p>
        </w:tc>
        <w:tc>
          <w:tcPr>
            <w:tcW w:w="913" w:type="pc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 xml:space="preserve">4.0 </w:t>
            </w:r>
          </w:p>
        </w:tc>
        <w:tc>
          <w:tcPr>
            <w:tcW w:w="656" w:type="pct"/>
            <w:vMerge w:val="restar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w:t>
            </w:r>
            <w:r w:rsidR="006D73F0">
              <w:rPr>
                <w:rFonts w:ascii="Arial Narrow" w:hAnsi="Arial Narrow"/>
                <w:noProof/>
                <w:color w:val="000000"/>
                <w:sz w:val="20"/>
                <w:highlight w:val="black"/>
              </w:rPr>
              <w:t>'''''''''''''''</w:t>
            </w:r>
          </w:p>
          <w:p w:rsidR="001264F2" w:rsidRPr="001264F2" w:rsidRDefault="001264F2" w:rsidP="00E408F9">
            <w:pPr>
              <w:jc w:val="center"/>
              <w:rPr>
                <w:rFonts w:ascii="Arial Narrow" w:hAnsi="Arial Narrow"/>
                <w:sz w:val="20"/>
              </w:rPr>
            </w:pPr>
            <w:r w:rsidRPr="001264F2">
              <w:rPr>
                <w:rFonts w:ascii="Arial Narrow" w:hAnsi="Arial Narrow"/>
                <w:sz w:val="20"/>
              </w:rPr>
              <w:t>(ex-man)</w:t>
            </w:r>
          </w:p>
          <w:p w:rsidR="001264F2" w:rsidRPr="001264F2" w:rsidRDefault="001264F2" w:rsidP="00E408F9">
            <w:pPr>
              <w:jc w:val="center"/>
              <w:rPr>
                <w:rFonts w:ascii="Arial Narrow" w:hAnsi="Arial Narrow"/>
                <w:sz w:val="20"/>
              </w:rPr>
            </w:pPr>
            <w:r w:rsidRPr="001264F2">
              <w:rPr>
                <w:rFonts w:ascii="Arial Narrow" w:hAnsi="Arial Narrow"/>
                <w:sz w:val="20"/>
              </w:rPr>
              <w:t>$</w:t>
            </w:r>
            <w:r w:rsidR="006D73F0">
              <w:rPr>
                <w:rFonts w:ascii="Arial Narrow" w:hAnsi="Arial Narrow"/>
                <w:noProof/>
                <w:color w:val="000000"/>
                <w:sz w:val="20"/>
                <w:highlight w:val="black"/>
              </w:rPr>
              <w:t>'''''''''''''''</w:t>
            </w:r>
          </w:p>
          <w:p w:rsidR="001264F2" w:rsidRPr="001264F2" w:rsidRDefault="001264F2" w:rsidP="00E408F9">
            <w:pPr>
              <w:jc w:val="center"/>
              <w:rPr>
                <w:rFonts w:ascii="Arial Narrow" w:hAnsi="Arial Narrow"/>
                <w:sz w:val="20"/>
              </w:rPr>
            </w:pPr>
            <w:r w:rsidRPr="001264F2">
              <w:rPr>
                <w:rFonts w:ascii="Arial Narrow" w:hAnsi="Arial Narrow"/>
                <w:sz w:val="20"/>
              </w:rPr>
              <w:t>(as dispensed)</w:t>
            </w:r>
          </w:p>
        </w:tc>
        <w:tc>
          <w:tcPr>
            <w:tcW w:w="592" w:type="pct"/>
            <w:vMerge w:val="restar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w:t>
            </w:r>
            <w:r w:rsidR="006D73F0">
              <w:rPr>
                <w:rFonts w:ascii="Arial Narrow" w:hAnsi="Arial Narrow"/>
                <w:noProof/>
                <w:color w:val="000000"/>
                <w:sz w:val="20"/>
                <w:highlight w:val="black"/>
              </w:rPr>
              <w:t>''''''''''''''''</w:t>
            </w:r>
          </w:p>
          <w:p w:rsidR="001264F2" w:rsidRPr="001264F2" w:rsidRDefault="001264F2" w:rsidP="00E408F9">
            <w:pPr>
              <w:jc w:val="center"/>
              <w:rPr>
                <w:rFonts w:ascii="Arial Narrow" w:hAnsi="Arial Narrow"/>
                <w:sz w:val="20"/>
              </w:rPr>
            </w:pPr>
            <w:r w:rsidRPr="001264F2">
              <w:rPr>
                <w:rFonts w:ascii="Arial Narrow" w:hAnsi="Arial Narrow"/>
                <w:sz w:val="20"/>
              </w:rPr>
              <w:t>(as dispensed)</w:t>
            </w:r>
          </w:p>
        </w:tc>
      </w:tr>
      <w:tr w:rsidR="001264F2" w:rsidRPr="001264F2" w:rsidTr="001264F2">
        <w:tc>
          <w:tcPr>
            <w:tcW w:w="424" w:type="pct"/>
            <w:vMerge/>
            <w:vAlign w:val="center"/>
          </w:tcPr>
          <w:p w:rsidR="001264F2" w:rsidRPr="001264F2" w:rsidRDefault="001264F2" w:rsidP="00E408F9">
            <w:pPr>
              <w:rPr>
                <w:rFonts w:ascii="Arial Narrow" w:hAnsi="Arial Narrow"/>
                <w:sz w:val="20"/>
              </w:rPr>
            </w:pPr>
          </w:p>
        </w:tc>
        <w:tc>
          <w:tcPr>
            <w:tcW w:w="592" w:type="pc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Vials per admin</w:t>
            </w:r>
          </w:p>
        </w:tc>
        <w:tc>
          <w:tcPr>
            <w:tcW w:w="1823" w:type="pct"/>
            <w:vAlign w:val="center"/>
          </w:tcPr>
          <w:p w:rsidR="001264F2" w:rsidRPr="001264F2" w:rsidRDefault="001264F2" w:rsidP="00A14C38">
            <w:pPr>
              <w:jc w:val="center"/>
              <w:rPr>
                <w:rFonts w:ascii="Arial Narrow" w:hAnsi="Arial Narrow"/>
                <w:sz w:val="20"/>
              </w:rPr>
            </w:pPr>
            <w:r w:rsidRPr="001264F2">
              <w:rPr>
                <w:rFonts w:ascii="Arial Narrow" w:hAnsi="Arial Narrow"/>
                <w:sz w:val="20"/>
              </w:rPr>
              <w:t xml:space="preserve">Ipilimumab patient registry (ACOL) mean weight for </w:t>
            </w:r>
            <w:proofErr w:type="spellStart"/>
            <w:r w:rsidRPr="001264F2">
              <w:rPr>
                <w:rFonts w:ascii="Arial Narrow" w:hAnsi="Arial Narrow"/>
                <w:sz w:val="20"/>
              </w:rPr>
              <w:t>nivolumab</w:t>
            </w:r>
            <w:proofErr w:type="spellEnd"/>
            <w:r w:rsidRPr="001264F2">
              <w:rPr>
                <w:rFonts w:ascii="Arial Narrow" w:hAnsi="Arial Narrow"/>
                <w:sz w:val="20"/>
              </w:rPr>
              <w:t xml:space="preserve"> patients: 81.4kg</w:t>
            </w:r>
          </w:p>
        </w:tc>
        <w:tc>
          <w:tcPr>
            <w:tcW w:w="913" w:type="pc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 xml:space="preserve">40mg/4ml: 0; </w:t>
            </w:r>
          </w:p>
          <w:p w:rsidR="001264F2" w:rsidRPr="001264F2" w:rsidRDefault="001264F2" w:rsidP="00E408F9">
            <w:pPr>
              <w:jc w:val="center"/>
              <w:rPr>
                <w:rFonts w:ascii="Arial Narrow" w:hAnsi="Arial Narrow"/>
                <w:sz w:val="20"/>
              </w:rPr>
            </w:pPr>
            <w:r w:rsidRPr="001264F2">
              <w:rPr>
                <w:rFonts w:ascii="Arial Narrow" w:hAnsi="Arial Narrow"/>
                <w:sz w:val="20"/>
              </w:rPr>
              <w:t>100mg/10ml: 1</w:t>
            </w:r>
          </w:p>
        </w:tc>
        <w:tc>
          <w:tcPr>
            <w:tcW w:w="656" w:type="pct"/>
            <w:vMerge/>
            <w:vAlign w:val="center"/>
          </w:tcPr>
          <w:p w:rsidR="001264F2" w:rsidRPr="001264F2" w:rsidRDefault="001264F2" w:rsidP="00E408F9">
            <w:pPr>
              <w:jc w:val="center"/>
              <w:rPr>
                <w:rFonts w:ascii="Arial Narrow" w:hAnsi="Arial Narrow"/>
                <w:sz w:val="20"/>
              </w:rPr>
            </w:pPr>
          </w:p>
        </w:tc>
        <w:tc>
          <w:tcPr>
            <w:tcW w:w="592" w:type="pct"/>
            <w:vMerge/>
            <w:vAlign w:val="center"/>
          </w:tcPr>
          <w:p w:rsidR="001264F2" w:rsidRPr="001264F2" w:rsidRDefault="001264F2" w:rsidP="00E408F9">
            <w:pPr>
              <w:jc w:val="center"/>
              <w:rPr>
                <w:rFonts w:ascii="Arial Narrow" w:hAnsi="Arial Narrow"/>
                <w:sz w:val="20"/>
              </w:rPr>
            </w:pPr>
          </w:p>
        </w:tc>
      </w:tr>
      <w:tr w:rsidR="001264F2" w:rsidRPr="001264F2" w:rsidTr="001264F2">
        <w:tc>
          <w:tcPr>
            <w:tcW w:w="424" w:type="pct"/>
            <w:vMerge w:val="restart"/>
            <w:vAlign w:val="center"/>
          </w:tcPr>
          <w:p w:rsidR="001264F2" w:rsidRPr="001264F2" w:rsidRDefault="001264F2" w:rsidP="001264F2">
            <w:pPr>
              <w:rPr>
                <w:rFonts w:ascii="Arial Narrow" w:hAnsi="Arial Narrow"/>
                <w:sz w:val="20"/>
              </w:rPr>
            </w:pPr>
            <w:proofErr w:type="spellStart"/>
            <w:r w:rsidRPr="001264F2">
              <w:rPr>
                <w:rFonts w:ascii="Arial Narrow" w:hAnsi="Arial Narrow"/>
                <w:sz w:val="20"/>
              </w:rPr>
              <w:t>Ipi</w:t>
            </w:r>
            <w:proofErr w:type="spellEnd"/>
          </w:p>
        </w:tc>
        <w:tc>
          <w:tcPr>
            <w:tcW w:w="592" w:type="pc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Doses per patient</w:t>
            </w:r>
          </w:p>
        </w:tc>
        <w:tc>
          <w:tcPr>
            <w:tcW w:w="1823" w:type="pc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Combination phase CA209-067</w:t>
            </w:r>
          </w:p>
        </w:tc>
        <w:tc>
          <w:tcPr>
            <w:tcW w:w="913" w:type="pc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4.0</w:t>
            </w:r>
          </w:p>
        </w:tc>
        <w:tc>
          <w:tcPr>
            <w:tcW w:w="656" w:type="pct"/>
            <w:vMerge/>
            <w:vAlign w:val="center"/>
          </w:tcPr>
          <w:p w:rsidR="001264F2" w:rsidRPr="001264F2" w:rsidRDefault="001264F2" w:rsidP="00E408F9">
            <w:pPr>
              <w:jc w:val="center"/>
              <w:rPr>
                <w:rFonts w:ascii="Arial Narrow" w:hAnsi="Arial Narrow"/>
                <w:sz w:val="20"/>
              </w:rPr>
            </w:pPr>
          </w:p>
        </w:tc>
        <w:tc>
          <w:tcPr>
            <w:tcW w:w="592" w:type="pct"/>
            <w:vMerge/>
            <w:vAlign w:val="center"/>
          </w:tcPr>
          <w:p w:rsidR="001264F2" w:rsidRPr="001264F2" w:rsidRDefault="001264F2" w:rsidP="00E408F9">
            <w:pPr>
              <w:jc w:val="center"/>
              <w:rPr>
                <w:rFonts w:ascii="Arial Narrow" w:hAnsi="Arial Narrow"/>
                <w:sz w:val="20"/>
              </w:rPr>
            </w:pPr>
          </w:p>
        </w:tc>
      </w:tr>
      <w:tr w:rsidR="001264F2" w:rsidRPr="001264F2" w:rsidTr="001264F2">
        <w:tc>
          <w:tcPr>
            <w:tcW w:w="424" w:type="pct"/>
            <w:vMerge/>
            <w:vAlign w:val="center"/>
          </w:tcPr>
          <w:p w:rsidR="001264F2" w:rsidRPr="001264F2" w:rsidRDefault="001264F2" w:rsidP="00E408F9">
            <w:pPr>
              <w:rPr>
                <w:rFonts w:ascii="Arial Narrow" w:hAnsi="Arial Narrow"/>
                <w:sz w:val="20"/>
              </w:rPr>
            </w:pPr>
          </w:p>
        </w:tc>
        <w:tc>
          <w:tcPr>
            <w:tcW w:w="592" w:type="pc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Vials per admin</w:t>
            </w:r>
          </w:p>
        </w:tc>
        <w:tc>
          <w:tcPr>
            <w:tcW w:w="1823" w:type="pct"/>
            <w:vAlign w:val="center"/>
          </w:tcPr>
          <w:p w:rsidR="001264F2" w:rsidRPr="001264F2" w:rsidRDefault="001264F2" w:rsidP="00A14C38">
            <w:pPr>
              <w:jc w:val="center"/>
              <w:rPr>
                <w:rFonts w:ascii="Arial Narrow" w:hAnsi="Arial Narrow"/>
                <w:sz w:val="20"/>
              </w:rPr>
            </w:pPr>
            <w:r w:rsidRPr="001264F2">
              <w:rPr>
                <w:rFonts w:ascii="Arial Narrow" w:hAnsi="Arial Narrow"/>
                <w:sz w:val="20"/>
              </w:rPr>
              <w:t xml:space="preserve">Ipilimumab patient registry (ACOL) mean weight for </w:t>
            </w:r>
            <w:proofErr w:type="spellStart"/>
            <w:r w:rsidRPr="001264F2">
              <w:rPr>
                <w:rFonts w:ascii="Arial Narrow" w:hAnsi="Arial Narrow"/>
                <w:sz w:val="20"/>
              </w:rPr>
              <w:t>nivolumab</w:t>
            </w:r>
            <w:proofErr w:type="spellEnd"/>
            <w:r w:rsidRPr="001264F2">
              <w:rPr>
                <w:rFonts w:ascii="Arial Narrow" w:hAnsi="Arial Narrow"/>
                <w:sz w:val="20"/>
              </w:rPr>
              <w:t xml:space="preserve"> patients: 81.4kg</w:t>
            </w:r>
          </w:p>
        </w:tc>
        <w:tc>
          <w:tcPr>
            <w:tcW w:w="913" w:type="pc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50mg/10mL: 0.88</w:t>
            </w:r>
          </w:p>
          <w:p w:rsidR="001264F2" w:rsidRPr="001264F2" w:rsidRDefault="001264F2" w:rsidP="00E408F9">
            <w:pPr>
              <w:jc w:val="center"/>
              <w:rPr>
                <w:rFonts w:ascii="Arial Narrow" w:hAnsi="Arial Narrow"/>
                <w:sz w:val="20"/>
              </w:rPr>
            </w:pPr>
            <w:r w:rsidRPr="001264F2">
              <w:rPr>
                <w:rFonts w:ascii="Arial Narrow" w:hAnsi="Arial Narrow"/>
                <w:sz w:val="20"/>
              </w:rPr>
              <w:t>200mg/40mL: 1.00</w:t>
            </w:r>
          </w:p>
        </w:tc>
        <w:tc>
          <w:tcPr>
            <w:tcW w:w="656" w:type="pct"/>
            <w:vMerge/>
            <w:vAlign w:val="center"/>
          </w:tcPr>
          <w:p w:rsidR="001264F2" w:rsidRPr="001264F2" w:rsidRDefault="001264F2" w:rsidP="00E408F9">
            <w:pPr>
              <w:jc w:val="center"/>
              <w:rPr>
                <w:rFonts w:ascii="Arial Narrow" w:hAnsi="Arial Narrow"/>
                <w:sz w:val="20"/>
              </w:rPr>
            </w:pPr>
          </w:p>
        </w:tc>
        <w:tc>
          <w:tcPr>
            <w:tcW w:w="592" w:type="pct"/>
            <w:vMerge/>
            <w:vAlign w:val="center"/>
          </w:tcPr>
          <w:p w:rsidR="001264F2" w:rsidRPr="001264F2" w:rsidRDefault="001264F2" w:rsidP="00E408F9">
            <w:pPr>
              <w:jc w:val="center"/>
              <w:rPr>
                <w:rFonts w:ascii="Arial Narrow" w:hAnsi="Arial Narrow"/>
                <w:sz w:val="20"/>
              </w:rPr>
            </w:pPr>
          </w:p>
        </w:tc>
      </w:tr>
      <w:tr w:rsidR="001264F2" w:rsidRPr="001264F2" w:rsidTr="001264F2">
        <w:tc>
          <w:tcPr>
            <w:tcW w:w="5000" w:type="pct"/>
            <w:gridSpan w:val="6"/>
            <w:vAlign w:val="center"/>
          </w:tcPr>
          <w:p w:rsidR="001264F2" w:rsidRPr="001264F2" w:rsidRDefault="001264F2" w:rsidP="00E408F9">
            <w:pPr>
              <w:jc w:val="left"/>
              <w:rPr>
                <w:rFonts w:ascii="Arial Narrow" w:hAnsi="Arial Narrow"/>
                <w:sz w:val="20"/>
              </w:rPr>
            </w:pPr>
            <w:r w:rsidRPr="001264F2">
              <w:rPr>
                <w:rFonts w:ascii="Arial Narrow" w:hAnsi="Arial Narrow"/>
                <w:sz w:val="20"/>
              </w:rPr>
              <w:t>Maintenance phase</w:t>
            </w:r>
          </w:p>
        </w:tc>
      </w:tr>
      <w:tr w:rsidR="001264F2" w:rsidRPr="001264F2" w:rsidTr="001264F2">
        <w:tc>
          <w:tcPr>
            <w:tcW w:w="424" w:type="pct"/>
            <w:vMerge w:val="restart"/>
            <w:vAlign w:val="center"/>
          </w:tcPr>
          <w:p w:rsidR="001264F2" w:rsidRPr="001264F2" w:rsidRDefault="001264F2" w:rsidP="001264F2">
            <w:pPr>
              <w:rPr>
                <w:rFonts w:ascii="Arial Narrow" w:hAnsi="Arial Narrow"/>
                <w:sz w:val="20"/>
              </w:rPr>
            </w:pPr>
            <w:proofErr w:type="spellStart"/>
            <w:r w:rsidRPr="001264F2">
              <w:rPr>
                <w:rFonts w:ascii="Arial Narrow" w:hAnsi="Arial Narrow"/>
                <w:sz w:val="20"/>
              </w:rPr>
              <w:t>Nivo</w:t>
            </w:r>
            <w:proofErr w:type="spellEnd"/>
          </w:p>
        </w:tc>
        <w:tc>
          <w:tcPr>
            <w:tcW w:w="592" w:type="pc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Doses per patient</w:t>
            </w:r>
          </w:p>
        </w:tc>
        <w:tc>
          <w:tcPr>
            <w:tcW w:w="1823" w:type="pct"/>
            <w:vAlign w:val="center"/>
          </w:tcPr>
          <w:p w:rsidR="001264F2" w:rsidRPr="001264F2" w:rsidRDefault="001264F2" w:rsidP="00E408F9">
            <w:pPr>
              <w:jc w:val="center"/>
              <w:rPr>
                <w:rFonts w:ascii="Arial Narrow" w:hAnsi="Arial Narrow"/>
                <w:sz w:val="20"/>
              </w:rPr>
            </w:pPr>
            <w:proofErr w:type="spellStart"/>
            <w:r w:rsidRPr="001264F2">
              <w:rPr>
                <w:rFonts w:ascii="Arial Narrow" w:hAnsi="Arial Narrow"/>
                <w:sz w:val="20"/>
              </w:rPr>
              <w:t>Nivolumab</w:t>
            </w:r>
            <w:proofErr w:type="spellEnd"/>
            <w:r w:rsidRPr="001264F2">
              <w:rPr>
                <w:rFonts w:ascii="Arial Narrow" w:hAnsi="Arial Narrow"/>
                <w:sz w:val="20"/>
              </w:rPr>
              <w:t xml:space="preserve"> monotherapy mean dose from CA209-003 (20.65) less 4 doses.</w:t>
            </w:r>
          </w:p>
        </w:tc>
        <w:tc>
          <w:tcPr>
            <w:tcW w:w="913" w:type="pc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16.65</w:t>
            </w:r>
          </w:p>
        </w:tc>
        <w:tc>
          <w:tcPr>
            <w:tcW w:w="656" w:type="pct"/>
            <w:vMerge w:val="restar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w:t>
            </w:r>
            <w:r w:rsidR="006D73F0">
              <w:rPr>
                <w:rFonts w:ascii="Arial Narrow" w:hAnsi="Arial Narrow"/>
                <w:noProof/>
                <w:color w:val="000000"/>
                <w:sz w:val="20"/>
                <w:highlight w:val="black"/>
              </w:rPr>
              <w:t>''''''''''''''''''''''</w:t>
            </w:r>
          </w:p>
          <w:p w:rsidR="001264F2" w:rsidRPr="001264F2" w:rsidRDefault="001264F2" w:rsidP="00E408F9">
            <w:pPr>
              <w:jc w:val="center"/>
              <w:rPr>
                <w:rFonts w:ascii="Arial Narrow" w:hAnsi="Arial Narrow"/>
                <w:sz w:val="20"/>
              </w:rPr>
            </w:pPr>
            <w:r w:rsidRPr="001264F2">
              <w:rPr>
                <w:rFonts w:ascii="Arial Narrow" w:hAnsi="Arial Narrow"/>
                <w:sz w:val="20"/>
              </w:rPr>
              <w:t>(ex-man)</w:t>
            </w:r>
          </w:p>
          <w:p w:rsidR="001264F2" w:rsidRPr="001264F2" w:rsidRDefault="001264F2" w:rsidP="00E408F9">
            <w:pPr>
              <w:jc w:val="center"/>
              <w:rPr>
                <w:rFonts w:ascii="Arial Narrow" w:hAnsi="Arial Narrow"/>
                <w:sz w:val="20"/>
              </w:rPr>
            </w:pPr>
            <w:r w:rsidRPr="001264F2">
              <w:rPr>
                <w:rFonts w:ascii="Arial Narrow" w:hAnsi="Arial Narrow"/>
                <w:sz w:val="20"/>
              </w:rPr>
              <w:t>$</w:t>
            </w:r>
            <w:r w:rsidR="006D73F0">
              <w:rPr>
                <w:rFonts w:ascii="Arial Narrow" w:hAnsi="Arial Narrow"/>
                <w:noProof/>
                <w:color w:val="000000"/>
                <w:sz w:val="20"/>
                <w:highlight w:val="black"/>
              </w:rPr>
              <w:t>'''''''''''''''''''''</w:t>
            </w:r>
          </w:p>
          <w:p w:rsidR="001264F2" w:rsidRPr="001264F2" w:rsidRDefault="001264F2" w:rsidP="00E408F9">
            <w:pPr>
              <w:jc w:val="center"/>
              <w:rPr>
                <w:rFonts w:ascii="Arial Narrow" w:hAnsi="Arial Narrow"/>
                <w:sz w:val="20"/>
              </w:rPr>
            </w:pPr>
            <w:r w:rsidRPr="001264F2">
              <w:rPr>
                <w:rFonts w:ascii="Arial Narrow" w:hAnsi="Arial Narrow"/>
                <w:sz w:val="20"/>
              </w:rPr>
              <w:t>(as dispensed)</w:t>
            </w:r>
          </w:p>
        </w:tc>
        <w:tc>
          <w:tcPr>
            <w:tcW w:w="592" w:type="pct"/>
            <w:vMerge w:val="restar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w:t>
            </w:r>
            <w:r w:rsidR="006D73F0">
              <w:rPr>
                <w:rFonts w:ascii="Arial Narrow" w:hAnsi="Arial Narrow"/>
                <w:noProof/>
                <w:color w:val="000000"/>
                <w:sz w:val="20"/>
                <w:highlight w:val="black"/>
              </w:rPr>
              <w:t>''''''''''''''''</w:t>
            </w:r>
          </w:p>
          <w:p w:rsidR="001264F2" w:rsidRPr="001264F2" w:rsidRDefault="001264F2" w:rsidP="00E408F9">
            <w:pPr>
              <w:jc w:val="center"/>
              <w:rPr>
                <w:rFonts w:ascii="Arial Narrow" w:hAnsi="Arial Narrow"/>
                <w:sz w:val="20"/>
              </w:rPr>
            </w:pPr>
            <w:r w:rsidRPr="001264F2">
              <w:rPr>
                <w:rFonts w:ascii="Arial Narrow" w:hAnsi="Arial Narrow"/>
                <w:sz w:val="20"/>
              </w:rPr>
              <w:t>(as dispensed)</w:t>
            </w:r>
          </w:p>
        </w:tc>
      </w:tr>
      <w:tr w:rsidR="001264F2" w:rsidRPr="001264F2" w:rsidTr="001264F2">
        <w:tc>
          <w:tcPr>
            <w:tcW w:w="424" w:type="pct"/>
            <w:vMerge/>
            <w:vAlign w:val="center"/>
          </w:tcPr>
          <w:p w:rsidR="001264F2" w:rsidRPr="001264F2" w:rsidRDefault="001264F2" w:rsidP="00E408F9">
            <w:pPr>
              <w:rPr>
                <w:rFonts w:ascii="Arial Narrow" w:hAnsi="Arial Narrow"/>
                <w:sz w:val="20"/>
              </w:rPr>
            </w:pPr>
          </w:p>
        </w:tc>
        <w:tc>
          <w:tcPr>
            <w:tcW w:w="592" w:type="pc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Vials per admin</w:t>
            </w:r>
          </w:p>
        </w:tc>
        <w:tc>
          <w:tcPr>
            <w:tcW w:w="1823" w:type="pct"/>
            <w:vAlign w:val="center"/>
          </w:tcPr>
          <w:p w:rsidR="001264F2" w:rsidRPr="001264F2" w:rsidRDefault="001264F2" w:rsidP="00A14C38">
            <w:pPr>
              <w:jc w:val="center"/>
              <w:rPr>
                <w:rFonts w:ascii="Arial Narrow" w:hAnsi="Arial Narrow"/>
                <w:sz w:val="20"/>
              </w:rPr>
            </w:pPr>
            <w:r w:rsidRPr="001264F2">
              <w:rPr>
                <w:rFonts w:ascii="Arial Narrow" w:hAnsi="Arial Narrow"/>
                <w:sz w:val="20"/>
              </w:rPr>
              <w:t xml:space="preserve">Ipilimumab patient registry (ACOL) mean weight for </w:t>
            </w:r>
            <w:proofErr w:type="spellStart"/>
            <w:r w:rsidRPr="001264F2">
              <w:rPr>
                <w:rFonts w:ascii="Arial Narrow" w:hAnsi="Arial Narrow"/>
                <w:sz w:val="20"/>
              </w:rPr>
              <w:t>nivolumab</w:t>
            </w:r>
            <w:proofErr w:type="spellEnd"/>
            <w:r w:rsidRPr="001264F2">
              <w:rPr>
                <w:rFonts w:ascii="Arial Narrow" w:hAnsi="Arial Narrow"/>
                <w:sz w:val="20"/>
              </w:rPr>
              <w:t xml:space="preserve"> patients: 81.4kg</w:t>
            </w:r>
          </w:p>
        </w:tc>
        <w:tc>
          <w:tcPr>
            <w:tcW w:w="913" w:type="pct"/>
            <w:vAlign w:val="center"/>
          </w:tcPr>
          <w:p w:rsidR="001264F2" w:rsidRPr="001264F2" w:rsidRDefault="001264F2" w:rsidP="00E408F9">
            <w:pPr>
              <w:jc w:val="center"/>
              <w:rPr>
                <w:rFonts w:ascii="Arial Narrow" w:hAnsi="Arial Narrow"/>
                <w:sz w:val="20"/>
              </w:rPr>
            </w:pPr>
            <w:r w:rsidRPr="001264F2">
              <w:rPr>
                <w:rFonts w:ascii="Arial Narrow" w:hAnsi="Arial Narrow"/>
                <w:sz w:val="20"/>
              </w:rPr>
              <w:t xml:space="preserve">40mg/4ml: 1.11 </w:t>
            </w:r>
          </w:p>
          <w:p w:rsidR="001264F2" w:rsidRPr="001264F2" w:rsidRDefault="001264F2" w:rsidP="00E408F9">
            <w:pPr>
              <w:jc w:val="center"/>
              <w:rPr>
                <w:rFonts w:ascii="Arial Narrow" w:hAnsi="Arial Narrow"/>
                <w:sz w:val="20"/>
              </w:rPr>
            </w:pPr>
            <w:r w:rsidRPr="001264F2">
              <w:rPr>
                <w:rFonts w:ascii="Arial Narrow" w:hAnsi="Arial Narrow"/>
                <w:sz w:val="20"/>
              </w:rPr>
              <w:t>100mg/10ml: 2.0</w:t>
            </w:r>
          </w:p>
        </w:tc>
        <w:tc>
          <w:tcPr>
            <w:tcW w:w="656" w:type="pct"/>
            <w:vMerge/>
            <w:vAlign w:val="center"/>
          </w:tcPr>
          <w:p w:rsidR="001264F2" w:rsidRPr="001264F2" w:rsidRDefault="001264F2" w:rsidP="00E408F9">
            <w:pPr>
              <w:jc w:val="center"/>
              <w:rPr>
                <w:rFonts w:ascii="Arial Narrow" w:hAnsi="Arial Narrow"/>
                <w:sz w:val="20"/>
              </w:rPr>
            </w:pPr>
          </w:p>
        </w:tc>
        <w:tc>
          <w:tcPr>
            <w:tcW w:w="592" w:type="pct"/>
            <w:vMerge/>
            <w:vAlign w:val="center"/>
          </w:tcPr>
          <w:p w:rsidR="001264F2" w:rsidRPr="001264F2" w:rsidRDefault="001264F2" w:rsidP="00E408F9">
            <w:pPr>
              <w:jc w:val="center"/>
              <w:rPr>
                <w:rFonts w:ascii="Arial Narrow" w:hAnsi="Arial Narrow"/>
                <w:sz w:val="20"/>
              </w:rPr>
            </w:pPr>
          </w:p>
        </w:tc>
      </w:tr>
      <w:tr w:rsidR="001264F2" w:rsidRPr="001264F2" w:rsidTr="001264F2">
        <w:tc>
          <w:tcPr>
            <w:tcW w:w="424" w:type="pct"/>
            <w:vAlign w:val="center"/>
          </w:tcPr>
          <w:p w:rsidR="001264F2" w:rsidRPr="001264F2" w:rsidRDefault="001264F2" w:rsidP="00E408F9">
            <w:pPr>
              <w:rPr>
                <w:rFonts w:ascii="Arial Narrow" w:hAnsi="Arial Narrow"/>
                <w:b/>
                <w:sz w:val="20"/>
              </w:rPr>
            </w:pPr>
            <w:r w:rsidRPr="001264F2">
              <w:rPr>
                <w:rFonts w:ascii="Arial Narrow" w:hAnsi="Arial Narrow"/>
                <w:b/>
                <w:sz w:val="20"/>
              </w:rPr>
              <w:t>TOTAL:</w:t>
            </w:r>
          </w:p>
        </w:tc>
        <w:tc>
          <w:tcPr>
            <w:tcW w:w="4576" w:type="pct"/>
            <w:gridSpan w:val="5"/>
            <w:vAlign w:val="center"/>
          </w:tcPr>
          <w:p w:rsidR="001264F2" w:rsidRPr="001264F2" w:rsidRDefault="001264F2" w:rsidP="00E408F9">
            <w:pPr>
              <w:jc w:val="center"/>
              <w:rPr>
                <w:rFonts w:ascii="Arial Narrow" w:hAnsi="Arial Narrow"/>
                <w:b/>
                <w:sz w:val="20"/>
              </w:rPr>
            </w:pPr>
            <w:r w:rsidRPr="001264F2">
              <w:rPr>
                <w:rFonts w:ascii="Arial Narrow" w:hAnsi="Arial Narrow"/>
                <w:b/>
                <w:sz w:val="20"/>
              </w:rPr>
              <w:t>$</w:t>
            </w:r>
            <w:r w:rsidR="006D73F0">
              <w:rPr>
                <w:rFonts w:ascii="Arial Narrow" w:hAnsi="Arial Narrow"/>
                <w:b/>
                <w:noProof/>
                <w:color w:val="000000"/>
                <w:sz w:val="20"/>
                <w:highlight w:val="black"/>
              </w:rPr>
              <w:t>'''''''''''''''</w:t>
            </w:r>
            <w:r w:rsidRPr="001264F2">
              <w:rPr>
                <w:rFonts w:ascii="Arial Narrow" w:hAnsi="Arial Narrow"/>
                <w:b/>
                <w:sz w:val="20"/>
              </w:rPr>
              <w:t xml:space="preserve"> with no rebate</w:t>
            </w:r>
          </w:p>
        </w:tc>
      </w:tr>
    </w:tbl>
    <w:p w:rsidR="001264F2" w:rsidRDefault="001264F2" w:rsidP="001264F2">
      <w:pPr>
        <w:pStyle w:val="TableFooter"/>
        <w:ind w:left="709"/>
      </w:pPr>
      <w:r>
        <w:t xml:space="preserve">Source: Compiled during the evaluation, </w:t>
      </w:r>
    </w:p>
    <w:p w:rsidR="001264F2" w:rsidRDefault="001264F2" w:rsidP="001264F2">
      <w:pPr>
        <w:pStyle w:val="TableFooter"/>
        <w:ind w:left="709"/>
      </w:pPr>
      <w:r>
        <w:t>Admin = administration; Kg = kilogram; mg= milligram; ml = millilitre</w:t>
      </w:r>
    </w:p>
    <w:p w:rsidR="001264F2" w:rsidRPr="0023209F" w:rsidRDefault="001264F2" w:rsidP="001264F2">
      <w:pPr>
        <w:widowControl/>
        <w:ind w:left="709"/>
        <w:rPr>
          <w:rFonts w:ascii="Arial Narrow" w:hAnsi="Arial Narrow"/>
          <w:i/>
          <w:sz w:val="18"/>
        </w:rPr>
      </w:pPr>
      <w:r w:rsidRPr="0023209F">
        <w:rPr>
          <w:rFonts w:ascii="Arial Narrow" w:hAnsi="Arial Narrow"/>
          <w:i/>
          <w:sz w:val="18"/>
        </w:rPr>
        <w:t>Note: the revised estimates presented total treatment costs including administration costs as the drug acquisition cost per infusion. This error was corrected in the evaluation.</w:t>
      </w:r>
    </w:p>
    <w:p w:rsidR="00F018E6" w:rsidRPr="00435CF4" w:rsidRDefault="00F018E6" w:rsidP="00435CF4">
      <w:pPr>
        <w:widowControl/>
        <w:rPr>
          <w:rStyle w:val="CommentReference"/>
          <w:rFonts w:ascii="Arial" w:hAnsi="Arial"/>
          <w:b w:val="0"/>
          <w:sz w:val="22"/>
          <w:szCs w:val="22"/>
        </w:rPr>
      </w:pPr>
    </w:p>
    <w:p w:rsidR="00F7373F" w:rsidRPr="00F7373F" w:rsidRDefault="00F7373F" w:rsidP="00F7373F">
      <w:pPr>
        <w:pStyle w:val="ListParagraph"/>
        <w:numPr>
          <w:ilvl w:val="1"/>
          <w:numId w:val="6"/>
        </w:numPr>
      </w:pPr>
      <w:r>
        <w:t>Alt</w:t>
      </w:r>
      <w:r w:rsidRPr="00F7373F">
        <w:t xml:space="preserve">hough the approach </w:t>
      </w:r>
      <w:r>
        <w:t xml:space="preserve">in the revised Section D </w:t>
      </w:r>
      <w:r w:rsidRPr="00F7373F">
        <w:t>to calculat</w:t>
      </w:r>
      <w:r>
        <w:t>e</w:t>
      </w:r>
      <w:r w:rsidRPr="00F7373F">
        <w:t xml:space="preserve"> </w:t>
      </w:r>
      <w:proofErr w:type="spellStart"/>
      <w:r w:rsidRPr="00F7373F">
        <w:t>nivolumab</w:t>
      </w:r>
      <w:proofErr w:type="spellEnd"/>
      <w:r w:rsidRPr="00F7373F">
        <w:t xml:space="preserve"> plus </w:t>
      </w:r>
      <w:proofErr w:type="spellStart"/>
      <w:r w:rsidRPr="00F7373F">
        <w:t>ipilimumab</w:t>
      </w:r>
      <w:proofErr w:type="spellEnd"/>
      <w:r w:rsidRPr="00F7373F">
        <w:t xml:space="preserve"> costs based on the ipilimumab per patient cost reduced the combination drug cost pe</w:t>
      </w:r>
      <w:r>
        <w:t>r infusion, the new approach</w:t>
      </w:r>
      <w:r w:rsidRPr="00F7373F">
        <w:t xml:space="preserve"> also removed the </w:t>
      </w:r>
      <w:r w:rsidR="006D73F0">
        <w:rPr>
          <w:noProof/>
          <w:color w:val="000000"/>
          <w:highlight w:val="black"/>
        </w:rPr>
        <w:t>'''''''</w:t>
      </w:r>
      <w:r w:rsidRPr="00F7373F">
        <w:t>% rebate applied to combination therapy in the original submission, leading to a higher price of $</w:t>
      </w:r>
      <w:r w:rsidR="006D73F0">
        <w:rPr>
          <w:noProof/>
          <w:color w:val="000000"/>
          <w:highlight w:val="black"/>
        </w:rPr>
        <w:t>''''''''''''''''''</w:t>
      </w:r>
      <w:r w:rsidRPr="00F7373F">
        <w:t xml:space="preserve"> in the revised submission compared to $</w:t>
      </w:r>
      <w:r w:rsidR="006D73F0">
        <w:rPr>
          <w:noProof/>
          <w:color w:val="000000"/>
          <w:highlight w:val="black"/>
        </w:rPr>
        <w:t>'''''''''''''''''''</w:t>
      </w:r>
      <w:r w:rsidRPr="00F7373F">
        <w:t xml:space="preserve"> after the rebate in the original submission.</w:t>
      </w:r>
    </w:p>
    <w:p w:rsidR="003E147C" w:rsidRPr="00D54BA7" w:rsidRDefault="003E147C" w:rsidP="00C75C26"/>
    <w:p w:rsidR="003E147C" w:rsidRPr="002C2775" w:rsidRDefault="003E147C" w:rsidP="00AF0595">
      <w:pPr>
        <w:pStyle w:val="Heading2"/>
      </w:pPr>
      <w:bookmarkStart w:id="14" w:name="_Toc430097335"/>
      <w:r w:rsidRPr="002C2775">
        <w:t>Estimated PBS usage &amp; financial implications</w:t>
      </w:r>
      <w:bookmarkEnd w:id="14"/>
    </w:p>
    <w:p w:rsidR="003E147C" w:rsidRPr="0028100B" w:rsidRDefault="003E147C" w:rsidP="00B60939">
      <w:pPr>
        <w:ind w:left="720" w:hanging="720"/>
        <w:rPr>
          <w:i/>
          <w:szCs w:val="22"/>
        </w:rPr>
      </w:pPr>
    </w:p>
    <w:p w:rsidR="003E147C" w:rsidRDefault="00D13D2E" w:rsidP="003E147C">
      <w:pPr>
        <w:pStyle w:val="ListParagraph"/>
        <w:numPr>
          <w:ilvl w:val="1"/>
          <w:numId w:val="6"/>
        </w:numPr>
      </w:pPr>
      <w:r>
        <w:t>This submission was</w:t>
      </w:r>
      <w:r w:rsidR="003E147C">
        <w:t xml:space="preserve"> not considered by DUSC. </w:t>
      </w:r>
      <w:r w:rsidR="00EC1895" w:rsidRPr="0077022B">
        <w:t xml:space="preserve">The submission presented two scenarios for estimating the financial implications of listing </w:t>
      </w:r>
      <w:proofErr w:type="spellStart"/>
      <w:r w:rsidR="00EC1895" w:rsidRPr="0077022B">
        <w:t>nivolumab</w:t>
      </w:r>
      <w:proofErr w:type="spellEnd"/>
      <w:r w:rsidR="00EC1895" w:rsidRPr="0077022B">
        <w:t xml:space="preserve"> plus </w:t>
      </w:r>
      <w:proofErr w:type="spellStart"/>
      <w:r w:rsidR="00EC1895" w:rsidRPr="0077022B">
        <w:t>ipilimumab</w:t>
      </w:r>
      <w:proofErr w:type="spellEnd"/>
      <w:r w:rsidR="00EC1895">
        <w:t>:</w:t>
      </w:r>
    </w:p>
    <w:p w:rsidR="003E147C" w:rsidRPr="00DC5D13" w:rsidRDefault="0028100B" w:rsidP="00425C30">
      <w:pPr>
        <w:pStyle w:val="ListParagraph"/>
        <w:numPr>
          <w:ilvl w:val="0"/>
          <w:numId w:val="19"/>
        </w:numPr>
        <w:ind w:left="1080"/>
      </w:pPr>
      <w:r>
        <w:t>Scenario 1: First-line treatment or second-</w:t>
      </w:r>
      <w:r w:rsidR="003E147C">
        <w:t xml:space="preserve">line treatment after </w:t>
      </w:r>
      <w:proofErr w:type="spellStart"/>
      <w:r w:rsidR="003E147C">
        <w:t>dabrafenib</w:t>
      </w:r>
      <w:proofErr w:type="spellEnd"/>
      <w:r w:rsidR="003E147C">
        <w:t xml:space="preserve"> ± </w:t>
      </w:r>
      <w:proofErr w:type="spellStart"/>
      <w:r w:rsidR="003E147C">
        <w:t>trametinib</w:t>
      </w:r>
      <w:proofErr w:type="spellEnd"/>
      <w:r w:rsidR="003E147C">
        <w:t xml:space="preserve">. </w:t>
      </w:r>
      <w:r w:rsidR="003E147C" w:rsidRPr="00005302">
        <w:t xml:space="preserve">This stated scenario </w:t>
      </w:r>
      <w:r w:rsidR="008C4EEB">
        <w:t>wa</w:t>
      </w:r>
      <w:r w:rsidR="003E147C" w:rsidRPr="00005302">
        <w:t xml:space="preserve">s not what </w:t>
      </w:r>
      <w:r w:rsidR="008C4EEB">
        <w:t>wa</w:t>
      </w:r>
      <w:r w:rsidR="003E147C" w:rsidRPr="00005302">
        <w:t xml:space="preserve">s specified in the submitted financial estimates and treatment algorithm in the submission body and the </w:t>
      </w:r>
      <w:r w:rsidR="00815922" w:rsidRPr="00005302">
        <w:t xml:space="preserve">submission’s </w:t>
      </w:r>
      <w:r w:rsidR="003E147C" w:rsidRPr="00005302">
        <w:t>financial model. Th</w:t>
      </w:r>
      <w:r w:rsidR="008C4EEB">
        <w:t>is</w:t>
      </w:r>
      <w:r w:rsidR="003E147C" w:rsidRPr="00005302">
        <w:t xml:space="preserve"> model and </w:t>
      </w:r>
      <w:r w:rsidR="008C4EEB">
        <w:t>its</w:t>
      </w:r>
      <w:r w:rsidR="003E147C" w:rsidRPr="00005302">
        <w:t xml:space="preserve"> estimates assume</w:t>
      </w:r>
      <w:r w:rsidR="008C4EEB">
        <w:t>d</w:t>
      </w:r>
      <w:r w:rsidR="003E147C" w:rsidRPr="00005302">
        <w:t xml:space="preserve"> no </w:t>
      </w:r>
      <w:proofErr w:type="spellStart"/>
      <w:r w:rsidR="003E147C" w:rsidRPr="00005302">
        <w:lastRenderedPageBreak/>
        <w:t>nivolumab</w:t>
      </w:r>
      <w:proofErr w:type="spellEnd"/>
      <w:r w:rsidR="003E147C" w:rsidRPr="00005302">
        <w:t xml:space="preserve"> plus </w:t>
      </w:r>
      <w:proofErr w:type="spellStart"/>
      <w:r w:rsidR="003E147C" w:rsidRPr="00005302">
        <w:t>ipilimumab</w:t>
      </w:r>
      <w:proofErr w:type="spellEnd"/>
      <w:r w:rsidR="003E147C" w:rsidRPr="00005302">
        <w:t xml:space="preserve"> t</w:t>
      </w:r>
      <w:r w:rsidR="00CC2106">
        <w:t>reatment beyond the first line.</w:t>
      </w:r>
      <w:r w:rsidR="00CB3E2A" w:rsidRPr="00CB3E2A">
        <w:rPr>
          <w:i/>
        </w:rPr>
        <w:t xml:space="preserve"> </w:t>
      </w:r>
      <w:r w:rsidR="00CB3E2A" w:rsidRPr="00DC5D13">
        <w:t xml:space="preserve">The PSCR (p.6) acknowledged that the financial estimates for Scenario 1 were not aligned with the proposed patient pool for this scenario, and clarified that Scenario 2 </w:t>
      </w:r>
      <w:r w:rsidR="00CC2106" w:rsidRPr="00DC5D13">
        <w:t>wa</w:t>
      </w:r>
      <w:r w:rsidR="00CB3E2A" w:rsidRPr="00DC5D13">
        <w:t>s the base case.</w:t>
      </w:r>
    </w:p>
    <w:p w:rsidR="003E147C" w:rsidRPr="00DC5D13" w:rsidRDefault="003E147C" w:rsidP="00425C30">
      <w:pPr>
        <w:pStyle w:val="ListParagraph"/>
        <w:numPr>
          <w:ilvl w:val="0"/>
          <w:numId w:val="19"/>
        </w:numPr>
        <w:ind w:left="1080"/>
      </w:pPr>
      <w:r w:rsidRPr="00DC5D13">
        <w:t xml:space="preserve">Scenario 2: Any treatment line (aligning with the proposed TGA restriction and </w:t>
      </w:r>
      <w:r w:rsidR="005F4E5C" w:rsidRPr="00DC5D13">
        <w:t xml:space="preserve">requested </w:t>
      </w:r>
      <w:r w:rsidRPr="00DC5D13">
        <w:t>PBS listing).</w:t>
      </w:r>
      <w:r w:rsidR="00D9391F" w:rsidRPr="00DC5D13">
        <w:t xml:space="preserve"> This </w:t>
      </w:r>
      <w:r w:rsidR="00CC2106" w:rsidRPr="00DC5D13">
        <w:t>wa</w:t>
      </w:r>
      <w:r w:rsidR="00D9391F" w:rsidRPr="00DC5D13">
        <w:t>s the approach to calculate the base case financial implications.</w:t>
      </w:r>
    </w:p>
    <w:p w:rsidR="003E147C" w:rsidRDefault="003E147C" w:rsidP="0028100B"/>
    <w:p w:rsidR="00815922" w:rsidRPr="00005302" w:rsidRDefault="00815922" w:rsidP="003E147C">
      <w:pPr>
        <w:pStyle w:val="ListParagraph"/>
        <w:numPr>
          <w:ilvl w:val="1"/>
          <w:numId w:val="6"/>
        </w:numPr>
      </w:pPr>
      <w:r w:rsidRPr="00005302">
        <w:t>For both of the scenarios presented, the submission used the same approach</w:t>
      </w:r>
      <w:r w:rsidR="005F4E5C" w:rsidRPr="00005302">
        <w:t xml:space="preserve"> as applie</w:t>
      </w:r>
      <w:r w:rsidRPr="00005302">
        <w:t>d</w:t>
      </w:r>
      <w:r w:rsidR="005F4E5C" w:rsidRPr="00005302">
        <w:t xml:space="preserve"> </w:t>
      </w:r>
      <w:r w:rsidRPr="00005302">
        <w:t>in</w:t>
      </w:r>
      <w:r w:rsidR="005F4E5C" w:rsidRPr="00005302">
        <w:t xml:space="preserve"> t</w:t>
      </w:r>
      <w:r w:rsidRPr="00005302">
        <w:t xml:space="preserve">he </w:t>
      </w:r>
      <w:proofErr w:type="spellStart"/>
      <w:r w:rsidRPr="00005302">
        <w:t>nivolumab</w:t>
      </w:r>
      <w:proofErr w:type="spellEnd"/>
      <w:r w:rsidRPr="00005302">
        <w:t xml:space="preserve"> monotherapy submission</w:t>
      </w:r>
      <w:r w:rsidR="005F4E5C" w:rsidRPr="00005302">
        <w:t xml:space="preserve"> to estimate the eligible population</w:t>
      </w:r>
      <w:r w:rsidRPr="00005302">
        <w:t>.</w:t>
      </w:r>
      <w:r w:rsidR="0028100B" w:rsidRPr="00005302">
        <w:t xml:space="preserve"> </w:t>
      </w:r>
      <w:r w:rsidR="005F4E5C" w:rsidRPr="00005302">
        <w:t>The PBAC had noted that those estimates appeared to be high (</w:t>
      </w:r>
      <w:r w:rsidR="008A692F" w:rsidRPr="00005302">
        <w:t xml:space="preserve">July 2015 PBAC Minutes, </w:t>
      </w:r>
      <w:r w:rsidR="005F4E5C" w:rsidRPr="00005302">
        <w:t>paragraph 6.46).</w:t>
      </w:r>
    </w:p>
    <w:p w:rsidR="005F4E5C" w:rsidRPr="00005302" w:rsidRDefault="005F4E5C" w:rsidP="005F4E5C"/>
    <w:p w:rsidR="00524769" w:rsidRPr="00005302" w:rsidRDefault="00524769" w:rsidP="00524769">
      <w:pPr>
        <w:pStyle w:val="ListParagraph"/>
        <w:widowControl/>
        <w:numPr>
          <w:ilvl w:val="1"/>
          <w:numId w:val="6"/>
        </w:numPr>
      </w:pPr>
      <w:r w:rsidRPr="00005302">
        <w:t>The 6th Community Pharmacy Agreement (</w:t>
      </w:r>
      <w:r w:rsidR="00425C30">
        <w:t>6</w:t>
      </w:r>
      <w:r w:rsidRPr="00005302">
        <w:t>CPA) which took effect on 1 July 2015, made some changes to the way chemotherapy preparation fees are paid under the Section 100 Efficient Funding of C</w:t>
      </w:r>
      <w:r w:rsidR="008A692F">
        <w:t>hemotherapy (EFC) arrangement.</w:t>
      </w:r>
    </w:p>
    <w:p w:rsidR="00524769" w:rsidRPr="00005302" w:rsidRDefault="00524769" w:rsidP="00524769">
      <w:pPr>
        <w:widowControl/>
      </w:pPr>
    </w:p>
    <w:p w:rsidR="00524769" w:rsidRPr="00005302" w:rsidRDefault="00524769" w:rsidP="00F717A6">
      <w:pPr>
        <w:pStyle w:val="ListParagraph"/>
        <w:widowControl/>
        <w:numPr>
          <w:ilvl w:val="1"/>
          <w:numId w:val="6"/>
        </w:numPr>
      </w:pPr>
      <w:r w:rsidRPr="00005302">
        <w:t>In addition, some chemotherapy compounders will be paid a smaller fee and the DPMA that is published in the schedule will only include that smaller fee.</w:t>
      </w:r>
    </w:p>
    <w:p w:rsidR="00524769" w:rsidRPr="006E7EFD" w:rsidRDefault="00524769" w:rsidP="00524769">
      <w:pPr>
        <w:widowControl/>
        <w:rPr>
          <w:i/>
        </w:rPr>
      </w:pPr>
    </w:p>
    <w:p w:rsidR="00524769" w:rsidRPr="00005302" w:rsidRDefault="00524769" w:rsidP="00524769">
      <w:pPr>
        <w:pStyle w:val="ListParagraph"/>
        <w:widowControl/>
      </w:pPr>
      <w:r w:rsidRPr="00005302">
        <w:t>Under the finalised new arrangements:</w:t>
      </w:r>
    </w:p>
    <w:p w:rsidR="00524769" w:rsidRPr="00005302" w:rsidRDefault="008A692F" w:rsidP="00425C30">
      <w:pPr>
        <w:pStyle w:val="ListParagraph"/>
        <w:widowControl/>
        <w:numPr>
          <w:ilvl w:val="0"/>
          <w:numId w:val="69"/>
        </w:numPr>
        <w:ind w:left="1134" w:hanging="425"/>
      </w:pPr>
      <w:r>
        <w:t>t</w:t>
      </w:r>
      <w:r w:rsidR="00524769" w:rsidRPr="00005302">
        <w:t>he preparation fees paid to compounders who are licensed by the TGA to undertake such compounding are higher than those paid to compounders who are not licensed by the TGA, recognising that TGA licensed compounders incur additional costs in complying with the TGA’s licensing</w:t>
      </w:r>
      <w:r w:rsidR="00524769" w:rsidRPr="006E7EFD">
        <w:rPr>
          <w:i/>
        </w:rPr>
        <w:t xml:space="preserve"> </w:t>
      </w:r>
      <w:r w:rsidR="00524769" w:rsidRPr="00005302">
        <w:t>requirements, as compared to chemotherapy compo</w:t>
      </w:r>
      <w:r w:rsidR="00F42618">
        <w:t>unders who are not TGA licensed</w:t>
      </w:r>
    </w:p>
    <w:p w:rsidR="00524769" w:rsidRPr="00005302" w:rsidRDefault="008A692F" w:rsidP="00425C30">
      <w:pPr>
        <w:pStyle w:val="ListParagraph"/>
        <w:widowControl/>
        <w:numPr>
          <w:ilvl w:val="0"/>
          <w:numId w:val="69"/>
        </w:numPr>
        <w:ind w:left="1134" w:hanging="425"/>
      </w:pPr>
      <w:r>
        <w:t>t</w:t>
      </w:r>
      <w:r w:rsidR="00524769" w:rsidRPr="00005302">
        <w:t>he preparation fee paid to TGA licensed compounders remains the same as under the 5th CPA at $</w:t>
      </w:r>
      <w:r w:rsidR="00524769" w:rsidRPr="00CE1C16">
        <w:t>102.67</w:t>
      </w:r>
      <w:r w:rsidR="00F42618">
        <w:t xml:space="preserve"> (indexed price for 2014/2015)</w:t>
      </w:r>
    </w:p>
    <w:p w:rsidR="00524769" w:rsidRPr="00005302" w:rsidRDefault="008A692F" w:rsidP="00425C30">
      <w:pPr>
        <w:pStyle w:val="ListParagraph"/>
        <w:widowControl/>
        <w:numPr>
          <w:ilvl w:val="0"/>
          <w:numId w:val="69"/>
        </w:numPr>
        <w:ind w:left="1134" w:hanging="425"/>
      </w:pPr>
      <w:r>
        <w:t>t</w:t>
      </w:r>
      <w:r w:rsidR="00524769" w:rsidRPr="00005302">
        <w:t>he preparation fees paid to a s90 Communi</w:t>
      </w:r>
      <w:r w:rsidR="003D533C">
        <w:t>ty Pharmacy (</w:t>
      </w:r>
      <w:proofErr w:type="spellStart"/>
      <w:r w:rsidR="003D533C">
        <w:t>incl</w:t>
      </w:r>
      <w:proofErr w:type="spellEnd"/>
      <w:r w:rsidR="003D533C">
        <w:t xml:space="preserve"> s92 approved </w:t>
      </w:r>
      <w:r w:rsidR="00524769" w:rsidRPr="00005302">
        <w:t>practitioners) and a s94 Approved Private Hospital Authority are the same as those paid to TGA licensed compounders to recognise the specialist nature of p</w:t>
      </w:r>
      <w:r w:rsidR="00F42618">
        <w:t>reparing chemotherapy medicines</w:t>
      </w:r>
    </w:p>
    <w:p w:rsidR="00524769" w:rsidRPr="00005302" w:rsidRDefault="008A692F" w:rsidP="00425C30">
      <w:pPr>
        <w:pStyle w:val="ListParagraph"/>
        <w:widowControl/>
        <w:numPr>
          <w:ilvl w:val="0"/>
          <w:numId w:val="69"/>
        </w:numPr>
        <w:ind w:left="1134" w:hanging="425"/>
      </w:pPr>
      <w:r>
        <w:t>t</w:t>
      </w:r>
      <w:r w:rsidR="00524769" w:rsidRPr="00005302">
        <w:t>he preparation fee paid to non-TGA licensed co</w:t>
      </w:r>
      <w:r w:rsidR="00F42618">
        <w:t>mpounders is $20 less at $82.67</w:t>
      </w:r>
    </w:p>
    <w:p w:rsidR="00524769" w:rsidRPr="00005302" w:rsidRDefault="008A692F" w:rsidP="00425C30">
      <w:pPr>
        <w:pStyle w:val="ListParagraph"/>
        <w:widowControl/>
        <w:numPr>
          <w:ilvl w:val="0"/>
          <w:numId w:val="69"/>
        </w:numPr>
        <w:ind w:left="1134" w:hanging="425"/>
      </w:pPr>
      <w:r>
        <w:t>w</w:t>
      </w:r>
      <w:r w:rsidR="00524769" w:rsidRPr="00005302">
        <w:t>here applicable, the $20 portion of the preparation fee will be paid directly to the compounder through Australian</w:t>
      </w:r>
      <w:r w:rsidR="00F42618">
        <w:t xml:space="preserve"> Healthcare Associates (AHA)</w:t>
      </w:r>
    </w:p>
    <w:p w:rsidR="00524769" w:rsidRPr="00005302" w:rsidRDefault="008A692F" w:rsidP="00425C30">
      <w:pPr>
        <w:pStyle w:val="ListParagraph"/>
        <w:widowControl/>
        <w:numPr>
          <w:ilvl w:val="0"/>
          <w:numId w:val="69"/>
        </w:numPr>
        <w:ind w:left="1134" w:hanging="425"/>
      </w:pPr>
      <w:proofErr w:type="gramStart"/>
      <w:r>
        <w:t>t</w:t>
      </w:r>
      <w:r w:rsidR="00524769" w:rsidRPr="00005302">
        <w:t>he</w:t>
      </w:r>
      <w:proofErr w:type="gramEnd"/>
      <w:r w:rsidR="00524769" w:rsidRPr="00005302">
        <w:t xml:space="preserve"> $20 is not currently captured by the DP</w:t>
      </w:r>
      <w:r w:rsidR="00425C30">
        <w:t>M</w:t>
      </w:r>
      <w:r w:rsidR="00524769" w:rsidRPr="00005302">
        <w:t>A that is published in the Schedule of Pharmaceutical Benefits.</w:t>
      </w:r>
    </w:p>
    <w:p w:rsidR="00524769" w:rsidRPr="00005302" w:rsidRDefault="00524769" w:rsidP="008A692F">
      <w:pPr>
        <w:widowControl/>
      </w:pPr>
    </w:p>
    <w:p w:rsidR="00DE58B4" w:rsidRPr="00005302" w:rsidRDefault="00524769" w:rsidP="00F717A6">
      <w:pPr>
        <w:pStyle w:val="ListParagraph"/>
        <w:numPr>
          <w:ilvl w:val="1"/>
          <w:numId w:val="6"/>
        </w:numPr>
      </w:pPr>
      <w:r w:rsidRPr="00005302">
        <w:t>As the majority of chemotherapy preparations are compounded in settings where the $102.67 fee applies, this fee should continue to be used in PBAC submissions.</w:t>
      </w:r>
    </w:p>
    <w:p w:rsidR="00524769" w:rsidRPr="008A692F" w:rsidRDefault="00524769" w:rsidP="008A692F">
      <w:pPr>
        <w:widowControl/>
        <w:rPr>
          <w:i/>
        </w:rPr>
      </w:pPr>
    </w:p>
    <w:p w:rsidR="005F4E5C" w:rsidRPr="005F4E5C" w:rsidRDefault="005F4E5C" w:rsidP="003E147C">
      <w:pPr>
        <w:pStyle w:val="ListParagraph"/>
        <w:numPr>
          <w:ilvl w:val="1"/>
          <w:numId w:val="6"/>
        </w:numPr>
      </w:pPr>
      <w:r w:rsidRPr="005F4E5C">
        <w:t xml:space="preserve">The table below provides a summary of the estimated use and financial implications of the requested listing of </w:t>
      </w:r>
      <w:proofErr w:type="spellStart"/>
      <w:r w:rsidRPr="005F4E5C">
        <w:t>nivolumab</w:t>
      </w:r>
      <w:proofErr w:type="spellEnd"/>
      <w:r w:rsidRPr="005F4E5C">
        <w:t xml:space="preserve"> plu</w:t>
      </w:r>
      <w:r w:rsidRPr="0098391F">
        <w:t xml:space="preserve">s </w:t>
      </w:r>
      <w:proofErr w:type="spellStart"/>
      <w:r w:rsidRPr="0098391F">
        <w:t>ipilimumab</w:t>
      </w:r>
      <w:proofErr w:type="spellEnd"/>
      <w:r w:rsidR="00D9391F" w:rsidRPr="0098391F">
        <w:t xml:space="preserve"> provided in </w:t>
      </w:r>
      <w:r w:rsidR="0098391F">
        <w:t>the</w:t>
      </w:r>
      <w:r w:rsidR="00D9391F" w:rsidRPr="0098391F">
        <w:t xml:space="preserve"> updated Section E</w:t>
      </w:r>
      <w:r w:rsidRPr="0098391F">
        <w:t>.</w:t>
      </w:r>
      <w:r w:rsidR="00CE37ED" w:rsidRPr="0098391F">
        <w:t xml:space="preserve"> </w:t>
      </w:r>
      <w:r w:rsidR="00CE37ED">
        <w:t xml:space="preserve">Prices were updated during the evaluation to reflect </w:t>
      </w:r>
      <w:r w:rsidR="004E418B">
        <w:t xml:space="preserve">costs based on the </w:t>
      </w:r>
      <w:r w:rsidR="005525D6">
        <w:t>6CPA</w:t>
      </w:r>
      <w:r w:rsidR="000332F4">
        <w:t xml:space="preserve"> which came into effect</w:t>
      </w:r>
      <w:r w:rsidR="004E418B">
        <w:t xml:space="preserve"> on </w:t>
      </w:r>
      <w:r w:rsidR="008A692F">
        <w:t xml:space="preserve">1 </w:t>
      </w:r>
      <w:r w:rsidR="004E418B">
        <w:t>July 2015</w:t>
      </w:r>
      <w:r w:rsidR="002019B6">
        <w:t>.</w:t>
      </w:r>
    </w:p>
    <w:p w:rsidR="0069356B" w:rsidRPr="005F4E5C" w:rsidRDefault="0069356B" w:rsidP="005F4E5C"/>
    <w:p w:rsidR="00A86EF9" w:rsidRDefault="00A86EF9">
      <w:pPr>
        <w:widowControl/>
        <w:jc w:val="left"/>
        <w:rPr>
          <w:rStyle w:val="CommentReference"/>
        </w:rPr>
      </w:pPr>
      <w:r>
        <w:rPr>
          <w:rStyle w:val="CommentReference"/>
        </w:rPr>
        <w:br w:type="page"/>
      </w:r>
    </w:p>
    <w:p w:rsidR="005F4E5C" w:rsidRDefault="005F4E5C" w:rsidP="005F4E5C">
      <w:pPr>
        <w:ind w:firstLine="709"/>
        <w:rPr>
          <w:rStyle w:val="CommentReference"/>
        </w:rPr>
      </w:pPr>
      <w:r w:rsidRPr="001222FC">
        <w:rPr>
          <w:rStyle w:val="CommentReference"/>
        </w:rPr>
        <w:lastRenderedPageBreak/>
        <w:t xml:space="preserve">Table </w:t>
      </w:r>
      <w:r>
        <w:rPr>
          <w:rStyle w:val="CommentReference"/>
        </w:rPr>
        <w:t>1</w:t>
      </w:r>
      <w:r w:rsidR="00503AAF">
        <w:rPr>
          <w:rStyle w:val="CommentReference"/>
        </w:rPr>
        <w:t>6</w:t>
      </w:r>
      <w:r>
        <w:rPr>
          <w:rStyle w:val="CommentReference"/>
        </w:rPr>
        <w:t>:</w:t>
      </w:r>
      <w:r w:rsidRPr="001222FC">
        <w:rPr>
          <w:rStyle w:val="CommentReference"/>
        </w:rPr>
        <w:t xml:space="preserve"> Estimated use and financial implications</w:t>
      </w:r>
    </w:p>
    <w:tbl>
      <w:tblPr>
        <w:tblW w:w="4570" w:type="pct"/>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6: Estimated use and financial implications"/>
      </w:tblPr>
      <w:tblGrid>
        <w:gridCol w:w="2775"/>
        <w:gridCol w:w="85"/>
        <w:gridCol w:w="1049"/>
        <w:gridCol w:w="86"/>
        <w:gridCol w:w="996"/>
        <w:gridCol w:w="1136"/>
        <w:gridCol w:w="1044"/>
        <w:gridCol w:w="1131"/>
      </w:tblGrid>
      <w:tr w:rsidR="00DE58B4" w:rsidRPr="007F560F" w:rsidTr="009A14F7">
        <w:tc>
          <w:tcPr>
            <w:tcW w:w="1722" w:type="pct"/>
            <w:gridSpan w:val="2"/>
            <w:shd w:val="clear" w:color="auto" w:fill="auto"/>
            <w:vAlign w:val="center"/>
          </w:tcPr>
          <w:p w:rsidR="00315C27" w:rsidRPr="007F560F" w:rsidRDefault="00315C27" w:rsidP="004E418B">
            <w:pPr>
              <w:keepNext/>
              <w:jc w:val="left"/>
              <w:rPr>
                <w:rFonts w:ascii="Arial Narrow" w:hAnsi="Arial Narrow" w:cs="Times New Roman"/>
                <w:b/>
                <w:bCs/>
                <w:sz w:val="20"/>
                <w:lang w:eastAsia="en-AU"/>
              </w:rPr>
            </w:pPr>
          </w:p>
        </w:tc>
        <w:tc>
          <w:tcPr>
            <w:tcW w:w="684" w:type="pct"/>
            <w:gridSpan w:val="2"/>
            <w:shd w:val="clear" w:color="auto" w:fill="auto"/>
            <w:vAlign w:val="center"/>
          </w:tcPr>
          <w:p w:rsidR="00315C27" w:rsidRPr="007F560F" w:rsidRDefault="00315C27" w:rsidP="004E418B">
            <w:pPr>
              <w:keepNext/>
              <w:jc w:val="left"/>
              <w:rPr>
                <w:rFonts w:ascii="Arial Narrow" w:hAnsi="Arial Narrow" w:cs="Times New Roman"/>
                <w:b/>
                <w:bCs/>
                <w:sz w:val="20"/>
                <w:lang w:eastAsia="en-AU"/>
              </w:rPr>
            </w:pPr>
            <w:r w:rsidRPr="007F560F">
              <w:rPr>
                <w:rFonts w:ascii="Arial Narrow" w:hAnsi="Arial Narrow" w:cs="Times New Roman"/>
                <w:b/>
                <w:bCs/>
                <w:sz w:val="20"/>
                <w:lang w:eastAsia="en-AU"/>
              </w:rPr>
              <w:t>Year 1</w:t>
            </w:r>
          </w:p>
        </w:tc>
        <w:tc>
          <w:tcPr>
            <w:tcW w:w="600" w:type="pct"/>
            <w:shd w:val="clear" w:color="auto" w:fill="auto"/>
            <w:vAlign w:val="center"/>
          </w:tcPr>
          <w:p w:rsidR="00315C27" w:rsidRPr="007F560F" w:rsidRDefault="00315C27" w:rsidP="004E418B">
            <w:pPr>
              <w:keepNext/>
              <w:jc w:val="left"/>
              <w:rPr>
                <w:rFonts w:ascii="Arial Narrow" w:hAnsi="Arial Narrow" w:cs="Times New Roman"/>
                <w:b/>
                <w:bCs/>
                <w:sz w:val="20"/>
                <w:lang w:eastAsia="en-AU"/>
              </w:rPr>
            </w:pPr>
            <w:r w:rsidRPr="007F560F">
              <w:rPr>
                <w:rFonts w:ascii="Arial Narrow" w:hAnsi="Arial Narrow" w:cs="Times New Roman"/>
                <w:b/>
                <w:bCs/>
                <w:sz w:val="20"/>
                <w:lang w:eastAsia="en-AU"/>
              </w:rPr>
              <w:t>Year 2</w:t>
            </w:r>
          </w:p>
        </w:tc>
        <w:tc>
          <w:tcPr>
            <w:tcW w:w="684" w:type="pct"/>
            <w:vAlign w:val="center"/>
          </w:tcPr>
          <w:p w:rsidR="00315C27" w:rsidRPr="007F560F" w:rsidRDefault="00315C27" w:rsidP="004E418B">
            <w:pPr>
              <w:keepNext/>
              <w:jc w:val="left"/>
              <w:rPr>
                <w:rFonts w:ascii="Arial Narrow" w:hAnsi="Arial Narrow" w:cs="Times New Roman"/>
                <w:b/>
                <w:bCs/>
                <w:sz w:val="20"/>
                <w:lang w:eastAsia="en-AU"/>
              </w:rPr>
            </w:pPr>
            <w:r w:rsidRPr="007F560F">
              <w:rPr>
                <w:rFonts w:ascii="Arial Narrow" w:hAnsi="Arial Narrow" w:cs="Times New Roman"/>
                <w:b/>
                <w:bCs/>
                <w:sz w:val="20"/>
                <w:lang w:eastAsia="en-AU"/>
              </w:rPr>
              <w:t>Year 3</w:t>
            </w:r>
          </w:p>
        </w:tc>
        <w:tc>
          <w:tcPr>
            <w:tcW w:w="629" w:type="pct"/>
            <w:vAlign w:val="center"/>
          </w:tcPr>
          <w:p w:rsidR="00315C27" w:rsidRPr="007F560F" w:rsidRDefault="00315C27" w:rsidP="004E418B">
            <w:pPr>
              <w:keepNext/>
              <w:jc w:val="left"/>
              <w:rPr>
                <w:rFonts w:ascii="Arial Narrow" w:hAnsi="Arial Narrow" w:cs="Times New Roman"/>
                <w:b/>
                <w:bCs/>
                <w:sz w:val="20"/>
                <w:lang w:eastAsia="en-AU"/>
              </w:rPr>
            </w:pPr>
            <w:r w:rsidRPr="007F560F">
              <w:rPr>
                <w:rFonts w:ascii="Arial Narrow" w:hAnsi="Arial Narrow" w:cs="Times New Roman"/>
                <w:b/>
                <w:bCs/>
                <w:sz w:val="20"/>
                <w:lang w:eastAsia="en-AU"/>
              </w:rPr>
              <w:t>Year 4</w:t>
            </w:r>
          </w:p>
        </w:tc>
        <w:tc>
          <w:tcPr>
            <w:tcW w:w="682" w:type="pct"/>
            <w:vAlign w:val="center"/>
          </w:tcPr>
          <w:p w:rsidR="00315C27" w:rsidRPr="007F560F" w:rsidRDefault="00315C27" w:rsidP="004E418B">
            <w:pPr>
              <w:keepNext/>
              <w:jc w:val="left"/>
              <w:rPr>
                <w:rFonts w:ascii="Arial Narrow" w:hAnsi="Arial Narrow" w:cs="Times New Roman"/>
                <w:b/>
                <w:bCs/>
                <w:sz w:val="20"/>
                <w:lang w:eastAsia="en-AU"/>
              </w:rPr>
            </w:pPr>
            <w:r w:rsidRPr="007F560F">
              <w:rPr>
                <w:rFonts w:ascii="Arial Narrow" w:hAnsi="Arial Narrow" w:cs="Times New Roman"/>
                <w:b/>
                <w:bCs/>
                <w:sz w:val="20"/>
                <w:lang w:eastAsia="en-AU"/>
              </w:rPr>
              <w:t>Year 5</w:t>
            </w:r>
          </w:p>
        </w:tc>
      </w:tr>
      <w:tr w:rsidR="00315C27" w:rsidRPr="007F560F" w:rsidTr="00D9391F">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315C27" w:rsidRPr="00CB3E2A" w:rsidRDefault="00315C27" w:rsidP="004E418B">
            <w:pPr>
              <w:jc w:val="left"/>
              <w:rPr>
                <w:rFonts w:ascii="Arial Narrow" w:hAnsi="Arial Narrow" w:cs="Times New Roman"/>
                <w:b/>
                <w:i/>
                <w:sz w:val="20"/>
                <w:lang w:eastAsia="en-AU"/>
              </w:rPr>
            </w:pPr>
            <w:r>
              <w:rPr>
                <w:rFonts w:ascii="Arial Narrow" w:hAnsi="Arial Narrow" w:cs="Times New Roman"/>
                <w:b/>
                <w:sz w:val="20"/>
                <w:lang w:eastAsia="en-AU"/>
              </w:rPr>
              <w:t>Scenario 2</w:t>
            </w:r>
            <w:r w:rsidR="00CB3E2A">
              <w:rPr>
                <w:rFonts w:ascii="Arial Narrow" w:hAnsi="Arial Narrow" w:cs="Times New Roman"/>
                <w:b/>
                <w:sz w:val="20"/>
                <w:lang w:eastAsia="en-AU"/>
              </w:rPr>
              <w:t xml:space="preserve"> – </w:t>
            </w:r>
            <w:r w:rsidR="00D9391F">
              <w:rPr>
                <w:rFonts w:ascii="Arial Narrow" w:hAnsi="Arial Narrow" w:cs="Times New Roman"/>
                <w:b/>
                <w:i/>
                <w:sz w:val="20"/>
                <w:lang w:eastAsia="en-AU"/>
              </w:rPr>
              <w:t xml:space="preserve">proposed </w:t>
            </w:r>
            <w:r w:rsidR="00CB3E2A">
              <w:rPr>
                <w:rFonts w:ascii="Arial Narrow" w:hAnsi="Arial Narrow" w:cs="Times New Roman"/>
                <w:b/>
                <w:i/>
                <w:sz w:val="20"/>
                <w:lang w:eastAsia="en-AU"/>
              </w:rPr>
              <w:t>base case as per PSCR</w:t>
            </w:r>
          </w:p>
        </w:tc>
      </w:tr>
      <w:tr w:rsidR="00812131" w:rsidRPr="007F560F" w:rsidTr="009A14F7">
        <w:tc>
          <w:tcPr>
            <w:tcW w:w="1671" w:type="pct"/>
            <w:tcBorders>
              <w:top w:val="single" w:sz="4" w:space="0" w:color="auto"/>
              <w:left w:val="single" w:sz="4" w:space="0" w:color="auto"/>
              <w:bottom w:val="single" w:sz="4" w:space="0" w:color="auto"/>
              <w:right w:val="single" w:sz="4" w:space="0" w:color="auto"/>
            </w:tcBorders>
            <w:vAlign w:val="center"/>
          </w:tcPr>
          <w:p w:rsidR="00812131" w:rsidRPr="007F560F" w:rsidRDefault="00812131" w:rsidP="00D9391F">
            <w:pPr>
              <w:jc w:val="left"/>
              <w:rPr>
                <w:rFonts w:ascii="Arial Narrow" w:hAnsi="Arial Narrow" w:cs="Times New Roman"/>
                <w:sz w:val="20"/>
                <w:lang w:eastAsia="en-AU"/>
              </w:rPr>
            </w:pPr>
            <w:r w:rsidRPr="007F560F">
              <w:rPr>
                <w:rFonts w:ascii="Arial Narrow" w:hAnsi="Arial Narrow" w:cs="Times New Roman"/>
                <w:sz w:val="20"/>
                <w:lang w:eastAsia="en-AU"/>
              </w:rPr>
              <w:t>Overall net cost to PBS/RPBS</w:t>
            </w:r>
          </w:p>
        </w:tc>
        <w:tc>
          <w:tcPr>
            <w:tcW w:w="683" w:type="pct"/>
            <w:gridSpan w:val="2"/>
            <w:tcBorders>
              <w:top w:val="single" w:sz="4" w:space="0" w:color="auto"/>
              <w:left w:val="single" w:sz="4" w:space="0" w:color="auto"/>
              <w:bottom w:val="single" w:sz="4" w:space="0" w:color="auto"/>
              <w:right w:val="single" w:sz="4" w:space="0" w:color="auto"/>
            </w:tcBorders>
            <w:vAlign w:val="bottom"/>
          </w:tcPr>
          <w:p w:rsidR="00812131" w:rsidRPr="00D9391F" w:rsidRDefault="00812131" w:rsidP="004E418B">
            <w:pPr>
              <w:jc w:val="left"/>
              <w:rPr>
                <w:rFonts w:ascii="Arial Narrow" w:hAnsi="Arial Narrow"/>
                <w:sz w:val="20"/>
              </w:rPr>
            </w:pPr>
            <w:r w:rsidRPr="00980D71">
              <w:rPr>
                <w:rFonts w:ascii="Arial Narrow" w:hAnsi="Arial Narrow"/>
                <w:sz w:val="20"/>
              </w:rPr>
              <w:t>$</w:t>
            </w:r>
            <w:r w:rsidR="006D73F0">
              <w:rPr>
                <w:rFonts w:ascii="Arial Narrow" w:hAnsi="Arial Narrow"/>
                <w:noProof/>
                <w:color w:val="000000"/>
                <w:sz w:val="20"/>
                <w:highlight w:val="black"/>
              </w:rPr>
              <w:t>'''''''''''''''''''''''''''''</w:t>
            </w:r>
          </w:p>
        </w:tc>
        <w:tc>
          <w:tcPr>
            <w:tcW w:w="652" w:type="pct"/>
            <w:gridSpan w:val="2"/>
            <w:tcBorders>
              <w:top w:val="single" w:sz="4" w:space="0" w:color="auto"/>
              <w:left w:val="single" w:sz="4" w:space="0" w:color="auto"/>
              <w:bottom w:val="single" w:sz="4" w:space="0" w:color="auto"/>
              <w:right w:val="single" w:sz="4" w:space="0" w:color="auto"/>
            </w:tcBorders>
            <w:vAlign w:val="bottom"/>
          </w:tcPr>
          <w:p w:rsidR="00812131" w:rsidRPr="00D9391F" w:rsidRDefault="00812131" w:rsidP="004E418B">
            <w:pPr>
              <w:jc w:val="left"/>
              <w:rPr>
                <w:rFonts w:ascii="Arial Narrow" w:hAnsi="Arial Narrow"/>
                <w:sz w:val="20"/>
              </w:rPr>
            </w:pPr>
            <w:r w:rsidRPr="00980D71">
              <w:rPr>
                <w:rFonts w:ascii="Arial Narrow" w:hAnsi="Arial Narrow"/>
                <w:sz w:val="20"/>
              </w:rPr>
              <w:t>$</w:t>
            </w:r>
            <w:r w:rsidR="006D73F0">
              <w:rPr>
                <w:rFonts w:ascii="Arial Narrow" w:hAnsi="Arial Narrow"/>
                <w:noProof/>
                <w:color w:val="000000"/>
                <w:sz w:val="20"/>
                <w:highlight w:val="black"/>
              </w:rPr>
              <w:t>'''''''''''''''''''''''''</w:t>
            </w:r>
          </w:p>
        </w:tc>
        <w:tc>
          <w:tcPr>
            <w:tcW w:w="684" w:type="pct"/>
            <w:tcBorders>
              <w:top w:val="single" w:sz="4" w:space="0" w:color="auto"/>
              <w:left w:val="single" w:sz="4" w:space="0" w:color="auto"/>
              <w:bottom w:val="single" w:sz="4" w:space="0" w:color="auto"/>
              <w:right w:val="single" w:sz="4" w:space="0" w:color="auto"/>
            </w:tcBorders>
            <w:vAlign w:val="bottom"/>
          </w:tcPr>
          <w:p w:rsidR="00812131" w:rsidRPr="00D9391F" w:rsidRDefault="00812131" w:rsidP="004E418B">
            <w:pPr>
              <w:jc w:val="left"/>
              <w:rPr>
                <w:rFonts w:ascii="Arial Narrow" w:hAnsi="Arial Narrow"/>
                <w:sz w:val="20"/>
              </w:rPr>
            </w:pPr>
            <w:r w:rsidRPr="00980D71">
              <w:rPr>
                <w:rFonts w:ascii="Arial Narrow" w:hAnsi="Arial Narrow"/>
                <w:sz w:val="20"/>
              </w:rPr>
              <w:t>$</w:t>
            </w:r>
            <w:r w:rsidR="006D73F0">
              <w:rPr>
                <w:rFonts w:ascii="Arial Narrow" w:hAnsi="Arial Narrow"/>
                <w:noProof/>
                <w:color w:val="000000"/>
                <w:sz w:val="20"/>
                <w:highlight w:val="black"/>
              </w:rPr>
              <w:t>''''''''''''''''''''''''</w:t>
            </w:r>
          </w:p>
        </w:tc>
        <w:tc>
          <w:tcPr>
            <w:tcW w:w="629" w:type="pct"/>
            <w:tcBorders>
              <w:top w:val="single" w:sz="4" w:space="0" w:color="auto"/>
              <w:left w:val="single" w:sz="4" w:space="0" w:color="auto"/>
              <w:bottom w:val="single" w:sz="4" w:space="0" w:color="auto"/>
              <w:right w:val="single" w:sz="4" w:space="0" w:color="auto"/>
            </w:tcBorders>
            <w:vAlign w:val="bottom"/>
          </w:tcPr>
          <w:p w:rsidR="00812131" w:rsidRPr="00D9391F" w:rsidRDefault="00812131" w:rsidP="004E418B">
            <w:pPr>
              <w:jc w:val="left"/>
              <w:rPr>
                <w:rFonts w:ascii="Arial Narrow" w:hAnsi="Arial Narrow"/>
                <w:sz w:val="20"/>
              </w:rPr>
            </w:pPr>
            <w:r w:rsidRPr="00980D71">
              <w:rPr>
                <w:rFonts w:ascii="Arial Narrow" w:hAnsi="Arial Narrow"/>
                <w:sz w:val="20"/>
              </w:rPr>
              <w:t>$</w:t>
            </w:r>
            <w:r w:rsidR="006D73F0">
              <w:rPr>
                <w:rFonts w:ascii="Arial Narrow" w:hAnsi="Arial Narrow"/>
                <w:noProof/>
                <w:color w:val="000000"/>
                <w:sz w:val="20"/>
                <w:highlight w:val="black"/>
              </w:rPr>
              <w:t>'''''''''''''''''''''''''''</w:t>
            </w:r>
          </w:p>
        </w:tc>
        <w:tc>
          <w:tcPr>
            <w:tcW w:w="682" w:type="pct"/>
            <w:tcBorders>
              <w:top w:val="single" w:sz="4" w:space="0" w:color="auto"/>
              <w:left w:val="single" w:sz="4" w:space="0" w:color="auto"/>
              <w:bottom w:val="single" w:sz="4" w:space="0" w:color="auto"/>
              <w:right w:val="single" w:sz="4" w:space="0" w:color="auto"/>
            </w:tcBorders>
            <w:vAlign w:val="bottom"/>
          </w:tcPr>
          <w:p w:rsidR="00812131" w:rsidRPr="00D9391F" w:rsidRDefault="00812131" w:rsidP="004E418B">
            <w:pPr>
              <w:jc w:val="left"/>
              <w:rPr>
                <w:rFonts w:ascii="Arial Narrow" w:hAnsi="Arial Narrow"/>
                <w:sz w:val="20"/>
              </w:rPr>
            </w:pPr>
            <w:r w:rsidRPr="00980D71">
              <w:rPr>
                <w:rFonts w:ascii="Arial Narrow" w:hAnsi="Arial Narrow"/>
                <w:sz w:val="20"/>
              </w:rPr>
              <w:t>$</w:t>
            </w:r>
            <w:r w:rsidR="006D73F0">
              <w:rPr>
                <w:rFonts w:ascii="Arial Narrow" w:hAnsi="Arial Narrow"/>
                <w:noProof/>
                <w:color w:val="000000"/>
                <w:sz w:val="20"/>
                <w:highlight w:val="black"/>
              </w:rPr>
              <w:t>'''''''''''''''''''''''</w:t>
            </w:r>
          </w:p>
        </w:tc>
      </w:tr>
      <w:tr w:rsidR="00D9391F" w:rsidRPr="007F560F" w:rsidTr="009A14F7">
        <w:tc>
          <w:tcPr>
            <w:tcW w:w="1671" w:type="pct"/>
            <w:tcBorders>
              <w:top w:val="single" w:sz="4" w:space="0" w:color="auto"/>
              <w:left w:val="single" w:sz="4" w:space="0" w:color="auto"/>
              <w:bottom w:val="single" w:sz="4" w:space="0" w:color="auto"/>
              <w:right w:val="single" w:sz="4" w:space="0" w:color="auto"/>
            </w:tcBorders>
            <w:vAlign w:val="center"/>
          </w:tcPr>
          <w:p w:rsidR="00D9391F" w:rsidRPr="007C1317" w:rsidRDefault="00D9391F" w:rsidP="004E418B">
            <w:pPr>
              <w:jc w:val="left"/>
              <w:rPr>
                <w:rFonts w:ascii="Arial Narrow" w:hAnsi="Arial Narrow" w:cs="Times New Roman"/>
                <w:sz w:val="20"/>
                <w:lang w:eastAsia="en-AU"/>
              </w:rPr>
            </w:pPr>
            <w:r w:rsidRPr="007C1317">
              <w:rPr>
                <w:rFonts w:ascii="Arial Narrow" w:hAnsi="Arial Narrow"/>
                <w:sz w:val="20"/>
              </w:rPr>
              <w:t xml:space="preserve">Cost to </w:t>
            </w:r>
            <w:r>
              <w:rPr>
                <w:rFonts w:ascii="Arial Narrow" w:hAnsi="Arial Narrow"/>
                <w:sz w:val="20"/>
              </w:rPr>
              <w:t>g</w:t>
            </w:r>
            <w:r w:rsidRPr="007C1317">
              <w:rPr>
                <w:rFonts w:ascii="Arial Narrow" w:hAnsi="Arial Narrow"/>
                <w:sz w:val="20"/>
              </w:rPr>
              <w:t>overnment for MBS</w:t>
            </w:r>
          </w:p>
        </w:tc>
        <w:tc>
          <w:tcPr>
            <w:tcW w:w="683" w:type="pct"/>
            <w:gridSpan w:val="2"/>
            <w:tcBorders>
              <w:top w:val="single" w:sz="4" w:space="0" w:color="auto"/>
              <w:left w:val="single" w:sz="4" w:space="0" w:color="auto"/>
              <w:bottom w:val="single" w:sz="4" w:space="0" w:color="auto"/>
              <w:right w:val="single" w:sz="4" w:space="0" w:color="auto"/>
            </w:tcBorders>
            <w:vAlign w:val="center"/>
          </w:tcPr>
          <w:p w:rsidR="00D9391F" w:rsidRPr="00F3516E" w:rsidRDefault="00D9391F" w:rsidP="004E418B">
            <w:pPr>
              <w:jc w:val="left"/>
              <w:rPr>
                <w:rFonts w:ascii="Arial Narrow" w:hAnsi="Arial Narrow"/>
                <w:color w:val="000000"/>
                <w:sz w:val="20"/>
              </w:rPr>
            </w:pPr>
            <w:r w:rsidRPr="00AD6395">
              <w:rPr>
                <w:rFonts w:ascii="Arial Narrow" w:hAnsi="Arial Narrow"/>
                <w:sz w:val="20"/>
              </w:rPr>
              <w:t>$891,849</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D9391F" w:rsidRPr="00F3516E" w:rsidRDefault="00D9391F" w:rsidP="004E418B">
            <w:pPr>
              <w:jc w:val="left"/>
              <w:rPr>
                <w:rFonts w:ascii="Arial Narrow" w:hAnsi="Arial Narrow"/>
                <w:color w:val="000000"/>
                <w:sz w:val="20"/>
              </w:rPr>
            </w:pPr>
            <w:r w:rsidRPr="00AD6395">
              <w:rPr>
                <w:rFonts w:ascii="Arial Narrow" w:hAnsi="Arial Narrow"/>
                <w:sz w:val="20"/>
              </w:rPr>
              <w:t>$926,263</w:t>
            </w:r>
          </w:p>
        </w:tc>
        <w:tc>
          <w:tcPr>
            <w:tcW w:w="684" w:type="pct"/>
            <w:tcBorders>
              <w:top w:val="single" w:sz="4" w:space="0" w:color="auto"/>
              <w:left w:val="single" w:sz="4" w:space="0" w:color="auto"/>
              <w:bottom w:val="single" w:sz="4" w:space="0" w:color="auto"/>
              <w:right w:val="single" w:sz="4" w:space="0" w:color="auto"/>
            </w:tcBorders>
            <w:vAlign w:val="center"/>
          </w:tcPr>
          <w:p w:rsidR="00D9391F" w:rsidRPr="00F3516E" w:rsidRDefault="00D9391F" w:rsidP="004E418B">
            <w:pPr>
              <w:jc w:val="left"/>
              <w:rPr>
                <w:rFonts w:ascii="Arial Narrow" w:hAnsi="Arial Narrow"/>
                <w:color w:val="000000"/>
                <w:sz w:val="20"/>
              </w:rPr>
            </w:pPr>
            <w:r w:rsidRPr="00AD6395">
              <w:rPr>
                <w:rFonts w:ascii="Arial Narrow" w:hAnsi="Arial Narrow"/>
                <w:sz w:val="20"/>
              </w:rPr>
              <w:t>$960,332</w:t>
            </w:r>
          </w:p>
        </w:tc>
        <w:tc>
          <w:tcPr>
            <w:tcW w:w="629" w:type="pct"/>
            <w:tcBorders>
              <w:top w:val="single" w:sz="4" w:space="0" w:color="auto"/>
              <w:left w:val="single" w:sz="4" w:space="0" w:color="auto"/>
              <w:bottom w:val="single" w:sz="4" w:space="0" w:color="auto"/>
              <w:right w:val="single" w:sz="4" w:space="0" w:color="auto"/>
            </w:tcBorders>
            <w:vAlign w:val="center"/>
          </w:tcPr>
          <w:p w:rsidR="00D9391F" w:rsidRPr="00F3516E" w:rsidRDefault="00D9391F" w:rsidP="004E418B">
            <w:pPr>
              <w:jc w:val="left"/>
              <w:rPr>
                <w:rFonts w:ascii="Arial Narrow" w:hAnsi="Arial Narrow"/>
                <w:color w:val="000000"/>
                <w:sz w:val="20"/>
              </w:rPr>
            </w:pPr>
            <w:r w:rsidRPr="00AD6395">
              <w:rPr>
                <w:rFonts w:ascii="Arial Narrow" w:hAnsi="Arial Narrow"/>
                <w:sz w:val="20"/>
              </w:rPr>
              <w:t>$995,827</w:t>
            </w:r>
          </w:p>
        </w:tc>
        <w:tc>
          <w:tcPr>
            <w:tcW w:w="682" w:type="pct"/>
            <w:tcBorders>
              <w:top w:val="single" w:sz="4" w:space="0" w:color="auto"/>
              <w:left w:val="single" w:sz="4" w:space="0" w:color="auto"/>
              <w:bottom w:val="single" w:sz="4" w:space="0" w:color="auto"/>
              <w:right w:val="single" w:sz="4" w:space="0" w:color="auto"/>
            </w:tcBorders>
            <w:vAlign w:val="center"/>
          </w:tcPr>
          <w:p w:rsidR="00D9391F" w:rsidRPr="00F3516E" w:rsidRDefault="00D9391F" w:rsidP="004E418B">
            <w:pPr>
              <w:jc w:val="left"/>
              <w:rPr>
                <w:rFonts w:ascii="Arial Narrow" w:hAnsi="Arial Narrow"/>
                <w:color w:val="000000"/>
                <w:sz w:val="20"/>
              </w:rPr>
            </w:pPr>
            <w:r w:rsidRPr="00AD6395">
              <w:rPr>
                <w:rFonts w:ascii="Arial Narrow" w:hAnsi="Arial Narrow"/>
                <w:sz w:val="20"/>
              </w:rPr>
              <w:t>$1,032,601</w:t>
            </w:r>
          </w:p>
        </w:tc>
      </w:tr>
      <w:tr w:rsidR="00D9391F" w:rsidRPr="007F560F" w:rsidTr="009A14F7">
        <w:tc>
          <w:tcPr>
            <w:tcW w:w="1671" w:type="pct"/>
            <w:tcBorders>
              <w:top w:val="single" w:sz="4" w:space="0" w:color="auto"/>
              <w:left w:val="single" w:sz="4" w:space="0" w:color="auto"/>
              <w:bottom w:val="single" w:sz="4" w:space="0" w:color="auto"/>
              <w:right w:val="single" w:sz="4" w:space="0" w:color="auto"/>
            </w:tcBorders>
            <w:vAlign w:val="center"/>
          </w:tcPr>
          <w:p w:rsidR="00D9391F" w:rsidRPr="007C1317" w:rsidRDefault="00D9391F" w:rsidP="004E418B">
            <w:pPr>
              <w:jc w:val="left"/>
              <w:rPr>
                <w:rFonts w:ascii="Arial Narrow" w:hAnsi="Arial Narrow" w:cs="Times New Roman"/>
                <w:sz w:val="20"/>
                <w:lang w:eastAsia="en-AU"/>
              </w:rPr>
            </w:pPr>
            <w:r w:rsidRPr="007C1317">
              <w:rPr>
                <w:rFonts w:ascii="Arial Narrow" w:hAnsi="Arial Narrow"/>
                <w:sz w:val="20"/>
              </w:rPr>
              <w:t xml:space="preserve">Cost </w:t>
            </w:r>
            <w:r>
              <w:rPr>
                <w:rFonts w:ascii="Arial Narrow" w:hAnsi="Arial Narrow"/>
                <w:sz w:val="20"/>
              </w:rPr>
              <w:t>to government of AE treatment</w:t>
            </w:r>
          </w:p>
        </w:tc>
        <w:tc>
          <w:tcPr>
            <w:tcW w:w="683" w:type="pct"/>
            <w:gridSpan w:val="2"/>
            <w:tcBorders>
              <w:top w:val="single" w:sz="4" w:space="0" w:color="auto"/>
              <w:left w:val="single" w:sz="4" w:space="0" w:color="auto"/>
              <w:bottom w:val="single" w:sz="4" w:space="0" w:color="auto"/>
              <w:right w:val="single" w:sz="4" w:space="0" w:color="auto"/>
            </w:tcBorders>
            <w:vAlign w:val="center"/>
          </w:tcPr>
          <w:p w:rsidR="00D9391F" w:rsidRPr="00F3516E" w:rsidRDefault="00D9391F" w:rsidP="004E418B">
            <w:pPr>
              <w:jc w:val="left"/>
              <w:rPr>
                <w:rFonts w:ascii="Arial Narrow" w:hAnsi="Arial Narrow" w:cs="Times New Roman"/>
                <w:i/>
                <w:sz w:val="20"/>
                <w:lang w:eastAsia="en-AU"/>
              </w:rPr>
            </w:pPr>
            <w:r w:rsidRPr="00AD6395">
              <w:rPr>
                <w:rFonts w:ascii="Arial Narrow" w:hAnsi="Arial Narrow"/>
                <w:sz w:val="20"/>
              </w:rPr>
              <w:t>$691,187</w:t>
            </w:r>
          </w:p>
        </w:tc>
        <w:tc>
          <w:tcPr>
            <w:tcW w:w="652" w:type="pct"/>
            <w:gridSpan w:val="2"/>
            <w:tcBorders>
              <w:top w:val="single" w:sz="4" w:space="0" w:color="auto"/>
              <w:left w:val="single" w:sz="4" w:space="0" w:color="auto"/>
              <w:bottom w:val="single" w:sz="4" w:space="0" w:color="auto"/>
              <w:right w:val="single" w:sz="4" w:space="0" w:color="auto"/>
            </w:tcBorders>
            <w:vAlign w:val="center"/>
          </w:tcPr>
          <w:p w:rsidR="00D9391F" w:rsidRPr="00F3516E" w:rsidRDefault="00D9391F" w:rsidP="004E418B">
            <w:pPr>
              <w:jc w:val="left"/>
              <w:rPr>
                <w:rFonts w:ascii="Arial Narrow" w:hAnsi="Arial Narrow" w:cs="Times New Roman"/>
                <w:sz w:val="20"/>
                <w:lang w:eastAsia="en-AU"/>
              </w:rPr>
            </w:pPr>
            <w:r w:rsidRPr="00AD6395">
              <w:rPr>
                <w:rFonts w:ascii="Arial Narrow" w:hAnsi="Arial Narrow"/>
                <w:sz w:val="20"/>
              </w:rPr>
              <w:t>$717,828</w:t>
            </w:r>
          </w:p>
        </w:tc>
        <w:tc>
          <w:tcPr>
            <w:tcW w:w="684" w:type="pct"/>
            <w:tcBorders>
              <w:top w:val="single" w:sz="4" w:space="0" w:color="auto"/>
              <w:left w:val="single" w:sz="4" w:space="0" w:color="auto"/>
              <w:bottom w:val="single" w:sz="4" w:space="0" w:color="auto"/>
              <w:right w:val="single" w:sz="4" w:space="0" w:color="auto"/>
            </w:tcBorders>
            <w:vAlign w:val="center"/>
          </w:tcPr>
          <w:p w:rsidR="00D9391F" w:rsidRPr="00F3516E" w:rsidRDefault="00D9391F" w:rsidP="004E418B">
            <w:pPr>
              <w:jc w:val="left"/>
              <w:rPr>
                <w:rFonts w:ascii="Arial Narrow" w:hAnsi="Arial Narrow" w:cs="Times New Roman"/>
                <w:sz w:val="20"/>
                <w:lang w:eastAsia="en-AU"/>
              </w:rPr>
            </w:pPr>
            <w:r w:rsidRPr="00AD6395">
              <w:rPr>
                <w:rFonts w:ascii="Arial Narrow" w:hAnsi="Arial Narrow"/>
                <w:sz w:val="20"/>
              </w:rPr>
              <w:t>$744,281</w:t>
            </w:r>
          </w:p>
        </w:tc>
        <w:tc>
          <w:tcPr>
            <w:tcW w:w="629" w:type="pct"/>
            <w:tcBorders>
              <w:top w:val="single" w:sz="4" w:space="0" w:color="auto"/>
              <w:left w:val="single" w:sz="4" w:space="0" w:color="auto"/>
              <w:bottom w:val="single" w:sz="4" w:space="0" w:color="auto"/>
              <w:right w:val="single" w:sz="4" w:space="0" w:color="auto"/>
            </w:tcBorders>
            <w:vAlign w:val="center"/>
          </w:tcPr>
          <w:p w:rsidR="00D9391F" w:rsidRPr="00F3516E" w:rsidRDefault="00D9391F" w:rsidP="004E418B">
            <w:pPr>
              <w:jc w:val="left"/>
              <w:rPr>
                <w:rFonts w:ascii="Arial Narrow" w:hAnsi="Arial Narrow" w:cs="Times New Roman"/>
                <w:sz w:val="20"/>
                <w:lang w:eastAsia="en-AU"/>
              </w:rPr>
            </w:pPr>
            <w:r w:rsidRPr="00AD6395">
              <w:rPr>
                <w:rFonts w:ascii="Arial Narrow" w:hAnsi="Arial Narrow"/>
                <w:sz w:val="20"/>
              </w:rPr>
              <w:t>$771,736</w:t>
            </w:r>
          </w:p>
        </w:tc>
        <w:tc>
          <w:tcPr>
            <w:tcW w:w="682" w:type="pct"/>
            <w:tcBorders>
              <w:top w:val="single" w:sz="4" w:space="0" w:color="auto"/>
              <w:left w:val="single" w:sz="4" w:space="0" w:color="auto"/>
              <w:bottom w:val="single" w:sz="4" w:space="0" w:color="auto"/>
              <w:right w:val="single" w:sz="4" w:space="0" w:color="auto"/>
            </w:tcBorders>
            <w:vAlign w:val="center"/>
          </w:tcPr>
          <w:p w:rsidR="00D9391F" w:rsidRPr="00F3516E" w:rsidRDefault="00D9391F" w:rsidP="004E418B">
            <w:pPr>
              <w:jc w:val="left"/>
              <w:rPr>
                <w:rFonts w:ascii="Arial Narrow" w:hAnsi="Arial Narrow" w:cs="Times New Roman"/>
                <w:sz w:val="20"/>
                <w:lang w:eastAsia="en-AU"/>
              </w:rPr>
            </w:pPr>
            <w:r w:rsidRPr="00AD6395">
              <w:rPr>
                <w:rFonts w:ascii="Arial Narrow" w:hAnsi="Arial Narrow"/>
                <w:sz w:val="20"/>
              </w:rPr>
              <w:t>$800,226</w:t>
            </w:r>
          </w:p>
        </w:tc>
      </w:tr>
      <w:tr w:rsidR="00D9391F" w:rsidRPr="007F560F" w:rsidTr="009A14F7">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rsidR="00D9391F" w:rsidRPr="006A420E" w:rsidRDefault="00812131" w:rsidP="004E418B">
            <w:pPr>
              <w:jc w:val="left"/>
              <w:rPr>
                <w:rFonts w:ascii="Arial Narrow" w:hAnsi="Arial Narrow" w:cs="Times New Roman"/>
                <w:sz w:val="20"/>
                <w:lang w:eastAsia="en-AU"/>
              </w:rPr>
            </w:pPr>
            <w:r w:rsidRPr="00A5542E">
              <w:rPr>
                <w:rFonts w:ascii="Arial Narrow" w:hAnsi="Arial Narrow" w:cs="Times New Roman"/>
                <w:sz w:val="20"/>
                <w:lang w:eastAsia="en-AU"/>
              </w:rPr>
              <w:t>Original commentary estimates</w:t>
            </w:r>
          </w:p>
        </w:tc>
        <w:tc>
          <w:tcPr>
            <w:tcW w:w="683" w:type="pct"/>
            <w:gridSpan w:val="2"/>
            <w:tcBorders>
              <w:top w:val="single" w:sz="4" w:space="0" w:color="auto"/>
              <w:left w:val="single" w:sz="4" w:space="0" w:color="auto"/>
              <w:bottom w:val="single" w:sz="4" w:space="0" w:color="auto"/>
              <w:right w:val="single" w:sz="4" w:space="0" w:color="auto"/>
            </w:tcBorders>
            <w:vAlign w:val="bottom"/>
          </w:tcPr>
          <w:p w:rsidR="00D9391F" w:rsidRPr="00812131" w:rsidRDefault="00D9391F" w:rsidP="004E418B">
            <w:pPr>
              <w:jc w:val="left"/>
              <w:rPr>
                <w:rFonts w:ascii="Arial Narrow" w:hAnsi="Arial Narrow" w:cs="Times New Roman"/>
                <w:sz w:val="20"/>
                <w:lang w:eastAsia="en-AU"/>
              </w:rPr>
            </w:pPr>
            <w:r w:rsidRPr="00812131">
              <w:rPr>
                <w:rFonts w:ascii="Arial Narrow" w:hAnsi="Arial Narrow"/>
                <w:sz w:val="20"/>
              </w:rPr>
              <w:t>$</w:t>
            </w:r>
            <w:r w:rsidR="006D73F0">
              <w:rPr>
                <w:rFonts w:ascii="Arial Narrow" w:hAnsi="Arial Narrow"/>
                <w:noProof/>
                <w:color w:val="000000"/>
                <w:sz w:val="20"/>
                <w:highlight w:val="black"/>
              </w:rPr>
              <w:t>'''''''''''''''''''''''''''''</w:t>
            </w:r>
          </w:p>
        </w:tc>
        <w:tc>
          <w:tcPr>
            <w:tcW w:w="652" w:type="pct"/>
            <w:gridSpan w:val="2"/>
            <w:tcBorders>
              <w:top w:val="single" w:sz="4" w:space="0" w:color="auto"/>
              <w:left w:val="single" w:sz="4" w:space="0" w:color="auto"/>
              <w:bottom w:val="single" w:sz="4" w:space="0" w:color="auto"/>
              <w:right w:val="single" w:sz="4" w:space="0" w:color="auto"/>
            </w:tcBorders>
            <w:vAlign w:val="bottom"/>
          </w:tcPr>
          <w:p w:rsidR="00D9391F" w:rsidRPr="00812131" w:rsidRDefault="00D9391F" w:rsidP="004E418B">
            <w:pPr>
              <w:jc w:val="left"/>
              <w:rPr>
                <w:rFonts w:ascii="Arial Narrow" w:hAnsi="Arial Narrow"/>
                <w:sz w:val="20"/>
                <w:lang w:eastAsia="en-AU"/>
              </w:rPr>
            </w:pPr>
            <w:r w:rsidRPr="00812131">
              <w:rPr>
                <w:rFonts w:ascii="Arial Narrow" w:hAnsi="Arial Narrow"/>
                <w:sz w:val="20"/>
              </w:rPr>
              <w:t>$</w:t>
            </w:r>
            <w:r w:rsidR="006D73F0">
              <w:rPr>
                <w:rFonts w:ascii="Arial Narrow" w:hAnsi="Arial Narrow"/>
                <w:noProof/>
                <w:color w:val="000000"/>
                <w:sz w:val="20"/>
                <w:highlight w:val="black"/>
              </w:rPr>
              <w:t>''''''''''''''''''''''''''</w:t>
            </w:r>
          </w:p>
        </w:tc>
        <w:tc>
          <w:tcPr>
            <w:tcW w:w="684" w:type="pct"/>
            <w:tcBorders>
              <w:top w:val="single" w:sz="4" w:space="0" w:color="auto"/>
              <w:left w:val="single" w:sz="4" w:space="0" w:color="auto"/>
              <w:bottom w:val="single" w:sz="4" w:space="0" w:color="auto"/>
              <w:right w:val="single" w:sz="4" w:space="0" w:color="auto"/>
            </w:tcBorders>
            <w:vAlign w:val="bottom"/>
          </w:tcPr>
          <w:p w:rsidR="00D9391F" w:rsidRPr="00812131" w:rsidRDefault="00D9391F" w:rsidP="004E418B">
            <w:pPr>
              <w:jc w:val="left"/>
              <w:rPr>
                <w:rFonts w:ascii="Arial Narrow" w:hAnsi="Arial Narrow"/>
                <w:sz w:val="20"/>
                <w:lang w:eastAsia="en-AU"/>
              </w:rPr>
            </w:pPr>
            <w:r w:rsidRPr="00812131">
              <w:rPr>
                <w:rFonts w:ascii="Arial Narrow" w:hAnsi="Arial Narrow"/>
                <w:sz w:val="20"/>
              </w:rPr>
              <w:t>$</w:t>
            </w:r>
            <w:r w:rsidR="006D73F0">
              <w:rPr>
                <w:rFonts w:ascii="Arial Narrow" w:hAnsi="Arial Narrow"/>
                <w:noProof/>
                <w:color w:val="000000"/>
                <w:sz w:val="20"/>
                <w:highlight w:val="black"/>
              </w:rPr>
              <w:t>'''''''''''''''''''''''''''''</w:t>
            </w:r>
          </w:p>
        </w:tc>
        <w:tc>
          <w:tcPr>
            <w:tcW w:w="629" w:type="pct"/>
            <w:tcBorders>
              <w:top w:val="single" w:sz="4" w:space="0" w:color="auto"/>
              <w:left w:val="single" w:sz="4" w:space="0" w:color="auto"/>
              <w:bottom w:val="single" w:sz="4" w:space="0" w:color="auto"/>
              <w:right w:val="single" w:sz="4" w:space="0" w:color="auto"/>
            </w:tcBorders>
            <w:vAlign w:val="bottom"/>
          </w:tcPr>
          <w:p w:rsidR="00D9391F" w:rsidRPr="00812131" w:rsidRDefault="00D9391F" w:rsidP="004E418B">
            <w:pPr>
              <w:jc w:val="left"/>
              <w:rPr>
                <w:rFonts w:ascii="Arial Narrow" w:hAnsi="Arial Narrow"/>
                <w:sz w:val="20"/>
                <w:lang w:eastAsia="en-AU"/>
              </w:rPr>
            </w:pPr>
            <w:r w:rsidRPr="00812131">
              <w:rPr>
                <w:rFonts w:ascii="Arial Narrow" w:hAnsi="Arial Narrow"/>
                <w:sz w:val="20"/>
              </w:rPr>
              <w:t>$</w:t>
            </w:r>
            <w:r w:rsidR="006D73F0">
              <w:rPr>
                <w:rFonts w:ascii="Arial Narrow" w:hAnsi="Arial Narrow"/>
                <w:noProof/>
                <w:color w:val="000000"/>
                <w:sz w:val="20"/>
                <w:highlight w:val="black"/>
              </w:rPr>
              <w:t>''''''''''''''''''''''''</w:t>
            </w:r>
          </w:p>
        </w:tc>
        <w:tc>
          <w:tcPr>
            <w:tcW w:w="682" w:type="pct"/>
            <w:tcBorders>
              <w:top w:val="single" w:sz="4" w:space="0" w:color="auto"/>
              <w:left w:val="single" w:sz="4" w:space="0" w:color="auto"/>
              <w:bottom w:val="single" w:sz="4" w:space="0" w:color="auto"/>
              <w:right w:val="single" w:sz="4" w:space="0" w:color="auto"/>
            </w:tcBorders>
            <w:vAlign w:val="bottom"/>
          </w:tcPr>
          <w:p w:rsidR="00D9391F" w:rsidRPr="00812131" w:rsidRDefault="00D9391F" w:rsidP="004E418B">
            <w:pPr>
              <w:jc w:val="left"/>
              <w:rPr>
                <w:rFonts w:ascii="Arial Narrow" w:hAnsi="Arial Narrow"/>
                <w:sz w:val="20"/>
                <w:lang w:eastAsia="en-AU"/>
              </w:rPr>
            </w:pPr>
            <w:r w:rsidRPr="00812131">
              <w:rPr>
                <w:rFonts w:ascii="Arial Narrow" w:hAnsi="Arial Narrow"/>
                <w:sz w:val="20"/>
              </w:rPr>
              <w:t>$</w:t>
            </w:r>
            <w:r w:rsidR="006D73F0">
              <w:rPr>
                <w:rFonts w:ascii="Arial Narrow" w:hAnsi="Arial Narrow"/>
                <w:noProof/>
                <w:color w:val="000000"/>
                <w:sz w:val="20"/>
                <w:highlight w:val="black"/>
              </w:rPr>
              <w:t>'''''''''''''''''''''''''''''</w:t>
            </w:r>
          </w:p>
        </w:tc>
      </w:tr>
      <w:tr w:rsidR="00812131" w:rsidRPr="007F560F" w:rsidTr="009A14F7">
        <w:tc>
          <w:tcPr>
            <w:tcW w:w="1671" w:type="pct"/>
            <w:tcBorders>
              <w:top w:val="single" w:sz="4" w:space="0" w:color="auto"/>
              <w:left w:val="single" w:sz="4" w:space="0" w:color="auto"/>
              <w:bottom w:val="single" w:sz="4" w:space="0" w:color="auto"/>
              <w:right w:val="single" w:sz="4" w:space="0" w:color="auto"/>
            </w:tcBorders>
            <w:shd w:val="clear" w:color="auto" w:fill="auto"/>
            <w:vAlign w:val="center"/>
          </w:tcPr>
          <w:p w:rsidR="00812131" w:rsidRPr="007F560F" w:rsidRDefault="00812131" w:rsidP="00D9391F">
            <w:pPr>
              <w:jc w:val="left"/>
              <w:rPr>
                <w:rFonts w:ascii="Arial Narrow" w:hAnsi="Arial Narrow" w:cs="Times New Roman"/>
                <w:b/>
                <w:sz w:val="20"/>
                <w:lang w:eastAsia="en-AU"/>
              </w:rPr>
            </w:pPr>
            <w:r w:rsidRPr="007F560F">
              <w:rPr>
                <w:rFonts w:ascii="Arial Narrow" w:hAnsi="Arial Narrow" w:cs="Times New Roman"/>
                <w:b/>
                <w:sz w:val="20"/>
                <w:lang w:eastAsia="en-AU"/>
              </w:rPr>
              <w:t>Overall net cost to health budget</w:t>
            </w:r>
          </w:p>
        </w:tc>
        <w:tc>
          <w:tcPr>
            <w:tcW w:w="683" w:type="pct"/>
            <w:gridSpan w:val="2"/>
            <w:tcBorders>
              <w:top w:val="single" w:sz="4" w:space="0" w:color="auto"/>
              <w:left w:val="single" w:sz="4" w:space="0" w:color="auto"/>
              <w:bottom w:val="single" w:sz="4" w:space="0" w:color="auto"/>
              <w:right w:val="single" w:sz="4" w:space="0" w:color="auto"/>
            </w:tcBorders>
            <w:vAlign w:val="bottom"/>
          </w:tcPr>
          <w:p w:rsidR="00812131" w:rsidRPr="00D9391F" w:rsidRDefault="00812131" w:rsidP="004E418B">
            <w:pPr>
              <w:jc w:val="left"/>
              <w:rPr>
                <w:rFonts w:ascii="Arial Narrow" w:hAnsi="Arial Narrow"/>
                <w:b/>
                <w:sz w:val="20"/>
              </w:rPr>
            </w:pPr>
            <w:r w:rsidRPr="00980D71">
              <w:rPr>
                <w:rFonts w:ascii="Arial Narrow" w:hAnsi="Arial Narrow"/>
                <w:b/>
                <w:sz w:val="20"/>
              </w:rPr>
              <w:t>$</w:t>
            </w:r>
            <w:r w:rsidR="006D73F0">
              <w:rPr>
                <w:rFonts w:ascii="Arial Narrow" w:hAnsi="Arial Narrow"/>
                <w:b/>
                <w:noProof/>
                <w:color w:val="000000"/>
                <w:sz w:val="20"/>
                <w:highlight w:val="black"/>
              </w:rPr>
              <w:t>'''''''''''''''''''</w:t>
            </w:r>
          </w:p>
        </w:tc>
        <w:tc>
          <w:tcPr>
            <w:tcW w:w="652" w:type="pct"/>
            <w:gridSpan w:val="2"/>
            <w:tcBorders>
              <w:top w:val="single" w:sz="4" w:space="0" w:color="auto"/>
              <w:left w:val="single" w:sz="4" w:space="0" w:color="auto"/>
              <w:bottom w:val="single" w:sz="4" w:space="0" w:color="auto"/>
              <w:right w:val="single" w:sz="4" w:space="0" w:color="auto"/>
            </w:tcBorders>
            <w:vAlign w:val="bottom"/>
          </w:tcPr>
          <w:p w:rsidR="00812131" w:rsidRPr="00D9391F" w:rsidRDefault="00812131" w:rsidP="004E418B">
            <w:pPr>
              <w:jc w:val="left"/>
              <w:rPr>
                <w:rFonts w:ascii="Arial Narrow" w:hAnsi="Arial Narrow"/>
                <w:b/>
                <w:sz w:val="20"/>
              </w:rPr>
            </w:pPr>
            <w:r w:rsidRPr="00980D71">
              <w:rPr>
                <w:rFonts w:ascii="Arial Narrow" w:hAnsi="Arial Narrow"/>
                <w:b/>
                <w:sz w:val="20"/>
              </w:rPr>
              <w:t>$</w:t>
            </w:r>
            <w:r w:rsidR="006D73F0">
              <w:rPr>
                <w:rFonts w:ascii="Arial Narrow" w:hAnsi="Arial Narrow"/>
                <w:b/>
                <w:noProof/>
                <w:color w:val="000000"/>
                <w:sz w:val="20"/>
                <w:highlight w:val="black"/>
              </w:rPr>
              <w:t>'''''''''''''''''''''''</w:t>
            </w:r>
          </w:p>
        </w:tc>
        <w:tc>
          <w:tcPr>
            <w:tcW w:w="684" w:type="pct"/>
            <w:tcBorders>
              <w:top w:val="single" w:sz="4" w:space="0" w:color="auto"/>
              <w:left w:val="single" w:sz="4" w:space="0" w:color="auto"/>
              <w:bottom w:val="single" w:sz="4" w:space="0" w:color="auto"/>
              <w:right w:val="single" w:sz="4" w:space="0" w:color="auto"/>
            </w:tcBorders>
            <w:vAlign w:val="bottom"/>
          </w:tcPr>
          <w:p w:rsidR="00812131" w:rsidRPr="00D9391F" w:rsidRDefault="00812131" w:rsidP="004E418B">
            <w:pPr>
              <w:jc w:val="left"/>
              <w:rPr>
                <w:rFonts w:ascii="Arial Narrow" w:hAnsi="Arial Narrow"/>
                <w:b/>
                <w:sz w:val="20"/>
              </w:rPr>
            </w:pPr>
            <w:r w:rsidRPr="00980D71">
              <w:rPr>
                <w:rFonts w:ascii="Arial Narrow" w:hAnsi="Arial Narrow"/>
                <w:b/>
                <w:sz w:val="20"/>
              </w:rPr>
              <w:t>$</w:t>
            </w:r>
            <w:r w:rsidR="006D73F0">
              <w:rPr>
                <w:rFonts w:ascii="Arial Narrow" w:hAnsi="Arial Narrow"/>
                <w:b/>
                <w:noProof/>
                <w:color w:val="000000"/>
                <w:sz w:val="20"/>
                <w:highlight w:val="black"/>
              </w:rPr>
              <w:t>'''''''''''''''''''''''</w:t>
            </w:r>
          </w:p>
        </w:tc>
        <w:tc>
          <w:tcPr>
            <w:tcW w:w="629" w:type="pct"/>
            <w:tcBorders>
              <w:top w:val="single" w:sz="4" w:space="0" w:color="auto"/>
              <w:left w:val="single" w:sz="4" w:space="0" w:color="auto"/>
              <w:bottom w:val="single" w:sz="4" w:space="0" w:color="auto"/>
              <w:right w:val="single" w:sz="4" w:space="0" w:color="auto"/>
            </w:tcBorders>
            <w:vAlign w:val="bottom"/>
          </w:tcPr>
          <w:p w:rsidR="00812131" w:rsidRPr="00D9391F" w:rsidRDefault="00812131" w:rsidP="004E418B">
            <w:pPr>
              <w:jc w:val="left"/>
              <w:rPr>
                <w:rFonts w:ascii="Arial Narrow" w:hAnsi="Arial Narrow"/>
                <w:b/>
                <w:sz w:val="20"/>
              </w:rPr>
            </w:pPr>
            <w:r w:rsidRPr="00980D71">
              <w:rPr>
                <w:rFonts w:ascii="Arial Narrow" w:hAnsi="Arial Narrow"/>
                <w:b/>
                <w:sz w:val="20"/>
              </w:rPr>
              <w:t>$</w:t>
            </w:r>
            <w:r w:rsidR="006D73F0">
              <w:rPr>
                <w:rFonts w:ascii="Arial Narrow" w:hAnsi="Arial Narrow"/>
                <w:b/>
                <w:noProof/>
                <w:color w:val="000000"/>
                <w:sz w:val="20"/>
                <w:highlight w:val="black"/>
              </w:rPr>
              <w:t>''''''''''''''''''''</w:t>
            </w:r>
          </w:p>
        </w:tc>
        <w:tc>
          <w:tcPr>
            <w:tcW w:w="682" w:type="pct"/>
            <w:tcBorders>
              <w:top w:val="single" w:sz="4" w:space="0" w:color="auto"/>
              <w:left w:val="single" w:sz="4" w:space="0" w:color="auto"/>
              <w:bottom w:val="single" w:sz="4" w:space="0" w:color="auto"/>
              <w:right w:val="single" w:sz="4" w:space="0" w:color="auto"/>
            </w:tcBorders>
            <w:vAlign w:val="bottom"/>
          </w:tcPr>
          <w:p w:rsidR="00812131" w:rsidRPr="00D9391F" w:rsidRDefault="00812131" w:rsidP="004E418B">
            <w:pPr>
              <w:jc w:val="left"/>
              <w:rPr>
                <w:rFonts w:ascii="Arial Narrow" w:hAnsi="Arial Narrow"/>
                <w:b/>
                <w:sz w:val="20"/>
              </w:rPr>
            </w:pPr>
            <w:r w:rsidRPr="00980D71">
              <w:rPr>
                <w:rFonts w:ascii="Arial Narrow" w:hAnsi="Arial Narrow"/>
                <w:b/>
                <w:sz w:val="20"/>
              </w:rPr>
              <w:t>$</w:t>
            </w:r>
            <w:r w:rsidR="006D73F0">
              <w:rPr>
                <w:rFonts w:ascii="Arial Narrow" w:hAnsi="Arial Narrow"/>
                <w:b/>
                <w:noProof/>
                <w:color w:val="000000"/>
                <w:sz w:val="20"/>
                <w:highlight w:val="black"/>
              </w:rPr>
              <w:t>''''''''''''''''''''''''</w:t>
            </w:r>
          </w:p>
        </w:tc>
      </w:tr>
    </w:tbl>
    <w:p w:rsidR="005F4E5C" w:rsidRDefault="005F4E5C" w:rsidP="005F4E5C">
      <w:pPr>
        <w:pStyle w:val="TableFooter"/>
        <w:ind w:firstLine="720"/>
        <w:rPr>
          <w:szCs w:val="18"/>
        </w:rPr>
      </w:pPr>
      <w:r w:rsidRPr="001222FC">
        <w:rPr>
          <w:sz w:val="16"/>
          <w:szCs w:val="18"/>
        </w:rPr>
        <w:t xml:space="preserve">Source: </w:t>
      </w:r>
      <w:r>
        <w:rPr>
          <w:szCs w:val="18"/>
        </w:rPr>
        <w:t>compiled during the evaluation</w:t>
      </w:r>
    </w:p>
    <w:p w:rsidR="005F4E5C" w:rsidRPr="005F4E5C" w:rsidRDefault="005F4E5C" w:rsidP="005F4E5C"/>
    <w:p w:rsidR="00EC1895" w:rsidRPr="00005302" w:rsidRDefault="00EC1895" w:rsidP="003E147C">
      <w:pPr>
        <w:pStyle w:val="ListParagraph"/>
        <w:numPr>
          <w:ilvl w:val="1"/>
          <w:numId w:val="6"/>
        </w:numPr>
      </w:pPr>
      <w:r w:rsidRPr="00005302">
        <w:t>The submission’</w:t>
      </w:r>
      <w:r w:rsidR="00600DD3" w:rsidRPr="00005302">
        <w:t>s estima</w:t>
      </w:r>
      <w:r w:rsidRPr="00005302">
        <w:t>tes were not considered accurate, for the following reasons:</w:t>
      </w:r>
    </w:p>
    <w:p w:rsidR="00DA7664" w:rsidRPr="00005302" w:rsidRDefault="00DA7664" w:rsidP="00425C30">
      <w:pPr>
        <w:pStyle w:val="ListParagraph"/>
        <w:numPr>
          <w:ilvl w:val="0"/>
          <w:numId w:val="19"/>
        </w:numPr>
        <w:ind w:left="1080"/>
      </w:pPr>
      <w:r w:rsidRPr="00005302">
        <w:t>The submission’</w:t>
      </w:r>
      <w:r w:rsidR="00600DD3" w:rsidRPr="00005302">
        <w:t>s estima</w:t>
      </w:r>
      <w:r w:rsidRPr="00005302">
        <w:t xml:space="preserve">tes include the assumption that </w:t>
      </w:r>
      <w:proofErr w:type="spellStart"/>
      <w:r w:rsidRPr="00005302">
        <w:t>nivolumab</w:t>
      </w:r>
      <w:proofErr w:type="spellEnd"/>
      <w:r w:rsidRPr="00005302">
        <w:t xml:space="preserve"> monotherapy would receive a positive recommendation at the July 2015 PBAC meeting and therefore cost offsets for </w:t>
      </w:r>
      <w:proofErr w:type="spellStart"/>
      <w:r w:rsidRPr="00005302">
        <w:t>nivo</w:t>
      </w:r>
      <w:r w:rsidR="00771E0B" w:rsidRPr="00005302">
        <w:t>lumab</w:t>
      </w:r>
      <w:proofErr w:type="spellEnd"/>
      <w:r w:rsidR="00771E0B" w:rsidRPr="00005302">
        <w:t xml:space="preserve"> monotherapy would apply. </w:t>
      </w:r>
      <w:r w:rsidRPr="00005302">
        <w:t xml:space="preserve">These cost offsets will </w:t>
      </w:r>
      <w:r w:rsidR="00771E0B" w:rsidRPr="00005302">
        <w:t xml:space="preserve">only </w:t>
      </w:r>
      <w:r w:rsidRPr="00005302">
        <w:t xml:space="preserve">occur </w:t>
      </w:r>
      <w:r w:rsidR="00771E0B" w:rsidRPr="00005302">
        <w:t xml:space="preserve">if </w:t>
      </w:r>
      <w:proofErr w:type="spellStart"/>
      <w:r w:rsidRPr="00005302">
        <w:t>nivolumab</w:t>
      </w:r>
      <w:proofErr w:type="spellEnd"/>
      <w:r w:rsidRPr="00005302">
        <w:t xml:space="preserve"> </w:t>
      </w:r>
      <w:r w:rsidR="00771E0B" w:rsidRPr="00005302">
        <w:t>monotherapy is PBS-listed</w:t>
      </w:r>
      <w:r w:rsidRPr="00005302">
        <w:t>.</w:t>
      </w:r>
      <w:r w:rsidR="000332F4" w:rsidRPr="00005302">
        <w:t xml:space="preserve"> While cost offsets that the submission had applied to substitution of </w:t>
      </w:r>
      <w:proofErr w:type="spellStart"/>
      <w:r w:rsidR="000332F4" w:rsidRPr="00005302">
        <w:t>nivolumab</w:t>
      </w:r>
      <w:proofErr w:type="spellEnd"/>
      <w:r w:rsidR="000332F4" w:rsidRPr="00005302">
        <w:t xml:space="preserve"> monotherapy would instead occur through substitution of </w:t>
      </w:r>
      <w:proofErr w:type="spellStart"/>
      <w:r w:rsidR="000332F4" w:rsidRPr="00005302">
        <w:t>pembrolizumab</w:t>
      </w:r>
      <w:proofErr w:type="spellEnd"/>
      <w:r w:rsidR="000332F4" w:rsidRPr="00005302">
        <w:t xml:space="preserve">, the value of the offsets would be less given that </w:t>
      </w:r>
      <w:proofErr w:type="spellStart"/>
      <w:r w:rsidR="000332F4" w:rsidRPr="00005302">
        <w:t>pembrolizumab</w:t>
      </w:r>
      <w:proofErr w:type="spellEnd"/>
      <w:r w:rsidR="000332F4" w:rsidRPr="00005302">
        <w:t xml:space="preserve"> is assumed to have the same </w:t>
      </w:r>
      <w:r w:rsidR="008A692F">
        <w:t>cost per patient as ipilimumab.</w:t>
      </w:r>
    </w:p>
    <w:p w:rsidR="00600DD3" w:rsidRPr="00DC5D13" w:rsidRDefault="00600DD3" w:rsidP="00425C30">
      <w:pPr>
        <w:pStyle w:val="ListParagraph"/>
        <w:numPr>
          <w:ilvl w:val="0"/>
          <w:numId w:val="19"/>
        </w:numPr>
        <w:ind w:left="1080"/>
      </w:pPr>
      <w:r w:rsidRPr="00005302">
        <w:t>As stated above, the submission maintained the same methodology i</w:t>
      </w:r>
      <w:r w:rsidR="00B62875" w:rsidRPr="00005302">
        <w:t>n</w:t>
      </w:r>
      <w:r w:rsidRPr="00005302">
        <w:t xml:space="preserve"> estimating the size of the eligible patient population as used in the </w:t>
      </w:r>
      <w:proofErr w:type="spellStart"/>
      <w:r w:rsidRPr="00005302">
        <w:t>nivolumab</w:t>
      </w:r>
      <w:proofErr w:type="spellEnd"/>
      <w:r w:rsidRPr="00005302">
        <w:t xml:space="preserve"> monotherapy submission. </w:t>
      </w:r>
      <w:r w:rsidR="009A6D95" w:rsidRPr="00005302">
        <w:t xml:space="preserve">Since </w:t>
      </w:r>
      <w:proofErr w:type="spellStart"/>
      <w:r w:rsidR="009A6D95" w:rsidRPr="00005302">
        <w:t>pembrolizumab</w:t>
      </w:r>
      <w:proofErr w:type="spellEnd"/>
      <w:r w:rsidR="009A6D95" w:rsidRPr="00005302">
        <w:t xml:space="preserve"> has achieved listing and since </w:t>
      </w:r>
      <w:proofErr w:type="spellStart"/>
      <w:r w:rsidR="009A6D95" w:rsidRPr="00005302">
        <w:t>nivolumab</w:t>
      </w:r>
      <w:proofErr w:type="spellEnd"/>
      <w:r w:rsidR="009A6D95" w:rsidRPr="00005302">
        <w:t xml:space="preserve"> plus</w:t>
      </w:r>
      <w:r w:rsidR="009A6D95">
        <w:rPr>
          <w:i/>
        </w:rPr>
        <w:t xml:space="preserve"> </w:t>
      </w:r>
      <w:proofErr w:type="spellStart"/>
      <w:r w:rsidR="009A6D95" w:rsidRPr="00005302">
        <w:t>ipilimumab</w:t>
      </w:r>
      <w:proofErr w:type="spellEnd"/>
      <w:r w:rsidR="009A6D95" w:rsidRPr="00005302">
        <w:t xml:space="preserve"> combination therapy has a potentially different treatment algorithm than </w:t>
      </w:r>
      <w:proofErr w:type="spellStart"/>
      <w:r w:rsidR="009A6D95" w:rsidRPr="00005302">
        <w:t>nivolumab</w:t>
      </w:r>
      <w:proofErr w:type="spellEnd"/>
      <w:r w:rsidR="009A6D95" w:rsidRPr="00005302">
        <w:t xml:space="preserve"> monotherapy (or </w:t>
      </w:r>
      <w:proofErr w:type="spellStart"/>
      <w:r w:rsidR="009A6D95" w:rsidRPr="00005302">
        <w:t>ipilimumab</w:t>
      </w:r>
      <w:proofErr w:type="spellEnd"/>
      <w:r w:rsidR="009A6D95" w:rsidRPr="00005302">
        <w:t xml:space="preserve"> monotherapy), it is </w:t>
      </w:r>
      <w:r w:rsidR="00771E0B" w:rsidRPr="00005302">
        <w:t>unclear if using the ipilimumab-</w:t>
      </w:r>
      <w:r w:rsidR="009A6D95" w:rsidRPr="00005302">
        <w:t xml:space="preserve">treated population of </w:t>
      </w:r>
      <w:r w:rsidR="009A6D95" w:rsidRPr="004076FC">
        <w:t xml:space="preserve">800 would be appropriate in the current context, but the current submission </w:t>
      </w:r>
      <w:r w:rsidR="005674E1" w:rsidRPr="004076FC">
        <w:t>may have</w:t>
      </w:r>
      <w:r w:rsidR="005674E1">
        <w:t xml:space="preserve"> </w:t>
      </w:r>
      <w:r w:rsidR="009A6D95" w:rsidRPr="00005302">
        <w:t>overest</w:t>
      </w:r>
      <w:r w:rsidR="0028100B" w:rsidRPr="00005302">
        <w:t>imated the eligible population.</w:t>
      </w:r>
      <w:r w:rsidR="00576A46">
        <w:t xml:space="preserve"> </w:t>
      </w:r>
      <w:r w:rsidR="00576A46" w:rsidRPr="00DC5D13">
        <w:t xml:space="preserve">The ESC </w:t>
      </w:r>
      <w:r w:rsidR="00CC59F4" w:rsidRPr="00DC5D13">
        <w:t>noted that these estimates do not capture patients who have been enrolled in early acces</w:t>
      </w:r>
      <w:r w:rsidR="00435CF4">
        <w:t>s programs etc.</w:t>
      </w:r>
    </w:p>
    <w:p w:rsidR="009A6D95" w:rsidRPr="00C7480B" w:rsidRDefault="009A6D95" w:rsidP="00425C30">
      <w:pPr>
        <w:pStyle w:val="ListParagraph"/>
        <w:numPr>
          <w:ilvl w:val="0"/>
          <w:numId w:val="19"/>
        </w:numPr>
        <w:ind w:left="1080"/>
      </w:pPr>
      <w:r w:rsidRPr="00005302">
        <w:t xml:space="preserve">The submission’s estimate of 16.65 doses of </w:t>
      </w:r>
      <w:proofErr w:type="spellStart"/>
      <w:r w:rsidRPr="00005302">
        <w:t>nivolumab</w:t>
      </w:r>
      <w:proofErr w:type="spellEnd"/>
      <w:r w:rsidRPr="00005302">
        <w:t xml:space="preserve"> in the maintenance phase is over two times greater than the estimate of 7.0 doses us</w:t>
      </w:r>
      <w:r w:rsidR="00771E0B" w:rsidRPr="00005302">
        <w:t xml:space="preserve">ed in the economic evaluation. </w:t>
      </w:r>
      <w:r w:rsidRPr="00005302">
        <w:t>The estimate of 16.65</w:t>
      </w:r>
      <w:r w:rsidR="00373DE7" w:rsidRPr="00005302">
        <w:t xml:space="preserve"> doses</w:t>
      </w:r>
      <w:r w:rsidRPr="00005302">
        <w:t xml:space="preserve"> is based on the </w:t>
      </w:r>
      <w:proofErr w:type="spellStart"/>
      <w:r w:rsidRPr="00005302">
        <w:t>nivolumab</w:t>
      </w:r>
      <w:proofErr w:type="spellEnd"/>
      <w:r w:rsidRPr="00005302">
        <w:t xml:space="preserve"> monotherapy arm of trial CA209-003, a </w:t>
      </w:r>
      <w:r w:rsidR="00651FF6" w:rsidRPr="00005302">
        <w:t xml:space="preserve">phase 1 dose escalation study for </w:t>
      </w:r>
      <w:proofErr w:type="spellStart"/>
      <w:r w:rsidR="00651FF6" w:rsidRPr="00005302">
        <w:t>nivolumab</w:t>
      </w:r>
      <w:proofErr w:type="spellEnd"/>
      <w:r w:rsidR="00651FF6" w:rsidRPr="00005302">
        <w:t xml:space="preserve"> monotherapy</w:t>
      </w:r>
      <w:r w:rsidR="00771E0B" w:rsidRPr="00005302">
        <w:t xml:space="preserve">. </w:t>
      </w:r>
      <w:r w:rsidRPr="00005302">
        <w:t>While CA209-067 is ongoing and therefore cannot provide accurate estimates of the duration of</w:t>
      </w:r>
      <w:r w:rsidR="00373DE7" w:rsidRPr="00005302">
        <w:t xml:space="preserve"> use, estima</w:t>
      </w:r>
      <w:r w:rsidRPr="00005302">
        <w:t xml:space="preserve">tes based on CA209-003 are not likely to be reliable given that </w:t>
      </w:r>
      <w:r w:rsidR="00651FF6" w:rsidRPr="00005302">
        <w:t xml:space="preserve">it was for </w:t>
      </w:r>
      <w:proofErr w:type="spellStart"/>
      <w:r w:rsidR="00651FF6" w:rsidRPr="00005302">
        <w:t>nivolumab</w:t>
      </w:r>
      <w:proofErr w:type="spellEnd"/>
      <w:r w:rsidR="00651FF6" w:rsidRPr="00005302">
        <w:t xml:space="preserve"> monotherapy and thus included no combination phase.</w:t>
      </w:r>
      <w:r w:rsidR="00687157">
        <w:t xml:space="preserve"> In the Pre-PBAC Response (p3), the sponsor “acknowledges that the likely duration of therapy may not be the same as in CA209-003, however suggests that this is a better approximation of likely duration than that predicted by study CA209-067 (due to the length of follow up of patients). The sponsor is open to discussions on this point to achieve the same price per patient as proposed while ensuring that the duration of therapy and therefore the </w:t>
      </w:r>
      <w:r w:rsidR="00687157" w:rsidRPr="00C7480B">
        <w:t>financial estimates are reflective of likely clinical use.”</w:t>
      </w:r>
    </w:p>
    <w:p w:rsidR="00C7480B" w:rsidRPr="00C7480B" w:rsidRDefault="00C7480B" w:rsidP="00C7480B">
      <w:pPr>
        <w:pStyle w:val="ListParagraph"/>
        <w:numPr>
          <w:ilvl w:val="0"/>
          <w:numId w:val="19"/>
        </w:numPr>
        <w:ind w:left="1080"/>
      </w:pPr>
      <w:proofErr w:type="gramStart"/>
      <w:r w:rsidRPr="00C7480B">
        <w:t>adverse</w:t>
      </w:r>
      <w:proofErr w:type="gramEnd"/>
      <w:r w:rsidRPr="00C7480B">
        <w:t xml:space="preserve"> event costs were likely underestimated.</w:t>
      </w:r>
    </w:p>
    <w:p w:rsidR="009A6D95" w:rsidRPr="00EC1895" w:rsidRDefault="009A6D95" w:rsidP="00000374"/>
    <w:p w:rsidR="003179BC" w:rsidRPr="00005302" w:rsidRDefault="00000374" w:rsidP="003E147C">
      <w:pPr>
        <w:pStyle w:val="ListParagraph"/>
        <w:numPr>
          <w:ilvl w:val="1"/>
          <w:numId w:val="6"/>
        </w:numPr>
      </w:pPr>
      <w:r w:rsidRPr="00CB5368">
        <w:t xml:space="preserve">The submission did not provide any sensitivity analyses of its financial estimates, on the basis that the presentation of Scenario 2 would cover most uncertainties given it allows unrestricted use of </w:t>
      </w:r>
      <w:proofErr w:type="spellStart"/>
      <w:r w:rsidRPr="00CB5368">
        <w:t>nivolumab</w:t>
      </w:r>
      <w:proofErr w:type="spellEnd"/>
      <w:r w:rsidRPr="00CB5368">
        <w:t xml:space="preserve"> plus </w:t>
      </w:r>
      <w:proofErr w:type="spellStart"/>
      <w:r w:rsidRPr="00CB5368">
        <w:t>ipilimumab</w:t>
      </w:r>
      <w:proofErr w:type="spellEnd"/>
      <w:r w:rsidRPr="00CB5368">
        <w:t xml:space="preserve">. </w:t>
      </w:r>
      <w:r w:rsidRPr="00005302">
        <w:t>Given that Scenario 2 actually represented the requested restriction for combination therapy, sensitivity analyses of this scenario would have been informative, although</w:t>
      </w:r>
      <w:r w:rsidR="00CB5368" w:rsidRPr="00005302">
        <w:t xml:space="preserve"> interpretation of the results must tak</w:t>
      </w:r>
      <w:r w:rsidR="003179BC" w:rsidRPr="00005302">
        <w:t>e into consideration the concern</w:t>
      </w:r>
      <w:r w:rsidR="00CB5368" w:rsidRPr="00005302">
        <w:t>s listed above with formulation of the submission’s estimates.</w:t>
      </w:r>
    </w:p>
    <w:p w:rsidR="00000374" w:rsidRPr="003179BC" w:rsidRDefault="00000374" w:rsidP="003179BC">
      <w:pPr>
        <w:rPr>
          <w:i/>
        </w:rPr>
      </w:pPr>
    </w:p>
    <w:p w:rsidR="00000374" w:rsidRDefault="00771E0B" w:rsidP="00787840">
      <w:pPr>
        <w:pStyle w:val="ListParagraph"/>
        <w:numPr>
          <w:ilvl w:val="1"/>
          <w:numId w:val="6"/>
        </w:numPr>
      </w:pPr>
      <w:r w:rsidRPr="00005302">
        <w:t>Although</w:t>
      </w:r>
      <w:r w:rsidR="00000374" w:rsidRPr="00005302">
        <w:t xml:space="preserve"> the submission’s estimates were not considered to be accurate, </w:t>
      </w:r>
      <w:r w:rsidR="003179BC" w:rsidRPr="00005302">
        <w:t xml:space="preserve">a sensitivity analysis consistent </w:t>
      </w:r>
      <w:r w:rsidR="00E0660A" w:rsidRPr="00005302">
        <w:t>w</w:t>
      </w:r>
      <w:r w:rsidR="003179BC" w:rsidRPr="00005302">
        <w:t xml:space="preserve">ith the PBS restriction for </w:t>
      </w:r>
      <w:proofErr w:type="spellStart"/>
      <w:r w:rsidR="003179BC" w:rsidRPr="00005302">
        <w:t>pembrolizumab</w:t>
      </w:r>
      <w:proofErr w:type="spellEnd"/>
      <w:r w:rsidR="003179BC" w:rsidRPr="00005302">
        <w:t xml:space="preserve"> (</w:t>
      </w:r>
      <w:r w:rsidRPr="00005302">
        <w:t>use in first line in wild-</w:t>
      </w:r>
      <w:r w:rsidR="00E55B1E" w:rsidRPr="00005302">
        <w:t>type patients and seco</w:t>
      </w:r>
      <w:r w:rsidRPr="00005302">
        <w:t xml:space="preserve">nd line in </w:t>
      </w:r>
      <w:r w:rsidRPr="003D533C">
        <w:rPr>
          <w:i/>
        </w:rPr>
        <w:t>BRAF</w:t>
      </w:r>
      <w:r w:rsidRPr="00005302">
        <w:t>-</w:t>
      </w:r>
      <w:r w:rsidR="00E0660A" w:rsidRPr="00005302">
        <w:t xml:space="preserve">mutant patients) conducted during </w:t>
      </w:r>
      <w:r w:rsidR="0088632B" w:rsidRPr="00005302">
        <w:t>t</w:t>
      </w:r>
      <w:r w:rsidR="00E0660A" w:rsidRPr="00005302">
        <w:t xml:space="preserve">he evaluation indicated estimated costs to be </w:t>
      </w:r>
      <w:r w:rsidR="00787840" w:rsidRPr="00787840">
        <w:t>$20</w:t>
      </w:r>
      <w:r w:rsidR="00D12553">
        <w:t xml:space="preserve"> </w:t>
      </w:r>
      <w:r w:rsidR="00FF10A9">
        <w:t>million</w:t>
      </w:r>
      <w:r w:rsidR="00787840" w:rsidRPr="00787840">
        <w:t xml:space="preserve"> – $30</w:t>
      </w:r>
      <w:r w:rsidR="00D12553">
        <w:t xml:space="preserve"> </w:t>
      </w:r>
      <w:r w:rsidR="00FF10A9">
        <w:t>million</w:t>
      </w:r>
      <w:r w:rsidR="00E0660A" w:rsidRPr="00005302">
        <w:t xml:space="preserve"> in year 1 increasing to </w:t>
      </w:r>
      <w:r w:rsidR="00787840" w:rsidRPr="00787840">
        <w:t>$30</w:t>
      </w:r>
      <w:r w:rsidR="00D12553">
        <w:t xml:space="preserve"> </w:t>
      </w:r>
      <w:r w:rsidR="00FF10A9">
        <w:t>million</w:t>
      </w:r>
      <w:r w:rsidR="00787840" w:rsidRPr="00787840">
        <w:t xml:space="preserve"> – $60</w:t>
      </w:r>
      <w:r w:rsidR="00D12553">
        <w:t xml:space="preserve"> </w:t>
      </w:r>
      <w:r w:rsidR="00FF10A9">
        <w:t>million</w:t>
      </w:r>
      <w:r w:rsidR="00E0660A" w:rsidRPr="00005302">
        <w:t xml:space="preserve"> in year 5, slightly less than the estimates provided by the submission for unrestricted use in any line of therapy.</w:t>
      </w:r>
    </w:p>
    <w:p w:rsidR="003E147C" w:rsidRPr="00771E0B" w:rsidRDefault="003E147C" w:rsidP="00C75C26"/>
    <w:p w:rsidR="003E147C" w:rsidRPr="00771E0B" w:rsidRDefault="003E147C" w:rsidP="00AF0595">
      <w:pPr>
        <w:pStyle w:val="Heading2"/>
      </w:pPr>
      <w:r w:rsidRPr="00771E0B">
        <w:t xml:space="preserve">Quality </w:t>
      </w:r>
      <w:r w:rsidR="00771E0B" w:rsidRPr="00771E0B">
        <w:t>use of m</w:t>
      </w:r>
      <w:r w:rsidRPr="00771E0B">
        <w:t>edicines</w:t>
      </w:r>
    </w:p>
    <w:p w:rsidR="003E147C" w:rsidRPr="00D54BA7" w:rsidRDefault="003E147C" w:rsidP="00771E0B"/>
    <w:p w:rsidR="003E147C" w:rsidRPr="002F4ACC" w:rsidRDefault="003E147C" w:rsidP="003E147C">
      <w:pPr>
        <w:pStyle w:val="ListParagraph"/>
        <w:numPr>
          <w:ilvl w:val="1"/>
          <w:numId w:val="6"/>
        </w:numPr>
      </w:pPr>
      <w:r w:rsidRPr="002F4ACC">
        <w:t xml:space="preserve">The submission provided a summary of the sponsor’s plans regarding </w:t>
      </w:r>
      <w:r w:rsidR="003517C9">
        <w:t>q</w:t>
      </w:r>
      <w:r w:rsidR="003517C9" w:rsidRPr="002F4ACC">
        <w:t xml:space="preserve">uality </w:t>
      </w:r>
      <w:r w:rsidRPr="002F4ACC">
        <w:t>use of medicines</w:t>
      </w:r>
      <w:r w:rsidRPr="00116CFE">
        <w:t xml:space="preserve">. </w:t>
      </w:r>
      <w:r w:rsidR="00BE46FC" w:rsidRPr="00116CFE">
        <w:t xml:space="preserve">These plans comprised the same components that were provided for the </w:t>
      </w:r>
      <w:proofErr w:type="spellStart"/>
      <w:r w:rsidR="00BE46FC" w:rsidRPr="00116CFE">
        <w:t>nivolumab</w:t>
      </w:r>
      <w:proofErr w:type="spellEnd"/>
      <w:r w:rsidR="00BE46FC" w:rsidRPr="00116CFE">
        <w:t xml:space="preserve"> monotherapy submission and included:</w:t>
      </w:r>
    </w:p>
    <w:p w:rsidR="003E147C" w:rsidRDefault="00771E0B" w:rsidP="00425C30">
      <w:pPr>
        <w:pStyle w:val="ListParagraph"/>
        <w:numPr>
          <w:ilvl w:val="0"/>
          <w:numId w:val="19"/>
        </w:numPr>
        <w:ind w:left="1080"/>
      </w:pPr>
      <w:r>
        <w:t>p</w:t>
      </w:r>
      <w:r w:rsidR="003E147C">
        <w:t>hys</w:t>
      </w:r>
      <w:r>
        <w:t xml:space="preserve">ician experience with </w:t>
      </w:r>
      <w:proofErr w:type="spellStart"/>
      <w:r>
        <w:t>nivolumab</w:t>
      </w:r>
      <w:proofErr w:type="spellEnd"/>
    </w:p>
    <w:p w:rsidR="003E147C" w:rsidRDefault="00771E0B" w:rsidP="00425C30">
      <w:pPr>
        <w:pStyle w:val="ListParagraph"/>
        <w:numPr>
          <w:ilvl w:val="0"/>
          <w:numId w:val="19"/>
        </w:numPr>
        <w:ind w:left="1080"/>
      </w:pPr>
      <w:r>
        <w:t>c</w:t>
      </w:r>
      <w:r w:rsidR="003E147C">
        <w:t>lini</w:t>
      </w:r>
      <w:r>
        <w:t>cal trial activity in Australia</w:t>
      </w:r>
    </w:p>
    <w:p w:rsidR="003E147C" w:rsidRPr="00005302" w:rsidRDefault="00771E0B" w:rsidP="00425C30">
      <w:pPr>
        <w:pStyle w:val="ListParagraph"/>
        <w:numPr>
          <w:ilvl w:val="0"/>
          <w:numId w:val="19"/>
        </w:numPr>
        <w:ind w:left="1080"/>
      </w:pPr>
      <w:proofErr w:type="gramStart"/>
      <w:r>
        <w:t>e</w:t>
      </w:r>
      <w:r w:rsidR="003E147C">
        <w:t>xpanded</w:t>
      </w:r>
      <w:proofErr w:type="gramEnd"/>
      <w:r w:rsidR="003E147C">
        <w:t xml:space="preserve"> </w:t>
      </w:r>
      <w:r>
        <w:t>a</w:t>
      </w:r>
      <w:r w:rsidR="003E147C">
        <w:t xml:space="preserve">ccess </w:t>
      </w:r>
      <w:r>
        <w:t>p</w:t>
      </w:r>
      <w:r w:rsidR="003E147C">
        <w:t xml:space="preserve">rogram (EAP) for </w:t>
      </w:r>
      <w:proofErr w:type="spellStart"/>
      <w:r w:rsidR="003E147C">
        <w:t>nivolumab</w:t>
      </w:r>
      <w:proofErr w:type="spellEnd"/>
      <w:r w:rsidR="003E147C">
        <w:t xml:space="preserve"> monotherapy. The submission stated that ‘currently’ there </w:t>
      </w:r>
      <w:r w:rsidR="00A33BC5">
        <w:t>was</w:t>
      </w:r>
      <w:r w:rsidR="003E147C">
        <w:t xml:space="preserve"> 262 patients enrolled, but did not specify a date for the observation. </w:t>
      </w:r>
      <w:r w:rsidR="003E147C" w:rsidRPr="00005302">
        <w:t>No indication was given as to whether these patients would be grandfathered under the requested restriction. No program for combination therapy was mentioned</w:t>
      </w:r>
    </w:p>
    <w:p w:rsidR="003E147C" w:rsidRDefault="00771E0B" w:rsidP="00425C30">
      <w:pPr>
        <w:pStyle w:val="ListParagraph"/>
        <w:numPr>
          <w:ilvl w:val="0"/>
          <w:numId w:val="19"/>
        </w:numPr>
        <w:ind w:left="1080"/>
      </w:pPr>
      <w:r>
        <w:t>e</w:t>
      </w:r>
      <w:r w:rsidR="003E147C">
        <w:t xml:space="preserve">ducation initiatives supporting </w:t>
      </w:r>
      <w:proofErr w:type="spellStart"/>
      <w:r w:rsidR="003E147C">
        <w:t>nivolumab</w:t>
      </w:r>
      <w:proofErr w:type="spellEnd"/>
      <w:r w:rsidR="003E147C">
        <w:t xml:space="preserve"> use</w:t>
      </w:r>
    </w:p>
    <w:p w:rsidR="003E147C" w:rsidRPr="00D54BA7" w:rsidRDefault="00771E0B" w:rsidP="00425C30">
      <w:pPr>
        <w:pStyle w:val="ListParagraph"/>
        <w:numPr>
          <w:ilvl w:val="0"/>
          <w:numId w:val="19"/>
        </w:numPr>
        <w:ind w:left="1080"/>
      </w:pPr>
      <w:proofErr w:type="gramStart"/>
      <w:r>
        <w:t>t</w:t>
      </w:r>
      <w:r w:rsidR="003E147C">
        <w:t>he</w:t>
      </w:r>
      <w:proofErr w:type="gramEnd"/>
      <w:r w:rsidR="003E147C">
        <w:t xml:space="preserve"> submission indicated the customer support model used for ipilimumab is also intended to be used for </w:t>
      </w:r>
      <w:r w:rsidR="00BF4F88">
        <w:t xml:space="preserve">the </w:t>
      </w:r>
      <w:proofErr w:type="spellStart"/>
      <w:r w:rsidR="003E147C">
        <w:t>nivolum</w:t>
      </w:r>
      <w:r>
        <w:t>ab</w:t>
      </w:r>
      <w:proofErr w:type="spellEnd"/>
      <w:r>
        <w:t xml:space="preserve"> plus </w:t>
      </w:r>
      <w:proofErr w:type="spellStart"/>
      <w:r>
        <w:t>ipilimumab</w:t>
      </w:r>
      <w:proofErr w:type="spellEnd"/>
      <w:r>
        <w:t xml:space="preserve"> combination.</w:t>
      </w:r>
    </w:p>
    <w:p w:rsidR="003E147C" w:rsidRPr="00771E0B" w:rsidRDefault="003E147C" w:rsidP="00771E0B"/>
    <w:p w:rsidR="003E147C" w:rsidRPr="00D54BA7" w:rsidRDefault="003E147C" w:rsidP="00AF0595">
      <w:pPr>
        <w:pStyle w:val="Heading2"/>
      </w:pPr>
      <w:bookmarkStart w:id="15" w:name="_Toc430097336"/>
      <w:r w:rsidRPr="002C2775">
        <w:t xml:space="preserve">Financial </w:t>
      </w:r>
      <w:r w:rsidR="00771E0B" w:rsidRPr="002C2775">
        <w:t>management – risk sharing arrangements</w:t>
      </w:r>
      <w:bookmarkEnd w:id="15"/>
    </w:p>
    <w:p w:rsidR="003E147C" w:rsidRPr="00D54BA7" w:rsidRDefault="003E147C" w:rsidP="00124B44"/>
    <w:p w:rsidR="003E147C" w:rsidRPr="002F4ACC" w:rsidRDefault="003E147C" w:rsidP="003E147C">
      <w:pPr>
        <w:pStyle w:val="ListParagraph"/>
        <w:numPr>
          <w:ilvl w:val="1"/>
          <w:numId w:val="6"/>
        </w:numPr>
      </w:pPr>
      <w:r w:rsidRPr="002F4ACC">
        <w:t>The submission di</w:t>
      </w:r>
      <w:r>
        <w:t xml:space="preserve">d not include any provisions of </w:t>
      </w:r>
      <w:r w:rsidRPr="002F4ACC">
        <w:t>a potential managed entry scheme (MES). The</w:t>
      </w:r>
      <w:r>
        <w:t xml:space="preserve"> submission included a</w:t>
      </w:r>
      <w:r w:rsidRPr="002F4ACC">
        <w:t xml:space="preserve"> proposed </w:t>
      </w:r>
      <w:r w:rsidR="00771E0B" w:rsidRPr="002F4ACC">
        <w:t>special pricing a</w:t>
      </w:r>
      <w:r w:rsidRPr="002F4ACC">
        <w:t>rrangement (SPA), which included two parts:</w:t>
      </w:r>
    </w:p>
    <w:p w:rsidR="003E147C" w:rsidRDefault="00771E0B" w:rsidP="00425C30">
      <w:pPr>
        <w:pStyle w:val="ListParagraph"/>
        <w:numPr>
          <w:ilvl w:val="0"/>
          <w:numId w:val="19"/>
        </w:numPr>
        <w:ind w:left="1080"/>
      </w:pPr>
      <w:r>
        <w:t>a p</w:t>
      </w:r>
      <w:r w:rsidR="003E147C">
        <w:t>ublished versus effective price with a rebate propose</w:t>
      </w:r>
      <w:r>
        <w:t>d to accommodate the difference</w:t>
      </w:r>
    </w:p>
    <w:p w:rsidR="003E147C" w:rsidRPr="00005302" w:rsidRDefault="00771E0B" w:rsidP="00425C30">
      <w:pPr>
        <w:pStyle w:val="ListParagraph"/>
        <w:numPr>
          <w:ilvl w:val="0"/>
          <w:numId w:val="19"/>
        </w:numPr>
        <w:ind w:left="1080"/>
      </w:pPr>
      <w:proofErr w:type="gramStart"/>
      <w:r>
        <w:t>a</w:t>
      </w:r>
      <w:proofErr w:type="gramEnd"/>
      <w:r>
        <w:t xml:space="preserve"> c</w:t>
      </w:r>
      <w:r w:rsidR="003E147C">
        <w:t>apped arrangement designed to offset residual risk associated with higher than expected expenditure outside proposed reimbursed use.</w:t>
      </w:r>
      <w:r w:rsidR="00B62875">
        <w:t xml:space="preserve"> </w:t>
      </w:r>
      <w:r w:rsidR="00B62875" w:rsidRPr="00005302">
        <w:t>No details were provided regarding the specifics of such arrangement.</w:t>
      </w:r>
    </w:p>
    <w:p w:rsidR="00394225" w:rsidRDefault="00394225" w:rsidP="00D13D2E"/>
    <w:p w:rsidR="00DC5D13" w:rsidRDefault="00DC5D13" w:rsidP="00BD31A9">
      <w:pPr>
        <w:ind w:firstLine="720"/>
        <w:rPr>
          <w:i/>
          <w:szCs w:val="22"/>
        </w:rPr>
      </w:pPr>
      <w:r w:rsidRPr="00C92936">
        <w:rPr>
          <w:i/>
          <w:szCs w:val="22"/>
        </w:rPr>
        <w:t>For more detail on PBAC’s view, see section 7 “PBAC outcome”</w:t>
      </w:r>
    </w:p>
    <w:p w:rsidR="00DC5D13" w:rsidRDefault="00DC5D13" w:rsidP="00D13D2E"/>
    <w:p w:rsidR="00DC5D13" w:rsidRDefault="00DC5D13" w:rsidP="005519FE"/>
    <w:p w:rsidR="00DC5D13" w:rsidRPr="004076FC" w:rsidRDefault="00DC5D13" w:rsidP="00AF0595">
      <w:pPr>
        <w:pStyle w:val="PBACHeading1"/>
      </w:pPr>
      <w:r w:rsidRPr="004076FC">
        <w:t>PBAC Outcome</w:t>
      </w:r>
    </w:p>
    <w:p w:rsidR="00DC5D13" w:rsidRPr="006654AF" w:rsidRDefault="00DC5D13" w:rsidP="005519FE">
      <w:pPr>
        <w:contextualSpacing/>
        <w:rPr>
          <w:bCs/>
          <w:szCs w:val="22"/>
          <w:highlight w:val="yellow"/>
          <w:lang w:val="en-GB"/>
        </w:rPr>
      </w:pPr>
    </w:p>
    <w:p w:rsidR="00DC5D13" w:rsidRDefault="009C7EBB" w:rsidP="005519FE">
      <w:pPr>
        <w:numPr>
          <w:ilvl w:val="1"/>
          <w:numId w:val="6"/>
        </w:numPr>
        <w:contextualSpacing/>
        <w:rPr>
          <w:bCs/>
          <w:szCs w:val="22"/>
          <w:lang w:val="en-GB"/>
        </w:rPr>
      </w:pPr>
      <w:r w:rsidRPr="009C7EBB">
        <w:rPr>
          <w:bCs/>
          <w:szCs w:val="22"/>
          <w:lang w:val="en-GB"/>
        </w:rPr>
        <w:t xml:space="preserve">The PBAC decided not to recommend </w:t>
      </w:r>
      <w:r w:rsidR="007C41E3">
        <w:rPr>
          <w:bCs/>
          <w:szCs w:val="22"/>
          <w:lang w:val="en-GB"/>
        </w:rPr>
        <w:t xml:space="preserve">the combination of </w:t>
      </w:r>
      <w:proofErr w:type="spellStart"/>
      <w:r w:rsidR="007C41E3">
        <w:rPr>
          <w:bCs/>
          <w:szCs w:val="22"/>
          <w:lang w:val="en-GB"/>
        </w:rPr>
        <w:t>nivolumab</w:t>
      </w:r>
      <w:proofErr w:type="spellEnd"/>
      <w:r w:rsidR="007C41E3">
        <w:rPr>
          <w:bCs/>
          <w:szCs w:val="22"/>
          <w:lang w:val="en-GB"/>
        </w:rPr>
        <w:t xml:space="preserve"> and </w:t>
      </w:r>
      <w:proofErr w:type="spellStart"/>
      <w:r w:rsidR="007C41E3">
        <w:rPr>
          <w:bCs/>
          <w:szCs w:val="22"/>
          <w:lang w:val="en-GB"/>
        </w:rPr>
        <w:t>ipilimumab</w:t>
      </w:r>
      <w:proofErr w:type="spellEnd"/>
      <w:r w:rsidR="007C41E3">
        <w:rPr>
          <w:bCs/>
          <w:szCs w:val="22"/>
          <w:lang w:val="en-GB"/>
        </w:rPr>
        <w:t xml:space="preserve"> for the treatment of </w:t>
      </w:r>
      <w:proofErr w:type="spellStart"/>
      <w:r w:rsidR="007C41E3">
        <w:rPr>
          <w:bCs/>
          <w:szCs w:val="22"/>
          <w:lang w:val="en-GB"/>
        </w:rPr>
        <w:t>unresectable</w:t>
      </w:r>
      <w:proofErr w:type="spellEnd"/>
      <w:r w:rsidR="007C41E3">
        <w:rPr>
          <w:bCs/>
          <w:szCs w:val="22"/>
          <w:lang w:val="en-GB"/>
        </w:rPr>
        <w:t xml:space="preserve"> or metastatic (Stage III or Stage IV) melanoma</w:t>
      </w:r>
      <w:r w:rsidR="008C4EEB">
        <w:rPr>
          <w:bCs/>
          <w:szCs w:val="22"/>
          <w:lang w:val="en-GB"/>
        </w:rPr>
        <w:t xml:space="preserve"> for listing </w:t>
      </w:r>
      <w:r w:rsidR="005407BC">
        <w:rPr>
          <w:bCs/>
          <w:szCs w:val="22"/>
          <w:lang w:val="en-GB"/>
        </w:rPr>
        <w:t>o</w:t>
      </w:r>
      <w:r w:rsidR="008C4EEB">
        <w:rPr>
          <w:bCs/>
          <w:szCs w:val="22"/>
          <w:lang w:val="en-GB"/>
        </w:rPr>
        <w:t>n the P</w:t>
      </w:r>
      <w:r w:rsidR="001F47B7">
        <w:rPr>
          <w:bCs/>
          <w:szCs w:val="22"/>
          <w:lang w:val="en-GB"/>
        </w:rPr>
        <w:t>B</w:t>
      </w:r>
      <w:r w:rsidR="008C4EEB">
        <w:rPr>
          <w:bCs/>
          <w:szCs w:val="22"/>
          <w:lang w:val="en-GB"/>
        </w:rPr>
        <w:t>S</w:t>
      </w:r>
      <w:r w:rsidR="007C41E3">
        <w:rPr>
          <w:bCs/>
          <w:szCs w:val="22"/>
          <w:lang w:val="en-GB"/>
        </w:rPr>
        <w:t xml:space="preserve">. In </w:t>
      </w:r>
      <w:r w:rsidR="007C41E3" w:rsidRPr="00BE0504">
        <w:rPr>
          <w:bCs/>
          <w:szCs w:val="22"/>
          <w:lang w:val="en-GB"/>
        </w:rPr>
        <w:t xml:space="preserve">reaching this conclusion, the PBAC </w:t>
      </w:r>
      <w:r w:rsidR="003A17B0">
        <w:rPr>
          <w:bCs/>
          <w:szCs w:val="22"/>
          <w:lang w:val="en-GB"/>
        </w:rPr>
        <w:t xml:space="preserve">noted </w:t>
      </w:r>
      <w:r w:rsidR="007C41E3" w:rsidRPr="00BE0504">
        <w:rPr>
          <w:bCs/>
          <w:szCs w:val="22"/>
          <w:lang w:val="en-GB"/>
        </w:rPr>
        <w:t xml:space="preserve">that the </w:t>
      </w:r>
      <w:r w:rsidR="00463315">
        <w:rPr>
          <w:bCs/>
          <w:szCs w:val="22"/>
          <w:lang w:val="en-GB"/>
        </w:rPr>
        <w:t xml:space="preserve">use of combination </w:t>
      </w:r>
      <w:r w:rsidR="001B383B">
        <w:rPr>
          <w:bCs/>
          <w:szCs w:val="22"/>
          <w:lang w:val="en-GB"/>
        </w:rPr>
        <w:t xml:space="preserve">immunotherapy </w:t>
      </w:r>
      <w:r w:rsidR="00463315">
        <w:rPr>
          <w:bCs/>
          <w:szCs w:val="22"/>
          <w:lang w:val="en-GB"/>
        </w:rPr>
        <w:t xml:space="preserve">was associated with a modest </w:t>
      </w:r>
      <w:r w:rsidR="007C41E3" w:rsidRPr="00BE0504">
        <w:rPr>
          <w:bCs/>
          <w:szCs w:val="22"/>
          <w:lang w:val="en-GB"/>
        </w:rPr>
        <w:t>improvement in PFS</w:t>
      </w:r>
      <w:r w:rsidR="00134E87">
        <w:rPr>
          <w:bCs/>
          <w:szCs w:val="22"/>
          <w:lang w:val="en-GB"/>
        </w:rPr>
        <w:t>,</w:t>
      </w:r>
      <w:r w:rsidR="00463315">
        <w:rPr>
          <w:bCs/>
          <w:szCs w:val="22"/>
          <w:lang w:val="en-GB"/>
        </w:rPr>
        <w:t xml:space="preserve"> </w:t>
      </w:r>
      <w:r w:rsidR="003A17B0">
        <w:rPr>
          <w:bCs/>
          <w:szCs w:val="22"/>
          <w:lang w:val="en-GB"/>
        </w:rPr>
        <w:t>but</w:t>
      </w:r>
      <w:r w:rsidR="00463315">
        <w:rPr>
          <w:bCs/>
          <w:szCs w:val="22"/>
          <w:lang w:val="en-GB"/>
        </w:rPr>
        <w:t xml:space="preserve"> </w:t>
      </w:r>
      <w:r w:rsidR="003A17B0">
        <w:rPr>
          <w:bCs/>
          <w:szCs w:val="22"/>
          <w:lang w:val="en-GB"/>
        </w:rPr>
        <w:t xml:space="preserve">a </w:t>
      </w:r>
      <w:r w:rsidR="00463315">
        <w:rPr>
          <w:bCs/>
          <w:szCs w:val="22"/>
          <w:lang w:val="en-GB"/>
        </w:rPr>
        <w:t>substantial</w:t>
      </w:r>
      <w:r w:rsidR="003A17B0">
        <w:rPr>
          <w:bCs/>
          <w:szCs w:val="22"/>
          <w:lang w:val="en-GB"/>
        </w:rPr>
        <w:t xml:space="preserve"> increase in adverse events. The net clinical benefit of combination tre</w:t>
      </w:r>
      <w:r w:rsidR="00134E87">
        <w:rPr>
          <w:bCs/>
          <w:szCs w:val="22"/>
          <w:lang w:val="en-GB"/>
        </w:rPr>
        <w:t>atment was therefore uncertain.</w:t>
      </w:r>
    </w:p>
    <w:p w:rsidR="00C079A5" w:rsidRDefault="00C079A5" w:rsidP="008C4EEB">
      <w:pPr>
        <w:contextualSpacing/>
        <w:rPr>
          <w:bCs/>
          <w:szCs w:val="22"/>
          <w:lang w:val="en-GB"/>
        </w:rPr>
      </w:pPr>
    </w:p>
    <w:p w:rsidR="00C079A5" w:rsidRDefault="00C079A5" w:rsidP="005519FE">
      <w:pPr>
        <w:numPr>
          <w:ilvl w:val="1"/>
          <w:numId w:val="6"/>
        </w:numPr>
        <w:contextualSpacing/>
        <w:rPr>
          <w:bCs/>
          <w:szCs w:val="22"/>
          <w:lang w:val="en-GB"/>
        </w:rPr>
      </w:pPr>
      <w:r>
        <w:rPr>
          <w:bCs/>
          <w:szCs w:val="22"/>
          <w:lang w:val="en-GB"/>
        </w:rPr>
        <w:t xml:space="preserve">In considering the clinical need for the </w:t>
      </w:r>
      <w:proofErr w:type="spellStart"/>
      <w:r>
        <w:rPr>
          <w:bCs/>
          <w:szCs w:val="22"/>
          <w:lang w:val="en-GB"/>
        </w:rPr>
        <w:t>nivolumab</w:t>
      </w:r>
      <w:proofErr w:type="spellEnd"/>
      <w:r>
        <w:rPr>
          <w:bCs/>
          <w:szCs w:val="22"/>
          <w:lang w:val="en-GB"/>
        </w:rPr>
        <w:t xml:space="preserve"> and </w:t>
      </w:r>
      <w:proofErr w:type="spellStart"/>
      <w:r>
        <w:rPr>
          <w:bCs/>
          <w:szCs w:val="22"/>
          <w:lang w:val="en-GB"/>
        </w:rPr>
        <w:t>ipilimumab</w:t>
      </w:r>
      <w:proofErr w:type="spellEnd"/>
      <w:r>
        <w:rPr>
          <w:bCs/>
          <w:szCs w:val="22"/>
          <w:lang w:val="en-GB"/>
        </w:rPr>
        <w:t xml:space="preserve"> combination treatment, the PBAC noted that the components of the regimen </w:t>
      </w:r>
      <w:r w:rsidR="00902ACD">
        <w:rPr>
          <w:bCs/>
          <w:szCs w:val="22"/>
          <w:lang w:val="en-GB"/>
        </w:rPr>
        <w:t xml:space="preserve">are </w:t>
      </w:r>
      <w:r w:rsidR="00435CF4">
        <w:rPr>
          <w:bCs/>
          <w:szCs w:val="22"/>
          <w:lang w:val="en-GB"/>
        </w:rPr>
        <w:t xml:space="preserve">already </w:t>
      </w:r>
      <w:r w:rsidR="00902ACD">
        <w:rPr>
          <w:bCs/>
          <w:szCs w:val="22"/>
          <w:lang w:val="en-GB"/>
        </w:rPr>
        <w:t xml:space="preserve">available </w:t>
      </w:r>
      <w:r>
        <w:rPr>
          <w:bCs/>
          <w:szCs w:val="22"/>
          <w:lang w:val="en-GB"/>
        </w:rPr>
        <w:t xml:space="preserve">for use </w:t>
      </w:r>
      <w:r w:rsidR="00134E87">
        <w:rPr>
          <w:bCs/>
          <w:szCs w:val="22"/>
          <w:lang w:val="en-GB"/>
        </w:rPr>
        <w:t>via</w:t>
      </w:r>
      <w:r>
        <w:rPr>
          <w:bCs/>
          <w:szCs w:val="22"/>
          <w:lang w:val="en-GB"/>
        </w:rPr>
        <w:t xml:space="preserve"> the PBS as sequential monotherapy</w:t>
      </w:r>
      <w:r w:rsidR="003A17B0">
        <w:rPr>
          <w:bCs/>
          <w:szCs w:val="22"/>
          <w:lang w:val="en-GB"/>
        </w:rPr>
        <w:t xml:space="preserve">. Also </w:t>
      </w:r>
      <w:r>
        <w:rPr>
          <w:bCs/>
          <w:szCs w:val="22"/>
          <w:lang w:val="en-GB"/>
        </w:rPr>
        <w:t xml:space="preserve">the </w:t>
      </w:r>
      <w:r w:rsidR="00902ACD">
        <w:rPr>
          <w:bCs/>
          <w:szCs w:val="22"/>
          <w:lang w:val="en-GB"/>
        </w:rPr>
        <w:t xml:space="preserve">current </w:t>
      </w:r>
      <w:r>
        <w:rPr>
          <w:bCs/>
          <w:szCs w:val="22"/>
          <w:lang w:val="en-GB"/>
        </w:rPr>
        <w:t xml:space="preserve">least toxic and most </w:t>
      </w:r>
      <w:r>
        <w:rPr>
          <w:bCs/>
          <w:szCs w:val="22"/>
          <w:lang w:val="en-GB"/>
        </w:rPr>
        <w:lastRenderedPageBreak/>
        <w:t>effective option</w:t>
      </w:r>
      <w:r w:rsidR="003A17B0">
        <w:rPr>
          <w:bCs/>
          <w:szCs w:val="22"/>
          <w:lang w:val="en-GB"/>
        </w:rPr>
        <w:t xml:space="preserve">, </w:t>
      </w:r>
      <w:proofErr w:type="spellStart"/>
      <w:r w:rsidR="003A17B0">
        <w:rPr>
          <w:bCs/>
          <w:szCs w:val="22"/>
          <w:lang w:val="en-GB"/>
        </w:rPr>
        <w:t>pembrolizumab</w:t>
      </w:r>
      <w:proofErr w:type="spellEnd"/>
      <w:r w:rsidR="00134E87">
        <w:rPr>
          <w:bCs/>
          <w:szCs w:val="22"/>
          <w:lang w:val="en-GB"/>
        </w:rPr>
        <w:t>,</w:t>
      </w:r>
      <w:r w:rsidR="003A17B0">
        <w:rPr>
          <w:bCs/>
          <w:szCs w:val="22"/>
          <w:lang w:val="en-GB"/>
        </w:rPr>
        <w:t xml:space="preserve"> is </w:t>
      </w:r>
      <w:r w:rsidR="00134E87">
        <w:rPr>
          <w:bCs/>
          <w:szCs w:val="22"/>
          <w:lang w:val="en-GB"/>
        </w:rPr>
        <w:t xml:space="preserve">already PBS-listed as </w:t>
      </w:r>
      <w:r>
        <w:rPr>
          <w:bCs/>
          <w:szCs w:val="22"/>
          <w:lang w:val="en-GB"/>
        </w:rPr>
        <w:t>first</w:t>
      </w:r>
      <w:r w:rsidR="00E77DD8">
        <w:rPr>
          <w:bCs/>
          <w:szCs w:val="22"/>
          <w:lang w:val="en-GB"/>
        </w:rPr>
        <w:t>-</w:t>
      </w:r>
      <w:r>
        <w:rPr>
          <w:bCs/>
          <w:szCs w:val="22"/>
          <w:lang w:val="en-GB"/>
        </w:rPr>
        <w:t>line therapy</w:t>
      </w:r>
      <w:r w:rsidR="003A17B0">
        <w:rPr>
          <w:bCs/>
          <w:szCs w:val="22"/>
          <w:lang w:val="en-GB"/>
        </w:rPr>
        <w:t xml:space="preserve">. </w:t>
      </w:r>
      <w:r w:rsidR="001B383B">
        <w:rPr>
          <w:bCs/>
          <w:szCs w:val="22"/>
          <w:lang w:val="en-GB"/>
        </w:rPr>
        <w:t>At</w:t>
      </w:r>
      <w:r w:rsidR="003A17B0">
        <w:rPr>
          <w:bCs/>
          <w:szCs w:val="22"/>
          <w:lang w:val="en-GB"/>
        </w:rPr>
        <w:t xml:space="preserve"> the November 2015 PBAC meeting, </w:t>
      </w:r>
      <w:proofErr w:type="spellStart"/>
      <w:r w:rsidR="001B383B">
        <w:rPr>
          <w:bCs/>
          <w:szCs w:val="22"/>
          <w:lang w:val="en-GB"/>
        </w:rPr>
        <w:t>nivolumab</w:t>
      </w:r>
      <w:proofErr w:type="spellEnd"/>
      <w:r w:rsidR="001B383B">
        <w:rPr>
          <w:bCs/>
          <w:szCs w:val="22"/>
          <w:lang w:val="en-GB"/>
        </w:rPr>
        <w:t xml:space="preserve"> was accepted as similar to </w:t>
      </w:r>
      <w:proofErr w:type="spellStart"/>
      <w:r w:rsidR="001B383B">
        <w:rPr>
          <w:bCs/>
          <w:szCs w:val="22"/>
          <w:lang w:val="en-GB"/>
        </w:rPr>
        <w:t>pembrolizumab</w:t>
      </w:r>
      <w:proofErr w:type="spellEnd"/>
      <w:r w:rsidR="001B383B">
        <w:rPr>
          <w:bCs/>
          <w:szCs w:val="22"/>
          <w:lang w:val="en-GB"/>
        </w:rPr>
        <w:t xml:space="preserve"> and thus two PD-1 inhib</w:t>
      </w:r>
      <w:r w:rsidR="001C4266">
        <w:rPr>
          <w:bCs/>
          <w:szCs w:val="22"/>
          <w:lang w:val="en-GB"/>
        </w:rPr>
        <w:t>i</w:t>
      </w:r>
      <w:r w:rsidR="001B383B">
        <w:rPr>
          <w:bCs/>
          <w:szCs w:val="22"/>
          <w:lang w:val="en-GB"/>
        </w:rPr>
        <w:t xml:space="preserve">tors have been accepted for </w:t>
      </w:r>
      <w:r w:rsidR="00134E87">
        <w:rPr>
          <w:bCs/>
          <w:szCs w:val="22"/>
          <w:lang w:val="en-GB"/>
        </w:rPr>
        <w:t>PBS-</w:t>
      </w:r>
      <w:r w:rsidR="001B383B">
        <w:rPr>
          <w:bCs/>
          <w:szCs w:val="22"/>
          <w:lang w:val="en-GB"/>
        </w:rPr>
        <w:t>listing (</w:t>
      </w:r>
      <w:r w:rsidR="00884929">
        <w:rPr>
          <w:bCs/>
          <w:szCs w:val="22"/>
          <w:lang w:val="en-GB"/>
        </w:rPr>
        <w:t>see item 7.14 from the November 2015 PBAC meeting)</w:t>
      </w:r>
      <w:r>
        <w:rPr>
          <w:bCs/>
          <w:szCs w:val="22"/>
          <w:lang w:val="en-GB"/>
        </w:rPr>
        <w:t>.</w:t>
      </w:r>
    </w:p>
    <w:p w:rsidR="00382A9E" w:rsidRDefault="00382A9E" w:rsidP="008C4EEB">
      <w:pPr>
        <w:contextualSpacing/>
        <w:rPr>
          <w:bCs/>
          <w:szCs w:val="22"/>
          <w:lang w:val="en-GB"/>
        </w:rPr>
      </w:pPr>
    </w:p>
    <w:p w:rsidR="00382A9E" w:rsidRDefault="00382A9E" w:rsidP="005519FE">
      <w:pPr>
        <w:numPr>
          <w:ilvl w:val="1"/>
          <w:numId w:val="6"/>
        </w:numPr>
        <w:contextualSpacing/>
        <w:rPr>
          <w:bCs/>
          <w:szCs w:val="22"/>
          <w:lang w:val="en-GB"/>
        </w:rPr>
      </w:pPr>
      <w:r>
        <w:rPr>
          <w:bCs/>
          <w:szCs w:val="22"/>
          <w:lang w:val="en-GB"/>
        </w:rPr>
        <w:t xml:space="preserve">The PBAC considered that the revised main comparator, </w:t>
      </w:r>
      <w:proofErr w:type="spellStart"/>
      <w:r>
        <w:rPr>
          <w:bCs/>
          <w:szCs w:val="22"/>
          <w:lang w:val="en-GB"/>
        </w:rPr>
        <w:t>pemb</w:t>
      </w:r>
      <w:r w:rsidR="00A60569">
        <w:rPr>
          <w:bCs/>
          <w:szCs w:val="22"/>
          <w:lang w:val="en-GB"/>
        </w:rPr>
        <w:t>r</w:t>
      </w:r>
      <w:r>
        <w:rPr>
          <w:bCs/>
          <w:szCs w:val="22"/>
          <w:lang w:val="en-GB"/>
        </w:rPr>
        <w:t>olizumab</w:t>
      </w:r>
      <w:proofErr w:type="spellEnd"/>
      <w:r>
        <w:rPr>
          <w:bCs/>
          <w:szCs w:val="22"/>
          <w:lang w:val="en-GB"/>
        </w:rPr>
        <w:t xml:space="preserve"> monotherapy, was appropriate. The PBAC </w:t>
      </w:r>
      <w:r w:rsidR="00B82B6A">
        <w:rPr>
          <w:bCs/>
          <w:szCs w:val="22"/>
          <w:lang w:val="en-GB"/>
        </w:rPr>
        <w:t xml:space="preserve">noted that the management of melanoma was </w:t>
      </w:r>
      <w:r w:rsidR="001B383B">
        <w:rPr>
          <w:bCs/>
          <w:szCs w:val="22"/>
          <w:lang w:val="en-GB"/>
        </w:rPr>
        <w:t>rapidly evolving</w:t>
      </w:r>
      <w:r w:rsidR="00B82B6A">
        <w:rPr>
          <w:bCs/>
          <w:szCs w:val="22"/>
          <w:lang w:val="en-GB"/>
        </w:rPr>
        <w:t xml:space="preserve"> and </w:t>
      </w:r>
      <w:r>
        <w:rPr>
          <w:bCs/>
          <w:szCs w:val="22"/>
          <w:lang w:val="en-GB"/>
        </w:rPr>
        <w:t xml:space="preserve">considered the sequential use of a PD-1 inhibitor followed by </w:t>
      </w:r>
      <w:proofErr w:type="spellStart"/>
      <w:r>
        <w:rPr>
          <w:bCs/>
          <w:szCs w:val="22"/>
          <w:lang w:val="en-GB"/>
        </w:rPr>
        <w:t>ipilimumab</w:t>
      </w:r>
      <w:proofErr w:type="spellEnd"/>
      <w:r w:rsidR="00BA10CE">
        <w:rPr>
          <w:bCs/>
          <w:szCs w:val="22"/>
          <w:lang w:val="en-GB"/>
        </w:rPr>
        <w:t>,</w:t>
      </w:r>
      <w:r>
        <w:rPr>
          <w:bCs/>
          <w:szCs w:val="22"/>
          <w:lang w:val="en-GB"/>
        </w:rPr>
        <w:t xml:space="preserve"> and </w:t>
      </w:r>
      <w:proofErr w:type="spellStart"/>
      <w:r>
        <w:rPr>
          <w:bCs/>
          <w:szCs w:val="22"/>
          <w:lang w:val="en-GB"/>
        </w:rPr>
        <w:t>dabrafenib</w:t>
      </w:r>
      <w:proofErr w:type="spellEnd"/>
      <w:r>
        <w:rPr>
          <w:bCs/>
          <w:szCs w:val="22"/>
          <w:lang w:val="en-GB"/>
        </w:rPr>
        <w:t xml:space="preserve"> ± </w:t>
      </w:r>
      <w:proofErr w:type="spellStart"/>
      <w:r>
        <w:rPr>
          <w:bCs/>
          <w:szCs w:val="22"/>
          <w:lang w:val="en-GB"/>
        </w:rPr>
        <w:t>trametinib</w:t>
      </w:r>
      <w:proofErr w:type="spellEnd"/>
      <w:r>
        <w:rPr>
          <w:bCs/>
          <w:szCs w:val="22"/>
          <w:lang w:val="en-GB"/>
        </w:rPr>
        <w:t xml:space="preserve"> for </w:t>
      </w:r>
      <w:r w:rsidRPr="003D533C">
        <w:rPr>
          <w:bCs/>
          <w:i/>
          <w:szCs w:val="22"/>
          <w:lang w:val="en-GB"/>
        </w:rPr>
        <w:t>BRAF</w:t>
      </w:r>
      <w:r>
        <w:rPr>
          <w:bCs/>
          <w:szCs w:val="22"/>
          <w:lang w:val="en-GB"/>
        </w:rPr>
        <w:t xml:space="preserve"> mutant patients</w:t>
      </w:r>
      <w:r w:rsidR="00BA10CE">
        <w:rPr>
          <w:bCs/>
          <w:szCs w:val="22"/>
          <w:lang w:val="en-GB"/>
        </w:rPr>
        <w:t>,</w:t>
      </w:r>
      <w:r>
        <w:rPr>
          <w:bCs/>
          <w:szCs w:val="22"/>
          <w:lang w:val="en-GB"/>
        </w:rPr>
        <w:t xml:space="preserve"> were also appropriate comparators.</w:t>
      </w:r>
      <w:r w:rsidR="001F47B7">
        <w:rPr>
          <w:bCs/>
          <w:szCs w:val="22"/>
          <w:lang w:val="en-GB"/>
        </w:rPr>
        <w:t xml:space="preserve"> The PBAC noted that no data </w:t>
      </w:r>
      <w:r w:rsidR="00BC6961">
        <w:rPr>
          <w:bCs/>
          <w:szCs w:val="22"/>
          <w:lang w:val="en-GB"/>
        </w:rPr>
        <w:t xml:space="preserve">or analyses </w:t>
      </w:r>
      <w:r w:rsidR="001F47B7">
        <w:rPr>
          <w:bCs/>
          <w:szCs w:val="22"/>
          <w:lang w:val="en-GB"/>
        </w:rPr>
        <w:t xml:space="preserve">were provided to support the proposed positioning of the combination ahead of </w:t>
      </w:r>
      <w:proofErr w:type="spellStart"/>
      <w:r w:rsidR="001F47B7">
        <w:rPr>
          <w:bCs/>
          <w:szCs w:val="22"/>
          <w:lang w:val="en-GB"/>
        </w:rPr>
        <w:t>dabrafenib</w:t>
      </w:r>
      <w:proofErr w:type="spellEnd"/>
      <w:r w:rsidR="00BC6961">
        <w:rPr>
          <w:bCs/>
          <w:szCs w:val="22"/>
          <w:lang w:val="en-GB"/>
        </w:rPr>
        <w:t xml:space="preserve"> ± </w:t>
      </w:r>
      <w:proofErr w:type="spellStart"/>
      <w:r w:rsidR="00BC6961">
        <w:rPr>
          <w:bCs/>
          <w:szCs w:val="22"/>
          <w:lang w:val="en-GB"/>
        </w:rPr>
        <w:t>trametinib</w:t>
      </w:r>
      <w:proofErr w:type="spellEnd"/>
      <w:r w:rsidR="00BC6961">
        <w:rPr>
          <w:bCs/>
          <w:szCs w:val="22"/>
          <w:lang w:val="en-GB"/>
        </w:rPr>
        <w:t xml:space="preserve"> for </w:t>
      </w:r>
      <w:r w:rsidR="00BC6961" w:rsidRPr="003D533C">
        <w:rPr>
          <w:bCs/>
          <w:i/>
          <w:szCs w:val="22"/>
          <w:lang w:val="en-GB"/>
        </w:rPr>
        <w:t>BRAF</w:t>
      </w:r>
      <w:r w:rsidR="00BC6961">
        <w:rPr>
          <w:bCs/>
          <w:szCs w:val="22"/>
          <w:lang w:val="en-GB"/>
        </w:rPr>
        <w:t xml:space="preserve"> mutant patients.</w:t>
      </w:r>
    </w:p>
    <w:p w:rsidR="008C4EEB" w:rsidRDefault="008C4EEB" w:rsidP="008C4EEB">
      <w:pPr>
        <w:contextualSpacing/>
        <w:rPr>
          <w:bCs/>
          <w:szCs w:val="22"/>
          <w:lang w:val="en-GB"/>
        </w:rPr>
      </w:pPr>
    </w:p>
    <w:p w:rsidR="0029738A" w:rsidRDefault="00BE0504" w:rsidP="0029738A">
      <w:pPr>
        <w:numPr>
          <w:ilvl w:val="1"/>
          <w:numId w:val="6"/>
        </w:numPr>
        <w:contextualSpacing/>
        <w:rPr>
          <w:bCs/>
          <w:szCs w:val="22"/>
          <w:lang w:val="en-GB"/>
        </w:rPr>
      </w:pPr>
      <w:r w:rsidRPr="00630D3D">
        <w:rPr>
          <w:bCs/>
          <w:szCs w:val="22"/>
          <w:lang w:val="en-GB"/>
        </w:rPr>
        <w:t>The PBAC noted th</w:t>
      </w:r>
      <w:r w:rsidR="00FA4A7B" w:rsidRPr="00630D3D">
        <w:rPr>
          <w:bCs/>
          <w:szCs w:val="22"/>
          <w:lang w:val="en-GB"/>
        </w:rPr>
        <w:t>at the combination therapy showed a</w:t>
      </w:r>
      <w:r w:rsidR="00256E0E">
        <w:rPr>
          <w:bCs/>
          <w:szCs w:val="22"/>
          <w:lang w:val="en-GB"/>
        </w:rPr>
        <w:t>n</w:t>
      </w:r>
      <w:r w:rsidRPr="00630D3D">
        <w:rPr>
          <w:bCs/>
          <w:szCs w:val="22"/>
          <w:lang w:val="en-GB"/>
        </w:rPr>
        <w:t xml:space="preserve"> improvement in </w:t>
      </w:r>
      <w:r w:rsidR="005A4417">
        <w:rPr>
          <w:bCs/>
          <w:szCs w:val="22"/>
          <w:lang w:val="en-GB"/>
        </w:rPr>
        <w:t xml:space="preserve">median </w:t>
      </w:r>
      <w:r w:rsidRPr="00630D3D">
        <w:rPr>
          <w:bCs/>
          <w:szCs w:val="22"/>
          <w:lang w:val="en-GB"/>
        </w:rPr>
        <w:t>PFS</w:t>
      </w:r>
      <w:r w:rsidR="00FA4A7B" w:rsidRPr="00630D3D">
        <w:rPr>
          <w:bCs/>
          <w:szCs w:val="22"/>
          <w:lang w:val="en-GB"/>
        </w:rPr>
        <w:t xml:space="preserve"> of 4.6 months</w:t>
      </w:r>
      <w:r w:rsidR="00BD31A9" w:rsidRPr="00630D3D">
        <w:rPr>
          <w:bCs/>
          <w:szCs w:val="22"/>
          <w:lang w:val="en-GB"/>
        </w:rPr>
        <w:t xml:space="preserve"> compared to </w:t>
      </w:r>
      <w:proofErr w:type="spellStart"/>
      <w:r w:rsidR="00BD31A9" w:rsidRPr="00630D3D">
        <w:rPr>
          <w:bCs/>
          <w:szCs w:val="22"/>
          <w:lang w:val="en-GB"/>
        </w:rPr>
        <w:t>nivolumab</w:t>
      </w:r>
      <w:proofErr w:type="spellEnd"/>
      <w:r w:rsidR="00BD31A9" w:rsidRPr="00630D3D">
        <w:rPr>
          <w:bCs/>
          <w:szCs w:val="22"/>
          <w:lang w:val="en-GB"/>
        </w:rPr>
        <w:t xml:space="preserve"> monotherapy</w:t>
      </w:r>
      <w:r w:rsidR="0048756C">
        <w:rPr>
          <w:bCs/>
          <w:szCs w:val="22"/>
          <w:lang w:val="en-GB"/>
        </w:rPr>
        <w:t xml:space="preserve"> in the trial CA209</w:t>
      </w:r>
      <w:r w:rsidR="00902ACD">
        <w:rPr>
          <w:bCs/>
          <w:szCs w:val="22"/>
          <w:lang w:val="en-GB"/>
        </w:rPr>
        <w:t>-</w:t>
      </w:r>
      <w:r w:rsidR="0048756C">
        <w:rPr>
          <w:bCs/>
          <w:szCs w:val="22"/>
          <w:lang w:val="en-GB"/>
        </w:rPr>
        <w:t>067</w:t>
      </w:r>
      <w:r w:rsidR="00FA4A7B" w:rsidRPr="00630D3D">
        <w:rPr>
          <w:bCs/>
          <w:szCs w:val="22"/>
          <w:lang w:val="en-GB"/>
        </w:rPr>
        <w:t xml:space="preserve">, however the clinical significance of this gain </w:t>
      </w:r>
      <w:r w:rsidR="00902ACD" w:rsidRPr="00630D3D">
        <w:rPr>
          <w:bCs/>
          <w:szCs w:val="22"/>
          <w:lang w:val="en-GB"/>
        </w:rPr>
        <w:t xml:space="preserve">had not been adequately demonstrated </w:t>
      </w:r>
      <w:r w:rsidR="00902ACD">
        <w:rPr>
          <w:bCs/>
          <w:szCs w:val="22"/>
          <w:lang w:val="en-GB"/>
        </w:rPr>
        <w:t xml:space="preserve">either </w:t>
      </w:r>
      <w:r w:rsidR="00FA4A7B" w:rsidRPr="00630D3D">
        <w:rPr>
          <w:bCs/>
          <w:szCs w:val="22"/>
          <w:lang w:val="en-GB"/>
        </w:rPr>
        <w:t>in terms o</w:t>
      </w:r>
      <w:r w:rsidR="00902ACD">
        <w:rPr>
          <w:bCs/>
          <w:szCs w:val="22"/>
          <w:lang w:val="en-GB"/>
        </w:rPr>
        <w:t>f an</w:t>
      </w:r>
      <w:r w:rsidR="00FA4A7B" w:rsidRPr="00630D3D">
        <w:rPr>
          <w:bCs/>
          <w:szCs w:val="22"/>
          <w:lang w:val="en-GB"/>
        </w:rPr>
        <w:t xml:space="preserve"> improvement in quality of life or as a valid surrogate for OS</w:t>
      </w:r>
      <w:r w:rsidRPr="00630D3D">
        <w:rPr>
          <w:bCs/>
          <w:szCs w:val="22"/>
          <w:lang w:val="en-GB"/>
        </w:rPr>
        <w:t xml:space="preserve">. </w:t>
      </w:r>
      <w:r w:rsidR="00A60569">
        <w:rPr>
          <w:bCs/>
          <w:szCs w:val="22"/>
          <w:lang w:val="en-GB"/>
        </w:rPr>
        <w:t xml:space="preserve">The PBAC also noted that progression </w:t>
      </w:r>
      <w:r w:rsidR="007724C9">
        <w:rPr>
          <w:bCs/>
          <w:szCs w:val="22"/>
          <w:lang w:val="en-GB"/>
        </w:rPr>
        <w:t>in the trials was</w:t>
      </w:r>
      <w:r w:rsidR="00A60569">
        <w:rPr>
          <w:bCs/>
          <w:szCs w:val="22"/>
          <w:lang w:val="en-GB"/>
        </w:rPr>
        <w:t xml:space="preserve"> </w:t>
      </w:r>
      <w:r w:rsidR="00256E0E">
        <w:rPr>
          <w:bCs/>
          <w:szCs w:val="22"/>
          <w:lang w:val="en-GB"/>
        </w:rPr>
        <w:t>determined</w:t>
      </w:r>
      <w:r w:rsidR="007724C9">
        <w:rPr>
          <w:bCs/>
          <w:szCs w:val="22"/>
          <w:lang w:val="en-GB"/>
        </w:rPr>
        <w:t xml:space="preserve"> by meeting RECIST criteria</w:t>
      </w:r>
      <w:r w:rsidR="00256E0E">
        <w:rPr>
          <w:bCs/>
          <w:szCs w:val="22"/>
          <w:lang w:val="en-GB"/>
        </w:rPr>
        <w:t xml:space="preserve"> based largely on repeated images taken of the tumours</w:t>
      </w:r>
      <w:r w:rsidR="007724C9">
        <w:rPr>
          <w:bCs/>
          <w:szCs w:val="22"/>
          <w:lang w:val="en-GB"/>
        </w:rPr>
        <w:t xml:space="preserve">, which may not be as relevant </w:t>
      </w:r>
      <w:r w:rsidR="00256E0E">
        <w:rPr>
          <w:bCs/>
          <w:szCs w:val="22"/>
          <w:lang w:val="en-GB"/>
        </w:rPr>
        <w:t>or</w:t>
      </w:r>
      <w:r w:rsidR="007724C9">
        <w:rPr>
          <w:bCs/>
          <w:szCs w:val="22"/>
          <w:lang w:val="en-GB"/>
        </w:rPr>
        <w:t xml:space="preserve"> meaningful </w:t>
      </w:r>
      <w:r w:rsidR="00256E0E">
        <w:rPr>
          <w:bCs/>
          <w:szCs w:val="22"/>
          <w:lang w:val="en-GB"/>
        </w:rPr>
        <w:t xml:space="preserve">an </w:t>
      </w:r>
      <w:r w:rsidR="007724C9">
        <w:rPr>
          <w:bCs/>
          <w:szCs w:val="22"/>
          <w:lang w:val="en-GB"/>
        </w:rPr>
        <w:t xml:space="preserve">outcome </w:t>
      </w:r>
      <w:r w:rsidR="00256E0E">
        <w:rPr>
          <w:bCs/>
          <w:szCs w:val="22"/>
          <w:lang w:val="en-GB"/>
        </w:rPr>
        <w:t xml:space="preserve">to the patient </w:t>
      </w:r>
      <w:r w:rsidR="007724C9">
        <w:rPr>
          <w:bCs/>
          <w:szCs w:val="22"/>
          <w:lang w:val="en-GB"/>
        </w:rPr>
        <w:t xml:space="preserve">as </w:t>
      </w:r>
      <w:r w:rsidR="00902ACD">
        <w:rPr>
          <w:bCs/>
          <w:szCs w:val="22"/>
          <w:lang w:val="en-GB"/>
        </w:rPr>
        <w:t>progression which manifests</w:t>
      </w:r>
      <w:r w:rsidR="00256E0E">
        <w:rPr>
          <w:bCs/>
          <w:szCs w:val="22"/>
          <w:lang w:val="en-GB"/>
        </w:rPr>
        <w:t xml:space="preserve"> with</w:t>
      </w:r>
      <w:r w:rsidR="007724C9">
        <w:rPr>
          <w:bCs/>
          <w:szCs w:val="22"/>
          <w:lang w:val="en-GB"/>
        </w:rPr>
        <w:t xml:space="preserve"> symptom</w:t>
      </w:r>
      <w:r w:rsidR="00256E0E">
        <w:rPr>
          <w:bCs/>
          <w:szCs w:val="22"/>
          <w:lang w:val="en-GB"/>
        </w:rPr>
        <w:t>s</w:t>
      </w:r>
      <w:r w:rsidR="007724C9">
        <w:rPr>
          <w:bCs/>
          <w:szCs w:val="22"/>
          <w:lang w:val="en-GB"/>
        </w:rPr>
        <w:t xml:space="preserve">. </w:t>
      </w:r>
      <w:r w:rsidR="00D94025">
        <w:rPr>
          <w:bCs/>
          <w:szCs w:val="22"/>
          <w:lang w:val="en-GB"/>
        </w:rPr>
        <w:t xml:space="preserve">The PBAC noted that adjustment was made in the </w:t>
      </w:r>
      <w:r w:rsidR="00B970B8">
        <w:rPr>
          <w:bCs/>
          <w:szCs w:val="22"/>
          <w:lang w:val="en-GB"/>
        </w:rPr>
        <w:t xml:space="preserve">assessment of PFS by the </w:t>
      </w:r>
      <w:r w:rsidR="00D94025">
        <w:rPr>
          <w:bCs/>
          <w:szCs w:val="22"/>
          <w:lang w:val="en-GB"/>
        </w:rPr>
        <w:t>trials</w:t>
      </w:r>
      <w:r w:rsidR="00B970B8">
        <w:rPr>
          <w:bCs/>
          <w:szCs w:val="22"/>
          <w:lang w:val="en-GB"/>
        </w:rPr>
        <w:t xml:space="preserve"> </w:t>
      </w:r>
      <w:r w:rsidR="00D94025">
        <w:rPr>
          <w:bCs/>
          <w:szCs w:val="22"/>
          <w:lang w:val="en-GB"/>
        </w:rPr>
        <w:t xml:space="preserve">for the phenomenon of “pseudo-progression” (where </w:t>
      </w:r>
      <w:r w:rsidR="00B970B8">
        <w:rPr>
          <w:bCs/>
          <w:szCs w:val="22"/>
          <w:lang w:val="en-GB"/>
        </w:rPr>
        <w:t xml:space="preserve">the </w:t>
      </w:r>
      <w:r w:rsidR="00D94025">
        <w:rPr>
          <w:bCs/>
          <w:szCs w:val="22"/>
          <w:lang w:val="en-GB"/>
        </w:rPr>
        <w:t>immunot</w:t>
      </w:r>
      <w:r w:rsidR="00B970B8">
        <w:rPr>
          <w:bCs/>
          <w:szCs w:val="22"/>
          <w:lang w:val="en-GB"/>
        </w:rPr>
        <w:t xml:space="preserve">herapy may induce an early increase in the size of tumours), but could not be confident that this adjustment was long enough for all patients, </w:t>
      </w:r>
      <w:r w:rsidR="00884929">
        <w:rPr>
          <w:bCs/>
          <w:szCs w:val="22"/>
          <w:lang w:val="en-GB"/>
        </w:rPr>
        <w:t>n</w:t>
      </w:r>
      <w:r w:rsidR="00B970B8">
        <w:rPr>
          <w:bCs/>
          <w:szCs w:val="22"/>
          <w:lang w:val="en-GB"/>
        </w:rPr>
        <w:t>or how such an inadequacy might bias the comparison</w:t>
      </w:r>
      <w:r w:rsidR="00884929">
        <w:rPr>
          <w:bCs/>
          <w:szCs w:val="22"/>
          <w:lang w:val="en-GB"/>
        </w:rPr>
        <w:t>s</w:t>
      </w:r>
      <w:r w:rsidR="00B970B8">
        <w:rPr>
          <w:bCs/>
          <w:szCs w:val="22"/>
          <w:lang w:val="en-GB"/>
        </w:rPr>
        <w:t xml:space="preserve"> across these immunotherapies. </w:t>
      </w:r>
      <w:r w:rsidR="00884929">
        <w:rPr>
          <w:bCs/>
          <w:szCs w:val="22"/>
          <w:lang w:val="en-GB"/>
        </w:rPr>
        <w:t>The PBAC noted that n</w:t>
      </w:r>
      <w:r w:rsidR="005A4417">
        <w:rPr>
          <w:bCs/>
          <w:szCs w:val="22"/>
          <w:lang w:val="en-GB"/>
        </w:rPr>
        <w:t xml:space="preserve">o estimate of median PFS was available from the </w:t>
      </w:r>
      <w:r w:rsidR="009A22A8">
        <w:rPr>
          <w:bCs/>
          <w:szCs w:val="22"/>
          <w:lang w:val="en-GB"/>
        </w:rPr>
        <w:t xml:space="preserve">weaker </w:t>
      </w:r>
      <w:r w:rsidR="005A4417">
        <w:rPr>
          <w:bCs/>
          <w:szCs w:val="22"/>
          <w:lang w:val="en-GB"/>
        </w:rPr>
        <w:t xml:space="preserve">indirect comparison of the combination therapy and </w:t>
      </w:r>
      <w:proofErr w:type="spellStart"/>
      <w:r w:rsidR="005A4417">
        <w:rPr>
          <w:bCs/>
          <w:szCs w:val="22"/>
          <w:lang w:val="en-GB"/>
        </w:rPr>
        <w:t>pembrolizumab</w:t>
      </w:r>
      <w:proofErr w:type="spellEnd"/>
      <w:r w:rsidR="009A22A8">
        <w:rPr>
          <w:bCs/>
          <w:szCs w:val="22"/>
          <w:lang w:val="en-GB"/>
        </w:rPr>
        <w:t>. However</w:t>
      </w:r>
      <w:r w:rsidR="005A4417">
        <w:rPr>
          <w:bCs/>
          <w:szCs w:val="22"/>
          <w:lang w:val="en-GB"/>
        </w:rPr>
        <w:t xml:space="preserve">, there was no basis not to conclude that it would be similar to </w:t>
      </w:r>
      <w:r w:rsidR="00884929">
        <w:rPr>
          <w:bCs/>
          <w:szCs w:val="22"/>
          <w:lang w:val="en-GB"/>
        </w:rPr>
        <w:t xml:space="preserve">the </w:t>
      </w:r>
      <w:r w:rsidR="005A4417">
        <w:rPr>
          <w:bCs/>
          <w:szCs w:val="22"/>
          <w:lang w:val="en-GB"/>
        </w:rPr>
        <w:t>4.6 months</w:t>
      </w:r>
      <w:r w:rsidR="00884929">
        <w:rPr>
          <w:bCs/>
          <w:szCs w:val="22"/>
          <w:lang w:val="en-GB"/>
        </w:rPr>
        <w:t xml:space="preserve"> for the comparison with </w:t>
      </w:r>
      <w:proofErr w:type="spellStart"/>
      <w:r w:rsidR="00884929">
        <w:rPr>
          <w:bCs/>
          <w:szCs w:val="22"/>
          <w:lang w:val="en-GB"/>
        </w:rPr>
        <w:t>nivolumab</w:t>
      </w:r>
      <w:proofErr w:type="spellEnd"/>
      <w:r w:rsidR="005A4417">
        <w:rPr>
          <w:bCs/>
          <w:szCs w:val="22"/>
          <w:lang w:val="en-GB"/>
        </w:rPr>
        <w:t xml:space="preserve">, given the similarity of the hazard ratios (0.74, 95% CI: 0.60, 0.92, for the direct comparison of the combination with </w:t>
      </w:r>
      <w:proofErr w:type="spellStart"/>
      <w:r w:rsidR="005A4417">
        <w:rPr>
          <w:bCs/>
          <w:szCs w:val="22"/>
          <w:lang w:val="en-GB"/>
        </w:rPr>
        <w:t>nivolumab</w:t>
      </w:r>
      <w:proofErr w:type="spellEnd"/>
      <w:r w:rsidR="005A4417">
        <w:rPr>
          <w:bCs/>
          <w:szCs w:val="22"/>
          <w:lang w:val="en-GB"/>
        </w:rPr>
        <w:t xml:space="preserve"> monotherapy and 0.724, 95% CI: 0.54, 0.97, for the indirect comparison of the combination with </w:t>
      </w:r>
      <w:proofErr w:type="spellStart"/>
      <w:r w:rsidR="005A4417">
        <w:rPr>
          <w:bCs/>
          <w:szCs w:val="22"/>
          <w:lang w:val="en-GB"/>
        </w:rPr>
        <w:t>pembrolizumab</w:t>
      </w:r>
      <w:proofErr w:type="spellEnd"/>
      <w:r w:rsidR="005A4417">
        <w:rPr>
          <w:bCs/>
          <w:szCs w:val="22"/>
          <w:lang w:val="en-GB"/>
        </w:rPr>
        <w:t xml:space="preserve"> monotherapy) and PBAC’s separate conclusion of non-inferiority between </w:t>
      </w:r>
      <w:proofErr w:type="spellStart"/>
      <w:r w:rsidR="005A4417">
        <w:rPr>
          <w:bCs/>
          <w:szCs w:val="22"/>
          <w:lang w:val="en-GB"/>
        </w:rPr>
        <w:t>pembrolizumab</w:t>
      </w:r>
      <w:proofErr w:type="spellEnd"/>
      <w:r w:rsidR="005A4417">
        <w:rPr>
          <w:bCs/>
          <w:szCs w:val="22"/>
          <w:lang w:val="en-GB"/>
        </w:rPr>
        <w:t xml:space="preserve"> and </w:t>
      </w:r>
      <w:proofErr w:type="spellStart"/>
      <w:r w:rsidR="005A4417">
        <w:rPr>
          <w:bCs/>
          <w:szCs w:val="22"/>
          <w:lang w:val="en-GB"/>
        </w:rPr>
        <w:t>nivolumab</w:t>
      </w:r>
      <w:proofErr w:type="spellEnd"/>
      <w:r w:rsidR="005A4417">
        <w:rPr>
          <w:bCs/>
          <w:szCs w:val="22"/>
          <w:lang w:val="en-GB"/>
        </w:rPr>
        <w:t xml:space="preserve"> monotherapy (see item 7.14 from the November 2015 PBAC meeting). </w:t>
      </w:r>
      <w:r w:rsidR="00630D3D">
        <w:rPr>
          <w:bCs/>
          <w:szCs w:val="22"/>
          <w:lang w:val="en-GB"/>
        </w:rPr>
        <w:t xml:space="preserve">The PBAC </w:t>
      </w:r>
      <w:r w:rsidR="009A22A8">
        <w:rPr>
          <w:bCs/>
          <w:szCs w:val="22"/>
          <w:lang w:val="en-GB"/>
        </w:rPr>
        <w:t xml:space="preserve">also </w:t>
      </w:r>
      <w:r w:rsidR="00630D3D">
        <w:rPr>
          <w:bCs/>
          <w:szCs w:val="22"/>
          <w:lang w:val="en-GB"/>
        </w:rPr>
        <w:t>noted that there were no statistically significant difference</w:t>
      </w:r>
      <w:r w:rsidR="00902ACD">
        <w:rPr>
          <w:bCs/>
          <w:szCs w:val="22"/>
          <w:lang w:val="en-GB"/>
        </w:rPr>
        <w:t>s</w:t>
      </w:r>
      <w:r w:rsidR="00630D3D">
        <w:rPr>
          <w:bCs/>
          <w:szCs w:val="22"/>
          <w:lang w:val="en-GB"/>
        </w:rPr>
        <w:t xml:space="preserve"> in OS between combination </w:t>
      </w:r>
      <w:proofErr w:type="spellStart"/>
      <w:r w:rsidR="00630D3D">
        <w:rPr>
          <w:bCs/>
          <w:szCs w:val="22"/>
          <w:lang w:val="en-GB"/>
        </w:rPr>
        <w:t>nivolumab</w:t>
      </w:r>
      <w:proofErr w:type="spellEnd"/>
      <w:r w:rsidR="00630D3D">
        <w:rPr>
          <w:bCs/>
          <w:szCs w:val="22"/>
          <w:lang w:val="en-GB"/>
        </w:rPr>
        <w:t xml:space="preserve"> and </w:t>
      </w:r>
      <w:proofErr w:type="spellStart"/>
      <w:r w:rsidR="00630D3D">
        <w:rPr>
          <w:bCs/>
          <w:szCs w:val="22"/>
          <w:lang w:val="en-GB"/>
        </w:rPr>
        <w:t>ipilimumab</w:t>
      </w:r>
      <w:proofErr w:type="spellEnd"/>
      <w:r w:rsidR="00630D3D">
        <w:rPr>
          <w:bCs/>
          <w:szCs w:val="22"/>
          <w:lang w:val="en-GB"/>
        </w:rPr>
        <w:t xml:space="preserve"> treatment </w:t>
      </w:r>
      <w:r w:rsidR="00AB0CB3">
        <w:rPr>
          <w:bCs/>
          <w:szCs w:val="22"/>
          <w:lang w:val="en-GB"/>
        </w:rPr>
        <w:t>and</w:t>
      </w:r>
      <w:r w:rsidR="00630D3D">
        <w:rPr>
          <w:bCs/>
          <w:szCs w:val="22"/>
          <w:lang w:val="en-GB"/>
        </w:rPr>
        <w:t xml:space="preserve"> either </w:t>
      </w:r>
      <w:proofErr w:type="spellStart"/>
      <w:r w:rsidR="00630D3D">
        <w:rPr>
          <w:bCs/>
          <w:szCs w:val="22"/>
          <w:lang w:val="en-GB"/>
        </w:rPr>
        <w:t>pembrolizumab</w:t>
      </w:r>
      <w:proofErr w:type="spellEnd"/>
      <w:r w:rsidR="00630D3D">
        <w:rPr>
          <w:bCs/>
          <w:szCs w:val="22"/>
          <w:lang w:val="en-GB"/>
        </w:rPr>
        <w:t xml:space="preserve"> or </w:t>
      </w:r>
      <w:proofErr w:type="spellStart"/>
      <w:r w:rsidR="00630D3D">
        <w:rPr>
          <w:bCs/>
          <w:szCs w:val="22"/>
          <w:lang w:val="en-GB"/>
        </w:rPr>
        <w:t>ipilimumab</w:t>
      </w:r>
      <w:proofErr w:type="spellEnd"/>
      <w:r w:rsidR="00630D3D">
        <w:rPr>
          <w:bCs/>
          <w:szCs w:val="22"/>
          <w:lang w:val="en-GB"/>
        </w:rPr>
        <w:t xml:space="preserve"> monotherapy</w:t>
      </w:r>
      <w:r w:rsidR="00E161A8">
        <w:rPr>
          <w:bCs/>
          <w:szCs w:val="22"/>
          <w:lang w:val="en-GB"/>
        </w:rPr>
        <w:t xml:space="preserve">, and no OS data yet officially reported comparing the combination with </w:t>
      </w:r>
      <w:proofErr w:type="spellStart"/>
      <w:r w:rsidR="00E161A8">
        <w:rPr>
          <w:bCs/>
          <w:szCs w:val="22"/>
          <w:lang w:val="en-GB"/>
        </w:rPr>
        <w:t>nivolumab</w:t>
      </w:r>
      <w:proofErr w:type="spellEnd"/>
      <w:r w:rsidR="00E161A8">
        <w:rPr>
          <w:bCs/>
          <w:szCs w:val="22"/>
          <w:lang w:val="en-GB"/>
        </w:rPr>
        <w:t xml:space="preserve"> monotherapy</w:t>
      </w:r>
      <w:r w:rsidR="00630D3D">
        <w:rPr>
          <w:bCs/>
          <w:szCs w:val="22"/>
          <w:lang w:val="en-GB"/>
        </w:rPr>
        <w:t>.</w:t>
      </w:r>
    </w:p>
    <w:p w:rsidR="00630D3D" w:rsidRPr="00630D3D" w:rsidRDefault="00630D3D" w:rsidP="00630D3D">
      <w:pPr>
        <w:contextualSpacing/>
        <w:rPr>
          <w:bCs/>
          <w:szCs w:val="22"/>
          <w:lang w:val="en-GB"/>
        </w:rPr>
      </w:pPr>
    </w:p>
    <w:p w:rsidR="0029738A" w:rsidRDefault="0029738A" w:rsidP="00875551">
      <w:pPr>
        <w:numPr>
          <w:ilvl w:val="1"/>
          <w:numId w:val="6"/>
        </w:numPr>
        <w:contextualSpacing/>
        <w:rPr>
          <w:bCs/>
          <w:szCs w:val="22"/>
          <w:lang w:val="en-GB"/>
        </w:rPr>
      </w:pPr>
      <w:r w:rsidRPr="00BE0504">
        <w:rPr>
          <w:bCs/>
          <w:szCs w:val="22"/>
          <w:lang w:val="en-GB"/>
        </w:rPr>
        <w:t>The PB</w:t>
      </w:r>
      <w:r w:rsidR="00666B92">
        <w:rPr>
          <w:bCs/>
          <w:szCs w:val="22"/>
          <w:lang w:val="en-GB"/>
        </w:rPr>
        <w:t>AC considered</w:t>
      </w:r>
      <w:r w:rsidRPr="00BE0504">
        <w:rPr>
          <w:bCs/>
          <w:szCs w:val="22"/>
          <w:lang w:val="en-GB"/>
        </w:rPr>
        <w:t xml:space="preserve"> that combination treatment </w:t>
      </w:r>
      <w:r w:rsidR="00902ACD">
        <w:rPr>
          <w:bCs/>
          <w:szCs w:val="22"/>
          <w:lang w:val="en-GB"/>
        </w:rPr>
        <w:t>with</w:t>
      </w:r>
      <w:r w:rsidRPr="00BE0504">
        <w:rPr>
          <w:bCs/>
          <w:szCs w:val="22"/>
          <w:lang w:val="en-GB"/>
        </w:rPr>
        <w:t xml:space="preserve"> </w:t>
      </w:r>
      <w:proofErr w:type="spellStart"/>
      <w:r w:rsidRPr="00BE0504">
        <w:rPr>
          <w:bCs/>
          <w:szCs w:val="22"/>
          <w:lang w:val="en-GB"/>
        </w:rPr>
        <w:t>nivolumab</w:t>
      </w:r>
      <w:proofErr w:type="spellEnd"/>
      <w:r w:rsidRPr="00BE0504">
        <w:rPr>
          <w:bCs/>
          <w:szCs w:val="22"/>
          <w:lang w:val="en-GB"/>
        </w:rPr>
        <w:t xml:space="preserve"> and </w:t>
      </w:r>
      <w:proofErr w:type="spellStart"/>
      <w:r w:rsidRPr="00BE0504">
        <w:rPr>
          <w:bCs/>
          <w:szCs w:val="22"/>
          <w:lang w:val="en-GB"/>
        </w:rPr>
        <w:t>ipilimumab</w:t>
      </w:r>
      <w:proofErr w:type="spellEnd"/>
      <w:r w:rsidRPr="00BE0504">
        <w:rPr>
          <w:bCs/>
          <w:szCs w:val="22"/>
          <w:lang w:val="en-GB"/>
        </w:rPr>
        <w:t xml:space="preserve"> has a significantly inferior safety profile compared to </w:t>
      </w:r>
      <w:proofErr w:type="spellStart"/>
      <w:r w:rsidRPr="00BE0504">
        <w:rPr>
          <w:bCs/>
          <w:szCs w:val="22"/>
          <w:lang w:val="en-GB"/>
        </w:rPr>
        <w:t>pembrolizumab</w:t>
      </w:r>
      <w:proofErr w:type="spellEnd"/>
      <w:r w:rsidRPr="00BE0504">
        <w:rPr>
          <w:bCs/>
          <w:szCs w:val="22"/>
          <w:lang w:val="en-GB"/>
        </w:rPr>
        <w:t xml:space="preserve"> monotherapy</w:t>
      </w:r>
      <w:r w:rsidR="00E161A8">
        <w:rPr>
          <w:bCs/>
          <w:szCs w:val="22"/>
          <w:lang w:val="en-GB"/>
        </w:rPr>
        <w:t xml:space="preserve">, </w:t>
      </w:r>
      <w:proofErr w:type="spellStart"/>
      <w:r w:rsidR="00E161A8">
        <w:rPr>
          <w:bCs/>
          <w:szCs w:val="22"/>
          <w:lang w:val="en-GB"/>
        </w:rPr>
        <w:t>nivolumab</w:t>
      </w:r>
      <w:proofErr w:type="spellEnd"/>
      <w:r w:rsidR="00E161A8">
        <w:rPr>
          <w:bCs/>
          <w:szCs w:val="22"/>
          <w:lang w:val="en-GB"/>
        </w:rPr>
        <w:t xml:space="preserve"> monotherapy or ipilimumab monotherapy</w:t>
      </w:r>
      <w:r w:rsidRPr="00BE0504">
        <w:rPr>
          <w:bCs/>
          <w:szCs w:val="22"/>
          <w:lang w:val="en-GB"/>
        </w:rPr>
        <w:t xml:space="preserve">. </w:t>
      </w:r>
      <w:r w:rsidR="00875551">
        <w:rPr>
          <w:bCs/>
          <w:szCs w:val="22"/>
          <w:lang w:val="en-GB"/>
        </w:rPr>
        <w:t xml:space="preserve">The PBAC noted that there were </w:t>
      </w:r>
      <w:r w:rsidR="00875551" w:rsidRPr="00875551">
        <w:rPr>
          <w:bCs/>
          <w:szCs w:val="22"/>
          <w:lang w:val="en-GB"/>
        </w:rPr>
        <w:t xml:space="preserve">significantly higher rates of serious adverse events with </w:t>
      </w:r>
      <w:proofErr w:type="spellStart"/>
      <w:r w:rsidR="00875551" w:rsidRPr="00875551">
        <w:rPr>
          <w:bCs/>
          <w:szCs w:val="22"/>
          <w:lang w:val="en-GB"/>
        </w:rPr>
        <w:t>nivolumab</w:t>
      </w:r>
      <w:proofErr w:type="spellEnd"/>
      <w:r w:rsidR="00875551" w:rsidRPr="00875551">
        <w:rPr>
          <w:bCs/>
          <w:szCs w:val="22"/>
          <w:lang w:val="en-GB"/>
        </w:rPr>
        <w:t xml:space="preserve"> plus </w:t>
      </w:r>
      <w:proofErr w:type="spellStart"/>
      <w:r w:rsidR="00875551" w:rsidRPr="00875551">
        <w:rPr>
          <w:bCs/>
          <w:szCs w:val="22"/>
          <w:lang w:val="en-GB"/>
        </w:rPr>
        <w:t>ipilimumab</w:t>
      </w:r>
      <w:proofErr w:type="spellEnd"/>
      <w:r w:rsidR="00875551" w:rsidRPr="00875551">
        <w:rPr>
          <w:bCs/>
          <w:szCs w:val="22"/>
          <w:lang w:val="en-GB"/>
        </w:rPr>
        <w:t xml:space="preserve"> combination therap</w:t>
      </w:r>
      <w:r w:rsidR="00C079A5">
        <w:rPr>
          <w:bCs/>
          <w:szCs w:val="22"/>
          <w:lang w:val="en-GB"/>
        </w:rPr>
        <w:t xml:space="preserve">y compared to the monotherapies, </w:t>
      </w:r>
      <w:r w:rsidR="00666B92">
        <w:rPr>
          <w:bCs/>
          <w:szCs w:val="22"/>
          <w:lang w:val="en-GB"/>
        </w:rPr>
        <w:t xml:space="preserve">with the combination treatment </w:t>
      </w:r>
      <w:r w:rsidR="00304B99">
        <w:rPr>
          <w:bCs/>
          <w:szCs w:val="22"/>
          <w:lang w:val="en-GB"/>
        </w:rPr>
        <w:t>having</w:t>
      </w:r>
      <w:r w:rsidR="00E161A8">
        <w:rPr>
          <w:bCs/>
          <w:szCs w:val="22"/>
          <w:lang w:val="en-GB"/>
        </w:rPr>
        <w:t>, for example,</w:t>
      </w:r>
      <w:r w:rsidR="00304B99">
        <w:rPr>
          <w:bCs/>
          <w:szCs w:val="22"/>
          <w:lang w:val="en-GB"/>
        </w:rPr>
        <w:t xml:space="preserve"> an</w:t>
      </w:r>
      <w:r w:rsidR="00C079A5">
        <w:rPr>
          <w:bCs/>
          <w:szCs w:val="22"/>
          <w:lang w:val="en-GB"/>
        </w:rPr>
        <w:t xml:space="preserve"> odds ratio </w:t>
      </w:r>
      <w:r w:rsidR="00666B92">
        <w:rPr>
          <w:bCs/>
          <w:szCs w:val="22"/>
          <w:lang w:val="en-GB"/>
        </w:rPr>
        <w:t xml:space="preserve">of 6.27 </w:t>
      </w:r>
      <w:r w:rsidR="00D42128">
        <w:rPr>
          <w:bCs/>
          <w:szCs w:val="22"/>
          <w:lang w:val="en-GB"/>
        </w:rPr>
        <w:t xml:space="preserve">(95% CI: 4.42, 8.89) </w:t>
      </w:r>
      <w:r w:rsidR="00C079A5">
        <w:rPr>
          <w:bCs/>
          <w:szCs w:val="22"/>
          <w:lang w:val="en-GB"/>
        </w:rPr>
        <w:t xml:space="preserve">for any severe adverse event </w:t>
      </w:r>
      <w:r w:rsidR="00D42128">
        <w:rPr>
          <w:bCs/>
          <w:szCs w:val="22"/>
          <w:lang w:val="en-GB"/>
        </w:rPr>
        <w:t>over</w:t>
      </w:r>
      <w:r w:rsidR="00666B92">
        <w:rPr>
          <w:bCs/>
          <w:szCs w:val="22"/>
          <w:lang w:val="en-GB"/>
        </w:rPr>
        <w:t xml:space="preserve"> </w:t>
      </w:r>
      <w:proofErr w:type="spellStart"/>
      <w:r w:rsidR="00666B92">
        <w:rPr>
          <w:bCs/>
          <w:szCs w:val="22"/>
          <w:lang w:val="en-GB"/>
        </w:rPr>
        <w:t>nivolumab</w:t>
      </w:r>
      <w:proofErr w:type="spellEnd"/>
      <w:r w:rsidR="00666B92">
        <w:rPr>
          <w:bCs/>
          <w:szCs w:val="22"/>
          <w:lang w:val="en-GB"/>
        </w:rPr>
        <w:t xml:space="preserve"> monotherapy, and </w:t>
      </w:r>
      <w:r w:rsidR="00D42128">
        <w:rPr>
          <w:bCs/>
          <w:szCs w:val="22"/>
          <w:lang w:val="en-GB"/>
        </w:rPr>
        <w:t>an</w:t>
      </w:r>
      <w:r w:rsidR="00666B92">
        <w:rPr>
          <w:bCs/>
          <w:szCs w:val="22"/>
          <w:lang w:val="en-GB"/>
        </w:rPr>
        <w:t xml:space="preserve"> odds ratio for discontinuations due to drug-related adverse events </w:t>
      </w:r>
      <w:r w:rsidR="00D42128">
        <w:rPr>
          <w:bCs/>
          <w:szCs w:val="22"/>
          <w:lang w:val="en-GB"/>
        </w:rPr>
        <w:t xml:space="preserve">of </w:t>
      </w:r>
      <w:r w:rsidR="00666B92">
        <w:rPr>
          <w:bCs/>
          <w:szCs w:val="22"/>
          <w:lang w:val="en-GB"/>
        </w:rPr>
        <w:t xml:space="preserve">6.90 </w:t>
      </w:r>
      <w:r w:rsidR="00D42128">
        <w:rPr>
          <w:bCs/>
          <w:szCs w:val="22"/>
          <w:lang w:val="en-GB"/>
        </w:rPr>
        <w:t>(95% CI: 4.32, 11.01) over</w:t>
      </w:r>
      <w:r w:rsidR="00304B99">
        <w:rPr>
          <w:bCs/>
          <w:szCs w:val="22"/>
          <w:lang w:val="en-GB"/>
        </w:rPr>
        <w:t xml:space="preserve"> </w:t>
      </w:r>
      <w:proofErr w:type="spellStart"/>
      <w:r w:rsidR="00304B99">
        <w:rPr>
          <w:bCs/>
          <w:szCs w:val="22"/>
          <w:lang w:val="en-GB"/>
        </w:rPr>
        <w:t>nivolumab</w:t>
      </w:r>
      <w:proofErr w:type="spellEnd"/>
      <w:r w:rsidR="00304B99">
        <w:rPr>
          <w:bCs/>
          <w:szCs w:val="22"/>
          <w:lang w:val="en-GB"/>
        </w:rPr>
        <w:t xml:space="preserve"> monotherapy.</w:t>
      </w:r>
      <w:r w:rsidR="00E66F61">
        <w:rPr>
          <w:bCs/>
          <w:szCs w:val="22"/>
          <w:lang w:val="en-GB"/>
        </w:rPr>
        <w:t xml:space="preserve"> The PBAC was also concerned by early reports of endocrine toxicity, with the possibility of irreversible diabetes.</w:t>
      </w:r>
    </w:p>
    <w:p w:rsidR="003C0860" w:rsidRPr="008C4EEB" w:rsidRDefault="003C0860" w:rsidP="003C0860">
      <w:pPr>
        <w:rPr>
          <w:bCs/>
          <w:szCs w:val="22"/>
          <w:lang w:val="en-GB"/>
        </w:rPr>
      </w:pPr>
    </w:p>
    <w:p w:rsidR="00FF0032" w:rsidRPr="00005302" w:rsidRDefault="003C0860" w:rsidP="00FF0032">
      <w:pPr>
        <w:pStyle w:val="ListParagraph"/>
        <w:widowControl/>
        <w:numPr>
          <w:ilvl w:val="1"/>
          <w:numId w:val="6"/>
        </w:numPr>
        <w:rPr>
          <w:szCs w:val="22"/>
        </w:rPr>
      </w:pPr>
      <w:r>
        <w:rPr>
          <w:bCs/>
          <w:szCs w:val="22"/>
          <w:lang w:val="en-GB"/>
        </w:rPr>
        <w:t xml:space="preserve">The PBAC </w:t>
      </w:r>
      <w:r w:rsidR="00872BB6">
        <w:rPr>
          <w:bCs/>
          <w:szCs w:val="22"/>
          <w:lang w:val="en-GB"/>
        </w:rPr>
        <w:t xml:space="preserve">noted </w:t>
      </w:r>
      <w:r>
        <w:rPr>
          <w:bCs/>
          <w:szCs w:val="22"/>
          <w:lang w:val="en-GB"/>
        </w:rPr>
        <w:t xml:space="preserve">the ESC’s </w:t>
      </w:r>
      <w:r w:rsidR="00FF0032">
        <w:rPr>
          <w:bCs/>
          <w:szCs w:val="22"/>
          <w:lang w:val="en-GB"/>
        </w:rPr>
        <w:t>view</w:t>
      </w:r>
      <w:r>
        <w:rPr>
          <w:bCs/>
          <w:szCs w:val="22"/>
          <w:lang w:val="en-GB"/>
        </w:rPr>
        <w:t xml:space="preserve"> </w:t>
      </w:r>
      <w:r w:rsidR="00872BB6">
        <w:rPr>
          <w:bCs/>
          <w:szCs w:val="22"/>
          <w:lang w:val="en-GB"/>
        </w:rPr>
        <w:t>of</w:t>
      </w:r>
      <w:r>
        <w:rPr>
          <w:bCs/>
          <w:szCs w:val="22"/>
          <w:lang w:val="en-GB"/>
        </w:rPr>
        <w:t xml:space="preserve"> </w:t>
      </w:r>
      <w:r w:rsidR="00FF0032">
        <w:rPr>
          <w:bCs/>
          <w:szCs w:val="22"/>
          <w:lang w:val="en-GB"/>
        </w:rPr>
        <w:t xml:space="preserve">the submission’s economic model, </w:t>
      </w:r>
      <w:r w:rsidR="00872BB6">
        <w:rPr>
          <w:bCs/>
          <w:szCs w:val="22"/>
          <w:lang w:val="en-GB"/>
        </w:rPr>
        <w:t xml:space="preserve">and agreed that </w:t>
      </w:r>
      <w:r w:rsidR="00D42128">
        <w:rPr>
          <w:bCs/>
          <w:szCs w:val="22"/>
          <w:lang w:val="en-GB"/>
        </w:rPr>
        <w:t xml:space="preserve">neither </w:t>
      </w:r>
      <w:r w:rsidR="00872BB6">
        <w:rPr>
          <w:bCs/>
          <w:szCs w:val="22"/>
          <w:lang w:val="en-GB"/>
        </w:rPr>
        <w:t xml:space="preserve">the </w:t>
      </w:r>
      <w:r w:rsidR="00D42128">
        <w:rPr>
          <w:bCs/>
          <w:szCs w:val="22"/>
          <w:lang w:val="en-GB"/>
        </w:rPr>
        <w:t xml:space="preserve">model, nor its </w:t>
      </w:r>
      <w:r w:rsidR="00872BB6">
        <w:rPr>
          <w:bCs/>
          <w:szCs w:val="22"/>
          <w:lang w:val="en-GB"/>
        </w:rPr>
        <w:t xml:space="preserve">resulting ICER could be relied upon. It was </w:t>
      </w:r>
      <w:r w:rsidR="00FF0032">
        <w:rPr>
          <w:bCs/>
          <w:szCs w:val="22"/>
          <w:lang w:val="en-GB"/>
        </w:rPr>
        <w:t>not</w:t>
      </w:r>
      <w:r w:rsidR="00872BB6">
        <w:rPr>
          <w:bCs/>
          <w:szCs w:val="22"/>
          <w:lang w:val="en-GB"/>
        </w:rPr>
        <w:t>ed</w:t>
      </w:r>
      <w:r w:rsidR="00FF0032">
        <w:rPr>
          <w:bCs/>
          <w:szCs w:val="22"/>
          <w:lang w:val="en-GB"/>
        </w:rPr>
        <w:t xml:space="preserve"> that</w:t>
      </w:r>
      <w:r w:rsidR="00FF0032" w:rsidRPr="00005302">
        <w:t xml:space="preserve"> </w:t>
      </w:r>
      <w:r w:rsidR="00C87CCF">
        <w:lastRenderedPageBreak/>
        <w:t xml:space="preserve">the model </w:t>
      </w:r>
      <w:r w:rsidR="00FF0032" w:rsidRPr="00005302">
        <w:t xml:space="preserve">shared the same overall structure </w:t>
      </w:r>
      <w:r w:rsidR="0063230C">
        <w:t xml:space="preserve">as </w:t>
      </w:r>
      <w:r w:rsidR="00FF0032" w:rsidRPr="00005302">
        <w:t xml:space="preserve">the economic evaluation presented in the July 2015 </w:t>
      </w:r>
      <w:proofErr w:type="spellStart"/>
      <w:r w:rsidR="00FF0032" w:rsidRPr="00005302">
        <w:t>nivolumab</w:t>
      </w:r>
      <w:proofErr w:type="spellEnd"/>
      <w:r w:rsidR="00FF0032" w:rsidRPr="00005302">
        <w:t xml:space="preserve"> monotherapy submission, over which the PBAC had expressed many concerns, including:</w:t>
      </w:r>
    </w:p>
    <w:p w:rsidR="009A22A8" w:rsidRPr="009A22A8" w:rsidRDefault="0041254E" w:rsidP="00FF0032">
      <w:pPr>
        <w:pStyle w:val="ListParagraph"/>
        <w:numPr>
          <w:ilvl w:val="0"/>
          <w:numId w:val="19"/>
        </w:numPr>
        <w:ind w:left="1080"/>
        <w:rPr>
          <w:szCs w:val="22"/>
        </w:rPr>
      </w:pPr>
      <w:r>
        <w:t xml:space="preserve">the </w:t>
      </w:r>
      <w:r w:rsidR="009A22A8" w:rsidRPr="00185700">
        <w:t>absence of alternative survival extrapolation</w:t>
      </w:r>
      <w:r>
        <w:t xml:space="preserve">s, </w:t>
      </w:r>
      <w:r w:rsidR="009A22A8" w:rsidRPr="00185700">
        <w:t>particularly where Kaplan-Meier data could be used during the trial period</w:t>
      </w:r>
    </w:p>
    <w:p w:rsidR="00FF0032" w:rsidRPr="00005302" w:rsidRDefault="00FF0032" w:rsidP="00FF0032">
      <w:pPr>
        <w:pStyle w:val="ListParagraph"/>
        <w:numPr>
          <w:ilvl w:val="0"/>
          <w:numId w:val="19"/>
        </w:numPr>
        <w:ind w:left="1080"/>
        <w:rPr>
          <w:szCs w:val="22"/>
        </w:rPr>
      </w:pPr>
      <w:r w:rsidRPr="00005302">
        <w:t>the unnecessarily complex approach to modelling the transitions across the usual three health state structure of a model in metastatic cancer</w:t>
      </w:r>
      <w:r w:rsidR="00C87CCF">
        <w:t xml:space="preserve"> which resulted in the double-counting of the treatment effect</w:t>
      </w:r>
    </w:p>
    <w:p w:rsidR="00FF0032" w:rsidRPr="00005302" w:rsidRDefault="00FF0032" w:rsidP="00FF0032">
      <w:pPr>
        <w:pStyle w:val="ListParagraph"/>
        <w:numPr>
          <w:ilvl w:val="0"/>
          <w:numId w:val="19"/>
        </w:numPr>
        <w:ind w:left="1080"/>
        <w:rPr>
          <w:szCs w:val="22"/>
        </w:rPr>
      </w:pPr>
      <w:r w:rsidRPr="00425C30">
        <w:t>only</w:t>
      </w:r>
      <w:r w:rsidRPr="00005302">
        <w:rPr>
          <w:szCs w:val="22"/>
        </w:rPr>
        <w:t xml:space="preserve"> the </w:t>
      </w:r>
      <w:proofErr w:type="spellStart"/>
      <w:r w:rsidRPr="00425C30">
        <w:t>Akaike</w:t>
      </w:r>
      <w:proofErr w:type="spellEnd"/>
      <w:r w:rsidRPr="00005302">
        <w:rPr>
          <w:szCs w:val="22"/>
        </w:rPr>
        <w:t xml:space="preserve"> information criterion (AIC) statistics were presented for the extrapolated curves used throughout the model; the modelled PFS curves, in particular, appeared to be highly favourable to </w:t>
      </w:r>
      <w:proofErr w:type="spellStart"/>
      <w:r w:rsidRPr="00005302">
        <w:rPr>
          <w:szCs w:val="22"/>
        </w:rPr>
        <w:t>nivolumab</w:t>
      </w:r>
      <w:proofErr w:type="spellEnd"/>
    </w:p>
    <w:p w:rsidR="00FF0032" w:rsidRPr="00005302" w:rsidRDefault="00FF0032" w:rsidP="00FF0032">
      <w:pPr>
        <w:pStyle w:val="ListParagraph"/>
        <w:numPr>
          <w:ilvl w:val="0"/>
          <w:numId w:val="19"/>
        </w:numPr>
        <w:ind w:left="1080"/>
        <w:rPr>
          <w:szCs w:val="22"/>
        </w:rPr>
      </w:pPr>
      <w:r w:rsidRPr="00425C30">
        <w:t>the</w:t>
      </w:r>
      <w:r w:rsidRPr="00005302">
        <w:rPr>
          <w:szCs w:val="22"/>
        </w:rPr>
        <w:t xml:space="preserve"> 10-year time horizon was not </w:t>
      </w:r>
      <w:r w:rsidR="00A769FC">
        <w:rPr>
          <w:szCs w:val="22"/>
        </w:rPr>
        <w:t>sufficiently</w:t>
      </w:r>
      <w:r w:rsidRPr="00005302">
        <w:rPr>
          <w:szCs w:val="22"/>
        </w:rPr>
        <w:t xml:space="preserve"> supported by the clinical evidence and favoured </w:t>
      </w:r>
      <w:proofErr w:type="spellStart"/>
      <w:r w:rsidRPr="00005302">
        <w:rPr>
          <w:szCs w:val="22"/>
        </w:rPr>
        <w:t>nivolumab</w:t>
      </w:r>
      <w:proofErr w:type="spellEnd"/>
      <w:r w:rsidRPr="00005302">
        <w:rPr>
          <w:szCs w:val="22"/>
        </w:rPr>
        <w:t xml:space="preserve"> significantly in the economic model</w:t>
      </w:r>
    </w:p>
    <w:p w:rsidR="00C92C39" w:rsidRDefault="00FF0032" w:rsidP="00FF0032">
      <w:pPr>
        <w:pStyle w:val="ListParagraph"/>
        <w:numPr>
          <w:ilvl w:val="0"/>
          <w:numId w:val="19"/>
        </w:numPr>
        <w:ind w:left="1080"/>
        <w:rPr>
          <w:szCs w:val="22"/>
        </w:rPr>
      </w:pPr>
      <w:proofErr w:type="gramStart"/>
      <w:r w:rsidRPr="00425C30">
        <w:t>the</w:t>
      </w:r>
      <w:proofErr w:type="gramEnd"/>
      <w:r w:rsidRPr="00005302">
        <w:rPr>
          <w:szCs w:val="22"/>
        </w:rPr>
        <w:t xml:space="preserve"> absolute utility values used for non-progressive and progressive disease states appeared to be high for a population with advanced cancer, and had a significant effect on the ICER.</w:t>
      </w:r>
    </w:p>
    <w:p w:rsidR="00E751DD" w:rsidRDefault="00E751DD" w:rsidP="00E751DD">
      <w:pPr>
        <w:rPr>
          <w:szCs w:val="22"/>
        </w:rPr>
      </w:pPr>
    </w:p>
    <w:p w:rsidR="007724C9" w:rsidRDefault="007724C9" w:rsidP="00E751DD">
      <w:pPr>
        <w:pStyle w:val="ListParagraph"/>
        <w:widowControl/>
        <w:numPr>
          <w:ilvl w:val="1"/>
          <w:numId w:val="6"/>
        </w:numPr>
        <w:ind w:left="709" w:hanging="709"/>
        <w:rPr>
          <w:szCs w:val="22"/>
        </w:rPr>
      </w:pPr>
      <w:r>
        <w:rPr>
          <w:szCs w:val="22"/>
        </w:rPr>
        <w:t xml:space="preserve">The PBAC considered that the financial impact of listing the combination treatment was highly uncertain, with the original submission estimating a </w:t>
      </w:r>
      <w:r w:rsidR="00507063">
        <w:rPr>
          <w:szCs w:val="22"/>
        </w:rPr>
        <w:t>net c</w:t>
      </w:r>
      <w:r>
        <w:rPr>
          <w:szCs w:val="22"/>
        </w:rPr>
        <w:t>ost to</w:t>
      </w:r>
      <w:r w:rsidR="00507063">
        <w:rPr>
          <w:szCs w:val="22"/>
        </w:rPr>
        <w:t xml:space="preserve"> the health budget</w:t>
      </w:r>
      <w:r>
        <w:rPr>
          <w:szCs w:val="22"/>
        </w:rPr>
        <w:t xml:space="preserve"> of over</w:t>
      </w:r>
      <w:r w:rsidR="003B0B78">
        <w:rPr>
          <w:szCs w:val="22"/>
        </w:rPr>
        <w:t xml:space="preserve"> </w:t>
      </w:r>
      <w:r w:rsidR="003B0B78" w:rsidRPr="003B0B78">
        <w:rPr>
          <w:szCs w:val="22"/>
        </w:rPr>
        <w:t xml:space="preserve">$30 – $60 </w:t>
      </w:r>
      <w:r>
        <w:rPr>
          <w:szCs w:val="22"/>
        </w:rPr>
        <w:t xml:space="preserve">million per annum, </w:t>
      </w:r>
      <w:r w:rsidR="00507063">
        <w:rPr>
          <w:szCs w:val="22"/>
        </w:rPr>
        <w:t>and</w:t>
      </w:r>
      <w:r>
        <w:rPr>
          <w:szCs w:val="22"/>
        </w:rPr>
        <w:t xml:space="preserve"> the revised Section E estimating over </w:t>
      </w:r>
      <w:r w:rsidR="003B0B78" w:rsidRPr="003B48BA">
        <w:rPr>
          <w:rFonts w:cs="Times New Roman"/>
          <w:i/>
          <w:szCs w:val="24"/>
        </w:rPr>
        <w:t>$</w:t>
      </w:r>
      <w:r w:rsidR="003B0B78" w:rsidRPr="003B0B78">
        <w:rPr>
          <w:rFonts w:cs="Times New Roman"/>
          <w:szCs w:val="24"/>
        </w:rPr>
        <w:t>60 – $100 million</w:t>
      </w:r>
      <w:r w:rsidR="003B0B78" w:rsidRPr="003B48BA">
        <w:rPr>
          <w:rFonts w:cs="Times New Roman"/>
          <w:i/>
          <w:szCs w:val="24"/>
        </w:rPr>
        <w:t xml:space="preserve"> </w:t>
      </w:r>
      <w:r w:rsidR="008C4EEB">
        <w:rPr>
          <w:szCs w:val="22"/>
        </w:rPr>
        <w:t>per annum</w:t>
      </w:r>
      <w:bookmarkStart w:id="16" w:name="_GoBack"/>
      <w:bookmarkEnd w:id="16"/>
      <w:r w:rsidR="008C4EEB">
        <w:rPr>
          <w:szCs w:val="22"/>
        </w:rPr>
        <w:t>.</w:t>
      </w:r>
      <w:r w:rsidR="00CD268F">
        <w:rPr>
          <w:szCs w:val="22"/>
        </w:rPr>
        <w:t xml:space="preserve"> The cost per patient was also uncertain due to the parallel submission affecting the cost of </w:t>
      </w:r>
      <w:proofErr w:type="spellStart"/>
      <w:r w:rsidR="00CD268F">
        <w:rPr>
          <w:szCs w:val="22"/>
        </w:rPr>
        <w:t>nivolumab</w:t>
      </w:r>
      <w:proofErr w:type="spellEnd"/>
      <w:r w:rsidR="00CD268F">
        <w:rPr>
          <w:szCs w:val="22"/>
        </w:rPr>
        <w:t>.</w:t>
      </w:r>
    </w:p>
    <w:p w:rsidR="007724C9" w:rsidRPr="008C4EEB" w:rsidRDefault="007724C9" w:rsidP="008C4EEB">
      <w:pPr>
        <w:widowControl/>
        <w:rPr>
          <w:szCs w:val="22"/>
        </w:rPr>
      </w:pPr>
    </w:p>
    <w:p w:rsidR="00E751DD" w:rsidRPr="00E751DD" w:rsidRDefault="00E751DD" w:rsidP="00E751DD">
      <w:pPr>
        <w:pStyle w:val="ListParagraph"/>
        <w:widowControl/>
        <w:numPr>
          <w:ilvl w:val="1"/>
          <w:numId w:val="6"/>
        </w:numPr>
        <w:ind w:left="709" w:hanging="709"/>
        <w:rPr>
          <w:szCs w:val="22"/>
        </w:rPr>
      </w:pPr>
      <w:r>
        <w:rPr>
          <w:szCs w:val="22"/>
        </w:rPr>
        <w:t>The PBAC considered that any resubmission should be a major submission to allow for evaluation of an improved economic model and updated mature overall survival data.</w:t>
      </w:r>
    </w:p>
    <w:p w:rsidR="00C92C39" w:rsidRPr="008C4EEB" w:rsidRDefault="00C92C39" w:rsidP="008C4EEB">
      <w:pPr>
        <w:rPr>
          <w:bCs/>
          <w:szCs w:val="22"/>
          <w:lang w:val="en-GB"/>
        </w:rPr>
      </w:pPr>
    </w:p>
    <w:p w:rsidR="00C92936" w:rsidRPr="00C92936" w:rsidRDefault="00C92936" w:rsidP="00C92936">
      <w:pPr>
        <w:pStyle w:val="ListParagraph"/>
        <w:widowControl/>
        <w:numPr>
          <w:ilvl w:val="1"/>
          <w:numId w:val="6"/>
        </w:numPr>
        <w:ind w:left="709" w:hanging="709"/>
        <w:rPr>
          <w:bCs/>
          <w:szCs w:val="22"/>
        </w:rPr>
      </w:pPr>
      <w:r w:rsidRPr="001D1949">
        <w:rPr>
          <w:szCs w:val="22"/>
        </w:rPr>
        <w:t>The PBAC noted that this submission is eligible for an Independent Review.</w:t>
      </w:r>
    </w:p>
    <w:p w:rsidR="00DC5D13" w:rsidRPr="006654AF" w:rsidRDefault="00DC5D13" w:rsidP="005519FE">
      <w:pPr>
        <w:rPr>
          <w:szCs w:val="22"/>
          <w:highlight w:val="yellow"/>
          <w:lang w:val="en-GB"/>
        </w:rPr>
      </w:pPr>
    </w:p>
    <w:p w:rsidR="00DC5D13" w:rsidRPr="008C4EEB" w:rsidRDefault="00DC5D13" w:rsidP="005519FE">
      <w:pPr>
        <w:rPr>
          <w:bCs/>
          <w:szCs w:val="22"/>
          <w:lang w:val="en-GB"/>
        </w:rPr>
      </w:pPr>
    </w:p>
    <w:p w:rsidR="00DC5D13" w:rsidRPr="006654AF" w:rsidRDefault="00DC5D13" w:rsidP="00AF0595">
      <w:pPr>
        <w:pStyle w:val="Heading2"/>
        <w:rPr>
          <w:lang w:val="en-GB"/>
        </w:rPr>
      </w:pPr>
      <w:r w:rsidRPr="006654AF">
        <w:rPr>
          <w:lang w:val="en-GB"/>
        </w:rPr>
        <w:t>Outcome:</w:t>
      </w:r>
    </w:p>
    <w:p w:rsidR="00DC5D13" w:rsidRDefault="00DC5D13" w:rsidP="005519FE">
      <w:pPr>
        <w:rPr>
          <w:bCs/>
          <w:szCs w:val="22"/>
          <w:lang w:val="en-GB"/>
        </w:rPr>
      </w:pPr>
      <w:r w:rsidRPr="006654AF">
        <w:rPr>
          <w:bCs/>
          <w:szCs w:val="22"/>
          <w:lang w:val="en-GB"/>
        </w:rPr>
        <w:t>Rejected</w:t>
      </w:r>
    </w:p>
    <w:p w:rsidR="00CE1C16" w:rsidRDefault="00CE1C16" w:rsidP="005519FE">
      <w:pPr>
        <w:rPr>
          <w:bCs/>
          <w:szCs w:val="22"/>
          <w:lang w:val="en-GB"/>
        </w:rPr>
      </w:pPr>
    </w:p>
    <w:p w:rsidR="00CE1C16" w:rsidRPr="0009229E" w:rsidRDefault="00CE1C16" w:rsidP="00CE1C16">
      <w:pPr>
        <w:rPr>
          <w:bCs/>
          <w:szCs w:val="22"/>
        </w:rPr>
      </w:pPr>
    </w:p>
    <w:p w:rsidR="00CE1C16" w:rsidRDefault="00CE1C16" w:rsidP="00AF0595">
      <w:pPr>
        <w:pStyle w:val="PBACHeading1"/>
        <w:rPr>
          <w:rFonts w:eastAsia="SimSun"/>
        </w:rPr>
      </w:pPr>
      <w:r>
        <w:rPr>
          <w:rFonts w:eastAsia="SimSun"/>
        </w:rPr>
        <w:t>Context for Decision</w:t>
      </w:r>
    </w:p>
    <w:p w:rsidR="00CE1C16" w:rsidRDefault="00CE1C16" w:rsidP="00CE1C16">
      <w:pPr>
        <w:ind w:left="720"/>
        <w:contextualSpacing/>
        <w:rPr>
          <w:b/>
        </w:rPr>
      </w:pPr>
    </w:p>
    <w:p w:rsidR="00CE1C16" w:rsidRDefault="00CE1C16" w:rsidP="00CE1C16">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E1C16" w:rsidRDefault="00CE1C16" w:rsidP="00CE1C16"/>
    <w:p w:rsidR="00CE1C16" w:rsidRDefault="00CE1C16" w:rsidP="00AF0595">
      <w:pPr>
        <w:pStyle w:val="PBACHeading1"/>
        <w:rPr>
          <w:rFonts w:eastAsia="SimSun"/>
        </w:rPr>
      </w:pPr>
      <w:r>
        <w:rPr>
          <w:rFonts w:eastAsia="SimSun"/>
        </w:rPr>
        <w:t>Sponsor’s Comment</w:t>
      </w:r>
    </w:p>
    <w:p w:rsidR="00CE1C16" w:rsidRDefault="00CE1C16" w:rsidP="00CE1C16">
      <w:pPr>
        <w:tabs>
          <w:tab w:val="left" w:pos="2940"/>
        </w:tabs>
        <w:rPr>
          <w:szCs w:val="22"/>
        </w:rPr>
      </w:pPr>
    </w:p>
    <w:p w:rsidR="00CE1C16" w:rsidRPr="001C4266" w:rsidRDefault="00622152" w:rsidP="00622152">
      <w:pPr>
        <w:ind w:left="720"/>
        <w:rPr>
          <w:bCs/>
          <w:szCs w:val="22"/>
          <w:lang w:val="en-GB"/>
        </w:rPr>
      </w:pPr>
      <w:r>
        <w:rPr>
          <w:bCs/>
          <w:szCs w:val="22"/>
          <w:lang w:val="en-GB"/>
        </w:rPr>
        <w:t xml:space="preserve">While disappointed with the PBAC decision, the sponsor is working proactively with all relevant stakeholders in an effort to ensure timely PBS listing of </w:t>
      </w:r>
      <w:proofErr w:type="spellStart"/>
      <w:r>
        <w:rPr>
          <w:bCs/>
          <w:szCs w:val="22"/>
          <w:lang w:val="en-GB"/>
        </w:rPr>
        <w:t>nivolumab</w:t>
      </w:r>
      <w:proofErr w:type="spellEnd"/>
      <w:r>
        <w:rPr>
          <w:bCs/>
          <w:szCs w:val="22"/>
          <w:lang w:val="en-GB"/>
        </w:rPr>
        <w:t xml:space="preserve"> + </w:t>
      </w:r>
      <w:proofErr w:type="spellStart"/>
      <w:r>
        <w:rPr>
          <w:bCs/>
          <w:szCs w:val="22"/>
          <w:lang w:val="en-GB"/>
        </w:rPr>
        <w:t>ipilimumab</w:t>
      </w:r>
      <w:proofErr w:type="spellEnd"/>
      <w:r>
        <w:rPr>
          <w:bCs/>
          <w:szCs w:val="22"/>
          <w:lang w:val="en-GB"/>
        </w:rPr>
        <w:t xml:space="preserve"> combination therapy for Australian patients with metastatic melanoma.</w:t>
      </w:r>
    </w:p>
    <w:sectPr w:rsidR="00CE1C16" w:rsidRPr="001C4266" w:rsidSect="00E21358">
      <w:headerReference w:type="default" r:id="rId9"/>
      <w:footerReference w:type="default" r:id="rId10"/>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0E65B2" w15:done="0"/>
  <w15:commentEx w15:paraId="4D466E3A" w15:done="0"/>
  <w15:commentEx w15:paraId="6A4C78D1" w15:done="0"/>
  <w15:commentEx w15:paraId="7520FA65" w15:done="0"/>
  <w15:commentEx w15:paraId="32D6DD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EBB" w:rsidRDefault="00140EBB" w:rsidP="00124A51">
      <w:r>
        <w:separator/>
      </w:r>
    </w:p>
  </w:endnote>
  <w:endnote w:type="continuationSeparator" w:id="0">
    <w:p w:rsidR="00140EBB" w:rsidRDefault="00140EBB"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233136"/>
      <w:docPartObj>
        <w:docPartGallery w:val="Page Numbers (Bottom of Page)"/>
        <w:docPartUnique/>
      </w:docPartObj>
    </w:sdtPr>
    <w:sdtEndPr>
      <w:rPr>
        <w:noProof/>
      </w:rPr>
    </w:sdtEndPr>
    <w:sdtContent>
      <w:p w:rsidR="00B55ABE" w:rsidRDefault="00B55ABE">
        <w:pPr>
          <w:pStyle w:val="Footer"/>
          <w:jc w:val="center"/>
        </w:pPr>
      </w:p>
      <w:p w:rsidR="00B55ABE" w:rsidRDefault="00B55ABE" w:rsidP="002F37FB">
        <w:pPr>
          <w:pStyle w:val="Footer"/>
          <w:jc w:val="center"/>
        </w:pPr>
        <w:r>
          <w:fldChar w:fldCharType="begin"/>
        </w:r>
        <w:r>
          <w:instrText xml:space="preserve"> PAGE   \* MERGEFORMAT </w:instrText>
        </w:r>
        <w:r>
          <w:fldChar w:fldCharType="separate"/>
        </w:r>
        <w:r w:rsidR="00845279">
          <w:rPr>
            <w:noProof/>
          </w:rPr>
          <w:t>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EBB" w:rsidRDefault="00140EBB" w:rsidP="00124A51">
      <w:r>
        <w:separator/>
      </w:r>
    </w:p>
  </w:footnote>
  <w:footnote w:type="continuationSeparator" w:id="0">
    <w:p w:rsidR="00140EBB" w:rsidRDefault="00140EBB"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BE" w:rsidRPr="00DF217D" w:rsidRDefault="00B55ABE" w:rsidP="00CE1C16">
    <w:pPr>
      <w:pStyle w:val="Header"/>
      <w:ind w:left="360"/>
      <w:jc w:val="center"/>
      <w:rPr>
        <w:i/>
        <w:color w:val="808080"/>
      </w:rPr>
    </w:pPr>
    <w:r w:rsidRPr="00E810C7">
      <w:rPr>
        <w:i/>
        <w:color w:val="808080"/>
        <w:szCs w:val="22"/>
      </w:rPr>
      <w:t>Public Summary Document –</w:t>
    </w:r>
    <w:r w:rsidRPr="00DF217D">
      <w:rPr>
        <w:i/>
        <w:color w:val="808080"/>
      </w:rPr>
      <w:t xml:space="preserve"> </w:t>
    </w:r>
    <w:r>
      <w:rPr>
        <w:i/>
        <w:color w:val="808080"/>
      </w:rPr>
      <w:t xml:space="preserve">November 2015 </w:t>
    </w:r>
    <w:r w:rsidRPr="00DF217D">
      <w:rPr>
        <w:i/>
        <w:color w:val="808080"/>
      </w:rPr>
      <w:t>PBAC</w:t>
    </w:r>
    <w:r>
      <w:rPr>
        <w:i/>
        <w:color w:val="808080"/>
      </w:rPr>
      <w:t xml:space="preserve"> </w:t>
    </w:r>
    <w:r w:rsidRPr="00DF217D">
      <w:rPr>
        <w:i/>
        <w:color w:val="808080"/>
      </w:rPr>
      <w:t>Meeting</w:t>
    </w:r>
  </w:p>
  <w:p w:rsidR="00B55ABE" w:rsidRDefault="00B55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92A62"/>
    <w:multiLevelType w:val="hybridMultilevel"/>
    <w:tmpl w:val="515A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3359B"/>
    <w:multiLevelType w:val="multilevel"/>
    <w:tmpl w:val="73B6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82724"/>
    <w:multiLevelType w:val="hybridMultilevel"/>
    <w:tmpl w:val="B3D4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54E35"/>
    <w:multiLevelType w:val="hybridMultilevel"/>
    <w:tmpl w:val="091E136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
    <w:nsid w:val="0D582986"/>
    <w:multiLevelType w:val="hybridMultilevel"/>
    <w:tmpl w:val="71842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9443D1"/>
    <w:multiLevelType w:val="hybridMultilevel"/>
    <w:tmpl w:val="DD5E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75B8A"/>
    <w:multiLevelType w:val="hybridMultilevel"/>
    <w:tmpl w:val="2CFE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06F15"/>
    <w:multiLevelType w:val="hybridMultilevel"/>
    <w:tmpl w:val="81B0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D30FA"/>
    <w:multiLevelType w:val="multilevel"/>
    <w:tmpl w:val="621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016CBF"/>
    <w:multiLevelType w:val="hybridMultilevel"/>
    <w:tmpl w:val="79D09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2E24CE"/>
    <w:multiLevelType w:val="hybridMultilevel"/>
    <w:tmpl w:val="7C986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5863A2"/>
    <w:multiLevelType w:val="hybridMultilevel"/>
    <w:tmpl w:val="7A2C61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E41556"/>
    <w:multiLevelType w:val="hybridMultilevel"/>
    <w:tmpl w:val="6C64D88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4">
    <w:nsid w:val="20D259FB"/>
    <w:multiLevelType w:val="hybridMultilevel"/>
    <w:tmpl w:val="683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185AC8"/>
    <w:multiLevelType w:val="hybridMultilevel"/>
    <w:tmpl w:val="06DA5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7B7FCD"/>
    <w:multiLevelType w:val="hybridMultilevel"/>
    <w:tmpl w:val="94CE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C50CF1"/>
    <w:multiLevelType w:val="hybridMultilevel"/>
    <w:tmpl w:val="5954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1F69D9"/>
    <w:multiLevelType w:val="hybridMultilevel"/>
    <w:tmpl w:val="0378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20">
    <w:nsid w:val="294D3530"/>
    <w:multiLevelType w:val="hybridMultilevel"/>
    <w:tmpl w:val="85AE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397642"/>
    <w:multiLevelType w:val="hybridMultilevel"/>
    <w:tmpl w:val="0E9A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8740DF"/>
    <w:multiLevelType w:val="hybridMultilevel"/>
    <w:tmpl w:val="76A4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87272B"/>
    <w:multiLevelType w:val="hybridMultilevel"/>
    <w:tmpl w:val="8B0A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BF0A66"/>
    <w:multiLevelType w:val="hybridMultilevel"/>
    <w:tmpl w:val="3A461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366E98"/>
    <w:multiLevelType w:val="hybridMultilevel"/>
    <w:tmpl w:val="01B6DB3A"/>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6">
    <w:nsid w:val="3BC47D05"/>
    <w:multiLevelType w:val="hybridMultilevel"/>
    <w:tmpl w:val="D9B0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F6547F"/>
    <w:multiLevelType w:val="hybridMultilevel"/>
    <w:tmpl w:val="A88A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9">
    <w:nsid w:val="3FA276E9"/>
    <w:multiLevelType w:val="hybridMultilevel"/>
    <w:tmpl w:val="1F042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9062B1"/>
    <w:multiLevelType w:val="hybridMultilevel"/>
    <w:tmpl w:val="A44A43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6E754AC"/>
    <w:multiLevelType w:val="hybridMultilevel"/>
    <w:tmpl w:val="2298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374B3B"/>
    <w:multiLevelType w:val="hybridMultilevel"/>
    <w:tmpl w:val="B744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B6567A"/>
    <w:multiLevelType w:val="hybridMultilevel"/>
    <w:tmpl w:val="B3ECF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FA7FB3"/>
    <w:multiLevelType w:val="hybridMultilevel"/>
    <w:tmpl w:val="B5FA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7F4F0C"/>
    <w:multiLevelType w:val="hybridMultilevel"/>
    <w:tmpl w:val="8B2C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7">
    <w:nsid w:val="4B70470B"/>
    <w:multiLevelType w:val="hybridMultilevel"/>
    <w:tmpl w:val="7798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175908"/>
    <w:multiLevelType w:val="hybridMultilevel"/>
    <w:tmpl w:val="8BBA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F816A7"/>
    <w:multiLevelType w:val="hybridMultilevel"/>
    <w:tmpl w:val="06148C7E"/>
    <w:lvl w:ilvl="0" w:tplc="F488CFD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4DA20062"/>
    <w:multiLevelType w:val="hybridMultilevel"/>
    <w:tmpl w:val="D172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4F04E8"/>
    <w:multiLevelType w:val="hybridMultilevel"/>
    <w:tmpl w:val="F086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45C0F82"/>
    <w:multiLevelType w:val="hybridMultilevel"/>
    <w:tmpl w:val="22A4373A"/>
    <w:lvl w:ilvl="0" w:tplc="858E09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943B68"/>
    <w:multiLevelType w:val="hybridMultilevel"/>
    <w:tmpl w:val="9766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AB3872"/>
    <w:multiLevelType w:val="hybridMultilevel"/>
    <w:tmpl w:val="47D6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587DEE"/>
    <w:multiLevelType w:val="hybridMultilevel"/>
    <w:tmpl w:val="DFE4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C8939AA"/>
    <w:multiLevelType w:val="hybridMultilevel"/>
    <w:tmpl w:val="CA40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C9927D7"/>
    <w:multiLevelType w:val="hybridMultilevel"/>
    <w:tmpl w:val="21B2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CF02914"/>
    <w:multiLevelType w:val="hybridMultilevel"/>
    <w:tmpl w:val="1D4C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070620D"/>
    <w:multiLevelType w:val="hybridMultilevel"/>
    <w:tmpl w:val="A00C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11D58ED"/>
    <w:multiLevelType w:val="hybridMultilevel"/>
    <w:tmpl w:val="78D29974"/>
    <w:lvl w:ilvl="0" w:tplc="0C090001">
      <w:start w:val="1"/>
      <w:numFmt w:val="bullet"/>
      <w:lvlText w:val=""/>
      <w:lvlJc w:val="left"/>
      <w:pPr>
        <w:ind w:left="1146" w:hanging="360"/>
      </w:pPr>
      <w:rPr>
        <w:rFonts w:ascii="Symbol" w:hAnsi="Symbol"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2">
    <w:nsid w:val="62F05DA3"/>
    <w:multiLevelType w:val="hybridMultilevel"/>
    <w:tmpl w:val="1940092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3">
    <w:nsid w:val="689160BF"/>
    <w:multiLevelType w:val="hybridMultilevel"/>
    <w:tmpl w:val="7F42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B090196"/>
    <w:multiLevelType w:val="hybridMultilevel"/>
    <w:tmpl w:val="1F50C210"/>
    <w:lvl w:ilvl="0" w:tplc="858E0998">
      <w:start w:val="1"/>
      <w:numFmt w:val="bullet"/>
      <w:lvlText w:val="-"/>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9C059E"/>
    <w:multiLevelType w:val="hybridMultilevel"/>
    <w:tmpl w:val="90A8190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nsid w:val="6CE301E9"/>
    <w:multiLevelType w:val="hybridMultilevel"/>
    <w:tmpl w:val="1052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DEA7CCB"/>
    <w:multiLevelType w:val="hybridMultilevel"/>
    <w:tmpl w:val="90A8190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nsid w:val="6E2A03C4"/>
    <w:multiLevelType w:val="hybridMultilevel"/>
    <w:tmpl w:val="39DE8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F56B33"/>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0">
    <w:nsid w:val="6F2B15EB"/>
    <w:multiLevelType w:val="hybridMultilevel"/>
    <w:tmpl w:val="A4ECA2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1">
    <w:nsid w:val="6FEF78C9"/>
    <w:multiLevelType w:val="hybridMultilevel"/>
    <w:tmpl w:val="23A85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01111A2"/>
    <w:multiLevelType w:val="hybridMultilevel"/>
    <w:tmpl w:val="4144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20D3B54"/>
    <w:multiLevelType w:val="hybridMultilevel"/>
    <w:tmpl w:val="9BDCB36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3EA32F3"/>
    <w:multiLevelType w:val="hybridMultilevel"/>
    <w:tmpl w:val="5BAA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3EE4877"/>
    <w:multiLevelType w:val="hybridMultilevel"/>
    <w:tmpl w:val="9FA4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52979C8"/>
    <w:multiLevelType w:val="hybridMultilevel"/>
    <w:tmpl w:val="92E85846"/>
    <w:lvl w:ilvl="0" w:tplc="858E09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84D033C"/>
    <w:multiLevelType w:val="multilevel"/>
    <w:tmpl w:val="EADEFD6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7C0100A2"/>
    <w:multiLevelType w:val="hybridMultilevel"/>
    <w:tmpl w:val="071AD47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7D2D04D4"/>
    <w:multiLevelType w:val="hybridMultilevel"/>
    <w:tmpl w:val="B77CC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DE75815"/>
    <w:multiLevelType w:val="hybridMultilevel"/>
    <w:tmpl w:val="C1B4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E7D5ADB"/>
    <w:multiLevelType w:val="hybridMultilevel"/>
    <w:tmpl w:val="8C7E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EBA7D19"/>
    <w:multiLevelType w:val="hybridMultilevel"/>
    <w:tmpl w:val="F338456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73">
    <w:nsid w:val="7EF66C89"/>
    <w:multiLevelType w:val="hybridMultilevel"/>
    <w:tmpl w:val="412A5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9"/>
  </w:num>
  <w:num w:numId="2">
    <w:abstractNumId w:val="28"/>
  </w:num>
  <w:num w:numId="3">
    <w:abstractNumId w:val="19"/>
  </w:num>
  <w:num w:numId="4">
    <w:abstractNumId w:val="36"/>
  </w:num>
  <w:num w:numId="5">
    <w:abstractNumId w:val="0"/>
  </w:num>
  <w:num w:numId="6">
    <w:abstractNumId w:val="67"/>
  </w:num>
  <w:num w:numId="7">
    <w:abstractNumId w:val="71"/>
  </w:num>
  <w:num w:numId="8">
    <w:abstractNumId w:val="56"/>
  </w:num>
  <w:num w:numId="9">
    <w:abstractNumId w:val="29"/>
  </w:num>
  <w:num w:numId="10">
    <w:abstractNumId w:val="21"/>
  </w:num>
  <w:num w:numId="11">
    <w:abstractNumId w:val="34"/>
  </w:num>
  <w:num w:numId="12">
    <w:abstractNumId w:val="38"/>
  </w:num>
  <w:num w:numId="13">
    <w:abstractNumId w:val="65"/>
  </w:num>
  <w:num w:numId="14">
    <w:abstractNumId w:val="52"/>
  </w:num>
  <w:num w:numId="15">
    <w:abstractNumId w:val="27"/>
  </w:num>
  <w:num w:numId="16">
    <w:abstractNumId w:val="60"/>
  </w:num>
  <w:num w:numId="17">
    <w:abstractNumId w:val="16"/>
  </w:num>
  <w:num w:numId="18">
    <w:abstractNumId w:val="64"/>
  </w:num>
  <w:num w:numId="19">
    <w:abstractNumId w:val="37"/>
  </w:num>
  <w:num w:numId="20">
    <w:abstractNumId w:val="22"/>
  </w:num>
  <w:num w:numId="21">
    <w:abstractNumId w:val="59"/>
  </w:num>
  <w:num w:numId="22">
    <w:abstractNumId w:val="7"/>
  </w:num>
  <w:num w:numId="23">
    <w:abstractNumId w:val="1"/>
  </w:num>
  <w:num w:numId="24">
    <w:abstractNumId w:val="6"/>
  </w:num>
  <w:num w:numId="25">
    <w:abstractNumId w:val="10"/>
  </w:num>
  <w:num w:numId="26">
    <w:abstractNumId w:val="40"/>
  </w:num>
  <w:num w:numId="27">
    <w:abstractNumId w:val="72"/>
  </w:num>
  <w:num w:numId="28">
    <w:abstractNumId w:val="69"/>
  </w:num>
  <w:num w:numId="29">
    <w:abstractNumId w:val="17"/>
  </w:num>
  <w:num w:numId="30">
    <w:abstractNumId w:val="13"/>
  </w:num>
  <w:num w:numId="31">
    <w:abstractNumId w:val="14"/>
  </w:num>
  <w:num w:numId="32">
    <w:abstractNumId w:val="70"/>
  </w:num>
  <w:num w:numId="33">
    <w:abstractNumId w:val="18"/>
  </w:num>
  <w:num w:numId="34">
    <w:abstractNumId w:val="23"/>
  </w:num>
  <w:num w:numId="35">
    <w:abstractNumId w:val="47"/>
  </w:num>
  <w:num w:numId="36">
    <w:abstractNumId w:val="62"/>
  </w:num>
  <w:num w:numId="37">
    <w:abstractNumId w:val="44"/>
  </w:num>
  <w:num w:numId="38">
    <w:abstractNumId w:val="58"/>
  </w:num>
  <w:num w:numId="39">
    <w:abstractNumId w:val="11"/>
  </w:num>
  <w:num w:numId="40">
    <w:abstractNumId w:val="15"/>
  </w:num>
  <w:num w:numId="41">
    <w:abstractNumId w:val="46"/>
  </w:num>
  <w:num w:numId="42">
    <w:abstractNumId w:val="3"/>
  </w:num>
  <w:num w:numId="43">
    <w:abstractNumId w:val="45"/>
  </w:num>
  <w:num w:numId="44">
    <w:abstractNumId w:val="61"/>
  </w:num>
  <w:num w:numId="45">
    <w:abstractNumId w:val="8"/>
  </w:num>
  <w:num w:numId="46">
    <w:abstractNumId w:val="32"/>
  </w:num>
  <w:num w:numId="47">
    <w:abstractNumId w:val="43"/>
  </w:num>
  <w:num w:numId="48">
    <w:abstractNumId w:val="39"/>
  </w:num>
  <w:num w:numId="49">
    <w:abstractNumId w:val="4"/>
  </w:num>
  <w:num w:numId="50">
    <w:abstractNumId w:val="24"/>
  </w:num>
  <w:num w:numId="51">
    <w:abstractNumId w:val="53"/>
  </w:num>
  <w:num w:numId="52">
    <w:abstractNumId w:val="33"/>
  </w:num>
  <w:num w:numId="53">
    <w:abstractNumId w:val="48"/>
  </w:num>
  <w:num w:numId="54">
    <w:abstractNumId w:val="31"/>
  </w:num>
  <w:num w:numId="55">
    <w:abstractNumId w:val="50"/>
  </w:num>
  <w:num w:numId="56">
    <w:abstractNumId w:val="73"/>
  </w:num>
  <w:num w:numId="57">
    <w:abstractNumId w:val="5"/>
  </w:num>
  <w:num w:numId="58">
    <w:abstractNumId w:val="63"/>
  </w:num>
  <w:num w:numId="59">
    <w:abstractNumId w:val="20"/>
  </w:num>
  <w:num w:numId="60">
    <w:abstractNumId w:val="35"/>
  </w:num>
  <w:num w:numId="61">
    <w:abstractNumId w:val="41"/>
  </w:num>
  <w:num w:numId="62">
    <w:abstractNumId w:val="26"/>
  </w:num>
  <w:num w:numId="63">
    <w:abstractNumId w:val="68"/>
  </w:num>
  <w:num w:numId="64">
    <w:abstractNumId w:val="67"/>
  </w:num>
  <w:num w:numId="65">
    <w:abstractNumId w:val="54"/>
  </w:num>
  <w:num w:numId="66">
    <w:abstractNumId w:val="66"/>
  </w:num>
  <w:num w:numId="67">
    <w:abstractNumId w:val="42"/>
  </w:num>
  <w:num w:numId="68">
    <w:abstractNumId w:val="30"/>
  </w:num>
  <w:num w:numId="69">
    <w:abstractNumId w:val="57"/>
  </w:num>
  <w:num w:numId="70">
    <w:abstractNumId w:val="55"/>
  </w:num>
  <w:num w:numId="71">
    <w:abstractNumId w:val="67"/>
  </w:num>
  <w:num w:numId="72">
    <w:abstractNumId w:val="12"/>
  </w:num>
  <w:num w:numId="7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num>
  <w:num w:numId="75">
    <w:abstractNumId w:val="51"/>
  </w:num>
  <w:num w:numId="76">
    <w:abstractNumId w:val="2"/>
  </w:num>
  <w:num w:numId="77">
    <w:abstractNumId w:val="9"/>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374"/>
    <w:rsid w:val="00000790"/>
    <w:rsid w:val="00000992"/>
    <w:rsid w:val="0000110B"/>
    <w:rsid w:val="0000167F"/>
    <w:rsid w:val="00003499"/>
    <w:rsid w:val="00005302"/>
    <w:rsid w:val="00007592"/>
    <w:rsid w:val="00010580"/>
    <w:rsid w:val="00013247"/>
    <w:rsid w:val="00015886"/>
    <w:rsid w:val="000162EF"/>
    <w:rsid w:val="00017DDA"/>
    <w:rsid w:val="000207AD"/>
    <w:rsid w:val="00020A6F"/>
    <w:rsid w:val="0002225F"/>
    <w:rsid w:val="00023763"/>
    <w:rsid w:val="00023865"/>
    <w:rsid w:val="00024C6E"/>
    <w:rsid w:val="0002719D"/>
    <w:rsid w:val="0003065E"/>
    <w:rsid w:val="000332F4"/>
    <w:rsid w:val="00033379"/>
    <w:rsid w:val="00033B07"/>
    <w:rsid w:val="00033E1F"/>
    <w:rsid w:val="00035DE8"/>
    <w:rsid w:val="00040393"/>
    <w:rsid w:val="00040895"/>
    <w:rsid w:val="00043702"/>
    <w:rsid w:val="00043C37"/>
    <w:rsid w:val="000464D8"/>
    <w:rsid w:val="00050BD9"/>
    <w:rsid w:val="0005153E"/>
    <w:rsid w:val="0005226B"/>
    <w:rsid w:val="000546D7"/>
    <w:rsid w:val="00057C71"/>
    <w:rsid w:val="00060306"/>
    <w:rsid w:val="0006044F"/>
    <w:rsid w:val="00064369"/>
    <w:rsid w:val="000679F0"/>
    <w:rsid w:val="00071248"/>
    <w:rsid w:val="000720B9"/>
    <w:rsid w:val="00074A4D"/>
    <w:rsid w:val="0007595D"/>
    <w:rsid w:val="000774CA"/>
    <w:rsid w:val="000812CA"/>
    <w:rsid w:val="000815B2"/>
    <w:rsid w:val="000822DE"/>
    <w:rsid w:val="000862BA"/>
    <w:rsid w:val="00090C7E"/>
    <w:rsid w:val="000922A5"/>
    <w:rsid w:val="00094BFA"/>
    <w:rsid w:val="000A4DB6"/>
    <w:rsid w:val="000A651F"/>
    <w:rsid w:val="000B233C"/>
    <w:rsid w:val="000B4803"/>
    <w:rsid w:val="000B5362"/>
    <w:rsid w:val="000B562F"/>
    <w:rsid w:val="000B72CA"/>
    <w:rsid w:val="000C1163"/>
    <w:rsid w:val="000D1BFC"/>
    <w:rsid w:val="000D3150"/>
    <w:rsid w:val="000D3F16"/>
    <w:rsid w:val="000D43ED"/>
    <w:rsid w:val="000D4773"/>
    <w:rsid w:val="000D5027"/>
    <w:rsid w:val="000D509E"/>
    <w:rsid w:val="000D76CB"/>
    <w:rsid w:val="000D78DD"/>
    <w:rsid w:val="000E0710"/>
    <w:rsid w:val="000E1C59"/>
    <w:rsid w:val="000E35FC"/>
    <w:rsid w:val="000E473D"/>
    <w:rsid w:val="000F0453"/>
    <w:rsid w:val="000F0FAF"/>
    <w:rsid w:val="000F24C6"/>
    <w:rsid w:val="000F4A80"/>
    <w:rsid w:val="000F4BB8"/>
    <w:rsid w:val="000F7127"/>
    <w:rsid w:val="000F726C"/>
    <w:rsid w:val="00100F8A"/>
    <w:rsid w:val="00101CE9"/>
    <w:rsid w:val="00101D0B"/>
    <w:rsid w:val="0010438B"/>
    <w:rsid w:val="00104C87"/>
    <w:rsid w:val="00106DD7"/>
    <w:rsid w:val="00107721"/>
    <w:rsid w:val="0011032E"/>
    <w:rsid w:val="00110635"/>
    <w:rsid w:val="0011348B"/>
    <w:rsid w:val="00114D1B"/>
    <w:rsid w:val="001159B3"/>
    <w:rsid w:val="00115CC6"/>
    <w:rsid w:val="00116CFE"/>
    <w:rsid w:val="00121799"/>
    <w:rsid w:val="00121A41"/>
    <w:rsid w:val="001222FC"/>
    <w:rsid w:val="00122C40"/>
    <w:rsid w:val="00124A51"/>
    <w:rsid w:val="00124B44"/>
    <w:rsid w:val="0012558D"/>
    <w:rsid w:val="001264F2"/>
    <w:rsid w:val="00126621"/>
    <w:rsid w:val="00126EBF"/>
    <w:rsid w:val="00127DF3"/>
    <w:rsid w:val="001301E9"/>
    <w:rsid w:val="00132D49"/>
    <w:rsid w:val="00134E87"/>
    <w:rsid w:val="00137645"/>
    <w:rsid w:val="0014015A"/>
    <w:rsid w:val="00140E99"/>
    <w:rsid w:val="00140EBB"/>
    <w:rsid w:val="001427D7"/>
    <w:rsid w:val="00144D6E"/>
    <w:rsid w:val="00145540"/>
    <w:rsid w:val="001456B0"/>
    <w:rsid w:val="00150466"/>
    <w:rsid w:val="0015116A"/>
    <w:rsid w:val="00151ED9"/>
    <w:rsid w:val="00153F4C"/>
    <w:rsid w:val="00155865"/>
    <w:rsid w:val="00155CE2"/>
    <w:rsid w:val="00157130"/>
    <w:rsid w:val="00157456"/>
    <w:rsid w:val="001620BA"/>
    <w:rsid w:val="00162913"/>
    <w:rsid w:val="001631D1"/>
    <w:rsid w:val="001634C4"/>
    <w:rsid w:val="00163EFF"/>
    <w:rsid w:val="001650CD"/>
    <w:rsid w:val="001661FB"/>
    <w:rsid w:val="001723C8"/>
    <w:rsid w:val="00175576"/>
    <w:rsid w:val="00177675"/>
    <w:rsid w:val="001814D6"/>
    <w:rsid w:val="00183B9D"/>
    <w:rsid w:val="00185700"/>
    <w:rsid w:val="0018637E"/>
    <w:rsid w:val="0018752F"/>
    <w:rsid w:val="00187936"/>
    <w:rsid w:val="00193125"/>
    <w:rsid w:val="0019380A"/>
    <w:rsid w:val="00195222"/>
    <w:rsid w:val="00196383"/>
    <w:rsid w:val="00196897"/>
    <w:rsid w:val="00196DFB"/>
    <w:rsid w:val="00197464"/>
    <w:rsid w:val="001975D8"/>
    <w:rsid w:val="00197E81"/>
    <w:rsid w:val="001A1B92"/>
    <w:rsid w:val="001A40DE"/>
    <w:rsid w:val="001A4FF5"/>
    <w:rsid w:val="001A5B53"/>
    <w:rsid w:val="001B3443"/>
    <w:rsid w:val="001B383B"/>
    <w:rsid w:val="001B4C68"/>
    <w:rsid w:val="001B6AA7"/>
    <w:rsid w:val="001C00B2"/>
    <w:rsid w:val="001C3FAB"/>
    <w:rsid w:val="001C4266"/>
    <w:rsid w:val="001C6AE0"/>
    <w:rsid w:val="001C6E66"/>
    <w:rsid w:val="001D10E8"/>
    <w:rsid w:val="001D30A7"/>
    <w:rsid w:val="001D339E"/>
    <w:rsid w:val="001E0324"/>
    <w:rsid w:val="001E238E"/>
    <w:rsid w:val="001E2B1E"/>
    <w:rsid w:val="001E31F0"/>
    <w:rsid w:val="001E3B1B"/>
    <w:rsid w:val="001E4751"/>
    <w:rsid w:val="001E4B13"/>
    <w:rsid w:val="001E52EB"/>
    <w:rsid w:val="001E61B7"/>
    <w:rsid w:val="001E740C"/>
    <w:rsid w:val="001F0FB8"/>
    <w:rsid w:val="001F1235"/>
    <w:rsid w:val="001F1CB3"/>
    <w:rsid w:val="001F47B7"/>
    <w:rsid w:val="001F6128"/>
    <w:rsid w:val="001F7361"/>
    <w:rsid w:val="002005F2"/>
    <w:rsid w:val="002019B6"/>
    <w:rsid w:val="0020385F"/>
    <w:rsid w:val="00203863"/>
    <w:rsid w:val="00207021"/>
    <w:rsid w:val="00207D00"/>
    <w:rsid w:val="002105C1"/>
    <w:rsid w:val="0021434C"/>
    <w:rsid w:val="00217855"/>
    <w:rsid w:val="00217F1B"/>
    <w:rsid w:val="0022166D"/>
    <w:rsid w:val="00223B49"/>
    <w:rsid w:val="00223BB5"/>
    <w:rsid w:val="002242B5"/>
    <w:rsid w:val="00224DD4"/>
    <w:rsid w:val="002253DF"/>
    <w:rsid w:val="002265D9"/>
    <w:rsid w:val="00226C82"/>
    <w:rsid w:val="002309CC"/>
    <w:rsid w:val="00230F18"/>
    <w:rsid w:val="00231ADF"/>
    <w:rsid w:val="00232DBF"/>
    <w:rsid w:val="00232F6E"/>
    <w:rsid w:val="00233370"/>
    <w:rsid w:val="002364D9"/>
    <w:rsid w:val="002376BB"/>
    <w:rsid w:val="00237C4D"/>
    <w:rsid w:val="00240347"/>
    <w:rsid w:val="0024386B"/>
    <w:rsid w:val="00251F66"/>
    <w:rsid w:val="0025481C"/>
    <w:rsid w:val="00254DCF"/>
    <w:rsid w:val="0025534B"/>
    <w:rsid w:val="00255BB7"/>
    <w:rsid w:val="002569A7"/>
    <w:rsid w:val="00256E0E"/>
    <w:rsid w:val="0026178A"/>
    <w:rsid w:val="0026293F"/>
    <w:rsid w:val="00262A87"/>
    <w:rsid w:val="00262D8A"/>
    <w:rsid w:val="002654B9"/>
    <w:rsid w:val="00271CDF"/>
    <w:rsid w:val="00274675"/>
    <w:rsid w:val="00275C5A"/>
    <w:rsid w:val="00277286"/>
    <w:rsid w:val="00280396"/>
    <w:rsid w:val="0028100B"/>
    <w:rsid w:val="00281014"/>
    <w:rsid w:val="002827E5"/>
    <w:rsid w:val="0028290C"/>
    <w:rsid w:val="00282F38"/>
    <w:rsid w:val="002846FE"/>
    <w:rsid w:val="00284943"/>
    <w:rsid w:val="00286129"/>
    <w:rsid w:val="00286809"/>
    <w:rsid w:val="00290F46"/>
    <w:rsid w:val="00291643"/>
    <w:rsid w:val="002923CA"/>
    <w:rsid w:val="0029391F"/>
    <w:rsid w:val="00295170"/>
    <w:rsid w:val="00295BCB"/>
    <w:rsid w:val="0029738A"/>
    <w:rsid w:val="002A12C1"/>
    <w:rsid w:val="002A14AB"/>
    <w:rsid w:val="002A282C"/>
    <w:rsid w:val="002A38AE"/>
    <w:rsid w:val="002A3A4A"/>
    <w:rsid w:val="002A3E32"/>
    <w:rsid w:val="002A4D27"/>
    <w:rsid w:val="002A6455"/>
    <w:rsid w:val="002A6813"/>
    <w:rsid w:val="002A6B53"/>
    <w:rsid w:val="002B1420"/>
    <w:rsid w:val="002B1C1F"/>
    <w:rsid w:val="002B432F"/>
    <w:rsid w:val="002B6CCE"/>
    <w:rsid w:val="002B71CC"/>
    <w:rsid w:val="002C0085"/>
    <w:rsid w:val="002C053C"/>
    <w:rsid w:val="002C0E84"/>
    <w:rsid w:val="002C2775"/>
    <w:rsid w:val="002C27C1"/>
    <w:rsid w:val="002C7175"/>
    <w:rsid w:val="002C7223"/>
    <w:rsid w:val="002D1B09"/>
    <w:rsid w:val="002D5E5C"/>
    <w:rsid w:val="002E6C09"/>
    <w:rsid w:val="002F250A"/>
    <w:rsid w:val="002F367F"/>
    <w:rsid w:val="002F37FB"/>
    <w:rsid w:val="002F5438"/>
    <w:rsid w:val="002F6508"/>
    <w:rsid w:val="002F6BE5"/>
    <w:rsid w:val="002F7409"/>
    <w:rsid w:val="002F74A9"/>
    <w:rsid w:val="002F7B6C"/>
    <w:rsid w:val="00301017"/>
    <w:rsid w:val="00304834"/>
    <w:rsid w:val="00304B99"/>
    <w:rsid w:val="0030786C"/>
    <w:rsid w:val="0031031A"/>
    <w:rsid w:val="00310981"/>
    <w:rsid w:val="00314458"/>
    <w:rsid w:val="00315498"/>
    <w:rsid w:val="00315C27"/>
    <w:rsid w:val="003179BC"/>
    <w:rsid w:val="00320709"/>
    <w:rsid w:val="003209F2"/>
    <w:rsid w:val="003211B6"/>
    <w:rsid w:val="00321EE7"/>
    <w:rsid w:val="003229ED"/>
    <w:rsid w:val="003239E9"/>
    <w:rsid w:val="0033040B"/>
    <w:rsid w:val="00330814"/>
    <w:rsid w:val="00332963"/>
    <w:rsid w:val="00332A62"/>
    <w:rsid w:val="0033379D"/>
    <w:rsid w:val="003366C9"/>
    <w:rsid w:val="003371B0"/>
    <w:rsid w:val="00340237"/>
    <w:rsid w:val="00342F7A"/>
    <w:rsid w:val="0034603B"/>
    <w:rsid w:val="00346968"/>
    <w:rsid w:val="00346A00"/>
    <w:rsid w:val="00347E79"/>
    <w:rsid w:val="00350122"/>
    <w:rsid w:val="0035134F"/>
    <w:rsid w:val="003517C9"/>
    <w:rsid w:val="00351E5E"/>
    <w:rsid w:val="0035222F"/>
    <w:rsid w:val="00352652"/>
    <w:rsid w:val="00352BAB"/>
    <w:rsid w:val="0035620E"/>
    <w:rsid w:val="0036093B"/>
    <w:rsid w:val="003639D0"/>
    <w:rsid w:val="00367618"/>
    <w:rsid w:val="003702BD"/>
    <w:rsid w:val="003710E1"/>
    <w:rsid w:val="00372354"/>
    <w:rsid w:val="00372BCD"/>
    <w:rsid w:val="00372C30"/>
    <w:rsid w:val="00373DE7"/>
    <w:rsid w:val="00380262"/>
    <w:rsid w:val="00382A9E"/>
    <w:rsid w:val="00382B32"/>
    <w:rsid w:val="0038365C"/>
    <w:rsid w:val="00390F81"/>
    <w:rsid w:val="00392995"/>
    <w:rsid w:val="00392EF1"/>
    <w:rsid w:val="00394225"/>
    <w:rsid w:val="003947AF"/>
    <w:rsid w:val="00394937"/>
    <w:rsid w:val="00396FD0"/>
    <w:rsid w:val="00397393"/>
    <w:rsid w:val="0039788D"/>
    <w:rsid w:val="003A0F48"/>
    <w:rsid w:val="003A1234"/>
    <w:rsid w:val="003A17B0"/>
    <w:rsid w:val="003A1A7A"/>
    <w:rsid w:val="003A1C7E"/>
    <w:rsid w:val="003A33FC"/>
    <w:rsid w:val="003A59E4"/>
    <w:rsid w:val="003A5FC6"/>
    <w:rsid w:val="003B01E5"/>
    <w:rsid w:val="003B0B78"/>
    <w:rsid w:val="003B238F"/>
    <w:rsid w:val="003B4D96"/>
    <w:rsid w:val="003B5065"/>
    <w:rsid w:val="003B63B5"/>
    <w:rsid w:val="003C0410"/>
    <w:rsid w:val="003C0860"/>
    <w:rsid w:val="003C4354"/>
    <w:rsid w:val="003D1828"/>
    <w:rsid w:val="003D2422"/>
    <w:rsid w:val="003D2D41"/>
    <w:rsid w:val="003D533C"/>
    <w:rsid w:val="003D56B5"/>
    <w:rsid w:val="003D5B07"/>
    <w:rsid w:val="003D75A2"/>
    <w:rsid w:val="003E147C"/>
    <w:rsid w:val="003E2C40"/>
    <w:rsid w:val="003E592A"/>
    <w:rsid w:val="003F0422"/>
    <w:rsid w:val="003F0776"/>
    <w:rsid w:val="003F188D"/>
    <w:rsid w:val="003F4156"/>
    <w:rsid w:val="003F4638"/>
    <w:rsid w:val="003F4BC6"/>
    <w:rsid w:val="003F55C0"/>
    <w:rsid w:val="00402EEE"/>
    <w:rsid w:val="00404E06"/>
    <w:rsid w:val="004067CE"/>
    <w:rsid w:val="004076FC"/>
    <w:rsid w:val="00407BF9"/>
    <w:rsid w:val="00410708"/>
    <w:rsid w:val="00410EC7"/>
    <w:rsid w:val="0041254E"/>
    <w:rsid w:val="00412F7D"/>
    <w:rsid w:val="00414476"/>
    <w:rsid w:val="004178B2"/>
    <w:rsid w:val="0042080D"/>
    <w:rsid w:val="00420B9F"/>
    <w:rsid w:val="00420D4B"/>
    <w:rsid w:val="004232B0"/>
    <w:rsid w:val="00425C30"/>
    <w:rsid w:val="004319F8"/>
    <w:rsid w:val="00431C54"/>
    <w:rsid w:val="00432A07"/>
    <w:rsid w:val="00433044"/>
    <w:rsid w:val="004333AE"/>
    <w:rsid w:val="00435BD6"/>
    <w:rsid w:val="00435CF4"/>
    <w:rsid w:val="00437328"/>
    <w:rsid w:val="0044221F"/>
    <w:rsid w:val="004443A7"/>
    <w:rsid w:val="004464EB"/>
    <w:rsid w:val="00451A9B"/>
    <w:rsid w:val="004532C0"/>
    <w:rsid w:val="00455D45"/>
    <w:rsid w:val="00462325"/>
    <w:rsid w:val="00462CE9"/>
    <w:rsid w:val="00463315"/>
    <w:rsid w:val="00463685"/>
    <w:rsid w:val="00464595"/>
    <w:rsid w:val="004665ED"/>
    <w:rsid w:val="004724B7"/>
    <w:rsid w:val="00472C6E"/>
    <w:rsid w:val="00474982"/>
    <w:rsid w:val="004749B7"/>
    <w:rsid w:val="00476B56"/>
    <w:rsid w:val="00476BB9"/>
    <w:rsid w:val="00476C41"/>
    <w:rsid w:val="00484E10"/>
    <w:rsid w:val="004867E2"/>
    <w:rsid w:val="0048756C"/>
    <w:rsid w:val="00491851"/>
    <w:rsid w:val="00491B3A"/>
    <w:rsid w:val="00492A87"/>
    <w:rsid w:val="00492CFD"/>
    <w:rsid w:val="00493BA9"/>
    <w:rsid w:val="00494F60"/>
    <w:rsid w:val="004962D2"/>
    <w:rsid w:val="00497D4D"/>
    <w:rsid w:val="004A0DA1"/>
    <w:rsid w:val="004A537E"/>
    <w:rsid w:val="004A56B0"/>
    <w:rsid w:val="004A6597"/>
    <w:rsid w:val="004A6AEF"/>
    <w:rsid w:val="004B06C6"/>
    <w:rsid w:val="004B0DC4"/>
    <w:rsid w:val="004B1CB4"/>
    <w:rsid w:val="004B2F18"/>
    <w:rsid w:val="004B3DDB"/>
    <w:rsid w:val="004B44FD"/>
    <w:rsid w:val="004B5CFC"/>
    <w:rsid w:val="004B6681"/>
    <w:rsid w:val="004C0B20"/>
    <w:rsid w:val="004C22FF"/>
    <w:rsid w:val="004C4AED"/>
    <w:rsid w:val="004D0CD5"/>
    <w:rsid w:val="004D1C52"/>
    <w:rsid w:val="004D27D8"/>
    <w:rsid w:val="004D2C3B"/>
    <w:rsid w:val="004D3A71"/>
    <w:rsid w:val="004D4EB9"/>
    <w:rsid w:val="004D5DA3"/>
    <w:rsid w:val="004D74D7"/>
    <w:rsid w:val="004E0EB8"/>
    <w:rsid w:val="004E1B6F"/>
    <w:rsid w:val="004E2050"/>
    <w:rsid w:val="004E2ADC"/>
    <w:rsid w:val="004E364B"/>
    <w:rsid w:val="004E418B"/>
    <w:rsid w:val="004E43B2"/>
    <w:rsid w:val="004F080E"/>
    <w:rsid w:val="004F0EB4"/>
    <w:rsid w:val="004F169B"/>
    <w:rsid w:val="004F1D02"/>
    <w:rsid w:val="004F2679"/>
    <w:rsid w:val="004F2A59"/>
    <w:rsid w:val="004F306C"/>
    <w:rsid w:val="004F3491"/>
    <w:rsid w:val="004F476E"/>
    <w:rsid w:val="004F67AF"/>
    <w:rsid w:val="004F7865"/>
    <w:rsid w:val="00501064"/>
    <w:rsid w:val="00503AAF"/>
    <w:rsid w:val="005051B8"/>
    <w:rsid w:val="00505849"/>
    <w:rsid w:val="00506928"/>
    <w:rsid w:val="00507063"/>
    <w:rsid w:val="00507C86"/>
    <w:rsid w:val="005110AB"/>
    <w:rsid w:val="00511EDF"/>
    <w:rsid w:val="0051237E"/>
    <w:rsid w:val="005131FF"/>
    <w:rsid w:val="005152B5"/>
    <w:rsid w:val="00516F3C"/>
    <w:rsid w:val="00521319"/>
    <w:rsid w:val="00521BB6"/>
    <w:rsid w:val="00521E56"/>
    <w:rsid w:val="005223C8"/>
    <w:rsid w:val="00523929"/>
    <w:rsid w:val="00523ADE"/>
    <w:rsid w:val="00523C28"/>
    <w:rsid w:val="00524769"/>
    <w:rsid w:val="00527853"/>
    <w:rsid w:val="0053064E"/>
    <w:rsid w:val="00531CA6"/>
    <w:rsid w:val="00531E11"/>
    <w:rsid w:val="0053441A"/>
    <w:rsid w:val="00536B83"/>
    <w:rsid w:val="005407BC"/>
    <w:rsid w:val="0054433A"/>
    <w:rsid w:val="00544DEF"/>
    <w:rsid w:val="00545747"/>
    <w:rsid w:val="005519FE"/>
    <w:rsid w:val="005525D6"/>
    <w:rsid w:val="00552BD3"/>
    <w:rsid w:val="00555109"/>
    <w:rsid w:val="005574FF"/>
    <w:rsid w:val="00560246"/>
    <w:rsid w:val="00561C88"/>
    <w:rsid w:val="00563C9B"/>
    <w:rsid w:val="0056696F"/>
    <w:rsid w:val="005674E1"/>
    <w:rsid w:val="00572D03"/>
    <w:rsid w:val="00574D4D"/>
    <w:rsid w:val="00574D7A"/>
    <w:rsid w:val="0057562D"/>
    <w:rsid w:val="00575D36"/>
    <w:rsid w:val="00575D8D"/>
    <w:rsid w:val="00576972"/>
    <w:rsid w:val="00576A46"/>
    <w:rsid w:val="00577137"/>
    <w:rsid w:val="00577B72"/>
    <w:rsid w:val="00580096"/>
    <w:rsid w:val="005810A9"/>
    <w:rsid w:val="00581519"/>
    <w:rsid w:val="005825B7"/>
    <w:rsid w:val="00583699"/>
    <w:rsid w:val="00583B03"/>
    <w:rsid w:val="00586E58"/>
    <w:rsid w:val="00592123"/>
    <w:rsid w:val="00592D99"/>
    <w:rsid w:val="00593B7A"/>
    <w:rsid w:val="00596885"/>
    <w:rsid w:val="005A0889"/>
    <w:rsid w:val="005A392D"/>
    <w:rsid w:val="005A3FE2"/>
    <w:rsid w:val="005A4417"/>
    <w:rsid w:val="005B3C86"/>
    <w:rsid w:val="005B5632"/>
    <w:rsid w:val="005B5857"/>
    <w:rsid w:val="005B5C4C"/>
    <w:rsid w:val="005C00C5"/>
    <w:rsid w:val="005C09E1"/>
    <w:rsid w:val="005C18B5"/>
    <w:rsid w:val="005C1B83"/>
    <w:rsid w:val="005C1C5B"/>
    <w:rsid w:val="005C1D96"/>
    <w:rsid w:val="005C346B"/>
    <w:rsid w:val="005C79DC"/>
    <w:rsid w:val="005D044D"/>
    <w:rsid w:val="005D0FE5"/>
    <w:rsid w:val="005D18AD"/>
    <w:rsid w:val="005D1F36"/>
    <w:rsid w:val="005D6211"/>
    <w:rsid w:val="005E0B1F"/>
    <w:rsid w:val="005E231B"/>
    <w:rsid w:val="005E6CA4"/>
    <w:rsid w:val="005E73C0"/>
    <w:rsid w:val="005F06C3"/>
    <w:rsid w:val="005F2706"/>
    <w:rsid w:val="005F4504"/>
    <w:rsid w:val="005F4E5C"/>
    <w:rsid w:val="005F51E7"/>
    <w:rsid w:val="005F6A8F"/>
    <w:rsid w:val="00600444"/>
    <w:rsid w:val="00600DD3"/>
    <w:rsid w:val="006029B7"/>
    <w:rsid w:val="00603976"/>
    <w:rsid w:val="00605B64"/>
    <w:rsid w:val="00607669"/>
    <w:rsid w:val="00612F97"/>
    <w:rsid w:val="00613284"/>
    <w:rsid w:val="00614443"/>
    <w:rsid w:val="00616802"/>
    <w:rsid w:val="00617DD2"/>
    <w:rsid w:val="00617E12"/>
    <w:rsid w:val="00621477"/>
    <w:rsid w:val="006217CA"/>
    <w:rsid w:val="00621CE3"/>
    <w:rsid w:val="00622152"/>
    <w:rsid w:val="0062235A"/>
    <w:rsid w:val="006236F1"/>
    <w:rsid w:val="006239B3"/>
    <w:rsid w:val="006263D4"/>
    <w:rsid w:val="00630D3D"/>
    <w:rsid w:val="00631AA8"/>
    <w:rsid w:val="00631D6B"/>
    <w:rsid w:val="0063230C"/>
    <w:rsid w:val="00633E4A"/>
    <w:rsid w:val="006344FC"/>
    <w:rsid w:val="0063479F"/>
    <w:rsid w:val="006364A1"/>
    <w:rsid w:val="00637BFD"/>
    <w:rsid w:val="00640B39"/>
    <w:rsid w:val="0064261F"/>
    <w:rsid w:val="00642854"/>
    <w:rsid w:val="00644B49"/>
    <w:rsid w:val="006455E3"/>
    <w:rsid w:val="00646990"/>
    <w:rsid w:val="006471CC"/>
    <w:rsid w:val="0065079F"/>
    <w:rsid w:val="00651E98"/>
    <w:rsid w:val="00651FF6"/>
    <w:rsid w:val="00655566"/>
    <w:rsid w:val="006579B3"/>
    <w:rsid w:val="006654AF"/>
    <w:rsid w:val="00666B92"/>
    <w:rsid w:val="0067022E"/>
    <w:rsid w:val="00672035"/>
    <w:rsid w:val="00672505"/>
    <w:rsid w:val="00672A4D"/>
    <w:rsid w:val="006731C8"/>
    <w:rsid w:val="0067400C"/>
    <w:rsid w:val="00674E1C"/>
    <w:rsid w:val="00674E42"/>
    <w:rsid w:val="00676B07"/>
    <w:rsid w:val="006801FE"/>
    <w:rsid w:val="00682112"/>
    <w:rsid w:val="00684A3D"/>
    <w:rsid w:val="00687157"/>
    <w:rsid w:val="006872BA"/>
    <w:rsid w:val="006901CF"/>
    <w:rsid w:val="00690652"/>
    <w:rsid w:val="006917D7"/>
    <w:rsid w:val="0069356B"/>
    <w:rsid w:val="00693D2A"/>
    <w:rsid w:val="00694F44"/>
    <w:rsid w:val="0069689C"/>
    <w:rsid w:val="0069721F"/>
    <w:rsid w:val="00697ADC"/>
    <w:rsid w:val="006A072D"/>
    <w:rsid w:val="006A1819"/>
    <w:rsid w:val="006A39DA"/>
    <w:rsid w:val="006A794F"/>
    <w:rsid w:val="006A7B52"/>
    <w:rsid w:val="006B057E"/>
    <w:rsid w:val="006B1A41"/>
    <w:rsid w:val="006B4CBC"/>
    <w:rsid w:val="006B509E"/>
    <w:rsid w:val="006B70AC"/>
    <w:rsid w:val="006C2A8E"/>
    <w:rsid w:val="006C415E"/>
    <w:rsid w:val="006C4D95"/>
    <w:rsid w:val="006C6DFD"/>
    <w:rsid w:val="006D0303"/>
    <w:rsid w:val="006D1322"/>
    <w:rsid w:val="006D3C7D"/>
    <w:rsid w:val="006D5D5F"/>
    <w:rsid w:val="006D6722"/>
    <w:rsid w:val="006D73F0"/>
    <w:rsid w:val="006E030A"/>
    <w:rsid w:val="006E2851"/>
    <w:rsid w:val="006E3E7D"/>
    <w:rsid w:val="006E57CF"/>
    <w:rsid w:val="006F26DB"/>
    <w:rsid w:val="006F460F"/>
    <w:rsid w:val="006F63A5"/>
    <w:rsid w:val="0070276E"/>
    <w:rsid w:val="00702F8F"/>
    <w:rsid w:val="00711A36"/>
    <w:rsid w:val="007132EB"/>
    <w:rsid w:val="0071331A"/>
    <w:rsid w:val="00716561"/>
    <w:rsid w:val="007172AD"/>
    <w:rsid w:val="00720788"/>
    <w:rsid w:val="00720DA1"/>
    <w:rsid w:val="0072416F"/>
    <w:rsid w:val="00725292"/>
    <w:rsid w:val="00730CA8"/>
    <w:rsid w:val="00732776"/>
    <w:rsid w:val="00735328"/>
    <w:rsid w:val="0073572B"/>
    <w:rsid w:val="00735E69"/>
    <w:rsid w:val="0073666D"/>
    <w:rsid w:val="0073685B"/>
    <w:rsid w:val="0073758D"/>
    <w:rsid w:val="00740314"/>
    <w:rsid w:val="00740FE5"/>
    <w:rsid w:val="00745E8A"/>
    <w:rsid w:val="00751A32"/>
    <w:rsid w:val="007556A3"/>
    <w:rsid w:val="00757AFA"/>
    <w:rsid w:val="00760D40"/>
    <w:rsid w:val="0076111C"/>
    <w:rsid w:val="007658ED"/>
    <w:rsid w:val="007664C0"/>
    <w:rsid w:val="00771261"/>
    <w:rsid w:val="00771E0B"/>
    <w:rsid w:val="007724C9"/>
    <w:rsid w:val="00773CE7"/>
    <w:rsid w:val="00777223"/>
    <w:rsid w:val="00780AC0"/>
    <w:rsid w:val="007827F2"/>
    <w:rsid w:val="00783053"/>
    <w:rsid w:val="00783E54"/>
    <w:rsid w:val="00783F90"/>
    <w:rsid w:val="00787840"/>
    <w:rsid w:val="00787BFD"/>
    <w:rsid w:val="00792E22"/>
    <w:rsid w:val="00794011"/>
    <w:rsid w:val="0079411C"/>
    <w:rsid w:val="007946F9"/>
    <w:rsid w:val="007964B9"/>
    <w:rsid w:val="007A0A12"/>
    <w:rsid w:val="007A23CE"/>
    <w:rsid w:val="007A793F"/>
    <w:rsid w:val="007A7A9F"/>
    <w:rsid w:val="007B251D"/>
    <w:rsid w:val="007B4828"/>
    <w:rsid w:val="007B5F13"/>
    <w:rsid w:val="007B63D4"/>
    <w:rsid w:val="007B77D1"/>
    <w:rsid w:val="007C361D"/>
    <w:rsid w:val="007C41E3"/>
    <w:rsid w:val="007C4B74"/>
    <w:rsid w:val="007C7EFA"/>
    <w:rsid w:val="007D0B38"/>
    <w:rsid w:val="007D122F"/>
    <w:rsid w:val="007D13F4"/>
    <w:rsid w:val="007D2ADC"/>
    <w:rsid w:val="007D5056"/>
    <w:rsid w:val="007D6866"/>
    <w:rsid w:val="007D6FFD"/>
    <w:rsid w:val="007D78EC"/>
    <w:rsid w:val="007E28D6"/>
    <w:rsid w:val="007E4776"/>
    <w:rsid w:val="007E62EB"/>
    <w:rsid w:val="007F1017"/>
    <w:rsid w:val="007F26A6"/>
    <w:rsid w:val="007F430C"/>
    <w:rsid w:val="007F4A3F"/>
    <w:rsid w:val="00802A05"/>
    <w:rsid w:val="00803DF1"/>
    <w:rsid w:val="00804626"/>
    <w:rsid w:val="00804D03"/>
    <w:rsid w:val="00805142"/>
    <w:rsid w:val="00805E9D"/>
    <w:rsid w:val="00806C52"/>
    <w:rsid w:val="00807A8B"/>
    <w:rsid w:val="00810EB6"/>
    <w:rsid w:val="0081140A"/>
    <w:rsid w:val="00811425"/>
    <w:rsid w:val="00812131"/>
    <w:rsid w:val="00812149"/>
    <w:rsid w:val="0081217B"/>
    <w:rsid w:val="00815922"/>
    <w:rsid w:val="008166EF"/>
    <w:rsid w:val="00816C4B"/>
    <w:rsid w:val="00817991"/>
    <w:rsid w:val="008221D2"/>
    <w:rsid w:val="008264EB"/>
    <w:rsid w:val="008305B7"/>
    <w:rsid w:val="00830626"/>
    <w:rsid w:val="0083254F"/>
    <w:rsid w:val="00832622"/>
    <w:rsid w:val="00832DBB"/>
    <w:rsid w:val="00833B05"/>
    <w:rsid w:val="00840A29"/>
    <w:rsid w:val="00840CA2"/>
    <w:rsid w:val="00845279"/>
    <w:rsid w:val="008460B4"/>
    <w:rsid w:val="00846F70"/>
    <w:rsid w:val="008500AD"/>
    <w:rsid w:val="00852027"/>
    <w:rsid w:val="008523DB"/>
    <w:rsid w:val="0085277E"/>
    <w:rsid w:val="00856E9A"/>
    <w:rsid w:val="00860196"/>
    <w:rsid w:val="00861D99"/>
    <w:rsid w:val="00862502"/>
    <w:rsid w:val="008625D8"/>
    <w:rsid w:val="00865B44"/>
    <w:rsid w:val="008662CB"/>
    <w:rsid w:val="00872BB6"/>
    <w:rsid w:val="00873A53"/>
    <w:rsid w:val="00874FF5"/>
    <w:rsid w:val="00875551"/>
    <w:rsid w:val="0087776C"/>
    <w:rsid w:val="00877D7C"/>
    <w:rsid w:val="00881DEB"/>
    <w:rsid w:val="00882874"/>
    <w:rsid w:val="008830C6"/>
    <w:rsid w:val="00883787"/>
    <w:rsid w:val="0088417F"/>
    <w:rsid w:val="0088434D"/>
    <w:rsid w:val="00884929"/>
    <w:rsid w:val="00884E74"/>
    <w:rsid w:val="0088538A"/>
    <w:rsid w:val="00885CEB"/>
    <w:rsid w:val="0088632B"/>
    <w:rsid w:val="0089161A"/>
    <w:rsid w:val="00892798"/>
    <w:rsid w:val="008934F9"/>
    <w:rsid w:val="00894489"/>
    <w:rsid w:val="0089453D"/>
    <w:rsid w:val="008959C6"/>
    <w:rsid w:val="00895B4D"/>
    <w:rsid w:val="008963A5"/>
    <w:rsid w:val="00897775"/>
    <w:rsid w:val="00897A5C"/>
    <w:rsid w:val="008A1323"/>
    <w:rsid w:val="008A3C3E"/>
    <w:rsid w:val="008A5F5C"/>
    <w:rsid w:val="008A692F"/>
    <w:rsid w:val="008A79DE"/>
    <w:rsid w:val="008B063C"/>
    <w:rsid w:val="008B18C5"/>
    <w:rsid w:val="008B3911"/>
    <w:rsid w:val="008B7D7E"/>
    <w:rsid w:val="008C0021"/>
    <w:rsid w:val="008C4EEB"/>
    <w:rsid w:val="008C586F"/>
    <w:rsid w:val="008C7ECB"/>
    <w:rsid w:val="008D2E73"/>
    <w:rsid w:val="008D4554"/>
    <w:rsid w:val="008D53D0"/>
    <w:rsid w:val="008E1A7E"/>
    <w:rsid w:val="008E1B9E"/>
    <w:rsid w:val="008E2302"/>
    <w:rsid w:val="008E2306"/>
    <w:rsid w:val="008E439B"/>
    <w:rsid w:val="008E4A79"/>
    <w:rsid w:val="008F120A"/>
    <w:rsid w:val="008F3072"/>
    <w:rsid w:val="008F3DEE"/>
    <w:rsid w:val="008F40CB"/>
    <w:rsid w:val="008F4561"/>
    <w:rsid w:val="008F48EB"/>
    <w:rsid w:val="008F4F0B"/>
    <w:rsid w:val="008F53E7"/>
    <w:rsid w:val="008F6722"/>
    <w:rsid w:val="008F6C5A"/>
    <w:rsid w:val="008F6E9D"/>
    <w:rsid w:val="008F7114"/>
    <w:rsid w:val="00900CFF"/>
    <w:rsid w:val="009018B7"/>
    <w:rsid w:val="00902ACD"/>
    <w:rsid w:val="00902B02"/>
    <w:rsid w:val="00903CB1"/>
    <w:rsid w:val="009062A5"/>
    <w:rsid w:val="00910B0B"/>
    <w:rsid w:val="00911272"/>
    <w:rsid w:val="00911D0C"/>
    <w:rsid w:val="00920C46"/>
    <w:rsid w:val="00923682"/>
    <w:rsid w:val="00924091"/>
    <w:rsid w:val="0093266A"/>
    <w:rsid w:val="00932E4D"/>
    <w:rsid w:val="00933CDC"/>
    <w:rsid w:val="009362BF"/>
    <w:rsid w:val="009379C9"/>
    <w:rsid w:val="009406C4"/>
    <w:rsid w:val="0094146D"/>
    <w:rsid w:val="0094248E"/>
    <w:rsid w:val="00950F4C"/>
    <w:rsid w:val="00952BDD"/>
    <w:rsid w:val="0095515C"/>
    <w:rsid w:val="00955788"/>
    <w:rsid w:val="009562B9"/>
    <w:rsid w:val="00962B23"/>
    <w:rsid w:val="00962CB9"/>
    <w:rsid w:val="00964312"/>
    <w:rsid w:val="009651BF"/>
    <w:rsid w:val="00971C8A"/>
    <w:rsid w:val="009722F3"/>
    <w:rsid w:val="009762AE"/>
    <w:rsid w:val="00981A52"/>
    <w:rsid w:val="00983103"/>
    <w:rsid w:val="00983131"/>
    <w:rsid w:val="0098391F"/>
    <w:rsid w:val="00983E57"/>
    <w:rsid w:val="00983E8E"/>
    <w:rsid w:val="00984E9B"/>
    <w:rsid w:val="00986411"/>
    <w:rsid w:val="0098668F"/>
    <w:rsid w:val="009910F6"/>
    <w:rsid w:val="00996B1A"/>
    <w:rsid w:val="00996C4E"/>
    <w:rsid w:val="009A14F7"/>
    <w:rsid w:val="009A22A8"/>
    <w:rsid w:val="009A2620"/>
    <w:rsid w:val="009A46F0"/>
    <w:rsid w:val="009A6D90"/>
    <w:rsid w:val="009A6D95"/>
    <w:rsid w:val="009A7E1C"/>
    <w:rsid w:val="009B1575"/>
    <w:rsid w:val="009B3E26"/>
    <w:rsid w:val="009B4358"/>
    <w:rsid w:val="009B4549"/>
    <w:rsid w:val="009B4DFF"/>
    <w:rsid w:val="009B5D5B"/>
    <w:rsid w:val="009B5E9E"/>
    <w:rsid w:val="009C41D3"/>
    <w:rsid w:val="009C4769"/>
    <w:rsid w:val="009C4986"/>
    <w:rsid w:val="009C7EBB"/>
    <w:rsid w:val="009D5B91"/>
    <w:rsid w:val="009D79EA"/>
    <w:rsid w:val="009E00CA"/>
    <w:rsid w:val="009E0936"/>
    <w:rsid w:val="009E4C07"/>
    <w:rsid w:val="009E5540"/>
    <w:rsid w:val="009E790E"/>
    <w:rsid w:val="009F57F2"/>
    <w:rsid w:val="009F5C53"/>
    <w:rsid w:val="009F5F77"/>
    <w:rsid w:val="009F70F8"/>
    <w:rsid w:val="00A03D43"/>
    <w:rsid w:val="00A04380"/>
    <w:rsid w:val="00A06426"/>
    <w:rsid w:val="00A0698F"/>
    <w:rsid w:val="00A12BAF"/>
    <w:rsid w:val="00A13948"/>
    <w:rsid w:val="00A14227"/>
    <w:rsid w:val="00A14C38"/>
    <w:rsid w:val="00A15325"/>
    <w:rsid w:val="00A2023E"/>
    <w:rsid w:val="00A2245A"/>
    <w:rsid w:val="00A23D2C"/>
    <w:rsid w:val="00A26793"/>
    <w:rsid w:val="00A26B5F"/>
    <w:rsid w:val="00A27AEC"/>
    <w:rsid w:val="00A32249"/>
    <w:rsid w:val="00A3349D"/>
    <w:rsid w:val="00A33BC5"/>
    <w:rsid w:val="00A353CF"/>
    <w:rsid w:val="00A35D16"/>
    <w:rsid w:val="00A37A5C"/>
    <w:rsid w:val="00A40999"/>
    <w:rsid w:val="00A43099"/>
    <w:rsid w:val="00A43C59"/>
    <w:rsid w:val="00A44F7A"/>
    <w:rsid w:val="00A45D38"/>
    <w:rsid w:val="00A50ECD"/>
    <w:rsid w:val="00A52729"/>
    <w:rsid w:val="00A53675"/>
    <w:rsid w:val="00A53961"/>
    <w:rsid w:val="00A56882"/>
    <w:rsid w:val="00A56B6A"/>
    <w:rsid w:val="00A5736F"/>
    <w:rsid w:val="00A578DC"/>
    <w:rsid w:val="00A60569"/>
    <w:rsid w:val="00A60EF9"/>
    <w:rsid w:val="00A61569"/>
    <w:rsid w:val="00A643FB"/>
    <w:rsid w:val="00A647F3"/>
    <w:rsid w:val="00A6725B"/>
    <w:rsid w:val="00A70255"/>
    <w:rsid w:val="00A7044E"/>
    <w:rsid w:val="00A726C6"/>
    <w:rsid w:val="00A7368F"/>
    <w:rsid w:val="00A74115"/>
    <w:rsid w:val="00A765DC"/>
    <w:rsid w:val="00A769FC"/>
    <w:rsid w:val="00A8387C"/>
    <w:rsid w:val="00A8623B"/>
    <w:rsid w:val="00A86E8B"/>
    <w:rsid w:val="00A86EF9"/>
    <w:rsid w:val="00A87544"/>
    <w:rsid w:val="00A87955"/>
    <w:rsid w:val="00A920AA"/>
    <w:rsid w:val="00A93072"/>
    <w:rsid w:val="00A94EF2"/>
    <w:rsid w:val="00A959D8"/>
    <w:rsid w:val="00A95BA7"/>
    <w:rsid w:val="00A95DC4"/>
    <w:rsid w:val="00A95FAA"/>
    <w:rsid w:val="00A9604F"/>
    <w:rsid w:val="00A962D8"/>
    <w:rsid w:val="00A97371"/>
    <w:rsid w:val="00A97408"/>
    <w:rsid w:val="00AA0DFA"/>
    <w:rsid w:val="00AA222B"/>
    <w:rsid w:val="00AA30D4"/>
    <w:rsid w:val="00AA5DF7"/>
    <w:rsid w:val="00AB042A"/>
    <w:rsid w:val="00AB0CB3"/>
    <w:rsid w:val="00AB2D34"/>
    <w:rsid w:val="00AB3430"/>
    <w:rsid w:val="00AB379B"/>
    <w:rsid w:val="00AB6D77"/>
    <w:rsid w:val="00AB7CFA"/>
    <w:rsid w:val="00AC0A0F"/>
    <w:rsid w:val="00AC2066"/>
    <w:rsid w:val="00AC4557"/>
    <w:rsid w:val="00AC71AF"/>
    <w:rsid w:val="00AC7FD6"/>
    <w:rsid w:val="00AD115E"/>
    <w:rsid w:val="00AD186C"/>
    <w:rsid w:val="00AD417B"/>
    <w:rsid w:val="00AD4EE4"/>
    <w:rsid w:val="00AD4F0F"/>
    <w:rsid w:val="00AD528E"/>
    <w:rsid w:val="00AD5A03"/>
    <w:rsid w:val="00AE0C1F"/>
    <w:rsid w:val="00AE28B4"/>
    <w:rsid w:val="00AE4A8E"/>
    <w:rsid w:val="00AF0595"/>
    <w:rsid w:val="00AF0C75"/>
    <w:rsid w:val="00AF509E"/>
    <w:rsid w:val="00AF5498"/>
    <w:rsid w:val="00B028C0"/>
    <w:rsid w:val="00B03FE9"/>
    <w:rsid w:val="00B04F34"/>
    <w:rsid w:val="00B06464"/>
    <w:rsid w:val="00B107EC"/>
    <w:rsid w:val="00B144AE"/>
    <w:rsid w:val="00B147A4"/>
    <w:rsid w:val="00B14959"/>
    <w:rsid w:val="00B16A88"/>
    <w:rsid w:val="00B17E55"/>
    <w:rsid w:val="00B20EEB"/>
    <w:rsid w:val="00B21520"/>
    <w:rsid w:val="00B2221B"/>
    <w:rsid w:val="00B235DF"/>
    <w:rsid w:val="00B2403F"/>
    <w:rsid w:val="00B31D9F"/>
    <w:rsid w:val="00B33BA3"/>
    <w:rsid w:val="00B41ED0"/>
    <w:rsid w:val="00B42851"/>
    <w:rsid w:val="00B42CAA"/>
    <w:rsid w:val="00B45A7A"/>
    <w:rsid w:val="00B50DB8"/>
    <w:rsid w:val="00B5168D"/>
    <w:rsid w:val="00B52D93"/>
    <w:rsid w:val="00B538DE"/>
    <w:rsid w:val="00B53905"/>
    <w:rsid w:val="00B54B5B"/>
    <w:rsid w:val="00B5562E"/>
    <w:rsid w:val="00B55ABE"/>
    <w:rsid w:val="00B57000"/>
    <w:rsid w:val="00B60939"/>
    <w:rsid w:val="00B60AFD"/>
    <w:rsid w:val="00B62715"/>
    <w:rsid w:val="00B62875"/>
    <w:rsid w:val="00B633FA"/>
    <w:rsid w:val="00B67725"/>
    <w:rsid w:val="00B67E19"/>
    <w:rsid w:val="00B710D6"/>
    <w:rsid w:val="00B73862"/>
    <w:rsid w:val="00B771C9"/>
    <w:rsid w:val="00B818A4"/>
    <w:rsid w:val="00B827C2"/>
    <w:rsid w:val="00B82B6A"/>
    <w:rsid w:val="00B8649C"/>
    <w:rsid w:val="00B86797"/>
    <w:rsid w:val="00B869BB"/>
    <w:rsid w:val="00B9073D"/>
    <w:rsid w:val="00B91660"/>
    <w:rsid w:val="00B92D0B"/>
    <w:rsid w:val="00B930FC"/>
    <w:rsid w:val="00B94945"/>
    <w:rsid w:val="00B9611F"/>
    <w:rsid w:val="00B970B8"/>
    <w:rsid w:val="00BA0BF3"/>
    <w:rsid w:val="00BA10CE"/>
    <w:rsid w:val="00BA473D"/>
    <w:rsid w:val="00BA7437"/>
    <w:rsid w:val="00BB61C5"/>
    <w:rsid w:val="00BB7054"/>
    <w:rsid w:val="00BB72C0"/>
    <w:rsid w:val="00BB7405"/>
    <w:rsid w:val="00BB7AD0"/>
    <w:rsid w:val="00BC20CB"/>
    <w:rsid w:val="00BC3FD8"/>
    <w:rsid w:val="00BC6511"/>
    <w:rsid w:val="00BC6961"/>
    <w:rsid w:val="00BC7384"/>
    <w:rsid w:val="00BD31A9"/>
    <w:rsid w:val="00BD5C87"/>
    <w:rsid w:val="00BD63BA"/>
    <w:rsid w:val="00BD6CF3"/>
    <w:rsid w:val="00BE00F3"/>
    <w:rsid w:val="00BE04DE"/>
    <w:rsid w:val="00BE0504"/>
    <w:rsid w:val="00BE2180"/>
    <w:rsid w:val="00BE4275"/>
    <w:rsid w:val="00BE46FC"/>
    <w:rsid w:val="00BE4F94"/>
    <w:rsid w:val="00BF1262"/>
    <w:rsid w:val="00BF1361"/>
    <w:rsid w:val="00BF2433"/>
    <w:rsid w:val="00BF4156"/>
    <w:rsid w:val="00BF4F7A"/>
    <w:rsid w:val="00BF4F88"/>
    <w:rsid w:val="00BF61C9"/>
    <w:rsid w:val="00C005B6"/>
    <w:rsid w:val="00C01B05"/>
    <w:rsid w:val="00C01C0F"/>
    <w:rsid w:val="00C024E5"/>
    <w:rsid w:val="00C079A5"/>
    <w:rsid w:val="00C07F4B"/>
    <w:rsid w:val="00C10A2B"/>
    <w:rsid w:val="00C137A8"/>
    <w:rsid w:val="00C155E9"/>
    <w:rsid w:val="00C20ABF"/>
    <w:rsid w:val="00C22718"/>
    <w:rsid w:val="00C246AB"/>
    <w:rsid w:val="00C25418"/>
    <w:rsid w:val="00C25D9C"/>
    <w:rsid w:val="00C31649"/>
    <w:rsid w:val="00C33341"/>
    <w:rsid w:val="00C37921"/>
    <w:rsid w:val="00C40385"/>
    <w:rsid w:val="00C450C7"/>
    <w:rsid w:val="00C4511D"/>
    <w:rsid w:val="00C47667"/>
    <w:rsid w:val="00C512F4"/>
    <w:rsid w:val="00C55B23"/>
    <w:rsid w:val="00C60BC5"/>
    <w:rsid w:val="00C60FF3"/>
    <w:rsid w:val="00C62B80"/>
    <w:rsid w:val="00C64B97"/>
    <w:rsid w:val="00C65576"/>
    <w:rsid w:val="00C65963"/>
    <w:rsid w:val="00C66165"/>
    <w:rsid w:val="00C664B5"/>
    <w:rsid w:val="00C66F56"/>
    <w:rsid w:val="00C71027"/>
    <w:rsid w:val="00C731C8"/>
    <w:rsid w:val="00C7480B"/>
    <w:rsid w:val="00C750C8"/>
    <w:rsid w:val="00C7580E"/>
    <w:rsid w:val="00C75C26"/>
    <w:rsid w:val="00C769F1"/>
    <w:rsid w:val="00C7714E"/>
    <w:rsid w:val="00C80A8E"/>
    <w:rsid w:val="00C8213F"/>
    <w:rsid w:val="00C83F1E"/>
    <w:rsid w:val="00C84B9D"/>
    <w:rsid w:val="00C85AC2"/>
    <w:rsid w:val="00C8797A"/>
    <w:rsid w:val="00C87CCF"/>
    <w:rsid w:val="00C92356"/>
    <w:rsid w:val="00C92936"/>
    <w:rsid w:val="00C92C39"/>
    <w:rsid w:val="00C938CF"/>
    <w:rsid w:val="00C957FF"/>
    <w:rsid w:val="00C961DC"/>
    <w:rsid w:val="00C96214"/>
    <w:rsid w:val="00C96697"/>
    <w:rsid w:val="00C974AC"/>
    <w:rsid w:val="00CA01AE"/>
    <w:rsid w:val="00CA01E7"/>
    <w:rsid w:val="00CA068A"/>
    <w:rsid w:val="00CA237B"/>
    <w:rsid w:val="00CA247C"/>
    <w:rsid w:val="00CA3369"/>
    <w:rsid w:val="00CA5245"/>
    <w:rsid w:val="00CA625A"/>
    <w:rsid w:val="00CA6E20"/>
    <w:rsid w:val="00CA7B09"/>
    <w:rsid w:val="00CA7B83"/>
    <w:rsid w:val="00CB3E2A"/>
    <w:rsid w:val="00CB5368"/>
    <w:rsid w:val="00CB5B1A"/>
    <w:rsid w:val="00CB5D91"/>
    <w:rsid w:val="00CB5DB3"/>
    <w:rsid w:val="00CB67AC"/>
    <w:rsid w:val="00CB729B"/>
    <w:rsid w:val="00CB7903"/>
    <w:rsid w:val="00CC0D8D"/>
    <w:rsid w:val="00CC2106"/>
    <w:rsid w:val="00CC59F4"/>
    <w:rsid w:val="00CC62C0"/>
    <w:rsid w:val="00CC745B"/>
    <w:rsid w:val="00CD1661"/>
    <w:rsid w:val="00CD21DC"/>
    <w:rsid w:val="00CD268F"/>
    <w:rsid w:val="00CD273A"/>
    <w:rsid w:val="00CD5011"/>
    <w:rsid w:val="00CD5FB8"/>
    <w:rsid w:val="00CD6ADC"/>
    <w:rsid w:val="00CE1C16"/>
    <w:rsid w:val="00CE34D4"/>
    <w:rsid w:val="00CE37ED"/>
    <w:rsid w:val="00CE5E75"/>
    <w:rsid w:val="00CE6243"/>
    <w:rsid w:val="00CE6274"/>
    <w:rsid w:val="00CE681A"/>
    <w:rsid w:val="00CF177B"/>
    <w:rsid w:val="00CF31AE"/>
    <w:rsid w:val="00CF3269"/>
    <w:rsid w:val="00CF456B"/>
    <w:rsid w:val="00CF48E7"/>
    <w:rsid w:val="00CF5A22"/>
    <w:rsid w:val="00CF6AAF"/>
    <w:rsid w:val="00D0262E"/>
    <w:rsid w:val="00D0323C"/>
    <w:rsid w:val="00D07021"/>
    <w:rsid w:val="00D07767"/>
    <w:rsid w:val="00D1091F"/>
    <w:rsid w:val="00D110BD"/>
    <w:rsid w:val="00D124DA"/>
    <w:rsid w:val="00D12553"/>
    <w:rsid w:val="00D13D2E"/>
    <w:rsid w:val="00D149D5"/>
    <w:rsid w:val="00D16942"/>
    <w:rsid w:val="00D17B44"/>
    <w:rsid w:val="00D17D6C"/>
    <w:rsid w:val="00D17E1C"/>
    <w:rsid w:val="00D25D5B"/>
    <w:rsid w:val="00D333FD"/>
    <w:rsid w:val="00D357FF"/>
    <w:rsid w:val="00D42128"/>
    <w:rsid w:val="00D42DDE"/>
    <w:rsid w:val="00D43842"/>
    <w:rsid w:val="00D44E02"/>
    <w:rsid w:val="00D479ED"/>
    <w:rsid w:val="00D503D9"/>
    <w:rsid w:val="00D50C46"/>
    <w:rsid w:val="00D51371"/>
    <w:rsid w:val="00D5277B"/>
    <w:rsid w:val="00D528CC"/>
    <w:rsid w:val="00D54CE2"/>
    <w:rsid w:val="00D56262"/>
    <w:rsid w:val="00D57517"/>
    <w:rsid w:val="00D614C9"/>
    <w:rsid w:val="00D638CC"/>
    <w:rsid w:val="00D649C3"/>
    <w:rsid w:val="00D703EC"/>
    <w:rsid w:val="00D70AD2"/>
    <w:rsid w:val="00D71031"/>
    <w:rsid w:val="00D737D3"/>
    <w:rsid w:val="00D73A50"/>
    <w:rsid w:val="00D74403"/>
    <w:rsid w:val="00D75149"/>
    <w:rsid w:val="00D75B43"/>
    <w:rsid w:val="00D76A44"/>
    <w:rsid w:val="00D812AE"/>
    <w:rsid w:val="00D82E73"/>
    <w:rsid w:val="00D837F0"/>
    <w:rsid w:val="00D93753"/>
    <w:rsid w:val="00D937DC"/>
    <w:rsid w:val="00D9391F"/>
    <w:rsid w:val="00D94025"/>
    <w:rsid w:val="00DA0826"/>
    <w:rsid w:val="00DA2B72"/>
    <w:rsid w:val="00DA37CD"/>
    <w:rsid w:val="00DA51A2"/>
    <w:rsid w:val="00DA5A53"/>
    <w:rsid w:val="00DA7394"/>
    <w:rsid w:val="00DA7664"/>
    <w:rsid w:val="00DA77A5"/>
    <w:rsid w:val="00DA7982"/>
    <w:rsid w:val="00DB5850"/>
    <w:rsid w:val="00DB6E33"/>
    <w:rsid w:val="00DB6F62"/>
    <w:rsid w:val="00DB7EF3"/>
    <w:rsid w:val="00DC15F5"/>
    <w:rsid w:val="00DC2B56"/>
    <w:rsid w:val="00DC5501"/>
    <w:rsid w:val="00DC5D13"/>
    <w:rsid w:val="00DC672A"/>
    <w:rsid w:val="00DD0384"/>
    <w:rsid w:val="00DD3B97"/>
    <w:rsid w:val="00DD3F28"/>
    <w:rsid w:val="00DD4371"/>
    <w:rsid w:val="00DD4537"/>
    <w:rsid w:val="00DD4E15"/>
    <w:rsid w:val="00DD5C31"/>
    <w:rsid w:val="00DD7796"/>
    <w:rsid w:val="00DD7DF2"/>
    <w:rsid w:val="00DE0270"/>
    <w:rsid w:val="00DE08DF"/>
    <w:rsid w:val="00DE246C"/>
    <w:rsid w:val="00DE3FFD"/>
    <w:rsid w:val="00DE4C9B"/>
    <w:rsid w:val="00DE4FCB"/>
    <w:rsid w:val="00DE58B4"/>
    <w:rsid w:val="00DE67F3"/>
    <w:rsid w:val="00DF0D9E"/>
    <w:rsid w:val="00DF4C63"/>
    <w:rsid w:val="00DF5D2B"/>
    <w:rsid w:val="00DF61DB"/>
    <w:rsid w:val="00E007B1"/>
    <w:rsid w:val="00E02EEC"/>
    <w:rsid w:val="00E03B15"/>
    <w:rsid w:val="00E0660A"/>
    <w:rsid w:val="00E10149"/>
    <w:rsid w:val="00E110D1"/>
    <w:rsid w:val="00E12796"/>
    <w:rsid w:val="00E12E9B"/>
    <w:rsid w:val="00E161A8"/>
    <w:rsid w:val="00E16372"/>
    <w:rsid w:val="00E202A9"/>
    <w:rsid w:val="00E20ED6"/>
    <w:rsid w:val="00E21358"/>
    <w:rsid w:val="00E2249B"/>
    <w:rsid w:val="00E22A0D"/>
    <w:rsid w:val="00E2379F"/>
    <w:rsid w:val="00E241E4"/>
    <w:rsid w:val="00E2771E"/>
    <w:rsid w:val="00E27DB1"/>
    <w:rsid w:val="00E30477"/>
    <w:rsid w:val="00E324F8"/>
    <w:rsid w:val="00E32829"/>
    <w:rsid w:val="00E33C39"/>
    <w:rsid w:val="00E35F6A"/>
    <w:rsid w:val="00E37569"/>
    <w:rsid w:val="00E405E7"/>
    <w:rsid w:val="00E408F9"/>
    <w:rsid w:val="00E41E30"/>
    <w:rsid w:val="00E43D70"/>
    <w:rsid w:val="00E45A10"/>
    <w:rsid w:val="00E47B2C"/>
    <w:rsid w:val="00E51560"/>
    <w:rsid w:val="00E52335"/>
    <w:rsid w:val="00E55424"/>
    <w:rsid w:val="00E55B1E"/>
    <w:rsid w:val="00E55BB5"/>
    <w:rsid w:val="00E60247"/>
    <w:rsid w:val="00E6040F"/>
    <w:rsid w:val="00E61B80"/>
    <w:rsid w:val="00E63900"/>
    <w:rsid w:val="00E6396E"/>
    <w:rsid w:val="00E65D9E"/>
    <w:rsid w:val="00E65E79"/>
    <w:rsid w:val="00E669A7"/>
    <w:rsid w:val="00E66F3D"/>
    <w:rsid w:val="00E66F61"/>
    <w:rsid w:val="00E67416"/>
    <w:rsid w:val="00E718B6"/>
    <w:rsid w:val="00E73581"/>
    <w:rsid w:val="00E751DD"/>
    <w:rsid w:val="00E76FDF"/>
    <w:rsid w:val="00E7782A"/>
    <w:rsid w:val="00E77DD8"/>
    <w:rsid w:val="00E8194D"/>
    <w:rsid w:val="00E83841"/>
    <w:rsid w:val="00E83BDF"/>
    <w:rsid w:val="00E84A7F"/>
    <w:rsid w:val="00E867A9"/>
    <w:rsid w:val="00E91773"/>
    <w:rsid w:val="00E962A4"/>
    <w:rsid w:val="00EA0DF9"/>
    <w:rsid w:val="00EA14CC"/>
    <w:rsid w:val="00EA3864"/>
    <w:rsid w:val="00EA7540"/>
    <w:rsid w:val="00EB15B6"/>
    <w:rsid w:val="00EB182D"/>
    <w:rsid w:val="00EB4916"/>
    <w:rsid w:val="00EB5674"/>
    <w:rsid w:val="00EB5A70"/>
    <w:rsid w:val="00EC00C9"/>
    <w:rsid w:val="00EC0660"/>
    <w:rsid w:val="00EC1367"/>
    <w:rsid w:val="00EC1895"/>
    <w:rsid w:val="00EC6219"/>
    <w:rsid w:val="00EC78EC"/>
    <w:rsid w:val="00ED1DAB"/>
    <w:rsid w:val="00ED265C"/>
    <w:rsid w:val="00EE07D3"/>
    <w:rsid w:val="00EE47C9"/>
    <w:rsid w:val="00EE72FF"/>
    <w:rsid w:val="00EE7ACA"/>
    <w:rsid w:val="00EF019E"/>
    <w:rsid w:val="00EF15F7"/>
    <w:rsid w:val="00EF26F1"/>
    <w:rsid w:val="00EF2858"/>
    <w:rsid w:val="00EF3959"/>
    <w:rsid w:val="00EF429F"/>
    <w:rsid w:val="00EF5B18"/>
    <w:rsid w:val="00EF62EB"/>
    <w:rsid w:val="00EF7C57"/>
    <w:rsid w:val="00F000B9"/>
    <w:rsid w:val="00F00EC7"/>
    <w:rsid w:val="00F018E6"/>
    <w:rsid w:val="00F02EA0"/>
    <w:rsid w:val="00F047FB"/>
    <w:rsid w:val="00F05F28"/>
    <w:rsid w:val="00F06221"/>
    <w:rsid w:val="00F067A2"/>
    <w:rsid w:val="00F12BBF"/>
    <w:rsid w:val="00F1713C"/>
    <w:rsid w:val="00F17297"/>
    <w:rsid w:val="00F20C92"/>
    <w:rsid w:val="00F22162"/>
    <w:rsid w:val="00F24837"/>
    <w:rsid w:val="00F2575F"/>
    <w:rsid w:val="00F26F35"/>
    <w:rsid w:val="00F308CF"/>
    <w:rsid w:val="00F312EC"/>
    <w:rsid w:val="00F33C44"/>
    <w:rsid w:val="00F33DE9"/>
    <w:rsid w:val="00F3444A"/>
    <w:rsid w:val="00F34833"/>
    <w:rsid w:val="00F3619A"/>
    <w:rsid w:val="00F37A46"/>
    <w:rsid w:val="00F4103C"/>
    <w:rsid w:val="00F42618"/>
    <w:rsid w:val="00F43437"/>
    <w:rsid w:val="00F46CB6"/>
    <w:rsid w:val="00F47C68"/>
    <w:rsid w:val="00F53EA3"/>
    <w:rsid w:val="00F55E73"/>
    <w:rsid w:val="00F5706C"/>
    <w:rsid w:val="00F5798B"/>
    <w:rsid w:val="00F60092"/>
    <w:rsid w:val="00F60DCF"/>
    <w:rsid w:val="00F65343"/>
    <w:rsid w:val="00F677E4"/>
    <w:rsid w:val="00F717A6"/>
    <w:rsid w:val="00F720B0"/>
    <w:rsid w:val="00F7373F"/>
    <w:rsid w:val="00F73744"/>
    <w:rsid w:val="00F77096"/>
    <w:rsid w:val="00F80E5D"/>
    <w:rsid w:val="00F813CD"/>
    <w:rsid w:val="00F8181C"/>
    <w:rsid w:val="00F851CE"/>
    <w:rsid w:val="00F879AD"/>
    <w:rsid w:val="00F96679"/>
    <w:rsid w:val="00F96D31"/>
    <w:rsid w:val="00F97A78"/>
    <w:rsid w:val="00FA0302"/>
    <w:rsid w:val="00FA0CFF"/>
    <w:rsid w:val="00FA0DEC"/>
    <w:rsid w:val="00FA1C81"/>
    <w:rsid w:val="00FA24E7"/>
    <w:rsid w:val="00FA4A7B"/>
    <w:rsid w:val="00FA63CF"/>
    <w:rsid w:val="00FA7381"/>
    <w:rsid w:val="00FB2FCB"/>
    <w:rsid w:val="00FB3DF3"/>
    <w:rsid w:val="00FB4F27"/>
    <w:rsid w:val="00FB6CF3"/>
    <w:rsid w:val="00FC1074"/>
    <w:rsid w:val="00FC1884"/>
    <w:rsid w:val="00FC59B3"/>
    <w:rsid w:val="00FC5D7C"/>
    <w:rsid w:val="00FC6C17"/>
    <w:rsid w:val="00FC7D24"/>
    <w:rsid w:val="00FD1829"/>
    <w:rsid w:val="00FD207E"/>
    <w:rsid w:val="00FD2100"/>
    <w:rsid w:val="00FD446D"/>
    <w:rsid w:val="00FD5199"/>
    <w:rsid w:val="00FD7567"/>
    <w:rsid w:val="00FE0DD7"/>
    <w:rsid w:val="00FE3DB5"/>
    <w:rsid w:val="00FE444B"/>
    <w:rsid w:val="00FE4587"/>
    <w:rsid w:val="00FE5FA5"/>
    <w:rsid w:val="00FE70A6"/>
    <w:rsid w:val="00FE7556"/>
    <w:rsid w:val="00FF0032"/>
    <w:rsid w:val="00FF10A9"/>
    <w:rsid w:val="00FF3C7B"/>
    <w:rsid w:val="00FF3DCF"/>
    <w:rsid w:val="00FF48D1"/>
    <w:rsid w:val="00FF556B"/>
    <w:rsid w:val="00FF5AA3"/>
    <w:rsid w:val="00FF66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34833"/>
    <w:pPr>
      <w:widowControl w:val="0"/>
      <w:jc w:val="both"/>
    </w:pPr>
    <w:rPr>
      <w:rFonts w:ascii="Arial" w:hAnsi="Arial" w:cs="Arial"/>
      <w:snapToGrid w:val="0"/>
      <w:sz w:val="22"/>
      <w:lang w:eastAsia="en-US"/>
    </w:rPr>
  </w:style>
  <w:style w:type="paragraph" w:styleId="Heading1">
    <w:name w:val="heading 1"/>
    <w:basedOn w:val="Normal"/>
    <w:next w:val="Normal"/>
    <w:qFormat/>
    <w:rsid w:val="00CD1661"/>
    <w:pPr>
      <w:ind w:left="720" w:hanging="720"/>
      <w:outlineLvl w:val="0"/>
    </w:pPr>
    <w:rPr>
      <w:rFonts w:ascii="Arial Bold" w:hAnsi="Arial Bold"/>
      <w:b/>
      <w:caps/>
    </w:rPr>
  </w:style>
  <w:style w:type="paragraph" w:styleId="Heading2">
    <w:name w:val="heading 2"/>
    <w:basedOn w:val="Normal"/>
    <w:next w:val="Normal"/>
    <w:link w:val="Heading2Char"/>
    <w:qFormat/>
    <w:rsid w:val="00AF0595"/>
    <w:pPr>
      <w:outlineLvl w:val="1"/>
    </w:pPr>
    <w:rPr>
      <w:b/>
      <w:bCs/>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AF0595"/>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8E2302"/>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9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F0595"/>
    <w:pPr>
      <w:numPr>
        <w:numId w:val="64"/>
      </w:numPr>
      <w:outlineLvl w:val="0"/>
    </w:pPr>
    <w:rPr>
      <w:rFonts w:ascii="Arial" w:hAnsi="Arial" w:cs="Arial"/>
      <w:b/>
      <w:snapToGrid w:val="0"/>
      <w:sz w:val="22"/>
      <w:szCs w:val="22"/>
      <w:lang w:eastAsia="en-US"/>
    </w:rPr>
  </w:style>
  <w:style w:type="paragraph" w:styleId="DocumentMap">
    <w:name w:val="Document Map"/>
    <w:basedOn w:val="Normal"/>
    <w:link w:val="DocumentMapChar"/>
    <w:semiHidden/>
    <w:unhideWhenUsed/>
    <w:rsid w:val="00340237"/>
    <w:rPr>
      <w:rFonts w:ascii="Lucida Grande" w:hAnsi="Lucida Grande" w:cs="Lucida Grande"/>
      <w:sz w:val="24"/>
      <w:szCs w:val="24"/>
    </w:rPr>
  </w:style>
  <w:style w:type="character" w:customStyle="1" w:styleId="DocumentMapChar">
    <w:name w:val="Document Map Char"/>
    <w:basedOn w:val="DefaultParagraphFont"/>
    <w:link w:val="DocumentMap"/>
    <w:semiHidden/>
    <w:rsid w:val="00340237"/>
    <w:rPr>
      <w:rFonts w:ascii="Lucida Grande" w:hAnsi="Lucida Grande" w:cs="Lucida Grande"/>
      <w:snapToGrid w:val="0"/>
      <w:sz w:val="24"/>
      <w:szCs w:val="24"/>
      <w:lang w:eastAsia="en-US"/>
    </w:rPr>
  </w:style>
  <w:style w:type="character" w:customStyle="1" w:styleId="ListParagraphChar">
    <w:name w:val="List Paragraph Char"/>
    <w:link w:val="ListParagraph"/>
    <w:uiPriority w:val="72"/>
    <w:rsid w:val="00EF5B18"/>
    <w:rPr>
      <w:rFonts w:ascii="Arial" w:hAnsi="Arial" w:cs="Arial"/>
      <w:snapToGrid w:val="0"/>
      <w:sz w:val="22"/>
      <w:lang w:eastAsia="en-US"/>
    </w:rPr>
  </w:style>
  <w:style w:type="paragraph" w:styleId="FootnoteText">
    <w:name w:val="footnote text"/>
    <w:basedOn w:val="Normal"/>
    <w:link w:val="FootnoteTextChar"/>
    <w:unhideWhenUsed/>
    <w:rsid w:val="000B4803"/>
    <w:rPr>
      <w:sz w:val="24"/>
      <w:szCs w:val="24"/>
    </w:rPr>
  </w:style>
  <w:style w:type="character" w:customStyle="1" w:styleId="FootnoteTextChar">
    <w:name w:val="Footnote Text Char"/>
    <w:basedOn w:val="DefaultParagraphFont"/>
    <w:link w:val="FootnoteText"/>
    <w:rsid w:val="000B4803"/>
    <w:rPr>
      <w:rFonts w:ascii="Arial" w:hAnsi="Arial" w:cs="Arial"/>
      <w:snapToGrid w:val="0"/>
      <w:sz w:val="24"/>
      <w:szCs w:val="24"/>
      <w:lang w:eastAsia="en-US"/>
    </w:rPr>
  </w:style>
  <w:style w:type="character" w:styleId="FootnoteReference">
    <w:name w:val="footnote reference"/>
    <w:basedOn w:val="DefaultParagraphFont"/>
    <w:unhideWhenUsed/>
    <w:rsid w:val="000B4803"/>
    <w:rPr>
      <w:vertAlign w:val="superscript"/>
    </w:rPr>
  </w:style>
  <w:style w:type="character" w:styleId="FollowedHyperlink">
    <w:name w:val="FollowedHyperlink"/>
    <w:basedOn w:val="DefaultParagraphFont"/>
    <w:semiHidden/>
    <w:unhideWhenUsed/>
    <w:rsid w:val="000B4803"/>
    <w:rPr>
      <w:color w:val="800080" w:themeColor="followedHyperlink"/>
      <w:u w:val="single"/>
    </w:rPr>
  </w:style>
  <w:style w:type="character" w:customStyle="1" w:styleId="TableTextChar0">
    <w:name w:val="TableText Char"/>
    <w:link w:val="TableText0"/>
    <w:uiPriority w:val="99"/>
    <w:rsid w:val="00CA01E7"/>
    <w:rPr>
      <w:rFonts w:ascii="Arial Narrow" w:hAnsi="Arial Narrow" w:cs="Arial Narrow"/>
      <w:lang w:eastAsia="en-US"/>
    </w:rPr>
  </w:style>
  <w:style w:type="paragraph" w:customStyle="1" w:styleId="TableText1">
    <w:name w:val="Table Text"/>
    <w:basedOn w:val="Normal"/>
    <w:link w:val="TableTextChar1"/>
    <w:uiPriority w:val="99"/>
    <w:qFormat/>
    <w:rsid w:val="00D937DC"/>
    <w:pPr>
      <w:keepNext/>
      <w:keepLines/>
      <w:widowControl/>
      <w:spacing w:before="60" w:after="40"/>
    </w:pPr>
    <w:rPr>
      <w:rFonts w:ascii="Arial Narrow" w:hAnsi="Arial Narrow" w:cs="Times New Roman"/>
      <w:snapToGrid/>
      <w:sz w:val="20"/>
      <w:szCs w:val="24"/>
      <w:lang w:eastAsia="en-AU"/>
    </w:rPr>
  </w:style>
  <w:style w:type="character" w:customStyle="1" w:styleId="TableTextChar1">
    <w:name w:val="Table Text Char"/>
    <w:link w:val="TableText1"/>
    <w:uiPriority w:val="99"/>
    <w:locked/>
    <w:rsid w:val="00D937DC"/>
    <w:rPr>
      <w:rFonts w:ascii="Arial Narrow" w:hAnsi="Arial Narrow"/>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24769"/>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F34833"/>
    <w:pPr>
      <w:widowControl w:val="0"/>
      <w:jc w:val="both"/>
    </w:pPr>
    <w:rPr>
      <w:rFonts w:ascii="Arial" w:hAnsi="Arial" w:cs="Arial"/>
      <w:snapToGrid w:val="0"/>
      <w:sz w:val="22"/>
      <w:lang w:eastAsia="en-US"/>
    </w:rPr>
  </w:style>
  <w:style w:type="paragraph" w:styleId="Heading1">
    <w:name w:val="heading 1"/>
    <w:basedOn w:val="Normal"/>
    <w:next w:val="Normal"/>
    <w:qFormat/>
    <w:rsid w:val="00CD1661"/>
    <w:pPr>
      <w:ind w:left="720" w:hanging="720"/>
      <w:outlineLvl w:val="0"/>
    </w:pPr>
    <w:rPr>
      <w:rFonts w:ascii="Arial Bold" w:hAnsi="Arial Bold"/>
      <w:b/>
      <w:caps/>
    </w:rPr>
  </w:style>
  <w:style w:type="paragraph" w:styleId="Heading2">
    <w:name w:val="heading 2"/>
    <w:basedOn w:val="Normal"/>
    <w:next w:val="Normal"/>
    <w:link w:val="Heading2Char"/>
    <w:qFormat/>
    <w:rsid w:val="00AF0595"/>
    <w:pPr>
      <w:outlineLvl w:val="1"/>
    </w:pPr>
    <w:rPr>
      <w:b/>
      <w:bCs/>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AF0595"/>
    <w:rPr>
      <w:rFonts w:ascii="Arial" w:hAnsi="Arial" w:cs="Arial"/>
      <w:b/>
      <w:bCs/>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8E2302"/>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uiPriority w:val="9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AF0595"/>
    <w:pPr>
      <w:numPr>
        <w:numId w:val="64"/>
      </w:numPr>
      <w:outlineLvl w:val="0"/>
    </w:pPr>
    <w:rPr>
      <w:rFonts w:ascii="Arial" w:hAnsi="Arial" w:cs="Arial"/>
      <w:b/>
      <w:snapToGrid w:val="0"/>
      <w:sz w:val="22"/>
      <w:szCs w:val="22"/>
      <w:lang w:eastAsia="en-US"/>
    </w:rPr>
  </w:style>
  <w:style w:type="paragraph" w:styleId="DocumentMap">
    <w:name w:val="Document Map"/>
    <w:basedOn w:val="Normal"/>
    <w:link w:val="DocumentMapChar"/>
    <w:semiHidden/>
    <w:unhideWhenUsed/>
    <w:rsid w:val="00340237"/>
    <w:rPr>
      <w:rFonts w:ascii="Lucida Grande" w:hAnsi="Lucida Grande" w:cs="Lucida Grande"/>
      <w:sz w:val="24"/>
      <w:szCs w:val="24"/>
    </w:rPr>
  </w:style>
  <w:style w:type="character" w:customStyle="1" w:styleId="DocumentMapChar">
    <w:name w:val="Document Map Char"/>
    <w:basedOn w:val="DefaultParagraphFont"/>
    <w:link w:val="DocumentMap"/>
    <w:semiHidden/>
    <w:rsid w:val="00340237"/>
    <w:rPr>
      <w:rFonts w:ascii="Lucida Grande" w:hAnsi="Lucida Grande" w:cs="Lucida Grande"/>
      <w:snapToGrid w:val="0"/>
      <w:sz w:val="24"/>
      <w:szCs w:val="24"/>
      <w:lang w:eastAsia="en-US"/>
    </w:rPr>
  </w:style>
  <w:style w:type="character" w:customStyle="1" w:styleId="ListParagraphChar">
    <w:name w:val="List Paragraph Char"/>
    <w:link w:val="ListParagraph"/>
    <w:uiPriority w:val="72"/>
    <w:rsid w:val="00EF5B18"/>
    <w:rPr>
      <w:rFonts w:ascii="Arial" w:hAnsi="Arial" w:cs="Arial"/>
      <w:snapToGrid w:val="0"/>
      <w:sz w:val="22"/>
      <w:lang w:eastAsia="en-US"/>
    </w:rPr>
  </w:style>
  <w:style w:type="paragraph" w:styleId="FootnoteText">
    <w:name w:val="footnote text"/>
    <w:basedOn w:val="Normal"/>
    <w:link w:val="FootnoteTextChar"/>
    <w:unhideWhenUsed/>
    <w:rsid w:val="000B4803"/>
    <w:rPr>
      <w:sz w:val="24"/>
      <w:szCs w:val="24"/>
    </w:rPr>
  </w:style>
  <w:style w:type="character" w:customStyle="1" w:styleId="FootnoteTextChar">
    <w:name w:val="Footnote Text Char"/>
    <w:basedOn w:val="DefaultParagraphFont"/>
    <w:link w:val="FootnoteText"/>
    <w:rsid w:val="000B4803"/>
    <w:rPr>
      <w:rFonts w:ascii="Arial" w:hAnsi="Arial" w:cs="Arial"/>
      <w:snapToGrid w:val="0"/>
      <w:sz w:val="24"/>
      <w:szCs w:val="24"/>
      <w:lang w:eastAsia="en-US"/>
    </w:rPr>
  </w:style>
  <w:style w:type="character" w:styleId="FootnoteReference">
    <w:name w:val="footnote reference"/>
    <w:basedOn w:val="DefaultParagraphFont"/>
    <w:unhideWhenUsed/>
    <w:rsid w:val="000B4803"/>
    <w:rPr>
      <w:vertAlign w:val="superscript"/>
    </w:rPr>
  </w:style>
  <w:style w:type="character" w:styleId="FollowedHyperlink">
    <w:name w:val="FollowedHyperlink"/>
    <w:basedOn w:val="DefaultParagraphFont"/>
    <w:semiHidden/>
    <w:unhideWhenUsed/>
    <w:rsid w:val="000B4803"/>
    <w:rPr>
      <w:color w:val="800080" w:themeColor="followedHyperlink"/>
      <w:u w:val="single"/>
    </w:rPr>
  </w:style>
  <w:style w:type="character" w:customStyle="1" w:styleId="TableTextChar0">
    <w:name w:val="TableText Char"/>
    <w:link w:val="TableText0"/>
    <w:uiPriority w:val="99"/>
    <w:rsid w:val="00CA01E7"/>
    <w:rPr>
      <w:rFonts w:ascii="Arial Narrow" w:hAnsi="Arial Narrow" w:cs="Arial Narrow"/>
      <w:lang w:eastAsia="en-US"/>
    </w:rPr>
  </w:style>
  <w:style w:type="paragraph" w:customStyle="1" w:styleId="TableText1">
    <w:name w:val="Table Text"/>
    <w:basedOn w:val="Normal"/>
    <w:link w:val="TableTextChar1"/>
    <w:uiPriority w:val="99"/>
    <w:qFormat/>
    <w:rsid w:val="00D937DC"/>
    <w:pPr>
      <w:keepNext/>
      <w:keepLines/>
      <w:widowControl/>
      <w:spacing w:before="60" w:after="40"/>
    </w:pPr>
    <w:rPr>
      <w:rFonts w:ascii="Arial Narrow" w:hAnsi="Arial Narrow" w:cs="Times New Roman"/>
      <w:snapToGrid/>
      <w:sz w:val="20"/>
      <w:szCs w:val="24"/>
      <w:lang w:eastAsia="en-AU"/>
    </w:rPr>
  </w:style>
  <w:style w:type="character" w:customStyle="1" w:styleId="TableTextChar1">
    <w:name w:val="Table Text Char"/>
    <w:link w:val="TableText1"/>
    <w:uiPriority w:val="99"/>
    <w:locked/>
    <w:rsid w:val="00D937DC"/>
    <w:rPr>
      <w:rFonts w:ascii="Arial Narrow" w:hAnsi="Arial Narrow"/>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24769"/>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601">
      <w:bodyDiv w:val="1"/>
      <w:marLeft w:val="0"/>
      <w:marRight w:val="0"/>
      <w:marTop w:val="0"/>
      <w:marBottom w:val="0"/>
      <w:divBdr>
        <w:top w:val="none" w:sz="0" w:space="0" w:color="auto"/>
        <w:left w:val="none" w:sz="0" w:space="0" w:color="auto"/>
        <w:bottom w:val="none" w:sz="0" w:space="0" w:color="auto"/>
        <w:right w:val="none" w:sz="0" w:space="0" w:color="auto"/>
      </w:divBdr>
    </w:div>
    <w:div w:id="118691748">
      <w:bodyDiv w:val="1"/>
      <w:marLeft w:val="0"/>
      <w:marRight w:val="0"/>
      <w:marTop w:val="0"/>
      <w:marBottom w:val="0"/>
      <w:divBdr>
        <w:top w:val="none" w:sz="0" w:space="0" w:color="auto"/>
        <w:left w:val="none" w:sz="0" w:space="0" w:color="auto"/>
        <w:bottom w:val="none" w:sz="0" w:space="0" w:color="auto"/>
        <w:right w:val="none" w:sz="0" w:space="0" w:color="auto"/>
      </w:divBdr>
    </w:div>
    <w:div w:id="265231096">
      <w:bodyDiv w:val="1"/>
      <w:marLeft w:val="0"/>
      <w:marRight w:val="0"/>
      <w:marTop w:val="0"/>
      <w:marBottom w:val="0"/>
      <w:divBdr>
        <w:top w:val="none" w:sz="0" w:space="0" w:color="auto"/>
        <w:left w:val="none" w:sz="0" w:space="0" w:color="auto"/>
        <w:bottom w:val="none" w:sz="0" w:space="0" w:color="auto"/>
        <w:right w:val="none" w:sz="0" w:space="0" w:color="auto"/>
      </w:divBdr>
    </w:div>
    <w:div w:id="365983186">
      <w:bodyDiv w:val="1"/>
      <w:marLeft w:val="0"/>
      <w:marRight w:val="0"/>
      <w:marTop w:val="0"/>
      <w:marBottom w:val="0"/>
      <w:divBdr>
        <w:top w:val="none" w:sz="0" w:space="0" w:color="auto"/>
        <w:left w:val="none" w:sz="0" w:space="0" w:color="auto"/>
        <w:bottom w:val="none" w:sz="0" w:space="0" w:color="auto"/>
        <w:right w:val="none" w:sz="0" w:space="0" w:color="auto"/>
      </w:divBdr>
    </w:div>
    <w:div w:id="411047490">
      <w:bodyDiv w:val="1"/>
      <w:marLeft w:val="0"/>
      <w:marRight w:val="0"/>
      <w:marTop w:val="0"/>
      <w:marBottom w:val="0"/>
      <w:divBdr>
        <w:top w:val="none" w:sz="0" w:space="0" w:color="auto"/>
        <w:left w:val="none" w:sz="0" w:space="0" w:color="auto"/>
        <w:bottom w:val="none" w:sz="0" w:space="0" w:color="auto"/>
        <w:right w:val="none" w:sz="0" w:space="0" w:color="auto"/>
      </w:divBdr>
    </w:div>
    <w:div w:id="448400291">
      <w:bodyDiv w:val="1"/>
      <w:marLeft w:val="0"/>
      <w:marRight w:val="0"/>
      <w:marTop w:val="0"/>
      <w:marBottom w:val="0"/>
      <w:divBdr>
        <w:top w:val="none" w:sz="0" w:space="0" w:color="auto"/>
        <w:left w:val="none" w:sz="0" w:space="0" w:color="auto"/>
        <w:bottom w:val="none" w:sz="0" w:space="0" w:color="auto"/>
        <w:right w:val="none" w:sz="0" w:space="0" w:color="auto"/>
      </w:divBdr>
    </w:div>
    <w:div w:id="449935311">
      <w:bodyDiv w:val="1"/>
      <w:marLeft w:val="0"/>
      <w:marRight w:val="0"/>
      <w:marTop w:val="0"/>
      <w:marBottom w:val="0"/>
      <w:divBdr>
        <w:top w:val="none" w:sz="0" w:space="0" w:color="auto"/>
        <w:left w:val="none" w:sz="0" w:space="0" w:color="auto"/>
        <w:bottom w:val="none" w:sz="0" w:space="0" w:color="auto"/>
        <w:right w:val="none" w:sz="0" w:space="0" w:color="auto"/>
      </w:divBdr>
    </w:div>
    <w:div w:id="512229412">
      <w:bodyDiv w:val="1"/>
      <w:marLeft w:val="0"/>
      <w:marRight w:val="0"/>
      <w:marTop w:val="0"/>
      <w:marBottom w:val="0"/>
      <w:divBdr>
        <w:top w:val="none" w:sz="0" w:space="0" w:color="auto"/>
        <w:left w:val="none" w:sz="0" w:space="0" w:color="auto"/>
        <w:bottom w:val="none" w:sz="0" w:space="0" w:color="auto"/>
        <w:right w:val="none" w:sz="0" w:space="0" w:color="auto"/>
      </w:divBdr>
    </w:div>
    <w:div w:id="568999021">
      <w:bodyDiv w:val="1"/>
      <w:marLeft w:val="0"/>
      <w:marRight w:val="0"/>
      <w:marTop w:val="0"/>
      <w:marBottom w:val="0"/>
      <w:divBdr>
        <w:top w:val="none" w:sz="0" w:space="0" w:color="auto"/>
        <w:left w:val="none" w:sz="0" w:space="0" w:color="auto"/>
        <w:bottom w:val="none" w:sz="0" w:space="0" w:color="auto"/>
        <w:right w:val="none" w:sz="0" w:space="0" w:color="auto"/>
      </w:divBdr>
    </w:div>
    <w:div w:id="838498145">
      <w:bodyDiv w:val="1"/>
      <w:marLeft w:val="0"/>
      <w:marRight w:val="0"/>
      <w:marTop w:val="0"/>
      <w:marBottom w:val="0"/>
      <w:divBdr>
        <w:top w:val="none" w:sz="0" w:space="0" w:color="auto"/>
        <w:left w:val="none" w:sz="0" w:space="0" w:color="auto"/>
        <w:bottom w:val="none" w:sz="0" w:space="0" w:color="auto"/>
        <w:right w:val="none" w:sz="0" w:space="0" w:color="auto"/>
      </w:divBdr>
    </w:div>
    <w:div w:id="845168152">
      <w:bodyDiv w:val="1"/>
      <w:marLeft w:val="0"/>
      <w:marRight w:val="0"/>
      <w:marTop w:val="0"/>
      <w:marBottom w:val="0"/>
      <w:divBdr>
        <w:top w:val="none" w:sz="0" w:space="0" w:color="auto"/>
        <w:left w:val="none" w:sz="0" w:space="0" w:color="auto"/>
        <w:bottom w:val="none" w:sz="0" w:space="0" w:color="auto"/>
        <w:right w:val="none" w:sz="0" w:space="0" w:color="auto"/>
      </w:divBdr>
    </w:div>
    <w:div w:id="868185409">
      <w:bodyDiv w:val="1"/>
      <w:marLeft w:val="0"/>
      <w:marRight w:val="0"/>
      <w:marTop w:val="0"/>
      <w:marBottom w:val="0"/>
      <w:divBdr>
        <w:top w:val="none" w:sz="0" w:space="0" w:color="auto"/>
        <w:left w:val="none" w:sz="0" w:space="0" w:color="auto"/>
        <w:bottom w:val="none" w:sz="0" w:space="0" w:color="auto"/>
        <w:right w:val="none" w:sz="0" w:space="0" w:color="auto"/>
      </w:divBdr>
    </w:div>
    <w:div w:id="979577812">
      <w:bodyDiv w:val="1"/>
      <w:marLeft w:val="0"/>
      <w:marRight w:val="0"/>
      <w:marTop w:val="0"/>
      <w:marBottom w:val="0"/>
      <w:divBdr>
        <w:top w:val="none" w:sz="0" w:space="0" w:color="auto"/>
        <w:left w:val="none" w:sz="0" w:space="0" w:color="auto"/>
        <w:bottom w:val="none" w:sz="0" w:space="0" w:color="auto"/>
        <w:right w:val="none" w:sz="0" w:space="0" w:color="auto"/>
      </w:divBdr>
    </w:div>
    <w:div w:id="1019428645">
      <w:bodyDiv w:val="1"/>
      <w:marLeft w:val="0"/>
      <w:marRight w:val="0"/>
      <w:marTop w:val="0"/>
      <w:marBottom w:val="0"/>
      <w:divBdr>
        <w:top w:val="none" w:sz="0" w:space="0" w:color="auto"/>
        <w:left w:val="none" w:sz="0" w:space="0" w:color="auto"/>
        <w:bottom w:val="none" w:sz="0" w:space="0" w:color="auto"/>
        <w:right w:val="none" w:sz="0" w:space="0" w:color="auto"/>
      </w:divBdr>
    </w:div>
    <w:div w:id="1072309066">
      <w:bodyDiv w:val="1"/>
      <w:marLeft w:val="0"/>
      <w:marRight w:val="0"/>
      <w:marTop w:val="0"/>
      <w:marBottom w:val="0"/>
      <w:divBdr>
        <w:top w:val="none" w:sz="0" w:space="0" w:color="auto"/>
        <w:left w:val="none" w:sz="0" w:space="0" w:color="auto"/>
        <w:bottom w:val="none" w:sz="0" w:space="0" w:color="auto"/>
        <w:right w:val="none" w:sz="0" w:space="0" w:color="auto"/>
      </w:divBdr>
    </w:div>
    <w:div w:id="1081680368">
      <w:bodyDiv w:val="1"/>
      <w:marLeft w:val="0"/>
      <w:marRight w:val="0"/>
      <w:marTop w:val="0"/>
      <w:marBottom w:val="0"/>
      <w:divBdr>
        <w:top w:val="none" w:sz="0" w:space="0" w:color="auto"/>
        <w:left w:val="none" w:sz="0" w:space="0" w:color="auto"/>
        <w:bottom w:val="none" w:sz="0" w:space="0" w:color="auto"/>
        <w:right w:val="none" w:sz="0" w:space="0" w:color="auto"/>
      </w:divBdr>
    </w:div>
    <w:div w:id="1091783144">
      <w:bodyDiv w:val="1"/>
      <w:marLeft w:val="0"/>
      <w:marRight w:val="0"/>
      <w:marTop w:val="0"/>
      <w:marBottom w:val="0"/>
      <w:divBdr>
        <w:top w:val="none" w:sz="0" w:space="0" w:color="auto"/>
        <w:left w:val="none" w:sz="0" w:space="0" w:color="auto"/>
        <w:bottom w:val="none" w:sz="0" w:space="0" w:color="auto"/>
        <w:right w:val="none" w:sz="0" w:space="0" w:color="auto"/>
      </w:divBdr>
    </w:div>
    <w:div w:id="1099571099">
      <w:bodyDiv w:val="1"/>
      <w:marLeft w:val="0"/>
      <w:marRight w:val="0"/>
      <w:marTop w:val="0"/>
      <w:marBottom w:val="0"/>
      <w:divBdr>
        <w:top w:val="none" w:sz="0" w:space="0" w:color="auto"/>
        <w:left w:val="none" w:sz="0" w:space="0" w:color="auto"/>
        <w:bottom w:val="none" w:sz="0" w:space="0" w:color="auto"/>
        <w:right w:val="none" w:sz="0" w:space="0" w:color="auto"/>
      </w:divBdr>
    </w:div>
    <w:div w:id="1320501068">
      <w:bodyDiv w:val="1"/>
      <w:marLeft w:val="0"/>
      <w:marRight w:val="0"/>
      <w:marTop w:val="0"/>
      <w:marBottom w:val="0"/>
      <w:divBdr>
        <w:top w:val="none" w:sz="0" w:space="0" w:color="auto"/>
        <w:left w:val="none" w:sz="0" w:space="0" w:color="auto"/>
        <w:bottom w:val="none" w:sz="0" w:space="0" w:color="auto"/>
        <w:right w:val="none" w:sz="0" w:space="0" w:color="auto"/>
      </w:divBdr>
      <w:divsChild>
        <w:div w:id="691805174">
          <w:marLeft w:val="0"/>
          <w:marRight w:val="1"/>
          <w:marTop w:val="0"/>
          <w:marBottom w:val="0"/>
          <w:divBdr>
            <w:top w:val="none" w:sz="0" w:space="0" w:color="auto"/>
            <w:left w:val="none" w:sz="0" w:space="0" w:color="auto"/>
            <w:bottom w:val="none" w:sz="0" w:space="0" w:color="auto"/>
            <w:right w:val="none" w:sz="0" w:space="0" w:color="auto"/>
          </w:divBdr>
          <w:divsChild>
            <w:div w:id="1387026603">
              <w:marLeft w:val="0"/>
              <w:marRight w:val="0"/>
              <w:marTop w:val="0"/>
              <w:marBottom w:val="0"/>
              <w:divBdr>
                <w:top w:val="none" w:sz="0" w:space="0" w:color="auto"/>
                <w:left w:val="none" w:sz="0" w:space="0" w:color="auto"/>
                <w:bottom w:val="none" w:sz="0" w:space="0" w:color="auto"/>
                <w:right w:val="none" w:sz="0" w:space="0" w:color="auto"/>
              </w:divBdr>
              <w:divsChild>
                <w:div w:id="706371653">
                  <w:marLeft w:val="0"/>
                  <w:marRight w:val="1"/>
                  <w:marTop w:val="0"/>
                  <w:marBottom w:val="0"/>
                  <w:divBdr>
                    <w:top w:val="none" w:sz="0" w:space="0" w:color="auto"/>
                    <w:left w:val="none" w:sz="0" w:space="0" w:color="auto"/>
                    <w:bottom w:val="none" w:sz="0" w:space="0" w:color="auto"/>
                    <w:right w:val="none" w:sz="0" w:space="0" w:color="auto"/>
                  </w:divBdr>
                  <w:divsChild>
                    <w:div w:id="316037778">
                      <w:marLeft w:val="0"/>
                      <w:marRight w:val="0"/>
                      <w:marTop w:val="0"/>
                      <w:marBottom w:val="0"/>
                      <w:divBdr>
                        <w:top w:val="none" w:sz="0" w:space="0" w:color="auto"/>
                        <w:left w:val="none" w:sz="0" w:space="0" w:color="auto"/>
                        <w:bottom w:val="none" w:sz="0" w:space="0" w:color="auto"/>
                        <w:right w:val="none" w:sz="0" w:space="0" w:color="auto"/>
                      </w:divBdr>
                      <w:divsChild>
                        <w:div w:id="2016029376">
                          <w:marLeft w:val="0"/>
                          <w:marRight w:val="0"/>
                          <w:marTop w:val="0"/>
                          <w:marBottom w:val="0"/>
                          <w:divBdr>
                            <w:top w:val="none" w:sz="0" w:space="0" w:color="auto"/>
                            <w:left w:val="none" w:sz="0" w:space="0" w:color="auto"/>
                            <w:bottom w:val="none" w:sz="0" w:space="0" w:color="auto"/>
                            <w:right w:val="none" w:sz="0" w:space="0" w:color="auto"/>
                          </w:divBdr>
                          <w:divsChild>
                            <w:div w:id="284506900">
                              <w:marLeft w:val="0"/>
                              <w:marRight w:val="0"/>
                              <w:marTop w:val="120"/>
                              <w:marBottom w:val="360"/>
                              <w:divBdr>
                                <w:top w:val="none" w:sz="0" w:space="0" w:color="auto"/>
                                <w:left w:val="none" w:sz="0" w:space="0" w:color="auto"/>
                                <w:bottom w:val="none" w:sz="0" w:space="0" w:color="auto"/>
                                <w:right w:val="none" w:sz="0" w:space="0" w:color="auto"/>
                              </w:divBdr>
                              <w:divsChild>
                                <w:div w:id="1895002200">
                                  <w:marLeft w:val="0"/>
                                  <w:marRight w:val="0"/>
                                  <w:marTop w:val="0"/>
                                  <w:marBottom w:val="0"/>
                                  <w:divBdr>
                                    <w:top w:val="none" w:sz="0" w:space="0" w:color="auto"/>
                                    <w:left w:val="none" w:sz="0" w:space="0" w:color="auto"/>
                                    <w:bottom w:val="none" w:sz="0" w:space="0" w:color="auto"/>
                                    <w:right w:val="none" w:sz="0" w:space="0" w:color="auto"/>
                                  </w:divBdr>
                                </w:div>
                                <w:div w:id="181433526">
                                  <w:marLeft w:val="0"/>
                                  <w:marRight w:val="0"/>
                                  <w:marTop w:val="0"/>
                                  <w:marBottom w:val="0"/>
                                  <w:divBdr>
                                    <w:top w:val="none" w:sz="0" w:space="0" w:color="auto"/>
                                    <w:left w:val="none" w:sz="0" w:space="0" w:color="auto"/>
                                    <w:bottom w:val="none" w:sz="0" w:space="0" w:color="auto"/>
                                    <w:right w:val="none" w:sz="0" w:space="0" w:color="auto"/>
                                  </w:divBdr>
                                </w:div>
                                <w:div w:id="925843398">
                                  <w:marLeft w:val="0"/>
                                  <w:marRight w:val="0"/>
                                  <w:marTop w:val="0"/>
                                  <w:marBottom w:val="0"/>
                                  <w:divBdr>
                                    <w:top w:val="none" w:sz="0" w:space="0" w:color="auto"/>
                                    <w:left w:val="none" w:sz="0" w:space="0" w:color="auto"/>
                                    <w:bottom w:val="none" w:sz="0" w:space="0" w:color="auto"/>
                                    <w:right w:val="none" w:sz="0" w:space="0" w:color="auto"/>
                                  </w:divBdr>
                                  <w:divsChild>
                                    <w:div w:id="1317222148">
                                      <w:marLeft w:val="0"/>
                                      <w:marRight w:val="0"/>
                                      <w:marTop w:val="0"/>
                                      <w:marBottom w:val="0"/>
                                      <w:divBdr>
                                        <w:top w:val="none" w:sz="0" w:space="0" w:color="auto"/>
                                        <w:left w:val="none" w:sz="0" w:space="0" w:color="auto"/>
                                        <w:bottom w:val="none" w:sz="0" w:space="0" w:color="auto"/>
                                        <w:right w:val="none" w:sz="0" w:space="0" w:color="auto"/>
                                      </w:divBdr>
                                    </w:div>
                                  </w:divsChild>
                                </w:div>
                                <w:div w:id="2008635505">
                                  <w:marLeft w:val="0"/>
                                  <w:marRight w:val="0"/>
                                  <w:marTop w:val="0"/>
                                  <w:marBottom w:val="0"/>
                                  <w:divBdr>
                                    <w:top w:val="none" w:sz="0" w:space="0" w:color="auto"/>
                                    <w:left w:val="none" w:sz="0" w:space="0" w:color="auto"/>
                                    <w:bottom w:val="none" w:sz="0" w:space="0" w:color="auto"/>
                                    <w:right w:val="none" w:sz="0" w:space="0" w:color="auto"/>
                                  </w:divBdr>
                                </w:div>
                                <w:div w:id="1593122088">
                                  <w:marLeft w:val="0"/>
                                  <w:marRight w:val="0"/>
                                  <w:marTop w:val="0"/>
                                  <w:marBottom w:val="0"/>
                                  <w:divBdr>
                                    <w:top w:val="none" w:sz="0" w:space="0" w:color="auto"/>
                                    <w:left w:val="none" w:sz="0" w:space="0" w:color="auto"/>
                                    <w:bottom w:val="none" w:sz="0" w:space="0" w:color="auto"/>
                                    <w:right w:val="none" w:sz="0" w:space="0" w:color="auto"/>
                                  </w:divBdr>
                                  <w:divsChild>
                                    <w:div w:id="4306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024978">
      <w:bodyDiv w:val="1"/>
      <w:marLeft w:val="0"/>
      <w:marRight w:val="0"/>
      <w:marTop w:val="0"/>
      <w:marBottom w:val="0"/>
      <w:divBdr>
        <w:top w:val="none" w:sz="0" w:space="0" w:color="auto"/>
        <w:left w:val="none" w:sz="0" w:space="0" w:color="auto"/>
        <w:bottom w:val="none" w:sz="0" w:space="0" w:color="auto"/>
        <w:right w:val="none" w:sz="0" w:space="0" w:color="auto"/>
      </w:divBdr>
    </w:div>
    <w:div w:id="1487362706">
      <w:bodyDiv w:val="1"/>
      <w:marLeft w:val="0"/>
      <w:marRight w:val="0"/>
      <w:marTop w:val="0"/>
      <w:marBottom w:val="0"/>
      <w:divBdr>
        <w:top w:val="none" w:sz="0" w:space="0" w:color="auto"/>
        <w:left w:val="none" w:sz="0" w:space="0" w:color="auto"/>
        <w:bottom w:val="none" w:sz="0" w:space="0" w:color="auto"/>
        <w:right w:val="none" w:sz="0" w:space="0" w:color="auto"/>
      </w:divBdr>
    </w:div>
    <w:div w:id="1520586360">
      <w:bodyDiv w:val="1"/>
      <w:marLeft w:val="0"/>
      <w:marRight w:val="0"/>
      <w:marTop w:val="0"/>
      <w:marBottom w:val="0"/>
      <w:divBdr>
        <w:top w:val="none" w:sz="0" w:space="0" w:color="auto"/>
        <w:left w:val="none" w:sz="0" w:space="0" w:color="auto"/>
        <w:bottom w:val="none" w:sz="0" w:space="0" w:color="auto"/>
        <w:right w:val="none" w:sz="0" w:space="0" w:color="auto"/>
      </w:divBdr>
    </w:div>
    <w:div w:id="1645432370">
      <w:bodyDiv w:val="1"/>
      <w:marLeft w:val="0"/>
      <w:marRight w:val="0"/>
      <w:marTop w:val="0"/>
      <w:marBottom w:val="0"/>
      <w:divBdr>
        <w:top w:val="none" w:sz="0" w:space="0" w:color="auto"/>
        <w:left w:val="none" w:sz="0" w:space="0" w:color="auto"/>
        <w:bottom w:val="none" w:sz="0" w:space="0" w:color="auto"/>
        <w:right w:val="none" w:sz="0" w:space="0" w:color="auto"/>
      </w:divBdr>
    </w:div>
    <w:div w:id="1671912172">
      <w:bodyDiv w:val="1"/>
      <w:marLeft w:val="0"/>
      <w:marRight w:val="0"/>
      <w:marTop w:val="0"/>
      <w:marBottom w:val="0"/>
      <w:divBdr>
        <w:top w:val="none" w:sz="0" w:space="0" w:color="auto"/>
        <w:left w:val="none" w:sz="0" w:space="0" w:color="auto"/>
        <w:bottom w:val="none" w:sz="0" w:space="0" w:color="auto"/>
        <w:right w:val="none" w:sz="0" w:space="0" w:color="auto"/>
      </w:divBdr>
    </w:div>
    <w:div w:id="1720517168">
      <w:bodyDiv w:val="1"/>
      <w:marLeft w:val="0"/>
      <w:marRight w:val="0"/>
      <w:marTop w:val="0"/>
      <w:marBottom w:val="0"/>
      <w:divBdr>
        <w:top w:val="none" w:sz="0" w:space="0" w:color="auto"/>
        <w:left w:val="none" w:sz="0" w:space="0" w:color="auto"/>
        <w:bottom w:val="none" w:sz="0" w:space="0" w:color="auto"/>
        <w:right w:val="none" w:sz="0" w:space="0" w:color="auto"/>
      </w:divBdr>
    </w:div>
    <w:div w:id="1898276237">
      <w:bodyDiv w:val="1"/>
      <w:marLeft w:val="0"/>
      <w:marRight w:val="0"/>
      <w:marTop w:val="0"/>
      <w:marBottom w:val="0"/>
      <w:divBdr>
        <w:top w:val="none" w:sz="0" w:space="0" w:color="auto"/>
        <w:left w:val="none" w:sz="0" w:space="0" w:color="auto"/>
        <w:bottom w:val="none" w:sz="0" w:space="0" w:color="auto"/>
        <w:right w:val="none" w:sz="0" w:space="0" w:color="auto"/>
      </w:divBdr>
    </w:div>
    <w:div w:id="1898929318">
      <w:bodyDiv w:val="1"/>
      <w:marLeft w:val="0"/>
      <w:marRight w:val="0"/>
      <w:marTop w:val="0"/>
      <w:marBottom w:val="0"/>
      <w:divBdr>
        <w:top w:val="none" w:sz="0" w:space="0" w:color="auto"/>
        <w:left w:val="none" w:sz="0" w:space="0" w:color="auto"/>
        <w:bottom w:val="none" w:sz="0" w:space="0" w:color="auto"/>
        <w:right w:val="none" w:sz="0" w:space="0" w:color="auto"/>
      </w:divBdr>
    </w:div>
    <w:div w:id="1921674665">
      <w:bodyDiv w:val="1"/>
      <w:marLeft w:val="0"/>
      <w:marRight w:val="0"/>
      <w:marTop w:val="0"/>
      <w:marBottom w:val="0"/>
      <w:divBdr>
        <w:top w:val="none" w:sz="0" w:space="0" w:color="auto"/>
        <w:left w:val="none" w:sz="0" w:space="0" w:color="auto"/>
        <w:bottom w:val="none" w:sz="0" w:space="0" w:color="auto"/>
        <w:right w:val="none" w:sz="0" w:space="0" w:color="auto"/>
      </w:divBdr>
    </w:div>
    <w:div w:id="21352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91FE2-633A-451E-B6A6-17C55FDB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10124</Words>
  <Characters>57707</Characters>
  <Application>Microsoft Office Word</Application>
  <DocSecurity>4</DocSecurity>
  <Lines>480</Lines>
  <Paragraphs>135</Paragraphs>
  <ScaleCrop>false</ScaleCrop>
  <HeadingPairs>
    <vt:vector size="2" baseType="variant">
      <vt:variant>
        <vt:lpstr>Title</vt:lpstr>
      </vt:variant>
      <vt:variant>
        <vt:i4>1</vt:i4>
      </vt:variant>
    </vt:vector>
  </HeadingPairs>
  <TitlesOfParts>
    <vt:vector size="1" baseType="lpstr">
      <vt:lpstr>5.10 NIVOLUMAB and IPILIMUMAB</vt:lpstr>
    </vt:vector>
  </TitlesOfParts>
  <LinksUpToDate>false</LinksUpToDate>
  <CharactersWithSpaces>67696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5.10 NIVOLUMAB and IPILIMUMAB</dc:title>
  <dc:creator/>
  <cp:lastModifiedBy/>
  <cp:revision>1</cp:revision>
  <dcterms:created xsi:type="dcterms:W3CDTF">2016-03-29T00:30:00Z</dcterms:created>
  <dcterms:modified xsi:type="dcterms:W3CDTF">2016-03-29T00:30:00Z</dcterms:modified>
</cp:coreProperties>
</file>