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190" w:rsidRDefault="00230F2A" w:rsidP="00191CC2">
      <w:pPr>
        <w:ind w:left="720" w:hanging="720"/>
        <w:rPr>
          <w:b/>
          <w:sz w:val="28"/>
          <w:szCs w:val="28"/>
        </w:rPr>
      </w:pPr>
      <w:bookmarkStart w:id="0" w:name="_GoBack"/>
      <w:bookmarkEnd w:id="0"/>
      <w:r>
        <w:rPr>
          <w:b/>
          <w:sz w:val="28"/>
          <w:szCs w:val="28"/>
        </w:rPr>
        <w:t>7</w:t>
      </w:r>
      <w:r w:rsidR="009E515A" w:rsidRPr="006D6EC7">
        <w:rPr>
          <w:b/>
          <w:sz w:val="28"/>
          <w:szCs w:val="28"/>
        </w:rPr>
        <w:t>.</w:t>
      </w:r>
      <w:r>
        <w:rPr>
          <w:b/>
          <w:sz w:val="28"/>
          <w:szCs w:val="28"/>
        </w:rPr>
        <w:t>14</w:t>
      </w:r>
      <w:r w:rsidR="009E515A" w:rsidRPr="006D6EC7">
        <w:rPr>
          <w:b/>
          <w:sz w:val="28"/>
          <w:szCs w:val="28"/>
        </w:rPr>
        <w:tab/>
      </w:r>
      <w:r w:rsidR="009E515A">
        <w:rPr>
          <w:b/>
          <w:sz w:val="28"/>
          <w:szCs w:val="28"/>
        </w:rPr>
        <w:t>NIVOLUMAB</w:t>
      </w:r>
      <w:r w:rsidR="00D750F3">
        <w:rPr>
          <w:b/>
          <w:sz w:val="28"/>
          <w:szCs w:val="28"/>
        </w:rPr>
        <w:t xml:space="preserve">, </w:t>
      </w:r>
    </w:p>
    <w:p w:rsidR="009E515A" w:rsidRDefault="00D750F3" w:rsidP="00DD1190">
      <w:pPr>
        <w:ind w:left="720"/>
        <w:rPr>
          <w:b/>
          <w:sz w:val="28"/>
          <w:szCs w:val="28"/>
        </w:rPr>
      </w:pPr>
      <w:r>
        <w:rPr>
          <w:b/>
          <w:sz w:val="28"/>
          <w:szCs w:val="28"/>
        </w:rPr>
        <w:t>concen</w:t>
      </w:r>
      <w:r w:rsidR="00230F2A">
        <w:rPr>
          <w:b/>
          <w:sz w:val="28"/>
          <w:szCs w:val="28"/>
        </w:rPr>
        <w:t>trate solution for infusion, 10 </w:t>
      </w:r>
      <w:r w:rsidR="008D09B4">
        <w:rPr>
          <w:b/>
          <w:sz w:val="28"/>
          <w:szCs w:val="28"/>
        </w:rPr>
        <w:t>mg/mL, 1 x 4 mL vial, 1 </w:t>
      </w:r>
      <w:r>
        <w:rPr>
          <w:b/>
          <w:sz w:val="28"/>
          <w:szCs w:val="28"/>
        </w:rPr>
        <w:t>x</w:t>
      </w:r>
      <w:r w:rsidR="008D09B4">
        <w:rPr>
          <w:b/>
          <w:sz w:val="28"/>
          <w:szCs w:val="28"/>
        </w:rPr>
        <w:t> </w:t>
      </w:r>
      <w:r>
        <w:rPr>
          <w:b/>
          <w:sz w:val="28"/>
          <w:szCs w:val="28"/>
        </w:rPr>
        <w:t>10</w:t>
      </w:r>
      <w:r w:rsidR="008D09B4">
        <w:rPr>
          <w:b/>
          <w:sz w:val="28"/>
          <w:szCs w:val="28"/>
        </w:rPr>
        <w:t> </w:t>
      </w:r>
      <w:r>
        <w:rPr>
          <w:b/>
          <w:sz w:val="28"/>
          <w:szCs w:val="28"/>
        </w:rPr>
        <w:t>mL vial,</w:t>
      </w:r>
    </w:p>
    <w:p w:rsidR="009E515A" w:rsidRPr="006D6EC7" w:rsidRDefault="00D750F3" w:rsidP="009E515A">
      <w:pPr>
        <w:ind w:left="720"/>
        <w:rPr>
          <w:b/>
          <w:sz w:val="28"/>
          <w:szCs w:val="28"/>
        </w:rPr>
      </w:pPr>
      <w:r>
        <w:rPr>
          <w:b/>
          <w:sz w:val="28"/>
          <w:szCs w:val="28"/>
        </w:rPr>
        <w:t>Opdivo</w:t>
      </w:r>
      <w:r w:rsidR="009E515A" w:rsidRPr="006D6EC7">
        <w:rPr>
          <w:b/>
          <w:sz w:val="28"/>
          <w:szCs w:val="28"/>
          <w:vertAlign w:val="superscript"/>
        </w:rPr>
        <w:t>®</w:t>
      </w:r>
      <w:r w:rsidR="009E515A">
        <w:rPr>
          <w:b/>
          <w:sz w:val="28"/>
          <w:szCs w:val="28"/>
        </w:rPr>
        <w:t xml:space="preserve">, </w:t>
      </w:r>
      <w:r>
        <w:rPr>
          <w:b/>
          <w:sz w:val="28"/>
          <w:szCs w:val="28"/>
        </w:rPr>
        <w:t>Bristol Myers Squibb</w:t>
      </w:r>
    </w:p>
    <w:p w:rsidR="009E515A" w:rsidRPr="008D09B4" w:rsidRDefault="009E515A" w:rsidP="00853456">
      <w:pPr>
        <w:outlineLvl w:val="1"/>
      </w:pPr>
    </w:p>
    <w:p w:rsidR="009E515A" w:rsidRPr="008D09B4" w:rsidRDefault="009E515A" w:rsidP="00853456">
      <w:pPr>
        <w:outlineLvl w:val="1"/>
      </w:pPr>
    </w:p>
    <w:p w:rsidR="009E515A" w:rsidRPr="00882085" w:rsidRDefault="009E515A" w:rsidP="009E515A">
      <w:pPr>
        <w:pStyle w:val="ListParagraph"/>
        <w:widowControl/>
        <w:numPr>
          <w:ilvl w:val="0"/>
          <w:numId w:val="1"/>
        </w:numPr>
        <w:rPr>
          <w:b/>
          <w:szCs w:val="22"/>
        </w:rPr>
      </w:pPr>
      <w:r w:rsidRPr="00882085">
        <w:rPr>
          <w:b/>
          <w:szCs w:val="22"/>
        </w:rPr>
        <w:t>Purpose of Application</w:t>
      </w:r>
    </w:p>
    <w:p w:rsidR="009E515A" w:rsidRPr="00882085" w:rsidRDefault="009E515A" w:rsidP="009E515A">
      <w:pPr>
        <w:rPr>
          <w:szCs w:val="22"/>
        </w:rPr>
      </w:pPr>
    </w:p>
    <w:p w:rsidR="009E515A" w:rsidRPr="008D09B4" w:rsidRDefault="009E515A" w:rsidP="009E515A">
      <w:pPr>
        <w:pStyle w:val="ListParagraph"/>
        <w:widowControl/>
        <w:numPr>
          <w:ilvl w:val="1"/>
          <w:numId w:val="1"/>
        </w:numPr>
        <w:rPr>
          <w:szCs w:val="22"/>
        </w:rPr>
      </w:pPr>
      <w:r>
        <w:rPr>
          <w:szCs w:val="22"/>
        </w:rPr>
        <w:t xml:space="preserve">The minor </w:t>
      </w:r>
      <w:r w:rsidR="00591A7B">
        <w:rPr>
          <w:szCs w:val="22"/>
        </w:rPr>
        <w:t>re-</w:t>
      </w:r>
      <w:r>
        <w:rPr>
          <w:szCs w:val="22"/>
        </w:rPr>
        <w:t>submission requested</w:t>
      </w:r>
      <w:r w:rsidR="0044080D">
        <w:rPr>
          <w:szCs w:val="22"/>
        </w:rPr>
        <w:t xml:space="preserve"> </w:t>
      </w:r>
      <w:r w:rsidR="00D750F3">
        <w:rPr>
          <w:szCs w:val="22"/>
        </w:rPr>
        <w:t>a Section 100 (Efficient Funding of Chemotherapy) Authority Required listing for the treatment of unresectable Stage III or Stage IV malignant melanoma.</w:t>
      </w:r>
    </w:p>
    <w:p w:rsidR="009E515A" w:rsidRPr="008D09B4" w:rsidRDefault="009E515A" w:rsidP="00853456">
      <w:pPr>
        <w:outlineLvl w:val="1"/>
      </w:pPr>
    </w:p>
    <w:p w:rsidR="009E515A" w:rsidRPr="008D09B4" w:rsidRDefault="009E515A" w:rsidP="00853456">
      <w:pPr>
        <w:outlineLvl w:val="1"/>
      </w:pPr>
    </w:p>
    <w:p w:rsidR="009E515A" w:rsidRPr="00882085" w:rsidRDefault="009E515A" w:rsidP="009E515A">
      <w:pPr>
        <w:pStyle w:val="ListParagraph"/>
        <w:widowControl/>
        <w:numPr>
          <w:ilvl w:val="0"/>
          <w:numId w:val="1"/>
        </w:numPr>
        <w:rPr>
          <w:b/>
          <w:szCs w:val="22"/>
        </w:rPr>
      </w:pPr>
      <w:r w:rsidRPr="00882085">
        <w:rPr>
          <w:b/>
          <w:szCs w:val="22"/>
        </w:rPr>
        <w:t>Requested listing</w:t>
      </w:r>
    </w:p>
    <w:p w:rsidR="009E515A" w:rsidRPr="008D09B4" w:rsidRDefault="009E515A" w:rsidP="009E515A">
      <w:pPr>
        <w:rPr>
          <w:szCs w:val="22"/>
        </w:rPr>
      </w:pPr>
    </w:p>
    <w:p w:rsidR="009E515A" w:rsidRPr="00660413" w:rsidRDefault="009E515A" w:rsidP="00D750F3">
      <w:pPr>
        <w:pStyle w:val="ListParagraph"/>
        <w:widowControl/>
        <w:numPr>
          <w:ilvl w:val="1"/>
          <w:numId w:val="1"/>
        </w:numPr>
        <w:rPr>
          <w:szCs w:val="22"/>
        </w:rPr>
      </w:pPr>
      <w:r w:rsidRPr="00660413">
        <w:rPr>
          <w:szCs w:val="22"/>
        </w:rPr>
        <w:t xml:space="preserve">The </w:t>
      </w:r>
      <w:r w:rsidR="00304475" w:rsidRPr="00660413">
        <w:rPr>
          <w:szCs w:val="22"/>
        </w:rPr>
        <w:t>re-</w:t>
      </w:r>
      <w:r w:rsidRPr="00660413">
        <w:rPr>
          <w:szCs w:val="22"/>
        </w:rPr>
        <w:t xml:space="preserve">submission requested the </w:t>
      </w:r>
      <w:r w:rsidR="00230F2A" w:rsidRPr="00660413">
        <w:rPr>
          <w:szCs w:val="22"/>
        </w:rPr>
        <w:t>same restriction as per the previous July 2015 submission</w:t>
      </w:r>
      <w:r w:rsidR="00304475" w:rsidRPr="00660413">
        <w:rPr>
          <w:szCs w:val="22"/>
        </w:rPr>
        <w:t xml:space="preserve">. Secretariat suggested wording as per the July 2015 submission is reproduced below with suggestions and additions in </w:t>
      </w:r>
      <w:r w:rsidR="00660413" w:rsidRPr="00660413">
        <w:rPr>
          <w:i/>
          <w:szCs w:val="22"/>
        </w:rPr>
        <w:t>italics</w:t>
      </w:r>
      <w:r w:rsidR="00660413">
        <w:rPr>
          <w:szCs w:val="22"/>
        </w:rPr>
        <w:t xml:space="preserve"> </w:t>
      </w:r>
      <w:r w:rsidR="00304475" w:rsidRPr="00660413">
        <w:rPr>
          <w:szCs w:val="22"/>
        </w:rPr>
        <w:t xml:space="preserve">and deletions in </w:t>
      </w:r>
      <w:r w:rsidR="00304475" w:rsidRPr="00660413">
        <w:rPr>
          <w:strike/>
          <w:szCs w:val="22"/>
        </w:rPr>
        <w:t>strikethrough</w:t>
      </w:r>
      <w:r w:rsidRPr="00660413">
        <w:rPr>
          <w:szCs w:val="22"/>
        </w:rPr>
        <w:t>:</w:t>
      </w:r>
    </w:p>
    <w:p w:rsidR="009E515A" w:rsidRDefault="009E515A" w:rsidP="009E515A">
      <w:pPr>
        <w:outlineLvl w:val="1"/>
        <w:rPr>
          <w:szCs w:val="22"/>
        </w:rPr>
      </w:pPr>
    </w:p>
    <w:tbl>
      <w:tblPr>
        <w:tblW w:w="8363" w:type="dxa"/>
        <w:tblInd w:w="817" w:type="dxa"/>
        <w:tblLayout w:type="fixed"/>
        <w:tblLook w:val="0000" w:firstRow="0" w:lastRow="0" w:firstColumn="0" w:lastColumn="0" w:noHBand="0" w:noVBand="0"/>
      </w:tblPr>
      <w:tblGrid>
        <w:gridCol w:w="2552"/>
        <w:gridCol w:w="141"/>
        <w:gridCol w:w="1560"/>
        <w:gridCol w:w="708"/>
        <w:gridCol w:w="1418"/>
        <w:gridCol w:w="850"/>
        <w:gridCol w:w="1134"/>
      </w:tblGrid>
      <w:tr w:rsidR="00304475" w:rsidRPr="00260CE3" w:rsidTr="00304475">
        <w:trPr>
          <w:cantSplit/>
          <w:trHeight w:val="471"/>
        </w:trPr>
        <w:tc>
          <w:tcPr>
            <w:tcW w:w="2693" w:type="dxa"/>
            <w:gridSpan w:val="2"/>
            <w:tcBorders>
              <w:bottom w:val="single" w:sz="4" w:space="0" w:color="auto"/>
            </w:tcBorders>
          </w:tcPr>
          <w:p w:rsidR="00304475" w:rsidRPr="00260CE3" w:rsidRDefault="00304475" w:rsidP="004439FD">
            <w:pPr>
              <w:keepNext/>
              <w:ind w:left="-108"/>
              <w:rPr>
                <w:rFonts w:ascii="Arial Narrow" w:hAnsi="Arial Narrow"/>
                <w:sz w:val="20"/>
              </w:rPr>
            </w:pPr>
            <w:r w:rsidRPr="00260CE3">
              <w:rPr>
                <w:rFonts w:ascii="Arial Narrow" w:hAnsi="Arial Narrow"/>
                <w:sz w:val="20"/>
              </w:rPr>
              <w:t>Name, Restriction,</w:t>
            </w:r>
          </w:p>
          <w:p w:rsidR="00304475" w:rsidRPr="00260CE3" w:rsidRDefault="00304475" w:rsidP="004439FD">
            <w:pPr>
              <w:keepNext/>
              <w:ind w:left="-108"/>
              <w:rPr>
                <w:rFonts w:ascii="Arial Narrow" w:hAnsi="Arial Narrow"/>
                <w:sz w:val="20"/>
              </w:rPr>
            </w:pPr>
            <w:r w:rsidRPr="00260CE3">
              <w:rPr>
                <w:rFonts w:ascii="Arial Narrow" w:hAnsi="Arial Narrow"/>
                <w:sz w:val="20"/>
              </w:rPr>
              <w:t>Manner of administration and form</w:t>
            </w:r>
          </w:p>
        </w:tc>
        <w:tc>
          <w:tcPr>
            <w:tcW w:w="1560" w:type="dxa"/>
            <w:tcBorders>
              <w:bottom w:val="single" w:sz="4" w:space="0" w:color="auto"/>
            </w:tcBorders>
          </w:tcPr>
          <w:p w:rsidR="00304475" w:rsidRPr="00260CE3" w:rsidRDefault="00304475" w:rsidP="00304475">
            <w:pPr>
              <w:keepNext/>
              <w:ind w:left="-108"/>
              <w:jc w:val="center"/>
              <w:rPr>
                <w:rFonts w:ascii="Arial Narrow" w:hAnsi="Arial Narrow"/>
                <w:sz w:val="20"/>
              </w:rPr>
            </w:pPr>
            <w:r w:rsidRPr="00260CE3">
              <w:rPr>
                <w:rFonts w:ascii="Arial Narrow" w:hAnsi="Arial Narrow"/>
                <w:sz w:val="20"/>
              </w:rPr>
              <w:t>Max.</w:t>
            </w:r>
          </w:p>
          <w:p w:rsidR="00304475" w:rsidRPr="00260CE3" w:rsidRDefault="00304475" w:rsidP="00304475">
            <w:pPr>
              <w:keepNext/>
              <w:ind w:left="-108"/>
              <w:jc w:val="center"/>
              <w:rPr>
                <w:rFonts w:ascii="Arial Narrow" w:hAnsi="Arial Narrow"/>
                <w:sz w:val="20"/>
              </w:rPr>
            </w:pPr>
            <w:r>
              <w:rPr>
                <w:rFonts w:ascii="Arial Narrow" w:hAnsi="Arial Narrow"/>
                <w:sz w:val="20"/>
              </w:rPr>
              <w:t>Amount</w:t>
            </w:r>
          </w:p>
        </w:tc>
        <w:tc>
          <w:tcPr>
            <w:tcW w:w="708" w:type="dxa"/>
            <w:tcBorders>
              <w:bottom w:val="single" w:sz="4" w:space="0" w:color="auto"/>
            </w:tcBorders>
          </w:tcPr>
          <w:p w:rsidR="00304475" w:rsidRPr="00260CE3" w:rsidRDefault="00304475" w:rsidP="004439FD">
            <w:pPr>
              <w:keepNext/>
              <w:ind w:left="-108"/>
              <w:rPr>
                <w:rFonts w:ascii="Arial Narrow" w:hAnsi="Arial Narrow"/>
                <w:sz w:val="20"/>
              </w:rPr>
            </w:pPr>
            <w:r w:rsidRPr="00260CE3">
              <w:rPr>
                <w:rFonts w:ascii="Arial Narrow" w:hAnsi="Arial Narrow"/>
                <w:sz w:val="20"/>
              </w:rPr>
              <w:t>№.of</w:t>
            </w:r>
          </w:p>
          <w:p w:rsidR="00304475" w:rsidRPr="00260CE3" w:rsidRDefault="00304475" w:rsidP="004439FD">
            <w:pPr>
              <w:keepNext/>
              <w:ind w:left="-108"/>
              <w:rPr>
                <w:rFonts w:ascii="Arial Narrow" w:hAnsi="Arial Narrow"/>
                <w:sz w:val="20"/>
              </w:rPr>
            </w:pPr>
            <w:r w:rsidRPr="00260CE3">
              <w:rPr>
                <w:rFonts w:ascii="Arial Narrow" w:hAnsi="Arial Narrow"/>
                <w:sz w:val="20"/>
              </w:rPr>
              <w:t>Rpts</w:t>
            </w:r>
          </w:p>
        </w:tc>
        <w:tc>
          <w:tcPr>
            <w:tcW w:w="1418" w:type="dxa"/>
            <w:tcBorders>
              <w:bottom w:val="single" w:sz="4" w:space="0" w:color="auto"/>
            </w:tcBorders>
          </w:tcPr>
          <w:p w:rsidR="00304475" w:rsidRPr="00260CE3" w:rsidRDefault="00304475" w:rsidP="004439FD">
            <w:pPr>
              <w:keepNext/>
              <w:ind w:left="-108"/>
              <w:rPr>
                <w:rFonts w:ascii="Arial Narrow" w:hAnsi="Arial Narrow"/>
                <w:sz w:val="20"/>
              </w:rPr>
            </w:pPr>
            <w:r w:rsidRPr="00260CE3">
              <w:rPr>
                <w:rFonts w:ascii="Arial Narrow" w:hAnsi="Arial Narrow"/>
                <w:sz w:val="20"/>
              </w:rPr>
              <w:t xml:space="preserve">Dispensed Price for Max. </w:t>
            </w:r>
            <w:r>
              <w:rPr>
                <w:rFonts w:ascii="Arial Narrow" w:hAnsi="Arial Narrow"/>
                <w:sz w:val="20"/>
              </w:rPr>
              <w:t>Amount</w:t>
            </w:r>
          </w:p>
        </w:tc>
        <w:tc>
          <w:tcPr>
            <w:tcW w:w="1984" w:type="dxa"/>
            <w:gridSpan w:val="2"/>
            <w:tcBorders>
              <w:bottom w:val="single" w:sz="4" w:space="0" w:color="auto"/>
            </w:tcBorders>
          </w:tcPr>
          <w:p w:rsidR="00304475" w:rsidRPr="00260CE3" w:rsidRDefault="00304475" w:rsidP="004439FD">
            <w:pPr>
              <w:keepNext/>
              <w:rPr>
                <w:rFonts w:ascii="Arial Narrow" w:hAnsi="Arial Narrow"/>
                <w:sz w:val="20"/>
                <w:lang w:val="fr-FR"/>
              </w:rPr>
            </w:pPr>
            <w:r w:rsidRPr="00260CE3">
              <w:rPr>
                <w:rFonts w:ascii="Arial Narrow" w:hAnsi="Arial Narrow"/>
                <w:sz w:val="20"/>
              </w:rPr>
              <w:t>Proprietary Name and Manufacturer</w:t>
            </w:r>
          </w:p>
        </w:tc>
      </w:tr>
      <w:tr w:rsidR="00304475" w:rsidRPr="00260CE3" w:rsidTr="00304475">
        <w:trPr>
          <w:cantSplit/>
          <w:trHeight w:val="577"/>
        </w:trPr>
        <w:tc>
          <w:tcPr>
            <w:tcW w:w="2693" w:type="dxa"/>
            <w:gridSpan w:val="2"/>
          </w:tcPr>
          <w:p w:rsidR="00304475" w:rsidRPr="00260CE3" w:rsidRDefault="00304475" w:rsidP="004439FD">
            <w:pPr>
              <w:keepNext/>
              <w:ind w:left="-108"/>
              <w:rPr>
                <w:rFonts w:ascii="Arial Narrow" w:hAnsi="Arial Narrow"/>
                <w:sz w:val="20"/>
              </w:rPr>
            </w:pPr>
            <w:r>
              <w:rPr>
                <w:rFonts w:ascii="Arial Narrow" w:hAnsi="Arial Narrow"/>
                <w:smallCaps/>
                <w:sz w:val="20"/>
              </w:rPr>
              <w:t>NIVOLUMAB</w:t>
            </w:r>
          </w:p>
          <w:p w:rsidR="00304475" w:rsidRDefault="00304475" w:rsidP="004439FD">
            <w:pPr>
              <w:keepNext/>
              <w:ind w:left="-108"/>
              <w:rPr>
                <w:rFonts w:ascii="Arial Narrow" w:hAnsi="Arial Narrow"/>
                <w:sz w:val="20"/>
              </w:rPr>
            </w:pPr>
            <w:r>
              <w:rPr>
                <w:rFonts w:ascii="Arial Narrow" w:hAnsi="Arial Narrow"/>
                <w:sz w:val="20"/>
              </w:rPr>
              <w:t>nivolumab 40 mg/4 mL injection, 1 x 4 mL vial</w:t>
            </w:r>
          </w:p>
          <w:p w:rsidR="00304475" w:rsidRPr="00260CE3" w:rsidRDefault="00304475" w:rsidP="008D09B4">
            <w:pPr>
              <w:keepNext/>
              <w:ind w:left="-108"/>
              <w:rPr>
                <w:rFonts w:ascii="Arial Narrow" w:hAnsi="Arial Narrow"/>
                <w:sz w:val="20"/>
              </w:rPr>
            </w:pPr>
            <w:r>
              <w:rPr>
                <w:rFonts w:ascii="Arial Narrow" w:hAnsi="Arial Narrow"/>
                <w:sz w:val="20"/>
              </w:rPr>
              <w:t>nivo</w:t>
            </w:r>
            <w:r w:rsidR="008D09B4">
              <w:rPr>
                <w:rFonts w:ascii="Arial Narrow" w:hAnsi="Arial Narrow"/>
                <w:sz w:val="20"/>
              </w:rPr>
              <w:t>lumab 100 mg/10 mL injection, 1 </w:t>
            </w:r>
            <w:r>
              <w:rPr>
                <w:rFonts w:ascii="Arial Narrow" w:hAnsi="Arial Narrow"/>
                <w:sz w:val="20"/>
              </w:rPr>
              <w:t>x</w:t>
            </w:r>
            <w:r w:rsidR="008D09B4">
              <w:rPr>
                <w:rFonts w:ascii="Arial Narrow" w:hAnsi="Arial Narrow"/>
                <w:sz w:val="20"/>
              </w:rPr>
              <w:t> </w:t>
            </w:r>
            <w:r>
              <w:rPr>
                <w:rFonts w:ascii="Arial Narrow" w:hAnsi="Arial Narrow"/>
                <w:sz w:val="20"/>
              </w:rPr>
              <w:t>10 mL vial</w:t>
            </w:r>
          </w:p>
        </w:tc>
        <w:tc>
          <w:tcPr>
            <w:tcW w:w="1560" w:type="dxa"/>
          </w:tcPr>
          <w:p w:rsidR="00304475" w:rsidRPr="00260CE3" w:rsidRDefault="00304475" w:rsidP="004439FD">
            <w:pPr>
              <w:keepNext/>
              <w:ind w:left="-108"/>
              <w:jc w:val="center"/>
              <w:rPr>
                <w:rFonts w:ascii="Arial Narrow" w:hAnsi="Arial Narrow"/>
                <w:sz w:val="20"/>
              </w:rPr>
            </w:pPr>
          </w:p>
          <w:p w:rsidR="00304475" w:rsidRPr="00F946F9" w:rsidRDefault="00304475" w:rsidP="004439FD">
            <w:pPr>
              <w:keepNext/>
              <w:ind w:left="-108"/>
              <w:jc w:val="center"/>
              <w:rPr>
                <w:rFonts w:ascii="Arial Narrow" w:hAnsi="Arial Narrow"/>
                <w:i/>
                <w:sz w:val="20"/>
              </w:rPr>
            </w:pPr>
            <w:r w:rsidRPr="00F946F9">
              <w:rPr>
                <w:rFonts w:ascii="Arial Narrow" w:hAnsi="Arial Narrow"/>
                <w:i/>
                <w:sz w:val="20"/>
              </w:rPr>
              <w:t>360</w:t>
            </w:r>
            <w:r>
              <w:rPr>
                <w:rFonts w:ascii="Arial Narrow" w:hAnsi="Arial Narrow"/>
                <w:i/>
                <w:sz w:val="20"/>
              </w:rPr>
              <w:t> </w:t>
            </w:r>
            <w:r w:rsidRPr="00F946F9">
              <w:rPr>
                <w:rFonts w:ascii="Arial Narrow" w:hAnsi="Arial Narrow"/>
                <w:i/>
                <w:sz w:val="20"/>
              </w:rPr>
              <w:t>mg</w:t>
            </w:r>
          </w:p>
        </w:tc>
        <w:tc>
          <w:tcPr>
            <w:tcW w:w="708" w:type="dxa"/>
          </w:tcPr>
          <w:p w:rsidR="00304475" w:rsidRPr="00260CE3" w:rsidRDefault="00304475" w:rsidP="004439FD">
            <w:pPr>
              <w:keepNext/>
              <w:ind w:left="-108"/>
              <w:jc w:val="center"/>
              <w:rPr>
                <w:rFonts w:ascii="Arial Narrow" w:hAnsi="Arial Narrow"/>
                <w:sz w:val="20"/>
              </w:rPr>
            </w:pPr>
          </w:p>
          <w:p w:rsidR="00304475" w:rsidRPr="00260CE3" w:rsidRDefault="00304475" w:rsidP="004439FD">
            <w:pPr>
              <w:keepNext/>
              <w:ind w:left="-108"/>
              <w:jc w:val="center"/>
              <w:rPr>
                <w:rFonts w:ascii="Arial Narrow" w:hAnsi="Arial Narrow"/>
                <w:sz w:val="20"/>
              </w:rPr>
            </w:pPr>
            <w:r>
              <w:rPr>
                <w:rFonts w:ascii="Arial Narrow" w:hAnsi="Arial Narrow"/>
                <w:sz w:val="20"/>
              </w:rPr>
              <w:t>5</w:t>
            </w:r>
          </w:p>
        </w:tc>
        <w:tc>
          <w:tcPr>
            <w:tcW w:w="1418" w:type="dxa"/>
          </w:tcPr>
          <w:p w:rsidR="00304475" w:rsidRPr="00260CE3" w:rsidRDefault="00304475" w:rsidP="004439FD">
            <w:pPr>
              <w:keepNext/>
              <w:ind w:left="-108"/>
              <w:jc w:val="center"/>
              <w:rPr>
                <w:rFonts w:ascii="Arial Narrow" w:hAnsi="Arial Narrow"/>
                <w:sz w:val="20"/>
              </w:rPr>
            </w:pPr>
          </w:p>
          <w:p w:rsidR="00304475" w:rsidRPr="00260CE3" w:rsidRDefault="00304475" w:rsidP="004439FD">
            <w:pPr>
              <w:keepNext/>
              <w:ind w:left="-108"/>
              <w:jc w:val="center"/>
              <w:rPr>
                <w:rFonts w:ascii="Arial Narrow" w:hAnsi="Arial Narrow"/>
                <w:sz w:val="20"/>
              </w:rPr>
            </w:pPr>
            <w:r>
              <w:rPr>
                <w:rFonts w:ascii="Arial Narrow" w:hAnsi="Arial Narrow"/>
                <w:sz w:val="20"/>
              </w:rPr>
              <w:t>-</w:t>
            </w:r>
          </w:p>
        </w:tc>
        <w:tc>
          <w:tcPr>
            <w:tcW w:w="850" w:type="dxa"/>
          </w:tcPr>
          <w:p w:rsidR="00304475" w:rsidRPr="00260CE3" w:rsidRDefault="00304475" w:rsidP="004439FD">
            <w:pPr>
              <w:keepNext/>
              <w:rPr>
                <w:rFonts w:ascii="Arial Narrow" w:hAnsi="Arial Narrow"/>
                <w:sz w:val="20"/>
              </w:rPr>
            </w:pPr>
            <w:r>
              <w:rPr>
                <w:rFonts w:ascii="Arial Narrow" w:hAnsi="Arial Narrow"/>
                <w:sz w:val="20"/>
              </w:rPr>
              <w:t>Opdivo</w:t>
            </w:r>
          </w:p>
        </w:tc>
        <w:tc>
          <w:tcPr>
            <w:tcW w:w="1134" w:type="dxa"/>
          </w:tcPr>
          <w:p w:rsidR="00304475" w:rsidRPr="00260CE3" w:rsidRDefault="00304475" w:rsidP="004439FD">
            <w:pPr>
              <w:keepNext/>
              <w:rPr>
                <w:rFonts w:ascii="Arial Narrow" w:hAnsi="Arial Narrow"/>
                <w:sz w:val="20"/>
              </w:rPr>
            </w:pPr>
            <w:r>
              <w:rPr>
                <w:rFonts w:ascii="Arial Narrow" w:hAnsi="Arial Narrow"/>
                <w:sz w:val="20"/>
              </w:rPr>
              <w:t>Bristol-Myers Squibb Australia</w:t>
            </w:r>
          </w:p>
        </w:tc>
      </w:tr>
      <w:tr w:rsidR="00304475" w:rsidRPr="00260CE3" w:rsidTr="00304475">
        <w:trPr>
          <w:cantSplit/>
          <w:trHeight w:val="360"/>
        </w:trPr>
        <w:tc>
          <w:tcPr>
            <w:tcW w:w="8363" w:type="dxa"/>
            <w:gridSpan w:val="7"/>
            <w:tcBorders>
              <w:bottom w:val="single" w:sz="4" w:space="0" w:color="auto"/>
            </w:tcBorders>
          </w:tcPr>
          <w:p w:rsidR="00304475" w:rsidRDefault="00304475" w:rsidP="00D22C03">
            <w:pPr>
              <w:ind w:left="-108"/>
              <w:rPr>
                <w:rFonts w:ascii="Arial Narrow" w:hAnsi="Arial Narrow"/>
                <w:sz w:val="20"/>
              </w:rPr>
            </w:pPr>
          </w:p>
          <w:p w:rsidR="00304475" w:rsidRPr="00645903" w:rsidRDefault="00304475" w:rsidP="004439FD">
            <w:pPr>
              <w:ind w:left="-108"/>
              <w:rPr>
                <w:rFonts w:ascii="Arial Narrow" w:hAnsi="Arial Narrow"/>
                <w:b/>
                <w:i/>
                <w:sz w:val="20"/>
              </w:rPr>
            </w:pPr>
            <w:r>
              <w:rPr>
                <w:rFonts w:ascii="Arial Narrow" w:hAnsi="Arial Narrow"/>
                <w:b/>
                <w:i/>
                <w:sz w:val="20"/>
              </w:rPr>
              <w:t xml:space="preserve">Initial treatment - </w:t>
            </w:r>
            <w:r w:rsidRPr="00645903">
              <w:rPr>
                <w:rFonts w:ascii="Arial Narrow" w:hAnsi="Arial Narrow"/>
                <w:b/>
                <w:i/>
                <w:sz w:val="20"/>
              </w:rPr>
              <w:t>BRAF V600 mutation negative</w:t>
            </w:r>
          </w:p>
        </w:tc>
      </w:tr>
      <w:tr w:rsidR="00304475" w:rsidRPr="00260CE3" w:rsidTr="009D2917">
        <w:trPr>
          <w:cantSplit/>
          <w:trHeight w:val="360"/>
        </w:trPr>
        <w:tc>
          <w:tcPr>
            <w:tcW w:w="2552" w:type="dxa"/>
            <w:tcBorders>
              <w:top w:val="single" w:sz="4" w:space="0" w:color="auto"/>
              <w:left w:val="single" w:sz="4" w:space="0" w:color="auto"/>
              <w:bottom w:val="single" w:sz="4" w:space="0" w:color="auto"/>
              <w:right w:val="single" w:sz="4" w:space="0" w:color="auto"/>
            </w:tcBorders>
          </w:tcPr>
          <w:p w:rsidR="00304475" w:rsidRPr="00260CE3" w:rsidRDefault="00304475" w:rsidP="004439FD">
            <w:pPr>
              <w:rPr>
                <w:rFonts w:ascii="Arial Narrow" w:hAnsi="Arial Narrow"/>
                <w:b/>
                <w:sz w:val="20"/>
              </w:rPr>
            </w:pPr>
            <w:r w:rsidRPr="00260CE3">
              <w:rPr>
                <w:rFonts w:ascii="Arial Narrow" w:hAnsi="Arial Narrow"/>
                <w:b/>
                <w:sz w:val="20"/>
              </w:rPr>
              <w:t>Category / Program</w:t>
            </w:r>
          </w:p>
        </w:tc>
        <w:tc>
          <w:tcPr>
            <w:tcW w:w="5811" w:type="dxa"/>
            <w:gridSpan w:val="6"/>
            <w:tcBorders>
              <w:top w:val="single" w:sz="4" w:space="0" w:color="auto"/>
              <w:left w:val="single" w:sz="4" w:space="0" w:color="auto"/>
              <w:bottom w:val="single" w:sz="4" w:space="0" w:color="auto"/>
              <w:right w:val="single" w:sz="4" w:space="0" w:color="auto"/>
            </w:tcBorders>
          </w:tcPr>
          <w:p w:rsidR="00304475" w:rsidRPr="00260CE3" w:rsidRDefault="00304475" w:rsidP="004439FD">
            <w:pPr>
              <w:rPr>
                <w:rFonts w:ascii="Arial Narrow" w:hAnsi="Arial Narrow"/>
                <w:sz w:val="20"/>
              </w:rPr>
            </w:pPr>
            <w:r w:rsidRPr="00260CE3">
              <w:rPr>
                <w:rFonts w:ascii="Arial Narrow" w:hAnsi="Arial Narrow"/>
                <w:sz w:val="20"/>
              </w:rPr>
              <w:t xml:space="preserve">Section 100 – </w:t>
            </w:r>
            <w:r>
              <w:rPr>
                <w:rFonts w:ascii="Arial Narrow" w:hAnsi="Arial Narrow"/>
                <w:sz w:val="20"/>
              </w:rPr>
              <w:t xml:space="preserve">Efficient Funding of </w:t>
            </w:r>
            <w:r w:rsidRPr="00260CE3">
              <w:rPr>
                <w:rFonts w:ascii="Arial Narrow" w:hAnsi="Arial Narrow"/>
                <w:sz w:val="20"/>
              </w:rPr>
              <w:t>Chemotherapy</w:t>
            </w:r>
          </w:p>
        </w:tc>
      </w:tr>
      <w:tr w:rsidR="00304475" w:rsidRPr="00260CE3" w:rsidTr="009D2917">
        <w:trPr>
          <w:cantSplit/>
          <w:trHeight w:val="360"/>
        </w:trPr>
        <w:tc>
          <w:tcPr>
            <w:tcW w:w="2552" w:type="dxa"/>
            <w:tcBorders>
              <w:top w:val="single" w:sz="4" w:space="0" w:color="auto"/>
              <w:left w:val="single" w:sz="4" w:space="0" w:color="auto"/>
              <w:bottom w:val="single" w:sz="4" w:space="0" w:color="auto"/>
              <w:right w:val="single" w:sz="4" w:space="0" w:color="auto"/>
            </w:tcBorders>
          </w:tcPr>
          <w:p w:rsidR="00304475" w:rsidRPr="00260CE3" w:rsidRDefault="00304475" w:rsidP="004439FD">
            <w:pPr>
              <w:rPr>
                <w:rFonts w:ascii="Arial Narrow" w:hAnsi="Arial Narrow"/>
                <w:b/>
                <w:sz w:val="20"/>
              </w:rPr>
            </w:pPr>
            <w:r w:rsidRPr="00260CE3">
              <w:rPr>
                <w:rFonts w:ascii="Arial Narrow" w:hAnsi="Arial Narrow"/>
                <w:b/>
                <w:sz w:val="20"/>
              </w:rPr>
              <w:t>Prescriber type:</w:t>
            </w:r>
          </w:p>
        </w:tc>
        <w:tc>
          <w:tcPr>
            <w:tcW w:w="5811" w:type="dxa"/>
            <w:gridSpan w:val="6"/>
            <w:tcBorders>
              <w:top w:val="single" w:sz="4" w:space="0" w:color="auto"/>
              <w:left w:val="single" w:sz="4" w:space="0" w:color="auto"/>
              <w:bottom w:val="single" w:sz="4" w:space="0" w:color="auto"/>
              <w:right w:val="single" w:sz="4" w:space="0" w:color="auto"/>
            </w:tcBorders>
          </w:tcPr>
          <w:p w:rsidR="00304475" w:rsidRPr="00260CE3" w:rsidRDefault="00304475" w:rsidP="00304475">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r>
              <w:rPr>
                <w:rFonts w:ascii="Arial Narrow" w:hAnsi="Arial Narrow"/>
                <w:sz w:val="20"/>
              </w:rPr>
              <w:t xml:space="preserve">  </w:t>
            </w: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304475" w:rsidRPr="00260CE3" w:rsidTr="009D2917">
        <w:trPr>
          <w:cantSplit/>
          <w:trHeight w:val="360"/>
        </w:trPr>
        <w:tc>
          <w:tcPr>
            <w:tcW w:w="2552" w:type="dxa"/>
            <w:tcBorders>
              <w:top w:val="single" w:sz="4" w:space="0" w:color="auto"/>
              <w:left w:val="single" w:sz="4" w:space="0" w:color="auto"/>
              <w:bottom w:val="single" w:sz="4" w:space="0" w:color="auto"/>
              <w:right w:val="single" w:sz="4" w:space="0" w:color="auto"/>
            </w:tcBorders>
          </w:tcPr>
          <w:p w:rsidR="00304475" w:rsidRPr="00260CE3" w:rsidRDefault="00304475" w:rsidP="004439FD">
            <w:pPr>
              <w:rPr>
                <w:rFonts w:ascii="Arial Narrow" w:hAnsi="Arial Narrow"/>
                <w:b/>
                <w:sz w:val="20"/>
              </w:rPr>
            </w:pPr>
            <w:r w:rsidRPr="00260CE3">
              <w:rPr>
                <w:rFonts w:ascii="Arial Narrow" w:hAnsi="Arial Narrow"/>
                <w:b/>
                <w:sz w:val="20"/>
              </w:rPr>
              <w:t>Episodicity:</w:t>
            </w:r>
          </w:p>
        </w:tc>
        <w:tc>
          <w:tcPr>
            <w:tcW w:w="5811" w:type="dxa"/>
            <w:gridSpan w:val="6"/>
            <w:tcBorders>
              <w:top w:val="single" w:sz="4" w:space="0" w:color="auto"/>
              <w:left w:val="single" w:sz="4" w:space="0" w:color="auto"/>
              <w:bottom w:val="single" w:sz="4" w:space="0" w:color="auto"/>
              <w:right w:val="single" w:sz="4" w:space="0" w:color="auto"/>
            </w:tcBorders>
          </w:tcPr>
          <w:p w:rsidR="00304475" w:rsidRPr="00260CE3" w:rsidRDefault="00304475" w:rsidP="004439FD">
            <w:pPr>
              <w:rPr>
                <w:rFonts w:ascii="Arial Narrow" w:hAnsi="Arial Narrow"/>
                <w:sz w:val="20"/>
              </w:rPr>
            </w:pPr>
            <w:r>
              <w:rPr>
                <w:rFonts w:ascii="Arial Narrow" w:hAnsi="Arial Narrow"/>
                <w:sz w:val="20"/>
              </w:rPr>
              <w:t>-</w:t>
            </w:r>
          </w:p>
        </w:tc>
      </w:tr>
      <w:tr w:rsidR="00304475" w:rsidRPr="00260CE3" w:rsidTr="009D2917">
        <w:trPr>
          <w:cantSplit/>
          <w:trHeight w:val="360"/>
        </w:trPr>
        <w:tc>
          <w:tcPr>
            <w:tcW w:w="2552" w:type="dxa"/>
            <w:tcBorders>
              <w:top w:val="single" w:sz="4" w:space="0" w:color="auto"/>
              <w:left w:val="single" w:sz="4" w:space="0" w:color="auto"/>
              <w:bottom w:val="single" w:sz="4" w:space="0" w:color="auto"/>
              <w:right w:val="single" w:sz="4" w:space="0" w:color="auto"/>
            </w:tcBorders>
          </w:tcPr>
          <w:p w:rsidR="00304475" w:rsidRPr="00260CE3" w:rsidRDefault="00304475" w:rsidP="004439FD">
            <w:pPr>
              <w:rPr>
                <w:rFonts w:ascii="Arial Narrow" w:hAnsi="Arial Narrow"/>
                <w:b/>
                <w:sz w:val="20"/>
              </w:rPr>
            </w:pPr>
            <w:r w:rsidRPr="00260CE3">
              <w:rPr>
                <w:rFonts w:ascii="Arial Narrow" w:hAnsi="Arial Narrow"/>
                <w:b/>
                <w:sz w:val="20"/>
              </w:rPr>
              <w:t>Severity:</w:t>
            </w:r>
          </w:p>
        </w:tc>
        <w:tc>
          <w:tcPr>
            <w:tcW w:w="5811" w:type="dxa"/>
            <w:gridSpan w:val="6"/>
            <w:tcBorders>
              <w:top w:val="single" w:sz="4" w:space="0" w:color="auto"/>
              <w:left w:val="single" w:sz="4" w:space="0" w:color="auto"/>
              <w:bottom w:val="single" w:sz="4" w:space="0" w:color="auto"/>
              <w:right w:val="single" w:sz="4" w:space="0" w:color="auto"/>
            </w:tcBorders>
          </w:tcPr>
          <w:p w:rsidR="00304475" w:rsidRPr="00260CE3" w:rsidRDefault="00304475" w:rsidP="004439FD">
            <w:pPr>
              <w:rPr>
                <w:rFonts w:ascii="Arial Narrow" w:hAnsi="Arial Narrow"/>
                <w:sz w:val="20"/>
              </w:rPr>
            </w:pPr>
            <w:r>
              <w:rPr>
                <w:rFonts w:ascii="Arial Narrow" w:hAnsi="Arial Narrow"/>
                <w:sz w:val="20"/>
              </w:rPr>
              <w:t>Unresectable Stage III or Stage IV</w:t>
            </w:r>
          </w:p>
        </w:tc>
      </w:tr>
      <w:tr w:rsidR="00304475" w:rsidRPr="00260CE3" w:rsidTr="009D2917">
        <w:trPr>
          <w:cantSplit/>
          <w:trHeight w:val="360"/>
        </w:trPr>
        <w:tc>
          <w:tcPr>
            <w:tcW w:w="2552" w:type="dxa"/>
            <w:tcBorders>
              <w:top w:val="single" w:sz="4" w:space="0" w:color="auto"/>
              <w:left w:val="single" w:sz="4" w:space="0" w:color="auto"/>
              <w:bottom w:val="single" w:sz="4" w:space="0" w:color="auto"/>
              <w:right w:val="single" w:sz="4" w:space="0" w:color="auto"/>
            </w:tcBorders>
          </w:tcPr>
          <w:p w:rsidR="00304475" w:rsidRPr="00260CE3" w:rsidRDefault="00304475" w:rsidP="004439FD">
            <w:pPr>
              <w:rPr>
                <w:rFonts w:ascii="Arial Narrow" w:hAnsi="Arial Narrow"/>
                <w:b/>
                <w:sz w:val="20"/>
              </w:rPr>
            </w:pPr>
            <w:r w:rsidRPr="00260CE3">
              <w:rPr>
                <w:rFonts w:ascii="Arial Narrow" w:hAnsi="Arial Narrow"/>
                <w:b/>
                <w:sz w:val="20"/>
              </w:rPr>
              <w:t>Condition:</w:t>
            </w:r>
          </w:p>
        </w:tc>
        <w:tc>
          <w:tcPr>
            <w:tcW w:w="5811" w:type="dxa"/>
            <w:gridSpan w:val="6"/>
            <w:tcBorders>
              <w:top w:val="single" w:sz="4" w:space="0" w:color="auto"/>
              <w:left w:val="single" w:sz="4" w:space="0" w:color="auto"/>
              <w:bottom w:val="single" w:sz="4" w:space="0" w:color="auto"/>
              <w:right w:val="single" w:sz="4" w:space="0" w:color="auto"/>
            </w:tcBorders>
          </w:tcPr>
          <w:p w:rsidR="00304475" w:rsidRPr="00260CE3" w:rsidRDefault="00304475" w:rsidP="004439FD">
            <w:pPr>
              <w:rPr>
                <w:rFonts w:ascii="Arial Narrow" w:hAnsi="Arial Narrow"/>
                <w:sz w:val="20"/>
              </w:rPr>
            </w:pPr>
            <w:r>
              <w:rPr>
                <w:rFonts w:ascii="Arial Narrow" w:hAnsi="Arial Narrow"/>
                <w:sz w:val="20"/>
              </w:rPr>
              <w:t>Malignant melanoma</w:t>
            </w:r>
          </w:p>
        </w:tc>
      </w:tr>
      <w:tr w:rsidR="00304475" w:rsidRPr="00260CE3" w:rsidTr="009D2917">
        <w:trPr>
          <w:cantSplit/>
          <w:trHeight w:val="360"/>
        </w:trPr>
        <w:tc>
          <w:tcPr>
            <w:tcW w:w="2552" w:type="dxa"/>
            <w:tcBorders>
              <w:top w:val="single" w:sz="4" w:space="0" w:color="auto"/>
              <w:left w:val="single" w:sz="4" w:space="0" w:color="auto"/>
              <w:bottom w:val="single" w:sz="4" w:space="0" w:color="auto"/>
              <w:right w:val="single" w:sz="4" w:space="0" w:color="auto"/>
            </w:tcBorders>
          </w:tcPr>
          <w:p w:rsidR="00304475" w:rsidRPr="00260CE3" w:rsidRDefault="00304475" w:rsidP="004439FD">
            <w:pPr>
              <w:rPr>
                <w:rFonts w:ascii="Arial Narrow" w:hAnsi="Arial Narrow"/>
                <w:b/>
                <w:sz w:val="20"/>
              </w:rPr>
            </w:pPr>
            <w:r w:rsidRPr="00260CE3">
              <w:rPr>
                <w:rFonts w:ascii="Arial Narrow" w:hAnsi="Arial Narrow"/>
                <w:b/>
                <w:sz w:val="20"/>
              </w:rPr>
              <w:t>PBS Indication:</w:t>
            </w:r>
          </w:p>
        </w:tc>
        <w:tc>
          <w:tcPr>
            <w:tcW w:w="5811" w:type="dxa"/>
            <w:gridSpan w:val="6"/>
            <w:tcBorders>
              <w:top w:val="single" w:sz="4" w:space="0" w:color="auto"/>
              <w:left w:val="single" w:sz="4" w:space="0" w:color="auto"/>
              <w:bottom w:val="single" w:sz="4" w:space="0" w:color="auto"/>
              <w:right w:val="single" w:sz="4" w:space="0" w:color="auto"/>
            </w:tcBorders>
          </w:tcPr>
          <w:p w:rsidR="00304475" w:rsidRPr="00260CE3" w:rsidRDefault="00304475" w:rsidP="004439FD">
            <w:pPr>
              <w:rPr>
                <w:rFonts w:ascii="Arial Narrow" w:hAnsi="Arial Narrow"/>
                <w:sz w:val="20"/>
              </w:rPr>
            </w:pPr>
            <w:r>
              <w:rPr>
                <w:rFonts w:ascii="Arial Narrow" w:hAnsi="Arial Narrow"/>
                <w:sz w:val="20"/>
              </w:rPr>
              <w:t>Unresectable Stage III or Stage IV malignant melanoma</w:t>
            </w:r>
          </w:p>
        </w:tc>
      </w:tr>
      <w:tr w:rsidR="00304475" w:rsidRPr="00260CE3" w:rsidTr="009D2917">
        <w:trPr>
          <w:cantSplit/>
          <w:trHeight w:val="360"/>
        </w:trPr>
        <w:tc>
          <w:tcPr>
            <w:tcW w:w="2552" w:type="dxa"/>
            <w:tcBorders>
              <w:top w:val="single" w:sz="4" w:space="0" w:color="auto"/>
              <w:left w:val="single" w:sz="4" w:space="0" w:color="auto"/>
              <w:bottom w:val="single" w:sz="4" w:space="0" w:color="auto"/>
              <w:right w:val="single" w:sz="4" w:space="0" w:color="auto"/>
            </w:tcBorders>
          </w:tcPr>
          <w:p w:rsidR="00304475" w:rsidRPr="00C0121C" w:rsidRDefault="00304475" w:rsidP="004439FD">
            <w:pPr>
              <w:rPr>
                <w:rFonts w:ascii="Arial Narrow" w:hAnsi="Arial Narrow"/>
                <w:b/>
                <w:sz w:val="20"/>
              </w:rPr>
            </w:pPr>
            <w:r w:rsidRPr="00260CE3">
              <w:rPr>
                <w:rFonts w:ascii="Arial Narrow" w:hAnsi="Arial Narrow"/>
                <w:b/>
                <w:sz w:val="20"/>
              </w:rPr>
              <w:t>Treatment phase:</w:t>
            </w:r>
          </w:p>
        </w:tc>
        <w:tc>
          <w:tcPr>
            <w:tcW w:w="5811" w:type="dxa"/>
            <w:gridSpan w:val="6"/>
            <w:tcBorders>
              <w:top w:val="single" w:sz="4" w:space="0" w:color="auto"/>
              <w:left w:val="single" w:sz="4" w:space="0" w:color="auto"/>
              <w:bottom w:val="single" w:sz="4" w:space="0" w:color="auto"/>
              <w:right w:val="single" w:sz="4" w:space="0" w:color="auto"/>
            </w:tcBorders>
          </w:tcPr>
          <w:p w:rsidR="00304475" w:rsidRPr="00260CE3" w:rsidRDefault="00304475" w:rsidP="004439FD">
            <w:pPr>
              <w:rPr>
                <w:rFonts w:ascii="Arial Narrow" w:hAnsi="Arial Narrow"/>
                <w:sz w:val="20"/>
              </w:rPr>
            </w:pPr>
            <w:r>
              <w:rPr>
                <w:rFonts w:ascii="Arial Narrow" w:hAnsi="Arial Narrow"/>
                <w:sz w:val="20"/>
              </w:rPr>
              <w:t>Initial</w:t>
            </w:r>
          </w:p>
        </w:tc>
      </w:tr>
      <w:tr w:rsidR="00304475" w:rsidRPr="00260CE3" w:rsidTr="009D2917">
        <w:trPr>
          <w:cantSplit/>
          <w:trHeight w:val="360"/>
        </w:trPr>
        <w:tc>
          <w:tcPr>
            <w:tcW w:w="2552" w:type="dxa"/>
            <w:tcBorders>
              <w:top w:val="single" w:sz="4" w:space="0" w:color="auto"/>
              <w:left w:val="single" w:sz="4" w:space="0" w:color="auto"/>
              <w:bottom w:val="single" w:sz="4" w:space="0" w:color="auto"/>
              <w:right w:val="single" w:sz="4" w:space="0" w:color="auto"/>
            </w:tcBorders>
          </w:tcPr>
          <w:p w:rsidR="00304475" w:rsidRPr="00C0121C" w:rsidRDefault="00304475" w:rsidP="004439FD">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5811" w:type="dxa"/>
            <w:gridSpan w:val="6"/>
            <w:tcBorders>
              <w:top w:val="single" w:sz="4" w:space="0" w:color="auto"/>
              <w:left w:val="single" w:sz="4" w:space="0" w:color="auto"/>
              <w:bottom w:val="single" w:sz="4" w:space="0" w:color="auto"/>
              <w:right w:val="single" w:sz="4" w:space="0" w:color="auto"/>
            </w:tcBorders>
          </w:tcPr>
          <w:p w:rsidR="00304475" w:rsidRPr="00106BCF" w:rsidRDefault="00304475" w:rsidP="004439FD">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304475" w:rsidRPr="00106BCF" w:rsidRDefault="00304475" w:rsidP="004439FD">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In Writing</w:t>
            </w:r>
          </w:p>
          <w:p w:rsidR="00304475" w:rsidRPr="00106BCF" w:rsidRDefault="00304475" w:rsidP="004439FD">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304475" w:rsidRPr="00106BCF" w:rsidRDefault="00304475" w:rsidP="004439FD">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 xml:space="preserve">Authority Required </w:t>
            </w:r>
            <w:r>
              <w:rPr>
                <w:rFonts w:ascii="Arial Narrow" w:hAnsi="Arial Narrow"/>
                <w:sz w:val="20"/>
              </w:rPr>
              <w:t>-</w:t>
            </w:r>
            <w:r w:rsidRPr="00106BCF">
              <w:rPr>
                <w:rFonts w:ascii="Arial Narrow" w:hAnsi="Arial Narrow"/>
                <w:sz w:val="20"/>
              </w:rPr>
              <w:t xml:space="preserve"> Emergency</w:t>
            </w:r>
          </w:p>
          <w:p w:rsidR="00304475" w:rsidRPr="00106BCF" w:rsidRDefault="00304475" w:rsidP="004439FD">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304475" w:rsidRPr="00260CE3" w:rsidRDefault="00304475" w:rsidP="004439FD">
            <w:pPr>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bookmarkStart w:id="1" w:name="Check5"/>
            <w:r>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Pr>
                <w:rFonts w:ascii="Arial Narrow" w:hAnsi="Arial Narrow"/>
                <w:sz w:val="20"/>
              </w:rPr>
              <w:fldChar w:fldCharType="end"/>
            </w:r>
            <w:bookmarkEnd w:id="1"/>
            <w:r w:rsidRPr="00106BCF">
              <w:rPr>
                <w:rFonts w:ascii="Arial Narrow" w:hAnsi="Arial Narrow"/>
                <w:sz w:val="20"/>
              </w:rPr>
              <w:t>Streamlined</w:t>
            </w:r>
          </w:p>
        </w:tc>
      </w:tr>
      <w:tr w:rsidR="00304475" w:rsidRPr="00260CE3" w:rsidTr="009D2917">
        <w:trPr>
          <w:cantSplit/>
          <w:trHeight w:val="2542"/>
        </w:trPr>
        <w:tc>
          <w:tcPr>
            <w:tcW w:w="2552" w:type="dxa"/>
            <w:tcBorders>
              <w:top w:val="single" w:sz="4" w:space="0" w:color="auto"/>
              <w:left w:val="single" w:sz="4" w:space="0" w:color="auto"/>
              <w:bottom w:val="single" w:sz="4" w:space="0" w:color="auto"/>
              <w:right w:val="single" w:sz="4" w:space="0" w:color="auto"/>
            </w:tcBorders>
          </w:tcPr>
          <w:p w:rsidR="00304475" w:rsidRPr="00044AC5" w:rsidRDefault="00304475" w:rsidP="004439FD">
            <w:pPr>
              <w:rPr>
                <w:rFonts w:ascii="Arial Narrow" w:hAnsi="Arial Narrow"/>
                <w:b/>
                <w:sz w:val="20"/>
              </w:rPr>
            </w:pPr>
            <w:r w:rsidRPr="00260CE3">
              <w:rPr>
                <w:rFonts w:ascii="Arial Narrow" w:hAnsi="Arial Narrow"/>
                <w:b/>
                <w:sz w:val="20"/>
              </w:rPr>
              <w:lastRenderedPageBreak/>
              <w:t>Clinical criteria:</w:t>
            </w:r>
          </w:p>
        </w:tc>
        <w:tc>
          <w:tcPr>
            <w:tcW w:w="5811" w:type="dxa"/>
            <w:gridSpan w:val="6"/>
            <w:tcBorders>
              <w:top w:val="single" w:sz="4" w:space="0" w:color="auto"/>
              <w:left w:val="single" w:sz="4" w:space="0" w:color="auto"/>
              <w:bottom w:val="single" w:sz="4" w:space="0" w:color="auto"/>
              <w:right w:val="single" w:sz="4" w:space="0" w:color="auto"/>
            </w:tcBorders>
          </w:tcPr>
          <w:p w:rsidR="00304475" w:rsidRPr="00C0121C" w:rsidRDefault="00304475" w:rsidP="004439FD">
            <w:pPr>
              <w:rPr>
                <w:rFonts w:ascii="Arial Narrow" w:hAnsi="Arial Narrow"/>
                <w:sz w:val="20"/>
              </w:rPr>
            </w:pPr>
            <w:r>
              <w:rPr>
                <w:rFonts w:ascii="Arial Narrow" w:hAnsi="Arial Narrow"/>
                <w:sz w:val="20"/>
              </w:rPr>
              <w:t>The t</w:t>
            </w:r>
            <w:r w:rsidRPr="00C0121C">
              <w:rPr>
                <w:rFonts w:ascii="Arial Narrow" w:hAnsi="Arial Narrow"/>
                <w:sz w:val="20"/>
              </w:rPr>
              <w:t>reatment must be the sole PBS-subsidised therapy for this condition</w:t>
            </w:r>
          </w:p>
          <w:p w:rsidR="00304475" w:rsidRPr="00C0121C" w:rsidRDefault="00304475" w:rsidP="004439FD">
            <w:pPr>
              <w:rPr>
                <w:rFonts w:ascii="Arial Narrow" w:hAnsi="Arial Narrow"/>
                <w:sz w:val="20"/>
              </w:rPr>
            </w:pPr>
          </w:p>
          <w:p w:rsidR="00304475" w:rsidRPr="00C0121C" w:rsidRDefault="00304475" w:rsidP="004439FD">
            <w:pPr>
              <w:rPr>
                <w:rFonts w:ascii="Arial Narrow" w:hAnsi="Arial Narrow"/>
                <w:sz w:val="20"/>
              </w:rPr>
            </w:pPr>
            <w:r w:rsidRPr="00C0121C">
              <w:rPr>
                <w:rFonts w:ascii="Arial Narrow" w:hAnsi="Arial Narrow"/>
                <w:sz w:val="20"/>
              </w:rPr>
              <w:t>AND</w:t>
            </w:r>
          </w:p>
          <w:p w:rsidR="00304475" w:rsidRPr="00C0121C" w:rsidRDefault="00304475" w:rsidP="004439FD">
            <w:pPr>
              <w:rPr>
                <w:rFonts w:ascii="Arial Narrow" w:hAnsi="Arial Narrow"/>
                <w:sz w:val="20"/>
              </w:rPr>
            </w:pPr>
          </w:p>
          <w:p w:rsidR="00304475" w:rsidRDefault="00304475" w:rsidP="004439FD">
            <w:pPr>
              <w:rPr>
                <w:rFonts w:ascii="Arial Narrow" w:hAnsi="Arial Narrow"/>
                <w:sz w:val="20"/>
              </w:rPr>
            </w:pPr>
            <w:r w:rsidRPr="00A715A4">
              <w:rPr>
                <w:rFonts w:ascii="Arial Narrow" w:hAnsi="Arial Narrow"/>
                <w:sz w:val="20"/>
              </w:rPr>
              <w:t xml:space="preserve">The condition must not have been treated previously with </w:t>
            </w:r>
            <w:r>
              <w:rPr>
                <w:rFonts w:ascii="Arial Narrow" w:hAnsi="Arial Narrow"/>
                <w:i/>
                <w:sz w:val="20"/>
              </w:rPr>
              <w:t xml:space="preserve">a PD-1 inhibitor </w:t>
            </w:r>
            <w:r w:rsidRPr="00A715A4">
              <w:rPr>
                <w:rFonts w:ascii="Arial Narrow" w:hAnsi="Arial Narrow"/>
                <w:strike/>
                <w:sz w:val="20"/>
              </w:rPr>
              <w:t>nivolumab</w:t>
            </w:r>
            <w:r>
              <w:rPr>
                <w:rFonts w:ascii="Arial Narrow" w:hAnsi="Arial Narrow"/>
                <w:sz w:val="20"/>
              </w:rPr>
              <w:t xml:space="preserve">; </w:t>
            </w:r>
            <w:r w:rsidRPr="00F663C6">
              <w:rPr>
                <w:rFonts w:ascii="Arial Narrow" w:hAnsi="Arial Narrow"/>
                <w:i/>
                <w:sz w:val="20"/>
              </w:rPr>
              <w:t>OR</w:t>
            </w:r>
          </w:p>
          <w:p w:rsidR="00304475" w:rsidRDefault="00304475" w:rsidP="004439FD">
            <w:pPr>
              <w:rPr>
                <w:rFonts w:ascii="Arial Narrow" w:hAnsi="Arial Narrow"/>
                <w:sz w:val="20"/>
              </w:rPr>
            </w:pPr>
          </w:p>
          <w:p w:rsidR="00304475" w:rsidRPr="00F663C6" w:rsidRDefault="00304475" w:rsidP="004439FD">
            <w:pPr>
              <w:rPr>
                <w:rFonts w:ascii="Arial Narrow" w:hAnsi="Arial Narrow"/>
                <w:i/>
                <w:sz w:val="20"/>
              </w:rPr>
            </w:pPr>
            <w:r w:rsidRPr="00F663C6">
              <w:rPr>
                <w:rFonts w:ascii="Arial Narrow" w:hAnsi="Arial Narrow"/>
                <w:i/>
                <w:sz w:val="20"/>
              </w:rPr>
              <w:t xml:space="preserve">Patient must have developed intolerance to another </w:t>
            </w:r>
            <w:r>
              <w:rPr>
                <w:rFonts w:ascii="Arial Narrow" w:hAnsi="Arial Narrow"/>
                <w:i/>
                <w:sz w:val="20"/>
              </w:rPr>
              <w:t>PD-1</w:t>
            </w:r>
            <w:r w:rsidRPr="00F663C6">
              <w:rPr>
                <w:rFonts w:ascii="Arial Narrow" w:hAnsi="Arial Narrow"/>
                <w:i/>
                <w:sz w:val="20"/>
              </w:rPr>
              <w:t xml:space="preserve"> inhibitor of a severity necessitating permanent treatment withdrawal</w:t>
            </w:r>
          </w:p>
          <w:p w:rsidR="00304475" w:rsidRDefault="00304475" w:rsidP="004439FD">
            <w:pPr>
              <w:rPr>
                <w:rFonts w:ascii="Arial Narrow" w:hAnsi="Arial Narrow"/>
                <w:sz w:val="20"/>
              </w:rPr>
            </w:pPr>
          </w:p>
          <w:p w:rsidR="00304475" w:rsidRDefault="00304475" w:rsidP="004439FD">
            <w:pPr>
              <w:rPr>
                <w:rFonts w:ascii="Arial Narrow" w:hAnsi="Arial Narrow"/>
                <w:i/>
                <w:sz w:val="20"/>
              </w:rPr>
            </w:pPr>
            <w:r>
              <w:rPr>
                <w:rFonts w:ascii="Arial Narrow" w:hAnsi="Arial Narrow"/>
                <w:i/>
                <w:sz w:val="20"/>
              </w:rPr>
              <w:t>AND</w:t>
            </w:r>
          </w:p>
          <w:p w:rsidR="00304475" w:rsidRDefault="00304475" w:rsidP="004439FD">
            <w:pPr>
              <w:rPr>
                <w:rFonts w:ascii="Arial Narrow" w:hAnsi="Arial Narrow"/>
                <w:i/>
                <w:sz w:val="20"/>
              </w:rPr>
            </w:pPr>
          </w:p>
          <w:p w:rsidR="00304475" w:rsidRPr="00D40D7C" w:rsidRDefault="00304475" w:rsidP="004439FD">
            <w:pPr>
              <w:rPr>
                <w:rFonts w:ascii="Arial Narrow" w:hAnsi="Arial Narrow"/>
                <w:i/>
                <w:sz w:val="20"/>
              </w:rPr>
            </w:pPr>
            <w:r>
              <w:rPr>
                <w:rFonts w:ascii="Arial Narrow" w:hAnsi="Arial Narrow"/>
                <w:i/>
                <w:sz w:val="20"/>
              </w:rPr>
              <w:t>The condition</w:t>
            </w:r>
            <w:r w:rsidRPr="00D40D7C">
              <w:rPr>
                <w:rFonts w:ascii="Arial Narrow" w:hAnsi="Arial Narrow"/>
                <w:i/>
                <w:sz w:val="20"/>
              </w:rPr>
              <w:t xml:space="preserve"> must be n</w:t>
            </w:r>
            <w:r>
              <w:rPr>
                <w:rFonts w:ascii="Arial Narrow" w:hAnsi="Arial Narrow"/>
                <w:i/>
                <w:sz w:val="20"/>
              </w:rPr>
              <w:t>egative for a BRAF V600 mutation</w:t>
            </w:r>
          </w:p>
        </w:tc>
      </w:tr>
      <w:tr w:rsidR="00304475" w:rsidRPr="00260CE3" w:rsidTr="009D2917">
        <w:trPr>
          <w:cantSplit/>
          <w:trHeight w:val="508"/>
        </w:trPr>
        <w:tc>
          <w:tcPr>
            <w:tcW w:w="2552" w:type="dxa"/>
            <w:tcBorders>
              <w:top w:val="single" w:sz="4" w:space="0" w:color="auto"/>
              <w:left w:val="single" w:sz="4" w:space="0" w:color="auto"/>
              <w:bottom w:val="single" w:sz="4" w:space="0" w:color="auto"/>
              <w:right w:val="single" w:sz="4" w:space="0" w:color="auto"/>
            </w:tcBorders>
          </w:tcPr>
          <w:p w:rsidR="00304475" w:rsidRPr="00260CE3" w:rsidRDefault="00304475" w:rsidP="004439FD">
            <w:pPr>
              <w:rPr>
                <w:rFonts w:ascii="Arial Narrow" w:hAnsi="Arial Narrow"/>
                <w:sz w:val="20"/>
              </w:rPr>
            </w:pPr>
            <w:r w:rsidRPr="00260CE3">
              <w:rPr>
                <w:rFonts w:ascii="Arial Narrow" w:hAnsi="Arial Narrow"/>
                <w:b/>
                <w:sz w:val="20"/>
              </w:rPr>
              <w:t>Prescriber Instructions</w:t>
            </w:r>
          </w:p>
        </w:tc>
        <w:tc>
          <w:tcPr>
            <w:tcW w:w="5811" w:type="dxa"/>
            <w:gridSpan w:val="6"/>
            <w:tcBorders>
              <w:top w:val="single" w:sz="4" w:space="0" w:color="auto"/>
              <w:left w:val="single" w:sz="4" w:space="0" w:color="auto"/>
              <w:bottom w:val="single" w:sz="4" w:space="0" w:color="auto"/>
              <w:right w:val="single" w:sz="4" w:space="0" w:color="auto"/>
            </w:tcBorders>
          </w:tcPr>
          <w:p w:rsidR="00304475" w:rsidRPr="00260CE3" w:rsidRDefault="00304475" w:rsidP="004439FD">
            <w:pPr>
              <w:rPr>
                <w:rFonts w:ascii="Arial Narrow" w:hAnsi="Arial Narrow"/>
                <w:sz w:val="20"/>
              </w:rPr>
            </w:pPr>
            <w:r w:rsidRPr="00C0121C">
              <w:rPr>
                <w:rFonts w:ascii="Arial Narrow" w:hAnsi="Arial Narrow"/>
                <w:sz w:val="20"/>
              </w:rPr>
              <w:t>The patient’s body weight must be documented in the patient’s medical records at the time treatment is initiated.</w:t>
            </w:r>
          </w:p>
        </w:tc>
      </w:tr>
      <w:tr w:rsidR="00304475" w:rsidRPr="00260CE3" w:rsidTr="009D2917">
        <w:trPr>
          <w:cantSplit/>
          <w:trHeight w:val="1505"/>
        </w:trPr>
        <w:tc>
          <w:tcPr>
            <w:tcW w:w="2552" w:type="dxa"/>
            <w:tcBorders>
              <w:top w:val="single" w:sz="4" w:space="0" w:color="auto"/>
              <w:left w:val="single" w:sz="4" w:space="0" w:color="auto"/>
              <w:bottom w:val="single" w:sz="4" w:space="0" w:color="auto"/>
              <w:right w:val="single" w:sz="4" w:space="0" w:color="auto"/>
            </w:tcBorders>
          </w:tcPr>
          <w:p w:rsidR="00304475" w:rsidRPr="00C0121C" w:rsidRDefault="00304475" w:rsidP="004439FD">
            <w:pPr>
              <w:rPr>
                <w:rFonts w:ascii="Arial Narrow" w:hAnsi="Arial Narrow"/>
                <w:b/>
                <w:sz w:val="20"/>
              </w:rPr>
            </w:pPr>
            <w:r w:rsidRPr="00260CE3">
              <w:rPr>
                <w:rFonts w:ascii="Arial Narrow" w:hAnsi="Arial Narrow"/>
                <w:b/>
                <w:sz w:val="20"/>
              </w:rPr>
              <w:t>Administrative Advice</w:t>
            </w:r>
          </w:p>
        </w:tc>
        <w:tc>
          <w:tcPr>
            <w:tcW w:w="5811" w:type="dxa"/>
            <w:gridSpan w:val="6"/>
            <w:tcBorders>
              <w:top w:val="single" w:sz="4" w:space="0" w:color="auto"/>
              <w:left w:val="single" w:sz="4" w:space="0" w:color="auto"/>
              <w:bottom w:val="single" w:sz="4" w:space="0" w:color="auto"/>
              <w:right w:val="single" w:sz="4" w:space="0" w:color="auto"/>
            </w:tcBorders>
          </w:tcPr>
          <w:p w:rsidR="00304475" w:rsidRDefault="00304475" w:rsidP="004439FD">
            <w:pPr>
              <w:rPr>
                <w:rFonts w:ascii="Arial Narrow" w:hAnsi="Arial Narrow"/>
                <w:strike/>
                <w:sz w:val="20"/>
              </w:rPr>
            </w:pPr>
            <w:r w:rsidRPr="00C0121C">
              <w:rPr>
                <w:rFonts w:ascii="Arial Narrow" w:hAnsi="Arial Narrow"/>
                <w:strike/>
                <w:sz w:val="20"/>
              </w:rPr>
              <w:t>The recommended dose of nivolumab is 3 mg/kg administered intravenously over 60 minutes every 2 weeks.</w:t>
            </w:r>
          </w:p>
          <w:p w:rsidR="00304475" w:rsidRDefault="00304475" w:rsidP="004439FD">
            <w:pPr>
              <w:rPr>
                <w:rFonts w:ascii="Arial Narrow" w:hAnsi="Arial Narrow"/>
                <w:strike/>
                <w:sz w:val="20"/>
              </w:rPr>
            </w:pPr>
          </w:p>
          <w:p w:rsidR="00304475" w:rsidRDefault="00304475" w:rsidP="004439FD">
            <w:pPr>
              <w:rPr>
                <w:rFonts w:ascii="Arial Narrow" w:hAnsi="Arial Narrow"/>
                <w:i/>
                <w:sz w:val="20"/>
              </w:rPr>
            </w:pPr>
            <w:r w:rsidRPr="00C5156F">
              <w:rPr>
                <w:rFonts w:ascii="Arial Narrow" w:hAnsi="Arial Narrow"/>
                <w:i/>
                <w:sz w:val="20"/>
              </w:rPr>
              <w:t>No increase in the maximum number of repeats may be authorised.</w:t>
            </w:r>
          </w:p>
          <w:p w:rsidR="00304475" w:rsidRDefault="00304475" w:rsidP="004439FD">
            <w:pPr>
              <w:rPr>
                <w:rFonts w:ascii="Arial Narrow" w:hAnsi="Arial Narrow"/>
                <w:i/>
                <w:sz w:val="20"/>
              </w:rPr>
            </w:pPr>
          </w:p>
          <w:p w:rsidR="00304475" w:rsidRPr="00E21DAB" w:rsidRDefault="00304475" w:rsidP="004439FD">
            <w:pPr>
              <w:rPr>
                <w:rFonts w:ascii="Arial Narrow" w:hAnsi="Arial Narrow"/>
                <w:i/>
                <w:sz w:val="20"/>
              </w:rPr>
            </w:pPr>
            <w:r w:rsidRPr="00C5156F">
              <w:rPr>
                <w:rFonts w:ascii="Arial Narrow" w:hAnsi="Arial Narrow"/>
                <w:i/>
                <w:sz w:val="20"/>
              </w:rPr>
              <w:t>Special Pricing Arrangements apply.</w:t>
            </w:r>
          </w:p>
        </w:tc>
      </w:tr>
    </w:tbl>
    <w:p w:rsidR="00304475" w:rsidRDefault="00304475" w:rsidP="00304475">
      <w:pPr>
        <w:rPr>
          <w:szCs w:val="22"/>
        </w:rPr>
      </w:pPr>
    </w:p>
    <w:p w:rsidR="00304475" w:rsidRDefault="00304475" w:rsidP="00304475">
      <w:pPr>
        <w:ind w:firstLine="720"/>
        <w:rPr>
          <w:szCs w:val="22"/>
        </w:rPr>
      </w:pPr>
      <w:r>
        <w:rPr>
          <w:rFonts w:ascii="Arial Narrow" w:hAnsi="Arial Narrow"/>
          <w:b/>
          <w:i/>
          <w:sz w:val="20"/>
        </w:rPr>
        <w:t xml:space="preserve">Initial treatment - </w:t>
      </w:r>
      <w:r w:rsidRPr="00645903">
        <w:rPr>
          <w:rFonts w:ascii="Arial Narrow" w:hAnsi="Arial Narrow"/>
          <w:b/>
          <w:i/>
          <w:sz w:val="20"/>
        </w:rPr>
        <w:t xml:space="preserve">BRAF V600 mutation </w:t>
      </w:r>
      <w:r>
        <w:rPr>
          <w:rFonts w:ascii="Arial Narrow" w:hAnsi="Arial Narrow"/>
          <w:b/>
          <w:i/>
          <w:sz w:val="20"/>
        </w:rPr>
        <w:t>posi</w:t>
      </w:r>
      <w:r w:rsidRPr="00645903">
        <w:rPr>
          <w:rFonts w:ascii="Arial Narrow" w:hAnsi="Arial Narrow"/>
          <w:b/>
          <w:i/>
          <w:sz w:val="20"/>
        </w:rPr>
        <w:t>tive</w:t>
      </w:r>
    </w:p>
    <w:tbl>
      <w:tblPr>
        <w:tblW w:w="8363" w:type="dxa"/>
        <w:tblInd w:w="817" w:type="dxa"/>
        <w:tblLayout w:type="fixed"/>
        <w:tblLook w:val="0000" w:firstRow="0" w:lastRow="0" w:firstColumn="0" w:lastColumn="0" w:noHBand="0" w:noVBand="0"/>
      </w:tblPr>
      <w:tblGrid>
        <w:gridCol w:w="2552"/>
        <w:gridCol w:w="5811"/>
      </w:tblGrid>
      <w:tr w:rsidR="00304475" w:rsidRPr="00260CE3" w:rsidTr="009D2917">
        <w:trPr>
          <w:cantSplit/>
          <w:trHeight w:val="360"/>
        </w:trPr>
        <w:tc>
          <w:tcPr>
            <w:tcW w:w="2552" w:type="dxa"/>
            <w:tcBorders>
              <w:top w:val="single" w:sz="4" w:space="0" w:color="auto"/>
              <w:left w:val="single" w:sz="4" w:space="0" w:color="auto"/>
              <w:bottom w:val="single" w:sz="4" w:space="0" w:color="auto"/>
              <w:right w:val="single" w:sz="4" w:space="0" w:color="auto"/>
            </w:tcBorders>
          </w:tcPr>
          <w:p w:rsidR="00304475" w:rsidRPr="00260CE3" w:rsidRDefault="00304475" w:rsidP="004439FD">
            <w:pPr>
              <w:rPr>
                <w:rFonts w:ascii="Arial Narrow" w:hAnsi="Arial Narrow"/>
                <w:b/>
                <w:sz w:val="20"/>
              </w:rPr>
            </w:pPr>
            <w:r w:rsidRPr="00260CE3">
              <w:rPr>
                <w:rFonts w:ascii="Arial Narrow" w:hAnsi="Arial Narrow"/>
                <w:b/>
                <w:sz w:val="20"/>
              </w:rPr>
              <w:t>Category / Program</w:t>
            </w:r>
          </w:p>
        </w:tc>
        <w:tc>
          <w:tcPr>
            <w:tcW w:w="5811" w:type="dxa"/>
            <w:tcBorders>
              <w:top w:val="single" w:sz="4" w:space="0" w:color="auto"/>
              <w:left w:val="single" w:sz="4" w:space="0" w:color="auto"/>
              <w:bottom w:val="single" w:sz="4" w:space="0" w:color="auto"/>
              <w:right w:val="single" w:sz="4" w:space="0" w:color="auto"/>
            </w:tcBorders>
          </w:tcPr>
          <w:p w:rsidR="00304475" w:rsidRPr="00260CE3" w:rsidRDefault="00304475" w:rsidP="004439FD">
            <w:pPr>
              <w:rPr>
                <w:rFonts w:ascii="Arial Narrow" w:hAnsi="Arial Narrow"/>
                <w:sz w:val="20"/>
              </w:rPr>
            </w:pPr>
            <w:r w:rsidRPr="00260CE3">
              <w:rPr>
                <w:rFonts w:ascii="Arial Narrow" w:hAnsi="Arial Narrow"/>
                <w:sz w:val="20"/>
              </w:rPr>
              <w:t xml:space="preserve">Section 100 – </w:t>
            </w:r>
            <w:r>
              <w:rPr>
                <w:rFonts w:ascii="Arial Narrow" w:hAnsi="Arial Narrow"/>
                <w:sz w:val="20"/>
              </w:rPr>
              <w:t xml:space="preserve">Efficient Funding of </w:t>
            </w:r>
            <w:r w:rsidRPr="00260CE3">
              <w:rPr>
                <w:rFonts w:ascii="Arial Narrow" w:hAnsi="Arial Narrow"/>
                <w:sz w:val="20"/>
              </w:rPr>
              <w:t>Chemotherapy</w:t>
            </w:r>
          </w:p>
        </w:tc>
      </w:tr>
      <w:tr w:rsidR="00304475" w:rsidRPr="00260CE3" w:rsidTr="009D2917">
        <w:trPr>
          <w:cantSplit/>
          <w:trHeight w:val="360"/>
        </w:trPr>
        <w:tc>
          <w:tcPr>
            <w:tcW w:w="2552" w:type="dxa"/>
            <w:tcBorders>
              <w:top w:val="single" w:sz="4" w:space="0" w:color="auto"/>
              <w:left w:val="single" w:sz="4" w:space="0" w:color="auto"/>
              <w:bottom w:val="single" w:sz="4" w:space="0" w:color="auto"/>
              <w:right w:val="single" w:sz="4" w:space="0" w:color="auto"/>
            </w:tcBorders>
          </w:tcPr>
          <w:p w:rsidR="00304475" w:rsidRPr="00260CE3" w:rsidRDefault="00304475" w:rsidP="004439FD">
            <w:pPr>
              <w:rPr>
                <w:rFonts w:ascii="Arial Narrow" w:hAnsi="Arial Narrow"/>
                <w:b/>
                <w:sz w:val="20"/>
              </w:rPr>
            </w:pPr>
            <w:r w:rsidRPr="00260CE3">
              <w:rPr>
                <w:rFonts w:ascii="Arial Narrow" w:hAnsi="Arial Narrow"/>
                <w:b/>
                <w:sz w:val="20"/>
              </w:rPr>
              <w:t>Prescriber type:</w:t>
            </w:r>
          </w:p>
        </w:tc>
        <w:tc>
          <w:tcPr>
            <w:tcW w:w="5811" w:type="dxa"/>
            <w:tcBorders>
              <w:top w:val="single" w:sz="4" w:space="0" w:color="auto"/>
              <w:left w:val="single" w:sz="4" w:space="0" w:color="auto"/>
              <w:bottom w:val="single" w:sz="4" w:space="0" w:color="auto"/>
              <w:right w:val="single" w:sz="4" w:space="0" w:color="auto"/>
            </w:tcBorders>
          </w:tcPr>
          <w:p w:rsidR="00304475" w:rsidRPr="00260CE3" w:rsidRDefault="00304475" w:rsidP="00304475">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r>
              <w:rPr>
                <w:rFonts w:ascii="Arial Narrow" w:hAnsi="Arial Narrow"/>
                <w:sz w:val="20"/>
              </w:rPr>
              <w:t xml:space="preserve">  </w:t>
            </w: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304475" w:rsidRPr="00260CE3" w:rsidTr="009D2917">
        <w:trPr>
          <w:cantSplit/>
          <w:trHeight w:val="360"/>
        </w:trPr>
        <w:tc>
          <w:tcPr>
            <w:tcW w:w="2552" w:type="dxa"/>
            <w:tcBorders>
              <w:top w:val="single" w:sz="4" w:space="0" w:color="auto"/>
              <w:left w:val="single" w:sz="4" w:space="0" w:color="auto"/>
              <w:bottom w:val="single" w:sz="4" w:space="0" w:color="auto"/>
              <w:right w:val="single" w:sz="4" w:space="0" w:color="auto"/>
            </w:tcBorders>
          </w:tcPr>
          <w:p w:rsidR="00304475" w:rsidRPr="00260CE3" w:rsidRDefault="00304475" w:rsidP="004439FD">
            <w:pPr>
              <w:rPr>
                <w:rFonts w:ascii="Arial Narrow" w:hAnsi="Arial Narrow"/>
                <w:b/>
                <w:sz w:val="20"/>
              </w:rPr>
            </w:pPr>
            <w:r w:rsidRPr="00260CE3">
              <w:rPr>
                <w:rFonts w:ascii="Arial Narrow" w:hAnsi="Arial Narrow"/>
                <w:b/>
                <w:sz w:val="20"/>
              </w:rPr>
              <w:t>Episodicity:</w:t>
            </w:r>
          </w:p>
        </w:tc>
        <w:tc>
          <w:tcPr>
            <w:tcW w:w="5811" w:type="dxa"/>
            <w:tcBorders>
              <w:top w:val="single" w:sz="4" w:space="0" w:color="auto"/>
              <w:left w:val="single" w:sz="4" w:space="0" w:color="auto"/>
              <w:bottom w:val="single" w:sz="4" w:space="0" w:color="auto"/>
              <w:right w:val="single" w:sz="4" w:space="0" w:color="auto"/>
            </w:tcBorders>
          </w:tcPr>
          <w:p w:rsidR="00304475" w:rsidRPr="00260CE3" w:rsidRDefault="00304475" w:rsidP="004439FD">
            <w:pPr>
              <w:rPr>
                <w:rFonts w:ascii="Arial Narrow" w:hAnsi="Arial Narrow"/>
                <w:sz w:val="20"/>
              </w:rPr>
            </w:pPr>
            <w:r>
              <w:rPr>
                <w:rFonts w:ascii="Arial Narrow" w:hAnsi="Arial Narrow"/>
                <w:sz w:val="20"/>
              </w:rPr>
              <w:t>-</w:t>
            </w:r>
          </w:p>
        </w:tc>
      </w:tr>
      <w:tr w:rsidR="00304475" w:rsidRPr="00260CE3" w:rsidTr="009D2917">
        <w:trPr>
          <w:cantSplit/>
          <w:trHeight w:val="360"/>
        </w:trPr>
        <w:tc>
          <w:tcPr>
            <w:tcW w:w="2552" w:type="dxa"/>
            <w:tcBorders>
              <w:top w:val="single" w:sz="4" w:space="0" w:color="auto"/>
              <w:left w:val="single" w:sz="4" w:space="0" w:color="auto"/>
              <w:bottom w:val="single" w:sz="4" w:space="0" w:color="auto"/>
              <w:right w:val="single" w:sz="4" w:space="0" w:color="auto"/>
            </w:tcBorders>
          </w:tcPr>
          <w:p w:rsidR="00304475" w:rsidRPr="00260CE3" w:rsidRDefault="00304475" w:rsidP="004439FD">
            <w:pPr>
              <w:rPr>
                <w:rFonts w:ascii="Arial Narrow" w:hAnsi="Arial Narrow"/>
                <w:b/>
                <w:sz w:val="20"/>
              </w:rPr>
            </w:pPr>
            <w:r w:rsidRPr="00260CE3">
              <w:rPr>
                <w:rFonts w:ascii="Arial Narrow" w:hAnsi="Arial Narrow"/>
                <w:b/>
                <w:sz w:val="20"/>
              </w:rPr>
              <w:t>Severity:</w:t>
            </w:r>
          </w:p>
        </w:tc>
        <w:tc>
          <w:tcPr>
            <w:tcW w:w="5811" w:type="dxa"/>
            <w:tcBorders>
              <w:top w:val="single" w:sz="4" w:space="0" w:color="auto"/>
              <w:left w:val="single" w:sz="4" w:space="0" w:color="auto"/>
              <w:bottom w:val="single" w:sz="4" w:space="0" w:color="auto"/>
              <w:right w:val="single" w:sz="4" w:space="0" w:color="auto"/>
            </w:tcBorders>
          </w:tcPr>
          <w:p w:rsidR="00304475" w:rsidRPr="00260CE3" w:rsidRDefault="00304475" w:rsidP="004439FD">
            <w:pPr>
              <w:rPr>
                <w:rFonts w:ascii="Arial Narrow" w:hAnsi="Arial Narrow"/>
                <w:sz w:val="20"/>
              </w:rPr>
            </w:pPr>
            <w:r>
              <w:rPr>
                <w:rFonts w:ascii="Arial Narrow" w:hAnsi="Arial Narrow"/>
                <w:sz w:val="20"/>
              </w:rPr>
              <w:t>Unresectable Stage III or Stage IV</w:t>
            </w:r>
          </w:p>
        </w:tc>
      </w:tr>
      <w:tr w:rsidR="00304475" w:rsidRPr="00260CE3" w:rsidTr="009D2917">
        <w:trPr>
          <w:cantSplit/>
          <w:trHeight w:val="360"/>
        </w:trPr>
        <w:tc>
          <w:tcPr>
            <w:tcW w:w="2552" w:type="dxa"/>
            <w:tcBorders>
              <w:top w:val="single" w:sz="4" w:space="0" w:color="auto"/>
              <w:left w:val="single" w:sz="4" w:space="0" w:color="auto"/>
              <w:bottom w:val="single" w:sz="4" w:space="0" w:color="auto"/>
              <w:right w:val="single" w:sz="4" w:space="0" w:color="auto"/>
            </w:tcBorders>
          </w:tcPr>
          <w:p w:rsidR="00304475" w:rsidRPr="00260CE3" w:rsidRDefault="00304475" w:rsidP="004439FD">
            <w:pPr>
              <w:rPr>
                <w:rFonts w:ascii="Arial Narrow" w:hAnsi="Arial Narrow"/>
                <w:b/>
                <w:sz w:val="20"/>
              </w:rPr>
            </w:pPr>
            <w:r w:rsidRPr="00260CE3">
              <w:rPr>
                <w:rFonts w:ascii="Arial Narrow" w:hAnsi="Arial Narrow"/>
                <w:b/>
                <w:sz w:val="20"/>
              </w:rPr>
              <w:t>Condition:</w:t>
            </w:r>
          </w:p>
        </w:tc>
        <w:tc>
          <w:tcPr>
            <w:tcW w:w="5811" w:type="dxa"/>
            <w:tcBorders>
              <w:top w:val="single" w:sz="4" w:space="0" w:color="auto"/>
              <w:left w:val="single" w:sz="4" w:space="0" w:color="auto"/>
              <w:bottom w:val="single" w:sz="4" w:space="0" w:color="auto"/>
              <w:right w:val="single" w:sz="4" w:space="0" w:color="auto"/>
            </w:tcBorders>
          </w:tcPr>
          <w:p w:rsidR="00304475" w:rsidRPr="00260CE3" w:rsidRDefault="00304475" w:rsidP="004439FD">
            <w:pPr>
              <w:rPr>
                <w:rFonts w:ascii="Arial Narrow" w:hAnsi="Arial Narrow"/>
                <w:sz w:val="20"/>
              </w:rPr>
            </w:pPr>
            <w:r>
              <w:rPr>
                <w:rFonts w:ascii="Arial Narrow" w:hAnsi="Arial Narrow"/>
                <w:sz w:val="20"/>
              </w:rPr>
              <w:t>Malignant melanoma</w:t>
            </w:r>
          </w:p>
        </w:tc>
      </w:tr>
      <w:tr w:rsidR="00304475" w:rsidRPr="00260CE3" w:rsidTr="009D2917">
        <w:trPr>
          <w:cantSplit/>
          <w:trHeight w:val="360"/>
        </w:trPr>
        <w:tc>
          <w:tcPr>
            <w:tcW w:w="2552" w:type="dxa"/>
            <w:tcBorders>
              <w:top w:val="single" w:sz="4" w:space="0" w:color="auto"/>
              <w:left w:val="single" w:sz="4" w:space="0" w:color="auto"/>
              <w:bottom w:val="single" w:sz="4" w:space="0" w:color="auto"/>
              <w:right w:val="single" w:sz="4" w:space="0" w:color="auto"/>
            </w:tcBorders>
          </w:tcPr>
          <w:p w:rsidR="00304475" w:rsidRPr="00260CE3" w:rsidRDefault="00304475" w:rsidP="004439FD">
            <w:pPr>
              <w:rPr>
                <w:rFonts w:ascii="Arial Narrow" w:hAnsi="Arial Narrow"/>
                <w:b/>
                <w:sz w:val="20"/>
              </w:rPr>
            </w:pPr>
            <w:r w:rsidRPr="00260CE3">
              <w:rPr>
                <w:rFonts w:ascii="Arial Narrow" w:hAnsi="Arial Narrow"/>
                <w:b/>
                <w:sz w:val="20"/>
              </w:rPr>
              <w:t>PBS Indication:</w:t>
            </w:r>
          </w:p>
        </w:tc>
        <w:tc>
          <w:tcPr>
            <w:tcW w:w="5811" w:type="dxa"/>
            <w:tcBorders>
              <w:top w:val="single" w:sz="4" w:space="0" w:color="auto"/>
              <w:left w:val="single" w:sz="4" w:space="0" w:color="auto"/>
              <w:bottom w:val="single" w:sz="4" w:space="0" w:color="auto"/>
              <w:right w:val="single" w:sz="4" w:space="0" w:color="auto"/>
            </w:tcBorders>
          </w:tcPr>
          <w:p w:rsidR="00304475" w:rsidRPr="00260CE3" w:rsidRDefault="00304475" w:rsidP="004439FD">
            <w:pPr>
              <w:rPr>
                <w:rFonts w:ascii="Arial Narrow" w:hAnsi="Arial Narrow"/>
                <w:sz w:val="20"/>
              </w:rPr>
            </w:pPr>
            <w:r>
              <w:rPr>
                <w:rFonts w:ascii="Arial Narrow" w:hAnsi="Arial Narrow"/>
                <w:sz w:val="20"/>
              </w:rPr>
              <w:t>Unresectable Stage III or Stage IV malignant melanoma</w:t>
            </w:r>
          </w:p>
        </w:tc>
      </w:tr>
      <w:tr w:rsidR="00304475" w:rsidRPr="00260CE3" w:rsidTr="009D2917">
        <w:trPr>
          <w:cantSplit/>
          <w:trHeight w:val="360"/>
        </w:trPr>
        <w:tc>
          <w:tcPr>
            <w:tcW w:w="2552" w:type="dxa"/>
            <w:tcBorders>
              <w:top w:val="single" w:sz="4" w:space="0" w:color="auto"/>
              <w:left w:val="single" w:sz="4" w:space="0" w:color="auto"/>
              <w:bottom w:val="single" w:sz="4" w:space="0" w:color="auto"/>
              <w:right w:val="single" w:sz="4" w:space="0" w:color="auto"/>
            </w:tcBorders>
          </w:tcPr>
          <w:p w:rsidR="00304475" w:rsidRPr="00C0121C" w:rsidRDefault="00304475" w:rsidP="004439FD">
            <w:pPr>
              <w:rPr>
                <w:rFonts w:ascii="Arial Narrow" w:hAnsi="Arial Narrow"/>
                <w:b/>
                <w:sz w:val="20"/>
              </w:rPr>
            </w:pPr>
            <w:r w:rsidRPr="00260CE3">
              <w:rPr>
                <w:rFonts w:ascii="Arial Narrow" w:hAnsi="Arial Narrow"/>
                <w:b/>
                <w:sz w:val="20"/>
              </w:rPr>
              <w:t>Treatment phase:</w:t>
            </w:r>
          </w:p>
        </w:tc>
        <w:tc>
          <w:tcPr>
            <w:tcW w:w="5811" w:type="dxa"/>
            <w:tcBorders>
              <w:top w:val="single" w:sz="4" w:space="0" w:color="auto"/>
              <w:left w:val="single" w:sz="4" w:space="0" w:color="auto"/>
              <w:bottom w:val="single" w:sz="4" w:space="0" w:color="auto"/>
              <w:right w:val="single" w:sz="4" w:space="0" w:color="auto"/>
            </w:tcBorders>
          </w:tcPr>
          <w:p w:rsidR="00304475" w:rsidRPr="00260CE3" w:rsidRDefault="00304475" w:rsidP="004439FD">
            <w:pPr>
              <w:rPr>
                <w:rFonts w:ascii="Arial Narrow" w:hAnsi="Arial Narrow"/>
                <w:sz w:val="20"/>
              </w:rPr>
            </w:pPr>
            <w:r>
              <w:rPr>
                <w:rFonts w:ascii="Arial Narrow" w:hAnsi="Arial Narrow"/>
                <w:sz w:val="20"/>
              </w:rPr>
              <w:t>Initial</w:t>
            </w:r>
          </w:p>
        </w:tc>
      </w:tr>
      <w:tr w:rsidR="00304475" w:rsidRPr="00260CE3" w:rsidTr="009D2917">
        <w:trPr>
          <w:cantSplit/>
          <w:trHeight w:val="360"/>
        </w:trPr>
        <w:tc>
          <w:tcPr>
            <w:tcW w:w="2552" w:type="dxa"/>
            <w:tcBorders>
              <w:top w:val="single" w:sz="4" w:space="0" w:color="auto"/>
              <w:left w:val="single" w:sz="4" w:space="0" w:color="auto"/>
              <w:bottom w:val="single" w:sz="4" w:space="0" w:color="auto"/>
              <w:right w:val="single" w:sz="4" w:space="0" w:color="auto"/>
            </w:tcBorders>
          </w:tcPr>
          <w:p w:rsidR="00304475" w:rsidRPr="00C0121C" w:rsidRDefault="00304475" w:rsidP="004439FD">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5811" w:type="dxa"/>
            <w:tcBorders>
              <w:top w:val="single" w:sz="4" w:space="0" w:color="auto"/>
              <w:left w:val="single" w:sz="4" w:space="0" w:color="auto"/>
              <w:bottom w:val="single" w:sz="4" w:space="0" w:color="auto"/>
              <w:right w:val="single" w:sz="4" w:space="0" w:color="auto"/>
            </w:tcBorders>
          </w:tcPr>
          <w:p w:rsidR="00304475" w:rsidRPr="00106BCF" w:rsidRDefault="00304475" w:rsidP="004439FD">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304475" w:rsidRPr="00106BCF" w:rsidRDefault="00304475" w:rsidP="004439FD">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In Writing</w:t>
            </w:r>
          </w:p>
          <w:p w:rsidR="00304475" w:rsidRPr="00106BCF" w:rsidRDefault="00304475" w:rsidP="004439FD">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304475" w:rsidRPr="00106BCF" w:rsidRDefault="00304475" w:rsidP="004439FD">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rsidR="00304475" w:rsidRPr="00106BCF" w:rsidRDefault="00304475" w:rsidP="004439FD">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304475" w:rsidRPr="00260CE3" w:rsidRDefault="00304475" w:rsidP="004439FD">
            <w:pPr>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r>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Streamlined</w:t>
            </w:r>
          </w:p>
        </w:tc>
      </w:tr>
      <w:tr w:rsidR="00304475" w:rsidRPr="00D40D7C" w:rsidTr="009D2917">
        <w:trPr>
          <w:cantSplit/>
          <w:trHeight w:val="3823"/>
        </w:trPr>
        <w:tc>
          <w:tcPr>
            <w:tcW w:w="2552" w:type="dxa"/>
            <w:tcBorders>
              <w:top w:val="single" w:sz="4" w:space="0" w:color="auto"/>
              <w:left w:val="single" w:sz="4" w:space="0" w:color="auto"/>
              <w:bottom w:val="single" w:sz="4" w:space="0" w:color="auto"/>
              <w:right w:val="single" w:sz="4" w:space="0" w:color="auto"/>
            </w:tcBorders>
          </w:tcPr>
          <w:p w:rsidR="00304475" w:rsidRPr="00044AC5" w:rsidRDefault="00304475" w:rsidP="004439FD">
            <w:pPr>
              <w:rPr>
                <w:rFonts w:ascii="Arial Narrow" w:hAnsi="Arial Narrow"/>
                <w:b/>
                <w:sz w:val="20"/>
              </w:rPr>
            </w:pPr>
            <w:r w:rsidRPr="00260CE3">
              <w:rPr>
                <w:rFonts w:ascii="Arial Narrow" w:hAnsi="Arial Narrow"/>
                <w:b/>
                <w:sz w:val="20"/>
              </w:rPr>
              <w:lastRenderedPageBreak/>
              <w:t>Clinical criteria:</w:t>
            </w:r>
          </w:p>
        </w:tc>
        <w:tc>
          <w:tcPr>
            <w:tcW w:w="5811" w:type="dxa"/>
            <w:tcBorders>
              <w:top w:val="single" w:sz="4" w:space="0" w:color="auto"/>
              <w:left w:val="single" w:sz="4" w:space="0" w:color="auto"/>
              <w:bottom w:val="single" w:sz="4" w:space="0" w:color="auto"/>
              <w:right w:val="single" w:sz="4" w:space="0" w:color="auto"/>
            </w:tcBorders>
          </w:tcPr>
          <w:p w:rsidR="00304475" w:rsidRPr="00C0121C" w:rsidRDefault="00304475" w:rsidP="004439FD">
            <w:pPr>
              <w:rPr>
                <w:rFonts w:ascii="Arial Narrow" w:hAnsi="Arial Narrow"/>
                <w:sz w:val="20"/>
              </w:rPr>
            </w:pPr>
            <w:r>
              <w:rPr>
                <w:rFonts w:ascii="Arial Narrow" w:hAnsi="Arial Narrow"/>
                <w:sz w:val="20"/>
              </w:rPr>
              <w:t>The t</w:t>
            </w:r>
            <w:r w:rsidRPr="00C0121C">
              <w:rPr>
                <w:rFonts w:ascii="Arial Narrow" w:hAnsi="Arial Narrow"/>
                <w:sz w:val="20"/>
              </w:rPr>
              <w:t>reatment must be the sole PBS-subsidised therapy for this condition</w:t>
            </w:r>
          </w:p>
          <w:p w:rsidR="00304475" w:rsidRPr="00C0121C" w:rsidRDefault="00304475" w:rsidP="004439FD">
            <w:pPr>
              <w:rPr>
                <w:rFonts w:ascii="Arial Narrow" w:hAnsi="Arial Narrow"/>
                <w:sz w:val="20"/>
              </w:rPr>
            </w:pPr>
          </w:p>
          <w:p w:rsidR="00304475" w:rsidRPr="00C0121C" w:rsidRDefault="00304475" w:rsidP="004439FD">
            <w:pPr>
              <w:rPr>
                <w:rFonts w:ascii="Arial Narrow" w:hAnsi="Arial Narrow"/>
                <w:sz w:val="20"/>
              </w:rPr>
            </w:pPr>
            <w:r w:rsidRPr="00C0121C">
              <w:rPr>
                <w:rFonts w:ascii="Arial Narrow" w:hAnsi="Arial Narrow"/>
                <w:sz w:val="20"/>
              </w:rPr>
              <w:t>AND</w:t>
            </w:r>
          </w:p>
          <w:p w:rsidR="00304475" w:rsidRPr="00C0121C" w:rsidRDefault="00304475" w:rsidP="004439FD">
            <w:pPr>
              <w:rPr>
                <w:rFonts w:ascii="Arial Narrow" w:hAnsi="Arial Narrow"/>
                <w:sz w:val="20"/>
              </w:rPr>
            </w:pPr>
          </w:p>
          <w:p w:rsidR="00304475" w:rsidRDefault="00304475" w:rsidP="004439FD">
            <w:pPr>
              <w:rPr>
                <w:rFonts w:ascii="Arial Narrow" w:hAnsi="Arial Narrow"/>
                <w:sz w:val="20"/>
              </w:rPr>
            </w:pPr>
            <w:r w:rsidRPr="00A715A4">
              <w:rPr>
                <w:rFonts w:ascii="Arial Narrow" w:hAnsi="Arial Narrow"/>
                <w:sz w:val="20"/>
              </w:rPr>
              <w:t xml:space="preserve">The condition must not have been treated previously with </w:t>
            </w:r>
            <w:r>
              <w:rPr>
                <w:rFonts w:ascii="Arial Narrow" w:hAnsi="Arial Narrow"/>
                <w:i/>
                <w:sz w:val="20"/>
              </w:rPr>
              <w:t xml:space="preserve">a PD-1 inhibitor </w:t>
            </w:r>
            <w:r w:rsidRPr="00A715A4">
              <w:rPr>
                <w:rFonts w:ascii="Arial Narrow" w:hAnsi="Arial Narrow"/>
                <w:strike/>
                <w:sz w:val="20"/>
              </w:rPr>
              <w:t>nivolumab</w:t>
            </w:r>
            <w:r>
              <w:rPr>
                <w:rFonts w:ascii="Arial Narrow" w:hAnsi="Arial Narrow"/>
                <w:sz w:val="20"/>
              </w:rPr>
              <w:t xml:space="preserve">; </w:t>
            </w:r>
            <w:r w:rsidRPr="00F663C6">
              <w:rPr>
                <w:rFonts w:ascii="Arial Narrow" w:hAnsi="Arial Narrow"/>
                <w:i/>
                <w:sz w:val="20"/>
              </w:rPr>
              <w:t>OR</w:t>
            </w:r>
          </w:p>
          <w:p w:rsidR="00304475" w:rsidRDefault="00304475" w:rsidP="004439FD">
            <w:pPr>
              <w:rPr>
                <w:rFonts w:ascii="Arial Narrow" w:hAnsi="Arial Narrow"/>
                <w:sz w:val="20"/>
              </w:rPr>
            </w:pPr>
          </w:p>
          <w:p w:rsidR="00304475" w:rsidRPr="00F663C6" w:rsidRDefault="00304475" w:rsidP="004439FD">
            <w:pPr>
              <w:rPr>
                <w:rFonts w:ascii="Arial Narrow" w:hAnsi="Arial Narrow"/>
                <w:i/>
                <w:sz w:val="20"/>
              </w:rPr>
            </w:pPr>
            <w:r w:rsidRPr="00F663C6">
              <w:rPr>
                <w:rFonts w:ascii="Arial Narrow" w:hAnsi="Arial Narrow"/>
                <w:i/>
                <w:sz w:val="20"/>
              </w:rPr>
              <w:t xml:space="preserve">Patient must have developed intolerance to another </w:t>
            </w:r>
            <w:r>
              <w:rPr>
                <w:rFonts w:ascii="Arial Narrow" w:hAnsi="Arial Narrow"/>
                <w:i/>
                <w:sz w:val="20"/>
              </w:rPr>
              <w:t>PD-1</w:t>
            </w:r>
            <w:r w:rsidRPr="00F663C6">
              <w:rPr>
                <w:rFonts w:ascii="Arial Narrow" w:hAnsi="Arial Narrow"/>
                <w:i/>
                <w:sz w:val="20"/>
              </w:rPr>
              <w:t xml:space="preserve"> inhibitor of a severity necessitating permanent treatment withdrawal</w:t>
            </w:r>
          </w:p>
          <w:p w:rsidR="00304475" w:rsidRDefault="00304475" w:rsidP="004439FD">
            <w:pPr>
              <w:rPr>
                <w:rFonts w:ascii="Arial Narrow" w:hAnsi="Arial Narrow"/>
                <w:sz w:val="20"/>
              </w:rPr>
            </w:pPr>
          </w:p>
          <w:p w:rsidR="00304475" w:rsidRDefault="00304475" w:rsidP="004439FD">
            <w:pPr>
              <w:rPr>
                <w:rFonts w:ascii="Arial Narrow" w:hAnsi="Arial Narrow"/>
                <w:i/>
                <w:sz w:val="20"/>
              </w:rPr>
            </w:pPr>
            <w:r>
              <w:rPr>
                <w:rFonts w:ascii="Arial Narrow" w:hAnsi="Arial Narrow"/>
                <w:i/>
                <w:sz w:val="20"/>
              </w:rPr>
              <w:t>AND</w:t>
            </w:r>
          </w:p>
          <w:p w:rsidR="00304475" w:rsidRDefault="00304475" w:rsidP="004439FD">
            <w:pPr>
              <w:rPr>
                <w:rFonts w:ascii="Arial Narrow" w:hAnsi="Arial Narrow"/>
                <w:i/>
                <w:sz w:val="20"/>
              </w:rPr>
            </w:pPr>
          </w:p>
          <w:p w:rsidR="00304475" w:rsidRDefault="00304475" w:rsidP="004439FD">
            <w:pPr>
              <w:rPr>
                <w:rFonts w:ascii="Arial Narrow" w:hAnsi="Arial Narrow"/>
                <w:i/>
                <w:sz w:val="20"/>
              </w:rPr>
            </w:pPr>
            <w:r w:rsidRPr="00A33351">
              <w:rPr>
                <w:rFonts w:ascii="Arial Narrow" w:hAnsi="Arial Narrow"/>
                <w:i/>
                <w:sz w:val="20"/>
              </w:rPr>
              <w:t>The condition must be po</w:t>
            </w:r>
            <w:r>
              <w:rPr>
                <w:rFonts w:ascii="Arial Narrow" w:hAnsi="Arial Narrow"/>
                <w:i/>
                <w:sz w:val="20"/>
              </w:rPr>
              <w:t>sitive for a BRAF V600 mutation</w:t>
            </w:r>
          </w:p>
          <w:p w:rsidR="00304475" w:rsidRDefault="00304475" w:rsidP="004439FD">
            <w:pPr>
              <w:rPr>
                <w:rFonts w:ascii="Arial Narrow" w:hAnsi="Arial Narrow"/>
                <w:i/>
                <w:sz w:val="20"/>
              </w:rPr>
            </w:pPr>
          </w:p>
          <w:p w:rsidR="00304475" w:rsidRDefault="00304475" w:rsidP="004439FD">
            <w:pPr>
              <w:rPr>
                <w:rFonts w:ascii="Arial Narrow" w:hAnsi="Arial Narrow"/>
                <w:i/>
                <w:sz w:val="20"/>
              </w:rPr>
            </w:pPr>
            <w:r>
              <w:rPr>
                <w:rFonts w:ascii="Arial Narrow" w:hAnsi="Arial Narrow"/>
                <w:i/>
                <w:sz w:val="20"/>
              </w:rPr>
              <w:t>AND</w:t>
            </w:r>
          </w:p>
          <w:p w:rsidR="00304475" w:rsidRDefault="00304475" w:rsidP="004439FD">
            <w:pPr>
              <w:rPr>
                <w:rFonts w:ascii="Arial Narrow" w:hAnsi="Arial Narrow"/>
                <w:i/>
                <w:sz w:val="20"/>
              </w:rPr>
            </w:pPr>
          </w:p>
          <w:p w:rsidR="00304475" w:rsidRPr="00D40D7C" w:rsidRDefault="00304475" w:rsidP="004439FD">
            <w:pPr>
              <w:rPr>
                <w:rFonts w:ascii="Arial Narrow" w:hAnsi="Arial Narrow"/>
                <w:i/>
                <w:sz w:val="20"/>
              </w:rPr>
            </w:pPr>
            <w:r>
              <w:rPr>
                <w:rFonts w:ascii="Arial Narrow" w:hAnsi="Arial Narrow"/>
                <w:i/>
                <w:sz w:val="20"/>
              </w:rPr>
              <w:t>The condition must have progressed following treatment with a BRAF inhibitor (with or without a MEK inhibitor) unless contraindicated or not tolerated according to the TGA approved Product Information.</w:t>
            </w:r>
          </w:p>
        </w:tc>
      </w:tr>
      <w:tr w:rsidR="00304475" w:rsidRPr="00260CE3" w:rsidTr="009D2917">
        <w:trPr>
          <w:cantSplit/>
          <w:trHeight w:val="508"/>
        </w:trPr>
        <w:tc>
          <w:tcPr>
            <w:tcW w:w="2552" w:type="dxa"/>
            <w:tcBorders>
              <w:top w:val="single" w:sz="4" w:space="0" w:color="auto"/>
              <w:left w:val="single" w:sz="4" w:space="0" w:color="auto"/>
              <w:bottom w:val="single" w:sz="4" w:space="0" w:color="auto"/>
              <w:right w:val="single" w:sz="4" w:space="0" w:color="auto"/>
            </w:tcBorders>
          </w:tcPr>
          <w:p w:rsidR="00304475" w:rsidRPr="00260CE3" w:rsidRDefault="00304475" w:rsidP="009D2917">
            <w:pPr>
              <w:rPr>
                <w:rFonts w:ascii="Arial Narrow" w:hAnsi="Arial Narrow"/>
                <w:sz w:val="20"/>
              </w:rPr>
            </w:pPr>
            <w:r w:rsidRPr="00260CE3">
              <w:rPr>
                <w:rFonts w:ascii="Arial Narrow" w:hAnsi="Arial Narrow"/>
                <w:b/>
                <w:sz w:val="20"/>
              </w:rPr>
              <w:t>Prescriber Instructions</w:t>
            </w:r>
          </w:p>
        </w:tc>
        <w:tc>
          <w:tcPr>
            <w:tcW w:w="5811" w:type="dxa"/>
            <w:tcBorders>
              <w:top w:val="single" w:sz="4" w:space="0" w:color="auto"/>
              <w:left w:val="single" w:sz="4" w:space="0" w:color="auto"/>
              <w:bottom w:val="single" w:sz="4" w:space="0" w:color="auto"/>
              <w:right w:val="single" w:sz="4" w:space="0" w:color="auto"/>
            </w:tcBorders>
          </w:tcPr>
          <w:p w:rsidR="00304475" w:rsidRPr="00260CE3" w:rsidRDefault="00304475" w:rsidP="004439FD">
            <w:pPr>
              <w:rPr>
                <w:rFonts w:ascii="Arial Narrow" w:hAnsi="Arial Narrow"/>
                <w:sz w:val="20"/>
              </w:rPr>
            </w:pPr>
            <w:r w:rsidRPr="00C0121C">
              <w:rPr>
                <w:rFonts w:ascii="Arial Narrow" w:hAnsi="Arial Narrow"/>
                <w:sz w:val="20"/>
              </w:rPr>
              <w:t>The patient’s body weight must be documented in the patient’s medical records at the time treatment is initiated.</w:t>
            </w:r>
          </w:p>
        </w:tc>
      </w:tr>
      <w:tr w:rsidR="00304475" w:rsidRPr="00E21DAB" w:rsidTr="009D2917">
        <w:trPr>
          <w:cantSplit/>
          <w:trHeight w:val="1505"/>
        </w:trPr>
        <w:tc>
          <w:tcPr>
            <w:tcW w:w="2552" w:type="dxa"/>
            <w:tcBorders>
              <w:top w:val="single" w:sz="4" w:space="0" w:color="auto"/>
              <w:left w:val="single" w:sz="4" w:space="0" w:color="auto"/>
              <w:bottom w:val="single" w:sz="4" w:space="0" w:color="auto"/>
              <w:right w:val="single" w:sz="4" w:space="0" w:color="auto"/>
            </w:tcBorders>
          </w:tcPr>
          <w:p w:rsidR="00304475" w:rsidRPr="00C0121C" w:rsidRDefault="00304475" w:rsidP="004439FD">
            <w:pPr>
              <w:rPr>
                <w:rFonts w:ascii="Arial Narrow" w:hAnsi="Arial Narrow"/>
                <w:b/>
                <w:sz w:val="20"/>
              </w:rPr>
            </w:pPr>
            <w:r w:rsidRPr="00260CE3">
              <w:rPr>
                <w:rFonts w:ascii="Arial Narrow" w:hAnsi="Arial Narrow"/>
                <w:b/>
                <w:sz w:val="20"/>
              </w:rPr>
              <w:t>Administrative Advice</w:t>
            </w:r>
          </w:p>
        </w:tc>
        <w:tc>
          <w:tcPr>
            <w:tcW w:w="5811" w:type="dxa"/>
            <w:tcBorders>
              <w:top w:val="single" w:sz="4" w:space="0" w:color="auto"/>
              <w:left w:val="single" w:sz="4" w:space="0" w:color="auto"/>
              <w:bottom w:val="single" w:sz="4" w:space="0" w:color="auto"/>
              <w:right w:val="single" w:sz="4" w:space="0" w:color="auto"/>
            </w:tcBorders>
          </w:tcPr>
          <w:p w:rsidR="00304475" w:rsidRDefault="00304475" w:rsidP="004439FD">
            <w:pPr>
              <w:rPr>
                <w:rFonts w:ascii="Arial Narrow" w:hAnsi="Arial Narrow"/>
                <w:strike/>
                <w:sz w:val="20"/>
              </w:rPr>
            </w:pPr>
            <w:r w:rsidRPr="00C0121C">
              <w:rPr>
                <w:rFonts w:ascii="Arial Narrow" w:hAnsi="Arial Narrow"/>
                <w:strike/>
                <w:sz w:val="20"/>
              </w:rPr>
              <w:t>The recommended dose of nivolumab is 3 mg/kg administered intravenously over 60 minutes every 2 weeks.</w:t>
            </w:r>
          </w:p>
          <w:p w:rsidR="00304475" w:rsidRDefault="00304475" w:rsidP="004439FD">
            <w:pPr>
              <w:rPr>
                <w:rFonts w:ascii="Arial Narrow" w:hAnsi="Arial Narrow"/>
                <w:strike/>
                <w:sz w:val="20"/>
              </w:rPr>
            </w:pPr>
          </w:p>
          <w:p w:rsidR="00304475" w:rsidRDefault="00304475" w:rsidP="004439FD">
            <w:pPr>
              <w:rPr>
                <w:rFonts w:ascii="Arial Narrow" w:hAnsi="Arial Narrow"/>
                <w:i/>
                <w:sz w:val="20"/>
              </w:rPr>
            </w:pPr>
            <w:r w:rsidRPr="00C5156F">
              <w:rPr>
                <w:rFonts w:ascii="Arial Narrow" w:hAnsi="Arial Narrow"/>
                <w:i/>
                <w:sz w:val="20"/>
              </w:rPr>
              <w:t>No increase in the maximum number of repeats may be authorised.</w:t>
            </w:r>
          </w:p>
          <w:p w:rsidR="00304475" w:rsidRDefault="00304475" w:rsidP="004439FD">
            <w:pPr>
              <w:rPr>
                <w:rFonts w:ascii="Arial Narrow" w:hAnsi="Arial Narrow"/>
                <w:i/>
                <w:sz w:val="20"/>
              </w:rPr>
            </w:pPr>
          </w:p>
          <w:p w:rsidR="00304475" w:rsidRPr="00E21DAB" w:rsidRDefault="00304475" w:rsidP="004439FD">
            <w:pPr>
              <w:rPr>
                <w:rFonts w:ascii="Arial Narrow" w:hAnsi="Arial Narrow"/>
                <w:i/>
                <w:sz w:val="20"/>
              </w:rPr>
            </w:pPr>
            <w:r w:rsidRPr="00C5156F">
              <w:rPr>
                <w:rFonts w:ascii="Arial Narrow" w:hAnsi="Arial Narrow"/>
                <w:i/>
                <w:sz w:val="20"/>
              </w:rPr>
              <w:t>Special Pricing Arrangements apply.</w:t>
            </w:r>
          </w:p>
        </w:tc>
      </w:tr>
    </w:tbl>
    <w:p w:rsidR="00304475" w:rsidRDefault="00304475" w:rsidP="00304475">
      <w:pPr>
        <w:rPr>
          <w:szCs w:val="22"/>
        </w:rPr>
      </w:pPr>
    </w:p>
    <w:p w:rsidR="00304475" w:rsidRPr="000D7C39" w:rsidRDefault="00304475" w:rsidP="00304475">
      <w:pPr>
        <w:ind w:firstLine="720"/>
        <w:rPr>
          <w:rFonts w:ascii="Arial Narrow" w:hAnsi="Arial Narrow"/>
          <w:b/>
          <w:i/>
          <w:sz w:val="20"/>
        </w:rPr>
      </w:pPr>
      <w:r w:rsidRPr="000D7C39">
        <w:rPr>
          <w:rFonts w:ascii="Arial Narrow" w:hAnsi="Arial Narrow"/>
          <w:b/>
          <w:i/>
          <w:sz w:val="20"/>
        </w:rPr>
        <w:t>Continuing treatment</w:t>
      </w:r>
    </w:p>
    <w:tbl>
      <w:tblPr>
        <w:tblW w:w="8363" w:type="dxa"/>
        <w:tblInd w:w="817" w:type="dxa"/>
        <w:tblLayout w:type="fixed"/>
        <w:tblLook w:val="0000" w:firstRow="0" w:lastRow="0" w:firstColumn="0" w:lastColumn="0" w:noHBand="0" w:noVBand="0"/>
      </w:tblPr>
      <w:tblGrid>
        <w:gridCol w:w="2552"/>
        <w:gridCol w:w="5811"/>
      </w:tblGrid>
      <w:tr w:rsidR="00304475" w:rsidRPr="00260CE3" w:rsidTr="009D2917">
        <w:trPr>
          <w:cantSplit/>
          <w:trHeight w:val="360"/>
        </w:trPr>
        <w:tc>
          <w:tcPr>
            <w:tcW w:w="2552" w:type="dxa"/>
            <w:tcBorders>
              <w:top w:val="single" w:sz="4" w:space="0" w:color="auto"/>
              <w:left w:val="single" w:sz="4" w:space="0" w:color="auto"/>
              <w:bottom w:val="single" w:sz="4" w:space="0" w:color="auto"/>
              <w:right w:val="single" w:sz="4" w:space="0" w:color="auto"/>
            </w:tcBorders>
          </w:tcPr>
          <w:p w:rsidR="00304475" w:rsidRPr="00260CE3" w:rsidRDefault="00304475" w:rsidP="004439FD">
            <w:pPr>
              <w:rPr>
                <w:rFonts w:ascii="Arial Narrow" w:hAnsi="Arial Narrow"/>
                <w:b/>
                <w:sz w:val="20"/>
              </w:rPr>
            </w:pPr>
            <w:r w:rsidRPr="00260CE3">
              <w:rPr>
                <w:rFonts w:ascii="Arial Narrow" w:hAnsi="Arial Narrow"/>
                <w:b/>
                <w:sz w:val="20"/>
              </w:rPr>
              <w:t>Category / Program</w:t>
            </w:r>
          </w:p>
        </w:tc>
        <w:tc>
          <w:tcPr>
            <w:tcW w:w="5811" w:type="dxa"/>
            <w:tcBorders>
              <w:top w:val="single" w:sz="4" w:space="0" w:color="auto"/>
              <w:left w:val="single" w:sz="4" w:space="0" w:color="auto"/>
              <w:bottom w:val="single" w:sz="4" w:space="0" w:color="auto"/>
              <w:right w:val="single" w:sz="4" w:space="0" w:color="auto"/>
            </w:tcBorders>
          </w:tcPr>
          <w:p w:rsidR="00304475" w:rsidRPr="00260CE3" w:rsidRDefault="00304475" w:rsidP="004439FD">
            <w:pPr>
              <w:rPr>
                <w:rFonts w:ascii="Arial Narrow" w:hAnsi="Arial Narrow"/>
                <w:sz w:val="20"/>
              </w:rPr>
            </w:pPr>
            <w:r w:rsidRPr="00260CE3">
              <w:rPr>
                <w:rFonts w:ascii="Arial Narrow" w:hAnsi="Arial Narrow"/>
                <w:sz w:val="20"/>
              </w:rPr>
              <w:t xml:space="preserve">Section 100 – </w:t>
            </w:r>
            <w:r>
              <w:rPr>
                <w:rFonts w:ascii="Arial Narrow" w:hAnsi="Arial Narrow"/>
                <w:sz w:val="20"/>
              </w:rPr>
              <w:t xml:space="preserve">Efficient Funding of </w:t>
            </w:r>
            <w:r w:rsidRPr="00260CE3">
              <w:rPr>
                <w:rFonts w:ascii="Arial Narrow" w:hAnsi="Arial Narrow"/>
                <w:sz w:val="20"/>
              </w:rPr>
              <w:t>Chemotherapy</w:t>
            </w:r>
          </w:p>
        </w:tc>
      </w:tr>
      <w:tr w:rsidR="00304475" w:rsidRPr="00260CE3" w:rsidTr="009D2917">
        <w:trPr>
          <w:cantSplit/>
          <w:trHeight w:val="360"/>
        </w:trPr>
        <w:tc>
          <w:tcPr>
            <w:tcW w:w="2552" w:type="dxa"/>
            <w:tcBorders>
              <w:top w:val="single" w:sz="4" w:space="0" w:color="auto"/>
              <w:left w:val="single" w:sz="4" w:space="0" w:color="auto"/>
              <w:bottom w:val="single" w:sz="4" w:space="0" w:color="auto"/>
              <w:right w:val="single" w:sz="4" w:space="0" w:color="auto"/>
            </w:tcBorders>
          </w:tcPr>
          <w:p w:rsidR="00304475" w:rsidRPr="00260CE3" w:rsidRDefault="00304475" w:rsidP="004439FD">
            <w:pPr>
              <w:rPr>
                <w:rFonts w:ascii="Arial Narrow" w:hAnsi="Arial Narrow"/>
                <w:b/>
                <w:sz w:val="20"/>
              </w:rPr>
            </w:pPr>
            <w:r w:rsidRPr="00260CE3">
              <w:rPr>
                <w:rFonts w:ascii="Arial Narrow" w:hAnsi="Arial Narrow"/>
                <w:b/>
                <w:sz w:val="20"/>
              </w:rPr>
              <w:t>Prescriber type:</w:t>
            </w:r>
          </w:p>
        </w:tc>
        <w:tc>
          <w:tcPr>
            <w:tcW w:w="5811" w:type="dxa"/>
            <w:tcBorders>
              <w:top w:val="single" w:sz="4" w:space="0" w:color="auto"/>
              <w:left w:val="single" w:sz="4" w:space="0" w:color="auto"/>
              <w:bottom w:val="single" w:sz="4" w:space="0" w:color="auto"/>
              <w:right w:val="single" w:sz="4" w:space="0" w:color="auto"/>
            </w:tcBorders>
          </w:tcPr>
          <w:p w:rsidR="00304475" w:rsidRPr="00260CE3" w:rsidRDefault="00304475" w:rsidP="00304475">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r>
              <w:rPr>
                <w:rFonts w:ascii="Arial Narrow" w:hAnsi="Arial Narrow"/>
                <w:sz w:val="20"/>
              </w:rPr>
              <w:t xml:space="preserve">  </w:t>
            </w: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304475" w:rsidRPr="00260CE3" w:rsidTr="009D2917">
        <w:trPr>
          <w:cantSplit/>
          <w:trHeight w:val="360"/>
        </w:trPr>
        <w:tc>
          <w:tcPr>
            <w:tcW w:w="2552" w:type="dxa"/>
            <w:tcBorders>
              <w:top w:val="single" w:sz="4" w:space="0" w:color="auto"/>
              <w:left w:val="single" w:sz="4" w:space="0" w:color="auto"/>
              <w:bottom w:val="single" w:sz="4" w:space="0" w:color="auto"/>
              <w:right w:val="single" w:sz="4" w:space="0" w:color="auto"/>
            </w:tcBorders>
          </w:tcPr>
          <w:p w:rsidR="00304475" w:rsidRPr="00260CE3" w:rsidRDefault="00304475" w:rsidP="004439FD">
            <w:pPr>
              <w:rPr>
                <w:rFonts w:ascii="Arial Narrow" w:hAnsi="Arial Narrow"/>
                <w:b/>
                <w:sz w:val="20"/>
              </w:rPr>
            </w:pPr>
            <w:r w:rsidRPr="00260CE3">
              <w:rPr>
                <w:rFonts w:ascii="Arial Narrow" w:hAnsi="Arial Narrow"/>
                <w:b/>
                <w:sz w:val="20"/>
              </w:rPr>
              <w:t>Episodicity:</w:t>
            </w:r>
          </w:p>
        </w:tc>
        <w:tc>
          <w:tcPr>
            <w:tcW w:w="5811" w:type="dxa"/>
            <w:tcBorders>
              <w:top w:val="single" w:sz="4" w:space="0" w:color="auto"/>
              <w:left w:val="single" w:sz="4" w:space="0" w:color="auto"/>
              <w:bottom w:val="single" w:sz="4" w:space="0" w:color="auto"/>
              <w:right w:val="single" w:sz="4" w:space="0" w:color="auto"/>
            </w:tcBorders>
          </w:tcPr>
          <w:p w:rsidR="00304475" w:rsidRPr="00260CE3" w:rsidRDefault="00304475" w:rsidP="004439FD">
            <w:pPr>
              <w:rPr>
                <w:rFonts w:ascii="Arial Narrow" w:hAnsi="Arial Narrow"/>
                <w:sz w:val="20"/>
              </w:rPr>
            </w:pPr>
            <w:r>
              <w:rPr>
                <w:rFonts w:ascii="Arial Narrow" w:hAnsi="Arial Narrow"/>
                <w:sz w:val="20"/>
              </w:rPr>
              <w:t>-</w:t>
            </w:r>
          </w:p>
        </w:tc>
      </w:tr>
      <w:tr w:rsidR="00304475" w:rsidRPr="00260CE3" w:rsidTr="009D2917">
        <w:trPr>
          <w:cantSplit/>
          <w:trHeight w:val="360"/>
        </w:trPr>
        <w:tc>
          <w:tcPr>
            <w:tcW w:w="2552" w:type="dxa"/>
            <w:tcBorders>
              <w:top w:val="single" w:sz="4" w:space="0" w:color="auto"/>
              <w:left w:val="single" w:sz="4" w:space="0" w:color="auto"/>
              <w:bottom w:val="single" w:sz="4" w:space="0" w:color="auto"/>
              <w:right w:val="single" w:sz="4" w:space="0" w:color="auto"/>
            </w:tcBorders>
          </w:tcPr>
          <w:p w:rsidR="00304475" w:rsidRPr="00260CE3" w:rsidRDefault="00304475" w:rsidP="004439FD">
            <w:pPr>
              <w:rPr>
                <w:rFonts w:ascii="Arial Narrow" w:hAnsi="Arial Narrow"/>
                <w:b/>
                <w:sz w:val="20"/>
              </w:rPr>
            </w:pPr>
            <w:r w:rsidRPr="00260CE3">
              <w:rPr>
                <w:rFonts w:ascii="Arial Narrow" w:hAnsi="Arial Narrow"/>
                <w:b/>
                <w:sz w:val="20"/>
              </w:rPr>
              <w:t>Severity:</w:t>
            </w:r>
          </w:p>
        </w:tc>
        <w:tc>
          <w:tcPr>
            <w:tcW w:w="5811" w:type="dxa"/>
            <w:tcBorders>
              <w:top w:val="single" w:sz="4" w:space="0" w:color="auto"/>
              <w:left w:val="single" w:sz="4" w:space="0" w:color="auto"/>
              <w:bottom w:val="single" w:sz="4" w:space="0" w:color="auto"/>
              <w:right w:val="single" w:sz="4" w:space="0" w:color="auto"/>
            </w:tcBorders>
          </w:tcPr>
          <w:p w:rsidR="00304475" w:rsidRPr="00260CE3" w:rsidRDefault="00304475" w:rsidP="004439FD">
            <w:pPr>
              <w:rPr>
                <w:rFonts w:ascii="Arial Narrow" w:hAnsi="Arial Narrow"/>
                <w:sz w:val="20"/>
              </w:rPr>
            </w:pPr>
            <w:r>
              <w:rPr>
                <w:rFonts w:ascii="Arial Narrow" w:hAnsi="Arial Narrow"/>
                <w:sz w:val="20"/>
              </w:rPr>
              <w:t>Unresectable Stage III or Stage IV</w:t>
            </w:r>
          </w:p>
        </w:tc>
      </w:tr>
      <w:tr w:rsidR="00304475" w:rsidRPr="00260CE3" w:rsidTr="009D2917">
        <w:trPr>
          <w:cantSplit/>
          <w:trHeight w:val="360"/>
        </w:trPr>
        <w:tc>
          <w:tcPr>
            <w:tcW w:w="2552" w:type="dxa"/>
            <w:tcBorders>
              <w:top w:val="single" w:sz="4" w:space="0" w:color="auto"/>
              <w:left w:val="single" w:sz="4" w:space="0" w:color="auto"/>
              <w:bottom w:val="single" w:sz="4" w:space="0" w:color="auto"/>
              <w:right w:val="single" w:sz="4" w:space="0" w:color="auto"/>
            </w:tcBorders>
          </w:tcPr>
          <w:p w:rsidR="00304475" w:rsidRPr="00260CE3" w:rsidRDefault="00304475" w:rsidP="004439FD">
            <w:pPr>
              <w:rPr>
                <w:rFonts w:ascii="Arial Narrow" w:hAnsi="Arial Narrow"/>
                <w:b/>
                <w:sz w:val="20"/>
              </w:rPr>
            </w:pPr>
            <w:r w:rsidRPr="00260CE3">
              <w:rPr>
                <w:rFonts w:ascii="Arial Narrow" w:hAnsi="Arial Narrow"/>
                <w:b/>
                <w:sz w:val="20"/>
              </w:rPr>
              <w:t>Condition:</w:t>
            </w:r>
          </w:p>
        </w:tc>
        <w:tc>
          <w:tcPr>
            <w:tcW w:w="5811" w:type="dxa"/>
            <w:tcBorders>
              <w:top w:val="single" w:sz="4" w:space="0" w:color="auto"/>
              <w:left w:val="single" w:sz="4" w:space="0" w:color="auto"/>
              <w:bottom w:val="single" w:sz="4" w:space="0" w:color="auto"/>
              <w:right w:val="single" w:sz="4" w:space="0" w:color="auto"/>
            </w:tcBorders>
          </w:tcPr>
          <w:p w:rsidR="00304475" w:rsidRPr="00260CE3" w:rsidRDefault="00304475" w:rsidP="004439FD">
            <w:pPr>
              <w:rPr>
                <w:rFonts w:ascii="Arial Narrow" w:hAnsi="Arial Narrow"/>
                <w:sz w:val="20"/>
              </w:rPr>
            </w:pPr>
            <w:r>
              <w:rPr>
                <w:rFonts w:ascii="Arial Narrow" w:hAnsi="Arial Narrow"/>
                <w:sz w:val="20"/>
              </w:rPr>
              <w:t>Malignant melanoma</w:t>
            </w:r>
          </w:p>
        </w:tc>
      </w:tr>
      <w:tr w:rsidR="00304475" w:rsidRPr="00260CE3" w:rsidTr="009D2917">
        <w:trPr>
          <w:cantSplit/>
          <w:trHeight w:val="360"/>
        </w:trPr>
        <w:tc>
          <w:tcPr>
            <w:tcW w:w="2552" w:type="dxa"/>
            <w:tcBorders>
              <w:top w:val="single" w:sz="4" w:space="0" w:color="auto"/>
              <w:left w:val="single" w:sz="4" w:space="0" w:color="auto"/>
              <w:bottom w:val="single" w:sz="4" w:space="0" w:color="auto"/>
              <w:right w:val="single" w:sz="4" w:space="0" w:color="auto"/>
            </w:tcBorders>
          </w:tcPr>
          <w:p w:rsidR="00304475" w:rsidRPr="00260CE3" w:rsidRDefault="00304475" w:rsidP="004439FD">
            <w:pPr>
              <w:rPr>
                <w:rFonts w:ascii="Arial Narrow" w:hAnsi="Arial Narrow"/>
                <w:b/>
                <w:sz w:val="20"/>
              </w:rPr>
            </w:pPr>
            <w:r w:rsidRPr="00260CE3">
              <w:rPr>
                <w:rFonts w:ascii="Arial Narrow" w:hAnsi="Arial Narrow"/>
                <w:b/>
                <w:sz w:val="20"/>
              </w:rPr>
              <w:t>PBS Indication:</w:t>
            </w:r>
          </w:p>
        </w:tc>
        <w:tc>
          <w:tcPr>
            <w:tcW w:w="5811" w:type="dxa"/>
            <w:tcBorders>
              <w:top w:val="single" w:sz="4" w:space="0" w:color="auto"/>
              <w:left w:val="single" w:sz="4" w:space="0" w:color="auto"/>
              <w:bottom w:val="single" w:sz="4" w:space="0" w:color="auto"/>
              <w:right w:val="single" w:sz="4" w:space="0" w:color="auto"/>
            </w:tcBorders>
          </w:tcPr>
          <w:p w:rsidR="00304475" w:rsidRPr="00260CE3" w:rsidRDefault="00304475" w:rsidP="004439FD">
            <w:pPr>
              <w:rPr>
                <w:rFonts w:ascii="Arial Narrow" w:hAnsi="Arial Narrow"/>
                <w:sz w:val="20"/>
              </w:rPr>
            </w:pPr>
            <w:r>
              <w:rPr>
                <w:rFonts w:ascii="Arial Narrow" w:hAnsi="Arial Narrow"/>
                <w:sz w:val="20"/>
              </w:rPr>
              <w:t>Unresectable Stage III or Stage IV malignant melanoma</w:t>
            </w:r>
          </w:p>
        </w:tc>
      </w:tr>
      <w:tr w:rsidR="00304475" w:rsidRPr="00260CE3" w:rsidTr="009D2917">
        <w:trPr>
          <w:cantSplit/>
          <w:trHeight w:val="360"/>
        </w:trPr>
        <w:tc>
          <w:tcPr>
            <w:tcW w:w="2552" w:type="dxa"/>
            <w:tcBorders>
              <w:top w:val="single" w:sz="4" w:space="0" w:color="auto"/>
              <w:left w:val="single" w:sz="4" w:space="0" w:color="auto"/>
              <w:bottom w:val="single" w:sz="4" w:space="0" w:color="auto"/>
              <w:right w:val="single" w:sz="4" w:space="0" w:color="auto"/>
            </w:tcBorders>
          </w:tcPr>
          <w:p w:rsidR="00304475" w:rsidRPr="00C0121C" w:rsidRDefault="00304475" w:rsidP="004439FD">
            <w:pPr>
              <w:rPr>
                <w:rFonts w:ascii="Arial Narrow" w:hAnsi="Arial Narrow"/>
                <w:b/>
                <w:sz w:val="20"/>
              </w:rPr>
            </w:pPr>
            <w:r w:rsidRPr="00260CE3">
              <w:rPr>
                <w:rFonts w:ascii="Arial Narrow" w:hAnsi="Arial Narrow"/>
                <w:b/>
                <w:sz w:val="20"/>
              </w:rPr>
              <w:t>Treatment phase:</w:t>
            </w:r>
          </w:p>
        </w:tc>
        <w:tc>
          <w:tcPr>
            <w:tcW w:w="5811" w:type="dxa"/>
            <w:tcBorders>
              <w:top w:val="single" w:sz="4" w:space="0" w:color="auto"/>
              <w:left w:val="single" w:sz="4" w:space="0" w:color="auto"/>
              <w:bottom w:val="single" w:sz="4" w:space="0" w:color="auto"/>
              <w:right w:val="single" w:sz="4" w:space="0" w:color="auto"/>
            </w:tcBorders>
          </w:tcPr>
          <w:p w:rsidR="00304475" w:rsidRPr="00260CE3" w:rsidRDefault="00304475" w:rsidP="004439FD">
            <w:pPr>
              <w:rPr>
                <w:rFonts w:ascii="Arial Narrow" w:hAnsi="Arial Narrow"/>
                <w:sz w:val="20"/>
              </w:rPr>
            </w:pPr>
            <w:r>
              <w:rPr>
                <w:rFonts w:ascii="Arial Narrow" w:hAnsi="Arial Narrow"/>
                <w:sz w:val="20"/>
              </w:rPr>
              <w:t>Continuing</w:t>
            </w:r>
          </w:p>
        </w:tc>
      </w:tr>
      <w:tr w:rsidR="00304475" w:rsidRPr="00260CE3" w:rsidTr="009D2917">
        <w:trPr>
          <w:cantSplit/>
          <w:trHeight w:val="360"/>
        </w:trPr>
        <w:tc>
          <w:tcPr>
            <w:tcW w:w="2552" w:type="dxa"/>
            <w:tcBorders>
              <w:top w:val="single" w:sz="4" w:space="0" w:color="auto"/>
              <w:left w:val="single" w:sz="4" w:space="0" w:color="auto"/>
              <w:bottom w:val="single" w:sz="4" w:space="0" w:color="auto"/>
              <w:right w:val="single" w:sz="4" w:space="0" w:color="auto"/>
            </w:tcBorders>
          </w:tcPr>
          <w:p w:rsidR="00304475" w:rsidRPr="00C0121C" w:rsidRDefault="00304475" w:rsidP="004439FD">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5811" w:type="dxa"/>
            <w:tcBorders>
              <w:top w:val="single" w:sz="4" w:space="0" w:color="auto"/>
              <w:left w:val="single" w:sz="4" w:space="0" w:color="auto"/>
              <w:bottom w:val="single" w:sz="4" w:space="0" w:color="auto"/>
              <w:right w:val="single" w:sz="4" w:space="0" w:color="auto"/>
            </w:tcBorders>
          </w:tcPr>
          <w:p w:rsidR="00304475" w:rsidRPr="00106BCF" w:rsidRDefault="00304475" w:rsidP="004439FD">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304475" w:rsidRPr="00106BCF" w:rsidRDefault="00304475" w:rsidP="004439FD">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In Writing</w:t>
            </w:r>
          </w:p>
          <w:p w:rsidR="00304475" w:rsidRPr="00106BCF" w:rsidRDefault="00304475" w:rsidP="004439FD">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304475" w:rsidRPr="00106BCF" w:rsidRDefault="00304475" w:rsidP="004439FD">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rsidR="00304475" w:rsidRPr="00106BCF" w:rsidRDefault="00304475" w:rsidP="004439FD">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304475" w:rsidRPr="00260CE3" w:rsidRDefault="00304475" w:rsidP="004439FD">
            <w:pPr>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r>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Streamlined</w:t>
            </w:r>
          </w:p>
        </w:tc>
      </w:tr>
      <w:tr w:rsidR="00304475" w:rsidRPr="00260CE3" w:rsidTr="009D2917">
        <w:trPr>
          <w:cantSplit/>
          <w:trHeight w:val="1184"/>
        </w:trPr>
        <w:tc>
          <w:tcPr>
            <w:tcW w:w="2552" w:type="dxa"/>
            <w:tcBorders>
              <w:top w:val="single" w:sz="4" w:space="0" w:color="auto"/>
              <w:left w:val="single" w:sz="4" w:space="0" w:color="auto"/>
              <w:bottom w:val="single" w:sz="4" w:space="0" w:color="auto"/>
              <w:right w:val="single" w:sz="4" w:space="0" w:color="auto"/>
            </w:tcBorders>
          </w:tcPr>
          <w:p w:rsidR="00304475" w:rsidRPr="00044AC5" w:rsidRDefault="00304475" w:rsidP="004439FD">
            <w:pPr>
              <w:rPr>
                <w:rFonts w:ascii="Arial Narrow" w:hAnsi="Arial Narrow"/>
                <w:b/>
                <w:sz w:val="20"/>
              </w:rPr>
            </w:pPr>
            <w:r w:rsidRPr="00260CE3">
              <w:rPr>
                <w:rFonts w:ascii="Arial Narrow" w:hAnsi="Arial Narrow"/>
                <w:b/>
                <w:sz w:val="20"/>
              </w:rPr>
              <w:lastRenderedPageBreak/>
              <w:t>Clinical criteria:</w:t>
            </w:r>
          </w:p>
        </w:tc>
        <w:tc>
          <w:tcPr>
            <w:tcW w:w="5811" w:type="dxa"/>
            <w:tcBorders>
              <w:top w:val="single" w:sz="4" w:space="0" w:color="auto"/>
              <w:left w:val="single" w:sz="4" w:space="0" w:color="auto"/>
              <w:bottom w:val="single" w:sz="4" w:space="0" w:color="auto"/>
              <w:right w:val="single" w:sz="4" w:space="0" w:color="auto"/>
            </w:tcBorders>
          </w:tcPr>
          <w:p w:rsidR="00304475" w:rsidRDefault="00304475" w:rsidP="004439FD">
            <w:pPr>
              <w:rPr>
                <w:rFonts w:ascii="Arial Narrow" w:hAnsi="Arial Narrow"/>
                <w:sz w:val="20"/>
              </w:rPr>
            </w:pPr>
            <w:r w:rsidRPr="003776D3">
              <w:rPr>
                <w:rFonts w:ascii="Arial Narrow" w:hAnsi="Arial Narrow"/>
                <w:sz w:val="20"/>
              </w:rPr>
              <w:t>Patient must have previously been issued with an authority prescription for t</w:t>
            </w:r>
            <w:r>
              <w:rPr>
                <w:rFonts w:ascii="Arial Narrow" w:hAnsi="Arial Narrow"/>
                <w:sz w:val="20"/>
              </w:rPr>
              <w:t>his drug</w:t>
            </w:r>
          </w:p>
          <w:p w:rsidR="00304475" w:rsidRPr="003776D3" w:rsidRDefault="00304475" w:rsidP="004439FD">
            <w:pPr>
              <w:rPr>
                <w:rFonts w:ascii="Arial Narrow" w:hAnsi="Arial Narrow"/>
                <w:sz w:val="20"/>
              </w:rPr>
            </w:pPr>
          </w:p>
          <w:p w:rsidR="00304475" w:rsidRDefault="00304475" w:rsidP="004439FD">
            <w:pPr>
              <w:rPr>
                <w:rFonts w:ascii="Arial Narrow" w:hAnsi="Arial Narrow"/>
                <w:sz w:val="20"/>
              </w:rPr>
            </w:pPr>
            <w:r w:rsidRPr="003776D3">
              <w:rPr>
                <w:rFonts w:ascii="Arial Narrow" w:hAnsi="Arial Narrow"/>
                <w:sz w:val="20"/>
              </w:rPr>
              <w:t>AND</w:t>
            </w:r>
          </w:p>
          <w:p w:rsidR="00304475" w:rsidRPr="003776D3" w:rsidRDefault="00304475" w:rsidP="004439FD">
            <w:pPr>
              <w:rPr>
                <w:rFonts w:ascii="Arial Narrow" w:hAnsi="Arial Narrow"/>
                <w:sz w:val="20"/>
              </w:rPr>
            </w:pPr>
          </w:p>
          <w:p w:rsidR="00304475" w:rsidRPr="00C0121C" w:rsidRDefault="00304475" w:rsidP="004439FD">
            <w:pPr>
              <w:rPr>
                <w:rFonts w:ascii="Arial Narrow" w:hAnsi="Arial Narrow"/>
                <w:sz w:val="20"/>
              </w:rPr>
            </w:pPr>
            <w:r>
              <w:rPr>
                <w:rFonts w:ascii="Arial Narrow" w:hAnsi="Arial Narrow"/>
                <w:sz w:val="20"/>
              </w:rPr>
              <w:t>The t</w:t>
            </w:r>
            <w:r w:rsidRPr="00C0121C">
              <w:rPr>
                <w:rFonts w:ascii="Arial Narrow" w:hAnsi="Arial Narrow"/>
                <w:sz w:val="20"/>
              </w:rPr>
              <w:t>reatment must be the sole PBS-subsidised therapy for this condition</w:t>
            </w:r>
          </w:p>
          <w:p w:rsidR="00304475" w:rsidRPr="00C0121C" w:rsidRDefault="00304475" w:rsidP="004439FD">
            <w:pPr>
              <w:rPr>
                <w:rFonts w:ascii="Arial Narrow" w:hAnsi="Arial Narrow"/>
                <w:sz w:val="20"/>
              </w:rPr>
            </w:pPr>
          </w:p>
          <w:p w:rsidR="00304475" w:rsidRPr="00C0121C" w:rsidRDefault="00304475" w:rsidP="004439FD">
            <w:pPr>
              <w:rPr>
                <w:rFonts w:ascii="Arial Narrow" w:hAnsi="Arial Narrow"/>
                <w:sz w:val="20"/>
              </w:rPr>
            </w:pPr>
            <w:r w:rsidRPr="00C0121C">
              <w:rPr>
                <w:rFonts w:ascii="Arial Narrow" w:hAnsi="Arial Narrow"/>
                <w:sz w:val="20"/>
              </w:rPr>
              <w:t>AND</w:t>
            </w:r>
          </w:p>
          <w:p w:rsidR="00304475" w:rsidRPr="00C0121C" w:rsidRDefault="00304475" w:rsidP="004439FD">
            <w:pPr>
              <w:rPr>
                <w:rFonts w:ascii="Arial Narrow" w:hAnsi="Arial Narrow"/>
                <w:sz w:val="20"/>
              </w:rPr>
            </w:pPr>
          </w:p>
          <w:p w:rsidR="00304475" w:rsidRPr="00A715A4" w:rsidRDefault="00304475" w:rsidP="004439FD">
            <w:pPr>
              <w:rPr>
                <w:rFonts w:ascii="Arial Narrow" w:hAnsi="Arial Narrow"/>
                <w:sz w:val="20"/>
              </w:rPr>
            </w:pPr>
            <w:r w:rsidRPr="003776D3">
              <w:rPr>
                <w:rFonts w:ascii="Arial Narrow" w:hAnsi="Arial Narrow"/>
                <w:sz w:val="20"/>
              </w:rPr>
              <w:t>Patient must have stable or responding disease.</w:t>
            </w:r>
          </w:p>
        </w:tc>
      </w:tr>
      <w:tr w:rsidR="00304475" w:rsidRPr="00260CE3" w:rsidTr="009D2917">
        <w:trPr>
          <w:cantSplit/>
          <w:trHeight w:val="508"/>
        </w:trPr>
        <w:tc>
          <w:tcPr>
            <w:tcW w:w="2552" w:type="dxa"/>
            <w:tcBorders>
              <w:top w:val="single" w:sz="4" w:space="0" w:color="auto"/>
              <w:left w:val="single" w:sz="4" w:space="0" w:color="auto"/>
              <w:bottom w:val="single" w:sz="4" w:space="0" w:color="auto"/>
              <w:right w:val="single" w:sz="4" w:space="0" w:color="auto"/>
            </w:tcBorders>
          </w:tcPr>
          <w:p w:rsidR="00304475" w:rsidRPr="00260CE3" w:rsidRDefault="00304475" w:rsidP="004439FD">
            <w:pPr>
              <w:rPr>
                <w:rFonts w:ascii="Arial Narrow" w:hAnsi="Arial Narrow"/>
                <w:b/>
                <w:sz w:val="20"/>
              </w:rPr>
            </w:pPr>
            <w:r w:rsidRPr="00260CE3">
              <w:rPr>
                <w:rFonts w:ascii="Arial Narrow" w:hAnsi="Arial Narrow"/>
                <w:b/>
                <w:sz w:val="20"/>
              </w:rPr>
              <w:t>Prescriber Instructions</w:t>
            </w:r>
          </w:p>
          <w:p w:rsidR="00304475" w:rsidRPr="00260CE3" w:rsidRDefault="00304475" w:rsidP="004439FD">
            <w:pPr>
              <w:rPr>
                <w:rFonts w:ascii="Arial Narrow" w:hAnsi="Arial Narrow"/>
                <w:sz w:val="20"/>
              </w:rPr>
            </w:pPr>
          </w:p>
        </w:tc>
        <w:tc>
          <w:tcPr>
            <w:tcW w:w="5811" w:type="dxa"/>
            <w:tcBorders>
              <w:top w:val="single" w:sz="4" w:space="0" w:color="auto"/>
              <w:left w:val="single" w:sz="4" w:space="0" w:color="auto"/>
              <w:bottom w:val="single" w:sz="4" w:space="0" w:color="auto"/>
              <w:right w:val="single" w:sz="4" w:space="0" w:color="auto"/>
            </w:tcBorders>
          </w:tcPr>
          <w:p w:rsidR="00304475" w:rsidRPr="00260CE3" w:rsidRDefault="00304475" w:rsidP="004439FD">
            <w:pPr>
              <w:rPr>
                <w:rFonts w:ascii="Arial Narrow" w:hAnsi="Arial Narrow"/>
                <w:sz w:val="20"/>
              </w:rPr>
            </w:pPr>
            <w:r w:rsidRPr="00C0121C">
              <w:rPr>
                <w:rFonts w:ascii="Arial Narrow" w:hAnsi="Arial Narrow"/>
                <w:sz w:val="20"/>
              </w:rPr>
              <w:t>The patient’s body weight must be documented in the patient’s medical records at the time treatment is initiated.</w:t>
            </w:r>
          </w:p>
        </w:tc>
      </w:tr>
      <w:tr w:rsidR="00304475" w:rsidRPr="00260CE3" w:rsidTr="009D2917">
        <w:trPr>
          <w:cantSplit/>
          <w:trHeight w:val="1505"/>
        </w:trPr>
        <w:tc>
          <w:tcPr>
            <w:tcW w:w="2552" w:type="dxa"/>
            <w:tcBorders>
              <w:top w:val="single" w:sz="4" w:space="0" w:color="auto"/>
              <w:left w:val="single" w:sz="4" w:space="0" w:color="auto"/>
              <w:bottom w:val="single" w:sz="4" w:space="0" w:color="auto"/>
              <w:right w:val="single" w:sz="4" w:space="0" w:color="auto"/>
            </w:tcBorders>
          </w:tcPr>
          <w:p w:rsidR="00304475" w:rsidRPr="00C0121C" w:rsidRDefault="00304475" w:rsidP="004439FD">
            <w:pPr>
              <w:rPr>
                <w:rFonts w:ascii="Arial Narrow" w:hAnsi="Arial Narrow"/>
                <w:b/>
                <w:sz w:val="20"/>
              </w:rPr>
            </w:pPr>
            <w:r w:rsidRPr="00260CE3">
              <w:rPr>
                <w:rFonts w:ascii="Arial Narrow" w:hAnsi="Arial Narrow"/>
                <w:b/>
                <w:sz w:val="20"/>
              </w:rPr>
              <w:t>Administrative Advice</w:t>
            </w:r>
          </w:p>
        </w:tc>
        <w:tc>
          <w:tcPr>
            <w:tcW w:w="5811" w:type="dxa"/>
            <w:tcBorders>
              <w:top w:val="single" w:sz="4" w:space="0" w:color="auto"/>
              <w:left w:val="single" w:sz="4" w:space="0" w:color="auto"/>
              <w:bottom w:val="single" w:sz="4" w:space="0" w:color="auto"/>
              <w:right w:val="single" w:sz="4" w:space="0" w:color="auto"/>
            </w:tcBorders>
          </w:tcPr>
          <w:p w:rsidR="00304475" w:rsidRDefault="00304475" w:rsidP="004439FD">
            <w:pPr>
              <w:rPr>
                <w:rFonts w:ascii="Arial Narrow" w:hAnsi="Arial Narrow"/>
                <w:strike/>
                <w:sz w:val="20"/>
              </w:rPr>
            </w:pPr>
            <w:r w:rsidRPr="00C0121C">
              <w:rPr>
                <w:rFonts w:ascii="Arial Narrow" w:hAnsi="Arial Narrow"/>
                <w:strike/>
                <w:sz w:val="20"/>
              </w:rPr>
              <w:t>The recommended dose of nivolumab is 3 mg/kg administered intravenously over 60 minutes every 2 weeks.</w:t>
            </w:r>
          </w:p>
          <w:p w:rsidR="00304475" w:rsidRDefault="00304475" w:rsidP="004439FD">
            <w:pPr>
              <w:rPr>
                <w:rFonts w:ascii="Arial Narrow" w:hAnsi="Arial Narrow"/>
                <w:strike/>
                <w:sz w:val="20"/>
              </w:rPr>
            </w:pPr>
          </w:p>
          <w:p w:rsidR="00304475" w:rsidRDefault="00304475" w:rsidP="004439FD">
            <w:pPr>
              <w:rPr>
                <w:rFonts w:ascii="Arial Narrow" w:hAnsi="Arial Narrow"/>
                <w:i/>
                <w:sz w:val="20"/>
              </w:rPr>
            </w:pPr>
            <w:r w:rsidRPr="00C5156F">
              <w:rPr>
                <w:rFonts w:ascii="Arial Narrow" w:hAnsi="Arial Narrow"/>
                <w:i/>
                <w:sz w:val="20"/>
              </w:rPr>
              <w:t>No increase in the maximum number of repeats may be authorised.</w:t>
            </w:r>
          </w:p>
          <w:p w:rsidR="00304475" w:rsidRDefault="00304475" w:rsidP="004439FD">
            <w:pPr>
              <w:rPr>
                <w:rFonts w:ascii="Arial Narrow" w:hAnsi="Arial Narrow"/>
                <w:i/>
                <w:sz w:val="20"/>
              </w:rPr>
            </w:pPr>
          </w:p>
          <w:p w:rsidR="00304475" w:rsidRPr="00E21DAB" w:rsidRDefault="00304475" w:rsidP="004439FD">
            <w:pPr>
              <w:rPr>
                <w:rFonts w:ascii="Arial Narrow" w:hAnsi="Arial Narrow"/>
                <w:i/>
                <w:sz w:val="20"/>
              </w:rPr>
            </w:pPr>
            <w:r w:rsidRPr="00C5156F">
              <w:rPr>
                <w:rFonts w:ascii="Arial Narrow" w:hAnsi="Arial Narrow"/>
                <w:i/>
                <w:sz w:val="20"/>
              </w:rPr>
              <w:t>Special Pricing Arrangements apply.</w:t>
            </w:r>
          </w:p>
        </w:tc>
      </w:tr>
    </w:tbl>
    <w:p w:rsidR="00304475" w:rsidRDefault="00304475" w:rsidP="00791B57">
      <w:pPr>
        <w:outlineLvl w:val="1"/>
        <w:rPr>
          <w:szCs w:val="22"/>
        </w:rPr>
      </w:pPr>
    </w:p>
    <w:p w:rsidR="00791B57" w:rsidRDefault="00791B57" w:rsidP="00791B57">
      <w:pPr>
        <w:pStyle w:val="ListParagraph"/>
        <w:ind w:left="709"/>
        <w:rPr>
          <w:i/>
          <w:szCs w:val="22"/>
        </w:rPr>
      </w:pPr>
      <w:r w:rsidRPr="00791B57">
        <w:rPr>
          <w:i/>
          <w:szCs w:val="22"/>
        </w:rPr>
        <w:t>For more detail on PBAC’s view, see section 7 “PBAC outcome”</w:t>
      </w:r>
      <w:r w:rsidR="009D2917">
        <w:rPr>
          <w:i/>
          <w:szCs w:val="22"/>
        </w:rPr>
        <w:t>.</w:t>
      </w:r>
    </w:p>
    <w:p w:rsidR="00D750F3" w:rsidRDefault="00D750F3" w:rsidP="009E515A">
      <w:pPr>
        <w:outlineLvl w:val="1"/>
        <w:rPr>
          <w:szCs w:val="22"/>
        </w:rPr>
      </w:pPr>
    </w:p>
    <w:p w:rsidR="009E515A" w:rsidRPr="00882085" w:rsidRDefault="009E515A" w:rsidP="009E515A">
      <w:pPr>
        <w:pStyle w:val="ListParagraph"/>
        <w:widowControl/>
        <w:numPr>
          <w:ilvl w:val="0"/>
          <w:numId w:val="1"/>
        </w:numPr>
        <w:rPr>
          <w:szCs w:val="22"/>
        </w:rPr>
      </w:pPr>
      <w:r w:rsidRPr="00882085">
        <w:rPr>
          <w:b/>
          <w:szCs w:val="22"/>
        </w:rPr>
        <w:t>Background</w:t>
      </w:r>
    </w:p>
    <w:p w:rsidR="009E515A" w:rsidRPr="00882085" w:rsidRDefault="009E515A" w:rsidP="009E515A">
      <w:pPr>
        <w:rPr>
          <w:szCs w:val="22"/>
        </w:rPr>
      </w:pPr>
    </w:p>
    <w:p w:rsidR="00782F03" w:rsidRDefault="00DD1190" w:rsidP="00782F03">
      <w:pPr>
        <w:pStyle w:val="ListParagraph"/>
        <w:widowControl/>
        <w:numPr>
          <w:ilvl w:val="1"/>
          <w:numId w:val="1"/>
        </w:numPr>
      </w:pPr>
      <w:r>
        <w:t>TGA status at time of PBAC consideration: a</w:t>
      </w:r>
      <w:r w:rsidR="00782F03">
        <w:t>t the time of PBAC consideration, the TGA Delegate’s Overview was available.</w:t>
      </w:r>
      <w:r w:rsidR="00591A7B">
        <w:t xml:space="preserve"> Nivolumab was expected to be considered at the December 2015 meeting of the Advisory Committee on Prescription Medicines.</w:t>
      </w:r>
    </w:p>
    <w:p w:rsidR="00782F03" w:rsidRDefault="00782F03" w:rsidP="00782F03">
      <w:pPr>
        <w:widowControl/>
      </w:pPr>
    </w:p>
    <w:p w:rsidR="00B17270" w:rsidRDefault="00B17270" w:rsidP="00B17270">
      <w:pPr>
        <w:pStyle w:val="ListParagraph"/>
        <w:widowControl/>
        <w:numPr>
          <w:ilvl w:val="1"/>
          <w:numId w:val="1"/>
        </w:numPr>
      </w:pPr>
      <w:r w:rsidRPr="003A3593">
        <w:t xml:space="preserve">This </w:t>
      </w:r>
      <w:r>
        <w:t>is</w:t>
      </w:r>
      <w:r w:rsidRPr="003A3593">
        <w:t xml:space="preserve"> the </w:t>
      </w:r>
      <w:r>
        <w:t>second</w:t>
      </w:r>
      <w:r w:rsidRPr="003A3593">
        <w:t xml:space="preserve"> consideration of nivolumab by the PBAC. </w:t>
      </w:r>
      <w:r>
        <w:t>A submission for nivolumab (as monotherapy) for the treatment unresectable Stage III or Stage IV malignant melanoma was rejected by the PBAC in July 2015</w:t>
      </w:r>
      <w:r w:rsidR="005D6DB5">
        <w:t>.</w:t>
      </w:r>
      <w:r>
        <w:t xml:space="preserve"> </w:t>
      </w:r>
      <w:r w:rsidR="005D6DB5">
        <w:t xml:space="preserve">In reaching this conclusion, </w:t>
      </w:r>
      <w:r>
        <w:t>the PBAC did not accept that ipilimumab, as presented in the submission, w</w:t>
      </w:r>
      <w:r w:rsidR="008D09B4">
        <w:t>as the appropriate comparator.</w:t>
      </w:r>
    </w:p>
    <w:p w:rsidR="00B17270" w:rsidRDefault="00B17270" w:rsidP="00B17270">
      <w:pPr>
        <w:widowControl/>
      </w:pPr>
    </w:p>
    <w:p w:rsidR="009E515A" w:rsidRDefault="00B17270" w:rsidP="00B17270">
      <w:pPr>
        <w:pStyle w:val="ListParagraph"/>
        <w:widowControl/>
        <w:numPr>
          <w:ilvl w:val="1"/>
          <w:numId w:val="1"/>
        </w:numPr>
      </w:pPr>
      <w:r w:rsidRPr="003A3593">
        <w:t xml:space="preserve">Another PD-1 inhibitor, pembrolizumab, was considered by the PBAC in March 2015, and </w:t>
      </w:r>
      <w:r w:rsidR="008D09B4">
        <w:t xml:space="preserve">since </w:t>
      </w:r>
      <w:r w:rsidRPr="003A3593">
        <w:t xml:space="preserve">the PBAC considered ipilimumab </w:t>
      </w:r>
      <w:r w:rsidR="008D09B4" w:rsidRPr="003A3593">
        <w:t>for the treatment of unresectable Stage III or Stage IV metastatic melanoma</w:t>
      </w:r>
      <w:r w:rsidR="008D09B4">
        <w:t xml:space="preserve"> in </w:t>
      </w:r>
      <w:r w:rsidRPr="003A3593">
        <w:t xml:space="preserve">November 2012, </w:t>
      </w:r>
      <w:r w:rsidR="008D09B4">
        <w:t xml:space="preserve">it has considered </w:t>
      </w:r>
      <w:r w:rsidRPr="003A3593">
        <w:t>vemurafenib (March 2013), dabrafenib (July 2014) and trametinib (November 2014).</w:t>
      </w:r>
    </w:p>
    <w:p w:rsidR="00B17270" w:rsidRDefault="00B17270" w:rsidP="00B17270">
      <w:pPr>
        <w:widowControl/>
      </w:pPr>
    </w:p>
    <w:p w:rsidR="00622DD3" w:rsidRPr="00B17270" w:rsidRDefault="00622DD3" w:rsidP="00B17270">
      <w:pPr>
        <w:widowControl/>
      </w:pPr>
    </w:p>
    <w:p w:rsidR="009E515A" w:rsidRPr="00882085" w:rsidRDefault="009E515A" w:rsidP="009E515A">
      <w:pPr>
        <w:pStyle w:val="ListParagraph"/>
        <w:widowControl/>
        <w:numPr>
          <w:ilvl w:val="0"/>
          <w:numId w:val="1"/>
        </w:numPr>
        <w:rPr>
          <w:b/>
          <w:szCs w:val="22"/>
        </w:rPr>
      </w:pPr>
      <w:r w:rsidRPr="00882085">
        <w:rPr>
          <w:b/>
          <w:szCs w:val="22"/>
        </w:rPr>
        <w:t>Clinical place for the proposed therapy</w:t>
      </w:r>
    </w:p>
    <w:p w:rsidR="009E515A" w:rsidRPr="00882085" w:rsidRDefault="009E515A" w:rsidP="009E515A">
      <w:pPr>
        <w:rPr>
          <w:szCs w:val="22"/>
        </w:rPr>
      </w:pPr>
    </w:p>
    <w:p w:rsidR="009E515A" w:rsidRPr="008D09B4" w:rsidRDefault="00B17270" w:rsidP="00B17270">
      <w:pPr>
        <w:pStyle w:val="ListParagraph"/>
        <w:widowControl/>
        <w:numPr>
          <w:ilvl w:val="1"/>
          <w:numId w:val="1"/>
        </w:numPr>
        <w:rPr>
          <w:i/>
        </w:rPr>
      </w:pPr>
      <w:r>
        <w:t>The requested listing specified monotherapy treatment of unresectable Stage III or Stage IV malignant melanoma in previously untreated patients (BRAF wild-type) as well as monotherapy treatment in patients who have progressed on or after a BRAF inhibitor regimen or after ipilimumab therapy (BRAF mutant).</w:t>
      </w:r>
    </w:p>
    <w:p w:rsidR="00622DD3" w:rsidRDefault="00622DD3">
      <w:pPr>
        <w:widowControl/>
        <w:jc w:val="left"/>
        <w:rPr>
          <w:i/>
        </w:rPr>
      </w:pPr>
      <w:r>
        <w:rPr>
          <w:i/>
        </w:rPr>
        <w:br w:type="page"/>
      </w:r>
    </w:p>
    <w:p w:rsidR="009E515A" w:rsidRPr="00882085" w:rsidRDefault="009E515A" w:rsidP="009E515A">
      <w:pPr>
        <w:pStyle w:val="Header"/>
        <w:numPr>
          <w:ilvl w:val="0"/>
          <w:numId w:val="1"/>
        </w:numPr>
        <w:tabs>
          <w:tab w:val="clear" w:pos="4153"/>
          <w:tab w:val="clear" w:pos="8306"/>
        </w:tabs>
        <w:jc w:val="both"/>
        <w:rPr>
          <w:rFonts w:ascii="Arial" w:hAnsi="Arial"/>
          <w:b/>
          <w:sz w:val="22"/>
          <w:szCs w:val="22"/>
        </w:rPr>
      </w:pPr>
      <w:r w:rsidRPr="00882085">
        <w:rPr>
          <w:rFonts w:ascii="Arial" w:hAnsi="Arial"/>
          <w:b/>
          <w:sz w:val="22"/>
          <w:szCs w:val="22"/>
        </w:rPr>
        <w:lastRenderedPageBreak/>
        <w:t>Comparator</w:t>
      </w:r>
    </w:p>
    <w:p w:rsidR="009E515A" w:rsidRPr="008D09B4" w:rsidRDefault="009E515A" w:rsidP="009E515A">
      <w:pPr>
        <w:pStyle w:val="Header"/>
        <w:tabs>
          <w:tab w:val="clear" w:pos="4153"/>
          <w:tab w:val="clear" w:pos="8306"/>
        </w:tabs>
        <w:jc w:val="both"/>
        <w:rPr>
          <w:rFonts w:ascii="Arial" w:hAnsi="Arial"/>
          <w:sz w:val="22"/>
          <w:szCs w:val="22"/>
        </w:rPr>
      </w:pPr>
    </w:p>
    <w:p w:rsidR="009E515A" w:rsidRDefault="009E515A" w:rsidP="009E515A">
      <w:pPr>
        <w:pStyle w:val="ListParagraph"/>
        <w:widowControl/>
        <w:numPr>
          <w:ilvl w:val="1"/>
          <w:numId w:val="1"/>
        </w:numPr>
        <w:rPr>
          <w:szCs w:val="22"/>
        </w:rPr>
      </w:pPr>
      <w:r>
        <w:rPr>
          <w:szCs w:val="22"/>
        </w:rPr>
        <w:t xml:space="preserve">The minor </w:t>
      </w:r>
      <w:r w:rsidR="007E6300">
        <w:rPr>
          <w:szCs w:val="22"/>
        </w:rPr>
        <w:t>re-</w:t>
      </w:r>
      <w:r>
        <w:rPr>
          <w:szCs w:val="22"/>
        </w:rPr>
        <w:t>submission nominated</w:t>
      </w:r>
      <w:r w:rsidR="00230F2A">
        <w:rPr>
          <w:szCs w:val="22"/>
        </w:rPr>
        <w:t xml:space="preserve"> pembrolizumab as the main comparator.</w:t>
      </w:r>
    </w:p>
    <w:p w:rsidR="00622DD3" w:rsidRDefault="00622DD3" w:rsidP="00622DD3">
      <w:pPr>
        <w:pStyle w:val="ListParagraph"/>
        <w:widowControl/>
        <w:rPr>
          <w:szCs w:val="22"/>
        </w:rPr>
      </w:pPr>
    </w:p>
    <w:p w:rsidR="00622DD3" w:rsidRDefault="00622DD3" w:rsidP="00622DD3">
      <w:pPr>
        <w:pStyle w:val="ListParagraph"/>
        <w:widowControl/>
        <w:rPr>
          <w:szCs w:val="22"/>
        </w:rPr>
      </w:pPr>
    </w:p>
    <w:p w:rsidR="009E515A" w:rsidRPr="00882085" w:rsidRDefault="00DD1190" w:rsidP="009E515A">
      <w:pPr>
        <w:pStyle w:val="Header"/>
        <w:numPr>
          <w:ilvl w:val="0"/>
          <w:numId w:val="1"/>
        </w:numPr>
        <w:tabs>
          <w:tab w:val="clear" w:pos="4153"/>
          <w:tab w:val="clear" w:pos="8306"/>
        </w:tabs>
        <w:jc w:val="both"/>
        <w:rPr>
          <w:rFonts w:ascii="Arial" w:hAnsi="Arial"/>
          <w:b/>
          <w:sz w:val="22"/>
          <w:szCs w:val="22"/>
        </w:rPr>
      </w:pPr>
      <w:r>
        <w:rPr>
          <w:rFonts w:ascii="Arial" w:hAnsi="Arial"/>
          <w:b/>
          <w:sz w:val="22"/>
          <w:szCs w:val="22"/>
        </w:rPr>
        <w:t>PBAC c</w:t>
      </w:r>
      <w:r w:rsidR="009E515A">
        <w:rPr>
          <w:rFonts w:ascii="Arial" w:hAnsi="Arial"/>
          <w:b/>
          <w:sz w:val="22"/>
          <w:szCs w:val="22"/>
        </w:rPr>
        <w:t>onsideration of the evidence</w:t>
      </w:r>
    </w:p>
    <w:p w:rsidR="00191CC2" w:rsidRPr="009D2917" w:rsidRDefault="00191CC2" w:rsidP="00191CC2">
      <w:pPr>
        <w:rPr>
          <w:szCs w:val="22"/>
          <w:highlight w:val="yellow"/>
        </w:rPr>
      </w:pPr>
    </w:p>
    <w:p w:rsidR="00191CC2" w:rsidRPr="00B820A8" w:rsidRDefault="00191CC2" w:rsidP="00191CC2">
      <w:pPr>
        <w:rPr>
          <w:b/>
          <w:i/>
          <w:szCs w:val="22"/>
        </w:rPr>
      </w:pPr>
      <w:r w:rsidRPr="00B820A8">
        <w:rPr>
          <w:b/>
          <w:i/>
          <w:szCs w:val="22"/>
        </w:rPr>
        <w:t>Sponsor hearing</w:t>
      </w:r>
    </w:p>
    <w:p w:rsidR="00191CC2" w:rsidRPr="009D2917" w:rsidRDefault="00191CC2" w:rsidP="00191CC2">
      <w:pPr>
        <w:rPr>
          <w:szCs w:val="22"/>
        </w:rPr>
      </w:pPr>
    </w:p>
    <w:p w:rsidR="00191CC2" w:rsidRPr="009D2917" w:rsidRDefault="00191CC2" w:rsidP="00191CC2">
      <w:pPr>
        <w:pStyle w:val="ListParagraph"/>
        <w:widowControl/>
        <w:numPr>
          <w:ilvl w:val="1"/>
          <w:numId w:val="1"/>
        </w:numPr>
        <w:rPr>
          <w:rFonts w:cs="Times New Roman"/>
          <w:snapToGrid/>
          <w:szCs w:val="22"/>
        </w:rPr>
      </w:pPr>
      <w:r w:rsidRPr="00616813">
        <w:rPr>
          <w:bCs/>
          <w:szCs w:val="22"/>
        </w:rPr>
        <w:t>There was no hearing for this item as it was a minor submission.</w:t>
      </w:r>
    </w:p>
    <w:p w:rsidR="00191CC2" w:rsidRPr="009D2917" w:rsidRDefault="00191CC2" w:rsidP="00191CC2">
      <w:pPr>
        <w:rPr>
          <w:szCs w:val="22"/>
        </w:rPr>
      </w:pPr>
    </w:p>
    <w:p w:rsidR="00191CC2" w:rsidRPr="00B820A8" w:rsidRDefault="00191CC2" w:rsidP="00191CC2">
      <w:pPr>
        <w:rPr>
          <w:b/>
          <w:i/>
          <w:szCs w:val="22"/>
        </w:rPr>
      </w:pPr>
      <w:r w:rsidRPr="00B820A8">
        <w:rPr>
          <w:b/>
          <w:i/>
          <w:szCs w:val="22"/>
        </w:rPr>
        <w:t>Consumer comments</w:t>
      </w:r>
    </w:p>
    <w:p w:rsidR="00191CC2" w:rsidRPr="009D2917" w:rsidRDefault="00191CC2" w:rsidP="00191CC2">
      <w:pPr>
        <w:rPr>
          <w:snapToGrid/>
          <w:szCs w:val="22"/>
        </w:rPr>
      </w:pPr>
    </w:p>
    <w:p w:rsidR="00695BEE" w:rsidRPr="00616813" w:rsidRDefault="00695BEE" w:rsidP="00695BEE">
      <w:pPr>
        <w:pStyle w:val="ListParagraph"/>
        <w:widowControl/>
        <w:numPr>
          <w:ilvl w:val="1"/>
          <w:numId w:val="1"/>
        </w:numPr>
        <w:outlineLvl w:val="1"/>
      </w:pPr>
      <w:r w:rsidRPr="00616813">
        <w:rPr>
          <w:bCs/>
          <w:szCs w:val="22"/>
        </w:rPr>
        <w:t>The PBAC noted and welcomed the input from organisation</w:t>
      </w:r>
      <w:r w:rsidR="006A1EED">
        <w:rPr>
          <w:bCs/>
          <w:szCs w:val="22"/>
        </w:rPr>
        <w:t>s</w:t>
      </w:r>
      <w:r w:rsidRPr="00616813">
        <w:rPr>
          <w:bCs/>
          <w:szCs w:val="22"/>
        </w:rPr>
        <w:t xml:space="preserve"> (</w:t>
      </w:r>
      <w:r w:rsidR="006A1EED">
        <w:rPr>
          <w:bCs/>
          <w:szCs w:val="22"/>
        </w:rPr>
        <w:t>2</w:t>
      </w:r>
      <w:r w:rsidRPr="00616813">
        <w:rPr>
          <w:bCs/>
          <w:szCs w:val="22"/>
        </w:rPr>
        <w:t>) via the Consumer Comments facility on the PBS website. The comment</w:t>
      </w:r>
      <w:r w:rsidR="006A1EED">
        <w:rPr>
          <w:bCs/>
          <w:szCs w:val="22"/>
        </w:rPr>
        <w:t>s</w:t>
      </w:r>
      <w:r w:rsidRPr="00616813">
        <w:rPr>
          <w:bCs/>
          <w:szCs w:val="22"/>
        </w:rPr>
        <w:t xml:space="preserve"> described the importance of immunotherapy treatment options for melanoma patients in Australia</w:t>
      </w:r>
      <w:r>
        <w:rPr>
          <w:bCs/>
          <w:szCs w:val="22"/>
        </w:rPr>
        <w:t>.</w:t>
      </w:r>
    </w:p>
    <w:p w:rsidR="00616813" w:rsidRPr="008D09B4" w:rsidRDefault="00616813" w:rsidP="00616813">
      <w:pPr>
        <w:widowControl/>
        <w:outlineLvl w:val="1"/>
      </w:pPr>
    </w:p>
    <w:p w:rsidR="009E515A" w:rsidRPr="00B820A8" w:rsidRDefault="009E515A" w:rsidP="009E515A">
      <w:pPr>
        <w:rPr>
          <w:b/>
          <w:i/>
          <w:szCs w:val="22"/>
        </w:rPr>
      </w:pPr>
      <w:r w:rsidRPr="00B820A8">
        <w:rPr>
          <w:b/>
          <w:i/>
          <w:szCs w:val="22"/>
        </w:rPr>
        <w:t>Clinical trials</w:t>
      </w:r>
    </w:p>
    <w:p w:rsidR="009E515A" w:rsidRPr="00F9629A" w:rsidRDefault="009E515A" w:rsidP="009E515A">
      <w:pPr>
        <w:rPr>
          <w:szCs w:val="22"/>
        </w:rPr>
      </w:pPr>
    </w:p>
    <w:p w:rsidR="009E515A" w:rsidRDefault="009E515A" w:rsidP="009E515A">
      <w:pPr>
        <w:pStyle w:val="ListParagraph"/>
        <w:widowControl/>
        <w:numPr>
          <w:ilvl w:val="1"/>
          <w:numId w:val="1"/>
        </w:numPr>
        <w:rPr>
          <w:szCs w:val="22"/>
        </w:rPr>
      </w:pPr>
      <w:r>
        <w:rPr>
          <w:szCs w:val="22"/>
        </w:rPr>
        <w:t>As a minor submission, no new clinical trials were presented in the re-submission.</w:t>
      </w:r>
    </w:p>
    <w:p w:rsidR="009E515A" w:rsidRPr="008D09B4" w:rsidRDefault="009E515A" w:rsidP="009E515A">
      <w:pPr>
        <w:outlineLvl w:val="1"/>
      </w:pPr>
    </w:p>
    <w:p w:rsidR="009E515A" w:rsidRPr="00882085" w:rsidRDefault="009E515A" w:rsidP="009E515A">
      <w:pPr>
        <w:rPr>
          <w:b/>
          <w:i/>
          <w:szCs w:val="22"/>
        </w:rPr>
      </w:pPr>
      <w:r w:rsidRPr="00882085">
        <w:rPr>
          <w:b/>
          <w:i/>
          <w:szCs w:val="22"/>
        </w:rPr>
        <w:t>Comparative effectiveness</w:t>
      </w:r>
    </w:p>
    <w:p w:rsidR="009E515A" w:rsidRPr="008D09B4" w:rsidRDefault="009E515A" w:rsidP="009E515A">
      <w:pPr>
        <w:outlineLvl w:val="1"/>
      </w:pPr>
    </w:p>
    <w:p w:rsidR="00840395" w:rsidRPr="00853456" w:rsidRDefault="00D76AB7" w:rsidP="00840395">
      <w:pPr>
        <w:numPr>
          <w:ilvl w:val="1"/>
          <w:numId w:val="1"/>
        </w:numPr>
        <w:contextualSpacing/>
      </w:pPr>
      <w:r>
        <w:t xml:space="preserve">An </w:t>
      </w:r>
      <w:r w:rsidR="00840395" w:rsidRPr="00853456">
        <w:t xml:space="preserve">indirect comparison against pembrolizumab </w:t>
      </w:r>
      <w:r>
        <w:t xml:space="preserve">was </w:t>
      </w:r>
      <w:r w:rsidR="00840395" w:rsidRPr="00853456">
        <w:t>presented in the May 2015 PSCR (comparing CA209-067 and KN-006). The table below presents the results of the indirect comparison.</w:t>
      </w:r>
    </w:p>
    <w:p w:rsidR="001971E5" w:rsidRPr="00D76AB7" w:rsidRDefault="001971E5" w:rsidP="001971E5">
      <w:pPr>
        <w:outlineLvl w:val="1"/>
      </w:pPr>
    </w:p>
    <w:p w:rsidR="001971E5" w:rsidRPr="00191CC2" w:rsidRDefault="001971E5" w:rsidP="001971E5">
      <w:pPr>
        <w:numPr>
          <w:ilvl w:val="1"/>
          <w:numId w:val="1"/>
        </w:numPr>
        <w:contextualSpacing/>
      </w:pPr>
      <w:r w:rsidRPr="00191CC2">
        <w:t xml:space="preserve">Beside the concerns raised previously by the PBAC (see below), the most apparent concern regarding the indirect comparison was the width of the confidence intervals for overall and progression-free survival. An interval of 0.70 to 1.54 indicates that a patient treated with nivolumab could be 70% to 154% as likely at any given time to die than a patient treated with pembrolizumab. With such a high upper limit of the confidence interval of the hazard ratio, the submission has not presented any evidence regarding a minimum clinically important difference (MCID). In order for there to be a statistically reliable claim of non-inferiority in this case, the MCID would have to be a 54% increase in overall survival hazard ratio, which is highly unlikely. Consequently, the submission’s claim of non-inferior efficacy </w:t>
      </w:r>
      <w:r w:rsidR="009D2917">
        <w:t>wa</w:t>
      </w:r>
      <w:r w:rsidRPr="00191CC2">
        <w:t>s not strongly supported.</w:t>
      </w:r>
    </w:p>
    <w:p w:rsidR="00840395" w:rsidRPr="00853456" w:rsidRDefault="00840395" w:rsidP="00840395"/>
    <w:p w:rsidR="00840395" w:rsidRPr="00853456" w:rsidRDefault="00840395" w:rsidP="00840395">
      <w:pPr>
        <w:keepNext/>
        <w:ind w:left="720"/>
        <w:rPr>
          <w:rFonts w:ascii="Arial Narrow" w:hAnsi="Arial Narrow"/>
          <w:b/>
          <w:sz w:val="20"/>
          <w:szCs w:val="16"/>
        </w:rPr>
      </w:pPr>
      <w:r w:rsidRPr="00853456">
        <w:rPr>
          <w:rFonts w:ascii="Arial Narrow" w:hAnsi="Arial Narrow"/>
          <w:b/>
          <w:sz w:val="20"/>
          <w:szCs w:val="16"/>
        </w:rPr>
        <w:t xml:space="preserve">Table </w:t>
      </w:r>
      <w:r w:rsidR="00304475">
        <w:rPr>
          <w:rFonts w:ascii="Arial Narrow" w:hAnsi="Arial Narrow"/>
          <w:b/>
          <w:sz w:val="20"/>
          <w:szCs w:val="16"/>
        </w:rPr>
        <w:t>1</w:t>
      </w:r>
      <w:r w:rsidRPr="00853456">
        <w:rPr>
          <w:rFonts w:ascii="Arial Narrow" w:hAnsi="Arial Narrow"/>
          <w:b/>
          <w:sz w:val="20"/>
          <w:szCs w:val="16"/>
        </w:rPr>
        <w:t>: Indirect comparison of nivolumab versus pembrolizumab via ipilimumab as common comparator</w:t>
      </w:r>
    </w:p>
    <w:tbl>
      <w:tblPr>
        <w:tblW w:w="4552" w:type="pct"/>
        <w:tblInd w:w="828" w:type="dxa"/>
        <w:tblLook w:val="04A0" w:firstRow="1" w:lastRow="0" w:firstColumn="1" w:lastColumn="0" w:noHBand="0" w:noVBand="1"/>
      </w:tblPr>
      <w:tblGrid>
        <w:gridCol w:w="2422"/>
        <w:gridCol w:w="2313"/>
        <w:gridCol w:w="2013"/>
        <w:gridCol w:w="1666"/>
      </w:tblGrid>
      <w:tr w:rsidR="00840395" w:rsidRPr="00853456" w:rsidTr="004439FD">
        <w:trPr>
          <w:cantSplit/>
        </w:trPr>
        <w:tc>
          <w:tcPr>
            <w:tcW w:w="1434" w:type="pct"/>
            <w:vMerge w:val="restart"/>
            <w:tcBorders>
              <w:top w:val="single" w:sz="4" w:space="0" w:color="auto"/>
              <w:left w:val="single" w:sz="4" w:space="0" w:color="auto"/>
              <w:right w:val="single" w:sz="4" w:space="0" w:color="auto"/>
            </w:tcBorders>
            <w:shd w:val="clear" w:color="auto" w:fill="auto"/>
            <w:noWrap/>
            <w:vAlign w:val="bottom"/>
            <w:hideMark/>
          </w:tcPr>
          <w:p w:rsidR="00840395" w:rsidRPr="00853456" w:rsidRDefault="00840395" w:rsidP="004439FD">
            <w:pPr>
              <w:keepNext/>
              <w:keepLines/>
              <w:jc w:val="left"/>
              <w:rPr>
                <w:rFonts w:ascii="Arial Narrow" w:hAnsi="Arial Narrow" w:cs="Times New Roman"/>
                <w:b/>
                <w:bCs/>
                <w:snapToGrid/>
                <w:color w:val="000000"/>
                <w:sz w:val="20"/>
                <w:lang w:val="en-US"/>
              </w:rPr>
            </w:pPr>
          </w:p>
        </w:tc>
        <w:tc>
          <w:tcPr>
            <w:tcW w:w="1376" w:type="pct"/>
            <w:tcBorders>
              <w:top w:val="single" w:sz="4" w:space="0" w:color="auto"/>
              <w:left w:val="nil"/>
              <w:bottom w:val="single" w:sz="4" w:space="0" w:color="auto"/>
              <w:right w:val="single" w:sz="4" w:space="0" w:color="auto"/>
            </w:tcBorders>
            <w:shd w:val="clear" w:color="auto" w:fill="auto"/>
            <w:noWrap/>
            <w:vAlign w:val="bottom"/>
            <w:hideMark/>
          </w:tcPr>
          <w:p w:rsidR="00840395" w:rsidRPr="00853456" w:rsidRDefault="00840395" w:rsidP="004439FD">
            <w:pPr>
              <w:keepNext/>
              <w:keepLines/>
              <w:jc w:val="center"/>
              <w:rPr>
                <w:rFonts w:ascii="Arial Narrow" w:hAnsi="Arial Narrow" w:cs="Times New Roman"/>
                <w:b/>
                <w:bCs/>
                <w:snapToGrid/>
                <w:color w:val="000000"/>
                <w:sz w:val="20"/>
                <w:lang w:val="en-US"/>
              </w:rPr>
            </w:pPr>
            <w:r w:rsidRPr="00853456">
              <w:rPr>
                <w:rFonts w:ascii="Arial Narrow" w:hAnsi="Arial Narrow" w:cs="Times New Roman"/>
                <w:b/>
                <w:bCs/>
                <w:snapToGrid/>
                <w:color w:val="000000"/>
                <w:sz w:val="20"/>
                <w:lang w:val="en-US"/>
              </w:rPr>
              <w:t>KN-006</w:t>
            </w:r>
          </w:p>
        </w:tc>
        <w:tc>
          <w:tcPr>
            <w:tcW w:w="1198" w:type="pct"/>
            <w:tcBorders>
              <w:top w:val="single" w:sz="4" w:space="0" w:color="auto"/>
              <w:left w:val="nil"/>
              <w:bottom w:val="single" w:sz="4" w:space="0" w:color="auto"/>
              <w:right w:val="single" w:sz="4" w:space="0" w:color="auto"/>
            </w:tcBorders>
            <w:shd w:val="clear" w:color="auto" w:fill="auto"/>
            <w:noWrap/>
            <w:vAlign w:val="bottom"/>
            <w:hideMark/>
          </w:tcPr>
          <w:p w:rsidR="00840395" w:rsidRPr="00853456" w:rsidRDefault="00840395" w:rsidP="004439FD">
            <w:pPr>
              <w:keepNext/>
              <w:keepLines/>
              <w:jc w:val="center"/>
              <w:rPr>
                <w:rFonts w:ascii="Arial Narrow" w:hAnsi="Arial Narrow" w:cs="Times New Roman"/>
                <w:b/>
                <w:bCs/>
                <w:snapToGrid/>
                <w:color w:val="000000"/>
                <w:sz w:val="20"/>
                <w:lang w:val="en-US"/>
              </w:rPr>
            </w:pPr>
            <w:r w:rsidRPr="00853456">
              <w:rPr>
                <w:rFonts w:ascii="Arial Narrow" w:hAnsi="Arial Narrow" w:cs="Times New Roman"/>
                <w:b/>
                <w:bCs/>
                <w:snapToGrid/>
                <w:color w:val="000000"/>
                <w:sz w:val="20"/>
                <w:lang w:val="en-US"/>
              </w:rPr>
              <w:t>CA-209-067</w:t>
            </w:r>
          </w:p>
        </w:tc>
        <w:tc>
          <w:tcPr>
            <w:tcW w:w="992" w:type="pct"/>
            <w:tcBorders>
              <w:top w:val="single" w:sz="4" w:space="0" w:color="auto"/>
              <w:left w:val="nil"/>
              <w:bottom w:val="single" w:sz="4" w:space="0" w:color="auto"/>
              <w:right w:val="single" w:sz="4" w:space="0" w:color="auto"/>
            </w:tcBorders>
            <w:shd w:val="clear" w:color="auto" w:fill="auto"/>
            <w:noWrap/>
            <w:vAlign w:val="bottom"/>
            <w:hideMark/>
          </w:tcPr>
          <w:p w:rsidR="00840395" w:rsidRPr="00853456" w:rsidRDefault="009A4C50" w:rsidP="004439FD">
            <w:pPr>
              <w:keepNext/>
              <w:keepLines/>
              <w:jc w:val="center"/>
              <w:rPr>
                <w:rFonts w:ascii="Arial Narrow" w:hAnsi="Arial Narrow" w:cs="Times New Roman"/>
                <w:b/>
                <w:bCs/>
                <w:snapToGrid/>
                <w:color w:val="000000"/>
                <w:sz w:val="20"/>
                <w:lang w:val="en-US"/>
              </w:rPr>
            </w:pPr>
            <w:r>
              <w:rPr>
                <w:rFonts w:ascii="Arial Narrow" w:hAnsi="Arial Narrow" w:cs="Times New Roman"/>
                <w:b/>
                <w:bCs/>
                <w:snapToGrid/>
                <w:color w:val="000000"/>
                <w:sz w:val="20"/>
                <w:lang w:val="en-US"/>
              </w:rPr>
              <w:t>Indirect</w:t>
            </w:r>
          </w:p>
        </w:tc>
      </w:tr>
      <w:tr w:rsidR="00840395" w:rsidRPr="00853456" w:rsidTr="004439FD">
        <w:trPr>
          <w:cantSplit/>
        </w:trPr>
        <w:tc>
          <w:tcPr>
            <w:tcW w:w="1434" w:type="pct"/>
            <w:vMerge/>
            <w:tcBorders>
              <w:left w:val="single" w:sz="4" w:space="0" w:color="auto"/>
              <w:bottom w:val="single" w:sz="4" w:space="0" w:color="auto"/>
              <w:right w:val="single" w:sz="4" w:space="0" w:color="auto"/>
            </w:tcBorders>
            <w:shd w:val="clear" w:color="auto" w:fill="auto"/>
            <w:noWrap/>
            <w:vAlign w:val="bottom"/>
            <w:hideMark/>
          </w:tcPr>
          <w:p w:rsidR="00840395" w:rsidRPr="00853456" w:rsidRDefault="00840395" w:rsidP="004439FD">
            <w:pPr>
              <w:keepNext/>
              <w:keepLines/>
              <w:jc w:val="left"/>
              <w:rPr>
                <w:rFonts w:ascii="Arial Narrow" w:hAnsi="Arial Narrow" w:cs="Times New Roman"/>
                <w:b/>
                <w:bCs/>
                <w:snapToGrid/>
                <w:color w:val="000000"/>
                <w:sz w:val="20"/>
                <w:lang w:val="en-US"/>
              </w:rPr>
            </w:pPr>
          </w:p>
        </w:tc>
        <w:tc>
          <w:tcPr>
            <w:tcW w:w="1376" w:type="pct"/>
            <w:tcBorders>
              <w:top w:val="nil"/>
              <w:left w:val="nil"/>
              <w:bottom w:val="single" w:sz="4" w:space="0" w:color="auto"/>
              <w:right w:val="single" w:sz="4" w:space="0" w:color="auto"/>
            </w:tcBorders>
            <w:shd w:val="clear" w:color="auto" w:fill="auto"/>
            <w:noWrap/>
            <w:vAlign w:val="bottom"/>
            <w:hideMark/>
          </w:tcPr>
          <w:p w:rsidR="00840395" w:rsidRPr="00853456" w:rsidRDefault="00840395" w:rsidP="004439FD">
            <w:pPr>
              <w:keepNext/>
              <w:keepLines/>
              <w:jc w:val="center"/>
              <w:rPr>
                <w:rFonts w:ascii="Arial Narrow" w:hAnsi="Arial Narrow" w:cs="Times New Roman"/>
                <w:b/>
                <w:bCs/>
                <w:snapToGrid/>
                <w:color w:val="000000"/>
                <w:sz w:val="20"/>
                <w:lang w:val="en-US"/>
              </w:rPr>
            </w:pPr>
            <w:r w:rsidRPr="00853456">
              <w:rPr>
                <w:rFonts w:ascii="Arial Narrow" w:hAnsi="Arial Narrow" w:cs="Times New Roman"/>
                <w:b/>
                <w:bCs/>
                <w:snapToGrid/>
                <w:color w:val="000000"/>
                <w:sz w:val="20"/>
                <w:lang w:val="en-US"/>
              </w:rPr>
              <w:t>Pembro vs. Ipi (95% CI)</w:t>
            </w:r>
          </w:p>
        </w:tc>
        <w:tc>
          <w:tcPr>
            <w:tcW w:w="1198" w:type="pct"/>
            <w:tcBorders>
              <w:top w:val="nil"/>
              <w:left w:val="nil"/>
              <w:bottom w:val="single" w:sz="4" w:space="0" w:color="auto"/>
              <w:right w:val="single" w:sz="4" w:space="0" w:color="auto"/>
            </w:tcBorders>
            <w:shd w:val="clear" w:color="auto" w:fill="auto"/>
            <w:noWrap/>
            <w:vAlign w:val="bottom"/>
            <w:hideMark/>
          </w:tcPr>
          <w:p w:rsidR="00840395" w:rsidRPr="00853456" w:rsidRDefault="00840395" w:rsidP="004439FD">
            <w:pPr>
              <w:keepNext/>
              <w:keepLines/>
              <w:jc w:val="center"/>
              <w:rPr>
                <w:rFonts w:ascii="Arial Narrow" w:hAnsi="Arial Narrow" w:cs="Times New Roman"/>
                <w:b/>
                <w:bCs/>
                <w:snapToGrid/>
                <w:color w:val="000000"/>
                <w:sz w:val="20"/>
                <w:lang w:val="en-US"/>
              </w:rPr>
            </w:pPr>
            <w:r w:rsidRPr="00853456">
              <w:rPr>
                <w:rFonts w:ascii="Arial Narrow" w:hAnsi="Arial Narrow" w:cs="Times New Roman"/>
                <w:b/>
                <w:bCs/>
                <w:snapToGrid/>
                <w:color w:val="000000"/>
                <w:sz w:val="20"/>
                <w:lang w:val="en-US"/>
              </w:rPr>
              <w:t>Nivo vs Ipi (95% CI)</w:t>
            </w:r>
          </w:p>
        </w:tc>
        <w:tc>
          <w:tcPr>
            <w:tcW w:w="992" w:type="pct"/>
            <w:tcBorders>
              <w:top w:val="nil"/>
              <w:left w:val="nil"/>
              <w:bottom w:val="single" w:sz="4" w:space="0" w:color="auto"/>
              <w:right w:val="single" w:sz="4" w:space="0" w:color="auto"/>
            </w:tcBorders>
            <w:shd w:val="clear" w:color="auto" w:fill="auto"/>
            <w:noWrap/>
            <w:vAlign w:val="bottom"/>
            <w:hideMark/>
          </w:tcPr>
          <w:p w:rsidR="00840395" w:rsidRPr="00853456" w:rsidRDefault="00840395" w:rsidP="004439FD">
            <w:pPr>
              <w:keepNext/>
              <w:keepLines/>
              <w:jc w:val="center"/>
              <w:rPr>
                <w:rFonts w:ascii="Arial Narrow" w:hAnsi="Arial Narrow" w:cs="Times New Roman"/>
                <w:b/>
                <w:bCs/>
                <w:snapToGrid/>
                <w:color w:val="000000"/>
                <w:sz w:val="20"/>
                <w:lang w:val="en-US"/>
              </w:rPr>
            </w:pPr>
            <w:r w:rsidRPr="00853456">
              <w:rPr>
                <w:rFonts w:ascii="Arial Narrow" w:hAnsi="Arial Narrow" w:cs="Times New Roman"/>
                <w:b/>
                <w:bCs/>
                <w:snapToGrid/>
                <w:color w:val="000000"/>
                <w:sz w:val="20"/>
                <w:lang w:val="en-US"/>
              </w:rPr>
              <w:t>(95% CI)</w:t>
            </w:r>
          </w:p>
        </w:tc>
      </w:tr>
      <w:tr w:rsidR="00840395" w:rsidRPr="00853456" w:rsidTr="004439FD">
        <w:trPr>
          <w:cantSplit/>
        </w:trPr>
        <w:tc>
          <w:tcPr>
            <w:tcW w:w="1434" w:type="pct"/>
            <w:tcBorders>
              <w:top w:val="nil"/>
              <w:left w:val="single" w:sz="4" w:space="0" w:color="auto"/>
              <w:bottom w:val="single" w:sz="4" w:space="0" w:color="auto"/>
              <w:right w:val="single" w:sz="4" w:space="0" w:color="auto"/>
            </w:tcBorders>
            <w:shd w:val="clear" w:color="auto" w:fill="auto"/>
            <w:noWrap/>
            <w:vAlign w:val="bottom"/>
            <w:hideMark/>
          </w:tcPr>
          <w:p w:rsidR="00840395" w:rsidRPr="00853456" w:rsidRDefault="00840395" w:rsidP="004439FD">
            <w:pPr>
              <w:keepNext/>
              <w:keepLines/>
              <w:jc w:val="left"/>
              <w:rPr>
                <w:rFonts w:ascii="Arial Narrow" w:hAnsi="Arial Narrow" w:cs="Times New Roman"/>
                <w:snapToGrid/>
                <w:color w:val="000000"/>
                <w:sz w:val="20"/>
                <w:lang w:val="en-US"/>
              </w:rPr>
            </w:pPr>
            <w:r w:rsidRPr="00853456">
              <w:rPr>
                <w:rFonts w:ascii="Arial Narrow" w:hAnsi="Arial Narrow" w:cs="Times New Roman"/>
                <w:snapToGrid/>
                <w:color w:val="000000"/>
                <w:sz w:val="20"/>
                <w:lang w:val="en-US"/>
              </w:rPr>
              <w:t>Overall survival (HR)</w:t>
            </w:r>
          </w:p>
        </w:tc>
        <w:tc>
          <w:tcPr>
            <w:tcW w:w="1376" w:type="pct"/>
            <w:tcBorders>
              <w:top w:val="nil"/>
              <w:left w:val="nil"/>
              <w:bottom w:val="single" w:sz="4" w:space="0" w:color="auto"/>
              <w:right w:val="single" w:sz="4" w:space="0" w:color="auto"/>
            </w:tcBorders>
            <w:shd w:val="clear" w:color="auto" w:fill="auto"/>
            <w:noWrap/>
            <w:vAlign w:val="bottom"/>
            <w:hideMark/>
          </w:tcPr>
          <w:p w:rsidR="00840395" w:rsidRPr="00853456" w:rsidRDefault="00840395" w:rsidP="004439FD">
            <w:pPr>
              <w:keepNext/>
              <w:keepLines/>
              <w:jc w:val="center"/>
              <w:rPr>
                <w:rFonts w:ascii="Arial Narrow" w:hAnsi="Arial Narrow" w:cs="Times New Roman"/>
                <w:snapToGrid/>
                <w:color w:val="000000"/>
                <w:sz w:val="20"/>
                <w:lang w:val="en-US"/>
              </w:rPr>
            </w:pPr>
            <w:r w:rsidRPr="00853456">
              <w:rPr>
                <w:rFonts w:ascii="Arial Narrow" w:hAnsi="Arial Narrow" w:cs="Times New Roman"/>
                <w:snapToGrid/>
                <w:color w:val="000000"/>
                <w:sz w:val="20"/>
                <w:lang w:val="en-US"/>
              </w:rPr>
              <w:t>0.69 (0.52, 0.90)</w:t>
            </w:r>
          </w:p>
        </w:tc>
        <w:tc>
          <w:tcPr>
            <w:tcW w:w="1198" w:type="pct"/>
            <w:tcBorders>
              <w:top w:val="nil"/>
              <w:left w:val="nil"/>
              <w:bottom w:val="single" w:sz="4" w:space="0" w:color="auto"/>
              <w:right w:val="single" w:sz="4" w:space="0" w:color="auto"/>
            </w:tcBorders>
            <w:shd w:val="clear" w:color="auto" w:fill="auto"/>
            <w:noWrap/>
            <w:vAlign w:val="bottom"/>
            <w:hideMark/>
          </w:tcPr>
          <w:p w:rsidR="00840395" w:rsidRPr="00853456" w:rsidRDefault="00840395" w:rsidP="004439FD">
            <w:pPr>
              <w:keepNext/>
              <w:keepLines/>
              <w:jc w:val="center"/>
              <w:rPr>
                <w:rFonts w:ascii="Arial Narrow" w:hAnsi="Arial Narrow" w:cs="Times New Roman"/>
                <w:snapToGrid/>
                <w:color w:val="000000"/>
                <w:sz w:val="20"/>
                <w:lang w:val="en-US"/>
              </w:rPr>
            </w:pPr>
            <w:r w:rsidRPr="00853456">
              <w:rPr>
                <w:rFonts w:ascii="Arial Narrow" w:hAnsi="Arial Narrow" w:cs="Times New Roman"/>
                <w:snapToGrid/>
                <w:color w:val="000000"/>
                <w:sz w:val="20"/>
                <w:lang w:val="en-US"/>
              </w:rPr>
              <w:t>0.72 (0.54, 0.95)</w:t>
            </w:r>
          </w:p>
        </w:tc>
        <w:tc>
          <w:tcPr>
            <w:tcW w:w="992" w:type="pct"/>
            <w:tcBorders>
              <w:top w:val="nil"/>
              <w:left w:val="nil"/>
              <w:bottom w:val="single" w:sz="4" w:space="0" w:color="auto"/>
              <w:right w:val="single" w:sz="4" w:space="0" w:color="auto"/>
            </w:tcBorders>
            <w:shd w:val="clear" w:color="auto" w:fill="auto"/>
            <w:noWrap/>
            <w:vAlign w:val="bottom"/>
            <w:hideMark/>
          </w:tcPr>
          <w:p w:rsidR="00840395" w:rsidRPr="00853456" w:rsidRDefault="00840395" w:rsidP="004439FD">
            <w:pPr>
              <w:keepNext/>
              <w:keepLines/>
              <w:jc w:val="center"/>
              <w:rPr>
                <w:rFonts w:ascii="Arial Narrow" w:hAnsi="Arial Narrow" w:cs="Times New Roman"/>
                <w:snapToGrid/>
                <w:color w:val="000000"/>
                <w:sz w:val="20"/>
                <w:lang w:val="en-US"/>
              </w:rPr>
            </w:pPr>
            <w:r w:rsidRPr="00853456">
              <w:rPr>
                <w:rFonts w:ascii="Arial Narrow" w:hAnsi="Arial Narrow" w:cs="Times New Roman"/>
                <w:snapToGrid/>
                <w:color w:val="000000"/>
                <w:sz w:val="20"/>
                <w:lang w:val="en-US"/>
              </w:rPr>
              <w:t>1.04 (0.70, 1.54)</w:t>
            </w:r>
          </w:p>
        </w:tc>
      </w:tr>
      <w:tr w:rsidR="00840395" w:rsidRPr="00853456" w:rsidTr="004439FD">
        <w:trPr>
          <w:cantSplit/>
        </w:trPr>
        <w:tc>
          <w:tcPr>
            <w:tcW w:w="1434" w:type="pct"/>
            <w:tcBorders>
              <w:top w:val="nil"/>
              <w:left w:val="single" w:sz="4" w:space="0" w:color="auto"/>
              <w:bottom w:val="single" w:sz="4" w:space="0" w:color="auto"/>
              <w:right w:val="single" w:sz="4" w:space="0" w:color="auto"/>
            </w:tcBorders>
            <w:shd w:val="clear" w:color="auto" w:fill="auto"/>
            <w:noWrap/>
            <w:vAlign w:val="bottom"/>
            <w:hideMark/>
          </w:tcPr>
          <w:p w:rsidR="00840395" w:rsidRPr="00853456" w:rsidRDefault="00840395" w:rsidP="004439FD">
            <w:pPr>
              <w:keepNext/>
              <w:keepLines/>
              <w:jc w:val="left"/>
              <w:rPr>
                <w:rFonts w:ascii="Arial Narrow" w:hAnsi="Arial Narrow" w:cs="Times New Roman"/>
                <w:snapToGrid/>
                <w:color w:val="000000"/>
                <w:sz w:val="20"/>
                <w:lang w:val="en-US"/>
              </w:rPr>
            </w:pPr>
            <w:r w:rsidRPr="00853456">
              <w:rPr>
                <w:rFonts w:ascii="Arial Narrow" w:hAnsi="Arial Narrow" w:cs="Times New Roman"/>
                <w:snapToGrid/>
                <w:color w:val="000000"/>
                <w:sz w:val="20"/>
                <w:lang w:val="en-US"/>
              </w:rPr>
              <w:t>Progression-free survival (HR)</w:t>
            </w:r>
          </w:p>
        </w:tc>
        <w:tc>
          <w:tcPr>
            <w:tcW w:w="1376" w:type="pct"/>
            <w:tcBorders>
              <w:top w:val="nil"/>
              <w:left w:val="nil"/>
              <w:bottom w:val="single" w:sz="4" w:space="0" w:color="auto"/>
              <w:right w:val="single" w:sz="4" w:space="0" w:color="auto"/>
            </w:tcBorders>
            <w:shd w:val="clear" w:color="auto" w:fill="auto"/>
            <w:noWrap/>
            <w:vAlign w:val="bottom"/>
            <w:hideMark/>
          </w:tcPr>
          <w:p w:rsidR="00840395" w:rsidRPr="00853456" w:rsidRDefault="00840395" w:rsidP="004439FD">
            <w:pPr>
              <w:keepNext/>
              <w:keepLines/>
              <w:jc w:val="center"/>
              <w:rPr>
                <w:rFonts w:ascii="Arial Narrow" w:hAnsi="Arial Narrow" w:cs="Times New Roman"/>
                <w:snapToGrid/>
                <w:color w:val="000000"/>
                <w:sz w:val="20"/>
                <w:lang w:val="en-US"/>
              </w:rPr>
            </w:pPr>
            <w:r w:rsidRPr="00853456">
              <w:rPr>
                <w:rFonts w:ascii="Arial Narrow" w:hAnsi="Arial Narrow" w:cs="Times New Roman"/>
                <w:snapToGrid/>
                <w:color w:val="000000"/>
                <w:sz w:val="20"/>
                <w:lang w:val="en-US"/>
              </w:rPr>
              <w:t>0.58 (0.47, 0.72)</w:t>
            </w:r>
          </w:p>
        </w:tc>
        <w:tc>
          <w:tcPr>
            <w:tcW w:w="1198" w:type="pct"/>
            <w:tcBorders>
              <w:top w:val="nil"/>
              <w:left w:val="nil"/>
              <w:bottom w:val="single" w:sz="4" w:space="0" w:color="auto"/>
              <w:right w:val="single" w:sz="4" w:space="0" w:color="auto"/>
            </w:tcBorders>
            <w:shd w:val="clear" w:color="auto" w:fill="auto"/>
            <w:noWrap/>
            <w:vAlign w:val="bottom"/>
            <w:hideMark/>
          </w:tcPr>
          <w:p w:rsidR="00840395" w:rsidRPr="00853456" w:rsidRDefault="00840395" w:rsidP="004439FD">
            <w:pPr>
              <w:keepNext/>
              <w:keepLines/>
              <w:jc w:val="center"/>
              <w:rPr>
                <w:rFonts w:ascii="Arial Narrow" w:hAnsi="Arial Narrow" w:cs="Times New Roman"/>
                <w:snapToGrid/>
                <w:color w:val="000000"/>
                <w:sz w:val="20"/>
                <w:lang w:val="en-US"/>
              </w:rPr>
            </w:pPr>
            <w:r w:rsidRPr="00853456">
              <w:rPr>
                <w:rFonts w:ascii="Arial Narrow" w:hAnsi="Arial Narrow" w:cs="Times New Roman"/>
                <w:snapToGrid/>
                <w:color w:val="000000"/>
                <w:sz w:val="20"/>
                <w:lang w:val="en-US"/>
              </w:rPr>
              <w:t>0.57 (0.47, 0.70)</w:t>
            </w:r>
          </w:p>
        </w:tc>
        <w:tc>
          <w:tcPr>
            <w:tcW w:w="992" w:type="pct"/>
            <w:tcBorders>
              <w:top w:val="nil"/>
              <w:left w:val="nil"/>
              <w:bottom w:val="single" w:sz="4" w:space="0" w:color="auto"/>
              <w:right w:val="single" w:sz="4" w:space="0" w:color="auto"/>
            </w:tcBorders>
            <w:shd w:val="clear" w:color="auto" w:fill="auto"/>
            <w:noWrap/>
            <w:vAlign w:val="bottom"/>
            <w:hideMark/>
          </w:tcPr>
          <w:p w:rsidR="00840395" w:rsidRPr="00853456" w:rsidRDefault="00840395" w:rsidP="004439FD">
            <w:pPr>
              <w:keepNext/>
              <w:keepLines/>
              <w:jc w:val="center"/>
              <w:rPr>
                <w:rFonts w:ascii="Arial Narrow" w:hAnsi="Arial Narrow" w:cs="Times New Roman"/>
                <w:snapToGrid/>
                <w:color w:val="000000"/>
                <w:sz w:val="20"/>
                <w:lang w:val="en-US"/>
              </w:rPr>
            </w:pPr>
            <w:r w:rsidRPr="00853456">
              <w:rPr>
                <w:rFonts w:ascii="Arial Narrow" w:hAnsi="Arial Narrow" w:cs="Times New Roman"/>
                <w:snapToGrid/>
                <w:color w:val="000000"/>
                <w:sz w:val="20"/>
                <w:lang w:val="en-US"/>
              </w:rPr>
              <w:t>0.99 (0.74, 1.32)</w:t>
            </w:r>
          </w:p>
        </w:tc>
      </w:tr>
      <w:tr w:rsidR="00840395" w:rsidRPr="00853456" w:rsidTr="004439FD">
        <w:trPr>
          <w:cantSplit/>
        </w:trPr>
        <w:tc>
          <w:tcPr>
            <w:tcW w:w="5000" w:type="pct"/>
            <w:gridSpan w:val="4"/>
            <w:tcBorders>
              <w:top w:val="nil"/>
              <w:left w:val="single" w:sz="4" w:space="0" w:color="auto"/>
              <w:bottom w:val="single" w:sz="4" w:space="0" w:color="auto"/>
              <w:right w:val="single" w:sz="4" w:space="0" w:color="auto"/>
            </w:tcBorders>
            <w:shd w:val="clear" w:color="auto" w:fill="auto"/>
            <w:noWrap/>
            <w:vAlign w:val="bottom"/>
            <w:hideMark/>
          </w:tcPr>
          <w:p w:rsidR="00840395" w:rsidRPr="00853456" w:rsidRDefault="00840395" w:rsidP="004439FD">
            <w:pPr>
              <w:keepNext/>
              <w:keepLines/>
              <w:jc w:val="left"/>
              <w:rPr>
                <w:rFonts w:ascii="Arial Narrow" w:hAnsi="Arial Narrow" w:cs="Times New Roman"/>
                <w:snapToGrid/>
                <w:color w:val="000000"/>
                <w:sz w:val="20"/>
                <w:lang w:val="en-US"/>
              </w:rPr>
            </w:pPr>
            <w:r w:rsidRPr="00853456">
              <w:rPr>
                <w:rFonts w:ascii="Arial Narrow" w:hAnsi="Arial Narrow" w:cs="Times New Roman"/>
                <w:snapToGrid/>
                <w:color w:val="000000"/>
                <w:sz w:val="20"/>
                <w:lang w:val="en-US"/>
              </w:rPr>
              <w:t>Adverse events (RR)</w:t>
            </w:r>
          </w:p>
        </w:tc>
      </w:tr>
      <w:tr w:rsidR="00840395" w:rsidRPr="00853456" w:rsidTr="004439FD">
        <w:trPr>
          <w:cantSplit/>
        </w:trPr>
        <w:tc>
          <w:tcPr>
            <w:tcW w:w="1434" w:type="pct"/>
            <w:tcBorders>
              <w:top w:val="nil"/>
              <w:left w:val="single" w:sz="4" w:space="0" w:color="auto"/>
              <w:bottom w:val="single" w:sz="4" w:space="0" w:color="auto"/>
              <w:right w:val="single" w:sz="4" w:space="0" w:color="auto"/>
            </w:tcBorders>
            <w:shd w:val="clear" w:color="auto" w:fill="auto"/>
            <w:noWrap/>
            <w:vAlign w:val="bottom"/>
            <w:hideMark/>
          </w:tcPr>
          <w:p w:rsidR="00840395" w:rsidRPr="00853456" w:rsidRDefault="00840395" w:rsidP="004439FD">
            <w:pPr>
              <w:keepNext/>
              <w:keepLines/>
              <w:tabs>
                <w:tab w:val="left" w:pos="270"/>
              </w:tabs>
              <w:jc w:val="left"/>
              <w:rPr>
                <w:rFonts w:ascii="Arial Narrow" w:hAnsi="Arial Narrow" w:cs="Times New Roman"/>
                <w:snapToGrid/>
                <w:color w:val="000000"/>
                <w:sz w:val="20"/>
                <w:lang w:val="en-US"/>
              </w:rPr>
            </w:pPr>
            <w:r w:rsidRPr="00853456">
              <w:rPr>
                <w:rFonts w:ascii="Arial Narrow" w:hAnsi="Arial Narrow" w:cs="Times New Roman"/>
                <w:snapToGrid/>
                <w:color w:val="000000"/>
                <w:sz w:val="20"/>
                <w:lang w:val="en-US"/>
              </w:rPr>
              <w:tab/>
              <w:t>Total (drug-related)</w:t>
            </w:r>
          </w:p>
        </w:tc>
        <w:tc>
          <w:tcPr>
            <w:tcW w:w="1376" w:type="pct"/>
            <w:tcBorders>
              <w:top w:val="nil"/>
              <w:left w:val="nil"/>
              <w:bottom w:val="single" w:sz="4" w:space="0" w:color="auto"/>
              <w:right w:val="single" w:sz="4" w:space="0" w:color="auto"/>
            </w:tcBorders>
            <w:shd w:val="clear" w:color="auto" w:fill="auto"/>
            <w:noWrap/>
            <w:vAlign w:val="bottom"/>
            <w:hideMark/>
          </w:tcPr>
          <w:p w:rsidR="00840395" w:rsidRPr="00853456" w:rsidRDefault="00840395" w:rsidP="004439FD">
            <w:pPr>
              <w:keepNext/>
              <w:keepLines/>
              <w:jc w:val="center"/>
              <w:rPr>
                <w:rFonts w:ascii="Arial Narrow" w:hAnsi="Arial Narrow" w:cs="Times New Roman"/>
                <w:snapToGrid/>
                <w:color w:val="000000"/>
                <w:sz w:val="20"/>
                <w:lang w:val="en-US"/>
              </w:rPr>
            </w:pPr>
            <w:r w:rsidRPr="00853456">
              <w:rPr>
                <w:rFonts w:ascii="Arial Narrow" w:hAnsi="Arial Narrow" w:cs="Times New Roman"/>
                <w:snapToGrid/>
                <w:color w:val="000000"/>
                <w:sz w:val="20"/>
                <w:lang w:val="en-US"/>
              </w:rPr>
              <w:t>1.00 (0.90, 1.11)</w:t>
            </w:r>
          </w:p>
        </w:tc>
        <w:tc>
          <w:tcPr>
            <w:tcW w:w="1198" w:type="pct"/>
            <w:tcBorders>
              <w:top w:val="nil"/>
              <w:left w:val="nil"/>
              <w:bottom w:val="single" w:sz="4" w:space="0" w:color="auto"/>
              <w:right w:val="single" w:sz="4" w:space="0" w:color="auto"/>
            </w:tcBorders>
            <w:shd w:val="clear" w:color="auto" w:fill="auto"/>
            <w:noWrap/>
            <w:vAlign w:val="bottom"/>
            <w:hideMark/>
          </w:tcPr>
          <w:p w:rsidR="00840395" w:rsidRPr="00853456" w:rsidRDefault="00840395" w:rsidP="004439FD">
            <w:pPr>
              <w:keepNext/>
              <w:keepLines/>
              <w:jc w:val="center"/>
              <w:rPr>
                <w:rFonts w:ascii="Arial Narrow" w:hAnsi="Arial Narrow" w:cs="Times New Roman"/>
                <w:snapToGrid/>
                <w:color w:val="000000"/>
                <w:sz w:val="20"/>
                <w:lang w:val="en-US"/>
              </w:rPr>
            </w:pPr>
            <w:r w:rsidRPr="00853456">
              <w:rPr>
                <w:rFonts w:ascii="Arial Narrow" w:hAnsi="Arial Narrow" w:cs="Times New Roman"/>
                <w:snapToGrid/>
                <w:color w:val="000000"/>
                <w:sz w:val="20"/>
                <w:lang w:val="en-US"/>
              </w:rPr>
              <w:t>0.95 (0.89, 1.02)</w:t>
            </w:r>
          </w:p>
        </w:tc>
        <w:tc>
          <w:tcPr>
            <w:tcW w:w="992" w:type="pct"/>
            <w:tcBorders>
              <w:top w:val="nil"/>
              <w:left w:val="nil"/>
              <w:bottom w:val="single" w:sz="4" w:space="0" w:color="auto"/>
              <w:right w:val="single" w:sz="4" w:space="0" w:color="auto"/>
            </w:tcBorders>
            <w:shd w:val="clear" w:color="auto" w:fill="auto"/>
            <w:noWrap/>
            <w:vAlign w:val="bottom"/>
            <w:hideMark/>
          </w:tcPr>
          <w:p w:rsidR="00840395" w:rsidRPr="00853456" w:rsidRDefault="00840395" w:rsidP="004439FD">
            <w:pPr>
              <w:keepNext/>
              <w:keepLines/>
              <w:jc w:val="center"/>
              <w:rPr>
                <w:rFonts w:ascii="Arial Narrow" w:hAnsi="Arial Narrow" w:cs="Times New Roman"/>
                <w:snapToGrid/>
                <w:color w:val="000000"/>
                <w:sz w:val="20"/>
                <w:lang w:val="en-US"/>
              </w:rPr>
            </w:pPr>
            <w:r w:rsidRPr="00853456">
              <w:rPr>
                <w:rFonts w:ascii="Arial Narrow" w:hAnsi="Arial Narrow" w:cs="Times New Roman"/>
                <w:snapToGrid/>
                <w:color w:val="000000"/>
                <w:sz w:val="20"/>
                <w:lang w:val="en-US"/>
              </w:rPr>
              <w:t>0.95 (0.84, 1.08)</w:t>
            </w:r>
          </w:p>
        </w:tc>
      </w:tr>
      <w:tr w:rsidR="00840395" w:rsidRPr="00853456" w:rsidTr="004439FD">
        <w:trPr>
          <w:cantSplit/>
        </w:trPr>
        <w:tc>
          <w:tcPr>
            <w:tcW w:w="1434" w:type="pct"/>
            <w:tcBorders>
              <w:top w:val="nil"/>
              <w:left w:val="single" w:sz="4" w:space="0" w:color="auto"/>
              <w:bottom w:val="single" w:sz="4" w:space="0" w:color="auto"/>
              <w:right w:val="single" w:sz="4" w:space="0" w:color="auto"/>
            </w:tcBorders>
            <w:shd w:val="clear" w:color="auto" w:fill="auto"/>
            <w:noWrap/>
            <w:vAlign w:val="bottom"/>
            <w:hideMark/>
          </w:tcPr>
          <w:p w:rsidR="00840395" w:rsidRPr="00853456" w:rsidRDefault="00840395" w:rsidP="004439FD">
            <w:pPr>
              <w:keepNext/>
              <w:keepLines/>
              <w:tabs>
                <w:tab w:val="left" w:pos="270"/>
              </w:tabs>
              <w:jc w:val="left"/>
              <w:rPr>
                <w:rFonts w:ascii="Arial Narrow" w:hAnsi="Arial Narrow" w:cs="Times New Roman"/>
                <w:snapToGrid/>
                <w:color w:val="000000"/>
                <w:sz w:val="20"/>
                <w:lang w:val="en-US"/>
              </w:rPr>
            </w:pPr>
            <w:r w:rsidRPr="00853456">
              <w:rPr>
                <w:rFonts w:ascii="Arial Narrow" w:hAnsi="Arial Narrow" w:cs="Times New Roman"/>
                <w:snapToGrid/>
                <w:color w:val="000000"/>
                <w:sz w:val="20"/>
                <w:lang w:val="en-US"/>
              </w:rPr>
              <w:tab/>
              <w:t>Diarrhoea</w:t>
            </w:r>
          </w:p>
        </w:tc>
        <w:tc>
          <w:tcPr>
            <w:tcW w:w="1376" w:type="pct"/>
            <w:tcBorders>
              <w:top w:val="nil"/>
              <w:left w:val="nil"/>
              <w:bottom w:val="single" w:sz="4" w:space="0" w:color="auto"/>
              <w:right w:val="single" w:sz="4" w:space="0" w:color="auto"/>
            </w:tcBorders>
            <w:shd w:val="clear" w:color="auto" w:fill="auto"/>
            <w:noWrap/>
            <w:vAlign w:val="bottom"/>
            <w:hideMark/>
          </w:tcPr>
          <w:p w:rsidR="00840395" w:rsidRPr="00853456" w:rsidRDefault="00840395" w:rsidP="004439FD">
            <w:pPr>
              <w:keepNext/>
              <w:keepLines/>
              <w:jc w:val="center"/>
              <w:rPr>
                <w:rFonts w:ascii="Arial Narrow" w:hAnsi="Arial Narrow" w:cs="Times New Roman"/>
                <w:snapToGrid/>
                <w:color w:val="000000"/>
                <w:sz w:val="20"/>
                <w:lang w:val="en-US"/>
              </w:rPr>
            </w:pPr>
            <w:r w:rsidRPr="00853456">
              <w:rPr>
                <w:rFonts w:ascii="Arial Narrow" w:hAnsi="Arial Narrow" w:cs="Times New Roman"/>
                <w:snapToGrid/>
                <w:color w:val="000000"/>
                <w:sz w:val="20"/>
                <w:lang w:val="en-US"/>
              </w:rPr>
              <w:t>0.64 (0.44, 0.92)</w:t>
            </w:r>
          </w:p>
        </w:tc>
        <w:tc>
          <w:tcPr>
            <w:tcW w:w="1198" w:type="pct"/>
            <w:tcBorders>
              <w:top w:val="nil"/>
              <w:left w:val="nil"/>
              <w:bottom w:val="single" w:sz="4" w:space="0" w:color="auto"/>
              <w:right w:val="single" w:sz="4" w:space="0" w:color="auto"/>
            </w:tcBorders>
            <w:shd w:val="clear" w:color="auto" w:fill="auto"/>
            <w:noWrap/>
            <w:vAlign w:val="bottom"/>
            <w:hideMark/>
          </w:tcPr>
          <w:p w:rsidR="00840395" w:rsidRPr="00853456" w:rsidRDefault="00840395" w:rsidP="004439FD">
            <w:pPr>
              <w:keepNext/>
              <w:keepLines/>
              <w:jc w:val="center"/>
              <w:rPr>
                <w:rFonts w:ascii="Arial Narrow" w:hAnsi="Arial Narrow" w:cs="Times New Roman"/>
                <w:snapToGrid/>
                <w:color w:val="000000"/>
                <w:sz w:val="20"/>
                <w:lang w:val="en-US"/>
              </w:rPr>
            </w:pPr>
            <w:r w:rsidRPr="00853456">
              <w:rPr>
                <w:rFonts w:ascii="Arial Narrow" w:hAnsi="Arial Narrow" w:cs="Times New Roman"/>
                <w:snapToGrid/>
                <w:color w:val="000000"/>
                <w:sz w:val="20"/>
                <w:lang w:val="en-US"/>
              </w:rPr>
              <w:t>0.58 (0.44, 0.76)</w:t>
            </w:r>
          </w:p>
        </w:tc>
        <w:tc>
          <w:tcPr>
            <w:tcW w:w="992" w:type="pct"/>
            <w:tcBorders>
              <w:top w:val="nil"/>
              <w:left w:val="nil"/>
              <w:bottom w:val="single" w:sz="4" w:space="0" w:color="auto"/>
              <w:right w:val="single" w:sz="4" w:space="0" w:color="auto"/>
            </w:tcBorders>
            <w:shd w:val="clear" w:color="auto" w:fill="auto"/>
            <w:noWrap/>
            <w:vAlign w:val="bottom"/>
            <w:hideMark/>
          </w:tcPr>
          <w:p w:rsidR="00840395" w:rsidRPr="00853456" w:rsidRDefault="00840395" w:rsidP="004439FD">
            <w:pPr>
              <w:keepNext/>
              <w:keepLines/>
              <w:jc w:val="center"/>
              <w:rPr>
                <w:rFonts w:ascii="Arial Narrow" w:hAnsi="Arial Narrow" w:cs="Times New Roman"/>
                <w:snapToGrid/>
                <w:color w:val="000000"/>
                <w:sz w:val="20"/>
                <w:lang w:val="en-US"/>
              </w:rPr>
            </w:pPr>
            <w:r w:rsidRPr="00853456">
              <w:rPr>
                <w:rFonts w:ascii="Arial Narrow" w:hAnsi="Arial Narrow" w:cs="Times New Roman"/>
                <w:snapToGrid/>
                <w:color w:val="000000"/>
                <w:sz w:val="20"/>
                <w:lang w:val="en-US"/>
              </w:rPr>
              <w:t>0.91 (0.57, 1.44)</w:t>
            </w:r>
          </w:p>
        </w:tc>
      </w:tr>
      <w:tr w:rsidR="00840395" w:rsidRPr="00853456" w:rsidTr="004439FD">
        <w:trPr>
          <w:cantSplit/>
        </w:trPr>
        <w:tc>
          <w:tcPr>
            <w:tcW w:w="1434" w:type="pct"/>
            <w:tcBorders>
              <w:top w:val="nil"/>
              <w:left w:val="single" w:sz="4" w:space="0" w:color="auto"/>
              <w:bottom w:val="single" w:sz="4" w:space="0" w:color="auto"/>
              <w:right w:val="single" w:sz="4" w:space="0" w:color="auto"/>
            </w:tcBorders>
            <w:shd w:val="clear" w:color="auto" w:fill="auto"/>
            <w:noWrap/>
            <w:vAlign w:val="bottom"/>
            <w:hideMark/>
          </w:tcPr>
          <w:p w:rsidR="00840395" w:rsidRPr="00853456" w:rsidRDefault="00840395" w:rsidP="004439FD">
            <w:pPr>
              <w:keepNext/>
              <w:keepLines/>
              <w:tabs>
                <w:tab w:val="left" w:pos="270"/>
              </w:tabs>
              <w:jc w:val="left"/>
              <w:rPr>
                <w:rFonts w:ascii="Arial Narrow" w:hAnsi="Arial Narrow" w:cs="Times New Roman"/>
                <w:snapToGrid/>
                <w:color w:val="000000"/>
                <w:sz w:val="20"/>
                <w:lang w:val="en-US"/>
              </w:rPr>
            </w:pPr>
            <w:r w:rsidRPr="00853456">
              <w:rPr>
                <w:rFonts w:ascii="Arial Narrow" w:hAnsi="Arial Narrow" w:cs="Times New Roman"/>
                <w:snapToGrid/>
                <w:color w:val="000000"/>
                <w:sz w:val="20"/>
                <w:lang w:val="en-US"/>
              </w:rPr>
              <w:tab/>
              <w:t>Colitis</w:t>
            </w:r>
          </w:p>
        </w:tc>
        <w:tc>
          <w:tcPr>
            <w:tcW w:w="1376" w:type="pct"/>
            <w:tcBorders>
              <w:top w:val="nil"/>
              <w:left w:val="nil"/>
              <w:bottom w:val="single" w:sz="4" w:space="0" w:color="auto"/>
              <w:right w:val="single" w:sz="4" w:space="0" w:color="auto"/>
            </w:tcBorders>
            <w:shd w:val="clear" w:color="auto" w:fill="auto"/>
            <w:noWrap/>
            <w:vAlign w:val="bottom"/>
            <w:hideMark/>
          </w:tcPr>
          <w:p w:rsidR="00840395" w:rsidRPr="00853456" w:rsidRDefault="00840395" w:rsidP="004439FD">
            <w:pPr>
              <w:keepNext/>
              <w:keepLines/>
              <w:jc w:val="center"/>
              <w:rPr>
                <w:rFonts w:ascii="Arial Narrow" w:hAnsi="Arial Narrow" w:cs="Times New Roman"/>
                <w:snapToGrid/>
                <w:color w:val="000000"/>
                <w:sz w:val="20"/>
                <w:lang w:val="en-US"/>
              </w:rPr>
            </w:pPr>
            <w:r w:rsidRPr="00853456">
              <w:rPr>
                <w:rFonts w:ascii="Arial Narrow" w:hAnsi="Arial Narrow" w:cs="Times New Roman"/>
                <w:snapToGrid/>
                <w:color w:val="000000"/>
                <w:sz w:val="20"/>
                <w:lang w:val="en-US"/>
              </w:rPr>
              <w:t>0.44 (0.21, 0.92)</w:t>
            </w:r>
          </w:p>
        </w:tc>
        <w:tc>
          <w:tcPr>
            <w:tcW w:w="1198" w:type="pct"/>
            <w:tcBorders>
              <w:top w:val="nil"/>
              <w:left w:val="nil"/>
              <w:bottom w:val="single" w:sz="4" w:space="0" w:color="auto"/>
              <w:right w:val="single" w:sz="4" w:space="0" w:color="auto"/>
            </w:tcBorders>
            <w:shd w:val="clear" w:color="auto" w:fill="auto"/>
            <w:noWrap/>
            <w:vAlign w:val="bottom"/>
            <w:hideMark/>
          </w:tcPr>
          <w:p w:rsidR="00840395" w:rsidRPr="00853456" w:rsidRDefault="00840395" w:rsidP="004439FD">
            <w:pPr>
              <w:keepNext/>
              <w:keepLines/>
              <w:jc w:val="center"/>
              <w:rPr>
                <w:rFonts w:ascii="Arial Narrow" w:hAnsi="Arial Narrow" w:cs="Times New Roman"/>
                <w:snapToGrid/>
                <w:color w:val="000000"/>
                <w:sz w:val="20"/>
                <w:lang w:val="en-US"/>
              </w:rPr>
            </w:pPr>
            <w:r w:rsidRPr="00853456">
              <w:rPr>
                <w:rFonts w:ascii="Arial Narrow" w:hAnsi="Arial Narrow" w:cs="Times New Roman"/>
                <w:snapToGrid/>
                <w:color w:val="000000"/>
                <w:sz w:val="20"/>
                <w:lang w:val="en-US"/>
              </w:rPr>
              <w:t>0.11 (0.04, 0.31)</w:t>
            </w:r>
          </w:p>
        </w:tc>
        <w:tc>
          <w:tcPr>
            <w:tcW w:w="992" w:type="pct"/>
            <w:tcBorders>
              <w:top w:val="nil"/>
              <w:left w:val="nil"/>
              <w:bottom w:val="single" w:sz="4" w:space="0" w:color="auto"/>
              <w:right w:val="single" w:sz="4" w:space="0" w:color="auto"/>
            </w:tcBorders>
            <w:shd w:val="clear" w:color="auto" w:fill="auto"/>
            <w:noWrap/>
            <w:vAlign w:val="bottom"/>
            <w:hideMark/>
          </w:tcPr>
          <w:p w:rsidR="00840395" w:rsidRPr="00853456" w:rsidRDefault="00840395" w:rsidP="004439FD">
            <w:pPr>
              <w:keepNext/>
              <w:keepLines/>
              <w:jc w:val="center"/>
              <w:rPr>
                <w:rFonts w:ascii="Arial Narrow" w:hAnsi="Arial Narrow" w:cs="Times New Roman"/>
                <w:snapToGrid/>
                <w:color w:val="000000"/>
                <w:sz w:val="20"/>
                <w:lang w:val="en-US"/>
              </w:rPr>
            </w:pPr>
            <w:r w:rsidRPr="00853456">
              <w:rPr>
                <w:rFonts w:ascii="Arial Narrow" w:hAnsi="Arial Narrow" w:cs="Times New Roman"/>
                <w:snapToGrid/>
                <w:color w:val="000000"/>
                <w:sz w:val="20"/>
                <w:lang w:val="en-US"/>
              </w:rPr>
              <w:t>0.25 (0.07, 0.88)</w:t>
            </w:r>
          </w:p>
        </w:tc>
      </w:tr>
    </w:tbl>
    <w:p w:rsidR="00840395" w:rsidRPr="00853456" w:rsidRDefault="00840395" w:rsidP="00840395">
      <w:pPr>
        <w:ind w:left="720"/>
        <w:rPr>
          <w:rFonts w:ascii="Arial Narrow" w:hAnsi="Arial Narrow"/>
          <w:sz w:val="18"/>
        </w:rPr>
      </w:pPr>
      <w:r w:rsidRPr="00853456">
        <w:rPr>
          <w:rFonts w:ascii="Arial Narrow" w:hAnsi="Arial Narrow"/>
          <w:sz w:val="18"/>
        </w:rPr>
        <w:t>Source: Table 2, p3 of nivolumab monotherapy PSCR.</w:t>
      </w:r>
    </w:p>
    <w:p w:rsidR="00840395" w:rsidRPr="00853456" w:rsidRDefault="00840395" w:rsidP="00840395">
      <w:pPr>
        <w:ind w:left="720"/>
        <w:rPr>
          <w:rFonts w:ascii="Arial Narrow" w:hAnsi="Arial Narrow"/>
          <w:sz w:val="18"/>
        </w:rPr>
      </w:pPr>
      <w:r w:rsidRPr="00853456">
        <w:rPr>
          <w:rFonts w:ascii="Arial Narrow" w:hAnsi="Arial Narrow"/>
          <w:sz w:val="18"/>
        </w:rPr>
        <w:t>CI= confidence interval; HR = hazard ratio; Ipi = ipilimumab; Nivo = nivolumab; Pembro = pembrolizumab; RR = relative risk</w:t>
      </w:r>
    </w:p>
    <w:p w:rsidR="00840395" w:rsidRPr="00D76AB7" w:rsidRDefault="00840395" w:rsidP="009E515A">
      <w:pPr>
        <w:outlineLvl w:val="1"/>
      </w:pPr>
    </w:p>
    <w:p w:rsidR="00622DD3" w:rsidRDefault="00622DD3" w:rsidP="00890E32">
      <w:pPr>
        <w:rPr>
          <w:b/>
          <w:i/>
          <w:szCs w:val="22"/>
        </w:rPr>
      </w:pPr>
    </w:p>
    <w:p w:rsidR="00890E32" w:rsidRPr="009A4C50" w:rsidRDefault="00890E32" w:rsidP="00890E32">
      <w:pPr>
        <w:rPr>
          <w:b/>
          <w:i/>
          <w:szCs w:val="22"/>
        </w:rPr>
      </w:pPr>
      <w:r w:rsidRPr="009A4C50">
        <w:rPr>
          <w:b/>
          <w:i/>
          <w:szCs w:val="22"/>
        </w:rPr>
        <w:lastRenderedPageBreak/>
        <w:t>Comparative harms</w:t>
      </w:r>
    </w:p>
    <w:p w:rsidR="00890E32" w:rsidRPr="00191CC2" w:rsidRDefault="00890E32" w:rsidP="009E515A">
      <w:pPr>
        <w:outlineLvl w:val="1"/>
      </w:pPr>
    </w:p>
    <w:p w:rsidR="00890E32" w:rsidRPr="00191CC2" w:rsidRDefault="00890E32" w:rsidP="00890E32">
      <w:pPr>
        <w:numPr>
          <w:ilvl w:val="1"/>
          <w:numId w:val="1"/>
        </w:numPr>
        <w:contextualSpacing/>
      </w:pPr>
      <w:r w:rsidRPr="00191CC2">
        <w:t>Regarding the indirect safety comparison, the lack of data prevents a robust analysis of comparative safety, but the statistical comparison of total drug-related adverse events and diarrhoea suggest non-inferiority.</w:t>
      </w:r>
    </w:p>
    <w:p w:rsidR="00C27F6F" w:rsidRDefault="00C27F6F" w:rsidP="00D750F3">
      <w:pPr>
        <w:rPr>
          <w:b/>
          <w:i/>
          <w:szCs w:val="22"/>
        </w:rPr>
      </w:pPr>
    </w:p>
    <w:p w:rsidR="00D750F3" w:rsidRPr="009A4C50" w:rsidRDefault="00D750F3" w:rsidP="00D750F3">
      <w:pPr>
        <w:rPr>
          <w:b/>
          <w:i/>
          <w:szCs w:val="22"/>
        </w:rPr>
      </w:pPr>
      <w:r w:rsidRPr="009A4C50">
        <w:rPr>
          <w:b/>
          <w:i/>
          <w:szCs w:val="22"/>
        </w:rPr>
        <w:t>Clinical claim</w:t>
      </w:r>
    </w:p>
    <w:p w:rsidR="00890E32" w:rsidRPr="00191CC2" w:rsidRDefault="00890E32" w:rsidP="00D750F3">
      <w:pPr>
        <w:rPr>
          <w:szCs w:val="22"/>
        </w:rPr>
      </w:pPr>
    </w:p>
    <w:p w:rsidR="00890E32" w:rsidRPr="00853456" w:rsidRDefault="00890E32" w:rsidP="00890E32">
      <w:pPr>
        <w:numPr>
          <w:ilvl w:val="1"/>
          <w:numId w:val="1"/>
        </w:numPr>
        <w:contextualSpacing/>
      </w:pPr>
      <w:r w:rsidRPr="00853456">
        <w:t xml:space="preserve">The updated therapeutic claim for nivolumab monotherapy </w:t>
      </w:r>
      <w:r w:rsidR="003D67D3">
        <w:t>wa</w:t>
      </w:r>
      <w:r w:rsidRPr="00853456">
        <w:t>s:</w:t>
      </w:r>
    </w:p>
    <w:p w:rsidR="00890E32" w:rsidRPr="00853456" w:rsidRDefault="00090285" w:rsidP="00890E32">
      <w:pPr>
        <w:numPr>
          <w:ilvl w:val="0"/>
          <w:numId w:val="4"/>
        </w:numPr>
        <w:ind w:left="993" w:hanging="219"/>
        <w:contextualSpacing/>
      </w:pPr>
      <w:r>
        <w:t>i</w:t>
      </w:r>
      <w:r w:rsidR="00890E32" w:rsidRPr="00853456">
        <w:t>n metastatic melanoma patients, nivolumab is non-inferior to pembrolizumab in efficacy and safety.</w:t>
      </w:r>
    </w:p>
    <w:p w:rsidR="00890E32" w:rsidRPr="00853456" w:rsidRDefault="00890E32" w:rsidP="00890E32"/>
    <w:p w:rsidR="00090285" w:rsidRPr="00853456" w:rsidRDefault="00890E32" w:rsidP="00090285">
      <w:pPr>
        <w:numPr>
          <w:ilvl w:val="1"/>
          <w:numId w:val="1"/>
        </w:numPr>
        <w:contextualSpacing/>
      </w:pPr>
      <w:r w:rsidRPr="00853456">
        <w:t xml:space="preserve">The claim is based on the indirect comparison against pembrolizumab presented in the May 2015 PSCR (comparing CA209-067 and KN-006). </w:t>
      </w:r>
      <w:r w:rsidR="00090285" w:rsidRPr="00853456">
        <w:t xml:space="preserve">The minor submission noted </w:t>
      </w:r>
      <w:r w:rsidR="00090285">
        <w:t xml:space="preserve">the July 2015 </w:t>
      </w:r>
      <w:r w:rsidR="00090285" w:rsidRPr="00853456">
        <w:t>PBAC comments regarding the indirect comparison, specifically pertaining to:</w:t>
      </w:r>
    </w:p>
    <w:p w:rsidR="00090285" w:rsidRPr="00853456" w:rsidRDefault="00090285" w:rsidP="009D2917">
      <w:pPr>
        <w:numPr>
          <w:ilvl w:val="0"/>
          <w:numId w:val="4"/>
        </w:numPr>
        <w:ind w:left="993" w:hanging="219"/>
        <w:contextualSpacing/>
      </w:pPr>
      <w:r w:rsidRPr="00853456">
        <w:t>the limited evidence to assess exchangeability between the trials (specifically duration of follow-up) (paragraph 7.6</w:t>
      </w:r>
      <w:r>
        <w:t xml:space="preserve"> of the July 2015 PBAC minutes</w:t>
      </w:r>
      <w:r w:rsidRPr="00853456">
        <w:t>)</w:t>
      </w:r>
    </w:p>
    <w:p w:rsidR="00090285" w:rsidRDefault="00090285" w:rsidP="009D2917">
      <w:pPr>
        <w:numPr>
          <w:ilvl w:val="0"/>
          <w:numId w:val="4"/>
        </w:numPr>
        <w:ind w:left="993" w:hanging="219"/>
        <w:contextualSpacing/>
      </w:pPr>
      <w:r w:rsidRPr="00853456">
        <w:t>trial CA209-067 was designed to compare nivolumab plus ipilimumab combination therapy to ipilimumab monotherapy and was not designed to compare monotherapy arms (paragraph 7.7)</w:t>
      </w:r>
    </w:p>
    <w:p w:rsidR="00090285" w:rsidRDefault="00090285" w:rsidP="009D2917">
      <w:pPr>
        <w:numPr>
          <w:ilvl w:val="0"/>
          <w:numId w:val="4"/>
        </w:numPr>
        <w:ind w:left="993" w:hanging="219"/>
        <w:contextualSpacing/>
      </w:pPr>
      <w:r w:rsidRPr="00853456">
        <w:t>CA209-067 was still collecting overall survival data, while KN-006 was not (paragraph 7.7).</w:t>
      </w:r>
    </w:p>
    <w:p w:rsidR="00890E32" w:rsidRPr="00853456" w:rsidRDefault="00890E32" w:rsidP="00890E32"/>
    <w:p w:rsidR="00890E32" w:rsidRPr="00191CC2" w:rsidRDefault="00890E32" w:rsidP="00F47C67">
      <w:pPr>
        <w:numPr>
          <w:ilvl w:val="1"/>
          <w:numId w:val="1"/>
        </w:numPr>
        <w:contextualSpacing/>
      </w:pPr>
      <w:r w:rsidRPr="00191CC2">
        <w:t xml:space="preserve">The minor </w:t>
      </w:r>
      <w:r w:rsidR="00EF1B2A">
        <w:t>re-</w:t>
      </w:r>
      <w:r w:rsidRPr="00191CC2">
        <w:t>submission consider</w:t>
      </w:r>
      <w:r w:rsidR="00764101">
        <w:t>ed</w:t>
      </w:r>
      <w:r w:rsidRPr="00191CC2">
        <w:t xml:space="preserve"> that these concerns will not be addressed over time with future reporting of nivolumab data, largely because the</w:t>
      </w:r>
      <w:r w:rsidR="004C5789" w:rsidRPr="00191CC2">
        <w:t xml:space="preserve"> KN-006 trial has ceased. Although</w:t>
      </w:r>
      <w:r w:rsidRPr="00191CC2">
        <w:t xml:space="preserve"> KN-006 has ceased, exchangeability between the trials remains relevant.</w:t>
      </w:r>
    </w:p>
    <w:p w:rsidR="009E515A" w:rsidRPr="004C5789" w:rsidRDefault="009E515A" w:rsidP="009E515A">
      <w:pPr>
        <w:outlineLvl w:val="1"/>
      </w:pPr>
    </w:p>
    <w:p w:rsidR="00840395" w:rsidRPr="009A4C50" w:rsidRDefault="00840395" w:rsidP="009E515A">
      <w:pPr>
        <w:outlineLvl w:val="1"/>
        <w:rPr>
          <w:b/>
          <w:i/>
          <w:szCs w:val="22"/>
        </w:rPr>
      </w:pPr>
      <w:r w:rsidRPr="009A4C50">
        <w:rPr>
          <w:b/>
          <w:i/>
          <w:szCs w:val="22"/>
        </w:rPr>
        <w:t>Economic analysis</w:t>
      </w:r>
    </w:p>
    <w:p w:rsidR="00840395" w:rsidRPr="004C5789" w:rsidRDefault="00840395" w:rsidP="009E515A">
      <w:pPr>
        <w:outlineLvl w:val="1"/>
        <w:rPr>
          <w:szCs w:val="22"/>
        </w:rPr>
      </w:pPr>
    </w:p>
    <w:p w:rsidR="00890E32" w:rsidRPr="00853456" w:rsidRDefault="00890E32" w:rsidP="00890E32">
      <w:pPr>
        <w:numPr>
          <w:ilvl w:val="1"/>
          <w:numId w:val="1"/>
        </w:numPr>
        <w:contextualSpacing/>
      </w:pPr>
      <w:r w:rsidRPr="00853456">
        <w:t xml:space="preserve">The minor </w:t>
      </w:r>
      <w:r w:rsidR="00EF1B2A">
        <w:t>re-</w:t>
      </w:r>
      <w:r w:rsidRPr="00853456">
        <w:t>submission propose</w:t>
      </w:r>
      <w:r w:rsidR="00764101">
        <w:t>d</w:t>
      </w:r>
      <w:r w:rsidRPr="00853456">
        <w:t xml:space="preserve"> that:</w:t>
      </w:r>
    </w:p>
    <w:p w:rsidR="00890E32" w:rsidRPr="00853456" w:rsidRDefault="004C5789" w:rsidP="00890E32">
      <w:pPr>
        <w:numPr>
          <w:ilvl w:val="0"/>
          <w:numId w:val="4"/>
        </w:numPr>
        <w:ind w:left="993" w:hanging="219"/>
        <w:contextualSpacing/>
      </w:pPr>
      <w:r>
        <w:t>n</w:t>
      </w:r>
      <w:r w:rsidR="00890E32" w:rsidRPr="00853456">
        <w:t>ivolumab be listed on the PBS on a cost-mini</w:t>
      </w:r>
      <w:r>
        <w:t>misation basis to pembrolizumab</w:t>
      </w:r>
    </w:p>
    <w:p w:rsidR="00890E32" w:rsidRPr="00853456" w:rsidRDefault="004C5789" w:rsidP="00890E32">
      <w:pPr>
        <w:numPr>
          <w:ilvl w:val="0"/>
          <w:numId w:val="4"/>
        </w:numPr>
        <w:ind w:left="993" w:hanging="219"/>
        <w:contextualSpacing/>
      </w:pPr>
      <w:r>
        <w:t>t</w:t>
      </w:r>
      <w:r w:rsidR="00890E32" w:rsidRPr="00853456">
        <w:t>he PBS restriction for nivolumab be aligned with the original PBAC submission - the patients with unresectable Stage III</w:t>
      </w:r>
      <w:r>
        <w:t xml:space="preserve"> or Stage IV malignant melanoma</w:t>
      </w:r>
    </w:p>
    <w:p w:rsidR="00890E32" w:rsidRPr="00853456" w:rsidRDefault="004C5789" w:rsidP="00890E32">
      <w:pPr>
        <w:numPr>
          <w:ilvl w:val="0"/>
          <w:numId w:val="4"/>
        </w:numPr>
        <w:ind w:left="993" w:hanging="219"/>
        <w:contextualSpacing/>
      </w:pPr>
      <w:r>
        <w:t>t</w:t>
      </w:r>
      <w:r w:rsidR="00890E32" w:rsidRPr="00853456">
        <w:t>he pricing of nivolumab be derived to ensure the same cost per patient as pembrolizumab, minus the additional infusion costs associate</w:t>
      </w:r>
      <w:r>
        <w:t>d with nivolumab treatment</w:t>
      </w:r>
    </w:p>
    <w:p w:rsidR="00890E32" w:rsidRDefault="004C5789" w:rsidP="00230F2A">
      <w:pPr>
        <w:numPr>
          <w:ilvl w:val="0"/>
          <w:numId w:val="4"/>
        </w:numPr>
        <w:ind w:left="993" w:hanging="219"/>
        <w:contextualSpacing/>
      </w:pPr>
      <w:r>
        <w:t>t</w:t>
      </w:r>
      <w:r w:rsidR="00890E32" w:rsidRPr="00853456">
        <w:t xml:space="preserve">he pricing of nivolumab upon PBS listing be set such that it is </w:t>
      </w:r>
      <w:r w:rsidR="00890E32" w:rsidRPr="00622DD3">
        <w:t>not linked to the pricing of the pembrolizumab MES</w:t>
      </w:r>
      <w:r w:rsidR="00890E32" w:rsidRPr="00853456">
        <w:t>.</w:t>
      </w:r>
    </w:p>
    <w:p w:rsidR="00890E32" w:rsidRDefault="00890E32" w:rsidP="00230F2A">
      <w:pPr>
        <w:contextualSpacing/>
      </w:pPr>
    </w:p>
    <w:p w:rsidR="00890E32" w:rsidRPr="00191CC2" w:rsidRDefault="00890E32" w:rsidP="004C5789">
      <w:pPr>
        <w:numPr>
          <w:ilvl w:val="1"/>
          <w:numId w:val="1"/>
        </w:numPr>
        <w:contextualSpacing/>
        <w:outlineLvl w:val="1"/>
        <w:rPr>
          <w:szCs w:val="22"/>
        </w:rPr>
      </w:pPr>
      <w:r w:rsidRPr="00191CC2">
        <w:t xml:space="preserve">The minor </w:t>
      </w:r>
      <w:r w:rsidR="00EF1B2A">
        <w:t>re-</w:t>
      </w:r>
      <w:r w:rsidRPr="00191CC2">
        <w:t>submission propose</w:t>
      </w:r>
      <w:r w:rsidR="00764101">
        <w:t>d</w:t>
      </w:r>
      <w:r w:rsidRPr="00191CC2">
        <w:t xml:space="preserve"> relying on existing PBAC processes rather than applying </w:t>
      </w:r>
      <w:r w:rsidRPr="00622DD3">
        <w:t>pembrolizumab MES conditions to nivolumab. The submission consider</w:t>
      </w:r>
      <w:r w:rsidR="00764101" w:rsidRPr="00622DD3">
        <w:t>ed</w:t>
      </w:r>
      <w:r w:rsidRPr="00622DD3">
        <w:t xml:space="preserve"> that this negates the ability to use the pembrolizumab MES construct to seek an </w:t>
      </w:r>
      <w:r w:rsidR="002D004D" w:rsidRPr="00622DD3">
        <w:t xml:space="preserve">increased </w:t>
      </w:r>
      <w:r w:rsidRPr="00622DD3">
        <w:t>price for nivolumab in the future.</w:t>
      </w:r>
      <w:r w:rsidRPr="00191CC2">
        <w:t xml:space="preserve"> The sponsor consider</w:t>
      </w:r>
      <w:r w:rsidR="00764101">
        <w:t>ed</w:t>
      </w:r>
      <w:r w:rsidRPr="00191CC2">
        <w:t xml:space="preserve"> this provides the Commonwealth with greater certainty regarding the future pricing for nivolumab. While the submission’s description of its proposal’s effect on price </w:t>
      </w:r>
      <w:r w:rsidR="009D2917">
        <w:t>wa</w:t>
      </w:r>
      <w:r w:rsidRPr="00191CC2">
        <w:t xml:space="preserve">s accurate, it </w:t>
      </w:r>
      <w:r w:rsidR="009D2917">
        <w:t>wa</w:t>
      </w:r>
      <w:r w:rsidRPr="00191CC2">
        <w:t xml:space="preserve">s not complete. </w:t>
      </w:r>
      <w:r w:rsidR="002D004D" w:rsidRPr="00622DD3">
        <w:t>T</w:t>
      </w:r>
      <w:r w:rsidR="004C5789" w:rsidRPr="00622DD3">
        <w:t>he pembrolizumab MES</w:t>
      </w:r>
      <w:r w:rsidR="002D004D" w:rsidRPr="00622DD3">
        <w:t xml:space="preserve"> includes mechanisms that ensure that </w:t>
      </w:r>
      <w:r w:rsidR="004C5789" w:rsidRPr="00622DD3">
        <w:t xml:space="preserve">over time </w:t>
      </w:r>
      <w:r w:rsidRPr="00622DD3">
        <w:t xml:space="preserve">ipilimumab and pembrolizumab </w:t>
      </w:r>
      <w:r w:rsidR="004C5789" w:rsidRPr="00622DD3">
        <w:t>have the same cost per patient</w:t>
      </w:r>
      <w:r w:rsidR="009D2917" w:rsidRPr="00622DD3">
        <w:t xml:space="preserve"> to the PBS</w:t>
      </w:r>
      <w:r w:rsidR="004C5789" w:rsidRPr="00622DD3">
        <w:t xml:space="preserve">. </w:t>
      </w:r>
      <w:r w:rsidR="00854F46" w:rsidRPr="00622DD3">
        <w:t>However, a</w:t>
      </w:r>
      <w:r w:rsidR="004C5789" w:rsidRPr="00622DD3">
        <w:t xml:space="preserve">t the end of the pembrolizumab MES, the main question </w:t>
      </w:r>
      <w:r w:rsidR="00854F46" w:rsidRPr="00622DD3">
        <w:t>would</w:t>
      </w:r>
      <w:r w:rsidR="004C5789" w:rsidRPr="00622DD3">
        <w:t xml:space="preserve"> be </w:t>
      </w:r>
      <w:r w:rsidR="004C5789" w:rsidRPr="00622DD3">
        <w:lastRenderedPageBreak/>
        <w:t>whether the later evidence justifies a</w:t>
      </w:r>
      <w:r w:rsidR="002D004D" w:rsidRPr="00622DD3">
        <w:t>n</w:t>
      </w:r>
      <w:r w:rsidR="004C5789" w:rsidRPr="00622DD3">
        <w:t xml:space="preserve"> </w:t>
      </w:r>
      <w:r w:rsidR="002D004D" w:rsidRPr="00622DD3">
        <w:t>increased price</w:t>
      </w:r>
      <w:r w:rsidR="004C5789" w:rsidRPr="00622DD3">
        <w:t xml:space="preserve"> per patient than ipilimumab</w:t>
      </w:r>
      <w:r w:rsidR="00854F46" w:rsidRPr="00622DD3">
        <w:t xml:space="preserve"> and thus a variation to these mechanisms</w:t>
      </w:r>
      <w:r w:rsidR="004C5789" w:rsidRPr="00622DD3">
        <w:t xml:space="preserve">. </w:t>
      </w:r>
      <w:r w:rsidR="00854F46" w:rsidRPr="00622DD3">
        <w:t>In this context, t</w:t>
      </w:r>
      <w:r w:rsidR="004C5789" w:rsidRPr="00622DD3">
        <w:t xml:space="preserve">he proposal </w:t>
      </w:r>
      <w:r w:rsidR="002D004D" w:rsidRPr="00622DD3">
        <w:t xml:space="preserve">to </w:t>
      </w:r>
      <w:r w:rsidR="004C5789" w:rsidRPr="00622DD3">
        <w:t xml:space="preserve">list </w:t>
      </w:r>
      <w:r w:rsidR="001A5707" w:rsidRPr="00622DD3">
        <w:t xml:space="preserve">nivolumab monotherapy </w:t>
      </w:r>
      <w:r w:rsidR="004C5789" w:rsidRPr="00622DD3">
        <w:t xml:space="preserve">on a non-inferiority and thus cost-minimisation basis against </w:t>
      </w:r>
      <w:r w:rsidR="001A5707" w:rsidRPr="00622DD3">
        <w:t xml:space="preserve">pembrolizumab </w:t>
      </w:r>
      <w:r w:rsidR="002D004D" w:rsidRPr="00622DD3">
        <w:t xml:space="preserve">while </w:t>
      </w:r>
      <w:r w:rsidR="005D0842" w:rsidRPr="00622DD3">
        <w:t>its</w:t>
      </w:r>
      <w:r w:rsidR="002D004D" w:rsidRPr="00622DD3">
        <w:t xml:space="preserve"> </w:t>
      </w:r>
      <w:r w:rsidR="001A5707" w:rsidRPr="00622DD3">
        <w:t xml:space="preserve">MES is </w:t>
      </w:r>
      <w:r w:rsidR="002D004D" w:rsidRPr="00622DD3">
        <w:t>operating</w:t>
      </w:r>
      <w:r w:rsidR="00D14106" w:rsidRPr="00622DD3">
        <w:t xml:space="preserve"> and </w:t>
      </w:r>
      <w:r w:rsidR="005D0842" w:rsidRPr="00622DD3">
        <w:t xml:space="preserve">including the </w:t>
      </w:r>
      <w:r w:rsidR="004C5789" w:rsidRPr="00622DD3">
        <w:t xml:space="preserve">request that the </w:t>
      </w:r>
      <w:r w:rsidR="00D14106" w:rsidRPr="00622DD3">
        <w:t xml:space="preserve">price </w:t>
      </w:r>
      <w:r w:rsidR="004C5789" w:rsidRPr="00622DD3">
        <w:t xml:space="preserve">of nivolumab not be linked to “the pricing of the pembrolizumab MES” would </w:t>
      </w:r>
      <w:r w:rsidR="001A5707" w:rsidRPr="00622DD3">
        <w:t>keep pembrolizumab and nivolumab</w:t>
      </w:r>
      <w:r w:rsidR="004C5789" w:rsidRPr="00622DD3">
        <w:t xml:space="preserve"> </w:t>
      </w:r>
      <w:r w:rsidR="001A5707" w:rsidRPr="00622DD3">
        <w:t xml:space="preserve">monotherapy at the same cost per patient </w:t>
      </w:r>
      <w:r w:rsidR="009D2917" w:rsidRPr="00622DD3">
        <w:t>to the PBS</w:t>
      </w:r>
      <w:r w:rsidR="009D2917">
        <w:t xml:space="preserve"> </w:t>
      </w:r>
      <w:r w:rsidR="001A5707" w:rsidRPr="00622DD3">
        <w:t xml:space="preserve">as ipilimumab. In the </w:t>
      </w:r>
      <w:r w:rsidR="005D0842" w:rsidRPr="00622DD3">
        <w:t xml:space="preserve">unlikely </w:t>
      </w:r>
      <w:r w:rsidR="001A5707" w:rsidRPr="00622DD3">
        <w:t>event that the pembrolizumab MES reveals pembrolizumab to be clinically inferior to ipilimumab</w:t>
      </w:r>
      <w:r w:rsidR="00DB25F0" w:rsidRPr="00622DD3">
        <w:t>,</w:t>
      </w:r>
      <w:r w:rsidR="001A5707" w:rsidRPr="00622DD3">
        <w:t xml:space="preserve"> the cost per patient for both pembrolizumab and nivolumab monotherapy would need to be reconsidered.</w:t>
      </w:r>
    </w:p>
    <w:p w:rsidR="00890E32" w:rsidRPr="001A5707" w:rsidRDefault="00890E32" w:rsidP="009E515A">
      <w:pPr>
        <w:outlineLvl w:val="1"/>
        <w:rPr>
          <w:szCs w:val="22"/>
        </w:rPr>
      </w:pPr>
    </w:p>
    <w:p w:rsidR="00840395" w:rsidRPr="00853456" w:rsidRDefault="00840395" w:rsidP="00840395">
      <w:pPr>
        <w:numPr>
          <w:ilvl w:val="1"/>
          <w:numId w:val="1"/>
        </w:numPr>
        <w:contextualSpacing/>
      </w:pPr>
      <w:r w:rsidRPr="00853456">
        <w:t xml:space="preserve">The minor </w:t>
      </w:r>
      <w:r w:rsidR="00EF1B2A">
        <w:t>re-</w:t>
      </w:r>
      <w:r w:rsidRPr="00853456">
        <w:t>submission has included a formula to derive the equivalent net cost per patient for nivolumab:</w:t>
      </w:r>
    </w:p>
    <w:p w:rsidR="00840395" w:rsidRPr="0060430B" w:rsidRDefault="0060430B" w:rsidP="0060430B">
      <w:pPr>
        <w:ind w:left="993" w:hanging="219"/>
        <w:contextualSpacing/>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840395" w:rsidRPr="00853456" w:rsidRDefault="00840395" w:rsidP="00840395"/>
    <w:p w:rsidR="00840395" w:rsidRPr="00853456" w:rsidRDefault="00840395" w:rsidP="00840395">
      <w:pPr>
        <w:numPr>
          <w:ilvl w:val="1"/>
          <w:numId w:val="1"/>
        </w:numPr>
        <w:contextualSpacing/>
      </w:pPr>
      <w:r w:rsidRPr="00853456">
        <w:t xml:space="preserve">The minor </w:t>
      </w:r>
      <w:r w:rsidR="00EF1B2A">
        <w:t>re-</w:t>
      </w:r>
      <w:r w:rsidRPr="00853456">
        <w:t>submission also stated that data from existing trials (included in the original nivolumab PBAC submission) would be used to derive the number of infusions and infusion costs, with existing supply mechanisms used to determine the number of patients treated with nivolumab, if required. The sponsor also expressed its willingness to work proactively with the Department on agreeing and finalising specifics of the arrangement to ensure patient cost parity.</w:t>
      </w:r>
    </w:p>
    <w:p w:rsidR="00840395" w:rsidRDefault="00840395" w:rsidP="009E515A">
      <w:pPr>
        <w:outlineLvl w:val="1"/>
        <w:rPr>
          <w:b/>
          <w:i/>
        </w:rPr>
      </w:pPr>
    </w:p>
    <w:p w:rsidR="00840395" w:rsidRPr="00191CC2" w:rsidRDefault="00840395" w:rsidP="00840395">
      <w:pPr>
        <w:numPr>
          <w:ilvl w:val="1"/>
          <w:numId w:val="1"/>
        </w:numPr>
        <w:contextualSpacing/>
      </w:pPr>
      <w:r w:rsidRPr="00191CC2">
        <w:t>Acknowledging the sponsor’s ‘willingness to work proactively’ the following concerns remained with the minor submission’s approach:</w:t>
      </w:r>
    </w:p>
    <w:p w:rsidR="00840395" w:rsidRPr="00191CC2" w:rsidRDefault="00840395" w:rsidP="00840395">
      <w:pPr>
        <w:numPr>
          <w:ilvl w:val="0"/>
          <w:numId w:val="4"/>
        </w:numPr>
        <w:ind w:left="993" w:hanging="219"/>
        <w:contextualSpacing/>
      </w:pPr>
      <w:r w:rsidRPr="00191CC2">
        <w:t xml:space="preserve">The minor </w:t>
      </w:r>
      <w:r w:rsidR="00EF1B2A">
        <w:t>re-</w:t>
      </w:r>
      <w:r w:rsidRPr="00191CC2">
        <w:t>submission’s claim of non-inferiority is not strong as the confidence interval for the indirect comparison is very wide.</w:t>
      </w:r>
    </w:p>
    <w:p w:rsidR="00840395" w:rsidRPr="00191CC2" w:rsidRDefault="00840395" w:rsidP="00840395">
      <w:pPr>
        <w:numPr>
          <w:ilvl w:val="0"/>
          <w:numId w:val="4"/>
        </w:numPr>
        <w:ind w:left="993" w:hanging="219"/>
        <w:contextualSpacing/>
      </w:pPr>
      <w:r w:rsidRPr="00191CC2">
        <w:t xml:space="preserve">Relying on nivolumab trial data to inform </w:t>
      </w:r>
      <w:r w:rsidR="005D0842">
        <w:t xml:space="preserve">the </w:t>
      </w:r>
      <w:r w:rsidRPr="00191CC2">
        <w:t>number of infusions: as the restriction for nivolumab does not limit nivolumab use after progression, it is likely that in the Australian setting patients could continue to receive nivolumab indefinitely. Using nivolumab trial data would necessarily underestimate the number of infusions and overall per patient cost of nivolumab.</w:t>
      </w:r>
    </w:p>
    <w:p w:rsidR="00840395" w:rsidRPr="00191CC2" w:rsidRDefault="00840395" w:rsidP="00840395">
      <w:pPr>
        <w:numPr>
          <w:ilvl w:val="0"/>
          <w:numId w:val="4"/>
        </w:numPr>
        <w:ind w:left="993" w:hanging="219"/>
        <w:contextualSpacing/>
      </w:pPr>
      <w:r w:rsidRPr="00191CC2">
        <w:t xml:space="preserve">Without consideration of the </w:t>
      </w:r>
      <w:r w:rsidR="001971E5" w:rsidRPr="00191CC2">
        <w:t xml:space="preserve">basis of the cost per patient </w:t>
      </w:r>
      <w:r w:rsidR="00710A65">
        <w:t xml:space="preserve">to the PBS </w:t>
      </w:r>
      <w:r w:rsidR="001971E5" w:rsidRPr="00191CC2">
        <w:t xml:space="preserve">of </w:t>
      </w:r>
      <w:r w:rsidRPr="00191CC2">
        <w:t>pembrolizumab</w:t>
      </w:r>
      <w:r w:rsidR="001971E5" w:rsidRPr="00191CC2">
        <w:t xml:space="preserve"> at the start of the MES</w:t>
      </w:r>
      <w:r w:rsidRPr="00191CC2">
        <w:t>, the net cost</w:t>
      </w:r>
      <w:r w:rsidR="001971E5" w:rsidRPr="00191CC2">
        <w:t xml:space="preserve"> per </w:t>
      </w:r>
      <w:r w:rsidRPr="00191CC2">
        <w:t xml:space="preserve">person </w:t>
      </w:r>
      <w:r w:rsidR="00D22C03">
        <w:t xml:space="preserve">to the PBS </w:t>
      </w:r>
      <w:r w:rsidRPr="00191CC2">
        <w:t xml:space="preserve">of </w:t>
      </w:r>
      <w:r w:rsidR="001971E5" w:rsidRPr="00191CC2">
        <w:t>nivolumab</w:t>
      </w:r>
      <w:r w:rsidRPr="00191CC2">
        <w:t xml:space="preserve"> cannot be correctly determined and an accurate cost-minimisation cannot be calculated.</w:t>
      </w:r>
    </w:p>
    <w:p w:rsidR="00FF665F" w:rsidRPr="00191CC2" w:rsidRDefault="001971E5" w:rsidP="00F350D8">
      <w:pPr>
        <w:numPr>
          <w:ilvl w:val="0"/>
          <w:numId w:val="4"/>
        </w:numPr>
        <w:ind w:left="993" w:hanging="219"/>
        <w:contextualSpacing/>
        <w:outlineLvl w:val="1"/>
      </w:pPr>
      <w:r w:rsidRPr="00191CC2">
        <w:t xml:space="preserve">It is necessary to consider the principle of the request, without being able to accurately calculate the consequence for the cost per patient </w:t>
      </w:r>
      <w:r w:rsidR="00710A65">
        <w:t xml:space="preserve">to the PBS </w:t>
      </w:r>
      <w:r w:rsidRPr="00191CC2">
        <w:t>of nivolumab</w:t>
      </w:r>
      <w:r w:rsidR="00840395" w:rsidRPr="00191CC2">
        <w:t>.</w:t>
      </w:r>
    </w:p>
    <w:p w:rsidR="00191CC2" w:rsidRDefault="00191CC2">
      <w:pPr>
        <w:widowControl/>
        <w:jc w:val="left"/>
        <w:rPr>
          <w:i/>
        </w:rPr>
      </w:pPr>
    </w:p>
    <w:p w:rsidR="00CD657B" w:rsidRDefault="00CD657B" w:rsidP="00CD657B">
      <w:pPr>
        <w:pStyle w:val="ListParagraph"/>
        <w:ind w:left="709"/>
        <w:rPr>
          <w:i/>
          <w:szCs w:val="22"/>
        </w:rPr>
      </w:pPr>
      <w:r w:rsidRPr="00791B57">
        <w:rPr>
          <w:i/>
          <w:szCs w:val="22"/>
        </w:rPr>
        <w:t>For more detail on PBAC’s view, see section 7 “PBAC outcome”</w:t>
      </w:r>
      <w:r w:rsidR="00710A65">
        <w:rPr>
          <w:i/>
          <w:szCs w:val="22"/>
        </w:rPr>
        <w:t>.</w:t>
      </w:r>
    </w:p>
    <w:p w:rsidR="00CD657B" w:rsidRDefault="00CD657B">
      <w:pPr>
        <w:widowControl/>
        <w:jc w:val="left"/>
        <w:rPr>
          <w:i/>
        </w:rPr>
      </w:pPr>
    </w:p>
    <w:p w:rsidR="00191CC2" w:rsidRDefault="00191CC2">
      <w:pPr>
        <w:widowControl/>
        <w:jc w:val="left"/>
        <w:rPr>
          <w:i/>
        </w:rPr>
      </w:pPr>
    </w:p>
    <w:p w:rsidR="00191CC2" w:rsidRPr="00BC79BE" w:rsidRDefault="00191CC2" w:rsidP="00BC79BE">
      <w:pPr>
        <w:pStyle w:val="Header"/>
        <w:numPr>
          <w:ilvl w:val="0"/>
          <w:numId w:val="1"/>
        </w:numPr>
        <w:tabs>
          <w:tab w:val="clear" w:pos="4153"/>
          <w:tab w:val="clear" w:pos="8306"/>
        </w:tabs>
        <w:jc w:val="both"/>
        <w:rPr>
          <w:rFonts w:ascii="Arial" w:hAnsi="Arial"/>
          <w:b/>
          <w:sz w:val="22"/>
          <w:szCs w:val="22"/>
        </w:rPr>
      </w:pPr>
      <w:r w:rsidRPr="00BC79BE">
        <w:rPr>
          <w:rFonts w:ascii="Arial" w:hAnsi="Arial"/>
          <w:b/>
          <w:sz w:val="22"/>
          <w:szCs w:val="22"/>
        </w:rPr>
        <w:t>PBAC Outcome</w:t>
      </w:r>
    </w:p>
    <w:p w:rsidR="00191CC2" w:rsidRPr="00710A65" w:rsidRDefault="00191CC2" w:rsidP="00191CC2">
      <w:pPr>
        <w:contextualSpacing/>
        <w:rPr>
          <w:bCs/>
          <w:szCs w:val="22"/>
          <w:lang w:val="en-GB"/>
        </w:rPr>
      </w:pPr>
    </w:p>
    <w:p w:rsidR="00BC79BE" w:rsidRPr="00CA15B2" w:rsidRDefault="00BC79BE" w:rsidP="00BC79BE">
      <w:pPr>
        <w:numPr>
          <w:ilvl w:val="1"/>
          <w:numId w:val="1"/>
        </w:numPr>
        <w:spacing w:after="120"/>
        <w:contextualSpacing/>
        <w:rPr>
          <w:b/>
          <w:bCs/>
          <w:szCs w:val="22"/>
          <w:lang w:val="en-GB"/>
        </w:rPr>
      </w:pPr>
      <w:r w:rsidRPr="00CA15B2">
        <w:rPr>
          <w:bCs/>
          <w:szCs w:val="22"/>
          <w:lang w:val="en-GB"/>
        </w:rPr>
        <w:t>The PBAC recommended listing nivo</w:t>
      </w:r>
      <w:r w:rsidR="008479C1">
        <w:rPr>
          <w:bCs/>
          <w:szCs w:val="22"/>
          <w:lang w:val="en-GB"/>
        </w:rPr>
        <w:t xml:space="preserve">lumab as monotherapy treatment </w:t>
      </w:r>
      <w:r w:rsidRPr="00CA15B2">
        <w:rPr>
          <w:bCs/>
          <w:szCs w:val="22"/>
          <w:lang w:val="en-GB"/>
        </w:rPr>
        <w:t>f</w:t>
      </w:r>
      <w:r w:rsidR="008479C1">
        <w:rPr>
          <w:bCs/>
          <w:szCs w:val="22"/>
          <w:lang w:val="en-GB"/>
        </w:rPr>
        <w:t>or</w:t>
      </w:r>
      <w:r w:rsidRPr="00CA15B2">
        <w:rPr>
          <w:bCs/>
          <w:szCs w:val="22"/>
          <w:lang w:val="en-GB"/>
        </w:rPr>
        <w:t xml:space="preserve"> patients with unresectable stage III or stage IV malignant melanoma</w:t>
      </w:r>
      <w:r w:rsidR="004E2B4C">
        <w:rPr>
          <w:bCs/>
          <w:szCs w:val="22"/>
          <w:lang w:val="en-GB"/>
        </w:rPr>
        <w:t>, noting th</w:t>
      </w:r>
      <w:r w:rsidR="006743CA">
        <w:rPr>
          <w:bCs/>
          <w:szCs w:val="22"/>
          <w:lang w:val="en-GB"/>
        </w:rPr>
        <w:t>e revised main comparator in the re</w:t>
      </w:r>
      <w:r w:rsidR="00EF1B2A">
        <w:rPr>
          <w:bCs/>
          <w:szCs w:val="22"/>
          <w:lang w:val="en-GB"/>
        </w:rPr>
        <w:t>-</w:t>
      </w:r>
      <w:r w:rsidR="006743CA">
        <w:rPr>
          <w:bCs/>
          <w:szCs w:val="22"/>
          <w:lang w:val="en-GB"/>
        </w:rPr>
        <w:t xml:space="preserve">submission, </w:t>
      </w:r>
      <w:r w:rsidR="00F805F9">
        <w:rPr>
          <w:bCs/>
          <w:szCs w:val="22"/>
          <w:lang w:val="en-GB"/>
        </w:rPr>
        <w:t xml:space="preserve">pembrolizumab, </w:t>
      </w:r>
      <w:r w:rsidR="006743CA">
        <w:rPr>
          <w:bCs/>
          <w:szCs w:val="22"/>
          <w:lang w:val="en-GB"/>
        </w:rPr>
        <w:t xml:space="preserve">and a pricing proposal that provided the Commonwealth </w:t>
      </w:r>
      <w:r w:rsidR="005D0842">
        <w:rPr>
          <w:bCs/>
          <w:szCs w:val="22"/>
          <w:lang w:val="en-GB"/>
        </w:rPr>
        <w:t xml:space="preserve">with </w:t>
      </w:r>
      <w:r w:rsidR="006743CA">
        <w:rPr>
          <w:bCs/>
          <w:szCs w:val="22"/>
          <w:lang w:val="en-GB"/>
        </w:rPr>
        <w:t xml:space="preserve">greater certainty </w:t>
      </w:r>
      <w:r w:rsidR="005D0842">
        <w:rPr>
          <w:bCs/>
          <w:szCs w:val="22"/>
          <w:lang w:val="en-GB"/>
        </w:rPr>
        <w:t xml:space="preserve">of the </w:t>
      </w:r>
      <w:r w:rsidR="006743CA">
        <w:rPr>
          <w:bCs/>
          <w:szCs w:val="22"/>
          <w:lang w:val="en-GB"/>
        </w:rPr>
        <w:t>nivolumab pricing.</w:t>
      </w:r>
    </w:p>
    <w:p w:rsidR="00BC79BE" w:rsidRPr="00CA15B2" w:rsidRDefault="00BC79BE" w:rsidP="00710A65">
      <w:pPr>
        <w:spacing w:after="120"/>
        <w:contextualSpacing/>
        <w:rPr>
          <w:bCs/>
          <w:szCs w:val="22"/>
          <w:lang w:val="en-GB"/>
        </w:rPr>
      </w:pPr>
    </w:p>
    <w:p w:rsidR="00BC79BE" w:rsidRDefault="00BC79BE" w:rsidP="00DF6E0D">
      <w:pPr>
        <w:numPr>
          <w:ilvl w:val="1"/>
          <w:numId w:val="1"/>
        </w:numPr>
        <w:contextualSpacing/>
        <w:rPr>
          <w:bCs/>
          <w:szCs w:val="22"/>
          <w:lang w:val="en-GB"/>
        </w:rPr>
      </w:pPr>
      <w:r w:rsidRPr="00CA15B2">
        <w:rPr>
          <w:bCs/>
          <w:szCs w:val="22"/>
          <w:lang w:val="en-GB"/>
        </w:rPr>
        <w:t xml:space="preserve">The recommendation was made </w:t>
      </w:r>
      <w:r w:rsidR="00307F93" w:rsidRPr="00CA15B2">
        <w:rPr>
          <w:bCs/>
          <w:szCs w:val="22"/>
          <w:lang w:val="en-GB"/>
        </w:rPr>
        <w:t xml:space="preserve">on a cost-minimisation </w:t>
      </w:r>
      <w:r w:rsidR="00FA7F8E" w:rsidRPr="00CA15B2">
        <w:rPr>
          <w:bCs/>
          <w:szCs w:val="22"/>
          <w:lang w:val="en-GB"/>
        </w:rPr>
        <w:t xml:space="preserve">basis with pembrolizumab, where </w:t>
      </w:r>
      <w:r w:rsidR="00307F93" w:rsidRPr="00CA15B2">
        <w:rPr>
          <w:bCs/>
          <w:szCs w:val="22"/>
          <w:lang w:val="en-GB"/>
        </w:rPr>
        <w:t xml:space="preserve">the </w:t>
      </w:r>
      <w:r w:rsidR="007336F2">
        <w:rPr>
          <w:bCs/>
          <w:szCs w:val="22"/>
          <w:lang w:val="en-GB"/>
        </w:rPr>
        <w:t xml:space="preserve">price of nivolumab </w:t>
      </w:r>
      <w:r w:rsidR="000C4A6A">
        <w:rPr>
          <w:bCs/>
          <w:szCs w:val="22"/>
          <w:lang w:val="en-GB"/>
        </w:rPr>
        <w:t>i</w:t>
      </w:r>
      <w:r w:rsidR="005D0842">
        <w:rPr>
          <w:bCs/>
          <w:szCs w:val="22"/>
          <w:lang w:val="en-GB"/>
        </w:rPr>
        <w:t xml:space="preserve">s </w:t>
      </w:r>
      <w:r w:rsidR="007336F2">
        <w:rPr>
          <w:bCs/>
          <w:szCs w:val="22"/>
          <w:lang w:val="en-GB"/>
        </w:rPr>
        <w:t xml:space="preserve">derived to ensure the </w:t>
      </w:r>
      <w:r w:rsidR="00307F93" w:rsidRPr="00CA15B2">
        <w:rPr>
          <w:bCs/>
          <w:szCs w:val="22"/>
          <w:lang w:val="en-GB"/>
        </w:rPr>
        <w:t>same cost per patient to the PBS</w:t>
      </w:r>
      <w:r w:rsidR="007336F2">
        <w:rPr>
          <w:bCs/>
          <w:szCs w:val="22"/>
          <w:lang w:val="en-GB"/>
        </w:rPr>
        <w:t xml:space="preserve"> as</w:t>
      </w:r>
      <w:r w:rsidR="002B248D">
        <w:rPr>
          <w:bCs/>
          <w:szCs w:val="22"/>
          <w:lang w:val="en-GB"/>
        </w:rPr>
        <w:t xml:space="preserve"> has been agreed for</w:t>
      </w:r>
      <w:r w:rsidR="007336F2">
        <w:rPr>
          <w:bCs/>
          <w:szCs w:val="22"/>
          <w:lang w:val="en-GB"/>
        </w:rPr>
        <w:t xml:space="preserve"> pembrolizumab, minus the additional infusion costs associated with </w:t>
      </w:r>
      <w:r w:rsidR="007C59BD">
        <w:rPr>
          <w:bCs/>
          <w:szCs w:val="22"/>
          <w:lang w:val="en-GB"/>
        </w:rPr>
        <w:t xml:space="preserve">more frequent </w:t>
      </w:r>
      <w:r w:rsidR="007336F2">
        <w:rPr>
          <w:bCs/>
          <w:szCs w:val="22"/>
          <w:lang w:val="en-GB"/>
        </w:rPr>
        <w:t xml:space="preserve">nivolumab </w:t>
      </w:r>
      <w:r w:rsidR="007C59BD">
        <w:rPr>
          <w:bCs/>
          <w:szCs w:val="22"/>
          <w:lang w:val="en-GB"/>
        </w:rPr>
        <w:t>infusions</w:t>
      </w:r>
      <w:r w:rsidR="00FA7F8E" w:rsidRPr="00CA15B2">
        <w:rPr>
          <w:bCs/>
          <w:szCs w:val="22"/>
          <w:lang w:val="en-GB"/>
        </w:rPr>
        <w:t>.</w:t>
      </w:r>
    </w:p>
    <w:p w:rsidR="00EF2E1B" w:rsidRDefault="00EF2E1B" w:rsidP="00EF2E1B">
      <w:pPr>
        <w:contextualSpacing/>
        <w:rPr>
          <w:bCs/>
          <w:szCs w:val="22"/>
          <w:lang w:val="en-GB"/>
        </w:rPr>
      </w:pPr>
    </w:p>
    <w:p w:rsidR="00EF2E1B" w:rsidRDefault="00EF2E1B" w:rsidP="00EF2E1B">
      <w:pPr>
        <w:numPr>
          <w:ilvl w:val="1"/>
          <w:numId w:val="1"/>
        </w:numPr>
        <w:contextualSpacing/>
        <w:rPr>
          <w:bCs/>
          <w:szCs w:val="22"/>
          <w:lang w:val="en-GB"/>
        </w:rPr>
      </w:pPr>
      <w:r>
        <w:rPr>
          <w:bCs/>
          <w:szCs w:val="22"/>
          <w:lang w:val="en-GB"/>
        </w:rPr>
        <w:t xml:space="preserve">The PBAC considered that the restriction for nivolumab should be aligned with the restriction for pembrolizumab, i.e. that PBS listing should be limited to patients who have not been exposed to ipilimumab. Both the nivolumab and pembrolizumab restrictions should </w:t>
      </w:r>
      <w:r w:rsidR="000E3CC2">
        <w:rPr>
          <w:bCs/>
          <w:szCs w:val="22"/>
          <w:lang w:val="en-GB"/>
        </w:rPr>
        <w:t xml:space="preserve">also </w:t>
      </w:r>
      <w:r>
        <w:rPr>
          <w:bCs/>
          <w:szCs w:val="22"/>
          <w:lang w:val="en-GB"/>
        </w:rPr>
        <w:t>reflect that a patient who has progressive disease when treated with one PD-1 inhibitor, is subsequently not eligible to receive the alternate PD-1 inhibitor.</w:t>
      </w:r>
      <w:r w:rsidR="00370D9A">
        <w:rPr>
          <w:bCs/>
          <w:szCs w:val="22"/>
          <w:lang w:val="en-GB"/>
        </w:rPr>
        <w:t xml:space="preserve"> Th</w:t>
      </w:r>
      <w:r w:rsidR="00307221">
        <w:rPr>
          <w:bCs/>
          <w:szCs w:val="22"/>
          <w:lang w:val="en-GB"/>
        </w:rPr>
        <w:t xml:space="preserve">ese changes are </w:t>
      </w:r>
      <w:r w:rsidR="00370D9A">
        <w:rPr>
          <w:bCs/>
          <w:szCs w:val="22"/>
          <w:lang w:val="en-GB"/>
        </w:rPr>
        <w:t xml:space="preserve">to </w:t>
      </w:r>
      <w:r w:rsidR="00307221">
        <w:rPr>
          <w:bCs/>
          <w:szCs w:val="22"/>
          <w:lang w:val="en-GB"/>
        </w:rPr>
        <w:t xml:space="preserve">minimise PBS subsidy of the </w:t>
      </w:r>
      <w:r w:rsidR="00370D9A">
        <w:rPr>
          <w:bCs/>
          <w:szCs w:val="22"/>
          <w:lang w:val="en-GB"/>
        </w:rPr>
        <w:t xml:space="preserve">sequential use of these immunotherapies, for which evidence of </w:t>
      </w:r>
      <w:r w:rsidR="00307221">
        <w:rPr>
          <w:bCs/>
          <w:szCs w:val="22"/>
          <w:lang w:val="en-GB"/>
        </w:rPr>
        <w:t xml:space="preserve">effectiveness and </w:t>
      </w:r>
      <w:r w:rsidR="00370D9A">
        <w:rPr>
          <w:bCs/>
          <w:szCs w:val="22"/>
          <w:lang w:val="en-GB"/>
        </w:rPr>
        <w:t xml:space="preserve">cost-effectiveness has not been </w:t>
      </w:r>
      <w:r w:rsidR="00307221">
        <w:rPr>
          <w:bCs/>
          <w:szCs w:val="22"/>
          <w:lang w:val="en-GB"/>
        </w:rPr>
        <w:t>provided</w:t>
      </w:r>
      <w:r w:rsidR="00370D9A">
        <w:rPr>
          <w:bCs/>
          <w:szCs w:val="22"/>
          <w:lang w:val="en-GB"/>
        </w:rPr>
        <w:t>.</w:t>
      </w:r>
    </w:p>
    <w:p w:rsidR="00EF2E1B" w:rsidRPr="00710A65" w:rsidRDefault="00EF2E1B" w:rsidP="00EF2E1B">
      <w:pPr>
        <w:rPr>
          <w:bCs/>
          <w:szCs w:val="22"/>
          <w:lang w:val="en-GB"/>
        </w:rPr>
      </w:pPr>
    </w:p>
    <w:p w:rsidR="00EF2E1B" w:rsidRDefault="00EF2E1B" w:rsidP="00EF2E1B">
      <w:pPr>
        <w:numPr>
          <w:ilvl w:val="1"/>
          <w:numId w:val="1"/>
        </w:numPr>
        <w:contextualSpacing/>
        <w:rPr>
          <w:bCs/>
          <w:szCs w:val="22"/>
          <w:lang w:val="en-GB"/>
        </w:rPr>
      </w:pPr>
      <w:r>
        <w:rPr>
          <w:bCs/>
          <w:szCs w:val="22"/>
          <w:lang w:val="en-GB"/>
        </w:rPr>
        <w:t xml:space="preserve">The </w:t>
      </w:r>
      <w:r w:rsidR="000E176E">
        <w:rPr>
          <w:bCs/>
          <w:szCs w:val="22"/>
          <w:lang w:val="en-GB"/>
        </w:rPr>
        <w:t xml:space="preserve">revised </w:t>
      </w:r>
      <w:r w:rsidR="00B0769C">
        <w:rPr>
          <w:bCs/>
          <w:szCs w:val="22"/>
          <w:lang w:val="en-GB"/>
        </w:rPr>
        <w:t xml:space="preserve">nominated </w:t>
      </w:r>
      <w:r>
        <w:rPr>
          <w:bCs/>
          <w:szCs w:val="22"/>
          <w:lang w:val="en-GB"/>
        </w:rPr>
        <w:t xml:space="preserve">comparator in the re-submission, pembrolizumab, </w:t>
      </w:r>
      <w:r w:rsidR="00213E34">
        <w:rPr>
          <w:bCs/>
          <w:szCs w:val="22"/>
          <w:lang w:val="en-GB"/>
        </w:rPr>
        <w:t>was considered to be appropriate.</w:t>
      </w:r>
    </w:p>
    <w:p w:rsidR="00C95A50" w:rsidRPr="00710A65" w:rsidRDefault="00C95A50" w:rsidP="00C95A50">
      <w:pPr>
        <w:rPr>
          <w:bCs/>
          <w:szCs w:val="22"/>
          <w:lang w:val="en-GB"/>
        </w:rPr>
      </w:pPr>
    </w:p>
    <w:p w:rsidR="00C735B5" w:rsidRPr="00EF2E1B" w:rsidRDefault="00C95A50" w:rsidP="00C735B5">
      <w:pPr>
        <w:numPr>
          <w:ilvl w:val="1"/>
          <w:numId w:val="1"/>
        </w:numPr>
        <w:contextualSpacing/>
        <w:rPr>
          <w:bCs/>
          <w:szCs w:val="22"/>
          <w:lang w:val="en-GB"/>
        </w:rPr>
      </w:pPr>
      <w:r>
        <w:rPr>
          <w:bCs/>
          <w:szCs w:val="22"/>
          <w:lang w:val="en-GB"/>
        </w:rPr>
        <w:t>The PBAC considered that the indirect comparison of nivolumab and pembrolizumab, based on CA209-067 and KN-006 with ipilimumab as the common reference, suggested that the</w:t>
      </w:r>
      <w:r w:rsidR="00E45227">
        <w:rPr>
          <w:bCs/>
          <w:szCs w:val="22"/>
          <w:lang w:val="en-GB"/>
        </w:rPr>
        <w:t>y</w:t>
      </w:r>
      <w:r>
        <w:rPr>
          <w:bCs/>
          <w:szCs w:val="22"/>
          <w:lang w:val="en-GB"/>
        </w:rPr>
        <w:t xml:space="preserve"> may be similar</w:t>
      </w:r>
      <w:r w:rsidR="003C2A57">
        <w:rPr>
          <w:bCs/>
          <w:szCs w:val="22"/>
          <w:lang w:val="en-GB"/>
        </w:rPr>
        <w:t xml:space="preserve"> in terms of effectiveness</w:t>
      </w:r>
      <w:r>
        <w:rPr>
          <w:bCs/>
          <w:szCs w:val="22"/>
          <w:lang w:val="en-GB"/>
        </w:rPr>
        <w:t xml:space="preserve">. </w:t>
      </w:r>
      <w:r w:rsidR="001720CE">
        <w:rPr>
          <w:bCs/>
          <w:szCs w:val="22"/>
          <w:lang w:val="en-GB"/>
        </w:rPr>
        <w:t xml:space="preserve">The PBAC recalled that in July 2015, it had reached the same conclusion, noting that limited information was available to assess the exchangeability of the two trials. </w:t>
      </w:r>
      <w:r w:rsidR="00F515C9">
        <w:rPr>
          <w:bCs/>
          <w:szCs w:val="22"/>
          <w:lang w:val="en-GB"/>
        </w:rPr>
        <w:t xml:space="preserve">The resubmission argued, and the PBAC agreed, that differences in trial design, patient populations and study follow-up, make additional comparative assessments challenging. </w:t>
      </w:r>
      <w:r w:rsidR="00D55ED7">
        <w:rPr>
          <w:bCs/>
          <w:szCs w:val="22"/>
          <w:lang w:val="en-GB"/>
        </w:rPr>
        <w:t xml:space="preserve">Given the limited available data, the PBAC considered that a clinical claim of non-inferior comparative effectiveness </w:t>
      </w:r>
      <w:r w:rsidR="00AC6980">
        <w:rPr>
          <w:bCs/>
          <w:szCs w:val="22"/>
          <w:lang w:val="en-GB"/>
        </w:rPr>
        <w:t>to pembrolizumab wa</w:t>
      </w:r>
      <w:r w:rsidR="00D55ED7">
        <w:rPr>
          <w:bCs/>
          <w:szCs w:val="22"/>
          <w:lang w:val="en-GB"/>
        </w:rPr>
        <w:t>s reasonable.</w:t>
      </w:r>
      <w:r w:rsidR="00AC6980">
        <w:rPr>
          <w:bCs/>
          <w:szCs w:val="22"/>
          <w:lang w:val="en-GB"/>
        </w:rPr>
        <w:t xml:space="preserve"> </w:t>
      </w:r>
      <w:r w:rsidR="004E2B4C">
        <w:rPr>
          <w:bCs/>
          <w:szCs w:val="22"/>
          <w:lang w:val="en-GB"/>
        </w:rPr>
        <w:t xml:space="preserve">Noting the </w:t>
      </w:r>
      <w:r w:rsidR="007C59BD">
        <w:rPr>
          <w:bCs/>
          <w:szCs w:val="22"/>
          <w:lang w:val="en-GB"/>
        </w:rPr>
        <w:t>paucity</w:t>
      </w:r>
      <w:r w:rsidR="004E2B4C">
        <w:rPr>
          <w:bCs/>
          <w:szCs w:val="22"/>
          <w:lang w:val="en-GB"/>
        </w:rPr>
        <w:t xml:space="preserve"> </w:t>
      </w:r>
      <w:r w:rsidR="00215462">
        <w:rPr>
          <w:bCs/>
          <w:szCs w:val="22"/>
          <w:lang w:val="en-GB"/>
        </w:rPr>
        <w:t>of comparative safety data, the PBAC considered that the indirect comparison provided suggested</w:t>
      </w:r>
      <w:r w:rsidR="004516F9">
        <w:rPr>
          <w:bCs/>
          <w:szCs w:val="22"/>
          <w:lang w:val="en-GB"/>
        </w:rPr>
        <w:t xml:space="preserve"> that nivolumab has</w:t>
      </w:r>
      <w:r w:rsidR="00215462">
        <w:rPr>
          <w:bCs/>
          <w:szCs w:val="22"/>
          <w:lang w:val="en-GB"/>
        </w:rPr>
        <w:t xml:space="preserve"> a non-inferior safety profile to pembrolizumab</w:t>
      </w:r>
      <w:r w:rsidR="003C2A57">
        <w:rPr>
          <w:bCs/>
          <w:szCs w:val="22"/>
          <w:lang w:val="en-GB"/>
        </w:rPr>
        <w:t xml:space="preserve"> overall</w:t>
      </w:r>
      <w:r w:rsidR="00215462">
        <w:rPr>
          <w:bCs/>
          <w:szCs w:val="22"/>
          <w:lang w:val="en-GB"/>
        </w:rPr>
        <w:t>.</w:t>
      </w:r>
    </w:p>
    <w:p w:rsidR="00B0769C" w:rsidRPr="00710A65" w:rsidRDefault="00B0769C" w:rsidP="00B0769C">
      <w:pPr>
        <w:rPr>
          <w:bCs/>
          <w:szCs w:val="22"/>
          <w:lang w:val="en-GB"/>
        </w:rPr>
      </w:pPr>
    </w:p>
    <w:p w:rsidR="00B0769C" w:rsidRPr="009411CC" w:rsidRDefault="00B0769C" w:rsidP="00B0769C">
      <w:pPr>
        <w:numPr>
          <w:ilvl w:val="1"/>
          <w:numId w:val="1"/>
        </w:numPr>
        <w:contextualSpacing/>
        <w:rPr>
          <w:bCs/>
          <w:szCs w:val="22"/>
          <w:lang w:val="en-GB"/>
        </w:rPr>
      </w:pPr>
      <w:r>
        <w:rPr>
          <w:bCs/>
          <w:szCs w:val="22"/>
          <w:lang w:val="en-GB"/>
        </w:rPr>
        <w:t xml:space="preserve">The PBAC recommended that </w:t>
      </w:r>
      <w:r w:rsidRPr="00303EB4">
        <w:rPr>
          <w:bCs/>
          <w:szCs w:val="22"/>
          <w:lang w:val="en-GB"/>
        </w:rPr>
        <w:t xml:space="preserve">the pricing of nivolumab upon PBS listing be </w:t>
      </w:r>
      <w:r w:rsidR="007C59BD">
        <w:rPr>
          <w:bCs/>
          <w:szCs w:val="22"/>
          <w:lang w:val="en-GB"/>
        </w:rPr>
        <w:t xml:space="preserve">determined only with reference </w:t>
      </w:r>
      <w:r w:rsidRPr="00303EB4">
        <w:rPr>
          <w:bCs/>
          <w:szCs w:val="22"/>
          <w:lang w:val="en-GB"/>
        </w:rPr>
        <w:t xml:space="preserve">to the </w:t>
      </w:r>
      <w:r w:rsidR="007C59BD">
        <w:rPr>
          <w:bCs/>
          <w:szCs w:val="22"/>
          <w:lang w:val="en-GB"/>
        </w:rPr>
        <w:t xml:space="preserve">initial </w:t>
      </w:r>
      <w:r w:rsidRPr="00303EB4">
        <w:rPr>
          <w:bCs/>
          <w:szCs w:val="22"/>
          <w:lang w:val="en-GB"/>
        </w:rPr>
        <w:t xml:space="preserve">pricing </w:t>
      </w:r>
      <w:r>
        <w:rPr>
          <w:bCs/>
          <w:szCs w:val="22"/>
          <w:lang w:val="en-GB"/>
        </w:rPr>
        <w:t xml:space="preserve">conditions </w:t>
      </w:r>
      <w:r w:rsidRPr="00303EB4">
        <w:rPr>
          <w:bCs/>
          <w:szCs w:val="22"/>
          <w:lang w:val="en-GB"/>
        </w:rPr>
        <w:t xml:space="preserve">of </w:t>
      </w:r>
      <w:r w:rsidRPr="00517DB6">
        <w:rPr>
          <w:bCs/>
          <w:szCs w:val="22"/>
          <w:lang w:val="en-GB"/>
        </w:rPr>
        <w:t xml:space="preserve">the pembrolizumab MES. </w:t>
      </w:r>
      <w:r w:rsidR="00097F20" w:rsidRPr="00517DB6">
        <w:rPr>
          <w:bCs/>
          <w:szCs w:val="22"/>
          <w:lang w:val="en-GB"/>
        </w:rPr>
        <w:t>A</w:t>
      </w:r>
      <w:r w:rsidRPr="00517DB6">
        <w:rPr>
          <w:bCs/>
          <w:szCs w:val="22"/>
          <w:lang w:val="en-GB"/>
        </w:rPr>
        <w:t xml:space="preserve">ny future pricing adjustment that may </w:t>
      </w:r>
      <w:r w:rsidR="007C59BD" w:rsidRPr="00517DB6">
        <w:rPr>
          <w:bCs/>
          <w:szCs w:val="22"/>
          <w:lang w:val="en-GB"/>
        </w:rPr>
        <w:t xml:space="preserve">be sought for pembrolizumab </w:t>
      </w:r>
      <w:r w:rsidRPr="00517DB6">
        <w:rPr>
          <w:bCs/>
          <w:szCs w:val="22"/>
          <w:lang w:val="en-GB"/>
        </w:rPr>
        <w:t xml:space="preserve">as part of the conditions of the pembrolizumab MES </w:t>
      </w:r>
      <w:r w:rsidR="00951B72" w:rsidRPr="00517DB6">
        <w:rPr>
          <w:bCs/>
          <w:szCs w:val="22"/>
          <w:lang w:val="en-GB"/>
        </w:rPr>
        <w:t>would</w:t>
      </w:r>
      <w:r w:rsidRPr="00517DB6">
        <w:rPr>
          <w:bCs/>
          <w:szCs w:val="22"/>
          <w:lang w:val="en-GB"/>
        </w:rPr>
        <w:t xml:space="preserve"> not apply to nivolumab, </w:t>
      </w:r>
      <w:r w:rsidR="00951B72" w:rsidRPr="00517DB6">
        <w:rPr>
          <w:bCs/>
          <w:szCs w:val="22"/>
          <w:lang w:val="en-GB"/>
        </w:rPr>
        <w:t xml:space="preserve">thus </w:t>
      </w:r>
      <w:r w:rsidRPr="00517DB6">
        <w:rPr>
          <w:bCs/>
          <w:szCs w:val="22"/>
          <w:lang w:val="en-GB"/>
        </w:rPr>
        <w:t xml:space="preserve">providing the Commonwealth certainty </w:t>
      </w:r>
      <w:r w:rsidR="00097F20" w:rsidRPr="00517DB6">
        <w:rPr>
          <w:bCs/>
          <w:szCs w:val="22"/>
          <w:lang w:val="en-GB"/>
        </w:rPr>
        <w:t xml:space="preserve">of the </w:t>
      </w:r>
      <w:r w:rsidRPr="00517DB6">
        <w:rPr>
          <w:bCs/>
          <w:szCs w:val="22"/>
          <w:lang w:val="en-GB"/>
        </w:rPr>
        <w:t xml:space="preserve">nivolumab pricing. Future applications to prove cost effectiveness </w:t>
      </w:r>
      <w:r w:rsidR="00F350D8" w:rsidRPr="00517DB6">
        <w:rPr>
          <w:bCs/>
          <w:szCs w:val="22"/>
          <w:lang w:val="en-GB"/>
        </w:rPr>
        <w:t xml:space="preserve">of nivolumab over pembrolizumab </w:t>
      </w:r>
      <w:r w:rsidRPr="00517DB6">
        <w:rPr>
          <w:bCs/>
          <w:szCs w:val="22"/>
          <w:lang w:val="en-GB"/>
        </w:rPr>
        <w:t xml:space="preserve">may be made at any time by the sponsor, if warranted by future </w:t>
      </w:r>
      <w:r w:rsidR="00F350D8" w:rsidRPr="00517DB6">
        <w:rPr>
          <w:bCs/>
          <w:szCs w:val="22"/>
          <w:lang w:val="en-GB"/>
        </w:rPr>
        <w:t xml:space="preserve">clinical trial </w:t>
      </w:r>
      <w:r w:rsidRPr="00517DB6">
        <w:rPr>
          <w:bCs/>
          <w:szCs w:val="22"/>
          <w:lang w:val="en-GB"/>
        </w:rPr>
        <w:t xml:space="preserve">data. In the </w:t>
      </w:r>
      <w:r w:rsidR="00097F20" w:rsidRPr="00517DB6">
        <w:rPr>
          <w:bCs/>
          <w:szCs w:val="22"/>
          <w:lang w:val="en-GB"/>
        </w:rPr>
        <w:t xml:space="preserve">unlikely </w:t>
      </w:r>
      <w:r w:rsidRPr="00517DB6">
        <w:rPr>
          <w:bCs/>
          <w:szCs w:val="22"/>
          <w:lang w:val="en-GB"/>
        </w:rPr>
        <w:t xml:space="preserve">event that the pembrolizumab MES reveals pembrolizumab to be clinically inferior to ipilimumab, then the cost per patient </w:t>
      </w:r>
      <w:r w:rsidR="007C59BD" w:rsidRPr="00517DB6">
        <w:rPr>
          <w:bCs/>
          <w:szCs w:val="22"/>
          <w:lang w:val="en-GB"/>
        </w:rPr>
        <w:t xml:space="preserve">to the PBS </w:t>
      </w:r>
      <w:r w:rsidRPr="00517DB6">
        <w:rPr>
          <w:bCs/>
          <w:szCs w:val="22"/>
          <w:lang w:val="en-GB"/>
        </w:rPr>
        <w:t>for both pembrolizumab and nivolumab monotherapy would need to be reconsidered.</w:t>
      </w:r>
      <w:r w:rsidR="009A4C50">
        <w:rPr>
          <w:bCs/>
          <w:szCs w:val="22"/>
          <w:lang w:val="en-GB"/>
        </w:rPr>
        <w:t xml:space="preserve"> The PBAC noted that a rebating arrangement would be needed to achieve the </w:t>
      </w:r>
      <w:r w:rsidR="00307221">
        <w:rPr>
          <w:bCs/>
          <w:szCs w:val="22"/>
          <w:lang w:val="en-GB"/>
        </w:rPr>
        <w:t xml:space="preserve">intended </w:t>
      </w:r>
      <w:r w:rsidR="009A4C50">
        <w:rPr>
          <w:bCs/>
          <w:szCs w:val="22"/>
          <w:lang w:val="en-GB"/>
        </w:rPr>
        <w:t>pricing outcome.</w:t>
      </w:r>
      <w:r w:rsidR="00E679E7">
        <w:rPr>
          <w:bCs/>
          <w:szCs w:val="22"/>
          <w:lang w:val="en-GB"/>
        </w:rPr>
        <w:t xml:space="preserve">  </w:t>
      </w:r>
      <w:r w:rsidR="00E679E7" w:rsidRPr="006F393A">
        <w:rPr>
          <w:bCs/>
          <w:szCs w:val="22"/>
        </w:rPr>
        <w:t xml:space="preserve">The Committee recommended that the Department negotiate </w:t>
      </w:r>
      <w:r w:rsidR="00E679E7">
        <w:rPr>
          <w:bCs/>
          <w:szCs w:val="22"/>
        </w:rPr>
        <w:t xml:space="preserve">a rebating arrangement with the sponsor </w:t>
      </w:r>
      <w:r w:rsidR="00E679E7" w:rsidRPr="006F393A">
        <w:rPr>
          <w:bCs/>
          <w:szCs w:val="22"/>
        </w:rPr>
        <w:t>in a manner that can be implemented and managed by the Department.</w:t>
      </w:r>
    </w:p>
    <w:p w:rsidR="00B54D79" w:rsidRPr="009411CC" w:rsidRDefault="00B54D79" w:rsidP="00854F46">
      <w:pPr>
        <w:contextualSpacing/>
        <w:rPr>
          <w:bCs/>
          <w:szCs w:val="22"/>
          <w:lang w:val="en-GB"/>
        </w:rPr>
      </w:pPr>
    </w:p>
    <w:p w:rsidR="00B54D79" w:rsidRDefault="00B54D79" w:rsidP="00B0769C">
      <w:pPr>
        <w:numPr>
          <w:ilvl w:val="1"/>
          <w:numId w:val="1"/>
        </w:numPr>
        <w:contextualSpacing/>
        <w:rPr>
          <w:bCs/>
          <w:szCs w:val="22"/>
          <w:lang w:val="en-GB"/>
        </w:rPr>
      </w:pPr>
      <w:r>
        <w:rPr>
          <w:bCs/>
          <w:szCs w:val="22"/>
          <w:lang w:val="en-GB"/>
        </w:rPr>
        <w:t>The PBAC noted that the re-submission did not provide revised estimates of utilisation. The PBAC agreed with the ESC’s view of the July 2015 submission, that the patient numbers were overestimated and should be based on a market share.</w:t>
      </w:r>
    </w:p>
    <w:p w:rsidR="00191CC2" w:rsidRDefault="00191CC2" w:rsidP="00191CC2">
      <w:pPr>
        <w:rPr>
          <w:bCs/>
          <w:szCs w:val="22"/>
          <w:highlight w:val="yellow"/>
          <w:lang w:val="en-GB"/>
        </w:rPr>
      </w:pPr>
    </w:p>
    <w:p w:rsidR="00C658AB" w:rsidRDefault="00C658AB" w:rsidP="00C658AB">
      <w:pPr>
        <w:numPr>
          <w:ilvl w:val="1"/>
          <w:numId w:val="1"/>
        </w:numPr>
        <w:contextualSpacing/>
        <w:rPr>
          <w:bCs/>
          <w:szCs w:val="22"/>
          <w:lang w:val="en-GB"/>
        </w:rPr>
      </w:pPr>
      <w:r w:rsidRPr="00C658AB">
        <w:rPr>
          <w:bCs/>
          <w:szCs w:val="22"/>
          <w:lang w:val="en-GB"/>
        </w:rPr>
        <w:t>The PBAC recommended that nivolumab should not be treated as interchangeable on an individual patient basis with any other drugs.</w:t>
      </w:r>
    </w:p>
    <w:p w:rsidR="00C658AB" w:rsidRDefault="00C658AB" w:rsidP="00710A65">
      <w:pPr>
        <w:contextualSpacing/>
        <w:rPr>
          <w:bCs/>
          <w:szCs w:val="22"/>
          <w:lang w:val="en-GB"/>
        </w:rPr>
      </w:pPr>
    </w:p>
    <w:p w:rsidR="00C658AB" w:rsidRDefault="00C658AB" w:rsidP="00C658AB">
      <w:pPr>
        <w:numPr>
          <w:ilvl w:val="1"/>
          <w:numId w:val="1"/>
        </w:numPr>
        <w:contextualSpacing/>
        <w:rPr>
          <w:bCs/>
          <w:szCs w:val="22"/>
          <w:lang w:val="en-GB"/>
        </w:rPr>
      </w:pPr>
      <w:r>
        <w:rPr>
          <w:bCs/>
          <w:szCs w:val="22"/>
          <w:lang w:val="en-GB"/>
        </w:rPr>
        <w:t>The PBAC advised that nivolumab is not suitable for prescribing by nurse practitioners.</w:t>
      </w:r>
    </w:p>
    <w:p w:rsidR="00C658AB" w:rsidRPr="00710A65" w:rsidRDefault="00C658AB" w:rsidP="00C658AB">
      <w:pPr>
        <w:rPr>
          <w:bCs/>
          <w:szCs w:val="22"/>
          <w:lang w:val="en-GB"/>
        </w:rPr>
      </w:pPr>
    </w:p>
    <w:p w:rsidR="00C658AB" w:rsidRDefault="00C658AB" w:rsidP="00C658AB">
      <w:pPr>
        <w:numPr>
          <w:ilvl w:val="1"/>
          <w:numId w:val="1"/>
        </w:numPr>
        <w:contextualSpacing/>
        <w:rPr>
          <w:bCs/>
          <w:szCs w:val="22"/>
          <w:lang w:val="en-GB"/>
        </w:rPr>
      </w:pPr>
      <w:r>
        <w:rPr>
          <w:bCs/>
          <w:szCs w:val="22"/>
          <w:lang w:val="en-GB"/>
        </w:rPr>
        <w:t>The PBAC recommended that the Safety Net 20 Day Rule should not apply.</w:t>
      </w:r>
    </w:p>
    <w:p w:rsidR="00C658AB" w:rsidRPr="00710A65" w:rsidRDefault="00C658AB" w:rsidP="00C658AB">
      <w:pPr>
        <w:rPr>
          <w:bCs/>
          <w:szCs w:val="22"/>
          <w:lang w:val="en-GB"/>
        </w:rPr>
      </w:pPr>
    </w:p>
    <w:p w:rsidR="00C658AB" w:rsidRPr="00C658AB" w:rsidRDefault="00C658AB" w:rsidP="00C658AB">
      <w:pPr>
        <w:numPr>
          <w:ilvl w:val="1"/>
          <w:numId w:val="1"/>
        </w:numPr>
        <w:contextualSpacing/>
        <w:rPr>
          <w:bCs/>
          <w:szCs w:val="22"/>
          <w:lang w:val="en-GB"/>
        </w:rPr>
      </w:pPr>
      <w:r>
        <w:rPr>
          <w:bCs/>
          <w:szCs w:val="22"/>
          <w:lang w:val="en-GB"/>
        </w:rPr>
        <w:t>The PBAC noted that this submission is not eligible for an Independent Review.</w:t>
      </w:r>
    </w:p>
    <w:p w:rsidR="00C658AB" w:rsidRPr="00BC79BE" w:rsidRDefault="00C658AB" w:rsidP="00191CC2">
      <w:pPr>
        <w:rPr>
          <w:bCs/>
          <w:szCs w:val="22"/>
          <w:highlight w:val="yellow"/>
          <w:lang w:val="en-GB"/>
        </w:rPr>
      </w:pPr>
    </w:p>
    <w:p w:rsidR="00191CC2" w:rsidRPr="00782F03" w:rsidRDefault="00191CC2" w:rsidP="00191CC2">
      <w:pPr>
        <w:rPr>
          <w:b/>
          <w:bCs/>
          <w:szCs w:val="22"/>
          <w:lang w:val="en-GB"/>
        </w:rPr>
      </w:pPr>
      <w:r w:rsidRPr="00782F03">
        <w:rPr>
          <w:b/>
          <w:bCs/>
          <w:szCs w:val="22"/>
          <w:lang w:val="en-GB"/>
        </w:rPr>
        <w:t>Outcome:</w:t>
      </w:r>
    </w:p>
    <w:p w:rsidR="00191CC2" w:rsidRPr="00782F03" w:rsidRDefault="00BC79BE" w:rsidP="00191CC2">
      <w:pPr>
        <w:rPr>
          <w:bCs/>
          <w:szCs w:val="22"/>
          <w:lang w:val="en-GB"/>
        </w:rPr>
      </w:pPr>
      <w:r w:rsidRPr="00782F03">
        <w:rPr>
          <w:bCs/>
          <w:szCs w:val="22"/>
          <w:lang w:val="en-GB"/>
        </w:rPr>
        <w:t xml:space="preserve">Recommended </w:t>
      </w:r>
    </w:p>
    <w:p w:rsidR="00710A65" w:rsidRDefault="00710A65" w:rsidP="00791B57">
      <w:pPr>
        <w:tabs>
          <w:tab w:val="left" w:pos="1591"/>
        </w:tabs>
        <w:rPr>
          <w:bCs/>
          <w:szCs w:val="22"/>
        </w:rPr>
      </w:pPr>
    </w:p>
    <w:p w:rsidR="001B4A6E" w:rsidRPr="00BA3304" w:rsidRDefault="001B4A6E" w:rsidP="00791B57">
      <w:pPr>
        <w:tabs>
          <w:tab w:val="left" w:pos="1591"/>
        </w:tabs>
        <w:rPr>
          <w:bCs/>
          <w:szCs w:val="22"/>
        </w:rPr>
      </w:pPr>
    </w:p>
    <w:p w:rsidR="00191CC2" w:rsidRPr="00BC79BE" w:rsidRDefault="00191CC2" w:rsidP="00BC79BE">
      <w:pPr>
        <w:pStyle w:val="Header"/>
        <w:numPr>
          <w:ilvl w:val="0"/>
          <w:numId w:val="1"/>
        </w:numPr>
        <w:tabs>
          <w:tab w:val="clear" w:pos="4153"/>
          <w:tab w:val="clear" w:pos="8306"/>
        </w:tabs>
        <w:jc w:val="both"/>
        <w:rPr>
          <w:rFonts w:ascii="Arial" w:hAnsi="Arial"/>
          <w:b/>
          <w:sz w:val="22"/>
          <w:szCs w:val="22"/>
        </w:rPr>
      </w:pPr>
      <w:r w:rsidRPr="00BC79BE">
        <w:rPr>
          <w:rFonts w:ascii="Arial" w:hAnsi="Arial"/>
          <w:b/>
          <w:sz w:val="22"/>
          <w:szCs w:val="22"/>
        </w:rPr>
        <w:t>Recommended listing</w:t>
      </w:r>
    </w:p>
    <w:p w:rsidR="00191CC2" w:rsidRPr="001B4A6E" w:rsidRDefault="00191CC2" w:rsidP="00191CC2">
      <w:pPr>
        <w:rPr>
          <w:bCs/>
          <w:szCs w:val="22"/>
          <w:highlight w:val="yellow"/>
          <w:lang w:val="en-GB"/>
        </w:rPr>
      </w:pPr>
    </w:p>
    <w:p w:rsidR="00191CC2" w:rsidRPr="001B4A6E" w:rsidRDefault="00191CC2" w:rsidP="00782F03">
      <w:pPr>
        <w:numPr>
          <w:ilvl w:val="1"/>
          <w:numId w:val="1"/>
        </w:numPr>
        <w:spacing w:after="120"/>
        <w:contextualSpacing/>
        <w:rPr>
          <w:bCs/>
          <w:szCs w:val="22"/>
        </w:rPr>
      </w:pPr>
      <w:r w:rsidRPr="00C256CC">
        <w:rPr>
          <w:bCs/>
          <w:szCs w:val="22"/>
        </w:rPr>
        <w:t>Add new item:</w:t>
      </w:r>
    </w:p>
    <w:p w:rsidR="00191CC2" w:rsidRPr="00710A65" w:rsidRDefault="00191CC2" w:rsidP="00191CC2">
      <w:pPr>
        <w:rPr>
          <w:bCs/>
          <w:szCs w:val="22"/>
          <w:highlight w:val="yellow"/>
        </w:rPr>
      </w:pPr>
    </w:p>
    <w:tbl>
      <w:tblPr>
        <w:tblW w:w="8363" w:type="dxa"/>
        <w:tblInd w:w="817" w:type="dxa"/>
        <w:tblLayout w:type="fixed"/>
        <w:tblLook w:val="0000" w:firstRow="0" w:lastRow="0" w:firstColumn="0" w:lastColumn="0" w:noHBand="0" w:noVBand="0"/>
      </w:tblPr>
      <w:tblGrid>
        <w:gridCol w:w="2552"/>
        <w:gridCol w:w="141"/>
        <w:gridCol w:w="1560"/>
        <w:gridCol w:w="708"/>
        <w:gridCol w:w="1701"/>
        <w:gridCol w:w="1418"/>
        <w:gridCol w:w="283"/>
      </w:tblGrid>
      <w:tr w:rsidR="004439FD" w:rsidRPr="00260CE3" w:rsidTr="004439FD">
        <w:trPr>
          <w:gridAfter w:val="1"/>
          <w:wAfter w:w="283" w:type="dxa"/>
          <w:cantSplit/>
          <w:trHeight w:val="471"/>
        </w:trPr>
        <w:tc>
          <w:tcPr>
            <w:tcW w:w="2693" w:type="dxa"/>
            <w:gridSpan w:val="2"/>
            <w:tcBorders>
              <w:bottom w:val="single" w:sz="4" w:space="0" w:color="auto"/>
            </w:tcBorders>
          </w:tcPr>
          <w:p w:rsidR="004439FD" w:rsidRPr="00260CE3" w:rsidRDefault="004439FD" w:rsidP="004439FD">
            <w:pPr>
              <w:keepNext/>
              <w:ind w:left="-108"/>
              <w:rPr>
                <w:rFonts w:ascii="Arial Narrow" w:hAnsi="Arial Narrow"/>
                <w:sz w:val="20"/>
              </w:rPr>
            </w:pPr>
            <w:r w:rsidRPr="00260CE3">
              <w:rPr>
                <w:rFonts w:ascii="Arial Narrow" w:hAnsi="Arial Narrow"/>
                <w:sz w:val="20"/>
              </w:rPr>
              <w:t>Name, Restriction,</w:t>
            </w:r>
          </w:p>
          <w:p w:rsidR="004439FD" w:rsidRPr="00260CE3" w:rsidRDefault="004439FD" w:rsidP="004439FD">
            <w:pPr>
              <w:keepNext/>
              <w:ind w:left="-108"/>
              <w:rPr>
                <w:rFonts w:ascii="Arial Narrow" w:hAnsi="Arial Narrow"/>
                <w:sz w:val="20"/>
              </w:rPr>
            </w:pPr>
            <w:r w:rsidRPr="00260CE3">
              <w:rPr>
                <w:rFonts w:ascii="Arial Narrow" w:hAnsi="Arial Narrow"/>
                <w:sz w:val="20"/>
              </w:rPr>
              <w:t>Manner of administration and form</w:t>
            </w:r>
          </w:p>
        </w:tc>
        <w:tc>
          <w:tcPr>
            <w:tcW w:w="1560" w:type="dxa"/>
            <w:tcBorders>
              <w:bottom w:val="single" w:sz="4" w:space="0" w:color="auto"/>
            </w:tcBorders>
          </w:tcPr>
          <w:p w:rsidR="004439FD" w:rsidRPr="00260CE3" w:rsidRDefault="004439FD" w:rsidP="004439FD">
            <w:pPr>
              <w:keepNext/>
              <w:ind w:left="-108"/>
              <w:jc w:val="center"/>
              <w:rPr>
                <w:rFonts w:ascii="Arial Narrow" w:hAnsi="Arial Narrow"/>
                <w:sz w:val="20"/>
              </w:rPr>
            </w:pPr>
            <w:r w:rsidRPr="00260CE3">
              <w:rPr>
                <w:rFonts w:ascii="Arial Narrow" w:hAnsi="Arial Narrow"/>
                <w:sz w:val="20"/>
              </w:rPr>
              <w:t>Max.</w:t>
            </w:r>
          </w:p>
          <w:p w:rsidR="004439FD" w:rsidRPr="00260CE3" w:rsidRDefault="004439FD" w:rsidP="004439FD">
            <w:pPr>
              <w:keepNext/>
              <w:ind w:left="-108"/>
              <w:jc w:val="center"/>
              <w:rPr>
                <w:rFonts w:ascii="Arial Narrow" w:hAnsi="Arial Narrow"/>
                <w:sz w:val="20"/>
              </w:rPr>
            </w:pPr>
            <w:r>
              <w:rPr>
                <w:rFonts w:ascii="Arial Narrow" w:hAnsi="Arial Narrow"/>
                <w:sz w:val="20"/>
              </w:rPr>
              <w:t>Amount</w:t>
            </w:r>
          </w:p>
        </w:tc>
        <w:tc>
          <w:tcPr>
            <w:tcW w:w="708" w:type="dxa"/>
            <w:tcBorders>
              <w:bottom w:val="single" w:sz="4" w:space="0" w:color="auto"/>
            </w:tcBorders>
          </w:tcPr>
          <w:p w:rsidR="004439FD" w:rsidRPr="00260CE3" w:rsidRDefault="004439FD" w:rsidP="004439FD">
            <w:pPr>
              <w:keepNext/>
              <w:ind w:left="-108"/>
              <w:rPr>
                <w:rFonts w:ascii="Arial Narrow" w:hAnsi="Arial Narrow"/>
                <w:sz w:val="20"/>
              </w:rPr>
            </w:pPr>
            <w:r w:rsidRPr="00260CE3">
              <w:rPr>
                <w:rFonts w:ascii="Arial Narrow" w:hAnsi="Arial Narrow"/>
                <w:sz w:val="20"/>
              </w:rPr>
              <w:t>№.of</w:t>
            </w:r>
          </w:p>
          <w:p w:rsidR="004439FD" w:rsidRPr="00260CE3" w:rsidRDefault="004439FD" w:rsidP="004439FD">
            <w:pPr>
              <w:keepNext/>
              <w:ind w:left="-108"/>
              <w:rPr>
                <w:rFonts w:ascii="Arial Narrow" w:hAnsi="Arial Narrow"/>
                <w:sz w:val="20"/>
              </w:rPr>
            </w:pPr>
            <w:r w:rsidRPr="00260CE3">
              <w:rPr>
                <w:rFonts w:ascii="Arial Narrow" w:hAnsi="Arial Narrow"/>
                <w:sz w:val="20"/>
              </w:rPr>
              <w:t>Rpts</w:t>
            </w:r>
          </w:p>
        </w:tc>
        <w:tc>
          <w:tcPr>
            <w:tcW w:w="3119" w:type="dxa"/>
            <w:gridSpan w:val="2"/>
            <w:tcBorders>
              <w:bottom w:val="single" w:sz="4" w:space="0" w:color="auto"/>
            </w:tcBorders>
          </w:tcPr>
          <w:p w:rsidR="004439FD" w:rsidRPr="00260CE3" w:rsidRDefault="004439FD" w:rsidP="004439FD">
            <w:pPr>
              <w:keepNext/>
              <w:rPr>
                <w:rFonts w:ascii="Arial Narrow" w:hAnsi="Arial Narrow"/>
                <w:sz w:val="20"/>
                <w:lang w:val="fr-FR"/>
              </w:rPr>
            </w:pPr>
            <w:r w:rsidRPr="00260CE3">
              <w:rPr>
                <w:rFonts w:ascii="Arial Narrow" w:hAnsi="Arial Narrow"/>
                <w:sz w:val="20"/>
              </w:rPr>
              <w:t>Proprietary Name and Manufacturer</w:t>
            </w:r>
          </w:p>
        </w:tc>
      </w:tr>
      <w:tr w:rsidR="004439FD" w:rsidRPr="00260CE3" w:rsidTr="004439FD">
        <w:trPr>
          <w:gridAfter w:val="1"/>
          <w:wAfter w:w="283" w:type="dxa"/>
          <w:cantSplit/>
          <w:trHeight w:val="577"/>
        </w:trPr>
        <w:tc>
          <w:tcPr>
            <w:tcW w:w="2693" w:type="dxa"/>
            <w:gridSpan w:val="2"/>
          </w:tcPr>
          <w:p w:rsidR="004439FD" w:rsidRPr="00260CE3" w:rsidRDefault="004439FD" w:rsidP="004439FD">
            <w:pPr>
              <w:keepNext/>
              <w:ind w:left="-108"/>
              <w:rPr>
                <w:rFonts w:ascii="Arial Narrow" w:hAnsi="Arial Narrow"/>
                <w:sz w:val="20"/>
              </w:rPr>
            </w:pPr>
            <w:r>
              <w:rPr>
                <w:rFonts w:ascii="Arial Narrow" w:hAnsi="Arial Narrow"/>
                <w:smallCaps/>
                <w:sz w:val="20"/>
              </w:rPr>
              <w:t>NIVOLUMAB</w:t>
            </w:r>
          </w:p>
          <w:p w:rsidR="004439FD" w:rsidRDefault="004439FD" w:rsidP="004439FD">
            <w:pPr>
              <w:keepNext/>
              <w:ind w:left="-108"/>
              <w:rPr>
                <w:rFonts w:ascii="Arial Narrow" w:hAnsi="Arial Narrow"/>
                <w:sz w:val="20"/>
              </w:rPr>
            </w:pPr>
            <w:r>
              <w:rPr>
                <w:rFonts w:ascii="Arial Narrow" w:hAnsi="Arial Narrow"/>
                <w:sz w:val="20"/>
              </w:rPr>
              <w:t>nivolumab 40 mg/4 mL injection, 1 x 4 mL vial</w:t>
            </w:r>
          </w:p>
          <w:p w:rsidR="004439FD" w:rsidRPr="00260CE3" w:rsidRDefault="004439FD" w:rsidP="004439FD">
            <w:pPr>
              <w:keepNext/>
              <w:ind w:left="-108"/>
              <w:rPr>
                <w:rFonts w:ascii="Arial Narrow" w:hAnsi="Arial Narrow"/>
                <w:sz w:val="20"/>
              </w:rPr>
            </w:pPr>
            <w:r>
              <w:rPr>
                <w:rFonts w:ascii="Arial Narrow" w:hAnsi="Arial Narrow"/>
                <w:sz w:val="20"/>
              </w:rPr>
              <w:t>nivolumab 100 mg/10 mL injection, 1 x 10 mL vial</w:t>
            </w:r>
          </w:p>
        </w:tc>
        <w:tc>
          <w:tcPr>
            <w:tcW w:w="1560" w:type="dxa"/>
          </w:tcPr>
          <w:p w:rsidR="004439FD" w:rsidRPr="005D01E1" w:rsidRDefault="004439FD" w:rsidP="004439FD">
            <w:pPr>
              <w:keepNext/>
              <w:ind w:left="-108"/>
              <w:jc w:val="center"/>
              <w:rPr>
                <w:rFonts w:ascii="Arial Narrow" w:hAnsi="Arial Narrow"/>
                <w:sz w:val="20"/>
              </w:rPr>
            </w:pPr>
          </w:p>
          <w:p w:rsidR="004439FD" w:rsidRPr="005D01E1" w:rsidRDefault="004439FD" w:rsidP="004439FD">
            <w:pPr>
              <w:keepNext/>
              <w:ind w:left="-108"/>
              <w:jc w:val="center"/>
              <w:rPr>
                <w:rFonts w:ascii="Arial Narrow" w:hAnsi="Arial Narrow"/>
                <w:sz w:val="20"/>
              </w:rPr>
            </w:pPr>
            <w:r w:rsidRPr="005D01E1">
              <w:rPr>
                <w:rFonts w:ascii="Arial Narrow" w:hAnsi="Arial Narrow"/>
                <w:sz w:val="20"/>
              </w:rPr>
              <w:t>360 mg</w:t>
            </w:r>
          </w:p>
        </w:tc>
        <w:tc>
          <w:tcPr>
            <w:tcW w:w="708" w:type="dxa"/>
          </w:tcPr>
          <w:p w:rsidR="004439FD" w:rsidRPr="00260CE3" w:rsidRDefault="004439FD" w:rsidP="004439FD">
            <w:pPr>
              <w:keepNext/>
              <w:ind w:left="-108"/>
              <w:jc w:val="center"/>
              <w:rPr>
                <w:rFonts w:ascii="Arial Narrow" w:hAnsi="Arial Narrow"/>
                <w:sz w:val="20"/>
              </w:rPr>
            </w:pPr>
          </w:p>
          <w:p w:rsidR="004439FD" w:rsidRPr="00260CE3" w:rsidRDefault="00846030" w:rsidP="004439FD">
            <w:pPr>
              <w:keepNext/>
              <w:ind w:left="-108"/>
              <w:jc w:val="center"/>
              <w:rPr>
                <w:rFonts w:ascii="Arial Narrow" w:hAnsi="Arial Narrow"/>
                <w:sz w:val="20"/>
              </w:rPr>
            </w:pPr>
            <w:r>
              <w:rPr>
                <w:rFonts w:ascii="Arial Narrow" w:hAnsi="Arial Narrow"/>
                <w:sz w:val="20"/>
              </w:rPr>
              <w:t>8</w:t>
            </w:r>
          </w:p>
        </w:tc>
        <w:tc>
          <w:tcPr>
            <w:tcW w:w="1701" w:type="dxa"/>
          </w:tcPr>
          <w:p w:rsidR="00826BCC" w:rsidRDefault="00826BCC" w:rsidP="004439FD">
            <w:pPr>
              <w:keepNext/>
              <w:rPr>
                <w:rFonts w:ascii="Arial Narrow" w:hAnsi="Arial Narrow"/>
                <w:sz w:val="20"/>
              </w:rPr>
            </w:pPr>
          </w:p>
          <w:p w:rsidR="004439FD" w:rsidRPr="00260CE3" w:rsidRDefault="004439FD" w:rsidP="004439FD">
            <w:pPr>
              <w:keepNext/>
              <w:rPr>
                <w:rFonts w:ascii="Arial Narrow" w:hAnsi="Arial Narrow"/>
                <w:sz w:val="20"/>
              </w:rPr>
            </w:pPr>
            <w:r>
              <w:rPr>
                <w:rFonts w:ascii="Arial Narrow" w:hAnsi="Arial Narrow"/>
                <w:sz w:val="20"/>
              </w:rPr>
              <w:t>Opdivo</w:t>
            </w:r>
          </w:p>
        </w:tc>
        <w:tc>
          <w:tcPr>
            <w:tcW w:w="1418" w:type="dxa"/>
          </w:tcPr>
          <w:p w:rsidR="004439FD" w:rsidRPr="00260CE3" w:rsidRDefault="004439FD" w:rsidP="004439FD">
            <w:pPr>
              <w:keepNext/>
              <w:rPr>
                <w:rFonts w:ascii="Arial Narrow" w:hAnsi="Arial Narrow"/>
                <w:sz w:val="20"/>
              </w:rPr>
            </w:pPr>
            <w:r>
              <w:rPr>
                <w:rFonts w:ascii="Arial Narrow" w:hAnsi="Arial Narrow"/>
                <w:sz w:val="20"/>
              </w:rPr>
              <w:t>Bristol-Myers Squibb Australia</w:t>
            </w:r>
          </w:p>
        </w:tc>
      </w:tr>
      <w:tr w:rsidR="000939B8" w:rsidRPr="00260CE3" w:rsidTr="004439FD">
        <w:trPr>
          <w:cantSplit/>
          <w:trHeight w:val="360"/>
        </w:trPr>
        <w:tc>
          <w:tcPr>
            <w:tcW w:w="8363" w:type="dxa"/>
            <w:gridSpan w:val="7"/>
            <w:tcBorders>
              <w:bottom w:val="single" w:sz="4" w:space="0" w:color="auto"/>
            </w:tcBorders>
          </w:tcPr>
          <w:p w:rsidR="000939B8" w:rsidRPr="00645903" w:rsidRDefault="000939B8" w:rsidP="005311E2">
            <w:pPr>
              <w:rPr>
                <w:rFonts w:ascii="Arial Narrow" w:hAnsi="Arial Narrow"/>
                <w:b/>
                <w:i/>
                <w:sz w:val="20"/>
              </w:rPr>
            </w:pPr>
          </w:p>
        </w:tc>
      </w:tr>
      <w:tr w:rsidR="000939B8" w:rsidRPr="00260CE3" w:rsidTr="00710A65">
        <w:trPr>
          <w:cantSplit/>
          <w:trHeight w:val="360"/>
        </w:trPr>
        <w:tc>
          <w:tcPr>
            <w:tcW w:w="2552" w:type="dxa"/>
            <w:tcBorders>
              <w:top w:val="single" w:sz="4" w:space="0" w:color="auto"/>
              <w:left w:val="single" w:sz="4" w:space="0" w:color="auto"/>
              <w:bottom w:val="single" w:sz="4" w:space="0" w:color="auto"/>
              <w:right w:val="single" w:sz="4" w:space="0" w:color="auto"/>
            </w:tcBorders>
          </w:tcPr>
          <w:p w:rsidR="000939B8" w:rsidRPr="00260CE3" w:rsidRDefault="000939B8" w:rsidP="004439FD">
            <w:pPr>
              <w:rPr>
                <w:rFonts w:ascii="Arial Narrow" w:hAnsi="Arial Narrow"/>
                <w:b/>
                <w:sz w:val="20"/>
              </w:rPr>
            </w:pPr>
            <w:r w:rsidRPr="00260CE3">
              <w:rPr>
                <w:rFonts w:ascii="Arial Narrow" w:hAnsi="Arial Narrow"/>
                <w:b/>
                <w:sz w:val="20"/>
              </w:rPr>
              <w:t>Category / Program</w:t>
            </w:r>
          </w:p>
        </w:tc>
        <w:tc>
          <w:tcPr>
            <w:tcW w:w="5811" w:type="dxa"/>
            <w:gridSpan w:val="6"/>
            <w:tcBorders>
              <w:top w:val="single" w:sz="4" w:space="0" w:color="auto"/>
              <w:left w:val="single" w:sz="4" w:space="0" w:color="auto"/>
              <w:bottom w:val="single" w:sz="4" w:space="0" w:color="auto"/>
              <w:right w:val="single" w:sz="4" w:space="0" w:color="auto"/>
            </w:tcBorders>
          </w:tcPr>
          <w:p w:rsidR="000939B8" w:rsidRPr="00260CE3" w:rsidRDefault="000939B8" w:rsidP="004439FD">
            <w:pPr>
              <w:rPr>
                <w:rFonts w:ascii="Arial Narrow" w:hAnsi="Arial Narrow"/>
                <w:sz w:val="20"/>
              </w:rPr>
            </w:pPr>
            <w:r w:rsidRPr="00260CE3">
              <w:rPr>
                <w:rFonts w:ascii="Arial Narrow" w:hAnsi="Arial Narrow"/>
                <w:sz w:val="20"/>
              </w:rPr>
              <w:t xml:space="preserve">Section 100 – </w:t>
            </w:r>
            <w:r>
              <w:rPr>
                <w:rFonts w:ascii="Arial Narrow" w:hAnsi="Arial Narrow"/>
                <w:sz w:val="20"/>
              </w:rPr>
              <w:t xml:space="preserve">Efficient Funding of </w:t>
            </w:r>
            <w:r w:rsidRPr="00260CE3">
              <w:rPr>
                <w:rFonts w:ascii="Arial Narrow" w:hAnsi="Arial Narrow"/>
                <w:sz w:val="20"/>
              </w:rPr>
              <w:t>Chemotherapy</w:t>
            </w:r>
          </w:p>
        </w:tc>
      </w:tr>
      <w:tr w:rsidR="000939B8" w:rsidRPr="00260CE3" w:rsidTr="00710A65">
        <w:trPr>
          <w:cantSplit/>
          <w:trHeight w:val="360"/>
        </w:trPr>
        <w:tc>
          <w:tcPr>
            <w:tcW w:w="2552" w:type="dxa"/>
            <w:tcBorders>
              <w:top w:val="single" w:sz="4" w:space="0" w:color="auto"/>
              <w:left w:val="single" w:sz="4" w:space="0" w:color="auto"/>
              <w:bottom w:val="single" w:sz="4" w:space="0" w:color="auto"/>
              <w:right w:val="single" w:sz="4" w:space="0" w:color="auto"/>
            </w:tcBorders>
          </w:tcPr>
          <w:p w:rsidR="000939B8" w:rsidRPr="00260CE3" w:rsidRDefault="000939B8" w:rsidP="004439FD">
            <w:pPr>
              <w:rPr>
                <w:rFonts w:ascii="Arial Narrow" w:hAnsi="Arial Narrow"/>
                <w:b/>
                <w:sz w:val="20"/>
              </w:rPr>
            </w:pPr>
            <w:r w:rsidRPr="00260CE3">
              <w:rPr>
                <w:rFonts w:ascii="Arial Narrow" w:hAnsi="Arial Narrow"/>
                <w:b/>
                <w:sz w:val="20"/>
              </w:rPr>
              <w:t>Prescriber type:</w:t>
            </w:r>
          </w:p>
        </w:tc>
        <w:tc>
          <w:tcPr>
            <w:tcW w:w="5811" w:type="dxa"/>
            <w:gridSpan w:val="6"/>
            <w:tcBorders>
              <w:top w:val="single" w:sz="4" w:space="0" w:color="auto"/>
              <w:left w:val="single" w:sz="4" w:space="0" w:color="auto"/>
              <w:bottom w:val="single" w:sz="4" w:space="0" w:color="auto"/>
              <w:right w:val="single" w:sz="4" w:space="0" w:color="auto"/>
            </w:tcBorders>
          </w:tcPr>
          <w:p w:rsidR="000939B8" w:rsidRPr="00260CE3" w:rsidRDefault="000939B8" w:rsidP="004439FD">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r>
              <w:rPr>
                <w:rFonts w:ascii="Arial Narrow" w:hAnsi="Arial Narrow"/>
                <w:sz w:val="20"/>
              </w:rPr>
              <w:t xml:space="preserve">  </w:t>
            </w: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0939B8" w:rsidRPr="00260CE3" w:rsidTr="00710A65">
        <w:trPr>
          <w:cantSplit/>
          <w:trHeight w:val="360"/>
        </w:trPr>
        <w:tc>
          <w:tcPr>
            <w:tcW w:w="2552" w:type="dxa"/>
            <w:tcBorders>
              <w:top w:val="single" w:sz="4" w:space="0" w:color="auto"/>
              <w:left w:val="single" w:sz="4" w:space="0" w:color="auto"/>
              <w:bottom w:val="single" w:sz="4" w:space="0" w:color="auto"/>
              <w:right w:val="single" w:sz="4" w:space="0" w:color="auto"/>
            </w:tcBorders>
          </w:tcPr>
          <w:p w:rsidR="000939B8" w:rsidRPr="00260CE3" w:rsidRDefault="000939B8" w:rsidP="004439FD">
            <w:pPr>
              <w:rPr>
                <w:rFonts w:ascii="Arial Narrow" w:hAnsi="Arial Narrow"/>
                <w:b/>
                <w:sz w:val="20"/>
              </w:rPr>
            </w:pPr>
            <w:r w:rsidRPr="00260CE3">
              <w:rPr>
                <w:rFonts w:ascii="Arial Narrow" w:hAnsi="Arial Narrow"/>
                <w:b/>
                <w:sz w:val="20"/>
              </w:rPr>
              <w:t>Episodicity:</w:t>
            </w:r>
          </w:p>
        </w:tc>
        <w:tc>
          <w:tcPr>
            <w:tcW w:w="5811" w:type="dxa"/>
            <w:gridSpan w:val="6"/>
            <w:tcBorders>
              <w:top w:val="single" w:sz="4" w:space="0" w:color="auto"/>
              <w:left w:val="single" w:sz="4" w:space="0" w:color="auto"/>
              <w:bottom w:val="single" w:sz="4" w:space="0" w:color="auto"/>
              <w:right w:val="single" w:sz="4" w:space="0" w:color="auto"/>
            </w:tcBorders>
          </w:tcPr>
          <w:p w:rsidR="000939B8" w:rsidRPr="00260CE3" w:rsidRDefault="000939B8" w:rsidP="004439FD">
            <w:pPr>
              <w:rPr>
                <w:rFonts w:ascii="Arial Narrow" w:hAnsi="Arial Narrow"/>
                <w:sz w:val="20"/>
              </w:rPr>
            </w:pPr>
            <w:r>
              <w:rPr>
                <w:rFonts w:ascii="Arial Narrow" w:hAnsi="Arial Narrow"/>
                <w:sz w:val="20"/>
              </w:rPr>
              <w:t>-</w:t>
            </w:r>
          </w:p>
        </w:tc>
      </w:tr>
      <w:tr w:rsidR="000939B8" w:rsidRPr="00260CE3" w:rsidTr="00710A65">
        <w:trPr>
          <w:cantSplit/>
          <w:trHeight w:val="360"/>
        </w:trPr>
        <w:tc>
          <w:tcPr>
            <w:tcW w:w="2552" w:type="dxa"/>
            <w:tcBorders>
              <w:top w:val="single" w:sz="4" w:space="0" w:color="auto"/>
              <w:left w:val="single" w:sz="4" w:space="0" w:color="auto"/>
              <w:bottom w:val="single" w:sz="4" w:space="0" w:color="auto"/>
              <w:right w:val="single" w:sz="4" w:space="0" w:color="auto"/>
            </w:tcBorders>
          </w:tcPr>
          <w:p w:rsidR="000939B8" w:rsidRPr="00260CE3" w:rsidRDefault="000939B8" w:rsidP="004439FD">
            <w:pPr>
              <w:rPr>
                <w:rFonts w:ascii="Arial Narrow" w:hAnsi="Arial Narrow"/>
                <w:b/>
                <w:sz w:val="20"/>
              </w:rPr>
            </w:pPr>
            <w:r w:rsidRPr="00260CE3">
              <w:rPr>
                <w:rFonts w:ascii="Arial Narrow" w:hAnsi="Arial Narrow"/>
                <w:b/>
                <w:sz w:val="20"/>
              </w:rPr>
              <w:t>Severity:</w:t>
            </w:r>
          </w:p>
        </w:tc>
        <w:tc>
          <w:tcPr>
            <w:tcW w:w="5811" w:type="dxa"/>
            <w:gridSpan w:val="6"/>
            <w:tcBorders>
              <w:top w:val="single" w:sz="4" w:space="0" w:color="auto"/>
              <w:left w:val="single" w:sz="4" w:space="0" w:color="auto"/>
              <w:bottom w:val="single" w:sz="4" w:space="0" w:color="auto"/>
              <w:right w:val="single" w:sz="4" w:space="0" w:color="auto"/>
            </w:tcBorders>
          </w:tcPr>
          <w:p w:rsidR="000939B8" w:rsidRPr="00260CE3" w:rsidRDefault="000939B8" w:rsidP="004439FD">
            <w:pPr>
              <w:rPr>
                <w:rFonts w:ascii="Arial Narrow" w:hAnsi="Arial Narrow"/>
                <w:sz w:val="20"/>
              </w:rPr>
            </w:pPr>
            <w:r>
              <w:rPr>
                <w:rFonts w:ascii="Arial Narrow" w:hAnsi="Arial Narrow"/>
                <w:sz w:val="20"/>
              </w:rPr>
              <w:t>Unresectable Stage III or Stage IV</w:t>
            </w:r>
          </w:p>
        </w:tc>
      </w:tr>
      <w:tr w:rsidR="000939B8" w:rsidRPr="00260CE3" w:rsidTr="00710A65">
        <w:trPr>
          <w:cantSplit/>
          <w:trHeight w:val="360"/>
        </w:trPr>
        <w:tc>
          <w:tcPr>
            <w:tcW w:w="2552" w:type="dxa"/>
            <w:tcBorders>
              <w:top w:val="single" w:sz="4" w:space="0" w:color="auto"/>
              <w:left w:val="single" w:sz="4" w:space="0" w:color="auto"/>
              <w:bottom w:val="single" w:sz="4" w:space="0" w:color="auto"/>
              <w:right w:val="single" w:sz="4" w:space="0" w:color="auto"/>
            </w:tcBorders>
          </w:tcPr>
          <w:p w:rsidR="000939B8" w:rsidRPr="00260CE3" w:rsidRDefault="000939B8" w:rsidP="004439FD">
            <w:pPr>
              <w:rPr>
                <w:rFonts w:ascii="Arial Narrow" w:hAnsi="Arial Narrow"/>
                <w:b/>
                <w:sz w:val="20"/>
              </w:rPr>
            </w:pPr>
            <w:r w:rsidRPr="00260CE3">
              <w:rPr>
                <w:rFonts w:ascii="Arial Narrow" w:hAnsi="Arial Narrow"/>
                <w:b/>
                <w:sz w:val="20"/>
              </w:rPr>
              <w:t>Condition:</w:t>
            </w:r>
          </w:p>
        </w:tc>
        <w:tc>
          <w:tcPr>
            <w:tcW w:w="5811" w:type="dxa"/>
            <w:gridSpan w:val="6"/>
            <w:tcBorders>
              <w:top w:val="single" w:sz="4" w:space="0" w:color="auto"/>
              <w:left w:val="single" w:sz="4" w:space="0" w:color="auto"/>
              <w:bottom w:val="single" w:sz="4" w:space="0" w:color="auto"/>
              <w:right w:val="single" w:sz="4" w:space="0" w:color="auto"/>
            </w:tcBorders>
          </w:tcPr>
          <w:p w:rsidR="000939B8" w:rsidRPr="00260CE3" w:rsidRDefault="000939B8" w:rsidP="004439FD">
            <w:pPr>
              <w:rPr>
                <w:rFonts w:ascii="Arial Narrow" w:hAnsi="Arial Narrow"/>
                <w:sz w:val="20"/>
              </w:rPr>
            </w:pPr>
            <w:r>
              <w:rPr>
                <w:rFonts w:ascii="Arial Narrow" w:hAnsi="Arial Narrow"/>
                <w:sz w:val="20"/>
              </w:rPr>
              <w:t>Malignant melanoma</w:t>
            </w:r>
          </w:p>
        </w:tc>
      </w:tr>
      <w:tr w:rsidR="000939B8" w:rsidRPr="00260CE3" w:rsidTr="00710A65">
        <w:trPr>
          <w:cantSplit/>
          <w:trHeight w:val="360"/>
        </w:trPr>
        <w:tc>
          <w:tcPr>
            <w:tcW w:w="2552" w:type="dxa"/>
            <w:tcBorders>
              <w:top w:val="single" w:sz="4" w:space="0" w:color="auto"/>
              <w:left w:val="single" w:sz="4" w:space="0" w:color="auto"/>
              <w:bottom w:val="single" w:sz="4" w:space="0" w:color="auto"/>
              <w:right w:val="single" w:sz="4" w:space="0" w:color="auto"/>
            </w:tcBorders>
          </w:tcPr>
          <w:p w:rsidR="000939B8" w:rsidRPr="00260CE3" w:rsidRDefault="000939B8" w:rsidP="004439FD">
            <w:pPr>
              <w:rPr>
                <w:rFonts w:ascii="Arial Narrow" w:hAnsi="Arial Narrow"/>
                <w:b/>
                <w:sz w:val="20"/>
              </w:rPr>
            </w:pPr>
            <w:r w:rsidRPr="00260CE3">
              <w:rPr>
                <w:rFonts w:ascii="Arial Narrow" w:hAnsi="Arial Narrow"/>
                <w:b/>
                <w:sz w:val="20"/>
              </w:rPr>
              <w:t>PBS Indication:</w:t>
            </w:r>
          </w:p>
        </w:tc>
        <w:tc>
          <w:tcPr>
            <w:tcW w:w="5811" w:type="dxa"/>
            <w:gridSpan w:val="6"/>
            <w:tcBorders>
              <w:top w:val="single" w:sz="4" w:space="0" w:color="auto"/>
              <w:left w:val="single" w:sz="4" w:space="0" w:color="auto"/>
              <w:bottom w:val="single" w:sz="4" w:space="0" w:color="auto"/>
              <w:right w:val="single" w:sz="4" w:space="0" w:color="auto"/>
            </w:tcBorders>
          </w:tcPr>
          <w:p w:rsidR="000939B8" w:rsidRPr="00260CE3" w:rsidRDefault="000939B8" w:rsidP="004439FD">
            <w:pPr>
              <w:rPr>
                <w:rFonts w:ascii="Arial Narrow" w:hAnsi="Arial Narrow"/>
                <w:sz w:val="20"/>
              </w:rPr>
            </w:pPr>
            <w:r>
              <w:rPr>
                <w:rFonts w:ascii="Arial Narrow" w:hAnsi="Arial Narrow"/>
                <w:sz w:val="20"/>
              </w:rPr>
              <w:t>Unresectable Stage III or Stage IV malignant melanoma</w:t>
            </w:r>
          </w:p>
        </w:tc>
      </w:tr>
      <w:tr w:rsidR="000939B8" w:rsidRPr="00260CE3" w:rsidTr="00710A65">
        <w:trPr>
          <w:cantSplit/>
          <w:trHeight w:val="360"/>
        </w:trPr>
        <w:tc>
          <w:tcPr>
            <w:tcW w:w="2552" w:type="dxa"/>
            <w:tcBorders>
              <w:top w:val="single" w:sz="4" w:space="0" w:color="auto"/>
              <w:left w:val="single" w:sz="4" w:space="0" w:color="auto"/>
              <w:bottom w:val="single" w:sz="4" w:space="0" w:color="auto"/>
              <w:right w:val="single" w:sz="4" w:space="0" w:color="auto"/>
            </w:tcBorders>
          </w:tcPr>
          <w:p w:rsidR="000939B8" w:rsidRPr="00C0121C" w:rsidRDefault="000939B8" w:rsidP="004439FD">
            <w:pPr>
              <w:rPr>
                <w:rFonts w:ascii="Arial Narrow" w:hAnsi="Arial Narrow"/>
                <w:b/>
                <w:sz w:val="20"/>
              </w:rPr>
            </w:pPr>
            <w:r w:rsidRPr="00260CE3">
              <w:rPr>
                <w:rFonts w:ascii="Arial Narrow" w:hAnsi="Arial Narrow"/>
                <w:b/>
                <w:sz w:val="20"/>
              </w:rPr>
              <w:t>Treatment phase:</w:t>
            </w:r>
          </w:p>
        </w:tc>
        <w:tc>
          <w:tcPr>
            <w:tcW w:w="5811" w:type="dxa"/>
            <w:gridSpan w:val="6"/>
            <w:tcBorders>
              <w:top w:val="single" w:sz="4" w:space="0" w:color="auto"/>
              <w:left w:val="single" w:sz="4" w:space="0" w:color="auto"/>
              <w:bottom w:val="single" w:sz="4" w:space="0" w:color="auto"/>
              <w:right w:val="single" w:sz="4" w:space="0" w:color="auto"/>
            </w:tcBorders>
          </w:tcPr>
          <w:p w:rsidR="000939B8" w:rsidRPr="00260CE3" w:rsidRDefault="000939B8" w:rsidP="004439FD">
            <w:pPr>
              <w:rPr>
                <w:rFonts w:ascii="Arial Narrow" w:hAnsi="Arial Narrow"/>
                <w:sz w:val="20"/>
              </w:rPr>
            </w:pPr>
            <w:r>
              <w:rPr>
                <w:rFonts w:ascii="Arial Narrow" w:hAnsi="Arial Narrow"/>
                <w:sz w:val="20"/>
              </w:rPr>
              <w:t>Initial treatment</w:t>
            </w:r>
          </w:p>
        </w:tc>
      </w:tr>
      <w:tr w:rsidR="000939B8" w:rsidRPr="00260CE3" w:rsidTr="00710A65">
        <w:trPr>
          <w:cantSplit/>
          <w:trHeight w:val="360"/>
        </w:trPr>
        <w:tc>
          <w:tcPr>
            <w:tcW w:w="2552" w:type="dxa"/>
            <w:tcBorders>
              <w:top w:val="single" w:sz="4" w:space="0" w:color="auto"/>
              <w:left w:val="single" w:sz="4" w:space="0" w:color="auto"/>
              <w:bottom w:val="single" w:sz="4" w:space="0" w:color="auto"/>
              <w:right w:val="single" w:sz="4" w:space="0" w:color="auto"/>
            </w:tcBorders>
          </w:tcPr>
          <w:p w:rsidR="000939B8" w:rsidRPr="00C0121C" w:rsidRDefault="000939B8" w:rsidP="004439FD">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5811" w:type="dxa"/>
            <w:gridSpan w:val="6"/>
            <w:tcBorders>
              <w:top w:val="single" w:sz="4" w:space="0" w:color="auto"/>
              <w:left w:val="single" w:sz="4" w:space="0" w:color="auto"/>
              <w:bottom w:val="single" w:sz="4" w:space="0" w:color="auto"/>
              <w:right w:val="single" w:sz="4" w:space="0" w:color="auto"/>
            </w:tcBorders>
          </w:tcPr>
          <w:p w:rsidR="000939B8" w:rsidRPr="00106BCF" w:rsidRDefault="000939B8" w:rsidP="004439FD">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0939B8" w:rsidRPr="00106BCF" w:rsidRDefault="000939B8" w:rsidP="004439FD">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In Writing</w:t>
            </w:r>
          </w:p>
          <w:p w:rsidR="000939B8" w:rsidRPr="00106BCF" w:rsidRDefault="000939B8" w:rsidP="004439FD">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0939B8" w:rsidRPr="00106BCF" w:rsidRDefault="000939B8" w:rsidP="004439FD">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 xml:space="preserve">Authority Required </w:t>
            </w:r>
            <w:r>
              <w:rPr>
                <w:rFonts w:ascii="Arial Narrow" w:hAnsi="Arial Narrow"/>
                <w:sz w:val="20"/>
              </w:rPr>
              <w:t>-</w:t>
            </w:r>
            <w:r w:rsidRPr="00106BCF">
              <w:rPr>
                <w:rFonts w:ascii="Arial Narrow" w:hAnsi="Arial Narrow"/>
                <w:sz w:val="20"/>
              </w:rPr>
              <w:t xml:space="preserve"> Emergency</w:t>
            </w:r>
          </w:p>
          <w:p w:rsidR="000939B8" w:rsidRPr="00106BCF" w:rsidRDefault="000939B8" w:rsidP="004439FD">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0939B8" w:rsidRPr="00260CE3" w:rsidRDefault="000939B8" w:rsidP="004439FD">
            <w:pPr>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r>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Streamlined</w:t>
            </w:r>
          </w:p>
        </w:tc>
      </w:tr>
      <w:tr w:rsidR="000939B8" w:rsidRPr="00260CE3" w:rsidTr="00710A65">
        <w:trPr>
          <w:cantSplit/>
          <w:trHeight w:val="2542"/>
        </w:trPr>
        <w:tc>
          <w:tcPr>
            <w:tcW w:w="2552" w:type="dxa"/>
            <w:tcBorders>
              <w:top w:val="single" w:sz="4" w:space="0" w:color="auto"/>
              <w:left w:val="single" w:sz="4" w:space="0" w:color="auto"/>
              <w:bottom w:val="single" w:sz="4" w:space="0" w:color="auto"/>
              <w:right w:val="single" w:sz="4" w:space="0" w:color="auto"/>
            </w:tcBorders>
          </w:tcPr>
          <w:p w:rsidR="000939B8" w:rsidRPr="00044AC5" w:rsidRDefault="000939B8" w:rsidP="004439FD">
            <w:pPr>
              <w:rPr>
                <w:rFonts w:ascii="Arial Narrow" w:hAnsi="Arial Narrow"/>
                <w:b/>
                <w:sz w:val="20"/>
              </w:rPr>
            </w:pPr>
            <w:r w:rsidRPr="00260CE3">
              <w:rPr>
                <w:rFonts w:ascii="Arial Narrow" w:hAnsi="Arial Narrow"/>
                <w:b/>
                <w:sz w:val="20"/>
              </w:rPr>
              <w:lastRenderedPageBreak/>
              <w:t>Clinical criteria:</w:t>
            </w:r>
          </w:p>
        </w:tc>
        <w:tc>
          <w:tcPr>
            <w:tcW w:w="5811" w:type="dxa"/>
            <w:gridSpan w:val="6"/>
            <w:tcBorders>
              <w:top w:val="single" w:sz="4" w:space="0" w:color="auto"/>
              <w:left w:val="single" w:sz="4" w:space="0" w:color="auto"/>
              <w:bottom w:val="single" w:sz="4" w:space="0" w:color="auto"/>
              <w:right w:val="single" w:sz="4" w:space="0" w:color="auto"/>
            </w:tcBorders>
          </w:tcPr>
          <w:p w:rsidR="00523B5C" w:rsidRPr="00523B5C" w:rsidRDefault="00523B5C" w:rsidP="00523B5C">
            <w:pPr>
              <w:rPr>
                <w:rFonts w:ascii="Arial Narrow" w:hAnsi="Arial Narrow"/>
                <w:sz w:val="20"/>
              </w:rPr>
            </w:pPr>
            <w:r w:rsidRPr="00523B5C">
              <w:rPr>
                <w:rFonts w:ascii="Arial Narrow" w:hAnsi="Arial Narrow"/>
                <w:sz w:val="20"/>
              </w:rPr>
              <w:t>The treatment must be the sole PBS-subsidised therapy for this condition,</w:t>
            </w:r>
          </w:p>
          <w:p w:rsidR="00523B5C" w:rsidRPr="00523B5C" w:rsidRDefault="00523B5C" w:rsidP="00523B5C">
            <w:pPr>
              <w:rPr>
                <w:rFonts w:ascii="Arial Narrow" w:hAnsi="Arial Narrow"/>
                <w:sz w:val="20"/>
              </w:rPr>
            </w:pPr>
          </w:p>
          <w:p w:rsidR="00523B5C" w:rsidRPr="00523B5C" w:rsidRDefault="00523B5C" w:rsidP="00523B5C">
            <w:pPr>
              <w:rPr>
                <w:rFonts w:ascii="Arial Narrow" w:hAnsi="Arial Narrow"/>
                <w:sz w:val="20"/>
              </w:rPr>
            </w:pPr>
            <w:r w:rsidRPr="00523B5C">
              <w:rPr>
                <w:rFonts w:ascii="Arial Narrow" w:hAnsi="Arial Narrow"/>
                <w:sz w:val="20"/>
              </w:rPr>
              <w:t>AND</w:t>
            </w:r>
          </w:p>
          <w:p w:rsidR="00523B5C" w:rsidRPr="00523B5C" w:rsidRDefault="00523B5C" w:rsidP="00523B5C">
            <w:pPr>
              <w:rPr>
                <w:rFonts w:ascii="Arial Narrow" w:hAnsi="Arial Narrow"/>
                <w:sz w:val="20"/>
              </w:rPr>
            </w:pPr>
          </w:p>
          <w:p w:rsidR="00523B5C" w:rsidRPr="00523B5C" w:rsidRDefault="00523B5C" w:rsidP="00523B5C">
            <w:pPr>
              <w:rPr>
                <w:rFonts w:ascii="Arial Narrow" w:hAnsi="Arial Narrow"/>
                <w:sz w:val="20"/>
              </w:rPr>
            </w:pPr>
            <w:r w:rsidRPr="00523B5C">
              <w:rPr>
                <w:rFonts w:ascii="Arial Narrow" w:hAnsi="Arial Narrow"/>
                <w:sz w:val="20"/>
              </w:rPr>
              <w:t>The condition must be negative for a BRAF V600 mutation,</w:t>
            </w:r>
          </w:p>
          <w:p w:rsidR="00523B5C" w:rsidRPr="00523B5C" w:rsidRDefault="00523B5C" w:rsidP="00523B5C">
            <w:pPr>
              <w:rPr>
                <w:rFonts w:ascii="Arial Narrow" w:hAnsi="Arial Narrow"/>
                <w:sz w:val="20"/>
              </w:rPr>
            </w:pPr>
          </w:p>
          <w:p w:rsidR="00523B5C" w:rsidRPr="00523B5C" w:rsidRDefault="00523B5C" w:rsidP="00523B5C">
            <w:pPr>
              <w:rPr>
                <w:rFonts w:ascii="Arial Narrow" w:hAnsi="Arial Narrow"/>
                <w:sz w:val="20"/>
              </w:rPr>
            </w:pPr>
            <w:r w:rsidRPr="00523B5C">
              <w:rPr>
                <w:rFonts w:ascii="Arial Narrow" w:hAnsi="Arial Narrow"/>
                <w:sz w:val="20"/>
              </w:rPr>
              <w:t>AND</w:t>
            </w:r>
          </w:p>
          <w:p w:rsidR="00523B5C" w:rsidRDefault="00523B5C" w:rsidP="00523B5C">
            <w:pPr>
              <w:rPr>
                <w:rFonts w:ascii="Arial Narrow" w:hAnsi="Arial Narrow"/>
                <w:sz w:val="20"/>
              </w:rPr>
            </w:pPr>
          </w:p>
          <w:p w:rsidR="00CD6C32" w:rsidRPr="00784A31" w:rsidRDefault="00CD6C32" w:rsidP="00CD6C32">
            <w:pPr>
              <w:rPr>
                <w:rFonts w:ascii="Arial Narrow" w:hAnsi="Arial Narrow"/>
                <w:sz w:val="20"/>
              </w:rPr>
            </w:pPr>
            <w:r w:rsidRPr="00784A31">
              <w:rPr>
                <w:rFonts w:ascii="Arial Narrow" w:hAnsi="Arial Narrow"/>
                <w:sz w:val="20"/>
              </w:rPr>
              <w:t>Patient must not have received prior treatment with</w:t>
            </w:r>
            <w:r w:rsidRPr="002E285B">
              <w:rPr>
                <w:rFonts w:ascii="Arial Narrow" w:hAnsi="Arial Narrow"/>
                <w:i/>
                <w:sz w:val="20"/>
              </w:rPr>
              <w:t xml:space="preserve"> </w:t>
            </w:r>
            <w:r w:rsidRPr="00784A31">
              <w:rPr>
                <w:rFonts w:ascii="Arial Narrow" w:hAnsi="Arial Narrow"/>
                <w:sz w:val="20"/>
              </w:rPr>
              <w:t>ipilimumab</w:t>
            </w:r>
            <w:r>
              <w:rPr>
                <w:rFonts w:ascii="Arial Narrow" w:hAnsi="Arial Narrow"/>
                <w:sz w:val="20"/>
              </w:rPr>
              <w:t xml:space="preserve"> or a PD-1 inhibitor</w:t>
            </w:r>
            <w:r w:rsidR="00F504F0">
              <w:rPr>
                <w:rFonts w:ascii="Arial Narrow" w:hAnsi="Arial Narrow"/>
                <w:sz w:val="20"/>
              </w:rPr>
              <w:t>,</w:t>
            </w:r>
          </w:p>
          <w:p w:rsidR="00523B5C" w:rsidRPr="00523B5C" w:rsidRDefault="00523B5C" w:rsidP="00523B5C">
            <w:pPr>
              <w:rPr>
                <w:rFonts w:ascii="Arial Narrow" w:hAnsi="Arial Narrow"/>
                <w:sz w:val="20"/>
              </w:rPr>
            </w:pPr>
          </w:p>
          <w:p w:rsidR="00523B5C" w:rsidRPr="00523B5C" w:rsidRDefault="00523B5C" w:rsidP="00523B5C">
            <w:pPr>
              <w:rPr>
                <w:rFonts w:ascii="Arial Narrow" w:hAnsi="Arial Narrow"/>
                <w:sz w:val="20"/>
              </w:rPr>
            </w:pPr>
            <w:r w:rsidRPr="00523B5C">
              <w:rPr>
                <w:rFonts w:ascii="Arial Narrow" w:hAnsi="Arial Narrow"/>
                <w:sz w:val="20"/>
              </w:rPr>
              <w:t>AND</w:t>
            </w:r>
          </w:p>
          <w:p w:rsidR="000939B8" w:rsidRPr="00523B5C" w:rsidRDefault="000939B8" w:rsidP="000939B8">
            <w:pPr>
              <w:rPr>
                <w:rFonts w:ascii="Arial Narrow" w:hAnsi="Arial Narrow"/>
                <w:sz w:val="20"/>
              </w:rPr>
            </w:pPr>
          </w:p>
          <w:p w:rsidR="000939B8" w:rsidRPr="00D40D7C" w:rsidRDefault="000939B8" w:rsidP="008A63A3">
            <w:pPr>
              <w:rPr>
                <w:rFonts w:ascii="Arial Narrow" w:hAnsi="Arial Narrow"/>
                <w:i/>
                <w:sz w:val="20"/>
              </w:rPr>
            </w:pPr>
            <w:r w:rsidRPr="00523B5C">
              <w:rPr>
                <w:rFonts w:ascii="Arial Narrow" w:hAnsi="Arial Narrow"/>
                <w:sz w:val="20"/>
              </w:rPr>
              <w:t xml:space="preserve">The treatment must not exceed a total of </w:t>
            </w:r>
            <w:r w:rsidR="008A63A3">
              <w:rPr>
                <w:rFonts w:ascii="Arial Narrow" w:hAnsi="Arial Narrow"/>
                <w:sz w:val="20"/>
              </w:rPr>
              <w:t>9</w:t>
            </w:r>
            <w:r w:rsidRPr="00523B5C">
              <w:rPr>
                <w:rFonts w:ascii="Arial Narrow" w:hAnsi="Arial Narrow"/>
                <w:sz w:val="20"/>
              </w:rPr>
              <w:t xml:space="preserve"> doses at a maximum dose of 3</w:t>
            </w:r>
            <w:r w:rsidR="00F350D8">
              <w:rPr>
                <w:rFonts w:ascii="Arial Narrow" w:hAnsi="Arial Narrow"/>
                <w:sz w:val="20"/>
              </w:rPr>
              <w:t> </w:t>
            </w:r>
            <w:r w:rsidRPr="00523B5C">
              <w:rPr>
                <w:rFonts w:ascii="Arial Narrow" w:hAnsi="Arial Narrow"/>
                <w:sz w:val="20"/>
              </w:rPr>
              <w:t>mg per kg every 2 weeks.</w:t>
            </w:r>
          </w:p>
        </w:tc>
      </w:tr>
      <w:tr w:rsidR="000939B8" w:rsidRPr="00260CE3" w:rsidTr="00710A65">
        <w:trPr>
          <w:cantSplit/>
          <w:trHeight w:val="508"/>
        </w:trPr>
        <w:tc>
          <w:tcPr>
            <w:tcW w:w="2552" w:type="dxa"/>
            <w:tcBorders>
              <w:top w:val="single" w:sz="4" w:space="0" w:color="auto"/>
              <w:left w:val="single" w:sz="4" w:space="0" w:color="auto"/>
              <w:bottom w:val="single" w:sz="4" w:space="0" w:color="auto"/>
              <w:right w:val="single" w:sz="4" w:space="0" w:color="auto"/>
            </w:tcBorders>
          </w:tcPr>
          <w:p w:rsidR="000939B8" w:rsidRPr="00260CE3" w:rsidRDefault="000939B8" w:rsidP="004439FD">
            <w:pPr>
              <w:rPr>
                <w:rFonts w:ascii="Arial Narrow" w:hAnsi="Arial Narrow"/>
                <w:sz w:val="20"/>
              </w:rPr>
            </w:pPr>
            <w:r w:rsidRPr="00260CE3">
              <w:rPr>
                <w:rFonts w:ascii="Arial Narrow" w:hAnsi="Arial Narrow"/>
                <w:b/>
                <w:sz w:val="20"/>
              </w:rPr>
              <w:t>Prescriber Instructions</w:t>
            </w:r>
          </w:p>
        </w:tc>
        <w:tc>
          <w:tcPr>
            <w:tcW w:w="5811" w:type="dxa"/>
            <w:gridSpan w:val="6"/>
            <w:tcBorders>
              <w:top w:val="single" w:sz="4" w:space="0" w:color="auto"/>
              <w:left w:val="single" w:sz="4" w:space="0" w:color="auto"/>
              <w:bottom w:val="single" w:sz="4" w:space="0" w:color="auto"/>
              <w:right w:val="single" w:sz="4" w:space="0" w:color="auto"/>
            </w:tcBorders>
          </w:tcPr>
          <w:p w:rsidR="000939B8" w:rsidRPr="00435F1B" w:rsidRDefault="000939B8" w:rsidP="004439FD">
            <w:pPr>
              <w:rPr>
                <w:rFonts w:ascii="Arial Narrow" w:hAnsi="Arial Narrow"/>
                <w:sz w:val="20"/>
              </w:rPr>
            </w:pPr>
            <w:r w:rsidRPr="00435F1B">
              <w:rPr>
                <w:rFonts w:ascii="Arial Narrow" w:hAnsi="Arial Narrow"/>
                <w:sz w:val="20"/>
              </w:rPr>
              <w:t>The patient’s body weight must be documented in the patient’s medical records at the time treatment is initiated.</w:t>
            </w:r>
          </w:p>
        </w:tc>
      </w:tr>
      <w:tr w:rsidR="000939B8" w:rsidRPr="00260CE3" w:rsidTr="00710A65">
        <w:trPr>
          <w:cantSplit/>
          <w:trHeight w:val="516"/>
        </w:trPr>
        <w:tc>
          <w:tcPr>
            <w:tcW w:w="2552" w:type="dxa"/>
            <w:tcBorders>
              <w:top w:val="single" w:sz="4" w:space="0" w:color="auto"/>
              <w:left w:val="single" w:sz="4" w:space="0" w:color="auto"/>
              <w:bottom w:val="single" w:sz="4" w:space="0" w:color="auto"/>
              <w:right w:val="single" w:sz="4" w:space="0" w:color="auto"/>
            </w:tcBorders>
          </w:tcPr>
          <w:p w:rsidR="000939B8" w:rsidRPr="00C0121C" w:rsidRDefault="000939B8" w:rsidP="004439FD">
            <w:pPr>
              <w:rPr>
                <w:rFonts w:ascii="Arial Narrow" w:hAnsi="Arial Narrow"/>
                <w:b/>
                <w:sz w:val="20"/>
              </w:rPr>
            </w:pPr>
            <w:r w:rsidRPr="00260CE3">
              <w:rPr>
                <w:rFonts w:ascii="Arial Narrow" w:hAnsi="Arial Narrow"/>
                <w:b/>
                <w:sz w:val="20"/>
              </w:rPr>
              <w:t>Administrative Advice</w:t>
            </w:r>
          </w:p>
        </w:tc>
        <w:tc>
          <w:tcPr>
            <w:tcW w:w="5811" w:type="dxa"/>
            <w:gridSpan w:val="6"/>
            <w:tcBorders>
              <w:top w:val="single" w:sz="4" w:space="0" w:color="auto"/>
              <w:left w:val="single" w:sz="4" w:space="0" w:color="auto"/>
              <w:bottom w:val="single" w:sz="4" w:space="0" w:color="auto"/>
              <w:right w:val="single" w:sz="4" w:space="0" w:color="auto"/>
            </w:tcBorders>
          </w:tcPr>
          <w:p w:rsidR="00523B5C" w:rsidRDefault="000939B8" w:rsidP="004439FD">
            <w:pPr>
              <w:rPr>
                <w:rFonts w:ascii="Arial Narrow" w:hAnsi="Arial Narrow"/>
                <w:sz w:val="20"/>
              </w:rPr>
            </w:pPr>
            <w:r w:rsidRPr="00435F1B">
              <w:rPr>
                <w:rFonts w:ascii="Arial Narrow" w:hAnsi="Arial Narrow"/>
                <w:sz w:val="20"/>
              </w:rPr>
              <w:t>No increase in the maximum number of repeats may be authorised.</w:t>
            </w:r>
          </w:p>
          <w:p w:rsidR="002E285B" w:rsidRDefault="002E285B" w:rsidP="002E285B">
            <w:pPr>
              <w:rPr>
                <w:rFonts w:ascii="Arial Narrow" w:hAnsi="Arial Narrow"/>
                <w:sz w:val="20"/>
              </w:rPr>
            </w:pPr>
          </w:p>
          <w:p w:rsidR="00523B5C" w:rsidRPr="00523B5C" w:rsidRDefault="00C35205" w:rsidP="00307221">
            <w:pPr>
              <w:rPr>
                <w:rFonts w:ascii="Arial Narrow" w:hAnsi="Arial Narrow"/>
                <w:sz w:val="20"/>
              </w:rPr>
            </w:pPr>
            <w:r w:rsidRPr="00BB7D0C">
              <w:rPr>
                <w:rFonts w:ascii="Arial Narrow" w:hAnsi="Arial Narrow"/>
                <w:sz w:val="20"/>
              </w:rPr>
              <w:t>In the first few months after start of immunotherapy, some patients can have a transient tumour flare with subsequent disease response. When progression is suspected, this should be confirmed through a confirmatory scan, taken at least 4 weeks later</w:t>
            </w:r>
            <w:r w:rsidR="00307221">
              <w:rPr>
                <w:rFonts w:ascii="Arial Narrow" w:hAnsi="Arial Narrow"/>
                <w:sz w:val="20"/>
              </w:rPr>
              <w:t>.</w:t>
            </w:r>
          </w:p>
        </w:tc>
      </w:tr>
    </w:tbl>
    <w:p w:rsidR="004439FD" w:rsidRDefault="004439FD" w:rsidP="00191CC2">
      <w:pPr>
        <w:rPr>
          <w:bCs/>
          <w:szCs w:val="22"/>
          <w:highlight w:val="yellow"/>
        </w:rPr>
      </w:pPr>
    </w:p>
    <w:tbl>
      <w:tblPr>
        <w:tblW w:w="8363" w:type="dxa"/>
        <w:tblInd w:w="817" w:type="dxa"/>
        <w:tblLayout w:type="fixed"/>
        <w:tblLook w:val="0000" w:firstRow="0" w:lastRow="0" w:firstColumn="0" w:lastColumn="0" w:noHBand="0" w:noVBand="0"/>
      </w:tblPr>
      <w:tblGrid>
        <w:gridCol w:w="2552"/>
        <w:gridCol w:w="5811"/>
      </w:tblGrid>
      <w:tr w:rsidR="004439FD" w:rsidRPr="00260CE3" w:rsidTr="00710A65">
        <w:trPr>
          <w:cantSplit/>
          <w:trHeight w:val="360"/>
        </w:trPr>
        <w:tc>
          <w:tcPr>
            <w:tcW w:w="2552" w:type="dxa"/>
            <w:tcBorders>
              <w:top w:val="single" w:sz="4" w:space="0" w:color="auto"/>
              <w:left w:val="single" w:sz="4" w:space="0" w:color="auto"/>
              <w:bottom w:val="single" w:sz="4" w:space="0" w:color="auto"/>
              <w:right w:val="single" w:sz="4" w:space="0" w:color="auto"/>
            </w:tcBorders>
          </w:tcPr>
          <w:p w:rsidR="004439FD" w:rsidRPr="00260CE3" w:rsidRDefault="004439FD" w:rsidP="004439FD">
            <w:pPr>
              <w:rPr>
                <w:rFonts w:ascii="Arial Narrow" w:hAnsi="Arial Narrow"/>
                <w:b/>
                <w:sz w:val="20"/>
              </w:rPr>
            </w:pPr>
            <w:r w:rsidRPr="00260CE3">
              <w:rPr>
                <w:rFonts w:ascii="Arial Narrow" w:hAnsi="Arial Narrow"/>
                <w:b/>
                <w:sz w:val="20"/>
              </w:rPr>
              <w:t>Category / Program</w:t>
            </w:r>
          </w:p>
        </w:tc>
        <w:tc>
          <w:tcPr>
            <w:tcW w:w="5811" w:type="dxa"/>
            <w:tcBorders>
              <w:top w:val="single" w:sz="4" w:space="0" w:color="auto"/>
              <w:left w:val="single" w:sz="4" w:space="0" w:color="auto"/>
              <w:bottom w:val="single" w:sz="4" w:space="0" w:color="auto"/>
              <w:right w:val="single" w:sz="4" w:space="0" w:color="auto"/>
            </w:tcBorders>
          </w:tcPr>
          <w:p w:rsidR="004439FD" w:rsidRPr="00260CE3" w:rsidRDefault="004439FD" w:rsidP="004439FD">
            <w:pPr>
              <w:rPr>
                <w:rFonts w:ascii="Arial Narrow" w:hAnsi="Arial Narrow"/>
                <w:sz w:val="20"/>
              </w:rPr>
            </w:pPr>
            <w:r w:rsidRPr="00260CE3">
              <w:rPr>
                <w:rFonts w:ascii="Arial Narrow" w:hAnsi="Arial Narrow"/>
                <w:sz w:val="20"/>
              </w:rPr>
              <w:t xml:space="preserve">Section 100 – </w:t>
            </w:r>
            <w:r>
              <w:rPr>
                <w:rFonts w:ascii="Arial Narrow" w:hAnsi="Arial Narrow"/>
                <w:sz w:val="20"/>
              </w:rPr>
              <w:t xml:space="preserve">Efficient Funding of </w:t>
            </w:r>
            <w:r w:rsidRPr="00260CE3">
              <w:rPr>
                <w:rFonts w:ascii="Arial Narrow" w:hAnsi="Arial Narrow"/>
                <w:sz w:val="20"/>
              </w:rPr>
              <w:t>Chemotherapy</w:t>
            </w:r>
          </w:p>
        </w:tc>
      </w:tr>
      <w:tr w:rsidR="004439FD" w:rsidRPr="00260CE3" w:rsidTr="00710A65">
        <w:trPr>
          <w:cantSplit/>
          <w:trHeight w:val="360"/>
        </w:trPr>
        <w:tc>
          <w:tcPr>
            <w:tcW w:w="2552" w:type="dxa"/>
            <w:tcBorders>
              <w:top w:val="single" w:sz="4" w:space="0" w:color="auto"/>
              <w:left w:val="single" w:sz="4" w:space="0" w:color="auto"/>
              <w:bottom w:val="single" w:sz="4" w:space="0" w:color="auto"/>
              <w:right w:val="single" w:sz="4" w:space="0" w:color="auto"/>
            </w:tcBorders>
          </w:tcPr>
          <w:p w:rsidR="004439FD" w:rsidRPr="00260CE3" w:rsidRDefault="004439FD" w:rsidP="004439FD">
            <w:pPr>
              <w:rPr>
                <w:rFonts w:ascii="Arial Narrow" w:hAnsi="Arial Narrow"/>
                <w:b/>
                <w:sz w:val="20"/>
              </w:rPr>
            </w:pPr>
            <w:r w:rsidRPr="00260CE3">
              <w:rPr>
                <w:rFonts w:ascii="Arial Narrow" w:hAnsi="Arial Narrow"/>
                <w:b/>
                <w:sz w:val="20"/>
              </w:rPr>
              <w:t>Prescriber type:</w:t>
            </w:r>
          </w:p>
        </w:tc>
        <w:tc>
          <w:tcPr>
            <w:tcW w:w="5811" w:type="dxa"/>
            <w:tcBorders>
              <w:top w:val="single" w:sz="4" w:space="0" w:color="auto"/>
              <w:left w:val="single" w:sz="4" w:space="0" w:color="auto"/>
              <w:bottom w:val="single" w:sz="4" w:space="0" w:color="auto"/>
              <w:right w:val="single" w:sz="4" w:space="0" w:color="auto"/>
            </w:tcBorders>
          </w:tcPr>
          <w:p w:rsidR="004439FD" w:rsidRPr="00260CE3" w:rsidRDefault="004439FD" w:rsidP="004439FD">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r>
              <w:rPr>
                <w:rFonts w:ascii="Arial Narrow" w:hAnsi="Arial Narrow"/>
                <w:sz w:val="20"/>
              </w:rPr>
              <w:t xml:space="preserve">  </w:t>
            </w: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4439FD" w:rsidRPr="00260CE3" w:rsidTr="00710A65">
        <w:trPr>
          <w:cantSplit/>
          <w:trHeight w:val="360"/>
        </w:trPr>
        <w:tc>
          <w:tcPr>
            <w:tcW w:w="2552" w:type="dxa"/>
            <w:tcBorders>
              <w:top w:val="single" w:sz="4" w:space="0" w:color="auto"/>
              <w:left w:val="single" w:sz="4" w:space="0" w:color="auto"/>
              <w:bottom w:val="single" w:sz="4" w:space="0" w:color="auto"/>
              <w:right w:val="single" w:sz="4" w:space="0" w:color="auto"/>
            </w:tcBorders>
          </w:tcPr>
          <w:p w:rsidR="004439FD" w:rsidRPr="00260CE3" w:rsidRDefault="004439FD" w:rsidP="004439FD">
            <w:pPr>
              <w:rPr>
                <w:rFonts w:ascii="Arial Narrow" w:hAnsi="Arial Narrow"/>
                <w:b/>
                <w:sz w:val="20"/>
              </w:rPr>
            </w:pPr>
            <w:r w:rsidRPr="00260CE3">
              <w:rPr>
                <w:rFonts w:ascii="Arial Narrow" w:hAnsi="Arial Narrow"/>
                <w:b/>
                <w:sz w:val="20"/>
              </w:rPr>
              <w:t>Episodicity:</w:t>
            </w:r>
          </w:p>
        </w:tc>
        <w:tc>
          <w:tcPr>
            <w:tcW w:w="5811" w:type="dxa"/>
            <w:tcBorders>
              <w:top w:val="single" w:sz="4" w:space="0" w:color="auto"/>
              <w:left w:val="single" w:sz="4" w:space="0" w:color="auto"/>
              <w:bottom w:val="single" w:sz="4" w:space="0" w:color="auto"/>
              <w:right w:val="single" w:sz="4" w:space="0" w:color="auto"/>
            </w:tcBorders>
          </w:tcPr>
          <w:p w:rsidR="004439FD" w:rsidRPr="00260CE3" w:rsidRDefault="004439FD" w:rsidP="004439FD">
            <w:pPr>
              <w:rPr>
                <w:rFonts w:ascii="Arial Narrow" w:hAnsi="Arial Narrow"/>
                <w:sz w:val="20"/>
              </w:rPr>
            </w:pPr>
            <w:r>
              <w:rPr>
                <w:rFonts w:ascii="Arial Narrow" w:hAnsi="Arial Narrow"/>
                <w:sz w:val="20"/>
              </w:rPr>
              <w:t>-</w:t>
            </w:r>
          </w:p>
        </w:tc>
      </w:tr>
      <w:tr w:rsidR="004439FD" w:rsidRPr="00260CE3" w:rsidTr="00710A65">
        <w:trPr>
          <w:cantSplit/>
          <w:trHeight w:val="360"/>
        </w:trPr>
        <w:tc>
          <w:tcPr>
            <w:tcW w:w="2552" w:type="dxa"/>
            <w:tcBorders>
              <w:top w:val="single" w:sz="4" w:space="0" w:color="auto"/>
              <w:left w:val="single" w:sz="4" w:space="0" w:color="auto"/>
              <w:bottom w:val="single" w:sz="4" w:space="0" w:color="auto"/>
              <w:right w:val="single" w:sz="4" w:space="0" w:color="auto"/>
            </w:tcBorders>
          </w:tcPr>
          <w:p w:rsidR="004439FD" w:rsidRPr="00260CE3" w:rsidRDefault="004439FD" w:rsidP="004439FD">
            <w:pPr>
              <w:rPr>
                <w:rFonts w:ascii="Arial Narrow" w:hAnsi="Arial Narrow"/>
                <w:b/>
                <w:sz w:val="20"/>
              </w:rPr>
            </w:pPr>
            <w:r w:rsidRPr="00260CE3">
              <w:rPr>
                <w:rFonts w:ascii="Arial Narrow" w:hAnsi="Arial Narrow"/>
                <w:b/>
                <w:sz w:val="20"/>
              </w:rPr>
              <w:t>Severity:</w:t>
            </w:r>
          </w:p>
        </w:tc>
        <w:tc>
          <w:tcPr>
            <w:tcW w:w="5811" w:type="dxa"/>
            <w:tcBorders>
              <w:top w:val="single" w:sz="4" w:space="0" w:color="auto"/>
              <w:left w:val="single" w:sz="4" w:space="0" w:color="auto"/>
              <w:bottom w:val="single" w:sz="4" w:space="0" w:color="auto"/>
              <w:right w:val="single" w:sz="4" w:space="0" w:color="auto"/>
            </w:tcBorders>
          </w:tcPr>
          <w:p w:rsidR="004439FD" w:rsidRPr="00260CE3" w:rsidRDefault="004439FD" w:rsidP="004439FD">
            <w:pPr>
              <w:rPr>
                <w:rFonts w:ascii="Arial Narrow" w:hAnsi="Arial Narrow"/>
                <w:sz w:val="20"/>
              </w:rPr>
            </w:pPr>
            <w:r>
              <w:rPr>
                <w:rFonts w:ascii="Arial Narrow" w:hAnsi="Arial Narrow"/>
                <w:sz w:val="20"/>
              </w:rPr>
              <w:t>Unresectable Stage III or Stage IV</w:t>
            </w:r>
          </w:p>
        </w:tc>
      </w:tr>
      <w:tr w:rsidR="004439FD" w:rsidRPr="00260CE3" w:rsidTr="00710A65">
        <w:trPr>
          <w:cantSplit/>
          <w:trHeight w:val="360"/>
        </w:trPr>
        <w:tc>
          <w:tcPr>
            <w:tcW w:w="2552" w:type="dxa"/>
            <w:tcBorders>
              <w:top w:val="single" w:sz="4" w:space="0" w:color="auto"/>
              <w:left w:val="single" w:sz="4" w:space="0" w:color="auto"/>
              <w:bottom w:val="single" w:sz="4" w:space="0" w:color="auto"/>
              <w:right w:val="single" w:sz="4" w:space="0" w:color="auto"/>
            </w:tcBorders>
          </w:tcPr>
          <w:p w:rsidR="004439FD" w:rsidRPr="00260CE3" w:rsidRDefault="004439FD" w:rsidP="004439FD">
            <w:pPr>
              <w:rPr>
                <w:rFonts w:ascii="Arial Narrow" w:hAnsi="Arial Narrow"/>
                <w:b/>
                <w:sz w:val="20"/>
              </w:rPr>
            </w:pPr>
            <w:r w:rsidRPr="00260CE3">
              <w:rPr>
                <w:rFonts w:ascii="Arial Narrow" w:hAnsi="Arial Narrow"/>
                <w:b/>
                <w:sz w:val="20"/>
              </w:rPr>
              <w:t>Condition:</w:t>
            </w:r>
          </w:p>
        </w:tc>
        <w:tc>
          <w:tcPr>
            <w:tcW w:w="5811" w:type="dxa"/>
            <w:tcBorders>
              <w:top w:val="single" w:sz="4" w:space="0" w:color="auto"/>
              <w:left w:val="single" w:sz="4" w:space="0" w:color="auto"/>
              <w:bottom w:val="single" w:sz="4" w:space="0" w:color="auto"/>
              <w:right w:val="single" w:sz="4" w:space="0" w:color="auto"/>
            </w:tcBorders>
          </w:tcPr>
          <w:p w:rsidR="004439FD" w:rsidRPr="00260CE3" w:rsidRDefault="004439FD" w:rsidP="004439FD">
            <w:pPr>
              <w:rPr>
                <w:rFonts w:ascii="Arial Narrow" w:hAnsi="Arial Narrow"/>
                <w:sz w:val="20"/>
              </w:rPr>
            </w:pPr>
            <w:r>
              <w:rPr>
                <w:rFonts w:ascii="Arial Narrow" w:hAnsi="Arial Narrow"/>
                <w:sz w:val="20"/>
              </w:rPr>
              <w:t>Malignant melanoma</w:t>
            </w:r>
          </w:p>
        </w:tc>
      </w:tr>
      <w:tr w:rsidR="004439FD" w:rsidRPr="00260CE3" w:rsidTr="00710A65">
        <w:trPr>
          <w:cantSplit/>
          <w:trHeight w:val="360"/>
        </w:trPr>
        <w:tc>
          <w:tcPr>
            <w:tcW w:w="2552" w:type="dxa"/>
            <w:tcBorders>
              <w:top w:val="single" w:sz="4" w:space="0" w:color="auto"/>
              <w:left w:val="single" w:sz="4" w:space="0" w:color="auto"/>
              <w:bottom w:val="single" w:sz="4" w:space="0" w:color="auto"/>
              <w:right w:val="single" w:sz="4" w:space="0" w:color="auto"/>
            </w:tcBorders>
          </w:tcPr>
          <w:p w:rsidR="004439FD" w:rsidRPr="00260CE3" w:rsidRDefault="004439FD" w:rsidP="004439FD">
            <w:pPr>
              <w:rPr>
                <w:rFonts w:ascii="Arial Narrow" w:hAnsi="Arial Narrow"/>
                <w:b/>
                <w:sz w:val="20"/>
              </w:rPr>
            </w:pPr>
            <w:r w:rsidRPr="00260CE3">
              <w:rPr>
                <w:rFonts w:ascii="Arial Narrow" w:hAnsi="Arial Narrow"/>
                <w:b/>
                <w:sz w:val="20"/>
              </w:rPr>
              <w:t>PBS Indication:</w:t>
            </w:r>
          </w:p>
        </w:tc>
        <w:tc>
          <w:tcPr>
            <w:tcW w:w="5811" w:type="dxa"/>
            <w:tcBorders>
              <w:top w:val="single" w:sz="4" w:space="0" w:color="auto"/>
              <w:left w:val="single" w:sz="4" w:space="0" w:color="auto"/>
              <w:bottom w:val="single" w:sz="4" w:space="0" w:color="auto"/>
              <w:right w:val="single" w:sz="4" w:space="0" w:color="auto"/>
            </w:tcBorders>
          </w:tcPr>
          <w:p w:rsidR="004439FD" w:rsidRPr="00260CE3" w:rsidRDefault="004439FD" w:rsidP="004439FD">
            <w:pPr>
              <w:rPr>
                <w:rFonts w:ascii="Arial Narrow" w:hAnsi="Arial Narrow"/>
                <w:sz w:val="20"/>
              </w:rPr>
            </w:pPr>
            <w:r>
              <w:rPr>
                <w:rFonts w:ascii="Arial Narrow" w:hAnsi="Arial Narrow"/>
                <w:sz w:val="20"/>
              </w:rPr>
              <w:t>Unresectable Stage III or Stage IV malignant melanoma</w:t>
            </w:r>
          </w:p>
        </w:tc>
      </w:tr>
      <w:tr w:rsidR="004439FD" w:rsidRPr="00260CE3" w:rsidTr="00710A65">
        <w:trPr>
          <w:cantSplit/>
          <w:trHeight w:val="360"/>
        </w:trPr>
        <w:tc>
          <w:tcPr>
            <w:tcW w:w="2552" w:type="dxa"/>
            <w:tcBorders>
              <w:top w:val="single" w:sz="4" w:space="0" w:color="auto"/>
              <w:left w:val="single" w:sz="4" w:space="0" w:color="auto"/>
              <w:bottom w:val="single" w:sz="4" w:space="0" w:color="auto"/>
              <w:right w:val="single" w:sz="4" w:space="0" w:color="auto"/>
            </w:tcBorders>
          </w:tcPr>
          <w:p w:rsidR="004439FD" w:rsidRPr="00C0121C" w:rsidRDefault="004439FD" w:rsidP="004439FD">
            <w:pPr>
              <w:rPr>
                <w:rFonts w:ascii="Arial Narrow" w:hAnsi="Arial Narrow"/>
                <w:b/>
                <w:sz w:val="20"/>
              </w:rPr>
            </w:pPr>
            <w:r w:rsidRPr="00260CE3">
              <w:rPr>
                <w:rFonts w:ascii="Arial Narrow" w:hAnsi="Arial Narrow"/>
                <w:b/>
                <w:sz w:val="20"/>
              </w:rPr>
              <w:t>Treatment phase:</w:t>
            </w:r>
          </w:p>
        </w:tc>
        <w:tc>
          <w:tcPr>
            <w:tcW w:w="5811" w:type="dxa"/>
            <w:tcBorders>
              <w:top w:val="single" w:sz="4" w:space="0" w:color="auto"/>
              <w:left w:val="single" w:sz="4" w:space="0" w:color="auto"/>
              <w:bottom w:val="single" w:sz="4" w:space="0" w:color="auto"/>
              <w:right w:val="single" w:sz="4" w:space="0" w:color="auto"/>
            </w:tcBorders>
          </w:tcPr>
          <w:p w:rsidR="004439FD" w:rsidRPr="00260CE3" w:rsidRDefault="004439FD" w:rsidP="004439FD">
            <w:pPr>
              <w:rPr>
                <w:rFonts w:ascii="Arial Narrow" w:hAnsi="Arial Narrow"/>
                <w:sz w:val="20"/>
              </w:rPr>
            </w:pPr>
            <w:r>
              <w:rPr>
                <w:rFonts w:ascii="Arial Narrow" w:hAnsi="Arial Narrow"/>
                <w:sz w:val="20"/>
              </w:rPr>
              <w:t>Initial</w:t>
            </w:r>
          </w:p>
        </w:tc>
      </w:tr>
      <w:tr w:rsidR="004439FD" w:rsidRPr="00260CE3" w:rsidTr="00710A65">
        <w:trPr>
          <w:cantSplit/>
          <w:trHeight w:val="360"/>
        </w:trPr>
        <w:tc>
          <w:tcPr>
            <w:tcW w:w="2552" w:type="dxa"/>
            <w:tcBorders>
              <w:top w:val="single" w:sz="4" w:space="0" w:color="auto"/>
              <w:left w:val="single" w:sz="4" w:space="0" w:color="auto"/>
              <w:bottom w:val="single" w:sz="4" w:space="0" w:color="auto"/>
              <w:right w:val="single" w:sz="4" w:space="0" w:color="auto"/>
            </w:tcBorders>
          </w:tcPr>
          <w:p w:rsidR="004439FD" w:rsidRPr="00C0121C" w:rsidRDefault="004439FD" w:rsidP="004439FD">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5811" w:type="dxa"/>
            <w:tcBorders>
              <w:top w:val="single" w:sz="4" w:space="0" w:color="auto"/>
              <w:left w:val="single" w:sz="4" w:space="0" w:color="auto"/>
              <w:bottom w:val="single" w:sz="4" w:space="0" w:color="auto"/>
              <w:right w:val="single" w:sz="4" w:space="0" w:color="auto"/>
            </w:tcBorders>
          </w:tcPr>
          <w:p w:rsidR="004439FD" w:rsidRPr="00106BCF" w:rsidRDefault="004439FD" w:rsidP="004439FD">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4439FD" w:rsidRPr="00106BCF" w:rsidRDefault="004439FD" w:rsidP="004439FD">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In Writing</w:t>
            </w:r>
          </w:p>
          <w:p w:rsidR="004439FD" w:rsidRPr="00106BCF" w:rsidRDefault="004439FD" w:rsidP="004439FD">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4439FD" w:rsidRPr="00106BCF" w:rsidRDefault="004439FD" w:rsidP="004439FD">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rsidR="004439FD" w:rsidRPr="00106BCF" w:rsidRDefault="004439FD" w:rsidP="004439FD">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4439FD" w:rsidRPr="00260CE3" w:rsidRDefault="004439FD" w:rsidP="004439FD">
            <w:pPr>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r>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Streamlined</w:t>
            </w:r>
          </w:p>
        </w:tc>
      </w:tr>
      <w:tr w:rsidR="004439FD" w:rsidRPr="00D40D7C" w:rsidTr="00710A65">
        <w:trPr>
          <w:cantSplit/>
          <w:trHeight w:val="3823"/>
        </w:trPr>
        <w:tc>
          <w:tcPr>
            <w:tcW w:w="2552" w:type="dxa"/>
            <w:tcBorders>
              <w:top w:val="single" w:sz="4" w:space="0" w:color="auto"/>
              <w:left w:val="single" w:sz="4" w:space="0" w:color="auto"/>
              <w:bottom w:val="single" w:sz="4" w:space="0" w:color="auto"/>
              <w:right w:val="single" w:sz="4" w:space="0" w:color="auto"/>
            </w:tcBorders>
          </w:tcPr>
          <w:p w:rsidR="004439FD" w:rsidRPr="00044AC5" w:rsidRDefault="004439FD" w:rsidP="004439FD">
            <w:pPr>
              <w:rPr>
                <w:rFonts w:ascii="Arial Narrow" w:hAnsi="Arial Narrow"/>
                <w:b/>
                <w:sz w:val="20"/>
              </w:rPr>
            </w:pPr>
            <w:r w:rsidRPr="00260CE3">
              <w:rPr>
                <w:rFonts w:ascii="Arial Narrow" w:hAnsi="Arial Narrow"/>
                <w:b/>
                <w:sz w:val="20"/>
              </w:rPr>
              <w:lastRenderedPageBreak/>
              <w:t>Clinical criteria:</w:t>
            </w:r>
          </w:p>
        </w:tc>
        <w:tc>
          <w:tcPr>
            <w:tcW w:w="5811" w:type="dxa"/>
            <w:tcBorders>
              <w:top w:val="single" w:sz="4" w:space="0" w:color="auto"/>
              <w:left w:val="single" w:sz="4" w:space="0" w:color="auto"/>
              <w:bottom w:val="single" w:sz="4" w:space="0" w:color="auto"/>
              <w:right w:val="single" w:sz="4" w:space="0" w:color="auto"/>
            </w:tcBorders>
          </w:tcPr>
          <w:p w:rsidR="00784A31" w:rsidRPr="00784A31" w:rsidRDefault="00784A31" w:rsidP="00784A31">
            <w:pPr>
              <w:rPr>
                <w:rFonts w:ascii="Arial Narrow" w:hAnsi="Arial Narrow"/>
                <w:sz w:val="20"/>
              </w:rPr>
            </w:pPr>
            <w:r w:rsidRPr="00784A31">
              <w:rPr>
                <w:rFonts w:ascii="Arial Narrow" w:hAnsi="Arial Narrow"/>
                <w:sz w:val="20"/>
              </w:rPr>
              <w:t>The treatment must be the sole PBS-subsidised therapy for this condition,</w:t>
            </w:r>
          </w:p>
          <w:p w:rsidR="00784A31" w:rsidRPr="00784A31" w:rsidRDefault="00784A31" w:rsidP="00784A31">
            <w:pPr>
              <w:rPr>
                <w:rFonts w:ascii="Arial Narrow" w:hAnsi="Arial Narrow"/>
                <w:sz w:val="20"/>
              </w:rPr>
            </w:pPr>
          </w:p>
          <w:p w:rsidR="00784A31" w:rsidRPr="00784A31" w:rsidRDefault="00784A31" w:rsidP="00784A31">
            <w:pPr>
              <w:rPr>
                <w:rFonts w:ascii="Arial Narrow" w:hAnsi="Arial Narrow"/>
                <w:sz w:val="20"/>
              </w:rPr>
            </w:pPr>
            <w:r w:rsidRPr="00784A31">
              <w:rPr>
                <w:rFonts w:ascii="Arial Narrow" w:hAnsi="Arial Narrow"/>
                <w:sz w:val="20"/>
              </w:rPr>
              <w:t>AND</w:t>
            </w:r>
          </w:p>
          <w:p w:rsidR="00784A31" w:rsidRPr="00784A31" w:rsidRDefault="00784A31" w:rsidP="00784A31">
            <w:pPr>
              <w:rPr>
                <w:rFonts w:ascii="Arial Narrow" w:hAnsi="Arial Narrow"/>
                <w:sz w:val="20"/>
              </w:rPr>
            </w:pPr>
          </w:p>
          <w:p w:rsidR="00784A31" w:rsidRPr="00784A31" w:rsidRDefault="00784A31" w:rsidP="00784A31">
            <w:pPr>
              <w:rPr>
                <w:rFonts w:ascii="Arial Narrow" w:hAnsi="Arial Narrow"/>
                <w:sz w:val="20"/>
              </w:rPr>
            </w:pPr>
            <w:r w:rsidRPr="00784A31">
              <w:rPr>
                <w:rFonts w:ascii="Arial Narrow" w:hAnsi="Arial Narrow"/>
                <w:sz w:val="20"/>
              </w:rPr>
              <w:t>The condition must be positive for a BRAF V600 mutation,</w:t>
            </w:r>
          </w:p>
          <w:p w:rsidR="00784A31" w:rsidRPr="00784A31" w:rsidRDefault="00784A31" w:rsidP="00784A31">
            <w:pPr>
              <w:rPr>
                <w:rFonts w:ascii="Arial Narrow" w:hAnsi="Arial Narrow"/>
                <w:sz w:val="20"/>
              </w:rPr>
            </w:pPr>
          </w:p>
          <w:p w:rsidR="00784A31" w:rsidRPr="00784A31" w:rsidRDefault="00784A31" w:rsidP="00784A31">
            <w:pPr>
              <w:rPr>
                <w:rFonts w:ascii="Arial Narrow" w:hAnsi="Arial Narrow"/>
                <w:sz w:val="20"/>
              </w:rPr>
            </w:pPr>
            <w:r w:rsidRPr="00784A31">
              <w:rPr>
                <w:rFonts w:ascii="Arial Narrow" w:hAnsi="Arial Narrow"/>
                <w:sz w:val="20"/>
              </w:rPr>
              <w:t>AND</w:t>
            </w:r>
          </w:p>
          <w:p w:rsidR="00784A31" w:rsidRPr="00784A31" w:rsidRDefault="00784A31" w:rsidP="00784A31">
            <w:pPr>
              <w:rPr>
                <w:rFonts w:ascii="Arial Narrow" w:hAnsi="Arial Narrow"/>
                <w:sz w:val="20"/>
              </w:rPr>
            </w:pPr>
          </w:p>
          <w:p w:rsidR="00784A31" w:rsidRPr="00784A31" w:rsidRDefault="00784A31" w:rsidP="00784A31">
            <w:pPr>
              <w:rPr>
                <w:rFonts w:ascii="Arial Narrow" w:hAnsi="Arial Narrow"/>
                <w:sz w:val="20"/>
              </w:rPr>
            </w:pPr>
            <w:r w:rsidRPr="00784A31">
              <w:rPr>
                <w:rFonts w:ascii="Arial Narrow" w:hAnsi="Arial Narrow"/>
                <w:sz w:val="20"/>
              </w:rPr>
              <w:t xml:space="preserve">The condition must have progressed following treatment with a BRAF inhibitor (with or without a MEK inhibitor) unless contraindicated or not tolerated according to the TGA approved Product Information, </w:t>
            </w:r>
          </w:p>
          <w:p w:rsidR="00784A31" w:rsidRPr="00784A31" w:rsidRDefault="00784A31" w:rsidP="00784A31">
            <w:pPr>
              <w:rPr>
                <w:rFonts w:ascii="Arial Narrow" w:hAnsi="Arial Narrow"/>
                <w:sz w:val="20"/>
              </w:rPr>
            </w:pPr>
          </w:p>
          <w:p w:rsidR="00784A31" w:rsidRPr="00784A31" w:rsidRDefault="00784A31" w:rsidP="00784A31">
            <w:pPr>
              <w:rPr>
                <w:rFonts w:ascii="Arial Narrow" w:hAnsi="Arial Narrow"/>
                <w:sz w:val="20"/>
              </w:rPr>
            </w:pPr>
            <w:r w:rsidRPr="00784A31">
              <w:rPr>
                <w:rFonts w:ascii="Arial Narrow" w:hAnsi="Arial Narrow"/>
                <w:sz w:val="20"/>
              </w:rPr>
              <w:t>AND</w:t>
            </w:r>
          </w:p>
          <w:p w:rsidR="00784A31" w:rsidRPr="00784A31" w:rsidRDefault="00784A31" w:rsidP="00784A31">
            <w:pPr>
              <w:rPr>
                <w:rFonts w:ascii="Arial Narrow" w:hAnsi="Arial Narrow"/>
                <w:sz w:val="20"/>
              </w:rPr>
            </w:pPr>
          </w:p>
          <w:p w:rsidR="00F85AE3" w:rsidRPr="00784A31" w:rsidRDefault="00784A31" w:rsidP="00F85AE3">
            <w:pPr>
              <w:rPr>
                <w:rFonts w:ascii="Arial Narrow" w:hAnsi="Arial Narrow"/>
                <w:sz w:val="20"/>
              </w:rPr>
            </w:pPr>
            <w:r w:rsidRPr="00784A31">
              <w:rPr>
                <w:rFonts w:ascii="Arial Narrow" w:hAnsi="Arial Narrow"/>
                <w:sz w:val="20"/>
              </w:rPr>
              <w:t>Patient must not have received prior treatment with</w:t>
            </w:r>
            <w:r w:rsidRPr="002E285B">
              <w:rPr>
                <w:rFonts w:ascii="Arial Narrow" w:hAnsi="Arial Narrow"/>
                <w:i/>
                <w:sz w:val="20"/>
              </w:rPr>
              <w:t xml:space="preserve"> </w:t>
            </w:r>
            <w:r w:rsidRPr="00784A31">
              <w:rPr>
                <w:rFonts w:ascii="Arial Narrow" w:hAnsi="Arial Narrow"/>
                <w:sz w:val="20"/>
              </w:rPr>
              <w:t>ipilimumab</w:t>
            </w:r>
            <w:r w:rsidR="008479C1">
              <w:rPr>
                <w:rFonts w:ascii="Arial Narrow" w:hAnsi="Arial Narrow"/>
                <w:sz w:val="20"/>
              </w:rPr>
              <w:t xml:space="preserve"> or a PD-1 inhibitor</w:t>
            </w:r>
          </w:p>
          <w:p w:rsidR="00784A31" w:rsidRPr="00784A31" w:rsidRDefault="00784A31" w:rsidP="00784A31">
            <w:pPr>
              <w:rPr>
                <w:rFonts w:ascii="Arial Narrow" w:hAnsi="Arial Narrow"/>
                <w:sz w:val="20"/>
              </w:rPr>
            </w:pPr>
          </w:p>
          <w:p w:rsidR="00784A31" w:rsidRPr="00784A31" w:rsidRDefault="00784A31" w:rsidP="00784A31">
            <w:pPr>
              <w:rPr>
                <w:rFonts w:ascii="Arial Narrow" w:hAnsi="Arial Narrow"/>
                <w:sz w:val="20"/>
              </w:rPr>
            </w:pPr>
            <w:r w:rsidRPr="00784A31">
              <w:rPr>
                <w:rFonts w:ascii="Arial Narrow" w:hAnsi="Arial Narrow"/>
                <w:sz w:val="20"/>
              </w:rPr>
              <w:t>AND</w:t>
            </w:r>
          </w:p>
          <w:p w:rsidR="00784A31" w:rsidRPr="00784A31" w:rsidRDefault="00784A31" w:rsidP="00784A31">
            <w:pPr>
              <w:rPr>
                <w:rFonts w:ascii="Arial Narrow" w:hAnsi="Arial Narrow"/>
                <w:sz w:val="20"/>
              </w:rPr>
            </w:pPr>
          </w:p>
          <w:p w:rsidR="004439FD" w:rsidRPr="005511F8" w:rsidRDefault="00784A31" w:rsidP="008A63A3">
            <w:pPr>
              <w:rPr>
                <w:rFonts w:ascii="Arial Narrow" w:hAnsi="Arial Narrow"/>
                <w:sz w:val="20"/>
              </w:rPr>
            </w:pPr>
            <w:r w:rsidRPr="00784A31">
              <w:rPr>
                <w:rFonts w:ascii="Arial Narrow" w:hAnsi="Arial Narrow"/>
                <w:sz w:val="20"/>
              </w:rPr>
              <w:t xml:space="preserve">The treatment must not exceed a total of </w:t>
            </w:r>
            <w:r w:rsidR="008A63A3">
              <w:rPr>
                <w:rFonts w:ascii="Arial Narrow" w:hAnsi="Arial Narrow"/>
                <w:sz w:val="20"/>
              </w:rPr>
              <w:t>9</w:t>
            </w:r>
            <w:r w:rsidRPr="00784A31">
              <w:rPr>
                <w:rFonts w:ascii="Arial Narrow" w:hAnsi="Arial Narrow"/>
                <w:sz w:val="20"/>
              </w:rPr>
              <w:t xml:space="preserve"> doses at a maximum dose of </w:t>
            </w:r>
            <w:r w:rsidR="007438AF">
              <w:rPr>
                <w:rFonts w:ascii="Arial Narrow" w:hAnsi="Arial Narrow"/>
                <w:sz w:val="20"/>
              </w:rPr>
              <w:t>3</w:t>
            </w:r>
            <w:r w:rsidR="002E285B">
              <w:rPr>
                <w:rFonts w:ascii="Arial Narrow" w:hAnsi="Arial Narrow"/>
                <w:sz w:val="20"/>
              </w:rPr>
              <w:t> </w:t>
            </w:r>
            <w:r w:rsidRPr="00784A31">
              <w:rPr>
                <w:rFonts w:ascii="Arial Narrow" w:hAnsi="Arial Narrow"/>
                <w:sz w:val="20"/>
              </w:rPr>
              <w:t xml:space="preserve">mg per kg every </w:t>
            </w:r>
            <w:r w:rsidR="007438AF">
              <w:rPr>
                <w:rFonts w:ascii="Arial Narrow" w:hAnsi="Arial Narrow"/>
                <w:sz w:val="20"/>
              </w:rPr>
              <w:t>2</w:t>
            </w:r>
            <w:r w:rsidR="005511F8">
              <w:rPr>
                <w:rFonts w:ascii="Arial Narrow" w:hAnsi="Arial Narrow"/>
                <w:sz w:val="20"/>
              </w:rPr>
              <w:t xml:space="preserve"> weeks.</w:t>
            </w:r>
          </w:p>
        </w:tc>
      </w:tr>
      <w:tr w:rsidR="004439FD" w:rsidRPr="00260CE3" w:rsidTr="00710A65">
        <w:trPr>
          <w:cantSplit/>
          <w:trHeight w:val="508"/>
        </w:trPr>
        <w:tc>
          <w:tcPr>
            <w:tcW w:w="2552" w:type="dxa"/>
            <w:tcBorders>
              <w:top w:val="single" w:sz="4" w:space="0" w:color="auto"/>
              <w:left w:val="single" w:sz="4" w:space="0" w:color="auto"/>
              <w:bottom w:val="single" w:sz="4" w:space="0" w:color="auto"/>
              <w:right w:val="single" w:sz="4" w:space="0" w:color="auto"/>
            </w:tcBorders>
          </w:tcPr>
          <w:p w:rsidR="004439FD" w:rsidRPr="00260CE3" w:rsidRDefault="004439FD" w:rsidP="004439FD">
            <w:pPr>
              <w:rPr>
                <w:rFonts w:ascii="Arial Narrow" w:hAnsi="Arial Narrow"/>
                <w:b/>
                <w:sz w:val="20"/>
              </w:rPr>
            </w:pPr>
            <w:r w:rsidRPr="00260CE3">
              <w:rPr>
                <w:rFonts w:ascii="Arial Narrow" w:hAnsi="Arial Narrow"/>
                <w:b/>
                <w:sz w:val="20"/>
              </w:rPr>
              <w:t>Prescriber Instructions</w:t>
            </w:r>
          </w:p>
          <w:p w:rsidR="004439FD" w:rsidRPr="00260CE3" w:rsidRDefault="004439FD" w:rsidP="004439FD">
            <w:pPr>
              <w:rPr>
                <w:rFonts w:ascii="Arial Narrow" w:hAnsi="Arial Narrow"/>
                <w:sz w:val="20"/>
              </w:rPr>
            </w:pPr>
          </w:p>
        </w:tc>
        <w:tc>
          <w:tcPr>
            <w:tcW w:w="5811" w:type="dxa"/>
            <w:tcBorders>
              <w:top w:val="single" w:sz="4" w:space="0" w:color="auto"/>
              <w:left w:val="single" w:sz="4" w:space="0" w:color="auto"/>
              <w:bottom w:val="single" w:sz="4" w:space="0" w:color="auto"/>
              <w:right w:val="single" w:sz="4" w:space="0" w:color="auto"/>
            </w:tcBorders>
          </w:tcPr>
          <w:p w:rsidR="004439FD" w:rsidRPr="00260CE3" w:rsidRDefault="004439FD" w:rsidP="004439FD">
            <w:pPr>
              <w:rPr>
                <w:rFonts w:ascii="Arial Narrow" w:hAnsi="Arial Narrow"/>
                <w:sz w:val="20"/>
              </w:rPr>
            </w:pPr>
            <w:r w:rsidRPr="00C0121C">
              <w:rPr>
                <w:rFonts w:ascii="Arial Narrow" w:hAnsi="Arial Narrow"/>
                <w:sz w:val="20"/>
              </w:rPr>
              <w:t>The patient’s body weight must be documented in the patient’s medical records at the time treatment is initiated.</w:t>
            </w:r>
          </w:p>
        </w:tc>
      </w:tr>
      <w:tr w:rsidR="004439FD" w:rsidRPr="00E21DAB" w:rsidTr="00710A65">
        <w:trPr>
          <w:cantSplit/>
          <w:trHeight w:val="591"/>
        </w:trPr>
        <w:tc>
          <w:tcPr>
            <w:tcW w:w="2552" w:type="dxa"/>
            <w:tcBorders>
              <w:top w:val="single" w:sz="4" w:space="0" w:color="auto"/>
              <w:left w:val="single" w:sz="4" w:space="0" w:color="auto"/>
              <w:bottom w:val="single" w:sz="4" w:space="0" w:color="auto"/>
              <w:right w:val="single" w:sz="4" w:space="0" w:color="auto"/>
            </w:tcBorders>
          </w:tcPr>
          <w:p w:rsidR="004439FD" w:rsidRPr="00C0121C" w:rsidRDefault="004439FD" w:rsidP="004439FD">
            <w:pPr>
              <w:rPr>
                <w:rFonts w:ascii="Arial Narrow" w:hAnsi="Arial Narrow"/>
                <w:b/>
                <w:sz w:val="20"/>
              </w:rPr>
            </w:pPr>
            <w:r w:rsidRPr="00260CE3">
              <w:rPr>
                <w:rFonts w:ascii="Arial Narrow" w:hAnsi="Arial Narrow"/>
                <w:b/>
                <w:sz w:val="20"/>
              </w:rPr>
              <w:t>Administrative Advice</w:t>
            </w:r>
          </w:p>
        </w:tc>
        <w:tc>
          <w:tcPr>
            <w:tcW w:w="5811" w:type="dxa"/>
            <w:tcBorders>
              <w:top w:val="single" w:sz="4" w:space="0" w:color="auto"/>
              <w:left w:val="single" w:sz="4" w:space="0" w:color="auto"/>
              <w:bottom w:val="single" w:sz="4" w:space="0" w:color="auto"/>
              <w:right w:val="single" w:sz="4" w:space="0" w:color="auto"/>
            </w:tcBorders>
          </w:tcPr>
          <w:p w:rsidR="004439FD" w:rsidRDefault="004439FD" w:rsidP="004439FD">
            <w:pPr>
              <w:rPr>
                <w:rFonts w:ascii="Arial Narrow" w:hAnsi="Arial Narrow"/>
                <w:sz w:val="20"/>
              </w:rPr>
            </w:pPr>
            <w:r w:rsidRPr="00C256CC">
              <w:rPr>
                <w:rFonts w:ascii="Arial Narrow" w:hAnsi="Arial Narrow"/>
                <w:sz w:val="20"/>
              </w:rPr>
              <w:t>No increase in the maximum number of repeats may be authorised.</w:t>
            </w:r>
          </w:p>
          <w:p w:rsidR="00BB7D0C" w:rsidRDefault="00BB7D0C" w:rsidP="004439FD">
            <w:pPr>
              <w:rPr>
                <w:rFonts w:ascii="Arial Narrow" w:hAnsi="Arial Narrow"/>
                <w:sz w:val="20"/>
              </w:rPr>
            </w:pPr>
          </w:p>
          <w:p w:rsidR="00BB7D0C" w:rsidRPr="00C256CC" w:rsidRDefault="00BB7D0C" w:rsidP="004439FD">
            <w:pPr>
              <w:rPr>
                <w:rFonts w:ascii="Arial Narrow" w:hAnsi="Arial Narrow"/>
                <w:sz w:val="20"/>
              </w:rPr>
            </w:pPr>
            <w:r w:rsidRPr="00BB7D0C">
              <w:rPr>
                <w:rFonts w:ascii="Arial Narrow" w:hAnsi="Arial Narrow"/>
                <w:sz w:val="20"/>
              </w:rPr>
              <w:t>In the first few months after start of immunotherapy, some patients can have a transient tumour flare with subsequent disease response. When progression is suspected, this should be confirmed through a confirmatory scan, taken at least 4 weeks later</w:t>
            </w:r>
            <w:r w:rsidR="00307221">
              <w:rPr>
                <w:rFonts w:ascii="Arial Narrow" w:hAnsi="Arial Narrow"/>
                <w:sz w:val="20"/>
              </w:rPr>
              <w:t>.</w:t>
            </w:r>
          </w:p>
        </w:tc>
      </w:tr>
    </w:tbl>
    <w:p w:rsidR="00D44EB5" w:rsidRPr="00710A65" w:rsidRDefault="00D44EB5" w:rsidP="00D44EB5">
      <w:pPr>
        <w:rPr>
          <w:bCs/>
          <w:szCs w:val="22"/>
          <w:highlight w:val="yellow"/>
        </w:rPr>
      </w:pPr>
    </w:p>
    <w:tbl>
      <w:tblPr>
        <w:tblW w:w="8363" w:type="dxa"/>
        <w:tblInd w:w="817" w:type="dxa"/>
        <w:tblLayout w:type="fixed"/>
        <w:tblLook w:val="0000" w:firstRow="0" w:lastRow="0" w:firstColumn="0" w:lastColumn="0" w:noHBand="0" w:noVBand="0"/>
      </w:tblPr>
      <w:tblGrid>
        <w:gridCol w:w="2693"/>
        <w:gridCol w:w="1560"/>
        <w:gridCol w:w="708"/>
        <w:gridCol w:w="1701"/>
        <w:gridCol w:w="1418"/>
        <w:gridCol w:w="283"/>
      </w:tblGrid>
      <w:tr w:rsidR="00D44EB5" w:rsidRPr="00260CE3" w:rsidTr="00A968CC">
        <w:trPr>
          <w:gridAfter w:val="1"/>
          <w:wAfter w:w="283" w:type="dxa"/>
          <w:cantSplit/>
          <w:trHeight w:val="471"/>
        </w:trPr>
        <w:tc>
          <w:tcPr>
            <w:tcW w:w="2693" w:type="dxa"/>
            <w:tcBorders>
              <w:bottom w:val="single" w:sz="4" w:space="0" w:color="auto"/>
            </w:tcBorders>
          </w:tcPr>
          <w:p w:rsidR="00D44EB5" w:rsidRPr="00260CE3" w:rsidRDefault="00D44EB5" w:rsidP="00A968CC">
            <w:pPr>
              <w:keepNext/>
              <w:ind w:left="-108"/>
              <w:rPr>
                <w:rFonts w:ascii="Arial Narrow" w:hAnsi="Arial Narrow"/>
                <w:sz w:val="20"/>
              </w:rPr>
            </w:pPr>
            <w:r w:rsidRPr="00260CE3">
              <w:rPr>
                <w:rFonts w:ascii="Arial Narrow" w:hAnsi="Arial Narrow"/>
                <w:sz w:val="20"/>
              </w:rPr>
              <w:t>Name, Restriction,</w:t>
            </w:r>
          </w:p>
          <w:p w:rsidR="00D44EB5" w:rsidRPr="00260CE3" w:rsidRDefault="00D44EB5" w:rsidP="00A968CC">
            <w:pPr>
              <w:keepNext/>
              <w:ind w:left="-108"/>
              <w:rPr>
                <w:rFonts w:ascii="Arial Narrow" w:hAnsi="Arial Narrow"/>
                <w:sz w:val="20"/>
              </w:rPr>
            </w:pPr>
            <w:r w:rsidRPr="00260CE3">
              <w:rPr>
                <w:rFonts w:ascii="Arial Narrow" w:hAnsi="Arial Narrow"/>
                <w:sz w:val="20"/>
              </w:rPr>
              <w:t>Manner of administration and form</w:t>
            </w:r>
          </w:p>
        </w:tc>
        <w:tc>
          <w:tcPr>
            <w:tcW w:w="1560" w:type="dxa"/>
            <w:tcBorders>
              <w:bottom w:val="single" w:sz="4" w:space="0" w:color="auto"/>
            </w:tcBorders>
          </w:tcPr>
          <w:p w:rsidR="00D44EB5" w:rsidRPr="00260CE3" w:rsidRDefault="00D44EB5" w:rsidP="00A968CC">
            <w:pPr>
              <w:keepNext/>
              <w:ind w:left="-108"/>
              <w:jc w:val="center"/>
              <w:rPr>
                <w:rFonts w:ascii="Arial Narrow" w:hAnsi="Arial Narrow"/>
                <w:sz w:val="20"/>
              </w:rPr>
            </w:pPr>
            <w:r w:rsidRPr="00260CE3">
              <w:rPr>
                <w:rFonts w:ascii="Arial Narrow" w:hAnsi="Arial Narrow"/>
                <w:sz w:val="20"/>
              </w:rPr>
              <w:t>Max.</w:t>
            </w:r>
          </w:p>
          <w:p w:rsidR="00D44EB5" w:rsidRPr="00260CE3" w:rsidRDefault="00D44EB5" w:rsidP="00A968CC">
            <w:pPr>
              <w:keepNext/>
              <w:ind w:left="-108"/>
              <w:jc w:val="center"/>
              <w:rPr>
                <w:rFonts w:ascii="Arial Narrow" w:hAnsi="Arial Narrow"/>
                <w:sz w:val="20"/>
              </w:rPr>
            </w:pPr>
            <w:r>
              <w:rPr>
                <w:rFonts w:ascii="Arial Narrow" w:hAnsi="Arial Narrow"/>
                <w:sz w:val="20"/>
              </w:rPr>
              <w:t>Amount</w:t>
            </w:r>
          </w:p>
        </w:tc>
        <w:tc>
          <w:tcPr>
            <w:tcW w:w="708" w:type="dxa"/>
            <w:tcBorders>
              <w:bottom w:val="single" w:sz="4" w:space="0" w:color="auto"/>
            </w:tcBorders>
          </w:tcPr>
          <w:p w:rsidR="00D44EB5" w:rsidRPr="00260CE3" w:rsidRDefault="00D44EB5" w:rsidP="00A968CC">
            <w:pPr>
              <w:keepNext/>
              <w:ind w:left="-108"/>
              <w:rPr>
                <w:rFonts w:ascii="Arial Narrow" w:hAnsi="Arial Narrow"/>
                <w:sz w:val="20"/>
              </w:rPr>
            </w:pPr>
            <w:r w:rsidRPr="00260CE3">
              <w:rPr>
                <w:rFonts w:ascii="Arial Narrow" w:hAnsi="Arial Narrow"/>
                <w:sz w:val="20"/>
              </w:rPr>
              <w:t>№.of</w:t>
            </w:r>
          </w:p>
          <w:p w:rsidR="00D44EB5" w:rsidRPr="00260CE3" w:rsidRDefault="00D44EB5" w:rsidP="00A968CC">
            <w:pPr>
              <w:keepNext/>
              <w:ind w:left="-108"/>
              <w:rPr>
                <w:rFonts w:ascii="Arial Narrow" w:hAnsi="Arial Narrow"/>
                <w:sz w:val="20"/>
              </w:rPr>
            </w:pPr>
            <w:r w:rsidRPr="00260CE3">
              <w:rPr>
                <w:rFonts w:ascii="Arial Narrow" w:hAnsi="Arial Narrow"/>
                <w:sz w:val="20"/>
              </w:rPr>
              <w:t>Rpts</w:t>
            </w:r>
          </w:p>
        </w:tc>
        <w:tc>
          <w:tcPr>
            <w:tcW w:w="3119" w:type="dxa"/>
            <w:gridSpan w:val="2"/>
            <w:tcBorders>
              <w:bottom w:val="single" w:sz="4" w:space="0" w:color="auto"/>
            </w:tcBorders>
          </w:tcPr>
          <w:p w:rsidR="00D44EB5" w:rsidRPr="00260CE3" w:rsidRDefault="00D44EB5" w:rsidP="00A968CC">
            <w:pPr>
              <w:keepNext/>
              <w:rPr>
                <w:rFonts w:ascii="Arial Narrow" w:hAnsi="Arial Narrow"/>
                <w:sz w:val="20"/>
                <w:lang w:val="fr-FR"/>
              </w:rPr>
            </w:pPr>
            <w:r w:rsidRPr="00260CE3">
              <w:rPr>
                <w:rFonts w:ascii="Arial Narrow" w:hAnsi="Arial Narrow"/>
                <w:sz w:val="20"/>
              </w:rPr>
              <w:t>Proprietary Name and Manufacturer</w:t>
            </w:r>
          </w:p>
        </w:tc>
      </w:tr>
      <w:tr w:rsidR="00D44EB5" w:rsidRPr="00260CE3" w:rsidTr="00A968CC">
        <w:trPr>
          <w:gridAfter w:val="1"/>
          <w:wAfter w:w="283" w:type="dxa"/>
          <w:cantSplit/>
          <w:trHeight w:val="577"/>
        </w:trPr>
        <w:tc>
          <w:tcPr>
            <w:tcW w:w="2693" w:type="dxa"/>
          </w:tcPr>
          <w:p w:rsidR="00D44EB5" w:rsidRPr="00260CE3" w:rsidRDefault="00D44EB5" w:rsidP="00A968CC">
            <w:pPr>
              <w:keepNext/>
              <w:ind w:left="-108"/>
              <w:rPr>
                <w:rFonts w:ascii="Arial Narrow" w:hAnsi="Arial Narrow"/>
                <w:sz w:val="20"/>
              </w:rPr>
            </w:pPr>
            <w:r>
              <w:rPr>
                <w:rFonts w:ascii="Arial Narrow" w:hAnsi="Arial Narrow"/>
                <w:smallCaps/>
                <w:sz w:val="20"/>
              </w:rPr>
              <w:t>NIVOLUMAB</w:t>
            </w:r>
          </w:p>
          <w:p w:rsidR="00D44EB5" w:rsidRDefault="00D44EB5" w:rsidP="00A968CC">
            <w:pPr>
              <w:keepNext/>
              <w:ind w:left="-108"/>
              <w:rPr>
                <w:rFonts w:ascii="Arial Narrow" w:hAnsi="Arial Narrow"/>
                <w:sz w:val="20"/>
              </w:rPr>
            </w:pPr>
            <w:r>
              <w:rPr>
                <w:rFonts w:ascii="Arial Narrow" w:hAnsi="Arial Narrow"/>
                <w:sz w:val="20"/>
              </w:rPr>
              <w:t>nivolumab 40 mg/4 mL injection, 1 x 4 mL vial</w:t>
            </w:r>
          </w:p>
          <w:p w:rsidR="00D44EB5" w:rsidRPr="00260CE3" w:rsidRDefault="00D44EB5" w:rsidP="00A968CC">
            <w:pPr>
              <w:keepNext/>
              <w:ind w:left="-108"/>
              <w:rPr>
                <w:rFonts w:ascii="Arial Narrow" w:hAnsi="Arial Narrow"/>
                <w:sz w:val="20"/>
              </w:rPr>
            </w:pPr>
            <w:r>
              <w:rPr>
                <w:rFonts w:ascii="Arial Narrow" w:hAnsi="Arial Narrow"/>
                <w:sz w:val="20"/>
              </w:rPr>
              <w:t>nivolumab 100 mg/10 mL injection, 1 x 10 mL vial</w:t>
            </w:r>
          </w:p>
        </w:tc>
        <w:tc>
          <w:tcPr>
            <w:tcW w:w="1560" w:type="dxa"/>
          </w:tcPr>
          <w:p w:rsidR="00D44EB5" w:rsidRPr="005D01E1" w:rsidRDefault="00D44EB5" w:rsidP="00A968CC">
            <w:pPr>
              <w:keepNext/>
              <w:ind w:left="-108"/>
              <w:jc w:val="center"/>
              <w:rPr>
                <w:rFonts w:ascii="Arial Narrow" w:hAnsi="Arial Narrow"/>
                <w:sz w:val="20"/>
              </w:rPr>
            </w:pPr>
          </w:p>
          <w:p w:rsidR="00D44EB5" w:rsidRPr="005D01E1" w:rsidRDefault="00D44EB5" w:rsidP="00A968CC">
            <w:pPr>
              <w:keepNext/>
              <w:ind w:left="-108"/>
              <w:jc w:val="center"/>
              <w:rPr>
                <w:rFonts w:ascii="Arial Narrow" w:hAnsi="Arial Narrow"/>
                <w:sz w:val="20"/>
              </w:rPr>
            </w:pPr>
            <w:r w:rsidRPr="005D01E1">
              <w:rPr>
                <w:rFonts w:ascii="Arial Narrow" w:hAnsi="Arial Narrow"/>
                <w:sz w:val="20"/>
              </w:rPr>
              <w:t>360 mg</w:t>
            </w:r>
          </w:p>
        </w:tc>
        <w:tc>
          <w:tcPr>
            <w:tcW w:w="708" w:type="dxa"/>
          </w:tcPr>
          <w:p w:rsidR="00D44EB5" w:rsidRPr="00260CE3" w:rsidRDefault="00D44EB5" w:rsidP="00A968CC">
            <w:pPr>
              <w:keepNext/>
              <w:ind w:left="-108"/>
              <w:jc w:val="center"/>
              <w:rPr>
                <w:rFonts w:ascii="Arial Narrow" w:hAnsi="Arial Narrow"/>
                <w:sz w:val="20"/>
              </w:rPr>
            </w:pPr>
          </w:p>
          <w:p w:rsidR="00D44EB5" w:rsidRPr="00260CE3" w:rsidRDefault="00D44EB5" w:rsidP="00A968CC">
            <w:pPr>
              <w:keepNext/>
              <w:ind w:left="-108"/>
              <w:jc w:val="center"/>
              <w:rPr>
                <w:rFonts w:ascii="Arial Narrow" w:hAnsi="Arial Narrow"/>
                <w:sz w:val="20"/>
              </w:rPr>
            </w:pPr>
            <w:r>
              <w:rPr>
                <w:rFonts w:ascii="Arial Narrow" w:hAnsi="Arial Narrow"/>
                <w:sz w:val="20"/>
              </w:rPr>
              <w:t>11</w:t>
            </w:r>
          </w:p>
        </w:tc>
        <w:tc>
          <w:tcPr>
            <w:tcW w:w="1701" w:type="dxa"/>
          </w:tcPr>
          <w:p w:rsidR="00826BCC" w:rsidRDefault="00826BCC" w:rsidP="00A968CC">
            <w:pPr>
              <w:keepNext/>
              <w:rPr>
                <w:rFonts w:ascii="Arial Narrow" w:hAnsi="Arial Narrow"/>
                <w:sz w:val="20"/>
              </w:rPr>
            </w:pPr>
          </w:p>
          <w:p w:rsidR="00D44EB5" w:rsidRPr="00260CE3" w:rsidRDefault="00D44EB5" w:rsidP="00A968CC">
            <w:pPr>
              <w:keepNext/>
              <w:rPr>
                <w:rFonts w:ascii="Arial Narrow" w:hAnsi="Arial Narrow"/>
                <w:sz w:val="20"/>
              </w:rPr>
            </w:pPr>
            <w:r>
              <w:rPr>
                <w:rFonts w:ascii="Arial Narrow" w:hAnsi="Arial Narrow"/>
                <w:sz w:val="20"/>
              </w:rPr>
              <w:t>Opdivo</w:t>
            </w:r>
          </w:p>
        </w:tc>
        <w:tc>
          <w:tcPr>
            <w:tcW w:w="1418" w:type="dxa"/>
          </w:tcPr>
          <w:p w:rsidR="00D44EB5" w:rsidRPr="00260CE3" w:rsidRDefault="00D44EB5" w:rsidP="00A968CC">
            <w:pPr>
              <w:keepNext/>
              <w:rPr>
                <w:rFonts w:ascii="Arial Narrow" w:hAnsi="Arial Narrow"/>
                <w:sz w:val="20"/>
              </w:rPr>
            </w:pPr>
            <w:r>
              <w:rPr>
                <w:rFonts w:ascii="Arial Narrow" w:hAnsi="Arial Narrow"/>
                <w:sz w:val="20"/>
              </w:rPr>
              <w:t>Bristol-Myers Squibb Australia</w:t>
            </w:r>
          </w:p>
        </w:tc>
      </w:tr>
      <w:tr w:rsidR="00D44EB5" w:rsidRPr="00260CE3" w:rsidTr="00A968CC">
        <w:trPr>
          <w:cantSplit/>
          <w:trHeight w:val="360"/>
        </w:trPr>
        <w:tc>
          <w:tcPr>
            <w:tcW w:w="8363" w:type="dxa"/>
            <w:gridSpan w:val="6"/>
            <w:tcBorders>
              <w:bottom w:val="single" w:sz="4" w:space="0" w:color="auto"/>
            </w:tcBorders>
          </w:tcPr>
          <w:p w:rsidR="00D44EB5" w:rsidRPr="00645903" w:rsidRDefault="00D44EB5" w:rsidP="00A968CC">
            <w:pPr>
              <w:rPr>
                <w:rFonts w:ascii="Arial Narrow" w:hAnsi="Arial Narrow"/>
                <w:b/>
                <w:i/>
                <w:sz w:val="20"/>
              </w:rPr>
            </w:pPr>
          </w:p>
        </w:tc>
      </w:tr>
    </w:tbl>
    <w:p w:rsidR="00191CC2" w:rsidRPr="00710A65" w:rsidRDefault="00191CC2" w:rsidP="00191CC2">
      <w:pPr>
        <w:ind w:left="720"/>
        <w:rPr>
          <w:szCs w:val="22"/>
        </w:rPr>
      </w:pPr>
    </w:p>
    <w:tbl>
      <w:tblPr>
        <w:tblW w:w="8363" w:type="dxa"/>
        <w:tblInd w:w="817" w:type="dxa"/>
        <w:tblLayout w:type="fixed"/>
        <w:tblLook w:val="0000" w:firstRow="0" w:lastRow="0" w:firstColumn="0" w:lastColumn="0" w:noHBand="0" w:noVBand="0"/>
      </w:tblPr>
      <w:tblGrid>
        <w:gridCol w:w="2552"/>
        <w:gridCol w:w="5811"/>
      </w:tblGrid>
      <w:tr w:rsidR="004439FD" w:rsidRPr="00260CE3" w:rsidTr="00710A65">
        <w:trPr>
          <w:cantSplit/>
          <w:trHeight w:val="360"/>
        </w:trPr>
        <w:tc>
          <w:tcPr>
            <w:tcW w:w="2552" w:type="dxa"/>
            <w:tcBorders>
              <w:top w:val="single" w:sz="4" w:space="0" w:color="auto"/>
              <w:left w:val="single" w:sz="4" w:space="0" w:color="auto"/>
              <w:bottom w:val="single" w:sz="4" w:space="0" w:color="auto"/>
              <w:right w:val="single" w:sz="4" w:space="0" w:color="auto"/>
            </w:tcBorders>
          </w:tcPr>
          <w:p w:rsidR="004439FD" w:rsidRPr="00260CE3" w:rsidRDefault="004439FD" w:rsidP="004439FD">
            <w:pPr>
              <w:rPr>
                <w:rFonts w:ascii="Arial Narrow" w:hAnsi="Arial Narrow"/>
                <w:b/>
                <w:sz w:val="20"/>
              </w:rPr>
            </w:pPr>
            <w:r w:rsidRPr="00260CE3">
              <w:rPr>
                <w:rFonts w:ascii="Arial Narrow" w:hAnsi="Arial Narrow"/>
                <w:b/>
                <w:sz w:val="20"/>
              </w:rPr>
              <w:t>Category / Program</w:t>
            </w:r>
          </w:p>
        </w:tc>
        <w:tc>
          <w:tcPr>
            <w:tcW w:w="5811" w:type="dxa"/>
            <w:tcBorders>
              <w:top w:val="single" w:sz="4" w:space="0" w:color="auto"/>
              <w:left w:val="single" w:sz="4" w:space="0" w:color="auto"/>
              <w:bottom w:val="single" w:sz="4" w:space="0" w:color="auto"/>
              <w:right w:val="single" w:sz="4" w:space="0" w:color="auto"/>
            </w:tcBorders>
          </w:tcPr>
          <w:p w:rsidR="004439FD" w:rsidRPr="00260CE3" w:rsidRDefault="004439FD" w:rsidP="004439FD">
            <w:pPr>
              <w:rPr>
                <w:rFonts w:ascii="Arial Narrow" w:hAnsi="Arial Narrow"/>
                <w:sz w:val="20"/>
              </w:rPr>
            </w:pPr>
            <w:r w:rsidRPr="00260CE3">
              <w:rPr>
                <w:rFonts w:ascii="Arial Narrow" w:hAnsi="Arial Narrow"/>
                <w:sz w:val="20"/>
              </w:rPr>
              <w:t xml:space="preserve">Section 100 – </w:t>
            </w:r>
            <w:r>
              <w:rPr>
                <w:rFonts w:ascii="Arial Narrow" w:hAnsi="Arial Narrow"/>
                <w:sz w:val="20"/>
              </w:rPr>
              <w:t xml:space="preserve">Efficient Funding of </w:t>
            </w:r>
            <w:r w:rsidRPr="00260CE3">
              <w:rPr>
                <w:rFonts w:ascii="Arial Narrow" w:hAnsi="Arial Narrow"/>
                <w:sz w:val="20"/>
              </w:rPr>
              <w:t>Chemotherapy</w:t>
            </w:r>
          </w:p>
        </w:tc>
      </w:tr>
      <w:tr w:rsidR="004439FD" w:rsidRPr="00260CE3" w:rsidTr="00710A65">
        <w:trPr>
          <w:cantSplit/>
          <w:trHeight w:val="360"/>
        </w:trPr>
        <w:tc>
          <w:tcPr>
            <w:tcW w:w="2552" w:type="dxa"/>
            <w:tcBorders>
              <w:top w:val="single" w:sz="4" w:space="0" w:color="auto"/>
              <w:left w:val="single" w:sz="4" w:space="0" w:color="auto"/>
              <w:bottom w:val="single" w:sz="4" w:space="0" w:color="auto"/>
              <w:right w:val="single" w:sz="4" w:space="0" w:color="auto"/>
            </w:tcBorders>
          </w:tcPr>
          <w:p w:rsidR="004439FD" w:rsidRPr="00260CE3" w:rsidRDefault="004439FD" w:rsidP="004439FD">
            <w:pPr>
              <w:rPr>
                <w:rFonts w:ascii="Arial Narrow" w:hAnsi="Arial Narrow"/>
                <w:b/>
                <w:sz w:val="20"/>
              </w:rPr>
            </w:pPr>
            <w:r w:rsidRPr="00260CE3">
              <w:rPr>
                <w:rFonts w:ascii="Arial Narrow" w:hAnsi="Arial Narrow"/>
                <w:b/>
                <w:sz w:val="20"/>
              </w:rPr>
              <w:t>Prescriber type:</w:t>
            </w:r>
          </w:p>
        </w:tc>
        <w:tc>
          <w:tcPr>
            <w:tcW w:w="5811" w:type="dxa"/>
            <w:tcBorders>
              <w:top w:val="single" w:sz="4" w:space="0" w:color="auto"/>
              <w:left w:val="single" w:sz="4" w:space="0" w:color="auto"/>
              <w:bottom w:val="single" w:sz="4" w:space="0" w:color="auto"/>
              <w:right w:val="single" w:sz="4" w:space="0" w:color="auto"/>
            </w:tcBorders>
          </w:tcPr>
          <w:p w:rsidR="004439FD" w:rsidRPr="00260CE3" w:rsidRDefault="004439FD" w:rsidP="004439FD">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r>
              <w:rPr>
                <w:rFonts w:ascii="Arial Narrow" w:hAnsi="Arial Narrow"/>
                <w:sz w:val="20"/>
              </w:rPr>
              <w:t xml:space="preserve">  </w:t>
            </w: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4439FD" w:rsidRPr="00260CE3" w:rsidTr="00710A65">
        <w:trPr>
          <w:cantSplit/>
          <w:trHeight w:val="360"/>
        </w:trPr>
        <w:tc>
          <w:tcPr>
            <w:tcW w:w="2552" w:type="dxa"/>
            <w:tcBorders>
              <w:top w:val="single" w:sz="4" w:space="0" w:color="auto"/>
              <w:left w:val="single" w:sz="4" w:space="0" w:color="auto"/>
              <w:bottom w:val="single" w:sz="4" w:space="0" w:color="auto"/>
              <w:right w:val="single" w:sz="4" w:space="0" w:color="auto"/>
            </w:tcBorders>
          </w:tcPr>
          <w:p w:rsidR="004439FD" w:rsidRPr="00260CE3" w:rsidRDefault="004439FD" w:rsidP="004439FD">
            <w:pPr>
              <w:rPr>
                <w:rFonts w:ascii="Arial Narrow" w:hAnsi="Arial Narrow"/>
                <w:b/>
                <w:sz w:val="20"/>
              </w:rPr>
            </w:pPr>
            <w:r w:rsidRPr="00260CE3">
              <w:rPr>
                <w:rFonts w:ascii="Arial Narrow" w:hAnsi="Arial Narrow"/>
                <w:b/>
                <w:sz w:val="20"/>
              </w:rPr>
              <w:t>Episodicity:</w:t>
            </w:r>
          </w:p>
        </w:tc>
        <w:tc>
          <w:tcPr>
            <w:tcW w:w="5811" w:type="dxa"/>
            <w:tcBorders>
              <w:top w:val="single" w:sz="4" w:space="0" w:color="auto"/>
              <w:left w:val="single" w:sz="4" w:space="0" w:color="auto"/>
              <w:bottom w:val="single" w:sz="4" w:space="0" w:color="auto"/>
              <w:right w:val="single" w:sz="4" w:space="0" w:color="auto"/>
            </w:tcBorders>
          </w:tcPr>
          <w:p w:rsidR="004439FD" w:rsidRPr="00260CE3" w:rsidRDefault="004439FD" w:rsidP="004439FD">
            <w:pPr>
              <w:rPr>
                <w:rFonts w:ascii="Arial Narrow" w:hAnsi="Arial Narrow"/>
                <w:sz w:val="20"/>
              </w:rPr>
            </w:pPr>
            <w:r>
              <w:rPr>
                <w:rFonts w:ascii="Arial Narrow" w:hAnsi="Arial Narrow"/>
                <w:sz w:val="20"/>
              </w:rPr>
              <w:t>-</w:t>
            </w:r>
          </w:p>
        </w:tc>
      </w:tr>
      <w:tr w:rsidR="004439FD" w:rsidRPr="00260CE3" w:rsidTr="00710A65">
        <w:trPr>
          <w:cantSplit/>
          <w:trHeight w:val="360"/>
        </w:trPr>
        <w:tc>
          <w:tcPr>
            <w:tcW w:w="2552" w:type="dxa"/>
            <w:tcBorders>
              <w:top w:val="single" w:sz="4" w:space="0" w:color="auto"/>
              <w:left w:val="single" w:sz="4" w:space="0" w:color="auto"/>
              <w:bottom w:val="single" w:sz="4" w:space="0" w:color="auto"/>
              <w:right w:val="single" w:sz="4" w:space="0" w:color="auto"/>
            </w:tcBorders>
          </w:tcPr>
          <w:p w:rsidR="004439FD" w:rsidRPr="00260CE3" w:rsidRDefault="004439FD" w:rsidP="004439FD">
            <w:pPr>
              <w:rPr>
                <w:rFonts w:ascii="Arial Narrow" w:hAnsi="Arial Narrow"/>
                <w:b/>
                <w:sz w:val="20"/>
              </w:rPr>
            </w:pPr>
            <w:r w:rsidRPr="00260CE3">
              <w:rPr>
                <w:rFonts w:ascii="Arial Narrow" w:hAnsi="Arial Narrow"/>
                <w:b/>
                <w:sz w:val="20"/>
              </w:rPr>
              <w:t>Severity:</w:t>
            </w:r>
          </w:p>
        </w:tc>
        <w:tc>
          <w:tcPr>
            <w:tcW w:w="5811" w:type="dxa"/>
            <w:tcBorders>
              <w:top w:val="single" w:sz="4" w:space="0" w:color="auto"/>
              <w:left w:val="single" w:sz="4" w:space="0" w:color="auto"/>
              <w:bottom w:val="single" w:sz="4" w:space="0" w:color="auto"/>
              <w:right w:val="single" w:sz="4" w:space="0" w:color="auto"/>
            </w:tcBorders>
          </w:tcPr>
          <w:p w:rsidR="004439FD" w:rsidRPr="00260CE3" w:rsidRDefault="004439FD" w:rsidP="004439FD">
            <w:pPr>
              <w:rPr>
                <w:rFonts w:ascii="Arial Narrow" w:hAnsi="Arial Narrow"/>
                <w:sz w:val="20"/>
              </w:rPr>
            </w:pPr>
            <w:r>
              <w:rPr>
                <w:rFonts w:ascii="Arial Narrow" w:hAnsi="Arial Narrow"/>
                <w:sz w:val="20"/>
              </w:rPr>
              <w:t>Unresectable Stage III or Stage IV</w:t>
            </w:r>
          </w:p>
        </w:tc>
      </w:tr>
      <w:tr w:rsidR="004439FD" w:rsidRPr="00260CE3" w:rsidTr="00710A65">
        <w:trPr>
          <w:cantSplit/>
          <w:trHeight w:val="360"/>
        </w:trPr>
        <w:tc>
          <w:tcPr>
            <w:tcW w:w="2552" w:type="dxa"/>
            <w:tcBorders>
              <w:top w:val="single" w:sz="4" w:space="0" w:color="auto"/>
              <w:left w:val="single" w:sz="4" w:space="0" w:color="auto"/>
              <w:bottom w:val="single" w:sz="4" w:space="0" w:color="auto"/>
              <w:right w:val="single" w:sz="4" w:space="0" w:color="auto"/>
            </w:tcBorders>
          </w:tcPr>
          <w:p w:rsidR="004439FD" w:rsidRPr="00260CE3" w:rsidRDefault="004439FD" w:rsidP="004439FD">
            <w:pPr>
              <w:rPr>
                <w:rFonts w:ascii="Arial Narrow" w:hAnsi="Arial Narrow"/>
                <w:b/>
                <w:sz w:val="20"/>
              </w:rPr>
            </w:pPr>
            <w:r w:rsidRPr="00260CE3">
              <w:rPr>
                <w:rFonts w:ascii="Arial Narrow" w:hAnsi="Arial Narrow"/>
                <w:b/>
                <w:sz w:val="20"/>
              </w:rPr>
              <w:t>Condition:</w:t>
            </w:r>
          </w:p>
        </w:tc>
        <w:tc>
          <w:tcPr>
            <w:tcW w:w="5811" w:type="dxa"/>
            <w:tcBorders>
              <w:top w:val="single" w:sz="4" w:space="0" w:color="auto"/>
              <w:left w:val="single" w:sz="4" w:space="0" w:color="auto"/>
              <w:bottom w:val="single" w:sz="4" w:space="0" w:color="auto"/>
              <w:right w:val="single" w:sz="4" w:space="0" w:color="auto"/>
            </w:tcBorders>
          </w:tcPr>
          <w:p w:rsidR="004439FD" w:rsidRPr="00260CE3" w:rsidRDefault="004439FD" w:rsidP="004439FD">
            <w:pPr>
              <w:rPr>
                <w:rFonts w:ascii="Arial Narrow" w:hAnsi="Arial Narrow"/>
                <w:sz w:val="20"/>
              </w:rPr>
            </w:pPr>
            <w:r>
              <w:rPr>
                <w:rFonts w:ascii="Arial Narrow" w:hAnsi="Arial Narrow"/>
                <w:sz w:val="20"/>
              </w:rPr>
              <w:t>Malignant melanoma</w:t>
            </w:r>
          </w:p>
        </w:tc>
      </w:tr>
      <w:tr w:rsidR="004439FD" w:rsidRPr="00260CE3" w:rsidTr="00710A65">
        <w:trPr>
          <w:cantSplit/>
          <w:trHeight w:val="360"/>
        </w:trPr>
        <w:tc>
          <w:tcPr>
            <w:tcW w:w="2552" w:type="dxa"/>
            <w:tcBorders>
              <w:top w:val="single" w:sz="4" w:space="0" w:color="auto"/>
              <w:left w:val="single" w:sz="4" w:space="0" w:color="auto"/>
              <w:bottom w:val="single" w:sz="4" w:space="0" w:color="auto"/>
              <w:right w:val="single" w:sz="4" w:space="0" w:color="auto"/>
            </w:tcBorders>
          </w:tcPr>
          <w:p w:rsidR="004439FD" w:rsidRPr="00260CE3" w:rsidRDefault="004439FD" w:rsidP="004439FD">
            <w:pPr>
              <w:rPr>
                <w:rFonts w:ascii="Arial Narrow" w:hAnsi="Arial Narrow"/>
                <w:b/>
                <w:sz w:val="20"/>
              </w:rPr>
            </w:pPr>
            <w:r w:rsidRPr="00260CE3">
              <w:rPr>
                <w:rFonts w:ascii="Arial Narrow" w:hAnsi="Arial Narrow"/>
                <w:b/>
                <w:sz w:val="20"/>
              </w:rPr>
              <w:t>PBS Indication:</w:t>
            </w:r>
          </w:p>
        </w:tc>
        <w:tc>
          <w:tcPr>
            <w:tcW w:w="5811" w:type="dxa"/>
            <w:tcBorders>
              <w:top w:val="single" w:sz="4" w:space="0" w:color="auto"/>
              <w:left w:val="single" w:sz="4" w:space="0" w:color="auto"/>
              <w:bottom w:val="single" w:sz="4" w:space="0" w:color="auto"/>
              <w:right w:val="single" w:sz="4" w:space="0" w:color="auto"/>
            </w:tcBorders>
          </w:tcPr>
          <w:p w:rsidR="004439FD" w:rsidRPr="00260CE3" w:rsidRDefault="004439FD" w:rsidP="004439FD">
            <w:pPr>
              <w:rPr>
                <w:rFonts w:ascii="Arial Narrow" w:hAnsi="Arial Narrow"/>
                <w:sz w:val="20"/>
              </w:rPr>
            </w:pPr>
            <w:r>
              <w:rPr>
                <w:rFonts w:ascii="Arial Narrow" w:hAnsi="Arial Narrow"/>
                <w:sz w:val="20"/>
              </w:rPr>
              <w:t>Unresectable Stage III or Stage IV malignant melanoma</w:t>
            </w:r>
          </w:p>
        </w:tc>
      </w:tr>
      <w:tr w:rsidR="004439FD" w:rsidRPr="00260CE3" w:rsidTr="00710A65">
        <w:trPr>
          <w:cantSplit/>
          <w:trHeight w:val="360"/>
        </w:trPr>
        <w:tc>
          <w:tcPr>
            <w:tcW w:w="2552" w:type="dxa"/>
            <w:tcBorders>
              <w:top w:val="single" w:sz="4" w:space="0" w:color="auto"/>
              <w:left w:val="single" w:sz="4" w:space="0" w:color="auto"/>
              <w:bottom w:val="single" w:sz="4" w:space="0" w:color="auto"/>
              <w:right w:val="single" w:sz="4" w:space="0" w:color="auto"/>
            </w:tcBorders>
          </w:tcPr>
          <w:p w:rsidR="004439FD" w:rsidRPr="00C0121C" w:rsidRDefault="004439FD" w:rsidP="004439FD">
            <w:pPr>
              <w:rPr>
                <w:rFonts w:ascii="Arial Narrow" w:hAnsi="Arial Narrow"/>
                <w:b/>
                <w:sz w:val="20"/>
              </w:rPr>
            </w:pPr>
            <w:r w:rsidRPr="00260CE3">
              <w:rPr>
                <w:rFonts w:ascii="Arial Narrow" w:hAnsi="Arial Narrow"/>
                <w:b/>
                <w:sz w:val="20"/>
              </w:rPr>
              <w:t>Treatment phase:</w:t>
            </w:r>
          </w:p>
        </w:tc>
        <w:tc>
          <w:tcPr>
            <w:tcW w:w="5811" w:type="dxa"/>
            <w:tcBorders>
              <w:top w:val="single" w:sz="4" w:space="0" w:color="auto"/>
              <w:left w:val="single" w:sz="4" w:space="0" w:color="auto"/>
              <w:bottom w:val="single" w:sz="4" w:space="0" w:color="auto"/>
              <w:right w:val="single" w:sz="4" w:space="0" w:color="auto"/>
            </w:tcBorders>
          </w:tcPr>
          <w:p w:rsidR="004439FD" w:rsidRPr="00260CE3" w:rsidRDefault="004439FD" w:rsidP="004439FD">
            <w:pPr>
              <w:rPr>
                <w:rFonts w:ascii="Arial Narrow" w:hAnsi="Arial Narrow"/>
                <w:sz w:val="20"/>
              </w:rPr>
            </w:pPr>
            <w:r>
              <w:rPr>
                <w:rFonts w:ascii="Arial Narrow" w:hAnsi="Arial Narrow"/>
                <w:sz w:val="20"/>
              </w:rPr>
              <w:t>Continuing</w:t>
            </w:r>
          </w:p>
        </w:tc>
      </w:tr>
      <w:tr w:rsidR="004439FD" w:rsidRPr="00260CE3" w:rsidTr="00710A65">
        <w:trPr>
          <w:cantSplit/>
          <w:trHeight w:val="360"/>
        </w:trPr>
        <w:tc>
          <w:tcPr>
            <w:tcW w:w="2552" w:type="dxa"/>
            <w:tcBorders>
              <w:top w:val="single" w:sz="4" w:space="0" w:color="auto"/>
              <w:left w:val="single" w:sz="4" w:space="0" w:color="auto"/>
              <w:bottom w:val="single" w:sz="4" w:space="0" w:color="auto"/>
              <w:right w:val="single" w:sz="4" w:space="0" w:color="auto"/>
            </w:tcBorders>
          </w:tcPr>
          <w:p w:rsidR="004439FD" w:rsidRPr="00C0121C" w:rsidRDefault="004439FD" w:rsidP="004439FD">
            <w:pPr>
              <w:rPr>
                <w:rFonts w:ascii="Arial Narrow" w:hAnsi="Arial Narrow"/>
                <w:b/>
                <w:sz w:val="20"/>
              </w:rPr>
            </w:pPr>
            <w:r w:rsidRPr="00260CE3">
              <w:rPr>
                <w:rFonts w:ascii="Arial Narrow" w:hAnsi="Arial Narrow"/>
                <w:b/>
                <w:sz w:val="20"/>
              </w:rPr>
              <w:lastRenderedPageBreak/>
              <w:t>Restriction</w:t>
            </w:r>
            <w:r>
              <w:rPr>
                <w:rFonts w:ascii="Arial Narrow" w:hAnsi="Arial Narrow"/>
                <w:b/>
                <w:sz w:val="20"/>
              </w:rPr>
              <w:t xml:space="preserve"> Level / Method</w:t>
            </w:r>
            <w:r w:rsidRPr="00260CE3">
              <w:rPr>
                <w:rFonts w:ascii="Arial Narrow" w:hAnsi="Arial Narrow"/>
                <w:b/>
                <w:sz w:val="20"/>
              </w:rPr>
              <w:t>:</w:t>
            </w:r>
          </w:p>
        </w:tc>
        <w:tc>
          <w:tcPr>
            <w:tcW w:w="5811" w:type="dxa"/>
            <w:tcBorders>
              <w:top w:val="single" w:sz="4" w:space="0" w:color="auto"/>
              <w:left w:val="single" w:sz="4" w:space="0" w:color="auto"/>
              <w:bottom w:val="single" w:sz="4" w:space="0" w:color="auto"/>
              <w:right w:val="single" w:sz="4" w:space="0" w:color="auto"/>
            </w:tcBorders>
          </w:tcPr>
          <w:p w:rsidR="004439FD" w:rsidRPr="00106BCF" w:rsidRDefault="004439FD" w:rsidP="004439FD">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4439FD" w:rsidRPr="00106BCF" w:rsidRDefault="004439FD" w:rsidP="004439FD">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In Writing</w:t>
            </w:r>
          </w:p>
          <w:p w:rsidR="004439FD" w:rsidRPr="00106BCF" w:rsidRDefault="004439FD" w:rsidP="004439FD">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4439FD" w:rsidRPr="00106BCF" w:rsidRDefault="004439FD" w:rsidP="004439FD">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rsidR="004439FD" w:rsidRPr="00106BCF" w:rsidRDefault="004439FD" w:rsidP="004439FD">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4439FD" w:rsidRPr="00260CE3" w:rsidRDefault="004439FD" w:rsidP="004439FD">
            <w:pPr>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r>
              <w:rPr>
                <w:rFonts w:ascii="Arial Narrow" w:hAnsi="Arial Narrow"/>
                <w:sz w:val="20"/>
              </w:rPr>
              <w:instrText xml:space="preserve"> FORMCHECKBOX </w:instrText>
            </w:r>
            <w:r w:rsidR="00D87C9E">
              <w:rPr>
                <w:rFonts w:ascii="Arial Narrow" w:hAnsi="Arial Narrow"/>
                <w:sz w:val="20"/>
              </w:rPr>
            </w:r>
            <w:r w:rsidR="00D87C9E">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Streamlined</w:t>
            </w:r>
          </w:p>
        </w:tc>
      </w:tr>
      <w:tr w:rsidR="004439FD" w:rsidRPr="00260CE3" w:rsidTr="00710A65">
        <w:trPr>
          <w:cantSplit/>
          <w:trHeight w:val="1184"/>
        </w:trPr>
        <w:tc>
          <w:tcPr>
            <w:tcW w:w="2552" w:type="dxa"/>
            <w:tcBorders>
              <w:top w:val="single" w:sz="4" w:space="0" w:color="auto"/>
              <w:left w:val="single" w:sz="4" w:space="0" w:color="auto"/>
              <w:bottom w:val="single" w:sz="4" w:space="0" w:color="auto"/>
              <w:right w:val="single" w:sz="4" w:space="0" w:color="auto"/>
            </w:tcBorders>
          </w:tcPr>
          <w:p w:rsidR="004439FD" w:rsidRPr="00044AC5" w:rsidRDefault="004439FD" w:rsidP="004439FD">
            <w:pPr>
              <w:rPr>
                <w:rFonts w:ascii="Arial Narrow" w:hAnsi="Arial Narrow"/>
                <w:b/>
                <w:sz w:val="20"/>
              </w:rPr>
            </w:pPr>
            <w:r w:rsidRPr="00260CE3">
              <w:rPr>
                <w:rFonts w:ascii="Arial Narrow" w:hAnsi="Arial Narrow"/>
                <w:b/>
                <w:sz w:val="20"/>
              </w:rPr>
              <w:t>Clinical criteria:</w:t>
            </w:r>
          </w:p>
        </w:tc>
        <w:tc>
          <w:tcPr>
            <w:tcW w:w="5811" w:type="dxa"/>
            <w:tcBorders>
              <w:top w:val="single" w:sz="4" w:space="0" w:color="auto"/>
              <w:left w:val="single" w:sz="4" w:space="0" w:color="auto"/>
              <w:bottom w:val="single" w:sz="4" w:space="0" w:color="auto"/>
              <w:right w:val="single" w:sz="4" w:space="0" w:color="auto"/>
            </w:tcBorders>
          </w:tcPr>
          <w:p w:rsidR="005D01E1" w:rsidRPr="00C0121C" w:rsidRDefault="005D01E1" w:rsidP="005D01E1">
            <w:pPr>
              <w:rPr>
                <w:rFonts w:ascii="Arial Narrow" w:hAnsi="Arial Narrow"/>
                <w:sz w:val="20"/>
              </w:rPr>
            </w:pPr>
            <w:r>
              <w:rPr>
                <w:rFonts w:ascii="Arial Narrow" w:hAnsi="Arial Narrow"/>
                <w:sz w:val="20"/>
              </w:rPr>
              <w:t>The t</w:t>
            </w:r>
            <w:r w:rsidRPr="00C0121C">
              <w:rPr>
                <w:rFonts w:ascii="Arial Narrow" w:hAnsi="Arial Narrow"/>
                <w:sz w:val="20"/>
              </w:rPr>
              <w:t>reatment must be the sole PBS-subsidised therapy for this condition</w:t>
            </w:r>
          </w:p>
          <w:p w:rsidR="005D01E1" w:rsidRPr="00C0121C" w:rsidRDefault="005D01E1" w:rsidP="005D01E1">
            <w:pPr>
              <w:rPr>
                <w:rFonts w:ascii="Arial Narrow" w:hAnsi="Arial Narrow"/>
                <w:sz w:val="20"/>
              </w:rPr>
            </w:pPr>
          </w:p>
          <w:p w:rsidR="005D01E1" w:rsidRPr="00C0121C" w:rsidRDefault="005D01E1" w:rsidP="005D01E1">
            <w:pPr>
              <w:rPr>
                <w:rFonts w:ascii="Arial Narrow" w:hAnsi="Arial Narrow"/>
                <w:sz w:val="20"/>
              </w:rPr>
            </w:pPr>
            <w:r w:rsidRPr="00C0121C">
              <w:rPr>
                <w:rFonts w:ascii="Arial Narrow" w:hAnsi="Arial Narrow"/>
                <w:sz w:val="20"/>
              </w:rPr>
              <w:t>AND</w:t>
            </w:r>
          </w:p>
          <w:p w:rsidR="005D01E1" w:rsidRPr="00C0121C" w:rsidRDefault="005D01E1" w:rsidP="005D01E1">
            <w:pPr>
              <w:rPr>
                <w:rFonts w:ascii="Arial Narrow" w:hAnsi="Arial Narrow"/>
                <w:sz w:val="20"/>
              </w:rPr>
            </w:pPr>
          </w:p>
          <w:p w:rsidR="004439FD" w:rsidRDefault="004439FD" w:rsidP="004439FD">
            <w:pPr>
              <w:rPr>
                <w:rFonts w:ascii="Arial Narrow" w:hAnsi="Arial Narrow"/>
                <w:sz w:val="20"/>
              </w:rPr>
            </w:pPr>
            <w:r w:rsidRPr="003776D3">
              <w:rPr>
                <w:rFonts w:ascii="Arial Narrow" w:hAnsi="Arial Narrow"/>
                <w:sz w:val="20"/>
              </w:rPr>
              <w:t>Patient must have previously been issued with an authority prescription for t</w:t>
            </w:r>
            <w:r>
              <w:rPr>
                <w:rFonts w:ascii="Arial Narrow" w:hAnsi="Arial Narrow"/>
                <w:sz w:val="20"/>
              </w:rPr>
              <w:t>his drug</w:t>
            </w:r>
            <w:r w:rsidR="005D01E1">
              <w:rPr>
                <w:rFonts w:ascii="Arial Narrow" w:hAnsi="Arial Narrow"/>
                <w:sz w:val="20"/>
              </w:rPr>
              <w:t xml:space="preserve"> for this condition</w:t>
            </w:r>
          </w:p>
          <w:p w:rsidR="004439FD" w:rsidRPr="003776D3" w:rsidRDefault="004439FD" w:rsidP="004439FD">
            <w:pPr>
              <w:rPr>
                <w:rFonts w:ascii="Arial Narrow" w:hAnsi="Arial Narrow"/>
                <w:sz w:val="20"/>
              </w:rPr>
            </w:pPr>
          </w:p>
          <w:p w:rsidR="004439FD" w:rsidRDefault="004439FD" w:rsidP="004439FD">
            <w:pPr>
              <w:rPr>
                <w:rFonts w:ascii="Arial Narrow" w:hAnsi="Arial Narrow"/>
                <w:sz w:val="20"/>
              </w:rPr>
            </w:pPr>
            <w:r w:rsidRPr="003776D3">
              <w:rPr>
                <w:rFonts w:ascii="Arial Narrow" w:hAnsi="Arial Narrow"/>
                <w:sz w:val="20"/>
              </w:rPr>
              <w:t>AND</w:t>
            </w:r>
          </w:p>
          <w:p w:rsidR="004439FD" w:rsidRPr="003776D3" w:rsidRDefault="004439FD" w:rsidP="004439FD">
            <w:pPr>
              <w:rPr>
                <w:rFonts w:ascii="Arial Narrow" w:hAnsi="Arial Narrow"/>
                <w:sz w:val="20"/>
              </w:rPr>
            </w:pPr>
          </w:p>
          <w:p w:rsidR="004439FD" w:rsidRDefault="004439FD" w:rsidP="004439FD">
            <w:pPr>
              <w:rPr>
                <w:rFonts w:ascii="Arial Narrow" w:hAnsi="Arial Narrow"/>
                <w:sz w:val="20"/>
              </w:rPr>
            </w:pPr>
            <w:r w:rsidRPr="003776D3">
              <w:rPr>
                <w:rFonts w:ascii="Arial Narrow" w:hAnsi="Arial Narrow"/>
                <w:sz w:val="20"/>
              </w:rPr>
              <w:t>Patient must ha</w:t>
            </w:r>
            <w:r w:rsidR="005D01E1">
              <w:rPr>
                <w:rFonts w:ascii="Arial Narrow" w:hAnsi="Arial Narrow"/>
                <w:sz w:val="20"/>
              </w:rPr>
              <w:t>ve stable or responding disease</w:t>
            </w:r>
          </w:p>
          <w:p w:rsidR="005D01E1" w:rsidRDefault="005D01E1" w:rsidP="004439FD">
            <w:pPr>
              <w:rPr>
                <w:rFonts w:ascii="Arial Narrow" w:hAnsi="Arial Narrow"/>
                <w:sz w:val="20"/>
              </w:rPr>
            </w:pPr>
          </w:p>
          <w:p w:rsidR="005D01E1" w:rsidRDefault="005D01E1" w:rsidP="004439FD">
            <w:pPr>
              <w:rPr>
                <w:rFonts w:ascii="Arial Narrow" w:hAnsi="Arial Narrow"/>
                <w:sz w:val="20"/>
              </w:rPr>
            </w:pPr>
            <w:r>
              <w:rPr>
                <w:rFonts w:ascii="Arial Narrow" w:hAnsi="Arial Narrow"/>
                <w:sz w:val="20"/>
              </w:rPr>
              <w:t>AND</w:t>
            </w:r>
          </w:p>
          <w:p w:rsidR="005D01E1" w:rsidRDefault="005D01E1" w:rsidP="004439FD">
            <w:pPr>
              <w:rPr>
                <w:rFonts w:ascii="Arial Narrow" w:hAnsi="Arial Narrow"/>
                <w:sz w:val="20"/>
              </w:rPr>
            </w:pPr>
          </w:p>
          <w:p w:rsidR="005D01E1" w:rsidRPr="00A715A4" w:rsidRDefault="005D01E1" w:rsidP="002E285B">
            <w:pPr>
              <w:rPr>
                <w:rFonts w:ascii="Arial Narrow" w:hAnsi="Arial Narrow"/>
                <w:sz w:val="20"/>
              </w:rPr>
            </w:pPr>
            <w:r>
              <w:rPr>
                <w:rFonts w:ascii="Arial Narrow" w:hAnsi="Arial Narrow"/>
                <w:sz w:val="20"/>
              </w:rPr>
              <w:t>The treatment must not exceed a maximum dose of 3</w:t>
            </w:r>
            <w:r w:rsidR="002E285B">
              <w:rPr>
                <w:rFonts w:ascii="Arial Narrow" w:hAnsi="Arial Narrow"/>
                <w:sz w:val="20"/>
              </w:rPr>
              <w:t> </w:t>
            </w:r>
            <w:r>
              <w:rPr>
                <w:rFonts w:ascii="Arial Narrow" w:hAnsi="Arial Narrow"/>
                <w:sz w:val="20"/>
              </w:rPr>
              <w:t>mg per kg every 2 weeks.</w:t>
            </w:r>
          </w:p>
        </w:tc>
      </w:tr>
      <w:tr w:rsidR="004439FD" w:rsidRPr="00260CE3" w:rsidTr="00710A65">
        <w:trPr>
          <w:cantSplit/>
          <w:trHeight w:val="513"/>
        </w:trPr>
        <w:tc>
          <w:tcPr>
            <w:tcW w:w="2552" w:type="dxa"/>
            <w:tcBorders>
              <w:top w:val="single" w:sz="4" w:space="0" w:color="auto"/>
              <w:left w:val="single" w:sz="4" w:space="0" w:color="auto"/>
              <w:bottom w:val="single" w:sz="4" w:space="0" w:color="auto"/>
              <w:right w:val="single" w:sz="4" w:space="0" w:color="auto"/>
            </w:tcBorders>
          </w:tcPr>
          <w:p w:rsidR="004439FD" w:rsidRPr="00C0121C" w:rsidRDefault="004439FD" w:rsidP="004439FD">
            <w:pPr>
              <w:rPr>
                <w:rFonts w:ascii="Arial Narrow" w:hAnsi="Arial Narrow"/>
                <w:b/>
                <w:sz w:val="20"/>
              </w:rPr>
            </w:pPr>
            <w:r w:rsidRPr="00260CE3">
              <w:rPr>
                <w:rFonts w:ascii="Arial Narrow" w:hAnsi="Arial Narrow"/>
                <w:b/>
                <w:sz w:val="20"/>
              </w:rPr>
              <w:t>Administrative Advice</w:t>
            </w:r>
          </w:p>
        </w:tc>
        <w:tc>
          <w:tcPr>
            <w:tcW w:w="5811" w:type="dxa"/>
            <w:tcBorders>
              <w:top w:val="single" w:sz="4" w:space="0" w:color="auto"/>
              <w:left w:val="single" w:sz="4" w:space="0" w:color="auto"/>
              <w:bottom w:val="single" w:sz="4" w:space="0" w:color="auto"/>
              <w:right w:val="single" w:sz="4" w:space="0" w:color="auto"/>
            </w:tcBorders>
          </w:tcPr>
          <w:p w:rsidR="00E955C6" w:rsidRPr="005D01E1" w:rsidRDefault="004439FD" w:rsidP="00E955C6">
            <w:pPr>
              <w:rPr>
                <w:rFonts w:ascii="Arial Narrow" w:hAnsi="Arial Narrow"/>
                <w:sz w:val="20"/>
              </w:rPr>
            </w:pPr>
            <w:r w:rsidRPr="005D01E1">
              <w:rPr>
                <w:rFonts w:ascii="Arial Narrow" w:hAnsi="Arial Narrow"/>
                <w:sz w:val="20"/>
              </w:rPr>
              <w:t>No increase in the maximum number of repeats may be authorised.</w:t>
            </w:r>
          </w:p>
          <w:p w:rsidR="004439FD" w:rsidRPr="005D01E1" w:rsidRDefault="004439FD" w:rsidP="002E285B">
            <w:pPr>
              <w:rPr>
                <w:rFonts w:ascii="Arial Narrow" w:hAnsi="Arial Narrow"/>
                <w:sz w:val="20"/>
              </w:rPr>
            </w:pPr>
          </w:p>
        </w:tc>
      </w:tr>
    </w:tbl>
    <w:p w:rsidR="00191CC2" w:rsidRPr="00710A65" w:rsidRDefault="00191CC2" w:rsidP="00191CC2">
      <w:pPr>
        <w:rPr>
          <w:szCs w:val="22"/>
        </w:rPr>
      </w:pPr>
    </w:p>
    <w:p w:rsidR="00F31B0C" w:rsidRDefault="00F31B0C" w:rsidP="00F31B0C">
      <w:pPr>
        <w:rPr>
          <w:b/>
          <w:bCs/>
          <w:szCs w:val="22"/>
          <w:highlight w:val="yellow"/>
        </w:rPr>
      </w:pPr>
    </w:p>
    <w:p w:rsidR="00F31B0C" w:rsidRPr="007869EC" w:rsidRDefault="00F31B0C" w:rsidP="00F31B0C">
      <w:pPr>
        <w:rPr>
          <w:bCs/>
          <w:szCs w:val="22"/>
        </w:rPr>
      </w:pPr>
    </w:p>
    <w:p w:rsidR="00F31B0C" w:rsidRPr="007869EC" w:rsidRDefault="00F31B0C" w:rsidP="00F31B0C">
      <w:pPr>
        <w:numPr>
          <w:ilvl w:val="0"/>
          <w:numId w:val="1"/>
        </w:numPr>
        <w:contextualSpacing/>
        <w:rPr>
          <w:rFonts w:eastAsia="SimSun"/>
          <w:b/>
          <w:szCs w:val="22"/>
        </w:rPr>
      </w:pPr>
      <w:r w:rsidRPr="007869EC">
        <w:rPr>
          <w:rFonts w:eastAsia="SimSun"/>
          <w:b/>
          <w:szCs w:val="22"/>
        </w:rPr>
        <w:t>Context for Decision</w:t>
      </w:r>
    </w:p>
    <w:p w:rsidR="00F31B0C" w:rsidRPr="007869EC" w:rsidRDefault="00F31B0C" w:rsidP="00F31B0C">
      <w:pPr>
        <w:ind w:left="720"/>
        <w:contextualSpacing/>
        <w:rPr>
          <w:b/>
        </w:rPr>
      </w:pPr>
    </w:p>
    <w:p w:rsidR="00F31B0C" w:rsidRPr="007869EC" w:rsidRDefault="00F31B0C" w:rsidP="00F31B0C">
      <w:pPr>
        <w:ind w:left="720"/>
        <w:rPr>
          <w:bCs/>
          <w:szCs w:val="22"/>
        </w:rPr>
      </w:pPr>
      <w:r w:rsidRPr="007869EC">
        <w:rPr>
          <w:bCs/>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31B0C" w:rsidRPr="007869EC" w:rsidRDefault="00F31B0C" w:rsidP="00F31B0C"/>
    <w:p w:rsidR="00F31B0C" w:rsidRPr="007869EC" w:rsidRDefault="00F31B0C" w:rsidP="00F31B0C">
      <w:pPr>
        <w:numPr>
          <w:ilvl w:val="0"/>
          <w:numId w:val="1"/>
        </w:numPr>
        <w:contextualSpacing/>
        <w:rPr>
          <w:rFonts w:eastAsia="SimSun"/>
          <w:b/>
          <w:szCs w:val="22"/>
        </w:rPr>
      </w:pPr>
      <w:r w:rsidRPr="007869EC">
        <w:rPr>
          <w:rFonts w:eastAsia="SimSun"/>
          <w:b/>
          <w:szCs w:val="22"/>
        </w:rPr>
        <w:t>Sponsor’s Comment</w:t>
      </w:r>
    </w:p>
    <w:p w:rsidR="00F31B0C" w:rsidRPr="001B00A4" w:rsidRDefault="00F31B0C" w:rsidP="00F31B0C">
      <w:pPr>
        <w:rPr>
          <w:b/>
          <w:bCs/>
          <w:szCs w:val="22"/>
        </w:rPr>
      </w:pPr>
    </w:p>
    <w:p w:rsidR="007C53BF" w:rsidRPr="005E16D6" w:rsidRDefault="007C53BF" w:rsidP="007C53BF">
      <w:pPr>
        <w:ind w:left="720"/>
        <w:rPr>
          <w:bCs/>
          <w:szCs w:val="22"/>
        </w:rPr>
      </w:pPr>
      <w:r w:rsidRPr="005E16D6">
        <w:rPr>
          <w:bCs/>
          <w:szCs w:val="22"/>
        </w:rPr>
        <w:t xml:space="preserve">The sponsor </w:t>
      </w:r>
      <w:r>
        <w:rPr>
          <w:bCs/>
          <w:szCs w:val="22"/>
        </w:rPr>
        <w:t xml:space="preserve">acknowledges the collaborative work of all stakeholders pre and post the positive PBAC recommendation and looks forward to Australian patients being able to access nivolumab via the PBS in the near future.  </w:t>
      </w:r>
    </w:p>
    <w:p w:rsidR="00E94430" w:rsidRPr="00E94430" w:rsidRDefault="00E94430" w:rsidP="007C53BF">
      <w:pPr>
        <w:widowControl/>
        <w:ind w:left="720"/>
        <w:jc w:val="left"/>
      </w:pPr>
    </w:p>
    <w:sectPr w:rsidR="00E94430" w:rsidRPr="00E94430" w:rsidSect="00191CC2">
      <w:headerReference w:type="default" r:id="rId8"/>
      <w:footerReference w:type="default" r:id="rId9"/>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30B" w:rsidRDefault="0060430B" w:rsidP="00DD096B">
      <w:r>
        <w:separator/>
      </w:r>
    </w:p>
  </w:endnote>
  <w:endnote w:type="continuationSeparator" w:id="0">
    <w:p w:rsidR="0060430B" w:rsidRDefault="0060430B" w:rsidP="00DD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968634919"/>
      <w:docPartObj>
        <w:docPartGallery w:val="Page Numbers (Bottom of Page)"/>
        <w:docPartUnique/>
      </w:docPartObj>
    </w:sdtPr>
    <w:sdtEndPr>
      <w:rPr>
        <w:noProof/>
      </w:rPr>
    </w:sdtEndPr>
    <w:sdtContent>
      <w:p w:rsidR="00622DD3" w:rsidRDefault="00622DD3" w:rsidP="00191CC2">
        <w:pPr>
          <w:pStyle w:val="Footer"/>
          <w:jc w:val="center"/>
          <w:rPr>
            <w:sz w:val="20"/>
          </w:rPr>
        </w:pPr>
      </w:p>
      <w:p w:rsidR="00622DD3" w:rsidRPr="00BC79BE" w:rsidRDefault="00622DD3" w:rsidP="00191CC2">
        <w:pPr>
          <w:pStyle w:val="Footer"/>
          <w:jc w:val="center"/>
          <w:rPr>
            <w:sz w:val="20"/>
          </w:rPr>
        </w:pPr>
        <w:r w:rsidRPr="00BC79BE">
          <w:rPr>
            <w:sz w:val="20"/>
          </w:rPr>
          <w:fldChar w:fldCharType="begin"/>
        </w:r>
        <w:r w:rsidRPr="00BC79BE">
          <w:rPr>
            <w:sz w:val="20"/>
          </w:rPr>
          <w:instrText xml:space="preserve"> PAGE   \* MERGEFORMAT </w:instrText>
        </w:r>
        <w:r w:rsidRPr="00BC79BE">
          <w:rPr>
            <w:sz w:val="20"/>
          </w:rPr>
          <w:fldChar w:fldCharType="separate"/>
        </w:r>
        <w:r w:rsidR="00D87C9E">
          <w:rPr>
            <w:noProof/>
            <w:sz w:val="20"/>
          </w:rPr>
          <w:t>2</w:t>
        </w:r>
        <w:r w:rsidRPr="00BC79BE">
          <w:rPr>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30B" w:rsidRDefault="0060430B" w:rsidP="00DD096B">
      <w:r>
        <w:separator/>
      </w:r>
    </w:p>
  </w:footnote>
  <w:footnote w:type="continuationSeparator" w:id="0">
    <w:p w:rsidR="0060430B" w:rsidRDefault="0060430B" w:rsidP="00DD0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DD3" w:rsidRPr="00BE15D7" w:rsidRDefault="00622DD3" w:rsidP="00F31B0C">
    <w:pPr>
      <w:pStyle w:val="Header"/>
      <w:jc w:val="center"/>
      <w:rPr>
        <w:rFonts w:ascii="Arial" w:hAnsi="Arial" w:cs="Arial"/>
        <w:sz w:val="22"/>
        <w:szCs w:val="22"/>
      </w:rPr>
    </w:pPr>
    <w:r w:rsidRPr="00BE15D7">
      <w:rPr>
        <w:rFonts w:ascii="Arial" w:hAnsi="Arial" w:cs="Arial"/>
        <w:i/>
        <w:color w:val="808080"/>
        <w:sz w:val="22"/>
        <w:szCs w:val="22"/>
      </w:rPr>
      <w:t>Public Summary Document – November 2015 PBAC Meeting</w:t>
    </w:r>
  </w:p>
  <w:p w:rsidR="00622DD3" w:rsidRPr="00191CC2" w:rsidRDefault="00622DD3" w:rsidP="00191C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7F22"/>
    <w:multiLevelType w:val="hybridMultilevel"/>
    <w:tmpl w:val="F00EDC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2384C8F"/>
    <w:multiLevelType w:val="hybridMultilevel"/>
    <w:tmpl w:val="2560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541076"/>
    <w:multiLevelType w:val="multilevel"/>
    <w:tmpl w:val="5164FF8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3D49F1"/>
    <w:multiLevelType w:val="hybridMultilevel"/>
    <w:tmpl w:val="CE7C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5D14AC"/>
    <w:multiLevelType w:val="hybridMultilevel"/>
    <w:tmpl w:val="754E9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06C4EE8"/>
    <w:multiLevelType w:val="hybridMultilevel"/>
    <w:tmpl w:val="8396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4D033C"/>
    <w:multiLevelType w:val="multilevel"/>
    <w:tmpl w:val="D00288B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5"/>
  </w:num>
  <w:num w:numId="3">
    <w:abstractNumId w:val="4"/>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456"/>
    <w:rsid w:val="00090285"/>
    <w:rsid w:val="000939B8"/>
    <w:rsid w:val="00097F20"/>
    <w:rsid w:val="000C4A6A"/>
    <w:rsid w:val="000E176E"/>
    <w:rsid w:val="000E3CC2"/>
    <w:rsid w:val="00101465"/>
    <w:rsid w:val="00104CB3"/>
    <w:rsid w:val="001720CE"/>
    <w:rsid w:val="00191CC2"/>
    <w:rsid w:val="001971E5"/>
    <w:rsid w:val="001A5707"/>
    <w:rsid w:val="001B4A6E"/>
    <w:rsid w:val="001E6018"/>
    <w:rsid w:val="001E768B"/>
    <w:rsid w:val="00213E34"/>
    <w:rsid w:val="00215462"/>
    <w:rsid w:val="00230F2A"/>
    <w:rsid w:val="0027301A"/>
    <w:rsid w:val="00295595"/>
    <w:rsid w:val="002B248D"/>
    <w:rsid w:val="002D004D"/>
    <w:rsid w:val="002D2CB4"/>
    <w:rsid w:val="002E285B"/>
    <w:rsid w:val="00303EB4"/>
    <w:rsid w:val="00304475"/>
    <w:rsid w:val="00307221"/>
    <w:rsid w:val="00307F93"/>
    <w:rsid w:val="00310A32"/>
    <w:rsid w:val="00351BD3"/>
    <w:rsid w:val="00364238"/>
    <w:rsid w:val="00370D9A"/>
    <w:rsid w:val="003C2A57"/>
    <w:rsid w:val="003D2F8A"/>
    <w:rsid w:val="003D67D3"/>
    <w:rsid w:val="003F226D"/>
    <w:rsid w:val="00435F1B"/>
    <w:rsid w:val="0044080D"/>
    <w:rsid w:val="004439FD"/>
    <w:rsid w:val="004516F9"/>
    <w:rsid w:val="004C5789"/>
    <w:rsid w:val="004D51C8"/>
    <w:rsid w:val="004E2B4C"/>
    <w:rsid w:val="00517DB6"/>
    <w:rsid w:val="00523B5C"/>
    <w:rsid w:val="005311E2"/>
    <w:rsid w:val="00540281"/>
    <w:rsid w:val="005511F8"/>
    <w:rsid w:val="0057280B"/>
    <w:rsid w:val="005915B7"/>
    <w:rsid w:val="00591A7B"/>
    <w:rsid w:val="005D01E1"/>
    <w:rsid w:val="005D0842"/>
    <w:rsid w:val="005D6DB5"/>
    <w:rsid w:val="0060430B"/>
    <w:rsid w:val="00616813"/>
    <w:rsid w:val="00622DD3"/>
    <w:rsid w:val="00660413"/>
    <w:rsid w:val="006743CA"/>
    <w:rsid w:val="00685CA7"/>
    <w:rsid w:val="00695BEE"/>
    <w:rsid w:val="006A1EED"/>
    <w:rsid w:val="00710A65"/>
    <w:rsid w:val="007336F2"/>
    <w:rsid w:val="007438AF"/>
    <w:rsid w:val="00764101"/>
    <w:rsid w:val="00782F03"/>
    <w:rsid w:val="00784A31"/>
    <w:rsid w:val="00791B57"/>
    <w:rsid w:val="007C53BF"/>
    <w:rsid w:val="007C59BD"/>
    <w:rsid w:val="007E6300"/>
    <w:rsid w:val="00804A11"/>
    <w:rsid w:val="00826BCC"/>
    <w:rsid w:val="00840395"/>
    <w:rsid w:val="00844DD7"/>
    <w:rsid w:val="00846030"/>
    <w:rsid w:val="008479C1"/>
    <w:rsid w:val="00853456"/>
    <w:rsid w:val="00854F46"/>
    <w:rsid w:val="00860DEA"/>
    <w:rsid w:val="00890E32"/>
    <w:rsid w:val="008A63A3"/>
    <w:rsid w:val="008D09B4"/>
    <w:rsid w:val="008E1A6C"/>
    <w:rsid w:val="008E6434"/>
    <w:rsid w:val="0091330B"/>
    <w:rsid w:val="009411CC"/>
    <w:rsid w:val="00951B72"/>
    <w:rsid w:val="009829B2"/>
    <w:rsid w:val="009A4063"/>
    <w:rsid w:val="009A4C50"/>
    <w:rsid w:val="009D2917"/>
    <w:rsid w:val="009E515A"/>
    <w:rsid w:val="00A5452F"/>
    <w:rsid w:val="00A830AD"/>
    <w:rsid w:val="00A90F49"/>
    <w:rsid w:val="00A968CC"/>
    <w:rsid w:val="00AC0366"/>
    <w:rsid w:val="00AC6980"/>
    <w:rsid w:val="00AE1769"/>
    <w:rsid w:val="00B0769C"/>
    <w:rsid w:val="00B10A9B"/>
    <w:rsid w:val="00B17270"/>
    <w:rsid w:val="00B42457"/>
    <w:rsid w:val="00B54D79"/>
    <w:rsid w:val="00B66262"/>
    <w:rsid w:val="00B820A8"/>
    <w:rsid w:val="00B909ED"/>
    <w:rsid w:val="00BA3304"/>
    <w:rsid w:val="00BB7D0C"/>
    <w:rsid w:val="00BC79BE"/>
    <w:rsid w:val="00C256CC"/>
    <w:rsid w:val="00C27F6F"/>
    <w:rsid w:val="00C35205"/>
    <w:rsid w:val="00C47547"/>
    <w:rsid w:val="00C540A8"/>
    <w:rsid w:val="00C658AB"/>
    <w:rsid w:val="00C735B5"/>
    <w:rsid w:val="00C76A08"/>
    <w:rsid w:val="00C95A50"/>
    <w:rsid w:val="00CA15B2"/>
    <w:rsid w:val="00CD657B"/>
    <w:rsid w:val="00CD6C32"/>
    <w:rsid w:val="00D070A6"/>
    <w:rsid w:val="00D14106"/>
    <w:rsid w:val="00D22C03"/>
    <w:rsid w:val="00D44EB5"/>
    <w:rsid w:val="00D55ED7"/>
    <w:rsid w:val="00D62746"/>
    <w:rsid w:val="00D70748"/>
    <w:rsid w:val="00D750F3"/>
    <w:rsid w:val="00D76AB7"/>
    <w:rsid w:val="00D87C9E"/>
    <w:rsid w:val="00DA4396"/>
    <w:rsid w:val="00DB25F0"/>
    <w:rsid w:val="00DC5E6B"/>
    <w:rsid w:val="00DD096B"/>
    <w:rsid w:val="00DD1190"/>
    <w:rsid w:val="00DF6E0D"/>
    <w:rsid w:val="00DF771C"/>
    <w:rsid w:val="00E21A81"/>
    <w:rsid w:val="00E44AA3"/>
    <w:rsid w:val="00E45227"/>
    <w:rsid w:val="00E679E7"/>
    <w:rsid w:val="00E84867"/>
    <w:rsid w:val="00E90EC8"/>
    <w:rsid w:val="00E94430"/>
    <w:rsid w:val="00E955C6"/>
    <w:rsid w:val="00EB133B"/>
    <w:rsid w:val="00ED0E97"/>
    <w:rsid w:val="00EF127A"/>
    <w:rsid w:val="00EF1B2A"/>
    <w:rsid w:val="00EF1F64"/>
    <w:rsid w:val="00EF2E1B"/>
    <w:rsid w:val="00F1650A"/>
    <w:rsid w:val="00F201F5"/>
    <w:rsid w:val="00F31B0C"/>
    <w:rsid w:val="00F350D8"/>
    <w:rsid w:val="00F47C67"/>
    <w:rsid w:val="00F504F0"/>
    <w:rsid w:val="00F515C9"/>
    <w:rsid w:val="00F805F9"/>
    <w:rsid w:val="00F82AEF"/>
    <w:rsid w:val="00F85AE3"/>
    <w:rsid w:val="00FA7F8E"/>
    <w:rsid w:val="00FC1159"/>
    <w:rsid w:val="00FC7F3A"/>
    <w:rsid w:val="00FF5045"/>
    <w:rsid w:val="00FF665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lsdException w:name="annotation reference" w:uiPriority="0" w:qFormat="1"/>
    <w:lsdException w:name="Title" w:semiHidden="0" w:uiPriority="0" w:unhideWhenUsed="0"/>
    <w:lsdException w:name="Default Paragraph Font" w:uiPriority="1"/>
    <w:lsdException w:name="Body Text" w:uiPriority="0" w:qFormat="1"/>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04CB3"/>
    <w:pPr>
      <w:widowControl w:val="0"/>
      <w:jc w:val="both"/>
    </w:pPr>
    <w:rPr>
      <w:rFonts w:ascii="Arial" w:hAnsi="Arial" w:cs="Arial"/>
      <w:snapToGrid w:val="0"/>
      <w:sz w:val="22"/>
    </w:rPr>
  </w:style>
  <w:style w:type="paragraph" w:styleId="Heading1">
    <w:name w:val="heading 1"/>
    <w:basedOn w:val="Normal"/>
    <w:next w:val="Normal"/>
    <w:link w:val="Heading1Char"/>
    <w:qFormat/>
    <w:rsid w:val="00104CB3"/>
    <w:pPr>
      <w:ind w:left="720" w:hanging="720"/>
      <w:outlineLvl w:val="0"/>
    </w:pPr>
    <w:rPr>
      <w:rFonts w:ascii="Arial Bold" w:hAnsi="Arial Bold"/>
      <w:b/>
      <w:caps/>
    </w:rPr>
  </w:style>
  <w:style w:type="paragraph" w:styleId="Heading2">
    <w:name w:val="heading 2"/>
    <w:basedOn w:val="Normal"/>
    <w:next w:val="Normal"/>
    <w:link w:val="Heading2Char"/>
    <w:uiPriority w:val="9"/>
    <w:qFormat/>
    <w:rsid w:val="00104CB3"/>
    <w:pPr>
      <w:outlineLvl w:val="1"/>
    </w:pPr>
    <w:rPr>
      <w:b/>
    </w:rPr>
  </w:style>
  <w:style w:type="paragraph" w:styleId="Heading3">
    <w:name w:val="heading 3"/>
    <w:basedOn w:val="Normal"/>
    <w:next w:val="Normal"/>
    <w:link w:val="Heading3Char"/>
    <w:qFormat/>
    <w:rsid w:val="00104CB3"/>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104CB3"/>
    <w:rPr>
      <w:rFonts w:ascii="Arial Narrow" w:hAnsi="Arial Narrow"/>
      <w:sz w:val="18"/>
    </w:rPr>
  </w:style>
  <w:style w:type="character" w:customStyle="1" w:styleId="TableFooterChar">
    <w:name w:val="Table Footer Char"/>
    <w:link w:val="TableFooter"/>
    <w:rsid w:val="00B66262"/>
    <w:rPr>
      <w:rFonts w:ascii="Arial Narrow" w:hAnsi="Arial Narrow" w:cs="Arial"/>
      <w:snapToGrid w:val="0"/>
      <w:sz w:val="18"/>
    </w:rPr>
  </w:style>
  <w:style w:type="paragraph" w:customStyle="1" w:styleId="TableText">
    <w:name w:val="TableText"/>
    <w:basedOn w:val="Normal"/>
    <w:rsid w:val="00B66262"/>
    <w:pPr>
      <w:keepNext/>
      <w:widowControl/>
      <w:spacing w:before="40" w:after="40"/>
      <w:jc w:val="left"/>
    </w:pPr>
    <w:rPr>
      <w:rFonts w:ascii="Arial Narrow" w:hAnsi="Arial Narrow" w:cs="Arial Narrow"/>
      <w:snapToGrid/>
      <w:sz w:val="20"/>
    </w:rPr>
  </w:style>
  <w:style w:type="paragraph" w:customStyle="1" w:styleId="TableText0">
    <w:name w:val="Table Text"/>
    <w:basedOn w:val="Normal"/>
    <w:link w:val="TableTextChar"/>
    <w:rsid w:val="00B66262"/>
    <w:pPr>
      <w:widowControl/>
      <w:spacing w:line="360" w:lineRule="auto"/>
      <w:jc w:val="left"/>
    </w:pPr>
    <w:rPr>
      <w:rFonts w:eastAsia="SimSun"/>
      <w:snapToGrid/>
      <w:sz w:val="24"/>
      <w:lang w:eastAsia="zh-CN"/>
    </w:rPr>
  </w:style>
  <w:style w:type="character" w:customStyle="1" w:styleId="TableTextChar">
    <w:name w:val="Table Text Char"/>
    <w:link w:val="TableText0"/>
    <w:rsid w:val="00B66262"/>
    <w:rPr>
      <w:rFonts w:ascii="Arial" w:eastAsia="SimSun" w:hAnsi="Arial" w:cs="Arial"/>
      <w:lang w:eastAsia="zh-CN"/>
    </w:rPr>
  </w:style>
  <w:style w:type="paragraph" w:customStyle="1" w:styleId="PBACHeading1">
    <w:name w:val="PBAC Heading 1"/>
    <w:qFormat/>
    <w:rsid w:val="00104CB3"/>
    <w:pPr>
      <w:numPr>
        <w:numId w:val="1"/>
      </w:numPr>
    </w:pPr>
    <w:rPr>
      <w:rFonts w:ascii="Arial" w:hAnsi="Arial" w:cs="Arial"/>
      <w:b/>
      <w:snapToGrid w:val="0"/>
      <w:sz w:val="22"/>
      <w:szCs w:val="22"/>
    </w:rPr>
  </w:style>
  <w:style w:type="paragraph" w:customStyle="1" w:styleId="PBACheading10">
    <w:name w:val="PBAC heading 1"/>
    <w:rsid w:val="00B66262"/>
    <w:rPr>
      <w:rFonts w:ascii="Arial" w:hAnsi="Arial" w:cs="Arial"/>
      <w:snapToGrid w:val="0"/>
      <w:sz w:val="22"/>
      <w:szCs w:val="22"/>
    </w:rPr>
  </w:style>
  <w:style w:type="character" w:customStyle="1" w:styleId="Heading1Char">
    <w:name w:val="Heading 1 Char"/>
    <w:basedOn w:val="DefaultParagraphFont"/>
    <w:link w:val="Heading1"/>
    <w:rsid w:val="00B66262"/>
    <w:rPr>
      <w:rFonts w:ascii="Arial Bold" w:hAnsi="Arial Bold" w:cs="Arial"/>
      <w:b/>
      <w:caps/>
      <w:snapToGrid w:val="0"/>
      <w:sz w:val="22"/>
    </w:rPr>
  </w:style>
  <w:style w:type="character" w:customStyle="1" w:styleId="Heading2Char">
    <w:name w:val="Heading 2 Char"/>
    <w:link w:val="Heading2"/>
    <w:uiPriority w:val="9"/>
    <w:rsid w:val="00104CB3"/>
    <w:rPr>
      <w:rFonts w:ascii="Arial" w:hAnsi="Arial" w:cs="Arial"/>
      <w:b/>
      <w:snapToGrid w:val="0"/>
      <w:sz w:val="22"/>
    </w:rPr>
  </w:style>
  <w:style w:type="character" w:customStyle="1" w:styleId="Heading3Char">
    <w:name w:val="Heading 3 Char"/>
    <w:basedOn w:val="DefaultParagraphFont"/>
    <w:link w:val="Heading3"/>
    <w:rsid w:val="00B66262"/>
    <w:rPr>
      <w:rFonts w:ascii="Arial" w:hAnsi="Arial" w:cs="Arial"/>
      <w:snapToGrid w:val="0"/>
      <w:sz w:val="22"/>
      <w:u w:val="single"/>
    </w:rPr>
  </w:style>
  <w:style w:type="paragraph" w:styleId="Caption">
    <w:name w:val="caption"/>
    <w:aliases w:val="Caption Char1,Caption Char Char,IB Caption Char,Medical Caption Char,Caption Char1 Char Char Char,Caption Char Char Char Char Char1,Caption Char1 Char Char1,Caption Char Char Char Char Char Char,Caption Char Char Char1,IB Caption"/>
    <w:basedOn w:val="Normal"/>
    <w:next w:val="Normal"/>
    <w:link w:val="CaptionChar"/>
    <w:unhideWhenUsed/>
    <w:rsid w:val="00B66262"/>
    <w:pPr>
      <w:spacing w:after="200"/>
    </w:pPr>
    <w:rPr>
      <w:rFonts w:ascii="Times New Roman" w:hAnsi="Times New Roman" w:cs="Times New Roman"/>
      <w:b/>
      <w:bCs/>
      <w:color w:val="4F81BD" w:themeColor="accent1"/>
      <w:sz w:val="18"/>
      <w:szCs w:val="18"/>
    </w:rPr>
  </w:style>
  <w:style w:type="character" w:customStyle="1" w:styleId="CaptionChar">
    <w:name w:val="Caption Char"/>
    <w:aliases w:val="Caption Char1 Char,Caption Char Char Char,IB Caption Char Char,Medical Caption Char Char,Caption Char1 Char Char Char Char,Caption Char Char Char Char Char1 Char,Caption Char1 Char Char1 Char,Caption Char Char Char Char Char Char Char"/>
    <w:link w:val="Caption"/>
    <w:rsid w:val="00B66262"/>
    <w:rPr>
      <w:b/>
      <w:bCs/>
      <w:snapToGrid w:val="0"/>
      <w:color w:val="4F81BD" w:themeColor="accent1"/>
      <w:sz w:val="18"/>
      <w:szCs w:val="18"/>
    </w:rPr>
  </w:style>
  <w:style w:type="character" w:styleId="CommentReference">
    <w:name w:val="annotation reference"/>
    <w:aliases w:val="Table Title"/>
    <w:qFormat/>
    <w:rsid w:val="00104CB3"/>
    <w:rPr>
      <w:rFonts w:ascii="Arial Narrow" w:hAnsi="Arial Narrow"/>
      <w:b/>
      <w:sz w:val="20"/>
      <w:szCs w:val="16"/>
    </w:rPr>
  </w:style>
  <w:style w:type="paragraph" w:styleId="Title">
    <w:name w:val="Title"/>
    <w:basedOn w:val="Normal"/>
    <w:next w:val="Normal"/>
    <w:link w:val="TitleChar"/>
    <w:rsid w:val="00B66262"/>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B66262"/>
    <w:rPr>
      <w:rFonts w:ascii="Cambria" w:hAnsi="Cambria"/>
      <w:b/>
      <w:bCs/>
      <w:snapToGrid w:val="0"/>
      <w:kern w:val="28"/>
      <w:sz w:val="32"/>
      <w:szCs w:val="32"/>
    </w:rPr>
  </w:style>
  <w:style w:type="paragraph" w:styleId="BodyText">
    <w:name w:val="Body Text"/>
    <w:basedOn w:val="Normal"/>
    <w:link w:val="BodyTextChar"/>
    <w:qFormat/>
    <w:rsid w:val="00104CB3"/>
    <w:pPr>
      <w:jc w:val="left"/>
    </w:pPr>
  </w:style>
  <w:style w:type="character" w:customStyle="1" w:styleId="BodyTextChar">
    <w:name w:val="Body Text Char"/>
    <w:basedOn w:val="DefaultParagraphFont"/>
    <w:link w:val="BodyText"/>
    <w:rsid w:val="00104CB3"/>
    <w:rPr>
      <w:rFonts w:ascii="Arial" w:hAnsi="Arial" w:cs="Arial"/>
      <w:snapToGrid w:val="0"/>
      <w:sz w:val="22"/>
    </w:rPr>
  </w:style>
  <w:style w:type="paragraph" w:styleId="NoSpacing">
    <w:name w:val="No Spacing"/>
    <w:uiPriority w:val="1"/>
    <w:qFormat/>
    <w:rsid w:val="00104CB3"/>
    <w:pPr>
      <w:widowControl w:val="0"/>
      <w:jc w:val="both"/>
    </w:pPr>
    <w:rPr>
      <w:rFonts w:ascii="Arial" w:hAnsi="Arial" w:cs="Arial"/>
      <w:snapToGrid w:val="0"/>
      <w:sz w:val="22"/>
    </w:rPr>
  </w:style>
  <w:style w:type="paragraph" w:styleId="ListParagraph">
    <w:name w:val="List Paragraph"/>
    <w:aliases w:val="BulletPoints"/>
    <w:basedOn w:val="Normal"/>
    <w:link w:val="ListParagraphChar"/>
    <w:uiPriority w:val="72"/>
    <w:qFormat/>
    <w:rsid w:val="00104CB3"/>
    <w:pPr>
      <w:ind w:left="720"/>
      <w:contextualSpacing/>
    </w:pPr>
  </w:style>
  <w:style w:type="character" w:customStyle="1" w:styleId="ListParagraphChar">
    <w:name w:val="List Paragraph Char"/>
    <w:aliases w:val="BulletPoints Char"/>
    <w:basedOn w:val="DefaultParagraphFont"/>
    <w:link w:val="ListParagraph"/>
    <w:uiPriority w:val="34"/>
    <w:rsid w:val="00104CB3"/>
    <w:rPr>
      <w:rFonts w:ascii="Arial" w:hAnsi="Arial" w:cs="Arial"/>
      <w:snapToGrid w:val="0"/>
      <w:sz w:val="22"/>
    </w:rPr>
  </w:style>
  <w:style w:type="paragraph" w:customStyle="1" w:styleId="Tabletext1">
    <w:name w:val="Table text"/>
    <w:basedOn w:val="Normal"/>
    <w:link w:val="TabletextChar0"/>
    <w:qFormat/>
    <w:rsid w:val="00104CB3"/>
    <w:pPr>
      <w:widowControl/>
      <w:jc w:val="left"/>
    </w:pPr>
    <w:rPr>
      <w:rFonts w:ascii="Arial Narrow" w:hAnsi="Arial Narrow" w:cs="Times New Roman"/>
      <w:snapToGrid/>
      <w:sz w:val="20"/>
    </w:rPr>
  </w:style>
  <w:style w:type="character" w:customStyle="1" w:styleId="TabletextChar0">
    <w:name w:val="Table text Char"/>
    <w:link w:val="Tabletext1"/>
    <w:rsid w:val="00104CB3"/>
    <w:rPr>
      <w:rFonts w:ascii="Arial Narrow" w:hAnsi="Arial Narrow"/>
    </w:rPr>
  </w:style>
  <w:style w:type="paragraph" w:styleId="Subtitle">
    <w:name w:val="Subtitle"/>
    <w:basedOn w:val="Normal"/>
    <w:link w:val="SubtitleChar"/>
    <w:qFormat/>
    <w:rsid w:val="00104CB3"/>
    <w:pPr>
      <w:widowControl/>
    </w:pPr>
    <w:rPr>
      <w:rFonts w:ascii="Times New Roman" w:hAnsi="Times New Roman" w:cs="Times New Roman"/>
      <w:snapToGrid/>
      <w:sz w:val="20"/>
    </w:rPr>
  </w:style>
  <w:style w:type="character" w:customStyle="1" w:styleId="SubtitleChar">
    <w:name w:val="Subtitle Char"/>
    <w:link w:val="Subtitle"/>
    <w:rsid w:val="00104CB3"/>
  </w:style>
  <w:style w:type="paragraph" w:styleId="CommentText">
    <w:name w:val="annotation text"/>
    <w:basedOn w:val="Normal"/>
    <w:link w:val="CommentTextChar"/>
    <w:rsid w:val="009E515A"/>
    <w:pPr>
      <w:widowControl/>
      <w:jc w:val="left"/>
    </w:pPr>
    <w:rPr>
      <w:rFonts w:ascii="Times New Roman" w:hAnsi="Times New Roman" w:cs="Times New Roman"/>
      <w:snapToGrid/>
      <w:sz w:val="20"/>
      <w:lang w:eastAsia="en-AU"/>
    </w:rPr>
  </w:style>
  <w:style w:type="character" w:customStyle="1" w:styleId="CommentTextChar">
    <w:name w:val="Comment Text Char"/>
    <w:basedOn w:val="DefaultParagraphFont"/>
    <w:link w:val="CommentText"/>
    <w:rsid w:val="009E515A"/>
    <w:rPr>
      <w:lang w:eastAsia="en-AU"/>
    </w:rPr>
  </w:style>
  <w:style w:type="paragraph" w:styleId="BalloonText">
    <w:name w:val="Balloon Text"/>
    <w:basedOn w:val="Normal"/>
    <w:link w:val="BalloonTextChar"/>
    <w:uiPriority w:val="99"/>
    <w:semiHidden/>
    <w:unhideWhenUsed/>
    <w:rsid w:val="009E515A"/>
    <w:rPr>
      <w:rFonts w:ascii="Tahoma" w:hAnsi="Tahoma" w:cs="Tahoma"/>
      <w:sz w:val="16"/>
      <w:szCs w:val="16"/>
    </w:rPr>
  </w:style>
  <w:style w:type="character" w:customStyle="1" w:styleId="BalloonTextChar">
    <w:name w:val="Balloon Text Char"/>
    <w:basedOn w:val="DefaultParagraphFont"/>
    <w:link w:val="BalloonText"/>
    <w:uiPriority w:val="99"/>
    <w:semiHidden/>
    <w:rsid w:val="009E515A"/>
    <w:rPr>
      <w:rFonts w:ascii="Tahoma" w:hAnsi="Tahoma" w:cs="Tahoma"/>
      <w:snapToGrid w:val="0"/>
      <w:sz w:val="16"/>
      <w:szCs w:val="16"/>
    </w:rPr>
  </w:style>
  <w:style w:type="paragraph" w:styleId="Header">
    <w:name w:val="header"/>
    <w:aliases w:val="Page Header,Header title,he=header,cntr/bld"/>
    <w:basedOn w:val="Normal"/>
    <w:link w:val="HeaderChar"/>
    <w:uiPriority w:val="99"/>
    <w:rsid w:val="009E515A"/>
    <w:pPr>
      <w:widowControl/>
      <w:tabs>
        <w:tab w:val="center" w:pos="4153"/>
        <w:tab w:val="right" w:pos="8306"/>
      </w:tabs>
      <w:jc w:val="left"/>
    </w:pPr>
    <w:rPr>
      <w:rFonts w:ascii="Times New Roman" w:hAnsi="Times New Roman" w:cs="Times New Roman"/>
      <w:snapToGrid/>
      <w:sz w:val="24"/>
      <w:szCs w:val="24"/>
      <w:lang w:eastAsia="en-AU"/>
    </w:rPr>
  </w:style>
  <w:style w:type="character" w:customStyle="1" w:styleId="HeaderChar">
    <w:name w:val="Header Char"/>
    <w:aliases w:val="Page Header Char,Header title Char,he=header Char,cntr/bld Char"/>
    <w:basedOn w:val="DefaultParagraphFont"/>
    <w:link w:val="Header"/>
    <w:uiPriority w:val="99"/>
    <w:rsid w:val="009E515A"/>
    <w:rPr>
      <w:sz w:val="24"/>
      <w:szCs w:val="24"/>
      <w:lang w:eastAsia="en-AU"/>
    </w:rPr>
  </w:style>
  <w:style w:type="paragraph" w:styleId="Footer">
    <w:name w:val="footer"/>
    <w:basedOn w:val="Normal"/>
    <w:link w:val="FooterChar"/>
    <w:uiPriority w:val="99"/>
    <w:unhideWhenUsed/>
    <w:rsid w:val="00DD096B"/>
    <w:pPr>
      <w:tabs>
        <w:tab w:val="center" w:pos="4513"/>
        <w:tab w:val="right" w:pos="9026"/>
      </w:tabs>
    </w:pPr>
  </w:style>
  <w:style w:type="character" w:customStyle="1" w:styleId="FooterChar">
    <w:name w:val="Footer Char"/>
    <w:basedOn w:val="DefaultParagraphFont"/>
    <w:link w:val="Footer"/>
    <w:uiPriority w:val="99"/>
    <w:rsid w:val="00DD096B"/>
    <w:rPr>
      <w:rFonts w:ascii="Arial" w:hAnsi="Arial" w:cs="Arial"/>
      <w:snapToGrid w:val="0"/>
      <w:sz w:val="22"/>
    </w:rPr>
  </w:style>
  <w:style w:type="paragraph" w:styleId="CommentSubject">
    <w:name w:val="annotation subject"/>
    <w:basedOn w:val="CommentText"/>
    <w:next w:val="CommentText"/>
    <w:link w:val="CommentSubjectChar"/>
    <w:uiPriority w:val="99"/>
    <w:semiHidden/>
    <w:unhideWhenUsed/>
    <w:rsid w:val="000939B8"/>
    <w:pPr>
      <w:widowControl w:val="0"/>
      <w:jc w:val="both"/>
    </w:pPr>
    <w:rPr>
      <w:rFonts w:ascii="Arial" w:hAnsi="Arial" w:cs="Arial"/>
      <w:b/>
      <w:bCs/>
      <w:snapToGrid w:val="0"/>
      <w:lang w:eastAsia="en-US"/>
    </w:rPr>
  </w:style>
  <w:style w:type="character" w:customStyle="1" w:styleId="CommentSubjectChar">
    <w:name w:val="Comment Subject Char"/>
    <w:basedOn w:val="CommentTextChar"/>
    <w:link w:val="CommentSubject"/>
    <w:uiPriority w:val="99"/>
    <w:semiHidden/>
    <w:rsid w:val="000939B8"/>
    <w:rPr>
      <w:rFonts w:ascii="Arial" w:hAnsi="Arial" w:cs="Arial"/>
      <w:b/>
      <w:bCs/>
      <w:snapToGrid w:val="0"/>
      <w:lang w:eastAsia="en-AU"/>
    </w:rPr>
  </w:style>
  <w:style w:type="paragraph" w:styleId="Revision">
    <w:name w:val="Revision"/>
    <w:hidden/>
    <w:uiPriority w:val="99"/>
    <w:semiHidden/>
    <w:rsid w:val="00517DB6"/>
    <w:rPr>
      <w:rFonts w:ascii="Arial" w:hAnsi="Arial" w:cs="Arial"/>
      <w:snapToGrid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lsdException w:name="annotation reference" w:uiPriority="0" w:qFormat="1"/>
    <w:lsdException w:name="Title" w:semiHidden="0" w:uiPriority="0" w:unhideWhenUsed="0"/>
    <w:lsdException w:name="Default Paragraph Font" w:uiPriority="1"/>
    <w:lsdException w:name="Body Text" w:uiPriority="0" w:qFormat="1"/>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04CB3"/>
    <w:pPr>
      <w:widowControl w:val="0"/>
      <w:jc w:val="both"/>
    </w:pPr>
    <w:rPr>
      <w:rFonts w:ascii="Arial" w:hAnsi="Arial" w:cs="Arial"/>
      <w:snapToGrid w:val="0"/>
      <w:sz w:val="22"/>
    </w:rPr>
  </w:style>
  <w:style w:type="paragraph" w:styleId="Heading1">
    <w:name w:val="heading 1"/>
    <w:basedOn w:val="Normal"/>
    <w:next w:val="Normal"/>
    <w:link w:val="Heading1Char"/>
    <w:qFormat/>
    <w:rsid w:val="00104CB3"/>
    <w:pPr>
      <w:ind w:left="720" w:hanging="720"/>
      <w:outlineLvl w:val="0"/>
    </w:pPr>
    <w:rPr>
      <w:rFonts w:ascii="Arial Bold" w:hAnsi="Arial Bold"/>
      <w:b/>
      <w:caps/>
    </w:rPr>
  </w:style>
  <w:style w:type="paragraph" w:styleId="Heading2">
    <w:name w:val="heading 2"/>
    <w:basedOn w:val="Normal"/>
    <w:next w:val="Normal"/>
    <w:link w:val="Heading2Char"/>
    <w:uiPriority w:val="9"/>
    <w:qFormat/>
    <w:rsid w:val="00104CB3"/>
    <w:pPr>
      <w:outlineLvl w:val="1"/>
    </w:pPr>
    <w:rPr>
      <w:b/>
    </w:rPr>
  </w:style>
  <w:style w:type="paragraph" w:styleId="Heading3">
    <w:name w:val="heading 3"/>
    <w:basedOn w:val="Normal"/>
    <w:next w:val="Normal"/>
    <w:link w:val="Heading3Char"/>
    <w:qFormat/>
    <w:rsid w:val="00104CB3"/>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104CB3"/>
    <w:rPr>
      <w:rFonts w:ascii="Arial Narrow" w:hAnsi="Arial Narrow"/>
      <w:sz w:val="18"/>
    </w:rPr>
  </w:style>
  <w:style w:type="character" w:customStyle="1" w:styleId="TableFooterChar">
    <w:name w:val="Table Footer Char"/>
    <w:link w:val="TableFooter"/>
    <w:rsid w:val="00B66262"/>
    <w:rPr>
      <w:rFonts w:ascii="Arial Narrow" w:hAnsi="Arial Narrow" w:cs="Arial"/>
      <w:snapToGrid w:val="0"/>
      <w:sz w:val="18"/>
    </w:rPr>
  </w:style>
  <w:style w:type="paragraph" w:customStyle="1" w:styleId="TableText">
    <w:name w:val="TableText"/>
    <w:basedOn w:val="Normal"/>
    <w:rsid w:val="00B66262"/>
    <w:pPr>
      <w:keepNext/>
      <w:widowControl/>
      <w:spacing w:before="40" w:after="40"/>
      <w:jc w:val="left"/>
    </w:pPr>
    <w:rPr>
      <w:rFonts w:ascii="Arial Narrow" w:hAnsi="Arial Narrow" w:cs="Arial Narrow"/>
      <w:snapToGrid/>
      <w:sz w:val="20"/>
    </w:rPr>
  </w:style>
  <w:style w:type="paragraph" w:customStyle="1" w:styleId="TableText0">
    <w:name w:val="Table Text"/>
    <w:basedOn w:val="Normal"/>
    <w:link w:val="TableTextChar"/>
    <w:rsid w:val="00B66262"/>
    <w:pPr>
      <w:widowControl/>
      <w:spacing w:line="360" w:lineRule="auto"/>
      <w:jc w:val="left"/>
    </w:pPr>
    <w:rPr>
      <w:rFonts w:eastAsia="SimSun"/>
      <w:snapToGrid/>
      <w:sz w:val="24"/>
      <w:lang w:eastAsia="zh-CN"/>
    </w:rPr>
  </w:style>
  <w:style w:type="character" w:customStyle="1" w:styleId="TableTextChar">
    <w:name w:val="Table Text Char"/>
    <w:link w:val="TableText0"/>
    <w:rsid w:val="00B66262"/>
    <w:rPr>
      <w:rFonts w:ascii="Arial" w:eastAsia="SimSun" w:hAnsi="Arial" w:cs="Arial"/>
      <w:lang w:eastAsia="zh-CN"/>
    </w:rPr>
  </w:style>
  <w:style w:type="paragraph" w:customStyle="1" w:styleId="PBACHeading1">
    <w:name w:val="PBAC Heading 1"/>
    <w:qFormat/>
    <w:rsid w:val="00104CB3"/>
    <w:pPr>
      <w:numPr>
        <w:numId w:val="1"/>
      </w:numPr>
    </w:pPr>
    <w:rPr>
      <w:rFonts w:ascii="Arial" w:hAnsi="Arial" w:cs="Arial"/>
      <w:b/>
      <w:snapToGrid w:val="0"/>
      <w:sz w:val="22"/>
      <w:szCs w:val="22"/>
    </w:rPr>
  </w:style>
  <w:style w:type="paragraph" w:customStyle="1" w:styleId="PBACheading10">
    <w:name w:val="PBAC heading 1"/>
    <w:rsid w:val="00B66262"/>
    <w:rPr>
      <w:rFonts w:ascii="Arial" w:hAnsi="Arial" w:cs="Arial"/>
      <w:snapToGrid w:val="0"/>
      <w:sz w:val="22"/>
      <w:szCs w:val="22"/>
    </w:rPr>
  </w:style>
  <w:style w:type="character" w:customStyle="1" w:styleId="Heading1Char">
    <w:name w:val="Heading 1 Char"/>
    <w:basedOn w:val="DefaultParagraphFont"/>
    <w:link w:val="Heading1"/>
    <w:rsid w:val="00B66262"/>
    <w:rPr>
      <w:rFonts w:ascii="Arial Bold" w:hAnsi="Arial Bold" w:cs="Arial"/>
      <w:b/>
      <w:caps/>
      <w:snapToGrid w:val="0"/>
      <w:sz w:val="22"/>
    </w:rPr>
  </w:style>
  <w:style w:type="character" w:customStyle="1" w:styleId="Heading2Char">
    <w:name w:val="Heading 2 Char"/>
    <w:link w:val="Heading2"/>
    <w:uiPriority w:val="9"/>
    <w:rsid w:val="00104CB3"/>
    <w:rPr>
      <w:rFonts w:ascii="Arial" w:hAnsi="Arial" w:cs="Arial"/>
      <w:b/>
      <w:snapToGrid w:val="0"/>
      <w:sz w:val="22"/>
    </w:rPr>
  </w:style>
  <w:style w:type="character" w:customStyle="1" w:styleId="Heading3Char">
    <w:name w:val="Heading 3 Char"/>
    <w:basedOn w:val="DefaultParagraphFont"/>
    <w:link w:val="Heading3"/>
    <w:rsid w:val="00B66262"/>
    <w:rPr>
      <w:rFonts w:ascii="Arial" w:hAnsi="Arial" w:cs="Arial"/>
      <w:snapToGrid w:val="0"/>
      <w:sz w:val="22"/>
      <w:u w:val="single"/>
    </w:rPr>
  </w:style>
  <w:style w:type="paragraph" w:styleId="Caption">
    <w:name w:val="caption"/>
    <w:aliases w:val="Caption Char1,Caption Char Char,IB Caption Char,Medical Caption Char,Caption Char1 Char Char Char,Caption Char Char Char Char Char1,Caption Char1 Char Char1,Caption Char Char Char Char Char Char,Caption Char Char Char1,IB Caption"/>
    <w:basedOn w:val="Normal"/>
    <w:next w:val="Normal"/>
    <w:link w:val="CaptionChar"/>
    <w:unhideWhenUsed/>
    <w:rsid w:val="00B66262"/>
    <w:pPr>
      <w:spacing w:after="200"/>
    </w:pPr>
    <w:rPr>
      <w:rFonts w:ascii="Times New Roman" w:hAnsi="Times New Roman" w:cs="Times New Roman"/>
      <w:b/>
      <w:bCs/>
      <w:color w:val="4F81BD" w:themeColor="accent1"/>
      <w:sz w:val="18"/>
      <w:szCs w:val="18"/>
    </w:rPr>
  </w:style>
  <w:style w:type="character" w:customStyle="1" w:styleId="CaptionChar">
    <w:name w:val="Caption Char"/>
    <w:aliases w:val="Caption Char1 Char,Caption Char Char Char,IB Caption Char Char,Medical Caption Char Char,Caption Char1 Char Char Char Char,Caption Char Char Char Char Char1 Char,Caption Char1 Char Char1 Char,Caption Char Char Char Char Char Char Char"/>
    <w:link w:val="Caption"/>
    <w:rsid w:val="00B66262"/>
    <w:rPr>
      <w:b/>
      <w:bCs/>
      <w:snapToGrid w:val="0"/>
      <w:color w:val="4F81BD" w:themeColor="accent1"/>
      <w:sz w:val="18"/>
      <w:szCs w:val="18"/>
    </w:rPr>
  </w:style>
  <w:style w:type="character" w:styleId="CommentReference">
    <w:name w:val="annotation reference"/>
    <w:aliases w:val="Table Title"/>
    <w:qFormat/>
    <w:rsid w:val="00104CB3"/>
    <w:rPr>
      <w:rFonts w:ascii="Arial Narrow" w:hAnsi="Arial Narrow"/>
      <w:b/>
      <w:sz w:val="20"/>
      <w:szCs w:val="16"/>
    </w:rPr>
  </w:style>
  <w:style w:type="paragraph" w:styleId="Title">
    <w:name w:val="Title"/>
    <w:basedOn w:val="Normal"/>
    <w:next w:val="Normal"/>
    <w:link w:val="TitleChar"/>
    <w:rsid w:val="00B66262"/>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B66262"/>
    <w:rPr>
      <w:rFonts w:ascii="Cambria" w:hAnsi="Cambria"/>
      <w:b/>
      <w:bCs/>
      <w:snapToGrid w:val="0"/>
      <w:kern w:val="28"/>
      <w:sz w:val="32"/>
      <w:szCs w:val="32"/>
    </w:rPr>
  </w:style>
  <w:style w:type="paragraph" w:styleId="BodyText">
    <w:name w:val="Body Text"/>
    <w:basedOn w:val="Normal"/>
    <w:link w:val="BodyTextChar"/>
    <w:qFormat/>
    <w:rsid w:val="00104CB3"/>
    <w:pPr>
      <w:jc w:val="left"/>
    </w:pPr>
  </w:style>
  <w:style w:type="character" w:customStyle="1" w:styleId="BodyTextChar">
    <w:name w:val="Body Text Char"/>
    <w:basedOn w:val="DefaultParagraphFont"/>
    <w:link w:val="BodyText"/>
    <w:rsid w:val="00104CB3"/>
    <w:rPr>
      <w:rFonts w:ascii="Arial" w:hAnsi="Arial" w:cs="Arial"/>
      <w:snapToGrid w:val="0"/>
      <w:sz w:val="22"/>
    </w:rPr>
  </w:style>
  <w:style w:type="paragraph" w:styleId="NoSpacing">
    <w:name w:val="No Spacing"/>
    <w:uiPriority w:val="1"/>
    <w:qFormat/>
    <w:rsid w:val="00104CB3"/>
    <w:pPr>
      <w:widowControl w:val="0"/>
      <w:jc w:val="both"/>
    </w:pPr>
    <w:rPr>
      <w:rFonts w:ascii="Arial" w:hAnsi="Arial" w:cs="Arial"/>
      <w:snapToGrid w:val="0"/>
      <w:sz w:val="22"/>
    </w:rPr>
  </w:style>
  <w:style w:type="paragraph" w:styleId="ListParagraph">
    <w:name w:val="List Paragraph"/>
    <w:aliases w:val="BulletPoints"/>
    <w:basedOn w:val="Normal"/>
    <w:link w:val="ListParagraphChar"/>
    <w:uiPriority w:val="72"/>
    <w:qFormat/>
    <w:rsid w:val="00104CB3"/>
    <w:pPr>
      <w:ind w:left="720"/>
      <w:contextualSpacing/>
    </w:pPr>
  </w:style>
  <w:style w:type="character" w:customStyle="1" w:styleId="ListParagraphChar">
    <w:name w:val="List Paragraph Char"/>
    <w:aliases w:val="BulletPoints Char"/>
    <w:basedOn w:val="DefaultParagraphFont"/>
    <w:link w:val="ListParagraph"/>
    <w:uiPriority w:val="34"/>
    <w:rsid w:val="00104CB3"/>
    <w:rPr>
      <w:rFonts w:ascii="Arial" w:hAnsi="Arial" w:cs="Arial"/>
      <w:snapToGrid w:val="0"/>
      <w:sz w:val="22"/>
    </w:rPr>
  </w:style>
  <w:style w:type="paragraph" w:customStyle="1" w:styleId="Tabletext1">
    <w:name w:val="Table text"/>
    <w:basedOn w:val="Normal"/>
    <w:link w:val="TabletextChar0"/>
    <w:qFormat/>
    <w:rsid w:val="00104CB3"/>
    <w:pPr>
      <w:widowControl/>
      <w:jc w:val="left"/>
    </w:pPr>
    <w:rPr>
      <w:rFonts w:ascii="Arial Narrow" w:hAnsi="Arial Narrow" w:cs="Times New Roman"/>
      <w:snapToGrid/>
      <w:sz w:val="20"/>
    </w:rPr>
  </w:style>
  <w:style w:type="character" w:customStyle="1" w:styleId="TabletextChar0">
    <w:name w:val="Table text Char"/>
    <w:link w:val="Tabletext1"/>
    <w:rsid w:val="00104CB3"/>
    <w:rPr>
      <w:rFonts w:ascii="Arial Narrow" w:hAnsi="Arial Narrow"/>
    </w:rPr>
  </w:style>
  <w:style w:type="paragraph" w:styleId="Subtitle">
    <w:name w:val="Subtitle"/>
    <w:basedOn w:val="Normal"/>
    <w:link w:val="SubtitleChar"/>
    <w:qFormat/>
    <w:rsid w:val="00104CB3"/>
    <w:pPr>
      <w:widowControl/>
    </w:pPr>
    <w:rPr>
      <w:rFonts w:ascii="Times New Roman" w:hAnsi="Times New Roman" w:cs="Times New Roman"/>
      <w:snapToGrid/>
      <w:sz w:val="20"/>
    </w:rPr>
  </w:style>
  <w:style w:type="character" w:customStyle="1" w:styleId="SubtitleChar">
    <w:name w:val="Subtitle Char"/>
    <w:link w:val="Subtitle"/>
    <w:rsid w:val="00104CB3"/>
  </w:style>
  <w:style w:type="paragraph" w:styleId="CommentText">
    <w:name w:val="annotation text"/>
    <w:basedOn w:val="Normal"/>
    <w:link w:val="CommentTextChar"/>
    <w:rsid w:val="009E515A"/>
    <w:pPr>
      <w:widowControl/>
      <w:jc w:val="left"/>
    </w:pPr>
    <w:rPr>
      <w:rFonts w:ascii="Times New Roman" w:hAnsi="Times New Roman" w:cs="Times New Roman"/>
      <w:snapToGrid/>
      <w:sz w:val="20"/>
      <w:lang w:eastAsia="en-AU"/>
    </w:rPr>
  </w:style>
  <w:style w:type="character" w:customStyle="1" w:styleId="CommentTextChar">
    <w:name w:val="Comment Text Char"/>
    <w:basedOn w:val="DefaultParagraphFont"/>
    <w:link w:val="CommentText"/>
    <w:rsid w:val="009E515A"/>
    <w:rPr>
      <w:lang w:eastAsia="en-AU"/>
    </w:rPr>
  </w:style>
  <w:style w:type="paragraph" w:styleId="BalloonText">
    <w:name w:val="Balloon Text"/>
    <w:basedOn w:val="Normal"/>
    <w:link w:val="BalloonTextChar"/>
    <w:uiPriority w:val="99"/>
    <w:semiHidden/>
    <w:unhideWhenUsed/>
    <w:rsid w:val="009E515A"/>
    <w:rPr>
      <w:rFonts w:ascii="Tahoma" w:hAnsi="Tahoma" w:cs="Tahoma"/>
      <w:sz w:val="16"/>
      <w:szCs w:val="16"/>
    </w:rPr>
  </w:style>
  <w:style w:type="character" w:customStyle="1" w:styleId="BalloonTextChar">
    <w:name w:val="Balloon Text Char"/>
    <w:basedOn w:val="DefaultParagraphFont"/>
    <w:link w:val="BalloonText"/>
    <w:uiPriority w:val="99"/>
    <w:semiHidden/>
    <w:rsid w:val="009E515A"/>
    <w:rPr>
      <w:rFonts w:ascii="Tahoma" w:hAnsi="Tahoma" w:cs="Tahoma"/>
      <w:snapToGrid w:val="0"/>
      <w:sz w:val="16"/>
      <w:szCs w:val="16"/>
    </w:rPr>
  </w:style>
  <w:style w:type="paragraph" w:styleId="Header">
    <w:name w:val="header"/>
    <w:aliases w:val="Page Header,Header title,he=header,cntr/bld"/>
    <w:basedOn w:val="Normal"/>
    <w:link w:val="HeaderChar"/>
    <w:uiPriority w:val="99"/>
    <w:rsid w:val="009E515A"/>
    <w:pPr>
      <w:widowControl/>
      <w:tabs>
        <w:tab w:val="center" w:pos="4153"/>
        <w:tab w:val="right" w:pos="8306"/>
      </w:tabs>
      <w:jc w:val="left"/>
    </w:pPr>
    <w:rPr>
      <w:rFonts w:ascii="Times New Roman" w:hAnsi="Times New Roman" w:cs="Times New Roman"/>
      <w:snapToGrid/>
      <w:sz w:val="24"/>
      <w:szCs w:val="24"/>
      <w:lang w:eastAsia="en-AU"/>
    </w:rPr>
  </w:style>
  <w:style w:type="character" w:customStyle="1" w:styleId="HeaderChar">
    <w:name w:val="Header Char"/>
    <w:aliases w:val="Page Header Char,Header title Char,he=header Char,cntr/bld Char"/>
    <w:basedOn w:val="DefaultParagraphFont"/>
    <w:link w:val="Header"/>
    <w:uiPriority w:val="99"/>
    <w:rsid w:val="009E515A"/>
    <w:rPr>
      <w:sz w:val="24"/>
      <w:szCs w:val="24"/>
      <w:lang w:eastAsia="en-AU"/>
    </w:rPr>
  </w:style>
  <w:style w:type="paragraph" w:styleId="Footer">
    <w:name w:val="footer"/>
    <w:basedOn w:val="Normal"/>
    <w:link w:val="FooterChar"/>
    <w:uiPriority w:val="99"/>
    <w:unhideWhenUsed/>
    <w:rsid w:val="00DD096B"/>
    <w:pPr>
      <w:tabs>
        <w:tab w:val="center" w:pos="4513"/>
        <w:tab w:val="right" w:pos="9026"/>
      </w:tabs>
    </w:pPr>
  </w:style>
  <w:style w:type="character" w:customStyle="1" w:styleId="FooterChar">
    <w:name w:val="Footer Char"/>
    <w:basedOn w:val="DefaultParagraphFont"/>
    <w:link w:val="Footer"/>
    <w:uiPriority w:val="99"/>
    <w:rsid w:val="00DD096B"/>
    <w:rPr>
      <w:rFonts w:ascii="Arial" w:hAnsi="Arial" w:cs="Arial"/>
      <w:snapToGrid w:val="0"/>
      <w:sz w:val="22"/>
    </w:rPr>
  </w:style>
  <w:style w:type="paragraph" w:styleId="CommentSubject">
    <w:name w:val="annotation subject"/>
    <w:basedOn w:val="CommentText"/>
    <w:next w:val="CommentText"/>
    <w:link w:val="CommentSubjectChar"/>
    <w:uiPriority w:val="99"/>
    <w:semiHidden/>
    <w:unhideWhenUsed/>
    <w:rsid w:val="000939B8"/>
    <w:pPr>
      <w:widowControl w:val="0"/>
      <w:jc w:val="both"/>
    </w:pPr>
    <w:rPr>
      <w:rFonts w:ascii="Arial" w:hAnsi="Arial" w:cs="Arial"/>
      <w:b/>
      <w:bCs/>
      <w:snapToGrid w:val="0"/>
      <w:lang w:eastAsia="en-US"/>
    </w:rPr>
  </w:style>
  <w:style w:type="character" w:customStyle="1" w:styleId="CommentSubjectChar">
    <w:name w:val="Comment Subject Char"/>
    <w:basedOn w:val="CommentTextChar"/>
    <w:link w:val="CommentSubject"/>
    <w:uiPriority w:val="99"/>
    <w:semiHidden/>
    <w:rsid w:val="000939B8"/>
    <w:rPr>
      <w:rFonts w:ascii="Arial" w:hAnsi="Arial" w:cs="Arial"/>
      <w:b/>
      <w:bCs/>
      <w:snapToGrid w:val="0"/>
      <w:lang w:eastAsia="en-AU"/>
    </w:rPr>
  </w:style>
  <w:style w:type="paragraph" w:styleId="Revision">
    <w:name w:val="Revision"/>
    <w:hidden/>
    <w:uiPriority w:val="99"/>
    <w:semiHidden/>
    <w:rsid w:val="00517DB6"/>
    <w:rPr>
      <w:rFonts w:ascii="Arial" w:hAnsi="Arial" w:cs="Arial"/>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3602</Words>
  <Characters>20538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2016-03-03T05:18:00Z</dcterms:created>
  <dcterms:modified xsi:type="dcterms:W3CDTF">2016-03-03T05:21:00Z</dcterms:modified>
</cp:coreProperties>
</file>