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9659F7" w:rsidRDefault="00C04745" w:rsidP="009659F7">
      <w:pPr>
        <w:pStyle w:val="Title"/>
      </w:pPr>
      <w:r w:rsidRPr="009659F7">
        <w:t>6.18</w:t>
      </w:r>
      <w:r w:rsidR="007C0F57" w:rsidRPr="009659F7">
        <w:tab/>
      </w:r>
      <w:r w:rsidRPr="009659F7">
        <w:t>NAB-PACLITAXEL</w:t>
      </w:r>
    </w:p>
    <w:p w:rsidR="00C27B58" w:rsidRPr="009659F7" w:rsidRDefault="00721C8B" w:rsidP="009659F7">
      <w:pPr>
        <w:pStyle w:val="Title"/>
        <w:ind w:hanging="11"/>
      </w:pPr>
      <w:proofErr w:type="gramStart"/>
      <w:r w:rsidRPr="009659F7">
        <w:t>nanoparticle</w:t>
      </w:r>
      <w:proofErr w:type="gramEnd"/>
      <w:r w:rsidRPr="009659F7">
        <w:t xml:space="preserve"> albumin bound 100</w:t>
      </w:r>
      <w:r w:rsidR="00F535D3" w:rsidRPr="009659F7">
        <w:t> </w:t>
      </w:r>
      <w:r w:rsidRPr="009659F7">
        <w:t>mg injection,</w:t>
      </w:r>
      <w:r w:rsidR="0004240E" w:rsidRPr="009659F7">
        <w:t xml:space="preserve"> </w:t>
      </w:r>
      <w:r w:rsidR="00003EA8" w:rsidRPr="009659F7">
        <w:t>1 x 100</w:t>
      </w:r>
      <w:r w:rsidR="00F535D3" w:rsidRPr="009659F7">
        <w:t> </w:t>
      </w:r>
      <w:r w:rsidR="00003EA8" w:rsidRPr="009659F7">
        <w:t>mg vial</w:t>
      </w:r>
    </w:p>
    <w:p w:rsidR="00D3280C" w:rsidRPr="009659F7" w:rsidRDefault="00721C8B" w:rsidP="009659F7">
      <w:pPr>
        <w:pStyle w:val="Title"/>
        <w:ind w:hanging="11"/>
      </w:pPr>
      <w:proofErr w:type="spellStart"/>
      <w:r w:rsidRPr="009659F7">
        <w:t>Abraxane</w:t>
      </w:r>
      <w:proofErr w:type="spellEnd"/>
      <w:r w:rsidR="0004240E" w:rsidRPr="009659F7">
        <w:t>®</w:t>
      </w:r>
      <w:r w:rsidR="00EF44A0" w:rsidRPr="009659F7">
        <w:t xml:space="preserve">, </w:t>
      </w:r>
      <w:r w:rsidRPr="009659F7">
        <w:t>Specialised Therapeutics Australia</w:t>
      </w:r>
    </w:p>
    <w:p w:rsidR="00CE10C4" w:rsidRPr="00A953DF" w:rsidRDefault="00CE10C4" w:rsidP="00C27B58">
      <w:pPr>
        <w:pStyle w:val="NoSpacing"/>
      </w:pPr>
    </w:p>
    <w:p w:rsidR="00C27B58" w:rsidRPr="00A953DF" w:rsidRDefault="00C27B58" w:rsidP="00C27B58">
      <w:pPr>
        <w:pStyle w:val="NoSpacing"/>
      </w:pPr>
    </w:p>
    <w:p w:rsidR="00CE10C4" w:rsidRPr="00A953DF" w:rsidRDefault="00CE10C4" w:rsidP="009659F7">
      <w:pPr>
        <w:pStyle w:val="Heading1"/>
      </w:pPr>
      <w:r w:rsidRPr="00A953DF">
        <w:t xml:space="preserve">Purpose of </w:t>
      </w:r>
      <w:r w:rsidR="0004240E" w:rsidRPr="009659F7">
        <w:t>Application</w:t>
      </w:r>
    </w:p>
    <w:p w:rsidR="006A12A5" w:rsidRPr="00A953DF" w:rsidRDefault="006A12A5" w:rsidP="00882085">
      <w:pPr>
        <w:jc w:val="both"/>
        <w:rPr>
          <w:rFonts w:ascii="Arial" w:hAnsi="Arial"/>
          <w:sz w:val="22"/>
          <w:szCs w:val="22"/>
        </w:rPr>
      </w:pPr>
    </w:p>
    <w:p w:rsidR="002E04B7" w:rsidRPr="00A953DF" w:rsidRDefault="00EF44A0" w:rsidP="002E04B7">
      <w:pPr>
        <w:pStyle w:val="ListParagraph"/>
        <w:numPr>
          <w:ilvl w:val="1"/>
          <w:numId w:val="25"/>
        </w:numPr>
        <w:jc w:val="both"/>
        <w:rPr>
          <w:rFonts w:ascii="Arial" w:hAnsi="Arial"/>
          <w:sz w:val="22"/>
          <w:szCs w:val="22"/>
        </w:rPr>
      </w:pPr>
      <w:r w:rsidRPr="00A953DF">
        <w:rPr>
          <w:rFonts w:ascii="Arial" w:hAnsi="Arial"/>
          <w:sz w:val="22"/>
          <w:szCs w:val="22"/>
        </w:rPr>
        <w:t xml:space="preserve">To </w:t>
      </w:r>
      <w:r w:rsidR="002E04B7" w:rsidRPr="00A953DF">
        <w:rPr>
          <w:rFonts w:ascii="Arial" w:hAnsi="Arial"/>
          <w:sz w:val="22"/>
          <w:szCs w:val="22"/>
        </w:rPr>
        <w:t xml:space="preserve">request the PBAC </w:t>
      </w:r>
      <w:r w:rsidR="004E779F" w:rsidRPr="00A953DF">
        <w:rPr>
          <w:rFonts w:ascii="Arial" w:hAnsi="Arial"/>
          <w:sz w:val="22"/>
          <w:szCs w:val="22"/>
        </w:rPr>
        <w:t xml:space="preserve">to </w:t>
      </w:r>
      <w:r w:rsidR="002E04B7" w:rsidRPr="00A953DF">
        <w:rPr>
          <w:rFonts w:ascii="Arial" w:hAnsi="Arial"/>
          <w:sz w:val="22"/>
          <w:szCs w:val="22"/>
        </w:rPr>
        <w:t xml:space="preserve">reconsider the exclusion of </w:t>
      </w:r>
      <w:r w:rsidR="002E04B7" w:rsidRPr="00A953DF">
        <w:rPr>
          <w:rFonts w:ascii="Arial" w:hAnsi="Arial"/>
          <w:i/>
          <w:sz w:val="22"/>
          <w:szCs w:val="22"/>
        </w:rPr>
        <w:t>nab</w:t>
      </w:r>
      <w:r w:rsidR="002E04B7" w:rsidRPr="00A953DF">
        <w:rPr>
          <w:rFonts w:ascii="Arial" w:hAnsi="Arial"/>
          <w:sz w:val="22"/>
          <w:szCs w:val="22"/>
        </w:rPr>
        <w:t>-paclitaxel (</w:t>
      </w:r>
      <w:proofErr w:type="spellStart"/>
      <w:r w:rsidR="002E04B7" w:rsidRPr="00A953DF">
        <w:rPr>
          <w:rFonts w:ascii="Arial" w:hAnsi="Arial"/>
          <w:sz w:val="22"/>
          <w:szCs w:val="22"/>
        </w:rPr>
        <w:t>Abraxane</w:t>
      </w:r>
      <w:proofErr w:type="spellEnd"/>
      <w:r w:rsidR="00C2089A" w:rsidRPr="00A953DF">
        <w:rPr>
          <w:rFonts w:ascii="Arial" w:hAnsi="Arial"/>
          <w:sz w:val="22"/>
          <w:szCs w:val="22"/>
          <w:vertAlign w:val="superscript"/>
        </w:rPr>
        <w:t>®</w:t>
      </w:r>
      <w:r w:rsidR="002E04B7" w:rsidRPr="00A953DF">
        <w:rPr>
          <w:rFonts w:ascii="Arial" w:hAnsi="Arial"/>
          <w:sz w:val="22"/>
          <w:szCs w:val="22"/>
        </w:rPr>
        <w:t xml:space="preserve">) from use in combination with </w:t>
      </w:r>
      <w:proofErr w:type="spellStart"/>
      <w:r w:rsidR="002E04B7" w:rsidRPr="00A953DF">
        <w:rPr>
          <w:rFonts w:ascii="Arial" w:hAnsi="Arial"/>
          <w:sz w:val="22"/>
          <w:szCs w:val="22"/>
        </w:rPr>
        <w:t>trastuzumab</w:t>
      </w:r>
      <w:proofErr w:type="spellEnd"/>
      <w:r w:rsidR="002E04B7" w:rsidRPr="00A953DF">
        <w:rPr>
          <w:rFonts w:ascii="Arial" w:hAnsi="Arial"/>
          <w:sz w:val="22"/>
          <w:szCs w:val="22"/>
        </w:rPr>
        <w:t xml:space="preserve">, in the treatments of patients with </w:t>
      </w:r>
      <w:r w:rsidR="008C00EE" w:rsidRPr="00A953DF">
        <w:rPr>
          <w:rFonts w:ascii="Arial" w:hAnsi="Arial"/>
          <w:sz w:val="22"/>
          <w:szCs w:val="22"/>
        </w:rPr>
        <w:t>human epidermal growth factor receptor 2 (</w:t>
      </w:r>
      <w:r w:rsidR="002E04B7" w:rsidRPr="00A953DF">
        <w:rPr>
          <w:rFonts w:ascii="Arial" w:hAnsi="Arial"/>
          <w:sz w:val="22"/>
          <w:szCs w:val="22"/>
        </w:rPr>
        <w:t>HER-2</w:t>
      </w:r>
      <w:r w:rsidR="008C00EE" w:rsidRPr="00A953DF">
        <w:rPr>
          <w:rFonts w:ascii="Arial" w:hAnsi="Arial"/>
          <w:sz w:val="22"/>
          <w:szCs w:val="22"/>
        </w:rPr>
        <w:t>)</w:t>
      </w:r>
      <w:r w:rsidR="002E04B7" w:rsidRPr="00A953DF">
        <w:rPr>
          <w:rFonts w:ascii="Arial" w:hAnsi="Arial"/>
          <w:sz w:val="22"/>
          <w:szCs w:val="22"/>
        </w:rPr>
        <w:t xml:space="preserve"> positive metastatic breast cancer and to reflect on the </w:t>
      </w:r>
      <w:r w:rsidR="00C2089A" w:rsidRPr="00A953DF">
        <w:rPr>
          <w:rFonts w:ascii="Arial" w:hAnsi="Arial"/>
          <w:sz w:val="22"/>
          <w:szCs w:val="22"/>
        </w:rPr>
        <w:t xml:space="preserve">March </w:t>
      </w:r>
      <w:r w:rsidR="002E04B7" w:rsidRPr="00A953DF">
        <w:rPr>
          <w:rFonts w:ascii="Arial" w:hAnsi="Arial"/>
          <w:sz w:val="22"/>
          <w:szCs w:val="22"/>
        </w:rPr>
        <w:t xml:space="preserve">2011 amendment to the </w:t>
      </w:r>
      <w:r w:rsidR="00742D8A" w:rsidRPr="00A953DF">
        <w:rPr>
          <w:rFonts w:ascii="Arial" w:hAnsi="Arial"/>
          <w:i/>
          <w:sz w:val="22"/>
          <w:szCs w:val="22"/>
        </w:rPr>
        <w:t>nab</w:t>
      </w:r>
      <w:r w:rsidR="00742D8A" w:rsidRPr="00A953DF">
        <w:rPr>
          <w:rFonts w:ascii="Arial" w:hAnsi="Arial"/>
          <w:sz w:val="22"/>
          <w:szCs w:val="22"/>
        </w:rPr>
        <w:t>-paclitaxel</w:t>
      </w:r>
      <w:r w:rsidR="00A2582A" w:rsidRPr="00A953DF">
        <w:rPr>
          <w:rFonts w:ascii="Arial" w:hAnsi="Arial"/>
          <w:sz w:val="22"/>
          <w:szCs w:val="22"/>
        </w:rPr>
        <w:t xml:space="preserve"> PBS listings.</w:t>
      </w:r>
    </w:p>
    <w:p w:rsidR="00F934BE" w:rsidRPr="00A953DF" w:rsidRDefault="00F934BE" w:rsidP="00F934BE">
      <w:pPr>
        <w:jc w:val="both"/>
        <w:rPr>
          <w:rFonts w:ascii="Arial" w:hAnsi="Arial"/>
          <w:sz w:val="22"/>
          <w:szCs w:val="22"/>
        </w:rPr>
      </w:pPr>
    </w:p>
    <w:p w:rsidR="00EF44A0" w:rsidRPr="00A953DF" w:rsidRDefault="00EF44A0" w:rsidP="00C27B58">
      <w:pPr>
        <w:pStyle w:val="NoSpacing"/>
      </w:pPr>
    </w:p>
    <w:p w:rsidR="00614159" w:rsidRPr="00A953DF" w:rsidRDefault="006A12A5" w:rsidP="009659F7">
      <w:pPr>
        <w:pStyle w:val="Heading1"/>
      </w:pPr>
      <w:r w:rsidRPr="00A953DF">
        <w:t>Requested listing</w:t>
      </w:r>
    </w:p>
    <w:p w:rsidR="006A12A5" w:rsidRPr="00A953DF" w:rsidRDefault="006A12A5" w:rsidP="00882085">
      <w:pPr>
        <w:jc w:val="both"/>
        <w:rPr>
          <w:rFonts w:ascii="Arial" w:hAnsi="Arial"/>
          <w:sz w:val="22"/>
          <w:szCs w:val="22"/>
        </w:rPr>
      </w:pPr>
    </w:p>
    <w:p w:rsidR="00826F6D" w:rsidRPr="00A953DF" w:rsidRDefault="00EF44A0" w:rsidP="00C27B58">
      <w:pPr>
        <w:pStyle w:val="ListParagraph"/>
        <w:numPr>
          <w:ilvl w:val="1"/>
          <w:numId w:val="25"/>
        </w:numPr>
        <w:jc w:val="both"/>
        <w:rPr>
          <w:rFonts w:ascii="Arial" w:hAnsi="Arial" w:cs="Arial"/>
        </w:rPr>
      </w:pPr>
      <w:r w:rsidRPr="00A953DF">
        <w:rPr>
          <w:rFonts w:ascii="Arial" w:hAnsi="Arial"/>
          <w:sz w:val="22"/>
          <w:szCs w:val="22"/>
        </w:rPr>
        <w:t xml:space="preserve">The submission </w:t>
      </w:r>
      <w:r w:rsidR="00FF2801" w:rsidRPr="00A953DF">
        <w:rPr>
          <w:rFonts w:ascii="Arial" w:hAnsi="Arial"/>
          <w:sz w:val="22"/>
          <w:szCs w:val="22"/>
        </w:rPr>
        <w:t>requested</w:t>
      </w:r>
      <w:r w:rsidRPr="00A953DF">
        <w:rPr>
          <w:rFonts w:ascii="Arial" w:hAnsi="Arial"/>
          <w:sz w:val="22"/>
          <w:szCs w:val="22"/>
        </w:rPr>
        <w:t xml:space="preserve"> </w:t>
      </w:r>
      <w:r w:rsidR="00F934BE" w:rsidRPr="00A953DF">
        <w:rPr>
          <w:rFonts w:ascii="Arial" w:hAnsi="Arial"/>
          <w:sz w:val="22"/>
          <w:szCs w:val="22"/>
        </w:rPr>
        <w:t xml:space="preserve">changes to the existing </w:t>
      </w:r>
      <w:proofErr w:type="spellStart"/>
      <w:r w:rsidR="00E901C4" w:rsidRPr="00A953DF">
        <w:rPr>
          <w:rFonts w:ascii="Arial" w:hAnsi="Arial"/>
          <w:sz w:val="22"/>
          <w:szCs w:val="22"/>
        </w:rPr>
        <w:t>trastuzumab</w:t>
      </w:r>
      <w:proofErr w:type="spellEnd"/>
      <w:r w:rsidR="00E901C4" w:rsidRPr="00A953DF">
        <w:rPr>
          <w:rFonts w:ascii="Arial" w:hAnsi="Arial"/>
          <w:sz w:val="22"/>
          <w:szCs w:val="22"/>
        </w:rPr>
        <w:t xml:space="preserve"> </w:t>
      </w:r>
      <w:r w:rsidR="00F934BE" w:rsidRPr="00A953DF">
        <w:rPr>
          <w:rFonts w:ascii="Arial" w:hAnsi="Arial"/>
          <w:sz w:val="22"/>
          <w:szCs w:val="22"/>
        </w:rPr>
        <w:t xml:space="preserve">restrictions </w:t>
      </w:r>
      <w:r w:rsidR="00A2582A" w:rsidRPr="00A953DF">
        <w:rPr>
          <w:rFonts w:ascii="Arial" w:hAnsi="Arial"/>
          <w:sz w:val="22"/>
          <w:szCs w:val="22"/>
        </w:rPr>
        <w:t xml:space="preserve">arising </w:t>
      </w:r>
      <w:r w:rsidR="00F934BE" w:rsidRPr="00A953DF">
        <w:rPr>
          <w:rFonts w:ascii="Arial" w:hAnsi="Arial"/>
          <w:sz w:val="22"/>
          <w:szCs w:val="22"/>
        </w:rPr>
        <w:t xml:space="preserve">from </w:t>
      </w:r>
      <w:r w:rsidR="00A2582A" w:rsidRPr="00A953DF">
        <w:rPr>
          <w:rFonts w:ascii="Arial" w:hAnsi="Arial"/>
          <w:sz w:val="22"/>
          <w:szCs w:val="22"/>
        </w:rPr>
        <w:t xml:space="preserve">the </w:t>
      </w:r>
      <w:r w:rsidR="00F934BE" w:rsidRPr="00A953DF">
        <w:rPr>
          <w:rFonts w:ascii="Arial" w:hAnsi="Arial"/>
          <w:sz w:val="22"/>
          <w:szCs w:val="22"/>
        </w:rPr>
        <w:t xml:space="preserve">November </w:t>
      </w:r>
      <w:r w:rsidR="00C3587A" w:rsidRPr="00A953DF">
        <w:rPr>
          <w:rFonts w:ascii="Arial" w:hAnsi="Arial"/>
          <w:sz w:val="22"/>
          <w:szCs w:val="22"/>
        </w:rPr>
        <w:t>2014 PBAC</w:t>
      </w:r>
      <w:r w:rsidR="00F934BE" w:rsidRPr="00A953DF">
        <w:rPr>
          <w:rFonts w:ascii="Arial" w:hAnsi="Arial"/>
          <w:sz w:val="22"/>
          <w:szCs w:val="22"/>
        </w:rPr>
        <w:t xml:space="preserve"> meeting</w:t>
      </w:r>
      <w:r w:rsidR="00C3587A" w:rsidRPr="00A953DF">
        <w:rPr>
          <w:rFonts w:ascii="Arial" w:hAnsi="Arial" w:cs="Arial"/>
          <w:sz w:val="22"/>
          <w:szCs w:val="22"/>
        </w:rPr>
        <w:t xml:space="preserve"> which prevent</w:t>
      </w:r>
      <w:r w:rsidR="00A2582A" w:rsidRPr="00A953DF">
        <w:rPr>
          <w:rFonts w:ascii="Arial" w:hAnsi="Arial" w:cs="Arial"/>
          <w:sz w:val="22"/>
          <w:szCs w:val="22"/>
        </w:rPr>
        <w:t>ed</w:t>
      </w:r>
      <w:r w:rsidR="00C3587A" w:rsidRPr="00A953DF">
        <w:rPr>
          <w:rFonts w:ascii="Arial" w:hAnsi="Arial" w:cs="Arial"/>
          <w:sz w:val="22"/>
          <w:szCs w:val="22"/>
        </w:rPr>
        <w:t xml:space="preserve"> </w:t>
      </w:r>
      <w:r w:rsidR="00003EA8" w:rsidRPr="00A953DF">
        <w:rPr>
          <w:rFonts w:ascii="Arial" w:hAnsi="Arial" w:cs="Arial"/>
          <w:sz w:val="22"/>
          <w:szCs w:val="22"/>
        </w:rPr>
        <w:t xml:space="preserve">its </w:t>
      </w:r>
      <w:r w:rsidR="00A2582A" w:rsidRPr="00A953DF">
        <w:rPr>
          <w:rFonts w:ascii="Arial" w:hAnsi="Arial" w:cs="Arial"/>
          <w:sz w:val="22"/>
          <w:szCs w:val="22"/>
        </w:rPr>
        <w:t xml:space="preserve">PBS-subsidised </w:t>
      </w:r>
      <w:r w:rsidR="00C3587A" w:rsidRPr="00A953DF">
        <w:rPr>
          <w:rFonts w:ascii="Arial" w:hAnsi="Arial" w:cs="Arial"/>
          <w:sz w:val="22"/>
          <w:szCs w:val="22"/>
        </w:rPr>
        <w:t xml:space="preserve">use in combination with </w:t>
      </w:r>
      <w:r w:rsidR="00C3587A" w:rsidRPr="00A953DF">
        <w:rPr>
          <w:rFonts w:ascii="Arial" w:hAnsi="Arial" w:cs="Arial"/>
          <w:i/>
          <w:sz w:val="22"/>
          <w:szCs w:val="22"/>
        </w:rPr>
        <w:t>nab</w:t>
      </w:r>
      <w:r w:rsidR="00C3587A" w:rsidRPr="00A953DF">
        <w:rPr>
          <w:rFonts w:ascii="Arial" w:hAnsi="Arial" w:cs="Arial"/>
          <w:sz w:val="22"/>
          <w:szCs w:val="22"/>
        </w:rPr>
        <w:t>-</w:t>
      </w:r>
      <w:r w:rsidR="00C2089A" w:rsidRPr="00A953DF">
        <w:rPr>
          <w:rFonts w:ascii="Arial" w:hAnsi="Arial" w:cs="Arial"/>
          <w:sz w:val="22"/>
          <w:szCs w:val="22"/>
        </w:rPr>
        <w:t>paclitaxel.</w:t>
      </w:r>
      <w:r w:rsidR="00247B8F" w:rsidRPr="00A953DF">
        <w:rPr>
          <w:rFonts w:ascii="Arial" w:hAnsi="Arial" w:cs="Arial"/>
          <w:sz w:val="22"/>
          <w:szCs w:val="22"/>
        </w:rPr>
        <w:t xml:space="preserve"> The PBS listing for </w:t>
      </w:r>
      <w:r w:rsidR="00247B8F" w:rsidRPr="00A953DF">
        <w:rPr>
          <w:rFonts w:ascii="Arial" w:hAnsi="Arial" w:cs="Arial"/>
          <w:i/>
          <w:sz w:val="22"/>
          <w:szCs w:val="22"/>
        </w:rPr>
        <w:t>nab</w:t>
      </w:r>
      <w:r w:rsidR="00247B8F" w:rsidRPr="00A953DF">
        <w:rPr>
          <w:rFonts w:ascii="Arial" w:hAnsi="Arial" w:cs="Arial"/>
          <w:sz w:val="22"/>
          <w:szCs w:val="22"/>
        </w:rPr>
        <w:t>-paclitaxel is as follows:</w:t>
      </w:r>
    </w:p>
    <w:p w:rsidR="00F934BE" w:rsidRPr="00A953DF" w:rsidRDefault="00F934BE" w:rsidP="00F934BE">
      <w:pPr>
        <w:jc w:val="both"/>
        <w:rPr>
          <w:rFonts w:ascii="Arial" w:hAnsi="Arial" w:cs="Arial"/>
          <w:sz w:val="22"/>
          <w:szCs w:val="22"/>
        </w:rPr>
      </w:pPr>
    </w:p>
    <w:tbl>
      <w:tblPr>
        <w:tblW w:w="8363" w:type="dxa"/>
        <w:tblInd w:w="817" w:type="dxa"/>
        <w:tblLayout w:type="fixed"/>
        <w:tblLook w:val="0000" w:firstRow="0" w:lastRow="0" w:firstColumn="0" w:lastColumn="0" w:noHBand="0" w:noVBand="0"/>
        <w:tblCaption w:val="Requested PBS listing"/>
      </w:tblPr>
      <w:tblGrid>
        <w:gridCol w:w="1985"/>
        <w:gridCol w:w="850"/>
        <w:gridCol w:w="567"/>
        <w:gridCol w:w="2126"/>
        <w:gridCol w:w="993"/>
        <w:gridCol w:w="1842"/>
      </w:tblGrid>
      <w:tr w:rsidR="00D504A4" w:rsidRPr="00A953DF" w:rsidTr="00D504A4">
        <w:trPr>
          <w:cantSplit/>
          <w:trHeight w:val="471"/>
        </w:trPr>
        <w:tc>
          <w:tcPr>
            <w:tcW w:w="1985" w:type="dxa"/>
            <w:tcBorders>
              <w:bottom w:val="single" w:sz="4" w:space="0" w:color="auto"/>
            </w:tcBorders>
          </w:tcPr>
          <w:p w:rsidR="00D504A4" w:rsidRPr="00A953DF" w:rsidRDefault="00D504A4" w:rsidP="00A2582A">
            <w:pPr>
              <w:keepNext/>
              <w:ind w:left="-108"/>
              <w:rPr>
                <w:rFonts w:ascii="Arial Narrow" w:hAnsi="Arial Narrow" w:cs="Arial"/>
                <w:b/>
                <w:sz w:val="20"/>
                <w:szCs w:val="20"/>
              </w:rPr>
            </w:pPr>
            <w:r w:rsidRPr="00A953DF">
              <w:rPr>
                <w:rFonts w:ascii="Arial Narrow" w:hAnsi="Arial Narrow" w:cs="Arial"/>
                <w:b/>
                <w:sz w:val="20"/>
                <w:szCs w:val="20"/>
              </w:rPr>
              <w:t>Name, Restriction, Manner of administration and form</w:t>
            </w:r>
          </w:p>
        </w:tc>
        <w:tc>
          <w:tcPr>
            <w:tcW w:w="850" w:type="dxa"/>
            <w:tcBorders>
              <w:bottom w:val="single" w:sz="4" w:space="0" w:color="auto"/>
            </w:tcBorders>
          </w:tcPr>
          <w:p w:rsidR="00D504A4" w:rsidRPr="00A953DF" w:rsidRDefault="00D504A4" w:rsidP="00C27B58">
            <w:pPr>
              <w:keepNext/>
              <w:ind w:left="-108"/>
              <w:jc w:val="both"/>
              <w:rPr>
                <w:rFonts w:ascii="Arial Narrow" w:hAnsi="Arial Narrow" w:cs="Arial"/>
                <w:b/>
                <w:sz w:val="20"/>
                <w:szCs w:val="20"/>
              </w:rPr>
            </w:pPr>
            <w:r w:rsidRPr="00A953DF">
              <w:rPr>
                <w:rFonts w:ascii="Arial Narrow" w:hAnsi="Arial Narrow" w:cs="Arial"/>
                <w:b/>
                <w:sz w:val="20"/>
                <w:szCs w:val="20"/>
              </w:rPr>
              <w:t>Max.</w:t>
            </w:r>
          </w:p>
          <w:p w:rsidR="00D504A4" w:rsidRPr="00A953DF" w:rsidRDefault="00D504A4" w:rsidP="00E901C4">
            <w:pPr>
              <w:keepNext/>
              <w:ind w:left="-108"/>
              <w:jc w:val="both"/>
              <w:rPr>
                <w:rFonts w:ascii="Arial Narrow" w:hAnsi="Arial Narrow" w:cs="Arial"/>
                <w:b/>
                <w:sz w:val="20"/>
                <w:szCs w:val="20"/>
              </w:rPr>
            </w:pPr>
            <w:r w:rsidRPr="00A953DF">
              <w:rPr>
                <w:rFonts w:ascii="Arial Narrow" w:hAnsi="Arial Narrow" w:cs="Arial"/>
                <w:b/>
                <w:sz w:val="20"/>
                <w:szCs w:val="20"/>
              </w:rPr>
              <w:t>Amount</w:t>
            </w:r>
          </w:p>
        </w:tc>
        <w:tc>
          <w:tcPr>
            <w:tcW w:w="567" w:type="dxa"/>
            <w:tcBorders>
              <w:bottom w:val="single" w:sz="4" w:space="0" w:color="auto"/>
            </w:tcBorders>
          </w:tcPr>
          <w:p w:rsidR="00D504A4" w:rsidRPr="00A953DF" w:rsidRDefault="00D504A4" w:rsidP="00C27B58">
            <w:pPr>
              <w:keepNext/>
              <w:ind w:left="-108"/>
              <w:jc w:val="both"/>
              <w:rPr>
                <w:rFonts w:ascii="Arial Narrow" w:hAnsi="Arial Narrow" w:cs="Arial"/>
                <w:b/>
                <w:sz w:val="20"/>
                <w:szCs w:val="20"/>
              </w:rPr>
            </w:pPr>
            <w:r w:rsidRPr="00A953DF">
              <w:rPr>
                <w:rFonts w:ascii="Arial Narrow" w:hAnsi="Arial Narrow" w:cs="Arial"/>
                <w:b/>
                <w:sz w:val="20"/>
                <w:szCs w:val="20"/>
              </w:rPr>
              <w:t>№.of</w:t>
            </w:r>
          </w:p>
          <w:p w:rsidR="00D504A4" w:rsidRPr="00A953DF" w:rsidRDefault="00D504A4" w:rsidP="00C27B58">
            <w:pPr>
              <w:keepNext/>
              <w:ind w:left="-108"/>
              <w:jc w:val="both"/>
              <w:rPr>
                <w:rFonts w:ascii="Arial Narrow" w:hAnsi="Arial Narrow" w:cs="Arial"/>
                <w:b/>
                <w:sz w:val="20"/>
                <w:szCs w:val="20"/>
              </w:rPr>
            </w:pPr>
            <w:proofErr w:type="spellStart"/>
            <w:r w:rsidRPr="00A953DF">
              <w:rPr>
                <w:rFonts w:ascii="Arial Narrow" w:hAnsi="Arial Narrow" w:cs="Arial"/>
                <w:b/>
                <w:sz w:val="20"/>
                <w:szCs w:val="20"/>
              </w:rPr>
              <w:t>Rpts</w:t>
            </w:r>
            <w:proofErr w:type="spellEnd"/>
          </w:p>
        </w:tc>
        <w:tc>
          <w:tcPr>
            <w:tcW w:w="2126" w:type="dxa"/>
            <w:tcBorders>
              <w:bottom w:val="single" w:sz="4" w:space="0" w:color="auto"/>
            </w:tcBorders>
          </w:tcPr>
          <w:p w:rsidR="00D504A4" w:rsidRPr="00A953DF" w:rsidRDefault="00D504A4" w:rsidP="009A453D">
            <w:pPr>
              <w:keepNext/>
              <w:ind w:left="-108"/>
              <w:rPr>
                <w:rFonts w:ascii="Arial Narrow" w:hAnsi="Arial Narrow" w:cs="Arial"/>
                <w:b/>
                <w:sz w:val="20"/>
                <w:szCs w:val="20"/>
              </w:rPr>
            </w:pPr>
            <w:r w:rsidRPr="00A953DF">
              <w:rPr>
                <w:rFonts w:ascii="Arial Narrow" w:hAnsi="Arial Narrow" w:cs="Arial"/>
                <w:b/>
                <w:sz w:val="20"/>
                <w:szCs w:val="20"/>
              </w:rPr>
              <w:t>Dispensed Price for Max. Amount (Published*)</w:t>
            </w:r>
          </w:p>
        </w:tc>
        <w:tc>
          <w:tcPr>
            <w:tcW w:w="2835" w:type="dxa"/>
            <w:gridSpan w:val="2"/>
            <w:tcBorders>
              <w:bottom w:val="single" w:sz="4" w:space="0" w:color="auto"/>
            </w:tcBorders>
          </w:tcPr>
          <w:p w:rsidR="00D504A4" w:rsidRPr="00A953DF" w:rsidRDefault="00D504A4" w:rsidP="00C27B58">
            <w:pPr>
              <w:keepNext/>
              <w:jc w:val="both"/>
              <w:rPr>
                <w:rFonts w:ascii="Arial Narrow" w:hAnsi="Arial Narrow" w:cs="Arial"/>
                <w:b/>
                <w:sz w:val="20"/>
                <w:szCs w:val="20"/>
              </w:rPr>
            </w:pPr>
            <w:r w:rsidRPr="00A953DF">
              <w:rPr>
                <w:rFonts w:ascii="Arial Narrow" w:hAnsi="Arial Narrow" w:cs="Arial"/>
                <w:b/>
                <w:sz w:val="20"/>
                <w:szCs w:val="20"/>
              </w:rPr>
              <w:t>Proprietary Name and Manufacturer</w:t>
            </w:r>
          </w:p>
        </w:tc>
      </w:tr>
      <w:tr w:rsidR="00D504A4" w:rsidRPr="00A953DF" w:rsidTr="00D504A4">
        <w:trPr>
          <w:cantSplit/>
          <w:trHeight w:val="577"/>
        </w:trPr>
        <w:tc>
          <w:tcPr>
            <w:tcW w:w="1985" w:type="dxa"/>
          </w:tcPr>
          <w:p w:rsidR="00D504A4" w:rsidRPr="00A953DF" w:rsidRDefault="00D504A4" w:rsidP="00C27B58">
            <w:pPr>
              <w:keepNext/>
              <w:ind w:left="-108"/>
              <w:jc w:val="both"/>
              <w:rPr>
                <w:rFonts w:ascii="Arial Narrow" w:hAnsi="Arial Narrow" w:cs="Arial"/>
                <w:sz w:val="20"/>
                <w:szCs w:val="20"/>
              </w:rPr>
            </w:pPr>
            <w:r w:rsidRPr="00A953DF">
              <w:rPr>
                <w:rFonts w:ascii="Arial Narrow" w:hAnsi="Arial Narrow" w:cs="Arial"/>
                <w:smallCaps/>
                <w:sz w:val="20"/>
                <w:szCs w:val="20"/>
              </w:rPr>
              <w:t>NAB-PACLITAXEL</w:t>
            </w:r>
          </w:p>
          <w:p w:rsidR="00D504A4" w:rsidRPr="00A953DF" w:rsidRDefault="00D504A4" w:rsidP="00C27B58">
            <w:pPr>
              <w:keepNext/>
              <w:ind w:left="-108"/>
              <w:jc w:val="both"/>
              <w:rPr>
                <w:rFonts w:ascii="Arial Narrow" w:hAnsi="Arial Narrow" w:cs="Arial"/>
                <w:sz w:val="20"/>
                <w:szCs w:val="20"/>
              </w:rPr>
            </w:pPr>
            <w:r w:rsidRPr="00A953DF">
              <w:rPr>
                <w:rFonts w:ascii="Arial Narrow" w:hAnsi="Arial Narrow" w:cs="Arial"/>
                <w:sz w:val="20"/>
                <w:szCs w:val="20"/>
              </w:rPr>
              <w:t>nanoparticle albumin bound 100 mg injection</w:t>
            </w:r>
          </w:p>
        </w:tc>
        <w:tc>
          <w:tcPr>
            <w:tcW w:w="850" w:type="dxa"/>
          </w:tcPr>
          <w:p w:rsidR="00D504A4" w:rsidRPr="00A953DF" w:rsidRDefault="00D504A4" w:rsidP="00C27B58">
            <w:pPr>
              <w:keepNext/>
              <w:ind w:left="-108"/>
              <w:jc w:val="both"/>
              <w:rPr>
                <w:rFonts w:ascii="Arial Narrow" w:hAnsi="Arial Narrow" w:cs="Arial"/>
                <w:sz w:val="20"/>
                <w:szCs w:val="20"/>
              </w:rPr>
            </w:pPr>
          </w:p>
          <w:p w:rsidR="00D504A4" w:rsidRPr="00A953DF" w:rsidRDefault="00D504A4" w:rsidP="00582D5B">
            <w:pPr>
              <w:keepNext/>
              <w:ind w:left="-108"/>
              <w:jc w:val="both"/>
              <w:rPr>
                <w:rFonts w:ascii="Arial Narrow" w:hAnsi="Arial Narrow" w:cs="Arial"/>
                <w:sz w:val="20"/>
                <w:szCs w:val="20"/>
              </w:rPr>
            </w:pPr>
            <w:r w:rsidRPr="00A953DF">
              <w:rPr>
                <w:rFonts w:ascii="Arial Narrow" w:hAnsi="Arial Narrow" w:cs="Arial"/>
                <w:sz w:val="20"/>
                <w:szCs w:val="20"/>
              </w:rPr>
              <w:t>580 mg</w:t>
            </w:r>
          </w:p>
        </w:tc>
        <w:tc>
          <w:tcPr>
            <w:tcW w:w="567" w:type="dxa"/>
          </w:tcPr>
          <w:p w:rsidR="00D504A4" w:rsidRPr="00A953DF" w:rsidRDefault="00D504A4" w:rsidP="00C27B58">
            <w:pPr>
              <w:keepNext/>
              <w:ind w:left="-108"/>
              <w:jc w:val="both"/>
              <w:rPr>
                <w:rFonts w:ascii="Arial Narrow" w:hAnsi="Arial Narrow" w:cs="Arial"/>
                <w:sz w:val="20"/>
                <w:szCs w:val="20"/>
              </w:rPr>
            </w:pPr>
          </w:p>
          <w:p w:rsidR="00D504A4" w:rsidRPr="00A953DF" w:rsidRDefault="00D504A4" w:rsidP="00C27B58">
            <w:pPr>
              <w:keepNext/>
              <w:ind w:left="-108"/>
              <w:jc w:val="both"/>
              <w:rPr>
                <w:rFonts w:ascii="Arial Narrow" w:hAnsi="Arial Narrow" w:cs="Arial"/>
                <w:sz w:val="20"/>
                <w:szCs w:val="20"/>
              </w:rPr>
            </w:pPr>
            <w:r w:rsidRPr="00A953DF">
              <w:rPr>
                <w:rFonts w:ascii="Arial Narrow" w:hAnsi="Arial Narrow" w:cs="Arial"/>
                <w:sz w:val="20"/>
                <w:szCs w:val="20"/>
              </w:rPr>
              <w:t>5</w:t>
            </w:r>
          </w:p>
        </w:tc>
        <w:tc>
          <w:tcPr>
            <w:tcW w:w="2126" w:type="dxa"/>
          </w:tcPr>
          <w:p w:rsidR="00D504A4" w:rsidRPr="00A953DF" w:rsidRDefault="00D504A4" w:rsidP="00C27B58">
            <w:pPr>
              <w:keepNext/>
              <w:ind w:left="-108"/>
              <w:jc w:val="both"/>
              <w:rPr>
                <w:rFonts w:ascii="Arial Narrow" w:hAnsi="Arial Narrow" w:cs="Arial"/>
                <w:sz w:val="20"/>
                <w:szCs w:val="20"/>
              </w:rPr>
            </w:pPr>
          </w:p>
          <w:p w:rsidR="00D504A4" w:rsidRPr="00A953DF" w:rsidRDefault="00D504A4" w:rsidP="00C27B58">
            <w:pPr>
              <w:keepNext/>
              <w:ind w:left="-108"/>
              <w:jc w:val="both"/>
              <w:rPr>
                <w:rFonts w:ascii="Arial Narrow" w:hAnsi="Arial Narrow" w:cs="Arial"/>
                <w:sz w:val="20"/>
                <w:szCs w:val="20"/>
              </w:rPr>
            </w:pPr>
            <w:r w:rsidRPr="00A953DF">
              <w:rPr>
                <w:rFonts w:ascii="Arial Narrow" w:hAnsi="Arial Narrow" w:cs="Arial"/>
                <w:sz w:val="20"/>
                <w:szCs w:val="20"/>
              </w:rPr>
              <w:t>$2,491.55 (Public)</w:t>
            </w:r>
          </w:p>
          <w:p w:rsidR="00D504A4" w:rsidRPr="00A953DF" w:rsidRDefault="00D504A4" w:rsidP="009A453D">
            <w:pPr>
              <w:keepNext/>
              <w:ind w:left="-108"/>
              <w:jc w:val="both"/>
              <w:rPr>
                <w:rFonts w:ascii="Arial Narrow" w:hAnsi="Arial Narrow" w:cs="Arial"/>
                <w:sz w:val="20"/>
                <w:szCs w:val="20"/>
              </w:rPr>
            </w:pPr>
            <w:r w:rsidRPr="00A953DF">
              <w:rPr>
                <w:rFonts w:ascii="Arial Narrow" w:hAnsi="Arial Narrow" w:cs="Arial"/>
                <w:sz w:val="20"/>
                <w:szCs w:val="20"/>
              </w:rPr>
              <w:t>$2,562.86 (Private)</w:t>
            </w:r>
          </w:p>
        </w:tc>
        <w:tc>
          <w:tcPr>
            <w:tcW w:w="993" w:type="dxa"/>
          </w:tcPr>
          <w:p w:rsidR="00D504A4" w:rsidRPr="00A953DF" w:rsidRDefault="00D504A4" w:rsidP="00C27B58">
            <w:pPr>
              <w:keepNext/>
              <w:jc w:val="both"/>
              <w:rPr>
                <w:rFonts w:ascii="Arial Narrow" w:hAnsi="Arial Narrow" w:cs="Arial"/>
                <w:sz w:val="20"/>
                <w:szCs w:val="20"/>
              </w:rPr>
            </w:pPr>
          </w:p>
          <w:p w:rsidR="00D504A4" w:rsidRPr="00A953DF" w:rsidRDefault="00D504A4" w:rsidP="009A453D">
            <w:pPr>
              <w:keepNext/>
              <w:ind w:right="-108"/>
              <w:jc w:val="both"/>
              <w:rPr>
                <w:rFonts w:ascii="Arial Narrow" w:hAnsi="Arial Narrow" w:cs="Arial"/>
                <w:sz w:val="20"/>
                <w:szCs w:val="20"/>
              </w:rPr>
            </w:pPr>
            <w:proofErr w:type="spellStart"/>
            <w:r w:rsidRPr="00A953DF">
              <w:rPr>
                <w:rFonts w:ascii="Arial Narrow" w:hAnsi="Arial Narrow" w:cs="Arial"/>
                <w:sz w:val="20"/>
                <w:szCs w:val="20"/>
              </w:rPr>
              <w:t>Abraxane</w:t>
            </w:r>
            <w:proofErr w:type="spellEnd"/>
          </w:p>
        </w:tc>
        <w:tc>
          <w:tcPr>
            <w:tcW w:w="1842" w:type="dxa"/>
          </w:tcPr>
          <w:p w:rsidR="00D504A4" w:rsidRPr="00A953DF" w:rsidRDefault="00D504A4" w:rsidP="00C27B58">
            <w:pPr>
              <w:keepNext/>
              <w:jc w:val="both"/>
              <w:rPr>
                <w:rFonts w:ascii="Arial Narrow" w:hAnsi="Arial Narrow" w:cs="Arial"/>
                <w:sz w:val="20"/>
                <w:szCs w:val="20"/>
              </w:rPr>
            </w:pPr>
          </w:p>
          <w:p w:rsidR="00D504A4" w:rsidRPr="00A953DF" w:rsidRDefault="00D504A4" w:rsidP="00A2582A">
            <w:pPr>
              <w:keepNext/>
              <w:ind w:right="-108"/>
              <w:jc w:val="both"/>
              <w:rPr>
                <w:rFonts w:ascii="Arial Narrow" w:hAnsi="Arial Narrow" w:cs="Arial"/>
                <w:sz w:val="20"/>
                <w:szCs w:val="20"/>
              </w:rPr>
            </w:pPr>
            <w:r w:rsidRPr="00A953DF">
              <w:rPr>
                <w:rFonts w:ascii="Arial Narrow" w:hAnsi="Arial Narrow" w:cs="Arial"/>
                <w:sz w:val="20"/>
                <w:szCs w:val="20"/>
              </w:rPr>
              <w:t>Specialised Therapeutics Australia</w:t>
            </w:r>
          </w:p>
        </w:tc>
      </w:tr>
    </w:tbl>
    <w:p w:rsidR="00E30872" w:rsidRPr="00A953DF" w:rsidRDefault="00247B8F" w:rsidP="00247B8F">
      <w:pPr>
        <w:ind w:left="709"/>
        <w:jc w:val="both"/>
        <w:rPr>
          <w:rFonts w:ascii="Arial Narrow" w:hAnsi="Arial Narrow" w:cs="Arial"/>
          <w:b/>
          <w:sz w:val="20"/>
          <w:szCs w:val="20"/>
        </w:rPr>
      </w:pPr>
      <w:r w:rsidRPr="00A953DF">
        <w:rPr>
          <w:rFonts w:ascii="Arial Narrow" w:hAnsi="Arial Narrow" w:cs="Arial"/>
          <w:b/>
          <w:sz w:val="20"/>
          <w:szCs w:val="20"/>
        </w:rPr>
        <w:t>Authority Required</w:t>
      </w:r>
    </w:p>
    <w:p w:rsidR="00247B8F" w:rsidRPr="00A953DF" w:rsidRDefault="00247B8F" w:rsidP="00247B8F">
      <w:pPr>
        <w:ind w:left="709"/>
        <w:jc w:val="both"/>
        <w:rPr>
          <w:rFonts w:ascii="Arial Narrow" w:hAnsi="Arial Narrow" w:cs="Arial"/>
          <w:sz w:val="20"/>
          <w:szCs w:val="20"/>
        </w:rPr>
      </w:pPr>
      <w:r w:rsidRPr="00A953DF">
        <w:rPr>
          <w:rFonts w:ascii="Arial Narrow" w:hAnsi="Arial Narrow" w:cs="Arial"/>
          <w:sz w:val="20"/>
          <w:szCs w:val="20"/>
        </w:rPr>
        <w:t>Metastatic breast cancer</w:t>
      </w:r>
    </w:p>
    <w:p w:rsidR="00247B8F" w:rsidRPr="00A953DF" w:rsidRDefault="00247B8F" w:rsidP="00247B8F">
      <w:pPr>
        <w:ind w:left="709"/>
        <w:rPr>
          <w:rFonts w:ascii="Arial Narrow" w:hAnsi="Arial Narrow" w:cs="Arial"/>
          <w:sz w:val="20"/>
          <w:szCs w:val="20"/>
        </w:rPr>
      </w:pPr>
      <w:r w:rsidRPr="00A953DF">
        <w:rPr>
          <w:rFonts w:ascii="Arial Narrow" w:hAnsi="Arial Narrow" w:cs="Arial"/>
          <w:sz w:val="20"/>
          <w:szCs w:val="20"/>
        </w:rPr>
        <w:t xml:space="preserve">Treatment of HER2 positive breast cancer in combination with </w:t>
      </w:r>
      <w:proofErr w:type="spellStart"/>
      <w:r w:rsidRPr="00A953DF">
        <w:rPr>
          <w:rFonts w:ascii="Arial Narrow" w:hAnsi="Arial Narrow" w:cs="Arial"/>
          <w:sz w:val="20"/>
          <w:szCs w:val="20"/>
        </w:rPr>
        <w:t>trastuzumab</w:t>
      </w:r>
      <w:proofErr w:type="spellEnd"/>
    </w:p>
    <w:p w:rsidR="00D504A4" w:rsidRPr="00A953DF" w:rsidRDefault="00D504A4" w:rsidP="00EA7188">
      <w:pPr>
        <w:ind w:left="709"/>
        <w:jc w:val="both"/>
        <w:rPr>
          <w:rFonts w:ascii="Arial Narrow" w:hAnsi="Arial Narrow" w:cs="Arial"/>
          <w:sz w:val="20"/>
          <w:szCs w:val="20"/>
        </w:rPr>
      </w:pPr>
      <w:r w:rsidRPr="00A953DF">
        <w:rPr>
          <w:rFonts w:ascii="Arial Narrow" w:hAnsi="Arial Narrow" w:cs="Arial"/>
          <w:sz w:val="20"/>
          <w:szCs w:val="20"/>
        </w:rPr>
        <w:t xml:space="preserve">* Effective prices apply under a special pricing arrangement across the two listed cancers for </w:t>
      </w:r>
      <w:r w:rsidRPr="00A953DF">
        <w:rPr>
          <w:rFonts w:ascii="Arial Narrow" w:hAnsi="Arial Narrow" w:cs="Arial"/>
          <w:i/>
          <w:sz w:val="20"/>
          <w:szCs w:val="20"/>
        </w:rPr>
        <w:t>nab</w:t>
      </w:r>
      <w:r w:rsidRPr="00A953DF">
        <w:rPr>
          <w:rFonts w:ascii="Arial Narrow" w:hAnsi="Arial Narrow" w:cs="Arial"/>
          <w:sz w:val="20"/>
          <w:szCs w:val="20"/>
        </w:rPr>
        <w:t>-paclitaxel (breast cancer and prostatic cancer). As each cancer is associated with a different dose and thus a different maximum amount, it is not straightforward to present a single effective dispensed price for maximum amount.</w:t>
      </w:r>
    </w:p>
    <w:p w:rsidR="00EA7188" w:rsidRPr="00A953DF" w:rsidRDefault="00EA7188" w:rsidP="00F535D3">
      <w:pPr>
        <w:jc w:val="both"/>
        <w:rPr>
          <w:rFonts w:ascii="Arial" w:hAnsi="Arial" w:cs="Arial"/>
          <w:sz w:val="22"/>
          <w:szCs w:val="22"/>
        </w:rPr>
      </w:pPr>
    </w:p>
    <w:p w:rsidR="00E30872" w:rsidRPr="00A953DF" w:rsidRDefault="00E30872" w:rsidP="00E30872">
      <w:pPr>
        <w:pStyle w:val="ListParagraph"/>
        <w:numPr>
          <w:ilvl w:val="1"/>
          <w:numId w:val="25"/>
        </w:numPr>
        <w:jc w:val="both"/>
        <w:rPr>
          <w:rFonts w:ascii="Arial" w:hAnsi="Arial"/>
          <w:sz w:val="22"/>
          <w:szCs w:val="22"/>
        </w:rPr>
      </w:pPr>
      <w:r w:rsidRPr="00A953DF">
        <w:rPr>
          <w:rFonts w:ascii="Arial" w:hAnsi="Arial"/>
          <w:sz w:val="22"/>
          <w:szCs w:val="22"/>
        </w:rPr>
        <w:t xml:space="preserve">The submission requested an amendment to the </w:t>
      </w:r>
      <w:r w:rsidR="002B37BD" w:rsidRPr="00A953DF">
        <w:rPr>
          <w:rFonts w:ascii="Arial" w:hAnsi="Arial"/>
          <w:sz w:val="22"/>
          <w:szCs w:val="22"/>
        </w:rPr>
        <w:t xml:space="preserve">current </w:t>
      </w:r>
      <w:proofErr w:type="spellStart"/>
      <w:r w:rsidR="00C3587A" w:rsidRPr="00A953DF">
        <w:rPr>
          <w:rFonts w:ascii="Arial" w:hAnsi="Arial"/>
          <w:sz w:val="22"/>
          <w:szCs w:val="22"/>
        </w:rPr>
        <w:t>trastuzumab</w:t>
      </w:r>
      <w:proofErr w:type="spellEnd"/>
      <w:r w:rsidR="00C3587A" w:rsidRPr="00A953DF">
        <w:rPr>
          <w:rFonts w:ascii="Arial" w:hAnsi="Arial"/>
          <w:sz w:val="22"/>
          <w:szCs w:val="22"/>
        </w:rPr>
        <w:t xml:space="preserve"> </w:t>
      </w:r>
      <w:r w:rsidRPr="00A953DF">
        <w:rPr>
          <w:rFonts w:ascii="Arial" w:hAnsi="Arial"/>
          <w:sz w:val="22"/>
          <w:szCs w:val="22"/>
        </w:rPr>
        <w:t xml:space="preserve">restriction to </w:t>
      </w:r>
      <w:r w:rsidR="00C3587A" w:rsidRPr="00A953DF">
        <w:rPr>
          <w:rFonts w:ascii="Arial" w:hAnsi="Arial"/>
          <w:sz w:val="22"/>
          <w:szCs w:val="22"/>
        </w:rPr>
        <w:t>ex</w:t>
      </w:r>
      <w:r w:rsidRPr="00A953DF">
        <w:rPr>
          <w:rFonts w:ascii="Arial" w:hAnsi="Arial"/>
          <w:sz w:val="22"/>
          <w:szCs w:val="22"/>
        </w:rPr>
        <w:t>clude the following wording:</w:t>
      </w:r>
    </w:p>
    <w:p w:rsidR="005A5F18" w:rsidRPr="00A953DF" w:rsidRDefault="005A5F18" w:rsidP="00242C1E">
      <w:pPr>
        <w:pStyle w:val="ListParagraph"/>
        <w:numPr>
          <w:ilvl w:val="0"/>
          <w:numId w:val="46"/>
        </w:numPr>
        <w:jc w:val="both"/>
        <w:rPr>
          <w:rFonts w:ascii="Arial" w:hAnsi="Arial"/>
          <w:sz w:val="22"/>
          <w:szCs w:val="22"/>
        </w:rPr>
      </w:pPr>
      <w:r w:rsidRPr="00A953DF">
        <w:rPr>
          <w:rFonts w:ascii="Arial" w:hAnsi="Arial"/>
          <w:sz w:val="22"/>
          <w:szCs w:val="22"/>
        </w:rPr>
        <w:t>AND</w:t>
      </w:r>
    </w:p>
    <w:p w:rsidR="005A5F18" w:rsidRPr="00A953DF" w:rsidRDefault="005A5F18" w:rsidP="00242C1E">
      <w:pPr>
        <w:pStyle w:val="ListParagraph"/>
        <w:ind w:firstLine="698"/>
        <w:jc w:val="both"/>
        <w:rPr>
          <w:rFonts w:ascii="Arial" w:hAnsi="Arial"/>
          <w:sz w:val="22"/>
          <w:szCs w:val="22"/>
        </w:rPr>
      </w:pPr>
      <w:r w:rsidRPr="00A953DF">
        <w:rPr>
          <w:rFonts w:ascii="Arial" w:hAnsi="Arial"/>
          <w:sz w:val="22"/>
          <w:szCs w:val="22"/>
        </w:rPr>
        <w:t xml:space="preserve">The treatment must not be in combination with </w:t>
      </w:r>
      <w:r w:rsidR="00B819BA" w:rsidRPr="00A953DF">
        <w:rPr>
          <w:rFonts w:ascii="Arial" w:hAnsi="Arial"/>
          <w:i/>
          <w:sz w:val="22"/>
          <w:szCs w:val="22"/>
        </w:rPr>
        <w:t>nab</w:t>
      </w:r>
      <w:r w:rsidRPr="00A953DF">
        <w:rPr>
          <w:rFonts w:ascii="Arial" w:hAnsi="Arial"/>
          <w:sz w:val="22"/>
          <w:szCs w:val="22"/>
        </w:rPr>
        <w:t>-paclitaxel</w:t>
      </w:r>
    </w:p>
    <w:p w:rsidR="002154F1" w:rsidRPr="00A953DF" w:rsidRDefault="002154F1" w:rsidP="00F535D3">
      <w:pPr>
        <w:jc w:val="both"/>
        <w:rPr>
          <w:rFonts w:ascii="Arial" w:hAnsi="Arial"/>
          <w:sz w:val="22"/>
          <w:szCs w:val="22"/>
        </w:rPr>
      </w:pPr>
    </w:p>
    <w:p w:rsidR="002154F1" w:rsidRPr="00A953DF" w:rsidRDefault="002154F1" w:rsidP="002154F1">
      <w:pPr>
        <w:pStyle w:val="ListParagraph"/>
        <w:numPr>
          <w:ilvl w:val="1"/>
          <w:numId w:val="25"/>
        </w:numPr>
        <w:jc w:val="both"/>
        <w:rPr>
          <w:rFonts w:ascii="Arial" w:hAnsi="Arial"/>
          <w:sz w:val="22"/>
          <w:szCs w:val="22"/>
        </w:rPr>
      </w:pPr>
      <w:r w:rsidRPr="00A953DF">
        <w:rPr>
          <w:rFonts w:ascii="Arial" w:hAnsi="Arial"/>
          <w:bCs/>
          <w:sz w:val="22"/>
          <w:szCs w:val="22"/>
        </w:rPr>
        <w:t xml:space="preserve">The PBAC rejected the request to allow </w:t>
      </w:r>
      <w:r w:rsidRPr="00A953DF">
        <w:rPr>
          <w:rFonts w:ascii="Arial" w:hAnsi="Arial"/>
          <w:bCs/>
          <w:i/>
          <w:sz w:val="22"/>
          <w:szCs w:val="22"/>
        </w:rPr>
        <w:t>nab</w:t>
      </w:r>
      <w:r w:rsidRPr="00A953DF">
        <w:rPr>
          <w:rFonts w:ascii="Arial" w:hAnsi="Arial"/>
          <w:bCs/>
          <w:sz w:val="22"/>
          <w:szCs w:val="22"/>
        </w:rPr>
        <w:t xml:space="preserve">-paclitaxel from use in combination with </w:t>
      </w:r>
      <w:proofErr w:type="spellStart"/>
      <w:r w:rsidRPr="00A953DF">
        <w:rPr>
          <w:rFonts w:ascii="Arial" w:hAnsi="Arial"/>
          <w:bCs/>
          <w:sz w:val="22"/>
          <w:szCs w:val="22"/>
        </w:rPr>
        <w:t>trastuzumab</w:t>
      </w:r>
      <w:proofErr w:type="spellEnd"/>
      <w:r w:rsidRPr="00A953DF">
        <w:rPr>
          <w:rFonts w:ascii="Arial" w:hAnsi="Arial"/>
          <w:bCs/>
          <w:sz w:val="22"/>
          <w:szCs w:val="22"/>
        </w:rPr>
        <w:t>, in the treatment of patients with human epidermal growth factor receptor 2 (</w:t>
      </w:r>
      <w:proofErr w:type="gramStart"/>
      <w:r w:rsidRPr="00A953DF">
        <w:rPr>
          <w:rFonts w:ascii="Arial" w:hAnsi="Arial"/>
          <w:bCs/>
          <w:sz w:val="22"/>
          <w:szCs w:val="22"/>
        </w:rPr>
        <w:t>HER-2) positive metastatic breast cancer</w:t>
      </w:r>
      <w:proofErr w:type="gramEnd"/>
      <w:r w:rsidRPr="00A953DF">
        <w:rPr>
          <w:rFonts w:ascii="Arial" w:hAnsi="Arial"/>
          <w:bCs/>
          <w:sz w:val="22"/>
          <w:szCs w:val="22"/>
        </w:rPr>
        <w:t>.</w:t>
      </w:r>
    </w:p>
    <w:p w:rsidR="002154F1" w:rsidRPr="00A953DF" w:rsidRDefault="002154F1" w:rsidP="00FF1008">
      <w:pPr>
        <w:jc w:val="both"/>
        <w:rPr>
          <w:rFonts w:ascii="Arial" w:hAnsi="Arial"/>
          <w:sz w:val="22"/>
          <w:szCs w:val="22"/>
        </w:rPr>
      </w:pPr>
    </w:p>
    <w:p w:rsidR="00003EA8" w:rsidRPr="00A953DF" w:rsidRDefault="00242C1E" w:rsidP="00242C1E">
      <w:pPr>
        <w:pStyle w:val="ListParagraph"/>
        <w:numPr>
          <w:ilvl w:val="1"/>
          <w:numId w:val="25"/>
        </w:numPr>
        <w:jc w:val="both"/>
        <w:rPr>
          <w:rFonts w:ascii="Arial" w:hAnsi="Arial" w:cs="Arial"/>
          <w:sz w:val="22"/>
          <w:szCs w:val="22"/>
        </w:rPr>
      </w:pPr>
      <w:r w:rsidRPr="00A953DF">
        <w:rPr>
          <w:rFonts w:ascii="Arial" w:hAnsi="Arial"/>
          <w:sz w:val="22"/>
          <w:szCs w:val="22"/>
        </w:rPr>
        <w:t>The minor submission offer</w:t>
      </w:r>
      <w:r w:rsidR="00003EA8" w:rsidRPr="00A953DF">
        <w:rPr>
          <w:rFonts w:ascii="Arial" w:hAnsi="Arial"/>
          <w:sz w:val="22"/>
          <w:szCs w:val="22"/>
        </w:rPr>
        <w:t>ed</w:t>
      </w:r>
      <w:r w:rsidRPr="00A953DF">
        <w:rPr>
          <w:rFonts w:ascii="Arial" w:hAnsi="Arial"/>
          <w:sz w:val="22"/>
          <w:szCs w:val="22"/>
        </w:rPr>
        <w:t xml:space="preserve"> a price </w:t>
      </w:r>
      <w:r w:rsidR="00A2582A" w:rsidRPr="00A953DF">
        <w:rPr>
          <w:rFonts w:ascii="Arial" w:hAnsi="Arial"/>
          <w:sz w:val="22"/>
          <w:szCs w:val="22"/>
        </w:rPr>
        <w:t>reduction</w:t>
      </w:r>
      <w:r w:rsidRPr="00A953DF">
        <w:rPr>
          <w:rFonts w:ascii="Arial" w:hAnsi="Arial"/>
          <w:sz w:val="22"/>
          <w:szCs w:val="22"/>
        </w:rPr>
        <w:t xml:space="preserve"> for the use of </w:t>
      </w:r>
      <w:r w:rsidR="00B819BA" w:rsidRPr="00A953DF">
        <w:rPr>
          <w:rFonts w:ascii="Arial" w:hAnsi="Arial"/>
          <w:i/>
          <w:sz w:val="22"/>
          <w:szCs w:val="22"/>
        </w:rPr>
        <w:t>nab</w:t>
      </w:r>
      <w:r w:rsidR="00B819BA" w:rsidRPr="00A953DF">
        <w:rPr>
          <w:rFonts w:ascii="Arial" w:hAnsi="Arial"/>
          <w:sz w:val="22"/>
          <w:szCs w:val="22"/>
        </w:rPr>
        <w:t>-paclitaxel</w:t>
      </w:r>
      <w:r w:rsidRPr="00A953DF">
        <w:rPr>
          <w:rFonts w:ascii="Arial" w:hAnsi="Arial"/>
          <w:sz w:val="22"/>
          <w:szCs w:val="22"/>
        </w:rPr>
        <w:t xml:space="preserve"> in the treatment of patients with HER-2 positive metastatic breast cancer in combination with </w:t>
      </w:r>
      <w:proofErr w:type="spellStart"/>
      <w:r w:rsidRPr="00A953DF">
        <w:rPr>
          <w:rFonts w:ascii="Arial" w:hAnsi="Arial"/>
          <w:sz w:val="22"/>
          <w:szCs w:val="22"/>
        </w:rPr>
        <w:t>trastuzumab</w:t>
      </w:r>
      <w:proofErr w:type="spellEnd"/>
      <w:r w:rsidRPr="00A953DF">
        <w:rPr>
          <w:rFonts w:ascii="Arial" w:hAnsi="Arial"/>
          <w:sz w:val="22"/>
          <w:szCs w:val="22"/>
        </w:rPr>
        <w:t>.</w:t>
      </w:r>
    </w:p>
    <w:p w:rsidR="001C7572" w:rsidRPr="00A953DF" w:rsidRDefault="001C7572" w:rsidP="001C7572">
      <w:pPr>
        <w:jc w:val="both"/>
        <w:rPr>
          <w:rFonts w:ascii="Arial" w:hAnsi="Arial" w:cs="Arial"/>
          <w:sz w:val="22"/>
          <w:szCs w:val="22"/>
        </w:rPr>
      </w:pPr>
    </w:p>
    <w:p w:rsidR="00003EA8" w:rsidRPr="00A953DF" w:rsidRDefault="001C7572" w:rsidP="001C7572">
      <w:pPr>
        <w:ind w:firstLine="709"/>
        <w:jc w:val="both"/>
        <w:rPr>
          <w:rFonts w:ascii="Arial" w:hAnsi="Arial" w:cs="Arial"/>
          <w:sz w:val="22"/>
          <w:szCs w:val="22"/>
        </w:rPr>
      </w:pPr>
      <w:r w:rsidRPr="00A953DF">
        <w:rPr>
          <w:rFonts w:ascii="Arial" w:hAnsi="Arial" w:cs="Arial"/>
          <w:i/>
          <w:sz w:val="22"/>
          <w:szCs w:val="22"/>
        </w:rPr>
        <w:t>For more details on PBAC’s view, see section 7 “PBAC outcome”.</w:t>
      </w:r>
    </w:p>
    <w:p w:rsidR="002154F1" w:rsidRDefault="002154F1" w:rsidP="00EB1638">
      <w:pPr>
        <w:spacing w:line="720" w:lineRule="auto"/>
        <w:rPr>
          <w:rFonts w:ascii="Arial" w:hAnsi="Arial"/>
          <w:sz w:val="22"/>
          <w:szCs w:val="22"/>
        </w:rPr>
      </w:pPr>
    </w:p>
    <w:p w:rsidR="002D1675" w:rsidRPr="00A953DF" w:rsidRDefault="002D1675" w:rsidP="00EB1638">
      <w:pPr>
        <w:spacing w:line="720" w:lineRule="auto"/>
        <w:rPr>
          <w:rFonts w:ascii="Arial" w:hAnsi="Arial"/>
          <w:sz w:val="22"/>
          <w:szCs w:val="22"/>
        </w:rPr>
      </w:pPr>
    </w:p>
    <w:p w:rsidR="001C7572" w:rsidRPr="00A953DF" w:rsidRDefault="001C7572">
      <w:pPr>
        <w:rPr>
          <w:rFonts w:ascii="Arial" w:hAnsi="Arial"/>
          <w:sz w:val="22"/>
          <w:szCs w:val="22"/>
        </w:rPr>
      </w:pPr>
    </w:p>
    <w:p w:rsidR="00CE10C4" w:rsidRPr="00A953DF" w:rsidRDefault="00CE10C4" w:rsidP="009659F7">
      <w:pPr>
        <w:pStyle w:val="Heading1"/>
      </w:pPr>
      <w:r w:rsidRPr="00A953DF">
        <w:t>Background</w:t>
      </w:r>
    </w:p>
    <w:p w:rsidR="006A12A5" w:rsidRPr="00A953DF" w:rsidRDefault="006A12A5" w:rsidP="00882085">
      <w:pPr>
        <w:jc w:val="both"/>
        <w:rPr>
          <w:rFonts w:ascii="Arial" w:hAnsi="Arial"/>
          <w:sz w:val="22"/>
          <w:szCs w:val="22"/>
        </w:rPr>
      </w:pPr>
    </w:p>
    <w:p w:rsidR="002B1AE6" w:rsidRPr="00A953DF" w:rsidRDefault="00B819BA" w:rsidP="00003EA8">
      <w:pPr>
        <w:pStyle w:val="ListParagraph"/>
        <w:numPr>
          <w:ilvl w:val="1"/>
          <w:numId w:val="25"/>
        </w:numPr>
        <w:jc w:val="both"/>
        <w:rPr>
          <w:rFonts w:ascii="Arial" w:hAnsi="Arial"/>
          <w:sz w:val="22"/>
          <w:szCs w:val="22"/>
        </w:rPr>
      </w:pPr>
      <w:proofErr w:type="gramStart"/>
      <w:r w:rsidRPr="00A953DF">
        <w:rPr>
          <w:rFonts w:ascii="Arial" w:hAnsi="Arial"/>
          <w:i/>
          <w:sz w:val="22"/>
          <w:szCs w:val="22"/>
        </w:rPr>
        <w:t>nab-</w:t>
      </w:r>
      <w:r w:rsidRPr="00A953DF">
        <w:rPr>
          <w:rFonts w:ascii="Arial" w:hAnsi="Arial"/>
          <w:sz w:val="22"/>
          <w:szCs w:val="22"/>
        </w:rPr>
        <w:t>paclitaxel</w:t>
      </w:r>
      <w:proofErr w:type="gramEnd"/>
      <w:r w:rsidR="001911C4" w:rsidRPr="00A953DF">
        <w:rPr>
          <w:rFonts w:ascii="Arial" w:hAnsi="Arial"/>
          <w:sz w:val="22"/>
          <w:szCs w:val="22"/>
        </w:rPr>
        <w:t xml:space="preserve"> (nanoparticl</w:t>
      </w:r>
      <w:r w:rsidR="00A2582A" w:rsidRPr="00A953DF">
        <w:rPr>
          <w:rFonts w:ascii="Arial" w:hAnsi="Arial"/>
          <w:sz w:val="22"/>
          <w:szCs w:val="22"/>
        </w:rPr>
        <w:t>e albumin-bound paclitaxel) 100 </w:t>
      </w:r>
      <w:r w:rsidR="001911C4" w:rsidRPr="00A953DF">
        <w:rPr>
          <w:rFonts w:ascii="Arial" w:hAnsi="Arial"/>
          <w:sz w:val="22"/>
          <w:szCs w:val="22"/>
        </w:rPr>
        <w:t xml:space="preserve">mg powder for injection (suspension) was registered by the TGA </w:t>
      </w:r>
      <w:r w:rsidR="00C2089A" w:rsidRPr="00A953DF">
        <w:rPr>
          <w:rFonts w:ascii="Arial" w:hAnsi="Arial"/>
          <w:sz w:val="22"/>
          <w:szCs w:val="22"/>
        </w:rPr>
        <w:t>in</w:t>
      </w:r>
      <w:r w:rsidR="001911C4" w:rsidRPr="00A953DF">
        <w:rPr>
          <w:rFonts w:ascii="Arial" w:hAnsi="Arial"/>
          <w:sz w:val="22"/>
          <w:szCs w:val="22"/>
        </w:rPr>
        <w:t xml:space="preserve"> October 2008 for the treatment of metastatic carcinoma of the breast after failure of </w:t>
      </w:r>
      <w:proofErr w:type="spellStart"/>
      <w:r w:rsidR="001911C4" w:rsidRPr="00A953DF">
        <w:rPr>
          <w:rFonts w:ascii="Arial" w:hAnsi="Arial"/>
          <w:sz w:val="22"/>
          <w:szCs w:val="22"/>
        </w:rPr>
        <w:t>anthracycline</w:t>
      </w:r>
      <w:proofErr w:type="spellEnd"/>
      <w:r w:rsidR="001911C4" w:rsidRPr="00A953DF">
        <w:rPr>
          <w:rFonts w:ascii="Arial" w:hAnsi="Arial"/>
          <w:sz w:val="22"/>
          <w:szCs w:val="22"/>
        </w:rPr>
        <w:t xml:space="preserve"> therapy.</w:t>
      </w:r>
    </w:p>
    <w:p w:rsidR="006B0D94" w:rsidRPr="00A953DF" w:rsidRDefault="006B0D94" w:rsidP="00003EA8">
      <w:pPr>
        <w:jc w:val="both"/>
        <w:rPr>
          <w:rFonts w:ascii="Arial" w:hAnsi="Arial"/>
          <w:sz w:val="22"/>
          <w:szCs w:val="22"/>
        </w:rPr>
      </w:pPr>
    </w:p>
    <w:p w:rsidR="00326E79" w:rsidRPr="00A953DF" w:rsidRDefault="00B04091" w:rsidP="00003EA8">
      <w:pPr>
        <w:pStyle w:val="ListParagraph"/>
        <w:numPr>
          <w:ilvl w:val="1"/>
          <w:numId w:val="25"/>
        </w:numPr>
        <w:jc w:val="both"/>
        <w:rPr>
          <w:rFonts w:ascii="Arial" w:hAnsi="Arial"/>
          <w:sz w:val="22"/>
          <w:szCs w:val="22"/>
        </w:rPr>
      </w:pPr>
      <w:r w:rsidRPr="00A953DF">
        <w:rPr>
          <w:rFonts w:ascii="Arial" w:hAnsi="Arial"/>
          <w:sz w:val="22"/>
          <w:szCs w:val="22"/>
        </w:rPr>
        <w:t xml:space="preserve">The PBAC considered </w:t>
      </w:r>
      <w:r w:rsidR="00B819BA" w:rsidRPr="00A953DF">
        <w:rPr>
          <w:rFonts w:ascii="Arial" w:hAnsi="Arial"/>
          <w:i/>
          <w:sz w:val="22"/>
          <w:szCs w:val="22"/>
        </w:rPr>
        <w:t>nab-</w:t>
      </w:r>
      <w:r w:rsidR="00B819BA" w:rsidRPr="00A953DF">
        <w:rPr>
          <w:rFonts w:ascii="Arial" w:hAnsi="Arial"/>
          <w:sz w:val="22"/>
          <w:szCs w:val="22"/>
        </w:rPr>
        <w:t>paclitaxel</w:t>
      </w:r>
      <w:r w:rsidRPr="00A953DF">
        <w:rPr>
          <w:rFonts w:ascii="Arial" w:hAnsi="Arial"/>
          <w:sz w:val="22"/>
          <w:szCs w:val="22"/>
        </w:rPr>
        <w:t xml:space="preserve"> in November 2008. The PBAC rejected the submission, but indicated its willingness to consider a submission presenting a cost minimisation analysis of </w:t>
      </w:r>
      <w:r w:rsidR="00B819BA" w:rsidRPr="00A953DF">
        <w:rPr>
          <w:rFonts w:ascii="Arial" w:hAnsi="Arial"/>
          <w:i/>
          <w:sz w:val="22"/>
          <w:szCs w:val="22"/>
        </w:rPr>
        <w:t>nab-</w:t>
      </w:r>
      <w:r w:rsidR="00B819BA" w:rsidRPr="00A953DF">
        <w:rPr>
          <w:rFonts w:ascii="Arial" w:hAnsi="Arial"/>
          <w:sz w:val="22"/>
          <w:szCs w:val="22"/>
        </w:rPr>
        <w:t>paclitaxel</w:t>
      </w:r>
      <w:r w:rsidRPr="00A953DF">
        <w:rPr>
          <w:rFonts w:ascii="Arial" w:hAnsi="Arial"/>
          <w:sz w:val="22"/>
          <w:szCs w:val="22"/>
        </w:rPr>
        <w:t xml:space="preserve"> versus </w:t>
      </w:r>
      <w:r w:rsidR="00F6220E" w:rsidRPr="00A953DF">
        <w:rPr>
          <w:rFonts w:ascii="Arial" w:hAnsi="Arial"/>
          <w:sz w:val="22"/>
          <w:szCs w:val="22"/>
        </w:rPr>
        <w:t xml:space="preserve">solvent-based </w:t>
      </w:r>
      <w:r w:rsidRPr="00A953DF">
        <w:rPr>
          <w:rFonts w:ascii="Arial" w:hAnsi="Arial"/>
          <w:sz w:val="22"/>
          <w:szCs w:val="22"/>
        </w:rPr>
        <w:t>paclitaxel</w:t>
      </w:r>
      <w:r w:rsidR="00A2582A" w:rsidRPr="00A953DF">
        <w:rPr>
          <w:rFonts w:ascii="Arial" w:hAnsi="Arial"/>
          <w:sz w:val="22"/>
          <w:szCs w:val="22"/>
        </w:rPr>
        <w:t>.</w:t>
      </w:r>
    </w:p>
    <w:p w:rsidR="00B04091" w:rsidRPr="00A953DF" w:rsidRDefault="00B04091" w:rsidP="00B04091">
      <w:pPr>
        <w:jc w:val="both"/>
        <w:rPr>
          <w:rFonts w:ascii="Arial" w:hAnsi="Arial"/>
          <w:sz w:val="22"/>
          <w:szCs w:val="22"/>
        </w:rPr>
      </w:pPr>
    </w:p>
    <w:p w:rsidR="00B04091" w:rsidRPr="00A953DF" w:rsidRDefault="00B04091" w:rsidP="00003EA8">
      <w:pPr>
        <w:pStyle w:val="ListParagraph"/>
        <w:numPr>
          <w:ilvl w:val="1"/>
          <w:numId w:val="25"/>
        </w:numPr>
        <w:jc w:val="both"/>
        <w:rPr>
          <w:rFonts w:ascii="Arial" w:hAnsi="Arial"/>
          <w:sz w:val="22"/>
          <w:szCs w:val="22"/>
        </w:rPr>
      </w:pPr>
      <w:r w:rsidRPr="00A953DF">
        <w:rPr>
          <w:rFonts w:ascii="Arial" w:hAnsi="Arial"/>
          <w:sz w:val="22"/>
          <w:szCs w:val="22"/>
        </w:rPr>
        <w:t xml:space="preserve">The PBAC recommended the listing of </w:t>
      </w:r>
      <w:r w:rsidR="00B819BA" w:rsidRPr="00A953DF">
        <w:rPr>
          <w:rFonts w:ascii="Arial" w:hAnsi="Arial"/>
          <w:i/>
          <w:sz w:val="22"/>
          <w:szCs w:val="22"/>
        </w:rPr>
        <w:t>nab-</w:t>
      </w:r>
      <w:r w:rsidR="00B819BA" w:rsidRPr="00A953DF">
        <w:rPr>
          <w:rFonts w:ascii="Arial" w:hAnsi="Arial"/>
          <w:sz w:val="22"/>
          <w:szCs w:val="22"/>
        </w:rPr>
        <w:t>paclitaxel</w:t>
      </w:r>
      <w:r w:rsidRPr="00A953DF">
        <w:rPr>
          <w:rFonts w:ascii="Arial" w:hAnsi="Arial"/>
          <w:sz w:val="22"/>
          <w:szCs w:val="22"/>
        </w:rPr>
        <w:t xml:space="preserve"> on the PBS at its December 2008 Special Meeting for the treatment of metastatic breast cancer after failure of prior therapy which includes an </w:t>
      </w:r>
      <w:proofErr w:type="spellStart"/>
      <w:r w:rsidRPr="00A953DF">
        <w:rPr>
          <w:rFonts w:ascii="Arial" w:hAnsi="Arial"/>
          <w:sz w:val="22"/>
          <w:szCs w:val="22"/>
        </w:rPr>
        <w:t>anthracycline</w:t>
      </w:r>
      <w:proofErr w:type="spellEnd"/>
      <w:r w:rsidRPr="00A953DF">
        <w:rPr>
          <w:rFonts w:ascii="Arial" w:hAnsi="Arial"/>
          <w:sz w:val="22"/>
          <w:szCs w:val="22"/>
        </w:rPr>
        <w:t xml:space="preserve">, on a cost-minimisation basis with </w:t>
      </w:r>
      <w:r w:rsidR="00F6220E" w:rsidRPr="00A953DF">
        <w:rPr>
          <w:rFonts w:ascii="Arial" w:hAnsi="Arial"/>
          <w:sz w:val="22"/>
          <w:szCs w:val="22"/>
        </w:rPr>
        <w:t xml:space="preserve">solvent-based </w:t>
      </w:r>
      <w:r w:rsidRPr="00A953DF">
        <w:rPr>
          <w:rFonts w:ascii="Arial" w:hAnsi="Arial"/>
          <w:sz w:val="22"/>
          <w:szCs w:val="22"/>
        </w:rPr>
        <w:t xml:space="preserve">paclitaxel using the price per mg methodology and the </w:t>
      </w:r>
      <w:proofErr w:type="spellStart"/>
      <w:r w:rsidRPr="00A953DF">
        <w:rPr>
          <w:rFonts w:ascii="Arial" w:hAnsi="Arial"/>
          <w:sz w:val="22"/>
          <w:szCs w:val="22"/>
        </w:rPr>
        <w:t>equi</w:t>
      </w:r>
      <w:proofErr w:type="spellEnd"/>
      <w:r w:rsidRPr="00A953DF">
        <w:rPr>
          <w:rFonts w:ascii="Arial" w:hAnsi="Arial"/>
          <w:sz w:val="22"/>
          <w:szCs w:val="22"/>
        </w:rPr>
        <w:t>-effective</w:t>
      </w:r>
      <w:r w:rsidR="00A2582A" w:rsidRPr="00A953DF">
        <w:rPr>
          <w:rFonts w:ascii="Arial" w:hAnsi="Arial"/>
          <w:sz w:val="22"/>
          <w:szCs w:val="22"/>
        </w:rPr>
        <w:t xml:space="preserve"> doses being 260 </w:t>
      </w:r>
      <w:r w:rsidRPr="00A953DF">
        <w:rPr>
          <w:rFonts w:ascii="Arial" w:hAnsi="Arial"/>
          <w:sz w:val="22"/>
          <w:szCs w:val="22"/>
        </w:rPr>
        <w:t>mg/m</w:t>
      </w:r>
      <w:r w:rsidRPr="00A953DF">
        <w:rPr>
          <w:rFonts w:ascii="Arial" w:hAnsi="Arial"/>
          <w:sz w:val="22"/>
          <w:szCs w:val="22"/>
          <w:vertAlign w:val="superscript"/>
        </w:rPr>
        <w:t>2</w:t>
      </w:r>
      <w:r w:rsidRPr="00A953DF">
        <w:rPr>
          <w:rFonts w:ascii="Arial" w:hAnsi="Arial"/>
          <w:sz w:val="22"/>
          <w:szCs w:val="22"/>
        </w:rPr>
        <w:t xml:space="preserve"> of </w:t>
      </w:r>
      <w:r w:rsidR="00B819BA" w:rsidRPr="00A953DF">
        <w:rPr>
          <w:rFonts w:ascii="Arial" w:hAnsi="Arial"/>
          <w:i/>
          <w:sz w:val="22"/>
          <w:szCs w:val="22"/>
        </w:rPr>
        <w:t>nab-</w:t>
      </w:r>
      <w:r w:rsidR="00B819BA" w:rsidRPr="00A953DF">
        <w:rPr>
          <w:rFonts w:ascii="Arial" w:hAnsi="Arial"/>
          <w:sz w:val="22"/>
          <w:szCs w:val="22"/>
        </w:rPr>
        <w:t xml:space="preserve">paclitaxel </w:t>
      </w:r>
      <w:r w:rsidR="00A2582A" w:rsidRPr="00A953DF">
        <w:rPr>
          <w:rFonts w:ascii="Arial" w:hAnsi="Arial"/>
          <w:sz w:val="22"/>
          <w:szCs w:val="22"/>
        </w:rPr>
        <w:t>and 175 </w:t>
      </w:r>
      <w:r w:rsidRPr="00A953DF">
        <w:rPr>
          <w:rFonts w:ascii="Arial" w:hAnsi="Arial"/>
          <w:sz w:val="22"/>
          <w:szCs w:val="22"/>
        </w:rPr>
        <w:t>mg/m</w:t>
      </w:r>
      <w:r w:rsidRPr="00A953DF">
        <w:rPr>
          <w:rFonts w:ascii="Arial" w:hAnsi="Arial"/>
          <w:sz w:val="22"/>
          <w:szCs w:val="22"/>
          <w:vertAlign w:val="superscript"/>
        </w:rPr>
        <w:t>2</w:t>
      </w:r>
      <w:r w:rsidRPr="00A953DF">
        <w:rPr>
          <w:rFonts w:ascii="Arial" w:hAnsi="Arial"/>
          <w:sz w:val="22"/>
          <w:szCs w:val="22"/>
        </w:rPr>
        <w:t xml:space="preserve"> of </w:t>
      </w:r>
      <w:r w:rsidR="00F6220E" w:rsidRPr="00A953DF">
        <w:rPr>
          <w:rFonts w:ascii="Arial" w:hAnsi="Arial"/>
          <w:sz w:val="22"/>
          <w:szCs w:val="22"/>
        </w:rPr>
        <w:t xml:space="preserve">solvent-based </w:t>
      </w:r>
      <w:r w:rsidRPr="00A953DF">
        <w:rPr>
          <w:rFonts w:ascii="Arial" w:hAnsi="Arial"/>
          <w:sz w:val="22"/>
          <w:szCs w:val="22"/>
        </w:rPr>
        <w:t>paclitaxel.</w:t>
      </w:r>
    </w:p>
    <w:p w:rsidR="00B04091" w:rsidRPr="00A953DF" w:rsidRDefault="00B04091" w:rsidP="00B04091">
      <w:pPr>
        <w:jc w:val="both"/>
        <w:rPr>
          <w:rFonts w:ascii="Arial" w:hAnsi="Arial"/>
          <w:sz w:val="22"/>
          <w:szCs w:val="22"/>
        </w:rPr>
      </w:pPr>
    </w:p>
    <w:p w:rsidR="00B04091" w:rsidRPr="00A953DF" w:rsidRDefault="00B04091" w:rsidP="00003EA8">
      <w:pPr>
        <w:pStyle w:val="ListParagraph"/>
        <w:numPr>
          <w:ilvl w:val="1"/>
          <w:numId w:val="25"/>
        </w:numPr>
        <w:jc w:val="both"/>
        <w:rPr>
          <w:rFonts w:ascii="Arial" w:hAnsi="Arial"/>
          <w:sz w:val="22"/>
          <w:szCs w:val="22"/>
        </w:rPr>
      </w:pPr>
      <w:r w:rsidRPr="00A953DF">
        <w:rPr>
          <w:rFonts w:ascii="Arial" w:hAnsi="Arial"/>
          <w:sz w:val="22"/>
          <w:szCs w:val="22"/>
        </w:rPr>
        <w:t xml:space="preserve">At its March 2011 meeting, the PBAC recommended a change to the circumstances under which </w:t>
      </w:r>
      <w:r w:rsidR="00B819BA" w:rsidRPr="00A953DF">
        <w:rPr>
          <w:rFonts w:ascii="Arial" w:hAnsi="Arial"/>
          <w:i/>
          <w:sz w:val="22"/>
          <w:szCs w:val="22"/>
        </w:rPr>
        <w:t>nab-</w:t>
      </w:r>
      <w:r w:rsidR="00B819BA" w:rsidRPr="00A953DF">
        <w:rPr>
          <w:rFonts w:ascii="Arial" w:hAnsi="Arial"/>
          <w:sz w:val="22"/>
          <w:szCs w:val="22"/>
        </w:rPr>
        <w:t>paclitaxel</w:t>
      </w:r>
      <w:r w:rsidRPr="00A953DF">
        <w:rPr>
          <w:rFonts w:ascii="Arial" w:hAnsi="Arial"/>
          <w:sz w:val="22"/>
          <w:szCs w:val="22"/>
        </w:rPr>
        <w:t xml:space="preserve"> was made available, and the restriction was amended and extended to include the treatment of HER-2 positive breast cancer in combination with </w:t>
      </w:r>
      <w:proofErr w:type="spellStart"/>
      <w:r w:rsidRPr="00A953DF">
        <w:rPr>
          <w:rFonts w:ascii="Arial" w:hAnsi="Arial"/>
          <w:sz w:val="22"/>
          <w:szCs w:val="22"/>
        </w:rPr>
        <w:t>trastuzumab</w:t>
      </w:r>
      <w:proofErr w:type="spellEnd"/>
      <w:r w:rsidRPr="00A953DF">
        <w:rPr>
          <w:rFonts w:ascii="Arial" w:hAnsi="Arial"/>
          <w:sz w:val="22"/>
          <w:szCs w:val="22"/>
        </w:rPr>
        <w:t>.</w:t>
      </w:r>
    </w:p>
    <w:p w:rsidR="006A12A5" w:rsidRPr="00A953DF" w:rsidRDefault="006A12A5" w:rsidP="00003EA8">
      <w:pPr>
        <w:jc w:val="both"/>
        <w:rPr>
          <w:rFonts w:ascii="Arial" w:hAnsi="Arial"/>
          <w:sz w:val="22"/>
          <w:szCs w:val="22"/>
        </w:rPr>
      </w:pPr>
    </w:p>
    <w:p w:rsidR="0009074A" w:rsidRPr="00A953DF" w:rsidRDefault="00C2089A" w:rsidP="00882085">
      <w:pPr>
        <w:pStyle w:val="ListParagraph"/>
        <w:numPr>
          <w:ilvl w:val="1"/>
          <w:numId w:val="25"/>
        </w:numPr>
        <w:jc w:val="both"/>
        <w:rPr>
          <w:rFonts w:ascii="Arial" w:hAnsi="Arial"/>
          <w:sz w:val="22"/>
          <w:szCs w:val="22"/>
        </w:rPr>
      </w:pPr>
      <w:r w:rsidRPr="00A953DF">
        <w:rPr>
          <w:rFonts w:ascii="Arial" w:hAnsi="Arial"/>
          <w:sz w:val="22"/>
          <w:szCs w:val="22"/>
        </w:rPr>
        <w:t xml:space="preserve">In the previous major re-submission for </w:t>
      </w:r>
      <w:proofErr w:type="spellStart"/>
      <w:r w:rsidRPr="00A953DF">
        <w:rPr>
          <w:rFonts w:ascii="Arial" w:hAnsi="Arial"/>
          <w:sz w:val="22"/>
          <w:szCs w:val="22"/>
        </w:rPr>
        <w:t>pertuzumab</w:t>
      </w:r>
      <w:proofErr w:type="spellEnd"/>
      <w:r w:rsidRPr="00A953DF">
        <w:rPr>
          <w:rFonts w:ascii="Arial" w:hAnsi="Arial"/>
          <w:sz w:val="22"/>
          <w:szCs w:val="22"/>
        </w:rPr>
        <w:t xml:space="preserve">, </w:t>
      </w:r>
      <w:proofErr w:type="spellStart"/>
      <w:r w:rsidRPr="00A953DF">
        <w:rPr>
          <w:rFonts w:ascii="Arial" w:hAnsi="Arial"/>
          <w:sz w:val="22"/>
          <w:szCs w:val="22"/>
        </w:rPr>
        <w:t>trastuzumab</w:t>
      </w:r>
      <w:proofErr w:type="spellEnd"/>
      <w:r w:rsidRPr="00A953DF">
        <w:rPr>
          <w:rFonts w:ascii="Arial" w:hAnsi="Arial"/>
          <w:sz w:val="22"/>
          <w:szCs w:val="22"/>
        </w:rPr>
        <w:t xml:space="preserve"> and </w:t>
      </w:r>
      <w:proofErr w:type="spellStart"/>
      <w:r w:rsidRPr="00A953DF">
        <w:rPr>
          <w:rFonts w:ascii="Arial" w:hAnsi="Arial"/>
          <w:sz w:val="22"/>
          <w:szCs w:val="22"/>
        </w:rPr>
        <w:t>trastuzumab</w:t>
      </w:r>
      <w:proofErr w:type="spellEnd"/>
      <w:r w:rsidRPr="00A953DF">
        <w:rPr>
          <w:rFonts w:ascii="Arial" w:hAnsi="Arial"/>
          <w:sz w:val="22"/>
          <w:szCs w:val="22"/>
        </w:rPr>
        <w:t xml:space="preserve"> </w:t>
      </w:r>
      <w:proofErr w:type="spellStart"/>
      <w:r w:rsidRPr="00A953DF">
        <w:rPr>
          <w:rFonts w:ascii="Arial" w:hAnsi="Arial"/>
          <w:sz w:val="22"/>
          <w:szCs w:val="22"/>
        </w:rPr>
        <w:t>emtansine</w:t>
      </w:r>
      <w:proofErr w:type="spellEnd"/>
      <w:r w:rsidRPr="00A953DF">
        <w:rPr>
          <w:rFonts w:ascii="Arial" w:hAnsi="Arial"/>
          <w:sz w:val="22"/>
          <w:szCs w:val="22"/>
        </w:rPr>
        <w:t xml:space="preserve"> considered by PBAC in November 2014</w:t>
      </w:r>
      <w:r w:rsidR="00693A46" w:rsidRPr="00A953DF">
        <w:rPr>
          <w:rFonts w:ascii="Arial" w:hAnsi="Arial"/>
          <w:sz w:val="22"/>
          <w:szCs w:val="22"/>
        </w:rPr>
        <w:t xml:space="preserve">, the PBAC recommended the listing of </w:t>
      </w:r>
      <w:proofErr w:type="spellStart"/>
      <w:r w:rsidR="00693A46" w:rsidRPr="00A953DF">
        <w:rPr>
          <w:rFonts w:ascii="Arial" w:hAnsi="Arial"/>
          <w:sz w:val="22"/>
          <w:szCs w:val="22"/>
        </w:rPr>
        <w:t>pertuzumab</w:t>
      </w:r>
      <w:proofErr w:type="spellEnd"/>
      <w:r w:rsidR="00693A46" w:rsidRPr="00A953DF">
        <w:rPr>
          <w:rFonts w:ascii="Arial" w:hAnsi="Arial"/>
          <w:sz w:val="22"/>
          <w:szCs w:val="22"/>
        </w:rPr>
        <w:t xml:space="preserve"> for the treatment of HER-2 positive metastatic breast cancer in combination with </w:t>
      </w:r>
      <w:proofErr w:type="spellStart"/>
      <w:r w:rsidR="00693A46" w:rsidRPr="00A953DF">
        <w:rPr>
          <w:rFonts w:ascii="Arial" w:hAnsi="Arial"/>
          <w:sz w:val="22"/>
          <w:szCs w:val="22"/>
        </w:rPr>
        <w:t>trastuzumab</w:t>
      </w:r>
      <w:proofErr w:type="spellEnd"/>
      <w:r w:rsidR="00693A46" w:rsidRPr="00A953DF">
        <w:rPr>
          <w:rFonts w:ascii="Arial" w:hAnsi="Arial"/>
          <w:sz w:val="22"/>
          <w:szCs w:val="22"/>
        </w:rPr>
        <w:t xml:space="preserve"> and a </w:t>
      </w:r>
      <w:proofErr w:type="spellStart"/>
      <w:r w:rsidR="00693A46" w:rsidRPr="00A953DF">
        <w:rPr>
          <w:rFonts w:ascii="Arial" w:hAnsi="Arial"/>
          <w:sz w:val="22"/>
          <w:szCs w:val="22"/>
        </w:rPr>
        <w:t>taxane</w:t>
      </w:r>
      <w:proofErr w:type="spellEnd"/>
      <w:r w:rsidR="00693A46" w:rsidRPr="00A953DF">
        <w:rPr>
          <w:rFonts w:ascii="Arial" w:hAnsi="Arial"/>
          <w:sz w:val="22"/>
          <w:szCs w:val="22"/>
        </w:rPr>
        <w:t xml:space="preserve">, in the first line setting. </w:t>
      </w:r>
      <w:r w:rsidRPr="00A953DF">
        <w:rPr>
          <w:rFonts w:ascii="Arial" w:hAnsi="Arial"/>
          <w:sz w:val="22"/>
          <w:szCs w:val="22"/>
        </w:rPr>
        <w:t xml:space="preserve">The PBAC noted in the economic model that the ICER </w:t>
      </w:r>
      <w:r w:rsidR="0009074A" w:rsidRPr="00A953DF">
        <w:rPr>
          <w:rFonts w:ascii="Arial" w:hAnsi="Arial"/>
          <w:sz w:val="22"/>
          <w:szCs w:val="22"/>
        </w:rPr>
        <w:t>varied between $</w:t>
      </w:r>
      <w:r w:rsidR="0009074A" w:rsidRPr="001B0145">
        <w:rPr>
          <w:rFonts w:ascii="Arial" w:hAnsi="Arial"/>
          <w:sz w:val="22"/>
          <w:szCs w:val="22"/>
        </w:rPr>
        <w:t>45,000</w:t>
      </w:r>
      <w:r w:rsidR="00B819BA" w:rsidRPr="00A953DF">
        <w:rPr>
          <w:rFonts w:ascii="Arial" w:hAnsi="Arial"/>
          <w:sz w:val="22"/>
          <w:szCs w:val="22"/>
        </w:rPr>
        <w:t>/QALY</w:t>
      </w:r>
      <w:r w:rsidR="0009074A" w:rsidRPr="00A953DF">
        <w:rPr>
          <w:rFonts w:ascii="Arial" w:hAnsi="Arial"/>
          <w:sz w:val="22"/>
          <w:szCs w:val="22"/>
        </w:rPr>
        <w:t xml:space="preserve"> - $</w:t>
      </w:r>
      <w:r w:rsidR="0009074A" w:rsidRPr="001B0145">
        <w:rPr>
          <w:rFonts w:ascii="Arial" w:hAnsi="Arial"/>
          <w:sz w:val="22"/>
          <w:szCs w:val="22"/>
        </w:rPr>
        <w:t>75,000</w:t>
      </w:r>
      <w:r w:rsidR="0009074A" w:rsidRPr="00A953DF">
        <w:rPr>
          <w:rFonts w:ascii="Arial" w:hAnsi="Arial"/>
          <w:sz w:val="22"/>
          <w:szCs w:val="22"/>
        </w:rPr>
        <w:t xml:space="preserve">/QALY (final analysis of data from CLEOPATRA and modifying to a broad </w:t>
      </w:r>
      <w:proofErr w:type="spellStart"/>
      <w:r w:rsidR="0009074A" w:rsidRPr="00A953DF">
        <w:rPr>
          <w:rFonts w:ascii="Arial" w:hAnsi="Arial"/>
          <w:sz w:val="22"/>
          <w:szCs w:val="22"/>
        </w:rPr>
        <w:t>taxane</w:t>
      </w:r>
      <w:proofErr w:type="spellEnd"/>
      <w:r w:rsidR="0009074A" w:rsidRPr="00A953DF">
        <w:rPr>
          <w:rFonts w:ascii="Arial" w:hAnsi="Arial"/>
          <w:sz w:val="22"/>
          <w:szCs w:val="22"/>
        </w:rPr>
        <w:t xml:space="preserve"> restriction). The PBAC noted that the latter ICER included 22.14% use of </w:t>
      </w:r>
      <w:r w:rsidR="0009074A" w:rsidRPr="00A953DF">
        <w:rPr>
          <w:rFonts w:ascii="Arial" w:hAnsi="Arial"/>
          <w:i/>
          <w:sz w:val="22"/>
          <w:szCs w:val="22"/>
        </w:rPr>
        <w:t>nab</w:t>
      </w:r>
      <w:r w:rsidR="0009074A" w:rsidRPr="00A953DF">
        <w:rPr>
          <w:rFonts w:ascii="Arial" w:hAnsi="Arial"/>
          <w:sz w:val="22"/>
          <w:szCs w:val="22"/>
        </w:rPr>
        <w:t>-paclitaxel, but rejected this because the i</w:t>
      </w:r>
      <w:r w:rsidR="000013A5" w:rsidRPr="00A953DF">
        <w:rPr>
          <w:rFonts w:ascii="Arial" w:hAnsi="Arial"/>
          <w:sz w:val="22"/>
          <w:szCs w:val="22"/>
        </w:rPr>
        <w:t xml:space="preserve">ncreased cost of </w:t>
      </w:r>
      <w:r w:rsidR="00B819BA" w:rsidRPr="00A953DF">
        <w:rPr>
          <w:rFonts w:ascii="Arial" w:hAnsi="Arial"/>
          <w:i/>
          <w:sz w:val="22"/>
          <w:szCs w:val="22"/>
        </w:rPr>
        <w:t>nab-</w:t>
      </w:r>
      <w:r w:rsidR="00B819BA" w:rsidRPr="00A953DF">
        <w:rPr>
          <w:rFonts w:ascii="Arial" w:hAnsi="Arial"/>
          <w:sz w:val="22"/>
          <w:szCs w:val="22"/>
        </w:rPr>
        <w:t>paclitaxel</w:t>
      </w:r>
      <w:r w:rsidR="000013A5" w:rsidRPr="00A953DF">
        <w:rPr>
          <w:rFonts w:ascii="Arial" w:hAnsi="Arial"/>
          <w:sz w:val="22"/>
          <w:szCs w:val="22"/>
        </w:rPr>
        <w:t>,</w:t>
      </w:r>
      <w:r w:rsidR="0009074A" w:rsidRPr="00A953DF">
        <w:rPr>
          <w:rFonts w:ascii="Arial" w:hAnsi="Arial"/>
          <w:sz w:val="22"/>
          <w:szCs w:val="22"/>
        </w:rPr>
        <w:t xml:space="preserve"> at more than 30 times the cost of </w:t>
      </w:r>
      <w:r w:rsidR="00F6220E" w:rsidRPr="00A953DF">
        <w:rPr>
          <w:rFonts w:ascii="Arial" w:hAnsi="Arial"/>
          <w:sz w:val="22"/>
          <w:szCs w:val="22"/>
        </w:rPr>
        <w:t xml:space="preserve">solvent-based </w:t>
      </w:r>
      <w:r w:rsidR="0009074A" w:rsidRPr="00A953DF">
        <w:rPr>
          <w:rFonts w:ascii="Arial" w:hAnsi="Arial"/>
          <w:sz w:val="22"/>
          <w:szCs w:val="22"/>
        </w:rPr>
        <w:t xml:space="preserve">paclitaxel, which had price reductions due to PBS reforms means that </w:t>
      </w:r>
      <w:r w:rsidR="00B819BA" w:rsidRPr="00A953DF">
        <w:rPr>
          <w:rFonts w:ascii="Arial" w:hAnsi="Arial"/>
          <w:i/>
          <w:sz w:val="22"/>
          <w:szCs w:val="22"/>
        </w:rPr>
        <w:t>nab-</w:t>
      </w:r>
      <w:r w:rsidR="00B819BA" w:rsidRPr="00A953DF">
        <w:rPr>
          <w:rFonts w:ascii="Arial" w:hAnsi="Arial"/>
          <w:sz w:val="22"/>
          <w:szCs w:val="22"/>
        </w:rPr>
        <w:t>paclitaxel</w:t>
      </w:r>
      <w:r w:rsidR="0009074A" w:rsidRPr="00A953DF">
        <w:rPr>
          <w:rFonts w:ascii="Arial" w:hAnsi="Arial"/>
          <w:sz w:val="22"/>
          <w:szCs w:val="22"/>
        </w:rPr>
        <w:t xml:space="preserve"> should be excluded from use with </w:t>
      </w:r>
      <w:proofErr w:type="spellStart"/>
      <w:r w:rsidR="0009074A" w:rsidRPr="00A953DF">
        <w:rPr>
          <w:rFonts w:ascii="Arial" w:hAnsi="Arial"/>
          <w:sz w:val="22"/>
          <w:szCs w:val="22"/>
        </w:rPr>
        <w:t>pertuzumab</w:t>
      </w:r>
      <w:proofErr w:type="spellEnd"/>
      <w:r w:rsidR="0009074A" w:rsidRPr="00A953DF">
        <w:rPr>
          <w:rFonts w:ascii="Arial" w:hAnsi="Arial"/>
          <w:sz w:val="22"/>
          <w:szCs w:val="22"/>
        </w:rPr>
        <w:t xml:space="preserve"> + </w:t>
      </w:r>
      <w:proofErr w:type="spellStart"/>
      <w:r w:rsidR="0009074A" w:rsidRPr="00A953DF">
        <w:rPr>
          <w:rFonts w:ascii="Arial" w:hAnsi="Arial"/>
          <w:sz w:val="22"/>
          <w:szCs w:val="22"/>
        </w:rPr>
        <w:t>trastuzumab</w:t>
      </w:r>
      <w:proofErr w:type="spellEnd"/>
      <w:r w:rsidR="0009074A" w:rsidRPr="00A953DF">
        <w:rPr>
          <w:rFonts w:ascii="Arial" w:hAnsi="Arial"/>
          <w:sz w:val="22"/>
          <w:szCs w:val="22"/>
        </w:rPr>
        <w:t xml:space="preserve"> by the </w:t>
      </w:r>
      <w:proofErr w:type="spellStart"/>
      <w:r w:rsidR="0009074A" w:rsidRPr="00A953DF">
        <w:rPr>
          <w:rFonts w:ascii="Arial" w:hAnsi="Arial"/>
          <w:sz w:val="22"/>
          <w:szCs w:val="22"/>
        </w:rPr>
        <w:t>pertuzumab</w:t>
      </w:r>
      <w:proofErr w:type="spellEnd"/>
      <w:r w:rsidR="0009074A" w:rsidRPr="00A953DF">
        <w:rPr>
          <w:rFonts w:ascii="Arial" w:hAnsi="Arial"/>
          <w:sz w:val="22"/>
          <w:szCs w:val="22"/>
        </w:rPr>
        <w:t xml:space="preserve"> restriction (Public Summary Document – November 2014 PBAC meeting items 7.5 &amp; 7.8).</w:t>
      </w:r>
    </w:p>
    <w:p w:rsidR="0009074A" w:rsidRPr="00A953DF" w:rsidRDefault="0009074A" w:rsidP="0009074A">
      <w:pPr>
        <w:jc w:val="both"/>
        <w:rPr>
          <w:rFonts w:ascii="Arial" w:hAnsi="Arial"/>
          <w:sz w:val="22"/>
          <w:szCs w:val="22"/>
        </w:rPr>
      </w:pPr>
    </w:p>
    <w:p w:rsidR="00BB7EC3" w:rsidRPr="00A953DF" w:rsidRDefault="00693A46" w:rsidP="00882085">
      <w:pPr>
        <w:pStyle w:val="ListParagraph"/>
        <w:numPr>
          <w:ilvl w:val="1"/>
          <w:numId w:val="25"/>
        </w:numPr>
        <w:jc w:val="both"/>
        <w:rPr>
          <w:rFonts w:ascii="Arial" w:hAnsi="Arial"/>
          <w:sz w:val="22"/>
          <w:szCs w:val="22"/>
        </w:rPr>
      </w:pPr>
      <w:r w:rsidRPr="00A953DF">
        <w:rPr>
          <w:rFonts w:ascii="Arial" w:hAnsi="Arial"/>
          <w:sz w:val="22"/>
          <w:szCs w:val="22"/>
        </w:rPr>
        <w:t>The PBAC recommended that “</w:t>
      </w:r>
      <w:r w:rsidR="00B819BA" w:rsidRPr="00A953DF">
        <w:rPr>
          <w:rFonts w:ascii="Arial" w:hAnsi="Arial"/>
          <w:i/>
          <w:sz w:val="22"/>
          <w:szCs w:val="22"/>
        </w:rPr>
        <w:t>nab-</w:t>
      </w:r>
      <w:r w:rsidR="00B819BA" w:rsidRPr="00A953DF">
        <w:rPr>
          <w:rFonts w:ascii="Arial" w:hAnsi="Arial"/>
          <w:sz w:val="22"/>
          <w:szCs w:val="22"/>
        </w:rPr>
        <w:t xml:space="preserve">paclitaxel </w:t>
      </w:r>
      <w:r w:rsidRPr="00A953DF">
        <w:rPr>
          <w:rFonts w:ascii="Arial" w:hAnsi="Arial"/>
          <w:sz w:val="22"/>
          <w:szCs w:val="22"/>
        </w:rPr>
        <w:t xml:space="preserve">should be excluded from use with </w:t>
      </w:r>
      <w:proofErr w:type="spellStart"/>
      <w:r w:rsidRPr="00A953DF">
        <w:rPr>
          <w:rFonts w:ascii="Arial" w:hAnsi="Arial"/>
          <w:sz w:val="22"/>
          <w:szCs w:val="22"/>
        </w:rPr>
        <w:t>pertuzumab</w:t>
      </w:r>
      <w:proofErr w:type="spellEnd"/>
      <w:r w:rsidRPr="00A953DF">
        <w:rPr>
          <w:rFonts w:ascii="Arial" w:hAnsi="Arial"/>
          <w:sz w:val="22"/>
          <w:szCs w:val="22"/>
        </w:rPr>
        <w:t xml:space="preserve"> + </w:t>
      </w:r>
      <w:proofErr w:type="spellStart"/>
      <w:r w:rsidRPr="00A953DF">
        <w:rPr>
          <w:rFonts w:ascii="Arial" w:hAnsi="Arial"/>
          <w:sz w:val="22"/>
          <w:szCs w:val="22"/>
        </w:rPr>
        <w:t>trastuzumab</w:t>
      </w:r>
      <w:proofErr w:type="spellEnd"/>
      <w:r w:rsidRPr="00A953DF">
        <w:rPr>
          <w:rFonts w:ascii="Arial" w:hAnsi="Arial"/>
          <w:sz w:val="22"/>
          <w:szCs w:val="22"/>
        </w:rPr>
        <w:t xml:space="preserve"> by the </w:t>
      </w:r>
      <w:proofErr w:type="spellStart"/>
      <w:r w:rsidRPr="00A953DF">
        <w:rPr>
          <w:rFonts w:ascii="Arial" w:hAnsi="Arial"/>
          <w:sz w:val="22"/>
          <w:szCs w:val="22"/>
        </w:rPr>
        <w:t>pertuzumab</w:t>
      </w:r>
      <w:proofErr w:type="spellEnd"/>
      <w:r w:rsidRPr="00A953DF">
        <w:rPr>
          <w:rFonts w:ascii="Arial" w:hAnsi="Arial"/>
          <w:sz w:val="22"/>
          <w:szCs w:val="22"/>
        </w:rPr>
        <w:t xml:space="preserve"> restriction”. Further, the PBAC “noted that the restrictions should reflect current evidence and legitimise clinical practice by allowing use of </w:t>
      </w:r>
      <w:proofErr w:type="spellStart"/>
      <w:r w:rsidRPr="00A953DF">
        <w:rPr>
          <w:rFonts w:ascii="Arial" w:hAnsi="Arial"/>
          <w:sz w:val="22"/>
          <w:szCs w:val="22"/>
        </w:rPr>
        <w:t>trastuzumab</w:t>
      </w:r>
      <w:proofErr w:type="spellEnd"/>
      <w:r w:rsidRPr="00A953DF">
        <w:rPr>
          <w:rFonts w:ascii="Arial" w:hAnsi="Arial"/>
          <w:sz w:val="22"/>
          <w:szCs w:val="22"/>
        </w:rPr>
        <w:t xml:space="preserve"> beyond progression and a range of partner chemotherapy options, with the exception of </w:t>
      </w:r>
      <w:r w:rsidRPr="00A953DF">
        <w:rPr>
          <w:rFonts w:ascii="Arial" w:hAnsi="Arial"/>
          <w:i/>
          <w:sz w:val="22"/>
          <w:szCs w:val="22"/>
        </w:rPr>
        <w:t>nab</w:t>
      </w:r>
      <w:r w:rsidRPr="00A953DF">
        <w:rPr>
          <w:rFonts w:ascii="Arial" w:hAnsi="Arial"/>
          <w:sz w:val="22"/>
          <w:szCs w:val="22"/>
        </w:rPr>
        <w:t>-paclitaxel</w:t>
      </w:r>
      <w:r w:rsidR="006A60C2" w:rsidRPr="00A953DF">
        <w:rPr>
          <w:rFonts w:ascii="Arial" w:hAnsi="Arial"/>
          <w:sz w:val="22"/>
          <w:szCs w:val="22"/>
        </w:rPr>
        <w:t xml:space="preserve">” </w:t>
      </w:r>
      <w:r w:rsidR="006D5098" w:rsidRPr="00A953DF">
        <w:rPr>
          <w:rFonts w:ascii="Arial" w:hAnsi="Arial"/>
          <w:sz w:val="22"/>
          <w:szCs w:val="22"/>
        </w:rPr>
        <w:t>(</w:t>
      </w:r>
      <w:r w:rsidR="006A60C2" w:rsidRPr="00A953DF">
        <w:rPr>
          <w:rFonts w:ascii="Arial" w:hAnsi="Arial"/>
          <w:sz w:val="22"/>
          <w:szCs w:val="22"/>
        </w:rPr>
        <w:t>P</w:t>
      </w:r>
      <w:r w:rsidR="00B819BA" w:rsidRPr="00A953DF">
        <w:rPr>
          <w:rFonts w:ascii="Arial" w:hAnsi="Arial"/>
          <w:sz w:val="22"/>
          <w:szCs w:val="22"/>
        </w:rPr>
        <w:t xml:space="preserve">ublic </w:t>
      </w:r>
      <w:r w:rsidR="006A60C2" w:rsidRPr="00A953DF">
        <w:rPr>
          <w:rFonts w:ascii="Arial" w:hAnsi="Arial"/>
          <w:sz w:val="22"/>
          <w:szCs w:val="22"/>
        </w:rPr>
        <w:t>S</w:t>
      </w:r>
      <w:r w:rsidR="00B819BA" w:rsidRPr="00A953DF">
        <w:rPr>
          <w:rFonts w:ascii="Arial" w:hAnsi="Arial"/>
          <w:sz w:val="22"/>
          <w:szCs w:val="22"/>
        </w:rPr>
        <w:t xml:space="preserve">ummary </w:t>
      </w:r>
      <w:r w:rsidR="006A60C2" w:rsidRPr="00A953DF">
        <w:rPr>
          <w:rFonts w:ascii="Arial" w:hAnsi="Arial"/>
          <w:sz w:val="22"/>
          <w:szCs w:val="22"/>
        </w:rPr>
        <w:t>D</w:t>
      </w:r>
      <w:r w:rsidR="00B819BA" w:rsidRPr="00A953DF">
        <w:rPr>
          <w:rFonts w:ascii="Arial" w:hAnsi="Arial"/>
          <w:sz w:val="22"/>
          <w:szCs w:val="22"/>
        </w:rPr>
        <w:t>ocument</w:t>
      </w:r>
      <w:r w:rsidR="006D5098" w:rsidRPr="00A953DF">
        <w:rPr>
          <w:rFonts w:ascii="Arial" w:hAnsi="Arial"/>
          <w:sz w:val="22"/>
          <w:szCs w:val="22"/>
        </w:rPr>
        <w:t xml:space="preserve"> –</w:t>
      </w:r>
      <w:r w:rsidR="006A60C2" w:rsidRPr="00A953DF">
        <w:rPr>
          <w:rFonts w:ascii="Arial" w:hAnsi="Arial"/>
          <w:sz w:val="22"/>
          <w:szCs w:val="22"/>
        </w:rPr>
        <w:t xml:space="preserve"> November</w:t>
      </w:r>
      <w:r w:rsidR="006D5098" w:rsidRPr="00A953DF">
        <w:rPr>
          <w:rFonts w:ascii="Arial" w:hAnsi="Arial"/>
          <w:sz w:val="22"/>
          <w:szCs w:val="22"/>
        </w:rPr>
        <w:t xml:space="preserve"> </w:t>
      </w:r>
      <w:r w:rsidR="006A60C2" w:rsidRPr="00A953DF">
        <w:rPr>
          <w:rFonts w:ascii="Arial" w:hAnsi="Arial"/>
          <w:sz w:val="22"/>
          <w:szCs w:val="22"/>
        </w:rPr>
        <w:t>2014 PBAC mee</w:t>
      </w:r>
      <w:r w:rsidR="006D5098" w:rsidRPr="00A953DF">
        <w:rPr>
          <w:rFonts w:ascii="Arial" w:hAnsi="Arial"/>
          <w:sz w:val="22"/>
          <w:szCs w:val="22"/>
        </w:rPr>
        <w:t>ting items 7.5 &amp; 7.8).</w:t>
      </w:r>
    </w:p>
    <w:p w:rsidR="001C7572" w:rsidRPr="00A953DF" w:rsidRDefault="001C7572" w:rsidP="00C2089A">
      <w:pPr>
        <w:jc w:val="both"/>
        <w:rPr>
          <w:rFonts w:ascii="Arial" w:hAnsi="Arial"/>
          <w:i/>
          <w:sz w:val="22"/>
          <w:szCs w:val="22"/>
        </w:rPr>
      </w:pPr>
    </w:p>
    <w:p w:rsidR="00C2089A" w:rsidRPr="00A953DF" w:rsidRDefault="001C7572" w:rsidP="001C7572">
      <w:pPr>
        <w:ind w:firstLine="709"/>
        <w:jc w:val="both"/>
        <w:rPr>
          <w:rFonts w:ascii="Arial" w:hAnsi="Arial"/>
          <w:sz w:val="22"/>
          <w:szCs w:val="22"/>
        </w:rPr>
      </w:pPr>
      <w:r w:rsidRPr="00A953DF">
        <w:rPr>
          <w:rFonts w:ascii="Arial" w:hAnsi="Arial"/>
          <w:i/>
          <w:sz w:val="22"/>
          <w:szCs w:val="22"/>
        </w:rPr>
        <w:t>For more details on PBAC’s view, see section 7 “PBAC outcome”.</w:t>
      </w:r>
    </w:p>
    <w:p w:rsidR="008A1956" w:rsidRPr="00A953DF" w:rsidRDefault="008A1956" w:rsidP="00882085">
      <w:pPr>
        <w:jc w:val="both"/>
        <w:rPr>
          <w:rFonts w:ascii="Arial" w:hAnsi="Arial"/>
          <w:sz w:val="22"/>
          <w:szCs w:val="22"/>
        </w:rPr>
      </w:pPr>
    </w:p>
    <w:p w:rsidR="001C7572" w:rsidRPr="00A953DF" w:rsidRDefault="001C7572" w:rsidP="00882085">
      <w:pPr>
        <w:jc w:val="both"/>
        <w:rPr>
          <w:rFonts w:ascii="Arial" w:hAnsi="Arial"/>
          <w:sz w:val="22"/>
          <w:szCs w:val="22"/>
        </w:rPr>
      </w:pPr>
    </w:p>
    <w:p w:rsidR="00CE10C4" w:rsidRPr="00A953DF" w:rsidRDefault="00CE10C4" w:rsidP="009659F7">
      <w:pPr>
        <w:pStyle w:val="Heading1"/>
      </w:pPr>
      <w:r w:rsidRPr="00A953DF">
        <w:t>Clinical place for the proposed ther</w:t>
      </w:r>
      <w:r w:rsidR="006A12A5" w:rsidRPr="00A953DF">
        <w:t>apy</w:t>
      </w:r>
    </w:p>
    <w:p w:rsidR="00CE10C4" w:rsidRPr="00A953DF" w:rsidRDefault="00CE10C4" w:rsidP="00882085">
      <w:pPr>
        <w:jc w:val="both"/>
        <w:rPr>
          <w:rFonts w:ascii="Arial" w:hAnsi="Arial"/>
          <w:sz w:val="22"/>
          <w:szCs w:val="22"/>
        </w:rPr>
      </w:pPr>
    </w:p>
    <w:p w:rsidR="006A12A5" w:rsidRPr="00A953DF" w:rsidRDefault="007C6409" w:rsidP="00003EA8">
      <w:pPr>
        <w:pStyle w:val="ListParagraph"/>
        <w:numPr>
          <w:ilvl w:val="1"/>
          <w:numId w:val="25"/>
        </w:numPr>
        <w:jc w:val="both"/>
        <w:rPr>
          <w:rFonts w:ascii="Arial" w:hAnsi="Arial"/>
          <w:sz w:val="22"/>
          <w:szCs w:val="22"/>
        </w:rPr>
      </w:pPr>
      <w:r w:rsidRPr="00A953DF">
        <w:rPr>
          <w:rFonts w:ascii="Arial" w:hAnsi="Arial"/>
          <w:sz w:val="22"/>
          <w:szCs w:val="22"/>
        </w:rPr>
        <w:t xml:space="preserve">The submission requested inclusion of </w:t>
      </w:r>
      <w:r w:rsidR="006E0AD8" w:rsidRPr="00A953DF">
        <w:rPr>
          <w:rFonts w:ascii="Arial" w:hAnsi="Arial"/>
          <w:i/>
          <w:sz w:val="22"/>
          <w:szCs w:val="22"/>
        </w:rPr>
        <w:t>nab-</w:t>
      </w:r>
      <w:r w:rsidR="006E0AD8" w:rsidRPr="00A953DF">
        <w:rPr>
          <w:rFonts w:ascii="Arial" w:hAnsi="Arial"/>
          <w:sz w:val="22"/>
          <w:szCs w:val="22"/>
        </w:rPr>
        <w:t>paclitaxel</w:t>
      </w:r>
      <w:r w:rsidRPr="00A953DF">
        <w:rPr>
          <w:rFonts w:ascii="Arial" w:hAnsi="Arial"/>
          <w:sz w:val="22"/>
          <w:szCs w:val="22"/>
        </w:rPr>
        <w:t xml:space="preserve"> as a clinical option for later lines of therapy i</w:t>
      </w:r>
      <w:r w:rsidR="00FF1008" w:rsidRPr="00A953DF">
        <w:rPr>
          <w:rFonts w:ascii="Arial" w:hAnsi="Arial"/>
          <w:sz w:val="22"/>
          <w:szCs w:val="22"/>
        </w:rPr>
        <w:t xml:space="preserve">n combination with </w:t>
      </w:r>
      <w:proofErr w:type="spellStart"/>
      <w:r w:rsidR="00FF1008" w:rsidRPr="00A953DF">
        <w:rPr>
          <w:rFonts w:ascii="Arial" w:hAnsi="Arial"/>
          <w:sz w:val="22"/>
          <w:szCs w:val="22"/>
        </w:rPr>
        <w:t>trastuzumab</w:t>
      </w:r>
      <w:proofErr w:type="spellEnd"/>
      <w:r w:rsidR="00FF1008" w:rsidRPr="00A953DF">
        <w:rPr>
          <w:rFonts w:ascii="Arial" w:hAnsi="Arial"/>
          <w:sz w:val="22"/>
          <w:szCs w:val="22"/>
        </w:rPr>
        <w:t>.</w:t>
      </w:r>
    </w:p>
    <w:p w:rsidR="00BB7EC3" w:rsidRPr="00A953DF" w:rsidRDefault="00BB7EC3" w:rsidP="00EB1638">
      <w:pPr>
        <w:pStyle w:val="Header"/>
        <w:tabs>
          <w:tab w:val="clear" w:pos="4153"/>
          <w:tab w:val="clear" w:pos="8306"/>
        </w:tabs>
        <w:spacing w:line="720" w:lineRule="auto"/>
        <w:jc w:val="both"/>
        <w:rPr>
          <w:rFonts w:ascii="Arial" w:hAnsi="Arial"/>
          <w:sz w:val="22"/>
          <w:szCs w:val="22"/>
        </w:rPr>
      </w:pPr>
    </w:p>
    <w:p w:rsidR="008A1956" w:rsidRPr="00A953DF" w:rsidRDefault="008A1956" w:rsidP="00882085">
      <w:pPr>
        <w:pStyle w:val="Header"/>
        <w:tabs>
          <w:tab w:val="clear" w:pos="4153"/>
          <w:tab w:val="clear" w:pos="8306"/>
        </w:tabs>
        <w:jc w:val="both"/>
        <w:rPr>
          <w:rFonts w:ascii="Arial" w:hAnsi="Arial"/>
          <w:sz w:val="22"/>
          <w:szCs w:val="22"/>
        </w:rPr>
      </w:pPr>
    </w:p>
    <w:p w:rsidR="005A3173" w:rsidRPr="00A953DF" w:rsidRDefault="005A3173" w:rsidP="009659F7">
      <w:pPr>
        <w:pStyle w:val="Heading1"/>
      </w:pPr>
      <w:r w:rsidRPr="00A953DF">
        <w:t>Comparator</w:t>
      </w:r>
    </w:p>
    <w:p w:rsidR="005A3173" w:rsidRPr="00A953DF" w:rsidRDefault="005A3173" w:rsidP="00882085">
      <w:pPr>
        <w:pStyle w:val="Header"/>
        <w:tabs>
          <w:tab w:val="clear" w:pos="4153"/>
          <w:tab w:val="clear" w:pos="8306"/>
        </w:tabs>
        <w:jc w:val="both"/>
        <w:rPr>
          <w:rFonts w:ascii="Arial" w:hAnsi="Arial"/>
          <w:sz w:val="22"/>
          <w:szCs w:val="22"/>
        </w:rPr>
      </w:pPr>
    </w:p>
    <w:p w:rsidR="00DF26A7" w:rsidRPr="00A953DF" w:rsidRDefault="003400D9" w:rsidP="0042666F">
      <w:pPr>
        <w:pStyle w:val="ListParagraph"/>
        <w:numPr>
          <w:ilvl w:val="1"/>
          <w:numId w:val="25"/>
        </w:numPr>
        <w:jc w:val="both"/>
        <w:rPr>
          <w:rFonts w:ascii="Arial" w:hAnsi="Arial"/>
          <w:sz w:val="22"/>
          <w:szCs w:val="22"/>
        </w:rPr>
      </w:pPr>
      <w:r w:rsidRPr="00A953DF">
        <w:rPr>
          <w:rFonts w:ascii="Arial" w:hAnsi="Arial"/>
          <w:sz w:val="22"/>
          <w:szCs w:val="22"/>
        </w:rPr>
        <w:t xml:space="preserve">The comparators for the </w:t>
      </w:r>
      <w:r w:rsidR="00FF2801" w:rsidRPr="00A953DF">
        <w:rPr>
          <w:rFonts w:ascii="Arial" w:hAnsi="Arial"/>
          <w:sz w:val="22"/>
          <w:szCs w:val="22"/>
        </w:rPr>
        <w:t>minor submission</w:t>
      </w:r>
      <w:r w:rsidRPr="00A953DF">
        <w:rPr>
          <w:rFonts w:ascii="Arial" w:hAnsi="Arial"/>
          <w:sz w:val="22"/>
          <w:szCs w:val="22"/>
        </w:rPr>
        <w:t xml:space="preserve"> are </w:t>
      </w:r>
      <w:r w:rsidR="007314AA" w:rsidRPr="00A953DF">
        <w:rPr>
          <w:rFonts w:ascii="Arial" w:hAnsi="Arial"/>
          <w:sz w:val="22"/>
          <w:szCs w:val="22"/>
        </w:rPr>
        <w:t xml:space="preserve">solvent-based </w:t>
      </w:r>
      <w:r w:rsidRPr="00A953DF">
        <w:rPr>
          <w:rFonts w:ascii="Arial" w:hAnsi="Arial"/>
          <w:sz w:val="22"/>
          <w:szCs w:val="22"/>
        </w:rPr>
        <w:t xml:space="preserve">paclitaxel and </w:t>
      </w:r>
      <w:proofErr w:type="spellStart"/>
      <w:r w:rsidR="007314AA" w:rsidRPr="00A953DF">
        <w:rPr>
          <w:rFonts w:ascii="Arial" w:hAnsi="Arial"/>
          <w:sz w:val="22"/>
          <w:szCs w:val="22"/>
        </w:rPr>
        <w:t>docetaxel</w:t>
      </w:r>
      <w:proofErr w:type="spellEnd"/>
      <w:r w:rsidR="00476245" w:rsidRPr="00A953DF">
        <w:rPr>
          <w:rFonts w:ascii="Arial" w:hAnsi="Arial"/>
          <w:sz w:val="22"/>
          <w:szCs w:val="22"/>
        </w:rPr>
        <w:t>.</w:t>
      </w:r>
    </w:p>
    <w:p w:rsidR="008A1956" w:rsidRPr="00A953DF" w:rsidRDefault="008A1956" w:rsidP="00476245">
      <w:pPr>
        <w:jc w:val="both"/>
        <w:rPr>
          <w:rFonts w:ascii="Arial" w:hAnsi="Arial"/>
          <w:sz w:val="22"/>
          <w:szCs w:val="22"/>
        </w:rPr>
      </w:pPr>
    </w:p>
    <w:p w:rsidR="00F535D3" w:rsidRDefault="00F535D3" w:rsidP="00476245">
      <w:pPr>
        <w:jc w:val="both"/>
        <w:rPr>
          <w:rFonts w:ascii="Arial" w:hAnsi="Arial"/>
          <w:sz w:val="22"/>
          <w:szCs w:val="22"/>
        </w:rPr>
      </w:pPr>
    </w:p>
    <w:p w:rsidR="000B558D" w:rsidRPr="00A953DF" w:rsidRDefault="008D7A41" w:rsidP="009659F7">
      <w:pPr>
        <w:pStyle w:val="Heading1"/>
      </w:pPr>
      <w:r w:rsidRPr="00A953DF">
        <w:t>C</w:t>
      </w:r>
      <w:r w:rsidR="00D84934" w:rsidRPr="00A953DF">
        <w:t>onsideration of the evidence</w:t>
      </w:r>
    </w:p>
    <w:p w:rsidR="00CD1F92" w:rsidRPr="00A953DF" w:rsidRDefault="00CD1F92" w:rsidP="00CD1F92">
      <w:pPr>
        <w:jc w:val="both"/>
        <w:rPr>
          <w:rFonts w:ascii="Arial" w:hAnsi="Arial"/>
          <w:sz w:val="22"/>
          <w:szCs w:val="22"/>
        </w:rPr>
      </w:pPr>
    </w:p>
    <w:p w:rsidR="00CD1F92" w:rsidRPr="009659F7" w:rsidRDefault="00CD1F92" w:rsidP="009659F7">
      <w:pPr>
        <w:pStyle w:val="Heading2"/>
      </w:pPr>
      <w:r w:rsidRPr="009659F7">
        <w:t>Sponsor hearing</w:t>
      </w:r>
    </w:p>
    <w:p w:rsidR="00CD1F92" w:rsidRPr="00A953DF" w:rsidRDefault="00CD1F92" w:rsidP="00CD1F92">
      <w:pPr>
        <w:jc w:val="both"/>
        <w:rPr>
          <w:rFonts w:ascii="Arial" w:hAnsi="Arial"/>
          <w:sz w:val="22"/>
          <w:szCs w:val="22"/>
        </w:rPr>
      </w:pPr>
    </w:p>
    <w:p w:rsidR="00CD1F92" w:rsidRPr="00A953DF" w:rsidRDefault="00CD1F92" w:rsidP="00CD1F92">
      <w:pPr>
        <w:pStyle w:val="ListParagraph"/>
        <w:numPr>
          <w:ilvl w:val="1"/>
          <w:numId w:val="25"/>
        </w:numPr>
        <w:jc w:val="both"/>
        <w:rPr>
          <w:rFonts w:ascii="Arial" w:hAnsi="Arial"/>
          <w:b/>
          <w:sz w:val="22"/>
          <w:szCs w:val="22"/>
        </w:rPr>
      </w:pPr>
      <w:r w:rsidRPr="00A953DF">
        <w:rPr>
          <w:rFonts w:ascii="Arial" w:hAnsi="Arial" w:cs="Arial"/>
          <w:bCs/>
          <w:snapToGrid w:val="0"/>
          <w:sz w:val="22"/>
          <w:szCs w:val="22"/>
        </w:rPr>
        <w:t>There was no hearing for this item as it was a minor submission.</w:t>
      </w:r>
    </w:p>
    <w:p w:rsidR="00CD1F92" w:rsidRPr="00A953DF" w:rsidRDefault="00CD1F92" w:rsidP="00CD1F92">
      <w:pPr>
        <w:jc w:val="both"/>
        <w:rPr>
          <w:rFonts w:ascii="Arial" w:hAnsi="Arial"/>
          <w:sz w:val="22"/>
          <w:szCs w:val="22"/>
        </w:rPr>
      </w:pPr>
    </w:p>
    <w:p w:rsidR="00CD1F92" w:rsidRPr="00A953DF" w:rsidRDefault="00CD1F92" w:rsidP="009659F7">
      <w:pPr>
        <w:pStyle w:val="Heading2"/>
      </w:pPr>
      <w:r w:rsidRPr="00A953DF">
        <w:t>Consumer comments</w:t>
      </w:r>
    </w:p>
    <w:p w:rsidR="00CD1F92" w:rsidRPr="00A953DF" w:rsidRDefault="00CD1F92" w:rsidP="00CD1F92">
      <w:pPr>
        <w:jc w:val="both"/>
        <w:rPr>
          <w:rFonts w:ascii="Arial" w:hAnsi="Arial"/>
          <w:sz w:val="22"/>
          <w:szCs w:val="22"/>
        </w:rPr>
      </w:pPr>
    </w:p>
    <w:p w:rsidR="00CD1F92" w:rsidRPr="00A953DF" w:rsidRDefault="00BB4EDF" w:rsidP="00CD1F92">
      <w:pPr>
        <w:pStyle w:val="ListParagraph"/>
        <w:numPr>
          <w:ilvl w:val="1"/>
          <w:numId w:val="25"/>
        </w:numPr>
        <w:jc w:val="both"/>
        <w:rPr>
          <w:rFonts w:ascii="Arial" w:hAnsi="Arial"/>
          <w:sz w:val="22"/>
          <w:szCs w:val="22"/>
        </w:rPr>
      </w:pPr>
      <w:r w:rsidRPr="00A953DF">
        <w:rPr>
          <w:rFonts w:ascii="Arial" w:hAnsi="Arial" w:cs="Arial"/>
          <w:bCs/>
          <w:snapToGrid w:val="0"/>
          <w:sz w:val="22"/>
          <w:szCs w:val="22"/>
        </w:rPr>
        <w:t>The PBAC noted and welcomed the input from health care professionals (</w:t>
      </w:r>
      <w:r w:rsidR="00494029" w:rsidRPr="00A953DF">
        <w:rPr>
          <w:rFonts w:ascii="Arial" w:hAnsi="Arial" w:cs="Arial"/>
          <w:bCs/>
          <w:snapToGrid w:val="0"/>
          <w:sz w:val="22"/>
          <w:szCs w:val="22"/>
        </w:rPr>
        <w:t>3</w:t>
      </w:r>
      <w:r w:rsidRPr="00A953DF">
        <w:rPr>
          <w:rFonts w:ascii="Arial" w:hAnsi="Arial" w:cs="Arial"/>
          <w:bCs/>
          <w:snapToGrid w:val="0"/>
          <w:sz w:val="22"/>
          <w:szCs w:val="22"/>
        </w:rPr>
        <w:t>) and organisations (</w:t>
      </w:r>
      <w:r w:rsidR="00494029" w:rsidRPr="00A953DF">
        <w:rPr>
          <w:rFonts w:ascii="Arial" w:hAnsi="Arial" w:cs="Arial"/>
          <w:bCs/>
          <w:snapToGrid w:val="0"/>
          <w:sz w:val="22"/>
          <w:szCs w:val="22"/>
        </w:rPr>
        <w:t>2</w:t>
      </w:r>
      <w:r w:rsidRPr="00A953DF">
        <w:rPr>
          <w:rFonts w:ascii="Arial" w:hAnsi="Arial" w:cs="Arial"/>
          <w:bCs/>
          <w:snapToGrid w:val="0"/>
          <w:sz w:val="22"/>
          <w:szCs w:val="22"/>
        </w:rPr>
        <w:t xml:space="preserve">) via the Consumer Comments facility on the PBS website. The comments described a range of benefits of treatment with </w:t>
      </w:r>
      <w:r w:rsidR="0060388F" w:rsidRPr="00A953DF">
        <w:rPr>
          <w:rFonts w:ascii="Arial" w:hAnsi="Arial" w:cs="Arial"/>
          <w:bCs/>
          <w:i/>
          <w:snapToGrid w:val="0"/>
          <w:sz w:val="22"/>
          <w:szCs w:val="22"/>
        </w:rPr>
        <w:t>nab-</w:t>
      </w:r>
      <w:r w:rsidR="0060388F" w:rsidRPr="00A953DF">
        <w:rPr>
          <w:rFonts w:ascii="Arial" w:hAnsi="Arial" w:cs="Arial"/>
          <w:bCs/>
          <w:snapToGrid w:val="0"/>
          <w:sz w:val="22"/>
          <w:szCs w:val="22"/>
        </w:rPr>
        <w:t>paclitaxel</w:t>
      </w:r>
      <w:r w:rsidRPr="00A953DF">
        <w:rPr>
          <w:rFonts w:ascii="Arial" w:hAnsi="Arial" w:cs="Arial"/>
          <w:bCs/>
          <w:snapToGrid w:val="0"/>
          <w:sz w:val="22"/>
          <w:szCs w:val="22"/>
        </w:rPr>
        <w:t xml:space="preserve"> including</w:t>
      </w:r>
      <w:r w:rsidR="00BB63AB" w:rsidRPr="00A953DF">
        <w:rPr>
          <w:rFonts w:ascii="Arial" w:hAnsi="Arial" w:cs="Arial"/>
          <w:bCs/>
          <w:snapToGrid w:val="0"/>
          <w:sz w:val="22"/>
          <w:szCs w:val="22"/>
        </w:rPr>
        <w:t xml:space="preserve"> the ease of administration</w:t>
      </w:r>
      <w:r w:rsidR="00FA62B0" w:rsidRPr="00A953DF">
        <w:rPr>
          <w:rFonts w:ascii="Arial" w:hAnsi="Arial" w:cs="Arial"/>
          <w:bCs/>
          <w:snapToGrid w:val="0"/>
          <w:sz w:val="22"/>
          <w:szCs w:val="22"/>
        </w:rPr>
        <w:t xml:space="preserve"> and</w:t>
      </w:r>
      <w:r w:rsidR="00BB63AB" w:rsidRPr="00A953DF">
        <w:rPr>
          <w:rFonts w:ascii="Arial" w:hAnsi="Arial" w:cs="Arial"/>
          <w:bCs/>
          <w:snapToGrid w:val="0"/>
          <w:sz w:val="22"/>
          <w:szCs w:val="22"/>
        </w:rPr>
        <w:t xml:space="preserve"> better tolerability to the currently available alternative</w:t>
      </w:r>
      <w:r w:rsidR="00FA62B0" w:rsidRPr="00A953DF">
        <w:rPr>
          <w:rFonts w:ascii="Arial" w:hAnsi="Arial" w:cs="Arial"/>
          <w:bCs/>
          <w:snapToGrid w:val="0"/>
          <w:sz w:val="22"/>
          <w:szCs w:val="22"/>
        </w:rPr>
        <w:t>s</w:t>
      </w:r>
      <w:r w:rsidR="00BB63AB" w:rsidRPr="00A953DF">
        <w:rPr>
          <w:rFonts w:ascii="Arial" w:hAnsi="Arial" w:cs="Arial"/>
          <w:bCs/>
          <w:snapToGrid w:val="0"/>
          <w:sz w:val="22"/>
          <w:szCs w:val="22"/>
        </w:rPr>
        <w:t>.</w:t>
      </w:r>
    </w:p>
    <w:p w:rsidR="00BB4EDF" w:rsidRPr="00A953DF" w:rsidRDefault="00BB4EDF" w:rsidP="00BB4EDF">
      <w:pPr>
        <w:jc w:val="both"/>
        <w:rPr>
          <w:rFonts w:ascii="Arial" w:hAnsi="Arial"/>
          <w:sz w:val="22"/>
          <w:szCs w:val="22"/>
        </w:rPr>
      </w:pPr>
    </w:p>
    <w:p w:rsidR="00784920" w:rsidRPr="00A953DF" w:rsidRDefault="00BB4EDF" w:rsidP="00BB4EDF">
      <w:pPr>
        <w:widowControl w:val="0"/>
        <w:numPr>
          <w:ilvl w:val="1"/>
          <w:numId w:val="25"/>
        </w:numPr>
        <w:contextualSpacing/>
        <w:jc w:val="both"/>
        <w:rPr>
          <w:rFonts w:ascii="Arial" w:hAnsi="Arial" w:cs="Arial"/>
          <w:bCs/>
          <w:snapToGrid w:val="0"/>
          <w:sz w:val="22"/>
          <w:szCs w:val="22"/>
        </w:rPr>
      </w:pPr>
      <w:r w:rsidRPr="00A953DF">
        <w:rPr>
          <w:rFonts w:ascii="Arial" w:hAnsi="Arial" w:cs="Arial"/>
          <w:bCs/>
          <w:snapToGrid w:val="0"/>
          <w:sz w:val="22"/>
          <w:szCs w:val="22"/>
        </w:rPr>
        <w:t xml:space="preserve">The PBAC noted the advice received from </w:t>
      </w:r>
      <w:r w:rsidR="00E70A5C" w:rsidRPr="00A953DF">
        <w:rPr>
          <w:rFonts w:ascii="Arial" w:hAnsi="Arial" w:cs="Arial"/>
          <w:bCs/>
          <w:snapToGrid w:val="0"/>
          <w:sz w:val="22"/>
          <w:szCs w:val="22"/>
        </w:rPr>
        <w:t xml:space="preserve">Medical Oncology Group of Australia and Breast Cancer Network Australia </w:t>
      </w:r>
      <w:r w:rsidR="00B1092F" w:rsidRPr="00A953DF">
        <w:rPr>
          <w:rFonts w:ascii="Arial" w:hAnsi="Arial" w:cs="Arial"/>
          <w:bCs/>
          <w:snapToGrid w:val="0"/>
          <w:sz w:val="22"/>
          <w:szCs w:val="22"/>
        </w:rPr>
        <w:t>requesting clarification on</w:t>
      </w:r>
      <w:r w:rsidRPr="00A953DF">
        <w:rPr>
          <w:rFonts w:ascii="Arial" w:hAnsi="Arial" w:cs="Arial"/>
          <w:bCs/>
          <w:snapToGrid w:val="0"/>
          <w:sz w:val="22"/>
          <w:szCs w:val="22"/>
        </w:rPr>
        <w:t xml:space="preserve"> the likely use of </w:t>
      </w:r>
      <w:r w:rsidR="00E70A5C" w:rsidRPr="00A953DF">
        <w:rPr>
          <w:rFonts w:ascii="Arial" w:hAnsi="Arial" w:cs="Arial"/>
          <w:bCs/>
          <w:i/>
          <w:snapToGrid w:val="0"/>
          <w:sz w:val="22"/>
          <w:szCs w:val="22"/>
        </w:rPr>
        <w:t>nab</w:t>
      </w:r>
      <w:r w:rsidR="00E70A5C" w:rsidRPr="00A953DF">
        <w:rPr>
          <w:rFonts w:ascii="Arial" w:hAnsi="Arial" w:cs="Arial"/>
          <w:bCs/>
          <w:snapToGrid w:val="0"/>
          <w:sz w:val="22"/>
          <w:szCs w:val="22"/>
        </w:rPr>
        <w:t xml:space="preserve">-paclitaxel </w:t>
      </w:r>
      <w:r w:rsidRPr="00A953DF">
        <w:rPr>
          <w:rFonts w:ascii="Arial" w:hAnsi="Arial" w:cs="Arial"/>
          <w:bCs/>
          <w:snapToGrid w:val="0"/>
          <w:sz w:val="22"/>
          <w:szCs w:val="22"/>
        </w:rPr>
        <w:t>in clinical practice</w:t>
      </w:r>
      <w:r w:rsidR="00962D5E" w:rsidRPr="00A953DF">
        <w:rPr>
          <w:rFonts w:ascii="Arial" w:hAnsi="Arial" w:cs="Arial"/>
          <w:bCs/>
          <w:snapToGrid w:val="0"/>
          <w:sz w:val="22"/>
          <w:szCs w:val="22"/>
        </w:rPr>
        <w:t xml:space="preserve">; and supporting the relisting of </w:t>
      </w:r>
      <w:r w:rsidR="00962D5E" w:rsidRPr="00A953DF">
        <w:rPr>
          <w:rFonts w:ascii="Arial" w:hAnsi="Arial" w:cs="Arial"/>
          <w:bCs/>
          <w:i/>
          <w:snapToGrid w:val="0"/>
          <w:sz w:val="22"/>
          <w:szCs w:val="22"/>
        </w:rPr>
        <w:t>nab</w:t>
      </w:r>
      <w:r w:rsidR="00962D5E" w:rsidRPr="00A953DF">
        <w:rPr>
          <w:rFonts w:ascii="Arial" w:hAnsi="Arial" w:cs="Arial"/>
          <w:bCs/>
          <w:snapToGrid w:val="0"/>
          <w:sz w:val="22"/>
          <w:szCs w:val="22"/>
        </w:rPr>
        <w:t xml:space="preserve">-paclitaxel in combination with </w:t>
      </w:r>
      <w:proofErr w:type="spellStart"/>
      <w:r w:rsidR="00962D5E" w:rsidRPr="00A953DF">
        <w:rPr>
          <w:rFonts w:ascii="Arial" w:hAnsi="Arial" w:cs="Arial"/>
          <w:bCs/>
          <w:snapToGrid w:val="0"/>
          <w:sz w:val="22"/>
          <w:szCs w:val="22"/>
        </w:rPr>
        <w:t>trastuzumab</w:t>
      </w:r>
      <w:proofErr w:type="spellEnd"/>
      <w:r w:rsidR="00FF1008" w:rsidRPr="00A953DF">
        <w:rPr>
          <w:rFonts w:ascii="Arial" w:hAnsi="Arial" w:cs="Arial"/>
          <w:bCs/>
          <w:snapToGrid w:val="0"/>
          <w:sz w:val="22"/>
          <w:szCs w:val="22"/>
        </w:rPr>
        <w:t xml:space="preserve">. </w:t>
      </w:r>
      <w:r w:rsidRPr="00A953DF">
        <w:rPr>
          <w:rFonts w:ascii="Arial" w:hAnsi="Arial" w:cs="Arial"/>
          <w:bCs/>
          <w:snapToGrid w:val="0"/>
          <w:sz w:val="22"/>
          <w:szCs w:val="22"/>
        </w:rPr>
        <w:t>The PBA</w:t>
      </w:r>
      <w:r w:rsidR="00173DAF" w:rsidRPr="00A953DF">
        <w:rPr>
          <w:rFonts w:ascii="Arial" w:hAnsi="Arial" w:cs="Arial"/>
          <w:bCs/>
          <w:snapToGrid w:val="0"/>
          <w:sz w:val="22"/>
          <w:szCs w:val="22"/>
        </w:rPr>
        <w:t>C specifically noted the discussion on some anomalies pertaining to the implementation of HER-2 Metastatic Program</w:t>
      </w:r>
      <w:r w:rsidR="009B1B1B" w:rsidRPr="00A953DF">
        <w:rPr>
          <w:rFonts w:ascii="Arial" w:hAnsi="Arial" w:cs="Arial"/>
          <w:bCs/>
          <w:snapToGrid w:val="0"/>
          <w:sz w:val="22"/>
          <w:szCs w:val="22"/>
        </w:rPr>
        <w:t xml:space="preserve"> and advice with reference to utilisation of other drugs in the Program, diagnos</w:t>
      </w:r>
      <w:r w:rsidR="00F535D3" w:rsidRPr="00A953DF">
        <w:rPr>
          <w:rFonts w:ascii="Arial" w:hAnsi="Arial" w:cs="Arial"/>
          <w:bCs/>
          <w:snapToGrid w:val="0"/>
          <w:sz w:val="22"/>
          <w:szCs w:val="22"/>
        </w:rPr>
        <w:t>tic testing and grandfathering.</w:t>
      </w:r>
    </w:p>
    <w:p w:rsidR="00784920" w:rsidRPr="00A953DF" w:rsidRDefault="00784920" w:rsidP="00F535D3">
      <w:pPr>
        <w:widowControl w:val="0"/>
        <w:contextualSpacing/>
        <w:jc w:val="both"/>
        <w:rPr>
          <w:rFonts w:ascii="Arial" w:hAnsi="Arial" w:cs="Arial"/>
          <w:bCs/>
          <w:snapToGrid w:val="0"/>
          <w:sz w:val="22"/>
          <w:szCs w:val="22"/>
        </w:rPr>
      </w:pPr>
    </w:p>
    <w:p w:rsidR="00BB4EDF" w:rsidRPr="00A953DF" w:rsidRDefault="00BB4EDF" w:rsidP="00BB4EDF">
      <w:pPr>
        <w:widowControl w:val="0"/>
        <w:numPr>
          <w:ilvl w:val="1"/>
          <w:numId w:val="25"/>
        </w:numPr>
        <w:contextualSpacing/>
        <w:jc w:val="both"/>
        <w:rPr>
          <w:rFonts w:ascii="Arial" w:hAnsi="Arial" w:cs="Arial"/>
          <w:bCs/>
          <w:snapToGrid w:val="0"/>
          <w:sz w:val="22"/>
          <w:szCs w:val="22"/>
        </w:rPr>
      </w:pPr>
      <w:r w:rsidRPr="00A953DF">
        <w:rPr>
          <w:rFonts w:ascii="Arial" w:hAnsi="Arial" w:cs="Arial"/>
          <w:bCs/>
          <w:snapToGrid w:val="0"/>
          <w:sz w:val="22"/>
          <w:szCs w:val="22"/>
        </w:rPr>
        <w:t xml:space="preserve">The PBAC noted </w:t>
      </w:r>
      <w:r w:rsidR="00784920" w:rsidRPr="00A953DF">
        <w:rPr>
          <w:rFonts w:ascii="Arial" w:hAnsi="Arial" w:cs="Arial"/>
          <w:bCs/>
          <w:snapToGrid w:val="0"/>
          <w:sz w:val="22"/>
          <w:szCs w:val="22"/>
        </w:rPr>
        <w:t>and welcomed the input.</w:t>
      </w:r>
    </w:p>
    <w:p w:rsidR="00EB1638" w:rsidRDefault="00EB1638" w:rsidP="00CD1F92">
      <w:pPr>
        <w:jc w:val="both"/>
        <w:rPr>
          <w:rFonts w:ascii="Arial" w:hAnsi="Arial"/>
          <w:b/>
          <w:i/>
          <w:sz w:val="22"/>
          <w:szCs w:val="22"/>
        </w:rPr>
      </w:pPr>
    </w:p>
    <w:p w:rsidR="00CD1F92" w:rsidRPr="00A953DF" w:rsidRDefault="00D84934" w:rsidP="009659F7">
      <w:pPr>
        <w:pStyle w:val="Heading2"/>
      </w:pPr>
      <w:r w:rsidRPr="00A953DF">
        <w:t>Clinical trials</w:t>
      </w:r>
    </w:p>
    <w:p w:rsidR="00CD1F92" w:rsidRPr="00A953DF" w:rsidRDefault="00CD1F92" w:rsidP="00CD1F92">
      <w:pPr>
        <w:jc w:val="both"/>
        <w:rPr>
          <w:rFonts w:ascii="Arial" w:hAnsi="Arial"/>
          <w:sz w:val="22"/>
          <w:szCs w:val="22"/>
        </w:rPr>
      </w:pPr>
    </w:p>
    <w:p w:rsidR="009F4E46" w:rsidRPr="00A953DF" w:rsidRDefault="009F4E46" w:rsidP="00CD1F92">
      <w:pPr>
        <w:pStyle w:val="ListParagraph"/>
        <w:numPr>
          <w:ilvl w:val="1"/>
          <w:numId w:val="25"/>
        </w:numPr>
        <w:jc w:val="both"/>
        <w:rPr>
          <w:rFonts w:ascii="Arial" w:hAnsi="Arial"/>
          <w:b/>
          <w:sz w:val="22"/>
          <w:szCs w:val="22"/>
        </w:rPr>
      </w:pPr>
      <w:r w:rsidRPr="00A953DF">
        <w:rPr>
          <w:rFonts w:ascii="Arial" w:hAnsi="Arial"/>
          <w:sz w:val="22"/>
          <w:szCs w:val="22"/>
        </w:rPr>
        <w:t xml:space="preserve">The minor submission presented </w:t>
      </w:r>
      <w:r w:rsidR="00986842" w:rsidRPr="00A953DF">
        <w:rPr>
          <w:rFonts w:ascii="Arial" w:hAnsi="Arial"/>
          <w:sz w:val="22"/>
          <w:szCs w:val="22"/>
        </w:rPr>
        <w:t xml:space="preserve">two </w:t>
      </w:r>
      <w:r w:rsidR="003400D9" w:rsidRPr="00A953DF">
        <w:rPr>
          <w:rFonts w:ascii="Arial" w:hAnsi="Arial"/>
          <w:sz w:val="22"/>
          <w:szCs w:val="22"/>
        </w:rPr>
        <w:t xml:space="preserve">single-arm </w:t>
      </w:r>
      <w:r w:rsidR="00986842" w:rsidRPr="00A953DF">
        <w:rPr>
          <w:rFonts w:ascii="Arial" w:hAnsi="Arial"/>
          <w:sz w:val="22"/>
          <w:szCs w:val="22"/>
        </w:rPr>
        <w:t>studies</w:t>
      </w:r>
      <w:r w:rsidRPr="00A953DF">
        <w:rPr>
          <w:rFonts w:ascii="Arial" w:hAnsi="Arial"/>
          <w:sz w:val="22"/>
          <w:szCs w:val="22"/>
        </w:rPr>
        <w:t>:</w:t>
      </w:r>
    </w:p>
    <w:p w:rsidR="0076420C" w:rsidRPr="00A953DF" w:rsidRDefault="0076420C" w:rsidP="006D5098">
      <w:pPr>
        <w:jc w:val="both"/>
        <w:rPr>
          <w:rFonts w:ascii="Arial" w:hAnsi="Arial"/>
          <w:sz w:val="22"/>
          <w:szCs w:val="22"/>
        </w:rPr>
      </w:pPr>
    </w:p>
    <w:p w:rsidR="0076420C" w:rsidRPr="00A953DF" w:rsidRDefault="006A57F1" w:rsidP="00D84934">
      <w:pPr>
        <w:pStyle w:val="NoSpacing"/>
        <w:ind w:left="709"/>
        <w:rPr>
          <w:rFonts w:ascii="Arial Narrow" w:hAnsi="Arial Narrow"/>
          <w:b/>
          <w:sz w:val="20"/>
        </w:rPr>
      </w:pPr>
      <w:r w:rsidRPr="00A953DF">
        <w:rPr>
          <w:rFonts w:ascii="Arial Narrow" w:hAnsi="Arial Narrow"/>
          <w:b/>
          <w:sz w:val="20"/>
        </w:rPr>
        <w:t>Table</w:t>
      </w:r>
      <w:r w:rsidR="006D5098" w:rsidRPr="00A953DF">
        <w:rPr>
          <w:rFonts w:ascii="Arial Narrow" w:hAnsi="Arial Narrow"/>
          <w:b/>
          <w:sz w:val="20"/>
        </w:rPr>
        <w:t xml:space="preserve"> </w:t>
      </w:r>
      <w:r w:rsidRPr="00A953DF">
        <w:rPr>
          <w:rFonts w:ascii="Arial Narrow" w:hAnsi="Arial Narrow"/>
          <w:b/>
          <w:sz w:val="20"/>
        </w:rPr>
        <w:t xml:space="preserve">1: </w:t>
      </w:r>
      <w:r w:rsidR="0076420C" w:rsidRPr="00A953DF">
        <w:rPr>
          <w:rFonts w:ascii="Arial Narrow" w:hAnsi="Arial Narrow"/>
          <w:b/>
          <w:sz w:val="20"/>
        </w:rPr>
        <w:t>Trials and associated reports presented in the re-submission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linical trials presented in the re-submission"/>
      </w:tblPr>
      <w:tblGrid>
        <w:gridCol w:w="1701"/>
        <w:gridCol w:w="4820"/>
        <w:gridCol w:w="1843"/>
      </w:tblGrid>
      <w:tr w:rsidR="0076420C" w:rsidRPr="00A953DF" w:rsidTr="00C27B58">
        <w:trPr>
          <w:cantSplit/>
          <w:tblHeader/>
        </w:trPr>
        <w:tc>
          <w:tcPr>
            <w:tcW w:w="1701" w:type="dxa"/>
          </w:tcPr>
          <w:p w:rsidR="0076420C" w:rsidRPr="00A953DF" w:rsidRDefault="00986842" w:rsidP="00D84934">
            <w:pPr>
              <w:pStyle w:val="NoSpacing"/>
              <w:rPr>
                <w:rFonts w:ascii="Arial Narrow" w:hAnsi="Arial Narrow"/>
                <w:b/>
                <w:sz w:val="20"/>
              </w:rPr>
            </w:pPr>
            <w:r w:rsidRPr="00A953DF">
              <w:rPr>
                <w:rFonts w:ascii="Arial Narrow" w:hAnsi="Arial Narrow"/>
                <w:b/>
                <w:sz w:val="20"/>
              </w:rPr>
              <w:t>Study</w:t>
            </w:r>
          </w:p>
        </w:tc>
        <w:tc>
          <w:tcPr>
            <w:tcW w:w="4820" w:type="dxa"/>
          </w:tcPr>
          <w:p w:rsidR="0076420C" w:rsidRPr="00A953DF" w:rsidRDefault="0076420C" w:rsidP="0062748A">
            <w:pPr>
              <w:keepNext/>
              <w:jc w:val="center"/>
              <w:rPr>
                <w:rFonts w:ascii="Arial Narrow" w:hAnsi="Arial Narrow"/>
                <w:b/>
                <w:sz w:val="20"/>
              </w:rPr>
            </w:pPr>
            <w:r w:rsidRPr="00A953DF">
              <w:rPr>
                <w:rFonts w:ascii="Arial Narrow" w:hAnsi="Arial Narrow"/>
                <w:b/>
                <w:sz w:val="20"/>
              </w:rPr>
              <w:t>Protocol title/ Publication title</w:t>
            </w:r>
          </w:p>
        </w:tc>
        <w:tc>
          <w:tcPr>
            <w:tcW w:w="1843" w:type="dxa"/>
          </w:tcPr>
          <w:p w:rsidR="0076420C" w:rsidRPr="00A953DF" w:rsidRDefault="0076420C" w:rsidP="0062748A">
            <w:pPr>
              <w:keepNext/>
              <w:rPr>
                <w:rFonts w:ascii="Arial Narrow" w:hAnsi="Arial Narrow"/>
                <w:b/>
                <w:sz w:val="20"/>
              </w:rPr>
            </w:pPr>
            <w:r w:rsidRPr="00A953DF">
              <w:rPr>
                <w:rFonts w:ascii="Arial Narrow" w:hAnsi="Arial Narrow"/>
                <w:b/>
                <w:sz w:val="20"/>
              </w:rPr>
              <w:t>Publication citation</w:t>
            </w:r>
          </w:p>
        </w:tc>
      </w:tr>
      <w:tr w:rsidR="0076420C" w:rsidRPr="00A953DF" w:rsidTr="00C27B58">
        <w:trPr>
          <w:cantSplit/>
        </w:trPr>
        <w:tc>
          <w:tcPr>
            <w:tcW w:w="1701" w:type="dxa"/>
          </w:tcPr>
          <w:p w:rsidR="0076420C" w:rsidRPr="00A953DF" w:rsidRDefault="00986842" w:rsidP="00D84934">
            <w:pPr>
              <w:pStyle w:val="NoSpacing"/>
              <w:rPr>
                <w:rFonts w:ascii="Arial Narrow" w:hAnsi="Arial Narrow"/>
                <w:sz w:val="20"/>
              </w:rPr>
            </w:pPr>
            <w:proofErr w:type="spellStart"/>
            <w:r w:rsidRPr="00A953DF">
              <w:rPr>
                <w:rFonts w:ascii="Arial Narrow" w:hAnsi="Arial Narrow"/>
                <w:sz w:val="20"/>
              </w:rPr>
              <w:t>Mirtsching</w:t>
            </w:r>
            <w:proofErr w:type="spellEnd"/>
            <w:r w:rsidRPr="00A953DF">
              <w:rPr>
                <w:rFonts w:ascii="Arial Narrow" w:hAnsi="Arial Narrow"/>
                <w:sz w:val="20"/>
              </w:rPr>
              <w:t xml:space="preserve"> et al</w:t>
            </w:r>
          </w:p>
        </w:tc>
        <w:tc>
          <w:tcPr>
            <w:tcW w:w="4820" w:type="dxa"/>
          </w:tcPr>
          <w:p w:rsidR="0076420C" w:rsidRPr="00A953DF" w:rsidRDefault="008A013C" w:rsidP="00986842">
            <w:pPr>
              <w:keepNext/>
              <w:rPr>
                <w:rFonts w:ascii="Arial Narrow" w:hAnsi="Arial Narrow"/>
                <w:sz w:val="20"/>
              </w:rPr>
            </w:pPr>
            <w:r w:rsidRPr="00A953DF">
              <w:rPr>
                <w:rFonts w:ascii="Arial Narrow" w:hAnsi="Arial Narrow"/>
                <w:sz w:val="20"/>
              </w:rPr>
              <w:t xml:space="preserve">Open-label, phase II, non-randomised study that evaluated weekly nab-paclitaxel with or without </w:t>
            </w:r>
            <w:proofErr w:type="spellStart"/>
            <w:r w:rsidRPr="00A953DF">
              <w:rPr>
                <w:rFonts w:ascii="Arial Narrow" w:hAnsi="Arial Narrow"/>
                <w:sz w:val="20"/>
              </w:rPr>
              <w:t>trastuzumab</w:t>
            </w:r>
            <w:proofErr w:type="spellEnd"/>
            <w:r w:rsidRPr="00A953DF">
              <w:rPr>
                <w:rFonts w:ascii="Arial Narrow" w:hAnsi="Arial Narrow"/>
                <w:sz w:val="20"/>
              </w:rPr>
              <w:t xml:space="preserve"> as first-line treatment of advanced breast cancer</w:t>
            </w:r>
          </w:p>
        </w:tc>
        <w:tc>
          <w:tcPr>
            <w:tcW w:w="1843" w:type="dxa"/>
          </w:tcPr>
          <w:p w:rsidR="0076420C" w:rsidRPr="00A953DF" w:rsidRDefault="008A013C" w:rsidP="003400D9">
            <w:pPr>
              <w:keepNext/>
              <w:jc w:val="center"/>
              <w:rPr>
                <w:rFonts w:ascii="Arial Narrow" w:hAnsi="Arial Narrow"/>
                <w:sz w:val="20"/>
              </w:rPr>
            </w:pPr>
            <w:r w:rsidRPr="00A953DF">
              <w:rPr>
                <w:rFonts w:ascii="Arial Narrow" w:hAnsi="Arial Narrow"/>
                <w:sz w:val="20"/>
              </w:rPr>
              <w:t>2011</w:t>
            </w:r>
          </w:p>
        </w:tc>
      </w:tr>
      <w:tr w:rsidR="0076420C" w:rsidRPr="00A953DF" w:rsidTr="00C27B58">
        <w:trPr>
          <w:cantSplit/>
        </w:trPr>
        <w:tc>
          <w:tcPr>
            <w:tcW w:w="1701" w:type="dxa"/>
          </w:tcPr>
          <w:p w:rsidR="0076420C" w:rsidRPr="00A953DF" w:rsidRDefault="00986842" w:rsidP="00D84934">
            <w:pPr>
              <w:pStyle w:val="NoSpacing"/>
              <w:rPr>
                <w:rFonts w:ascii="Arial Narrow" w:hAnsi="Arial Narrow"/>
                <w:sz w:val="20"/>
              </w:rPr>
            </w:pPr>
            <w:r w:rsidRPr="00A953DF">
              <w:rPr>
                <w:rFonts w:ascii="Arial Narrow" w:hAnsi="Arial Narrow"/>
                <w:sz w:val="20"/>
              </w:rPr>
              <w:t>Colin et al</w:t>
            </w:r>
          </w:p>
        </w:tc>
        <w:tc>
          <w:tcPr>
            <w:tcW w:w="4820" w:type="dxa"/>
          </w:tcPr>
          <w:p w:rsidR="0076420C" w:rsidRPr="00A953DF" w:rsidRDefault="008A013C" w:rsidP="0062748A">
            <w:pPr>
              <w:keepNext/>
              <w:rPr>
                <w:rFonts w:ascii="Arial Narrow" w:hAnsi="Arial Narrow"/>
                <w:sz w:val="20"/>
              </w:rPr>
            </w:pPr>
            <w:r w:rsidRPr="00A953DF">
              <w:rPr>
                <w:rFonts w:ascii="Arial Narrow" w:hAnsi="Arial Narrow"/>
                <w:sz w:val="20"/>
              </w:rPr>
              <w:t xml:space="preserve">Open-label, phase II study of nab-paclitaxel with </w:t>
            </w:r>
            <w:proofErr w:type="spellStart"/>
            <w:r w:rsidRPr="00A953DF">
              <w:rPr>
                <w:rFonts w:ascii="Arial Narrow" w:hAnsi="Arial Narrow"/>
                <w:sz w:val="20"/>
              </w:rPr>
              <w:t>trastuzumab</w:t>
            </w:r>
            <w:proofErr w:type="spellEnd"/>
            <w:r w:rsidRPr="00A953DF">
              <w:rPr>
                <w:rFonts w:ascii="Arial Narrow" w:hAnsi="Arial Narrow"/>
                <w:sz w:val="20"/>
              </w:rPr>
              <w:t xml:space="preserve"> and carboplatin as first-line therapy for women with HER-2 positive metastatic cancer</w:t>
            </w:r>
          </w:p>
        </w:tc>
        <w:tc>
          <w:tcPr>
            <w:tcW w:w="1843" w:type="dxa"/>
          </w:tcPr>
          <w:p w:rsidR="0076420C" w:rsidRPr="00A953DF" w:rsidRDefault="008A013C" w:rsidP="003400D9">
            <w:pPr>
              <w:keepNext/>
              <w:jc w:val="center"/>
              <w:rPr>
                <w:rFonts w:ascii="Arial Narrow" w:hAnsi="Arial Narrow"/>
                <w:sz w:val="20"/>
              </w:rPr>
            </w:pPr>
            <w:r w:rsidRPr="00A953DF">
              <w:rPr>
                <w:rFonts w:ascii="Arial Narrow" w:hAnsi="Arial Narrow"/>
                <w:sz w:val="20"/>
              </w:rPr>
              <w:t>2010</w:t>
            </w:r>
          </w:p>
        </w:tc>
      </w:tr>
    </w:tbl>
    <w:p w:rsidR="0076420C" w:rsidRPr="00A953DF" w:rsidRDefault="0076420C" w:rsidP="0076420C">
      <w:pPr>
        <w:pStyle w:val="tablenotes"/>
        <w:ind w:firstLine="709"/>
        <w:rPr>
          <w:rFonts w:ascii="Arial Narrow" w:hAnsi="Arial Narrow"/>
          <w:sz w:val="18"/>
          <w:szCs w:val="18"/>
        </w:rPr>
      </w:pPr>
      <w:r w:rsidRPr="00A953DF">
        <w:rPr>
          <w:rFonts w:ascii="Arial Narrow" w:hAnsi="Arial Narrow"/>
          <w:sz w:val="18"/>
          <w:szCs w:val="18"/>
        </w:rPr>
        <w:t xml:space="preserve">Source: </w:t>
      </w:r>
      <w:r w:rsidR="000D1257" w:rsidRPr="00A953DF">
        <w:rPr>
          <w:rFonts w:ascii="Arial Narrow" w:hAnsi="Arial Narrow"/>
          <w:sz w:val="18"/>
          <w:szCs w:val="18"/>
        </w:rPr>
        <w:t>p4 &amp; 5 of the submission</w:t>
      </w:r>
    </w:p>
    <w:p w:rsidR="0076420C" w:rsidRPr="00A953DF" w:rsidRDefault="0076420C" w:rsidP="006D5098">
      <w:pPr>
        <w:jc w:val="both"/>
        <w:rPr>
          <w:rFonts w:ascii="Arial" w:hAnsi="Arial"/>
          <w:sz w:val="22"/>
          <w:szCs w:val="22"/>
        </w:rPr>
      </w:pPr>
    </w:p>
    <w:p w:rsidR="00A4382B" w:rsidRPr="00A953DF" w:rsidRDefault="00A4382B" w:rsidP="001911C4">
      <w:pPr>
        <w:pStyle w:val="ListParagraph"/>
        <w:numPr>
          <w:ilvl w:val="1"/>
          <w:numId w:val="25"/>
        </w:numPr>
        <w:jc w:val="both"/>
        <w:rPr>
          <w:rFonts w:ascii="Arial" w:hAnsi="Arial"/>
          <w:sz w:val="22"/>
          <w:szCs w:val="22"/>
        </w:rPr>
      </w:pPr>
      <w:r w:rsidRPr="00A953DF">
        <w:rPr>
          <w:rFonts w:ascii="Arial" w:hAnsi="Arial"/>
          <w:sz w:val="22"/>
          <w:szCs w:val="22"/>
        </w:rPr>
        <w:t>Results of the study end points include</w:t>
      </w:r>
      <w:r w:rsidR="00142C0B" w:rsidRPr="00A953DF">
        <w:rPr>
          <w:rFonts w:ascii="Arial" w:hAnsi="Arial"/>
          <w:sz w:val="22"/>
          <w:szCs w:val="22"/>
        </w:rPr>
        <w:t>d</w:t>
      </w:r>
      <w:r w:rsidRPr="00A953DF">
        <w:rPr>
          <w:rFonts w:ascii="Arial" w:hAnsi="Arial"/>
          <w:sz w:val="22"/>
          <w:szCs w:val="22"/>
        </w:rPr>
        <w:t xml:space="preserve"> objective response rate</w:t>
      </w:r>
      <w:r w:rsidR="006D5098" w:rsidRPr="00A953DF">
        <w:rPr>
          <w:rFonts w:ascii="Arial" w:hAnsi="Arial"/>
          <w:sz w:val="22"/>
          <w:szCs w:val="22"/>
        </w:rPr>
        <w:t>s</w:t>
      </w:r>
      <w:r w:rsidRPr="00A953DF">
        <w:rPr>
          <w:rFonts w:ascii="Arial" w:hAnsi="Arial"/>
          <w:sz w:val="22"/>
          <w:szCs w:val="22"/>
        </w:rPr>
        <w:t xml:space="preserve"> (ORR), progression-free survival (PFS), </w:t>
      </w:r>
      <w:r w:rsidR="006D5098" w:rsidRPr="00A953DF">
        <w:rPr>
          <w:rFonts w:ascii="Arial" w:hAnsi="Arial"/>
          <w:sz w:val="22"/>
          <w:szCs w:val="22"/>
        </w:rPr>
        <w:t xml:space="preserve">and </w:t>
      </w:r>
      <w:r w:rsidRPr="00A953DF">
        <w:rPr>
          <w:rFonts w:ascii="Arial" w:hAnsi="Arial"/>
          <w:sz w:val="22"/>
          <w:szCs w:val="22"/>
        </w:rPr>
        <w:t>1- an</w:t>
      </w:r>
      <w:r w:rsidR="00142C0B" w:rsidRPr="00A953DF">
        <w:rPr>
          <w:rFonts w:ascii="Arial" w:hAnsi="Arial"/>
          <w:sz w:val="22"/>
          <w:szCs w:val="22"/>
        </w:rPr>
        <w:t>d 2-year overall survival (OS) r</w:t>
      </w:r>
      <w:r w:rsidRPr="00A953DF">
        <w:rPr>
          <w:rFonts w:ascii="Arial" w:hAnsi="Arial"/>
          <w:sz w:val="22"/>
          <w:szCs w:val="22"/>
        </w:rPr>
        <w:t>ates.</w:t>
      </w:r>
    </w:p>
    <w:p w:rsidR="00A4382B" w:rsidRDefault="00A4382B" w:rsidP="00A4382B">
      <w:pPr>
        <w:jc w:val="both"/>
        <w:rPr>
          <w:rFonts w:ascii="Arial" w:hAnsi="Arial"/>
          <w:sz w:val="22"/>
          <w:szCs w:val="22"/>
        </w:rPr>
      </w:pPr>
    </w:p>
    <w:p w:rsidR="002D1675" w:rsidRDefault="002D1675" w:rsidP="00A4382B">
      <w:pPr>
        <w:jc w:val="both"/>
        <w:rPr>
          <w:rFonts w:ascii="Arial" w:hAnsi="Arial"/>
          <w:sz w:val="22"/>
          <w:szCs w:val="22"/>
        </w:rPr>
      </w:pPr>
    </w:p>
    <w:p w:rsidR="002D1675" w:rsidRDefault="002D1675" w:rsidP="00A4382B">
      <w:pPr>
        <w:jc w:val="both"/>
        <w:rPr>
          <w:rFonts w:ascii="Arial" w:hAnsi="Arial"/>
          <w:sz w:val="22"/>
          <w:szCs w:val="22"/>
        </w:rPr>
      </w:pPr>
    </w:p>
    <w:p w:rsidR="002D1675" w:rsidRDefault="002D1675" w:rsidP="00A4382B">
      <w:pPr>
        <w:jc w:val="both"/>
        <w:rPr>
          <w:rFonts w:ascii="Arial" w:hAnsi="Arial"/>
          <w:sz w:val="22"/>
          <w:szCs w:val="22"/>
        </w:rPr>
      </w:pPr>
    </w:p>
    <w:p w:rsidR="002D1675" w:rsidRPr="00A953DF" w:rsidRDefault="002D1675" w:rsidP="00A4382B">
      <w:pPr>
        <w:jc w:val="both"/>
        <w:rPr>
          <w:rFonts w:ascii="Arial" w:hAnsi="Arial"/>
          <w:sz w:val="22"/>
          <w:szCs w:val="22"/>
        </w:rPr>
      </w:pPr>
    </w:p>
    <w:p w:rsidR="005A3173" w:rsidRPr="00A953DF" w:rsidRDefault="005A3173" w:rsidP="009659F7">
      <w:pPr>
        <w:pStyle w:val="Heading2"/>
      </w:pPr>
      <w:r w:rsidRPr="00A953DF">
        <w:lastRenderedPageBreak/>
        <w:t>Comparative effectiveness</w:t>
      </w:r>
    </w:p>
    <w:p w:rsidR="005A3173" w:rsidRPr="00A953DF" w:rsidRDefault="005A3173" w:rsidP="00882085">
      <w:pPr>
        <w:jc w:val="both"/>
        <w:rPr>
          <w:rFonts w:ascii="Arial" w:hAnsi="Arial"/>
          <w:sz w:val="22"/>
          <w:szCs w:val="22"/>
        </w:rPr>
      </w:pPr>
    </w:p>
    <w:p w:rsidR="009B0F67" w:rsidRPr="00A953DF" w:rsidRDefault="00142C0B" w:rsidP="0087120E">
      <w:pPr>
        <w:pStyle w:val="ListParagraph"/>
        <w:numPr>
          <w:ilvl w:val="1"/>
          <w:numId w:val="25"/>
        </w:numPr>
        <w:jc w:val="both"/>
        <w:rPr>
          <w:rFonts w:ascii="Arial" w:hAnsi="Arial"/>
          <w:sz w:val="22"/>
          <w:szCs w:val="22"/>
        </w:rPr>
      </w:pPr>
      <w:r w:rsidRPr="00A953DF">
        <w:rPr>
          <w:rFonts w:ascii="Arial" w:hAnsi="Arial"/>
          <w:sz w:val="22"/>
          <w:szCs w:val="22"/>
        </w:rPr>
        <w:t>The study results</w:t>
      </w:r>
      <w:r w:rsidR="0087120E" w:rsidRPr="00A953DF">
        <w:rPr>
          <w:rFonts w:ascii="Arial" w:hAnsi="Arial"/>
          <w:sz w:val="22"/>
          <w:szCs w:val="22"/>
        </w:rPr>
        <w:t xml:space="preserve"> (</w:t>
      </w:r>
      <w:proofErr w:type="spellStart"/>
      <w:r w:rsidR="0087120E" w:rsidRPr="00A953DF">
        <w:rPr>
          <w:rFonts w:ascii="Arial" w:hAnsi="Arial"/>
          <w:sz w:val="22"/>
          <w:szCs w:val="22"/>
        </w:rPr>
        <w:t>Mirtsching</w:t>
      </w:r>
      <w:proofErr w:type="spellEnd"/>
      <w:r w:rsidR="0087120E" w:rsidRPr="00A953DF">
        <w:rPr>
          <w:rFonts w:ascii="Arial" w:hAnsi="Arial"/>
          <w:sz w:val="22"/>
          <w:szCs w:val="22"/>
        </w:rPr>
        <w:t xml:space="preserve"> et al)</w:t>
      </w:r>
      <w:r w:rsidRPr="00A953DF">
        <w:rPr>
          <w:rFonts w:ascii="Arial" w:hAnsi="Arial"/>
          <w:sz w:val="22"/>
          <w:szCs w:val="22"/>
        </w:rPr>
        <w:t xml:space="preserve"> </w:t>
      </w:r>
      <w:r w:rsidR="0087120E" w:rsidRPr="00A953DF">
        <w:rPr>
          <w:rFonts w:ascii="Arial" w:hAnsi="Arial"/>
          <w:sz w:val="22"/>
          <w:szCs w:val="22"/>
        </w:rPr>
        <w:t xml:space="preserve">of response rates </w:t>
      </w:r>
      <w:r w:rsidR="009A046F" w:rsidRPr="00A953DF">
        <w:rPr>
          <w:rFonts w:ascii="Arial" w:hAnsi="Arial"/>
          <w:sz w:val="22"/>
          <w:szCs w:val="22"/>
        </w:rPr>
        <w:t xml:space="preserve">after a median of six cycles (range, 1-22 cycles) of treatment </w:t>
      </w:r>
      <w:r w:rsidR="0087120E" w:rsidRPr="00A953DF">
        <w:rPr>
          <w:rFonts w:ascii="Arial" w:hAnsi="Arial"/>
          <w:sz w:val="22"/>
          <w:szCs w:val="22"/>
        </w:rPr>
        <w:t xml:space="preserve">for </w:t>
      </w:r>
      <w:r w:rsidR="006E0AD8" w:rsidRPr="00A953DF">
        <w:rPr>
          <w:rFonts w:ascii="Arial" w:hAnsi="Arial"/>
          <w:i/>
          <w:sz w:val="22"/>
          <w:szCs w:val="22"/>
        </w:rPr>
        <w:t>nab-</w:t>
      </w:r>
      <w:r w:rsidR="006E0AD8" w:rsidRPr="00A953DF">
        <w:rPr>
          <w:rFonts w:ascii="Arial" w:hAnsi="Arial"/>
          <w:sz w:val="22"/>
          <w:szCs w:val="22"/>
        </w:rPr>
        <w:t>paclitaxel</w:t>
      </w:r>
      <w:r w:rsidR="0087120E" w:rsidRPr="00A953DF">
        <w:rPr>
          <w:rFonts w:ascii="Arial" w:hAnsi="Arial"/>
          <w:sz w:val="22"/>
          <w:szCs w:val="22"/>
        </w:rPr>
        <w:t xml:space="preserve"> </w:t>
      </w:r>
      <w:r w:rsidR="0087120E" w:rsidRPr="00A953DF">
        <w:rPr>
          <w:rFonts w:ascii="Arial" w:hAnsi="Arial" w:cs="Arial"/>
          <w:sz w:val="22"/>
          <w:szCs w:val="22"/>
        </w:rPr>
        <w:t>±</w:t>
      </w:r>
      <w:r w:rsidR="0087120E" w:rsidRPr="00A953DF">
        <w:rPr>
          <w:rFonts w:ascii="Arial" w:hAnsi="Arial"/>
          <w:sz w:val="22"/>
          <w:szCs w:val="22"/>
        </w:rPr>
        <w:t xml:space="preserve"> </w:t>
      </w:r>
      <w:proofErr w:type="spellStart"/>
      <w:r w:rsidR="0087120E" w:rsidRPr="00A953DF">
        <w:rPr>
          <w:rFonts w:ascii="Arial" w:hAnsi="Arial"/>
          <w:sz w:val="22"/>
          <w:szCs w:val="22"/>
        </w:rPr>
        <w:t>trastuzumab</w:t>
      </w:r>
      <w:proofErr w:type="spellEnd"/>
      <w:r w:rsidR="0087120E" w:rsidRPr="00A953DF">
        <w:rPr>
          <w:rFonts w:ascii="Arial" w:hAnsi="Arial"/>
          <w:sz w:val="22"/>
          <w:szCs w:val="22"/>
        </w:rPr>
        <w:t xml:space="preserve"> therapy are </w:t>
      </w:r>
      <w:r w:rsidR="009B0F67" w:rsidRPr="00A953DF">
        <w:rPr>
          <w:rFonts w:ascii="Arial" w:hAnsi="Arial"/>
          <w:sz w:val="22"/>
          <w:szCs w:val="22"/>
        </w:rPr>
        <w:t>summarised in the table below</w:t>
      </w:r>
      <w:r w:rsidR="006D5098" w:rsidRPr="00A953DF">
        <w:rPr>
          <w:rFonts w:ascii="Arial" w:hAnsi="Arial"/>
          <w:sz w:val="22"/>
          <w:szCs w:val="22"/>
        </w:rPr>
        <w:t>.</w:t>
      </w:r>
      <w:r w:rsidR="009B0F67" w:rsidRPr="00A953DF">
        <w:rPr>
          <w:rFonts w:ascii="Arial" w:hAnsi="Arial"/>
          <w:sz w:val="22"/>
          <w:szCs w:val="22"/>
        </w:rPr>
        <w:t xml:space="preserve"> </w:t>
      </w:r>
    </w:p>
    <w:p w:rsidR="001B0145" w:rsidRDefault="001B0145">
      <w:pPr>
        <w:rPr>
          <w:rFonts w:ascii="Arial Narrow" w:hAnsi="Arial Narrow"/>
          <w:b/>
          <w:sz w:val="20"/>
          <w:szCs w:val="22"/>
        </w:rPr>
      </w:pPr>
    </w:p>
    <w:p w:rsidR="0087120E" w:rsidRPr="00A953DF" w:rsidRDefault="006A57F1" w:rsidP="006A57F1">
      <w:pPr>
        <w:pStyle w:val="NoSpacing"/>
        <w:ind w:left="709"/>
      </w:pPr>
      <w:r w:rsidRPr="00A953DF">
        <w:rPr>
          <w:rFonts w:ascii="Arial Narrow" w:hAnsi="Arial Narrow"/>
          <w:b/>
          <w:sz w:val="20"/>
        </w:rPr>
        <w:t xml:space="preserve">Table 2: Response rates for </w:t>
      </w:r>
      <w:r w:rsidRPr="00A953DF">
        <w:rPr>
          <w:rFonts w:ascii="Arial Narrow" w:hAnsi="Arial Narrow"/>
          <w:b/>
          <w:i/>
          <w:sz w:val="20"/>
        </w:rPr>
        <w:t>nab</w:t>
      </w:r>
      <w:r w:rsidRPr="00A953DF">
        <w:rPr>
          <w:rFonts w:ascii="Arial Narrow" w:hAnsi="Arial Narrow"/>
          <w:b/>
          <w:sz w:val="20"/>
        </w:rPr>
        <w:t xml:space="preserve">-paclitaxel ± </w:t>
      </w:r>
      <w:proofErr w:type="spellStart"/>
      <w:r w:rsidRPr="00A953DF">
        <w:rPr>
          <w:rFonts w:ascii="Arial Narrow" w:hAnsi="Arial Narrow"/>
          <w:b/>
          <w:sz w:val="20"/>
        </w:rPr>
        <w:t>trastuzumab</w:t>
      </w:r>
      <w:proofErr w:type="spellEnd"/>
      <w:r w:rsidRPr="00A953DF">
        <w:rPr>
          <w:rFonts w:ascii="Arial Narrow" w:hAnsi="Arial Narrow"/>
          <w:b/>
          <w:sz w:val="20"/>
        </w:rPr>
        <w:t xml:space="preserve"> therapy</w:t>
      </w:r>
    </w:p>
    <w:tbl>
      <w:tblPr>
        <w:tblStyle w:val="TableGrid"/>
        <w:tblW w:w="0" w:type="auto"/>
        <w:tblInd w:w="817" w:type="dxa"/>
        <w:tblLook w:val="04A0" w:firstRow="1" w:lastRow="0" w:firstColumn="1" w:lastColumn="0" w:noHBand="0" w:noVBand="1"/>
        <w:tblCaption w:val="Response rates for nab-paclitaxel"/>
        <w:tblDescription w:val="Summary of response rates for HER2 positive or negative breast cancer with or without trastuzumab therapy"/>
      </w:tblPr>
      <w:tblGrid>
        <w:gridCol w:w="2552"/>
        <w:gridCol w:w="1984"/>
        <w:gridCol w:w="1843"/>
        <w:gridCol w:w="1984"/>
      </w:tblGrid>
      <w:tr w:rsidR="0087120E" w:rsidRPr="00A953DF" w:rsidTr="006309AC">
        <w:trPr>
          <w:tblHeader/>
        </w:trPr>
        <w:tc>
          <w:tcPr>
            <w:tcW w:w="2552" w:type="dxa"/>
          </w:tcPr>
          <w:p w:rsidR="0087120E" w:rsidRPr="00A953DF" w:rsidRDefault="0087120E" w:rsidP="00882085">
            <w:pPr>
              <w:jc w:val="both"/>
              <w:rPr>
                <w:rFonts w:ascii="Arial Narrow" w:hAnsi="Arial Narrow"/>
                <w:sz w:val="20"/>
                <w:szCs w:val="20"/>
              </w:rPr>
            </w:pPr>
          </w:p>
        </w:tc>
        <w:tc>
          <w:tcPr>
            <w:tcW w:w="1984" w:type="dxa"/>
          </w:tcPr>
          <w:p w:rsidR="0087120E" w:rsidRPr="00A953DF" w:rsidRDefault="0087120E" w:rsidP="006D5098">
            <w:pPr>
              <w:autoSpaceDE w:val="0"/>
              <w:autoSpaceDN w:val="0"/>
              <w:adjustRightInd w:val="0"/>
              <w:jc w:val="center"/>
              <w:rPr>
                <w:rFonts w:ascii="Arial Narrow" w:hAnsi="Arial Narrow" w:cs="ArialNarrow-Bold"/>
                <w:b/>
                <w:bCs/>
                <w:sz w:val="20"/>
                <w:szCs w:val="20"/>
              </w:rPr>
            </w:pPr>
            <w:r w:rsidRPr="00A953DF">
              <w:rPr>
                <w:rFonts w:ascii="Arial Narrow" w:hAnsi="Arial Narrow" w:cs="ArialNarrow-Bold"/>
                <w:b/>
                <w:bCs/>
                <w:sz w:val="20"/>
                <w:szCs w:val="20"/>
              </w:rPr>
              <w:t xml:space="preserve">Evaluable </w:t>
            </w:r>
            <w:r w:rsidR="003400D9" w:rsidRPr="00A953DF">
              <w:rPr>
                <w:rFonts w:ascii="Arial Narrow" w:hAnsi="Arial Narrow" w:cs="ArialNarrow-Bold"/>
                <w:b/>
                <w:bCs/>
                <w:sz w:val="20"/>
                <w:szCs w:val="20"/>
              </w:rPr>
              <w:t>p</w:t>
            </w:r>
            <w:r w:rsidRPr="00A953DF">
              <w:rPr>
                <w:rFonts w:ascii="Arial Narrow" w:hAnsi="Arial Narrow" w:cs="ArialNarrow-Bold"/>
                <w:b/>
                <w:bCs/>
                <w:sz w:val="20"/>
                <w:szCs w:val="20"/>
              </w:rPr>
              <w:t>opulation</w:t>
            </w:r>
          </w:p>
          <w:p w:rsidR="0087120E" w:rsidRPr="00A953DF" w:rsidRDefault="0087120E" w:rsidP="006D5098">
            <w:pPr>
              <w:jc w:val="center"/>
              <w:rPr>
                <w:rFonts w:ascii="Arial Narrow" w:hAnsi="Arial Narrow"/>
                <w:sz w:val="20"/>
                <w:szCs w:val="20"/>
              </w:rPr>
            </w:pPr>
            <w:r w:rsidRPr="00A953DF">
              <w:rPr>
                <w:rFonts w:ascii="Arial Narrow" w:hAnsi="Arial Narrow" w:cs="ArialNarrow-Bold"/>
                <w:b/>
                <w:bCs/>
                <w:sz w:val="20"/>
                <w:szCs w:val="20"/>
              </w:rPr>
              <w:t>(n = 64)</w:t>
            </w:r>
          </w:p>
        </w:tc>
        <w:tc>
          <w:tcPr>
            <w:tcW w:w="1843" w:type="dxa"/>
          </w:tcPr>
          <w:p w:rsidR="0087120E" w:rsidRPr="00A953DF" w:rsidRDefault="0087120E" w:rsidP="006D5098">
            <w:pPr>
              <w:autoSpaceDE w:val="0"/>
              <w:autoSpaceDN w:val="0"/>
              <w:adjustRightInd w:val="0"/>
              <w:jc w:val="center"/>
              <w:rPr>
                <w:rFonts w:ascii="Arial Narrow" w:hAnsi="Arial Narrow" w:cs="ArialNarrow-Bold"/>
                <w:b/>
                <w:bCs/>
                <w:sz w:val="20"/>
                <w:szCs w:val="20"/>
              </w:rPr>
            </w:pPr>
            <w:r w:rsidRPr="00A953DF">
              <w:rPr>
                <w:rFonts w:ascii="Arial Narrow" w:hAnsi="Arial Narrow" w:cs="ArialNarrow-Bold"/>
                <w:b/>
                <w:bCs/>
                <w:sz w:val="20"/>
                <w:szCs w:val="20"/>
              </w:rPr>
              <w:t>HER-2 positive</w:t>
            </w:r>
          </w:p>
          <w:p w:rsidR="0087120E" w:rsidRPr="00A953DF" w:rsidRDefault="0087120E" w:rsidP="006D5098">
            <w:pPr>
              <w:jc w:val="center"/>
              <w:rPr>
                <w:rFonts w:ascii="Arial Narrow" w:hAnsi="Arial Narrow"/>
                <w:sz w:val="20"/>
                <w:szCs w:val="20"/>
              </w:rPr>
            </w:pPr>
            <w:r w:rsidRPr="00A953DF">
              <w:rPr>
                <w:rFonts w:ascii="Arial Narrow" w:hAnsi="Arial Narrow" w:cs="ArialNarrow-Bold"/>
                <w:b/>
                <w:bCs/>
                <w:sz w:val="20"/>
                <w:szCs w:val="20"/>
              </w:rPr>
              <w:t>(n = 21)</w:t>
            </w:r>
          </w:p>
        </w:tc>
        <w:tc>
          <w:tcPr>
            <w:tcW w:w="1984" w:type="dxa"/>
          </w:tcPr>
          <w:p w:rsidR="0087120E" w:rsidRPr="00A953DF" w:rsidRDefault="0087120E" w:rsidP="006D5098">
            <w:pPr>
              <w:autoSpaceDE w:val="0"/>
              <w:autoSpaceDN w:val="0"/>
              <w:adjustRightInd w:val="0"/>
              <w:jc w:val="center"/>
              <w:rPr>
                <w:rFonts w:ascii="Arial Narrow" w:hAnsi="Arial Narrow" w:cs="ArialNarrow-Bold"/>
                <w:b/>
                <w:bCs/>
                <w:sz w:val="20"/>
                <w:szCs w:val="20"/>
              </w:rPr>
            </w:pPr>
            <w:r w:rsidRPr="00A953DF">
              <w:rPr>
                <w:rFonts w:ascii="Arial Narrow" w:hAnsi="Arial Narrow" w:cs="ArialNarrow-Bold"/>
                <w:b/>
                <w:bCs/>
                <w:sz w:val="20"/>
                <w:szCs w:val="20"/>
              </w:rPr>
              <w:t>HER-2 negative</w:t>
            </w:r>
          </w:p>
          <w:p w:rsidR="0087120E" w:rsidRPr="00A953DF" w:rsidRDefault="0087120E" w:rsidP="006D5098">
            <w:pPr>
              <w:jc w:val="center"/>
              <w:rPr>
                <w:rFonts w:ascii="Arial Narrow" w:hAnsi="Arial Narrow"/>
                <w:sz w:val="20"/>
                <w:szCs w:val="20"/>
              </w:rPr>
            </w:pPr>
            <w:r w:rsidRPr="00A953DF">
              <w:rPr>
                <w:rFonts w:ascii="Arial Narrow" w:hAnsi="Arial Narrow" w:cs="ArialNarrow-Bold"/>
                <w:b/>
                <w:bCs/>
                <w:sz w:val="20"/>
                <w:szCs w:val="20"/>
              </w:rPr>
              <w:t>(n = 42)</w:t>
            </w:r>
          </w:p>
        </w:tc>
      </w:tr>
      <w:tr w:rsidR="0087120E" w:rsidRPr="00A953DF" w:rsidTr="006A57F1">
        <w:tc>
          <w:tcPr>
            <w:tcW w:w="2552" w:type="dxa"/>
          </w:tcPr>
          <w:p w:rsidR="0087120E" w:rsidRPr="00A953DF" w:rsidRDefault="0087120E" w:rsidP="00882085">
            <w:pPr>
              <w:jc w:val="both"/>
              <w:rPr>
                <w:rFonts w:ascii="Arial Narrow" w:hAnsi="Arial Narrow"/>
                <w:sz w:val="20"/>
                <w:szCs w:val="20"/>
              </w:rPr>
            </w:pPr>
            <w:r w:rsidRPr="00A953DF">
              <w:rPr>
                <w:rFonts w:ascii="Arial Narrow" w:hAnsi="Arial Narrow"/>
                <w:sz w:val="20"/>
                <w:szCs w:val="20"/>
              </w:rPr>
              <w:t>Overall response, n (%)</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27 (42.2)</w:t>
            </w:r>
          </w:p>
        </w:tc>
        <w:tc>
          <w:tcPr>
            <w:tcW w:w="1843"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11 (52.4)</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16 (38.1)</w:t>
            </w:r>
          </w:p>
        </w:tc>
      </w:tr>
      <w:tr w:rsidR="0087120E" w:rsidRPr="00A953DF" w:rsidTr="006A57F1">
        <w:tc>
          <w:tcPr>
            <w:tcW w:w="2552" w:type="dxa"/>
          </w:tcPr>
          <w:p w:rsidR="0087120E" w:rsidRPr="00A953DF" w:rsidRDefault="0087120E" w:rsidP="00882085">
            <w:pPr>
              <w:jc w:val="both"/>
              <w:rPr>
                <w:rFonts w:ascii="Arial Narrow" w:hAnsi="Arial Narrow"/>
                <w:sz w:val="20"/>
                <w:szCs w:val="20"/>
              </w:rPr>
            </w:pPr>
            <w:r w:rsidRPr="00A953DF">
              <w:rPr>
                <w:rFonts w:ascii="Arial Narrow" w:hAnsi="Arial Narrow"/>
                <w:sz w:val="20"/>
                <w:szCs w:val="20"/>
              </w:rPr>
              <w:t>Complete response</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5</w:t>
            </w:r>
          </w:p>
        </w:tc>
        <w:tc>
          <w:tcPr>
            <w:tcW w:w="1843"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3</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2</w:t>
            </w:r>
          </w:p>
        </w:tc>
      </w:tr>
      <w:tr w:rsidR="0087120E" w:rsidRPr="00A953DF" w:rsidTr="006A57F1">
        <w:tc>
          <w:tcPr>
            <w:tcW w:w="2552" w:type="dxa"/>
          </w:tcPr>
          <w:p w:rsidR="0087120E" w:rsidRPr="00A953DF" w:rsidRDefault="0087120E" w:rsidP="00882085">
            <w:pPr>
              <w:jc w:val="both"/>
              <w:rPr>
                <w:rFonts w:ascii="Arial Narrow" w:hAnsi="Arial Narrow"/>
                <w:sz w:val="20"/>
                <w:szCs w:val="20"/>
              </w:rPr>
            </w:pPr>
            <w:r w:rsidRPr="00A953DF">
              <w:rPr>
                <w:rFonts w:ascii="Arial Narrow" w:hAnsi="Arial Narrow"/>
                <w:sz w:val="20"/>
                <w:szCs w:val="20"/>
              </w:rPr>
              <w:t>Partial response</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22</w:t>
            </w:r>
          </w:p>
        </w:tc>
        <w:tc>
          <w:tcPr>
            <w:tcW w:w="1843"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8</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14</w:t>
            </w:r>
          </w:p>
        </w:tc>
      </w:tr>
      <w:tr w:rsidR="0087120E" w:rsidRPr="00A953DF" w:rsidTr="006A57F1">
        <w:tc>
          <w:tcPr>
            <w:tcW w:w="2552" w:type="dxa"/>
          </w:tcPr>
          <w:p w:rsidR="0087120E" w:rsidRPr="00A953DF" w:rsidRDefault="0087120E" w:rsidP="00882085">
            <w:pPr>
              <w:jc w:val="both"/>
              <w:rPr>
                <w:rFonts w:ascii="Arial Narrow" w:hAnsi="Arial Narrow"/>
                <w:sz w:val="20"/>
                <w:szCs w:val="20"/>
              </w:rPr>
            </w:pPr>
            <w:r w:rsidRPr="00A953DF">
              <w:rPr>
                <w:rFonts w:ascii="Arial Narrow" w:hAnsi="Arial Narrow"/>
                <w:sz w:val="20"/>
                <w:szCs w:val="20"/>
              </w:rPr>
              <w:t>Stable disease</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17</w:t>
            </w:r>
          </w:p>
        </w:tc>
        <w:tc>
          <w:tcPr>
            <w:tcW w:w="1843"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4</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12</w:t>
            </w:r>
          </w:p>
        </w:tc>
      </w:tr>
      <w:tr w:rsidR="0087120E" w:rsidRPr="00A953DF" w:rsidTr="006A57F1">
        <w:tc>
          <w:tcPr>
            <w:tcW w:w="2552" w:type="dxa"/>
          </w:tcPr>
          <w:p w:rsidR="0087120E" w:rsidRPr="00A953DF" w:rsidRDefault="0087120E" w:rsidP="00882085">
            <w:pPr>
              <w:jc w:val="both"/>
              <w:rPr>
                <w:rFonts w:ascii="Arial Narrow" w:hAnsi="Arial Narrow"/>
                <w:sz w:val="20"/>
                <w:szCs w:val="20"/>
              </w:rPr>
            </w:pPr>
            <w:r w:rsidRPr="00A953DF">
              <w:rPr>
                <w:rFonts w:ascii="Arial Narrow" w:hAnsi="Arial Narrow"/>
                <w:sz w:val="20"/>
                <w:szCs w:val="20"/>
              </w:rPr>
              <w:t>Progressive disease</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20</w:t>
            </w:r>
          </w:p>
        </w:tc>
        <w:tc>
          <w:tcPr>
            <w:tcW w:w="1843"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6</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14</w:t>
            </w:r>
          </w:p>
        </w:tc>
      </w:tr>
      <w:tr w:rsidR="0087120E" w:rsidRPr="00A953DF" w:rsidTr="006A57F1">
        <w:tc>
          <w:tcPr>
            <w:tcW w:w="2552" w:type="dxa"/>
          </w:tcPr>
          <w:p w:rsidR="0087120E" w:rsidRPr="00A953DF" w:rsidRDefault="0087120E" w:rsidP="00882085">
            <w:pPr>
              <w:jc w:val="both"/>
              <w:rPr>
                <w:rFonts w:ascii="Arial Narrow" w:hAnsi="Arial Narrow"/>
                <w:sz w:val="20"/>
                <w:szCs w:val="20"/>
              </w:rPr>
            </w:pPr>
          </w:p>
        </w:tc>
        <w:tc>
          <w:tcPr>
            <w:tcW w:w="1984" w:type="dxa"/>
          </w:tcPr>
          <w:p w:rsidR="0087120E" w:rsidRPr="00A953DF" w:rsidRDefault="0087120E" w:rsidP="006D5098">
            <w:pPr>
              <w:jc w:val="center"/>
              <w:rPr>
                <w:rFonts w:ascii="Arial Narrow" w:hAnsi="Arial Narrow"/>
                <w:b/>
                <w:bCs/>
                <w:sz w:val="20"/>
                <w:szCs w:val="20"/>
              </w:rPr>
            </w:pPr>
            <w:r w:rsidRPr="00A953DF">
              <w:rPr>
                <w:rFonts w:ascii="Arial Narrow" w:hAnsi="Arial Narrow"/>
                <w:b/>
                <w:bCs/>
                <w:sz w:val="20"/>
                <w:szCs w:val="20"/>
              </w:rPr>
              <w:t>ITT</w:t>
            </w:r>
          </w:p>
          <w:p w:rsidR="0087120E" w:rsidRPr="00A953DF" w:rsidRDefault="0087120E" w:rsidP="006D5098">
            <w:pPr>
              <w:jc w:val="center"/>
              <w:rPr>
                <w:rFonts w:ascii="Arial Narrow" w:hAnsi="Arial Narrow"/>
                <w:sz w:val="20"/>
                <w:szCs w:val="20"/>
              </w:rPr>
            </w:pPr>
            <w:r w:rsidRPr="00A953DF">
              <w:rPr>
                <w:rFonts w:ascii="Arial Narrow" w:hAnsi="Arial Narrow"/>
                <w:b/>
                <w:bCs/>
                <w:sz w:val="20"/>
                <w:szCs w:val="20"/>
              </w:rPr>
              <w:t>(n = 72)</w:t>
            </w:r>
          </w:p>
        </w:tc>
        <w:tc>
          <w:tcPr>
            <w:tcW w:w="1843" w:type="dxa"/>
          </w:tcPr>
          <w:p w:rsidR="0087120E" w:rsidRPr="00A953DF" w:rsidRDefault="0087120E" w:rsidP="006D5098">
            <w:pPr>
              <w:jc w:val="center"/>
              <w:rPr>
                <w:rFonts w:ascii="Arial Narrow" w:hAnsi="Arial Narrow"/>
                <w:b/>
                <w:bCs/>
                <w:sz w:val="20"/>
                <w:szCs w:val="20"/>
              </w:rPr>
            </w:pPr>
            <w:r w:rsidRPr="00A953DF">
              <w:rPr>
                <w:rFonts w:ascii="Arial Narrow" w:hAnsi="Arial Narrow"/>
                <w:b/>
                <w:bCs/>
                <w:sz w:val="20"/>
                <w:szCs w:val="20"/>
              </w:rPr>
              <w:t>HER-2 positive</w:t>
            </w:r>
            <w:r w:rsidR="003400D9" w:rsidRPr="00A953DF">
              <w:rPr>
                <w:rFonts w:ascii="Arial Narrow" w:hAnsi="Arial Narrow"/>
                <w:b/>
                <w:bCs/>
                <w:sz w:val="20"/>
                <w:szCs w:val="20"/>
              </w:rPr>
              <w:t xml:space="preserve"> </w:t>
            </w:r>
            <w:r w:rsidRPr="00A953DF">
              <w:rPr>
                <w:rFonts w:ascii="Arial Narrow" w:hAnsi="Arial Narrow"/>
                <w:b/>
                <w:bCs/>
                <w:sz w:val="20"/>
                <w:szCs w:val="20"/>
                <w:vertAlign w:val="superscript"/>
              </w:rPr>
              <w:t>a</w:t>
            </w:r>
          </w:p>
          <w:p w:rsidR="0087120E" w:rsidRPr="00A953DF" w:rsidRDefault="0087120E" w:rsidP="006D5098">
            <w:pPr>
              <w:jc w:val="center"/>
              <w:rPr>
                <w:rFonts w:ascii="Arial Narrow" w:hAnsi="Arial Narrow"/>
                <w:sz w:val="20"/>
                <w:szCs w:val="20"/>
              </w:rPr>
            </w:pPr>
            <w:r w:rsidRPr="00A953DF">
              <w:rPr>
                <w:rFonts w:ascii="Arial Narrow" w:hAnsi="Arial Narrow"/>
                <w:b/>
                <w:bCs/>
                <w:sz w:val="20"/>
                <w:szCs w:val="20"/>
              </w:rPr>
              <w:t>(n = 21)</w:t>
            </w:r>
          </w:p>
        </w:tc>
        <w:tc>
          <w:tcPr>
            <w:tcW w:w="1984" w:type="dxa"/>
          </w:tcPr>
          <w:p w:rsidR="0087120E" w:rsidRPr="00A953DF" w:rsidRDefault="0087120E" w:rsidP="006D5098">
            <w:pPr>
              <w:jc w:val="center"/>
              <w:rPr>
                <w:rFonts w:ascii="Arial Narrow" w:hAnsi="Arial Narrow"/>
                <w:b/>
                <w:bCs/>
                <w:sz w:val="20"/>
                <w:szCs w:val="20"/>
              </w:rPr>
            </w:pPr>
            <w:r w:rsidRPr="00A953DF">
              <w:rPr>
                <w:rFonts w:ascii="Arial Narrow" w:hAnsi="Arial Narrow"/>
                <w:b/>
                <w:bCs/>
                <w:sz w:val="20"/>
                <w:szCs w:val="20"/>
              </w:rPr>
              <w:t>HER-2 negative</w:t>
            </w:r>
            <w:r w:rsidR="003400D9" w:rsidRPr="00A953DF">
              <w:rPr>
                <w:rFonts w:ascii="Arial Narrow" w:hAnsi="Arial Narrow"/>
                <w:b/>
                <w:bCs/>
                <w:sz w:val="20"/>
                <w:szCs w:val="20"/>
              </w:rPr>
              <w:t xml:space="preserve"> </w:t>
            </w:r>
            <w:r w:rsidRPr="00A953DF">
              <w:rPr>
                <w:rFonts w:ascii="Arial Narrow" w:hAnsi="Arial Narrow"/>
                <w:b/>
                <w:bCs/>
                <w:sz w:val="20"/>
                <w:szCs w:val="20"/>
                <w:vertAlign w:val="superscript"/>
              </w:rPr>
              <w:t>a</w:t>
            </w:r>
          </w:p>
          <w:p w:rsidR="0087120E" w:rsidRPr="00A953DF" w:rsidRDefault="0087120E" w:rsidP="006D5098">
            <w:pPr>
              <w:jc w:val="center"/>
              <w:rPr>
                <w:rFonts w:ascii="Arial Narrow" w:hAnsi="Arial Narrow"/>
                <w:sz w:val="20"/>
                <w:szCs w:val="20"/>
              </w:rPr>
            </w:pPr>
            <w:r w:rsidRPr="00A953DF">
              <w:rPr>
                <w:rFonts w:ascii="Arial Narrow" w:hAnsi="Arial Narrow"/>
                <w:b/>
                <w:bCs/>
                <w:sz w:val="20"/>
                <w:szCs w:val="20"/>
              </w:rPr>
              <w:t>(n = 42)</w:t>
            </w:r>
          </w:p>
        </w:tc>
      </w:tr>
      <w:tr w:rsidR="0087120E" w:rsidRPr="00A953DF" w:rsidTr="006A57F1">
        <w:tc>
          <w:tcPr>
            <w:tcW w:w="2552" w:type="dxa"/>
          </w:tcPr>
          <w:p w:rsidR="0087120E" w:rsidRPr="00A953DF" w:rsidRDefault="0087120E" w:rsidP="00882085">
            <w:pPr>
              <w:jc w:val="both"/>
              <w:rPr>
                <w:rFonts w:ascii="Arial Narrow" w:hAnsi="Arial Narrow"/>
                <w:sz w:val="20"/>
                <w:szCs w:val="20"/>
              </w:rPr>
            </w:pPr>
            <w:r w:rsidRPr="00A953DF">
              <w:rPr>
                <w:rFonts w:ascii="Arial Narrow" w:hAnsi="Arial Narrow"/>
                <w:sz w:val="20"/>
                <w:szCs w:val="20"/>
              </w:rPr>
              <w:t>Median PFS, months (range)</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14.5 (1-49.3)</w:t>
            </w:r>
          </w:p>
        </w:tc>
        <w:tc>
          <w:tcPr>
            <w:tcW w:w="1843"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18.7</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12.8</w:t>
            </w:r>
          </w:p>
        </w:tc>
      </w:tr>
      <w:tr w:rsidR="0087120E" w:rsidRPr="00A953DF" w:rsidTr="006A57F1">
        <w:tc>
          <w:tcPr>
            <w:tcW w:w="2552" w:type="dxa"/>
          </w:tcPr>
          <w:p w:rsidR="0087120E" w:rsidRPr="00A953DF" w:rsidRDefault="0087120E" w:rsidP="00882085">
            <w:pPr>
              <w:jc w:val="both"/>
              <w:rPr>
                <w:rFonts w:ascii="Arial Narrow" w:hAnsi="Arial Narrow"/>
                <w:sz w:val="20"/>
                <w:szCs w:val="20"/>
              </w:rPr>
            </w:pPr>
            <w:r w:rsidRPr="00A953DF">
              <w:rPr>
                <w:rFonts w:ascii="Arial Narrow" w:hAnsi="Arial Narrow"/>
                <w:sz w:val="20"/>
                <w:szCs w:val="20"/>
              </w:rPr>
              <w:t>Median OS, months (range)</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29 (1-49.3)</w:t>
            </w:r>
          </w:p>
        </w:tc>
        <w:tc>
          <w:tcPr>
            <w:tcW w:w="1843"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36.8</w:t>
            </w:r>
          </w:p>
        </w:tc>
        <w:tc>
          <w:tcPr>
            <w:tcW w:w="1984" w:type="dxa"/>
          </w:tcPr>
          <w:p w:rsidR="0087120E" w:rsidRPr="00A953DF" w:rsidRDefault="0087120E" w:rsidP="006D5098">
            <w:pPr>
              <w:jc w:val="center"/>
              <w:rPr>
                <w:rFonts w:ascii="Arial Narrow" w:hAnsi="Arial Narrow"/>
                <w:sz w:val="20"/>
                <w:szCs w:val="20"/>
              </w:rPr>
            </w:pPr>
            <w:r w:rsidRPr="00A953DF">
              <w:rPr>
                <w:rFonts w:ascii="Arial Narrow" w:hAnsi="Arial Narrow"/>
                <w:sz w:val="20"/>
                <w:szCs w:val="20"/>
              </w:rPr>
              <w:t>27.3</w:t>
            </w:r>
          </w:p>
        </w:tc>
      </w:tr>
    </w:tbl>
    <w:p w:rsidR="00DF26A7" w:rsidRPr="00A953DF" w:rsidRDefault="006A57F1" w:rsidP="006A57F1">
      <w:pPr>
        <w:ind w:firstLine="709"/>
        <w:jc w:val="both"/>
        <w:rPr>
          <w:rFonts w:ascii="Arial Narrow" w:hAnsi="Arial Narrow"/>
          <w:sz w:val="20"/>
          <w:szCs w:val="20"/>
        </w:rPr>
      </w:pPr>
      <w:r w:rsidRPr="00A953DF">
        <w:rPr>
          <w:rFonts w:ascii="Arial Narrow" w:hAnsi="Arial Narrow"/>
          <w:sz w:val="20"/>
          <w:szCs w:val="20"/>
        </w:rPr>
        <w:t xml:space="preserve">Adapted from </w:t>
      </w:r>
      <w:proofErr w:type="spellStart"/>
      <w:r w:rsidRPr="00A953DF">
        <w:rPr>
          <w:rFonts w:ascii="Arial Narrow" w:hAnsi="Arial Narrow"/>
          <w:sz w:val="20"/>
          <w:szCs w:val="20"/>
        </w:rPr>
        <w:t>Mirtsching</w:t>
      </w:r>
      <w:proofErr w:type="spellEnd"/>
      <w:r w:rsidRPr="00A953DF">
        <w:rPr>
          <w:rFonts w:ascii="Arial Narrow" w:hAnsi="Arial Narrow"/>
          <w:sz w:val="20"/>
          <w:szCs w:val="20"/>
        </w:rPr>
        <w:t xml:space="preserve"> et al. 2011</w:t>
      </w:r>
    </w:p>
    <w:p w:rsidR="006A57F1" w:rsidRPr="00A953DF" w:rsidRDefault="006A57F1" w:rsidP="006A57F1">
      <w:pPr>
        <w:ind w:firstLine="709"/>
        <w:jc w:val="both"/>
        <w:rPr>
          <w:rFonts w:ascii="Arial Narrow" w:hAnsi="Arial Narrow"/>
          <w:sz w:val="20"/>
          <w:szCs w:val="20"/>
        </w:rPr>
      </w:pPr>
      <w:proofErr w:type="gramStart"/>
      <w:r w:rsidRPr="00A953DF">
        <w:rPr>
          <w:rFonts w:ascii="Arial Narrow" w:hAnsi="Arial Narrow"/>
          <w:sz w:val="20"/>
          <w:szCs w:val="20"/>
          <w:vertAlign w:val="superscript"/>
        </w:rPr>
        <w:t>a</w:t>
      </w:r>
      <w:proofErr w:type="gramEnd"/>
      <w:r w:rsidR="006D5098" w:rsidRPr="00A953DF">
        <w:rPr>
          <w:rFonts w:ascii="Arial Narrow" w:hAnsi="Arial Narrow"/>
          <w:sz w:val="20"/>
          <w:szCs w:val="20"/>
          <w:vertAlign w:val="superscript"/>
        </w:rPr>
        <w:t xml:space="preserve"> </w:t>
      </w:r>
      <w:r w:rsidRPr="00A953DF">
        <w:rPr>
          <w:rFonts w:ascii="Arial Narrow" w:hAnsi="Arial Narrow"/>
          <w:sz w:val="20"/>
          <w:szCs w:val="20"/>
        </w:rPr>
        <w:t>No significant difference in PFS or OS between HER-2 positive and HER-2 negative groups.</w:t>
      </w:r>
    </w:p>
    <w:p w:rsidR="006A57F1" w:rsidRPr="00A953DF" w:rsidRDefault="006A57F1" w:rsidP="006A57F1">
      <w:pPr>
        <w:ind w:firstLine="709"/>
        <w:jc w:val="both"/>
        <w:rPr>
          <w:rFonts w:ascii="Arial" w:hAnsi="Arial"/>
          <w:sz w:val="22"/>
          <w:szCs w:val="22"/>
        </w:rPr>
      </w:pPr>
      <w:r w:rsidRPr="00A953DF">
        <w:rPr>
          <w:rFonts w:ascii="Arial Narrow" w:hAnsi="Arial Narrow"/>
          <w:sz w:val="20"/>
          <w:szCs w:val="20"/>
        </w:rPr>
        <w:t>Abbreviations: ITT, intent-to-treat; OS, overall survival; PFS, progression-free survival</w:t>
      </w:r>
    </w:p>
    <w:p w:rsidR="009A046F" w:rsidRPr="00A953DF" w:rsidRDefault="009A046F" w:rsidP="006D5098">
      <w:pPr>
        <w:jc w:val="both"/>
        <w:rPr>
          <w:rFonts w:ascii="Arial" w:hAnsi="Arial"/>
          <w:sz w:val="22"/>
          <w:szCs w:val="22"/>
        </w:rPr>
      </w:pPr>
    </w:p>
    <w:p w:rsidR="006A57F1" w:rsidRPr="00A953DF" w:rsidRDefault="006A57F1" w:rsidP="006A57F1">
      <w:pPr>
        <w:pStyle w:val="ListParagraph"/>
        <w:numPr>
          <w:ilvl w:val="1"/>
          <w:numId w:val="25"/>
        </w:numPr>
        <w:jc w:val="both"/>
        <w:rPr>
          <w:rFonts w:ascii="Arial" w:hAnsi="Arial"/>
          <w:sz w:val="22"/>
          <w:szCs w:val="22"/>
        </w:rPr>
      </w:pPr>
      <w:r w:rsidRPr="00A953DF">
        <w:rPr>
          <w:rFonts w:ascii="Arial" w:hAnsi="Arial"/>
          <w:sz w:val="22"/>
          <w:szCs w:val="22"/>
        </w:rPr>
        <w:t xml:space="preserve">The </w:t>
      </w:r>
      <w:r w:rsidR="009A046F" w:rsidRPr="00A953DF">
        <w:rPr>
          <w:rFonts w:ascii="Arial" w:hAnsi="Arial"/>
          <w:sz w:val="22"/>
          <w:szCs w:val="22"/>
        </w:rPr>
        <w:t>submission proposed that there was a trend favouring improved OS and PFS in the HER-2 positive cohort, but this did not reach statistical significance.</w:t>
      </w:r>
    </w:p>
    <w:p w:rsidR="009A046F" w:rsidRPr="00A953DF" w:rsidRDefault="009A046F" w:rsidP="009A046F">
      <w:pPr>
        <w:jc w:val="both"/>
        <w:rPr>
          <w:rFonts w:ascii="Arial" w:hAnsi="Arial"/>
          <w:sz w:val="22"/>
          <w:szCs w:val="22"/>
        </w:rPr>
      </w:pPr>
    </w:p>
    <w:p w:rsidR="009A046F" w:rsidRPr="00A953DF" w:rsidRDefault="009A046F" w:rsidP="006A57F1">
      <w:pPr>
        <w:pStyle w:val="ListParagraph"/>
        <w:numPr>
          <w:ilvl w:val="1"/>
          <w:numId w:val="25"/>
        </w:numPr>
        <w:jc w:val="both"/>
        <w:rPr>
          <w:rFonts w:ascii="Arial" w:hAnsi="Arial"/>
          <w:sz w:val="22"/>
          <w:szCs w:val="22"/>
        </w:rPr>
      </w:pPr>
      <w:r w:rsidRPr="00A953DF">
        <w:rPr>
          <w:rFonts w:ascii="Arial" w:hAnsi="Arial"/>
          <w:sz w:val="22"/>
          <w:szCs w:val="22"/>
        </w:rPr>
        <w:t xml:space="preserve">The overall response rate </w:t>
      </w:r>
      <w:r w:rsidR="00182D40" w:rsidRPr="00A953DF">
        <w:rPr>
          <w:rFonts w:ascii="Arial" w:hAnsi="Arial"/>
          <w:sz w:val="22"/>
          <w:szCs w:val="22"/>
        </w:rPr>
        <w:t xml:space="preserve">in the study conducted by Colin et al </w:t>
      </w:r>
      <w:r w:rsidRPr="00A953DF">
        <w:rPr>
          <w:rFonts w:ascii="Arial" w:hAnsi="Arial"/>
          <w:sz w:val="22"/>
          <w:szCs w:val="22"/>
        </w:rPr>
        <w:t>was 63% with 3 confirmed complete responses a</w:t>
      </w:r>
      <w:r w:rsidR="00B819BA" w:rsidRPr="00A953DF">
        <w:rPr>
          <w:rFonts w:ascii="Arial" w:hAnsi="Arial"/>
          <w:sz w:val="22"/>
          <w:szCs w:val="22"/>
        </w:rPr>
        <w:t xml:space="preserve">nd 17 partial responses with a </w:t>
      </w:r>
      <w:r w:rsidRPr="00A953DF">
        <w:rPr>
          <w:rFonts w:ascii="Arial" w:hAnsi="Arial"/>
          <w:sz w:val="22"/>
          <w:szCs w:val="22"/>
        </w:rPr>
        <w:t xml:space="preserve">median PFS of </w:t>
      </w:r>
      <w:r w:rsidR="00EA30F0" w:rsidRPr="00A953DF">
        <w:rPr>
          <w:rFonts w:ascii="Arial" w:hAnsi="Arial"/>
          <w:sz w:val="22"/>
          <w:szCs w:val="22"/>
        </w:rPr>
        <w:t>16.6 months.</w:t>
      </w:r>
    </w:p>
    <w:p w:rsidR="006A57F1" w:rsidRPr="00A953DF" w:rsidRDefault="006A57F1" w:rsidP="00882085">
      <w:pPr>
        <w:jc w:val="both"/>
        <w:rPr>
          <w:rFonts w:ascii="Arial" w:hAnsi="Arial"/>
          <w:sz w:val="22"/>
          <w:szCs w:val="22"/>
        </w:rPr>
      </w:pPr>
    </w:p>
    <w:p w:rsidR="00240253" w:rsidRPr="00A953DF" w:rsidRDefault="00240253" w:rsidP="00240253">
      <w:pPr>
        <w:numPr>
          <w:ilvl w:val="1"/>
          <w:numId w:val="25"/>
        </w:numPr>
        <w:jc w:val="both"/>
        <w:rPr>
          <w:rFonts w:ascii="Arial" w:hAnsi="Arial"/>
          <w:sz w:val="22"/>
          <w:szCs w:val="22"/>
        </w:rPr>
      </w:pPr>
      <w:r w:rsidRPr="00A953DF">
        <w:rPr>
          <w:rFonts w:ascii="Arial" w:hAnsi="Arial"/>
          <w:sz w:val="22"/>
          <w:szCs w:val="22"/>
        </w:rPr>
        <w:t>As this was a minor submission, the results have not been independently evaluated.</w:t>
      </w:r>
      <w:r w:rsidR="003400D9" w:rsidRPr="00A953DF">
        <w:rPr>
          <w:rFonts w:ascii="Arial" w:hAnsi="Arial"/>
          <w:sz w:val="22"/>
          <w:szCs w:val="22"/>
        </w:rPr>
        <w:t xml:space="preserve"> Their relevance to the comparison with </w:t>
      </w:r>
      <w:r w:rsidR="00F6220E" w:rsidRPr="00A953DF">
        <w:rPr>
          <w:rFonts w:ascii="Arial" w:hAnsi="Arial"/>
          <w:sz w:val="22"/>
          <w:szCs w:val="22"/>
        </w:rPr>
        <w:t xml:space="preserve">solvent-based </w:t>
      </w:r>
      <w:r w:rsidR="00247B8F" w:rsidRPr="00A953DF">
        <w:rPr>
          <w:rFonts w:ascii="Arial" w:hAnsi="Arial"/>
          <w:sz w:val="22"/>
          <w:szCs w:val="22"/>
        </w:rPr>
        <w:t xml:space="preserve">paclitaxel and </w:t>
      </w:r>
      <w:proofErr w:type="spellStart"/>
      <w:r w:rsidR="00247B8F" w:rsidRPr="00A953DF">
        <w:rPr>
          <w:rFonts w:ascii="Arial" w:hAnsi="Arial"/>
          <w:sz w:val="22"/>
          <w:szCs w:val="22"/>
        </w:rPr>
        <w:t>docetaxel</w:t>
      </w:r>
      <w:proofErr w:type="spellEnd"/>
      <w:r w:rsidR="003400D9" w:rsidRPr="00A953DF">
        <w:rPr>
          <w:rFonts w:ascii="Arial" w:hAnsi="Arial"/>
          <w:sz w:val="22"/>
          <w:szCs w:val="22"/>
        </w:rPr>
        <w:t xml:space="preserve"> in the context of </w:t>
      </w:r>
      <w:proofErr w:type="spellStart"/>
      <w:r w:rsidR="003400D9" w:rsidRPr="00A953DF">
        <w:rPr>
          <w:rFonts w:ascii="Arial" w:hAnsi="Arial"/>
          <w:sz w:val="22"/>
          <w:szCs w:val="22"/>
        </w:rPr>
        <w:t>trastuzumab</w:t>
      </w:r>
      <w:proofErr w:type="spellEnd"/>
      <w:r w:rsidR="003400D9" w:rsidRPr="00A953DF">
        <w:rPr>
          <w:rFonts w:ascii="Arial" w:hAnsi="Arial"/>
          <w:sz w:val="22"/>
          <w:szCs w:val="22"/>
        </w:rPr>
        <w:t xml:space="preserve"> is not clear</w:t>
      </w:r>
      <w:r w:rsidR="007314AA" w:rsidRPr="00A953DF">
        <w:rPr>
          <w:rFonts w:ascii="Arial" w:hAnsi="Arial"/>
          <w:sz w:val="22"/>
          <w:szCs w:val="22"/>
        </w:rPr>
        <w:t>. However</w:t>
      </w:r>
      <w:r w:rsidR="003400D9" w:rsidRPr="00A953DF">
        <w:rPr>
          <w:rFonts w:ascii="Arial" w:hAnsi="Arial"/>
          <w:sz w:val="22"/>
          <w:szCs w:val="22"/>
        </w:rPr>
        <w:t>, the</w:t>
      </w:r>
      <w:r w:rsidR="00F977F5" w:rsidRPr="00A953DF">
        <w:rPr>
          <w:rFonts w:ascii="Arial" w:hAnsi="Arial"/>
          <w:sz w:val="22"/>
          <w:szCs w:val="22"/>
        </w:rPr>
        <w:t xml:space="preserve"> submission has</w:t>
      </w:r>
      <w:r w:rsidR="007314AA" w:rsidRPr="00A953DF">
        <w:rPr>
          <w:rFonts w:ascii="Arial" w:hAnsi="Arial"/>
          <w:sz w:val="22"/>
          <w:szCs w:val="22"/>
        </w:rPr>
        <w:t xml:space="preserve"> confirm</w:t>
      </w:r>
      <w:r w:rsidR="00F977F5" w:rsidRPr="00A953DF">
        <w:rPr>
          <w:rFonts w:ascii="Arial" w:hAnsi="Arial"/>
          <w:sz w:val="22"/>
          <w:szCs w:val="22"/>
        </w:rPr>
        <w:t>ed</w:t>
      </w:r>
      <w:r w:rsidR="007314AA" w:rsidRPr="00A953DF">
        <w:rPr>
          <w:rFonts w:ascii="Arial" w:hAnsi="Arial"/>
          <w:sz w:val="22"/>
          <w:szCs w:val="22"/>
        </w:rPr>
        <w:t xml:space="preserve"> that </w:t>
      </w:r>
      <w:r w:rsidR="003400D9" w:rsidRPr="00A953DF">
        <w:rPr>
          <w:rFonts w:ascii="Arial" w:hAnsi="Arial"/>
          <w:sz w:val="22"/>
          <w:szCs w:val="22"/>
        </w:rPr>
        <w:t xml:space="preserve">studies have been conducted involving </w:t>
      </w:r>
      <w:r w:rsidR="003400D9" w:rsidRPr="00A953DF">
        <w:rPr>
          <w:rFonts w:ascii="Arial" w:hAnsi="Arial"/>
          <w:i/>
          <w:sz w:val="22"/>
          <w:szCs w:val="22"/>
        </w:rPr>
        <w:t>nab</w:t>
      </w:r>
      <w:r w:rsidR="003400D9" w:rsidRPr="00A953DF">
        <w:rPr>
          <w:rFonts w:ascii="Arial" w:hAnsi="Arial"/>
          <w:sz w:val="22"/>
          <w:szCs w:val="22"/>
        </w:rPr>
        <w:t xml:space="preserve">-paclitaxel and </w:t>
      </w:r>
      <w:proofErr w:type="spellStart"/>
      <w:r w:rsidR="003400D9" w:rsidRPr="00A953DF">
        <w:rPr>
          <w:rFonts w:ascii="Arial" w:hAnsi="Arial"/>
          <w:sz w:val="22"/>
          <w:szCs w:val="22"/>
        </w:rPr>
        <w:t>trastuzumab</w:t>
      </w:r>
      <w:proofErr w:type="spellEnd"/>
      <w:r w:rsidR="003400D9" w:rsidRPr="00A953DF">
        <w:rPr>
          <w:rFonts w:ascii="Arial" w:hAnsi="Arial"/>
          <w:sz w:val="22"/>
          <w:szCs w:val="22"/>
        </w:rPr>
        <w:t xml:space="preserve"> in advanced breast cancer.</w:t>
      </w:r>
    </w:p>
    <w:p w:rsidR="00EB1638" w:rsidRDefault="00EB1638" w:rsidP="00882085">
      <w:pPr>
        <w:jc w:val="both"/>
        <w:rPr>
          <w:rFonts w:ascii="Arial" w:hAnsi="Arial"/>
          <w:b/>
          <w:i/>
          <w:sz w:val="22"/>
          <w:szCs w:val="22"/>
        </w:rPr>
      </w:pPr>
    </w:p>
    <w:p w:rsidR="005A3173" w:rsidRPr="00A953DF" w:rsidRDefault="005A3173" w:rsidP="009659F7">
      <w:pPr>
        <w:pStyle w:val="Heading2"/>
      </w:pPr>
      <w:r w:rsidRPr="00A953DF">
        <w:t>Clinical claim</w:t>
      </w:r>
    </w:p>
    <w:p w:rsidR="005A3173" w:rsidRPr="00A953DF" w:rsidRDefault="005A3173" w:rsidP="00882085">
      <w:pPr>
        <w:ind w:left="720" w:hanging="720"/>
        <w:jc w:val="both"/>
        <w:rPr>
          <w:rFonts w:ascii="Arial" w:hAnsi="Arial"/>
          <w:sz w:val="22"/>
          <w:szCs w:val="22"/>
        </w:rPr>
      </w:pPr>
    </w:p>
    <w:p w:rsidR="005261B7" w:rsidRPr="00A953DF" w:rsidRDefault="00182D40" w:rsidP="001911C4">
      <w:pPr>
        <w:pStyle w:val="ListParagraph"/>
        <w:numPr>
          <w:ilvl w:val="1"/>
          <w:numId w:val="25"/>
        </w:numPr>
        <w:jc w:val="both"/>
        <w:rPr>
          <w:rFonts w:ascii="Arial" w:hAnsi="Arial"/>
          <w:sz w:val="22"/>
          <w:szCs w:val="22"/>
        </w:rPr>
      </w:pPr>
      <w:r w:rsidRPr="00A953DF">
        <w:rPr>
          <w:rFonts w:ascii="Arial" w:hAnsi="Arial"/>
          <w:sz w:val="22"/>
          <w:szCs w:val="22"/>
        </w:rPr>
        <w:t xml:space="preserve">The November 2008 submission claimed that </w:t>
      </w:r>
      <w:r w:rsidR="00B819BA" w:rsidRPr="00A953DF">
        <w:rPr>
          <w:rFonts w:ascii="Arial" w:hAnsi="Arial"/>
          <w:i/>
          <w:sz w:val="22"/>
          <w:szCs w:val="22"/>
        </w:rPr>
        <w:t>nab-</w:t>
      </w:r>
      <w:r w:rsidR="00B819BA" w:rsidRPr="00A953DF">
        <w:rPr>
          <w:rFonts w:ascii="Arial" w:hAnsi="Arial"/>
          <w:sz w:val="22"/>
          <w:szCs w:val="22"/>
        </w:rPr>
        <w:t>paclitaxel</w:t>
      </w:r>
      <w:r w:rsidRPr="00A953DF">
        <w:rPr>
          <w:rFonts w:ascii="Arial" w:hAnsi="Arial"/>
          <w:sz w:val="22"/>
          <w:szCs w:val="22"/>
        </w:rPr>
        <w:t xml:space="preserve"> offers numerous clinical advantages (i.e. superior response rates, progression-free survival, overall survival, reduced adverse events, and greater convenience in administration) over solvent-based paclitaxel</w:t>
      </w:r>
      <w:r w:rsidR="00371294" w:rsidRPr="00A953DF">
        <w:rPr>
          <w:rFonts w:ascii="Arial" w:hAnsi="Arial"/>
          <w:sz w:val="22"/>
          <w:szCs w:val="22"/>
        </w:rPr>
        <w:t xml:space="preserve"> (</w:t>
      </w:r>
      <w:r w:rsidR="005261B7" w:rsidRPr="00A953DF">
        <w:rPr>
          <w:rFonts w:ascii="Arial" w:hAnsi="Arial"/>
          <w:sz w:val="22"/>
          <w:szCs w:val="22"/>
        </w:rPr>
        <w:t xml:space="preserve">Minutes, </w:t>
      </w:r>
      <w:r w:rsidR="00371294" w:rsidRPr="00A953DF">
        <w:rPr>
          <w:rFonts w:ascii="Arial" w:hAnsi="Arial"/>
          <w:sz w:val="22"/>
          <w:szCs w:val="22"/>
        </w:rPr>
        <w:t xml:space="preserve">December 2008 PBAC </w:t>
      </w:r>
      <w:r w:rsidR="005261B7" w:rsidRPr="00A953DF">
        <w:rPr>
          <w:rFonts w:ascii="Arial" w:hAnsi="Arial"/>
          <w:sz w:val="22"/>
          <w:szCs w:val="22"/>
        </w:rPr>
        <w:t>Meeting</w:t>
      </w:r>
      <w:r w:rsidR="00371294" w:rsidRPr="00A953DF">
        <w:rPr>
          <w:rFonts w:ascii="Arial" w:hAnsi="Arial"/>
          <w:sz w:val="22"/>
          <w:szCs w:val="22"/>
        </w:rPr>
        <w:t>)</w:t>
      </w:r>
      <w:r w:rsidRPr="00A953DF">
        <w:rPr>
          <w:rFonts w:ascii="Arial" w:hAnsi="Arial"/>
          <w:sz w:val="22"/>
          <w:szCs w:val="22"/>
        </w:rPr>
        <w:t>.</w:t>
      </w:r>
    </w:p>
    <w:p w:rsidR="005261B7" w:rsidRPr="00A953DF" w:rsidRDefault="005261B7" w:rsidP="005261B7">
      <w:pPr>
        <w:jc w:val="both"/>
        <w:rPr>
          <w:rFonts w:ascii="Arial" w:hAnsi="Arial"/>
          <w:sz w:val="22"/>
          <w:szCs w:val="22"/>
        </w:rPr>
      </w:pPr>
    </w:p>
    <w:p w:rsidR="00F57A6D" w:rsidRPr="00A953DF" w:rsidRDefault="00371294" w:rsidP="00882085">
      <w:pPr>
        <w:pStyle w:val="ListParagraph"/>
        <w:numPr>
          <w:ilvl w:val="1"/>
          <w:numId w:val="25"/>
        </w:numPr>
        <w:jc w:val="both"/>
        <w:rPr>
          <w:rFonts w:ascii="Arial" w:hAnsi="Arial"/>
          <w:sz w:val="22"/>
          <w:szCs w:val="22"/>
        </w:rPr>
      </w:pPr>
      <w:r w:rsidRPr="00A953DF">
        <w:rPr>
          <w:rFonts w:ascii="Arial" w:hAnsi="Arial"/>
          <w:sz w:val="22"/>
          <w:szCs w:val="22"/>
        </w:rPr>
        <w:t xml:space="preserve">At the November 2008 PBAC meeting, the </w:t>
      </w:r>
      <w:r w:rsidR="00B819BA" w:rsidRPr="00A953DF">
        <w:rPr>
          <w:rFonts w:ascii="Arial" w:hAnsi="Arial"/>
          <w:i/>
          <w:sz w:val="22"/>
          <w:szCs w:val="22"/>
        </w:rPr>
        <w:t>nab-</w:t>
      </w:r>
      <w:r w:rsidR="00B819BA" w:rsidRPr="00A953DF">
        <w:rPr>
          <w:rFonts w:ascii="Arial" w:hAnsi="Arial"/>
          <w:sz w:val="22"/>
          <w:szCs w:val="22"/>
        </w:rPr>
        <w:t>paclitaxel</w:t>
      </w:r>
      <w:r w:rsidRPr="00A953DF">
        <w:rPr>
          <w:rFonts w:ascii="Arial" w:hAnsi="Arial"/>
          <w:sz w:val="22"/>
          <w:szCs w:val="22"/>
        </w:rPr>
        <w:t xml:space="preserve"> ‘formulation was noted to have potential </w:t>
      </w:r>
      <w:r w:rsidR="005261B7" w:rsidRPr="00A953DF">
        <w:rPr>
          <w:rFonts w:ascii="Arial" w:hAnsi="Arial"/>
          <w:sz w:val="22"/>
          <w:szCs w:val="22"/>
        </w:rPr>
        <w:t>advantages</w:t>
      </w:r>
      <w:r w:rsidRPr="00A953DF">
        <w:rPr>
          <w:rFonts w:ascii="Arial" w:hAnsi="Arial"/>
          <w:sz w:val="22"/>
          <w:szCs w:val="22"/>
        </w:rPr>
        <w:t xml:space="preserve"> </w:t>
      </w:r>
      <w:r w:rsidR="005261B7" w:rsidRPr="00A953DF">
        <w:rPr>
          <w:rFonts w:ascii="Arial" w:hAnsi="Arial"/>
          <w:sz w:val="22"/>
          <w:szCs w:val="22"/>
        </w:rPr>
        <w:t xml:space="preserve">over solvent-based paclitaxel </w:t>
      </w:r>
      <w:r w:rsidRPr="00A953DF">
        <w:rPr>
          <w:rFonts w:ascii="Arial" w:hAnsi="Arial"/>
          <w:sz w:val="22"/>
          <w:szCs w:val="22"/>
        </w:rPr>
        <w:t xml:space="preserve">which included: no </w:t>
      </w:r>
      <w:proofErr w:type="spellStart"/>
      <w:r w:rsidRPr="00A953DF">
        <w:rPr>
          <w:rFonts w:ascii="Arial" w:hAnsi="Arial"/>
          <w:sz w:val="22"/>
          <w:szCs w:val="22"/>
        </w:rPr>
        <w:t>cremophor</w:t>
      </w:r>
      <w:proofErr w:type="spellEnd"/>
      <w:r w:rsidRPr="00A953DF">
        <w:rPr>
          <w:rFonts w:ascii="Arial" w:hAnsi="Arial"/>
          <w:sz w:val="22"/>
          <w:szCs w:val="22"/>
        </w:rPr>
        <w:t xml:space="preserve"> EL or ethanol in the formulation which reduced hypersensitivity reactions, no requirement for premedications, a shorter infusion time, and the possibility of using standard drip sets’ (Minutes, November 2008 PBAC meeting)</w:t>
      </w:r>
      <w:r w:rsidR="003400D9" w:rsidRPr="00A953DF">
        <w:rPr>
          <w:rFonts w:ascii="Arial" w:hAnsi="Arial"/>
          <w:sz w:val="22"/>
          <w:szCs w:val="22"/>
        </w:rPr>
        <w:t>.</w:t>
      </w:r>
    </w:p>
    <w:p w:rsidR="001C7572" w:rsidRPr="00A953DF" w:rsidRDefault="001C7572">
      <w:pPr>
        <w:rPr>
          <w:rFonts w:ascii="Arial" w:hAnsi="Arial"/>
          <w:sz w:val="22"/>
          <w:szCs w:val="22"/>
        </w:rPr>
      </w:pPr>
    </w:p>
    <w:p w:rsidR="005A3173" w:rsidRPr="00A953DF" w:rsidRDefault="005A3173" w:rsidP="009659F7">
      <w:pPr>
        <w:pStyle w:val="Heading2"/>
      </w:pPr>
      <w:r w:rsidRPr="00A953DF">
        <w:t>Estimated PBS usage &amp; financial implications</w:t>
      </w:r>
    </w:p>
    <w:p w:rsidR="005A3173" w:rsidRPr="00A953DF" w:rsidRDefault="005A3173" w:rsidP="00882085">
      <w:pPr>
        <w:ind w:left="720" w:hanging="720"/>
        <w:jc w:val="both"/>
        <w:rPr>
          <w:rFonts w:ascii="Arial" w:hAnsi="Arial"/>
          <w:sz w:val="22"/>
          <w:szCs w:val="22"/>
        </w:rPr>
      </w:pPr>
    </w:p>
    <w:p w:rsidR="002D2C64" w:rsidRPr="00A953DF" w:rsidRDefault="002D2C64" w:rsidP="002D2C64">
      <w:pPr>
        <w:pStyle w:val="ListParagraph"/>
        <w:numPr>
          <w:ilvl w:val="1"/>
          <w:numId w:val="25"/>
        </w:numPr>
        <w:jc w:val="both"/>
        <w:rPr>
          <w:rFonts w:ascii="Arial" w:hAnsi="Arial"/>
          <w:sz w:val="22"/>
          <w:szCs w:val="22"/>
        </w:rPr>
      </w:pPr>
      <w:r w:rsidRPr="00A953DF">
        <w:rPr>
          <w:rFonts w:ascii="Arial" w:hAnsi="Arial"/>
          <w:sz w:val="22"/>
          <w:szCs w:val="22"/>
        </w:rPr>
        <w:t xml:space="preserve">The submission acknowledged the disparity in price </w:t>
      </w:r>
      <w:r w:rsidR="007314AA" w:rsidRPr="00A953DF">
        <w:rPr>
          <w:rFonts w:ascii="Arial" w:hAnsi="Arial"/>
          <w:sz w:val="22"/>
          <w:szCs w:val="22"/>
        </w:rPr>
        <w:t>between</w:t>
      </w:r>
      <w:r w:rsidR="007314AA" w:rsidRPr="00A953DF">
        <w:rPr>
          <w:rFonts w:ascii="Arial" w:hAnsi="Arial"/>
          <w:i/>
          <w:sz w:val="22"/>
          <w:szCs w:val="22"/>
        </w:rPr>
        <w:t xml:space="preserve"> nab-</w:t>
      </w:r>
      <w:r w:rsidR="007314AA" w:rsidRPr="00A953DF">
        <w:rPr>
          <w:rFonts w:ascii="Arial" w:hAnsi="Arial"/>
          <w:sz w:val="22"/>
          <w:szCs w:val="22"/>
        </w:rPr>
        <w:t xml:space="preserve">paclitaxel </w:t>
      </w:r>
      <w:r w:rsidR="00F977F5" w:rsidRPr="00A953DF">
        <w:rPr>
          <w:rFonts w:ascii="Arial" w:hAnsi="Arial"/>
          <w:sz w:val="22"/>
          <w:szCs w:val="22"/>
        </w:rPr>
        <w:t xml:space="preserve">and </w:t>
      </w:r>
      <w:r w:rsidR="007314AA" w:rsidRPr="00A953DF">
        <w:rPr>
          <w:rFonts w:ascii="Arial" w:hAnsi="Arial"/>
          <w:sz w:val="22"/>
          <w:szCs w:val="22"/>
        </w:rPr>
        <w:t>solvent-based paclitaxel</w:t>
      </w:r>
      <w:r w:rsidR="002B37BD" w:rsidRPr="00A953DF">
        <w:rPr>
          <w:rFonts w:ascii="Arial" w:hAnsi="Arial"/>
          <w:sz w:val="22"/>
          <w:szCs w:val="22"/>
        </w:rPr>
        <w:t>,</w:t>
      </w:r>
      <w:r w:rsidR="007314AA" w:rsidRPr="00A953DF">
        <w:rPr>
          <w:rFonts w:ascii="Arial" w:hAnsi="Arial"/>
          <w:sz w:val="22"/>
          <w:szCs w:val="22"/>
        </w:rPr>
        <w:t xml:space="preserve"> </w:t>
      </w:r>
      <w:r w:rsidRPr="00A953DF">
        <w:rPr>
          <w:rFonts w:ascii="Arial" w:hAnsi="Arial"/>
          <w:sz w:val="22"/>
          <w:szCs w:val="22"/>
        </w:rPr>
        <w:t xml:space="preserve">and </w:t>
      </w:r>
      <w:r w:rsidR="007314AA" w:rsidRPr="00A953DF">
        <w:rPr>
          <w:rFonts w:ascii="Arial" w:hAnsi="Arial"/>
          <w:sz w:val="22"/>
          <w:szCs w:val="22"/>
        </w:rPr>
        <w:t xml:space="preserve">so </w:t>
      </w:r>
      <w:r w:rsidRPr="00A953DF">
        <w:rPr>
          <w:rFonts w:ascii="Arial" w:hAnsi="Arial"/>
          <w:sz w:val="22"/>
          <w:szCs w:val="22"/>
        </w:rPr>
        <w:t xml:space="preserve">proposed a price reduction for the use of </w:t>
      </w:r>
      <w:r w:rsidR="00EA1853" w:rsidRPr="00A953DF">
        <w:rPr>
          <w:rFonts w:ascii="Arial" w:hAnsi="Arial"/>
          <w:i/>
          <w:sz w:val="22"/>
          <w:szCs w:val="22"/>
        </w:rPr>
        <w:t>nab-</w:t>
      </w:r>
      <w:r w:rsidR="00EA1853" w:rsidRPr="00A953DF">
        <w:rPr>
          <w:rFonts w:ascii="Arial" w:hAnsi="Arial"/>
          <w:sz w:val="22"/>
          <w:szCs w:val="22"/>
        </w:rPr>
        <w:lastRenderedPageBreak/>
        <w:t>paclitaxel</w:t>
      </w:r>
      <w:r w:rsidRPr="00A953DF">
        <w:rPr>
          <w:rFonts w:ascii="Arial" w:hAnsi="Arial"/>
          <w:sz w:val="22"/>
          <w:szCs w:val="22"/>
        </w:rPr>
        <w:t xml:space="preserve"> in the HER-2 positive metastatic breast cancer patient population (i</w:t>
      </w:r>
      <w:r w:rsidR="003C2E47" w:rsidRPr="00A953DF">
        <w:rPr>
          <w:rFonts w:ascii="Arial" w:hAnsi="Arial"/>
          <w:sz w:val="22"/>
          <w:szCs w:val="22"/>
        </w:rPr>
        <w:t xml:space="preserve">n combination with </w:t>
      </w:r>
      <w:proofErr w:type="spellStart"/>
      <w:r w:rsidR="003C2E47" w:rsidRPr="00A953DF">
        <w:rPr>
          <w:rFonts w:ascii="Arial" w:hAnsi="Arial"/>
          <w:sz w:val="22"/>
          <w:szCs w:val="22"/>
        </w:rPr>
        <w:t>trastuzumab</w:t>
      </w:r>
      <w:proofErr w:type="spellEnd"/>
      <w:r w:rsidR="003C2E47" w:rsidRPr="00A953DF">
        <w:rPr>
          <w:rFonts w:ascii="Arial" w:hAnsi="Arial"/>
          <w:sz w:val="22"/>
          <w:szCs w:val="22"/>
        </w:rPr>
        <w:t>).</w:t>
      </w:r>
    </w:p>
    <w:p w:rsidR="002D2C64" w:rsidRPr="00A953DF" w:rsidRDefault="002D2C64" w:rsidP="002D2C64">
      <w:pPr>
        <w:jc w:val="both"/>
        <w:rPr>
          <w:rFonts w:ascii="Arial" w:hAnsi="Arial"/>
          <w:sz w:val="22"/>
          <w:szCs w:val="22"/>
        </w:rPr>
      </w:pPr>
    </w:p>
    <w:p w:rsidR="003F75B6" w:rsidRPr="00A953DF" w:rsidRDefault="00FF2801" w:rsidP="003F75B6">
      <w:pPr>
        <w:pStyle w:val="ListParagraph"/>
        <w:numPr>
          <w:ilvl w:val="1"/>
          <w:numId w:val="25"/>
        </w:numPr>
        <w:rPr>
          <w:rFonts w:ascii="Arial" w:hAnsi="Arial"/>
          <w:i/>
          <w:sz w:val="22"/>
          <w:szCs w:val="22"/>
        </w:rPr>
      </w:pPr>
      <w:r w:rsidRPr="00A953DF">
        <w:rPr>
          <w:rFonts w:ascii="Arial" w:hAnsi="Arial"/>
          <w:sz w:val="22"/>
          <w:szCs w:val="22"/>
        </w:rPr>
        <w:t>The minor submission estimated</w:t>
      </w:r>
      <w:r w:rsidR="00C00DA7" w:rsidRPr="00A953DF">
        <w:rPr>
          <w:rFonts w:ascii="Arial" w:hAnsi="Arial"/>
          <w:sz w:val="22"/>
          <w:szCs w:val="22"/>
        </w:rPr>
        <w:t xml:space="preserve"> </w:t>
      </w:r>
      <w:r w:rsidR="003C2E47" w:rsidRPr="00A953DF">
        <w:rPr>
          <w:rFonts w:ascii="Arial" w:hAnsi="Arial"/>
          <w:sz w:val="22"/>
          <w:szCs w:val="22"/>
        </w:rPr>
        <w:t xml:space="preserve">that </w:t>
      </w:r>
      <w:r w:rsidR="00434524" w:rsidRPr="00A953DF">
        <w:rPr>
          <w:rFonts w:ascii="Arial" w:hAnsi="Arial"/>
          <w:sz w:val="22"/>
          <w:szCs w:val="22"/>
        </w:rPr>
        <w:t>the lowest price that c</w:t>
      </w:r>
      <w:r w:rsidR="002B37BD" w:rsidRPr="00A953DF">
        <w:rPr>
          <w:rFonts w:ascii="Arial" w:hAnsi="Arial"/>
          <w:sz w:val="22"/>
          <w:szCs w:val="22"/>
        </w:rPr>
        <w:t>ould</w:t>
      </w:r>
      <w:r w:rsidR="00434524" w:rsidRPr="00A953DF">
        <w:rPr>
          <w:rFonts w:ascii="Arial" w:hAnsi="Arial"/>
          <w:sz w:val="22"/>
          <w:szCs w:val="22"/>
        </w:rPr>
        <w:t xml:space="preserve"> be provided for </w:t>
      </w:r>
      <w:r w:rsidR="00EA1853" w:rsidRPr="00A953DF">
        <w:rPr>
          <w:rFonts w:ascii="Arial" w:hAnsi="Arial"/>
          <w:i/>
          <w:sz w:val="22"/>
          <w:szCs w:val="22"/>
        </w:rPr>
        <w:t>nab-</w:t>
      </w:r>
      <w:r w:rsidR="00EA1853" w:rsidRPr="00A953DF">
        <w:rPr>
          <w:rFonts w:ascii="Arial" w:hAnsi="Arial"/>
          <w:sz w:val="22"/>
          <w:szCs w:val="22"/>
        </w:rPr>
        <w:t>paclitaxel</w:t>
      </w:r>
      <w:r w:rsidR="00434524" w:rsidRPr="00A953DF">
        <w:rPr>
          <w:rFonts w:ascii="Arial" w:hAnsi="Arial"/>
          <w:sz w:val="22"/>
          <w:szCs w:val="22"/>
        </w:rPr>
        <w:t xml:space="preserve"> </w:t>
      </w:r>
      <w:r w:rsidR="002B37BD" w:rsidRPr="00A953DF">
        <w:rPr>
          <w:rFonts w:ascii="Arial" w:hAnsi="Arial"/>
          <w:sz w:val="22"/>
          <w:szCs w:val="22"/>
        </w:rPr>
        <w:t>wa</w:t>
      </w:r>
      <w:r w:rsidR="00434524" w:rsidRPr="00A953DF">
        <w:rPr>
          <w:rFonts w:ascii="Arial" w:hAnsi="Arial"/>
          <w:sz w:val="22"/>
          <w:szCs w:val="22"/>
        </w:rPr>
        <w:t>s the same as the current reimbursed price for patients with metastatic pancreatic cancer, $</w:t>
      </w:r>
      <w:r w:rsidR="006309AC">
        <w:rPr>
          <w:rFonts w:ascii="Arial" w:hAnsi="Arial"/>
          <w:noProof/>
          <w:color w:val="000000"/>
          <w:sz w:val="22"/>
          <w:szCs w:val="22"/>
          <w:highlight w:val="black"/>
        </w:rPr>
        <w:t xml:space="preserve">''''''''' </w:t>
      </w:r>
      <w:r w:rsidR="00434524" w:rsidRPr="00A953DF">
        <w:rPr>
          <w:rFonts w:ascii="Arial" w:hAnsi="Arial"/>
          <w:sz w:val="22"/>
          <w:szCs w:val="22"/>
        </w:rPr>
        <w:t>per vial</w:t>
      </w:r>
      <w:r w:rsidR="00681451" w:rsidRPr="00A953DF">
        <w:rPr>
          <w:rFonts w:ascii="Arial" w:hAnsi="Arial"/>
          <w:sz w:val="22"/>
          <w:szCs w:val="22"/>
        </w:rPr>
        <w:t xml:space="preserve"> (ex-manufacturer). The submission </w:t>
      </w:r>
      <w:r w:rsidR="007314AA" w:rsidRPr="00A953DF">
        <w:rPr>
          <w:rFonts w:ascii="Arial" w:hAnsi="Arial"/>
          <w:sz w:val="22"/>
          <w:szCs w:val="22"/>
        </w:rPr>
        <w:t>observed</w:t>
      </w:r>
      <w:r w:rsidR="00681451" w:rsidRPr="00A953DF">
        <w:rPr>
          <w:rFonts w:ascii="Arial" w:hAnsi="Arial"/>
          <w:sz w:val="22"/>
          <w:szCs w:val="22"/>
        </w:rPr>
        <w:t xml:space="preserve"> that there will be a further 5% mandatory price cut in April 2016, which will further lower the price of </w:t>
      </w:r>
      <w:r w:rsidR="00EA1853" w:rsidRPr="00A953DF">
        <w:rPr>
          <w:rFonts w:ascii="Arial" w:hAnsi="Arial"/>
          <w:i/>
          <w:sz w:val="22"/>
          <w:szCs w:val="22"/>
        </w:rPr>
        <w:t>nab-</w:t>
      </w:r>
      <w:r w:rsidR="00EA1853" w:rsidRPr="00A953DF">
        <w:rPr>
          <w:rFonts w:ascii="Arial" w:hAnsi="Arial"/>
          <w:sz w:val="22"/>
          <w:szCs w:val="22"/>
        </w:rPr>
        <w:t>paclitaxel</w:t>
      </w:r>
      <w:r w:rsidR="007314AA" w:rsidRPr="00A953DF">
        <w:rPr>
          <w:rFonts w:ascii="Arial" w:hAnsi="Arial"/>
          <w:sz w:val="22"/>
          <w:szCs w:val="22"/>
        </w:rPr>
        <w:t xml:space="preserve"> in this setting.</w:t>
      </w:r>
      <w:r w:rsidR="00582D5B" w:rsidRPr="00A953DF">
        <w:rPr>
          <w:rFonts w:ascii="Arial" w:hAnsi="Arial"/>
          <w:sz w:val="22"/>
          <w:szCs w:val="22"/>
        </w:rPr>
        <w:t xml:space="preserve"> </w:t>
      </w:r>
      <w:r w:rsidR="003F75B6" w:rsidRPr="00A953DF">
        <w:rPr>
          <w:rFonts w:ascii="Arial" w:hAnsi="Arial"/>
          <w:sz w:val="22"/>
          <w:szCs w:val="22"/>
        </w:rPr>
        <w:t>At the proposed ex-manufacturer price of $</w:t>
      </w:r>
      <w:r w:rsidR="006309AC">
        <w:rPr>
          <w:rFonts w:ascii="Arial" w:hAnsi="Arial"/>
          <w:noProof/>
          <w:color w:val="000000"/>
          <w:sz w:val="22"/>
          <w:szCs w:val="22"/>
          <w:highlight w:val="black"/>
        </w:rPr>
        <w:t>'''''''''</w:t>
      </w:r>
      <w:r w:rsidR="003F75B6" w:rsidRPr="00A953DF">
        <w:rPr>
          <w:rFonts w:ascii="Arial" w:hAnsi="Arial"/>
          <w:sz w:val="22"/>
          <w:szCs w:val="22"/>
        </w:rPr>
        <w:t xml:space="preserve"> per vial, the corresponding dispensed price for </w:t>
      </w:r>
      <w:r w:rsidR="003E7AEC" w:rsidRPr="00A953DF">
        <w:rPr>
          <w:rFonts w:ascii="Arial" w:hAnsi="Arial"/>
          <w:sz w:val="22"/>
          <w:szCs w:val="22"/>
        </w:rPr>
        <w:t>maximum amount of 580 </w:t>
      </w:r>
      <w:r w:rsidR="003F75B6" w:rsidRPr="00A953DF">
        <w:rPr>
          <w:rFonts w:ascii="Arial" w:hAnsi="Arial"/>
          <w:sz w:val="22"/>
          <w:szCs w:val="22"/>
        </w:rPr>
        <w:t xml:space="preserve">mg </w:t>
      </w:r>
      <w:r w:rsidR="00D504A4" w:rsidRPr="00A953DF">
        <w:rPr>
          <w:rFonts w:ascii="Arial" w:hAnsi="Arial"/>
          <w:sz w:val="22"/>
          <w:szCs w:val="22"/>
        </w:rPr>
        <w:t xml:space="preserve">(for breast cancer) </w:t>
      </w:r>
      <w:r w:rsidR="003F75B6" w:rsidRPr="00A953DF">
        <w:rPr>
          <w:rFonts w:ascii="Arial" w:hAnsi="Arial"/>
          <w:sz w:val="22"/>
          <w:szCs w:val="22"/>
        </w:rPr>
        <w:t xml:space="preserve">in the private hospital setting </w:t>
      </w:r>
      <w:r w:rsidR="002B37BD" w:rsidRPr="00A953DF">
        <w:rPr>
          <w:rFonts w:ascii="Arial" w:hAnsi="Arial"/>
          <w:sz w:val="22"/>
          <w:szCs w:val="22"/>
        </w:rPr>
        <w:t>wa</w:t>
      </w:r>
      <w:r w:rsidR="003F75B6" w:rsidRPr="00A953DF">
        <w:rPr>
          <w:rFonts w:ascii="Arial" w:hAnsi="Arial"/>
          <w:sz w:val="22"/>
          <w:szCs w:val="22"/>
        </w:rPr>
        <w:t>s $</w:t>
      </w:r>
      <w:r w:rsidR="006309AC">
        <w:rPr>
          <w:rFonts w:ascii="Arial" w:hAnsi="Arial"/>
          <w:noProof/>
          <w:color w:val="000000"/>
          <w:sz w:val="22"/>
          <w:szCs w:val="22"/>
          <w:highlight w:val="black"/>
        </w:rPr>
        <w:t>''''''''''''''''''''''</w:t>
      </w:r>
      <w:r w:rsidR="003F75B6" w:rsidRPr="00A953DF">
        <w:rPr>
          <w:rFonts w:ascii="Arial" w:hAnsi="Arial"/>
          <w:sz w:val="22"/>
          <w:szCs w:val="22"/>
        </w:rPr>
        <w:t>.</w:t>
      </w:r>
    </w:p>
    <w:p w:rsidR="003F75B6" w:rsidRPr="00A953DF" w:rsidRDefault="003F75B6" w:rsidP="003F75B6">
      <w:pPr>
        <w:rPr>
          <w:rFonts w:ascii="Arial" w:hAnsi="Arial"/>
          <w:sz w:val="22"/>
          <w:szCs w:val="22"/>
        </w:rPr>
      </w:pPr>
    </w:p>
    <w:p w:rsidR="003F75B6" w:rsidRPr="00A953DF" w:rsidRDefault="003F75B6" w:rsidP="003F75B6">
      <w:pPr>
        <w:pStyle w:val="ListParagraph"/>
        <w:numPr>
          <w:ilvl w:val="1"/>
          <w:numId w:val="25"/>
        </w:numPr>
        <w:rPr>
          <w:rFonts w:ascii="Arial" w:hAnsi="Arial"/>
          <w:sz w:val="22"/>
          <w:szCs w:val="22"/>
        </w:rPr>
      </w:pPr>
      <w:r w:rsidRPr="00A953DF">
        <w:rPr>
          <w:rFonts w:ascii="Arial" w:hAnsi="Arial"/>
          <w:sz w:val="22"/>
          <w:szCs w:val="22"/>
        </w:rPr>
        <w:t xml:space="preserve">To illustrate the current situation, the analysis </w:t>
      </w:r>
      <w:r w:rsidR="00D504A4" w:rsidRPr="00A953DF">
        <w:rPr>
          <w:rFonts w:ascii="Arial" w:hAnsi="Arial"/>
          <w:sz w:val="22"/>
          <w:szCs w:val="22"/>
        </w:rPr>
        <w:t xml:space="preserve">below shows the current </w:t>
      </w:r>
      <w:r w:rsidRPr="00A953DF">
        <w:rPr>
          <w:rFonts w:ascii="Arial" w:hAnsi="Arial"/>
          <w:sz w:val="22"/>
          <w:szCs w:val="22"/>
        </w:rPr>
        <w:t xml:space="preserve">weighted dispensed price between the two indications for </w:t>
      </w:r>
      <w:r w:rsidRPr="00A953DF">
        <w:rPr>
          <w:rFonts w:ascii="Arial" w:hAnsi="Arial"/>
          <w:i/>
          <w:sz w:val="22"/>
          <w:szCs w:val="22"/>
        </w:rPr>
        <w:t>nab</w:t>
      </w:r>
      <w:r w:rsidRPr="00A953DF">
        <w:rPr>
          <w:rFonts w:ascii="Arial" w:hAnsi="Arial"/>
          <w:sz w:val="22"/>
          <w:szCs w:val="22"/>
        </w:rPr>
        <w:t xml:space="preserve">-paclitaxel (i.e. breast and pancreatic cancer) </w:t>
      </w:r>
      <w:r w:rsidR="00D504A4" w:rsidRPr="00A953DF">
        <w:rPr>
          <w:rFonts w:ascii="Arial" w:hAnsi="Arial"/>
          <w:sz w:val="22"/>
          <w:szCs w:val="22"/>
        </w:rPr>
        <w:t xml:space="preserve">for </w:t>
      </w:r>
      <w:r w:rsidRPr="00A953DF">
        <w:rPr>
          <w:rFonts w:ascii="Arial" w:hAnsi="Arial"/>
          <w:sz w:val="22"/>
          <w:szCs w:val="22"/>
        </w:rPr>
        <w:t>private hospital services using latest available Medicare data.</w:t>
      </w:r>
    </w:p>
    <w:p w:rsidR="003352F7" w:rsidRPr="00A953DF" w:rsidRDefault="003352F7" w:rsidP="003F75B6">
      <w:pPr>
        <w:jc w:val="both"/>
        <w:rPr>
          <w:rFonts w:ascii="Arial" w:hAnsi="Arial"/>
          <w:sz w:val="22"/>
          <w:szCs w:val="22"/>
        </w:rPr>
      </w:pPr>
    </w:p>
    <w:p w:rsidR="003F75B6" w:rsidRPr="00A953DF" w:rsidRDefault="003352F7" w:rsidP="003F75B6">
      <w:pPr>
        <w:pStyle w:val="ListParagraph"/>
        <w:jc w:val="both"/>
        <w:rPr>
          <w:rFonts w:ascii="Arial Narrow" w:hAnsi="Arial Narrow"/>
          <w:b/>
          <w:sz w:val="20"/>
          <w:szCs w:val="20"/>
        </w:rPr>
      </w:pPr>
      <w:r w:rsidRPr="00A953DF">
        <w:rPr>
          <w:rFonts w:ascii="Arial Narrow" w:hAnsi="Arial Narrow"/>
          <w:b/>
          <w:sz w:val="20"/>
          <w:szCs w:val="20"/>
        </w:rPr>
        <w:t xml:space="preserve">Table 3: Weighted dispensed price of </w:t>
      </w:r>
      <w:r w:rsidRPr="00A953DF">
        <w:rPr>
          <w:rFonts w:ascii="Arial Narrow" w:hAnsi="Arial Narrow"/>
          <w:b/>
          <w:i/>
          <w:sz w:val="20"/>
          <w:szCs w:val="20"/>
        </w:rPr>
        <w:t>nab</w:t>
      </w:r>
      <w:r w:rsidRPr="00A953DF">
        <w:rPr>
          <w:rFonts w:ascii="Arial Narrow" w:hAnsi="Arial Narrow"/>
          <w:b/>
          <w:sz w:val="20"/>
          <w:szCs w:val="20"/>
        </w:rPr>
        <w:t>-paclitaxel between two indications</w:t>
      </w:r>
    </w:p>
    <w:tbl>
      <w:tblPr>
        <w:tblW w:w="0" w:type="auto"/>
        <w:tblInd w:w="817" w:type="dxa"/>
        <w:tblCellMar>
          <w:left w:w="0" w:type="dxa"/>
          <w:right w:w="0" w:type="dxa"/>
        </w:tblCellMar>
        <w:tblLook w:val="04A0" w:firstRow="1" w:lastRow="0" w:firstColumn="1" w:lastColumn="0" w:noHBand="0" w:noVBand="1"/>
        <w:tblCaption w:val="Weighted dispensed price of nab paclitaxel"/>
        <w:tblDescription w:val="Comparison of weighted pricing for nab-paclitaxel in breast cancer and pancreatic cancer indications"/>
      </w:tblPr>
      <w:tblGrid>
        <w:gridCol w:w="3544"/>
        <w:gridCol w:w="1984"/>
        <w:gridCol w:w="2177"/>
      </w:tblGrid>
      <w:tr w:rsidR="003F75B6" w:rsidRPr="00A953DF" w:rsidTr="008E6F0A">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5B6" w:rsidRPr="00A953DF" w:rsidRDefault="003E7AEC" w:rsidP="003F75B6">
            <w:pPr>
              <w:jc w:val="both"/>
              <w:rPr>
                <w:rFonts w:ascii="Arial Narrow" w:hAnsi="Arial Narrow"/>
                <w:sz w:val="20"/>
                <w:szCs w:val="20"/>
              </w:rPr>
            </w:pPr>
            <w:r w:rsidRPr="00A953DF">
              <w:rPr>
                <w:rFonts w:ascii="Arial Narrow" w:hAnsi="Arial Narrow"/>
                <w:i/>
                <w:sz w:val="20"/>
                <w:szCs w:val="20"/>
              </w:rPr>
              <w:t>n</w:t>
            </w:r>
            <w:r w:rsidR="003F75B6" w:rsidRPr="00A953DF">
              <w:rPr>
                <w:rFonts w:ascii="Arial Narrow" w:hAnsi="Arial Narrow"/>
                <w:i/>
                <w:sz w:val="20"/>
                <w:szCs w:val="20"/>
              </w:rPr>
              <w:t>ab</w:t>
            </w:r>
            <w:r w:rsidR="003F75B6" w:rsidRPr="00A953DF">
              <w:rPr>
                <w:rFonts w:ascii="Arial Narrow" w:hAnsi="Arial Narrow"/>
                <w:sz w:val="20"/>
                <w:szCs w:val="20"/>
              </w:rPr>
              <w:t>-paclitaxel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Breast cancer</w:t>
            </w:r>
          </w:p>
        </w:tc>
        <w:tc>
          <w:tcPr>
            <w:tcW w:w="2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Pancreatic cancer</w:t>
            </w:r>
          </w:p>
        </w:tc>
      </w:tr>
      <w:tr w:rsidR="003F75B6" w:rsidRPr="00A953DF" w:rsidTr="008E6F0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5B6" w:rsidRPr="00A953DF" w:rsidRDefault="003F75B6" w:rsidP="003F75B6">
            <w:pPr>
              <w:jc w:val="both"/>
              <w:rPr>
                <w:rFonts w:ascii="Arial Narrow" w:hAnsi="Arial Narrow"/>
                <w:sz w:val="20"/>
                <w:szCs w:val="20"/>
              </w:rPr>
            </w:pPr>
            <w:r w:rsidRPr="00A953DF">
              <w:rPr>
                <w:rFonts w:ascii="Arial Narrow" w:hAnsi="Arial Narrow"/>
                <w:sz w:val="20"/>
                <w:szCs w:val="20"/>
              </w:rPr>
              <w:t>Ex-man per vial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w:t>
            </w:r>
            <w:r w:rsidR="006309AC">
              <w:rPr>
                <w:rFonts w:ascii="Arial Narrow" w:hAnsi="Arial Narrow"/>
                <w:noProof/>
                <w:color w:val="000000"/>
                <w:sz w:val="20"/>
                <w:szCs w:val="20"/>
                <w:highlight w:val="black"/>
              </w:rPr>
              <w:t>''''''''''''''''</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w:t>
            </w:r>
            <w:r w:rsidR="006309AC">
              <w:rPr>
                <w:rFonts w:ascii="Arial Narrow" w:hAnsi="Arial Narrow"/>
                <w:noProof/>
                <w:color w:val="000000"/>
                <w:sz w:val="20"/>
                <w:szCs w:val="20"/>
                <w:highlight w:val="black"/>
              </w:rPr>
              <w:t>''''''''''</w:t>
            </w:r>
          </w:p>
        </w:tc>
      </w:tr>
      <w:tr w:rsidR="003F75B6" w:rsidRPr="00A953DF" w:rsidTr="008E6F0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5B6" w:rsidRPr="00A953DF" w:rsidRDefault="003F75B6" w:rsidP="003F75B6">
            <w:pPr>
              <w:jc w:val="both"/>
              <w:rPr>
                <w:rFonts w:ascii="Arial Narrow" w:hAnsi="Arial Narrow"/>
                <w:sz w:val="20"/>
                <w:szCs w:val="20"/>
              </w:rPr>
            </w:pPr>
            <w:r w:rsidRPr="00A953DF">
              <w:rPr>
                <w:rFonts w:ascii="Arial Narrow" w:hAnsi="Arial Narrow"/>
                <w:sz w:val="20"/>
                <w:szCs w:val="20"/>
              </w:rPr>
              <w:t>Maximum amount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580 mg</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275 mg</w:t>
            </w:r>
          </w:p>
        </w:tc>
      </w:tr>
      <w:tr w:rsidR="003F75B6" w:rsidRPr="00A953DF" w:rsidTr="008E6F0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5B6" w:rsidRPr="00A953DF" w:rsidRDefault="003F75B6" w:rsidP="003F75B6">
            <w:pPr>
              <w:jc w:val="both"/>
              <w:rPr>
                <w:rFonts w:ascii="Arial Narrow" w:hAnsi="Arial Narrow"/>
                <w:sz w:val="20"/>
                <w:szCs w:val="20"/>
              </w:rPr>
            </w:pPr>
            <w:r w:rsidRPr="00A953DF">
              <w:rPr>
                <w:rFonts w:ascii="Arial Narrow" w:hAnsi="Arial Narrow"/>
                <w:sz w:val="20"/>
                <w:szCs w:val="20"/>
              </w:rPr>
              <w:t>Dispensed price (effective)</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$2,562.86</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w:t>
            </w:r>
            <w:r w:rsidR="006309AC">
              <w:rPr>
                <w:rFonts w:ascii="Arial Narrow" w:hAnsi="Arial Narrow"/>
                <w:noProof/>
                <w:color w:val="000000"/>
                <w:sz w:val="20"/>
                <w:szCs w:val="20"/>
                <w:highlight w:val="black"/>
              </w:rPr>
              <w:t>'''''''''''''''''''</w:t>
            </w:r>
          </w:p>
        </w:tc>
      </w:tr>
      <w:tr w:rsidR="003F75B6" w:rsidRPr="00A953DF" w:rsidTr="008E6F0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5B6" w:rsidRPr="00A953DF" w:rsidRDefault="003F75B6" w:rsidP="003F75B6">
            <w:pPr>
              <w:jc w:val="both"/>
              <w:rPr>
                <w:rFonts w:ascii="Arial Narrow" w:hAnsi="Arial Narrow"/>
                <w:sz w:val="20"/>
                <w:szCs w:val="20"/>
              </w:rPr>
            </w:pPr>
            <w:r w:rsidRPr="00A953DF">
              <w:rPr>
                <w:rFonts w:ascii="Arial Narrow" w:hAnsi="Arial Narrow"/>
                <w:sz w:val="20"/>
                <w:szCs w:val="20"/>
              </w:rPr>
              <w:t>Medicare services split</w:t>
            </w:r>
            <w:r w:rsidR="003E7AEC" w:rsidRPr="00A953DF">
              <w:rPr>
                <w:rFonts w:ascii="Arial Narrow" w:hAnsi="Arial Narrow"/>
                <w:sz w:val="20"/>
                <w:szCs w:val="20"/>
              </w:rPr>
              <w:t xml:space="preserve"> </w:t>
            </w:r>
            <w:r w:rsidRPr="00A953DF">
              <w:rPr>
                <w:rFonts w:ascii="Arial Narrow" w:hAnsi="Arial Narrow"/>
                <w:sz w:val="20"/>
                <w:szCs w:val="20"/>
                <w:vertAlign w:val="superscript"/>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58%</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8E6F0A">
            <w:pPr>
              <w:jc w:val="center"/>
              <w:rPr>
                <w:rFonts w:ascii="Arial Narrow" w:hAnsi="Arial Narrow"/>
                <w:sz w:val="20"/>
                <w:szCs w:val="20"/>
              </w:rPr>
            </w:pPr>
            <w:r w:rsidRPr="00A953DF">
              <w:rPr>
                <w:rFonts w:ascii="Arial Narrow" w:hAnsi="Arial Narrow"/>
                <w:sz w:val="20"/>
                <w:szCs w:val="20"/>
              </w:rPr>
              <w:t>42%</w:t>
            </w:r>
          </w:p>
        </w:tc>
      </w:tr>
      <w:tr w:rsidR="003F75B6" w:rsidRPr="00A953DF" w:rsidTr="008E6F0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5B6" w:rsidRPr="00A953DF" w:rsidRDefault="003F75B6" w:rsidP="003F75B6">
            <w:pPr>
              <w:jc w:val="both"/>
              <w:rPr>
                <w:rFonts w:ascii="Arial Narrow" w:hAnsi="Arial Narrow"/>
                <w:sz w:val="20"/>
                <w:szCs w:val="20"/>
              </w:rPr>
            </w:pPr>
            <w:r w:rsidRPr="00A953DF">
              <w:rPr>
                <w:rFonts w:ascii="Arial Narrow" w:hAnsi="Arial Narrow"/>
                <w:sz w:val="20"/>
                <w:szCs w:val="20"/>
              </w:rPr>
              <w:t>Weighted dispensed price</w:t>
            </w:r>
            <w:r w:rsidR="003E7AEC" w:rsidRPr="00A953DF">
              <w:rPr>
                <w:rFonts w:ascii="Arial Narrow" w:hAnsi="Arial Narrow"/>
                <w:sz w:val="20"/>
                <w:szCs w:val="20"/>
              </w:rPr>
              <w:t xml:space="preserve"> (effective)</w:t>
            </w:r>
          </w:p>
        </w:tc>
        <w:tc>
          <w:tcPr>
            <w:tcW w:w="41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F75B6" w:rsidRPr="00A953DF" w:rsidRDefault="003F75B6" w:rsidP="003F75B6">
            <w:pPr>
              <w:jc w:val="center"/>
              <w:rPr>
                <w:rFonts w:ascii="Arial Narrow" w:hAnsi="Arial Narrow"/>
                <w:sz w:val="20"/>
                <w:szCs w:val="20"/>
              </w:rPr>
            </w:pPr>
            <w:r w:rsidRPr="00A953DF">
              <w:rPr>
                <w:rFonts w:ascii="Arial Narrow" w:hAnsi="Arial Narrow"/>
                <w:sz w:val="20"/>
                <w:szCs w:val="20"/>
              </w:rPr>
              <w:t>$</w:t>
            </w:r>
            <w:r w:rsidR="006309AC">
              <w:rPr>
                <w:rFonts w:ascii="Arial Narrow" w:hAnsi="Arial Narrow"/>
                <w:noProof/>
                <w:color w:val="000000"/>
                <w:sz w:val="20"/>
                <w:szCs w:val="20"/>
                <w:highlight w:val="black"/>
              </w:rPr>
              <w:t>''''''''''''''''''''''</w:t>
            </w:r>
          </w:p>
        </w:tc>
      </w:tr>
    </w:tbl>
    <w:p w:rsidR="003F75B6" w:rsidRPr="00A953DF" w:rsidRDefault="003F75B6" w:rsidP="003F75B6">
      <w:pPr>
        <w:pStyle w:val="ListParagraph"/>
        <w:jc w:val="both"/>
        <w:rPr>
          <w:rFonts w:ascii="Arial Narrow" w:hAnsi="Arial Narrow"/>
          <w:sz w:val="20"/>
          <w:szCs w:val="20"/>
        </w:rPr>
      </w:pPr>
      <w:r w:rsidRPr="00A953DF">
        <w:rPr>
          <w:rFonts w:ascii="Arial Narrow" w:hAnsi="Arial Narrow"/>
          <w:sz w:val="20"/>
          <w:szCs w:val="20"/>
          <w:vertAlign w:val="superscript"/>
        </w:rPr>
        <w:t>1</w:t>
      </w:r>
      <w:r w:rsidR="003E7AEC" w:rsidRPr="00A953DF">
        <w:rPr>
          <w:rFonts w:ascii="Arial Narrow" w:hAnsi="Arial Narrow"/>
          <w:sz w:val="20"/>
          <w:szCs w:val="20"/>
          <w:vertAlign w:val="superscript"/>
        </w:rPr>
        <w:t xml:space="preserve"> </w:t>
      </w:r>
      <w:r w:rsidRPr="00A953DF">
        <w:rPr>
          <w:rFonts w:ascii="Arial Narrow" w:hAnsi="Arial Narrow"/>
          <w:sz w:val="20"/>
          <w:szCs w:val="20"/>
        </w:rPr>
        <w:t xml:space="preserve">Medicare data </w:t>
      </w:r>
      <w:proofErr w:type="gramStart"/>
      <w:r w:rsidRPr="00A953DF">
        <w:rPr>
          <w:rFonts w:ascii="Arial Narrow" w:hAnsi="Arial Narrow"/>
          <w:sz w:val="20"/>
          <w:szCs w:val="20"/>
        </w:rPr>
        <w:t>between November 2014 – August 2015</w:t>
      </w:r>
      <w:proofErr w:type="gramEnd"/>
      <w:r w:rsidRPr="00A953DF">
        <w:rPr>
          <w:rFonts w:ascii="Arial Narrow" w:hAnsi="Arial Narrow"/>
          <w:sz w:val="20"/>
          <w:szCs w:val="20"/>
        </w:rPr>
        <w:t>.</w:t>
      </w:r>
    </w:p>
    <w:p w:rsidR="003F75B6" w:rsidRPr="00A953DF" w:rsidRDefault="003F75B6" w:rsidP="00F535D3">
      <w:pPr>
        <w:jc w:val="both"/>
        <w:rPr>
          <w:rFonts w:ascii="Arial" w:hAnsi="Arial"/>
          <w:sz w:val="22"/>
          <w:szCs w:val="22"/>
        </w:rPr>
      </w:pPr>
    </w:p>
    <w:p w:rsidR="003F75B6" w:rsidRPr="00A953DF" w:rsidRDefault="003E7AEC" w:rsidP="008E6F0A">
      <w:pPr>
        <w:pStyle w:val="ListParagraph"/>
        <w:numPr>
          <w:ilvl w:val="1"/>
          <w:numId w:val="25"/>
        </w:numPr>
        <w:jc w:val="both"/>
        <w:rPr>
          <w:rFonts w:ascii="Arial" w:hAnsi="Arial" w:cs="Arial"/>
          <w:sz w:val="22"/>
          <w:szCs w:val="22"/>
        </w:rPr>
      </w:pPr>
      <w:r w:rsidRPr="00A953DF">
        <w:rPr>
          <w:rFonts w:ascii="Arial" w:hAnsi="Arial"/>
          <w:sz w:val="22"/>
          <w:szCs w:val="22"/>
        </w:rPr>
        <w:t>By comparison</w:t>
      </w:r>
      <w:r w:rsidR="003F75B6" w:rsidRPr="00A953DF">
        <w:rPr>
          <w:rFonts w:ascii="Arial" w:hAnsi="Arial"/>
          <w:sz w:val="22"/>
          <w:szCs w:val="22"/>
        </w:rPr>
        <w:t xml:space="preserve">, the corresponding dispensed price for an adjusted amount of </w:t>
      </w:r>
      <w:r w:rsidRPr="00A953DF">
        <w:rPr>
          <w:rFonts w:ascii="Arial" w:hAnsi="Arial"/>
          <w:sz w:val="22"/>
          <w:szCs w:val="22"/>
        </w:rPr>
        <w:t xml:space="preserve">solvent-based </w:t>
      </w:r>
      <w:r w:rsidR="003F75B6" w:rsidRPr="00A953DF">
        <w:rPr>
          <w:rFonts w:ascii="Arial" w:hAnsi="Arial"/>
          <w:sz w:val="22"/>
          <w:szCs w:val="22"/>
        </w:rPr>
        <w:t>paclitaxel equivalent to 580</w:t>
      </w:r>
      <w:r w:rsidRPr="00A953DF">
        <w:rPr>
          <w:rFonts w:ascii="Arial" w:hAnsi="Arial"/>
          <w:sz w:val="22"/>
          <w:szCs w:val="22"/>
        </w:rPr>
        <w:t> </w:t>
      </w:r>
      <w:r w:rsidR="003F75B6" w:rsidRPr="00A953DF">
        <w:rPr>
          <w:rFonts w:ascii="Arial" w:hAnsi="Arial"/>
          <w:sz w:val="22"/>
          <w:szCs w:val="22"/>
        </w:rPr>
        <w:t xml:space="preserve">mg of </w:t>
      </w:r>
      <w:r w:rsidR="003F75B6" w:rsidRPr="00A953DF">
        <w:rPr>
          <w:rFonts w:ascii="Arial" w:hAnsi="Arial"/>
          <w:i/>
          <w:sz w:val="22"/>
          <w:szCs w:val="22"/>
        </w:rPr>
        <w:t>nab</w:t>
      </w:r>
      <w:r w:rsidR="003F75B6" w:rsidRPr="00A953DF">
        <w:rPr>
          <w:rFonts w:ascii="Arial" w:hAnsi="Arial"/>
          <w:sz w:val="22"/>
          <w:szCs w:val="22"/>
        </w:rPr>
        <w:t>-paclitaxel is $</w:t>
      </w:r>
      <w:r w:rsidR="006309AC">
        <w:rPr>
          <w:rFonts w:ascii="Arial" w:hAnsi="Arial"/>
          <w:noProof/>
          <w:color w:val="000000"/>
          <w:sz w:val="22"/>
          <w:szCs w:val="22"/>
          <w:highlight w:val="black"/>
        </w:rPr>
        <w:t>'''''''''''''''''</w:t>
      </w:r>
      <w:r w:rsidRPr="00A953DF">
        <w:rPr>
          <w:rFonts w:ascii="Arial" w:hAnsi="Arial"/>
          <w:sz w:val="22"/>
          <w:szCs w:val="22"/>
        </w:rPr>
        <w:t xml:space="preserve"> The</w:t>
      </w:r>
      <w:r w:rsidRPr="00A953DF">
        <w:rPr>
          <w:rFonts w:ascii="Arial" w:hAnsi="Arial"/>
          <w:i/>
          <w:sz w:val="22"/>
          <w:szCs w:val="22"/>
        </w:rPr>
        <w:t xml:space="preserve"> </w:t>
      </w:r>
      <w:r w:rsidRPr="00A953DF">
        <w:rPr>
          <w:rFonts w:ascii="Arial" w:hAnsi="Arial"/>
          <w:sz w:val="22"/>
          <w:szCs w:val="22"/>
        </w:rPr>
        <w:t xml:space="preserve">calculation of this price reflects </w:t>
      </w:r>
      <w:r w:rsidRPr="00A953DF">
        <w:rPr>
          <w:rFonts w:ascii="Arial" w:hAnsi="Arial" w:cs="Arial"/>
          <w:sz w:val="22"/>
          <w:szCs w:val="22"/>
        </w:rPr>
        <w:t xml:space="preserve">the PBAC-accepted </w:t>
      </w:r>
      <w:proofErr w:type="spellStart"/>
      <w:r w:rsidRPr="00A953DF">
        <w:rPr>
          <w:rFonts w:ascii="Arial" w:hAnsi="Arial" w:cs="Arial"/>
          <w:sz w:val="22"/>
          <w:szCs w:val="22"/>
        </w:rPr>
        <w:t>equi</w:t>
      </w:r>
      <w:proofErr w:type="spellEnd"/>
      <w:r w:rsidRPr="00A953DF">
        <w:rPr>
          <w:rFonts w:ascii="Arial" w:hAnsi="Arial" w:cs="Arial"/>
          <w:sz w:val="22"/>
          <w:szCs w:val="22"/>
        </w:rPr>
        <w:t>-effective doses of 260 mg/m</w:t>
      </w:r>
      <w:r w:rsidRPr="00A953DF">
        <w:rPr>
          <w:rFonts w:ascii="Arial" w:hAnsi="Arial" w:cs="Arial"/>
          <w:sz w:val="22"/>
          <w:szCs w:val="22"/>
          <w:vertAlign w:val="superscript"/>
        </w:rPr>
        <w:t>2</w:t>
      </w:r>
      <w:r w:rsidRPr="00A953DF">
        <w:rPr>
          <w:rFonts w:ascii="Arial" w:hAnsi="Arial" w:cs="Arial"/>
          <w:sz w:val="22"/>
          <w:szCs w:val="22"/>
        </w:rPr>
        <w:t xml:space="preserve"> of </w:t>
      </w:r>
      <w:r w:rsidRPr="00A953DF">
        <w:rPr>
          <w:rFonts w:ascii="Arial" w:hAnsi="Arial" w:cs="Arial"/>
          <w:i/>
          <w:sz w:val="22"/>
          <w:szCs w:val="22"/>
        </w:rPr>
        <w:t>nab</w:t>
      </w:r>
      <w:r w:rsidRPr="00A953DF">
        <w:rPr>
          <w:rFonts w:ascii="Arial" w:hAnsi="Arial" w:cs="Arial"/>
          <w:sz w:val="22"/>
          <w:szCs w:val="22"/>
        </w:rPr>
        <w:t>-paclitaxel and 175 mg/m</w:t>
      </w:r>
      <w:r w:rsidRPr="00A953DF">
        <w:rPr>
          <w:rFonts w:ascii="Arial" w:hAnsi="Arial" w:cs="Arial"/>
          <w:sz w:val="22"/>
          <w:szCs w:val="22"/>
          <w:vertAlign w:val="superscript"/>
        </w:rPr>
        <w:t>2</w:t>
      </w:r>
      <w:r w:rsidRPr="00A953DF">
        <w:rPr>
          <w:rFonts w:ascii="Arial" w:hAnsi="Arial" w:cs="Arial"/>
          <w:sz w:val="22"/>
          <w:szCs w:val="22"/>
        </w:rPr>
        <w:t xml:space="preserve"> of solvent-based paclitaxel, such that the </w:t>
      </w:r>
      <w:r w:rsidR="003F75B6" w:rsidRPr="00A953DF">
        <w:rPr>
          <w:rFonts w:ascii="Arial" w:hAnsi="Arial" w:cs="Arial"/>
          <w:sz w:val="22"/>
          <w:szCs w:val="22"/>
        </w:rPr>
        <w:t xml:space="preserve">amount of </w:t>
      </w:r>
      <w:r w:rsidRPr="00A953DF">
        <w:rPr>
          <w:rFonts w:ascii="Arial" w:hAnsi="Arial" w:cs="Arial"/>
          <w:sz w:val="22"/>
          <w:szCs w:val="22"/>
        </w:rPr>
        <w:t xml:space="preserve">solvent-based </w:t>
      </w:r>
      <w:r w:rsidR="003F75B6" w:rsidRPr="00A953DF">
        <w:rPr>
          <w:rFonts w:ascii="Arial" w:hAnsi="Arial" w:cs="Arial"/>
          <w:sz w:val="22"/>
          <w:szCs w:val="22"/>
        </w:rPr>
        <w:t>paclitaxel equivale</w:t>
      </w:r>
      <w:r w:rsidRPr="00A953DF">
        <w:rPr>
          <w:rFonts w:ascii="Arial" w:hAnsi="Arial" w:cs="Arial"/>
          <w:sz w:val="22"/>
          <w:szCs w:val="22"/>
        </w:rPr>
        <w:t xml:space="preserve">nt to the maximum amount of 580 mg of </w:t>
      </w:r>
      <w:r w:rsidRPr="00A953DF">
        <w:rPr>
          <w:rFonts w:ascii="Arial" w:hAnsi="Arial" w:cs="Arial"/>
          <w:i/>
          <w:sz w:val="22"/>
          <w:szCs w:val="22"/>
        </w:rPr>
        <w:t>nab</w:t>
      </w:r>
      <w:r w:rsidRPr="00A953DF">
        <w:rPr>
          <w:rFonts w:ascii="Arial" w:hAnsi="Arial" w:cs="Arial"/>
          <w:sz w:val="22"/>
          <w:szCs w:val="22"/>
        </w:rPr>
        <w:t>-paclitaxel is 303 </w:t>
      </w:r>
      <w:r w:rsidR="003F75B6" w:rsidRPr="00A953DF">
        <w:rPr>
          <w:rFonts w:ascii="Arial" w:hAnsi="Arial" w:cs="Arial"/>
          <w:sz w:val="22"/>
          <w:szCs w:val="22"/>
        </w:rPr>
        <w:t xml:space="preserve">mg </w:t>
      </w:r>
      <w:r w:rsidRPr="00A953DF">
        <w:rPr>
          <w:rFonts w:ascii="Arial" w:hAnsi="Arial" w:cs="Arial"/>
          <w:sz w:val="22"/>
          <w:szCs w:val="22"/>
        </w:rPr>
        <w:t xml:space="preserve">solvent-based </w:t>
      </w:r>
      <w:r w:rsidR="003F75B6" w:rsidRPr="00A953DF">
        <w:rPr>
          <w:rFonts w:ascii="Arial" w:hAnsi="Arial" w:cs="Arial"/>
          <w:sz w:val="22"/>
          <w:szCs w:val="22"/>
        </w:rPr>
        <w:t>paclitaxel.</w:t>
      </w:r>
    </w:p>
    <w:p w:rsidR="00681451" w:rsidRPr="00A953DF" w:rsidRDefault="00681451" w:rsidP="003F75B6">
      <w:pPr>
        <w:jc w:val="both"/>
        <w:rPr>
          <w:rFonts w:ascii="Arial" w:hAnsi="Arial"/>
          <w:sz w:val="22"/>
          <w:szCs w:val="22"/>
        </w:rPr>
      </w:pPr>
    </w:p>
    <w:p w:rsidR="00681451" w:rsidRPr="00A953DF" w:rsidRDefault="00681451" w:rsidP="00681451">
      <w:pPr>
        <w:pStyle w:val="ListParagraph"/>
        <w:numPr>
          <w:ilvl w:val="1"/>
          <w:numId w:val="25"/>
        </w:numPr>
        <w:jc w:val="both"/>
        <w:rPr>
          <w:rFonts w:ascii="Arial" w:hAnsi="Arial"/>
          <w:sz w:val="22"/>
          <w:szCs w:val="22"/>
        </w:rPr>
      </w:pPr>
      <w:r w:rsidRPr="00A953DF">
        <w:rPr>
          <w:rFonts w:ascii="Arial" w:hAnsi="Arial"/>
          <w:sz w:val="22"/>
          <w:szCs w:val="22"/>
        </w:rPr>
        <w:t xml:space="preserve">The submission requested a </w:t>
      </w:r>
      <w:r w:rsidR="00D46CAE" w:rsidRPr="00A953DF">
        <w:rPr>
          <w:rFonts w:ascii="Arial" w:hAnsi="Arial"/>
          <w:sz w:val="22"/>
          <w:szCs w:val="22"/>
        </w:rPr>
        <w:t xml:space="preserve">modification to the </w:t>
      </w:r>
      <w:r w:rsidRPr="00A953DF">
        <w:rPr>
          <w:rFonts w:ascii="Arial" w:hAnsi="Arial"/>
          <w:sz w:val="22"/>
          <w:szCs w:val="22"/>
        </w:rPr>
        <w:t xml:space="preserve">special pricing arrangement should the PBAC be willing to accept the proposed price for this patient population, where the published price </w:t>
      </w:r>
      <w:r w:rsidR="002B37BD" w:rsidRPr="00A953DF">
        <w:rPr>
          <w:rFonts w:ascii="Arial" w:hAnsi="Arial"/>
          <w:sz w:val="22"/>
          <w:szCs w:val="22"/>
        </w:rPr>
        <w:t xml:space="preserve">would </w:t>
      </w:r>
      <w:r w:rsidRPr="00A953DF">
        <w:rPr>
          <w:rFonts w:ascii="Arial" w:hAnsi="Arial"/>
          <w:sz w:val="22"/>
          <w:szCs w:val="22"/>
        </w:rPr>
        <w:t>remain at the price for metastatic breast cancer patients.</w:t>
      </w:r>
    </w:p>
    <w:p w:rsidR="00AD6859" w:rsidRPr="00A953DF" w:rsidRDefault="00AD6859" w:rsidP="00AD6859">
      <w:pPr>
        <w:jc w:val="both"/>
        <w:rPr>
          <w:rFonts w:ascii="Arial" w:hAnsi="Arial"/>
          <w:sz w:val="22"/>
          <w:szCs w:val="22"/>
        </w:rPr>
      </w:pPr>
    </w:p>
    <w:p w:rsidR="00F24458" w:rsidRPr="00A953DF" w:rsidRDefault="00AD6859" w:rsidP="00681451">
      <w:pPr>
        <w:pStyle w:val="ListParagraph"/>
        <w:numPr>
          <w:ilvl w:val="1"/>
          <w:numId w:val="25"/>
        </w:numPr>
        <w:jc w:val="both"/>
        <w:rPr>
          <w:rFonts w:ascii="Arial" w:hAnsi="Arial"/>
          <w:sz w:val="22"/>
          <w:szCs w:val="22"/>
        </w:rPr>
      </w:pPr>
      <w:r w:rsidRPr="00A953DF">
        <w:rPr>
          <w:rFonts w:ascii="Arial" w:hAnsi="Arial"/>
          <w:sz w:val="22"/>
          <w:szCs w:val="22"/>
        </w:rPr>
        <w:t xml:space="preserve">The submission proposed that it </w:t>
      </w:r>
      <w:r w:rsidR="00BA0BAA" w:rsidRPr="00A953DF">
        <w:rPr>
          <w:rFonts w:ascii="Arial" w:hAnsi="Arial"/>
          <w:sz w:val="22"/>
          <w:szCs w:val="22"/>
        </w:rPr>
        <w:t>was</w:t>
      </w:r>
      <w:r w:rsidRPr="00A953DF">
        <w:rPr>
          <w:rFonts w:ascii="Arial" w:hAnsi="Arial"/>
          <w:sz w:val="22"/>
          <w:szCs w:val="22"/>
        </w:rPr>
        <w:t xml:space="preserve"> difficult to estimate the cost of retaining the listing of </w:t>
      </w:r>
      <w:r w:rsidR="00EA1853" w:rsidRPr="00A953DF">
        <w:rPr>
          <w:rFonts w:ascii="Arial" w:hAnsi="Arial"/>
          <w:i/>
          <w:sz w:val="22"/>
          <w:szCs w:val="22"/>
        </w:rPr>
        <w:t>nab-</w:t>
      </w:r>
      <w:r w:rsidR="00EA1853" w:rsidRPr="00A953DF">
        <w:rPr>
          <w:rFonts w:ascii="Arial" w:hAnsi="Arial"/>
          <w:sz w:val="22"/>
          <w:szCs w:val="22"/>
        </w:rPr>
        <w:t>paclitaxel</w:t>
      </w:r>
      <w:r w:rsidRPr="00A953DF">
        <w:rPr>
          <w:rFonts w:ascii="Arial" w:hAnsi="Arial"/>
          <w:sz w:val="22"/>
          <w:szCs w:val="22"/>
        </w:rPr>
        <w:t xml:space="preserve"> for patients with HER-2 positive metastatic breast cancer as the data for this population is not captured by a separate item number</w:t>
      </w:r>
      <w:r w:rsidR="00394254" w:rsidRPr="00A953DF">
        <w:rPr>
          <w:rFonts w:ascii="Arial" w:hAnsi="Arial"/>
          <w:sz w:val="22"/>
          <w:szCs w:val="22"/>
        </w:rPr>
        <w:t>.</w:t>
      </w:r>
      <w:r w:rsidR="003C2E47" w:rsidRPr="00A953DF">
        <w:rPr>
          <w:rFonts w:ascii="Arial" w:hAnsi="Arial"/>
          <w:sz w:val="22"/>
          <w:szCs w:val="22"/>
        </w:rPr>
        <w:t xml:space="preserve"> However, t</w:t>
      </w:r>
      <w:r w:rsidR="00F24458" w:rsidRPr="00A953DF">
        <w:rPr>
          <w:rFonts w:ascii="Arial" w:hAnsi="Arial"/>
          <w:sz w:val="22"/>
          <w:szCs w:val="22"/>
        </w:rPr>
        <w:t xml:space="preserve">he submission made a reference to the DUSC estimates that </w:t>
      </w:r>
      <w:r w:rsidR="00EA1853" w:rsidRPr="00A953DF">
        <w:rPr>
          <w:rFonts w:ascii="Arial" w:hAnsi="Arial"/>
          <w:i/>
          <w:sz w:val="22"/>
          <w:szCs w:val="22"/>
        </w:rPr>
        <w:t>nab-</w:t>
      </w:r>
      <w:r w:rsidR="00EA1853" w:rsidRPr="00A953DF">
        <w:rPr>
          <w:rFonts w:ascii="Arial" w:hAnsi="Arial"/>
          <w:sz w:val="22"/>
          <w:szCs w:val="22"/>
        </w:rPr>
        <w:t>paclitaxel</w:t>
      </w:r>
      <w:r w:rsidR="00F24458" w:rsidRPr="00A953DF">
        <w:rPr>
          <w:rFonts w:ascii="Arial" w:hAnsi="Arial"/>
          <w:sz w:val="22"/>
          <w:szCs w:val="22"/>
        </w:rPr>
        <w:t xml:space="preserve"> </w:t>
      </w:r>
      <w:r w:rsidR="00E901C4" w:rsidRPr="00A953DF">
        <w:rPr>
          <w:rFonts w:ascii="Arial" w:hAnsi="Arial"/>
          <w:sz w:val="22"/>
          <w:szCs w:val="22"/>
        </w:rPr>
        <w:t>was</w:t>
      </w:r>
      <w:r w:rsidR="00F24458" w:rsidRPr="00A953DF">
        <w:rPr>
          <w:rFonts w:ascii="Arial" w:hAnsi="Arial"/>
          <w:sz w:val="22"/>
          <w:szCs w:val="22"/>
        </w:rPr>
        <w:t xml:space="preserve"> </w:t>
      </w:r>
      <w:r w:rsidR="007314AA" w:rsidRPr="00A953DF">
        <w:rPr>
          <w:rFonts w:ascii="Arial" w:hAnsi="Arial"/>
          <w:sz w:val="22"/>
          <w:szCs w:val="22"/>
        </w:rPr>
        <w:t xml:space="preserve">previously </w:t>
      </w:r>
      <w:r w:rsidR="00F24458" w:rsidRPr="00A953DF">
        <w:rPr>
          <w:rFonts w:ascii="Arial" w:hAnsi="Arial"/>
          <w:sz w:val="22"/>
          <w:szCs w:val="22"/>
        </w:rPr>
        <w:t xml:space="preserve">co-administered with 22.14% of patients on HER-2 blockade </w:t>
      </w:r>
      <w:r w:rsidR="00BA0BAA" w:rsidRPr="00A953DF">
        <w:rPr>
          <w:rFonts w:ascii="Arial" w:hAnsi="Arial"/>
          <w:sz w:val="22"/>
          <w:szCs w:val="22"/>
        </w:rPr>
        <w:t>therapy</w:t>
      </w:r>
      <w:r w:rsidR="007314AA" w:rsidRPr="00A953DF">
        <w:rPr>
          <w:rFonts w:ascii="Arial" w:hAnsi="Arial"/>
          <w:sz w:val="22"/>
          <w:szCs w:val="22"/>
        </w:rPr>
        <w:t xml:space="preserve"> (Public Summary Document - </w:t>
      </w:r>
      <w:r w:rsidR="00F24458" w:rsidRPr="00A953DF">
        <w:rPr>
          <w:rFonts w:ascii="Arial" w:hAnsi="Arial"/>
          <w:sz w:val="22"/>
          <w:szCs w:val="22"/>
        </w:rPr>
        <w:t>November 2014 PBAC Meeting Items 7.5 &amp; 7.8)</w:t>
      </w:r>
      <w:r w:rsidR="007314AA" w:rsidRPr="00A953DF">
        <w:rPr>
          <w:rFonts w:ascii="Arial" w:hAnsi="Arial"/>
          <w:sz w:val="22"/>
          <w:szCs w:val="22"/>
        </w:rPr>
        <w:t>.</w:t>
      </w:r>
    </w:p>
    <w:p w:rsidR="00F24458" w:rsidRPr="00A953DF" w:rsidRDefault="00F24458" w:rsidP="00F24458">
      <w:pPr>
        <w:jc w:val="both"/>
        <w:rPr>
          <w:rFonts w:ascii="Arial" w:hAnsi="Arial"/>
          <w:sz w:val="22"/>
          <w:szCs w:val="22"/>
        </w:rPr>
      </w:pPr>
    </w:p>
    <w:p w:rsidR="00696906" w:rsidRPr="00A953DF" w:rsidRDefault="00BA0BAA" w:rsidP="00681451">
      <w:pPr>
        <w:pStyle w:val="ListParagraph"/>
        <w:numPr>
          <w:ilvl w:val="1"/>
          <w:numId w:val="25"/>
        </w:numPr>
        <w:jc w:val="both"/>
        <w:rPr>
          <w:rFonts w:ascii="Arial" w:hAnsi="Arial"/>
          <w:sz w:val="22"/>
          <w:szCs w:val="22"/>
        </w:rPr>
      </w:pPr>
      <w:r w:rsidRPr="00A953DF">
        <w:rPr>
          <w:rFonts w:ascii="Arial" w:hAnsi="Arial"/>
          <w:sz w:val="22"/>
          <w:szCs w:val="22"/>
        </w:rPr>
        <w:t>The submission proposed that u</w:t>
      </w:r>
      <w:r w:rsidR="00F24458" w:rsidRPr="00A953DF">
        <w:rPr>
          <w:rFonts w:ascii="Arial" w:hAnsi="Arial"/>
          <w:sz w:val="22"/>
          <w:szCs w:val="22"/>
        </w:rPr>
        <w:t xml:space="preserve">tilisation data presented at the May 2014 Stakeholder’s meeting estimated that </w:t>
      </w:r>
      <w:r w:rsidRPr="00A953DF">
        <w:rPr>
          <w:rFonts w:ascii="Arial" w:hAnsi="Arial"/>
          <w:sz w:val="22"/>
          <w:szCs w:val="22"/>
        </w:rPr>
        <w:t xml:space="preserve">there were </w:t>
      </w:r>
      <w:r w:rsidR="00F24458" w:rsidRPr="00A953DF">
        <w:rPr>
          <w:rFonts w:ascii="Arial" w:hAnsi="Arial"/>
          <w:sz w:val="22"/>
          <w:szCs w:val="22"/>
        </w:rPr>
        <w:t xml:space="preserve">approximately </w:t>
      </w:r>
      <w:r w:rsidR="00F24458" w:rsidRPr="00920E2C">
        <w:rPr>
          <w:rFonts w:ascii="Arial" w:hAnsi="Arial"/>
          <w:sz w:val="22"/>
          <w:szCs w:val="22"/>
        </w:rPr>
        <w:t>40</w:t>
      </w:r>
      <w:r w:rsidR="00F24458" w:rsidRPr="00A953DF">
        <w:rPr>
          <w:rFonts w:ascii="Arial" w:hAnsi="Arial"/>
          <w:sz w:val="22"/>
          <w:szCs w:val="22"/>
        </w:rPr>
        <w:t xml:space="preserve"> new patients per month. </w:t>
      </w:r>
      <w:r w:rsidRPr="00A953DF">
        <w:rPr>
          <w:rFonts w:ascii="Arial" w:hAnsi="Arial"/>
          <w:sz w:val="22"/>
          <w:szCs w:val="22"/>
        </w:rPr>
        <w:t xml:space="preserve">On this basis, the submission claimed </w:t>
      </w:r>
      <w:r w:rsidR="00F24458" w:rsidRPr="00A953DF">
        <w:rPr>
          <w:rFonts w:ascii="Arial" w:hAnsi="Arial"/>
          <w:sz w:val="22"/>
          <w:szCs w:val="22"/>
        </w:rPr>
        <w:t xml:space="preserve">that </w:t>
      </w:r>
      <w:r w:rsidRPr="00A953DF">
        <w:rPr>
          <w:rFonts w:ascii="Arial" w:hAnsi="Arial"/>
          <w:sz w:val="22"/>
          <w:szCs w:val="22"/>
        </w:rPr>
        <w:t>the cost</w:t>
      </w:r>
      <w:r w:rsidR="00F24458" w:rsidRPr="00A953DF">
        <w:rPr>
          <w:rFonts w:ascii="Arial" w:hAnsi="Arial"/>
          <w:sz w:val="22"/>
          <w:szCs w:val="22"/>
        </w:rPr>
        <w:t xml:space="preserve"> of re-listing </w:t>
      </w:r>
      <w:r w:rsidR="00EA1853" w:rsidRPr="00A953DF">
        <w:rPr>
          <w:rFonts w:ascii="Arial" w:hAnsi="Arial"/>
          <w:i/>
          <w:sz w:val="22"/>
          <w:szCs w:val="22"/>
        </w:rPr>
        <w:t>nab-</w:t>
      </w:r>
      <w:r w:rsidR="00EA1853" w:rsidRPr="00A953DF">
        <w:rPr>
          <w:rFonts w:ascii="Arial" w:hAnsi="Arial"/>
          <w:sz w:val="22"/>
          <w:szCs w:val="22"/>
        </w:rPr>
        <w:t>paclitaxel</w:t>
      </w:r>
      <w:r w:rsidR="00F24458" w:rsidRPr="00A953DF">
        <w:rPr>
          <w:rFonts w:ascii="Arial" w:hAnsi="Arial"/>
          <w:sz w:val="22"/>
          <w:szCs w:val="22"/>
        </w:rPr>
        <w:t xml:space="preserve"> for this population would be approximately $1.4 million per year</w:t>
      </w:r>
      <w:r w:rsidR="004A3E4D" w:rsidRPr="00A953DF">
        <w:rPr>
          <w:rFonts w:ascii="Arial" w:hAnsi="Arial"/>
          <w:sz w:val="22"/>
          <w:szCs w:val="22"/>
        </w:rPr>
        <w:t xml:space="preserve">. The submission stated that this price </w:t>
      </w:r>
      <w:r w:rsidR="007314AA" w:rsidRPr="00A953DF">
        <w:rPr>
          <w:rFonts w:ascii="Arial" w:hAnsi="Arial"/>
          <w:sz w:val="22"/>
          <w:szCs w:val="22"/>
        </w:rPr>
        <w:t>would</w:t>
      </w:r>
      <w:r w:rsidR="004A3E4D" w:rsidRPr="00A953DF">
        <w:rPr>
          <w:rFonts w:ascii="Arial" w:hAnsi="Arial"/>
          <w:sz w:val="22"/>
          <w:szCs w:val="22"/>
        </w:rPr>
        <w:t xml:space="preserve"> not come at an </w:t>
      </w:r>
      <w:r w:rsidR="003C2E47" w:rsidRPr="00A953DF">
        <w:rPr>
          <w:rFonts w:ascii="Arial" w:hAnsi="Arial"/>
          <w:sz w:val="22"/>
          <w:szCs w:val="22"/>
        </w:rPr>
        <w:t>additional cost to the PBS. Moreover</w:t>
      </w:r>
      <w:r w:rsidR="002B37BD" w:rsidRPr="00A953DF">
        <w:rPr>
          <w:rFonts w:ascii="Arial" w:hAnsi="Arial"/>
          <w:sz w:val="22"/>
          <w:szCs w:val="22"/>
        </w:rPr>
        <w:t>,</w:t>
      </w:r>
      <w:r w:rsidR="003C2E47" w:rsidRPr="00A953DF">
        <w:rPr>
          <w:rFonts w:ascii="Arial" w:hAnsi="Arial"/>
          <w:sz w:val="22"/>
          <w:szCs w:val="22"/>
        </w:rPr>
        <w:t xml:space="preserve"> it </w:t>
      </w:r>
      <w:r w:rsidR="002B37BD" w:rsidRPr="00A953DF">
        <w:rPr>
          <w:rFonts w:ascii="Arial" w:hAnsi="Arial"/>
          <w:sz w:val="22"/>
          <w:szCs w:val="22"/>
        </w:rPr>
        <w:t>wa</w:t>
      </w:r>
      <w:r w:rsidR="003C2E47" w:rsidRPr="00A953DF">
        <w:rPr>
          <w:rFonts w:ascii="Arial" w:hAnsi="Arial"/>
          <w:sz w:val="22"/>
          <w:szCs w:val="22"/>
        </w:rPr>
        <w:t>s proposed that there w</w:t>
      </w:r>
      <w:r w:rsidR="007314AA" w:rsidRPr="00A953DF">
        <w:rPr>
          <w:rFonts w:ascii="Arial" w:hAnsi="Arial"/>
          <w:sz w:val="22"/>
          <w:szCs w:val="22"/>
        </w:rPr>
        <w:t>ould</w:t>
      </w:r>
      <w:r w:rsidR="003C2E47" w:rsidRPr="00A953DF">
        <w:rPr>
          <w:rFonts w:ascii="Arial" w:hAnsi="Arial"/>
          <w:sz w:val="22"/>
          <w:szCs w:val="22"/>
        </w:rPr>
        <w:t xml:space="preserve"> be a 15% saving (including the mandatory 5% price cut)</w:t>
      </w:r>
      <w:r w:rsidR="00696906" w:rsidRPr="00A953DF">
        <w:rPr>
          <w:rFonts w:ascii="Arial" w:hAnsi="Arial"/>
          <w:sz w:val="22"/>
          <w:szCs w:val="22"/>
        </w:rPr>
        <w:t xml:space="preserve"> </w:t>
      </w:r>
      <w:r w:rsidR="003C2E47" w:rsidRPr="00A953DF">
        <w:rPr>
          <w:rFonts w:ascii="Arial" w:hAnsi="Arial"/>
          <w:sz w:val="22"/>
          <w:szCs w:val="22"/>
        </w:rPr>
        <w:t xml:space="preserve">relative to </w:t>
      </w:r>
      <w:r w:rsidR="007314AA" w:rsidRPr="00A953DF">
        <w:rPr>
          <w:rFonts w:ascii="Arial" w:hAnsi="Arial"/>
          <w:sz w:val="22"/>
          <w:szCs w:val="22"/>
        </w:rPr>
        <w:t xml:space="preserve">the </w:t>
      </w:r>
      <w:r w:rsidR="003C2E47" w:rsidRPr="00A953DF">
        <w:rPr>
          <w:rFonts w:ascii="Arial" w:hAnsi="Arial"/>
          <w:sz w:val="22"/>
          <w:szCs w:val="22"/>
        </w:rPr>
        <w:t xml:space="preserve">expenditure </w:t>
      </w:r>
      <w:r w:rsidR="007314AA" w:rsidRPr="00A953DF">
        <w:rPr>
          <w:rFonts w:ascii="Arial" w:hAnsi="Arial"/>
          <w:sz w:val="22"/>
          <w:szCs w:val="22"/>
        </w:rPr>
        <w:t xml:space="preserve">that applied before </w:t>
      </w:r>
      <w:proofErr w:type="spellStart"/>
      <w:r w:rsidR="00696906" w:rsidRPr="00A953DF">
        <w:rPr>
          <w:rFonts w:ascii="Arial" w:hAnsi="Arial"/>
          <w:sz w:val="22"/>
          <w:szCs w:val="22"/>
        </w:rPr>
        <w:t>pertuzumab</w:t>
      </w:r>
      <w:proofErr w:type="spellEnd"/>
      <w:r w:rsidR="00696906" w:rsidRPr="00A953DF">
        <w:rPr>
          <w:rFonts w:ascii="Arial" w:hAnsi="Arial"/>
          <w:sz w:val="22"/>
          <w:szCs w:val="22"/>
        </w:rPr>
        <w:t xml:space="preserve"> </w:t>
      </w:r>
      <w:r w:rsidR="007314AA" w:rsidRPr="00A953DF">
        <w:rPr>
          <w:rFonts w:ascii="Arial" w:hAnsi="Arial"/>
          <w:sz w:val="22"/>
          <w:szCs w:val="22"/>
        </w:rPr>
        <w:t xml:space="preserve">was </w:t>
      </w:r>
      <w:r w:rsidR="00696906" w:rsidRPr="00A953DF">
        <w:rPr>
          <w:rFonts w:ascii="Arial" w:hAnsi="Arial"/>
          <w:sz w:val="22"/>
          <w:szCs w:val="22"/>
        </w:rPr>
        <w:t>list</w:t>
      </w:r>
      <w:r w:rsidR="007314AA" w:rsidRPr="00A953DF">
        <w:rPr>
          <w:rFonts w:ascii="Arial" w:hAnsi="Arial"/>
          <w:sz w:val="22"/>
          <w:szCs w:val="22"/>
        </w:rPr>
        <w:t>ed</w:t>
      </w:r>
      <w:r w:rsidR="00696906" w:rsidRPr="00A953DF">
        <w:rPr>
          <w:rFonts w:ascii="Arial" w:hAnsi="Arial"/>
          <w:sz w:val="22"/>
          <w:szCs w:val="22"/>
        </w:rPr>
        <w:t>.</w:t>
      </w:r>
    </w:p>
    <w:p w:rsidR="00696906" w:rsidRPr="00A953DF" w:rsidRDefault="00696906" w:rsidP="00696906">
      <w:pPr>
        <w:jc w:val="both"/>
        <w:rPr>
          <w:rFonts w:ascii="Arial" w:hAnsi="Arial"/>
          <w:sz w:val="22"/>
          <w:szCs w:val="22"/>
        </w:rPr>
      </w:pPr>
    </w:p>
    <w:p w:rsidR="00696906" w:rsidRPr="00A953DF" w:rsidRDefault="003C2E47" w:rsidP="00681451">
      <w:pPr>
        <w:pStyle w:val="ListParagraph"/>
        <w:numPr>
          <w:ilvl w:val="1"/>
          <w:numId w:val="25"/>
        </w:numPr>
        <w:jc w:val="both"/>
        <w:rPr>
          <w:rFonts w:ascii="Arial" w:hAnsi="Arial"/>
          <w:sz w:val="22"/>
          <w:szCs w:val="22"/>
        </w:rPr>
      </w:pPr>
      <w:r w:rsidRPr="00A953DF">
        <w:rPr>
          <w:rFonts w:ascii="Arial" w:hAnsi="Arial"/>
          <w:sz w:val="22"/>
          <w:szCs w:val="22"/>
        </w:rPr>
        <w:lastRenderedPageBreak/>
        <w:t xml:space="preserve">The submission claimed that the costs associated with </w:t>
      </w:r>
      <w:r w:rsidR="00EA1853" w:rsidRPr="00A953DF">
        <w:rPr>
          <w:rFonts w:ascii="Arial" w:hAnsi="Arial"/>
          <w:i/>
          <w:sz w:val="22"/>
          <w:szCs w:val="22"/>
        </w:rPr>
        <w:t>nab-</w:t>
      </w:r>
      <w:r w:rsidR="00EA1853" w:rsidRPr="00A953DF">
        <w:rPr>
          <w:rFonts w:ascii="Arial" w:hAnsi="Arial"/>
          <w:sz w:val="22"/>
          <w:szCs w:val="22"/>
        </w:rPr>
        <w:t>paclitaxel</w:t>
      </w:r>
      <w:r w:rsidRPr="00A953DF">
        <w:rPr>
          <w:rFonts w:ascii="Arial" w:hAnsi="Arial"/>
          <w:sz w:val="22"/>
          <w:szCs w:val="22"/>
        </w:rPr>
        <w:t xml:space="preserve"> listing w</w:t>
      </w:r>
      <w:r w:rsidR="007314AA" w:rsidRPr="00A953DF">
        <w:rPr>
          <w:rFonts w:ascii="Arial" w:hAnsi="Arial"/>
          <w:sz w:val="22"/>
          <w:szCs w:val="22"/>
        </w:rPr>
        <w:t>ould</w:t>
      </w:r>
      <w:r w:rsidRPr="00A953DF">
        <w:rPr>
          <w:rFonts w:ascii="Arial" w:hAnsi="Arial"/>
          <w:sz w:val="22"/>
          <w:szCs w:val="22"/>
        </w:rPr>
        <w:t xml:space="preserve"> be slightly offset by reduction </w:t>
      </w:r>
      <w:r w:rsidR="00696906" w:rsidRPr="00A953DF">
        <w:rPr>
          <w:rFonts w:ascii="Arial" w:hAnsi="Arial"/>
          <w:sz w:val="22"/>
          <w:szCs w:val="22"/>
        </w:rPr>
        <w:t xml:space="preserve">in use of </w:t>
      </w:r>
      <w:proofErr w:type="spellStart"/>
      <w:r w:rsidR="00696906" w:rsidRPr="00A953DF">
        <w:rPr>
          <w:rFonts w:ascii="Arial" w:hAnsi="Arial"/>
          <w:sz w:val="22"/>
          <w:szCs w:val="22"/>
        </w:rPr>
        <w:t>docetaxel</w:t>
      </w:r>
      <w:proofErr w:type="spellEnd"/>
      <w:r w:rsidR="00696906" w:rsidRPr="00A953DF">
        <w:rPr>
          <w:rFonts w:ascii="Arial" w:hAnsi="Arial"/>
          <w:sz w:val="22"/>
          <w:szCs w:val="22"/>
        </w:rPr>
        <w:t xml:space="preserve"> and solvent-based paclitaxel, and associated reductions in the use of steroids and resources.</w:t>
      </w:r>
    </w:p>
    <w:p w:rsidR="004A3E4D" w:rsidRPr="00A953DF" w:rsidRDefault="004A3E4D" w:rsidP="00D46CAE">
      <w:pPr>
        <w:jc w:val="both"/>
        <w:rPr>
          <w:rFonts w:ascii="Arial" w:hAnsi="Arial"/>
          <w:sz w:val="22"/>
          <w:szCs w:val="22"/>
        </w:rPr>
      </w:pPr>
    </w:p>
    <w:p w:rsidR="00C00DA7" w:rsidRPr="00A953DF" w:rsidRDefault="003352F7" w:rsidP="00C00DA7">
      <w:pPr>
        <w:pStyle w:val="ListParagraph"/>
        <w:ind w:left="709"/>
        <w:jc w:val="both"/>
        <w:rPr>
          <w:rFonts w:ascii="Arial Narrow" w:hAnsi="Arial Narrow"/>
          <w:b/>
          <w:sz w:val="20"/>
          <w:szCs w:val="20"/>
        </w:rPr>
      </w:pPr>
      <w:r w:rsidRPr="00A953DF">
        <w:rPr>
          <w:rFonts w:ascii="Arial Narrow" w:hAnsi="Arial Narrow"/>
          <w:b/>
          <w:sz w:val="20"/>
          <w:szCs w:val="20"/>
        </w:rPr>
        <w:t xml:space="preserve">Table 4: </w:t>
      </w:r>
      <w:r w:rsidR="004A3E4D" w:rsidRPr="00A953DF">
        <w:rPr>
          <w:rFonts w:ascii="Arial Narrow" w:hAnsi="Arial Narrow"/>
          <w:b/>
          <w:sz w:val="20"/>
          <w:szCs w:val="20"/>
        </w:rPr>
        <w:t>Estimated financial implications for the PBS</w:t>
      </w:r>
    </w:p>
    <w:tbl>
      <w:tblPr>
        <w:tblStyle w:val="TableGrid"/>
        <w:tblW w:w="0" w:type="auto"/>
        <w:tblInd w:w="817" w:type="dxa"/>
        <w:tblLook w:val="04A0" w:firstRow="1" w:lastRow="0" w:firstColumn="1" w:lastColumn="0" w:noHBand="0" w:noVBand="1"/>
        <w:tblCaption w:val="Utilisation estimates and financial implications"/>
      </w:tblPr>
      <w:tblGrid>
        <w:gridCol w:w="5670"/>
        <w:gridCol w:w="2755"/>
      </w:tblGrid>
      <w:tr w:rsidR="004A3E4D" w:rsidRPr="00A953DF" w:rsidTr="006309AC">
        <w:trPr>
          <w:tblHeader/>
        </w:trPr>
        <w:tc>
          <w:tcPr>
            <w:tcW w:w="5670" w:type="dxa"/>
          </w:tcPr>
          <w:p w:rsidR="004A3E4D" w:rsidRPr="00A953DF" w:rsidRDefault="004A3E4D" w:rsidP="00C00DA7">
            <w:pPr>
              <w:jc w:val="both"/>
              <w:rPr>
                <w:rFonts w:ascii="Arial Narrow" w:hAnsi="Arial Narrow"/>
                <w:sz w:val="20"/>
                <w:szCs w:val="20"/>
              </w:rPr>
            </w:pPr>
          </w:p>
        </w:tc>
        <w:tc>
          <w:tcPr>
            <w:tcW w:w="2755" w:type="dxa"/>
          </w:tcPr>
          <w:p w:rsidR="004A3E4D" w:rsidRPr="00A953DF" w:rsidRDefault="004A3E4D" w:rsidP="007314AA">
            <w:pPr>
              <w:jc w:val="center"/>
              <w:rPr>
                <w:rFonts w:ascii="Arial Narrow" w:hAnsi="Arial Narrow"/>
                <w:sz w:val="20"/>
                <w:szCs w:val="20"/>
              </w:rPr>
            </w:pPr>
            <w:r w:rsidRPr="00A953DF">
              <w:rPr>
                <w:rFonts w:ascii="Arial Narrow" w:hAnsi="Arial Narrow"/>
                <w:sz w:val="20"/>
                <w:szCs w:val="20"/>
              </w:rPr>
              <w:t>Per Year</w:t>
            </w:r>
          </w:p>
        </w:tc>
      </w:tr>
      <w:tr w:rsidR="004A3E4D" w:rsidRPr="00A953DF" w:rsidTr="004A3E4D">
        <w:tc>
          <w:tcPr>
            <w:tcW w:w="5670" w:type="dxa"/>
          </w:tcPr>
          <w:p w:rsidR="004A3E4D" w:rsidRPr="00A953DF" w:rsidRDefault="004A3E4D" w:rsidP="00C00DA7">
            <w:pPr>
              <w:jc w:val="both"/>
              <w:rPr>
                <w:rFonts w:ascii="Arial Narrow" w:hAnsi="Arial Narrow"/>
                <w:sz w:val="20"/>
                <w:szCs w:val="20"/>
              </w:rPr>
            </w:pPr>
            <w:r w:rsidRPr="00A953DF">
              <w:rPr>
                <w:rFonts w:ascii="Arial Narrow" w:hAnsi="Arial Narrow"/>
                <w:sz w:val="20"/>
                <w:szCs w:val="20"/>
              </w:rPr>
              <w:t xml:space="preserve">Incident patients on </w:t>
            </w:r>
            <w:proofErr w:type="spellStart"/>
            <w:r w:rsidRPr="00A953DF">
              <w:rPr>
                <w:rFonts w:ascii="Arial Narrow" w:hAnsi="Arial Narrow"/>
                <w:sz w:val="20"/>
                <w:szCs w:val="20"/>
              </w:rPr>
              <w:t>trastuzumab</w:t>
            </w:r>
            <w:proofErr w:type="spellEnd"/>
            <w:r w:rsidRPr="00A953DF">
              <w:rPr>
                <w:rFonts w:ascii="Arial Narrow" w:hAnsi="Arial Narrow"/>
                <w:sz w:val="20"/>
                <w:szCs w:val="20"/>
              </w:rPr>
              <w:t xml:space="preserve"> per year</w:t>
            </w:r>
          </w:p>
        </w:tc>
        <w:tc>
          <w:tcPr>
            <w:tcW w:w="2755" w:type="dxa"/>
          </w:tcPr>
          <w:p w:rsidR="004A3E4D" w:rsidRPr="006309AC" w:rsidRDefault="006309AC" w:rsidP="007314A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A3E4D" w:rsidRPr="00A953DF" w:rsidTr="004A3E4D">
        <w:tc>
          <w:tcPr>
            <w:tcW w:w="5670" w:type="dxa"/>
          </w:tcPr>
          <w:p w:rsidR="004A3E4D" w:rsidRPr="00A953DF" w:rsidRDefault="004A3E4D" w:rsidP="00C00DA7">
            <w:pPr>
              <w:jc w:val="both"/>
              <w:rPr>
                <w:rFonts w:ascii="Arial Narrow" w:hAnsi="Arial Narrow"/>
                <w:sz w:val="20"/>
                <w:szCs w:val="20"/>
              </w:rPr>
            </w:pPr>
            <w:r w:rsidRPr="00A953DF">
              <w:rPr>
                <w:rFonts w:ascii="Arial Narrow" w:hAnsi="Arial Narrow"/>
                <w:sz w:val="20"/>
                <w:szCs w:val="20"/>
              </w:rPr>
              <w:t xml:space="preserve">Proportion of patients receiving </w:t>
            </w:r>
            <w:proofErr w:type="spellStart"/>
            <w:r w:rsidRPr="00A953DF">
              <w:rPr>
                <w:rFonts w:ascii="Arial Narrow" w:hAnsi="Arial Narrow"/>
                <w:sz w:val="20"/>
                <w:szCs w:val="20"/>
              </w:rPr>
              <w:t>Abraxane</w:t>
            </w:r>
            <w:proofErr w:type="spellEnd"/>
            <w:r w:rsidRPr="00A953DF">
              <w:rPr>
                <w:rFonts w:ascii="Arial Narrow" w:hAnsi="Arial Narrow"/>
                <w:sz w:val="20"/>
                <w:szCs w:val="20"/>
              </w:rPr>
              <w:t xml:space="preserve"> in combination with </w:t>
            </w:r>
            <w:proofErr w:type="spellStart"/>
            <w:r w:rsidRPr="00A953DF">
              <w:rPr>
                <w:rFonts w:ascii="Arial Narrow" w:hAnsi="Arial Narrow"/>
                <w:sz w:val="20"/>
                <w:szCs w:val="20"/>
              </w:rPr>
              <w:t>trastuzumab</w:t>
            </w:r>
            <w:proofErr w:type="spellEnd"/>
          </w:p>
        </w:tc>
        <w:tc>
          <w:tcPr>
            <w:tcW w:w="2755" w:type="dxa"/>
          </w:tcPr>
          <w:p w:rsidR="004A3E4D" w:rsidRPr="00A953DF" w:rsidRDefault="004A3E4D" w:rsidP="007314AA">
            <w:pPr>
              <w:jc w:val="center"/>
              <w:rPr>
                <w:rFonts w:ascii="Arial Narrow" w:hAnsi="Arial Narrow"/>
                <w:sz w:val="20"/>
                <w:szCs w:val="20"/>
              </w:rPr>
            </w:pPr>
            <w:r w:rsidRPr="00A953DF">
              <w:rPr>
                <w:rFonts w:ascii="Arial Narrow" w:hAnsi="Arial Narrow"/>
                <w:sz w:val="20"/>
                <w:szCs w:val="20"/>
              </w:rPr>
              <w:t>22.14%</w:t>
            </w:r>
          </w:p>
        </w:tc>
      </w:tr>
      <w:tr w:rsidR="004A3E4D" w:rsidRPr="00A953DF" w:rsidTr="004A3E4D">
        <w:tc>
          <w:tcPr>
            <w:tcW w:w="5670" w:type="dxa"/>
          </w:tcPr>
          <w:p w:rsidR="004A3E4D" w:rsidRPr="00A953DF" w:rsidRDefault="004A3E4D" w:rsidP="00C00DA7">
            <w:pPr>
              <w:jc w:val="both"/>
              <w:rPr>
                <w:rFonts w:ascii="Arial Narrow" w:hAnsi="Arial Narrow"/>
                <w:sz w:val="20"/>
                <w:szCs w:val="20"/>
              </w:rPr>
            </w:pPr>
            <w:r w:rsidRPr="00A953DF">
              <w:rPr>
                <w:rFonts w:ascii="Arial Narrow" w:hAnsi="Arial Narrow"/>
                <w:sz w:val="20"/>
                <w:szCs w:val="20"/>
              </w:rPr>
              <w:t xml:space="preserve">Patients receiving </w:t>
            </w:r>
            <w:proofErr w:type="spellStart"/>
            <w:r w:rsidRPr="00A953DF">
              <w:rPr>
                <w:rFonts w:ascii="Arial Narrow" w:hAnsi="Arial Narrow"/>
                <w:sz w:val="20"/>
                <w:szCs w:val="20"/>
              </w:rPr>
              <w:t>Abraxane</w:t>
            </w:r>
            <w:proofErr w:type="spellEnd"/>
            <w:r w:rsidRPr="00A953DF">
              <w:rPr>
                <w:rFonts w:ascii="Arial Narrow" w:hAnsi="Arial Narrow"/>
                <w:sz w:val="20"/>
                <w:szCs w:val="20"/>
              </w:rPr>
              <w:t xml:space="preserve"> in combination with </w:t>
            </w:r>
            <w:proofErr w:type="spellStart"/>
            <w:r w:rsidRPr="00A953DF">
              <w:rPr>
                <w:rFonts w:ascii="Arial Narrow" w:hAnsi="Arial Narrow"/>
                <w:sz w:val="20"/>
                <w:szCs w:val="20"/>
              </w:rPr>
              <w:t>trastuzumab</w:t>
            </w:r>
            <w:proofErr w:type="spellEnd"/>
          </w:p>
        </w:tc>
        <w:tc>
          <w:tcPr>
            <w:tcW w:w="2755" w:type="dxa"/>
          </w:tcPr>
          <w:p w:rsidR="004A3E4D" w:rsidRPr="006309AC" w:rsidRDefault="006309AC" w:rsidP="007314A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A3E4D" w:rsidRPr="00A953DF" w:rsidTr="004A3E4D">
        <w:tc>
          <w:tcPr>
            <w:tcW w:w="5670" w:type="dxa"/>
          </w:tcPr>
          <w:p w:rsidR="004A3E4D" w:rsidRPr="00A953DF" w:rsidRDefault="004A3E4D" w:rsidP="003400D9">
            <w:pPr>
              <w:jc w:val="both"/>
              <w:rPr>
                <w:rFonts w:ascii="Arial Narrow" w:hAnsi="Arial Narrow"/>
                <w:sz w:val="20"/>
                <w:szCs w:val="20"/>
              </w:rPr>
            </w:pPr>
            <w:r w:rsidRPr="00A953DF">
              <w:rPr>
                <w:rFonts w:ascii="Arial Narrow" w:hAnsi="Arial Narrow"/>
                <w:sz w:val="20"/>
                <w:szCs w:val="20"/>
              </w:rPr>
              <w:t xml:space="preserve">Number of </w:t>
            </w:r>
            <w:proofErr w:type="spellStart"/>
            <w:r w:rsidRPr="00A953DF">
              <w:rPr>
                <w:rFonts w:ascii="Arial Narrow" w:hAnsi="Arial Narrow"/>
                <w:sz w:val="20"/>
                <w:szCs w:val="20"/>
              </w:rPr>
              <w:t>Abraxane</w:t>
            </w:r>
            <w:proofErr w:type="spellEnd"/>
            <w:r w:rsidRPr="00A953DF">
              <w:rPr>
                <w:rFonts w:ascii="Arial Narrow" w:hAnsi="Arial Narrow"/>
                <w:sz w:val="20"/>
                <w:szCs w:val="20"/>
              </w:rPr>
              <w:t xml:space="preserve"> cycles/patient (total)</w:t>
            </w:r>
          </w:p>
        </w:tc>
        <w:tc>
          <w:tcPr>
            <w:tcW w:w="2755" w:type="dxa"/>
          </w:tcPr>
          <w:p w:rsidR="004A3E4D" w:rsidRPr="00A953DF" w:rsidRDefault="004A3E4D" w:rsidP="007314AA">
            <w:pPr>
              <w:jc w:val="center"/>
              <w:rPr>
                <w:rFonts w:ascii="Arial Narrow" w:hAnsi="Arial Narrow"/>
                <w:sz w:val="20"/>
                <w:szCs w:val="20"/>
              </w:rPr>
            </w:pPr>
            <w:r w:rsidRPr="00A953DF">
              <w:rPr>
                <w:rFonts w:ascii="Arial Narrow" w:hAnsi="Arial Narrow"/>
                <w:sz w:val="20"/>
                <w:szCs w:val="20"/>
              </w:rPr>
              <w:t>6</w:t>
            </w:r>
          </w:p>
        </w:tc>
      </w:tr>
      <w:tr w:rsidR="004A3E4D" w:rsidRPr="00A953DF" w:rsidTr="004A3E4D">
        <w:tc>
          <w:tcPr>
            <w:tcW w:w="5670" w:type="dxa"/>
          </w:tcPr>
          <w:p w:rsidR="004A3E4D" w:rsidRPr="00A953DF" w:rsidRDefault="004A3E4D" w:rsidP="003400D9">
            <w:pPr>
              <w:jc w:val="both"/>
              <w:rPr>
                <w:rFonts w:ascii="Arial Narrow" w:hAnsi="Arial Narrow"/>
                <w:sz w:val="20"/>
                <w:szCs w:val="20"/>
              </w:rPr>
            </w:pPr>
            <w:r w:rsidRPr="00A953DF">
              <w:rPr>
                <w:rFonts w:ascii="Arial Narrow" w:hAnsi="Arial Narrow"/>
                <w:sz w:val="20"/>
                <w:szCs w:val="20"/>
              </w:rPr>
              <w:t>Total number of cycles</w:t>
            </w:r>
          </w:p>
        </w:tc>
        <w:tc>
          <w:tcPr>
            <w:tcW w:w="2755" w:type="dxa"/>
          </w:tcPr>
          <w:p w:rsidR="004A3E4D" w:rsidRPr="006309AC" w:rsidRDefault="006309AC" w:rsidP="007314A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A3E4D" w:rsidRPr="00A953DF" w:rsidTr="004A3E4D">
        <w:tc>
          <w:tcPr>
            <w:tcW w:w="5670" w:type="dxa"/>
          </w:tcPr>
          <w:p w:rsidR="004A3E4D" w:rsidRPr="00A953DF" w:rsidRDefault="004A3E4D" w:rsidP="003400D9">
            <w:pPr>
              <w:jc w:val="both"/>
              <w:rPr>
                <w:rFonts w:ascii="Arial Narrow" w:hAnsi="Arial Narrow"/>
                <w:b/>
                <w:sz w:val="20"/>
                <w:szCs w:val="20"/>
              </w:rPr>
            </w:pPr>
            <w:r w:rsidRPr="00A953DF">
              <w:rPr>
                <w:rFonts w:ascii="Arial Narrow" w:hAnsi="Arial Narrow"/>
                <w:b/>
                <w:sz w:val="20"/>
                <w:szCs w:val="20"/>
              </w:rPr>
              <w:t xml:space="preserve">Cost of </w:t>
            </w:r>
            <w:proofErr w:type="spellStart"/>
            <w:r w:rsidRPr="00A953DF">
              <w:rPr>
                <w:rFonts w:ascii="Arial Narrow" w:hAnsi="Arial Narrow"/>
                <w:b/>
                <w:sz w:val="20"/>
                <w:szCs w:val="20"/>
              </w:rPr>
              <w:t>Abraxane</w:t>
            </w:r>
            <w:proofErr w:type="spellEnd"/>
            <w:r w:rsidRPr="00A953DF">
              <w:rPr>
                <w:rFonts w:ascii="Arial Narrow" w:hAnsi="Arial Narrow"/>
                <w:b/>
                <w:sz w:val="20"/>
                <w:szCs w:val="20"/>
              </w:rPr>
              <w:t xml:space="preserve"> (prior to mandatory 5% price cut)</w:t>
            </w:r>
          </w:p>
        </w:tc>
        <w:tc>
          <w:tcPr>
            <w:tcW w:w="2755" w:type="dxa"/>
          </w:tcPr>
          <w:p w:rsidR="004A3E4D" w:rsidRPr="00A953DF" w:rsidRDefault="004A3E4D" w:rsidP="007314AA">
            <w:pPr>
              <w:jc w:val="center"/>
              <w:rPr>
                <w:rFonts w:ascii="Arial Narrow" w:hAnsi="Arial Narrow"/>
                <w:b/>
                <w:sz w:val="20"/>
                <w:szCs w:val="20"/>
              </w:rPr>
            </w:pPr>
            <w:r w:rsidRPr="00A953DF">
              <w:rPr>
                <w:rFonts w:ascii="Arial Narrow" w:hAnsi="Arial Narrow"/>
                <w:b/>
                <w:sz w:val="20"/>
                <w:szCs w:val="20"/>
              </w:rPr>
              <w:t>$</w:t>
            </w:r>
            <w:r w:rsidR="006309AC">
              <w:rPr>
                <w:rFonts w:ascii="Arial Narrow" w:hAnsi="Arial Narrow"/>
                <w:b/>
                <w:noProof/>
                <w:color w:val="000000"/>
                <w:sz w:val="20"/>
                <w:szCs w:val="20"/>
                <w:highlight w:val="black"/>
              </w:rPr>
              <w:t>'''''''''''''''''''''</w:t>
            </w:r>
          </w:p>
        </w:tc>
      </w:tr>
    </w:tbl>
    <w:p w:rsidR="00BB7EC3" w:rsidRPr="00A953DF" w:rsidRDefault="00BB7EC3" w:rsidP="00C00DA7">
      <w:pPr>
        <w:jc w:val="both"/>
        <w:rPr>
          <w:rFonts w:ascii="Arial" w:hAnsi="Arial"/>
          <w:sz w:val="22"/>
          <w:szCs w:val="22"/>
        </w:rPr>
      </w:pPr>
    </w:p>
    <w:p w:rsidR="004C1630" w:rsidRPr="00A953DF" w:rsidRDefault="004A3E4D" w:rsidP="004A3E4D">
      <w:pPr>
        <w:pStyle w:val="ListParagraph"/>
        <w:numPr>
          <w:ilvl w:val="1"/>
          <w:numId w:val="25"/>
        </w:numPr>
        <w:jc w:val="both"/>
        <w:rPr>
          <w:rFonts w:ascii="Arial" w:hAnsi="Arial"/>
          <w:sz w:val="22"/>
          <w:szCs w:val="22"/>
        </w:rPr>
      </w:pPr>
      <w:r w:rsidRPr="00A953DF">
        <w:rPr>
          <w:rFonts w:ascii="Arial" w:hAnsi="Arial"/>
          <w:sz w:val="22"/>
          <w:szCs w:val="22"/>
        </w:rPr>
        <w:t>As this was a minor submission, the</w:t>
      </w:r>
      <w:r w:rsidR="002B37BD" w:rsidRPr="00A953DF">
        <w:rPr>
          <w:rFonts w:ascii="Arial" w:hAnsi="Arial"/>
          <w:sz w:val="22"/>
          <w:szCs w:val="22"/>
        </w:rPr>
        <w:t>se</w:t>
      </w:r>
      <w:r w:rsidRPr="00A953DF">
        <w:rPr>
          <w:rFonts w:ascii="Arial" w:hAnsi="Arial"/>
          <w:sz w:val="22"/>
          <w:szCs w:val="22"/>
        </w:rPr>
        <w:t xml:space="preserve"> estimates </w:t>
      </w:r>
      <w:r w:rsidR="002B37BD" w:rsidRPr="00A953DF">
        <w:rPr>
          <w:rFonts w:ascii="Arial" w:hAnsi="Arial"/>
          <w:sz w:val="22"/>
          <w:szCs w:val="22"/>
        </w:rPr>
        <w:t>were</w:t>
      </w:r>
      <w:r w:rsidRPr="00A953DF">
        <w:rPr>
          <w:rFonts w:ascii="Arial" w:hAnsi="Arial"/>
          <w:sz w:val="22"/>
          <w:szCs w:val="22"/>
        </w:rPr>
        <w:t xml:space="preserve"> not independently evaluated.</w:t>
      </w:r>
    </w:p>
    <w:p w:rsidR="00131F1C" w:rsidRPr="00A953DF" w:rsidRDefault="00131F1C">
      <w:pPr>
        <w:rPr>
          <w:rFonts w:ascii="Arial" w:hAnsi="Arial"/>
          <w:sz w:val="22"/>
          <w:szCs w:val="22"/>
        </w:rPr>
      </w:pPr>
    </w:p>
    <w:p w:rsidR="001C7572" w:rsidRPr="00A438EB" w:rsidRDefault="001C7572" w:rsidP="00A438EB">
      <w:pPr>
        <w:ind w:firstLine="709"/>
        <w:rPr>
          <w:rFonts w:ascii="Arial" w:hAnsi="Arial"/>
          <w:i/>
          <w:sz w:val="22"/>
          <w:szCs w:val="22"/>
        </w:rPr>
      </w:pPr>
      <w:r w:rsidRPr="00A953DF">
        <w:rPr>
          <w:rFonts w:ascii="Arial" w:hAnsi="Arial"/>
          <w:i/>
          <w:sz w:val="22"/>
          <w:szCs w:val="22"/>
        </w:rPr>
        <w:t>For more details on PBAC’s view, see section 7 “PBAC outcome”.</w:t>
      </w:r>
    </w:p>
    <w:p w:rsidR="001C7572" w:rsidRPr="00A953DF" w:rsidRDefault="001C7572" w:rsidP="00F535D3">
      <w:pPr>
        <w:rPr>
          <w:rFonts w:ascii="Arial" w:hAnsi="Arial"/>
          <w:sz w:val="22"/>
          <w:szCs w:val="22"/>
        </w:rPr>
      </w:pPr>
    </w:p>
    <w:p w:rsidR="00CD1F92" w:rsidRPr="00A953DF" w:rsidRDefault="00CD1F92" w:rsidP="009659F7">
      <w:pPr>
        <w:pStyle w:val="Heading1"/>
        <w:rPr>
          <w:snapToGrid w:val="0"/>
          <w:lang w:eastAsia="en-US"/>
        </w:rPr>
      </w:pPr>
      <w:r w:rsidRPr="00A953DF">
        <w:rPr>
          <w:snapToGrid w:val="0"/>
          <w:lang w:eastAsia="en-US"/>
        </w:rPr>
        <w:t>PBAC Outcome</w:t>
      </w:r>
    </w:p>
    <w:p w:rsidR="00CD1F92" w:rsidRPr="00A953DF" w:rsidRDefault="00CD1F92" w:rsidP="00CD1F92">
      <w:pPr>
        <w:contextualSpacing/>
        <w:jc w:val="both"/>
        <w:rPr>
          <w:rFonts w:ascii="Arial" w:hAnsi="Arial" w:cs="Arial"/>
          <w:bCs/>
          <w:snapToGrid w:val="0"/>
          <w:sz w:val="22"/>
          <w:szCs w:val="22"/>
          <w:lang w:eastAsia="en-US"/>
        </w:rPr>
      </w:pPr>
    </w:p>
    <w:p w:rsidR="004B54B6" w:rsidRPr="00A953DF" w:rsidRDefault="00E93103" w:rsidP="00EE4E6E">
      <w:pPr>
        <w:widowControl w:val="0"/>
        <w:numPr>
          <w:ilvl w:val="1"/>
          <w:numId w:val="25"/>
        </w:numPr>
        <w:spacing w:after="120"/>
        <w:contextualSpacing/>
        <w:jc w:val="both"/>
        <w:rPr>
          <w:rFonts w:ascii="Arial" w:hAnsi="Arial" w:cs="Arial"/>
          <w:bCs/>
          <w:snapToGrid w:val="0"/>
          <w:sz w:val="22"/>
          <w:szCs w:val="22"/>
          <w:lang w:eastAsia="en-US"/>
        </w:rPr>
      </w:pPr>
      <w:r w:rsidRPr="00A953DF">
        <w:rPr>
          <w:rFonts w:ascii="Arial" w:hAnsi="Arial" w:cs="Arial"/>
          <w:bCs/>
          <w:snapToGrid w:val="0"/>
          <w:sz w:val="22"/>
          <w:szCs w:val="22"/>
          <w:lang w:eastAsia="en-US"/>
        </w:rPr>
        <w:t xml:space="preserve">The PBAC rejected the request </w:t>
      </w:r>
      <w:r w:rsidR="002B37BD" w:rsidRPr="00A953DF">
        <w:rPr>
          <w:rFonts w:ascii="Arial" w:hAnsi="Arial" w:cs="Arial"/>
          <w:bCs/>
          <w:snapToGrid w:val="0"/>
          <w:sz w:val="22"/>
          <w:szCs w:val="22"/>
          <w:lang w:eastAsia="en-US"/>
        </w:rPr>
        <w:t>for PBS subsid</w:t>
      </w:r>
      <w:r w:rsidR="00C83A6B" w:rsidRPr="00A953DF">
        <w:rPr>
          <w:rFonts w:ascii="Arial" w:hAnsi="Arial" w:cs="Arial"/>
          <w:bCs/>
          <w:snapToGrid w:val="0"/>
          <w:sz w:val="22"/>
          <w:szCs w:val="22"/>
          <w:lang w:eastAsia="en-US"/>
        </w:rPr>
        <w:t>y of</w:t>
      </w:r>
      <w:r w:rsidR="002B37BD" w:rsidRPr="00A953DF">
        <w:rPr>
          <w:rFonts w:ascii="Arial" w:hAnsi="Arial" w:cs="Arial"/>
          <w:bCs/>
          <w:snapToGrid w:val="0"/>
          <w:sz w:val="22"/>
          <w:szCs w:val="22"/>
          <w:lang w:eastAsia="en-US"/>
        </w:rPr>
        <w:t xml:space="preserve"> the use of </w:t>
      </w:r>
      <w:r w:rsidRPr="00A953DF">
        <w:rPr>
          <w:rFonts w:ascii="Arial" w:hAnsi="Arial" w:cs="Arial"/>
          <w:bCs/>
          <w:i/>
          <w:snapToGrid w:val="0"/>
          <w:sz w:val="22"/>
          <w:szCs w:val="22"/>
          <w:lang w:eastAsia="en-US"/>
        </w:rPr>
        <w:t>nab</w:t>
      </w:r>
      <w:r w:rsidRPr="00A953DF">
        <w:rPr>
          <w:rFonts w:ascii="Arial" w:hAnsi="Arial" w:cs="Arial"/>
          <w:bCs/>
          <w:snapToGrid w:val="0"/>
          <w:sz w:val="22"/>
          <w:szCs w:val="22"/>
          <w:lang w:eastAsia="en-US"/>
        </w:rPr>
        <w:t xml:space="preserve">-paclitaxel in combination with </w:t>
      </w:r>
      <w:proofErr w:type="spellStart"/>
      <w:r w:rsidRPr="00A953DF">
        <w:rPr>
          <w:rFonts w:ascii="Arial" w:hAnsi="Arial" w:cs="Arial"/>
          <w:bCs/>
          <w:snapToGrid w:val="0"/>
          <w:sz w:val="22"/>
          <w:szCs w:val="22"/>
          <w:lang w:eastAsia="en-US"/>
        </w:rPr>
        <w:t>trastuzumab</w:t>
      </w:r>
      <w:proofErr w:type="spellEnd"/>
      <w:r w:rsidR="00174827" w:rsidRPr="00A953DF">
        <w:rPr>
          <w:rFonts w:ascii="Arial" w:hAnsi="Arial" w:cs="Arial"/>
          <w:bCs/>
          <w:snapToGrid w:val="0"/>
          <w:sz w:val="22"/>
          <w:szCs w:val="22"/>
          <w:lang w:eastAsia="en-US"/>
        </w:rPr>
        <w:t>, in the treatment of patients with human epidermal growth factor receptor 2 (</w:t>
      </w:r>
      <w:proofErr w:type="gramStart"/>
      <w:r w:rsidR="00174827" w:rsidRPr="00A953DF">
        <w:rPr>
          <w:rFonts w:ascii="Arial" w:hAnsi="Arial" w:cs="Arial"/>
          <w:bCs/>
          <w:snapToGrid w:val="0"/>
          <w:sz w:val="22"/>
          <w:szCs w:val="22"/>
          <w:lang w:eastAsia="en-US"/>
        </w:rPr>
        <w:t xml:space="preserve">HER-2) positive </w:t>
      </w:r>
      <w:r w:rsidR="009A3B95" w:rsidRPr="00A953DF">
        <w:rPr>
          <w:rFonts w:ascii="Arial" w:hAnsi="Arial" w:cs="Arial"/>
          <w:bCs/>
          <w:snapToGrid w:val="0"/>
          <w:sz w:val="22"/>
          <w:szCs w:val="22"/>
          <w:lang w:eastAsia="en-US"/>
        </w:rPr>
        <w:t>metastatic breast cancer</w:t>
      </w:r>
      <w:proofErr w:type="gramEnd"/>
      <w:r w:rsidR="004B54B6" w:rsidRPr="00A953DF">
        <w:rPr>
          <w:rFonts w:ascii="Arial" w:hAnsi="Arial" w:cs="Arial"/>
          <w:bCs/>
          <w:snapToGrid w:val="0"/>
          <w:sz w:val="22"/>
          <w:szCs w:val="22"/>
          <w:lang w:eastAsia="en-US"/>
        </w:rPr>
        <w:t>.</w:t>
      </w:r>
    </w:p>
    <w:p w:rsidR="004B54B6" w:rsidRPr="00A953DF" w:rsidRDefault="004B54B6" w:rsidP="00F535D3">
      <w:pPr>
        <w:widowControl w:val="0"/>
        <w:spacing w:after="120"/>
        <w:contextualSpacing/>
        <w:jc w:val="both"/>
        <w:rPr>
          <w:rFonts w:ascii="Arial" w:hAnsi="Arial" w:cs="Arial"/>
          <w:bCs/>
          <w:snapToGrid w:val="0"/>
          <w:sz w:val="22"/>
          <w:szCs w:val="22"/>
          <w:lang w:eastAsia="en-US"/>
        </w:rPr>
      </w:pPr>
    </w:p>
    <w:p w:rsidR="00EE4E6E" w:rsidRPr="00A953DF" w:rsidRDefault="004B54B6" w:rsidP="00EE4E6E">
      <w:pPr>
        <w:widowControl w:val="0"/>
        <w:numPr>
          <w:ilvl w:val="1"/>
          <w:numId w:val="25"/>
        </w:numPr>
        <w:spacing w:after="120"/>
        <w:contextualSpacing/>
        <w:jc w:val="both"/>
        <w:rPr>
          <w:rFonts w:ascii="Arial" w:hAnsi="Arial" w:cs="Arial"/>
          <w:bCs/>
          <w:snapToGrid w:val="0"/>
          <w:sz w:val="22"/>
          <w:szCs w:val="22"/>
          <w:lang w:eastAsia="en-US"/>
        </w:rPr>
      </w:pPr>
      <w:r w:rsidRPr="00A953DF">
        <w:rPr>
          <w:rFonts w:ascii="Arial" w:hAnsi="Arial" w:cs="Arial"/>
          <w:bCs/>
          <w:snapToGrid w:val="0"/>
          <w:sz w:val="22"/>
          <w:szCs w:val="22"/>
          <w:lang w:eastAsia="en-US"/>
        </w:rPr>
        <w:t>In making this recommendation, t</w:t>
      </w:r>
      <w:r w:rsidR="00E93103" w:rsidRPr="00A953DF">
        <w:rPr>
          <w:rFonts w:ascii="Arial" w:hAnsi="Arial" w:cs="Arial"/>
          <w:bCs/>
          <w:snapToGrid w:val="0"/>
          <w:sz w:val="22"/>
          <w:szCs w:val="22"/>
          <w:lang w:eastAsia="en-US"/>
        </w:rPr>
        <w:t>he PBAC</w:t>
      </w:r>
      <w:r w:rsidRPr="00A953DF">
        <w:rPr>
          <w:rFonts w:ascii="Arial" w:hAnsi="Arial" w:cs="Arial"/>
          <w:bCs/>
          <w:snapToGrid w:val="0"/>
          <w:sz w:val="22"/>
          <w:szCs w:val="22"/>
          <w:lang w:eastAsia="en-US"/>
        </w:rPr>
        <w:t xml:space="preserve"> recalled its decision </w:t>
      </w:r>
      <w:r w:rsidR="0012703A" w:rsidRPr="00A953DF">
        <w:rPr>
          <w:rFonts w:ascii="Arial" w:hAnsi="Arial" w:cs="Arial"/>
          <w:bCs/>
          <w:snapToGrid w:val="0"/>
          <w:sz w:val="22"/>
          <w:szCs w:val="22"/>
          <w:lang w:eastAsia="en-US"/>
        </w:rPr>
        <w:t xml:space="preserve">on a resubmission for </w:t>
      </w:r>
      <w:proofErr w:type="spellStart"/>
      <w:r w:rsidR="0012703A" w:rsidRPr="00A953DF">
        <w:rPr>
          <w:rFonts w:ascii="Arial" w:hAnsi="Arial" w:cs="Arial"/>
          <w:bCs/>
          <w:snapToGrid w:val="0"/>
          <w:sz w:val="22"/>
          <w:szCs w:val="22"/>
          <w:lang w:eastAsia="en-US"/>
        </w:rPr>
        <w:t>pertuzumab</w:t>
      </w:r>
      <w:proofErr w:type="spellEnd"/>
      <w:r w:rsidR="0012703A" w:rsidRPr="00A953DF">
        <w:rPr>
          <w:rFonts w:ascii="Arial" w:hAnsi="Arial" w:cs="Arial"/>
          <w:bCs/>
          <w:snapToGrid w:val="0"/>
          <w:sz w:val="22"/>
          <w:szCs w:val="22"/>
          <w:lang w:eastAsia="en-US"/>
        </w:rPr>
        <w:t xml:space="preserve">, </w:t>
      </w:r>
      <w:proofErr w:type="spellStart"/>
      <w:r w:rsidR="0012703A" w:rsidRPr="00A953DF">
        <w:rPr>
          <w:rFonts w:ascii="Arial" w:hAnsi="Arial" w:cs="Arial"/>
          <w:bCs/>
          <w:snapToGrid w:val="0"/>
          <w:sz w:val="22"/>
          <w:szCs w:val="22"/>
          <w:lang w:eastAsia="en-US"/>
        </w:rPr>
        <w:t>trastuzumab</w:t>
      </w:r>
      <w:proofErr w:type="spellEnd"/>
      <w:r w:rsidR="0012703A" w:rsidRPr="00A953DF">
        <w:rPr>
          <w:rFonts w:ascii="Arial" w:hAnsi="Arial" w:cs="Arial"/>
          <w:bCs/>
          <w:snapToGrid w:val="0"/>
          <w:sz w:val="22"/>
          <w:szCs w:val="22"/>
          <w:lang w:eastAsia="en-US"/>
        </w:rPr>
        <w:t xml:space="preserve"> and </w:t>
      </w:r>
      <w:proofErr w:type="spellStart"/>
      <w:r w:rsidR="0012703A" w:rsidRPr="00A953DF">
        <w:rPr>
          <w:rFonts w:ascii="Arial" w:hAnsi="Arial" w:cs="Arial"/>
          <w:bCs/>
          <w:snapToGrid w:val="0"/>
          <w:sz w:val="22"/>
          <w:szCs w:val="22"/>
          <w:lang w:eastAsia="en-US"/>
        </w:rPr>
        <w:t>trastuzumab</w:t>
      </w:r>
      <w:proofErr w:type="spellEnd"/>
      <w:r w:rsidR="0012703A" w:rsidRPr="00A953DF">
        <w:rPr>
          <w:rFonts w:ascii="Arial" w:hAnsi="Arial" w:cs="Arial"/>
          <w:bCs/>
          <w:snapToGrid w:val="0"/>
          <w:sz w:val="22"/>
          <w:szCs w:val="22"/>
          <w:lang w:eastAsia="en-US"/>
        </w:rPr>
        <w:t xml:space="preserve"> </w:t>
      </w:r>
      <w:proofErr w:type="spellStart"/>
      <w:r w:rsidR="0012703A" w:rsidRPr="00A953DF">
        <w:rPr>
          <w:rFonts w:ascii="Arial" w:hAnsi="Arial" w:cs="Arial"/>
          <w:bCs/>
          <w:snapToGrid w:val="0"/>
          <w:sz w:val="22"/>
          <w:szCs w:val="22"/>
          <w:lang w:eastAsia="en-US"/>
        </w:rPr>
        <w:t>emtansine</w:t>
      </w:r>
      <w:proofErr w:type="spellEnd"/>
      <w:r w:rsidR="0012703A" w:rsidRPr="00A953DF">
        <w:rPr>
          <w:rFonts w:ascii="Arial" w:hAnsi="Arial" w:cs="Arial"/>
          <w:bCs/>
          <w:snapToGrid w:val="0"/>
          <w:sz w:val="22"/>
          <w:szCs w:val="22"/>
          <w:lang w:eastAsia="en-US"/>
        </w:rPr>
        <w:t xml:space="preserve"> considered at </w:t>
      </w:r>
      <w:r w:rsidRPr="00A953DF">
        <w:rPr>
          <w:rFonts w:ascii="Arial" w:hAnsi="Arial" w:cs="Arial"/>
          <w:bCs/>
          <w:snapToGrid w:val="0"/>
          <w:sz w:val="22"/>
          <w:szCs w:val="22"/>
          <w:lang w:eastAsia="en-US"/>
        </w:rPr>
        <w:t>the November</w:t>
      </w:r>
      <w:r w:rsidR="00A75BBA" w:rsidRPr="00A953DF">
        <w:rPr>
          <w:rFonts w:ascii="Arial" w:hAnsi="Arial" w:cs="Arial"/>
          <w:bCs/>
          <w:snapToGrid w:val="0"/>
          <w:sz w:val="22"/>
          <w:szCs w:val="22"/>
          <w:lang w:eastAsia="en-US"/>
        </w:rPr>
        <w:t> </w:t>
      </w:r>
      <w:r w:rsidRPr="00A953DF">
        <w:rPr>
          <w:rFonts w:ascii="Arial" w:hAnsi="Arial" w:cs="Arial"/>
          <w:bCs/>
          <w:snapToGrid w:val="0"/>
          <w:sz w:val="22"/>
          <w:szCs w:val="22"/>
          <w:lang w:eastAsia="en-US"/>
        </w:rPr>
        <w:t>2014 PBAC meeting</w:t>
      </w:r>
      <w:r w:rsidR="0012703A" w:rsidRPr="00A953DF">
        <w:rPr>
          <w:rFonts w:ascii="Arial" w:hAnsi="Arial" w:cs="Arial"/>
          <w:bCs/>
          <w:snapToGrid w:val="0"/>
          <w:sz w:val="22"/>
          <w:szCs w:val="22"/>
          <w:lang w:eastAsia="en-US"/>
        </w:rPr>
        <w:t xml:space="preserve">. </w:t>
      </w:r>
      <w:r w:rsidR="00957CFF" w:rsidRPr="00A953DF">
        <w:rPr>
          <w:rFonts w:ascii="Arial" w:hAnsi="Arial" w:cs="Arial"/>
          <w:bCs/>
          <w:snapToGrid w:val="0"/>
          <w:sz w:val="22"/>
          <w:szCs w:val="22"/>
          <w:lang w:eastAsia="en-US"/>
        </w:rPr>
        <w:t xml:space="preserve">At </w:t>
      </w:r>
      <w:r w:rsidR="00BD59B9" w:rsidRPr="00A953DF">
        <w:rPr>
          <w:rFonts w:ascii="Arial" w:hAnsi="Arial" w:cs="Arial"/>
          <w:bCs/>
          <w:snapToGrid w:val="0"/>
          <w:sz w:val="22"/>
          <w:szCs w:val="22"/>
          <w:lang w:eastAsia="en-US"/>
        </w:rPr>
        <w:t>the</w:t>
      </w:r>
      <w:r w:rsidR="00957CFF" w:rsidRPr="00A953DF">
        <w:rPr>
          <w:rFonts w:ascii="Arial" w:hAnsi="Arial" w:cs="Arial"/>
          <w:bCs/>
          <w:snapToGrid w:val="0"/>
          <w:sz w:val="22"/>
          <w:szCs w:val="22"/>
          <w:lang w:eastAsia="en-US"/>
        </w:rPr>
        <w:t xml:space="preserve"> time, t</w:t>
      </w:r>
      <w:r w:rsidR="0012703A" w:rsidRPr="00A953DF">
        <w:rPr>
          <w:rFonts w:ascii="Arial" w:hAnsi="Arial" w:cs="Arial"/>
          <w:bCs/>
          <w:snapToGrid w:val="0"/>
          <w:sz w:val="22"/>
          <w:szCs w:val="22"/>
          <w:lang w:eastAsia="en-US"/>
        </w:rPr>
        <w:t>he PBAC recommended that “</w:t>
      </w:r>
      <w:r w:rsidR="0012703A" w:rsidRPr="00A953DF">
        <w:rPr>
          <w:rFonts w:ascii="Arial" w:hAnsi="Arial" w:cs="Arial"/>
          <w:bCs/>
          <w:i/>
          <w:snapToGrid w:val="0"/>
          <w:sz w:val="22"/>
          <w:szCs w:val="22"/>
          <w:lang w:eastAsia="en-US"/>
        </w:rPr>
        <w:t>nab-</w:t>
      </w:r>
      <w:r w:rsidR="0012703A" w:rsidRPr="00A953DF">
        <w:rPr>
          <w:rFonts w:ascii="Arial" w:hAnsi="Arial" w:cs="Arial"/>
          <w:bCs/>
          <w:snapToGrid w:val="0"/>
          <w:sz w:val="22"/>
          <w:szCs w:val="22"/>
          <w:lang w:eastAsia="en-US"/>
        </w:rPr>
        <w:t xml:space="preserve">paclitaxel should be excluded from use with </w:t>
      </w:r>
      <w:proofErr w:type="spellStart"/>
      <w:r w:rsidR="0012703A" w:rsidRPr="00A953DF">
        <w:rPr>
          <w:rFonts w:ascii="Arial" w:hAnsi="Arial" w:cs="Arial"/>
          <w:bCs/>
          <w:snapToGrid w:val="0"/>
          <w:sz w:val="22"/>
          <w:szCs w:val="22"/>
          <w:lang w:eastAsia="en-US"/>
        </w:rPr>
        <w:t>pertuzumab</w:t>
      </w:r>
      <w:proofErr w:type="spellEnd"/>
      <w:r w:rsidR="0012703A" w:rsidRPr="00A953DF">
        <w:rPr>
          <w:rFonts w:ascii="Arial" w:hAnsi="Arial" w:cs="Arial"/>
          <w:bCs/>
          <w:snapToGrid w:val="0"/>
          <w:sz w:val="22"/>
          <w:szCs w:val="22"/>
          <w:lang w:eastAsia="en-US"/>
        </w:rPr>
        <w:t xml:space="preserve"> + </w:t>
      </w:r>
      <w:proofErr w:type="spellStart"/>
      <w:r w:rsidR="0012703A" w:rsidRPr="00A953DF">
        <w:rPr>
          <w:rFonts w:ascii="Arial" w:hAnsi="Arial" w:cs="Arial"/>
          <w:bCs/>
          <w:snapToGrid w:val="0"/>
          <w:sz w:val="22"/>
          <w:szCs w:val="22"/>
          <w:lang w:eastAsia="en-US"/>
        </w:rPr>
        <w:t>trastuzumab</w:t>
      </w:r>
      <w:proofErr w:type="spellEnd"/>
      <w:r w:rsidR="0012703A" w:rsidRPr="00A953DF">
        <w:rPr>
          <w:rFonts w:ascii="Arial" w:hAnsi="Arial" w:cs="Arial"/>
          <w:bCs/>
          <w:snapToGrid w:val="0"/>
          <w:sz w:val="22"/>
          <w:szCs w:val="22"/>
          <w:lang w:eastAsia="en-US"/>
        </w:rPr>
        <w:t xml:space="preserve"> by the </w:t>
      </w:r>
      <w:proofErr w:type="spellStart"/>
      <w:r w:rsidR="0012703A" w:rsidRPr="00A953DF">
        <w:rPr>
          <w:rFonts w:ascii="Arial" w:hAnsi="Arial" w:cs="Arial"/>
          <w:bCs/>
          <w:snapToGrid w:val="0"/>
          <w:sz w:val="22"/>
          <w:szCs w:val="22"/>
          <w:lang w:eastAsia="en-US"/>
        </w:rPr>
        <w:t>pertuzumab</w:t>
      </w:r>
      <w:proofErr w:type="spellEnd"/>
      <w:r w:rsidR="0012703A" w:rsidRPr="00A953DF">
        <w:rPr>
          <w:rFonts w:ascii="Arial" w:hAnsi="Arial" w:cs="Arial"/>
          <w:bCs/>
          <w:snapToGrid w:val="0"/>
          <w:sz w:val="22"/>
          <w:szCs w:val="22"/>
          <w:lang w:eastAsia="en-US"/>
        </w:rPr>
        <w:t xml:space="preserve"> restriction”</w:t>
      </w:r>
      <w:r w:rsidR="0095200B" w:rsidRPr="00A953DF">
        <w:rPr>
          <w:rFonts w:ascii="Arial" w:hAnsi="Arial"/>
          <w:sz w:val="22"/>
          <w:szCs w:val="22"/>
        </w:rPr>
        <w:t xml:space="preserve"> (</w:t>
      </w:r>
      <w:r w:rsidR="0095200B" w:rsidRPr="00A953DF">
        <w:rPr>
          <w:rFonts w:ascii="Arial" w:hAnsi="Arial" w:cs="Arial"/>
          <w:bCs/>
          <w:snapToGrid w:val="0"/>
          <w:sz w:val="22"/>
          <w:szCs w:val="22"/>
          <w:lang w:eastAsia="en-US"/>
        </w:rPr>
        <w:t>Public Summary Document - November 2014 PBAC Meeting Items 7.5 &amp; 7.8)</w:t>
      </w:r>
      <w:r w:rsidR="0012703A" w:rsidRPr="00A953DF">
        <w:rPr>
          <w:rFonts w:ascii="Arial" w:hAnsi="Arial" w:cs="Arial"/>
          <w:bCs/>
          <w:snapToGrid w:val="0"/>
          <w:sz w:val="22"/>
          <w:szCs w:val="22"/>
          <w:lang w:eastAsia="en-US"/>
        </w:rPr>
        <w:t>. To be consistent with th</w:t>
      </w:r>
      <w:r w:rsidR="00585B6F" w:rsidRPr="00A953DF">
        <w:rPr>
          <w:rFonts w:ascii="Arial" w:hAnsi="Arial" w:cs="Arial"/>
          <w:bCs/>
          <w:snapToGrid w:val="0"/>
          <w:sz w:val="22"/>
          <w:szCs w:val="22"/>
          <w:lang w:eastAsia="en-US"/>
        </w:rPr>
        <w:t>is</w:t>
      </w:r>
      <w:r w:rsidR="0012703A" w:rsidRPr="00A953DF">
        <w:rPr>
          <w:rFonts w:ascii="Arial" w:hAnsi="Arial" w:cs="Arial"/>
          <w:bCs/>
          <w:snapToGrid w:val="0"/>
          <w:sz w:val="22"/>
          <w:szCs w:val="22"/>
          <w:lang w:eastAsia="en-US"/>
        </w:rPr>
        <w:t xml:space="preserve"> restriction wording</w:t>
      </w:r>
      <w:r w:rsidR="00957CFF" w:rsidRPr="00A953DF">
        <w:rPr>
          <w:rFonts w:ascii="Arial" w:hAnsi="Arial" w:cs="Arial"/>
          <w:bCs/>
          <w:snapToGrid w:val="0"/>
          <w:sz w:val="22"/>
          <w:szCs w:val="22"/>
          <w:lang w:eastAsia="en-US"/>
        </w:rPr>
        <w:t>,</w:t>
      </w:r>
      <w:r w:rsidR="0012703A" w:rsidRPr="00A953DF">
        <w:rPr>
          <w:rFonts w:ascii="Arial" w:hAnsi="Arial" w:cs="Arial"/>
          <w:bCs/>
          <w:snapToGrid w:val="0"/>
          <w:sz w:val="22"/>
          <w:szCs w:val="22"/>
          <w:lang w:eastAsia="en-US"/>
        </w:rPr>
        <w:t xml:space="preserve"> the </w:t>
      </w:r>
      <w:r w:rsidR="00F6220E" w:rsidRPr="00A953DF">
        <w:rPr>
          <w:rFonts w:ascii="Arial" w:hAnsi="Arial" w:cs="Arial"/>
          <w:bCs/>
          <w:snapToGrid w:val="0"/>
          <w:sz w:val="22"/>
          <w:szCs w:val="22"/>
          <w:lang w:eastAsia="en-US"/>
        </w:rPr>
        <w:t>November </w:t>
      </w:r>
      <w:r w:rsidR="0012703A" w:rsidRPr="00A953DF">
        <w:rPr>
          <w:rFonts w:ascii="Arial" w:hAnsi="Arial" w:cs="Arial"/>
          <w:bCs/>
          <w:snapToGrid w:val="0"/>
          <w:sz w:val="22"/>
          <w:szCs w:val="22"/>
          <w:lang w:eastAsia="en-US"/>
        </w:rPr>
        <w:t xml:space="preserve">2015 </w:t>
      </w:r>
      <w:r w:rsidR="00585B6F" w:rsidRPr="00A953DF">
        <w:rPr>
          <w:rFonts w:ascii="Arial" w:hAnsi="Arial" w:cs="Arial"/>
          <w:bCs/>
          <w:snapToGrid w:val="0"/>
          <w:sz w:val="22"/>
          <w:szCs w:val="22"/>
          <w:lang w:eastAsia="en-US"/>
        </w:rPr>
        <w:t xml:space="preserve">PBAC </w:t>
      </w:r>
      <w:r w:rsidR="0012703A" w:rsidRPr="00A953DF">
        <w:rPr>
          <w:rFonts w:ascii="Arial" w:hAnsi="Arial" w:cs="Arial"/>
          <w:bCs/>
          <w:snapToGrid w:val="0"/>
          <w:sz w:val="22"/>
          <w:szCs w:val="22"/>
          <w:lang w:eastAsia="en-US"/>
        </w:rPr>
        <w:t xml:space="preserve">meeting recommended </w:t>
      </w:r>
      <w:r w:rsidR="00C83A6B" w:rsidRPr="00A953DF">
        <w:rPr>
          <w:rFonts w:ascii="Arial" w:hAnsi="Arial" w:cs="Arial"/>
          <w:bCs/>
          <w:snapToGrid w:val="0"/>
          <w:sz w:val="22"/>
          <w:szCs w:val="22"/>
          <w:lang w:eastAsia="en-US"/>
        </w:rPr>
        <w:t xml:space="preserve">that the </w:t>
      </w:r>
      <w:r w:rsidR="00C83A6B" w:rsidRPr="00A953DF">
        <w:rPr>
          <w:rFonts w:ascii="Arial" w:hAnsi="Arial" w:cs="Arial"/>
          <w:bCs/>
          <w:i/>
          <w:snapToGrid w:val="0"/>
          <w:sz w:val="22"/>
          <w:szCs w:val="22"/>
          <w:lang w:eastAsia="en-US"/>
        </w:rPr>
        <w:t>nab</w:t>
      </w:r>
      <w:r w:rsidR="00C83A6B" w:rsidRPr="00A953DF">
        <w:rPr>
          <w:rFonts w:ascii="Arial" w:hAnsi="Arial" w:cs="Arial"/>
          <w:bCs/>
          <w:snapToGrid w:val="0"/>
          <w:sz w:val="22"/>
          <w:szCs w:val="22"/>
          <w:lang w:eastAsia="en-US"/>
        </w:rPr>
        <w:t xml:space="preserve">-paclitaxel restriction “Treatment of HER2 positive breast cancer in combination with </w:t>
      </w:r>
      <w:proofErr w:type="spellStart"/>
      <w:r w:rsidR="00C83A6B" w:rsidRPr="00A953DF">
        <w:rPr>
          <w:rFonts w:ascii="Arial" w:hAnsi="Arial" w:cs="Arial"/>
          <w:bCs/>
          <w:snapToGrid w:val="0"/>
          <w:sz w:val="22"/>
          <w:szCs w:val="22"/>
          <w:lang w:eastAsia="en-US"/>
        </w:rPr>
        <w:t>trastuzumab</w:t>
      </w:r>
      <w:proofErr w:type="spellEnd"/>
      <w:r w:rsidR="00C83A6B" w:rsidRPr="00A953DF">
        <w:rPr>
          <w:rFonts w:ascii="Arial" w:hAnsi="Arial" w:cs="Arial"/>
          <w:bCs/>
          <w:snapToGrid w:val="0"/>
          <w:sz w:val="22"/>
          <w:szCs w:val="22"/>
          <w:lang w:eastAsia="en-US"/>
        </w:rPr>
        <w:t>” be changed to “HER2 positive breast cancer”</w:t>
      </w:r>
      <w:r w:rsidR="00BA6874" w:rsidRPr="00A953DF">
        <w:rPr>
          <w:rFonts w:ascii="Arial" w:hAnsi="Arial" w:cs="Arial"/>
          <w:bCs/>
          <w:snapToGrid w:val="0"/>
          <w:sz w:val="22"/>
          <w:szCs w:val="22"/>
          <w:lang w:eastAsia="en-US"/>
        </w:rPr>
        <w:t>.</w:t>
      </w:r>
    </w:p>
    <w:p w:rsidR="009A3B95" w:rsidRPr="00A953DF" w:rsidRDefault="009A3B95" w:rsidP="00F535D3">
      <w:pPr>
        <w:widowControl w:val="0"/>
        <w:spacing w:after="120"/>
        <w:contextualSpacing/>
        <w:jc w:val="both"/>
        <w:rPr>
          <w:rFonts w:ascii="Arial" w:hAnsi="Arial" w:cs="Arial"/>
          <w:bCs/>
          <w:snapToGrid w:val="0"/>
          <w:sz w:val="22"/>
          <w:szCs w:val="22"/>
          <w:lang w:eastAsia="en-US"/>
        </w:rPr>
      </w:pPr>
    </w:p>
    <w:p w:rsidR="00B80EFF" w:rsidRPr="00A953DF" w:rsidRDefault="00B80EFF" w:rsidP="00CD1F92">
      <w:pPr>
        <w:widowControl w:val="0"/>
        <w:numPr>
          <w:ilvl w:val="1"/>
          <w:numId w:val="25"/>
        </w:numPr>
        <w:spacing w:after="120"/>
        <w:contextualSpacing/>
        <w:jc w:val="both"/>
        <w:rPr>
          <w:rFonts w:ascii="Arial" w:hAnsi="Arial" w:cs="Arial"/>
          <w:bCs/>
          <w:snapToGrid w:val="0"/>
          <w:sz w:val="22"/>
          <w:szCs w:val="22"/>
          <w:lang w:eastAsia="en-US"/>
        </w:rPr>
      </w:pPr>
      <w:r w:rsidRPr="00A953DF">
        <w:rPr>
          <w:rFonts w:ascii="Arial" w:hAnsi="Arial" w:cs="Arial"/>
          <w:bCs/>
          <w:snapToGrid w:val="0"/>
          <w:sz w:val="22"/>
          <w:szCs w:val="22"/>
          <w:lang w:eastAsia="en-US"/>
        </w:rPr>
        <w:t xml:space="preserve">The PBAC reaffirmed that there </w:t>
      </w:r>
      <w:r w:rsidR="00EB2F47" w:rsidRPr="00A953DF">
        <w:rPr>
          <w:rFonts w:ascii="Arial" w:hAnsi="Arial" w:cs="Arial"/>
          <w:bCs/>
          <w:snapToGrid w:val="0"/>
          <w:sz w:val="22"/>
          <w:szCs w:val="22"/>
          <w:lang w:eastAsia="en-US"/>
        </w:rPr>
        <w:t>was</w:t>
      </w:r>
      <w:r w:rsidRPr="00A953DF">
        <w:rPr>
          <w:rFonts w:ascii="Arial" w:hAnsi="Arial" w:cs="Arial"/>
          <w:bCs/>
          <w:snapToGrid w:val="0"/>
          <w:sz w:val="22"/>
          <w:szCs w:val="22"/>
          <w:lang w:eastAsia="en-US"/>
        </w:rPr>
        <w:t xml:space="preserve"> no basis </w:t>
      </w:r>
      <w:r w:rsidR="00585B6F" w:rsidRPr="00A953DF">
        <w:rPr>
          <w:rFonts w:ascii="Arial" w:hAnsi="Arial" w:cs="Arial"/>
          <w:bCs/>
          <w:snapToGrid w:val="0"/>
          <w:sz w:val="22"/>
          <w:szCs w:val="22"/>
          <w:lang w:eastAsia="en-US"/>
        </w:rPr>
        <w:t xml:space="preserve">for </w:t>
      </w:r>
      <w:r w:rsidRPr="00A953DF">
        <w:rPr>
          <w:rFonts w:ascii="Arial" w:hAnsi="Arial" w:cs="Arial"/>
          <w:bCs/>
          <w:snapToGrid w:val="0"/>
          <w:sz w:val="22"/>
          <w:szCs w:val="22"/>
          <w:lang w:eastAsia="en-US"/>
        </w:rPr>
        <w:t xml:space="preserve">the cost </w:t>
      </w:r>
      <w:r w:rsidR="009A3B95" w:rsidRPr="00A953DF">
        <w:rPr>
          <w:rFonts w:ascii="Arial" w:hAnsi="Arial" w:cs="Arial"/>
          <w:bCs/>
          <w:snapToGrid w:val="0"/>
          <w:sz w:val="22"/>
          <w:szCs w:val="22"/>
          <w:lang w:eastAsia="en-US"/>
        </w:rPr>
        <w:t xml:space="preserve">of </w:t>
      </w:r>
      <w:r w:rsidR="009A3B95" w:rsidRPr="00A953DF">
        <w:rPr>
          <w:rFonts w:ascii="Arial" w:hAnsi="Arial" w:cs="Arial"/>
          <w:bCs/>
          <w:i/>
          <w:snapToGrid w:val="0"/>
          <w:sz w:val="22"/>
          <w:szCs w:val="22"/>
          <w:lang w:eastAsia="en-US"/>
        </w:rPr>
        <w:t>nab</w:t>
      </w:r>
      <w:r w:rsidR="009A3B95" w:rsidRPr="00A953DF">
        <w:rPr>
          <w:rFonts w:ascii="Arial" w:hAnsi="Arial" w:cs="Arial"/>
          <w:bCs/>
          <w:snapToGrid w:val="0"/>
          <w:sz w:val="22"/>
          <w:szCs w:val="22"/>
          <w:lang w:eastAsia="en-US"/>
        </w:rPr>
        <w:t xml:space="preserve">-paclitaxel </w:t>
      </w:r>
      <w:r w:rsidR="00585B6F" w:rsidRPr="00A953DF">
        <w:rPr>
          <w:rFonts w:ascii="Arial" w:hAnsi="Arial" w:cs="Arial"/>
          <w:bCs/>
          <w:snapToGrid w:val="0"/>
          <w:sz w:val="22"/>
          <w:szCs w:val="22"/>
          <w:lang w:eastAsia="en-US"/>
        </w:rPr>
        <w:t xml:space="preserve">to be </w:t>
      </w:r>
      <w:r w:rsidR="00092175" w:rsidRPr="00A953DF">
        <w:rPr>
          <w:rFonts w:ascii="Arial" w:hAnsi="Arial" w:cs="Arial"/>
          <w:bCs/>
          <w:snapToGrid w:val="0"/>
          <w:sz w:val="22"/>
          <w:szCs w:val="22"/>
          <w:lang w:eastAsia="en-US"/>
        </w:rPr>
        <w:t xml:space="preserve">greater than that of either </w:t>
      </w:r>
      <w:r w:rsidR="00092175" w:rsidRPr="00A953DF">
        <w:rPr>
          <w:rFonts w:ascii="Arial" w:hAnsi="Arial"/>
          <w:sz w:val="22"/>
          <w:szCs w:val="22"/>
        </w:rPr>
        <w:t xml:space="preserve">solvent-based paclitaxel or </w:t>
      </w:r>
      <w:proofErr w:type="spellStart"/>
      <w:r w:rsidR="00092175" w:rsidRPr="00A953DF">
        <w:rPr>
          <w:rFonts w:ascii="Arial" w:hAnsi="Arial"/>
          <w:sz w:val="22"/>
          <w:szCs w:val="22"/>
        </w:rPr>
        <w:t>docetaxel</w:t>
      </w:r>
      <w:proofErr w:type="spellEnd"/>
      <w:r w:rsidR="00092175" w:rsidRPr="00A953DF">
        <w:rPr>
          <w:rFonts w:ascii="Arial" w:hAnsi="Arial" w:cs="Arial"/>
          <w:bCs/>
          <w:snapToGrid w:val="0"/>
          <w:sz w:val="22"/>
          <w:szCs w:val="22"/>
          <w:lang w:eastAsia="en-US"/>
        </w:rPr>
        <w:t xml:space="preserve"> because </w:t>
      </w:r>
      <w:r w:rsidR="009A3B95" w:rsidRPr="00A953DF">
        <w:rPr>
          <w:rFonts w:ascii="Arial" w:hAnsi="Arial" w:cs="Arial"/>
          <w:bCs/>
          <w:snapToGrid w:val="0"/>
          <w:sz w:val="22"/>
          <w:szCs w:val="22"/>
          <w:lang w:eastAsia="en-US"/>
        </w:rPr>
        <w:t>the</w:t>
      </w:r>
      <w:r w:rsidR="00EE4E6E" w:rsidRPr="00A953DF">
        <w:rPr>
          <w:rFonts w:ascii="Arial" w:hAnsi="Arial" w:cs="Arial"/>
          <w:bCs/>
          <w:snapToGrid w:val="0"/>
          <w:sz w:val="22"/>
          <w:szCs w:val="22"/>
          <w:lang w:eastAsia="en-US"/>
        </w:rPr>
        <w:t xml:space="preserve"> </w:t>
      </w:r>
      <w:r w:rsidR="00F37B21" w:rsidRPr="00A953DF">
        <w:rPr>
          <w:rFonts w:ascii="Arial" w:hAnsi="Arial" w:cs="Arial"/>
          <w:bCs/>
          <w:snapToGrid w:val="0"/>
          <w:sz w:val="22"/>
          <w:szCs w:val="22"/>
          <w:lang w:eastAsia="en-US"/>
        </w:rPr>
        <w:t>re</w:t>
      </w:r>
      <w:r w:rsidR="00EE4E6E" w:rsidRPr="00A953DF">
        <w:rPr>
          <w:rFonts w:ascii="Arial" w:hAnsi="Arial" w:cs="Arial"/>
          <w:bCs/>
          <w:snapToGrid w:val="0"/>
          <w:sz w:val="22"/>
          <w:szCs w:val="22"/>
          <w:lang w:eastAsia="en-US"/>
        </w:rPr>
        <w:t xml:space="preserve">submission </w:t>
      </w:r>
      <w:r w:rsidR="00EB2F47" w:rsidRPr="00A953DF">
        <w:rPr>
          <w:rFonts w:ascii="Arial" w:hAnsi="Arial" w:cs="Arial"/>
          <w:bCs/>
          <w:snapToGrid w:val="0"/>
          <w:sz w:val="22"/>
          <w:szCs w:val="22"/>
          <w:lang w:eastAsia="en-US"/>
        </w:rPr>
        <w:t xml:space="preserve">did not </w:t>
      </w:r>
      <w:r w:rsidR="00EE4E6E" w:rsidRPr="00A953DF">
        <w:rPr>
          <w:rFonts w:ascii="Arial" w:hAnsi="Arial" w:cs="Arial"/>
          <w:bCs/>
          <w:snapToGrid w:val="0"/>
          <w:sz w:val="22"/>
          <w:szCs w:val="22"/>
          <w:lang w:eastAsia="en-US"/>
        </w:rPr>
        <w:t xml:space="preserve">present </w:t>
      </w:r>
      <w:r w:rsidR="00EB2F47" w:rsidRPr="00A953DF">
        <w:rPr>
          <w:rFonts w:ascii="Arial" w:hAnsi="Arial" w:cs="Arial"/>
          <w:bCs/>
          <w:snapToGrid w:val="0"/>
          <w:sz w:val="22"/>
          <w:szCs w:val="22"/>
          <w:lang w:eastAsia="en-US"/>
        </w:rPr>
        <w:t xml:space="preserve">any </w:t>
      </w:r>
      <w:r w:rsidR="00A6791D" w:rsidRPr="00A953DF">
        <w:rPr>
          <w:rFonts w:ascii="Arial" w:hAnsi="Arial" w:cs="Arial"/>
          <w:bCs/>
          <w:snapToGrid w:val="0"/>
          <w:sz w:val="22"/>
          <w:szCs w:val="22"/>
          <w:lang w:eastAsia="en-US"/>
        </w:rPr>
        <w:t>clear</w:t>
      </w:r>
      <w:r w:rsidR="009A3B95" w:rsidRPr="00A953DF">
        <w:rPr>
          <w:rFonts w:ascii="Arial" w:hAnsi="Arial" w:cs="Arial"/>
          <w:bCs/>
          <w:snapToGrid w:val="0"/>
          <w:sz w:val="22"/>
          <w:szCs w:val="22"/>
          <w:lang w:eastAsia="en-US"/>
        </w:rPr>
        <w:t xml:space="preserve"> evidence for improved efficacy </w:t>
      </w:r>
      <w:r w:rsidR="00A953DF" w:rsidRPr="00A953DF">
        <w:rPr>
          <w:rFonts w:ascii="Arial" w:hAnsi="Arial" w:cs="Arial"/>
          <w:bCs/>
          <w:snapToGrid w:val="0"/>
          <w:sz w:val="22"/>
          <w:szCs w:val="22"/>
          <w:lang w:eastAsia="en-US"/>
        </w:rPr>
        <w:t xml:space="preserve">of </w:t>
      </w:r>
      <w:r w:rsidR="00092175" w:rsidRPr="00A953DF">
        <w:rPr>
          <w:rFonts w:ascii="Arial" w:hAnsi="Arial" w:cs="Arial"/>
          <w:bCs/>
          <w:i/>
          <w:snapToGrid w:val="0"/>
          <w:sz w:val="22"/>
          <w:szCs w:val="22"/>
          <w:lang w:eastAsia="en-US"/>
        </w:rPr>
        <w:t>nab</w:t>
      </w:r>
      <w:r w:rsidR="00C02625">
        <w:rPr>
          <w:rFonts w:ascii="Arial" w:hAnsi="Arial" w:cs="Arial"/>
          <w:bCs/>
          <w:snapToGrid w:val="0"/>
          <w:sz w:val="22"/>
          <w:szCs w:val="22"/>
          <w:lang w:eastAsia="en-US"/>
        </w:rPr>
        <w:noBreakHyphen/>
      </w:r>
      <w:r w:rsidR="00092175" w:rsidRPr="00A953DF">
        <w:rPr>
          <w:rFonts w:ascii="Arial" w:hAnsi="Arial" w:cs="Arial"/>
          <w:bCs/>
          <w:snapToGrid w:val="0"/>
          <w:sz w:val="22"/>
          <w:szCs w:val="22"/>
          <w:lang w:eastAsia="en-US"/>
        </w:rPr>
        <w:t xml:space="preserve">paclitaxel used in combination </w:t>
      </w:r>
      <w:r w:rsidR="009A3B95" w:rsidRPr="00A953DF">
        <w:rPr>
          <w:rFonts w:ascii="Arial" w:hAnsi="Arial" w:cs="Arial"/>
          <w:bCs/>
          <w:snapToGrid w:val="0"/>
          <w:sz w:val="22"/>
          <w:szCs w:val="22"/>
          <w:lang w:eastAsia="en-US"/>
        </w:rPr>
        <w:t xml:space="preserve">with </w:t>
      </w:r>
      <w:proofErr w:type="spellStart"/>
      <w:r w:rsidR="009A3B95" w:rsidRPr="00A953DF">
        <w:rPr>
          <w:rFonts w:ascii="Arial" w:hAnsi="Arial" w:cs="Arial"/>
          <w:bCs/>
          <w:snapToGrid w:val="0"/>
          <w:sz w:val="22"/>
          <w:szCs w:val="22"/>
          <w:lang w:eastAsia="en-US"/>
        </w:rPr>
        <w:t>trastuzumab</w:t>
      </w:r>
      <w:proofErr w:type="spellEnd"/>
      <w:r w:rsidR="00092175" w:rsidRPr="00A953DF">
        <w:rPr>
          <w:rFonts w:ascii="Arial" w:hAnsi="Arial" w:cs="Arial"/>
          <w:bCs/>
          <w:snapToGrid w:val="0"/>
          <w:sz w:val="22"/>
          <w:szCs w:val="22"/>
          <w:lang w:eastAsia="en-US"/>
        </w:rPr>
        <w:t xml:space="preserve"> </w:t>
      </w:r>
      <w:r w:rsidR="00A953DF" w:rsidRPr="00A953DF">
        <w:rPr>
          <w:rFonts w:ascii="Arial" w:hAnsi="Arial" w:cs="Arial"/>
          <w:bCs/>
          <w:snapToGrid w:val="0"/>
          <w:sz w:val="22"/>
          <w:szCs w:val="22"/>
          <w:lang w:eastAsia="en-US"/>
        </w:rPr>
        <w:t xml:space="preserve">over either of the </w:t>
      </w:r>
      <w:r w:rsidR="00092175" w:rsidRPr="00A953DF">
        <w:rPr>
          <w:rFonts w:ascii="Arial" w:hAnsi="Arial" w:cs="Arial"/>
          <w:bCs/>
          <w:snapToGrid w:val="0"/>
          <w:sz w:val="22"/>
          <w:szCs w:val="22"/>
          <w:lang w:eastAsia="en-US"/>
        </w:rPr>
        <w:t>comparators</w:t>
      </w:r>
      <w:r w:rsidR="009A3B95" w:rsidRPr="00A953DF">
        <w:rPr>
          <w:rFonts w:ascii="Arial" w:hAnsi="Arial" w:cs="Arial"/>
          <w:bCs/>
          <w:snapToGrid w:val="0"/>
          <w:sz w:val="22"/>
          <w:szCs w:val="22"/>
          <w:lang w:eastAsia="en-US"/>
        </w:rPr>
        <w:t>.</w:t>
      </w:r>
    </w:p>
    <w:p w:rsidR="00EE4E6E" w:rsidRPr="00A953DF" w:rsidRDefault="00EE4E6E" w:rsidP="00F535D3">
      <w:pPr>
        <w:widowControl w:val="0"/>
        <w:spacing w:after="120"/>
        <w:contextualSpacing/>
        <w:jc w:val="both"/>
        <w:rPr>
          <w:rFonts w:ascii="Arial" w:hAnsi="Arial" w:cs="Arial"/>
          <w:bCs/>
          <w:snapToGrid w:val="0"/>
          <w:sz w:val="22"/>
          <w:szCs w:val="22"/>
          <w:lang w:eastAsia="en-US"/>
        </w:rPr>
      </w:pPr>
    </w:p>
    <w:p w:rsidR="00B80EFF" w:rsidRPr="00A953DF" w:rsidRDefault="00B80EFF" w:rsidP="00CD1F92">
      <w:pPr>
        <w:widowControl w:val="0"/>
        <w:numPr>
          <w:ilvl w:val="1"/>
          <w:numId w:val="25"/>
        </w:numPr>
        <w:spacing w:after="120"/>
        <w:contextualSpacing/>
        <w:jc w:val="both"/>
        <w:rPr>
          <w:rFonts w:ascii="Arial" w:hAnsi="Arial" w:cs="Arial"/>
          <w:bCs/>
          <w:snapToGrid w:val="0"/>
          <w:sz w:val="22"/>
          <w:szCs w:val="22"/>
          <w:lang w:eastAsia="en-US"/>
        </w:rPr>
      </w:pPr>
      <w:r w:rsidRPr="00A953DF">
        <w:rPr>
          <w:rFonts w:ascii="Arial" w:hAnsi="Arial" w:cs="Arial"/>
          <w:bCs/>
          <w:snapToGrid w:val="0"/>
          <w:sz w:val="22"/>
          <w:szCs w:val="22"/>
          <w:lang w:eastAsia="en-US"/>
        </w:rPr>
        <w:t xml:space="preserve">The </w:t>
      </w:r>
      <w:r w:rsidR="00EE4E6E" w:rsidRPr="00A953DF">
        <w:rPr>
          <w:rFonts w:ascii="Arial" w:hAnsi="Arial" w:cs="Arial"/>
          <w:bCs/>
          <w:snapToGrid w:val="0"/>
          <w:sz w:val="22"/>
          <w:szCs w:val="22"/>
          <w:lang w:eastAsia="en-US"/>
        </w:rPr>
        <w:t xml:space="preserve">PBAC </w:t>
      </w:r>
      <w:r w:rsidR="00F37B21" w:rsidRPr="00A953DF">
        <w:rPr>
          <w:rFonts w:ascii="Arial" w:hAnsi="Arial" w:cs="Arial"/>
          <w:bCs/>
          <w:snapToGrid w:val="0"/>
          <w:sz w:val="22"/>
          <w:szCs w:val="22"/>
          <w:lang w:eastAsia="en-US"/>
        </w:rPr>
        <w:t xml:space="preserve">referred to </w:t>
      </w:r>
      <w:r w:rsidR="00092175" w:rsidRPr="00A953DF">
        <w:rPr>
          <w:rFonts w:ascii="Arial" w:hAnsi="Arial" w:cs="Arial"/>
          <w:bCs/>
          <w:snapToGrid w:val="0"/>
          <w:sz w:val="22"/>
          <w:szCs w:val="22"/>
          <w:lang w:eastAsia="en-US"/>
        </w:rPr>
        <w:t>its</w:t>
      </w:r>
      <w:r w:rsidR="00F37B21" w:rsidRPr="00A953DF">
        <w:rPr>
          <w:rFonts w:ascii="Arial" w:hAnsi="Arial" w:cs="Arial"/>
          <w:bCs/>
          <w:snapToGrid w:val="0"/>
          <w:sz w:val="22"/>
          <w:szCs w:val="22"/>
          <w:lang w:eastAsia="en-US"/>
        </w:rPr>
        <w:t xml:space="preserve"> </w:t>
      </w:r>
      <w:r w:rsidR="00A6791D" w:rsidRPr="00A953DF">
        <w:rPr>
          <w:rFonts w:ascii="Arial" w:hAnsi="Arial" w:cs="Arial"/>
          <w:bCs/>
          <w:snapToGrid w:val="0"/>
          <w:sz w:val="22"/>
          <w:szCs w:val="22"/>
          <w:lang w:eastAsia="en-US"/>
        </w:rPr>
        <w:t xml:space="preserve">previously determined </w:t>
      </w:r>
      <w:proofErr w:type="spellStart"/>
      <w:r w:rsidR="00A6791D" w:rsidRPr="00A953DF">
        <w:rPr>
          <w:rFonts w:ascii="Arial" w:hAnsi="Arial" w:cs="Arial"/>
          <w:bCs/>
          <w:snapToGrid w:val="0"/>
          <w:sz w:val="22"/>
          <w:szCs w:val="22"/>
          <w:lang w:eastAsia="en-US"/>
        </w:rPr>
        <w:t>equi</w:t>
      </w:r>
      <w:proofErr w:type="spellEnd"/>
      <w:r w:rsidR="00A6791D" w:rsidRPr="00A953DF">
        <w:rPr>
          <w:rFonts w:ascii="Arial" w:hAnsi="Arial" w:cs="Arial"/>
          <w:bCs/>
          <w:snapToGrid w:val="0"/>
          <w:sz w:val="22"/>
          <w:szCs w:val="22"/>
          <w:lang w:eastAsia="en-US"/>
        </w:rPr>
        <w:t>-effective dose</w:t>
      </w:r>
      <w:r w:rsidR="00156B98" w:rsidRPr="00A953DF">
        <w:rPr>
          <w:rFonts w:ascii="Arial" w:hAnsi="Arial" w:cs="Arial"/>
          <w:bCs/>
          <w:snapToGrid w:val="0"/>
          <w:sz w:val="22"/>
          <w:szCs w:val="22"/>
          <w:lang w:eastAsia="en-US"/>
        </w:rPr>
        <w:t>s being 260</w:t>
      </w:r>
      <w:r w:rsidR="00092175" w:rsidRPr="00A953DF">
        <w:rPr>
          <w:rFonts w:ascii="Arial" w:hAnsi="Arial" w:cs="Arial"/>
          <w:bCs/>
          <w:snapToGrid w:val="0"/>
          <w:sz w:val="22"/>
          <w:szCs w:val="22"/>
          <w:lang w:eastAsia="en-US"/>
        </w:rPr>
        <w:t> </w:t>
      </w:r>
      <w:r w:rsidR="00156B98" w:rsidRPr="00A953DF">
        <w:rPr>
          <w:rFonts w:ascii="Arial" w:hAnsi="Arial" w:cs="Arial"/>
          <w:bCs/>
          <w:snapToGrid w:val="0"/>
          <w:sz w:val="22"/>
          <w:szCs w:val="22"/>
          <w:lang w:eastAsia="en-US"/>
        </w:rPr>
        <w:t>mg</w:t>
      </w:r>
      <w:r w:rsidR="00A6791D" w:rsidRPr="00A953DF">
        <w:rPr>
          <w:rFonts w:ascii="Arial" w:hAnsi="Arial" w:cs="Arial"/>
          <w:bCs/>
          <w:snapToGrid w:val="0"/>
          <w:sz w:val="22"/>
          <w:szCs w:val="22"/>
          <w:lang w:eastAsia="en-US"/>
        </w:rPr>
        <w:t>/m</w:t>
      </w:r>
      <w:r w:rsidR="00A6791D" w:rsidRPr="00A953DF">
        <w:rPr>
          <w:rFonts w:ascii="Arial" w:hAnsi="Arial" w:cs="Arial"/>
          <w:bCs/>
          <w:snapToGrid w:val="0"/>
          <w:sz w:val="22"/>
          <w:szCs w:val="22"/>
          <w:vertAlign w:val="superscript"/>
          <w:lang w:eastAsia="en-US"/>
        </w:rPr>
        <w:t>2</w:t>
      </w:r>
      <w:r w:rsidR="00A6791D" w:rsidRPr="00A953DF">
        <w:rPr>
          <w:rFonts w:ascii="Arial" w:hAnsi="Arial" w:cs="Arial"/>
          <w:bCs/>
          <w:snapToGrid w:val="0"/>
          <w:sz w:val="22"/>
          <w:szCs w:val="22"/>
          <w:lang w:eastAsia="en-US"/>
        </w:rPr>
        <w:t xml:space="preserve"> of </w:t>
      </w:r>
      <w:r w:rsidR="00A6791D" w:rsidRPr="00A953DF">
        <w:rPr>
          <w:rFonts w:ascii="Arial" w:hAnsi="Arial" w:cs="Arial"/>
          <w:bCs/>
          <w:i/>
          <w:snapToGrid w:val="0"/>
          <w:sz w:val="22"/>
          <w:szCs w:val="22"/>
          <w:lang w:eastAsia="en-US"/>
        </w:rPr>
        <w:t>nab</w:t>
      </w:r>
      <w:r w:rsidR="00A6791D" w:rsidRPr="00A953DF">
        <w:rPr>
          <w:rFonts w:ascii="Arial" w:hAnsi="Arial" w:cs="Arial"/>
          <w:bCs/>
          <w:snapToGrid w:val="0"/>
          <w:sz w:val="22"/>
          <w:szCs w:val="22"/>
          <w:lang w:eastAsia="en-US"/>
        </w:rPr>
        <w:t xml:space="preserve">-paclitaxel </w:t>
      </w:r>
      <w:r w:rsidR="00156B98" w:rsidRPr="00A953DF">
        <w:rPr>
          <w:rFonts w:ascii="Arial" w:hAnsi="Arial" w:cs="Arial"/>
          <w:bCs/>
          <w:snapToGrid w:val="0"/>
          <w:sz w:val="22"/>
          <w:szCs w:val="22"/>
          <w:lang w:eastAsia="en-US"/>
        </w:rPr>
        <w:t>and</w:t>
      </w:r>
      <w:r w:rsidR="00A6791D" w:rsidRPr="00A953DF">
        <w:rPr>
          <w:rFonts w:ascii="Arial" w:hAnsi="Arial" w:cs="Arial"/>
          <w:bCs/>
          <w:snapToGrid w:val="0"/>
          <w:sz w:val="22"/>
          <w:szCs w:val="22"/>
          <w:lang w:eastAsia="en-US"/>
        </w:rPr>
        <w:t xml:space="preserve"> 175</w:t>
      </w:r>
      <w:r w:rsidR="00092175" w:rsidRPr="00A953DF">
        <w:rPr>
          <w:rFonts w:ascii="Arial" w:hAnsi="Arial" w:cs="Arial"/>
          <w:bCs/>
          <w:snapToGrid w:val="0"/>
          <w:sz w:val="22"/>
          <w:szCs w:val="22"/>
          <w:lang w:eastAsia="en-US"/>
        </w:rPr>
        <w:t> </w:t>
      </w:r>
      <w:r w:rsidR="00A6791D" w:rsidRPr="00A953DF">
        <w:rPr>
          <w:rFonts w:ascii="Arial" w:hAnsi="Arial" w:cs="Arial"/>
          <w:bCs/>
          <w:snapToGrid w:val="0"/>
          <w:sz w:val="22"/>
          <w:szCs w:val="22"/>
          <w:lang w:eastAsia="en-US"/>
        </w:rPr>
        <w:t>mg/m</w:t>
      </w:r>
      <w:r w:rsidR="00A6791D" w:rsidRPr="00A953DF">
        <w:rPr>
          <w:rFonts w:ascii="Arial" w:hAnsi="Arial" w:cs="Arial"/>
          <w:bCs/>
          <w:snapToGrid w:val="0"/>
          <w:sz w:val="22"/>
          <w:szCs w:val="22"/>
          <w:vertAlign w:val="superscript"/>
          <w:lang w:eastAsia="en-US"/>
        </w:rPr>
        <w:t>2</w:t>
      </w:r>
      <w:r w:rsidR="00A6791D" w:rsidRPr="00A953DF">
        <w:rPr>
          <w:rFonts w:ascii="Arial" w:hAnsi="Arial" w:cs="Arial"/>
          <w:bCs/>
          <w:snapToGrid w:val="0"/>
          <w:sz w:val="22"/>
          <w:szCs w:val="22"/>
          <w:lang w:eastAsia="en-US"/>
        </w:rPr>
        <w:t xml:space="preserve"> </w:t>
      </w:r>
      <w:r w:rsidR="00156B98" w:rsidRPr="00A953DF">
        <w:rPr>
          <w:rFonts w:ascii="Arial" w:hAnsi="Arial" w:cs="Arial"/>
          <w:bCs/>
          <w:snapToGrid w:val="0"/>
          <w:sz w:val="22"/>
          <w:szCs w:val="22"/>
          <w:lang w:eastAsia="en-US"/>
        </w:rPr>
        <w:t xml:space="preserve">of </w:t>
      </w:r>
      <w:r w:rsidR="00092175" w:rsidRPr="00A953DF">
        <w:rPr>
          <w:rFonts w:ascii="Arial" w:hAnsi="Arial" w:cs="Arial"/>
          <w:bCs/>
          <w:snapToGrid w:val="0"/>
          <w:sz w:val="22"/>
          <w:szCs w:val="22"/>
          <w:lang w:eastAsia="en-US"/>
        </w:rPr>
        <w:t xml:space="preserve">solvent-based </w:t>
      </w:r>
      <w:r w:rsidR="00156B98" w:rsidRPr="00A953DF">
        <w:rPr>
          <w:rFonts w:ascii="Arial" w:hAnsi="Arial" w:cs="Arial"/>
          <w:bCs/>
          <w:snapToGrid w:val="0"/>
          <w:sz w:val="22"/>
          <w:szCs w:val="22"/>
          <w:lang w:eastAsia="en-US"/>
        </w:rPr>
        <w:t>pac</w:t>
      </w:r>
      <w:r w:rsidR="00A6791D" w:rsidRPr="00A953DF">
        <w:rPr>
          <w:rFonts w:ascii="Arial" w:hAnsi="Arial" w:cs="Arial"/>
          <w:bCs/>
          <w:snapToGrid w:val="0"/>
          <w:sz w:val="22"/>
          <w:szCs w:val="22"/>
          <w:lang w:eastAsia="en-US"/>
        </w:rPr>
        <w:t>l</w:t>
      </w:r>
      <w:r w:rsidR="00156B98" w:rsidRPr="00A953DF">
        <w:rPr>
          <w:rFonts w:ascii="Arial" w:hAnsi="Arial" w:cs="Arial"/>
          <w:bCs/>
          <w:snapToGrid w:val="0"/>
          <w:sz w:val="22"/>
          <w:szCs w:val="22"/>
          <w:lang w:eastAsia="en-US"/>
        </w:rPr>
        <w:t>itaxel</w:t>
      </w:r>
      <w:r w:rsidR="00BD59B9" w:rsidRPr="00A953DF">
        <w:rPr>
          <w:rFonts w:ascii="Arial" w:hAnsi="Arial" w:cs="Arial"/>
          <w:bCs/>
          <w:snapToGrid w:val="0"/>
          <w:sz w:val="22"/>
          <w:szCs w:val="22"/>
          <w:lang w:eastAsia="en-US"/>
        </w:rPr>
        <w:t xml:space="preserve"> from the November 2008 consideration</w:t>
      </w:r>
      <w:r w:rsidR="00A6791D" w:rsidRPr="00A953DF">
        <w:rPr>
          <w:rFonts w:ascii="Arial" w:hAnsi="Arial" w:cs="Arial"/>
          <w:bCs/>
          <w:snapToGrid w:val="0"/>
          <w:sz w:val="22"/>
          <w:szCs w:val="22"/>
          <w:lang w:eastAsia="en-US"/>
        </w:rPr>
        <w:t xml:space="preserve">. </w:t>
      </w:r>
      <w:r w:rsidR="00156B98" w:rsidRPr="00A953DF">
        <w:rPr>
          <w:rFonts w:ascii="Arial" w:hAnsi="Arial" w:cs="Arial"/>
          <w:bCs/>
          <w:snapToGrid w:val="0"/>
          <w:sz w:val="22"/>
          <w:szCs w:val="22"/>
          <w:lang w:eastAsia="en-US"/>
        </w:rPr>
        <w:t xml:space="preserve">The PBAC </w:t>
      </w:r>
      <w:r w:rsidR="00B935AC" w:rsidRPr="00A953DF">
        <w:rPr>
          <w:rFonts w:ascii="Arial" w:hAnsi="Arial" w:cs="Arial"/>
          <w:bCs/>
          <w:snapToGrid w:val="0"/>
          <w:sz w:val="22"/>
          <w:szCs w:val="22"/>
          <w:lang w:eastAsia="en-US"/>
        </w:rPr>
        <w:t xml:space="preserve">considered that the </w:t>
      </w:r>
      <w:r w:rsidR="00156B98" w:rsidRPr="00A953DF">
        <w:rPr>
          <w:rFonts w:ascii="Arial" w:hAnsi="Arial" w:cs="Arial"/>
          <w:bCs/>
          <w:snapToGrid w:val="0"/>
          <w:sz w:val="22"/>
          <w:szCs w:val="22"/>
          <w:lang w:eastAsia="en-US"/>
        </w:rPr>
        <w:t>re</w:t>
      </w:r>
      <w:r w:rsidRPr="00A953DF">
        <w:rPr>
          <w:rFonts w:ascii="Arial" w:hAnsi="Arial" w:cs="Arial"/>
          <w:bCs/>
          <w:snapToGrid w:val="0"/>
          <w:sz w:val="22"/>
          <w:szCs w:val="22"/>
          <w:lang w:eastAsia="en-US"/>
        </w:rPr>
        <w:t xml:space="preserve">submission did not </w:t>
      </w:r>
      <w:r w:rsidR="00092175" w:rsidRPr="00A953DF">
        <w:rPr>
          <w:rFonts w:ascii="Arial" w:hAnsi="Arial" w:cs="Arial"/>
          <w:bCs/>
          <w:snapToGrid w:val="0"/>
          <w:sz w:val="22"/>
          <w:szCs w:val="22"/>
          <w:lang w:eastAsia="en-US"/>
        </w:rPr>
        <w:t>provide any justification to change this determination</w:t>
      </w:r>
      <w:r w:rsidRPr="00A953DF">
        <w:rPr>
          <w:rFonts w:ascii="Arial" w:hAnsi="Arial" w:cs="Arial"/>
          <w:bCs/>
          <w:snapToGrid w:val="0"/>
          <w:sz w:val="22"/>
          <w:szCs w:val="22"/>
          <w:lang w:eastAsia="en-US"/>
        </w:rPr>
        <w:t>.</w:t>
      </w:r>
    </w:p>
    <w:p w:rsidR="00B935AC" w:rsidRPr="00A953DF" w:rsidRDefault="00B935AC" w:rsidP="00F535D3">
      <w:pPr>
        <w:widowControl w:val="0"/>
        <w:spacing w:after="120"/>
        <w:contextualSpacing/>
        <w:jc w:val="both"/>
        <w:rPr>
          <w:rFonts w:ascii="Arial" w:hAnsi="Arial" w:cs="Arial"/>
          <w:bCs/>
          <w:snapToGrid w:val="0"/>
          <w:sz w:val="22"/>
          <w:szCs w:val="22"/>
          <w:lang w:eastAsia="en-US"/>
        </w:rPr>
      </w:pPr>
    </w:p>
    <w:p w:rsidR="00B80EFF" w:rsidRPr="00A953DF" w:rsidRDefault="00CB26CD" w:rsidP="00CD1F92">
      <w:pPr>
        <w:widowControl w:val="0"/>
        <w:numPr>
          <w:ilvl w:val="1"/>
          <w:numId w:val="25"/>
        </w:numPr>
        <w:spacing w:after="120"/>
        <w:contextualSpacing/>
        <w:jc w:val="both"/>
        <w:rPr>
          <w:rFonts w:ascii="Arial" w:hAnsi="Arial" w:cs="Arial"/>
          <w:bCs/>
          <w:snapToGrid w:val="0"/>
          <w:sz w:val="22"/>
          <w:szCs w:val="22"/>
          <w:lang w:eastAsia="en-US"/>
        </w:rPr>
      </w:pPr>
      <w:r w:rsidRPr="00A953DF">
        <w:rPr>
          <w:rFonts w:ascii="Arial" w:hAnsi="Arial" w:cs="Arial"/>
          <w:bCs/>
          <w:snapToGrid w:val="0"/>
          <w:sz w:val="22"/>
          <w:szCs w:val="22"/>
          <w:lang w:eastAsia="en-US"/>
        </w:rPr>
        <w:t xml:space="preserve">The PBAC rejected the </w:t>
      </w:r>
      <w:r w:rsidR="00156B98" w:rsidRPr="00A953DF">
        <w:rPr>
          <w:rFonts w:ascii="Arial" w:hAnsi="Arial" w:cs="Arial"/>
          <w:bCs/>
          <w:snapToGrid w:val="0"/>
          <w:sz w:val="22"/>
          <w:szCs w:val="22"/>
          <w:lang w:eastAsia="en-US"/>
        </w:rPr>
        <w:t>re</w:t>
      </w:r>
      <w:r w:rsidRPr="00A953DF">
        <w:rPr>
          <w:rFonts w:ascii="Arial" w:hAnsi="Arial" w:cs="Arial"/>
          <w:bCs/>
          <w:snapToGrid w:val="0"/>
          <w:sz w:val="22"/>
          <w:szCs w:val="22"/>
          <w:lang w:eastAsia="en-US"/>
        </w:rPr>
        <w:t>submission</w:t>
      </w:r>
      <w:r w:rsidR="00156B98" w:rsidRPr="00A953DF">
        <w:rPr>
          <w:rFonts w:ascii="Arial" w:hAnsi="Arial" w:cs="Arial"/>
          <w:bCs/>
          <w:snapToGrid w:val="0"/>
          <w:sz w:val="22"/>
          <w:szCs w:val="22"/>
          <w:lang w:eastAsia="en-US"/>
        </w:rPr>
        <w:t xml:space="preserve"> </w:t>
      </w:r>
      <w:r w:rsidR="00092175" w:rsidRPr="00A953DF">
        <w:rPr>
          <w:rFonts w:ascii="Arial" w:hAnsi="Arial" w:cs="Arial"/>
          <w:bCs/>
          <w:snapToGrid w:val="0"/>
          <w:sz w:val="22"/>
          <w:szCs w:val="22"/>
          <w:lang w:eastAsia="en-US"/>
        </w:rPr>
        <w:t xml:space="preserve">because there was no basis to justify, </w:t>
      </w:r>
      <w:r w:rsidR="00156B98" w:rsidRPr="00A953DF">
        <w:rPr>
          <w:rFonts w:ascii="Arial" w:hAnsi="Arial" w:cs="Arial"/>
          <w:bCs/>
          <w:snapToGrid w:val="0"/>
          <w:sz w:val="22"/>
          <w:szCs w:val="22"/>
          <w:lang w:eastAsia="en-US"/>
        </w:rPr>
        <w:t xml:space="preserve">in </w:t>
      </w:r>
      <w:r w:rsidR="00092175" w:rsidRPr="00A953DF">
        <w:rPr>
          <w:rFonts w:ascii="Arial" w:hAnsi="Arial" w:cs="Arial"/>
          <w:bCs/>
          <w:snapToGrid w:val="0"/>
          <w:sz w:val="22"/>
          <w:szCs w:val="22"/>
          <w:lang w:eastAsia="en-US"/>
        </w:rPr>
        <w:t xml:space="preserve">terms of </w:t>
      </w:r>
      <w:r w:rsidR="00156B98" w:rsidRPr="00A953DF">
        <w:rPr>
          <w:rFonts w:ascii="Arial" w:hAnsi="Arial" w:cs="Arial"/>
          <w:bCs/>
          <w:snapToGrid w:val="0"/>
          <w:sz w:val="22"/>
          <w:szCs w:val="22"/>
          <w:lang w:eastAsia="en-US"/>
        </w:rPr>
        <w:t>clinical benefits</w:t>
      </w:r>
      <w:r w:rsidR="00092175" w:rsidRPr="00A953DF">
        <w:rPr>
          <w:rFonts w:ascii="Arial" w:hAnsi="Arial" w:cs="Arial"/>
          <w:bCs/>
          <w:snapToGrid w:val="0"/>
          <w:sz w:val="22"/>
          <w:szCs w:val="22"/>
          <w:lang w:eastAsia="en-US"/>
        </w:rPr>
        <w:t xml:space="preserve">, the price advantage </w:t>
      </w:r>
      <w:r w:rsidR="00A953DF" w:rsidRPr="00A953DF">
        <w:rPr>
          <w:rFonts w:ascii="Arial" w:hAnsi="Arial" w:cs="Arial"/>
          <w:bCs/>
          <w:snapToGrid w:val="0"/>
          <w:sz w:val="22"/>
          <w:szCs w:val="22"/>
          <w:lang w:eastAsia="en-US"/>
        </w:rPr>
        <w:t xml:space="preserve">even after </w:t>
      </w:r>
      <w:r w:rsidR="006E2FF5" w:rsidRPr="00A953DF">
        <w:rPr>
          <w:rFonts w:ascii="Arial" w:hAnsi="Arial" w:cs="Arial"/>
          <w:bCs/>
          <w:snapToGrid w:val="0"/>
          <w:sz w:val="22"/>
          <w:szCs w:val="22"/>
          <w:lang w:eastAsia="en-US"/>
        </w:rPr>
        <w:t xml:space="preserve">the price </w:t>
      </w:r>
      <w:r w:rsidR="00A953DF" w:rsidRPr="00A953DF">
        <w:rPr>
          <w:rFonts w:ascii="Arial" w:hAnsi="Arial" w:cs="Arial"/>
          <w:bCs/>
          <w:snapToGrid w:val="0"/>
          <w:sz w:val="22"/>
          <w:szCs w:val="22"/>
          <w:lang w:eastAsia="en-US"/>
        </w:rPr>
        <w:t xml:space="preserve">reduction </w:t>
      </w:r>
      <w:r w:rsidR="006E2FF5" w:rsidRPr="00A953DF">
        <w:rPr>
          <w:rFonts w:ascii="Arial" w:hAnsi="Arial" w:cs="Arial"/>
          <w:bCs/>
          <w:snapToGrid w:val="0"/>
          <w:sz w:val="22"/>
          <w:szCs w:val="22"/>
          <w:lang w:eastAsia="en-US"/>
        </w:rPr>
        <w:t xml:space="preserve">offered for </w:t>
      </w:r>
      <w:r w:rsidR="006E2FF5" w:rsidRPr="00A953DF">
        <w:rPr>
          <w:rFonts w:ascii="Arial" w:hAnsi="Arial" w:cs="Arial"/>
          <w:bCs/>
          <w:i/>
          <w:snapToGrid w:val="0"/>
          <w:sz w:val="22"/>
          <w:szCs w:val="22"/>
          <w:lang w:eastAsia="en-US"/>
        </w:rPr>
        <w:t>nab</w:t>
      </w:r>
      <w:r w:rsidR="006E2FF5" w:rsidRPr="00A953DF">
        <w:rPr>
          <w:rFonts w:ascii="Arial" w:hAnsi="Arial" w:cs="Arial"/>
          <w:bCs/>
          <w:snapToGrid w:val="0"/>
          <w:sz w:val="22"/>
          <w:szCs w:val="22"/>
          <w:lang w:eastAsia="en-US"/>
        </w:rPr>
        <w:t>-paclitaxel when compared with the corresponding price of solvent-based paclitaxel</w:t>
      </w:r>
      <w:r w:rsidR="00156B98" w:rsidRPr="00A953DF">
        <w:rPr>
          <w:rFonts w:ascii="Arial" w:hAnsi="Arial" w:cs="Arial"/>
          <w:bCs/>
          <w:snapToGrid w:val="0"/>
          <w:sz w:val="22"/>
          <w:szCs w:val="22"/>
          <w:lang w:eastAsia="en-US"/>
        </w:rPr>
        <w:t xml:space="preserve">. </w:t>
      </w:r>
      <w:r w:rsidR="00A953DF" w:rsidRPr="00A953DF">
        <w:rPr>
          <w:rFonts w:ascii="Arial" w:hAnsi="Arial" w:cs="Arial"/>
          <w:bCs/>
          <w:snapToGrid w:val="0"/>
          <w:sz w:val="22"/>
          <w:szCs w:val="22"/>
          <w:lang w:eastAsia="en-US"/>
        </w:rPr>
        <w:t>However,</w:t>
      </w:r>
      <w:r w:rsidR="00156B98" w:rsidRPr="00A953DF">
        <w:rPr>
          <w:rFonts w:ascii="Arial" w:hAnsi="Arial" w:cs="Arial"/>
          <w:bCs/>
          <w:snapToGrid w:val="0"/>
          <w:sz w:val="22"/>
          <w:szCs w:val="22"/>
          <w:lang w:eastAsia="en-US"/>
        </w:rPr>
        <w:t xml:space="preserve"> the Committee</w:t>
      </w:r>
      <w:r w:rsidRPr="00A953DF">
        <w:rPr>
          <w:rFonts w:ascii="Arial" w:hAnsi="Arial" w:cs="Arial"/>
          <w:bCs/>
          <w:snapToGrid w:val="0"/>
          <w:sz w:val="22"/>
          <w:szCs w:val="22"/>
          <w:lang w:eastAsia="en-US"/>
        </w:rPr>
        <w:t xml:space="preserve"> indicated its willingness to consider a submission presenting a price reduction of </w:t>
      </w:r>
      <w:r w:rsidRPr="00A953DF">
        <w:rPr>
          <w:rFonts w:ascii="Arial" w:hAnsi="Arial" w:cs="Arial"/>
          <w:bCs/>
          <w:i/>
          <w:snapToGrid w:val="0"/>
          <w:sz w:val="22"/>
          <w:szCs w:val="22"/>
          <w:lang w:eastAsia="en-US"/>
        </w:rPr>
        <w:t>nab</w:t>
      </w:r>
      <w:r w:rsidRPr="00A953DF">
        <w:rPr>
          <w:rFonts w:ascii="Arial" w:hAnsi="Arial" w:cs="Arial"/>
          <w:bCs/>
          <w:snapToGrid w:val="0"/>
          <w:sz w:val="22"/>
          <w:szCs w:val="22"/>
          <w:lang w:eastAsia="en-US"/>
        </w:rPr>
        <w:t xml:space="preserve">-paclitaxel so </w:t>
      </w:r>
      <w:r w:rsidR="00092175" w:rsidRPr="00A953DF">
        <w:rPr>
          <w:rFonts w:ascii="Arial" w:hAnsi="Arial" w:cs="Arial"/>
          <w:bCs/>
          <w:snapToGrid w:val="0"/>
          <w:sz w:val="22"/>
          <w:szCs w:val="22"/>
          <w:lang w:eastAsia="en-US"/>
        </w:rPr>
        <w:t xml:space="preserve">that </w:t>
      </w:r>
      <w:r w:rsidRPr="00A953DF">
        <w:rPr>
          <w:rFonts w:ascii="Arial" w:hAnsi="Arial" w:cs="Arial"/>
          <w:bCs/>
          <w:snapToGrid w:val="0"/>
          <w:sz w:val="22"/>
          <w:szCs w:val="22"/>
          <w:lang w:eastAsia="en-US"/>
        </w:rPr>
        <w:t xml:space="preserve">it is the same price as </w:t>
      </w:r>
      <w:r w:rsidR="00092175" w:rsidRPr="00A953DF">
        <w:rPr>
          <w:rFonts w:ascii="Arial" w:hAnsi="Arial" w:cs="Arial"/>
          <w:bCs/>
          <w:snapToGrid w:val="0"/>
          <w:sz w:val="22"/>
          <w:szCs w:val="22"/>
          <w:lang w:eastAsia="en-US"/>
        </w:rPr>
        <w:t xml:space="preserve">solvent-based </w:t>
      </w:r>
      <w:r w:rsidRPr="00A953DF">
        <w:rPr>
          <w:rFonts w:ascii="Arial" w:hAnsi="Arial" w:cs="Arial"/>
          <w:bCs/>
          <w:snapToGrid w:val="0"/>
          <w:sz w:val="22"/>
          <w:szCs w:val="22"/>
          <w:lang w:eastAsia="en-US"/>
        </w:rPr>
        <w:t>paclitaxel</w:t>
      </w:r>
      <w:r w:rsidR="00174827" w:rsidRPr="00A953DF">
        <w:rPr>
          <w:rFonts w:ascii="Arial" w:hAnsi="Arial" w:cs="Arial"/>
          <w:bCs/>
          <w:snapToGrid w:val="0"/>
          <w:sz w:val="22"/>
          <w:szCs w:val="22"/>
          <w:lang w:eastAsia="en-US"/>
        </w:rPr>
        <w:t>.</w:t>
      </w:r>
    </w:p>
    <w:p w:rsidR="00156B98" w:rsidRPr="00A953DF" w:rsidRDefault="00156B98" w:rsidP="00F535D3">
      <w:pPr>
        <w:widowControl w:val="0"/>
        <w:spacing w:after="120"/>
        <w:contextualSpacing/>
        <w:jc w:val="both"/>
        <w:rPr>
          <w:rFonts w:ascii="Arial" w:hAnsi="Arial" w:cs="Arial"/>
          <w:bCs/>
          <w:snapToGrid w:val="0"/>
          <w:sz w:val="22"/>
          <w:szCs w:val="22"/>
          <w:lang w:eastAsia="en-US"/>
        </w:rPr>
      </w:pPr>
    </w:p>
    <w:p w:rsidR="00156B98" w:rsidRPr="00A953DF" w:rsidRDefault="00156B98" w:rsidP="00CD1F92">
      <w:pPr>
        <w:widowControl w:val="0"/>
        <w:numPr>
          <w:ilvl w:val="1"/>
          <w:numId w:val="25"/>
        </w:numPr>
        <w:spacing w:after="120"/>
        <w:contextualSpacing/>
        <w:jc w:val="both"/>
        <w:rPr>
          <w:rFonts w:ascii="Arial" w:hAnsi="Arial" w:cs="Arial"/>
          <w:bCs/>
          <w:snapToGrid w:val="0"/>
          <w:sz w:val="22"/>
          <w:szCs w:val="22"/>
          <w:lang w:eastAsia="en-US"/>
        </w:rPr>
      </w:pPr>
      <w:r w:rsidRPr="00A953DF">
        <w:rPr>
          <w:rFonts w:ascii="Arial" w:hAnsi="Arial" w:cs="Arial"/>
          <w:bCs/>
          <w:snapToGrid w:val="0"/>
          <w:sz w:val="22"/>
          <w:szCs w:val="22"/>
          <w:lang w:eastAsia="en-US"/>
        </w:rPr>
        <w:t>The PBAC noted that the submission is eligible for an independent review.</w:t>
      </w:r>
    </w:p>
    <w:p w:rsidR="00CD1F92" w:rsidRPr="00A953DF" w:rsidRDefault="00CD1F92" w:rsidP="00CD1F92">
      <w:pPr>
        <w:rPr>
          <w:rFonts w:ascii="Arial" w:hAnsi="Arial" w:cs="Arial"/>
          <w:snapToGrid w:val="0"/>
          <w:sz w:val="22"/>
          <w:szCs w:val="22"/>
          <w:highlight w:val="yellow"/>
          <w:lang w:eastAsia="en-US"/>
        </w:rPr>
      </w:pPr>
    </w:p>
    <w:p w:rsidR="00CD1F92" w:rsidRPr="00A953DF" w:rsidRDefault="00CD1F92" w:rsidP="00CD1F92">
      <w:pPr>
        <w:jc w:val="both"/>
        <w:rPr>
          <w:rFonts w:ascii="Arial" w:hAnsi="Arial" w:cs="Arial"/>
          <w:bCs/>
          <w:snapToGrid w:val="0"/>
          <w:sz w:val="22"/>
          <w:szCs w:val="22"/>
          <w:highlight w:val="yellow"/>
          <w:lang w:eastAsia="en-US"/>
        </w:rPr>
      </w:pPr>
    </w:p>
    <w:p w:rsidR="00CD1F92" w:rsidRPr="00A953DF" w:rsidRDefault="00CD1F92" w:rsidP="009659F7">
      <w:pPr>
        <w:pStyle w:val="Heading2"/>
        <w:rPr>
          <w:snapToGrid w:val="0"/>
          <w:lang w:eastAsia="en-US"/>
        </w:rPr>
      </w:pPr>
      <w:r w:rsidRPr="00A953DF">
        <w:rPr>
          <w:snapToGrid w:val="0"/>
          <w:lang w:eastAsia="en-US"/>
        </w:rPr>
        <w:t>Outcome:</w:t>
      </w:r>
    </w:p>
    <w:p w:rsidR="00CD1F92" w:rsidRPr="00A953DF" w:rsidRDefault="00F535D3" w:rsidP="00CD1F92">
      <w:pPr>
        <w:jc w:val="both"/>
        <w:rPr>
          <w:rFonts w:ascii="Arial" w:hAnsi="Arial" w:cs="Arial"/>
          <w:bCs/>
          <w:snapToGrid w:val="0"/>
          <w:sz w:val="22"/>
          <w:szCs w:val="22"/>
          <w:lang w:eastAsia="en-US"/>
        </w:rPr>
      </w:pPr>
      <w:proofErr w:type="gramStart"/>
      <w:r w:rsidRPr="00A953DF">
        <w:rPr>
          <w:rFonts w:ascii="Arial" w:hAnsi="Arial" w:cs="Arial"/>
          <w:bCs/>
          <w:snapToGrid w:val="0"/>
          <w:sz w:val="22"/>
          <w:szCs w:val="22"/>
          <w:lang w:eastAsia="en-US"/>
        </w:rPr>
        <w:t>Rejected.</w:t>
      </w:r>
      <w:proofErr w:type="gramEnd"/>
    </w:p>
    <w:p w:rsidR="00092175" w:rsidRPr="00A953DF" w:rsidRDefault="00092175" w:rsidP="00CD1F92">
      <w:pPr>
        <w:widowControl w:val="0"/>
        <w:jc w:val="both"/>
        <w:rPr>
          <w:rFonts w:ascii="Arial" w:hAnsi="Arial" w:cs="Arial"/>
          <w:bCs/>
          <w:snapToGrid w:val="0"/>
          <w:sz w:val="22"/>
          <w:szCs w:val="22"/>
          <w:lang w:eastAsia="en-US"/>
        </w:rPr>
      </w:pPr>
    </w:p>
    <w:p w:rsidR="00CD1F92" w:rsidRPr="00A953DF" w:rsidRDefault="00CD1F92" w:rsidP="009659F7">
      <w:pPr>
        <w:pStyle w:val="Heading1"/>
        <w:rPr>
          <w:snapToGrid w:val="0"/>
          <w:lang w:eastAsia="en-US"/>
        </w:rPr>
      </w:pPr>
      <w:r w:rsidRPr="00A953DF">
        <w:rPr>
          <w:snapToGrid w:val="0"/>
          <w:lang w:eastAsia="en-US"/>
        </w:rPr>
        <w:t>Recommended listing</w:t>
      </w:r>
    </w:p>
    <w:p w:rsidR="00CD1F92" w:rsidRPr="00A953DF" w:rsidRDefault="00CD1F92" w:rsidP="00CD1F92">
      <w:pPr>
        <w:jc w:val="both"/>
        <w:rPr>
          <w:rFonts w:ascii="Arial" w:hAnsi="Arial" w:cs="Arial"/>
          <w:bCs/>
          <w:snapToGrid w:val="0"/>
          <w:sz w:val="22"/>
          <w:szCs w:val="22"/>
          <w:highlight w:val="yellow"/>
          <w:lang w:eastAsia="en-US"/>
        </w:rPr>
      </w:pPr>
    </w:p>
    <w:p w:rsidR="00CD1F92" w:rsidRPr="00A953DF" w:rsidRDefault="00CD1F92" w:rsidP="002E5430">
      <w:pPr>
        <w:widowControl w:val="0"/>
        <w:numPr>
          <w:ilvl w:val="1"/>
          <w:numId w:val="25"/>
        </w:numPr>
        <w:spacing w:after="120"/>
        <w:contextualSpacing/>
        <w:jc w:val="both"/>
        <w:rPr>
          <w:rFonts w:ascii="Arial" w:hAnsi="Arial" w:cs="Arial"/>
          <w:b/>
          <w:bCs/>
          <w:snapToGrid w:val="0"/>
          <w:sz w:val="22"/>
          <w:szCs w:val="22"/>
          <w:lang w:eastAsia="en-US"/>
        </w:rPr>
      </w:pPr>
      <w:r w:rsidRPr="00A953DF">
        <w:rPr>
          <w:rFonts w:ascii="Arial" w:hAnsi="Arial" w:cs="Arial"/>
          <w:bCs/>
          <w:snapToGrid w:val="0"/>
          <w:sz w:val="22"/>
          <w:szCs w:val="22"/>
          <w:lang w:eastAsia="en-US"/>
        </w:rPr>
        <w:t xml:space="preserve">Amend existing </w:t>
      </w:r>
      <w:r w:rsidR="0086190D" w:rsidRPr="00A953DF">
        <w:rPr>
          <w:rFonts w:ascii="Arial" w:hAnsi="Arial" w:cs="Arial"/>
          <w:bCs/>
          <w:snapToGrid w:val="0"/>
          <w:sz w:val="22"/>
          <w:szCs w:val="22"/>
          <w:lang w:eastAsia="en-US"/>
        </w:rPr>
        <w:t>PBS item</w:t>
      </w:r>
      <w:r w:rsidR="003F3C19" w:rsidRPr="00A953DF">
        <w:rPr>
          <w:rFonts w:ascii="Arial" w:hAnsi="Arial" w:cs="Arial"/>
          <w:bCs/>
          <w:snapToGrid w:val="0"/>
          <w:sz w:val="22"/>
          <w:szCs w:val="22"/>
          <w:lang w:eastAsia="en-US"/>
        </w:rPr>
        <w:t>s</w:t>
      </w:r>
      <w:r w:rsidR="0086190D" w:rsidRPr="00A953DF">
        <w:rPr>
          <w:rFonts w:ascii="Arial" w:hAnsi="Arial" w:cs="Arial"/>
          <w:bCs/>
          <w:snapToGrid w:val="0"/>
          <w:sz w:val="22"/>
          <w:szCs w:val="22"/>
          <w:lang w:eastAsia="en-US"/>
        </w:rPr>
        <w:t xml:space="preserve"> 4531L</w:t>
      </w:r>
      <w:r w:rsidR="003F3C19" w:rsidRPr="00A953DF">
        <w:rPr>
          <w:rFonts w:ascii="Arial" w:hAnsi="Arial" w:cs="Arial"/>
          <w:bCs/>
          <w:snapToGrid w:val="0"/>
          <w:sz w:val="22"/>
          <w:szCs w:val="22"/>
          <w:lang w:eastAsia="en-US"/>
        </w:rPr>
        <w:t>, 7270P</w:t>
      </w:r>
      <w:r w:rsidRPr="00A953DF">
        <w:rPr>
          <w:rFonts w:ascii="Arial" w:hAnsi="Arial" w:cs="Arial"/>
          <w:bCs/>
          <w:snapToGrid w:val="0"/>
          <w:sz w:val="22"/>
          <w:szCs w:val="22"/>
          <w:lang w:eastAsia="en-US"/>
        </w:rPr>
        <w:t xml:space="preserve"> as follows:</w:t>
      </w:r>
    </w:p>
    <w:p w:rsidR="00CD1F92" w:rsidRPr="00A953DF" w:rsidRDefault="00CD1F92" w:rsidP="00CD1F92">
      <w:pPr>
        <w:widowControl w:val="0"/>
        <w:jc w:val="both"/>
        <w:rPr>
          <w:rFonts w:ascii="Arial" w:hAnsi="Arial" w:cs="Arial"/>
          <w:bCs/>
          <w:snapToGrid w:val="0"/>
          <w:sz w:val="22"/>
          <w:szCs w:val="22"/>
          <w:highlight w:val="yellow"/>
          <w:lang w:eastAsia="en-US"/>
        </w:rPr>
      </w:pPr>
    </w:p>
    <w:p w:rsidR="00CB632F" w:rsidRPr="00A953DF" w:rsidRDefault="005569F0" w:rsidP="00CD1F92">
      <w:pPr>
        <w:widowControl w:val="0"/>
        <w:jc w:val="both"/>
        <w:rPr>
          <w:rFonts w:ascii="Arial" w:hAnsi="Arial" w:cs="Arial"/>
          <w:bCs/>
          <w:snapToGrid w:val="0"/>
          <w:sz w:val="22"/>
          <w:szCs w:val="22"/>
          <w:lang w:eastAsia="en-US"/>
        </w:rPr>
      </w:pPr>
      <w:r w:rsidRPr="00A953DF">
        <w:rPr>
          <w:rFonts w:ascii="Arial" w:hAnsi="Arial" w:cs="Arial"/>
          <w:bCs/>
          <w:snapToGrid w:val="0"/>
          <w:sz w:val="22"/>
          <w:szCs w:val="22"/>
          <w:lang w:eastAsia="en-US"/>
        </w:rPr>
        <w:t xml:space="preserve">The Authority </w:t>
      </w:r>
      <w:r w:rsidR="00CB632F" w:rsidRPr="00A953DF">
        <w:rPr>
          <w:rFonts w:ascii="Arial" w:hAnsi="Arial" w:cs="Arial"/>
          <w:bCs/>
          <w:snapToGrid w:val="0"/>
          <w:sz w:val="22"/>
          <w:szCs w:val="22"/>
          <w:lang w:eastAsia="en-US"/>
        </w:rPr>
        <w:t>Required</w:t>
      </w:r>
      <w:r w:rsidRPr="00A953DF">
        <w:rPr>
          <w:rFonts w:ascii="Arial" w:hAnsi="Arial" w:cs="Arial"/>
          <w:bCs/>
          <w:snapToGrid w:val="0"/>
          <w:sz w:val="22"/>
          <w:szCs w:val="22"/>
          <w:lang w:eastAsia="en-US"/>
        </w:rPr>
        <w:t xml:space="preserve"> (Streamlined) </w:t>
      </w:r>
      <w:r w:rsidR="00F6220E" w:rsidRPr="00A953DF">
        <w:rPr>
          <w:rFonts w:ascii="Arial" w:hAnsi="Arial" w:cs="Arial"/>
          <w:bCs/>
          <w:snapToGrid w:val="0"/>
          <w:sz w:val="22"/>
          <w:szCs w:val="22"/>
          <w:lang w:eastAsia="en-US"/>
        </w:rPr>
        <w:t xml:space="preserve">restriction </w:t>
      </w:r>
      <w:r w:rsidRPr="00A953DF">
        <w:rPr>
          <w:rFonts w:ascii="Arial" w:hAnsi="Arial" w:cs="Arial"/>
          <w:bCs/>
          <w:snapToGrid w:val="0"/>
          <w:sz w:val="22"/>
          <w:szCs w:val="22"/>
          <w:lang w:eastAsia="en-US"/>
        </w:rPr>
        <w:t xml:space="preserve">code 3956 </w:t>
      </w:r>
      <w:r w:rsidR="00B542AD" w:rsidRPr="00A953DF">
        <w:rPr>
          <w:rFonts w:ascii="Arial" w:hAnsi="Arial" w:cs="Arial"/>
          <w:bCs/>
          <w:snapToGrid w:val="0"/>
          <w:sz w:val="22"/>
          <w:szCs w:val="22"/>
          <w:lang w:eastAsia="en-US"/>
        </w:rPr>
        <w:t xml:space="preserve">to be changed </w:t>
      </w:r>
      <w:r w:rsidR="00CB632F" w:rsidRPr="00A953DF">
        <w:rPr>
          <w:rFonts w:ascii="Arial" w:hAnsi="Arial" w:cs="Arial"/>
          <w:bCs/>
          <w:snapToGrid w:val="0"/>
          <w:sz w:val="22"/>
          <w:szCs w:val="22"/>
          <w:lang w:eastAsia="en-US"/>
        </w:rPr>
        <w:t>from:</w:t>
      </w:r>
    </w:p>
    <w:p w:rsidR="00CB632F" w:rsidRPr="00A953DF" w:rsidRDefault="00CB632F" w:rsidP="00CD1F92">
      <w:pPr>
        <w:widowControl w:val="0"/>
        <w:jc w:val="both"/>
        <w:rPr>
          <w:rFonts w:ascii="Arial" w:hAnsi="Arial" w:cs="Arial"/>
          <w:bCs/>
          <w:snapToGrid w:val="0"/>
          <w:sz w:val="22"/>
          <w:szCs w:val="22"/>
          <w:lang w:eastAsia="en-US"/>
        </w:rPr>
      </w:pPr>
    </w:p>
    <w:p w:rsidR="00CB632F" w:rsidRPr="00A953DF" w:rsidRDefault="00B542AD" w:rsidP="00CD1F92">
      <w:pPr>
        <w:widowControl w:val="0"/>
        <w:jc w:val="both"/>
        <w:rPr>
          <w:rFonts w:ascii="Arial" w:hAnsi="Arial" w:cs="Arial"/>
          <w:bCs/>
          <w:snapToGrid w:val="0"/>
          <w:sz w:val="22"/>
          <w:szCs w:val="22"/>
          <w:lang w:eastAsia="en-US"/>
        </w:rPr>
      </w:pPr>
      <w:r w:rsidRPr="00A953DF">
        <w:rPr>
          <w:rFonts w:ascii="Arial" w:hAnsi="Arial" w:cs="Arial"/>
          <w:bCs/>
          <w:snapToGrid w:val="0"/>
          <w:sz w:val="22"/>
          <w:szCs w:val="22"/>
          <w:lang w:eastAsia="en-US"/>
        </w:rPr>
        <w:t xml:space="preserve">“Treatment of HER2 positive breast cancer in combination with </w:t>
      </w:r>
      <w:proofErr w:type="spellStart"/>
      <w:r w:rsidRPr="00A953DF">
        <w:rPr>
          <w:rFonts w:ascii="Arial" w:hAnsi="Arial" w:cs="Arial"/>
          <w:bCs/>
          <w:snapToGrid w:val="0"/>
          <w:sz w:val="22"/>
          <w:szCs w:val="22"/>
          <w:lang w:eastAsia="en-US"/>
        </w:rPr>
        <w:t>trastuzumab</w:t>
      </w:r>
      <w:proofErr w:type="spellEnd"/>
      <w:r w:rsidRPr="00A953DF">
        <w:rPr>
          <w:rFonts w:ascii="Arial" w:hAnsi="Arial" w:cs="Arial"/>
          <w:bCs/>
          <w:snapToGrid w:val="0"/>
          <w:sz w:val="22"/>
          <w:szCs w:val="22"/>
          <w:lang w:eastAsia="en-US"/>
        </w:rPr>
        <w:t xml:space="preserve">” </w:t>
      </w:r>
      <w:r w:rsidR="00FF1008" w:rsidRPr="00A953DF">
        <w:rPr>
          <w:rFonts w:ascii="Arial" w:hAnsi="Arial" w:cs="Arial"/>
          <w:bCs/>
          <w:snapToGrid w:val="0"/>
          <w:sz w:val="22"/>
          <w:szCs w:val="22"/>
          <w:lang w:eastAsia="en-US"/>
        </w:rPr>
        <w:t>to</w:t>
      </w:r>
    </w:p>
    <w:p w:rsidR="00CB632F" w:rsidRPr="00A953DF" w:rsidRDefault="00CB632F" w:rsidP="00CD1F92">
      <w:pPr>
        <w:widowControl w:val="0"/>
        <w:jc w:val="both"/>
        <w:rPr>
          <w:rFonts w:ascii="Arial" w:hAnsi="Arial" w:cs="Arial"/>
          <w:bCs/>
          <w:snapToGrid w:val="0"/>
          <w:sz w:val="22"/>
          <w:szCs w:val="22"/>
          <w:lang w:eastAsia="en-US"/>
        </w:rPr>
      </w:pPr>
    </w:p>
    <w:p w:rsidR="005A2880" w:rsidRPr="00A953DF" w:rsidRDefault="00CB632F" w:rsidP="00CD1F92">
      <w:pPr>
        <w:widowControl w:val="0"/>
        <w:jc w:val="both"/>
        <w:rPr>
          <w:rFonts w:ascii="Arial" w:hAnsi="Arial" w:cs="Arial"/>
          <w:bCs/>
          <w:snapToGrid w:val="0"/>
          <w:sz w:val="22"/>
          <w:szCs w:val="22"/>
          <w:highlight w:val="yellow"/>
          <w:lang w:eastAsia="en-US"/>
        </w:rPr>
      </w:pPr>
      <w:proofErr w:type="gramStart"/>
      <w:r w:rsidRPr="00A953DF">
        <w:rPr>
          <w:rFonts w:ascii="Arial" w:hAnsi="Arial" w:cs="Arial"/>
          <w:bCs/>
          <w:snapToGrid w:val="0"/>
          <w:sz w:val="22"/>
          <w:szCs w:val="22"/>
          <w:lang w:eastAsia="en-US"/>
        </w:rPr>
        <w:t>“HER2 positive breast cancer”.</w:t>
      </w:r>
      <w:bookmarkStart w:id="0" w:name="_GoBack"/>
      <w:bookmarkEnd w:id="0"/>
      <w:proofErr w:type="gramEnd"/>
    </w:p>
    <w:p w:rsidR="00F64CC1" w:rsidRDefault="00F64CC1" w:rsidP="00CD1F92">
      <w:pPr>
        <w:jc w:val="both"/>
        <w:rPr>
          <w:rFonts w:ascii="Arial" w:hAnsi="Arial"/>
          <w:sz w:val="22"/>
          <w:szCs w:val="22"/>
        </w:rPr>
      </w:pPr>
    </w:p>
    <w:p w:rsidR="00EB1638" w:rsidRPr="0009229E" w:rsidRDefault="00EB1638" w:rsidP="00EB1638">
      <w:pPr>
        <w:rPr>
          <w:bCs/>
          <w:szCs w:val="22"/>
        </w:rPr>
      </w:pPr>
    </w:p>
    <w:p w:rsidR="00EB1638" w:rsidRDefault="00EB1638" w:rsidP="009659F7">
      <w:pPr>
        <w:pStyle w:val="Heading1"/>
        <w:rPr>
          <w:rFonts w:eastAsia="SimSun"/>
          <w:lang w:eastAsia="en-US"/>
        </w:rPr>
      </w:pPr>
      <w:r>
        <w:rPr>
          <w:rFonts w:eastAsia="SimSun"/>
          <w:lang w:eastAsia="en-US"/>
        </w:rPr>
        <w:t>Context for Decision</w:t>
      </w:r>
    </w:p>
    <w:p w:rsidR="00EB1638" w:rsidRDefault="00EB1638" w:rsidP="00EB1638">
      <w:pPr>
        <w:ind w:left="720"/>
        <w:contextualSpacing/>
        <w:rPr>
          <w:b/>
        </w:rPr>
      </w:pPr>
    </w:p>
    <w:p w:rsidR="00EB1638" w:rsidRDefault="00EB1638" w:rsidP="00EB1638">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B1638" w:rsidRDefault="00EB1638" w:rsidP="00EB1638"/>
    <w:p w:rsidR="00EB1638" w:rsidRDefault="00EB1638" w:rsidP="009659F7">
      <w:pPr>
        <w:pStyle w:val="Heading1"/>
        <w:rPr>
          <w:rFonts w:eastAsia="SimSun"/>
          <w:lang w:eastAsia="en-US"/>
        </w:rPr>
      </w:pPr>
      <w:r>
        <w:rPr>
          <w:rFonts w:eastAsia="SimSun"/>
          <w:lang w:eastAsia="en-US"/>
        </w:rPr>
        <w:t>Sponsor’s Comment</w:t>
      </w:r>
    </w:p>
    <w:p w:rsidR="00EB1638" w:rsidRDefault="00EB1638" w:rsidP="00EB1638">
      <w:pPr>
        <w:tabs>
          <w:tab w:val="left" w:pos="2940"/>
        </w:tabs>
        <w:jc w:val="both"/>
        <w:rPr>
          <w:rFonts w:ascii="Arial" w:hAnsi="Arial"/>
          <w:sz w:val="22"/>
          <w:szCs w:val="22"/>
        </w:rPr>
      </w:pPr>
    </w:p>
    <w:p w:rsidR="008B0A13" w:rsidRDefault="008B0A13" w:rsidP="008B0A13">
      <w:pPr>
        <w:ind w:left="720"/>
        <w:rPr>
          <w:rFonts w:ascii="Arial" w:hAnsi="Arial" w:cs="Arial"/>
          <w:bCs/>
          <w:snapToGrid w:val="0"/>
          <w:sz w:val="22"/>
          <w:szCs w:val="22"/>
        </w:rPr>
      </w:pPr>
      <w:r>
        <w:rPr>
          <w:rFonts w:ascii="Arial" w:hAnsi="Arial" w:cs="Arial"/>
          <w:bCs/>
          <w:snapToGrid w:val="0"/>
          <w:sz w:val="22"/>
          <w:szCs w:val="22"/>
        </w:rPr>
        <w:t>The sponsor had no comment.</w:t>
      </w:r>
    </w:p>
    <w:p w:rsidR="00EB1638" w:rsidRPr="00A953DF" w:rsidRDefault="00EB1638" w:rsidP="00CD1F92">
      <w:pPr>
        <w:jc w:val="both"/>
        <w:rPr>
          <w:rFonts w:ascii="Arial" w:hAnsi="Arial"/>
          <w:sz w:val="22"/>
          <w:szCs w:val="22"/>
        </w:rPr>
      </w:pPr>
    </w:p>
    <w:sectPr w:rsidR="00EB1638" w:rsidRPr="00A953DF"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AC" w:rsidRDefault="006309AC">
      <w:r>
        <w:separator/>
      </w:r>
    </w:p>
    <w:p w:rsidR="006309AC" w:rsidRDefault="006309AC"/>
  </w:endnote>
  <w:endnote w:type="continuationSeparator" w:id="0">
    <w:p w:rsidR="006309AC" w:rsidRDefault="006309AC">
      <w:r>
        <w:continuationSeparator/>
      </w:r>
    </w:p>
    <w:p w:rsidR="006309AC" w:rsidRDefault="00630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Narrow-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400D9" w:rsidTr="005A3173">
      <w:trPr>
        <w:trHeight w:val="151"/>
      </w:trPr>
      <w:tc>
        <w:tcPr>
          <w:tcW w:w="2250" w:type="pct"/>
          <w:tcBorders>
            <w:top w:val="nil"/>
            <w:left w:val="nil"/>
            <w:bottom w:val="single" w:sz="4" w:space="0" w:color="4F81BD"/>
            <w:right w:val="nil"/>
          </w:tcBorders>
        </w:tcPr>
        <w:p w:rsidR="003400D9" w:rsidRPr="005A3173" w:rsidRDefault="003400D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400D9" w:rsidRPr="005A3173" w:rsidRDefault="003400D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400D9" w:rsidRPr="005A3173" w:rsidRDefault="003400D9" w:rsidP="005A3173">
          <w:pPr>
            <w:pStyle w:val="Header"/>
            <w:spacing w:line="276" w:lineRule="auto"/>
            <w:rPr>
              <w:rFonts w:ascii="Calibri" w:eastAsia="MS Gothic" w:hAnsi="Calibri"/>
              <w:b/>
              <w:bCs/>
              <w:color w:val="4F81BD"/>
            </w:rPr>
          </w:pPr>
        </w:p>
      </w:tc>
    </w:tr>
    <w:tr w:rsidR="003400D9" w:rsidTr="005A3173">
      <w:trPr>
        <w:trHeight w:val="150"/>
      </w:trPr>
      <w:tc>
        <w:tcPr>
          <w:tcW w:w="2250" w:type="pct"/>
          <w:tcBorders>
            <w:top w:val="single" w:sz="4" w:space="0" w:color="4F81BD"/>
            <w:left w:val="nil"/>
            <w:bottom w:val="nil"/>
            <w:right w:val="nil"/>
          </w:tcBorders>
        </w:tcPr>
        <w:p w:rsidR="003400D9" w:rsidRPr="005A3173" w:rsidRDefault="003400D9" w:rsidP="005A3173">
          <w:pPr>
            <w:pStyle w:val="Header"/>
            <w:spacing w:line="276" w:lineRule="auto"/>
            <w:rPr>
              <w:rFonts w:ascii="Calibri" w:eastAsia="MS Gothic" w:hAnsi="Calibri"/>
              <w:b/>
              <w:bCs/>
              <w:color w:val="4F81BD"/>
            </w:rPr>
          </w:pPr>
        </w:p>
      </w:tc>
      <w:tc>
        <w:tcPr>
          <w:tcW w:w="0" w:type="auto"/>
          <w:vMerge/>
          <w:vAlign w:val="center"/>
          <w:hideMark/>
        </w:tcPr>
        <w:p w:rsidR="003400D9" w:rsidRPr="005A3173" w:rsidRDefault="003400D9" w:rsidP="005A3173">
          <w:pPr>
            <w:rPr>
              <w:rFonts w:ascii="Calibri" w:hAnsi="Calibri"/>
              <w:color w:val="365F91"/>
              <w:sz w:val="22"/>
              <w:szCs w:val="22"/>
            </w:rPr>
          </w:pPr>
        </w:p>
      </w:tc>
      <w:tc>
        <w:tcPr>
          <w:tcW w:w="2250" w:type="pct"/>
          <w:tcBorders>
            <w:top w:val="single" w:sz="4" w:space="0" w:color="4F81BD"/>
            <w:left w:val="nil"/>
            <w:bottom w:val="nil"/>
            <w:right w:val="nil"/>
          </w:tcBorders>
        </w:tcPr>
        <w:p w:rsidR="003400D9" w:rsidRPr="005A3173" w:rsidRDefault="003400D9" w:rsidP="005A3173">
          <w:pPr>
            <w:pStyle w:val="Header"/>
            <w:spacing w:line="276" w:lineRule="auto"/>
            <w:rPr>
              <w:rFonts w:ascii="Calibri" w:eastAsia="MS Gothic" w:hAnsi="Calibri"/>
              <w:b/>
              <w:bCs/>
              <w:color w:val="4F81BD"/>
            </w:rPr>
          </w:pPr>
        </w:p>
      </w:tc>
    </w:tr>
  </w:tbl>
  <w:p w:rsidR="003400D9" w:rsidRDefault="003400D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00D9" w:rsidRDefault="003400D9">
    <w:pPr>
      <w:pStyle w:val="Footer"/>
    </w:pPr>
  </w:p>
  <w:p w:rsidR="003400D9" w:rsidRDefault="003400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3400D9" w:rsidRPr="00CD1F92" w:rsidRDefault="00CD1F92" w:rsidP="00CD1F92">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9659F7">
          <w:rPr>
            <w:rFonts w:ascii="Arial Narrow" w:hAnsi="Arial Narrow"/>
            <w:noProof/>
            <w:sz w:val="20"/>
            <w:szCs w:val="20"/>
          </w:rPr>
          <w:t>7</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400D9" w:rsidTr="005A3173">
      <w:trPr>
        <w:trHeight w:val="151"/>
      </w:trPr>
      <w:tc>
        <w:tcPr>
          <w:tcW w:w="2250" w:type="pct"/>
          <w:tcBorders>
            <w:top w:val="nil"/>
            <w:left w:val="nil"/>
            <w:bottom w:val="single" w:sz="4" w:space="0" w:color="4F81BD"/>
            <w:right w:val="nil"/>
          </w:tcBorders>
        </w:tcPr>
        <w:p w:rsidR="003400D9" w:rsidRPr="005A3173" w:rsidRDefault="003400D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400D9" w:rsidRPr="005A3173" w:rsidRDefault="003400D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400D9" w:rsidRPr="005A3173" w:rsidRDefault="003400D9" w:rsidP="005A3173">
          <w:pPr>
            <w:pStyle w:val="Header"/>
            <w:spacing w:line="276" w:lineRule="auto"/>
            <w:rPr>
              <w:rFonts w:ascii="Calibri" w:eastAsia="MS Gothic" w:hAnsi="Calibri"/>
              <w:b/>
              <w:bCs/>
              <w:color w:val="4F81BD"/>
            </w:rPr>
          </w:pPr>
        </w:p>
      </w:tc>
    </w:tr>
    <w:tr w:rsidR="003400D9" w:rsidTr="005A3173">
      <w:trPr>
        <w:trHeight w:val="150"/>
      </w:trPr>
      <w:tc>
        <w:tcPr>
          <w:tcW w:w="2250" w:type="pct"/>
          <w:tcBorders>
            <w:top w:val="single" w:sz="4" w:space="0" w:color="4F81BD"/>
            <w:left w:val="nil"/>
            <w:bottom w:val="nil"/>
            <w:right w:val="nil"/>
          </w:tcBorders>
        </w:tcPr>
        <w:p w:rsidR="003400D9" w:rsidRPr="005A3173" w:rsidRDefault="003400D9" w:rsidP="005A3173">
          <w:pPr>
            <w:pStyle w:val="Header"/>
            <w:spacing w:line="276" w:lineRule="auto"/>
            <w:rPr>
              <w:rFonts w:ascii="Calibri" w:eastAsia="MS Gothic" w:hAnsi="Calibri"/>
              <w:b/>
              <w:bCs/>
              <w:color w:val="4F81BD"/>
            </w:rPr>
          </w:pPr>
        </w:p>
      </w:tc>
      <w:tc>
        <w:tcPr>
          <w:tcW w:w="0" w:type="auto"/>
          <w:vMerge/>
          <w:vAlign w:val="center"/>
          <w:hideMark/>
        </w:tcPr>
        <w:p w:rsidR="003400D9" w:rsidRPr="005A3173" w:rsidRDefault="003400D9" w:rsidP="005A3173">
          <w:pPr>
            <w:rPr>
              <w:rFonts w:ascii="Calibri" w:hAnsi="Calibri"/>
              <w:color w:val="365F91"/>
              <w:sz w:val="22"/>
              <w:szCs w:val="22"/>
            </w:rPr>
          </w:pPr>
        </w:p>
      </w:tc>
      <w:tc>
        <w:tcPr>
          <w:tcW w:w="2250" w:type="pct"/>
          <w:tcBorders>
            <w:top w:val="single" w:sz="4" w:space="0" w:color="4F81BD"/>
            <w:left w:val="nil"/>
            <w:bottom w:val="nil"/>
            <w:right w:val="nil"/>
          </w:tcBorders>
        </w:tcPr>
        <w:p w:rsidR="003400D9" w:rsidRPr="005A3173" w:rsidRDefault="003400D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400D9" w:rsidTr="005A3173">
      <w:trPr>
        <w:trHeight w:val="151"/>
      </w:trPr>
      <w:tc>
        <w:tcPr>
          <w:tcW w:w="2250" w:type="pct"/>
          <w:tcBorders>
            <w:top w:val="nil"/>
            <w:left w:val="nil"/>
            <w:bottom w:val="single" w:sz="4" w:space="0" w:color="4F81BD"/>
            <w:right w:val="nil"/>
          </w:tcBorders>
        </w:tcPr>
        <w:p w:rsidR="003400D9" w:rsidRPr="005A3173" w:rsidRDefault="003400D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400D9" w:rsidRPr="005A3173" w:rsidRDefault="003400D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400D9" w:rsidRPr="005A3173" w:rsidRDefault="003400D9" w:rsidP="005A3173">
          <w:pPr>
            <w:pStyle w:val="Header"/>
            <w:spacing w:line="276" w:lineRule="auto"/>
            <w:rPr>
              <w:rFonts w:ascii="Calibri" w:eastAsia="MS Gothic" w:hAnsi="Calibri"/>
              <w:b/>
              <w:bCs/>
              <w:color w:val="4F81BD"/>
            </w:rPr>
          </w:pPr>
        </w:p>
      </w:tc>
    </w:tr>
    <w:tr w:rsidR="003400D9" w:rsidTr="005A3173">
      <w:trPr>
        <w:trHeight w:val="150"/>
      </w:trPr>
      <w:tc>
        <w:tcPr>
          <w:tcW w:w="2250" w:type="pct"/>
          <w:tcBorders>
            <w:top w:val="single" w:sz="4" w:space="0" w:color="4F81BD"/>
            <w:left w:val="nil"/>
            <w:bottom w:val="nil"/>
            <w:right w:val="nil"/>
          </w:tcBorders>
        </w:tcPr>
        <w:p w:rsidR="003400D9" w:rsidRPr="005A3173" w:rsidRDefault="003400D9" w:rsidP="005A3173">
          <w:pPr>
            <w:pStyle w:val="Header"/>
            <w:spacing w:line="276" w:lineRule="auto"/>
            <w:rPr>
              <w:rFonts w:ascii="Calibri" w:eastAsia="MS Gothic" w:hAnsi="Calibri"/>
              <w:b/>
              <w:bCs/>
              <w:color w:val="4F81BD"/>
            </w:rPr>
          </w:pPr>
        </w:p>
      </w:tc>
      <w:tc>
        <w:tcPr>
          <w:tcW w:w="0" w:type="auto"/>
          <w:vMerge/>
          <w:vAlign w:val="center"/>
          <w:hideMark/>
        </w:tcPr>
        <w:p w:rsidR="003400D9" w:rsidRPr="005A3173" w:rsidRDefault="003400D9" w:rsidP="005A3173">
          <w:pPr>
            <w:rPr>
              <w:rFonts w:ascii="Calibri" w:hAnsi="Calibri"/>
              <w:color w:val="365F91"/>
              <w:sz w:val="22"/>
              <w:szCs w:val="22"/>
            </w:rPr>
          </w:pPr>
        </w:p>
      </w:tc>
      <w:tc>
        <w:tcPr>
          <w:tcW w:w="2250" w:type="pct"/>
          <w:tcBorders>
            <w:top w:val="single" w:sz="4" w:space="0" w:color="4F81BD"/>
            <w:left w:val="nil"/>
            <w:bottom w:val="nil"/>
            <w:right w:val="nil"/>
          </w:tcBorders>
        </w:tcPr>
        <w:p w:rsidR="003400D9" w:rsidRPr="005A3173" w:rsidRDefault="003400D9" w:rsidP="005A3173">
          <w:pPr>
            <w:pStyle w:val="Header"/>
            <w:spacing w:line="276" w:lineRule="auto"/>
            <w:rPr>
              <w:rFonts w:ascii="Calibri" w:eastAsia="MS Gothic" w:hAnsi="Calibri"/>
              <w:b/>
              <w:bCs/>
              <w:color w:val="4F81BD"/>
            </w:rPr>
          </w:pPr>
        </w:p>
      </w:tc>
    </w:tr>
  </w:tbl>
  <w:p w:rsidR="003400D9" w:rsidRPr="007C0F57" w:rsidRDefault="003400D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400D9" w:rsidRPr="007C0F57" w:rsidRDefault="003400D9" w:rsidP="007C0F57">
    <w:pPr>
      <w:pStyle w:val="Footer"/>
      <w:jc w:val="center"/>
      <w:rPr>
        <w:b/>
        <w:i/>
        <w:sz w:val="20"/>
        <w:szCs w:val="20"/>
      </w:rPr>
    </w:pPr>
    <w:r w:rsidRPr="007C0F57">
      <w:rPr>
        <w:b/>
        <w:i/>
        <w:sz w:val="20"/>
        <w:szCs w:val="20"/>
      </w:rPr>
      <w:t>Commercial-in-Confidence</w:t>
    </w:r>
  </w:p>
  <w:p w:rsidR="003400D9" w:rsidRDefault="003400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AC" w:rsidRDefault="006309AC">
      <w:r>
        <w:separator/>
      </w:r>
    </w:p>
    <w:p w:rsidR="006309AC" w:rsidRDefault="006309AC"/>
  </w:footnote>
  <w:footnote w:type="continuationSeparator" w:id="0">
    <w:p w:rsidR="006309AC" w:rsidRDefault="006309AC">
      <w:r>
        <w:continuationSeparator/>
      </w:r>
    </w:p>
    <w:p w:rsidR="006309AC" w:rsidRDefault="006309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400D9" w:rsidRPr="008E0D90" w:rsidTr="00A06225">
      <w:trPr>
        <w:trHeight w:val="151"/>
      </w:trPr>
      <w:tc>
        <w:tcPr>
          <w:tcW w:w="2389" w:type="pct"/>
          <w:tcBorders>
            <w:top w:val="nil"/>
            <w:left w:val="nil"/>
            <w:bottom w:val="single" w:sz="4" w:space="0" w:color="4F81BD"/>
            <w:right w:val="nil"/>
          </w:tcBorders>
        </w:tcPr>
        <w:p w:rsidR="003400D9" w:rsidRPr="00A06225" w:rsidRDefault="003400D9">
          <w:pPr>
            <w:pStyle w:val="Header"/>
            <w:spacing w:line="276" w:lineRule="auto"/>
            <w:rPr>
              <w:rFonts w:ascii="Cambria" w:eastAsia="MS Gothic" w:hAnsi="Cambria"/>
              <w:b/>
              <w:bCs/>
              <w:color w:val="4F81BD"/>
            </w:rPr>
          </w:pPr>
        </w:p>
      </w:tc>
      <w:tc>
        <w:tcPr>
          <w:tcW w:w="333" w:type="pct"/>
          <w:vMerge w:val="restart"/>
          <w:noWrap/>
          <w:vAlign w:val="center"/>
          <w:hideMark/>
        </w:tcPr>
        <w:p w:rsidR="003400D9" w:rsidRPr="00A06225" w:rsidRDefault="003400D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400D9" w:rsidRPr="00A06225" w:rsidRDefault="003400D9">
          <w:pPr>
            <w:pStyle w:val="Header"/>
            <w:spacing w:line="276" w:lineRule="auto"/>
            <w:rPr>
              <w:rFonts w:ascii="Cambria" w:eastAsia="MS Gothic" w:hAnsi="Cambria"/>
              <w:b/>
              <w:bCs/>
              <w:color w:val="4F81BD"/>
            </w:rPr>
          </w:pPr>
        </w:p>
      </w:tc>
    </w:tr>
    <w:tr w:rsidR="003400D9" w:rsidRPr="008E0D90" w:rsidTr="00A06225">
      <w:trPr>
        <w:trHeight w:val="150"/>
      </w:trPr>
      <w:tc>
        <w:tcPr>
          <w:tcW w:w="2389" w:type="pct"/>
          <w:tcBorders>
            <w:top w:val="single" w:sz="4" w:space="0" w:color="4F81BD"/>
            <w:left w:val="nil"/>
            <w:bottom w:val="nil"/>
            <w:right w:val="nil"/>
          </w:tcBorders>
        </w:tcPr>
        <w:p w:rsidR="003400D9" w:rsidRPr="00A06225" w:rsidRDefault="003400D9">
          <w:pPr>
            <w:pStyle w:val="Header"/>
            <w:spacing w:line="276" w:lineRule="auto"/>
            <w:rPr>
              <w:rFonts w:ascii="Cambria" w:eastAsia="MS Gothic" w:hAnsi="Cambria"/>
              <w:b/>
              <w:bCs/>
              <w:color w:val="4F81BD"/>
            </w:rPr>
          </w:pPr>
        </w:p>
      </w:tc>
      <w:tc>
        <w:tcPr>
          <w:tcW w:w="0" w:type="auto"/>
          <w:vMerge/>
          <w:vAlign w:val="center"/>
          <w:hideMark/>
        </w:tcPr>
        <w:p w:rsidR="003400D9" w:rsidRPr="00A06225" w:rsidRDefault="003400D9">
          <w:pPr>
            <w:rPr>
              <w:rFonts w:ascii="Cambria" w:hAnsi="Cambria"/>
              <w:color w:val="4F81BD"/>
              <w:sz w:val="22"/>
              <w:szCs w:val="22"/>
            </w:rPr>
          </w:pPr>
        </w:p>
      </w:tc>
      <w:tc>
        <w:tcPr>
          <w:tcW w:w="2278" w:type="pct"/>
          <w:tcBorders>
            <w:top w:val="single" w:sz="4" w:space="0" w:color="4F81BD"/>
            <w:left w:val="nil"/>
            <w:bottom w:val="nil"/>
            <w:right w:val="nil"/>
          </w:tcBorders>
        </w:tcPr>
        <w:p w:rsidR="003400D9" w:rsidRPr="00A06225" w:rsidRDefault="003400D9">
          <w:pPr>
            <w:pStyle w:val="Header"/>
            <w:spacing w:line="276" w:lineRule="auto"/>
            <w:rPr>
              <w:rFonts w:ascii="Cambria" w:eastAsia="MS Gothic" w:hAnsi="Cambria"/>
              <w:b/>
              <w:bCs/>
              <w:color w:val="4F81BD"/>
            </w:rPr>
          </w:pPr>
        </w:p>
      </w:tc>
    </w:tr>
  </w:tbl>
  <w:p w:rsidR="003400D9" w:rsidRDefault="003400D9">
    <w:pPr>
      <w:pStyle w:val="Header"/>
    </w:pPr>
  </w:p>
  <w:p w:rsidR="003400D9" w:rsidRDefault="003400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38" w:rsidRPr="00DF217D" w:rsidRDefault="00EB1638" w:rsidP="00EB1638">
    <w:pPr>
      <w:pStyle w:val="Header"/>
      <w:ind w:left="360"/>
      <w:jc w:val="center"/>
      <w:rPr>
        <w:rFonts w:ascii="Arial" w:hAnsi="Arial" w:cs="Arial"/>
        <w:i/>
        <w:color w:val="808080"/>
        <w:sz w:val="22"/>
      </w:rPr>
    </w:pPr>
    <w:r w:rsidRPr="00E810C7">
      <w:rPr>
        <w:rFonts w:ascii="Arial" w:hAnsi="Arial" w:cs="Arial"/>
        <w:i/>
        <w:color w:val="808080"/>
        <w:sz w:val="22"/>
        <w:szCs w:val="22"/>
      </w:rPr>
      <w:t>Public Summary Document –</w:t>
    </w:r>
    <w:r w:rsidRPr="00DF217D">
      <w:rPr>
        <w:rFonts w:ascii="Arial" w:hAnsi="Arial" w:cs="Arial"/>
        <w:i/>
        <w:color w:val="808080"/>
        <w:sz w:val="22"/>
      </w:rPr>
      <w:t xml:space="preserve"> </w:t>
    </w:r>
    <w:r>
      <w:rPr>
        <w:rFonts w:ascii="Arial" w:hAnsi="Arial" w:cs="Arial"/>
        <w:i/>
        <w:color w:val="808080"/>
        <w:sz w:val="22"/>
      </w:rPr>
      <w:t xml:space="preserve">November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3400D9" w:rsidRPr="00EB1638" w:rsidRDefault="003400D9" w:rsidP="00EB16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AC" w:rsidRDefault="00630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6165035"/>
    <w:multiLevelType w:val="hybridMultilevel"/>
    <w:tmpl w:val="998621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175ED2"/>
    <w:multiLevelType w:val="hybridMultilevel"/>
    <w:tmpl w:val="E37464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0D70FA"/>
    <w:multiLevelType w:val="hybridMultilevel"/>
    <w:tmpl w:val="D0D661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1">
    <w:nsid w:val="784D033C"/>
    <w:multiLevelType w:val="multilevel"/>
    <w:tmpl w:val="40DCBA10"/>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4">
    <w:nsid w:val="7E2A522E"/>
    <w:multiLevelType w:val="hybridMultilevel"/>
    <w:tmpl w:val="D70811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37"/>
  </w:num>
  <w:num w:numId="3">
    <w:abstractNumId w:val="21"/>
  </w:num>
  <w:num w:numId="4">
    <w:abstractNumId w:val="0"/>
  </w:num>
  <w:num w:numId="5">
    <w:abstractNumId w:val="6"/>
  </w:num>
  <w:num w:numId="6">
    <w:abstractNumId w:val="20"/>
  </w:num>
  <w:num w:numId="7">
    <w:abstractNumId w:val="17"/>
  </w:num>
  <w:num w:numId="8">
    <w:abstractNumId w:val="5"/>
  </w:num>
  <w:num w:numId="9">
    <w:abstractNumId w:val="8"/>
  </w:num>
  <w:num w:numId="10">
    <w:abstractNumId w:val="34"/>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8"/>
  </w:num>
  <w:num w:numId="15">
    <w:abstractNumId w:val="28"/>
  </w:num>
  <w:num w:numId="16">
    <w:abstractNumId w:val="24"/>
  </w:num>
  <w:num w:numId="17">
    <w:abstractNumId w:val="40"/>
  </w:num>
  <w:num w:numId="18">
    <w:abstractNumId w:val="13"/>
  </w:num>
  <w:num w:numId="19">
    <w:abstractNumId w:val="19"/>
  </w:num>
  <w:num w:numId="20">
    <w:abstractNumId w:val="4"/>
  </w:num>
  <w:num w:numId="21">
    <w:abstractNumId w:val="32"/>
  </w:num>
  <w:num w:numId="22">
    <w:abstractNumId w:val="36"/>
  </w:num>
  <w:num w:numId="23">
    <w:abstractNumId w:val="42"/>
  </w:num>
  <w:num w:numId="24">
    <w:abstractNumId w:val="16"/>
  </w:num>
  <w:num w:numId="25">
    <w:abstractNumId w:val="41"/>
  </w:num>
  <w:num w:numId="26">
    <w:abstractNumId w:val="29"/>
  </w:num>
  <w:num w:numId="27">
    <w:abstractNumId w:val="12"/>
  </w:num>
  <w:num w:numId="28">
    <w:abstractNumId w:val="7"/>
  </w:num>
  <w:num w:numId="29">
    <w:abstractNumId w:val="26"/>
  </w:num>
  <w:num w:numId="30">
    <w:abstractNumId w:val="3"/>
  </w:num>
  <w:num w:numId="31">
    <w:abstractNumId w:val="27"/>
  </w:num>
  <w:num w:numId="32">
    <w:abstractNumId w:val="39"/>
  </w:num>
  <w:num w:numId="33">
    <w:abstractNumId w:val="25"/>
  </w:num>
  <w:num w:numId="34">
    <w:abstractNumId w:val="43"/>
  </w:num>
  <w:num w:numId="35">
    <w:abstractNumId w:val="11"/>
  </w:num>
  <w:num w:numId="36">
    <w:abstractNumId w:val="23"/>
  </w:num>
  <w:num w:numId="37">
    <w:abstractNumId w:val="30"/>
  </w:num>
  <w:num w:numId="38">
    <w:abstractNumId w:val="9"/>
  </w:num>
  <w:num w:numId="39">
    <w:abstractNumId w:val="18"/>
  </w:num>
  <w:num w:numId="40">
    <w:abstractNumId w:val="1"/>
  </w:num>
  <w:num w:numId="41">
    <w:abstractNumId w:val="15"/>
  </w:num>
  <w:num w:numId="42">
    <w:abstractNumId w:val="33"/>
  </w:num>
  <w:num w:numId="43">
    <w:abstractNumId w:val="2"/>
  </w:num>
  <w:num w:numId="44">
    <w:abstractNumId w:val="31"/>
  </w:num>
  <w:num w:numId="45">
    <w:abstractNumId w:val="35"/>
  </w:num>
  <w:num w:numId="46">
    <w:abstractNumId w:val="1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3A5"/>
    <w:rsid w:val="000025AD"/>
    <w:rsid w:val="00003EA8"/>
    <w:rsid w:val="00004302"/>
    <w:rsid w:val="0002051F"/>
    <w:rsid w:val="0002464A"/>
    <w:rsid w:val="0003106B"/>
    <w:rsid w:val="000421A1"/>
    <w:rsid w:val="0004240E"/>
    <w:rsid w:val="00045E26"/>
    <w:rsid w:val="000514B5"/>
    <w:rsid w:val="00054990"/>
    <w:rsid w:val="00060BB7"/>
    <w:rsid w:val="00060E64"/>
    <w:rsid w:val="00066755"/>
    <w:rsid w:val="00072960"/>
    <w:rsid w:val="0008757A"/>
    <w:rsid w:val="0009074A"/>
    <w:rsid w:val="00092175"/>
    <w:rsid w:val="000969AD"/>
    <w:rsid w:val="000A3357"/>
    <w:rsid w:val="000B558D"/>
    <w:rsid w:val="000C1851"/>
    <w:rsid w:val="000C6996"/>
    <w:rsid w:val="000D1257"/>
    <w:rsid w:val="000D23BA"/>
    <w:rsid w:val="000E681E"/>
    <w:rsid w:val="000F4E6A"/>
    <w:rsid w:val="000F5511"/>
    <w:rsid w:val="001107BF"/>
    <w:rsid w:val="0012417C"/>
    <w:rsid w:val="0012703A"/>
    <w:rsid w:val="00131F1C"/>
    <w:rsid w:val="00142395"/>
    <w:rsid w:val="00142714"/>
    <w:rsid w:val="00142C0B"/>
    <w:rsid w:val="001452ED"/>
    <w:rsid w:val="00156B98"/>
    <w:rsid w:val="00173DAF"/>
    <w:rsid w:val="00174827"/>
    <w:rsid w:val="00182D40"/>
    <w:rsid w:val="001830CE"/>
    <w:rsid w:val="001911C4"/>
    <w:rsid w:val="00196307"/>
    <w:rsid w:val="00196C94"/>
    <w:rsid w:val="001B0145"/>
    <w:rsid w:val="001B017F"/>
    <w:rsid w:val="001B5129"/>
    <w:rsid w:val="001C1195"/>
    <w:rsid w:val="001C7572"/>
    <w:rsid w:val="001F6CBA"/>
    <w:rsid w:val="00213CFB"/>
    <w:rsid w:val="002154F1"/>
    <w:rsid w:val="002343A7"/>
    <w:rsid w:val="00240253"/>
    <w:rsid w:val="00242C1E"/>
    <w:rsid w:val="00247B8F"/>
    <w:rsid w:val="00271BA1"/>
    <w:rsid w:val="00277505"/>
    <w:rsid w:val="0029458F"/>
    <w:rsid w:val="002A104C"/>
    <w:rsid w:val="002A4960"/>
    <w:rsid w:val="002B1AE6"/>
    <w:rsid w:val="002B30F8"/>
    <w:rsid w:val="002B37BD"/>
    <w:rsid w:val="002C212F"/>
    <w:rsid w:val="002D1675"/>
    <w:rsid w:val="002D2C64"/>
    <w:rsid w:val="002E04B7"/>
    <w:rsid w:val="002E3153"/>
    <w:rsid w:val="002E5430"/>
    <w:rsid w:val="002E72CA"/>
    <w:rsid w:val="00305721"/>
    <w:rsid w:val="00314558"/>
    <w:rsid w:val="00315696"/>
    <w:rsid w:val="00326E79"/>
    <w:rsid w:val="00331706"/>
    <w:rsid w:val="003352F7"/>
    <w:rsid w:val="003367EF"/>
    <w:rsid w:val="003400D9"/>
    <w:rsid w:val="00341AE4"/>
    <w:rsid w:val="00347E14"/>
    <w:rsid w:val="00371294"/>
    <w:rsid w:val="003872CF"/>
    <w:rsid w:val="00394254"/>
    <w:rsid w:val="0039782C"/>
    <w:rsid w:val="003A5B4A"/>
    <w:rsid w:val="003B23C5"/>
    <w:rsid w:val="003B2A75"/>
    <w:rsid w:val="003C2E47"/>
    <w:rsid w:val="003C73B7"/>
    <w:rsid w:val="003D0A70"/>
    <w:rsid w:val="003D4AC4"/>
    <w:rsid w:val="003D63B7"/>
    <w:rsid w:val="003E468B"/>
    <w:rsid w:val="003E7AEC"/>
    <w:rsid w:val="003F3C19"/>
    <w:rsid w:val="003F5C8C"/>
    <w:rsid w:val="003F75B6"/>
    <w:rsid w:val="00416F78"/>
    <w:rsid w:val="0042666F"/>
    <w:rsid w:val="00434524"/>
    <w:rsid w:val="00441364"/>
    <w:rsid w:val="004465BD"/>
    <w:rsid w:val="00466ADA"/>
    <w:rsid w:val="0047501B"/>
    <w:rsid w:val="00476245"/>
    <w:rsid w:val="00485940"/>
    <w:rsid w:val="00494029"/>
    <w:rsid w:val="004A3E4D"/>
    <w:rsid w:val="004A5A85"/>
    <w:rsid w:val="004B4DB6"/>
    <w:rsid w:val="004B54B6"/>
    <w:rsid w:val="004B5640"/>
    <w:rsid w:val="004C1630"/>
    <w:rsid w:val="004C1BD7"/>
    <w:rsid w:val="004C49A5"/>
    <w:rsid w:val="004C691D"/>
    <w:rsid w:val="004E692D"/>
    <w:rsid w:val="004E779F"/>
    <w:rsid w:val="004F57F7"/>
    <w:rsid w:val="00501554"/>
    <w:rsid w:val="00514CD7"/>
    <w:rsid w:val="005261B7"/>
    <w:rsid w:val="00526F16"/>
    <w:rsid w:val="005319B2"/>
    <w:rsid w:val="00532C74"/>
    <w:rsid w:val="00534E2E"/>
    <w:rsid w:val="00542E98"/>
    <w:rsid w:val="00544552"/>
    <w:rsid w:val="005569F0"/>
    <w:rsid w:val="0056286A"/>
    <w:rsid w:val="00581932"/>
    <w:rsid w:val="00582D5B"/>
    <w:rsid w:val="00585B6F"/>
    <w:rsid w:val="005963BB"/>
    <w:rsid w:val="005A24D2"/>
    <w:rsid w:val="005A2880"/>
    <w:rsid w:val="005A3173"/>
    <w:rsid w:val="005A3223"/>
    <w:rsid w:val="005A3DA3"/>
    <w:rsid w:val="005A52C4"/>
    <w:rsid w:val="005A5F18"/>
    <w:rsid w:val="005D03AB"/>
    <w:rsid w:val="005D5017"/>
    <w:rsid w:val="005F277E"/>
    <w:rsid w:val="00601A91"/>
    <w:rsid w:val="00602BA3"/>
    <w:rsid w:val="0060388F"/>
    <w:rsid w:val="00614159"/>
    <w:rsid w:val="00617C00"/>
    <w:rsid w:val="006263BF"/>
    <w:rsid w:val="006273A3"/>
    <w:rsid w:val="0062748A"/>
    <w:rsid w:val="006309AC"/>
    <w:rsid w:val="00630A2C"/>
    <w:rsid w:val="0063524F"/>
    <w:rsid w:val="00651169"/>
    <w:rsid w:val="00653D69"/>
    <w:rsid w:val="00670A76"/>
    <w:rsid w:val="006711AA"/>
    <w:rsid w:val="00672B57"/>
    <w:rsid w:val="00675622"/>
    <w:rsid w:val="00681451"/>
    <w:rsid w:val="006906DB"/>
    <w:rsid w:val="00693A46"/>
    <w:rsid w:val="00694AEA"/>
    <w:rsid w:val="00696906"/>
    <w:rsid w:val="006A12A5"/>
    <w:rsid w:val="006A57F1"/>
    <w:rsid w:val="006A60C2"/>
    <w:rsid w:val="006B0D94"/>
    <w:rsid w:val="006B485D"/>
    <w:rsid w:val="006C708E"/>
    <w:rsid w:val="006D5098"/>
    <w:rsid w:val="006D6EC7"/>
    <w:rsid w:val="006E0AD8"/>
    <w:rsid w:val="006E2FF5"/>
    <w:rsid w:val="006F1FA6"/>
    <w:rsid w:val="006F5125"/>
    <w:rsid w:val="0070365B"/>
    <w:rsid w:val="007174BB"/>
    <w:rsid w:val="00717668"/>
    <w:rsid w:val="00721C8B"/>
    <w:rsid w:val="007314AA"/>
    <w:rsid w:val="00742D8A"/>
    <w:rsid w:val="0076420C"/>
    <w:rsid w:val="007753C2"/>
    <w:rsid w:val="007838B8"/>
    <w:rsid w:val="00784920"/>
    <w:rsid w:val="00795998"/>
    <w:rsid w:val="007C0F57"/>
    <w:rsid w:val="007C40B6"/>
    <w:rsid w:val="007C6409"/>
    <w:rsid w:val="007C729F"/>
    <w:rsid w:val="007E1D28"/>
    <w:rsid w:val="007F2641"/>
    <w:rsid w:val="007F7C36"/>
    <w:rsid w:val="00806796"/>
    <w:rsid w:val="00806FA7"/>
    <w:rsid w:val="00826F6D"/>
    <w:rsid w:val="00856DDD"/>
    <w:rsid w:val="0086190D"/>
    <w:rsid w:val="00863E68"/>
    <w:rsid w:val="00866A49"/>
    <w:rsid w:val="0087120E"/>
    <w:rsid w:val="00882085"/>
    <w:rsid w:val="00883188"/>
    <w:rsid w:val="00897D58"/>
    <w:rsid w:val="008A013C"/>
    <w:rsid w:val="008A1956"/>
    <w:rsid w:val="008A236D"/>
    <w:rsid w:val="008A4937"/>
    <w:rsid w:val="008B0A13"/>
    <w:rsid w:val="008B6AF4"/>
    <w:rsid w:val="008C00EE"/>
    <w:rsid w:val="008D3C82"/>
    <w:rsid w:val="008D447E"/>
    <w:rsid w:val="008D7A41"/>
    <w:rsid w:val="008E3680"/>
    <w:rsid w:val="008E5870"/>
    <w:rsid w:val="008E6F0A"/>
    <w:rsid w:val="008F1434"/>
    <w:rsid w:val="008F3D86"/>
    <w:rsid w:val="008F7355"/>
    <w:rsid w:val="00901765"/>
    <w:rsid w:val="009067B7"/>
    <w:rsid w:val="00920E2C"/>
    <w:rsid w:val="00925E94"/>
    <w:rsid w:val="00930937"/>
    <w:rsid w:val="00933E6C"/>
    <w:rsid w:val="00942160"/>
    <w:rsid w:val="0095200B"/>
    <w:rsid w:val="00957CFF"/>
    <w:rsid w:val="009602C5"/>
    <w:rsid w:val="00962D5E"/>
    <w:rsid w:val="009659F7"/>
    <w:rsid w:val="00974C21"/>
    <w:rsid w:val="00976D8F"/>
    <w:rsid w:val="00983D70"/>
    <w:rsid w:val="00986842"/>
    <w:rsid w:val="009A046F"/>
    <w:rsid w:val="009A3B95"/>
    <w:rsid w:val="009A453D"/>
    <w:rsid w:val="009B0F67"/>
    <w:rsid w:val="009B1B1B"/>
    <w:rsid w:val="009C703C"/>
    <w:rsid w:val="009D3CAA"/>
    <w:rsid w:val="009E3E46"/>
    <w:rsid w:val="009F4E46"/>
    <w:rsid w:val="009F5B65"/>
    <w:rsid w:val="009F5F2E"/>
    <w:rsid w:val="00A06225"/>
    <w:rsid w:val="00A128E6"/>
    <w:rsid w:val="00A2582A"/>
    <w:rsid w:val="00A37C8D"/>
    <w:rsid w:val="00A4382B"/>
    <w:rsid w:val="00A438EB"/>
    <w:rsid w:val="00A50DB4"/>
    <w:rsid w:val="00A5273B"/>
    <w:rsid w:val="00A53A9D"/>
    <w:rsid w:val="00A55FEE"/>
    <w:rsid w:val="00A62C1A"/>
    <w:rsid w:val="00A6426D"/>
    <w:rsid w:val="00A6791D"/>
    <w:rsid w:val="00A70622"/>
    <w:rsid w:val="00A70977"/>
    <w:rsid w:val="00A75BBA"/>
    <w:rsid w:val="00A8390C"/>
    <w:rsid w:val="00A928BD"/>
    <w:rsid w:val="00A953DF"/>
    <w:rsid w:val="00AA4D1C"/>
    <w:rsid w:val="00AA7BD0"/>
    <w:rsid w:val="00AC5206"/>
    <w:rsid w:val="00AD6859"/>
    <w:rsid w:val="00AE11A5"/>
    <w:rsid w:val="00AE13E2"/>
    <w:rsid w:val="00AE3EF5"/>
    <w:rsid w:val="00AF180B"/>
    <w:rsid w:val="00AF68CC"/>
    <w:rsid w:val="00B04091"/>
    <w:rsid w:val="00B1092F"/>
    <w:rsid w:val="00B205AA"/>
    <w:rsid w:val="00B22E84"/>
    <w:rsid w:val="00B25F75"/>
    <w:rsid w:val="00B43E90"/>
    <w:rsid w:val="00B542AD"/>
    <w:rsid w:val="00B56118"/>
    <w:rsid w:val="00B6773F"/>
    <w:rsid w:val="00B801BA"/>
    <w:rsid w:val="00B80EFF"/>
    <w:rsid w:val="00B819BA"/>
    <w:rsid w:val="00B928D2"/>
    <w:rsid w:val="00B935AC"/>
    <w:rsid w:val="00BA0BAA"/>
    <w:rsid w:val="00BA6874"/>
    <w:rsid w:val="00BB4EDF"/>
    <w:rsid w:val="00BB63AB"/>
    <w:rsid w:val="00BB69F5"/>
    <w:rsid w:val="00BB7EC3"/>
    <w:rsid w:val="00BC336D"/>
    <w:rsid w:val="00BC4B9A"/>
    <w:rsid w:val="00BD59B9"/>
    <w:rsid w:val="00BD784C"/>
    <w:rsid w:val="00BF4CB6"/>
    <w:rsid w:val="00C00DA7"/>
    <w:rsid w:val="00C02625"/>
    <w:rsid w:val="00C04745"/>
    <w:rsid w:val="00C12768"/>
    <w:rsid w:val="00C2089A"/>
    <w:rsid w:val="00C21EE5"/>
    <w:rsid w:val="00C27B58"/>
    <w:rsid w:val="00C313B4"/>
    <w:rsid w:val="00C31440"/>
    <w:rsid w:val="00C3587A"/>
    <w:rsid w:val="00C35996"/>
    <w:rsid w:val="00C37EB7"/>
    <w:rsid w:val="00C5342C"/>
    <w:rsid w:val="00C6256A"/>
    <w:rsid w:val="00C83A6B"/>
    <w:rsid w:val="00C91449"/>
    <w:rsid w:val="00C92D10"/>
    <w:rsid w:val="00CA7F49"/>
    <w:rsid w:val="00CB26CD"/>
    <w:rsid w:val="00CB2DAB"/>
    <w:rsid w:val="00CB632F"/>
    <w:rsid w:val="00CD1F92"/>
    <w:rsid w:val="00CE10C4"/>
    <w:rsid w:val="00CE27B5"/>
    <w:rsid w:val="00D01CE4"/>
    <w:rsid w:val="00D0321E"/>
    <w:rsid w:val="00D1455A"/>
    <w:rsid w:val="00D3280C"/>
    <w:rsid w:val="00D3406A"/>
    <w:rsid w:val="00D469B2"/>
    <w:rsid w:val="00D46CAE"/>
    <w:rsid w:val="00D504A4"/>
    <w:rsid w:val="00D60A87"/>
    <w:rsid w:val="00D7051A"/>
    <w:rsid w:val="00D741EB"/>
    <w:rsid w:val="00D83E4F"/>
    <w:rsid w:val="00D84934"/>
    <w:rsid w:val="00D91271"/>
    <w:rsid w:val="00DA2CB5"/>
    <w:rsid w:val="00DA4BAC"/>
    <w:rsid w:val="00DD048E"/>
    <w:rsid w:val="00DE6D27"/>
    <w:rsid w:val="00DF217D"/>
    <w:rsid w:val="00DF26A7"/>
    <w:rsid w:val="00E164B3"/>
    <w:rsid w:val="00E16910"/>
    <w:rsid w:val="00E30872"/>
    <w:rsid w:val="00E65E54"/>
    <w:rsid w:val="00E66D4F"/>
    <w:rsid w:val="00E70A5C"/>
    <w:rsid w:val="00E73458"/>
    <w:rsid w:val="00E80155"/>
    <w:rsid w:val="00E848C0"/>
    <w:rsid w:val="00E901C4"/>
    <w:rsid w:val="00E91B96"/>
    <w:rsid w:val="00E93103"/>
    <w:rsid w:val="00E941A1"/>
    <w:rsid w:val="00E95CE3"/>
    <w:rsid w:val="00EA1853"/>
    <w:rsid w:val="00EA2825"/>
    <w:rsid w:val="00EA30F0"/>
    <w:rsid w:val="00EA7188"/>
    <w:rsid w:val="00EB1638"/>
    <w:rsid w:val="00EB2F47"/>
    <w:rsid w:val="00EB5088"/>
    <w:rsid w:val="00EC2171"/>
    <w:rsid w:val="00ED1644"/>
    <w:rsid w:val="00EE4E6E"/>
    <w:rsid w:val="00EF44A0"/>
    <w:rsid w:val="00EF4FED"/>
    <w:rsid w:val="00F050BD"/>
    <w:rsid w:val="00F05657"/>
    <w:rsid w:val="00F24458"/>
    <w:rsid w:val="00F25578"/>
    <w:rsid w:val="00F258E5"/>
    <w:rsid w:val="00F300BC"/>
    <w:rsid w:val="00F3334E"/>
    <w:rsid w:val="00F37B21"/>
    <w:rsid w:val="00F50EC4"/>
    <w:rsid w:val="00F535D3"/>
    <w:rsid w:val="00F57A6D"/>
    <w:rsid w:val="00F6220E"/>
    <w:rsid w:val="00F638CC"/>
    <w:rsid w:val="00F64CC1"/>
    <w:rsid w:val="00F8247A"/>
    <w:rsid w:val="00F934BE"/>
    <w:rsid w:val="00F9629A"/>
    <w:rsid w:val="00F977F5"/>
    <w:rsid w:val="00FA5883"/>
    <w:rsid w:val="00FA6055"/>
    <w:rsid w:val="00FA62B0"/>
    <w:rsid w:val="00FB322F"/>
    <w:rsid w:val="00FB442F"/>
    <w:rsid w:val="00FC1929"/>
    <w:rsid w:val="00FC5B46"/>
    <w:rsid w:val="00FF00BD"/>
    <w:rsid w:val="00FF1008"/>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9659F7"/>
    <w:pPr>
      <w:numPr>
        <w:numId w:val="25"/>
      </w:numPr>
      <w:jc w:val="both"/>
      <w:outlineLvl w:val="0"/>
    </w:pPr>
    <w:rPr>
      <w:rFonts w:ascii="Arial" w:hAnsi="Arial"/>
      <w:b/>
      <w:sz w:val="22"/>
      <w:szCs w:val="22"/>
    </w:rPr>
  </w:style>
  <w:style w:type="paragraph" w:styleId="Heading2">
    <w:name w:val="heading 2"/>
    <w:basedOn w:val="Normal"/>
    <w:next w:val="Normal"/>
    <w:qFormat/>
    <w:rsid w:val="009659F7"/>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styleId="Revision">
    <w:name w:val="Revision"/>
    <w:hidden/>
    <w:uiPriority w:val="71"/>
    <w:rsid w:val="00E901C4"/>
    <w:rPr>
      <w:sz w:val="24"/>
      <w:szCs w:val="24"/>
    </w:rPr>
  </w:style>
  <w:style w:type="paragraph" w:customStyle="1" w:styleId="PBACHeading1">
    <w:name w:val="PBAC Heading 1"/>
    <w:qFormat/>
    <w:rsid w:val="00BB4EDF"/>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EB1638"/>
    <w:rPr>
      <w:sz w:val="24"/>
      <w:szCs w:val="24"/>
    </w:rPr>
  </w:style>
  <w:style w:type="paragraph" w:styleId="Title">
    <w:name w:val="Title"/>
    <w:basedOn w:val="Normal"/>
    <w:next w:val="Normal"/>
    <w:link w:val="TitleChar"/>
    <w:qFormat/>
    <w:rsid w:val="009659F7"/>
    <w:pPr>
      <w:ind w:left="720" w:hanging="720"/>
      <w:outlineLvl w:val="0"/>
    </w:pPr>
    <w:rPr>
      <w:rFonts w:ascii="Arial" w:hAnsi="Arial"/>
      <w:b/>
      <w:sz w:val="28"/>
      <w:szCs w:val="28"/>
    </w:rPr>
  </w:style>
  <w:style w:type="character" w:customStyle="1" w:styleId="TitleChar">
    <w:name w:val="Title Char"/>
    <w:basedOn w:val="DefaultParagraphFont"/>
    <w:link w:val="Title"/>
    <w:rsid w:val="009659F7"/>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9659F7"/>
    <w:pPr>
      <w:numPr>
        <w:numId w:val="25"/>
      </w:numPr>
      <w:jc w:val="both"/>
      <w:outlineLvl w:val="0"/>
    </w:pPr>
    <w:rPr>
      <w:rFonts w:ascii="Arial" w:hAnsi="Arial"/>
      <w:b/>
      <w:sz w:val="22"/>
      <w:szCs w:val="22"/>
    </w:rPr>
  </w:style>
  <w:style w:type="paragraph" w:styleId="Heading2">
    <w:name w:val="heading 2"/>
    <w:basedOn w:val="Normal"/>
    <w:next w:val="Normal"/>
    <w:qFormat/>
    <w:rsid w:val="009659F7"/>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styleId="Revision">
    <w:name w:val="Revision"/>
    <w:hidden/>
    <w:uiPriority w:val="71"/>
    <w:rsid w:val="00E901C4"/>
    <w:rPr>
      <w:sz w:val="24"/>
      <w:szCs w:val="24"/>
    </w:rPr>
  </w:style>
  <w:style w:type="paragraph" w:customStyle="1" w:styleId="PBACHeading1">
    <w:name w:val="PBAC Heading 1"/>
    <w:qFormat/>
    <w:rsid w:val="00BB4EDF"/>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EB1638"/>
    <w:rPr>
      <w:sz w:val="24"/>
      <w:szCs w:val="24"/>
    </w:rPr>
  </w:style>
  <w:style w:type="paragraph" w:styleId="Title">
    <w:name w:val="Title"/>
    <w:basedOn w:val="Normal"/>
    <w:next w:val="Normal"/>
    <w:link w:val="TitleChar"/>
    <w:qFormat/>
    <w:rsid w:val="009659F7"/>
    <w:pPr>
      <w:ind w:left="720" w:hanging="720"/>
      <w:outlineLvl w:val="0"/>
    </w:pPr>
    <w:rPr>
      <w:rFonts w:ascii="Arial" w:hAnsi="Arial"/>
      <w:b/>
      <w:sz w:val="28"/>
      <w:szCs w:val="28"/>
    </w:rPr>
  </w:style>
  <w:style w:type="character" w:customStyle="1" w:styleId="TitleChar">
    <w:name w:val="Title Char"/>
    <w:basedOn w:val="DefaultParagraphFont"/>
    <w:link w:val="Title"/>
    <w:rsid w:val="009659F7"/>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925193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05697542">
      <w:bodyDiv w:val="1"/>
      <w:marLeft w:val="0"/>
      <w:marRight w:val="0"/>
      <w:marTop w:val="0"/>
      <w:marBottom w:val="0"/>
      <w:divBdr>
        <w:top w:val="none" w:sz="0" w:space="0" w:color="auto"/>
        <w:left w:val="none" w:sz="0" w:space="0" w:color="auto"/>
        <w:bottom w:val="none" w:sz="0" w:space="0" w:color="auto"/>
        <w:right w:val="none" w:sz="0" w:space="0" w:color="auto"/>
      </w:divBdr>
    </w:div>
    <w:div w:id="138020676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6.18 Nab-paclitaxel</dc:title>
  <dc:creator/>
  <cp:lastModifiedBy/>
  <cp:revision>1</cp:revision>
  <dcterms:created xsi:type="dcterms:W3CDTF">2016-02-19T01:01:00Z</dcterms:created>
  <dcterms:modified xsi:type="dcterms:W3CDTF">2016-02-25T03:34:00Z</dcterms:modified>
</cp:coreProperties>
</file>