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AF" w:rsidRDefault="00014334" w:rsidP="00CE78B5">
      <w:pPr>
        <w:pStyle w:val="Title"/>
        <w:spacing w:before="0" w:after="0"/>
      </w:pPr>
      <w:bookmarkStart w:id="0" w:name="_Toc430087371"/>
      <w:r w:rsidRPr="00994608">
        <w:t>5</w:t>
      </w:r>
      <w:r w:rsidR="00F2667A" w:rsidRPr="00994608">
        <w:t>.</w:t>
      </w:r>
      <w:r w:rsidRPr="00994608">
        <w:t>13</w:t>
      </w:r>
      <w:r w:rsidR="009E56AF">
        <w:tab/>
        <w:t>PRALATREXATE</w:t>
      </w:r>
      <w:r w:rsidR="00982664">
        <w:t>,</w:t>
      </w:r>
    </w:p>
    <w:p w:rsidR="009E56AF" w:rsidRDefault="00F2667A" w:rsidP="00CE78B5">
      <w:pPr>
        <w:pStyle w:val="Title"/>
        <w:spacing w:before="0" w:after="0"/>
      </w:pPr>
      <w:proofErr w:type="gramStart"/>
      <w:r w:rsidRPr="00994608">
        <w:t>solution</w:t>
      </w:r>
      <w:proofErr w:type="gramEnd"/>
      <w:r w:rsidRPr="00994608">
        <w:t xml:space="preserve"> for infusion, </w:t>
      </w:r>
      <w:r w:rsidR="00964273" w:rsidRPr="00994608">
        <w:t xml:space="preserve">1 mL vial, </w:t>
      </w:r>
      <w:r w:rsidRPr="00994608">
        <w:t>20mg</w:t>
      </w:r>
      <w:r w:rsidR="00982664">
        <w:t>,</w:t>
      </w:r>
    </w:p>
    <w:p w:rsidR="00F2667A" w:rsidRPr="00994608" w:rsidRDefault="00964273" w:rsidP="00CE78B5">
      <w:pPr>
        <w:pStyle w:val="Title"/>
        <w:spacing w:before="0" w:after="0"/>
      </w:pPr>
      <w:proofErr w:type="spellStart"/>
      <w:proofErr w:type="gramStart"/>
      <w:r w:rsidRPr="00994608">
        <w:t>Fol</w:t>
      </w:r>
      <w:r w:rsidR="00F2667A" w:rsidRPr="00994608">
        <w:t>otyn</w:t>
      </w:r>
      <w:proofErr w:type="spellEnd"/>
      <w:r w:rsidR="00F2667A" w:rsidRPr="00994608">
        <w:rPr>
          <w:vertAlign w:val="superscript"/>
        </w:rPr>
        <w:t>®</w:t>
      </w:r>
      <w:r w:rsidR="00982664">
        <w:t>,</w:t>
      </w:r>
      <w:r w:rsidR="00F2667A" w:rsidRPr="00994608">
        <w:t xml:space="preserve"> </w:t>
      </w:r>
      <w:proofErr w:type="spellStart"/>
      <w:r w:rsidR="00F2667A" w:rsidRPr="00994608">
        <w:t>Mundipharma</w:t>
      </w:r>
      <w:proofErr w:type="spellEnd"/>
      <w:r w:rsidRPr="00994608">
        <w:t xml:space="preserve"> Pty Ltd</w:t>
      </w:r>
      <w:r w:rsidR="00F2667A" w:rsidRPr="00994608">
        <w:t>.</w:t>
      </w:r>
      <w:bookmarkEnd w:id="0"/>
      <w:proofErr w:type="gramEnd"/>
    </w:p>
    <w:p w:rsidR="000D5697" w:rsidRDefault="000D5697" w:rsidP="00CE78B5">
      <w:pPr>
        <w:pStyle w:val="BodyText"/>
        <w:spacing w:line="480" w:lineRule="auto"/>
      </w:pPr>
    </w:p>
    <w:p w:rsidR="00F2667A" w:rsidRPr="00CE78B5" w:rsidRDefault="00F2667A" w:rsidP="00CE78B5">
      <w:pPr>
        <w:pStyle w:val="Heading1"/>
      </w:pPr>
      <w:bookmarkStart w:id="1" w:name="_Toc430087373"/>
      <w:r w:rsidRPr="00CE78B5">
        <w:t>Purpose of Application</w:t>
      </w:r>
      <w:bookmarkEnd w:id="1"/>
    </w:p>
    <w:p w:rsidR="00F2667A" w:rsidRPr="00882085" w:rsidRDefault="00F2667A" w:rsidP="00F2667A">
      <w:pPr>
        <w:rPr>
          <w:szCs w:val="22"/>
        </w:rPr>
      </w:pPr>
    </w:p>
    <w:p w:rsidR="00F2667A" w:rsidRDefault="00F2667A" w:rsidP="00733B01">
      <w:pPr>
        <w:pStyle w:val="ListParagraph"/>
        <w:widowControl/>
        <w:numPr>
          <w:ilvl w:val="1"/>
          <w:numId w:val="1"/>
        </w:numPr>
        <w:ind w:left="720"/>
      </w:pPr>
      <w:r w:rsidRPr="004B3DDB">
        <w:t xml:space="preserve">Section 100, Authority </w:t>
      </w:r>
      <w:proofErr w:type="gramStart"/>
      <w:r w:rsidRPr="004B3DDB">
        <w:t>Required</w:t>
      </w:r>
      <w:proofErr w:type="gramEnd"/>
      <w:r w:rsidRPr="004B3DDB">
        <w:t xml:space="preserve">, listing for </w:t>
      </w:r>
      <w:proofErr w:type="spellStart"/>
      <w:r>
        <w:t>pralatrexate</w:t>
      </w:r>
      <w:proofErr w:type="spellEnd"/>
      <w:r w:rsidRPr="004B3DDB">
        <w:t xml:space="preserve"> for treatment of </w:t>
      </w:r>
      <w:r>
        <w:t xml:space="preserve">relapsed or refractory peripheral T-Cell lymphoma. </w:t>
      </w:r>
    </w:p>
    <w:p w:rsidR="00F2667A" w:rsidRDefault="00F2667A" w:rsidP="00CE78B5">
      <w:pPr>
        <w:pStyle w:val="ListParagraph"/>
        <w:widowControl/>
        <w:spacing w:line="480" w:lineRule="auto"/>
        <w:ind w:left="0"/>
      </w:pPr>
    </w:p>
    <w:p w:rsidR="00F2667A" w:rsidRPr="003000AF" w:rsidRDefault="00F2667A" w:rsidP="00CE78B5">
      <w:pPr>
        <w:pStyle w:val="Heading1"/>
      </w:pPr>
      <w:bookmarkStart w:id="2" w:name="_Toc430087374"/>
      <w:r w:rsidRPr="00407F2D">
        <w:t>Requested listing</w:t>
      </w:r>
      <w:bookmarkEnd w:id="2"/>
    </w:p>
    <w:p w:rsidR="00F2667A" w:rsidRPr="00882085" w:rsidRDefault="00F2667A" w:rsidP="00F2667A"/>
    <w:tbl>
      <w:tblPr>
        <w:tblW w:w="4651" w:type="pct"/>
        <w:tblInd w:w="737" w:type="dxa"/>
        <w:tblCellMar>
          <w:left w:w="28" w:type="dxa"/>
          <w:right w:w="28" w:type="dxa"/>
        </w:tblCellMar>
        <w:tblLook w:val="0000" w:firstRow="0" w:lastRow="0" w:firstColumn="0" w:lastColumn="0" w:noHBand="0" w:noVBand="0"/>
        <w:tblCaption w:val="Requested PBS listing"/>
      </w:tblPr>
      <w:tblGrid>
        <w:gridCol w:w="2282"/>
        <w:gridCol w:w="558"/>
        <w:gridCol w:w="723"/>
        <w:gridCol w:w="1453"/>
        <w:gridCol w:w="1195"/>
        <w:gridCol w:w="961"/>
        <w:gridCol w:w="1277"/>
      </w:tblGrid>
      <w:tr w:rsidR="00F2667A" w:rsidRPr="007670D1" w:rsidTr="0060622D">
        <w:trPr>
          <w:cantSplit/>
          <w:trHeight w:val="471"/>
        </w:trPr>
        <w:tc>
          <w:tcPr>
            <w:tcW w:w="1350" w:type="pct"/>
            <w:tcBorders>
              <w:bottom w:val="single" w:sz="4" w:space="0" w:color="auto"/>
            </w:tcBorders>
          </w:tcPr>
          <w:p w:rsidR="00F2667A" w:rsidRPr="007670D1" w:rsidRDefault="00F2667A" w:rsidP="00AC5E2D">
            <w:pPr>
              <w:keepNext/>
              <w:rPr>
                <w:rFonts w:ascii="Arial Narrow" w:hAnsi="Arial Narrow"/>
                <w:sz w:val="20"/>
              </w:rPr>
            </w:pPr>
            <w:r w:rsidRPr="007670D1">
              <w:rPr>
                <w:rFonts w:ascii="Arial Narrow" w:hAnsi="Arial Narrow"/>
                <w:sz w:val="20"/>
              </w:rPr>
              <w:t>Name, Restriction,</w:t>
            </w:r>
          </w:p>
          <w:p w:rsidR="00F2667A" w:rsidRPr="007670D1" w:rsidRDefault="00F2667A" w:rsidP="00AC5E2D">
            <w:pPr>
              <w:keepNext/>
              <w:rPr>
                <w:rFonts w:ascii="Arial Narrow" w:hAnsi="Arial Narrow"/>
                <w:sz w:val="20"/>
              </w:rPr>
            </w:pPr>
            <w:r w:rsidRPr="007670D1">
              <w:rPr>
                <w:rFonts w:ascii="Arial Narrow" w:hAnsi="Arial Narrow"/>
                <w:sz w:val="20"/>
              </w:rPr>
              <w:t>Manner of administration and form</w:t>
            </w:r>
          </w:p>
        </w:tc>
        <w:tc>
          <w:tcPr>
            <w:tcW w:w="330" w:type="pct"/>
            <w:tcBorders>
              <w:bottom w:val="single" w:sz="4" w:space="0" w:color="auto"/>
            </w:tcBorders>
          </w:tcPr>
          <w:p w:rsidR="00F2667A" w:rsidRPr="007670D1" w:rsidRDefault="00F2667A" w:rsidP="00AC5E2D">
            <w:pPr>
              <w:keepNext/>
              <w:jc w:val="center"/>
              <w:rPr>
                <w:rFonts w:ascii="Arial Narrow" w:hAnsi="Arial Narrow"/>
                <w:sz w:val="20"/>
              </w:rPr>
            </w:pPr>
            <w:r w:rsidRPr="007670D1">
              <w:rPr>
                <w:rFonts w:ascii="Arial Narrow" w:hAnsi="Arial Narrow"/>
                <w:sz w:val="20"/>
              </w:rPr>
              <w:t>Max.</w:t>
            </w:r>
          </w:p>
          <w:p w:rsidR="00F2667A" w:rsidRPr="007670D1" w:rsidRDefault="00F2667A" w:rsidP="00AC5E2D">
            <w:pPr>
              <w:keepNext/>
              <w:jc w:val="center"/>
              <w:rPr>
                <w:rFonts w:ascii="Arial Narrow" w:hAnsi="Arial Narrow"/>
                <w:sz w:val="20"/>
              </w:rPr>
            </w:pPr>
            <w:proofErr w:type="spellStart"/>
            <w:r w:rsidRPr="007670D1">
              <w:rPr>
                <w:rFonts w:ascii="Arial Narrow" w:hAnsi="Arial Narrow"/>
                <w:sz w:val="20"/>
              </w:rPr>
              <w:t>Amt</w:t>
            </w:r>
            <w:proofErr w:type="spellEnd"/>
          </w:p>
        </w:tc>
        <w:tc>
          <w:tcPr>
            <w:tcW w:w="428" w:type="pct"/>
            <w:tcBorders>
              <w:bottom w:val="single" w:sz="4" w:space="0" w:color="auto"/>
            </w:tcBorders>
          </w:tcPr>
          <w:p w:rsidR="00F2667A" w:rsidRPr="007670D1" w:rsidRDefault="00F2667A" w:rsidP="00AC5E2D">
            <w:pPr>
              <w:keepNext/>
              <w:jc w:val="center"/>
              <w:rPr>
                <w:rFonts w:ascii="Arial Narrow" w:hAnsi="Arial Narrow"/>
                <w:sz w:val="20"/>
              </w:rPr>
            </w:pPr>
            <w:r w:rsidRPr="007670D1">
              <w:rPr>
                <w:rFonts w:ascii="Arial Narrow" w:hAnsi="Arial Narrow"/>
                <w:sz w:val="20"/>
              </w:rPr>
              <w:t>No. of repeats</w:t>
            </w:r>
          </w:p>
        </w:tc>
        <w:tc>
          <w:tcPr>
            <w:tcW w:w="860" w:type="pct"/>
            <w:tcBorders>
              <w:bottom w:val="single" w:sz="4" w:space="0" w:color="auto"/>
            </w:tcBorders>
          </w:tcPr>
          <w:p w:rsidR="00F2667A" w:rsidRPr="007670D1" w:rsidRDefault="00F2667A" w:rsidP="00AC5E2D">
            <w:pPr>
              <w:keepNext/>
              <w:jc w:val="center"/>
              <w:rPr>
                <w:rFonts w:ascii="Arial Narrow" w:hAnsi="Arial Narrow"/>
                <w:sz w:val="20"/>
              </w:rPr>
            </w:pPr>
            <w:r w:rsidRPr="007670D1">
              <w:rPr>
                <w:rFonts w:ascii="Arial Narrow" w:hAnsi="Arial Narrow"/>
                <w:sz w:val="20"/>
              </w:rPr>
              <w:t xml:space="preserve">Published DPMA </w:t>
            </w:r>
          </w:p>
        </w:tc>
        <w:tc>
          <w:tcPr>
            <w:tcW w:w="707" w:type="pct"/>
            <w:tcBorders>
              <w:bottom w:val="single" w:sz="4" w:space="0" w:color="auto"/>
            </w:tcBorders>
          </w:tcPr>
          <w:p w:rsidR="00F2667A" w:rsidRPr="007670D1" w:rsidRDefault="00F2667A" w:rsidP="00AC5E2D">
            <w:pPr>
              <w:keepNext/>
              <w:jc w:val="center"/>
              <w:rPr>
                <w:rFonts w:ascii="Arial Narrow" w:hAnsi="Arial Narrow"/>
                <w:sz w:val="20"/>
              </w:rPr>
            </w:pPr>
            <w:r w:rsidRPr="007670D1">
              <w:rPr>
                <w:rFonts w:ascii="Arial Narrow" w:hAnsi="Arial Narrow"/>
                <w:sz w:val="20"/>
              </w:rPr>
              <w:t>Effective DPMA</w:t>
            </w:r>
          </w:p>
        </w:tc>
        <w:tc>
          <w:tcPr>
            <w:tcW w:w="1324" w:type="pct"/>
            <w:gridSpan w:val="2"/>
            <w:tcBorders>
              <w:bottom w:val="single" w:sz="4" w:space="0" w:color="auto"/>
            </w:tcBorders>
          </w:tcPr>
          <w:p w:rsidR="00F2667A" w:rsidRPr="007670D1" w:rsidRDefault="00F2667A" w:rsidP="00AC5E2D">
            <w:pPr>
              <w:keepNext/>
              <w:jc w:val="center"/>
              <w:rPr>
                <w:rFonts w:ascii="Arial Narrow" w:hAnsi="Arial Narrow"/>
                <w:sz w:val="20"/>
                <w:lang w:val="fr-FR"/>
              </w:rPr>
            </w:pPr>
            <w:r w:rsidRPr="007670D1">
              <w:rPr>
                <w:rFonts w:ascii="Arial Narrow" w:hAnsi="Arial Narrow"/>
                <w:sz w:val="20"/>
              </w:rPr>
              <w:t>Proprietary Name and Manufacturer</w:t>
            </w:r>
          </w:p>
        </w:tc>
      </w:tr>
      <w:tr w:rsidR="00F2667A" w:rsidRPr="007670D1" w:rsidTr="007670D1">
        <w:trPr>
          <w:cantSplit/>
          <w:trHeight w:val="577"/>
        </w:trPr>
        <w:tc>
          <w:tcPr>
            <w:tcW w:w="1350" w:type="pct"/>
            <w:vAlign w:val="center"/>
          </w:tcPr>
          <w:p w:rsidR="00F2667A" w:rsidRPr="007670D1" w:rsidRDefault="00F2667A" w:rsidP="00AC5E2D">
            <w:pPr>
              <w:keepNext/>
              <w:jc w:val="left"/>
              <w:rPr>
                <w:rFonts w:ascii="Arial Narrow" w:hAnsi="Arial Narrow"/>
                <w:sz w:val="20"/>
              </w:rPr>
            </w:pPr>
            <w:r w:rsidRPr="007670D1">
              <w:rPr>
                <w:rFonts w:ascii="Arial Narrow" w:hAnsi="Arial Narrow"/>
                <w:smallCaps/>
                <w:sz w:val="20"/>
              </w:rPr>
              <w:t>PRALATREXATE</w:t>
            </w:r>
          </w:p>
          <w:p w:rsidR="00F2667A" w:rsidRPr="007670D1" w:rsidRDefault="00F2667A" w:rsidP="00AC5E2D">
            <w:pPr>
              <w:keepNext/>
              <w:jc w:val="left"/>
              <w:rPr>
                <w:rFonts w:ascii="Arial Narrow" w:hAnsi="Arial Narrow"/>
                <w:sz w:val="20"/>
              </w:rPr>
            </w:pPr>
            <w:proofErr w:type="spellStart"/>
            <w:r w:rsidRPr="007670D1">
              <w:rPr>
                <w:rFonts w:ascii="Arial Narrow" w:hAnsi="Arial Narrow"/>
                <w:sz w:val="20"/>
              </w:rPr>
              <w:t>Pralatrexate</w:t>
            </w:r>
            <w:proofErr w:type="spellEnd"/>
            <w:r w:rsidRPr="007670D1">
              <w:rPr>
                <w:rFonts w:ascii="Arial Narrow" w:hAnsi="Arial Narrow"/>
                <w:sz w:val="20"/>
              </w:rPr>
              <w:t xml:space="preserve"> 20mg in 1mL, solution for infusion (public hospital)</w:t>
            </w:r>
          </w:p>
        </w:tc>
        <w:tc>
          <w:tcPr>
            <w:tcW w:w="330" w:type="pct"/>
            <w:vAlign w:val="center"/>
          </w:tcPr>
          <w:p w:rsidR="00F2667A" w:rsidRPr="007670D1" w:rsidRDefault="00F2667A" w:rsidP="00AC5E2D">
            <w:pPr>
              <w:keepNext/>
              <w:jc w:val="center"/>
              <w:rPr>
                <w:rFonts w:ascii="Arial Narrow" w:hAnsi="Arial Narrow"/>
                <w:sz w:val="20"/>
              </w:rPr>
            </w:pPr>
            <w:r w:rsidRPr="007670D1">
              <w:rPr>
                <w:rFonts w:ascii="Arial Narrow" w:hAnsi="Arial Narrow"/>
                <w:sz w:val="20"/>
              </w:rPr>
              <w:t>80mg</w:t>
            </w:r>
          </w:p>
        </w:tc>
        <w:tc>
          <w:tcPr>
            <w:tcW w:w="428" w:type="pct"/>
            <w:vAlign w:val="center"/>
          </w:tcPr>
          <w:p w:rsidR="00F2667A" w:rsidRPr="007670D1" w:rsidRDefault="00F2667A" w:rsidP="00AC5E2D">
            <w:pPr>
              <w:keepNext/>
              <w:jc w:val="center"/>
              <w:rPr>
                <w:rFonts w:ascii="Arial Narrow" w:hAnsi="Arial Narrow"/>
                <w:sz w:val="20"/>
              </w:rPr>
            </w:pPr>
            <w:r w:rsidRPr="007670D1">
              <w:rPr>
                <w:rFonts w:ascii="Arial Narrow" w:hAnsi="Arial Narrow"/>
                <w:sz w:val="20"/>
              </w:rPr>
              <w:t>5</w:t>
            </w:r>
          </w:p>
        </w:tc>
        <w:tc>
          <w:tcPr>
            <w:tcW w:w="860" w:type="pct"/>
            <w:vAlign w:val="center"/>
          </w:tcPr>
          <w:p w:rsidR="00F2667A" w:rsidRPr="007670D1" w:rsidRDefault="00F2667A" w:rsidP="00AC5E2D">
            <w:pPr>
              <w:keepNext/>
              <w:jc w:val="center"/>
              <w:rPr>
                <w:rFonts w:ascii="Arial Narrow" w:hAnsi="Arial Narrow"/>
                <w:i/>
                <w:sz w:val="20"/>
              </w:rPr>
            </w:pPr>
            <w:r w:rsidRPr="007670D1">
              <w:rPr>
                <w:rFonts w:ascii="Arial Narrow" w:hAnsi="Arial Narrow"/>
                <w:i/>
                <w:sz w:val="20"/>
              </w:rPr>
              <w:t>$</w:t>
            </w:r>
            <w:r w:rsidR="00685063">
              <w:rPr>
                <w:rFonts w:ascii="Arial Narrow" w:hAnsi="Arial Narrow"/>
                <w:i/>
                <w:noProof/>
                <w:color w:val="000000"/>
                <w:sz w:val="20"/>
                <w:highlight w:val="black"/>
              </w:rPr>
              <w:t>'''''''''''''''''''''''</w:t>
            </w:r>
            <w:r w:rsidRPr="007670D1">
              <w:rPr>
                <w:rFonts w:ascii="Arial Narrow" w:hAnsi="Arial Narrow"/>
                <w:i/>
                <w:sz w:val="20"/>
              </w:rPr>
              <w:t>*</w:t>
            </w:r>
          </w:p>
        </w:tc>
        <w:tc>
          <w:tcPr>
            <w:tcW w:w="707" w:type="pct"/>
            <w:vAlign w:val="center"/>
          </w:tcPr>
          <w:p w:rsidR="00F2667A" w:rsidRPr="007670D1" w:rsidRDefault="00F2667A" w:rsidP="00AC5E2D">
            <w:pPr>
              <w:keepNext/>
              <w:jc w:val="center"/>
              <w:rPr>
                <w:rFonts w:ascii="Arial Narrow" w:hAnsi="Arial Narrow"/>
                <w:i/>
                <w:sz w:val="20"/>
              </w:rPr>
            </w:pPr>
            <w:r w:rsidRPr="007670D1">
              <w:rPr>
                <w:rFonts w:ascii="Arial Narrow" w:hAnsi="Arial Narrow"/>
                <w:i/>
                <w:sz w:val="20"/>
              </w:rPr>
              <w:t>$</w:t>
            </w:r>
            <w:r w:rsidR="00685063">
              <w:rPr>
                <w:rFonts w:ascii="Arial Narrow" w:hAnsi="Arial Narrow"/>
                <w:i/>
                <w:noProof/>
                <w:color w:val="000000"/>
                <w:sz w:val="20"/>
                <w:highlight w:val="black"/>
              </w:rPr>
              <w:t>''''''''''''''''''''''''</w:t>
            </w:r>
            <w:r w:rsidRPr="007670D1">
              <w:rPr>
                <w:rFonts w:ascii="Arial Narrow" w:hAnsi="Arial Narrow"/>
                <w:i/>
                <w:sz w:val="20"/>
              </w:rPr>
              <w:t>*</w:t>
            </w:r>
          </w:p>
        </w:tc>
        <w:tc>
          <w:tcPr>
            <w:tcW w:w="569" w:type="pct"/>
            <w:vAlign w:val="center"/>
          </w:tcPr>
          <w:p w:rsidR="00F2667A" w:rsidRPr="007670D1" w:rsidRDefault="00F2667A" w:rsidP="00AC5E2D">
            <w:pPr>
              <w:keepNext/>
              <w:jc w:val="center"/>
              <w:rPr>
                <w:rFonts w:ascii="Arial Narrow" w:hAnsi="Arial Narrow"/>
                <w:sz w:val="20"/>
              </w:rPr>
            </w:pPr>
            <w:proofErr w:type="spellStart"/>
            <w:r w:rsidRPr="007670D1">
              <w:rPr>
                <w:rFonts w:ascii="Arial Narrow" w:hAnsi="Arial Narrow"/>
                <w:sz w:val="20"/>
              </w:rPr>
              <w:t>Folotyn</w:t>
            </w:r>
            <w:proofErr w:type="spellEnd"/>
            <w:r w:rsidRPr="007670D1">
              <w:rPr>
                <w:rFonts w:ascii="Arial Narrow" w:hAnsi="Arial Narrow"/>
                <w:sz w:val="20"/>
              </w:rPr>
              <w:t>®</w:t>
            </w:r>
          </w:p>
        </w:tc>
        <w:tc>
          <w:tcPr>
            <w:tcW w:w="756" w:type="pct"/>
            <w:vAlign w:val="center"/>
          </w:tcPr>
          <w:p w:rsidR="00F2667A" w:rsidRPr="007670D1" w:rsidRDefault="00F2667A" w:rsidP="00AC5E2D">
            <w:pPr>
              <w:keepNext/>
              <w:jc w:val="center"/>
              <w:rPr>
                <w:rFonts w:ascii="Arial Narrow" w:hAnsi="Arial Narrow"/>
                <w:sz w:val="20"/>
              </w:rPr>
            </w:pPr>
            <w:proofErr w:type="spellStart"/>
            <w:r w:rsidRPr="007670D1">
              <w:rPr>
                <w:rFonts w:ascii="Arial Narrow" w:hAnsi="Arial Narrow"/>
                <w:sz w:val="20"/>
              </w:rPr>
              <w:t>Mundipharma</w:t>
            </w:r>
            <w:proofErr w:type="spellEnd"/>
          </w:p>
        </w:tc>
      </w:tr>
      <w:tr w:rsidR="00F2667A" w:rsidRPr="007670D1" w:rsidTr="007670D1">
        <w:trPr>
          <w:cantSplit/>
          <w:trHeight w:val="577"/>
        </w:trPr>
        <w:tc>
          <w:tcPr>
            <w:tcW w:w="1350" w:type="pct"/>
            <w:vAlign w:val="center"/>
          </w:tcPr>
          <w:p w:rsidR="00F2667A" w:rsidRPr="007670D1" w:rsidRDefault="00F2667A" w:rsidP="00AC5E2D">
            <w:pPr>
              <w:keepNext/>
              <w:jc w:val="left"/>
              <w:rPr>
                <w:rFonts w:ascii="Arial Narrow" w:hAnsi="Arial Narrow"/>
                <w:smallCaps/>
                <w:sz w:val="20"/>
              </w:rPr>
            </w:pPr>
          </w:p>
          <w:p w:rsidR="00F2667A" w:rsidRPr="007670D1" w:rsidRDefault="00F2667A" w:rsidP="00AC5E2D">
            <w:pPr>
              <w:keepNext/>
              <w:jc w:val="left"/>
              <w:rPr>
                <w:rFonts w:ascii="Arial Narrow" w:hAnsi="Arial Narrow"/>
                <w:sz w:val="20"/>
              </w:rPr>
            </w:pPr>
            <w:r w:rsidRPr="007670D1">
              <w:rPr>
                <w:rFonts w:ascii="Arial Narrow" w:hAnsi="Arial Narrow"/>
                <w:smallCaps/>
                <w:sz w:val="20"/>
              </w:rPr>
              <w:t>PRALATREXATE</w:t>
            </w:r>
          </w:p>
          <w:p w:rsidR="00F2667A" w:rsidRPr="007670D1" w:rsidRDefault="00F2667A" w:rsidP="00AC5E2D">
            <w:pPr>
              <w:keepNext/>
              <w:jc w:val="left"/>
              <w:rPr>
                <w:rFonts w:ascii="Arial Narrow" w:hAnsi="Arial Narrow"/>
                <w:sz w:val="20"/>
              </w:rPr>
            </w:pPr>
            <w:proofErr w:type="spellStart"/>
            <w:r w:rsidRPr="007670D1">
              <w:rPr>
                <w:rFonts w:ascii="Arial Narrow" w:hAnsi="Arial Narrow"/>
                <w:sz w:val="20"/>
              </w:rPr>
              <w:t>Pralatrexate</w:t>
            </w:r>
            <w:proofErr w:type="spellEnd"/>
            <w:r w:rsidRPr="007670D1">
              <w:rPr>
                <w:rFonts w:ascii="Arial Narrow" w:hAnsi="Arial Narrow"/>
                <w:sz w:val="20"/>
              </w:rPr>
              <w:t xml:space="preserve"> 20mg in 1mL, solution for infusion (private hospital)</w:t>
            </w:r>
          </w:p>
          <w:p w:rsidR="00F2667A" w:rsidRPr="007670D1" w:rsidRDefault="00F2667A" w:rsidP="00AC5E2D">
            <w:pPr>
              <w:keepNext/>
              <w:jc w:val="left"/>
              <w:rPr>
                <w:rFonts w:ascii="Arial Narrow" w:hAnsi="Arial Narrow"/>
                <w:i/>
                <w:sz w:val="20"/>
              </w:rPr>
            </w:pPr>
          </w:p>
        </w:tc>
        <w:tc>
          <w:tcPr>
            <w:tcW w:w="330" w:type="pct"/>
            <w:vAlign w:val="center"/>
          </w:tcPr>
          <w:p w:rsidR="00F2667A" w:rsidRPr="007670D1" w:rsidRDefault="00F2667A" w:rsidP="00AC5E2D">
            <w:pPr>
              <w:keepNext/>
              <w:jc w:val="center"/>
              <w:rPr>
                <w:rFonts w:ascii="Arial Narrow" w:hAnsi="Arial Narrow"/>
                <w:sz w:val="20"/>
              </w:rPr>
            </w:pPr>
          </w:p>
          <w:p w:rsidR="00F2667A" w:rsidRPr="007670D1" w:rsidRDefault="00F2667A" w:rsidP="00AC5E2D">
            <w:pPr>
              <w:keepNext/>
              <w:jc w:val="center"/>
              <w:rPr>
                <w:rFonts w:ascii="Arial Narrow" w:hAnsi="Arial Narrow"/>
                <w:sz w:val="20"/>
              </w:rPr>
            </w:pPr>
            <w:r w:rsidRPr="007670D1">
              <w:rPr>
                <w:rFonts w:ascii="Arial Narrow" w:hAnsi="Arial Narrow"/>
                <w:sz w:val="20"/>
              </w:rPr>
              <w:t>80mg</w:t>
            </w:r>
          </w:p>
        </w:tc>
        <w:tc>
          <w:tcPr>
            <w:tcW w:w="428" w:type="pct"/>
            <w:vAlign w:val="center"/>
          </w:tcPr>
          <w:p w:rsidR="00F2667A" w:rsidRPr="007670D1" w:rsidRDefault="00F2667A" w:rsidP="00AC5E2D">
            <w:pPr>
              <w:keepNext/>
              <w:jc w:val="center"/>
              <w:rPr>
                <w:rFonts w:ascii="Arial Narrow" w:hAnsi="Arial Narrow"/>
                <w:sz w:val="20"/>
              </w:rPr>
            </w:pPr>
          </w:p>
          <w:p w:rsidR="00F2667A" w:rsidRPr="007670D1" w:rsidRDefault="00F2667A" w:rsidP="00AC5E2D">
            <w:pPr>
              <w:keepNext/>
              <w:jc w:val="center"/>
              <w:rPr>
                <w:rFonts w:ascii="Arial Narrow" w:hAnsi="Arial Narrow"/>
                <w:sz w:val="20"/>
              </w:rPr>
            </w:pPr>
            <w:r w:rsidRPr="007670D1">
              <w:rPr>
                <w:rFonts w:ascii="Arial Narrow" w:hAnsi="Arial Narrow"/>
                <w:sz w:val="20"/>
              </w:rPr>
              <w:t>5</w:t>
            </w:r>
          </w:p>
        </w:tc>
        <w:tc>
          <w:tcPr>
            <w:tcW w:w="860" w:type="pct"/>
            <w:vAlign w:val="center"/>
          </w:tcPr>
          <w:p w:rsidR="00F2667A" w:rsidRPr="007670D1" w:rsidRDefault="00F2667A" w:rsidP="00AC5E2D">
            <w:pPr>
              <w:keepNext/>
              <w:jc w:val="center"/>
              <w:rPr>
                <w:rFonts w:ascii="Arial Narrow" w:hAnsi="Arial Narrow"/>
                <w:i/>
                <w:sz w:val="20"/>
              </w:rPr>
            </w:pPr>
          </w:p>
          <w:p w:rsidR="00F2667A" w:rsidRPr="007670D1" w:rsidRDefault="00F2667A" w:rsidP="00AC5E2D">
            <w:pPr>
              <w:keepNext/>
              <w:jc w:val="center"/>
              <w:rPr>
                <w:rFonts w:ascii="Arial Narrow" w:hAnsi="Arial Narrow"/>
                <w:i/>
                <w:sz w:val="20"/>
              </w:rPr>
            </w:pPr>
            <w:r w:rsidRPr="007670D1">
              <w:rPr>
                <w:rFonts w:ascii="Arial Narrow" w:hAnsi="Arial Narrow"/>
                <w:i/>
                <w:sz w:val="20"/>
              </w:rPr>
              <w:t>$</w:t>
            </w:r>
            <w:r w:rsidR="00685063">
              <w:rPr>
                <w:rFonts w:ascii="Arial Narrow" w:hAnsi="Arial Narrow"/>
                <w:i/>
                <w:noProof/>
                <w:color w:val="000000"/>
                <w:sz w:val="20"/>
                <w:highlight w:val="black"/>
              </w:rPr>
              <w:t>'''''''''''''''''''''''''</w:t>
            </w:r>
            <w:r w:rsidRPr="007670D1">
              <w:rPr>
                <w:rFonts w:ascii="Arial Narrow" w:hAnsi="Arial Narrow"/>
                <w:i/>
                <w:sz w:val="20"/>
              </w:rPr>
              <w:t>*</w:t>
            </w:r>
          </w:p>
        </w:tc>
        <w:tc>
          <w:tcPr>
            <w:tcW w:w="707" w:type="pct"/>
            <w:vAlign w:val="center"/>
          </w:tcPr>
          <w:p w:rsidR="00F2667A" w:rsidRPr="007670D1" w:rsidRDefault="00F2667A" w:rsidP="00AC5E2D">
            <w:pPr>
              <w:keepNext/>
              <w:jc w:val="center"/>
              <w:rPr>
                <w:rFonts w:ascii="Arial Narrow" w:hAnsi="Arial Narrow"/>
                <w:i/>
                <w:sz w:val="20"/>
              </w:rPr>
            </w:pPr>
          </w:p>
          <w:p w:rsidR="00F2667A" w:rsidRPr="007670D1" w:rsidRDefault="00F2667A" w:rsidP="00AC5E2D">
            <w:pPr>
              <w:keepNext/>
              <w:jc w:val="center"/>
              <w:rPr>
                <w:rFonts w:ascii="Arial Narrow" w:hAnsi="Arial Narrow"/>
                <w:i/>
                <w:sz w:val="20"/>
              </w:rPr>
            </w:pPr>
            <w:r w:rsidRPr="007670D1">
              <w:rPr>
                <w:rFonts w:ascii="Arial Narrow" w:hAnsi="Arial Narrow"/>
                <w:i/>
                <w:sz w:val="20"/>
              </w:rPr>
              <w:t>$</w:t>
            </w:r>
            <w:r w:rsidR="00685063">
              <w:rPr>
                <w:rFonts w:ascii="Arial Narrow" w:hAnsi="Arial Narrow"/>
                <w:i/>
                <w:noProof/>
                <w:color w:val="000000"/>
                <w:sz w:val="20"/>
                <w:highlight w:val="black"/>
              </w:rPr>
              <w:t>'''''''''''''''''''''''</w:t>
            </w:r>
            <w:r w:rsidRPr="007670D1">
              <w:rPr>
                <w:rFonts w:ascii="Arial Narrow" w:hAnsi="Arial Narrow"/>
                <w:i/>
                <w:sz w:val="20"/>
              </w:rPr>
              <w:t>*</w:t>
            </w:r>
          </w:p>
        </w:tc>
        <w:tc>
          <w:tcPr>
            <w:tcW w:w="569" w:type="pct"/>
            <w:vAlign w:val="center"/>
          </w:tcPr>
          <w:p w:rsidR="00F2667A" w:rsidRPr="007670D1" w:rsidRDefault="00F2667A" w:rsidP="00AC5E2D">
            <w:pPr>
              <w:keepNext/>
              <w:jc w:val="center"/>
              <w:rPr>
                <w:rFonts w:ascii="Arial Narrow" w:hAnsi="Arial Narrow"/>
                <w:sz w:val="20"/>
              </w:rPr>
            </w:pPr>
          </w:p>
          <w:p w:rsidR="00F2667A" w:rsidRPr="007670D1" w:rsidRDefault="00F2667A" w:rsidP="00AC5E2D">
            <w:pPr>
              <w:keepNext/>
              <w:jc w:val="center"/>
              <w:rPr>
                <w:rFonts w:ascii="Arial Narrow" w:hAnsi="Arial Narrow"/>
                <w:sz w:val="20"/>
              </w:rPr>
            </w:pPr>
            <w:proofErr w:type="spellStart"/>
            <w:r w:rsidRPr="007670D1">
              <w:rPr>
                <w:rFonts w:ascii="Arial Narrow" w:hAnsi="Arial Narrow"/>
                <w:sz w:val="20"/>
              </w:rPr>
              <w:t>Folotyn</w:t>
            </w:r>
            <w:proofErr w:type="spellEnd"/>
            <w:r w:rsidRPr="007670D1">
              <w:rPr>
                <w:rFonts w:ascii="Arial Narrow" w:hAnsi="Arial Narrow"/>
                <w:sz w:val="20"/>
              </w:rPr>
              <w:t>®</w:t>
            </w:r>
          </w:p>
        </w:tc>
        <w:tc>
          <w:tcPr>
            <w:tcW w:w="756" w:type="pct"/>
            <w:vAlign w:val="center"/>
          </w:tcPr>
          <w:p w:rsidR="00F2667A" w:rsidRPr="007670D1" w:rsidRDefault="00F2667A" w:rsidP="00AC5E2D">
            <w:pPr>
              <w:keepNext/>
              <w:jc w:val="center"/>
              <w:rPr>
                <w:rFonts w:ascii="Arial Narrow" w:hAnsi="Arial Narrow"/>
                <w:sz w:val="20"/>
              </w:rPr>
            </w:pPr>
          </w:p>
          <w:p w:rsidR="00F2667A" w:rsidRPr="007670D1" w:rsidRDefault="00F2667A" w:rsidP="00AC5E2D">
            <w:pPr>
              <w:keepNext/>
              <w:rPr>
                <w:rFonts w:ascii="Arial Narrow" w:hAnsi="Arial Narrow"/>
                <w:sz w:val="20"/>
              </w:rPr>
            </w:pPr>
            <w:proofErr w:type="spellStart"/>
            <w:r w:rsidRPr="007670D1">
              <w:rPr>
                <w:rFonts w:ascii="Arial Narrow" w:hAnsi="Arial Narrow"/>
                <w:sz w:val="20"/>
              </w:rPr>
              <w:t>Mundipharma</w:t>
            </w:r>
            <w:proofErr w:type="spellEnd"/>
          </w:p>
        </w:tc>
      </w:tr>
    </w:tbl>
    <w:p w:rsidR="0060622D" w:rsidRPr="00552722" w:rsidRDefault="006B70E7" w:rsidP="0060622D">
      <w:pPr>
        <w:rPr>
          <w:szCs w:val="22"/>
        </w:rPr>
      </w:pPr>
      <w:r w:rsidRPr="006B70E7">
        <w:t>Suggestions and additions proposed by the Secretariat to the requested listing are added in italics and suggested deletions are crossed out with strikethrough</w:t>
      </w:r>
      <w:r w:rsidRPr="008E51E4">
        <w:rPr>
          <w:i/>
        </w:rPr>
        <w:t>.</w:t>
      </w:r>
    </w:p>
    <w:p w:rsidR="0060622D" w:rsidRPr="00552722" w:rsidRDefault="0060622D" w:rsidP="0060622D">
      <w:pPr>
        <w:rPr>
          <w:szCs w:val="22"/>
        </w:rPr>
      </w:pPr>
    </w:p>
    <w:tbl>
      <w:tblPr>
        <w:tblW w:w="4985" w:type="pct"/>
        <w:tblInd w:w="108" w:type="dxa"/>
        <w:tblLayout w:type="fixed"/>
        <w:tblLook w:val="0000" w:firstRow="0" w:lastRow="0" w:firstColumn="0" w:lastColumn="0" w:noHBand="0" w:noVBand="0"/>
        <w:tblCaption w:val="Requested PBS listing - initial treatment"/>
      </w:tblPr>
      <w:tblGrid>
        <w:gridCol w:w="2835"/>
        <w:gridCol w:w="6380"/>
      </w:tblGrid>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 xml:space="preserve">Category / </w:t>
            </w:r>
          </w:p>
          <w:p w:rsidR="0060622D" w:rsidRPr="00260CE3" w:rsidRDefault="0060622D" w:rsidP="0060622D">
            <w:pPr>
              <w:rPr>
                <w:rFonts w:ascii="Arial Narrow" w:hAnsi="Arial Narrow"/>
                <w:b/>
                <w:sz w:val="20"/>
              </w:rPr>
            </w:pPr>
            <w:r w:rsidRPr="00260CE3">
              <w:rPr>
                <w:rFonts w:ascii="Arial Narrow" w:hAnsi="Arial Narrow"/>
                <w:b/>
                <w:sz w:val="20"/>
              </w:rPr>
              <w:t>Program</w:t>
            </w:r>
          </w:p>
        </w:tc>
        <w:tc>
          <w:tcPr>
            <w:tcW w:w="6379"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r w:rsidRPr="00260CE3">
              <w:rPr>
                <w:rFonts w:ascii="Arial Narrow" w:hAnsi="Arial Narrow"/>
                <w:sz w:val="20"/>
              </w:rPr>
              <w:t>Chemotherapy</w:t>
            </w:r>
            <w:r>
              <w:rPr>
                <w:rFonts w:ascii="Arial Narrow" w:hAnsi="Arial Narrow"/>
                <w:sz w:val="20"/>
              </w:rPr>
              <w:t xml:space="preserve"> (Private and Public)</w:t>
            </w:r>
          </w:p>
          <w:p w:rsidR="0060622D" w:rsidRPr="00260CE3" w:rsidRDefault="0060622D" w:rsidP="0060622D">
            <w:pPr>
              <w:rPr>
                <w:rFonts w:ascii="Arial Narrow" w:hAnsi="Arial Narrow"/>
                <w:sz w:val="20"/>
              </w:rPr>
            </w:pP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Default="0060622D" w:rsidP="0060622D">
            <w:pPr>
              <w:rPr>
                <w:rFonts w:ascii="Arial Narrow" w:hAnsi="Arial Narrow"/>
                <w:b/>
                <w:sz w:val="20"/>
              </w:rPr>
            </w:pPr>
            <w:r w:rsidRPr="00260CE3">
              <w:rPr>
                <w:rFonts w:ascii="Arial Narrow" w:hAnsi="Arial Narrow"/>
                <w:b/>
                <w:sz w:val="20"/>
              </w:rPr>
              <w:t>Prescriber type:</w:t>
            </w:r>
          </w:p>
          <w:p w:rsidR="0060622D" w:rsidRPr="00260CE3" w:rsidRDefault="0060622D" w:rsidP="0060622D">
            <w:pPr>
              <w:rPr>
                <w:rFonts w:ascii="Arial Narrow" w:hAnsi="Arial Narrow"/>
                <w:b/>
                <w:sz w:val="20"/>
              </w:rPr>
            </w:pPr>
          </w:p>
        </w:tc>
        <w:tc>
          <w:tcPr>
            <w:tcW w:w="6379"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0622D" w:rsidRPr="00260CE3" w:rsidRDefault="0060622D" w:rsidP="0060622D">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379" w:type="dxa"/>
            <w:tcBorders>
              <w:top w:val="single" w:sz="4" w:space="0" w:color="auto"/>
              <w:left w:val="single" w:sz="4" w:space="0" w:color="auto"/>
              <w:bottom w:val="single" w:sz="4" w:space="0" w:color="auto"/>
              <w:right w:val="single" w:sz="4" w:space="0" w:color="auto"/>
            </w:tcBorders>
          </w:tcPr>
          <w:p w:rsidR="0060622D" w:rsidRPr="00A77522" w:rsidRDefault="0060622D" w:rsidP="0060622D">
            <w:pPr>
              <w:rPr>
                <w:rFonts w:ascii="Arial Narrow" w:hAnsi="Arial Narrow"/>
                <w:strike/>
                <w:sz w:val="20"/>
              </w:rPr>
            </w:pPr>
            <w:r w:rsidRPr="00A77522">
              <w:rPr>
                <w:rFonts w:ascii="Arial Narrow" w:hAnsi="Arial Narrow"/>
                <w:strike/>
                <w:sz w:val="20"/>
              </w:rPr>
              <w:t>Peripheral T-cell Lymphoma</w:t>
            </w: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Severity:</w:t>
            </w:r>
          </w:p>
        </w:tc>
        <w:tc>
          <w:tcPr>
            <w:tcW w:w="6379"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r w:rsidRPr="001D753C">
              <w:rPr>
                <w:rFonts w:ascii="Arial Narrow" w:hAnsi="Arial Narrow"/>
                <w:strike/>
                <w:sz w:val="20"/>
              </w:rPr>
              <w:t>Patients who have</w:t>
            </w:r>
            <w:r>
              <w:rPr>
                <w:rFonts w:ascii="Arial Narrow" w:hAnsi="Arial Narrow"/>
                <w:sz w:val="20"/>
              </w:rPr>
              <w:t xml:space="preserve"> relapsed or chemotherapy refractory </w:t>
            </w:r>
            <w:r w:rsidRPr="001D753C">
              <w:rPr>
                <w:rFonts w:ascii="Arial Narrow" w:hAnsi="Arial Narrow"/>
                <w:strike/>
                <w:sz w:val="20"/>
              </w:rPr>
              <w:t>disease</w:t>
            </w: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Condition:</w:t>
            </w:r>
          </w:p>
        </w:tc>
        <w:tc>
          <w:tcPr>
            <w:tcW w:w="6379"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r>
              <w:rPr>
                <w:rFonts w:ascii="Arial Narrow" w:hAnsi="Arial Narrow"/>
                <w:sz w:val="20"/>
              </w:rPr>
              <w:t>Peripheral T-cell Lymphoma</w:t>
            </w: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PBS Indication:</w:t>
            </w:r>
          </w:p>
        </w:tc>
        <w:tc>
          <w:tcPr>
            <w:tcW w:w="6379" w:type="dxa"/>
            <w:tcBorders>
              <w:top w:val="single" w:sz="4" w:space="0" w:color="auto"/>
              <w:left w:val="single" w:sz="4" w:space="0" w:color="auto"/>
              <w:bottom w:val="single" w:sz="4" w:space="0" w:color="auto"/>
              <w:right w:val="single" w:sz="4" w:space="0" w:color="auto"/>
            </w:tcBorders>
          </w:tcPr>
          <w:p w:rsidR="0060622D" w:rsidRPr="003913F3" w:rsidRDefault="0060622D" w:rsidP="0060622D">
            <w:pPr>
              <w:rPr>
                <w:rFonts w:ascii="Arial Narrow" w:hAnsi="Arial Narrow"/>
                <w:i/>
                <w:sz w:val="20"/>
              </w:rPr>
            </w:pPr>
            <w:r w:rsidRPr="003913F3">
              <w:rPr>
                <w:rFonts w:ascii="Arial Narrow" w:hAnsi="Arial Narrow"/>
                <w:i/>
                <w:sz w:val="20"/>
              </w:rPr>
              <w:t>Relapsed or chemotherapy refractory peripheral T-cell Lymphoma</w:t>
            </w: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1D753C" w:rsidRDefault="0060622D" w:rsidP="0060622D">
            <w:pPr>
              <w:rPr>
                <w:rFonts w:ascii="Arial Narrow" w:hAnsi="Arial Narrow"/>
                <w:b/>
                <w:sz w:val="20"/>
              </w:rPr>
            </w:pPr>
            <w:r w:rsidRPr="00260CE3">
              <w:rPr>
                <w:rFonts w:ascii="Arial Narrow" w:hAnsi="Arial Narrow"/>
                <w:b/>
                <w:sz w:val="20"/>
              </w:rPr>
              <w:t>Treatment phase:</w:t>
            </w:r>
          </w:p>
        </w:tc>
        <w:tc>
          <w:tcPr>
            <w:tcW w:w="6379" w:type="dxa"/>
            <w:tcBorders>
              <w:top w:val="single" w:sz="4" w:space="0" w:color="auto"/>
              <w:left w:val="single" w:sz="4" w:space="0" w:color="auto"/>
              <w:bottom w:val="single" w:sz="4" w:space="0" w:color="auto"/>
              <w:right w:val="single" w:sz="4" w:space="0" w:color="auto"/>
            </w:tcBorders>
          </w:tcPr>
          <w:p w:rsidR="0060622D" w:rsidRPr="00A77522" w:rsidRDefault="0060622D" w:rsidP="0060622D">
            <w:pPr>
              <w:rPr>
                <w:rFonts w:ascii="Arial Narrow" w:hAnsi="Arial Narrow"/>
                <w:i/>
                <w:sz w:val="20"/>
              </w:rPr>
            </w:pPr>
            <w:r w:rsidRPr="00A77522">
              <w:rPr>
                <w:rFonts w:ascii="Arial Narrow" w:hAnsi="Arial Narrow"/>
                <w:strike/>
                <w:sz w:val="20"/>
              </w:rPr>
              <w:t>Initiation</w:t>
            </w:r>
            <w:r>
              <w:rPr>
                <w:rFonts w:ascii="Arial Narrow" w:hAnsi="Arial Narrow"/>
                <w:strike/>
                <w:sz w:val="20"/>
              </w:rPr>
              <w:t xml:space="preserve"> </w:t>
            </w:r>
            <w:r>
              <w:rPr>
                <w:rFonts w:ascii="Arial Narrow" w:hAnsi="Arial Narrow"/>
                <w:i/>
                <w:sz w:val="20"/>
              </w:rPr>
              <w:t>Initial treatment</w:t>
            </w: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60622D" w:rsidRPr="00CD28F3" w:rsidRDefault="0060622D" w:rsidP="0060622D">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60622D" w:rsidRPr="00106BCF" w:rsidRDefault="0060622D" w:rsidP="0060622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60622D" w:rsidRPr="00106BCF" w:rsidRDefault="0060622D" w:rsidP="0060622D">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60622D" w:rsidRPr="00106BCF" w:rsidRDefault="0060622D" w:rsidP="0060622D">
            <w:pPr>
              <w:rPr>
                <w:rFonts w:ascii="Arial Narrow" w:hAnsi="Arial Narrow"/>
                <w:sz w:val="20"/>
              </w:rPr>
            </w:pPr>
            <w:r w:rsidRPr="00106BCF">
              <w:rPr>
                <w:rFonts w:ascii="Arial Narrow" w:hAnsi="Arial Narrow"/>
                <w:sz w:val="20"/>
              </w:rPr>
              <w:fldChar w:fldCharType="begin">
                <w:ffData>
                  <w:name w:val="Check3"/>
                  <w:enabled/>
                  <w:calcOnExit w:val="0"/>
                  <w:checkBox>
                    <w:sizeAuto/>
                    <w:default w:val="0"/>
                  </w:checkBox>
                </w:ffData>
              </w:fldChar>
            </w:r>
            <w:r w:rsidRPr="00106BCF">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Telephone</w:t>
            </w:r>
          </w:p>
          <w:p w:rsidR="0060622D" w:rsidRPr="00106BCF" w:rsidRDefault="0060622D" w:rsidP="0060622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60622D" w:rsidRPr="00106BCF" w:rsidRDefault="0060622D" w:rsidP="0060622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60622D" w:rsidRPr="00260CE3" w:rsidRDefault="0060622D" w:rsidP="0060622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Treatment criteria:</w:t>
            </w:r>
          </w:p>
          <w:p w:rsidR="0060622D" w:rsidRPr="00260CE3" w:rsidRDefault="0060622D" w:rsidP="0060622D">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p>
          <w:p w:rsidR="0060622D" w:rsidRPr="001D753C" w:rsidRDefault="0060622D" w:rsidP="0060622D">
            <w:pPr>
              <w:rPr>
                <w:rFonts w:ascii="Arial Narrow" w:hAnsi="Arial Narrow"/>
                <w:strike/>
                <w:sz w:val="20"/>
              </w:rPr>
            </w:pPr>
            <w:r w:rsidRPr="001D753C">
              <w:rPr>
                <w:rFonts w:ascii="Arial Narrow" w:hAnsi="Arial Narrow"/>
                <w:strike/>
                <w:sz w:val="20"/>
              </w:rPr>
              <w:t>Patient must demonstrate relapsed or chemotherapy-refractory disease to 1</w:t>
            </w:r>
            <w:r w:rsidRPr="001D753C">
              <w:rPr>
                <w:rFonts w:ascii="Arial Narrow" w:hAnsi="Arial Narrow"/>
                <w:strike/>
                <w:sz w:val="20"/>
                <w:vertAlign w:val="superscript"/>
              </w:rPr>
              <w:t>st</w:t>
            </w:r>
            <w:r w:rsidRPr="001D753C">
              <w:rPr>
                <w:rFonts w:ascii="Arial Narrow" w:hAnsi="Arial Narrow"/>
                <w:strike/>
                <w:sz w:val="20"/>
              </w:rPr>
              <w:t xml:space="preserve"> line chemotherapy.</w:t>
            </w: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lastRenderedPageBreak/>
              <w:t>Clinical criteria:</w:t>
            </w:r>
          </w:p>
          <w:p w:rsidR="0060622D" w:rsidRPr="00260CE3" w:rsidRDefault="0060622D" w:rsidP="0060622D">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60622D" w:rsidRDefault="0060622D" w:rsidP="0060622D">
            <w:pPr>
              <w:rPr>
                <w:rFonts w:ascii="Arial Narrow" w:hAnsi="Arial Narrow"/>
                <w:sz w:val="20"/>
              </w:rPr>
            </w:pPr>
            <w:r>
              <w:rPr>
                <w:rFonts w:ascii="Arial Narrow" w:hAnsi="Arial Narrow"/>
                <w:sz w:val="20"/>
              </w:rPr>
              <w:t>Patient must have undergone appropriate prior front-line curative intent chemotherapy</w:t>
            </w:r>
          </w:p>
          <w:p w:rsidR="0060622D" w:rsidRDefault="0060622D" w:rsidP="0060622D">
            <w:pPr>
              <w:rPr>
                <w:rFonts w:ascii="Arial Narrow" w:hAnsi="Arial Narrow"/>
                <w:sz w:val="20"/>
              </w:rPr>
            </w:pPr>
          </w:p>
          <w:p w:rsidR="0060622D" w:rsidRPr="001D753C" w:rsidRDefault="0060622D" w:rsidP="0060622D">
            <w:pPr>
              <w:rPr>
                <w:rFonts w:ascii="Arial Narrow" w:hAnsi="Arial Narrow"/>
                <w:strike/>
                <w:sz w:val="20"/>
              </w:rPr>
            </w:pPr>
            <w:r w:rsidRPr="001D753C">
              <w:rPr>
                <w:rFonts w:ascii="Arial Narrow" w:hAnsi="Arial Narrow"/>
                <w:strike/>
                <w:sz w:val="20"/>
              </w:rPr>
              <w:t>AND</w:t>
            </w:r>
          </w:p>
          <w:p w:rsidR="0060622D" w:rsidRPr="001D753C" w:rsidRDefault="0060622D" w:rsidP="0060622D">
            <w:pPr>
              <w:rPr>
                <w:rFonts w:ascii="Arial Narrow" w:hAnsi="Arial Narrow"/>
                <w:strike/>
                <w:sz w:val="20"/>
              </w:rPr>
            </w:pPr>
          </w:p>
          <w:p w:rsidR="0060622D" w:rsidRPr="001D753C" w:rsidRDefault="0060622D" w:rsidP="0060622D">
            <w:pPr>
              <w:rPr>
                <w:rFonts w:ascii="Arial Narrow" w:hAnsi="Arial Narrow"/>
                <w:strike/>
                <w:sz w:val="20"/>
              </w:rPr>
            </w:pPr>
            <w:r w:rsidRPr="001D753C">
              <w:rPr>
                <w:rFonts w:ascii="Arial Narrow" w:hAnsi="Arial Narrow"/>
                <w:strike/>
                <w:sz w:val="20"/>
              </w:rPr>
              <w:t>Patient must demonstrate relapsed or chemotherapy-refractory disease</w:t>
            </w:r>
          </w:p>
          <w:p w:rsidR="0060622D" w:rsidRPr="00260CE3" w:rsidRDefault="0060622D" w:rsidP="0060622D">
            <w:pPr>
              <w:rPr>
                <w:rFonts w:ascii="Arial Narrow" w:hAnsi="Arial Narrow"/>
                <w:sz w:val="20"/>
              </w:rPr>
            </w:pPr>
          </w:p>
          <w:p w:rsidR="0060622D" w:rsidRPr="00260CE3" w:rsidRDefault="0060622D" w:rsidP="0060622D">
            <w:pPr>
              <w:rPr>
                <w:rFonts w:ascii="Arial Narrow" w:hAnsi="Arial Narrow"/>
                <w:sz w:val="20"/>
              </w:rPr>
            </w:pP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Population criteria:</w:t>
            </w:r>
          </w:p>
          <w:p w:rsidR="0060622D" w:rsidRPr="00260CE3" w:rsidRDefault="0060622D" w:rsidP="0060622D">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60622D" w:rsidRPr="001D753C" w:rsidRDefault="0060622D" w:rsidP="0060622D">
            <w:pPr>
              <w:rPr>
                <w:rFonts w:ascii="Arial Narrow" w:hAnsi="Arial Narrow"/>
                <w:strike/>
                <w:sz w:val="20"/>
              </w:rPr>
            </w:pPr>
            <w:r w:rsidRPr="001D753C">
              <w:rPr>
                <w:rFonts w:ascii="Arial Narrow" w:hAnsi="Arial Narrow"/>
                <w:strike/>
                <w:sz w:val="20"/>
              </w:rPr>
              <w:t>Adults</w:t>
            </w:r>
          </w:p>
          <w:p w:rsidR="0060622D" w:rsidRPr="00260CE3" w:rsidRDefault="0060622D" w:rsidP="0060622D">
            <w:pPr>
              <w:rPr>
                <w:rFonts w:ascii="Arial Narrow" w:hAnsi="Arial Narrow"/>
                <w:sz w:val="20"/>
              </w:rPr>
            </w:pP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Prescriber Instructions</w:t>
            </w:r>
          </w:p>
          <w:p w:rsidR="0060622D" w:rsidRPr="00260CE3" w:rsidRDefault="0060622D" w:rsidP="0060622D">
            <w:pPr>
              <w:rPr>
                <w:rFonts w:ascii="Arial Narrow" w:hAnsi="Arial Narrow"/>
                <w:sz w:val="20"/>
              </w:rPr>
            </w:pPr>
          </w:p>
        </w:tc>
        <w:tc>
          <w:tcPr>
            <w:tcW w:w="6379" w:type="dxa"/>
            <w:tcBorders>
              <w:top w:val="single" w:sz="4" w:space="0" w:color="auto"/>
              <w:left w:val="single" w:sz="4" w:space="0" w:color="auto"/>
              <w:bottom w:val="single" w:sz="4" w:space="0" w:color="auto"/>
              <w:right w:val="single" w:sz="4" w:space="0" w:color="auto"/>
            </w:tcBorders>
          </w:tcPr>
          <w:p w:rsidR="0060622D" w:rsidRPr="00A77522" w:rsidRDefault="0060622D" w:rsidP="0060622D">
            <w:pPr>
              <w:spacing w:before="40" w:after="40"/>
              <w:rPr>
                <w:rFonts w:ascii="Arial Narrow" w:hAnsi="Arial Narrow"/>
                <w:color w:val="000000"/>
                <w:sz w:val="20"/>
              </w:rPr>
            </w:pPr>
            <w:r w:rsidRPr="00A77522">
              <w:rPr>
                <w:rFonts w:ascii="Arial Narrow" w:hAnsi="Arial Narrow"/>
                <w:color w:val="000000"/>
                <w:sz w:val="20"/>
              </w:rPr>
              <w:t>Applications for authorisation of initial treatment must be in writing and must include:</w:t>
            </w:r>
          </w:p>
          <w:p w:rsidR="0060622D" w:rsidRPr="00A77522" w:rsidRDefault="0060622D" w:rsidP="0060622D">
            <w:pPr>
              <w:spacing w:before="40" w:after="40"/>
              <w:rPr>
                <w:rFonts w:ascii="Arial Narrow" w:hAnsi="Arial Narrow"/>
                <w:color w:val="000000"/>
                <w:sz w:val="20"/>
              </w:rPr>
            </w:pPr>
            <w:r w:rsidRPr="00A77522">
              <w:rPr>
                <w:rFonts w:ascii="Arial Narrow" w:hAnsi="Arial Narrow"/>
                <w:color w:val="000000"/>
                <w:sz w:val="20"/>
              </w:rPr>
              <w:t>(a) a completed authority prescription form; and</w:t>
            </w:r>
          </w:p>
          <w:p w:rsidR="0060622D" w:rsidRPr="00A77522" w:rsidRDefault="0060622D" w:rsidP="0060622D">
            <w:pPr>
              <w:spacing w:before="40" w:after="40"/>
              <w:rPr>
                <w:rFonts w:ascii="Arial Narrow" w:hAnsi="Arial Narrow"/>
                <w:color w:val="000000"/>
                <w:sz w:val="20"/>
              </w:rPr>
            </w:pPr>
            <w:r w:rsidRPr="00A77522">
              <w:rPr>
                <w:rFonts w:ascii="Arial Narrow" w:hAnsi="Arial Narrow"/>
                <w:color w:val="000000"/>
                <w:sz w:val="20"/>
              </w:rPr>
              <w:t xml:space="preserve">(b) a completed PTCL </w:t>
            </w:r>
            <w:proofErr w:type="spellStart"/>
            <w:r w:rsidRPr="00A77522">
              <w:rPr>
                <w:rFonts w:ascii="Arial Narrow" w:hAnsi="Arial Narrow"/>
                <w:color w:val="000000"/>
                <w:sz w:val="20"/>
              </w:rPr>
              <w:t>Pralatrexate</w:t>
            </w:r>
            <w:proofErr w:type="spellEnd"/>
            <w:r w:rsidRPr="00A77522">
              <w:rPr>
                <w:rFonts w:ascii="Arial Narrow" w:hAnsi="Arial Narrow"/>
                <w:color w:val="000000"/>
                <w:sz w:val="20"/>
              </w:rPr>
              <w:t xml:space="preserve"> PBS Authority Application</w:t>
            </w:r>
            <w:r>
              <w:rPr>
                <w:rFonts w:ascii="Arial Narrow" w:hAnsi="Arial Narrow"/>
                <w:color w:val="000000"/>
                <w:sz w:val="20"/>
              </w:rPr>
              <w:t xml:space="preserve"> </w:t>
            </w:r>
            <w:r w:rsidRPr="00A77522">
              <w:rPr>
                <w:rFonts w:ascii="Arial Narrow" w:hAnsi="Arial Narrow"/>
                <w:color w:val="000000"/>
                <w:sz w:val="20"/>
              </w:rPr>
              <w:t xml:space="preserve"> - Supporting Information Form</w:t>
            </w:r>
            <w:r>
              <w:rPr>
                <w:rFonts w:ascii="Arial Narrow" w:hAnsi="Arial Narrow"/>
                <w:color w:val="000000"/>
                <w:sz w:val="20"/>
              </w:rPr>
              <w:t xml:space="preserve"> [to be determined] </w:t>
            </w:r>
            <w:r w:rsidRPr="00A77522">
              <w:rPr>
                <w:rFonts w:ascii="Arial Narrow" w:hAnsi="Arial Narrow"/>
                <w:color w:val="000000"/>
                <w:sz w:val="20"/>
              </w:rPr>
              <w:t xml:space="preserve"> which includes the following:</w:t>
            </w:r>
          </w:p>
          <w:p w:rsidR="0060622D" w:rsidRPr="00A77522" w:rsidRDefault="0060622D" w:rsidP="0060622D">
            <w:pPr>
              <w:spacing w:before="40" w:after="40"/>
              <w:ind w:left="284"/>
              <w:rPr>
                <w:rFonts w:ascii="Arial Narrow" w:hAnsi="Arial Narrow"/>
                <w:color w:val="000000"/>
                <w:sz w:val="20"/>
              </w:rPr>
            </w:pPr>
            <w:r w:rsidRPr="00A77522">
              <w:rPr>
                <w:rFonts w:ascii="Arial Narrow" w:hAnsi="Arial Narrow"/>
                <w:color w:val="000000"/>
                <w:sz w:val="20"/>
              </w:rPr>
              <w:t>(</w:t>
            </w:r>
            <w:proofErr w:type="spellStart"/>
            <w:r w:rsidRPr="00A77522">
              <w:rPr>
                <w:rFonts w:ascii="Arial Narrow" w:hAnsi="Arial Narrow"/>
                <w:color w:val="000000"/>
                <w:sz w:val="20"/>
              </w:rPr>
              <w:t>i</w:t>
            </w:r>
            <w:proofErr w:type="spellEnd"/>
            <w:r w:rsidRPr="00A77522">
              <w:rPr>
                <w:rFonts w:ascii="Arial Narrow" w:hAnsi="Arial Narrow"/>
                <w:color w:val="000000"/>
                <w:sz w:val="20"/>
              </w:rPr>
              <w:t>) The date of initial diagnosis of PTCL;</w:t>
            </w:r>
          </w:p>
          <w:p w:rsidR="0060622D" w:rsidRPr="00A77522" w:rsidRDefault="0060622D" w:rsidP="0060622D">
            <w:pPr>
              <w:spacing w:before="40" w:after="40"/>
              <w:ind w:left="284"/>
              <w:rPr>
                <w:rFonts w:ascii="Arial Narrow" w:hAnsi="Arial Narrow"/>
                <w:color w:val="000000"/>
                <w:sz w:val="20"/>
              </w:rPr>
            </w:pPr>
            <w:r w:rsidRPr="00A77522">
              <w:rPr>
                <w:rFonts w:ascii="Arial Narrow" w:hAnsi="Arial Narrow"/>
                <w:color w:val="000000"/>
                <w:sz w:val="20"/>
              </w:rPr>
              <w:t>(ii) Dates of commencement and completion of front-line curative intent chemotherapy;</w:t>
            </w:r>
          </w:p>
          <w:p w:rsidR="0060622D" w:rsidRPr="00A77522" w:rsidRDefault="0060622D" w:rsidP="0060622D">
            <w:pPr>
              <w:spacing w:before="40" w:after="40"/>
              <w:ind w:left="284"/>
              <w:rPr>
                <w:rFonts w:ascii="Arial Narrow" w:hAnsi="Arial Narrow"/>
                <w:color w:val="000000"/>
                <w:sz w:val="20"/>
              </w:rPr>
            </w:pPr>
            <w:r w:rsidRPr="00A77522">
              <w:rPr>
                <w:rFonts w:ascii="Arial Narrow" w:hAnsi="Arial Narrow"/>
                <w:color w:val="000000"/>
                <w:sz w:val="20"/>
              </w:rPr>
              <w:t xml:space="preserve">(iii) </w:t>
            </w:r>
            <w:proofErr w:type="gramStart"/>
            <w:r w:rsidRPr="00A77522">
              <w:rPr>
                <w:rFonts w:ascii="Arial Narrow" w:hAnsi="Arial Narrow"/>
                <w:color w:val="000000"/>
                <w:sz w:val="20"/>
              </w:rPr>
              <w:t>a</w:t>
            </w:r>
            <w:proofErr w:type="gramEnd"/>
            <w:r w:rsidRPr="00A77522">
              <w:rPr>
                <w:rFonts w:ascii="Arial Narrow" w:hAnsi="Arial Narrow"/>
                <w:color w:val="000000"/>
                <w:sz w:val="20"/>
              </w:rPr>
              <w:t xml:space="preserve"> declaration of whether the patient's disease is relapsed or refractory, and the date and means by which the patient's disease was assessed as being relapsed or refractory.</w:t>
            </w:r>
          </w:p>
          <w:p w:rsidR="0060622D" w:rsidRPr="003913F3" w:rsidRDefault="0060622D" w:rsidP="0060622D">
            <w:pPr>
              <w:rPr>
                <w:rFonts w:ascii="Arial Narrow" w:hAnsi="Arial Narrow"/>
                <w:strike/>
                <w:sz w:val="20"/>
              </w:rPr>
            </w:pPr>
            <w:r w:rsidRPr="003913F3">
              <w:rPr>
                <w:rFonts w:ascii="Arial Narrow" w:hAnsi="Arial Narrow"/>
                <w:strike/>
                <w:color w:val="000000"/>
                <w:sz w:val="20"/>
              </w:rPr>
              <w:t xml:space="preserve">A maximum quantity and number of repeats to provide for an initial course of </w:t>
            </w:r>
            <w:proofErr w:type="spellStart"/>
            <w:r w:rsidRPr="003913F3">
              <w:rPr>
                <w:rFonts w:ascii="Arial Narrow" w:hAnsi="Arial Narrow"/>
                <w:strike/>
                <w:color w:val="000000"/>
                <w:sz w:val="20"/>
              </w:rPr>
              <w:t>pralatrexate</w:t>
            </w:r>
            <w:proofErr w:type="spellEnd"/>
            <w:r w:rsidRPr="003913F3">
              <w:rPr>
                <w:rFonts w:ascii="Arial Narrow" w:hAnsi="Arial Narrow"/>
                <w:strike/>
                <w:color w:val="000000"/>
                <w:sz w:val="20"/>
              </w:rPr>
              <w:t xml:space="preserve"> of 3 cycles will be authorised as part of the initiating restriction.</w:t>
            </w:r>
          </w:p>
        </w:tc>
      </w:tr>
      <w:tr w:rsidR="0060622D" w:rsidRPr="00260CE3" w:rsidTr="006B70E7">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Administrative Advice</w:t>
            </w:r>
          </w:p>
          <w:p w:rsidR="0060622D" w:rsidRPr="00260CE3" w:rsidRDefault="0060622D" w:rsidP="0060622D">
            <w:pPr>
              <w:rPr>
                <w:rFonts w:ascii="Arial Narrow" w:hAnsi="Arial Narrow"/>
                <w:i/>
                <w:sz w:val="20"/>
              </w:rPr>
            </w:pPr>
          </w:p>
        </w:tc>
        <w:tc>
          <w:tcPr>
            <w:tcW w:w="6379" w:type="dxa"/>
            <w:tcBorders>
              <w:top w:val="single" w:sz="4" w:space="0" w:color="auto"/>
              <w:left w:val="single" w:sz="4" w:space="0" w:color="auto"/>
              <w:bottom w:val="single" w:sz="4" w:space="0" w:color="auto"/>
              <w:right w:val="single" w:sz="4" w:space="0" w:color="auto"/>
            </w:tcBorders>
          </w:tcPr>
          <w:p w:rsidR="0060622D" w:rsidRPr="00F12BB4" w:rsidRDefault="0060622D" w:rsidP="0060622D">
            <w:pPr>
              <w:spacing w:before="40" w:after="40"/>
              <w:rPr>
                <w:rFonts w:ascii="Arial Narrow" w:hAnsi="Arial Narrow"/>
                <w:b/>
                <w:color w:val="000000"/>
                <w:sz w:val="20"/>
              </w:rPr>
            </w:pPr>
            <w:r w:rsidRPr="00F12BB4">
              <w:rPr>
                <w:rFonts w:ascii="Arial Narrow" w:hAnsi="Arial Narrow"/>
                <w:b/>
                <w:color w:val="000000"/>
                <w:sz w:val="20"/>
              </w:rPr>
              <w:t>Note</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Any queries concerning the arrangements to prescribe may be directed to the Department of Human Services on 1800 700 270 (hours of operation 8 a.m. to 5 p.m. EST Monday to Friday).</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Prescribing information (including Authority Application forms and other relevant documentation as applicable) is available on the Department of Human Services website at: www.humanservices.gov.au</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Applications for authority to prescribe should be forwarded to:</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Department of Human Services</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Prior Written Approval of Complex Drugs</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Reply Paid 9826</w:t>
            </w:r>
          </w:p>
          <w:p w:rsidR="0060622D" w:rsidRPr="009C57D4" w:rsidRDefault="0060622D" w:rsidP="0060622D">
            <w:pPr>
              <w:spacing w:before="40" w:after="40"/>
              <w:rPr>
                <w:rFonts w:ascii="Arial Narrow" w:hAnsi="Arial Narrow"/>
                <w:strike/>
                <w:color w:val="000000"/>
                <w:sz w:val="20"/>
              </w:rPr>
            </w:pPr>
            <w:r w:rsidRPr="009C57D4">
              <w:rPr>
                <w:rFonts w:ascii="Arial Narrow" w:hAnsi="Arial Narrow"/>
                <w:strike/>
                <w:color w:val="000000"/>
                <w:sz w:val="20"/>
              </w:rPr>
              <w:t>GPO Box 9826</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HOBART TAS 7001</w:t>
            </w:r>
          </w:p>
          <w:p w:rsidR="0060622D" w:rsidRPr="00F12BB4" w:rsidRDefault="0060622D" w:rsidP="0060622D">
            <w:pPr>
              <w:spacing w:before="40" w:after="40"/>
              <w:rPr>
                <w:rFonts w:ascii="Arial Narrow" w:hAnsi="Arial Narrow"/>
                <w:b/>
                <w:color w:val="000000"/>
                <w:sz w:val="20"/>
              </w:rPr>
            </w:pPr>
            <w:r w:rsidRPr="00F12BB4">
              <w:rPr>
                <w:rFonts w:ascii="Arial Narrow" w:hAnsi="Arial Narrow"/>
                <w:b/>
                <w:color w:val="000000"/>
                <w:sz w:val="20"/>
              </w:rPr>
              <w:t>Note</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No increase in the maximum number of repeats may be authorised.</w:t>
            </w:r>
          </w:p>
          <w:p w:rsidR="0060622D" w:rsidRPr="00F12BB4" w:rsidRDefault="0060622D" w:rsidP="0060622D">
            <w:pPr>
              <w:spacing w:before="40" w:after="40"/>
              <w:rPr>
                <w:rFonts w:ascii="Arial Narrow" w:hAnsi="Arial Narrow"/>
                <w:b/>
                <w:color w:val="000000"/>
                <w:sz w:val="20"/>
              </w:rPr>
            </w:pPr>
            <w:r w:rsidRPr="00F12BB4">
              <w:rPr>
                <w:rFonts w:ascii="Arial Narrow" w:hAnsi="Arial Narrow"/>
                <w:b/>
                <w:color w:val="000000"/>
                <w:sz w:val="20"/>
              </w:rPr>
              <w:t>Note</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No increase in the maximum quantity or number of units may be authorised.</w:t>
            </w:r>
          </w:p>
          <w:p w:rsidR="0060622D" w:rsidRPr="00F12BB4" w:rsidRDefault="0060622D" w:rsidP="0060622D">
            <w:pPr>
              <w:spacing w:before="40" w:after="40"/>
              <w:rPr>
                <w:rFonts w:ascii="Arial Narrow" w:hAnsi="Arial Narrow"/>
                <w:b/>
                <w:color w:val="000000"/>
                <w:sz w:val="20"/>
              </w:rPr>
            </w:pPr>
            <w:r w:rsidRPr="00F12BB4">
              <w:rPr>
                <w:rFonts w:ascii="Arial Narrow" w:hAnsi="Arial Narrow"/>
                <w:b/>
                <w:color w:val="000000"/>
                <w:sz w:val="20"/>
              </w:rPr>
              <w:t>Note</w:t>
            </w:r>
          </w:p>
          <w:p w:rsidR="0060622D" w:rsidRPr="00F12BB4" w:rsidRDefault="0060622D" w:rsidP="0060622D">
            <w:pPr>
              <w:rPr>
                <w:rFonts w:ascii="Arial Narrow" w:hAnsi="Arial Narrow"/>
                <w:sz w:val="20"/>
              </w:rPr>
            </w:pPr>
            <w:r w:rsidRPr="00F12BB4">
              <w:rPr>
                <w:rFonts w:ascii="Arial Narrow" w:hAnsi="Arial Narrow"/>
                <w:color w:val="000000"/>
                <w:sz w:val="20"/>
              </w:rPr>
              <w:t>Special Pricing Arrangements apply.</w:t>
            </w:r>
          </w:p>
        </w:tc>
      </w:tr>
    </w:tbl>
    <w:p w:rsidR="00CE78B5" w:rsidRDefault="00CE78B5" w:rsidP="0060622D">
      <w:pPr>
        <w:rPr>
          <w:szCs w:val="22"/>
        </w:rPr>
      </w:pPr>
    </w:p>
    <w:p w:rsidR="00CE78B5" w:rsidRDefault="00CE78B5" w:rsidP="00CE78B5">
      <w:r>
        <w:br w:type="page"/>
      </w:r>
    </w:p>
    <w:p w:rsidR="0060622D" w:rsidRPr="00552722" w:rsidRDefault="0060622D" w:rsidP="0060622D">
      <w:pPr>
        <w:rPr>
          <w:szCs w:val="22"/>
        </w:rPr>
      </w:pPr>
    </w:p>
    <w:tbl>
      <w:tblPr>
        <w:tblW w:w="9214" w:type="dxa"/>
        <w:tblInd w:w="108" w:type="dxa"/>
        <w:tblLayout w:type="fixed"/>
        <w:tblLook w:val="0000" w:firstRow="0" w:lastRow="0" w:firstColumn="0" w:lastColumn="0" w:noHBand="0" w:noVBand="0"/>
        <w:tblCaption w:val="Requested PBS listing - continuing treatment"/>
      </w:tblPr>
      <w:tblGrid>
        <w:gridCol w:w="2835"/>
        <w:gridCol w:w="426"/>
        <w:gridCol w:w="567"/>
        <w:gridCol w:w="850"/>
        <w:gridCol w:w="1701"/>
        <w:gridCol w:w="1559"/>
        <w:gridCol w:w="1276"/>
      </w:tblGrid>
      <w:tr w:rsidR="0060622D" w:rsidRPr="00260CE3" w:rsidTr="0060622D">
        <w:trPr>
          <w:cantSplit/>
          <w:trHeight w:val="471"/>
        </w:trPr>
        <w:tc>
          <w:tcPr>
            <w:tcW w:w="3261" w:type="dxa"/>
            <w:gridSpan w:val="2"/>
            <w:tcBorders>
              <w:bottom w:val="single" w:sz="4" w:space="0" w:color="auto"/>
            </w:tcBorders>
          </w:tcPr>
          <w:p w:rsidR="0060622D" w:rsidRPr="00260CE3" w:rsidRDefault="0060622D" w:rsidP="0060622D">
            <w:pPr>
              <w:keepNext/>
              <w:ind w:left="-108"/>
              <w:rPr>
                <w:rFonts w:ascii="Arial Narrow" w:hAnsi="Arial Narrow"/>
                <w:sz w:val="20"/>
              </w:rPr>
            </w:pPr>
            <w:r w:rsidRPr="00260CE3">
              <w:rPr>
                <w:rFonts w:ascii="Arial Narrow" w:hAnsi="Arial Narrow"/>
                <w:sz w:val="20"/>
              </w:rPr>
              <w:t>Name, Restriction,</w:t>
            </w:r>
          </w:p>
          <w:p w:rsidR="0060622D" w:rsidRPr="00260CE3" w:rsidRDefault="0060622D" w:rsidP="0060622D">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60622D" w:rsidRPr="00260CE3" w:rsidRDefault="0060622D" w:rsidP="0060622D">
            <w:pPr>
              <w:keepNext/>
              <w:ind w:left="-108"/>
              <w:rPr>
                <w:rFonts w:ascii="Arial Narrow" w:hAnsi="Arial Narrow"/>
                <w:sz w:val="20"/>
              </w:rPr>
            </w:pPr>
            <w:proofErr w:type="spellStart"/>
            <w:r w:rsidRPr="00260CE3">
              <w:rPr>
                <w:rFonts w:ascii="Arial Narrow" w:hAnsi="Arial Narrow"/>
                <w:sz w:val="20"/>
              </w:rPr>
              <w:t>Max.</w:t>
            </w:r>
            <w:r>
              <w:rPr>
                <w:rFonts w:ascii="Arial Narrow" w:hAnsi="Arial Narrow"/>
                <w:sz w:val="20"/>
              </w:rPr>
              <w:t>Amt</w:t>
            </w:r>
            <w:proofErr w:type="spellEnd"/>
          </w:p>
        </w:tc>
        <w:tc>
          <w:tcPr>
            <w:tcW w:w="850" w:type="dxa"/>
            <w:tcBorders>
              <w:bottom w:val="single" w:sz="4" w:space="0" w:color="auto"/>
            </w:tcBorders>
          </w:tcPr>
          <w:p w:rsidR="0060622D" w:rsidRPr="00260CE3" w:rsidRDefault="0060622D" w:rsidP="0060622D">
            <w:pPr>
              <w:keepNext/>
              <w:ind w:left="-108"/>
              <w:rPr>
                <w:rFonts w:ascii="Arial Narrow" w:hAnsi="Arial Narrow"/>
                <w:sz w:val="20"/>
              </w:rPr>
            </w:pPr>
            <w:r w:rsidRPr="00260CE3">
              <w:rPr>
                <w:rFonts w:ascii="Arial Narrow" w:hAnsi="Arial Narrow"/>
                <w:sz w:val="20"/>
              </w:rPr>
              <w:t>№.of</w:t>
            </w:r>
          </w:p>
          <w:p w:rsidR="0060622D" w:rsidRPr="00260CE3" w:rsidRDefault="0060622D" w:rsidP="0060622D">
            <w:pPr>
              <w:keepNext/>
              <w:ind w:left="-108"/>
              <w:rPr>
                <w:rFonts w:ascii="Arial Narrow" w:hAnsi="Arial Narrow"/>
                <w:sz w:val="20"/>
              </w:rPr>
            </w:pPr>
            <w:proofErr w:type="spellStart"/>
            <w:r w:rsidRPr="00260CE3">
              <w:rPr>
                <w:rFonts w:ascii="Arial Narrow" w:hAnsi="Arial Narrow"/>
                <w:sz w:val="20"/>
              </w:rPr>
              <w:t>Rpts</w:t>
            </w:r>
            <w:proofErr w:type="spellEnd"/>
          </w:p>
        </w:tc>
        <w:tc>
          <w:tcPr>
            <w:tcW w:w="1701" w:type="dxa"/>
            <w:tcBorders>
              <w:bottom w:val="single" w:sz="4" w:space="0" w:color="auto"/>
            </w:tcBorders>
          </w:tcPr>
          <w:p w:rsidR="0060622D" w:rsidRPr="00260CE3" w:rsidRDefault="0060622D" w:rsidP="0060622D">
            <w:pPr>
              <w:keepNext/>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835" w:type="dxa"/>
            <w:gridSpan w:val="2"/>
            <w:tcBorders>
              <w:bottom w:val="single" w:sz="4" w:space="0" w:color="auto"/>
            </w:tcBorders>
          </w:tcPr>
          <w:p w:rsidR="0060622D" w:rsidRPr="00260CE3" w:rsidRDefault="0060622D" w:rsidP="0060622D">
            <w:pPr>
              <w:keepNext/>
              <w:rPr>
                <w:rFonts w:ascii="Arial Narrow" w:hAnsi="Arial Narrow"/>
                <w:sz w:val="20"/>
                <w:lang w:val="fr-FR"/>
              </w:rPr>
            </w:pPr>
            <w:r w:rsidRPr="00260CE3">
              <w:rPr>
                <w:rFonts w:ascii="Arial Narrow" w:hAnsi="Arial Narrow"/>
                <w:sz w:val="20"/>
              </w:rPr>
              <w:t>Proprietary Name and Manufacturer</w:t>
            </w:r>
          </w:p>
        </w:tc>
      </w:tr>
      <w:tr w:rsidR="0060622D" w:rsidRPr="00260CE3" w:rsidTr="0060622D">
        <w:trPr>
          <w:cantSplit/>
          <w:trHeight w:val="577"/>
        </w:trPr>
        <w:tc>
          <w:tcPr>
            <w:tcW w:w="3261" w:type="dxa"/>
            <w:gridSpan w:val="2"/>
          </w:tcPr>
          <w:p w:rsidR="0060622D" w:rsidRDefault="0060622D" w:rsidP="0060622D">
            <w:pPr>
              <w:keepNext/>
              <w:ind w:left="-108"/>
              <w:rPr>
                <w:rFonts w:ascii="Arial Narrow" w:hAnsi="Arial Narrow"/>
                <w:smallCaps/>
                <w:sz w:val="20"/>
              </w:rPr>
            </w:pPr>
            <w:r>
              <w:rPr>
                <w:rFonts w:ascii="Arial Narrow" w:hAnsi="Arial Narrow"/>
                <w:smallCaps/>
                <w:sz w:val="20"/>
              </w:rPr>
              <w:t xml:space="preserve">PRALATREXATE, </w:t>
            </w:r>
          </w:p>
          <w:p w:rsidR="0060622D" w:rsidRPr="00260CE3" w:rsidRDefault="0060622D" w:rsidP="0060622D">
            <w:pPr>
              <w:keepNext/>
              <w:ind w:left="-108"/>
              <w:rPr>
                <w:rFonts w:ascii="Arial Narrow" w:hAnsi="Arial Narrow"/>
                <w:sz w:val="20"/>
              </w:rPr>
            </w:pPr>
            <w:r w:rsidRPr="001D753C">
              <w:rPr>
                <w:rFonts w:ascii="Arial Narrow" w:hAnsi="Arial Narrow"/>
                <w:sz w:val="20"/>
              </w:rPr>
              <w:t>20mg in 1 mL, solution for infusion</w:t>
            </w:r>
          </w:p>
        </w:tc>
        <w:tc>
          <w:tcPr>
            <w:tcW w:w="567" w:type="dxa"/>
          </w:tcPr>
          <w:p w:rsidR="0060622D" w:rsidRPr="00260CE3" w:rsidRDefault="0060622D" w:rsidP="0060622D">
            <w:pPr>
              <w:keepNext/>
              <w:ind w:left="-108"/>
              <w:rPr>
                <w:rFonts w:ascii="Arial Narrow" w:hAnsi="Arial Narrow"/>
                <w:sz w:val="20"/>
              </w:rPr>
            </w:pPr>
          </w:p>
          <w:p w:rsidR="0060622D" w:rsidRPr="00260CE3" w:rsidRDefault="0060622D" w:rsidP="0060622D">
            <w:pPr>
              <w:keepNext/>
              <w:ind w:left="-108"/>
              <w:rPr>
                <w:rFonts w:ascii="Arial Narrow" w:hAnsi="Arial Narrow"/>
                <w:sz w:val="20"/>
              </w:rPr>
            </w:pPr>
            <w:r>
              <w:rPr>
                <w:rFonts w:ascii="Arial Narrow" w:hAnsi="Arial Narrow"/>
                <w:sz w:val="20"/>
              </w:rPr>
              <w:t>80 mg</w:t>
            </w:r>
          </w:p>
        </w:tc>
        <w:tc>
          <w:tcPr>
            <w:tcW w:w="850" w:type="dxa"/>
          </w:tcPr>
          <w:p w:rsidR="0060622D" w:rsidRPr="00260CE3" w:rsidRDefault="0060622D" w:rsidP="0060622D">
            <w:pPr>
              <w:keepNext/>
              <w:ind w:left="-108"/>
              <w:rPr>
                <w:rFonts w:ascii="Arial Narrow" w:hAnsi="Arial Narrow"/>
                <w:sz w:val="20"/>
              </w:rPr>
            </w:pPr>
          </w:p>
          <w:p w:rsidR="0060622D" w:rsidRPr="00260CE3" w:rsidRDefault="0060622D" w:rsidP="0060622D">
            <w:pPr>
              <w:keepNext/>
              <w:ind w:left="-108"/>
              <w:rPr>
                <w:rFonts w:ascii="Arial Narrow" w:hAnsi="Arial Narrow"/>
                <w:sz w:val="20"/>
              </w:rPr>
            </w:pPr>
            <w:r>
              <w:rPr>
                <w:rFonts w:ascii="Arial Narrow" w:hAnsi="Arial Narrow"/>
                <w:sz w:val="20"/>
              </w:rPr>
              <w:t xml:space="preserve"> 11</w:t>
            </w:r>
          </w:p>
        </w:tc>
        <w:tc>
          <w:tcPr>
            <w:tcW w:w="1701" w:type="dxa"/>
          </w:tcPr>
          <w:p w:rsidR="0060622D" w:rsidRPr="00260CE3" w:rsidRDefault="0060622D" w:rsidP="0060622D">
            <w:pPr>
              <w:keepNext/>
              <w:ind w:left="-108"/>
              <w:rPr>
                <w:rFonts w:ascii="Arial Narrow" w:hAnsi="Arial Narrow"/>
                <w:sz w:val="20"/>
              </w:rPr>
            </w:pPr>
          </w:p>
          <w:p w:rsidR="0060622D" w:rsidRDefault="0060622D" w:rsidP="0060622D">
            <w:pPr>
              <w:keepNext/>
              <w:ind w:left="-108"/>
              <w:rPr>
                <w:rFonts w:ascii="Arial Narrow" w:hAnsi="Arial Narrow"/>
                <w:sz w:val="20"/>
              </w:rPr>
            </w:pPr>
            <w:r w:rsidRPr="00260CE3">
              <w:rPr>
                <w:rFonts w:ascii="Arial Narrow" w:hAnsi="Arial Narrow"/>
                <w:sz w:val="20"/>
              </w:rPr>
              <w:t>$</w:t>
            </w:r>
            <w:r w:rsidR="00685063">
              <w:rPr>
                <w:rFonts w:ascii="Arial Narrow" w:hAnsi="Arial Narrow"/>
                <w:noProof/>
                <w:color w:val="000000"/>
                <w:sz w:val="20"/>
                <w:highlight w:val="black"/>
              </w:rPr>
              <w:t>''''''''''''''''''''''''</w:t>
            </w:r>
            <w:r>
              <w:rPr>
                <w:rFonts w:ascii="Arial Narrow" w:hAnsi="Arial Narrow"/>
                <w:sz w:val="20"/>
              </w:rPr>
              <w:t xml:space="preserve"> (public)</w:t>
            </w:r>
          </w:p>
          <w:p w:rsidR="0060622D" w:rsidRPr="00260CE3" w:rsidRDefault="0060622D" w:rsidP="0060622D">
            <w:pPr>
              <w:keepNext/>
              <w:ind w:left="-108"/>
              <w:rPr>
                <w:rFonts w:ascii="Arial Narrow" w:hAnsi="Arial Narrow"/>
                <w:sz w:val="20"/>
              </w:rPr>
            </w:pPr>
            <w:r w:rsidRPr="001D753C">
              <w:rPr>
                <w:rFonts w:ascii="Arial Narrow" w:hAnsi="Arial Narrow"/>
                <w:sz w:val="20"/>
              </w:rPr>
              <w:t>$</w:t>
            </w:r>
            <w:r w:rsidR="00685063">
              <w:rPr>
                <w:rFonts w:ascii="Arial Narrow" w:hAnsi="Arial Narrow"/>
                <w:noProof/>
                <w:color w:val="000000"/>
                <w:sz w:val="20"/>
                <w:highlight w:val="black"/>
              </w:rPr>
              <w:t>''''''''''''''''''''''''</w:t>
            </w:r>
            <w:r>
              <w:rPr>
                <w:rFonts w:ascii="Arial Narrow" w:hAnsi="Arial Narrow"/>
                <w:sz w:val="20"/>
              </w:rPr>
              <w:t xml:space="preserve"> (private)</w:t>
            </w:r>
          </w:p>
        </w:tc>
        <w:tc>
          <w:tcPr>
            <w:tcW w:w="1559" w:type="dxa"/>
          </w:tcPr>
          <w:p w:rsidR="0060622D" w:rsidRPr="00260CE3" w:rsidRDefault="0060622D" w:rsidP="0060622D">
            <w:pPr>
              <w:keepNext/>
              <w:rPr>
                <w:rFonts w:ascii="Arial Narrow" w:hAnsi="Arial Narrow"/>
                <w:sz w:val="20"/>
              </w:rPr>
            </w:pPr>
            <w:proofErr w:type="spellStart"/>
            <w:r w:rsidRPr="001D753C">
              <w:rPr>
                <w:rFonts w:ascii="Arial Narrow" w:hAnsi="Arial Narrow"/>
                <w:sz w:val="20"/>
              </w:rPr>
              <w:t>Folotyn</w:t>
            </w:r>
            <w:proofErr w:type="spellEnd"/>
          </w:p>
        </w:tc>
        <w:tc>
          <w:tcPr>
            <w:tcW w:w="1276" w:type="dxa"/>
          </w:tcPr>
          <w:p w:rsidR="0060622D" w:rsidRPr="00260CE3" w:rsidRDefault="0060622D" w:rsidP="0060622D">
            <w:pPr>
              <w:keepNext/>
              <w:rPr>
                <w:rFonts w:ascii="Arial Narrow" w:hAnsi="Arial Narrow"/>
                <w:sz w:val="20"/>
              </w:rPr>
            </w:pPr>
            <w:proofErr w:type="spellStart"/>
            <w:r w:rsidRPr="001D753C">
              <w:rPr>
                <w:rFonts w:ascii="Arial Narrow" w:hAnsi="Arial Narrow"/>
                <w:sz w:val="20"/>
              </w:rPr>
              <w:t>Mundipharma</w:t>
            </w:r>
            <w:proofErr w:type="spellEnd"/>
          </w:p>
        </w:tc>
      </w:tr>
      <w:tr w:rsidR="0060622D" w:rsidRPr="00260CE3" w:rsidTr="0060622D">
        <w:trPr>
          <w:cantSplit/>
          <w:trHeight w:val="360"/>
        </w:trPr>
        <w:tc>
          <w:tcPr>
            <w:tcW w:w="9214" w:type="dxa"/>
            <w:gridSpan w:val="7"/>
            <w:tcBorders>
              <w:bottom w:val="single" w:sz="4" w:space="0" w:color="auto"/>
            </w:tcBorders>
          </w:tcPr>
          <w:p w:rsidR="0060622D" w:rsidRPr="00260CE3" w:rsidRDefault="0060622D" w:rsidP="0060622D">
            <w:pPr>
              <w:rPr>
                <w:rFonts w:ascii="Arial Narrow" w:hAnsi="Arial Narrow"/>
                <w:sz w:val="20"/>
              </w:rPr>
            </w:pP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 xml:space="preserve">Category / </w:t>
            </w:r>
          </w:p>
          <w:p w:rsidR="0060622D" w:rsidRPr="00260CE3" w:rsidRDefault="0060622D" w:rsidP="0060622D">
            <w:pPr>
              <w:rPr>
                <w:rFonts w:ascii="Arial Narrow" w:hAnsi="Arial Narrow"/>
                <w:b/>
                <w:sz w:val="20"/>
              </w:rPr>
            </w:pPr>
            <w:r w:rsidRPr="00260CE3">
              <w:rPr>
                <w:rFonts w:ascii="Arial Narrow" w:hAnsi="Arial Narrow"/>
                <w:b/>
                <w:sz w:val="20"/>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r w:rsidRPr="00260CE3">
              <w:rPr>
                <w:rFonts w:ascii="Arial Narrow" w:hAnsi="Arial Narrow"/>
                <w:sz w:val="20"/>
              </w:rPr>
              <w:t>Chemotherapy</w:t>
            </w:r>
            <w:r>
              <w:rPr>
                <w:rFonts w:ascii="Arial Narrow" w:hAnsi="Arial Narrow"/>
                <w:sz w:val="20"/>
              </w:rPr>
              <w:t xml:space="preserve"> (Private and Public)</w:t>
            </w:r>
          </w:p>
          <w:p w:rsidR="0060622D" w:rsidRPr="00260CE3" w:rsidRDefault="0060622D" w:rsidP="0060622D">
            <w:pPr>
              <w:rPr>
                <w:rFonts w:ascii="Arial Narrow" w:hAnsi="Arial Narrow"/>
                <w:sz w:val="20"/>
              </w:rPr>
            </w:pP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Default="0060622D" w:rsidP="0060622D">
            <w:pPr>
              <w:rPr>
                <w:rFonts w:ascii="Arial Narrow" w:hAnsi="Arial Narrow"/>
                <w:b/>
                <w:sz w:val="20"/>
              </w:rPr>
            </w:pPr>
            <w:r w:rsidRPr="00260CE3">
              <w:rPr>
                <w:rFonts w:ascii="Arial Narrow" w:hAnsi="Arial Narrow"/>
                <w:b/>
                <w:sz w:val="20"/>
              </w:rPr>
              <w:t>Prescriber type:</w:t>
            </w:r>
          </w:p>
          <w:p w:rsidR="0060622D" w:rsidRPr="00260CE3" w:rsidRDefault="0060622D" w:rsidP="0060622D">
            <w:pPr>
              <w:rPr>
                <w:rFonts w:ascii="Arial Narrow" w:hAnsi="Arial Narrow"/>
                <w:b/>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60622D" w:rsidRPr="00260CE3" w:rsidRDefault="0060622D" w:rsidP="0060622D">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proofErr w:type="spellStart"/>
            <w:r w:rsidRPr="00260CE3">
              <w:rPr>
                <w:rFonts w:ascii="Arial Narrow" w:hAnsi="Arial Narrow"/>
                <w:b/>
                <w:sz w:val="20"/>
              </w:rPr>
              <w:t>Episodicity</w:t>
            </w:r>
            <w:proofErr w:type="spellEnd"/>
            <w:r w:rsidRPr="00260CE3">
              <w:rPr>
                <w:rFonts w:ascii="Arial Narrow" w:hAnsi="Arial Narrow"/>
                <w:b/>
                <w:sz w:val="20"/>
              </w:rPr>
              <w:t>:</w:t>
            </w:r>
          </w:p>
        </w:tc>
        <w:tc>
          <w:tcPr>
            <w:tcW w:w="6379" w:type="dxa"/>
            <w:gridSpan w:val="6"/>
            <w:tcBorders>
              <w:top w:val="single" w:sz="4" w:space="0" w:color="auto"/>
              <w:left w:val="single" w:sz="4" w:space="0" w:color="auto"/>
              <w:bottom w:val="single" w:sz="4" w:space="0" w:color="auto"/>
              <w:right w:val="single" w:sz="4" w:space="0" w:color="auto"/>
            </w:tcBorders>
          </w:tcPr>
          <w:p w:rsidR="0060622D" w:rsidRPr="00A77522" w:rsidRDefault="0060622D" w:rsidP="0060622D">
            <w:pPr>
              <w:rPr>
                <w:rFonts w:ascii="Arial Narrow" w:hAnsi="Arial Narrow"/>
                <w:strike/>
                <w:sz w:val="20"/>
              </w:rPr>
            </w:pPr>
            <w:r w:rsidRPr="00A77522">
              <w:rPr>
                <w:rFonts w:ascii="Arial Narrow" w:hAnsi="Arial Narrow"/>
                <w:strike/>
                <w:sz w:val="20"/>
              </w:rPr>
              <w:t>Peripheral T-cell Lymphoma</w:t>
            </w: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r w:rsidRPr="001D753C">
              <w:rPr>
                <w:rFonts w:ascii="Arial Narrow" w:hAnsi="Arial Narrow"/>
                <w:strike/>
                <w:sz w:val="20"/>
              </w:rPr>
              <w:t>Patients who have</w:t>
            </w:r>
            <w:r>
              <w:rPr>
                <w:rFonts w:ascii="Arial Narrow" w:hAnsi="Arial Narrow"/>
                <w:sz w:val="20"/>
              </w:rPr>
              <w:t xml:space="preserve"> relapsed or chemotherapy refractory </w:t>
            </w:r>
            <w:r w:rsidRPr="001D753C">
              <w:rPr>
                <w:rFonts w:ascii="Arial Narrow" w:hAnsi="Arial Narrow"/>
                <w:strike/>
                <w:sz w:val="20"/>
              </w:rPr>
              <w:t>disease</w:t>
            </w: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r>
              <w:rPr>
                <w:rFonts w:ascii="Arial Narrow" w:hAnsi="Arial Narrow"/>
                <w:sz w:val="20"/>
              </w:rPr>
              <w:t>Peripheral T-cell Lymphoma</w:t>
            </w: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r>
              <w:rPr>
                <w:rFonts w:ascii="Arial Narrow" w:hAnsi="Arial Narrow"/>
                <w:sz w:val="20"/>
              </w:rPr>
              <w:t>Relapsed or chemotherapy refractory peripheral T-cell Lymphoma</w:t>
            </w: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1D753C" w:rsidRDefault="0060622D" w:rsidP="0060622D">
            <w:pPr>
              <w:rPr>
                <w:rFonts w:ascii="Arial Narrow" w:hAnsi="Arial Narrow"/>
                <w:b/>
                <w:sz w:val="20"/>
              </w:rPr>
            </w:pPr>
            <w:r w:rsidRPr="00260CE3">
              <w:rPr>
                <w:rFonts w:ascii="Arial Narrow" w:hAnsi="Arial Narrow"/>
                <w:b/>
                <w:sz w:val="20"/>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0622D" w:rsidRPr="00A77522" w:rsidRDefault="0060622D" w:rsidP="0060622D">
            <w:pPr>
              <w:rPr>
                <w:rFonts w:ascii="Arial Narrow" w:hAnsi="Arial Narrow"/>
                <w:i/>
                <w:sz w:val="20"/>
              </w:rPr>
            </w:pPr>
            <w:r w:rsidRPr="009C57D4">
              <w:rPr>
                <w:rFonts w:ascii="Arial Narrow" w:hAnsi="Arial Narrow"/>
                <w:sz w:val="20"/>
              </w:rPr>
              <w:t>Continuing</w:t>
            </w:r>
            <w:r w:rsidRPr="009C57D4">
              <w:rPr>
                <w:rFonts w:ascii="Arial Narrow" w:hAnsi="Arial Narrow"/>
                <w:strike/>
                <w:sz w:val="20"/>
              </w:rPr>
              <w:t xml:space="preserve"> </w:t>
            </w:r>
            <w:r w:rsidRPr="009C57D4">
              <w:rPr>
                <w:rFonts w:ascii="Arial Narrow" w:hAnsi="Arial Narrow"/>
                <w:sz w:val="20"/>
              </w:rPr>
              <w:t>treatmen</w:t>
            </w:r>
            <w:r w:rsidRPr="009C57D4">
              <w:rPr>
                <w:rFonts w:ascii="Arial Narrow" w:hAnsi="Arial Narrow"/>
                <w:strike/>
                <w:sz w:val="20"/>
              </w:rPr>
              <w:t>t</w:t>
            </w: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60622D" w:rsidRPr="00CD28F3" w:rsidRDefault="0060622D" w:rsidP="0060622D">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0622D" w:rsidRPr="00106BCF" w:rsidRDefault="0060622D" w:rsidP="0060622D">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60622D" w:rsidRPr="00106BCF" w:rsidRDefault="0060622D" w:rsidP="0060622D">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60622D" w:rsidRPr="00106BCF" w:rsidRDefault="0060622D" w:rsidP="0060622D">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3" w:name="Check3"/>
            <w:r>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Pr>
                <w:rFonts w:ascii="Arial Narrow" w:hAnsi="Arial Narrow"/>
                <w:sz w:val="20"/>
              </w:rPr>
              <w:fldChar w:fldCharType="end"/>
            </w:r>
            <w:bookmarkEnd w:id="3"/>
            <w:r w:rsidRPr="00106BCF">
              <w:rPr>
                <w:rFonts w:ascii="Arial Narrow" w:hAnsi="Arial Narrow"/>
                <w:sz w:val="20"/>
              </w:rPr>
              <w:t>Authority Required - Telephone</w:t>
            </w:r>
          </w:p>
          <w:p w:rsidR="0060622D" w:rsidRPr="00106BCF" w:rsidRDefault="0060622D" w:rsidP="0060622D">
            <w:pPr>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Emergency</w:t>
            </w:r>
          </w:p>
          <w:p w:rsidR="0060622D" w:rsidRPr="00106BCF" w:rsidRDefault="0060622D" w:rsidP="0060622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Authority Required - Electronic</w:t>
            </w:r>
          </w:p>
          <w:p w:rsidR="0060622D" w:rsidRPr="00260CE3" w:rsidRDefault="0060622D" w:rsidP="0060622D">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C42F5A">
              <w:rPr>
                <w:rFonts w:ascii="Arial Narrow" w:hAnsi="Arial Narrow"/>
                <w:sz w:val="20"/>
              </w:rPr>
            </w:r>
            <w:r w:rsidR="00C42F5A">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Treatment criteria:</w:t>
            </w:r>
          </w:p>
          <w:p w:rsidR="0060622D" w:rsidRPr="00260CE3" w:rsidRDefault="0060622D" w:rsidP="0060622D">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sz w:val="20"/>
              </w:rPr>
            </w:pPr>
          </w:p>
          <w:p w:rsidR="0060622D" w:rsidRPr="001D753C" w:rsidRDefault="0060622D" w:rsidP="0060622D">
            <w:pPr>
              <w:rPr>
                <w:rFonts w:ascii="Arial Narrow" w:hAnsi="Arial Narrow"/>
                <w:strike/>
                <w:sz w:val="20"/>
              </w:rPr>
            </w:pPr>
            <w:r w:rsidRPr="001D753C">
              <w:rPr>
                <w:rFonts w:ascii="Arial Narrow" w:hAnsi="Arial Narrow"/>
                <w:strike/>
                <w:sz w:val="20"/>
              </w:rPr>
              <w:t>Patient must demonstrate relapsed or chemotherapy-refractory disease to 1</w:t>
            </w:r>
            <w:r w:rsidRPr="001D753C">
              <w:rPr>
                <w:rFonts w:ascii="Arial Narrow" w:hAnsi="Arial Narrow"/>
                <w:strike/>
                <w:sz w:val="20"/>
                <w:vertAlign w:val="superscript"/>
              </w:rPr>
              <w:t>st</w:t>
            </w:r>
            <w:r w:rsidRPr="001D753C">
              <w:rPr>
                <w:rFonts w:ascii="Arial Narrow" w:hAnsi="Arial Narrow"/>
                <w:strike/>
                <w:sz w:val="20"/>
              </w:rPr>
              <w:t xml:space="preserve"> line chemotherapy.</w:t>
            </w: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Clinical criteria:</w:t>
            </w:r>
          </w:p>
          <w:p w:rsidR="0060622D" w:rsidRPr="00260CE3" w:rsidRDefault="0060622D" w:rsidP="0060622D">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0622D" w:rsidRPr="009C57D4" w:rsidRDefault="0060622D" w:rsidP="0060622D">
            <w:pPr>
              <w:rPr>
                <w:rFonts w:ascii="Arial Narrow" w:hAnsi="Arial Narrow"/>
                <w:sz w:val="20"/>
              </w:rPr>
            </w:pPr>
            <w:r w:rsidRPr="009C57D4">
              <w:rPr>
                <w:rFonts w:ascii="Arial Narrow" w:hAnsi="Arial Narrow"/>
                <w:sz w:val="20"/>
              </w:rPr>
              <w:t>Patient must not have progressive disease,</w:t>
            </w:r>
          </w:p>
          <w:p w:rsidR="0060622D" w:rsidRPr="00174092" w:rsidRDefault="0060622D" w:rsidP="0060622D">
            <w:pPr>
              <w:rPr>
                <w:rFonts w:ascii="Arial Narrow" w:hAnsi="Arial Narrow"/>
                <w:sz w:val="20"/>
              </w:rPr>
            </w:pPr>
            <w:r w:rsidRPr="00174092">
              <w:rPr>
                <w:rFonts w:ascii="Arial Narrow" w:hAnsi="Arial Narrow"/>
                <w:sz w:val="20"/>
              </w:rPr>
              <w:t xml:space="preserve">And </w:t>
            </w:r>
          </w:p>
          <w:p w:rsidR="0060622D" w:rsidRPr="00260CE3" w:rsidRDefault="0060622D" w:rsidP="0060622D">
            <w:pPr>
              <w:rPr>
                <w:rFonts w:ascii="Arial Narrow" w:hAnsi="Arial Narrow"/>
                <w:sz w:val="20"/>
              </w:rPr>
            </w:pPr>
            <w:r w:rsidRPr="009C57D4">
              <w:rPr>
                <w:rFonts w:ascii="Arial Narrow" w:hAnsi="Arial Narrow"/>
                <w:sz w:val="20"/>
              </w:rPr>
              <w:t>Patient must have previously been issued with an authority prescription for this drug.</w:t>
            </w:r>
          </w:p>
          <w:p w:rsidR="0060622D" w:rsidRPr="00260CE3" w:rsidRDefault="0060622D" w:rsidP="0060622D">
            <w:pPr>
              <w:rPr>
                <w:rFonts w:ascii="Arial Narrow" w:hAnsi="Arial Narrow"/>
                <w:sz w:val="20"/>
              </w:rPr>
            </w:pP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Prescriber Instructions</w:t>
            </w:r>
          </w:p>
          <w:p w:rsidR="0060622D" w:rsidRPr="00260CE3" w:rsidRDefault="0060622D" w:rsidP="0060622D">
            <w:pPr>
              <w:rPr>
                <w:rFonts w:ascii="Arial Narrow" w:hAnsi="Arial Narrow"/>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0622D" w:rsidRPr="00F12BB4" w:rsidRDefault="0060622D" w:rsidP="0060622D">
            <w:pPr>
              <w:rPr>
                <w:rFonts w:ascii="Arial Narrow" w:hAnsi="Arial Narrow"/>
                <w:sz w:val="20"/>
              </w:rPr>
            </w:pPr>
          </w:p>
        </w:tc>
      </w:tr>
      <w:tr w:rsidR="0060622D" w:rsidRPr="00260CE3" w:rsidTr="0060622D">
        <w:trPr>
          <w:cantSplit/>
          <w:trHeight w:val="360"/>
        </w:trPr>
        <w:tc>
          <w:tcPr>
            <w:tcW w:w="2835" w:type="dxa"/>
            <w:tcBorders>
              <w:top w:val="single" w:sz="4" w:space="0" w:color="auto"/>
              <w:left w:val="single" w:sz="4" w:space="0" w:color="auto"/>
              <w:bottom w:val="single" w:sz="4" w:space="0" w:color="auto"/>
              <w:right w:val="single" w:sz="4" w:space="0" w:color="auto"/>
            </w:tcBorders>
          </w:tcPr>
          <w:p w:rsidR="0060622D" w:rsidRPr="00260CE3" w:rsidRDefault="0060622D" w:rsidP="0060622D">
            <w:pPr>
              <w:rPr>
                <w:rFonts w:ascii="Arial Narrow" w:hAnsi="Arial Narrow"/>
                <w:b/>
                <w:sz w:val="20"/>
              </w:rPr>
            </w:pPr>
            <w:r w:rsidRPr="00260CE3">
              <w:rPr>
                <w:rFonts w:ascii="Arial Narrow" w:hAnsi="Arial Narrow"/>
                <w:b/>
                <w:sz w:val="20"/>
              </w:rPr>
              <w:t>Administrative Advice</w:t>
            </w:r>
          </w:p>
          <w:p w:rsidR="0060622D" w:rsidRPr="00260CE3" w:rsidRDefault="0060622D" w:rsidP="0060622D">
            <w:pPr>
              <w:rPr>
                <w:rFonts w:ascii="Arial Narrow" w:hAnsi="Arial Narrow"/>
                <w:i/>
                <w:sz w:val="20"/>
              </w:rPr>
            </w:pPr>
          </w:p>
        </w:tc>
        <w:tc>
          <w:tcPr>
            <w:tcW w:w="6379" w:type="dxa"/>
            <w:gridSpan w:val="6"/>
            <w:tcBorders>
              <w:top w:val="single" w:sz="4" w:space="0" w:color="auto"/>
              <w:left w:val="single" w:sz="4" w:space="0" w:color="auto"/>
              <w:bottom w:val="single" w:sz="4" w:space="0" w:color="auto"/>
              <w:right w:val="single" w:sz="4" w:space="0" w:color="auto"/>
            </w:tcBorders>
          </w:tcPr>
          <w:p w:rsidR="0060622D" w:rsidRPr="00F12BB4" w:rsidRDefault="0060622D" w:rsidP="0060622D">
            <w:pPr>
              <w:spacing w:before="40" w:after="40"/>
              <w:rPr>
                <w:rFonts w:ascii="Arial Narrow" w:hAnsi="Arial Narrow"/>
                <w:b/>
                <w:color w:val="000000"/>
                <w:sz w:val="20"/>
              </w:rPr>
            </w:pPr>
            <w:r w:rsidRPr="00F12BB4">
              <w:rPr>
                <w:rFonts w:ascii="Arial Narrow" w:hAnsi="Arial Narrow"/>
                <w:b/>
                <w:color w:val="000000"/>
                <w:sz w:val="20"/>
              </w:rPr>
              <w:t>Note</w:t>
            </w:r>
          </w:p>
          <w:p w:rsidR="0060622D" w:rsidRPr="009C57D4" w:rsidRDefault="0060622D" w:rsidP="0060622D">
            <w:pPr>
              <w:spacing w:before="40" w:after="40"/>
              <w:rPr>
                <w:rFonts w:ascii="Arial Narrow" w:hAnsi="Arial Narrow"/>
                <w:i/>
                <w:color w:val="000000"/>
                <w:sz w:val="20"/>
              </w:rPr>
            </w:pPr>
            <w:r w:rsidRPr="009C57D4">
              <w:rPr>
                <w:rFonts w:ascii="Arial Narrow" w:hAnsi="Arial Narrow"/>
                <w:i/>
                <w:color w:val="000000"/>
                <w:sz w:val="20"/>
              </w:rPr>
              <w:t>Any queries concerning the arrangements to prescribe may be directed to the Department of Human Services on 1800 700 270 (hours of operation 8 a.m. to 5 p.m. EST Monday to Friday).</w:t>
            </w:r>
          </w:p>
          <w:p w:rsidR="0060622D" w:rsidRPr="00F12BB4" w:rsidRDefault="0060622D" w:rsidP="0060622D">
            <w:pPr>
              <w:spacing w:before="40" w:after="40"/>
              <w:rPr>
                <w:rFonts w:ascii="Arial Narrow" w:hAnsi="Arial Narrow"/>
                <w:b/>
                <w:color w:val="000000"/>
                <w:sz w:val="20"/>
              </w:rPr>
            </w:pPr>
            <w:r w:rsidRPr="00F12BB4">
              <w:rPr>
                <w:rFonts w:ascii="Arial Narrow" w:hAnsi="Arial Narrow"/>
                <w:b/>
                <w:color w:val="000000"/>
                <w:sz w:val="20"/>
              </w:rPr>
              <w:t>Note</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No increase in the maximum number of repeats may be authorised.</w:t>
            </w:r>
          </w:p>
          <w:p w:rsidR="0060622D" w:rsidRPr="00F12BB4" w:rsidRDefault="0060622D" w:rsidP="0060622D">
            <w:pPr>
              <w:spacing w:before="40" w:after="40"/>
              <w:rPr>
                <w:rFonts w:ascii="Arial Narrow" w:hAnsi="Arial Narrow"/>
                <w:b/>
                <w:color w:val="000000"/>
                <w:sz w:val="20"/>
              </w:rPr>
            </w:pPr>
            <w:r w:rsidRPr="00F12BB4">
              <w:rPr>
                <w:rFonts w:ascii="Arial Narrow" w:hAnsi="Arial Narrow"/>
                <w:b/>
                <w:color w:val="000000"/>
                <w:sz w:val="20"/>
              </w:rPr>
              <w:t>Note</w:t>
            </w:r>
          </w:p>
          <w:p w:rsidR="0060622D" w:rsidRPr="00F12BB4" w:rsidRDefault="0060622D" w:rsidP="0060622D">
            <w:pPr>
              <w:spacing w:before="40" w:after="40"/>
              <w:rPr>
                <w:rFonts w:ascii="Arial Narrow" w:hAnsi="Arial Narrow"/>
                <w:color w:val="000000"/>
                <w:sz w:val="20"/>
              </w:rPr>
            </w:pPr>
            <w:r w:rsidRPr="00F12BB4">
              <w:rPr>
                <w:rFonts w:ascii="Arial Narrow" w:hAnsi="Arial Narrow"/>
                <w:color w:val="000000"/>
                <w:sz w:val="20"/>
              </w:rPr>
              <w:t>No increase in the maximum quantity or number of units may be authorised.</w:t>
            </w:r>
          </w:p>
          <w:p w:rsidR="0060622D" w:rsidRPr="00F12BB4" w:rsidRDefault="0060622D" w:rsidP="0060622D">
            <w:pPr>
              <w:spacing w:before="40" w:after="40"/>
              <w:rPr>
                <w:rFonts w:ascii="Arial Narrow" w:hAnsi="Arial Narrow"/>
                <w:b/>
                <w:color w:val="000000"/>
                <w:sz w:val="20"/>
              </w:rPr>
            </w:pPr>
            <w:r w:rsidRPr="00F12BB4">
              <w:rPr>
                <w:rFonts w:ascii="Arial Narrow" w:hAnsi="Arial Narrow"/>
                <w:b/>
                <w:color w:val="000000"/>
                <w:sz w:val="20"/>
              </w:rPr>
              <w:t>Note</w:t>
            </w:r>
          </w:p>
          <w:p w:rsidR="0060622D" w:rsidRPr="00F12BB4" w:rsidRDefault="0060622D" w:rsidP="0060622D">
            <w:pPr>
              <w:rPr>
                <w:rFonts w:ascii="Arial Narrow" w:hAnsi="Arial Narrow"/>
                <w:sz w:val="20"/>
              </w:rPr>
            </w:pPr>
            <w:r w:rsidRPr="00F12BB4">
              <w:rPr>
                <w:rFonts w:ascii="Arial Narrow" w:hAnsi="Arial Narrow"/>
                <w:color w:val="000000"/>
                <w:sz w:val="20"/>
              </w:rPr>
              <w:t>Special Pricing Arrangements apply.</w:t>
            </w:r>
          </w:p>
        </w:tc>
      </w:tr>
    </w:tbl>
    <w:p w:rsidR="00F2667A" w:rsidRDefault="00F2667A" w:rsidP="00F2667A">
      <w:pPr>
        <w:rPr>
          <w:b/>
        </w:rPr>
      </w:pPr>
    </w:p>
    <w:tbl>
      <w:tblPr>
        <w:tblW w:w="5000" w:type="pct"/>
        <w:tblCellMar>
          <w:left w:w="28" w:type="dxa"/>
          <w:right w:w="28" w:type="dxa"/>
        </w:tblCellMar>
        <w:tblLook w:val="0000" w:firstRow="0" w:lastRow="0" w:firstColumn="0" w:lastColumn="0" w:noHBand="0" w:noVBand="0"/>
        <w:tblCaption w:val="PBAC comment on requested listing"/>
      </w:tblPr>
      <w:tblGrid>
        <w:gridCol w:w="9083"/>
      </w:tblGrid>
      <w:tr w:rsidR="00F2667A" w:rsidRPr="00A939CD" w:rsidTr="00AC5E2D">
        <w:trPr>
          <w:cantSplit/>
          <w:trHeight w:val="360"/>
        </w:trPr>
        <w:tc>
          <w:tcPr>
            <w:tcW w:w="5000" w:type="pct"/>
          </w:tcPr>
          <w:p w:rsidR="00F2667A" w:rsidRPr="00994608" w:rsidRDefault="00F2667A" w:rsidP="00733B01">
            <w:pPr>
              <w:pStyle w:val="ListParagraph"/>
              <w:widowControl/>
              <w:numPr>
                <w:ilvl w:val="1"/>
                <w:numId w:val="1"/>
              </w:numPr>
              <w:ind w:left="720"/>
            </w:pPr>
            <w:r w:rsidRPr="00994608">
              <w:t xml:space="preserve">The </w:t>
            </w:r>
            <w:r w:rsidRPr="0060622D">
              <w:t>requested listing (treatment in second line) is inconsistent with the clinical evidence presented in Section B</w:t>
            </w:r>
            <w:r w:rsidR="0060622D" w:rsidRPr="0060622D">
              <w:t xml:space="preserve"> of the Commentary</w:t>
            </w:r>
            <w:r w:rsidRPr="0060622D">
              <w:t>. Patients in the primary study in Section B (PDX-008) had a median of 3 lines prior therapy.  This was not explored in Section C</w:t>
            </w:r>
            <w:r w:rsidR="0060622D" w:rsidRPr="0060622D">
              <w:t xml:space="preserve"> of the submission</w:t>
            </w:r>
            <w:r w:rsidRPr="0060622D">
              <w:t>.</w:t>
            </w:r>
            <w:r w:rsidRPr="00994608">
              <w:t xml:space="preserve"> </w:t>
            </w:r>
          </w:p>
          <w:p w:rsidR="00F2667A" w:rsidRPr="001207FD" w:rsidRDefault="00F2667A" w:rsidP="00AC5E2D">
            <w:pPr>
              <w:rPr>
                <w:b/>
                <w:sz w:val="20"/>
              </w:rPr>
            </w:pPr>
          </w:p>
        </w:tc>
      </w:tr>
    </w:tbl>
    <w:p w:rsidR="00F2667A" w:rsidRPr="00CC3B3D" w:rsidRDefault="00F2667A" w:rsidP="00733B01">
      <w:pPr>
        <w:pStyle w:val="ListParagraph"/>
        <w:widowControl/>
        <w:numPr>
          <w:ilvl w:val="1"/>
          <w:numId w:val="1"/>
        </w:numPr>
        <w:ind w:left="720"/>
        <w:rPr>
          <w:szCs w:val="22"/>
        </w:rPr>
      </w:pPr>
      <w:r w:rsidRPr="00CC3B3D">
        <w:rPr>
          <w:szCs w:val="22"/>
        </w:rPr>
        <w:t>The requested basis for listing is cost-effectiveness compared with the nominated comparator</w:t>
      </w:r>
      <w:r>
        <w:rPr>
          <w:szCs w:val="22"/>
        </w:rPr>
        <w:t>.</w:t>
      </w:r>
    </w:p>
    <w:p w:rsidR="00FA2BF7" w:rsidRDefault="00FA2BF7" w:rsidP="00F2667A"/>
    <w:p w:rsidR="00F2667A" w:rsidRPr="00407F2D" w:rsidRDefault="00F2667A" w:rsidP="00CE78B5">
      <w:pPr>
        <w:pStyle w:val="Heading1"/>
      </w:pPr>
      <w:bookmarkStart w:id="4" w:name="_Toc430087375"/>
      <w:r w:rsidRPr="00407F2D">
        <w:lastRenderedPageBreak/>
        <w:t>Background</w:t>
      </w:r>
      <w:bookmarkEnd w:id="4"/>
    </w:p>
    <w:p w:rsidR="00F2667A" w:rsidRPr="00882085" w:rsidRDefault="00F2667A" w:rsidP="00F2667A">
      <w:pPr>
        <w:rPr>
          <w:szCs w:val="22"/>
        </w:rPr>
      </w:pPr>
    </w:p>
    <w:p w:rsidR="00F2667A" w:rsidRPr="00F0076B" w:rsidRDefault="00F2667A" w:rsidP="00733B01">
      <w:pPr>
        <w:pStyle w:val="ListParagraph"/>
        <w:widowControl/>
        <w:numPr>
          <w:ilvl w:val="1"/>
          <w:numId w:val="1"/>
        </w:numPr>
        <w:ind w:left="720"/>
        <w:rPr>
          <w:szCs w:val="22"/>
        </w:rPr>
      </w:pPr>
      <w:r w:rsidRPr="006D223A">
        <w:rPr>
          <w:szCs w:val="22"/>
        </w:rPr>
        <w:t xml:space="preserve">TGA status: </w:t>
      </w:r>
      <w:proofErr w:type="spellStart"/>
      <w:r w:rsidRPr="006D223A">
        <w:rPr>
          <w:szCs w:val="22"/>
        </w:rPr>
        <w:t>Pralatrexate</w:t>
      </w:r>
      <w:proofErr w:type="spellEnd"/>
      <w:r w:rsidRPr="006D223A">
        <w:rPr>
          <w:szCs w:val="22"/>
        </w:rPr>
        <w:t xml:space="preserve"> was approved by the TGA in January 2015 for adult patients with</w:t>
      </w:r>
      <w:r>
        <w:rPr>
          <w:szCs w:val="22"/>
        </w:rPr>
        <w:t xml:space="preserve"> peripheral T-cell lymphoma who have progressed after at least one prior therapy. </w:t>
      </w:r>
      <w:r w:rsidR="006D223A">
        <w:rPr>
          <w:szCs w:val="22"/>
        </w:rPr>
        <w:t>The ARTG entry date is 11 August 2015</w:t>
      </w:r>
    </w:p>
    <w:p w:rsidR="00F2667A" w:rsidRPr="00F0076B" w:rsidRDefault="00F2667A" w:rsidP="006B70E7">
      <w:pPr>
        <w:pStyle w:val="ListParagraph"/>
        <w:ind w:left="0"/>
        <w:rPr>
          <w:szCs w:val="22"/>
        </w:rPr>
      </w:pPr>
    </w:p>
    <w:p w:rsidR="00F2667A" w:rsidRDefault="00F2667A" w:rsidP="00733B01">
      <w:pPr>
        <w:pStyle w:val="ListParagraph"/>
        <w:widowControl/>
        <w:numPr>
          <w:ilvl w:val="1"/>
          <w:numId w:val="1"/>
        </w:numPr>
        <w:ind w:left="720"/>
        <w:rPr>
          <w:szCs w:val="22"/>
        </w:rPr>
      </w:pPr>
      <w:proofErr w:type="spellStart"/>
      <w:r w:rsidRPr="00F0076B">
        <w:rPr>
          <w:szCs w:val="22"/>
        </w:rPr>
        <w:t>Pralatrexate</w:t>
      </w:r>
      <w:proofErr w:type="spellEnd"/>
      <w:r w:rsidRPr="00F0076B">
        <w:rPr>
          <w:szCs w:val="22"/>
        </w:rPr>
        <w:t xml:space="preserve"> has not been considered by the PBAC previously.</w:t>
      </w:r>
    </w:p>
    <w:p w:rsidR="005B3507" w:rsidRPr="00F0076B" w:rsidRDefault="005B3507" w:rsidP="00CE78B5">
      <w:pPr>
        <w:pStyle w:val="PBACHeading1"/>
        <w:numPr>
          <w:ilvl w:val="0"/>
          <w:numId w:val="0"/>
        </w:numPr>
        <w:spacing w:line="480" w:lineRule="auto"/>
      </w:pPr>
    </w:p>
    <w:p w:rsidR="00F2667A" w:rsidRPr="00407F2D" w:rsidRDefault="00F2667A" w:rsidP="00CE78B5">
      <w:pPr>
        <w:pStyle w:val="Heading1"/>
      </w:pPr>
      <w:bookmarkStart w:id="5" w:name="_Toc430087376"/>
      <w:r w:rsidRPr="00407F2D">
        <w:t>Clinical place for the proposed therapy</w:t>
      </w:r>
      <w:bookmarkEnd w:id="5"/>
    </w:p>
    <w:p w:rsidR="00F2667A" w:rsidRPr="00882085" w:rsidRDefault="00F2667A" w:rsidP="00F2667A">
      <w:pPr>
        <w:rPr>
          <w:szCs w:val="22"/>
        </w:rPr>
      </w:pPr>
    </w:p>
    <w:p w:rsidR="00F2667A" w:rsidRPr="00B07F54" w:rsidRDefault="00F2667A" w:rsidP="00733B01">
      <w:pPr>
        <w:pStyle w:val="ListParagraph"/>
        <w:widowControl/>
        <w:numPr>
          <w:ilvl w:val="1"/>
          <w:numId w:val="1"/>
        </w:numPr>
        <w:ind w:left="720"/>
        <w:rPr>
          <w:szCs w:val="22"/>
        </w:rPr>
      </w:pPr>
      <w:r w:rsidRPr="00B07F54">
        <w:t xml:space="preserve">Peripheral T-cell lymphoma (PTCL) comprises a group of heterogeneous non-Hodgkin lymphomas that develop from T-cells in different stages of maturity. The sub-types of lymphoma that are categorised as PTCL </w:t>
      </w:r>
      <w:r w:rsidR="00E65815">
        <w:t xml:space="preserve">in the submission </w:t>
      </w:r>
      <w:r w:rsidRPr="00B07F54">
        <w:t>are</w:t>
      </w:r>
      <w:r w:rsidR="00E65815">
        <w:t xml:space="preserve"> </w:t>
      </w:r>
      <w:r w:rsidRPr="00B07F54">
        <w:t>(pA26 of the submission):</w:t>
      </w:r>
    </w:p>
    <w:p w:rsidR="00F2667A" w:rsidRPr="006B70E7" w:rsidRDefault="00F2667A" w:rsidP="00733B01">
      <w:pPr>
        <w:pStyle w:val="ListParagraph"/>
        <w:widowControl/>
        <w:numPr>
          <w:ilvl w:val="0"/>
          <w:numId w:val="7"/>
        </w:numPr>
        <w:rPr>
          <w:szCs w:val="22"/>
        </w:rPr>
      </w:pPr>
      <w:r w:rsidRPr="006B70E7">
        <w:rPr>
          <w:szCs w:val="22"/>
        </w:rPr>
        <w:t xml:space="preserve">Peripheral T-Cell Lymphoma (Not Otherwise Specified - NOS) </w:t>
      </w:r>
    </w:p>
    <w:p w:rsidR="00F2667A" w:rsidRPr="006B70E7" w:rsidRDefault="00F2667A" w:rsidP="00733B01">
      <w:pPr>
        <w:pStyle w:val="ListParagraph"/>
        <w:widowControl/>
        <w:numPr>
          <w:ilvl w:val="0"/>
          <w:numId w:val="7"/>
        </w:numPr>
        <w:rPr>
          <w:szCs w:val="22"/>
        </w:rPr>
      </w:pPr>
      <w:r w:rsidRPr="006B70E7">
        <w:rPr>
          <w:szCs w:val="22"/>
        </w:rPr>
        <w:t>Anaplastic Large-Cell Lymphoma</w:t>
      </w:r>
      <w:r w:rsidR="0060622D" w:rsidRPr="006B70E7">
        <w:rPr>
          <w:szCs w:val="22"/>
        </w:rPr>
        <w:t xml:space="preserve"> (ALCL)</w:t>
      </w:r>
    </w:p>
    <w:p w:rsidR="00F2667A" w:rsidRPr="006B70E7" w:rsidRDefault="00F2667A" w:rsidP="00733B01">
      <w:pPr>
        <w:pStyle w:val="ListParagraph"/>
        <w:widowControl/>
        <w:numPr>
          <w:ilvl w:val="0"/>
          <w:numId w:val="7"/>
        </w:numPr>
        <w:rPr>
          <w:szCs w:val="22"/>
        </w:rPr>
      </w:pPr>
      <w:proofErr w:type="spellStart"/>
      <w:r w:rsidRPr="006B70E7">
        <w:rPr>
          <w:szCs w:val="22"/>
        </w:rPr>
        <w:t>Angioimmunoblastic</w:t>
      </w:r>
      <w:proofErr w:type="spellEnd"/>
      <w:r w:rsidRPr="006B70E7">
        <w:rPr>
          <w:szCs w:val="22"/>
        </w:rPr>
        <w:t xml:space="preserve"> T-cell lymphoma</w:t>
      </w:r>
    </w:p>
    <w:p w:rsidR="00F2667A" w:rsidRPr="006B70E7" w:rsidRDefault="00F2667A" w:rsidP="00733B01">
      <w:pPr>
        <w:pStyle w:val="ListParagraph"/>
        <w:widowControl/>
        <w:numPr>
          <w:ilvl w:val="0"/>
          <w:numId w:val="7"/>
        </w:numPr>
        <w:rPr>
          <w:szCs w:val="22"/>
        </w:rPr>
      </w:pPr>
      <w:r w:rsidRPr="006B70E7">
        <w:rPr>
          <w:szCs w:val="22"/>
        </w:rPr>
        <w:t xml:space="preserve">Primary cutaneous PTCL (primary cutaneous gamma delta T-cell lymphoma, primary cutaneous CD4+  small/medium T-cell lymphoma, and primary cutaneous aggressive </w:t>
      </w:r>
      <w:proofErr w:type="spellStart"/>
      <w:r w:rsidRPr="006B70E7">
        <w:rPr>
          <w:szCs w:val="22"/>
        </w:rPr>
        <w:t>epidermotropic</w:t>
      </w:r>
      <w:proofErr w:type="spellEnd"/>
      <w:r w:rsidRPr="006B70E7">
        <w:rPr>
          <w:szCs w:val="22"/>
        </w:rPr>
        <w:t xml:space="preserve"> CD8+ cytotoxic T-cell lymphoma, Mycosis </w:t>
      </w:r>
      <w:proofErr w:type="spellStart"/>
      <w:r w:rsidRPr="006B70E7">
        <w:rPr>
          <w:szCs w:val="22"/>
        </w:rPr>
        <w:t>Fungoides</w:t>
      </w:r>
      <w:proofErr w:type="spellEnd"/>
      <w:r w:rsidRPr="006B70E7">
        <w:rPr>
          <w:szCs w:val="22"/>
        </w:rPr>
        <w:t xml:space="preserve"> (cutaneous T-cell Lymphoma) and </w:t>
      </w:r>
      <w:proofErr w:type="spellStart"/>
      <w:r w:rsidRPr="006B70E7">
        <w:rPr>
          <w:szCs w:val="22"/>
        </w:rPr>
        <w:t>Sézary</w:t>
      </w:r>
      <w:proofErr w:type="spellEnd"/>
      <w:r w:rsidRPr="006B70E7">
        <w:rPr>
          <w:szCs w:val="22"/>
        </w:rPr>
        <w:t xml:space="preserve"> Syndrome (cutaneous T-cell Lymphoma ))</w:t>
      </w:r>
    </w:p>
    <w:p w:rsidR="00F2667A" w:rsidRPr="006B70E7" w:rsidRDefault="00F2667A" w:rsidP="00733B01">
      <w:pPr>
        <w:pStyle w:val="ListParagraph"/>
        <w:widowControl/>
        <w:numPr>
          <w:ilvl w:val="0"/>
          <w:numId w:val="7"/>
        </w:numPr>
        <w:rPr>
          <w:szCs w:val="22"/>
        </w:rPr>
      </w:pPr>
      <w:proofErr w:type="spellStart"/>
      <w:r w:rsidRPr="006B70E7">
        <w:rPr>
          <w:szCs w:val="22"/>
        </w:rPr>
        <w:t>Enteropathy</w:t>
      </w:r>
      <w:proofErr w:type="spellEnd"/>
      <w:r w:rsidRPr="006B70E7">
        <w:rPr>
          <w:szCs w:val="22"/>
        </w:rPr>
        <w:t>-associated T-Cell Lymphoma (involvement of celiac)</w:t>
      </w:r>
    </w:p>
    <w:p w:rsidR="00F2667A" w:rsidRPr="006B70E7" w:rsidRDefault="00F2667A" w:rsidP="00733B01">
      <w:pPr>
        <w:pStyle w:val="ListParagraph"/>
        <w:widowControl/>
        <w:numPr>
          <w:ilvl w:val="0"/>
          <w:numId w:val="7"/>
        </w:numPr>
        <w:rPr>
          <w:szCs w:val="22"/>
        </w:rPr>
      </w:pPr>
      <w:proofErr w:type="spellStart"/>
      <w:r w:rsidRPr="006B70E7">
        <w:rPr>
          <w:szCs w:val="22"/>
        </w:rPr>
        <w:t>Hepatosplenic</w:t>
      </w:r>
      <w:proofErr w:type="spellEnd"/>
      <w:r w:rsidRPr="006B70E7">
        <w:rPr>
          <w:szCs w:val="22"/>
        </w:rPr>
        <w:t xml:space="preserve"> Gamma-Delta T-Cell Lymphoma</w:t>
      </w:r>
    </w:p>
    <w:p w:rsidR="00F2667A" w:rsidRPr="006B70E7" w:rsidRDefault="00F2667A" w:rsidP="00733B01">
      <w:pPr>
        <w:pStyle w:val="ListParagraph"/>
        <w:widowControl/>
        <w:numPr>
          <w:ilvl w:val="0"/>
          <w:numId w:val="7"/>
        </w:numPr>
        <w:rPr>
          <w:szCs w:val="22"/>
        </w:rPr>
      </w:pPr>
      <w:proofErr w:type="spellStart"/>
      <w:r w:rsidRPr="006B70E7">
        <w:rPr>
          <w:szCs w:val="22"/>
        </w:rPr>
        <w:t>Blastic</w:t>
      </w:r>
      <w:proofErr w:type="spellEnd"/>
      <w:r w:rsidRPr="006B70E7">
        <w:rPr>
          <w:szCs w:val="22"/>
        </w:rPr>
        <w:t xml:space="preserve"> NK-cell lymphoma</w:t>
      </w:r>
    </w:p>
    <w:p w:rsidR="00F2667A" w:rsidRPr="006B70E7" w:rsidRDefault="00F2667A" w:rsidP="00733B01">
      <w:pPr>
        <w:pStyle w:val="ListParagraph"/>
        <w:widowControl/>
        <w:numPr>
          <w:ilvl w:val="0"/>
          <w:numId w:val="7"/>
        </w:numPr>
        <w:rPr>
          <w:szCs w:val="22"/>
        </w:rPr>
      </w:pPr>
      <w:r w:rsidRPr="006B70E7">
        <w:rPr>
          <w:szCs w:val="22"/>
        </w:rPr>
        <w:t xml:space="preserve">Adult T-cell acute Lymphoblastic </w:t>
      </w:r>
      <w:proofErr w:type="spellStart"/>
      <w:r w:rsidRPr="006B70E7">
        <w:rPr>
          <w:szCs w:val="22"/>
        </w:rPr>
        <w:t>Leukemia</w:t>
      </w:r>
      <w:proofErr w:type="spellEnd"/>
      <w:r w:rsidRPr="006B70E7">
        <w:rPr>
          <w:szCs w:val="22"/>
        </w:rPr>
        <w:t xml:space="preserve">/Lymphoma T-Cell </w:t>
      </w:r>
      <w:proofErr w:type="spellStart"/>
      <w:r w:rsidRPr="006B70E7">
        <w:rPr>
          <w:szCs w:val="22"/>
        </w:rPr>
        <w:t>Leukemias</w:t>
      </w:r>
      <w:proofErr w:type="spellEnd"/>
    </w:p>
    <w:p w:rsidR="00F2667A" w:rsidRPr="006B70E7" w:rsidRDefault="00F2667A" w:rsidP="00733B01">
      <w:pPr>
        <w:pStyle w:val="ListParagraph"/>
        <w:widowControl/>
        <w:numPr>
          <w:ilvl w:val="0"/>
          <w:numId w:val="7"/>
        </w:numPr>
        <w:rPr>
          <w:szCs w:val="22"/>
        </w:rPr>
      </w:pPr>
      <w:r w:rsidRPr="006B70E7">
        <w:rPr>
          <w:szCs w:val="22"/>
        </w:rPr>
        <w:t>Subcutaneous panniculitis-like T-cell Lymphoma</w:t>
      </w:r>
    </w:p>
    <w:p w:rsidR="00F2667A" w:rsidRPr="006B70E7" w:rsidRDefault="00F2667A" w:rsidP="00733B01">
      <w:pPr>
        <w:pStyle w:val="ListParagraph"/>
        <w:widowControl/>
        <w:numPr>
          <w:ilvl w:val="0"/>
          <w:numId w:val="7"/>
        </w:numPr>
        <w:rPr>
          <w:szCs w:val="22"/>
        </w:rPr>
      </w:pPr>
      <w:proofErr w:type="spellStart"/>
      <w:r w:rsidRPr="006B70E7">
        <w:rPr>
          <w:szCs w:val="22"/>
        </w:rPr>
        <w:t>Extranodal</w:t>
      </w:r>
      <w:proofErr w:type="spellEnd"/>
      <w:r w:rsidRPr="006B70E7">
        <w:rPr>
          <w:szCs w:val="22"/>
        </w:rPr>
        <w:t xml:space="preserve"> NK (natural killer/T-cell lymphoma) - Nasal T-Cell Lymphoma</w:t>
      </w:r>
    </w:p>
    <w:p w:rsidR="00F2667A" w:rsidRPr="006B70E7" w:rsidRDefault="00F2667A" w:rsidP="00733B01">
      <w:pPr>
        <w:pStyle w:val="ListParagraph"/>
        <w:widowControl/>
        <w:numPr>
          <w:ilvl w:val="0"/>
          <w:numId w:val="7"/>
        </w:numPr>
        <w:rPr>
          <w:szCs w:val="22"/>
        </w:rPr>
      </w:pPr>
      <w:r w:rsidRPr="006B70E7">
        <w:rPr>
          <w:szCs w:val="22"/>
        </w:rPr>
        <w:t>Precursor T-Cell Acute Lymphoblastic Lymphoma or Leukaemia</w:t>
      </w:r>
    </w:p>
    <w:p w:rsidR="00F2667A" w:rsidRPr="00B07F54" w:rsidRDefault="00F2667A" w:rsidP="006B70E7">
      <w:pPr>
        <w:pStyle w:val="ListParagraph"/>
        <w:widowControl/>
        <w:ind w:left="0"/>
        <w:rPr>
          <w:szCs w:val="22"/>
        </w:rPr>
      </w:pPr>
    </w:p>
    <w:p w:rsidR="00F2667A" w:rsidRPr="006D223A" w:rsidRDefault="00F2667A" w:rsidP="00733B01">
      <w:pPr>
        <w:pStyle w:val="ListParagraph"/>
        <w:widowControl/>
        <w:numPr>
          <w:ilvl w:val="1"/>
          <w:numId w:val="1"/>
        </w:numPr>
        <w:ind w:left="720"/>
        <w:rPr>
          <w:szCs w:val="22"/>
        </w:rPr>
      </w:pPr>
      <w:r w:rsidRPr="00B07F54">
        <w:t xml:space="preserve">It is proposed that </w:t>
      </w:r>
      <w:proofErr w:type="spellStart"/>
      <w:r w:rsidRPr="00B07F54">
        <w:t>pralatrexate</w:t>
      </w:r>
      <w:proofErr w:type="spellEnd"/>
      <w:r w:rsidRPr="00B07F54">
        <w:t xml:space="preserve"> will be administered in the second line</w:t>
      </w:r>
      <w:r>
        <w:t xml:space="preserve"> for treatment of PTCL.</w:t>
      </w:r>
      <w:r w:rsidRPr="00B07F54">
        <w:t xml:space="preserve"> </w:t>
      </w:r>
    </w:p>
    <w:p w:rsidR="006D223A" w:rsidRPr="00994608" w:rsidRDefault="006D223A" w:rsidP="00CE78B5">
      <w:pPr>
        <w:pStyle w:val="PBACHeading1"/>
        <w:numPr>
          <w:ilvl w:val="0"/>
          <w:numId w:val="0"/>
        </w:numPr>
        <w:spacing w:line="480" w:lineRule="auto"/>
        <w:ind w:left="720" w:hanging="720"/>
      </w:pPr>
    </w:p>
    <w:p w:rsidR="00F2667A" w:rsidRPr="00407F2D" w:rsidRDefault="00F2667A" w:rsidP="00CE78B5">
      <w:pPr>
        <w:pStyle w:val="Heading1"/>
      </w:pPr>
      <w:bookmarkStart w:id="6" w:name="_Toc430087377"/>
      <w:r w:rsidRPr="00407F2D">
        <w:t>Comparator</w:t>
      </w:r>
      <w:bookmarkEnd w:id="6"/>
    </w:p>
    <w:p w:rsidR="00F2667A" w:rsidRPr="00882085" w:rsidRDefault="00F2667A" w:rsidP="00F2667A"/>
    <w:p w:rsidR="00F2667A" w:rsidRPr="00FA2BF7" w:rsidRDefault="00F2667A" w:rsidP="00733B01">
      <w:pPr>
        <w:pStyle w:val="ListParagraph"/>
        <w:widowControl/>
        <w:numPr>
          <w:ilvl w:val="1"/>
          <w:numId w:val="1"/>
        </w:numPr>
        <w:ind w:left="720"/>
        <w:rPr>
          <w:szCs w:val="22"/>
        </w:rPr>
      </w:pPr>
      <w:r>
        <w:t>The submission nominated a basket of treatments</w:t>
      </w:r>
      <w:r w:rsidRPr="003A1A7A">
        <w:t xml:space="preserve"> as the main comparator. </w:t>
      </w:r>
      <w:r>
        <w:t xml:space="preserve">The basket of treatments included DHAP, </w:t>
      </w:r>
      <w:proofErr w:type="spellStart"/>
      <w:r>
        <w:t>brentuximab</w:t>
      </w:r>
      <w:proofErr w:type="spellEnd"/>
      <w:r>
        <w:t xml:space="preserve">, gemcitabine containing regimens, methotrexate, </w:t>
      </w:r>
      <w:proofErr w:type="spellStart"/>
      <w:r>
        <w:t>romidepsin</w:t>
      </w:r>
      <w:proofErr w:type="spellEnd"/>
      <w:r>
        <w:t xml:space="preserve"> (not PBS listed in Australia), ESHAP, and ICE.</w:t>
      </w:r>
      <w:r w:rsidRPr="00B07F54">
        <w:rPr>
          <w:color w:val="3366FF"/>
        </w:rPr>
        <w:t xml:space="preserve"> </w:t>
      </w:r>
      <w:r w:rsidR="0060622D" w:rsidRPr="00FA2BF7">
        <w:t>The ESC considered that this basket is the</w:t>
      </w:r>
      <w:r w:rsidRPr="00FA2BF7">
        <w:t xml:space="preserve"> appropriate comparator.</w:t>
      </w:r>
    </w:p>
    <w:p w:rsidR="00F2667A" w:rsidRPr="00FA2BF7" w:rsidRDefault="00F2667A" w:rsidP="006D223A">
      <w:pPr>
        <w:rPr>
          <w:szCs w:val="22"/>
        </w:rPr>
      </w:pPr>
    </w:p>
    <w:p w:rsidR="00FA2BF7" w:rsidRDefault="00FA2BF7" w:rsidP="006D223A">
      <w:pPr>
        <w:pStyle w:val="ListParagraph"/>
        <w:ind w:left="709"/>
        <w:rPr>
          <w:i/>
          <w:szCs w:val="22"/>
        </w:rPr>
      </w:pPr>
      <w:r w:rsidRPr="006D223A">
        <w:rPr>
          <w:i/>
          <w:szCs w:val="22"/>
        </w:rPr>
        <w:t>For more detail on PBAC’s view, see section 7 “PBAC outcome”</w:t>
      </w:r>
    </w:p>
    <w:p w:rsidR="00FA2BF7" w:rsidRPr="00A34815" w:rsidRDefault="00FA2BF7" w:rsidP="00CE78B5">
      <w:pPr>
        <w:spacing w:line="480" w:lineRule="auto"/>
        <w:rPr>
          <w:szCs w:val="22"/>
        </w:rPr>
      </w:pPr>
    </w:p>
    <w:p w:rsidR="00F2667A" w:rsidRPr="00407F2D" w:rsidRDefault="00F2667A" w:rsidP="00CE78B5">
      <w:pPr>
        <w:pStyle w:val="Heading1"/>
      </w:pPr>
      <w:bookmarkStart w:id="7" w:name="_Toc430087378"/>
      <w:r>
        <w:t>C</w:t>
      </w:r>
      <w:r w:rsidRPr="00407F2D">
        <w:t>onsideration of the evidence</w:t>
      </w:r>
      <w:bookmarkEnd w:id="7"/>
    </w:p>
    <w:p w:rsidR="00F2667A" w:rsidRDefault="00F2667A" w:rsidP="00F2667A"/>
    <w:p w:rsidR="00FA2BF7" w:rsidRDefault="00FA2BF7" w:rsidP="00CE78B5">
      <w:pPr>
        <w:pStyle w:val="Heading2"/>
      </w:pPr>
      <w:bookmarkStart w:id="8" w:name="_Toc430087379"/>
      <w:r w:rsidRPr="008A539F">
        <w:t>Sponsor hearing</w:t>
      </w:r>
    </w:p>
    <w:p w:rsidR="00CE78B5" w:rsidRPr="00CE78B5" w:rsidRDefault="00CE78B5" w:rsidP="00CE78B5"/>
    <w:p w:rsidR="00FA2BF7" w:rsidRPr="008A539F" w:rsidRDefault="00FA2BF7" w:rsidP="00733B01">
      <w:pPr>
        <w:numPr>
          <w:ilvl w:val="1"/>
          <w:numId w:val="1"/>
        </w:numPr>
        <w:ind w:left="720"/>
        <w:contextualSpacing/>
        <w:rPr>
          <w:bCs/>
          <w:szCs w:val="22"/>
        </w:rPr>
      </w:pPr>
      <w:r w:rsidRPr="008A539F">
        <w:rPr>
          <w:bCs/>
          <w:szCs w:val="22"/>
        </w:rPr>
        <w:t>The</w:t>
      </w:r>
      <w:r w:rsidR="008A539F" w:rsidRPr="008A539F">
        <w:rPr>
          <w:bCs/>
          <w:szCs w:val="22"/>
        </w:rPr>
        <w:t>re was no hearing for this item</w:t>
      </w:r>
      <w:r w:rsidRPr="008A539F">
        <w:rPr>
          <w:bCs/>
          <w:szCs w:val="22"/>
        </w:rPr>
        <w:t>.</w:t>
      </w:r>
    </w:p>
    <w:p w:rsidR="00FA2BF7" w:rsidRPr="008A539F" w:rsidRDefault="00FA2BF7" w:rsidP="008A539F">
      <w:pPr>
        <w:rPr>
          <w:bCs/>
          <w:szCs w:val="22"/>
        </w:rPr>
      </w:pPr>
    </w:p>
    <w:p w:rsidR="008A539F" w:rsidRDefault="00FA2BF7" w:rsidP="00CE78B5">
      <w:pPr>
        <w:pStyle w:val="Heading2"/>
      </w:pPr>
      <w:r w:rsidRPr="008A539F">
        <w:t>Consumer comments</w:t>
      </w:r>
    </w:p>
    <w:p w:rsidR="00CE78B5" w:rsidRPr="00CE78B5" w:rsidRDefault="00CE78B5" w:rsidP="00CE78B5"/>
    <w:p w:rsidR="00FA2BF7" w:rsidRPr="008A539F" w:rsidRDefault="00FA2BF7" w:rsidP="00733B01">
      <w:pPr>
        <w:numPr>
          <w:ilvl w:val="1"/>
          <w:numId w:val="1"/>
        </w:numPr>
        <w:ind w:left="720"/>
        <w:contextualSpacing/>
        <w:rPr>
          <w:bCs/>
          <w:szCs w:val="22"/>
        </w:rPr>
      </w:pPr>
      <w:r w:rsidRPr="008A539F">
        <w:rPr>
          <w:bCs/>
          <w:szCs w:val="22"/>
        </w:rPr>
        <w:t>The PBAC noted that no consumer comme</w:t>
      </w:r>
      <w:r w:rsidR="008A539F" w:rsidRPr="008A539F">
        <w:rPr>
          <w:bCs/>
          <w:szCs w:val="22"/>
        </w:rPr>
        <w:t>nts were received for this item</w:t>
      </w:r>
      <w:r w:rsidRPr="008A539F">
        <w:rPr>
          <w:bCs/>
          <w:szCs w:val="22"/>
        </w:rPr>
        <w:t>.</w:t>
      </w:r>
    </w:p>
    <w:p w:rsidR="00FA2BF7" w:rsidRDefault="00FA2BF7" w:rsidP="00CE78B5">
      <w:pPr>
        <w:pStyle w:val="BodyText"/>
      </w:pPr>
    </w:p>
    <w:p w:rsidR="00F2667A" w:rsidRPr="00CE78B5" w:rsidRDefault="00F2667A" w:rsidP="00F2667A">
      <w:pPr>
        <w:pStyle w:val="Heading2"/>
      </w:pPr>
      <w:r w:rsidRPr="00CE78B5">
        <w:t>Clinical trials</w:t>
      </w:r>
      <w:bookmarkEnd w:id="8"/>
    </w:p>
    <w:p w:rsidR="00F2667A" w:rsidRPr="00CE78B5" w:rsidRDefault="00F2667A" w:rsidP="00F2667A">
      <w:pPr>
        <w:rPr>
          <w:szCs w:val="22"/>
        </w:rPr>
      </w:pPr>
    </w:p>
    <w:p w:rsidR="00F2667A" w:rsidRPr="003000AF" w:rsidRDefault="00F2667A" w:rsidP="00733B01">
      <w:pPr>
        <w:pStyle w:val="ListParagraph"/>
        <w:widowControl/>
        <w:numPr>
          <w:ilvl w:val="1"/>
          <w:numId w:val="1"/>
        </w:numPr>
        <w:ind w:left="720"/>
        <w:rPr>
          <w:szCs w:val="22"/>
        </w:rPr>
      </w:pPr>
      <w:r w:rsidRPr="00862502">
        <w:t xml:space="preserve">The submission is based on </w:t>
      </w:r>
      <w:r>
        <w:t xml:space="preserve">a naïve comparison of </w:t>
      </w:r>
    </w:p>
    <w:p w:rsidR="00F2667A" w:rsidRDefault="00F2667A" w:rsidP="00733B01">
      <w:pPr>
        <w:pStyle w:val="ListParagraph"/>
        <w:widowControl/>
        <w:numPr>
          <w:ilvl w:val="0"/>
          <w:numId w:val="6"/>
        </w:numPr>
      </w:pPr>
      <w:proofErr w:type="spellStart"/>
      <w:r>
        <w:t>Pralatrexate</w:t>
      </w:r>
      <w:proofErr w:type="spellEnd"/>
      <w:r>
        <w:t>: Study PDX-008 (n=</w:t>
      </w:r>
      <w:r w:rsidR="00685063">
        <w:rPr>
          <w:noProof/>
          <w:color w:val="000000"/>
          <w:highlight w:val="black"/>
        </w:rPr>
        <w:t>'''''''''</w:t>
      </w:r>
      <w:r>
        <w:t>). A sub-group of patients from Study PDX-008 (n=</w:t>
      </w:r>
      <w:r w:rsidR="00685063">
        <w:rPr>
          <w:noProof/>
          <w:color w:val="000000"/>
          <w:highlight w:val="black"/>
        </w:rPr>
        <w:t>''''''</w:t>
      </w:r>
      <w:r>
        <w:t>) was matched to a historical control cohort.</w:t>
      </w:r>
    </w:p>
    <w:p w:rsidR="00F2667A" w:rsidRPr="0060622D" w:rsidRDefault="00F2667A" w:rsidP="00733B01">
      <w:pPr>
        <w:pStyle w:val="ListParagraph"/>
        <w:widowControl/>
        <w:numPr>
          <w:ilvl w:val="0"/>
          <w:numId w:val="6"/>
        </w:numPr>
        <w:rPr>
          <w:szCs w:val="22"/>
        </w:rPr>
      </w:pPr>
      <w:r>
        <w:t xml:space="preserve">Comparator treatments: Matched control analysis (MCA). </w:t>
      </w:r>
      <w:r w:rsidR="006B055E">
        <w:t>A subset of p</w:t>
      </w:r>
      <w:r>
        <w:t xml:space="preserve">atients from PDX-008 were matched </w:t>
      </w:r>
      <w:r w:rsidR="0060622D" w:rsidRPr="0060622D">
        <w:rPr>
          <w:i/>
        </w:rPr>
        <w:t>on a 1:1 basis</w:t>
      </w:r>
      <w:r w:rsidR="0060622D" w:rsidRPr="0060622D">
        <w:t xml:space="preserve"> </w:t>
      </w:r>
      <w:r>
        <w:t>to a historical control cohort (n=</w:t>
      </w:r>
      <w:r w:rsidR="00685063">
        <w:rPr>
          <w:noProof/>
          <w:color w:val="000000"/>
          <w:highlight w:val="black"/>
        </w:rPr>
        <w:t>''''''</w:t>
      </w:r>
      <w:r>
        <w:t>).</w:t>
      </w:r>
    </w:p>
    <w:p w:rsidR="0060622D" w:rsidRPr="0060622D" w:rsidRDefault="0060622D" w:rsidP="0060622D">
      <w:pPr>
        <w:widowControl/>
        <w:rPr>
          <w:szCs w:val="22"/>
        </w:rPr>
      </w:pPr>
    </w:p>
    <w:p w:rsidR="0060622D" w:rsidRPr="00FA2BF7" w:rsidRDefault="0060622D" w:rsidP="00733B01">
      <w:pPr>
        <w:pStyle w:val="ListParagraph"/>
        <w:widowControl/>
        <w:numPr>
          <w:ilvl w:val="1"/>
          <w:numId w:val="1"/>
        </w:numPr>
        <w:ind w:left="720"/>
        <w:rPr>
          <w:szCs w:val="22"/>
        </w:rPr>
      </w:pPr>
      <w:r w:rsidRPr="00FA2BF7">
        <w:rPr>
          <w:szCs w:val="22"/>
        </w:rPr>
        <w:t xml:space="preserve">PDX-008 was a Phase 2, single-arm, open-label multi-centre study conducted in US, Canada and Europe for patients with relapsed or refractory PTCL. </w:t>
      </w:r>
      <w:r w:rsidR="00685063">
        <w:rPr>
          <w:noProof/>
          <w:color w:val="000000"/>
          <w:szCs w:val="22"/>
          <w:highlight w:val="black"/>
        </w:rPr>
        <w:t>''''''''</w:t>
      </w:r>
      <w:r w:rsidRPr="00FA2BF7">
        <w:rPr>
          <w:szCs w:val="22"/>
        </w:rPr>
        <w:t xml:space="preserve"> patients were recruited, and </w:t>
      </w:r>
      <w:r w:rsidR="00685063">
        <w:rPr>
          <w:noProof/>
          <w:color w:val="000000"/>
          <w:szCs w:val="22"/>
          <w:highlight w:val="black"/>
        </w:rPr>
        <w:t>'''''''''</w:t>
      </w:r>
      <w:r w:rsidRPr="00FA2BF7">
        <w:rPr>
          <w:szCs w:val="22"/>
        </w:rPr>
        <w:t xml:space="preserve"> patients formed the efficacy evaluable population (received at least 1 dose of </w:t>
      </w:r>
      <w:proofErr w:type="spellStart"/>
      <w:r w:rsidRPr="00FA2BF7">
        <w:rPr>
          <w:szCs w:val="22"/>
        </w:rPr>
        <w:t>pralatrexate</w:t>
      </w:r>
      <w:proofErr w:type="spellEnd"/>
      <w:r w:rsidRPr="00FA2BF7">
        <w:rPr>
          <w:szCs w:val="22"/>
        </w:rPr>
        <w:t xml:space="preserve"> and histology was confirmed by central review). </w:t>
      </w:r>
    </w:p>
    <w:p w:rsidR="0060622D" w:rsidRPr="00FA2BF7" w:rsidRDefault="0060622D" w:rsidP="0060622D">
      <w:pPr>
        <w:pStyle w:val="PBACHeading1"/>
        <w:numPr>
          <w:ilvl w:val="0"/>
          <w:numId w:val="0"/>
        </w:numPr>
        <w:ind w:left="720" w:hanging="720"/>
      </w:pPr>
    </w:p>
    <w:p w:rsidR="0060622D" w:rsidRPr="00FA2BF7" w:rsidRDefault="0060622D" w:rsidP="00733B01">
      <w:pPr>
        <w:pStyle w:val="ListParagraph"/>
        <w:widowControl/>
        <w:numPr>
          <w:ilvl w:val="1"/>
          <w:numId w:val="1"/>
        </w:numPr>
        <w:ind w:left="720"/>
        <w:rPr>
          <w:szCs w:val="22"/>
        </w:rPr>
      </w:pPr>
      <w:r w:rsidRPr="00FA2BF7">
        <w:rPr>
          <w:szCs w:val="22"/>
        </w:rPr>
        <w:t xml:space="preserve">The historical control cohort consisted of </w:t>
      </w:r>
      <w:r w:rsidR="00685063">
        <w:rPr>
          <w:noProof/>
          <w:color w:val="000000"/>
          <w:szCs w:val="22"/>
          <w:highlight w:val="black"/>
        </w:rPr>
        <w:t>'''''' '''''''''''''''''' ''''''''''' ''' '''''''''''''''''''''''' ''''''''''''''' ''''''''''''''''''''''' ''''' ''''''''' ''''''''''''''''' ''''''''' ''''''''''''' '''''''''''''''''' ''''''''''</w:t>
      </w:r>
      <w:r w:rsidRPr="00FA2BF7">
        <w:rPr>
          <w:szCs w:val="22"/>
        </w:rPr>
        <w:t xml:space="preserve"> patients that were consistent with the main PDX-008 inclusion criteria (</w:t>
      </w:r>
      <w:r w:rsidR="00685063">
        <w:rPr>
          <w:noProof/>
          <w:color w:val="000000"/>
          <w:szCs w:val="22"/>
          <w:highlight w:val="black"/>
        </w:rPr>
        <w:t>''''''''''''''''''''''''' '''''''''''''''''''''''''' ''''''''' ''''''''''''''''''' ''''' ''''''''''''' ''' '''''''''''''''''''''' ''''''''' ''''''' ''''''''''''''''''''' ''''''''''''''''''''''''''''</w:t>
      </w:r>
      <w:r w:rsidRPr="00FA2BF7">
        <w:rPr>
          <w:szCs w:val="22"/>
        </w:rPr>
        <w:t>) were extracted.</w:t>
      </w:r>
    </w:p>
    <w:p w:rsidR="0060622D" w:rsidRPr="00FA2BF7" w:rsidRDefault="0060622D" w:rsidP="0060622D">
      <w:pPr>
        <w:pStyle w:val="PBACHeading1"/>
        <w:numPr>
          <w:ilvl w:val="0"/>
          <w:numId w:val="0"/>
        </w:numPr>
      </w:pPr>
    </w:p>
    <w:p w:rsidR="0060622D" w:rsidRPr="00FA2BF7" w:rsidRDefault="0060622D" w:rsidP="00733B01">
      <w:pPr>
        <w:pStyle w:val="ListParagraph"/>
        <w:widowControl/>
        <w:numPr>
          <w:ilvl w:val="1"/>
          <w:numId w:val="1"/>
        </w:numPr>
        <w:ind w:left="720"/>
        <w:rPr>
          <w:szCs w:val="22"/>
        </w:rPr>
      </w:pPr>
      <w:r w:rsidRPr="00FA2BF7">
        <w:rPr>
          <w:szCs w:val="22"/>
        </w:rPr>
        <w:t>Each PDX-008 patient (n=</w:t>
      </w:r>
      <w:r w:rsidR="00685063">
        <w:rPr>
          <w:noProof/>
          <w:color w:val="000000"/>
          <w:szCs w:val="22"/>
          <w:highlight w:val="black"/>
        </w:rPr>
        <w:t>''''''</w:t>
      </w:r>
      <w:r w:rsidRPr="00FA2BF7">
        <w:rPr>
          <w:szCs w:val="22"/>
        </w:rPr>
        <w:t>), for whom a match could be obtained, was matched to multiple control patients (n=</w:t>
      </w:r>
      <w:r w:rsidR="00685063">
        <w:rPr>
          <w:noProof/>
          <w:color w:val="000000"/>
          <w:szCs w:val="22"/>
          <w:highlight w:val="black"/>
        </w:rPr>
        <w:t>''''''''''</w:t>
      </w:r>
      <w:r w:rsidRPr="00FA2BF7">
        <w:rPr>
          <w:szCs w:val="22"/>
        </w:rPr>
        <w:t xml:space="preserve">). Patients were matched on the basis </w:t>
      </w:r>
      <w:r w:rsidR="00685063">
        <w:rPr>
          <w:noProof/>
          <w:color w:val="000000"/>
          <w:szCs w:val="22"/>
          <w:highlight w:val="black"/>
        </w:rPr>
        <w:t>''''' ''''''''''''''' '''''''''''''''''''''''' '''''''''''''''''''''' '''''''''''''''''''' ''''' '''''''''' ''''' '''''''''''''''''''''' '''''''''''''''' ''''''''''''''''''''''' '''''''''' '''''''''' ''''''''''''''''</w:t>
      </w:r>
      <w:r w:rsidRPr="00FA2BF7">
        <w:rPr>
          <w:szCs w:val="22"/>
        </w:rPr>
        <w:t xml:space="preserve">. Patients were not matched on the basis </w:t>
      </w:r>
      <w:r w:rsidR="00685063">
        <w:rPr>
          <w:noProof/>
          <w:color w:val="000000"/>
          <w:szCs w:val="22"/>
          <w:highlight w:val="black"/>
        </w:rPr>
        <w:t>'''' ''''''''''''''''''''''''''''''' ''''''''''''''</w:t>
      </w:r>
      <w:r w:rsidRPr="00FA2BF7">
        <w:rPr>
          <w:szCs w:val="22"/>
        </w:rPr>
        <w:t>.</w:t>
      </w:r>
    </w:p>
    <w:p w:rsidR="00BD03F5" w:rsidRPr="00FA2BF7" w:rsidRDefault="00BD03F5" w:rsidP="00BD03F5">
      <w:pPr>
        <w:pStyle w:val="PBACHeading1"/>
        <w:numPr>
          <w:ilvl w:val="0"/>
          <w:numId w:val="0"/>
        </w:numPr>
      </w:pPr>
    </w:p>
    <w:p w:rsidR="0060622D" w:rsidRPr="00685063" w:rsidRDefault="0060622D" w:rsidP="00733B01">
      <w:pPr>
        <w:pStyle w:val="ListParagraph"/>
        <w:widowControl/>
        <w:numPr>
          <w:ilvl w:val="1"/>
          <w:numId w:val="1"/>
        </w:numPr>
        <w:ind w:left="720"/>
        <w:rPr>
          <w:szCs w:val="22"/>
        </w:rPr>
      </w:pPr>
      <w:r w:rsidRPr="00FA2BF7">
        <w:rPr>
          <w:szCs w:val="22"/>
        </w:rPr>
        <w:t>Each PDX-008 patient (n=</w:t>
      </w:r>
      <w:r w:rsidR="00685063">
        <w:rPr>
          <w:noProof/>
          <w:color w:val="000000"/>
          <w:szCs w:val="22"/>
          <w:highlight w:val="black"/>
        </w:rPr>
        <w:t>''''''</w:t>
      </w:r>
      <w:r w:rsidRPr="00FA2BF7">
        <w:rPr>
          <w:szCs w:val="22"/>
        </w:rPr>
        <w:t xml:space="preserve">) was matched with </w:t>
      </w:r>
      <w:r w:rsidR="00685063">
        <w:rPr>
          <w:noProof/>
          <w:color w:val="000000"/>
          <w:szCs w:val="22"/>
          <w:highlight w:val="black"/>
        </w:rPr>
        <w:t>'''''' '''' '''' '''''''''''''''''' '''''''''''''''''' '''''''''''' ''''''''''''' '''''' '''''''''''''''''' '''''''''''''''''''' '''''' ''''''' '''''''''''''' '''' '''''''' ''''''''''' '''''''''''''' '''''''''' ''''''''''''''''''''''''' ''''''''''' ''''''''''''''''''' ''''''''''''''''''' '''' ''''''''''''''''''''''''''' '''''''''''''''''''''''' ''''''''' '''''''''''' '''''''''''''''''''''''''''''' '''''''''''''''''''''''''</w:t>
      </w:r>
      <w:r w:rsidRPr="00FA2BF7">
        <w:rPr>
          <w:szCs w:val="22"/>
        </w:rPr>
        <w:t xml:space="preserve"> </w:t>
      </w:r>
      <w:r w:rsidR="00685063">
        <w:rPr>
          <w:noProof/>
          <w:color w:val="000000"/>
          <w:szCs w:val="22"/>
          <w:highlight w:val="black"/>
        </w:rPr>
        <w:t>'''''''''''''''''''''' ''''''''' '''''''''''''''''''''''''' '''''''''''' '''' '''''''''''''''''' ''''''''''''''''''''</w:t>
      </w:r>
    </w:p>
    <w:p w:rsidR="0060622D" w:rsidRPr="00FA2BF7" w:rsidRDefault="0060622D" w:rsidP="0060622D">
      <w:pPr>
        <w:pStyle w:val="PBACHeading1"/>
        <w:numPr>
          <w:ilvl w:val="0"/>
          <w:numId w:val="0"/>
        </w:numPr>
        <w:ind w:left="720" w:hanging="720"/>
      </w:pPr>
    </w:p>
    <w:p w:rsidR="006B70E7" w:rsidRDefault="0060622D" w:rsidP="00733B01">
      <w:pPr>
        <w:pStyle w:val="ListParagraph"/>
        <w:widowControl/>
        <w:numPr>
          <w:ilvl w:val="1"/>
          <w:numId w:val="1"/>
        </w:numPr>
        <w:ind w:left="720"/>
        <w:rPr>
          <w:szCs w:val="22"/>
        </w:rPr>
      </w:pPr>
      <w:r w:rsidRPr="00FA2BF7">
        <w:rPr>
          <w:szCs w:val="22"/>
        </w:rPr>
        <w:t xml:space="preserve">Patients with a 1:1 match were identified as a case match. Where cases had multiple control matches the control match was randomly selected. The total matched population was </w:t>
      </w:r>
      <w:r w:rsidR="00685063">
        <w:rPr>
          <w:noProof/>
          <w:color w:val="000000"/>
          <w:szCs w:val="22"/>
          <w:highlight w:val="black"/>
        </w:rPr>
        <w:t>''''''</w:t>
      </w:r>
      <w:r w:rsidRPr="00FA2BF7">
        <w:rPr>
          <w:szCs w:val="22"/>
        </w:rPr>
        <w:t xml:space="preserve"> cases and </w:t>
      </w:r>
      <w:r w:rsidR="00685063">
        <w:rPr>
          <w:noProof/>
          <w:color w:val="000000"/>
          <w:szCs w:val="22"/>
          <w:highlight w:val="black"/>
        </w:rPr>
        <w:t>'''''''</w:t>
      </w:r>
      <w:r w:rsidRPr="00FA2BF7">
        <w:rPr>
          <w:szCs w:val="22"/>
        </w:rPr>
        <w:t xml:space="preserve"> controls</w:t>
      </w:r>
      <w:r w:rsidRPr="0060622D">
        <w:rPr>
          <w:szCs w:val="22"/>
        </w:rPr>
        <w:t>.</w:t>
      </w:r>
    </w:p>
    <w:p w:rsidR="006B70E7" w:rsidRPr="006B70E7" w:rsidRDefault="006B70E7" w:rsidP="006B70E7">
      <w:pPr>
        <w:pStyle w:val="ListParagraph"/>
        <w:rPr>
          <w:szCs w:val="22"/>
        </w:rPr>
      </w:pPr>
    </w:p>
    <w:p w:rsidR="007670D1" w:rsidRDefault="0060622D" w:rsidP="00733B01">
      <w:pPr>
        <w:pStyle w:val="ListParagraph"/>
        <w:widowControl/>
        <w:numPr>
          <w:ilvl w:val="1"/>
          <w:numId w:val="1"/>
        </w:numPr>
        <w:ind w:left="720"/>
        <w:rPr>
          <w:szCs w:val="22"/>
        </w:rPr>
      </w:pPr>
      <w:r w:rsidRPr="006B70E7">
        <w:rPr>
          <w:szCs w:val="22"/>
        </w:rPr>
        <w:t>Further d</w:t>
      </w:r>
      <w:r w:rsidR="00F2667A" w:rsidRPr="006B70E7">
        <w:rPr>
          <w:szCs w:val="22"/>
        </w:rPr>
        <w:t>etails of the studies presented in the submission ar</w:t>
      </w:r>
      <w:r w:rsidR="006B70E7" w:rsidRPr="006B70E7">
        <w:rPr>
          <w:szCs w:val="22"/>
        </w:rPr>
        <w:t>e provided in the table below.</w:t>
      </w:r>
    </w:p>
    <w:p w:rsidR="00C663A5" w:rsidRPr="00C663A5" w:rsidRDefault="00C663A5" w:rsidP="00C663A5">
      <w:pPr>
        <w:pStyle w:val="ListParagraph"/>
        <w:rPr>
          <w:rStyle w:val="CommentReference"/>
          <w:rFonts w:ascii="Arial" w:hAnsi="Arial"/>
          <w:b w:val="0"/>
          <w:sz w:val="22"/>
          <w:szCs w:val="22"/>
        </w:rPr>
      </w:pPr>
    </w:p>
    <w:p w:rsidR="00C663A5" w:rsidRPr="006B70E7" w:rsidRDefault="00C663A5" w:rsidP="00C663A5">
      <w:pPr>
        <w:pStyle w:val="PBACHeading1"/>
        <w:numPr>
          <w:ilvl w:val="0"/>
          <w:numId w:val="0"/>
        </w:numPr>
        <w:ind w:left="720"/>
        <w:rPr>
          <w:rStyle w:val="CommentReference"/>
          <w:rFonts w:ascii="Arial" w:hAnsi="Arial"/>
          <w:b/>
          <w:sz w:val="22"/>
          <w:szCs w:val="22"/>
        </w:rPr>
      </w:pPr>
    </w:p>
    <w:p w:rsidR="00F2667A" w:rsidRDefault="00F2667A" w:rsidP="00A34815">
      <w:pPr>
        <w:keepNext/>
        <w:ind w:firstLine="720"/>
        <w:rPr>
          <w:rStyle w:val="CommentReference"/>
        </w:rPr>
      </w:pPr>
      <w:r w:rsidRPr="000812CA">
        <w:rPr>
          <w:rStyle w:val="CommentReference"/>
        </w:rPr>
        <w:lastRenderedPageBreak/>
        <w:t xml:space="preserve">Table </w:t>
      </w:r>
      <w:r>
        <w:rPr>
          <w:rStyle w:val="CommentReference"/>
        </w:rPr>
        <w:t>1</w:t>
      </w:r>
      <w:r w:rsidRPr="000812CA">
        <w:rPr>
          <w:rStyle w:val="CommentReference"/>
        </w:rPr>
        <w:t xml:space="preserve">: </w:t>
      </w:r>
      <w:r>
        <w:rPr>
          <w:rStyle w:val="CommentReference"/>
        </w:rPr>
        <w:t>Studies</w:t>
      </w:r>
      <w:r w:rsidRPr="000812CA">
        <w:rPr>
          <w:rStyle w:val="CommentReference"/>
        </w:rPr>
        <w:t xml:space="preserve"> and associated reports presented in the submission</w:t>
      </w:r>
    </w:p>
    <w:tbl>
      <w:tblPr>
        <w:tblW w:w="444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Studies presented in the submission"/>
      </w:tblPr>
      <w:tblGrid>
        <w:gridCol w:w="1020"/>
        <w:gridCol w:w="1561"/>
        <w:gridCol w:w="5499"/>
      </w:tblGrid>
      <w:tr w:rsidR="00FC3944" w:rsidRPr="004E2ADC" w:rsidTr="00FC3944">
        <w:trPr>
          <w:cantSplit/>
        </w:trPr>
        <w:tc>
          <w:tcPr>
            <w:tcW w:w="631" w:type="pct"/>
            <w:tcBorders>
              <w:top w:val="single" w:sz="4" w:space="0" w:color="auto"/>
              <w:left w:val="single" w:sz="4" w:space="0" w:color="auto"/>
              <w:bottom w:val="single" w:sz="4" w:space="0" w:color="auto"/>
              <w:right w:val="single" w:sz="4" w:space="0" w:color="auto"/>
            </w:tcBorders>
            <w:vAlign w:val="center"/>
          </w:tcPr>
          <w:p w:rsidR="00FC3944" w:rsidRPr="004E2ADC" w:rsidRDefault="00FC3944" w:rsidP="00F2667A">
            <w:pPr>
              <w:pStyle w:val="TableHeading"/>
              <w:spacing w:before="0" w:after="0"/>
              <w:rPr>
                <w:rFonts w:cs="Arial"/>
                <w:lang w:eastAsia="en-AU"/>
              </w:rPr>
            </w:pPr>
            <w:r w:rsidRPr="004E2ADC">
              <w:rPr>
                <w:rFonts w:cs="Arial"/>
                <w:lang w:eastAsia="en-AU"/>
              </w:rPr>
              <w:t>Study</w:t>
            </w:r>
          </w:p>
        </w:tc>
        <w:tc>
          <w:tcPr>
            <w:tcW w:w="966" w:type="pct"/>
            <w:tcBorders>
              <w:top w:val="single" w:sz="4" w:space="0" w:color="auto"/>
              <w:left w:val="single" w:sz="4" w:space="0" w:color="auto"/>
              <w:bottom w:val="single" w:sz="4" w:space="0" w:color="auto"/>
              <w:right w:val="single" w:sz="4" w:space="0" w:color="auto"/>
            </w:tcBorders>
            <w:vAlign w:val="center"/>
          </w:tcPr>
          <w:p w:rsidR="00FC3944" w:rsidRPr="004E2ADC" w:rsidRDefault="00FC3944" w:rsidP="00F2667A">
            <w:pPr>
              <w:pStyle w:val="TableHeading"/>
              <w:spacing w:before="0" w:after="0"/>
              <w:jc w:val="center"/>
              <w:rPr>
                <w:rFonts w:cs="Arial"/>
                <w:lang w:eastAsia="en-AU"/>
              </w:rPr>
            </w:pPr>
            <w:r w:rsidRPr="004E2ADC">
              <w:rPr>
                <w:rFonts w:cs="Arial"/>
                <w:lang w:eastAsia="en-AU"/>
              </w:rPr>
              <w:t>Description</w:t>
            </w:r>
          </w:p>
        </w:tc>
        <w:tc>
          <w:tcPr>
            <w:tcW w:w="3403" w:type="pct"/>
            <w:tcBorders>
              <w:top w:val="single" w:sz="4" w:space="0" w:color="auto"/>
              <w:left w:val="single" w:sz="4" w:space="0" w:color="auto"/>
              <w:bottom w:val="single" w:sz="4" w:space="0" w:color="auto"/>
              <w:right w:val="single" w:sz="4" w:space="0" w:color="auto"/>
            </w:tcBorders>
            <w:vAlign w:val="center"/>
          </w:tcPr>
          <w:p w:rsidR="00FC3944" w:rsidRPr="004E2ADC" w:rsidRDefault="00FC3944" w:rsidP="00F2667A">
            <w:pPr>
              <w:pStyle w:val="TableHeading"/>
              <w:spacing w:before="0" w:after="0"/>
              <w:jc w:val="center"/>
              <w:rPr>
                <w:rFonts w:cs="Arial"/>
                <w:lang w:eastAsia="en-AU"/>
              </w:rPr>
            </w:pPr>
            <w:r w:rsidRPr="004E2ADC">
              <w:rPr>
                <w:rFonts w:cs="Arial"/>
                <w:lang w:eastAsia="en-AU"/>
              </w:rPr>
              <w:t>Reports</w:t>
            </w:r>
          </w:p>
        </w:tc>
      </w:tr>
      <w:tr w:rsidR="00F2667A" w:rsidRPr="004E2ADC" w:rsidTr="00FC3944">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667A" w:rsidRPr="004E2ADC" w:rsidRDefault="00F2667A" w:rsidP="00F2667A">
            <w:pPr>
              <w:pStyle w:val="TableHeading"/>
              <w:spacing w:before="0" w:after="0"/>
              <w:rPr>
                <w:rFonts w:cs="Arial"/>
                <w:lang w:eastAsia="en-AU"/>
              </w:rPr>
            </w:pPr>
            <w:proofErr w:type="spellStart"/>
            <w:r>
              <w:rPr>
                <w:rFonts w:cs="Arial"/>
                <w:lang w:eastAsia="en-AU"/>
              </w:rPr>
              <w:t>Pralatrexate</w:t>
            </w:r>
            <w:proofErr w:type="spellEnd"/>
          </w:p>
        </w:tc>
      </w:tr>
      <w:tr w:rsidR="00F2667A" w:rsidRPr="004E2ADC" w:rsidTr="00FC3944">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667A" w:rsidRPr="004E2ADC" w:rsidRDefault="00F2667A" w:rsidP="00F2667A">
            <w:pPr>
              <w:pStyle w:val="TableText0"/>
              <w:spacing w:before="0" w:after="0"/>
              <w:rPr>
                <w:rFonts w:cs="Arial"/>
                <w:i/>
                <w:iCs/>
                <w:lang w:eastAsia="en-AU"/>
              </w:rPr>
            </w:pPr>
            <w:r w:rsidRPr="004E2ADC">
              <w:rPr>
                <w:rFonts w:cs="Arial"/>
                <w:i/>
                <w:iCs/>
                <w:lang w:eastAsia="en-AU"/>
              </w:rPr>
              <w:t>Nonrandomised studies</w:t>
            </w:r>
          </w:p>
        </w:tc>
      </w:tr>
      <w:tr w:rsidR="00FC3944" w:rsidRPr="004E2ADC" w:rsidTr="00FC3944">
        <w:trPr>
          <w:cantSplit/>
        </w:trPr>
        <w:tc>
          <w:tcPr>
            <w:tcW w:w="631" w:type="pct"/>
            <w:tcBorders>
              <w:top w:val="single" w:sz="4" w:space="0" w:color="auto"/>
              <w:left w:val="single" w:sz="4" w:space="0" w:color="auto"/>
              <w:bottom w:val="single" w:sz="4" w:space="0" w:color="auto"/>
              <w:right w:val="single" w:sz="4" w:space="0" w:color="auto"/>
            </w:tcBorders>
            <w:vAlign w:val="center"/>
          </w:tcPr>
          <w:p w:rsidR="00FC3944" w:rsidRPr="004E2ADC" w:rsidRDefault="00FC3944" w:rsidP="00F2667A">
            <w:pPr>
              <w:pStyle w:val="TableText0"/>
              <w:spacing w:before="0" w:after="0"/>
              <w:rPr>
                <w:rFonts w:cs="Arial"/>
                <w:lang w:eastAsia="en-AU"/>
              </w:rPr>
            </w:pPr>
            <w:r>
              <w:rPr>
                <w:rFonts w:cs="Arial"/>
                <w:lang w:eastAsia="en-AU"/>
              </w:rPr>
              <w:t>PDX-008</w:t>
            </w:r>
          </w:p>
        </w:tc>
        <w:tc>
          <w:tcPr>
            <w:tcW w:w="966" w:type="pct"/>
            <w:tcBorders>
              <w:top w:val="single" w:sz="4" w:space="0" w:color="auto"/>
              <w:left w:val="single" w:sz="4" w:space="0" w:color="auto"/>
              <w:bottom w:val="single" w:sz="4" w:space="0" w:color="auto"/>
              <w:right w:val="single" w:sz="4" w:space="0" w:color="auto"/>
            </w:tcBorders>
          </w:tcPr>
          <w:p w:rsidR="00FC3944" w:rsidRPr="004E2ADC" w:rsidRDefault="00FC3944" w:rsidP="00F2667A">
            <w:pPr>
              <w:pStyle w:val="TableText0"/>
              <w:spacing w:before="0" w:after="0"/>
              <w:rPr>
                <w:rFonts w:cs="Arial"/>
                <w:lang w:eastAsia="en-AU"/>
              </w:rPr>
            </w:pPr>
            <w:r>
              <w:rPr>
                <w:rFonts w:cs="Arial"/>
                <w:lang w:eastAsia="en-AU"/>
              </w:rPr>
              <w:t xml:space="preserve">Single arm, Phase 2 study evaluating efficacy and safety of </w:t>
            </w:r>
            <w:proofErr w:type="spellStart"/>
            <w:r>
              <w:rPr>
                <w:rFonts w:cs="Arial"/>
                <w:lang w:eastAsia="en-AU"/>
              </w:rPr>
              <w:t>pralatrexate</w:t>
            </w:r>
            <w:proofErr w:type="spellEnd"/>
            <w:r>
              <w:rPr>
                <w:rFonts w:cs="Arial"/>
                <w:lang w:eastAsia="en-AU"/>
              </w:rPr>
              <w:t xml:space="preserve"> in patients with relapsed or refractory peripheral T-cell lymphoma</w:t>
            </w:r>
          </w:p>
        </w:tc>
        <w:tc>
          <w:tcPr>
            <w:tcW w:w="3403" w:type="pct"/>
            <w:tcBorders>
              <w:top w:val="single" w:sz="4" w:space="0" w:color="auto"/>
              <w:left w:val="single" w:sz="4" w:space="0" w:color="auto"/>
              <w:bottom w:val="single" w:sz="4" w:space="0" w:color="auto"/>
              <w:right w:val="single" w:sz="4" w:space="0" w:color="auto"/>
            </w:tcBorders>
          </w:tcPr>
          <w:p w:rsidR="00FC3944" w:rsidRDefault="00FC3944" w:rsidP="00F2667A">
            <w:pPr>
              <w:pStyle w:val="TableText0"/>
              <w:spacing w:before="0" w:after="0"/>
            </w:pPr>
            <w:proofErr w:type="spellStart"/>
            <w:r w:rsidRPr="005E71E9">
              <w:t>Allos</w:t>
            </w:r>
            <w:proofErr w:type="spellEnd"/>
            <w:r w:rsidRPr="005E71E9">
              <w:t xml:space="preserve"> Therapeutics PDX -008: A Multi-</w:t>
            </w:r>
            <w:proofErr w:type="spellStart"/>
            <w:r w:rsidRPr="005E71E9">
              <w:t>center</w:t>
            </w:r>
            <w:proofErr w:type="spellEnd"/>
            <w:r w:rsidRPr="005E71E9">
              <w:t>, Phase 2, Open-label Study of (RS)-10-Propargyl-10-Deazaaminopterin (</w:t>
            </w:r>
            <w:proofErr w:type="spellStart"/>
            <w:r w:rsidRPr="005E71E9">
              <w:t>Pralatrexate</w:t>
            </w:r>
            <w:proofErr w:type="spellEnd"/>
            <w:r w:rsidRPr="005E71E9">
              <w:t>) with Vitamin B12 and Folic Acid Supplementation in Patients with Relapsed or Refractory Peripheral T-cell Lymphoma.</w:t>
            </w:r>
            <w:r>
              <w:t xml:space="preserve"> 29 April 2010</w:t>
            </w:r>
          </w:p>
          <w:p w:rsidR="00FC3944" w:rsidRDefault="00FC3944" w:rsidP="00F2667A">
            <w:pPr>
              <w:pStyle w:val="TableText0"/>
              <w:spacing w:before="0" w:after="0"/>
            </w:pPr>
          </w:p>
          <w:p w:rsidR="00FC3944" w:rsidRDefault="00FC3944" w:rsidP="00F2667A">
            <w:pPr>
              <w:pStyle w:val="TableText0"/>
              <w:spacing w:before="0" w:after="0"/>
            </w:pPr>
            <w:r w:rsidRPr="00714ACF">
              <w:t xml:space="preserve">O'Connor, O. A., B. Pro, L. Pinter-Brown, N. Bartlett, L. </w:t>
            </w:r>
            <w:proofErr w:type="spellStart"/>
            <w:r w:rsidRPr="00714ACF">
              <w:t>Popplewell</w:t>
            </w:r>
            <w:proofErr w:type="spellEnd"/>
            <w:r w:rsidRPr="00714ACF">
              <w:t xml:space="preserve">, B. </w:t>
            </w:r>
            <w:proofErr w:type="spellStart"/>
            <w:r w:rsidRPr="00714ACF">
              <w:t>Coiffier</w:t>
            </w:r>
            <w:proofErr w:type="spellEnd"/>
            <w:r w:rsidRPr="00714ACF">
              <w:t xml:space="preserve">, M. J. </w:t>
            </w:r>
            <w:proofErr w:type="spellStart"/>
            <w:r w:rsidRPr="00714ACF">
              <w:t>Lechowicz</w:t>
            </w:r>
            <w:proofErr w:type="spellEnd"/>
            <w:r w:rsidRPr="00714ACF">
              <w:t xml:space="preserve">, K. J. Savage, A. R. </w:t>
            </w:r>
            <w:proofErr w:type="spellStart"/>
            <w:r w:rsidRPr="00714ACF">
              <w:t>Shustov</w:t>
            </w:r>
            <w:proofErr w:type="spellEnd"/>
            <w:r w:rsidRPr="00714ACF">
              <w:t xml:space="preserve">, C. </w:t>
            </w:r>
            <w:proofErr w:type="spellStart"/>
            <w:r w:rsidRPr="00714ACF">
              <w:t>Gisselbrecht</w:t>
            </w:r>
            <w:proofErr w:type="spellEnd"/>
            <w:r w:rsidRPr="00714ACF">
              <w:t xml:space="preserve">, E. Jacobsen, P. L. </w:t>
            </w:r>
            <w:proofErr w:type="spellStart"/>
            <w:r w:rsidRPr="00714ACF">
              <w:t>Zinzani</w:t>
            </w:r>
            <w:proofErr w:type="spellEnd"/>
            <w:r w:rsidRPr="00714ACF">
              <w:t xml:space="preserve">, R. Furman, A. Goy, C. </w:t>
            </w:r>
            <w:proofErr w:type="spellStart"/>
            <w:r w:rsidRPr="00714ACF">
              <w:t>Haioun</w:t>
            </w:r>
            <w:proofErr w:type="spellEnd"/>
            <w:r w:rsidRPr="00714ACF">
              <w:t xml:space="preserve">, M. Crump, J. M. Zain, </w:t>
            </w:r>
            <w:r>
              <w:t xml:space="preserve">E. </w:t>
            </w:r>
            <w:proofErr w:type="spellStart"/>
            <w:r>
              <w:t>Hsi</w:t>
            </w:r>
            <w:proofErr w:type="spellEnd"/>
            <w:r>
              <w:t xml:space="preserve">, A. Boyd and S. </w:t>
            </w:r>
            <w:proofErr w:type="spellStart"/>
            <w:r>
              <w:t>Horwitz</w:t>
            </w:r>
            <w:proofErr w:type="spellEnd"/>
            <w:r>
              <w:t xml:space="preserve">. </w:t>
            </w:r>
            <w:proofErr w:type="spellStart"/>
            <w:r w:rsidRPr="00714ACF">
              <w:t>Pralatrexate</w:t>
            </w:r>
            <w:proofErr w:type="spellEnd"/>
            <w:r w:rsidRPr="00714ACF">
              <w:t xml:space="preserve"> in patients with relapsed or refractory peripheral T-cell lymphoma: results from the pivotal PROPEL study. Journal of clinical oncology: official journal of the American Society of Clinical Oncology</w:t>
            </w:r>
            <w:r>
              <w:t>, 2011</w:t>
            </w:r>
            <w:proofErr w:type="gramStart"/>
            <w:r>
              <w:t xml:space="preserve">, </w:t>
            </w:r>
            <w:r w:rsidRPr="00714ACF">
              <w:t xml:space="preserve"> 29</w:t>
            </w:r>
            <w:proofErr w:type="gramEnd"/>
            <w:r w:rsidRPr="00714ACF">
              <w:t>(9): 1182-1189.</w:t>
            </w:r>
          </w:p>
          <w:p w:rsidR="00FC3944" w:rsidRDefault="00FC3944" w:rsidP="00F2667A">
            <w:pPr>
              <w:pStyle w:val="TableText0"/>
              <w:spacing w:before="0" w:after="0"/>
            </w:pPr>
          </w:p>
          <w:p w:rsidR="00FC3944" w:rsidRDefault="00FC3944" w:rsidP="00F2667A">
            <w:pPr>
              <w:pStyle w:val="TableText0"/>
              <w:spacing w:before="0" w:after="0"/>
            </w:pPr>
            <w:r w:rsidRPr="00714ACF">
              <w:t xml:space="preserve">O'Connor, O., P. L. </w:t>
            </w:r>
            <w:proofErr w:type="spellStart"/>
            <w:r w:rsidRPr="00714ACF">
              <w:t>Zinzani</w:t>
            </w:r>
            <w:proofErr w:type="spellEnd"/>
            <w:r w:rsidRPr="00714ACF">
              <w:t>,</w:t>
            </w:r>
            <w:r>
              <w:t xml:space="preserve"> T. </w:t>
            </w:r>
            <w:proofErr w:type="spellStart"/>
            <w:r>
              <w:t>Koutsoukos</w:t>
            </w:r>
            <w:proofErr w:type="spellEnd"/>
            <w:r>
              <w:t xml:space="preserve"> and B. </w:t>
            </w:r>
            <w:proofErr w:type="spellStart"/>
            <w:r>
              <w:t>Coiffier</w:t>
            </w:r>
            <w:proofErr w:type="spellEnd"/>
            <w:r w:rsidRPr="00714ACF">
              <w:t xml:space="preserve">. </w:t>
            </w:r>
            <w:proofErr w:type="spellStart"/>
            <w:r w:rsidRPr="00714ACF">
              <w:t>Pralatrexate</w:t>
            </w:r>
            <w:proofErr w:type="spellEnd"/>
            <w:r w:rsidRPr="00714ACF">
              <w:t xml:space="preserve"> reverses the trend in progressive resistance with successive chemotherapy regimens in the treatment of relapsed or refractory per</w:t>
            </w:r>
            <w:r>
              <w:t>ipheral t-cell lymphoma (PTCL).</w:t>
            </w:r>
            <w:r w:rsidRPr="00714ACF">
              <w:t xml:space="preserve"> </w:t>
            </w:r>
            <w:proofErr w:type="spellStart"/>
            <w:r w:rsidRPr="00714ACF">
              <w:t>Haematologica</w:t>
            </w:r>
            <w:proofErr w:type="spellEnd"/>
            <w:r>
              <w:t>, 2011,</w:t>
            </w:r>
            <w:r w:rsidRPr="00714ACF">
              <w:t xml:space="preserve"> 96: 151-152.</w:t>
            </w:r>
          </w:p>
          <w:p w:rsidR="00FC3944" w:rsidRDefault="00FC3944" w:rsidP="00F2667A">
            <w:pPr>
              <w:pStyle w:val="TableText0"/>
              <w:spacing w:before="0" w:after="0"/>
            </w:pPr>
          </w:p>
          <w:p w:rsidR="00FC3944" w:rsidRDefault="00FC3944" w:rsidP="00F2667A">
            <w:pPr>
              <w:pStyle w:val="TableText0"/>
              <w:spacing w:before="0" w:after="0"/>
            </w:pPr>
            <w:r w:rsidRPr="00714ACF">
              <w:t xml:space="preserve">Foss, F. M., S. M. </w:t>
            </w:r>
            <w:proofErr w:type="spellStart"/>
            <w:r w:rsidRPr="00714ACF">
              <w:t>Horwitz</w:t>
            </w:r>
            <w:proofErr w:type="spellEnd"/>
            <w:r w:rsidRPr="00714ACF">
              <w:t xml:space="preserve">, L. Pinter-Brown, A. Goy, B. Pro, B. </w:t>
            </w:r>
            <w:proofErr w:type="spellStart"/>
            <w:r w:rsidRPr="00714ACF">
              <w:t>Coiffier</w:t>
            </w:r>
            <w:proofErr w:type="spellEnd"/>
            <w:r w:rsidRPr="00714ACF">
              <w:t xml:space="preserve">, L. </w:t>
            </w:r>
            <w:proofErr w:type="spellStart"/>
            <w:r w:rsidRPr="00714ACF">
              <w:t>Popplewell</w:t>
            </w:r>
            <w:proofErr w:type="spellEnd"/>
            <w:r w:rsidRPr="00714ACF">
              <w:t xml:space="preserve">, K. J. Savage, A. </w:t>
            </w:r>
            <w:proofErr w:type="spellStart"/>
            <w:r w:rsidRPr="00714ACF">
              <w:t>Shustov</w:t>
            </w:r>
            <w:proofErr w:type="spellEnd"/>
            <w:r w:rsidRPr="00714ACF">
              <w:t xml:space="preserve">, J. M. Zain, T. </w:t>
            </w:r>
            <w:proofErr w:type="spellStart"/>
            <w:r w:rsidRPr="00714ACF">
              <w:t>Koutsoukos</w:t>
            </w:r>
            <w:proofErr w:type="spellEnd"/>
            <w:r w:rsidRPr="00714ACF">
              <w:t>, S. M</w:t>
            </w:r>
            <w:r>
              <w:t xml:space="preserve">. </w:t>
            </w:r>
            <w:proofErr w:type="spellStart"/>
            <w:r>
              <w:t>Fruchtman</w:t>
            </w:r>
            <w:proofErr w:type="spellEnd"/>
            <w:r>
              <w:t xml:space="preserve"> and O. A. O'Connor</w:t>
            </w:r>
            <w:r w:rsidRPr="00714ACF">
              <w:t xml:space="preserve">. </w:t>
            </w:r>
            <w:proofErr w:type="spellStart"/>
            <w:r w:rsidRPr="00714ACF">
              <w:t>Pralatrexate</w:t>
            </w:r>
            <w:proofErr w:type="spellEnd"/>
            <w:r w:rsidRPr="00714ACF">
              <w:t xml:space="preserve"> is an effective treatment for heavily </w:t>
            </w:r>
            <w:proofErr w:type="spellStart"/>
            <w:r w:rsidRPr="00714ACF">
              <w:t>pretreated</w:t>
            </w:r>
            <w:proofErr w:type="spellEnd"/>
            <w:r w:rsidRPr="00714ACF">
              <w:t xml:space="preserve"> patients with relapsed/refractory transformed mycosis </w:t>
            </w:r>
            <w:proofErr w:type="spellStart"/>
            <w:r w:rsidRPr="00714ACF">
              <w:t>fungoides</w:t>
            </w:r>
            <w:proofErr w:type="spellEnd"/>
            <w:r w:rsidRPr="00714ACF">
              <w:t xml:space="preserve"> (TMF). Blood</w:t>
            </w:r>
            <w:r>
              <w:t>, 2010,</w:t>
            </w:r>
            <w:r w:rsidRPr="00714ACF">
              <w:t xml:space="preserve"> 116(21).</w:t>
            </w:r>
          </w:p>
          <w:p w:rsidR="00FC3944" w:rsidRDefault="00FC3944" w:rsidP="00F2667A">
            <w:pPr>
              <w:pStyle w:val="TableText0"/>
              <w:spacing w:before="0" w:after="0"/>
            </w:pPr>
          </w:p>
          <w:p w:rsidR="00FC3944" w:rsidRPr="00714ACF" w:rsidRDefault="00FC3944" w:rsidP="00F2667A">
            <w:pPr>
              <w:pStyle w:val="TableText0"/>
              <w:spacing w:before="0" w:after="0"/>
            </w:pPr>
            <w:r w:rsidRPr="00714ACF">
              <w:t xml:space="preserve">Goy, A., B. Pro, K. J. Savage, N. L. Bartlett, M. J. </w:t>
            </w:r>
            <w:proofErr w:type="spellStart"/>
            <w:r w:rsidRPr="00714ACF">
              <w:t>Lechowicz</w:t>
            </w:r>
            <w:proofErr w:type="spellEnd"/>
            <w:r w:rsidRPr="00714ACF">
              <w:t xml:space="preserve">, E. D. Jacobsen, F. Young, M. Crump, H. </w:t>
            </w:r>
            <w:proofErr w:type="spellStart"/>
            <w:r w:rsidRPr="00714ACF">
              <w:t>Borghaei</w:t>
            </w:r>
            <w:proofErr w:type="spellEnd"/>
            <w:r w:rsidRPr="00714ACF">
              <w:t xml:space="preserve">, B. Link, S. M. </w:t>
            </w:r>
            <w:proofErr w:type="spellStart"/>
            <w:r w:rsidRPr="00714ACF">
              <w:t>Fruchtman</w:t>
            </w:r>
            <w:proofErr w:type="spellEnd"/>
            <w:r w:rsidRPr="00714ACF">
              <w:t xml:space="preserve"> and O. A. O'Conn</w:t>
            </w:r>
            <w:r>
              <w:t xml:space="preserve">or. </w:t>
            </w:r>
            <w:proofErr w:type="spellStart"/>
            <w:r w:rsidRPr="00714ACF">
              <w:t>Pralatrexate</w:t>
            </w:r>
            <w:proofErr w:type="spellEnd"/>
            <w:r w:rsidRPr="00714ACF">
              <w:t xml:space="preserve"> is effective in patients with relapsed or refractory peripheral T-cell lymphoma (PTCL) with prior </w:t>
            </w:r>
            <w:proofErr w:type="spellStart"/>
            <w:r w:rsidRPr="00714ACF">
              <w:t>ifosfamide</w:t>
            </w:r>
            <w:proofErr w:type="spellEnd"/>
            <w:r w:rsidRPr="00714ACF">
              <w:t xml:space="preserve">, carboplatin, and </w:t>
            </w:r>
            <w:proofErr w:type="spellStart"/>
            <w:r>
              <w:t>etoposide</w:t>
            </w:r>
            <w:proofErr w:type="spellEnd"/>
            <w:r>
              <w:t xml:space="preserve"> (ICE)-based regimens, 2010,</w:t>
            </w:r>
            <w:r w:rsidRPr="00714ACF">
              <w:t xml:space="preserve"> Blood 116(21).</w:t>
            </w:r>
          </w:p>
        </w:tc>
      </w:tr>
      <w:tr w:rsidR="00F2667A" w:rsidRPr="004E2ADC" w:rsidTr="00FC3944">
        <w:trPr>
          <w:cantSplit/>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667A" w:rsidRPr="004E2ADC" w:rsidRDefault="00F2667A" w:rsidP="00F2667A">
            <w:pPr>
              <w:pStyle w:val="TableText0"/>
              <w:spacing w:before="0" w:after="0"/>
              <w:rPr>
                <w:rFonts w:cs="Arial"/>
                <w:b/>
                <w:bCs/>
                <w:lang w:eastAsia="en-AU"/>
              </w:rPr>
            </w:pPr>
            <w:r w:rsidRPr="004E2ADC">
              <w:rPr>
                <w:rFonts w:cs="Arial"/>
                <w:b/>
                <w:bCs/>
                <w:lang w:eastAsia="en-AU"/>
              </w:rPr>
              <w:t>Main comparator</w:t>
            </w:r>
          </w:p>
        </w:tc>
      </w:tr>
      <w:tr w:rsidR="00FC3944" w:rsidRPr="004E2ADC" w:rsidTr="00FC3944">
        <w:trPr>
          <w:cantSplit/>
        </w:trPr>
        <w:tc>
          <w:tcPr>
            <w:tcW w:w="631" w:type="pct"/>
            <w:tcBorders>
              <w:top w:val="single" w:sz="4" w:space="0" w:color="auto"/>
              <w:left w:val="single" w:sz="4" w:space="0" w:color="auto"/>
              <w:bottom w:val="single" w:sz="4" w:space="0" w:color="auto"/>
              <w:right w:val="single" w:sz="4" w:space="0" w:color="auto"/>
            </w:tcBorders>
            <w:vAlign w:val="center"/>
          </w:tcPr>
          <w:p w:rsidR="00FC3944" w:rsidRPr="004E2ADC" w:rsidRDefault="00FC3944" w:rsidP="00F2667A">
            <w:pPr>
              <w:pStyle w:val="TableText0"/>
              <w:spacing w:before="0" w:after="0"/>
              <w:rPr>
                <w:rFonts w:cs="Arial"/>
                <w:lang w:eastAsia="en-AU"/>
              </w:rPr>
            </w:pPr>
            <w:r>
              <w:rPr>
                <w:rFonts w:cs="Arial"/>
                <w:lang w:eastAsia="en-AU"/>
              </w:rPr>
              <w:t>Matched controls analysis</w:t>
            </w:r>
          </w:p>
        </w:tc>
        <w:tc>
          <w:tcPr>
            <w:tcW w:w="966" w:type="pct"/>
            <w:tcBorders>
              <w:top w:val="single" w:sz="4" w:space="0" w:color="auto"/>
              <w:left w:val="single" w:sz="4" w:space="0" w:color="auto"/>
              <w:bottom w:val="single" w:sz="4" w:space="0" w:color="auto"/>
              <w:right w:val="single" w:sz="4" w:space="0" w:color="auto"/>
            </w:tcBorders>
          </w:tcPr>
          <w:p w:rsidR="00FC3944" w:rsidRPr="004E2ADC" w:rsidRDefault="00FC3944" w:rsidP="00F2667A">
            <w:pPr>
              <w:pStyle w:val="TableText0"/>
              <w:spacing w:before="0" w:after="0"/>
              <w:rPr>
                <w:rFonts w:cs="Arial"/>
                <w:lang w:eastAsia="en-AU"/>
              </w:rPr>
            </w:pPr>
            <w:r>
              <w:rPr>
                <w:rFonts w:cs="Arial"/>
                <w:lang w:eastAsia="en-AU"/>
              </w:rPr>
              <w:t>Individual patient historical control data matched to patients in PDX-008</w:t>
            </w:r>
          </w:p>
        </w:tc>
        <w:tc>
          <w:tcPr>
            <w:tcW w:w="3403" w:type="pct"/>
            <w:tcBorders>
              <w:top w:val="single" w:sz="4" w:space="0" w:color="auto"/>
              <w:left w:val="single" w:sz="4" w:space="0" w:color="auto"/>
              <w:bottom w:val="single" w:sz="4" w:space="0" w:color="auto"/>
              <w:right w:val="single" w:sz="4" w:space="0" w:color="auto"/>
            </w:tcBorders>
          </w:tcPr>
          <w:p w:rsidR="00FC3944" w:rsidRPr="004E2ADC" w:rsidRDefault="00FC3944" w:rsidP="00F2667A">
            <w:pPr>
              <w:pStyle w:val="TableText0"/>
              <w:spacing w:before="0" w:after="0"/>
              <w:rPr>
                <w:rFonts w:cs="Arial"/>
                <w:lang w:eastAsia="en-AU"/>
              </w:rPr>
            </w:pPr>
            <w:proofErr w:type="spellStart"/>
            <w:r w:rsidRPr="00714ACF">
              <w:rPr>
                <w:rFonts w:cs="Arial"/>
                <w:lang w:eastAsia="en-AU"/>
              </w:rPr>
              <w:t>Allos</w:t>
            </w:r>
            <w:proofErr w:type="spellEnd"/>
            <w:r w:rsidRPr="00714ACF">
              <w:rPr>
                <w:rFonts w:cs="Arial"/>
                <w:lang w:eastAsia="en-AU"/>
              </w:rPr>
              <w:t xml:space="preserve"> Therapeutics Ltd. Historical Controls Data Report, including Attachments.  August 2013</w:t>
            </w:r>
          </w:p>
        </w:tc>
      </w:tr>
    </w:tbl>
    <w:p w:rsidR="00F2667A" w:rsidRPr="001F05D8" w:rsidRDefault="00F2667A" w:rsidP="00F2667A">
      <w:pPr>
        <w:keepNext/>
        <w:ind w:firstLine="720"/>
        <w:rPr>
          <w:rFonts w:ascii="Arial Narrow" w:hAnsi="Arial Narrow"/>
          <w:sz w:val="18"/>
          <w:szCs w:val="18"/>
        </w:rPr>
      </w:pPr>
      <w:r w:rsidRPr="001F05D8">
        <w:rPr>
          <w:rFonts w:ascii="Arial Narrow" w:hAnsi="Arial Narrow"/>
          <w:sz w:val="18"/>
          <w:szCs w:val="18"/>
        </w:rPr>
        <w:t>Source: Table B.2.2, p B13 of the submission</w:t>
      </w:r>
    </w:p>
    <w:p w:rsidR="00F2667A" w:rsidRDefault="00F2667A" w:rsidP="00F2667A">
      <w:pPr>
        <w:ind w:firstLine="720"/>
        <w:rPr>
          <w:rStyle w:val="CommentReference"/>
        </w:rPr>
      </w:pPr>
    </w:p>
    <w:p w:rsidR="00F2667A" w:rsidRPr="00B50DB8" w:rsidRDefault="00F2667A" w:rsidP="00733B01">
      <w:pPr>
        <w:pStyle w:val="ListParagraph"/>
        <w:keepNext/>
        <w:widowControl/>
        <w:numPr>
          <w:ilvl w:val="1"/>
          <w:numId w:val="1"/>
        </w:numPr>
        <w:ind w:left="720"/>
        <w:rPr>
          <w:szCs w:val="22"/>
        </w:rPr>
      </w:pPr>
      <w:r w:rsidRPr="00B50DB8">
        <w:rPr>
          <w:szCs w:val="22"/>
        </w:rPr>
        <w:lastRenderedPageBreak/>
        <w:t xml:space="preserve">The key features of the </w:t>
      </w:r>
      <w:r>
        <w:rPr>
          <w:szCs w:val="22"/>
        </w:rPr>
        <w:t>studies</w:t>
      </w:r>
      <w:r w:rsidRPr="00B50DB8">
        <w:rPr>
          <w:szCs w:val="22"/>
        </w:rPr>
        <w:t xml:space="preserve"> are summarised in the table below.  </w:t>
      </w:r>
    </w:p>
    <w:p w:rsidR="00F2667A" w:rsidRDefault="00F2667A" w:rsidP="00196F1B">
      <w:pPr>
        <w:keepNext/>
        <w:widowControl/>
        <w:rPr>
          <w:szCs w:val="22"/>
        </w:rPr>
      </w:pPr>
    </w:p>
    <w:p w:rsidR="00F2667A" w:rsidRPr="00E2771E" w:rsidRDefault="006103DA" w:rsidP="00196F1B">
      <w:pPr>
        <w:keepNext/>
        <w:ind w:firstLine="720"/>
        <w:rPr>
          <w:rStyle w:val="CommentReference"/>
        </w:rPr>
      </w:pPr>
      <w:r>
        <w:rPr>
          <w:rStyle w:val="CommentReference"/>
        </w:rPr>
        <w:t xml:space="preserve">Table </w:t>
      </w:r>
      <w:r w:rsidR="00F2667A">
        <w:rPr>
          <w:rStyle w:val="CommentReference"/>
        </w:rPr>
        <w:t>2</w:t>
      </w:r>
      <w:r w:rsidR="00F2667A" w:rsidRPr="00E2771E">
        <w:rPr>
          <w:rStyle w:val="CommentReference"/>
        </w:rPr>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133"/>
        <w:gridCol w:w="711"/>
        <w:gridCol w:w="1843"/>
        <w:gridCol w:w="991"/>
        <w:gridCol w:w="1417"/>
        <w:gridCol w:w="1133"/>
        <w:gridCol w:w="1117"/>
      </w:tblGrid>
      <w:tr w:rsidR="00F2667A" w:rsidRPr="00E2771E" w:rsidTr="00AC5E2D">
        <w:tc>
          <w:tcPr>
            <w:tcW w:w="679" w:type="pct"/>
            <w:shd w:val="clear" w:color="auto" w:fill="auto"/>
            <w:vAlign w:val="center"/>
          </w:tcPr>
          <w:p w:rsidR="00F2667A" w:rsidRPr="00E2771E" w:rsidRDefault="00F2667A" w:rsidP="00196F1B">
            <w:pPr>
              <w:keepNext/>
              <w:jc w:val="left"/>
              <w:rPr>
                <w:rFonts w:ascii="Arial Narrow" w:hAnsi="Arial Narrow"/>
                <w:b/>
                <w:sz w:val="20"/>
                <w:lang w:val="en-US"/>
              </w:rPr>
            </w:pPr>
            <w:r w:rsidRPr="00E2771E">
              <w:rPr>
                <w:rFonts w:ascii="Arial Narrow" w:hAnsi="Arial Narrow"/>
                <w:b/>
                <w:sz w:val="20"/>
                <w:lang w:val="en-US"/>
              </w:rPr>
              <w:t>Trial</w:t>
            </w:r>
          </w:p>
        </w:tc>
        <w:tc>
          <w:tcPr>
            <w:tcW w:w="426" w:type="pct"/>
            <w:shd w:val="clear" w:color="auto" w:fill="auto"/>
            <w:vAlign w:val="center"/>
          </w:tcPr>
          <w:p w:rsidR="00F2667A" w:rsidRPr="00E2771E" w:rsidRDefault="00F2667A" w:rsidP="00196F1B">
            <w:pPr>
              <w:keepNext/>
              <w:jc w:val="center"/>
              <w:rPr>
                <w:rFonts w:ascii="Arial Narrow" w:hAnsi="Arial Narrow"/>
                <w:b/>
                <w:sz w:val="20"/>
                <w:lang w:val="en-US"/>
              </w:rPr>
            </w:pPr>
            <w:r w:rsidRPr="00E2771E">
              <w:rPr>
                <w:rFonts w:ascii="Arial Narrow" w:hAnsi="Arial Narrow"/>
                <w:b/>
                <w:sz w:val="20"/>
                <w:lang w:val="en-US"/>
              </w:rPr>
              <w:t>N</w:t>
            </w:r>
          </w:p>
        </w:tc>
        <w:tc>
          <w:tcPr>
            <w:tcW w:w="1104" w:type="pct"/>
            <w:shd w:val="clear" w:color="auto" w:fill="auto"/>
            <w:vAlign w:val="center"/>
          </w:tcPr>
          <w:p w:rsidR="00F2667A" w:rsidRPr="00E2771E" w:rsidRDefault="00F2667A" w:rsidP="00196F1B">
            <w:pPr>
              <w:keepNext/>
              <w:jc w:val="center"/>
              <w:rPr>
                <w:rFonts w:ascii="Arial Narrow" w:hAnsi="Arial Narrow"/>
                <w:b/>
                <w:sz w:val="20"/>
                <w:lang w:val="en-US"/>
              </w:rPr>
            </w:pPr>
            <w:r w:rsidRPr="00E2771E">
              <w:rPr>
                <w:rFonts w:ascii="Arial Narrow" w:hAnsi="Arial Narrow"/>
                <w:b/>
                <w:sz w:val="20"/>
                <w:lang w:val="en-US"/>
              </w:rPr>
              <w:t>Design/ duration</w:t>
            </w:r>
          </w:p>
        </w:tc>
        <w:tc>
          <w:tcPr>
            <w:tcW w:w="594" w:type="pct"/>
            <w:shd w:val="clear" w:color="auto" w:fill="auto"/>
            <w:vAlign w:val="center"/>
          </w:tcPr>
          <w:p w:rsidR="00F2667A" w:rsidRPr="00E2771E" w:rsidRDefault="00F2667A" w:rsidP="00196F1B">
            <w:pPr>
              <w:keepNext/>
              <w:jc w:val="center"/>
              <w:rPr>
                <w:rFonts w:ascii="Arial Narrow" w:hAnsi="Arial Narrow"/>
                <w:b/>
                <w:sz w:val="20"/>
                <w:lang w:val="en-US"/>
              </w:rPr>
            </w:pPr>
            <w:r w:rsidRPr="00E2771E">
              <w:rPr>
                <w:rFonts w:ascii="Arial Narrow" w:hAnsi="Arial Narrow"/>
                <w:b/>
                <w:sz w:val="20"/>
                <w:lang w:val="en-US"/>
              </w:rPr>
              <w:t>Risk of bias</w:t>
            </w:r>
          </w:p>
        </w:tc>
        <w:tc>
          <w:tcPr>
            <w:tcW w:w="849" w:type="pct"/>
            <w:shd w:val="clear" w:color="auto" w:fill="auto"/>
            <w:vAlign w:val="center"/>
          </w:tcPr>
          <w:p w:rsidR="00F2667A" w:rsidRPr="00E2771E" w:rsidRDefault="00F2667A" w:rsidP="00196F1B">
            <w:pPr>
              <w:keepNext/>
              <w:jc w:val="center"/>
              <w:rPr>
                <w:rFonts w:ascii="Arial Narrow" w:hAnsi="Arial Narrow"/>
                <w:b/>
                <w:sz w:val="20"/>
                <w:lang w:val="en-US"/>
              </w:rPr>
            </w:pPr>
            <w:r w:rsidRPr="00E2771E">
              <w:rPr>
                <w:rFonts w:ascii="Arial Narrow" w:hAnsi="Arial Narrow"/>
                <w:b/>
                <w:sz w:val="20"/>
                <w:lang w:val="en-US"/>
              </w:rPr>
              <w:t>Patient population</w:t>
            </w:r>
          </w:p>
        </w:tc>
        <w:tc>
          <w:tcPr>
            <w:tcW w:w="679" w:type="pct"/>
            <w:shd w:val="clear" w:color="auto" w:fill="auto"/>
            <w:vAlign w:val="center"/>
          </w:tcPr>
          <w:p w:rsidR="00F2667A" w:rsidRPr="00E2771E" w:rsidRDefault="00F2667A" w:rsidP="00196F1B">
            <w:pPr>
              <w:keepNext/>
              <w:jc w:val="center"/>
              <w:rPr>
                <w:rFonts w:ascii="Arial Narrow" w:hAnsi="Arial Narrow"/>
                <w:b/>
                <w:sz w:val="20"/>
                <w:lang w:val="en-US"/>
              </w:rPr>
            </w:pPr>
            <w:r w:rsidRPr="00E2771E">
              <w:rPr>
                <w:rFonts w:ascii="Arial Narrow" w:hAnsi="Arial Narrow"/>
                <w:b/>
                <w:sz w:val="20"/>
                <w:lang w:val="en-US"/>
              </w:rPr>
              <w:t>Outcome(s)</w:t>
            </w:r>
          </w:p>
        </w:tc>
        <w:tc>
          <w:tcPr>
            <w:tcW w:w="669" w:type="pct"/>
            <w:shd w:val="clear" w:color="auto" w:fill="auto"/>
            <w:vAlign w:val="center"/>
          </w:tcPr>
          <w:p w:rsidR="00F2667A" w:rsidRPr="00E2771E" w:rsidRDefault="00F2667A" w:rsidP="00196F1B">
            <w:pPr>
              <w:keepNext/>
              <w:jc w:val="center"/>
              <w:rPr>
                <w:rFonts w:ascii="Arial Narrow" w:hAnsi="Arial Narrow"/>
                <w:b/>
                <w:sz w:val="20"/>
                <w:lang w:val="en-US"/>
              </w:rPr>
            </w:pPr>
            <w:r w:rsidRPr="00E2771E">
              <w:rPr>
                <w:rFonts w:ascii="Arial Narrow" w:hAnsi="Arial Narrow"/>
                <w:b/>
                <w:sz w:val="20"/>
                <w:lang w:val="en-US"/>
              </w:rPr>
              <w:t>Use in modelled evaluation</w:t>
            </w:r>
          </w:p>
        </w:tc>
      </w:tr>
      <w:tr w:rsidR="00F2667A" w:rsidRPr="00E2771E" w:rsidTr="00AC5E2D">
        <w:tc>
          <w:tcPr>
            <w:tcW w:w="5000" w:type="pct"/>
            <w:gridSpan w:val="7"/>
            <w:shd w:val="clear" w:color="auto" w:fill="auto"/>
            <w:vAlign w:val="center"/>
          </w:tcPr>
          <w:p w:rsidR="00F2667A" w:rsidRPr="00E2771E" w:rsidRDefault="00F2667A" w:rsidP="00196F1B">
            <w:pPr>
              <w:keepNext/>
              <w:jc w:val="left"/>
              <w:rPr>
                <w:rFonts w:ascii="Arial Narrow" w:hAnsi="Arial Narrow"/>
                <w:b/>
                <w:sz w:val="20"/>
                <w:lang w:val="en-US"/>
              </w:rPr>
            </w:pPr>
            <w:proofErr w:type="spellStart"/>
            <w:r>
              <w:rPr>
                <w:rFonts w:ascii="Arial Narrow" w:hAnsi="Arial Narrow"/>
                <w:b/>
                <w:sz w:val="20"/>
                <w:lang w:val="en-US"/>
              </w:rPr>
              <w:t>Pralatrexate</w:t>
            </w:r>
            <w:proofErr w:type="spellEnd"/>
          </w:p>
        </w:tc>
      </w:tr>
      <w:tr w:rsidR="00F2667A" w:rsidRPr="00E2771E" w:rsidTr="00AC5E2D">
        <w:tc>
          <w:tcPr>
            <w:tcW w:w="679" w:type="pct"/>
            <w:shd w:val="clear" w:color="auto" w:fill="auto"/>
            <w:vAlign w:val="center"/>
          </w:tcPr>
          <w:p w:rsidR="00F2667A" w:rsidRPr="00E2771E" w:rsidRDefault="00F2667A" w:rsidP="00196F1B">
            <w:pPr>
              <w:keepNext/>
              <w:jc w:val="left"/>
              <w:rPr>
                <w:rFonts w:ascii="Arial Narrow" w:hAnsi="Arial Narrow"/>
                <w:sz w:val="20"/>
                <w:lang w:val="en-US"/>
              </w:rPr>
            </w:pPr>
            <w:r>
              <w:rPr>
                <w:rFonts w:ascii="Arial Narrow" w:hAnsi="Arial Narrow"/>
                <w:sz w:val="20"/>
                <w:lang w:val="en-US"/>
              </w:rPr>
              <w:t>PDX-008</w:t>
            </w:r>
          </w:p>
        </w:tc>
        <w:tc>
          <w:tcPr>
            <w:tcW w:w="426" w:type="pct"/>
            <w:shd w:val="clear" w:color="auto" w:fill="auto"/>
            <w:vAlign w:val="center"/>
          </w:tcPr>
          <w:p w:rsidR="00F2667A" w:rsidRPr="00E2771E" w:rsidRDefault="00F2667A" w:rsidP="00196F1B">
            <w:pPr>
              <w:keepNext/>
              <w:jc w:val="center"/>
              <w:rPr>
                <w:rFonts w:ascii="Arial Narrow" w:hAnsi="Arial Narrow"/>
                <w:sz w:val="20"/>
                <w:lang w:val="en-US"/>
              </w:rPr>
            </w:pPr>
            <w:r>
              <w:rPr>
                <w:rFonts w:ascii="Arial Narrow" w:hAnsi="Arial Narrow"/>
                <w:sz w:val="20"/>
                <w:lang w:val="en-US"/>
              </w:rPr>
              <w:t>111</w:t>
            </w:r>
          </w:p>
        </w:tc>
        <w:tc>
          <w:tcPr>
            <w:tcW w:w="1104" w:type="pct"/>
            <w:shd w:val="clear" w:color="auto" w:fill="auto"/>
            <w:vAlign w:val="center"/>
          </w:tcPr>
          <w:p w:rsidR="00F2667A" w:rsidRPr="00E2771E" w:rsidRDefault="00F2667A" w:rsidP="00196F1B">
            <w:pPr>
              <w:keepNext/>
              <w:jc w:val="center"/>
              <w:rPr>
                <w:rFonts w:ascii="Arial Narrow" w:hAnsi="Arial Narrow"/>
                <w:sz w:val="20"/>
                <w:lang w:val="en-US"/>
              </w:rPr>
            </w:pPr>
            <w:r>
              <w:rPr>
                <w:rFonts w:ascii="Arial Narrow" w:hAnsi="Arial Narrow"/>
                <w:sz w:val="20"/>
                <w:lang w:val="en-US"/>
              </w:rPr>
              <w:t>OL, MC, single arm</w:t>
            </w:r>
          </w:p>
          <w:p w:rsidR="00F2667A" w:rsidRPr="00E2771E" w:rsidRDefault="00F2667A" w:rsidP="00196F1B">
            <w:pPr>
              <w:keepNext/>
              <w:jc w:val="center"/>
              <w:rPr>
                <w:rFonts w:ascii="Arial Narrow" w:hAnsi="Arial Narrow"/>
                <w:sz w:val="20"/>
                <w:lang w:val="en-US"/>
              </w:rPr>
            </w:pPr>
            <w:r>
              <w:rPr>
                <w:rFonts w:ascii="Arial Narrow" w:hAnsi="Arial Narrow"/>
                <w:sz w:val="20"/>
                <w:lang w:val="en-US"/>
              </w:rPr>
              <w:t>2yrs (up to 5 years for some patients)</w:t>
            </w:r>
          </w:p>
        </w:tc>
        <w:tc>
          <w:tcPr>
            <w:tcW w:w="594" w:type="pct"/>
            <w:shd w:val="clear" w:color="auto" w:fill="auto"/>
            <w:vAlign w:val="center"/>
          </w:tcPr>
          <w:p w:rsidR="00F2667A" w:rsidRPr="00E2771E" w:rsidRDefault="00F2667A" w:rsidP="00196F1B">
            <w:pPr>
              <w:keepNext/>
              <w:jc w:val="center"/>
              <w:rPr>
                <w:rFonts w:ascii="Arial Narrow" w:hAnsi="Arial Narrow"/>
                <w:sz w:val="20"/>
                <w:lang w:val="en-US"/>
              </w:rPr>
            </w:pPr>
            <w:r>
              <w:rPr>
                <w:rFonts w:ascii="Arial Narrow" w:hAnsi="Arial Narrow"/>
                <w:sz w:val="20"/>
                <w:lang w:val="en-US"/>
              </w:rPr>
              <w:t>High</w:t>
            </w:r>
          </w:p>
        </w:tc>
        <w:tc>
          <w:tcPr>
            <w:tcW w:w="849" w:type="pct"/>
            <w:shd w:val="clear" w:color="auto" w:fill="auto"/>
            <w:vAlign w:val="center"/>
          </w:tcPr>
          <w:p w:rsidR="00F2667A" w:rsidRPr="00E2771E" w:rsidRDefault="00F2667A" w:rsidP="00196F1B">
            <w:pPr>
              <w:keepNext/>
              <w:jc w:val="center"/>
              <w:rPr>
                <w:rFonts w:ascii="Arial Narrow" w:hAnsi="Arial Narrow"/>
                <w:sz w:val="20"/>
                <w:lang w:val="en-US"/>
              </w:rPr>
            </w:pPr>
            <w:r>
              <w:rPr>
                <w:rFonts w:ascii="Arial Narrow" w:hAnsi="Arial Narrow"/>
                <w:sz w:val="20"/>
                <w:lang w:val="en-US"/>
              </w:rPr>
              <w:t>Progressive disease after at least 1 prior treatment</w:t>
            </w:r>
          </w:p>
        </w:tc>
        <w:tc>
          <w:tcPr>
            <w:tcW w:w="679" w:type="pct"/>
            <w:shd w:val="clear" w:color="auto" w:fill="auto"/>
            <w:vAlign w:val="center"/>
          </w:tcPr>
          <w:p w:rsidR="00F2667A" w:rsidRPr="00E2771E" w:rsidRDefault="00F2667A" w:rsidP="00196F1B">
            <w:pPr>
              <w:keepNext/>
              <w:jc w:val="center"/>
              <w:rPr>
                <w:rFonts w:ascii="Arial Narrow" w:hAnsi="Arial Narrow"/>
                <w:sz w:val="20"/>
                <w:lang w:val="en-US"/>
              </w:rPr>
            </w:pPr>
            <w:r>
              <w:rPr>
                <w:rFonts w:ascii="Arial Narrow" w:hAnsi="Arial Narrow"/>
                <w:sz w:val="20"/>
                <w:lang w:val="en-US"/>
              </w:rPr>
              <w:t xml:space="preserve">ORR, </w:t>
            </w:r>
            <w:r w:rsidRPr="00E2771E">
              <w:rPr>
                <w:rFonts w:ascii="Arial Narrow" w:hAnsi="Arial Narrow"/>
                <w:sz w:val="20"/>
                <w:lang w:val="en-US"/>
              </w:rPr>
              <w:t>OS</w:t>
            </w:r>
            <w:r>
              <w:rPr>
                <w:rFonts w:ascii="Arial Narrow" w:hAnsi="Arial Narrow"/>
                <w:sz w:val="20"/>
                <w:lang w:val="en-US"/>
              </w:rPr>
              <w:t>, PFS</w:t>
            </w:r>
          </w:p>
        </w:tc>
        <w:tc>
          <w:tcPr>
            <w:tcW w:w="669" w:type="pct"/>
            <w:shd w:val="clear" w:color="auto" w:fill="auto"/>
            <w:vAlign w:val="center"/>
          </w:tcPr>
          <w:p w:rsidR="00F2667A" w:rsidRPr="00E2771E" w:rsidRDefault="00F2667A" w:rsidP="00196F1B">
            <w:pPr>
              <w:keepNext/>
              <w:jc w:val="center"/>
              <w:rPr>
                <w:rFonts w:ascii="Arial Narrow" w:hAnsi="Arial Narrow"/>
                <w:sz w:val="20"/>
                <w:lang w:val="en-US"/>
              </w:rPr>
            </w:pPr>
            <w:r>
              <w:rPr>
                <w:rFonts w:ascii="Arial Narrow" w:hAnsi="Arial Narrow"/>
                <w:sz w:val="20"/>
                <w:lang w:val="en-US"/>
              </w:rPr>
              <w:t>Survival</w:t>
            </w:r>
          </w:p>
        </w:tc>
      </w:tr>
      <w:tr w:rsidR="00F2667A" w:rsidRPr="00E2771E" w:rsidTr="00AC5E2D">
        <w:tc>
          <w:tcPr>
            <w:tcW w:w="5000" w:type="pct"/>
            <w:gridSpan w:val="7"/>
            <w:shd w:val="clear" w:color="auto" w:fill="auto"/>
            <w:vAlign w:val="center"/>
          </w:tcPr>
          <w:p w:rsidR="00F2667A" w:rsidRPr="00E2771E" w:rsidRDefault="00F2667A" w:rsidP="00196F1B">
            <w:pPr>
              <w:keepNext/>
              <w:jc w:val="left"/>
              <w:rPr>
                <w:rFonts w:ascii="Arial Narrow" w:hAnsi="Arial Narrow"/>
                <w:b/>
                <w:sz w:val="20"/>
                <w:lang w:val="en-US"/>
              </w:rPr>
            </w:pPr>
            <w:proofErr w:type="spellStart"/>
            <w:r>
              <w:rPr>
                <w:rFonts w:ascii="Arial Narrow" w:hAnsi="Arial Narrow"/>
                <w:b/>
                <w:sz w:val="20"/>
                <w:lang w:val="en-US"/>
              </w:rPr>
              <w:t>Pralatrexate</w:t>
            </w:r>
            <w:proofErr w:type="spellEnd"/>
            <w:r>
              <w:rPr>
                <w:rFonts w:ascii="Arial Narrow" w:hAnsi="Arial Narrow"/>
                <w:b/>
                <w:sz w:val="20"/>
                <w:lang w:val="en-US"/>
              </w:rPr>
              <w:t xml:space="preserve"> vs comparator</w:t>
            </w:r>
          </w:p>
        </w:tc>
      </w:tr>
      <w:tr w:rsidR="00F2667A" w:rsidRPr="00E2771E" w:rsidTr="00AC5E2D">
        <w:tc>
          <w:tcPr>
            <w:tcW w:w="679" w:type="pct"/>
            <w:shd w:val="clear" w:color="auto" w:fill="auto"/>
            <w:vAlign w:val="center"/>
          </w:tcPr>
          <w:p w:rsidR="00F2667A" w:rsidRPr="00E2771E" w:rsidRDefault="00F2667A" w:rsidP="00196F1B">
            <w:pPr>
              <w:keepNext/>
              <w:jc w:val="left"/>
              <w:rPr>
                <w:rFonts w:ascii="Arial Narrow" w:hAnsi="Arial Narrow"/>
                <w:sz w:val="20"/>
                <w:lang w:val="en-US"/>
              </w:rPr>
            </w:pPr>
            <w:r>
              <w:rPr>
                <w:rFonts w:ascii="Arial Narrow" w:hAnsi="Arial Narrow"/>
                <w:sz w:val="20"/>
                <w:lang w:val="en-US"/>
              </w:rPr>
              <w:t>MCA</w:t>
            </w:r>
          </w:p>
        </w:tc>
        <w:tc>
          <w:tcPr>
            <w:tcW w:w="426" w:type="pct"/>
            <w:shd w:val="clear" w:color="auto" w:fill="auto"/>
            <w:vAlign w:val="center"/>
          </w:tcPr>
          <w:p w:rsidR="00F2667A" w:rsidRPr="00685063" w:rsidRDefault="00685063" w:rsidP="00196F1B">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104" w:type="pct"/>
            <w:shd w:val="clear" w:color="auto" w:fill="auto"/>
            <w:vAlign w:val="center"/>
          </w:tcPr>
          <w:p w:rsidR="00F2667A" w:rsidRPr="00E2771E" w:rsidRDefault="00F2667A" w:rsidP="00196F1B">
            <w:pPr>
              <w:keepNext/>
              <w:jc w:val="center"/>
              <w:rPr>
                <w:rFonts w:ascii="Arial Narrow" w:hAnsi="Arial Narrow"/>
                <w:sz w:val="20"/>
                <w:lang w:val="en-US"/>
              </w:rPr>
            </w:pPr>
            <w:r>
              <w:rPr>
                <w:rFonts w:ascii="Arial Narrow" w:hAnsi="Arial Narrow"/>
                <w:sz w:val="20"/>
                <w:lang w:val="en-US"/>
              </w:rPr>
              <w:t>Historical database patients matched 1:1 to PDX-008</w:t>
            </w:r>
          </w:p>
        </w:tc>
        <w:tc>
          <w:tcPr>
            <w:tcW w:w="594" w:type="pct"/>
            <w:shd w:val="clear" w:color="auto" w:fill="auto"/>
            <w:vAlign w:val="center"/>
          </w:tcPr>
          <w:p w:rsidR="00F2667A" w:rsidRPr="00E2771E" w:rsidRDefault="00F2667A" w:rsidP="00196F1B">
            <w:pPr>
              <w:keepNext/>
              <w:jc w:val="center"/>
              <w:rPr>
                <w:rFonts w:ascii="Arial Narrow" w:hAnsi="Arial Narrow"/>
                <w:sz w:val="20"/>
                <w:lang w:val="en-US"/>
              </w:rPr>
            </w:pPr>
            <w:r w:rsidRPr="00E2771E">
              <w:rPr>
                <w:rFonts w:ascii="Arial Narrow" w:hAnsi="Arial Narrow"/>
                <w:sz w:val="20"/>
                <w:lang w:val="en-US"/>
              </w:rPr>
              <w:t>High</w:t>
            </w:r>
          </w:p>
        </w:tc>
        <w:tc>
          <w:tcPr>
            <w:tcW w:w="849" w:type="pct"/>
            <w:shd w:val="clear" w:color="auto" w:fill="auto"/>
            <w:vAlign w:val="center"/>
          </w:tcPr>
          <w:p w:rsidR="00F2667A" w:rsidRPr="00685063" w:rsidRDefault="00685063" w:rsidP="00196F1B">
            <w:pPr>
              <w:keepNext/>
              <w:jc w:val="center"/>
              <w:rPr>
                <w:rFonts w:ascii="Arial Narrow" w:hAnsi="Arial Narrow"/>
                <w:sz w:val="20"/>
                <w:highlight w:val="black"/>
                <w:lang w:val="en-US"/>
              </w:rPr>
            </w:pPr>
            <w:r>
              <w:rPr>
                <w:rFonts w:ascii="Arial Narrow" w:hAnsi="Arial Narrow"/>
                <w:noProof/>
                <w:color w:val="000000"/>
                <w:sz w:val="20"/>
                <w:highlight w:val="black"/>
                <w:lang w:val="en-US"/>
              </w:rPr>
              <w:t>''''''''''''''' '''''''''''''''''''' ''''' ''''''''''' ''' '''''''''''''''''''''''</w:t>
            </w:r>
          </w:p>
        </w:tc>
        <w:tc>
          <w:tcPr>
            <w:tcW w:w="679" w:type="pct"/>
            <w:shd w:val="clear" w:color="auto" w:fill="auto"/>
            <w:vAlign w:val="center"/>
          </w:tcPr>
          <w:p w:rsidR="00F2667A" w:rsidRPr="00685063" w:rsidRDefault="00685063" w:rsidP="00196F1B">
            <w:pPr>
              <w:keepNext/>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69" w:type="pct"/>
            <w:shd w:val="clear" w:color="auto" w:fill="auto"/>
            <w:vAlign w:val="center"/>
          </w:tcPr>
          <w:p w:rsidR="00F2667A" w:rsidRPr="00685063" w:rsidRDefault="00685063" w:rsidP="00196F1B">
            <w:pPr>
              <w:keepNext/>
              <w:jc w:val="center"/>
              <w:rPr>
                <w:rFonts w:ascii="Arial Narrow" w:hAnsi="Arial Narrow"/>
                <w:sz w:val="20"/>
                <w:highlight w:val="black"/>
                <w:lang w:val="en-US"/>
              </w:rPr>
            </w:pPr>
            <w:r>
              <w:rPr>
                <w:rFonts w:ascii="Arial Narrow" w:hAnsi="Arial Narrow"/>
                <w:noProof/>
                <w:color w:val="000000"/>
                <w:sz w:val="20"/>
                <w:highlight w:val="black"/>
                <w:lang w:val="en-US"/>
              </w:rPr>
              <w:t>''''''''''''''''' '''''''''''</w:t>
            </w:r>
          </w:p>
        </w:tc>
      </w:tr>
    </w:tbl>
    <w:p w:rsidR="00F2667A" w:rsidRPr="0072416F" w:rsidRDefault="00F2667A" w:rsidP="00196F1B">
      <w:pPr>
        <w:pStyle w:val="TableFooter"/>
        <w:keepNext/>
        <w:ind w:left="709" w:firstLine="11"/>
      </w:pPr>
      <w:r w:rsidRPr="0072416F">
        <w:t xml:space="preserve">MC=multi-centre; OL=open label; OS=overall survival; PFS=progression-free survival; </w:t>
      </w:r>
      <w:r>
        <w:t>ORR=overall response rate, MCA=matched control analysis</w:t>
      </w:r>
    </w:p>
    <w:p w:rsidR="00F2667A" w:rsidRPr="0072416F" w:rsidRDefault="00F2667A" w:rsidP="00196F1B">
      <w:pPr>
        <w:pStyle w:val="TableFooter"/>
        <w:keepNext/>
        <w:ind w:firstLine="720"/>
      </w:pPr>
      <w:r w:rsidRPr="0072416F">
        <w:t>Source: compiled during the evaluation</w:t>
      </w:r>
    </w:p>
    <w:p w:rsidR="00F2667A" w:rsidRDefault="00F2667A" w:rsidP="00F2667A"/>
    <w:p w:rsidR="00F2667A" w:rsidRDefault="00F2667A" w:rsidP="00733B01">
      <w:pPr>
        <w:pStyle w:val="ListParagraph"/>
        <w:numPr>
          <w:ilvl w:val="1"/>
          <w:numId w:val="1"/>
        </w:numPr>
        <w:ind w:left="720"/>
      </w:pPr>
      <w:r>
        <w:t>The following issues were identified with regards to the study design:</w:t>
      </w:r>
    </w:p>
    <w:p w:rsidR="00F2667A" w:rsidRPr="00A34815" w:rsidRDefault="00F2667A" w:rsidP="00733B01">
      <w:pPr>
        <w:pStyle w:val="ListParagraph"/>
        <w:numPr>
          <w:ilvl w:val="0"/>
          <w:numId w:val="2"/>
        </w:numPr>
        <w:ind w:left="1080"/>
      </w:pPr>
      <w:r w:rsidRPr="00A34815">
        <w:t xml:space="preserve">PDX-008 was a single arm study, without a comparator or randomisation and is therefore subject to considerable bias. </w:t>
      </w:r>
    </w:p>
    <w:p w:rsidR="00F2667A" w:rsidRPr="00A34815" w:rsidRDefault="00F2667A" w:rsidP="00733B01">
      <w:pPr>
        <w:pStyle w:val="ListParagraph"/>
        <w:numPr>
          <w:ilvl w:val="0"/>
          <w:numId w:val="2"/>
        </w:numPr>
        <w:ind w:left="1080"/>
      </w:pPr>
      <w:r w:rsidRPr="00A34815">
        <w:t xml:space="preserve">Overall survival in the sub-group representing the matched cohort in PDX-008 was </w:t>
      </w:r>
      <w:r w:rsidR="00685063">
        <w:rPr>
          <w:noProof/>
          <w:color w:val="000000"/>
          <w:highlight w:val="black"/>
        </w:rPr>
        <w:t>'''''''</w:t>
      </w:r>
      <w:r w:rsidRPr="00A34815">
        <w:t xml:space="preserve"> months compared to </w:t>
      </w:r>
      <w:r w:rsidR="00685063">
        <w:rPr>
          <w:noProof/>
          <w:color w:val="000000"/>
          <w:highlight w:val="black"/>
        </w:rPr>
        <w:t xml:space="preserve">'''''''''' </w:t>
      </w:r>
      <w:r w:rsidRPr="00A34815">
        <w:t xml:space="preserve">months in the overall efficacy evaluable population. It is possible that the matched population represent a healthier population than the overall efficacy evaluable population, biasing the hazard ratio in favour of </w:t>
      </w:r>
      <w:proofErr w:type="spellStart"/>
      <w:r w:rsidRPr="00A34815">
        <w:t>pralatrexate</w:t>
      </w:r>
      <w:proofErr w:type="spellEnd"/>
      <w:r w:rsidRPr="00A34815">
        <w:t>.</w:t>
      </w:r>
    </w:p>
    <w:p w:rsidR="00F2667A" w:rsidRDefault="00F2667A" w:rsidP="00733B01">
      <w:pPr>
        <w:pStyle w:val="ListParagraph"/>
        <w:numPr>
          <w:ilvl w:val="0"/>
          <w:numId w:val="2"/>
        </w:numPr>
        <w:ind w:left="1080"/>
      </w:pPr>
      <w:r w:rsidRPr="00A34815">
        <w:t xml:space="preserve">Patients in PDX-008 were not matched to historical controls on the basis of ECOG status. Given an inclusion criteria of PDX-008 was ECOG ≤ 2 it is likely that PDX-008 patients have a better performance status than the matched historical controls. Performance status is a predictive factor of improved outcomes so this has the potential to bias in favour of </w:t>
      </w:r>
      <w:proofErr w:type="spellStart"/>
      <w:r w:rsidRPr="00A34815">
        <w:t>pralatrexate</w:t>
      </w:r>
      <w:proofErr w:type="spellEnd"/>
      <w:r w:rsidRPr="00A34815">
        <w:t>.</w:t>
      </w:r>
    </w:p>
    <w:p w:rsidR="0060622D" w:rsidRPr="00FA2BF7" w:rsidRDefault="0060622D" w:rsidP="00733B01">
      <w:pPr>
        <w:pStyle w:val="ListParagraph"/>
        <w:numPr>
          <w:ilvl w:val="0"/>
          <w:numId w:val="2"/>
        </w:numPr>
        <w:ind w:left="1080"/>
      </w:pPr>
      <w:r w:rsidRPr="00FA2BF7">
        <w:t>The P</w:t>
      </w:r>
      <w:r w:rsidR="00827C8B" w:rsidRPr="00FA2BF7">
        <w:t>SC</w:t>
      </w:r>
      <w:r w:rsidRPr="00FA2BF7">
        <w:t>R</w:t>
      </w:r>
      <w:r w:rsidR="00827C8B" w:rsidRPr="00FA2BF7">
        <w:t xml:space="preserve"> (p30)</w:t>
      </w:r>
      <w:r w:rsidRPr="00FA2BF7">
        <w:t xml:space="preserve"> noted that the majority of patients with known ECOG performance status in the historical control cohort were ≤ 2, and would be willing to restrict the indication to this group.</w:t>
      </w:r>
    </w:p>
    <w:p w:rsidR="0060622D" w:rsidRPr="00FA2BF7" w:rsidRDefault="00983E10" w:rsidP="00733B01">
      <w:pPr>
        <w:pStyle w:val="ListParagraph"/>
        <w:numPr>
          <w:ilvl w:val="0"/>
          <w:numId w:val="2"/>
        </w:numPr>
        <w:ind w:left="1080"/>
      </w:pPr>
      <w:r w:rsidRPr="00FA2BF7">
        <w:t xml:space="preserve">The </w:t>
      </w:r>
      <w:r w:rsidR="0060622D" w:rsidRPr="00FA2BF7">
        <w:t xml:space="preserve">ESC were concerned that the incremental survival of </w:t>
      </w:r>
      <w:r w:rsidR="00685063">
        <w:rPr>
          <w:noProof/>
          <w:color w:val="000000"/>
          <w:highlight w:val="black"/>
        </w:rPr>
        <w:t>'''''''''''</w:t>
      </w:r>
      <w:r w:rsidR="0060622D" w:rsidRPr="00FA2BF7">
        <w:t xml:space="preserve"> months for </w:t>
      </w:r>
      <w:proofErr w:type="spellStart"/>
      <w:r w:rsidR="0060622D" w:rsidRPr="00FA2BF7">
        <w:t>pralatrexate</w:t>
      </w:r>
      <w:proofErr w:type="spellEnd"/>
      <w:r w:rsidR="0060622D" w:rsidRPr="00FA2BF7">
        <w:t xml:space="preserve"> compared to historical controls (</w:t>
      </w:r>
      <w:r w:rsidR="00685063">
        <w:rPr>
          <w:noProof/>
          <w:color w:val="000000"/>
          <w:highlight w:val="black"/>
        </w:rPr>
        <w:t>''''''</w:t>
      </w:r>
      <w:r w:rsidR="0060622D" w:rsidRPr="00FA2BF7">
        <w:t xml:space="preserve"> vs </w:t>
      </w:r>
      <w:r w:rsidR="00685063">
        <w:rPr>
          <w:noProof/>
          <w:color w:val="000000"/>
          <w:highlight w:val="black"/>
        </w:rPr>
        <w:t xml:space="preserve">''''''' </w:t>
      </w:r>
      <w:r w:rsidR="0060622D" w:rsidRPr="00FA2BF7">
        <w:t xml:space="preserve">months) appeared implausible when the median PFS for </w:t>
      </w:r>
      <w:proofErr w:type="spellStart"/>
      <w:r w:rsidR="0060622D" w:rsidRPr="00FA2BF7">
        <w:t>pralatrexate</w:t>
      </w:r>
      <w:proofErr w:type="spellEnd"/>
      <w:r w:rsidR="0060622D" w:rsidRPr="00FA2BF7">
        <w:t xml:space="preserve"> was only 3.5 months.</w:t>
      </w:r>
    </w:p>
    <w:p w:rsidR="00F2667A" w:rsidRPr="00FA2BF7" w:rsidRDefault="00F2667A" w:rsidP="00733B01">
      <w:pPr>
        <w:pStyle w:val="ListParagraph"/>
        <w:numPr>
          <w:ilvl w:val="0"/>
          <w:numId w:val="2"/>
        </w:numPr>
        <w:ind w:left="1080"/>
      </w:pPr>
      <w:r w:rsidRPr="00A34815">
        <w:t xml:space="preserve">The recruitment periods for the historical controls </w:t>
      </w:r>
      <w:r w:rsidR="0060622D">
        <w:rPr>
          <w:i/>
        </w:rPr>
        <w:t>(</w:t>
      </w:r>
      <w:r w:rsidR="00685063">
        <w:rPr>
          <w:i/>
          <w:noProof/>
          <w:color w:val="000000"/>
          <w:highlight w:val="black"/>
        </w:rPr>
        <w:t>''''''''''''''''''''''''''</w:t>
      </w:r>
      <w:r w:rsidR="0060622D">
        <w:rPr>
          <w:i/>
        </w:rPr>
        <w:t xml:space="preserve">) </w:t>
      </w:r>
      <w:r w:rsidRPr="00A34815">
        <w:t>were older than that of PDX-008</w:t>
      </w:r>
      <w:r w:rsidR="00983E10">
        <w:t xml:space="preserve"> </w:t>
      </w:r>
      <w:r w:rsidR="00983E10">
        <w:rPr>
          <w:i/>
        </w:rPr>
        <w:t>(2006-2008)</w:t>
      </w:r>
      <w:r w:rsidRPr="00A34815">
        <w:t>. Survival outcomes in those recruited in later time periods may be improved due to advances in treatment options, advances in supportive care and the increasing use of stem cell therapy.</w:t>
      </w:r>
      <w:r w:rsidR="00983E10">
        <w:t xml:space="preserve"> </w:t>
      </w:r>
      <w:r w:rsidR="00983E10" w:rsidRPr="00FA2BF7">
        <w:t>The PSCR</w:t>
      </w:r>
      <w:r w:rsidR="00827C8B" w:rsidRPr="00FA2BF7">
        <w:t xml:space="preserve"> (p3)</w:t>
      </w:r>
      <w:r w:rsidR="00983E10" w:rsidRPr="00FA2BF7">
        <w:t xml:space="preserve"> argued that the comparison was valid because there was significant overlap between the 2 cohorts, and cited a study of 153 patients (</w:t>
      </w:r>
      <w:proofErr w:type="spellStart"/>
      <w:r w:rsidR="00983E10" w:rsidRPr="00FA2BF7">
        <w:t>Mak</w:t>
      </w:r>
      <w:proofErr w:type="spellEnd"/>
      <w:r w:rsidR="00983E10" w:rsidRPr="00FA2BF7">
        <w:t xml:space="preserve"> JCO 2013) that did not find difference in survival rates for patients with PTCL not undergoing transplant treated 1980-2000 vs 2001-2011. However, the ESC </w:t>
      </w:r>
      <w:r w:rsidR="00A36794" w:rsidRPr="00FA2BF7">
        <w:t>remained concerned</w:t>
      </w:r>
      <w:r w:rsidR="00983E10" w:rsidRPr="00FA2BF7">
        <w:t xml:space="preserve"> that differences in overall survival between </w:t>
      </w:r>
      <w:proofErr w:type="spellStart"/>
      <w:r w:rsidR="00983E10" w:rsidRPr="00FA2BF7">
        <w:t>pralatrexate</w:t>
      </w:r>
      <w:proofErr w:type="spellEnd"/>
      <w:r w:rsidR="00983E10" w:rsidRPr="00FA2BF7">
        <w:t xml:space="preserve"> and the comparators were highly uncertain and likely over-estimated.</w:t>
      </w:r>
    </w:p>
    <w:p w:rsidR="00F2667A" w:rsidRPr="00A34815" w:rsidRDefault="00F2667A" w:rsidP="00733B01">
      <w:pPr>
        <w:pStyle w:val="ListParagraph"/>
        <w:numPr>
          <w:ilvl w:val="0"/>
          <w:numId w:val="2"/>
        </w:numPr>
        <w:ind w:left="1080"/>
      </w:pPr>
      <w:r w:rsidRPr="00A34815">
        <w:t xml:space="preserve">The submission presented 2 sensitivity analyses using different matching methodologies. The hazard ratio was sensitive to the matching methodology employed. The hazard ratio </w:t>
      </w:r>
      <w:r w:rsidR="00983E10">
        <w:rPr>
          <w:i/>
        </w:rPr>
        <w:t xml:space="preserve">for overall survival </w:t>
      </w:r>
      <w:r w:rsidRPr="00A34815">
        <w:t xml:space="preserve">in the base case was </w:t>
      </w:r>
      <w:r w:rsidR="00685063">
        <w:rPr>
          <w:noProof/>
          <w:color w:val="000000"/>
          <w:highlight w:val="black"/>
        </w:rPr>
        <w:t xml:space="preserve">''''''''''''' </w:t>
      </w:r>
      <w:r w:rsidRPr="00A34815">
        <w:t xml:space="preserve">(95%CI: </w:t>
      </w:r>
      <w:r w:rsidR="00685063">
        <w:rPr>
          <w:noProof/>
          <w:color w:val="000000"/>
          <w:highlight w:val="black"/>
        </w:rPr>
        <w:t>'''''''''''''''</w:t>
      </w:r>
      <w:r w:rsidRPr="00A34815">
        <w:t xml:space="preserve">, </w:t>
      </w:r>
      <w:r w:rsidR="00685063">
        <w:rPr>
          <w:noProof/>
          <w:color w:val="000000"/>
          <w:highlight w:val="black"/>
        </w:rPr>
        <w:t>''''''''''''''</w:t>
      </w:r>
      <w:r w:rsidRPr="00A34815">
        <w:t xml:space="preserve">) compared to </w:t>
      </w:r>
      <w:r w:rsidR="00685063">
        <w:rPr>
          <w:noProof/>
          <w:color w:val="000000"/>
          <w:highlight w:val="black"/>
        </w:rPr>
        <w:t>'''''''''''''''</w:t>
      </w:r>
      <w:r w:rsidRPr="00A34815">
        <w:t xml:space="preserve"> (95%CI: </w:t>
      </w:r>
      <w:r w:rsidR="00685063">
        <w:rPr>
          <w:noProof/>
          <w:color w:val="000000"/>
          <w:highlight w:val="black"/>
        </w:rPr>
        <w:t>'''''''''''''''</w:t>
      </w:r>
      <w:r w:rsidRPr="00A34815">
        <w:t xml:space="preserve">, </w:t>
      </w:r>
      <w:r w:rsidR="00685063">
        <w:rPr>
          <w:noProof/>
          <w:color w:val="000000"/>
          <w:highlight w:val="black"/>
        </w:rPr>
        <w:t>'''''''''''''</w:t>
      </w:r>
      <w:r w:rsidRPr="00A34815">
        <w:t xml:space="preserve">) and </w:t>
      </w:r>
      <w:r w:rsidR="00685063">
        <w:rPr>
          <w:noProof/>
          <w:color w:val="000000"/>
          <w:highlight w:val="black"/>
        </w:rPr>
        <w:t xml:space="preserve">'''''''''''''' </w:t>
      </w:r>
      <w:r w:rsidRPr="00A34815">
        <w:lastRenderedPageBreak/>
        <w:t xml:space="preserve">(95%CI: </w:t>
      </w:r>
      <w:r w:rsidR="00685063">
        <w:rPr>
          <w:noProof/>
          <w:color w:val="000000"/>
          <w:highlight w:val="black"/>
        </w:rPr>
        <w:t>'''''''''''''</w:t>
      </w:r>
      <w:r w:rsidRPr="00A34815">
        <w:t xml:space="preserve">, </w:t>
      </w:r>
      <w:r w:rsidR="00685063">
        <w:rPr>
          <w:noProof/>
          <w:color w:val="000000"/>
          <w:highlight w:val="black"/>
        </w:rPr>
        <w:t>''''''''''''''</w:t>
      </w:r>
      <w:r w:rsidRPr="00A34815">
        <w:t>) in the sensitivity analyses.</w:t>
      </w:r>
    </w:p>
    <w:p w:rsidR="00F2667A" w:rsidRDefault="00F2667A" w:rsidP="00F2667A"/>
    <w:p w:rsidR="00F2667A" w:rsidRPr="00CE78B5" w:rsidRDefault="00F2667A" w:rsidP="00CE78B5">
      <w:pPr>
        <w:pStyle w:val="Heading2"/>
      </w:pPr>
      <w:bookmarkStart w:id="9" w:name="_Toc430087380"/>
      <w:r w:rsidRPr="00CE78B5">
        <w:t>Comparative effectiveness</w:t>
      </w:r>
      <w:bookmarkEnd w:id="9"/>
    </w:p>
    <w:p w:rsidR="00F2667A" w:rsidRDefault="00F2667A" w:rsidP="006B70E7">
      <w:pPr>
        <w:pStyle w:val="ListParagraph"/>
        <w:widowControl/>
        <w:ind w:left="0"/>
        <w:rPr>
          <w:szCs w:val="22"/>
        </w:rPr>
      </w:pPr>
    </w:p>
    <w:p w:rsidR="00F2667A" w:rsidRPr="00A34815" w:rsidRDefault="00F2667A" w:rsidP="00733B01">
      <w:pPr>
        <w:pStyle w:val="ListParagraph"/>
        <w:widowControl/>
        <w:numPr>
          <w:ilvl w:val="1"/>
          <w:numId w:val="1"/>
        </w:numPr>
        <w:ind w:left="720"/>
        <w:rPr>
          <w:szCs w:val="22"/>
        </w:rPr>
      </w:pPr>
      <w:r w:rsidRPr="00AD0AE6">
        <w:rPr>
          <w:szCs w:val="22"/>
        </w:rPr>
        <w:t xml:space="preserve">Original results in PDX-008 were based on a follow-up period of 2 years post </w:t>
      </w:r>
      <w:proofErr w:type="spellStart"/>
      <w:r w:rsidRPr="00AD0AE6">
        <w:rPr>
          <w:szCs w:val="22"/>
        </w:rPr>
        <w:t>pralatrexate</w:t>
      </w:r>
      <w:proofErr w:type="spellEnd"/>
      <w:r w:rsidRPr="00AD0AE6">
        <w:rPr>
          <w:szCs w:val="22"/>
        </w:rPr>
        <w:t xml:space="preserve"> initiation. Updated survival data were obtained for </w:t>
      </w:r>
      <w:r w:rsidR="00685063">
        <w:rPr>
          <w:noProof/>
          <w:color w:val="000000"/>
          <w:szCs w:val="22"/>
          <w:highlight w:val="black"/>
        </w:rPr>
        <w:t xml:space="preserve">'''''' </w:t>
      </w:r>
      <w:r w:rsidRPr="00AD0AE6">
        <w:rPr>
          <w:szCs w:val="22"/>
        </w:rPr>
        <w:t xml:space="preserve">patients in the efficacy evaluable population of which </w:t>
      </w:r>
      <w:r w:rsidR="00685063">
        <w:rPr>
          <w:noProof/>
          <w:color w:val="000000"/>
          <w:szCs w:val="22"/>
          <w:highlight w:val="black"/>
        </w:rPr>
        <w:t xml:space="preserve">''''''' </w:t>
      </w:r>
      <w:r w:rsidRPr="00AD0AE6">
        <w:rPr>
          <w:szCs w:val="22"/>
        </w:rPr>
        <w:t xml:space="preserve">patients were in the matched PDX-008 cohort. </w:t>
      </w:r>
      <w:r w:rsidRPr="00A34815">
        <w:rPr>
          <w:szCs w:val="22"/>
        </w:rPr>
        <w:t xml:space="preserve">Those patients for whom updated data were not received were censored at two years. </w:t>
      </w:r>
      <w:r w:rsidRPr="00A34815">
        <w:t xml:space="preserve">Of those </w:t>
      </w:r>
      <w:r w:rsidR="00685063">
        <w:rPr>
          <w:noProof/>
          <w:color w:val="000000"/>
          <w:highlight w:val="black"/>
        </w:rPr>
        <w:t xml:space="preserve">'''''' </w:t>
      </w:r>
      <w:r w:rsidRPr="00A34815">
        <w:t xml:space="preserve">patients, there were </w:t>
      </w:r>
      <w:r w:rsidR="00685063">
        <w:rPr>
          <w:noProof/>
          <w:color w:val="000000"/>
          <w:highlight w:val="black"/>
        </w:rPr>
        <w:t xml:space="preserve">'''' </w:t>
      </w:r>
      <w:r w:rsidRPr="00A34815">
        <w:t xml:space="preserve">deaths and the remaining </w:t>
      </w:r>
      <w:r w:rsidR="00685063">
        <w:rPr>
          <w:noProof/>
          <w:color w:val="000000"/>
          <w:highlight w:val="black"/>
        </w:rPr>
        <w:t>''''''</w:t>
      </w:r>
      <w:r w:rsidRPr="00A34815">
        <w:t xml:space="preserve"> were censored </w:t>
      </w:r>
      <w:r w:rsidR="00685063">
        <w:rPr>
          <w:noProof/>
          <w:color w:val="000000"/>
          <w:highlight w:val="black"/>
        </w:rPr>
        <w:t>''''' ''' ''''''''''''</w:t>
      </w:r>
      <w:r w:rsidRPr="00A34815">
        <w:t xml:space="preserve">. </w:t>
      </w:r>
      <w:r w:rsidRPr="00A34815">
        <w:rPr>
          <w:szCs w:val="22"/>
        </w:rPr>
        <w:t xml:space="preserve">The tail of the Kaplan-Meier curve for </w:t>
      </w:r>
      <w:proofErr w:type="spellStart"/>
      <w:r w:rsidRPr="00A34815">
        <w:rPr>
          <w:szCs w:val="22"/>
        </w:rPr>
        <w:t>pralatrexate</w:t>
      </w:r>
      <w:proofErr w:type="spellEnd"/>
      <w:r w:rsidRPr="00A34815">
        <w:rPr>
          <w:szCs w:val="22"/>
        </w:rPr>
        <w:t xml:space="preserve"> suggests a low death rate beyond </w:t>
      </w:r>
      <w:r w:rsidR="00685063">
        <w:rPr>
          <w:noProof/>
          <w:color w:val="000000"/>
          <w:szCs w:val="22"/>
          <w:highlight w:val="black"/>
        </w:rPr>
        <w:t>'''''''</w:t>
      </w:r>
      <w:r w:rsidRPr="00A34815">
        <w:rPr>
          <w:szCs w:val="22"/>
        </w:rPr>
        <w:t xml:space="preserve"> months however the incremental benefit should be interpreted with caution due to the small patient numbers and high rates of censoring. Furthermore, it is unknown whether the patients for whom updated data are received are representative of the overall efficacy population. </w:t>
      </w:r>
    </w:p>
    <w:p w:rsidR="00F2667A" w:rsidRDefault="00F2667A" w:rsidP="00F2667A">
      <w:pPr>
        <w:widowControl/>
        <w:rPr>
          <w:szCs w:val="22"/>
        </w:rPr>
      </w:pPr>
    </w:p>
    <w:p w:rsidR="00F2667A" w:rsidRDefault="00F2667A" w:rsidP="00F2667A">
      <w:pPr>
        <w:keepNext/>
        <w:ind w:firstLine="720"/>
        <w:rPr>
          <w:rStyle w:val="CommentReference"/>
        </w:rPr>
      </w:pPr>
      <w:r w:rsidRPr="001F7361">
        <w:rPr>
          <w:rStyle w:val="CommentReference"/>
        </w:rPr>
        <w:t xml:space="preserve">Table </w:t>
      </w:r>
      <w:r>
        <w:rPr>
          <w:rStyle w:val="CommentReference"/>
        </w:rPr>
        <w:t>3: Results of overall survival and progression free survival in the non-randomised studies</w:t>
      </w:r>
      <w:r w:rsidRPr="001F7361">
        <w:rPr>
          <w:rStyle w:val="CommentReference"/>
        </w:rPr>
        <w:t xml:space="preserve"> </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rvival results from presented studies"/>
        <w:tblDescription w:val="Results of overall survival and progression free survival in the non-randomised studies"/>
      </w:tblPr>
      <w:tblGrid>
        <w:gridCol w:w="1068"/>
        <w:gridCol w:w="1058"/>
        <w:gridCol w:w="1136"/>
        <w:gridCol w:w="1129"/>
        <w:gridCol w:w="1276"/>
        <w:gridCol w:w="1276"/>
        <w:gridCol w:w="1562"/>
      </w:tblGrid>
      <w:tr w:rsidR="00F2667A" w:rsidRPr="004E2ADC" w:rsidTr="00AC5E2D">
        <w:tc>
          <w:tcPr>
            <w:tcW w:w="627" w:type="pct"/>
            <w:vAlign w:val="center"/>
          </w:tcPr>
          <w:p w:rsidR="00F2667A" w:rsidRPr="004E2ADC" w:rsidRDefault="00F2667A" w:rsidP="00AC5E2D">
            <w:pPr>
              <w:keepNext/>
              <w:jc w:val="center"/>
              <w:rPr>
                <w:rFonts w:ascii="Arial Narrow" w:hAnsi="Arial Narrow"/>
                <w:sz w:val="20"/>
              </w:rPr>
            </w:pPr>
          </w:p>
        </w:tc>
        <w:tc>
          <w:tcPr>
            <w:tcW w:w="622" w:type="pct"/>
            <w:vAlign w:val="center"/>
          </w:tcPr>
          <w:p w:rsidR="00F2667A" w:rsidRPr="008B725E" w:rsidRDefault="00F2667A" w:rsidP="00AC5E2D">
            <w:pPr>
              <w:keepNext/>
              <w:jc w:val="center"/>
              <w:rPr>
                <w:rFonts w:ascii="Arial Narrow" w:hAnsi="Arial Narrow"/>
                <w:b/>
                <w:sz w:val="20"/>
              </w:rPr>
            </w:pPr>
            <w:r w:rsidRPr="008B725E">
              <w:rPr>
                <w:rFonts w:ascii="Arial Narrow" w:hAnsi="Arial Narrow"/>
                <w:b/>
                <w:sz w:val="20"/>
              </w:rPr>
              <w:t>PDX-008</w:t>
            </w:r>
          </w:p>
          <w:p w:rsidR="00F2667A" w:rsidRPr="008B725E" w:rsidRDefault="00F2667A" w:rsidP="00AC5E2D">
            <w:pPr>
              <w:keepNext/>
              <w:jc w:val="center"/>
              <w:rPr>
                <w:rFonts w:ascii="Arial Narrow" w:hAnsi="Arial Narrow"/>
                <w:b/>
                <w:sz w:val="20"/>
              </w:rPr>
            </w:pPr>
            <w:r w:rsidRPr="008B725E">
              <w:rPr>
                <w:rFonts w:ascii="Arial Narrow" w:hAnsi="Arial Narrow"/>
                <w:b/>
                <w:sz w:val="20"/>
              </w:rPr>
              <w:t>N=109</w:t>
            </w:r>
          </w:p>
          <w:p w:rsidR="00F2667A" w:rsidRPr="008B725E" w:rsidRDefault="00F2667A" w:rsidP="00AC5E2D">
            <w:pPr>
              <w:keepNext/>
              <w:ind w:right="-108"/>
              <w:jc w:val="center"/>
              <w:rPr>
                <w:rFonts w:ascii="Arial Narrow" w:hAnsi="Arial Narrow"/>
                <w:b/>
                <w:sz w:val="20"/>
              </w:rPr>
            </w:pPr>
            <w:r w:rsidRPr="008B725E">
              <w:rPr>
                <w:rFonts w:ascii="Arial Narrow" w:hAnsi="Arial Narrow"/>
                <w:b/>
                <w:sz w:val="20"/>
              </w:rPr>
              <w:t>(original results)</w:t>
            </w:r>
          </w:p>
        </w:tc>
        <w:tc>
          <w:tcPr>
            <w:tcW w:w="668" w:type="pct"/>
            <w:vAlign w:val="center"/>
          </w:tcPr>
          <w:p w:rsidR="00F2667A" w:rsidRPr="008B725E" w:rsidRDefault="00F2667A" w:rsidP="00AC5E2D">
            <w:pPr>
              <w:keepNext/>
              <w:jc w:val="center"/>
              <w:rPr>
                <w:rFonts w:ascii="Arial Narrow" w:hAnsi="Arial Narrow"/>
                <w:b/>
                <w:sz w:val="20"/>
              </w:rPr>
            </w:pPr>
          </w:p>
          <w:p w:rsidR="00F2667A" w:rsidRPr="008B725E" w:rsidRDefault="00F2667A" w:rsidP="00AC5E2D">
            <w:pPr>
              <w:keepNext/>
              <w:jc w:val="center"/>
              <w:rPr>
                <w:rFonts w:ascii="Arial Narrow" w:hAnsi="Arial Narrow"/>
                <w:b/>
                <w:sz w:val="20"/>
              </w:rPr>
            </w:pPr>
            <w:r w:rsidRPr="008B725E">
              <w:rPr>
                <w:rFonts w:ascii="Arial Narrow" w:hAnsi="Arial Narrow"/>
                <w:b/>
                <w:sz w:val="20"/>
              </w:rPr>
              <w:t>PDX-008</w:t>
            </w:r>
          </w:p>
          <w:p w:rsidR="00F2667A" w:rsidRPr="008B725E" w:rsidRDefault="00F2667A" w:rsidP="00AC5E2D">
            <w:pPr>
              <w:keepNext/>
              <w:jc w:val="center"/>
              <w:rPr>
                <w:rFonts w:ascii="Arial Narrow" w:hAnsi="Arial Narrow"/>
                <w:b/>
                <w:sz w:val="20"/>
              </w:rPr>
            </w:pPr>
            <w:r w:rsidRPr="008B725E">
              <w:rPr>
                <w:rFonts w:ascii="Arial Narrow" w:hAnsi="Arial Narrow"/>
                <w:b/>
                <w:sz w:val="20"/>
              </w:rPr>
              <w:t>N=109</w:t>
            </w:r>
          </w:p>
          <w:p w:rsidR="00F2667A" w:rsidRPr="008B725E" w:rsidRDefault="00F2667A" w:rsidP="00AC5E2D">
            <w:pPr>
              <w:keepNext/>
              <w:jc w:val="center"/>
              <w:rPr>
                <w:rFonts w:ascii="Arial Narrow" w:hAnsi="Arial Narrow"/>
                <w:b/>
                <w:sz w:val="20"/>
              </w:rPr>
            </w:pPr>
            <w:r w:rsidRPr="008B725E">
              <w:rPr>
                <w:rFonts w:ascii="Arial Narrow" w:hAnsi="Arial Narrow"/>
                <w:b/>
                <w:sz w:val="20"/>
              </w:rPr>
              <w:t>(updated</w:t>
            </w:r>
            <w:r>
              <w:rPr>
                <w:rFonts w:ascii="Arial Narrow" w:hAnsi="Arial Narrow"/>
                <w:b/>
                <w:sz w:val="20"/>
              </w:rPr>
              <w:t>*</w:t>
            </w:r>
            <w:r w:rsidRPr="008B725E">
              <w:rPr>
                <w:rFonts w:ascii="Arial Narrow" w:hAnsi="Arial Narrow"/>
                <w:b/>
                <w:sz w:val="20"/>
              </w:rPr>
              <w:t xml:space="preserve"> results)</w:t>
            </w:r>
          </w:p>
        </w:tc>
        <w:tc>
          <w:tcPr>
            <w:tcW w:w="664" w:type="pct"/>
            <w:vAlign w:val="center"/>
          </w:tcPr>
          <w:p w:rsidR="00F2667A" w:rsidRPr="008B725E" w:rsidRDefault="00F2667A" w:rsidP="00AC5E2D">
            <w:pPr>
              <w:keepNext/>
              <w:jc w:val="center"/>
              <w:rPr>
                <w:rFonts w:ascii="Arial Narrow" w:hAnsi="Arial Narrow"/>
                <w:b/>
                <w:sz w:val="20"/>
              </w:rPr>
            </w:pPr>
            <w:r w:rsidRPr="008B725E">
              <w:rPr>
                <w:rFonts w:ascii="Arial Narrow" w:hAnsi="Arial Narrow"/>
                <w:b/>
                <w:sz w:val="20"/>
              </w:rPr>
              <w:t>Matched PDX-008 cohort N=66</w:t>
            </w:r>
          </w:p>
          <w:p w:rsidR="00F2667A" w:rsidRPr="008B725E" w:rsidRDefault="00F2667A" w:rsidP="00AC5E2D">
            <w:pPr>
              <w:keepNext/>
              <w:jc w:val="center"/>
              <w:rPr>
                <w:rFonts w:ascii="Arial Narrow" w:hAnsi="Arial Narrow"/>
                <w:b/>
                <w:sz w:val="20"/>
              </w:rPr>
            </w:pPr>
            <w:r w:rsidRPr="008B725E">
              <w:rPr>
                <w:rFonts w:ascii="Arial Narrow" w:hAnsi="Arial Narrow"/>
                <w:b/>
                <w:sz w:val="20"/>
              </w:rPr>
              <w:t>(based on updated</w:t>
            </w:r>
            <w:r>
              <w:rPr>
                <w:rFonts w:ascii="Arial Narrow" w:hAnsi="Arial Narrow"/>
                <w:b/>
                <w:sz w:val="20"/>
              </w:rPr>
              <w:t>*</w:t>
            </w:r>
            <w:r w:rsidRPr="008B725E">
              <w:rPr>
                <w:rFonts w:ascii="Arial Narrow" w:hAnsi="Arial Narrow"/>
                <w:b/>
                <w:sz w:val="20"/>
              </w:rPr>
              <w:t xml:space="preserve"> results)</w:t>
            </w:r>
          </w:p>
        </w:tc>
        <w:tc>
          <w:tcPr>
            <w:tcW w:w="750" w:type="pct"/>
            <w:vAlign w:val="center"/>
          </w:tcPr>
          <w:p w:rsidR="00F2667A" w:rsidRPr="004E2ADC" w:rsidRDefault="00F2667A" w:rsidP="00AC5E2D">
            <w:pPr>
              <w:keepNext/>
              <w:jc w:val="center"/>
              <w:rPr>
                <w:rFonts w:ascii="Arial Narrow" w:hAnsi="Arial Narrow"/>
                <w:b/>
                <w:sz w:val="20"/>
              </w:rPr>
            </w:pPr>
            <w:r>
              <w:rPr>
                <w:rFonts w:ascii="Arial Narrow" w:hAnsi="Arial Narrow"/>
                <w:b/>
                <w:sz w:val="20"/>
              </w:rPr>
              <w:t>Matched historical control cohort N=66</w:t>
            </w:r>
          </w:p>
        </w:tc>
        <w:tc>
          <w:tcPr>
            <w:tcW w:w="750" w:type="pct"/>
            <w:vAlign w:val="center"/>
          </w:tcPr>
          <w:p w:rsidR="00F2667A" w:rsidRDefault="00F2667A" w:rsidP="00AC5E2D">
            <w:pPr>
              <w:keepNext/>
              <w:jc w:val="center"/>
              <w:rPr>
                <w:rFonts w:ascii="Arial Narrow" w:hAnsi="Arial Narrow"/>
                <w:b/>
                <w:sz w:val="20"/>
              </w:rPr>
            </w:pPr>
            <w:r>
              <w:rPr>
                <w:rFonts w:ascii="Arial Narrow" w:hAnsi="Arial Narrow"/>
                <w:b/>
                <w:sz w:val="20"/>
              </w:rPr>
              <w:t>Absolute difference</w:t>
            </w:r>
          </w:p>
        </w:tc>
        <w:tc>
          <w:tcPr>
            <w:tcW w:w="918" w:type="pct"/>
            <w:vAlign w:val="center"/>
          </w:tcPr>
          <w:p w:rsidR="00F2667A" w:rsidRDefault="00F2667A" w:rsidP="00AC5E2D">
            <w:pPr>
              <w:keepNext/>
              <w:jc w:val="center"/>
              <w:rPr>
                <w:rFonts w:ascii="Arial Narrow" w:hAnsi="Arial Narrow"/>
                <w:b/>
                <w:sz w:val="20"/>
              </w:rPr>
            </w:pPr>
            <w:r>
              <w:rPr>
                <w:rFonts w:ascii="Arial Narrow" w:hAnsi="Arial Narrow"/>
                <w:b/>
                <w:sz w:val="20"/>
              </w:rPr>
              <w:t>Hazard ratio (matched PDX-008 and matched historical control cohort)</w:t>
            </w:r>
          </w:p>
        </w:tc>
      </w:tr>
      <w:tr w:rsidR="00F2667A" w:rsidRPr="004E2ADC" w:rsidTr="00AC5E2D">
        <w:tc>
          <w:tcPr>
            <w:tcW w:w="627" w:type="pct"/>
            <w:vAlign w:val="center"/>
          </w:tcPr>
          <w:p w:rsidR="00F2667A" w:rsidRPr="0005348D" w:rsidRDefault="00F2667A" w:rsidP="00AC5E2D">
            <w:pPr>
              <w:keepNext/>
              <w:jc w:val="left"/>
              <w:rPr>
                <w:rFonts w:ascii="Arial Narrow" w:hAnsi="Arial Narrow"/>
                <w:sz w:val="20"/>
              </w:rPr>
            </w:pPr>
            <w:r w:rsidRPr="0005348D">
              <w:rPr>
                <w:rFonts w:ascii="Arial Narrow" w:hAnsi="Arial Narrow"/>
                <w:sz w:val="20"/>
              </w:rPr>
              <w:t xml:space="preserve">Median PFS (95%CI) </w:t>
            </w:r>
          </w:p>
        </w:tc>
        <w:tc>
          <w:tcPr>
            <w:tcW w:w="622" w:type="pct"/>
            <w:vAlign w:val="center"/>
          </w:tcPr>
          <w:p w:rsidR="00F2667A" w:rsidRPr="00601842" w:rsidRDefault="00F2667A" w:rsidP="00AC5E2D">
            <w:pPr>
              <w:keepNext/>
              <w:jc w:val="center"/>
              <w:rPr>
                <w:rFonts w:ascii="Arial Narrow" w:hAnsi="Arial Narrow"/>
                <w:sz w:val="20"/>
              </w:rPr>
            </w:pPr>
            <w:r w:rsidRPr="00601842">
              <w:rPr>
                <w:rFonts w:ascii="Arial Narrow" w:hAnsi="Arial Narrow"/>
                <w:sz w:val="20"/>
              </w:rPr>
              <w:t>3.5 (1.7-4.8)</w:t>
            </w:r>
          </w:p>
        </w:tc>
        <w:tc>
          <w:tcPr>
            <w:tcW w:w="668" w:type="pct"/>
            <w:vAlign w:val="center"/>
          </w:tcPr>
          <w:p w:rsidR="00F2667A" w:rsidRDefault="00F2667A" w:rsidP="00AC5E2D">
            <w:pPr>
              <w:keepNext/>
              <w:jc w:val="center"/>
              <w:rPr>
                <w:rFonts w:ascii="Arial Narrow" w:hAnsi="Arial Narrow"/>
                <w:sz w:val="20"/>
              </w:rPr>
            </w:pPr>
            <w:r>
              <w:rPr>
                <w:rFonts w:ascii="Arial Narrow" w:hAnsi="Arial Narrow"/>
                <w:sz w:val="20"/>
              </w:rPr>
              <w:t>NR</w:t>
            </w:r>
          </w:p>
        </w:tc>
        <w:tc>
          <w:tcPr>
            <w:tcW w:w="664" w:type="pct"/>
            <w:vAlign w:val="center"/>
          </w:tcPr>
          <w:p w:rsidR="00F2667A" w:rsidRPr="004E2ADC" w:rsidRDefault="00F2667A" w:rsidP="00AC5E2D">
            <w:pPr>
              <w:keepNext/>
              <w:jc w:val="center"/>
              <w:rPr>
                <w:rFonts w:ascii="Arial Narrow" w:hAnsi="Arial Narrow"/>
                <w:sz w:val="20"/>
              </w:rPr>
            </w:pPr>
            <w:r>
              <w:rPr>
                <w:rFonts w:ascii="Arial Narrow" w:hAnsi="Arial Narrow"/>
                <w:sz w:val="20"/>
              </w:rPr>
              <w:t>NR</w:t>
            </w:r>
          </w:p>
        </w:tc>
        <w:tc>
          <w:tcPr>
            <w:tcW w:w="750" w:type="pct"/>
            <w:vAlign w:val="center"/>
          </w:tcPr>
          <w:p w:rsidR="00F2667A" w:rsidRPr="004E2ADC" w:rsidRDefault="00F2667A" w:rsidP="00AC5E2D">
            <w:pPr>
              <w:keepNext/>
              <w:jc w:val="center"/>
              <w:rPr>
                <w:rFonts w:ascii="Arial Narrow" w:hAnsi="Arial Narrow"/>
                <w:sz w:val="20"/>
              </w:rPr>
            </w:pPr>
            <w:r>
              <w:rPr>
                <w:rFonts w:ascii="Arial Narrow" w:hAnsi="Arial Narrow"/>
                <w:sz w:val="20"/>
              </w:rPr>
              <w:t>NR</w:t>
            </w:r>
          </w:p>
        </w:tc>
        <w:tc>
          <w:tcPr>
            <w:tcW w:w="750" w:type="pct"/>
            <w:vAlign w:val="center"/>
          </w:tcPr>
          <w:p w:rsidR="00F2667A" w:rsidRDefault="00F2667A" w:rsidP="00AC5E2D">
            <w:pPr>
              <w:keepNext/>
              <w:jc w:val="center"/>
              <w:rPr>
                <w:rFonts w:ascii="Arial Narrow" w:hAnsi="Arial Narrow"/>
                <w:sz w:val="20"/>
              </w:rPr>
            </w:pPr>
            <w:r>
              <w:rPr>
                <w:rFonts w:ascii="Arial Narrow" w:hAnsi="Arial Narrow"/>
                <w:sz w:val="20"/>
              </w:rPr>
              <w:t>NR</w:t>
            </w:r>
          </w:p>
        </w:tc>
        <w:tc>
          <w:tcPr>
            <w:tcW w:w="918" w:type="pct"/>
            <w:vAlign w:val="center"/>
          </w:tcPr>
          <w:p w:rsidR="00F2667A" w:rsidRDefault="00F2667A" w:rsidP="00AC5E2D">
            <w:pPr>
              <w:keepNext/>
              <w:jc w:val="center"/>
              <w:rPr>
                <w:rFonts w:ascii="Arial Narrow" w:hAnsi="Arial Narrow"/>
                <w:sz w:val="20"/>
              </w:rPr>
            </w:pPr>
            <w:r>
              <w:rPr>
                <w:rFonts w:ascii="Arial Narrow" w:hAnsi="Arial Narrow"/>
                <w:sz w:val="20"/>
              </w:rPr>
              <w:t>NR</w:t>
            </w:r>
          </w:p>
        </w:tc>
      </w:tr>
      <w:tr w:rsidR="00F2667A" w:rsidRPr="004E2ADC" w:rsidTr="00AC5E2D">
        <w:tc>
          <w:tcPr>
            <w:tcW w:w="627" w:type="pct"/>
            <w:vAlign w:val="center"/>
          </w:tcPr>
          <w:p w:rsidR="00F2667A" w:rsidRPr="0005348D" w:rsidRDefault="00F2667A" w:rsidP="00AC5E2D">
            <w:pPr>
              <w:keepNext/>
              <w:jc w:val="left"/>
              <w:rPr>
                <w:rFonts w:ascii="Arial Narrow" w:hAnsi="Arial Narrow"/>
                <w:sz w:val="20"/>
              </w:rPr>
            </w:pPr>
            <w:r w:rsidRPr="0005348D">
              <w:rPr>
                <w:rFonts w:ascii="Arial Narrow" w:hAnsi="Arial Narrow"/>
                <w:sz w:val="20"/>
              </w:rPr>
              <w:t>Median OS (95%CI)</w:t>
            </w:r>
          </w:p>
        </w:tc>
        <w:tc>
          <w:tcPr>
            <w:tcW w:w="622" w:type="pct"/>
            <w:vAlign w:val="center"/>
          </w:tcPr>
          <w:p w:rsidR="00F2667A" w:rsidRPr="004E2ADC" w:rsidRDefault="00F2667A" w:rsidP="00AC5E2D">
            <w:pPr>
              <w:keepNext/>
              <w:jc w:val="center"/>
              <w:rPr>
                <w:rFonts w:ascii="Arial Narrow" w:hAnsi="Arial Narrow"/>
                <w:sz w:val="20"/>
              </w:rPr>
            </w:pPr>
            <w:r>
              <w:rPr>
                <w:rFonts w:ascii="Arial Narrow" w:hAnsi="Arial Narrow"/>
                <w:sz w:val="20"/>
              </w:rPr>
              <w:t>14.5 (10.6-22.5)</w:t>
            </w:r>
          </w:p>
        </w:tc>
        <w:tc>
          <w:tcPr>
            <w:tcW w:w="668" w:type="pct"/>
            <w:vAlign w:val="center"/>
          </w:tcPr>
          <w:p w:rsidR="00F2667A" w:rsidRPr="00685063" w:rsidRDefault="00685063" w:rsidP="00AC5E2D">
            <w:pPr>
              <w:keepNext/>
              <w:jc w:val="center"/>
              <w:rPr>
                <w:rFonts w:ascii="Arial Narrow" w:hAnsi="Arial Narrow"/>
                <w:sz w:val="20"/>
                <w:highlight w:val="black"/>
              </w:rPr>
            </w:pPr>
            <w:r>
              <w:rPr>
                <w:rFonts w:ascii="Arial Narrow" w:hAnsi="Arial Narrow"/>
                <w:noProof/>
                <w:color w:val="000000"/>
                <w:sz w:val="20"/>
                <w:highlight w:val="black"/>
              </w:rPr>
              <w:t>'''''''''''' '''''''''''''''''''''''''''</w:t>
            </w:r>
          </w:p>
        </w:tc>
        <w:tc>
          <w:tcPr>
            <w:tcW w:w="664" w:type="pct"/>
            <w:vAlign w:val="center"/>
          </w:tcPr>
          <w:p w:rsidR="00F2667A" w:rsidRPr="00685063" w:rsidRDefault="00685063" w:rsidP="00AC5E2D">
            <w:pPr>
              <w:keepNext/>
              <w:jc w:val="center"/>
              <w:rPr>
                <w:rFonts w:ascii="Arial Narrow" w:hAnsi="Arial Narrow"/>
                <w:sz w:val="20"/>
                <w:highlight w:val="black"/>
              </w:rPr>
            </w:pPr>
            <w:r>
              <w:rPr>
                <w:rFonts w:ascii="Arial Narrow" w:hAnsi="Arial Narrow"/>
                <w:noProof/>
                <w:color w:val="000000"/>
                <w:sz w:val="20"/>
                <w:highlight w:val="black"/>
              </w:rPr>
              <w:t>'''''''''' '''''''''''''''''''''''''</w:t>
            </w:r>
          </w:p>
        </w:tc>
        <w:tc>
          <w:tcPr>
            <w:tcW w:w="750" w:type="pct"/>
            <w:vAlign w:val="center"/>
          </w:tcPr>
          <w:p w:rsidR="00F2667A" w:rsidRPr="00685063" w:rsidRDefault="00685063" w:rsidP="00AC5E2D">
            <w:pPr>
              <w:keepNext/>
              <w:jc w:val="center"/>
              <w:rPr>
                <w:rFonts w:ascii="Arial Narrow" w:hAnsi="Arial Narrow"/>
                <w:sz w:val="20"/>
                <w:highlight w:val="black"/>
              </w:rPr>
            </w:pPr>
            <w:r>
              <w:rPr>
                <w:rFonts w:ascii="Arial Narrow" w:hAnsi="Arial Narrow"/>
                <w:noProof/>
                <w:color w:val="000000"/>
                <w:sz w:val="20"/>
                <w:highlight w:val="black"/>
              </w:rPr>
              <w:t>'''''''' ''''''''''''''''''''</w:t>
            </w:r>
          </w:p>
        </w:tc>
        <w:tc>
          <w:tcPr>
            <w:tcW w:w="750" w:type="pct"/>
            <w:vAlign w:val="center"/>
          </w:tcPr>
          <w:p w:rsidR="00F2667A" w:rsidRPr="00685063" w:rsidRDefault="00685063" w:rsidP="00AC5E2D">
            <w:pPr>
              <w:keepNext/>
              <w:jc w:val="center"/>
              <w:rPr>
                <w:rFonts w:ascii="Arial Narrow" w:hAnsi="Arial Narrow"/>
                <w:sz w:val="20"/>
                <w:highlight w:val="black"/>
              </w:rPr>
            </w:pPr>
            <w:r>
              <w:rPr>
                <w:rFonts w:ascii="Arial Narrow" w:hAnsi="Arial Narrow"/>
                <w:noProof/>
                <w:color w:val="000000"/>
                <w:sz w:val="20"/>
                <w:highlight w:val="black"/>
              </w:rPr>
              <w:t>'''''''''''</w:t>
            </w:r>
          </w:p>
        </w:tc>
        <w:tc>
          <w:tcPr>
            <w:tcW w:w="918" w:type="pct"/>
            <w:vAlign w:val="center"/>
          </w:tcPr>
          <w:p w:rsidR="00F2667A" w:rsidRPr="00685063" w:rsidRDefault="00685063" w:rsidP="00AC5E2D">
            <w:pPr>
              <w:keepNext/>
              <w:jc w:val="center"/>
              <w:rPr>
                <w:rFonts w:ascii="Arial Narrow" w:hAnsi="Arial Narrow"/>
                <w:sz w:val="20"/>
                <w:highlight w:val="black"/>
              </w:rPr>
            </w:pPr>
            <w:r>
              <w:rPr>
                <w:rFonts w:ascii="Arial Narrow" w:hAnsi="Arial Narrow"/>
                <w:noProof/>
                <w:color w:val="000000"/>
                <w:sz w:val="20"/>
                <w:highlight w:val="black"/>
              </w:rPr>
              <w:t>''''''''''''' '''''''''''''''''' ''''''''''''''''</w:t>
            </w:r>
          </w:p>
        </w:tc>
      </w:tr>
    </w:tbl>
    <w:p w:rsidR="00F2667A" w:rsidRDefault="00F2667A" w:rsidP="00F2667A">
      <w:pPr>
        <w:pStyle w:val="TableFooter"/>
        <w:keepNext/>
        <w:ind w:firstLine="720"/>
      </w:pPr>
      <w:r>
        <w:t>Source: Table B.6.2, p B66, Figure B.6.3, pB79 of the submission and page 37 of clinical-overview-row.pdf</w:t>
      </w:r>
    </w:p>
    <w:p w:rsidR="00F2667A" w:rsidRDefault="00F2667A" w:rsidP="00F2667A">
      <w:pPr>
        <w:pStyle w:val="TableFooter"/>
        <w:keepNext/>
        <w:ind w:firstLine="720"/>
      </w:pPr>
      <w:r>
        <w:t>Abbreviations: CI – Confidence interval, OS – Overall survival, PFS – Progression free survival, NR – Not reported</w:t>
      </w:r>
    </w:p>
    <w:p w:rsidR="00F2667A" w:rsidRDefault="00F2667A" w:rsidP="00F2667A">
      <w:pPr>
        <w:pStyle w:val="TableFooter"/>
        <w:keepNext/>
        <w:ind w:left="720"/>
      </w:pPr>
      <w:r>
        <w:t xml:space="preserve">*Updated results based on additional survival data obtained from </w:t>
      </w:r>
      <w:r w:rsidR="00685063">
        <w:rPr>
          <w:noProof/>
          <w:color w:val="000000"/>
          <w:highlight w:val="black"/>
        </w:rPr>
        <w:t>'''''''</w:t>
      </w:r>
      <w:r>
        <w:t xml:space="preserve"> patients in the overall trial population. Additional survival data was up to a four year follow-up period  </w:t>
      </w:r>
    </w:p>
    <w:p w:rsidR="00F2667A" w:rsidRDefault="00F2667A" w:rsidP="00F2667A">
      <w:pPr>
        <w:pStyle w:val="TableFooter"/>
        <w:keepNext/>
      </w:pPr>
    </w:p>
    <w:p w:rsidR="00F2667A" w:rsidRDefault="00D74058" w:rsidP="00F2667A">
      <w:pPr>
        <w:keepNext/>
        <w:ind w:firstLine="709"/>
      </w:pPr>
      <w:r>
        <w:rPr>
          <w:rStyle w:val="CommentReference"/>
        </w:rPr>
        <w:t xml:space="preserve">Figure </w:t>
      </w:r>
      <w:r w:rsidR="00F2667A">
        <w:rPr>
          <w:rStyle w:val="CommentReference"/>
        </w:rPr>
        <w:t xml:space="preserve">1: </w:t>
      </w:r>
      <w:r w:rsidR="00F2667A" w:rsidRPr="005A3D39">
        <w:rPr>
          <w:rStyle w:val="CommentReference"/>
        </w:rPr>
        <w:t>Overall survival for matched PDX-008</w:t>
      </w:r>
      <w:r w:rsidR="00F2667A">
        <w:rPr>
          <w:rStyle w:val="CommentReference"/>
        </w:rPr>
        <w:t xml:space="preserve"> (updated results)</w:t>
      </w:r>
      <w:r w:rsidR="00F2667A" w:rsidRPr="005A3D39">
        <w:rPr>
          <w:rStyle w:val="CommentReference"/>
        </w:rPr>
        <w:t xml:space="preserve"> versus control matched patients</w:t>
      </w:r>
    </w:p>
    <w:p w:rsidR="00F2667A" w:rsidRPr="00685063" w:rsidRDefault="00685063" w:rsidP="00F2667A">
      <w:pPr>
        <w:pStyle w:val="TableFooter"/>
        <w:keepNext/>
        <w:ind w:left="709"/>
      </w:pPr>
      <w:r>
        <w:rPr>
          <w:noProof/>
          <w:snapToGrid/>
          <w:lang w:eastAsia="en-AU"/>
        </w:rPr>
        <w:drawing>
          <wp:inline distT="0" distB="0" distL="0" distR="0">
            <wp:extent cx="5286375" cy="2960370"/>
            <wp:effectExtent l="0" t="0" r="9525" b="0"/>
            <wp:docPr id="7" name="Picture 7" title="Overall survival for matched cohort from study PDX-0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86375" cy="2960370"/>
                    </a:xfrm>
                    <a:prstGeom prst="rect">
                      <a:avLst/>
                    </a:prstGeom>
                  </pic:spPr>
                </pic:pic>
              </a:graphicData>
            </a:graphic>
          </wp:inline>
        </w:drawing>
      </w:r>
    </w:p>
    <w:p w:rsidR="00F2667A" w:rsidRPr="00685063" w:rsidRDefault="00685063" w:rsidP="00F2667A">
      <w:pPr>
        <w:pStyle w:val="TableFooter"/>
        <w:keepNext/>
        <w:ind w:firstLine="709"/>
        <w:rPr>
          <w:highlight w:val="black"/>
        </w:rPr>
      </w:pPr>
      <w:r>
        <w:rPr>
          <w:noProof/>
          <w:color w:val="000000"/>
          <w:highlight w:val="black"/>
        </w:rPr>
        <w:t>''''''''''''''''''' ''''''''''''''' ''''''''''''''' ''''''''''''' ''''' ''''''' '''''''''''''''''''''''''</w:t>
      </w:r>
    </w:p>
    <w:p w:rsidR="00F2667A" w:rsidRDefault="00F2667A" w:rsidP="00F2667A">
      <w:pPr>
        <w:ind w:firstLine="720"/>
        <w:rPr>
          <w:rStyle w:val="CommentReference"/>
        </w:rPr>
      </w:pPr>
    </w:p>
    <w:p w:rsidR="00983E10" w:rsidRPr="00FA2BF7" w:rsidRDefault="00983E10" w:rsidP="00733B01">
      <w:pPr>
        <w:pStyle w:val="ListParagraph"/>
        <w:numPr>
          <w:ilvl w:val="1"/>
          <w:numId w:val="1"/>
        </w:numPr>
        <w:ind w:left="720"/>
      </w:pPr>
      <w:r w:rsidRPr="00FA2BF7">
        <w:lastRenderedPageBreak/>
        <w:t>The PSCR</w:t>
      </w:r>
      <w:r w:rsidR="004A2093" w:rsidRPr="00FA2BF7">
        <w:t xml:space="preserve"> (p1)</w:t>
      </w:r>
      <w:r w:rsidRPr="00FA2BF7">
        <w:t xml:space="preserve"> acknowledged that 3 and 4 year data is based on small patient numbers, but did not provide numbers at risk for the Kaplan Meier survival curve, nor additional data to support the sponsor’s assertion that such patients are representative.</w:t>
      </w:r>
    </w:p>
    <w:p w:rsidR="00983E10" w:rsidRPr="00FA2BF7" w:rsidRDefault="00983E10" w:rsidP="001F05D8">
      <w:pPr>
        <w:pStyle w:val="ListParagraph"/>
      </w:pPr>
    </w:p>
    <w:p w:rsidR="00983E10" w:rsidRDefault="00983E10" w:rsidP="00D161A7">
      <w:r w:rsidRPr="00FA2BF7">
        <w:t xml:space="preserve">Supportive evidence from study PDX-008 and a meta-analysis of fourteen single arm comparisons, </w:t>
      </w:r>
      <w:r w:rsidR="00D161A7">
        <w:t xml:space="preserve">utilising a variety of combination therapies examining refractory and or relapsed PTCL patients, </w:t>
      </w:r>
      <w:r w:rsidRPr="00FA2BF7">
        <w:t xml:space="preserve">indicated that the overall response rate for </w:t>
      </w:r>
      <w:proofErr w:type="spellStart"/>
      <w:r w:rsidRPr="00FA2BF7">
        <w:t>pralatrexate</w:t>
      </w:r>
      <w:proofErr w:type="spellEnd"/>
      <w:r w:rsidRPr="00FA2BF7">
        <w:t xml:space="preserve"> was not improved compared to </w:t>
      </w:r>
      <w:proofErr w:type="spellStart"/>
      <w:r w:rsidRPr="00FA2BF7">
        <w:t>brentuximab</w:t>
      </w:r>
      <w:proofErr w:type="spellEnd"/>
      <w:r w:rsidRPr="00FA2BF7">
        <w:t xml:space="preserve"> or </w:t>
      </w:r>
      <w:r w:rsidR="00D161A7">
        <w:t xml:space="preserve">the </w:t>
      </w:r>
      <w:r w:rsidRPr="00FA2BF7">
        <w:t>combination therapies, as acknowledged by the PSCR.</w:t>
      </w:r>
      <w:r w:rsidR="00D161A7">
        <w:t xml:space="preserve">  </w:t>
      </w:r>
    </w:p>
    <w:p w:rsidR="00CE78B5" w:rsidRPr="00FA2BF7" w:rsidRDefault="00CE78B5" w:rsidP="00D161A7"/>
    <w:p w:rsidR="00983E10" w:rsidRPr="008D62D0" w:rsidRDefault="00983E10" w:rsidP="00983E10">
      <w:pPr>
        <w:pStyle w:val="PBACTableText"/>
        <w:keepNext/>
        <w:rPr>
          <w:rFonts w:ascii="Arial Narrow" w:hAnsi="Arial Narrow" w:cs="Arial"/>
          <w:b/>
          <w:sz w:val="18"/>
          <w:szCs w:val="18"/>
        </w:rPr>
      </w:pPr>
      <w:r w:rsidRPr="008D62D0">
        <w:rPr>
          <w:rFonts w:ascii="Arial Narrow" w:hAnsi="Arial Narrow"/>
          <w:b/>
          <w:sz w:val="18"/>
          <w:szCs w:val="18"/>
        </w:rPr>
        <w:t xml:space="preserve">Figure 2: </w:t>
      </w:r>
      <w:r w:rsidRPr="008D62D0">
        <w:rPr>
          <w:rFonts w:ascii="Arial Narrow" w:hAnsi="Arial Narrow" w:cs="Arial"/>
          <w:b/>
          <w:sz w:val="18"/>
          <w:szCs w:val="18"/>
        </w:rPr>
        <w:t xml:space="preserve">Overall response rate to </w:t>
      </w:r>
      <w:proofErr w:type="spellStart"/>
      <w:r w:rsidRPr="008D62D0">
        <w:rPr>
          <w:rFonts w:ascii="Arial Narrow" w:hAnsi="Arial Narrow" w:cs="Arial"/>
          <w:b/>
          <w:sz w:val="18"/>
          <w:szCs w:val="18"/>
        </w:rPr>
        <w:t>pralatrexate</w:t>
      </w:r>
      <w:proofErr w:type="spellEnd"/>
      <w:r w:rsidRPr="008D62D0">
        <w:rPr>
          <w:rFonts w:ascii="Arial Narrow" w:hAnsi="Arial Narrow" w:cs="Arial"/>
          <w:b/>
          <w:sz w:val="18"/>
          <w:szCs w:val="18"/>
        </w:rPr>
        <w:t>, single agent (</w:t>
      </w:r>
      <w:proofErr w:type="spellStart"/>
      <w:r w:rsidRPr="008D62D0">
        <w:rPr>
          <w:rFonts w:ascii="Arial Narrow" w:hAnsi="Arial Narrow" w:cs="Arial"/>
          <w:b/>
          <w:sz w:val="18"/>
          <w:szCs w:val="18"/>
        </w:rPr>
        <w:t>brentuximab</w:t>
      </w:r>
      <w:proofErr w:type="spellEnd"/>
      <w:r w:rsidRPr="008D62D0">
        <w:rPr>
          <w:rFonts w:ascii="Arial Narrow" w:hAnsi="Arial Narrow" w:cs="Arial"/>
          <w:b/>
          <w:sz w:val="18"/>
          <w:szCs w:val="18"/>
        </w:rPr>
        <w:t>) and combination regimens</w:t>
      </w:r>
    </w:p>
    <w:p w:rsidR="00983E10" w:rsidRPr="00685063" w:rsidRDefault="00685063" w:rsidP="00983E10">
      <w:pPr>
        <w:pStyle w:val="KMC-Text"/>
        <w:keepNext/>
        <w:spacing w:before="0" w:after="0" w:line="240" w:lineRule="auto"/>
        <w:rPr>
          <w:rFonts w:ascii="Arial Narrow" w:hAnsi="Arial Narrow"/>
          <w:sz w:val="18"/>
          <w:szCs w:val="18"/>
          <w:highlight w:val="black"/>
        </w:rPr>
      </w:pPr>
      <w:r>
        <w:rPr>
          <w:rFonts w:ascii="Arial Narrow" w:hAnsi="Arial Narrow"/>
          <w:noProof/>
          <w:color w:val="000000"/>
          <w:sz w:val="18"/>
          <w:szCs w:val="18"/>
        </w:rPr>
        <w:drawing>
          <wp:inline distT="0" distB="0" distL="0" distR="0">
            <wp:extent cx="5812790" cy="4166870"/>
            <wp:effectExtent l="0" t="0" r="0" b="5080"/>
            <wp:docPr id="6" name="Picture 6" title="Overall response rate to pralatrexate, brentuximab and combination regime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12790" cy="4166870"/>
                    </a:xfrm>
                    <a:prstGeom prst="rect">
                      <a:avLst/>
                    </a:prstGeom>
                  </pic:spPr>
                </pic:pic>
              </a:graphicData>
            </a:graphic>
          </wp:inline>
        </w:drawing>
      </w:r>
      <w:r>
        <w:rPr>
          <w:rFonts w:ascii="Arial Narrow" w:hAnsi="Arial Narrow"/>
          <w:noProof/>
          <w:color w:val="000000"/>
          <w:sz w:val="18"/>
          <w:szCs w:val="18"/>
          <w:highlight w:val="black"/>
        </w:rPr>
        <w:t>'''''''''''''''''' ''''''''''''''' ''''''''''''' '''''''''''' ''''' '''''''' ''''''''''''''''''''''''</w:t>
      </w:r>
    </w:p>
    <w:p w:rsidR="00983E10" w:rsidRPr="00685063" w:rsidRDefault="00685063" w:rsidP="00983E10">
      <w:pPr>
        <w:pStyle w:val="TableFooter"/>
        <w:keepNext/>
        <w:rPr>
          <w:highlight w:val="black"/>
        </w:rPr>
      </w:pPr>
      <w:r>
        <w:rPr>
          <w:noProof/>
          <w:color w:val="000000"/>
          <w:szCs w:val="18"/>
          <w:highlight w:val="black"/>
        </w:rPr>
        <w:t>'''''''''''''''''''''''''''''''''' '''''''''''''''' '' ''''''''''' '''''''''''' '''''''''''''''''''''''''' '''''''''''''''''''''''''''''''''''''''''' ''''''''''''''''''''' '''''''''''''''''' '' ''''''''''''''''''''''' '''''''''''''''''''''''''''''''''''''''''''''''''' '''''''''''''''''''''''''''' '''''''''''''''''''' '''''''' '' ''''''''''''''''''''''' ''''''''''''''''''''''''''''' '''''''''''''''''''''''''</w:t>
      </w:r>
    </w:p>
    <w:p w:rsidR="00983E10" w:rsidRDefault="00983E10" w:rsidP="00983E10">
      <w:pPr>
        <w:rPr>
          <w:i/>
        </w:rPr>
      </w:pPr>
    </w:p>
    <w:p w:rsidR="001777A7" w:rsidRDefault="001777A7" w:rsidP="00983E10">
      <w:pPr>
        <w:rPr>
          <w:i/>
        </w:rPr>
      </w:pPr>
      <w:r w:rsidRPr="001777A7">
        <w:rPr>
          <w:i/>
        </w:rPr>
        <w:t xml:space="preserve">The redacted </w:t>
      </w:r>
      <w:r w:rsidR="00CE78B5">
        <w:rPr>
          <w:i/>
        </w:rPr>
        <w:t xml:space="preserve">figure </w:t>
      </w:r>
      <w:r w:rsidRPr="001777A7">
        <w:rPr>
          <w:i/>
        </w:rPr>
        <w:t xml:space="preserve">above shows the primary measurement for the overall response rate for </w:t>
      </w:r>
      <w:proofErr w:type="spellStart"/>
      <w:r w:rsidRPr="001777A7">
        <w:rPr>
          <w:i/>
        </w:rPr>
        <w:t>pralatrexate</w:t>
      </w:r>
      <w:proofErr w:type="spellEnd"/>
      <w:r w:rsidRPr="001777A7">
        <w:rPr>
          <w:i/>
        </w:rPr>
        <w:t xml:space="preserve"> was29% (95% CI 21, 39%) which was compare with </w:t>
      </w:r>
      <w:proofErr w:type="spellStart"/>
      <w:r w:rsidRPr="001777A7">
        <w:rPr>
          <w:i/>
        </w:rPr>
        <w:t>brentuximab</w:t>
      </w:r>
      <w:proofErr w:type="spellEnd"/>
      <w:r w:rsidRPr="001777A7">
        <w:rPr>
          <w:i/>
        </w:rPr>
        <w:t>, gemcitabine, DHAP, ESHAP, ICE and mixed pool analysis.</w:t>
      </w:r>
      <w:r>
        <w:rPr>
          <w:i/>
        </w:rPr>
        <w:t xml:space="preserve"> </w:t>
      </w:r>
    </w:p>
    <w:p w:rsidR="00CE78B5" w:rsidRPr="00983E10" w:rsidRDefault="00CE78B5" w:rsidP="00983E10">
      <w:pPr>
        <w:rPr>
          <w:i/>
        </w:rPr>
      </w:pPr>
    </w:p>
    <w:p w:rsidR="00983E10" w:rsidRPr="00FA2BF7" w:rsidRDefault="00983E10" w:rsidP="00733B01">
      <w:pPr>
        <w:pStyle w:val="ListParagraph"/>
        <w:numPr>
          <w:ilvl w:val="1"/>
          <w:numId w:val="1"/>
        </w:numPr>
        <w:ind w:left="720"/>
      </w:pPr>
      <w:r w:rsidRPr="00FA2BF7">
        <w:t xml:space="preserve">The ESC noted that the submission stated that </w:t>
      </w:r>
      <w:proofErr w:type="spellStart"/>
      <w:r w:rsidRPr="00FA2BF7">
        <w:t>pralatrexate</w:t>
      </w:r>
      <w:proofErr w:type="spellEnd"/>
      <w:r w:rsidRPr="00FA2BF7">
        <w:t xml:space="preserve"> had comparable efficacy to other single-agent regimens such as </w:t>
      </w:r>
      <w:proofErr w:type="spellStart"/>
      <w:r w:rsidRPr="00FA2BF7">
        <w:t>brentuximab</w:t>
      </w:r>
      <w:proofErr w:type="spellEnd"/>
      <w:r w:rsidRPr="00FA2BF7">
        <w:t xml:space="preserve"> (B.6.4.1 of the submission).</w:t>
      </w:r>
    </w:p>
    <w:p w:rsidR="00983E10" w:rsidRDefault="00983E10" w:rsidP="00F2667A">
      <w:pPr>
        <w:ind w:firstLine="720"/>
        <w:rPr>
          <w:rStyle w:val="CommentReference"/>
        </w:rPr>
      </w:pPr>
    </w:p>
    <w:p w:rsidR="00CE78B5" w:rsidRDefault="00CE78B5">
      <w:pPr>
        <w:widowControl/>
        <w:jc w:val="left"/>
        <w:rPr>
          <w:b/>
        </w:rPr>
      </w:pPr>
      <w:bookmarkStart w:id="10" w:name="_Toc430087381"/>
      <w:r>
        <w:br w:type="page"/>
      </w:r>
    </w:p>
    <w:p w:rsidR="00F2667A" w:rsidRPr="00CE78B5" w:rsidRDefault="00F2667A" w:rsidP="00F2667A">
      <w:pPr>
        <w:pStyle w:val="Heading2"/>
      </w:pPr>
      <w:r w:rsidRPr="00CE78B5">
        <w:lastRenderedPageBreak/>
        <w:t>Comparative harms</w:t>
      </w:r>
      <w:bookmarkEnd w:id="10"/>
    </w:p>
    <w:p w:rsidR="00F2667A" w:rsidRPr="007F1017" w:rsidRDefault="00F2667A" w:rsidP="006B70E7">
      <w:pPr>
        <w:pStyle w:val="ListParagraph"/>
        <w:ind w:left="0"/>
        <w:rPr>
          <w:szCs w:val="22"/>
        </w:rPr>
      </w:pPr>
    </w:p>
    <w:p w:rsidR="00F2667A" w:rsidRPr="00FA2BF7" w:rsidRDefault="00F2667A" w:rsidP="00733B01">
      <w:pPr>
        <w:pStyle w:val="ListParagraph"/>
        <w:widowControl/>
        <w:numPr>
          <w:ilvl w:val="1"/>
          <w:numId w:val="1"/>
        </w:numPr>
        <w:ind w:left="720"/>
      </w:pPr>
      <w:r w:rsidRPr="00A34815">
        <w:t xml:space="preserve">The submission did not present a comparative safety analysis of </w:t>
      </w:r>
      <w:proofErr w:type="spellStart"/>
      <w:r w:rsidRPr="00A34815">
        <w:t>pralatrexate</w:t>
      </w:r>
      <w:proofErr w:type="spellEnd"/>
      <w:r w:rsidRPr="00A34815">
        <w:t xml:space="preserve"> and comparator treatments</w:t>
      </w:r>
      <w:r w:rsidR="004726A4">
        <w:t>, sourced from randomised studies.  It was acknowledged that there is little adverse event information published from RCTs about chemotherapy combinations</w:t>
      </w:r>
      <w:r w:rsidRPr="00A34815">
        <w:t>.</w:t>
      </w:r>
      <w:r w:rsidRPr="005A3D39">
        <w:t xml:space="preserve"> </w:t>
      </w:r>
      <w:r w:rsidR="00983E10" w:rsidRPr="00FA2BF7">
        <w:t xml:space="preserve">Patients in PDX-008 experienced a high burden of adverse events. Notably, 25% of patients had at least one serious adverse event that was treatment-related and 23% of patients in PDX-008 discontinued treatment due to adverse events. </w:t>
      </w:r>
      <w:r w:rsidRPr="00FA2BF7">
        <w:t>In PDX-008 the most commonly reported treatment-related adverse events were mucosal inflammation (68%), thrombocytopenia (40%), nausea (33%), anaemia (32%), fatigue (30%), neutropenia (24%) and epistaxis (23%). Nausea, anaemia, fatigue and epistaxis were generally mild in severity. Mucosal inflammation was common amongst patients and 22% of patients experienced Grade 3 or 4 mucosal inflammation. 31% of patients experienced grade 3-4 thrombocytopenia and 21% of patients experienced grade 3-4 neutropenia.</w:t>
      </w:r>
    </w:p>
    <w:p w:rsidR="00012D97" w:rsidRDefault="00F2667A" w:rsidP="00012D97">
      <w:pPr>
        <w:pStyle w:val="BodyText"/>
        <w:rPr>
          <w:i/>
        </w:rPr>
      </w:pPr>
      <w:r w:rsidRPr="00B50DB8">
        <w:t xml:space="preserve"> </w:t>
      </w:r>
    </w:p>
    <w:p w:rsidR="00F2667A" w:rsidRPr="00CE78B5" w:rsidRDefault="00F2667A" w:rsidP="00F2667A">
      <w:pPr>
        <w:pStyle w:val="Heading2"/>
        <w:rPr>
          <w:szCs w:val="22"/>
        </w:rPr>
      </w:pPr>
      <w:bookmarkStart w:id="11" w:name="_Toc430087382"/>
      <w:r w:rsidRPr="00CE78B5">
        <w:t>Benefits/harms</w:t>
      </w:r>
      <w:bookmarkEnd w:id="11"/>
    </w:p>
    <w:p w:rsidR="00F2667A" w:rsidRDefault="00F2667A" w:rsidP="00F2667A"/>
    <w:p w:rsidR="00F2667A" w:rsidRPr="00B50DB8" w:rsidRDefault="00F2667A" w:rsidP="00733B01">
      <w:pPr>
        <w:pStyle w:val="ListParagraph"/>
        <w:widowControl/>
        <w:numPr>
          <w:ilvl w:val="1"/>
          <w:numId w:val="1"/>
        </w:numPr>
        <w:ind w:left="720"/>
        <w:rPr>
          <w:szCs w:val="22"/>
        </w:rPr>
      </w:pPr>
      <w:r w:rsidRPr="00B50DB8">
        <w:rPr>
          <w:szCs w:val="22"/>
        </w:rPr>
        <w:t xml:space="preserve">A summary of the comparative benefits and harms for </w:t>
      </w:r>
      <w:proofErr w:type="spellStart"/>
      <w:r>
        <w:rPr>
          <w:szCs w:val="22"/>
        </w:rPr>
        <w:t>pralatrexate</w:t>
      </w:r>
      <w:proofErr w:type="spellEnd"/>
      <w:r w:rsidRPr="00B50DB8">
        <w:rPr>
          <w:szCs w:val="22"/>
        </w:rPr>
        <w:t xml:space="preserve"> versus </w:t>
      </w:r>
      <w:r>
        <w:rPr>
          <w:szCs w:val="22"/>
        </w:rPr>
        <w:t xml:space="preserve">the </w:t>
      </w:r>
      <w:r w:rsidRPr="00B50DB8">
        <w:rPr>
          <w:szCs w:val="22"/>
        </w:rPr>
        <w:t xml:space="preserve">comparator is presented in the table below. </w:t>
      </w:r>
    </w:p>
    <w:p w:rsidR="00F2667A" w:rsidRDefault="00F2667A" w:rsidP="00F2667A"/>
    <w:p w:rsidR="00F2667A" w:rsidRPr="00A578DC" w:rsidRDefault="00F2667A" w:rsidP="00F2667A">
      <w:pPr>
        <w:ind w:firstLine="720"/>
        <w:rPr>
          <w:rStyle w:val="CommentReference"/>
        </w:rPr>
      </w:pPr>
      <w:r w:rsidRPr="00A578DC">
        <w:rPr>
          <w:rStyle w:val="CommentReference"/>
        </w:rPr>
        <w:t xml:space="preserve">Table </w:t>
      </w:r>
      <w:r>
        <w:rPr>
          <w:rStyle w:val="CommentReference"/>
        </w:rPr>
        <w:t>4</w:t>
      </w:r>
      <w:r w:rsidRPr="00A578DC">
        <w:rPr>
          <w:rStyle w:val="CommentReference"/>
        </w:rPr>
        <w:t>: Summary of comparative benefits and harms for</w:t>
      </w:r>
      <w:r>
        <w:rPr>
          <w:rStyle w:val="CommentReference"/>
        </w:rPr>
        <w:t xml:space="preserve"> </w:t>
      </w:r>
      <w:proofErr w:type="spellStart"/>
      <w:r>
        <w:rPr>
          <w:rStyle w:val="CommentReference"/>
        </w:rPr>
        <w:t>pralatrexate</w:t>
      </w:r>
      <w:proofErr w:type="spellEnd"/>
      <w:r>
        <w:rPr>
          <w:rStyle w:val="CommentReference"/>
        </w:rPr>
        <w:t xml:space="preserve"> and comparator</w:t>
      </w:r>
    </w:p>
    <w:tbl>
      <w:tblPr>
        <w:tblStyle w:val="TableGrid"/>
        <w:tblW w:w="4700" w:type="pct"/>
        <w:tblInd w:w="698" w:type="dxa"/>
        <w:tblLayout w:type="fixed"/>
        <w:tblCellMar>
          <w:left w:w="28" w:type="dxa"/>
          <w:right w:w="28" w:type="dxa"/>
        </w:tblCellMar>
        <w:tblLook w:val="04A0" w:firstRow="1" w:lastRow="0" w:firstColumn="1" w:lastColumn="0" w:noHBand="0" w:noVBand="1"/>
        <w:tblCaption w:val="Summary of benefits and harms"/>
      </w:tblPr>
      <w:tblGrid>
        <w:gridCol w:w="1169"/>
        <w:gridCol w:w="9"/>
        <w:gridCol w:w="690"/>
        <w:gridCol w:w="442"/>
        <w:gridCol w:w="10"/>
        <w:gridCol w:w="1028"/>
        <w:gridCol w:w="258"/>
        <w:gridCol w:w="1387"/>
        <w:gridCol w:w="181"/>
        <w:gridCol w:w="1141"/>
        <w:gridCol w:w="437"/>
        <w:gridCol w:w="647"/>
        <w:gridCol w:w="1139"/>
      </w:tblGrid>
      <w:tr w:rsidR="00F2667A" w:rsidRPr="00E2771E" w:rsidTr="00D2791F">
        <w:trPr>
          <w:tblHeader/>
        </w:trPr>
        <w:tc>
          <w:tcPr>
            <w:tcW w:w="1094" w:type="pct"/>
            <w:gridSpan w:val="3"/>
            <w:shd w:val="clear" w:color="auto" w:fill="auto"/>
            <w:vAlign w:val="center"/>
          </w:tcPr>
          <w:p w:rsidR="00F2667A" w:rsidRPr="00FE6C7C" w:rsidRDefault="00F2667A" w:rsidP="00AC5E2D">
            <w:pPr>
              <w:jc w:val="center"/>
              <w:rPr>
                <w:rFonts w:ascii="Arial Narrow" w:hAnsi="Arial Narrow"/>
                <w:b/>
                <w:color w:val="000000"/>
                <w:sz w:val="20"/>
                <w:szCs w:val="18"/>
              </w:rPr>
            </w:pPr>
            <w:r>
              <w:rPr>
                <w:rFonts w:ascii="Arial Narrow" w:hAnsi="Arial Narrow"/>
                <w:b/>
                <w:color w:val="000000"/>
                <w:sz w:val="20"/>
                <w:szCs w:val="18"/>
              </w:rPr>
              <w:t>MCA</w:t>
            </w:r>
          </w:p>
        </w:tc>
        <w:tc>
          <w:tcPr>
            <w:tcW w:w="867" w:type="pct"/>
            <w:gridSpan w:val="3"/>
            <w:vAlign w:val="center"/>
          </w:tcPr>
          <w:p w:rsidR="00F2667A" w:rsidRDefault="00F2667A" w:rsidP="00AC5E2D">
            <w:pPr>
              <w:jc w:val="center"/>
              <w:rPr>
                <w:rFonts w:ascii="Arial Narrow" w:hAnsi="Arial Narrow"/>
                <w:b/>
                <w:color w:val="000000"/>
                <w:sz w:val="20"/>
                <w:szCs w:val="18"/>
              </w:rPr>
            </w:pPr>
            <w:proofErr w:type="spellStart"/>
            <w:r>
              <w:rPr>
                <w:rFonts w:ascii="Arial Narrow" w:hAnsi="Arial Narrow"/>
                <w:b/>
                <w:color w:val="000000"/>
                <w:sz w:val="20"/>
                <w:szCs w:val="18"/>
              </w:rPr>
              <w:t>Pralatrexate</w:t>
            </w:r>
            <w:proofErr w:type="spellEnd"/>
          </w:p>
          <w:p w:rsidR="00F2667A" w:rsidRDefault="00F2667A" w:rsidP="00AC5E2D">
            <w:pPr>
              <w:jc w:val="center"/>
              <w:rPr>
                <w:rFonts w:ascii="Arial Narrow" w:hAnsi="Arial Narrow"/>
                <w:b/>
                <w:color w:val="000000"/>
                <w:sz w:val="20"/>
                <w:szCs w:val="18"/>
              </w:rPr>
            </w:pPr>
            <w:r>
              <w:rPr>
                <w:rFonts w:ascii="Arial Narrow" w:hAnsi="Arial Narrow"/>
                <w:b/>
                <w:color w:val="000000"/>
                <w:sz w:val="20"/>
                <w:szCs w:val="18"/>
              </w:rPr>
              <w:t xml:space="preserve">(PDX-008 matched cohort </w:t>
            </w:r>
          </w:p>
          <w:p w:rsidR="00F2667A" w:rsidRPr="00E2771E" w:rsidRDefault="00F2667A" w:rsidP="00AC5E2D">
            <w:pPr>
              <w:jc w:val="center"/>
              <w:rPr>
                <w:rFonts w:ascii="Arial Narrow" w:hAnsi="Arial Narrow"/>
                <w:b/>
                <w:color w:val="000000"/>
                <w:sz w:val="20"/>
                <w:szCs w:val="18"/>
              </w:rPr>
            </w:pPr>
            <w:r>
              <w:rPr>
                <w:rFonts w:ascii="Arial Narrow" w:hAnsi="Arial Narrow"/>
                <w:b/>
                <w:color w:val="000000"/>
                <w:sz w:val="20"/>
                <w:szCs w:val="18"/>
              </w:rPr>
              <w:t>n=</w:t>
            </w:r>
            <w:r w:rsidR="00685063">
              <w:rPr>
                <w:rFonts w:ascii="Arial Narrow" w:hAnsi="Arial Narrow"/>
                <w:b/>
                <w:noProof/>
                <w:color w:val="000000"/>
                <w:sz w:val="20"/>
                <w:szCs w:val="18"/>
                <w:highlight w:val="black"/>
              </w:rPr>
              <w:t>'''''</w:t>
            </w:r>
            <w:r>
              <w:rPr>
                <w:rFonts w:ascii="Arial Narrow" w:hAnsi="Arial Narrow"/>
                <w:b/>
                <w:color w:val="000000"/>
                <w:sz w:val="20"/>
                <w:szCs w:val="18"/>
              </w:rPr>
              <w:t>)^</w:t>
            </w:r>
          </w:p>
        </w:tc>
        <w:tc>
          <w:tcPr>
            <w:tcW w:w="963" w:type="pct"/>
            <w:gridSpan w:val="2"/>
            <w:vAlign w:val="center"/>
          </w:tcPr>
          <w:p w:rsidR="00F2667A" w:rsidRPr="00E2771E" w:rsidRDefault="00F2667A" w:rsidP="00AC5E2D">
            <w:pPr>
              <w:jc w:val="center"/>
              <w:rPr>
                <w:rFonts w:ascii="Arial Narrow" w:hAnsi="Arial Narrow"/>
                <w:b/>
                <w:color w:val="000000"/>
                <w:sz w:val="20"/>
                <w:szCs w:val="18"/>
              </w:rPr>
            </w:pPr>
            <w:r w:rsidRPr="00E2771E">
              <w:rPr>
                <w:rFonts w:ascii="Arial Narrow" w:hAnsi="Arial Narrow"/>
                <w:b/>
                <w:color w:val="000000"/>
                <w:sz w:val="20"/>
                <w:szCs w:val="18"/>
              </w:rPr>
              <w:t xml:space="preserve">Comparator </w:t>
            </w:r>
          </w:p>
        </w:tc>
        <w:tc>
          <w:tcPr>
            <w:tcW w:w="1030" w:type="pct"/>
            <w:gridSpan w:val="3"/>
            <w:vAlign w:val="center"/>
          </w:tcPr>
          <w:p w:rsidR="00F2667A" w:rsidRPr="00E2771E" w:rsidRDefault="00F2667A" w:rsidP="00AC5E2D">
            <w:pPr>
              <w:jc w:val="center"/>
              <w:rPr>
                <w:rFonts w:ascii="Arial Narrow" w:hAnsi="Arial Narrow"/>
                <w:b/>
                <w:color w:val="000000"/>
                <w:sz w:val="20"/>
                <w:szCs w:val="18"/>
              </w:rPr>
            </w:pPr>
            <w:r w:rsidRPr="00E2771E">
              <w:rPr>
                <w:rFonts w:ascii="Arial Narrow" w:hAnsi="Arial Narrow"/>
                <w:b/>
                <w:color w:val="000000"/>
                <w:sz w:val="20"/>
                <w:szCs w:val="18"/>
              </w:rPr>
              <w:t>Absolute Difference</w:t>
            </w:r>
          </w:p>
        </w:tc>
        <w:tc>
          <w:tcPr>
            <w:tcW w:w="1046" w:type="pct"/>
            <w:gridSpan w:val="2"/>
            <w:vAlign w:val="center"/>
          </w:tcPr>
          <w:p w:rsidR="00F2667A" w:rsidRPr="00E2771E" w:rsidRDefault="00F2667A" w:rsidP="00AC5E2D">
            <w:pPr>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F2667A" w:rsidRPr="00E2771E" w:rsidTr="00AC5E2D">
        <w:tc>
          <w:tcPr>
            <w:tcW w:w="1094" w:type="pct"/>
            <w:gridSpan w:val="3"/>
            <w:shd w:val="clear" w:color="auto" w:fill="auto"/>
            <w:vAlign w:val="center"/>
          </w:tcPr>
          <w:p w:rsidR="00F2667A" w:rsidRPr="00E2771E" w:rsidRDefault="00F2667A" w:rsidP="00AC5E2D">
            <w:pPr>
              <w:rPr>
                <w:rFonts w:ascii="Arial Narrow" w:hAnsi="Arial Narrow"/>
                <w:color w:val="000000"/>
                <w:sz w:val="20"/>
                <w:szCs w:val="18"/>
              </w:rPr>
            </w:pPr>
            <w:r>
              <w:rPr>
                <w:rFonts w:ascii="Arial Narrow" w:hAnsi="Arial Narrow"/>
                <w:color w:val="000000"/>
                <w:sz w:val="20"/>
                <w:szCs w:val="18"/>
              </w:rPr>
              <w:t>OS (median months)</w:t>
            </w:r>
          </w:p>
        </w:tc>
        <w:tc>
          <w:tcPr>
            <w:tcW w:w="867" w:type="pct"/>
            <w:gridSpan w:val="3"/>
            <w:vAlign w:val="center"/>
          </w:tcPr>
          <w:p w:rsidR="00F2667A" w:rsidRPr="004E2ADC" w:rsidRDefault="00F2667A" w:rsidP="00AC5E2D">
            <w:pPr>
              <w:keepNext/>
              <w:jc w:val="center"/>
              <w:rPr>
                <w:rFonts w:ascii="Arial Narrow" w:hAnsi="Arial Narrow"/>
                <w:sz w:val="20"/>
              </w:rPr>
            </w:pPr>
            <w:r>
              <w:rPr>
                <w:rFonts w:ascii="Arial Narrow" w:hAnsi="Arial Narrow"/>
                <w:sz w:val="20"/>
              </w:rPr>
              <w:t>19.0 (11.4,NE)</w:t>
            </w:r>
          </w:p>
        </w:tc>
        <w:tc>
          <w:tcPr>
            <w:tcW w:w="963" w:type="pct"/>
            <w:gridSpan w:val="2"/>
            <w:vAlign w:val="center"/>
          </w:tcPr>
          <w:p w:rsidR="00F2667A" w:rsidRPr="00685063" w:rsidRDefault="00685063" w:rsidP="00AC5E2D">
            <w:pPr>
              <w:keepNext/>
              <w:jc w:val="center"/>
              <w:rPr>
                <w:rFonts w:ascii="Arial Narrow" w:hAnsi="Arial Narrow"/>
                <w:sz w:val="20"/>
                <w:highlight w:val="black"/>
              </w:rPr>
            </w:pPr>
            <w:r>
              <w:rPr>
                <w:rFonts w:ascii="Arial Narrow" w:hAnsi="Arial Narrow"/>
                <w:noProof/>
                <w:color w:val="000000"/>
                <w:sz w:val="20"/>
                <w:highlight w:val="black"/>
              </w:rPr>
              <w:t>''''''''' '''''''''''''''''''''''</w:t>
            </w:r>
          </w:p>
        </w:tc>
        <w:tc>
          <w:tcPr>
            <w:tcW w:w="1030" w:type="pct"/>
            <w:gridSpan w:val="3"/>
            <w:vAlign w:val="center"/>
          </w:tcPr>
          <w:p w:rsidR="00F2667A" w:rsidRPr="00685063" w:rsidRDefault="00685063" w:rsidP="00AC5E2D">
            <w:pPr>
              <w:keepNext/>
              <w:jc w:val="center"/>
              <w:rPr>
                <w:rFonts w:ascii="Arial Narrow" w:hAnsi="Arial Narrow"/>
                <w:sz w:val="20"/>
                <w:highlight w:val="black"/>
              </w:rPr>
            </w:pPr>
            <w:r>
              <w:rPr>
                <w:rFonts w:ascii="Arial Narrow" w:hAnsi="Arial Narrow"/>
                <w:noProof/>
                <w:color w:val="000000"/>
                <w:sz w:val="20"/>
                <w:highlight w:val="black"/>
              </w:rPr>
              <w:t>''''''''''</w:t>
            </w:r>
          </w:p>
        </w:tc>
        <w:tc>
          <w:tcPr>
            <w:tcW w:w="1046" w:type="pct"/>
            <w:gridSpan w:val="2"/>
            <w:vAlign w:val="center"/>
          </w:tcPr>
          <w:p w:rsidR="00F2667A" w:rsidRPr="00685063" w:rsidRDefault="00685063" w:rsidP="00AC5E2D">
            <w:pPr>
              <w:keepNext/>
              <w:jc w:val="center"/>
              <w:rPr>
                <w:rFonts w:ascii="Arial Narrow" w:hAnsi="Arial Narrow"/>
                <w:sz w:val="20"/>
                <w:highlight w:val="black"/>
              </w:rPr>
            </w:pPr>
            <w:r>
              <w:rPr>
                <w:rFonts w:ascii="Arial Narrow" w:hAnsi="Arial Narrow"/>
                <w:noProof/>
                <w:color w:val="000000"/>
                <w:sz w:val="20"/>
                <w:highlight w:val="black"/>
              </w:rPr>
              <w:t>''''''''''''''' ''''''''''''''' '''''''''''''''</w:t>
            </w:r>
          </w:p>
        </w:tc>
      </w:tr>
      <w:tr w:rsidR="00F2667A" w:rsidRPr="00E2771E" w:rsidTr="00AC5E2D">
        <w:tc>
          <w:tcPr>
            <w:tcW w:w="5000" w:type="pct"/>
            <w:gridSpan w:val="13"/>
            <w:tcBorders>
              <w:top w:val="double" w:sz="4" w:space="0" w:color="auto"/>
            </w:tcBorders>
            <w:shd w:val="clear" w:color="auto" w:fill="auto"/>
            <w:vAlign w:val="center"/>
          </w:tcPr>
          <w:p w:rsidR="00F2667A" w:rsidRPr="00E2771E" w:rsidRDefault="00F2667A" w:rsidP="00AC5E2D">
            <w:pPr>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F2667A" w:rsidRPr="00E2771E" w:rsidTr="00AC5E2D">
        <w:trPr>
          <w:trHeight w:val="70"/>
        </w:trPr>
        <w:tc>
          <w:tcPr>
            <w:tcW w:w="685" w:type="pct"/>
            <w:vMerge w:val="restart"/>
            <w:shd w:val="clear" w:color="auto" w:fill="auto"/>
            <w:vAlign w:val="center"/>
          </w:tcPr>
          <w:p w:rsidR="00F2667A" w:rsidRPr="00E2771E" w:rsidRDefault="00F2667A" w:rsidP="00AC5E2D">
            <w:pPr>
              <w:rPr>
                <w:rFonts w:ascii="Arial Narrow" w:hAnsi="Arial Narrow"/>
                <w:b/>
                <w:color w:val="000000"/>
                <w:sz w:val="20"/>
                <w:szCs w:val="18"/>
              </w:rPr>
            </w:pPr>
          </w:p>
        </w:tc>
        <w:tc>
          <w:tcPr>
            <w:tcW w:w="668" w:type="pct"/>
            <w:gridSpan w:val="3"/>
            <w:vMerge w:val="restart"/>
            <w:vAlign w:val="center"/>
          </w:tcPr>
          <w:p w:rsidR="00F2667A" w:rsidRPr="00E2771E" w:rsidRDefault="00F2667A" w:rsidP="00AC5E2D">
            <w:pPr>
              <w:jc w:val="center"/>
              <w:rPr>
                <w:rFonts w:ascii="Arial Narrow" w:hAnsi="Arial Narrow"/>
                <w:b/>
                <w:color w:val="000000"/>
                <w:sz w:val="20"/>
                <w:szCs w:val="18"/>
              </w:rPr>
            </w:pPr>
            <w:proofErr w:type="spellStart"/>
            <w:r>
              <w:rPr>
                <w:rFonts w:ascii="Arial Narrow" w:hAnsi="Arial Narrow"/>
                <w:b/>
                <w:color w:val="000000"/>
                <w:sz w:val="20"/>
                <w:szCs w:val="18"/>
              </w:rPr>
              <w:t>Pralatexate</w:t>
            </w:r>
            <w:proofErr w:type="spellEnd"/>
            <w:r>
              <w:rPr>
                <w:rFonts w:ascii="Arial Narrow" w:hAnsi="Arial Narrow"/>
                <w:b/>
                <w:color w:val="000000"/>
                <w:sz w:val="20"/>
                <w:szCs w:val="18"/>
              </w:rPr>
              <w:t xml:space="preserve"> </w:t>
            </w:r>
          </w:p>
        </w:tc>
        <w:tc>
          <w:tcPr>
            <w:tcW w:w="759" w:type="pct"/>
            <w:gridSpan w:val="3"/>
            <w:vMerge w:val="restart"/>
            <w:vAlign w:val="center"/>
          </w:tcPr>
          <w:p w:rsidR="00F2667A" w:rsidRPr="00E2771E" w:rsidRDefault="00F2667A" w:rsidP="00AC5E2D">
            <w:pPr>
              <w:jc w:val="center"/>
              <w:rPr>
                <w:rFonts w:ascii="Arial Narrow" w:hAnsi="Arial Narrow"/>
                <w:b/>
                <w:color w:val="000000"/>
                <w:sz w:val="20"/>
                <w:szCs w:val="18"/>
              </w:rPr>
            </w:pPr>
            <w:r w:rsidRPr="00E2771E">
              <w:rPr>
                <w:rFonts w:ascii="Arial Narrow" w:hAnsi="Arial Narrow"/>
                <w:b/>
                <w:color w:val="000000"/>
                <w:sz w:val="20"/>
                <w:szCs w:val="18"/>
              </w:rPr>
              <w:t>Comparator</w:t>
            </w:r>
          </w:p>
        </w:tc>
        <w:tc>
          <w:tcPr>
            <w:tcW w:w="918" w:type="pct"/>
            <w:gridSpan w:val="2"/>
            <w:vMerge w:val="restart"/>
            <w:vAlign w:val="center"/>
          </w:tcPr>
          <w:p w:rsidR="00F2667A" w:rsidRPr="00E2771E" w:rsidRDefault="00F2667A" w:rsidP="00AC5E2D">
            <w:pPr>
              <w:jc w:val="center"/>
              <w:rPr>
                <w:rFonts w:ascii="Arial Narrow" w:hAnsi="Arial Narrow"/>
                <w:b/>
                <w:color w:val="000000"/>
                <w:sz w:val="20"/>
                <w:szCs w:val="18"/>
              </w:rPr>
            </w:pPr>
            <w:r w:rsidRPr="00E2771E">
              <w:rPr>
                <w:rFonts w:ascii="Arial Narrow" w:hAnsi="Arial Narrow"/>
                <w:b/>
                <w:color w:val="000000"/>
                <w:sz w:val="20"/>
                <w:szCs w:val="18"/>
              </w:rPr>
              <w:t>RR</w:t>
            </w:r>
          </w:p>
          <w:p w:rsidR="00F2667A" w:rsidRPr="00E2771E" w:rsidRDefault="00F2667A" w:rsidP="00AC5E2D">
            <w:pPr>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303" w:type="pct"/>
            <w:gridSpan w:val="3"/>
            <w:vAlign w:val="center"/>
          </w:tcPr>
          <w:p w:rsidR="00F2667A" w:rsidRPr="00E2771E" w:rsidRDefault="00F2667A" w:rsidP="00AC5E2D">
            <w:pPr>
              <w:jc w:val="center"/>
              <w:rPr>
                <w:rFonts w:ascii="Arial Narrow" w:hAnsi="Arial Narrow"/>
                <w:b/>
                <w:color w:val="000000"/>
                <w:sz w:val="20"/>
                <w:szCs w:val="18"/>
              </w:rPr>
            </w:pPr>
            <w:r w:rsidRPr="00E2771E">
              <w:rPr>
                <w:rFonts w:ascii="Arial Narrow" w:hAnsi="Arial Narrow"/>
                <w:b/>
                <w:color w:val="000000"/>
                <w:sz w:val="20"/>
                <w:szCs w:val="18"/>
              </w:rPr>
              <w:t>Event rate/100 patients</w:t>
            </w:r>
            <w:r>
              <w:rPr>
                <w:rFonts w:ascii="Arial Narrow" w:hAnsi="Arial Narrow"/>
                <w:b/>
                <w:color w:val="000000"/>
                <w:sz w:val="20"/>
                <w:szCs w:val="18"/>
              </w:rPr>
              <w:t>/ per 2 years</w:t>
            </w:r>
            <w:r w:rsidRPr="00E2771E">
              <w:rPr>
                <w:rFonts w:ascii="Arial Narrow" w:hAnsi="Arial Narrow"/>
                <w:b/>
                <w:color w:val="000000"/>
                <w:sz w:val="20"/>
                <w:szCs w:val="18"/>
              </w:rPr>
              <w:t xml:space="preserve"> </w:t>
            </w:r>
          </w:p>
        </w:tc>
        <w:tc>
          <w:tcPr>
            <w:tcW w:w="667" w:type="pct"/>
            <w:vMerge w:val="restart"/>
            <w:vAlign w:val="center"/>
          </w:tcPr>
          <w:p w:rsidR="00F2667A" w:rsidRPr="00E2771E" w:rsidRDefault="00F2667A" w:rsidP="00AC5E2D">
            <w:pPr>
              <w:jc w:val="center"/>
              <w:rPr>
                <w:rFonts w:ascii="Arial Narrow" w:hAnsi="Arial Narrow"/>
                <w:b/>
                <w:color w:val="000000"/>
                <w:sz w:val="20"/>
                <w:szCs w:val="18"/>
              </w:rPr>
            </w:pPr>
            <w:r w:rsidRPr="00E2771E">
              <w:rPr>
                <w:rFonts w:ascii="Arial Narrow" w:hAnsi="Arial Narrow"/>
                <w:b/>
                <w:color w:val="000000"/>
                <w:sz w:val="20"/>
                <w:szCs w:val="18"/>
              </w:rPr>
              <w:t>RD</w:t>
            </w:r>
          </w:p>
          <w:p w:rsidR="00F2667A" w:rsidRPr="00E2771E" w:rsidRDefault="00F2667A" w:rsidP="00AC5E2D">
            <w:pPr>
              <w:jc w:val="center"/>
              <w:rPr>
                <w:rFonts w:ascii="Arial Narrow" w:hAnsi="Arial Narrow"/>
                <w:b/>
                <w:color w:val="000000"/>
                <w:sz w:val="20"/>
                <w:szCs w:val="18"/>
              </w:rPr>
            </w:pPr>
            <w:r w:rsidRPr="00E2771E">
              <w:rPr>
                <w:rFonts w:ascii="Arial Narrow" w:hAnsi="Arial Narrow"/>
                <w:b/>
                <w:color w:val="000000"/>
                <w:sz w:val="20"/>
                <w:szCs w:val="18"/>
              </w:rPr>
              <w:t>(95% CI)</w:t>
            </w:r>
          </w:p>
        </w:tc>
      </w:tr>
      <w:tr w:rsidR="00F2667A" w:rsidRPr="00E2771E" w:rsidTr="00AC5E2D">
        <w:trPr>
          <w:trHeight w:val="390"/>
        </w:trPr>
        <w:tc>
          <w:tcPr>
            <w:tcW w:w="685" w:type="pct"/>
            <w:vMerge/>
            <w:shd w:val="clear" w:color="auto" w:fill="auto"/>
            <w:vAlign w:val="center"/>
          </w:tcPr>
          <w:p w:rsidR="00F2667A" w:rsidRPr="00E2771E" w:rsidRDefault="00F2667A" w:rsidP="00AC5E2D">
            <w:pPr>
              <w:rPr>
                <w:rFonts w:ascii="Arial Narrow" w:hAnsi="Arial Narrow"/>
                <w:b/>
                <w:color w:val="000000"/>
                <w:sz w:val="20"/>
                <w:szCs w:val="18"/>
              </w:rPr>
            </w:pPr>
          </w:p>
        </w:tc>
        <w:tc>
          <w:tcPr>
            <w:tcW w:w="668" w:type="pct"/>
            <w:gridSpan w:val="3"/>
            <w:vMerge/>
            <w:vAlign w:val="center"/>
          </w:tcPr>
          <w:p w:rsidR="00F2667A" w:rsidRPr="00E2771E" w:rsidRDefault="00F2667A" w:rsidP="00AC5E2D">
            <w:pPr>
              <w:jc w:val="center"/>
              <w:rPr>
                <w:rFonts w:ascii="Arial Narrow" w:hAnsi="Arial Narrow"/>
                <w:b/>
                <w:color w:val="000000"/>
                <w:sz w:val="20"/>
                <w:szCs w:val="18"/>
              </w:rPr>
            </w:pPr>
          </w:p>
        </w:tc>
        <w:tc>
          <w:tcPr>
            <w:tcW w:w="759" w:type="pct"/>
            <w:gridSpan w:val="3"/>
            <w:vMerge/>
            <w:vAlign w:val="center"/>
          </w:tcPr>
          <w:p w:rsidR="00F2667A" w:rsidRPr="00E2771E" w:rsidRDefault="00F2667A" w:rsidP="00AC5E2D">
            <w:pPr>
              <w:jc w:val="center"/>
              <w:rPr>
                <w:rFonts w:ascii="Arial Narrow" w:hAnsi="Arial Narrow"/>
                <w:b/>
                <w:color w:val="000000"/>
                <w:sz w:val="20"/>
                <w:szCs w:val="18"/>
              </w:rPr>
            </w:pPr>
          </w:p>
        </w:tc>
        <w:tc>
          <w:tcPr>
            <w:tcW w:w="918" w:type="pct"/>
            <w:gridSpan w:val="2"/>
            <w:vMerge/>
            <w:vAlign w:val="center"/>
          </w:tcPr>
          <w:p w:rsidR="00F2667A" w:rsidRPr="00E2771E" w:rsidRDefault="00F2667A" w:rsidP="00AC5E2D">
            <w:pPr>
              <w:jc w:val="center"/>
              <w:rPr>
                <w:rFonts w:ascii="Arial Narrow" w:hAnsi="Arial Narrow"/>
                <w:b/>
                <w:color w:val="000000"/>
                <w:sz w:val="20"/>
                <w:szCs w:val="18"/>
              </w:rPr>
            </w:pPr>
          </w:p>
        </w:tc>
        <w:tc>
          <w:tcPr>
            <w:tcW w:w="668" w:type="pct"/>
            <w:vAlign w:val="center"/>
          </w:tcPr>
          <w:p w:rsidR="00F2667A" w:rsidRPr="00E2771E" w:rsidRDefault="00F2667A" w:rsidP="00AC5E2D">
            <w:pPr>
              <w:jc w:val="center"/>
              <w:rPr>
                <w:rFonts w:ascii="Arial Narrow" w:hAnsi="Arial Narrow"/>
                <w:b/>
                <w:color w:val="000000"/>
                <w:sz w:val="20"/>
                <w:szCs w:val="18"/>
              </w:rPr>
            </w:pPr>
            <w:proofErr w:type="spellStart"/>
            <w:r>
              <w:rPr>
                <w:rFonts w:ascii="Arial Narrow" w:hAnsi="Arial Narrow"/>
                <w:b/>
                <w:color w:val="000000"/>
                <w:sz w:val="20"/>
                <w:szCs w:val="18"/>
              </w:rPr>
              <w:t>Pralatrexate</w:t>
            </w:r>
            <w:proofErr w:type="spellEnd"/>
          </w:p>
        </w:tc>
        <w:tc>
          <w:tcPr>
            <w:tcW w:w="635" w:type="pct"/>
            <w:gridSpan w:val="2"/>
            <w:vAlign w:val="center"/>
          </w:tcPr>
          <w:p w:rsidR="00F2667A" w:rsidRPr="00E2771E" w:rsidRDefault="00F2667A" w:rsidP="00AC5E2D">
            <w:pPr>
              <w:jc w:val="center"/>
              <w:rPr>
                <w:rFonts w:ascii="Arial Narrow" w:hAnsi="Arial Narrow"/>
                <w:b/>
                <w:color w:val="000000"/>
                <w:sz w:val="20"/>
                <w:szCs w:val="18"/>
              </w:rPr>
            </w:pPr>
            <w:r>
              <w:rPr>
                <w:rFonts w:ascii="Arial Narrow" w:hAnsi="Arial Narrow"/>
                <w:b/>
                <w:color w:val="000000"/>
                <w:sz w:val="20"/>
                <w:szCs w:val="18"/>
              </w:rPr>
              <w:t>Comparator</w:t>
            </w:r>
          </w:p>
        </w:tc>
        <w:tc>
          <w:tcPr>
            <w:tcW w:w="667" w:type="pct"/>
            <w:vMerge/>
            <w:vAlign w:val="center"/>
          </w:tcPr>
          <w:p w:rsidR="00F2667A" w:rsidRPr="00E2771E" w:rsidRDefault="00F2667A" w:rsidP="00AC5E2D">
            <w:pPr>
              <w:jc w:val="center"/>
              <w:rPr>
                <w:rFonts w:ascii="Arial Narrow" w:hAnsi="Arial Narrow"/>
                <w:b/>
                <w:color w:val="000000"/>
                <w:sz w:val="20"/>
                <w:szCs w:val="18"/>
              </w:rPr>
            </w:pPr>
          </w:p>
        </w:tc>
      </w:tr>
      <w:tr w:rsidR="00F2667A" w:rsidRPr="00E2771E" w:rsidTr="00AC5E2D">
        <w:tc>
          <w:tcPr>
            <w:tcW w:w="5000" w:type="pct"/>
            <w:gridSpan w:val="13"/>
            <w:shd w:val="clear" w:color="auto" w:fill="auto"/>
            <w:vAlign w:val="center"/>
          </w:tcPr>
          <w:p w:rsidR="00F2667A" w:rsidRPr="00E2771E" w:rsidRDefault="00F2667A" w:rsidP="00AC5E2D">
            <w:pPr>
              <w:rPr>
                <w:rFonts w:ascii="Arial Narrow" w:hAnsi="Arial Narrow"/>
                <w:b/>
                <w:color w:val="000000"/>
                <w:sz w:val="20"/>
                <w:szCs w:val="18"/>
              </w:rPr>
            </w:pPr>
            <w:r>
              <w:rPr>
                <w:rFonts w:ascii="Arial Narrow" w:hAnsi="Arial Narrow"/>
                <w:b/>
                <w:color w:val="000000"/>
                <w:sz w:val="20"/>
                <w:szCs w:val="18"/>
              </w:rPr>
              <w:t>Treatment related neutropenia (all grades)</w:t>
            </w:r>
          </w:p>
        </w:tc>
      </w:tr>
      <w:tr w:rsidR="00F2667A" w:rsidRPr="00E2771E" w:rsidTr="00AC5E2D">
        <w:tc>
          <w:tcPr>
            <w:tcW w:w="690" w:type="pct"/>
            <w:gridSpan w:val="2"/>
            <w:shd w:val="clear" w:color="auto" w:fill="auto"/>
            <w:vAlign w:val="center"/>
          </w:tcPr>
          <w:p w:rsidR="00F2667A" w:rsidRPr="00FE6C7C" w:rsidRDefault="00F2667A" w:rsidP="00AC5E2D">
            <w:pPr>
              <w:jc w:val="left"/>
              <w:rPr>
                <w:rFonts w:ascii="Arial Narrow" w:hAnsi="Arial Narrow"/>
                <w:color w:val="000000"/>
                <w:sz w:val="20"/>
                <w:szCs w:val="18"/>
              </w:rPr>
            </w:pPr>
            <w:r w:rsidRPr="00FE6C7C">
              <w:rPr>
                <w:rFonts w:ascii="Arial Narrow" w:hAnsi="Arial Narrow"/>
                <w:color w:val="000000"/>
                <w:sz w:val="20"/>
                <w:szCs w:val="18"/>
              </w:rPr>
              <w:t xml:space="preserve">PDX-008 efficacy evaluable population </w:t>
            </w:r>
          </w:p>
        </w:tc>
        <w:tc>
          <w:tcPr>
            <w:tcW w:w="669" w:type="pct"/>
            <w:gridSpan w:val="3"/>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27/111</w:t>
            </w:r>
          </w:p>
        </w:tc>
        <w:tc>
          <w:tcPr>
            <w:tcW w:w="753" w:type="pct"/>
            <w:gridSpan w:val="2"/>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NR</w:t>
            </w:r>
          </w:p>
        </w:tc>
        <w:tc>
          <w:tcPr>
            <w:tcW w:w="918" w:type="pct"/>
            <w:gridSpan w:val="2"/>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NE</w:t>
            </w:r>
          </w:p>
        </w:tc>
        <w:tc>
          <w:tcPr>
            <w:tcW w:w="668" w:type="pct"/>
            <w:vAlign w:val="center"/>
          </w:tcPr>
          <w:p w:rsidR="00F2667A" w:rsidRPr="00685063" w:rsidRDefault="00685063" w:rsidP="00AC5E2D">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35" w:type="pct"/>
            <w:gridSpan w:val="2"/>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NR</w:t>
            </w:r>
          </w:p>
        </w:tc>
        <w:tc>
          <w:tcPr>
            <w:tcW w:w="667" w:type="pct"/>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NE</w:t>
            </w:r>
          </w:p>
        </w:tc>
      </w:tr>
      <w:tr w:rsidR="00F2667A" w:rsidRPr="00E2771E" w:rsidTr="00AC5E2D">
        <w:tc>
          <w:tcPr>
            <w:tcW w:w="5000" w:type="pct"/>
            <w:gridSpan w:val="13"/>
            <w:shd w:val="clear" w:color="auto" w:fill="auto"/>
            <w:vAlign w:val="center"/>
          </w:tcPr>
          <w:p w:rsidR="00F2667A" w:rsidRPr="00E2771E" w:rsidRDefault="00F2667A" w:rsidP="00AC5E2D">
            <w:pPr>
              <w:rPr>
                <w:rFonts w:ascii="Arial Narrow" w:hAnsi="Arial Narrow"/>
                <w:b/>
                <w:color w:val="000000"/>
                <w:sz w:val="20"/>
                <w:szCs w:val="18"/>
              </w:rPr>
            </w:pPr>
            <w:r>
              <w:rPr>
                <w:rFonts w:ascii="Arial Narrow" w:hAnsi="Arial Narrow"/>
                <w:b/>
                <w:color w:val="000000"/>
                <w:sz w:val="20"/>
                <w:szCs w:val="18"/>
              </w:rPr>
              <w:t>Treatment related thrombocytopenia (all grades)</w:t>
            </w:r>
          </w:p>
        </w:tc>
      </w:tr>
      <w:tr w:rsidR="00F2667A" w:rsidRPr="00E2771E" w:rsidTr="00AC5E2D">
        <w:tc>
          <w:tcPr>
            <w:tcW w:w="690" w:type="pct"/>
            <w:gridSpan w:val="2"/>
            <w:shd w:val="clear" w:color="auto" w:fill="auto"/>
            <w:vAlign w:val="center"/>
          </w:tcPr>
          <w:p w:rsidR="00F2667A" w:rsidRPr="00E2771E" w:rsidRDefault="00F2667A" w:rsidP="00AC5E2D">
            <w:pPr>
              <w:rPr>
                <w:rFonts w:ascii="Arial Narrow" w:hAnsi="Arial Narrow"/>
                <w:color w:val="000000"/>
                <w:sz w:val="20"/>
                <w:szCs w:val="18"/>
              </w:rPr>
            </w:pPr>
            <w:r w:rsidRPr="00FE6C7C">
              <w:rPr>
                <w:rFonts w:ascii="Arial Narrow" w:hAnsi="Arial Narrow"/>
                <w:color w:val="000000"/>
                <w:sz w:val="20"/>
                <w:szCs w:val="18"/>
              </w:rPr>
              <w:t xml:space="preserve">PDX-008 efficacy evaluable population </w:t>
            </w:r>
          </w:p>
        </w:tc>
        <w:tc>
          <w:tcPr>
            <w:tcW w:w="669" w:type="pct"/>
            <w:gridSpan w:val="3"/>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44/111</w:t>
            </w:r>
          </w:p>
        </w:tc>
        <w:tc>
          <w:tcPr>
            <w:tcW w:w="753" w:type="pct"/>
            <w:gridSpan w:val="2"/>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NR</w:t>
            </w:r>
          </w:p>
        </w:tc>
        <w:tc>
          <w:tcPr>
            <w:tcW w:w="918" w:type="pct"/>
            <w:gridSpan w:val="2"/>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NE</w:t>
            </w:r>
          </w:p>
        </w:tc>
        <w:tc>
          <w:tcPr>
            <w:tcW w:w="668" w:type="pct"/>
            <w:vAlign w:val="center"/>
          </w:tcPr>
          <w:p w:rsidR="00F2667A" w:rsidRPr="00685063" w:rsidRDefault="00685063" w:rsidP="00AC5E2D">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35" w:type="pct"/>
            <w:gridSpan w:val="2"/>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NR</w:t>
            </w:r>
          </w:p>
        </w:tc>
        <w:tc>
          <w:tcPr>
            <w:tcW w:w="667" w:type="pct"/>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NE</w:t>
            </w:r>
          </w:p>
        </w:tc>
      </w:tr>
      <w:tr w:rsidR="00F2667A" w:rsidRPr="00E2771E" w:rsidTr="00AC5E2D">
        <w:tc>
          <w:tcPr>
            <w:tcW w:w="5000" w:type="pct"/>
            <w:gridSpan w:val="13"/>
            <w:shd w:val="clear" w:color="auto" w:fill="auto"/>
            <w:vAlign w:val="center"/>
          </w:tcPr>
          <w:p w:rsidR="00F2667A" w:rsidRPr="00E2771E" w:rsidRDefault="00F2667A" w:rsidP="00AC5E2D">
            <w:pPr>
              <w:rPr>
                <w:rFonts w:ascii="Arial Narrow" w:hAnsi="Arial Narrow"/>
                <w:color w:val="000000"/>
                <w:sz w:val="20"/>
                <w:szCs w:val="18"/>
              </w:rPr>
            </w:pPr>
            <w:r>
              <w:rPr>
                <w:rFonts w:ascii="Arial Narrow" w:hAnsi="Arial Narrow"/>
                <w:b/>
                <w:color w:val="000000"/>
                <w:sz w:val="20"/>
                <w:szCs w:val="18"/>
              </w:rPr>
              <w:t>Treatment related mucosal inflammation (all grades)</w:t>
            </w:r>
          </w:p>
        </w:tc>
      </w:tr>
      <w:tr w:rsidR="00F2667A" w:rsidRPr="00E2771E" w:rsidTr="00AC5E2D">
        <w:tc>
          <w:tcPr>
            <w:tcW w:w="685" w:type="pct"/>
            <w:shd w:val="clear" w:color="auto" w:fill="auto"/>
            <w:vAlign w:val="center"/>
          </w:tcPr>
          <w:p w:rsidR="00F2667A" w:rsidRPr="00E2771E" w:rsidRDefault="00F2667A" w:rsidP="00AC5E2D">
            <w:pPr>
              <w:rPr>
                <w:rFonts w:ascii="Arial Narrow" w:hAnsi="Arial Narrow"/>
                <w:color w:val="000000"/>
                <w:sz w:val="20"/>
                <w:szCs w:val="18"/>
              </w:rPr>
            </w:pPr>
            <w:r w:rsidRPr="00FE6C7C">
              <w:rPr>
                <w:rFonts w:ascii="Arial Narrow" w:hAnsi="Arial Narrow"/>
                <w:color w:val="000000"/>
                <w:sz w:val="20"/>
                <w:szCs w:val="18"/>
              </w:rPr>
              <w:t xml:space="preserve">PDX-008 efficacy evaluable population </w:t>
            </w:r>
          </w:p>
        </w:tc>
        <w:tc>
          <w:tcPr>
            <w:tcW w:w="674" w:type="pct"/>
            <w:gridSpan w:val="4"/>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76/111</w:t>
            </w:r>
          </w:p>
        </w:tc>
        <w:tc>
          <w:tcPr>
            <w:tcW w:w="753" w:type="pct"/>
            <w:gridSpan w:val="2"/>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NR</w:t>
            </w:r>
          </w:p>
        </w:tc>
        <w:tc>
          <w:tcPr>
            <w:tcW w:w="918" w:type="pct"/>
            <w:gridSpan w:val="2"/>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NE</w:t>
            </w:r>
          </w:p>
        </w:tc>
        <w:tc>
          <w:tcPr>
            <w:tcW w:w="668" w:type="pct"/>
            <w:vAlign w:val="center"/>
          </w:tcPr>
          <w:p w:rsidR="00F2667A" w:rsidRPr="00685063" w:rsidRDefault="00685063" w:rsidP="00AC5E2D">
            <w:pPr>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35" w:type="pct"/>
            <w:gridSpan w:val="2"/>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NR</w:t>
            </w:r>
          </w:p>
        </w:tc>
        <w:tc>
          <w:tcPr>
            <w:tcW w:w="667" w:type="pct"/>
            <w:vAlign w:val="center"/>
          </w:tcPr>
          <w:p w:rsidR="00F2667A" w:rsidRPr="00E2771E" w:rsidRDefault="00F2667A" w:rsidP="00AC5E2D">
            <w:pPr>
              <w:jc w:val="center"/>
              <w:rPr>
                <w:rFonts w:ascii="Arial Narrow" w:hAnsi="Arial Narrow"/>
                <w:color w:val="000000"/>
                <w:sz w:val="20"/>
                <w:szCs w:val="18"/>
              </w:rPr>
            </w:pPr>
            <w:r>
              <w:rPr>
                <w:rFonts w:ascii="Arial Narrow" w:hAnsi="Arial Narrow"/>
                <w:color w:val="000000"/>
                <w:sz w:val="20"/>
                <w:szCs w:val="18"/>
              </w:rPr>
              <w:t>NE</w:t>
            </w:r>
          </w:p>
        </w:tc>
      </w:tr>
    </w:tbl>
    <w:p w:rsidR="00F2667A" w:rsidRDefault="00F2667A" w:rsidP="00F2667A">
      <w:pPr>
        <w:pStyle w:val="TableFooter"/>
        <w:keepNext/>
        <w:ind w:firstLine="720"/>
      </w:pPr>
      <w:r>
        <w:t>Source: Table B.6.2, p B66, Figure B.6.3, pB79 of the submission and page 37 of clinical-overview-row.pdf</w:t>
      </w:r>
    </w:p>
    <w:p w:rsidR="00F2667A" w:rsidRPr="0072416F" w:rsidRDefault="00F2667A" w:rsidP="00F2667A">
      <w:pPr>
        <w:pStyle w:val="TableFooter"/>
        <w:ind w:left="720"/>
      </w:pPr>
      <w:r w:rsidRPr="0072416F">
        <w:t xml:space="preserve">Abbreviations: </w:t>
      </w:r>
      <w:r>
        <w:t>OS = overall survival, HR= hazard ratio, NR = not reported, NE = not evaluable, MCA = matched control analysis</w:t>
      </w:r>
    </w:p>
    <w:p w:rsidR="00F2667A" w:rsidRPr="0072416F" w:rsidRDefault="00F2667A" w:rsidP="00F2667A">
      <w:pPr>
        <w:pStyle w:val="TableFooter"/>
        <w:ind w:left="720"/>
      </w:pPr>
      <w:r>
        <w:t>^</w:t>
      </w:r>
      <w:r w:rsidRPr="0072416F">
        <w:t xml:space="preserve"> </w:t>
      </w:r>
      <w:r>
        <w:t xml:space="preserve">Based on updated results; additional survival data obtained from </w:t>
      </w:r>
      <w:r w:rsidR="00685063">
        <w:rPr>
          <w:noProof/>
          <w:color w:val="000000"/>
          <w:highlight w:val="black"/>
        </w:rPr>
        <w:t>'''''''</w:t>
      </w:r>
      <w:r>
        <w:t xml:space="preserve"> patients in the efficacy evaluable population and </w:t>
      </w:r>
      <w:r w:rsidR="00685063">
        <w:rPr>
          <w:noProof/>
          <w:color w:val="000000"/>
          <w:highlight w:val="black"/>
        </w:rPr>
        <w:t xml:space="preserve">'''''' </w:t>
      </w:r>
      <w:r>
        <w:t>patients in the matched population</w:t>
      </w:r>
    </w:p>
    <w:p w:rsidR="00F2667A" w:rsidRDefault="00F2667A" w:rsidP="00F2667A"/>
    <w:p w:rsidR="00F2667A" w:rsidRPr="00FA2BF7" w:rsidRDefault="00F2667A" w:rsidP="00733B01">
      <w:pPr>
        <w:pStyle w:val="ListParagraph"/>
        <w:widowControl/>
        <w:numPr>
          <w:ilvl w:val="1"/>
          <w:numId w:val="1"/>
        </w:numPr>
        <w:ind w:left="720"/>
      </w:pPr>
      <w:r w:rsidRPr="00CF6EE4">
        <w:lastRenderedPageBreak/>
        <w:t xml:space="preserve">On the basis of </w:t>
      </w:r>
      <w:r>
        <w:t xml:space="preserve">the naïve comparison of </w:t>
      </w:r>
      <w:proofErr w:type="spellStart"/>
      <w:r>
        <w:t>pralatrexate</w:t>
      </w:r>
      <w:proofErr w:type="spellEnd"/>
      <w:r>
        <w:t xml:space="preserve"> and the comparator, there was approximately </w:t>
      </w:r>
      <w:r w:rsidR="00685063">
        <w:rPr>
          <w:noProof/>
          <w:color w:val="000000"/>
          <w:highlight w:val="black"/>
        </w:rPr>
        <w:t>'''''''''''</w:t>
      </w:r>
      <w:r>
        <w:t xml:space="preserve"> months difference in overall survival. </w:t>
      </w:r>
      <w:r w:rsidR="00BD03F5" w:rsidRPr="00FA2BF7">
        <w:t xml:space="preserve">The ESC considered this survival benefit was likely over-estimated. </w:t>
      </w:r>
    </w:p>
    <w:p w:rsidR="00F937FC" w:rsidRDefault="00F937FC" w:rsidP="00F937FC">
      <w:pPr>
        <w:pStyle w:val="PBACHeading1"/>
        <w:numPr>
          <w:ilvl w:val="0"/>
          <w:numId w:val="0"/>
        </w:numPr>
        <w:ind w:left="720" w:hanging="720"/>
      </w:pPr>
    </w:p>
    <w:p w:rsidR="00F937FC" w:rsidRPr="00FA2BF7" w:rsidRDefault="00F937FC" w:rsidP="00733B01">
      <w:pPr>
        <w:pStyle w:val="ListParagraph"/>
        <w:widowControl/>
        <w:numPr>
          <w:ilvl w:val="1"/>
          <w:numId w:val="1"/>
        </w:numPr>
        <w:ind w:left="720"/>
      </w:pPr>
      <w:r w:rsidRPr="00FA2BF7">
        <w:t xml:space="preserve">The difference in adverse events between </w:t>
      </w:r>
      <w:proofErr w:type="spellStart"/>
      <w:r w:rsidRPr="00FA2BF7">
        <w:t>pralatrexate</w:t>
      </w:r>
      <w:proofErr w:type="spellEnd"/>
      <w:r w:rsidRPr="00FA2BF7">
        <w:t xml:space="preserve"> and the comparator is unknown. </w:t>
      </w:r>
      <w:r w:rsidR="00983E10" w:rsidRPr="00FA2BF7">
        <w:t>The PSCR</w:t>
      </w:r>
      <w:r w:rsidR="004A2093" w:rsidRPr="00FA2BF7">
        <w:t xml:space="preserve"> (p1)</w:t>
      </w:r>
      <w:r w:rsidR="00983E10" w:rsidRPr="00FA2BF7">
        <w:t xml:space="preserve"> argues that </w:t>
      </w:r>
      <w:proofErr w:type="spellStart"/>
      <w:r w:rsidR="00983E10" w:rsidRPr="00FA2BF7">
        <w:t>pralatrexate</w:t>
      </w:r>
      <w:proofErr w:type="spellEnd"/>
      <w:r w:rsidR="00983E10" w:rsidRPr="00FA2BF7">
        <w:t xml:space="preserve"> has a more tolerable toxicity profile than the comparators, allowing responders to </w:t>
      </w:r>
      <w:proofErr w:type="spellStart"/>
      <w:r w:rsidR="00983E10" w:rsidRPr="00FA2BF7">
        <w:t>pralatrexate</w:t>
      </w:r>
      <w:proofErr w:type="spellEnd"/>
      <w:r w:rsidR="00983E10" w:rsidRPr="00FA2BF7">
        <w:t xml:space="preserve"> to continue therapy over a longer period extending disease control, but did not present additional data to support this assertion.</w:t>
      </w:r>
    </w:p>
    <w:p w:rsidR="003B4ED7" w:rsidRDefault="003B4ED7" w:rsidP="00CE78B5">
      <w:pPr>
        <w:pStyle w:val="BodyText"/>
      </w:pPr>
      <w:bookmarkStart w:id="12" w:name="_Toc430087383"/>
    </w:p>
    <w:p w:rsidR="00F2667A" w:rsidRPr="00CE78B5" w:rsidRDefault="00F2667A" w:rsidP="00CE78B5">
      <w:pPr>
        <w:pStyle w:val="Heading2"/>
      </w:pPr>
      <w:r w:rsidRPr="00CE78B5">
        <w:t>Clinical claim</w:t>
      </w:r>
      <w:bookmarkEnd w:id="12"/>
    </w:p>
    <w:p w:rsidR="00F2667A" w:rsidRPr="00882085" w:rsidRDefault="00F2667A" w:rsidP="00F2667A">
      <w:pPr>
        <w:ind w:left="720" w:hanging="720"/>
        <w:rPr>
          <w:szCs w:val="22"/>
        </w:rPr>
      </w:pPr>
    </w:p>
    <w:p w:rsidR="00F2667A" w:rsidRPr="00FA2BF7" w:rsidRDefault="00F2667A" w:rsidP="00733B01">
      <w:pPr>
        <w:pStyle w:val="ListParagraph"/>
        <w:widowControl/>
        <w:numPr>
          <w:ilvl w:val="1"/>
          <w:numId w:val="1"/>
        </w:numPr>
        <w:ind w:left="720"/>
        <w:rPr>
          <w:szCs w:val="22"/>
        </w:rPr>
      </w:pPr>
      <w:r w:rsidRPr="00541C8C">
        <w:t xml:space="preserve">The submission described </w:t>
      </w:r>
      <w:proofErr w:type="spellStart"/>
      <w:r w:rsidRPr="00541C8C">
        <w:t>pralatrexate</w:t>
      </w:r>
      <w:proofErr w:type="spellEnd"/>
      <w:r w:rsidRPr="00541C8C">
        <w:t xml:space="preserve"> as superior in terms of comparative effectiveness over single-agent and combination therapies. In terms of comparative safety the submission described </w:t>
      </w:r>
      <w:proofErr w:type="spellStart"/>
      <w:r w:rsidRPr="00541C8C">
        <w:t>pralatrexate</w:t>
      </w:r>
      <w:proofErr w:type="spellEnd"/>
      <w:r w:rsidRPr="00541C8C">
        <w:t xml:space="preserve"> as non-inferior to single agent regimens and superior to combination regimens. </w:t>
      </w:r>
      <w:r w:rsidR="00983E10" w:rsidRPr="00FA2BF7">
        <w:t>The ESC considered that</w:t>
      </w:r>
      <w:r w:rsidRPr="00FA2BF7">
        <w:t xml:space="preserve"> claim for efficacy and safety was not adequately supported:</w:t>
      </w:r>
    </w:p>
    <w:p w:rsidR="00F2667A" w:rsidRPr="00EF08BE" w:rsidRDefault="00F2667A" w:rsidP="00733B01">
      <w:pPr>
        <w:pStyle w:val="ListParagraph"/>
        <w:widowControl/>
        <w:numPr>
          <w:ilvl w:val="0"/>
          <w:numId w:val="8"/>
        </w:numPr>
        <w:rPr>
          <w:szCs w:val="22"/>
        </w:rPr>
      </w:pPr>
      <w:r w:rsidRPr="00EF08BE">
        <w:rPr>
          <w:szCs w:val="22"/>
        </w:rPr>
        <w:t xml:space="preserve">The key study presented in the submission (PDX-008) is a non-randomised, single arm, open-label study. As such, the study is subject to considerable bias and the effectiveness estimates are subject to considerable uncertainty. </w:t>
      </w:r>
    </w:p>
    <w:p w:rsidR="00F2667A" w:rsidRPr="00EF08BE" w:rsidRDefault="00F2667A" w:rsidP="00733B01">
      <w:pPr>
        <w:pStyle w:val="ListParagraph"/>
        <w:widowControl/>
        <w:numPr>
          <w:ilvl w:val="0"/>
          <w:numId w:val="8"/>
        </w:numPr>
        <w:rPr>
          <w:szCs w:val="22"/>
        </w:rPr>
      </w:pPr>
      <w:r w:rsidRPr="00EF08BE">
        <w:rPr>
          <w:szCs w:val="22"/>
        </w:rPr>
        <w:t>The submission present</w:t>
      </w:r>
      <w:r w:rsidR="001A672D" w:rsidRPr="00EF08BE">
        <w:rPr>
          <w:szCs w:val="22"/>
        </w:rPr>
        <w:t>ed</w:t>
      </w:r>
      <w:r w:rsidRPr="00EF08BE">
        <w:rPr>
          <w:szCs w:val="22"/>
        </w:rPr>
        <w:t xml:space="preserve"> a naïve comparison of </w:t>
      </w:r>
      <w:r w:rsidR="00891D95" w:rsidRPr="00EF08BE">
        <w:rPr>
          <w:szCs w:val="22"/>
        </w:rPr>
        <w:t xml:space="preserve">a matched sub-group of </w:t>
      </w:r>
      <w:r w:rsidRPr="00EF08BE">
        <w:rPr>
          <w:szCs w:val="22"/>
        </w:rPr>
        <w:t xml:space="preserve">PDX-008 to a matched historical control cohort selected from 4 international lymphoma databases. The comparison is conducted by performing a 1:1 matched control analysis. Alternate approaches to conducting the matched controls analysis highlighted that the hazard ratio is sensitive to the matching methodology employed. </w:t>
      </w:r>
    </w:p>
    <w:p w:rsidR="00F2667A" w:rsidRPr="00EF08BE" w:rsidRDefault="00F2667A" w:rsidP="00733B01">
      <w:pPr>
        <w:pStyle w:val="ListParagraph"/>
        <w:widowControl/>
        <w:numPr>
          <w:ilvl w:val="0"/>
          <w:numId w:val="8"/>
        </w:numPr>
        <w:rPr>
          <w:szCs w:val="22"/>
        </w:rPr>
      </w:pPr>
      <w:r w:rsidRPr="00EF08BE">
        <w:rPr>
          <w:szCs w:val="22"/>
        </w:rPr>
        <w:t>The matched sub-group (n=</w:t>
      </w:r>
      <w:r w:rsidR="00685063">
        <w:rPr>
          <w:noProof/>
          <w:color w:val="000000"/>
          <w:szCs w:val="22"/>
          <w:highlight w:val="black"/>
        </w:rPr>
        <w:t>''''''</w:t>
      </w:r>
      <w:r w:rsidRPr="00EF08BE">
        <w:rPr>
          <w:szCs w:val="22"/>
        </w:rPr>
        <w:t>) in PDX-008 had a higher median overall survival (OS) (</w:t>
      </w:r>
      <w:r w:rsidR="00685063">
        <w:rPr>
          <w:noProof/>
          <w:color w:val="000000"/>
          <w:szCs w:val="22"/>
          <w:highlight w:val="black"/>
        </w:rPr>
        <w:t>'''''' '''''''''''''''''''</w:t>
      </w:r>
      <w:r w:rsidRPr="00EF08BE">
        <w:rPr>
          <w:szCs w:val="22"/>
        </w:rPr>
        <w:t>) compared to the efficacy evaluable population (n=</w:t>
      </w:r>
      <w:r w:rsidR="00685063">
        <w:rPr>
          <w:noProof/>
          <w:color w:val="000000"/>
          <w:szCs w:val="22"/>
          <w:highlight w:val="black"/>
        </w:rPr>
        <w:t>'''''''''</w:t>
      </w:r>
      <w:r w:rsidRPr="00EF08BE">
        <w:rPr>
          <w:szCs w:val="22"/>
        </w:rPr>
        <w:t>) (</w:t>
      </w:r>
      <w:r w:rsidR="00685063">
        <w:rPr>
          <w:noProof/>
          <w:color w:val="000000"/>
          <w:szCs w:val="22"/>
          <w:highlight w:val="black"/>
        </w:rPr>
        <w:t>''''''''''' '''''''''''''''''''</w:t>
      </w:r>
      <w:r w:rsidRPr="00EF08BE">
        <w:rPr>
          <w:szCs w:val="22"/>
        </w:rPr>
        <w:t xml:space="preserve">). This has the potential to bias the overall hazard ratio in favour of </w:t>
      </w:r>
      <w:proofErr w:type="spellStart"/>
      <w:r w:rsidRPr="00EF08BE">
        <w:rPr>
          <w:szCs w:val="22"/>
        </w:rPr>
        <w:t>pralatrexate</w:t>
      </w:r>
      <w:proofErr w:type="spellEnd"/>
      <w:r w:rsidRPr="00EF08BE">
        <w:rPr>
          <w:szCs w:val="22"/>
        </w:rPr>
        <w:t xml:space="preserve">. </w:t>
      </w:r>
    </w:p>
    <w:p w:rsidR="00F2667A" w:rsidRPr="00EF08BE" w:rsidRDefault="00F2667A" w:rsidP="00733B01">
      <w:pPr>
        <w:pStyle w:val="ListParagraph"/>
        <w:widowControl/>
        <w:numPr>
          <w:ilvl w:val="0"/>
          <w:numId w:val="8"/>
        </w:numPr>
        <w:rPr>
          <w:szCs w:val="22"/>
        </w:rPr>
      </w:pPr>
      <w:r w:rsidRPr="00EF08BE">
        <w:rPr>
          <w:szCs w:val="22"/>
        </w:rPr>
        <w:t xml:space="preserve">Patients were not matched on the basis of </w:t>
      </w:r>
      <w:r w:rsidR="00685063">
        <w:rPr>
          <w:noProof/>
          <w:color w:val="000000"/>
          <w:szCs w:val="22"/>
          <w:highlight w:val="black"/>
        </w:rPr>
        <w:t>'''''''''''''''''''''''''''''' '''''''''''''''</w:t>
      </w:r>
      <w:r w:rsidRPr="00EF08BE">
        <w:rPr>
          <w:szCs w:val="22"/>
        </w:rPr>
        <w:t xml:space="preserve">, </w:t>
      </w:r>
      <w:r w:rsidR="00685063">
        <w:rPr>
          <w:noProof/>
          <w:color w:val="000000"/>
          <w:szCs w:val="22"/>
          <w:highlight w:val="black"/>
        </w:rPr>
        <w:t>''''''''''''' '''' '''''' '''''''''''''''''''''' ''''''''''''''''''''' ''''''''''''''' '''' ''''''''''''''' ''''''''''''''''</w:t>
      </w:r>
      <w:r w:rsidRPr="00EF08BE">
        <w:rPr>
          <w:szCs w:val="22"/>
        </w:rPr>
        <w:t>. An inclusion criterion of PDX-008 was an ECOG status of 2 or less. It is likely that PDX-008 patients have, on average, a better performance status than patients extracted from the databases. This has the potential to bias survival outcomes in favour of the treatment group.</w:t>
      </w:r>
    </w:p>
    <w:p w:rsidR="00F2667A" w:rsidRPr="006D223A" w:rsidRDefault="00F2667A" w:rsidP="00733B01">
      <w:pPr>
        <w:pStyle w:val="ListParagraph"/>
        <w:widowControl/>
        <w:numPr>
          <w:ilvl w:val="0"/>
          <w:numId w:val="8"/>
        </w:numPr>
        <w:rPr>
          <w:szCs w:val="22"/>
        </w:rPr>
      </w:pPr>
      <w:r w:rsidRPr="00A34815">
        <w:t xml:space="preserve">The submission did not present a comparative safety analysis of </w:t>
      </w:r>
      <w:proofErr w:type="spellStart"/>
      <w:r w:rsidRPr="00A34815">
        <w:t>pralatrexate</w:t>
      </w:r>
      <w:proofErr w:type="spellEnd"/>
      <w:r w:rsidRPr="00A34815">
        <w:t xml:space="preserve"> compared to comparator treatments. </w:t>
      </w:r>
    </w:p>
    <w:p w:rsidR="006D223A" w:rsidRDefault="006D223A" w:rsidP="006D223A">
      <w:pPr>
        <w:widowControl/>
        <w:rPr>
          <w:szCs w:val="22"/>
        </w:rPr>
      </w:pPr>
    </w:p>
    <w:p w:rsidR="006D223A" w:rsidRPr="00F11A5E" w:rsidRDefault="006D223A" w:rsidP="00733B01">
      <w:pPr>
        <w:pStyle w:val="ListParagraph"/>
        <w:widowControl/>
        <w:numPr>
          <w:ilvl w:val="1"/>
          <w:numId w:val="1"/>
        </w:numPr>
        <w:ind w:left="720"/>
        <w:rPr>
          <w:bCs/>
          <w:szCs w:val="22"/>
        </w:rPr>
      </w:pPr>
      <w:r w:rsidRPr="00F11A5E">
        <w:rPr>
          <w:bCs/>
          <w:szCs w:val="22"/>
        </w:rPr>
        <w:t>The PBAC considered that the claim of superior comparative effectiveness was not adequately supported by the data.</w:t>
      </w:r>
    </w:p>
    <w:p w:rsidR="006D223A" w:rsidRPr="00F11A5E" w:rsidRDefault="006D223A" w:rsidP="006D223A">
      <w:pPr>
        <w:pStyle w:val="PBACHeading1"/>
        <w:numPr>
          <w:ilvl w:val="0"/>
          <w:numId w:val="0"/>
        </w:numPr>
        <w:ind w:left="720" w:hanging="720"/>
      </w:pPr>
    </w:p>
    <w:p w:rsidR="006D223A" w:rsidRPr="00F11A5E" w:rsidRDefault="006D223A" w:rsidP="00733B01">
      <w:pPr>
        <w:pStyle w:val="ListParagraph"/>
        <w:widowControl/>
        <w:numPr>
          <w:ilvl w:val="1"/>
          <w:numId w:val="1"/>
        </w:numPr>
        <w:ind w:left="720"/>
        <w:rPr>
          <w:szCs w:val="22"/>
        </w:rPr>
      </w:pPr>
      <w:r w:rsidRPr="00F11A5E">
        <w:rPr>
          <w:szCs w:val="22"/>
        </w:rPr>
        <w:t>The PBAC considered that the claim of non-inferior comparative safety was not adequately supported by the data.</w:t>
      </w:r>
    </w:p>
    <w:p w:rsidR="00F11A5E" w:rsidRDefault="00F11A5E">
      <w:pPr>
        <w:widowControl/>
        <w:jc w:val="left"/>
        <w:rPr>
          <w:szCs w:val="22"/>
        </w:rPr>
      </w:pPr>
    </w:p>
    <w:p w:rsidR="00D2791F" w:rsidRDefault="00D2791F">
      <w:pPr>
        <w:widowControl/>
        <w:jc w:val="left"/>
        <w:rPr>
          <w:b/>
          <w:i/>
        </w:rPr>
      </w:pPr>
      <w:bookmarkStart w:id="13" w:name="_Toc430087384"/>
      <w:r>
        <w:rPr>
          <w:i/>
        </w:rPr>
        <w:br w:type="page"/>
      </w:r>
    </w:p>
    <w:p w:rsidR="00F2667A" w:rsidRPr="00CE78B5" w:rsidRDefault="00F2667A" w:rsidP="00F2667A">
      <w:pPr>
        <w:pStyle w:val="Heading2"/>
      </w:pPr>
      <w:r w:rsidRPr="00CE78B5">
        <w:lastRenderedPageBreak/>
        <w:t>Economic analysis</w:t>
      </w:r>
      <w:bookmarkEnd w:id="13"/>
      <w:r w:rsidRPr="00CE78B5">
        <w:t xml:space="preserve"> </w:t>
      </w:r>
    </w:p>
    <w:p w:rsidR="00F2667A" w:rsidRPr="00882085" w:rsidRDefault="00F2667A" w:rsidP="00F2667A">
      <w:pPr>
        <w:ind w:left="720" w:hanging="720"/>
        <w:rPr>
          <w:szCs w:val="22"/>
        </w:rPr>
      </w:pPr>
    </w:p>
    <w:p w:rsidR="00F2667A" w:rsidRPr="00EF08BE" w:rsidRDefault="00F2667A" w:rsidP="00733B01">
      <w:pPr>
        <w:pStyle w:val="ListParagraph"/>
        <w:widowControl/>
        <w:numPr>
          <w:ilvl w:val="1"/>
          <w:numId w:val="1"/>
        </w:numPr>
        <w:ind w:left="720"/>
        <w:rPr>
          <w:rStyle w:val="CommentReference"/>
          <w:rFonts w:ascii="Arial" w:hAnsi="Arial"/>
          <w:b w:val="0"/>
          <w:sz w:val="22"/>
          <w:szCs w:val="22"/>
        </w:rPr>
      </w:pPr>
      <w:r w:rsidRPr="00A56B6A">
        <w:rPr>
          <w:rStyle w:val="CommentReference"/>
        </w:rPr>
        <w:t xml:space="preserve">Table </w:t>
      </w:r>
      <w:r>
        <w:rPr>
          <w:rStyle w:val="CommentReference"/>
        </w:rPr>
        <w:t>5:</w:t>
      </w:r>
      <w:r w:rsidRPr="00A56B6A">
        <w:rPr>
          <w:rStyle w:val="CommentReference"/>
        </w:rPr>
        <w:t xml:space="preserve"> Summary of model structure and rationale</w:t>
      </w:r>
    </w:p>
    <w:tbl>
      <w:tblPr>
        <w:tblW w:w="833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the economic model"/>
      </w:tblPr>
      <w:tblGrid>
        <w:gridCol w:w="2552"/>
        <w:gridCol w:w="5783"/>
      </w:tblGrid>
      <w:tr w:rsidR="00F2667A" w:rsidRPr="00753C7A" w:rsidTr="00AC5E2D">
        <w:trPr>
          <w:trHeight w:val="240"/>
        </w:trPr>
        <w:tc>
          <w:tcPr>
            <w:tcW w:w="2552" w:type="dxa"/>
            <w:shd w:val="clear" w:color="auto" w:fill="auto"/>
          </w:tcPr>
          <w:p w:rsidR="00F2667A" w:rsidRPr="00753C7A" w:rsidRDefault="00F2667A" w:rsidP="00AC5E2D">
            <w:pPr>
              <w:keepNext/>
              <w:rPr>
                <w:rFonts w:ascii="Arial Narrow" w:hAnsi="Arial Narrow"/>
                <w:sz w:val="20"/>
              </w:rPr>
            </w:pPr>
            <w:r w:rsidRPr="00753C7A">
              <w:rPr>
                <w:rFonts w:ascii="Arial Narrow" w:hAnsi="Arial Narrow"/>
                <w:sz w:val="20"/>
              </w:rPr>
              <w:t>Time horizon</w:t>
            </w:r>
          </w:p>
        </w:tc>
        <w:tc>
          <w:tcPr>
            <w:tcW w:w="5783" w:type="dxa"/>
            <w:shd w:val="clear" w:color="auto" w:fill="auto"/>
          </w:tcPr>
          <w:p w:rsidR="00F2667A" w:rsidRPr="00753C7A" w:rsidRDefault="00F2667A" w:rsidP="00AC5E2D">
            <w:pPr>
              <w:keepNext/>
              <w:rPr>
                <w:rFonts w:ascii="Arial Narrow" w:hAnsi="Arial Narrow"/>
                <w:sz w:val="20"/>
              </w:rPr>
            </w:pPr>
            <w:r w:rsidRPr="00753C7A">
              <w:rPr>
                <w:rFonts w:ascii="Arial Narrow" w:hAnsi="Arial Narrow"/>
                <w:sz w:val="20"/>
              </w:rPr>
              <w:t xml:space="preserve">10 years in the model </w:t>
            </w:r>
            <w:r w:rsidRPr="00BE0F91">
              <w:rPr>
                <w:rFonts w:ascii="Arial Narrow" w:hAnsi="Arial Narrow"/>
                <w:sz w:val="20"/>
              </w:rPr>
              <w:t>base case versus 5 years in trial</w:t>
            </w:r>
          </w:p>
        </w:tc>
      </w:tr>
      <w:tr w:rsidR="00F2667A" w:rsidRPr="00753C7A" w:rsidTr="00AC5E2D">
        <w:trPr>
          <w:trHeight w:val="157"/>
        </w:trPr>
        <w:tc>
          <w:tcPr>
            <w:tcW w:w="2552" w:type="dxa"/>
            <w:shd w:val="clear" w:color="auto" w:fill="auto"/>
          </w:tcPr>
          <w:p w:rsidR="00F2667A" w:rsidRPr="00753C7A" w:rsidRDefault="00F2667A" w:rsidP="00AC5E2D">
            <w:pPr>
              <w:keepNext/>
              <w:rPr>
                <w:rFonts w:ascii="Arial Narrow" w:hAnsi="Arial Narrow"/>
                <w:sz w:val="20"/>
              </w:rPr>
            </w:pPr>
            <w:r w:rsidRPr="00753C7A">
              <w:rPr>
                <w:rFonts w:ascii="Arial Narrow" w:hAnsi="Arial Narrow"/>
                <w:sz w:val="20"/>
              </w:rPr>
              <w:t>Outcomes</w:t>
            </w:r>
          </w:p>
        </w:tc>
        <w:tc>
          <w:tcPr>
            <w:tcW w:w="5783" w:type="dxa"/>
            <w:shd w:val="clear" w:color="auto" w:fill="auto"/>
          </w:tcPr>
          <w:p w:rsidR="00F2667A" w:rsidRPr="00753C7A" w:rsidRDefault="00F2667A" w:rsidP="00AC5E2D">
            <w:pPr>
              <w:keepNext/>
              <w:rPr>
                <w:rFonts w:ascii="Arial Narrow" w:hAnsi="Arial Narrow"/>
                <w:sz w:val="20"/>
              </w:rPr>
            </w:pPr>
            <w:r>
              <w:rPr>
                <w:rFonts w:ascii="Arial Narrow" w:hAnsi="Arial Narrow"/>
                <w:sz w:val="20"/>
              </w:rPr>
              <w:t>Life years, deaths and QALYs</w:t>
            </w:r>
          </w:p>
        </w:tc>
      </w:tr>
      <w:tr w:rsidR="00F2667A" w:rsidRPr="00753C7A" w:rsidTr="00AC5E2D">
        <w:trPr>
          <w:trHeight w:val="262"/>
        </w:trPr>
        <w:tc>
          <w:tcPr>
            <w:tcW w:w="2552" w:type="dxa"/>
            <w:shd w:val="clear" w:color="auto" w:fill="auto"/>
          </w:tcPr>
          <w:p w:rsidR="00F2667A" w:rsidRPr="00753C7A" w:rsidRDefault="00F2667A" w:rsidP="00AC5E2D">
            <w:pPr>
              <w:keepNext/>
              <w:rPr>
                <w:rFonts w:ascii="Arial Narrow" w:hAnsi="Arial Narrow"/>
                <w:sz w:val="20"/>
              </w:rPr>
            </w:pPr>
            <w:r w:rsidRPr="00753C7A">
              <w:rPr>
                <w:rFonts w:ascii="Arial Narrow" w:hAnsi="Arial Narrow"/>
                <w:sz w:val="20"/>
              </w:rPr>
              <w:t>Methods used to generate results</w:t>
            </w:r>
          </w:p>
        </w:tc>
        <w:tc>
          <w:tcPr>
            <w:tcW w:w="5783" w:type="dxa"/>
            <w:shd w:val="clear" w:color="auto" w:fill="auto"/>
          </w:tcPr>
          <w:p w:rsidR="00F2667A" w:rsidRPr="00753C7A" w:rsidRDefault="00F2667A" w:rsidP="00AC5E2D">
            <w:pPr>
              <w:keepNext/>
              <w:rPr>
                <w:rFonts w:ascii="Arial Narrow" w:hAnsi="Arial Narrow"/>
                <w:sz w:val="20"/>
              </w:rPr>
            </w:pPr>
            <w:r>
              <w:rPr>
                <w:rFonts w:ascii="Arial Narrow" w:hAnsi="Arial Narrow"/>
                <w:sz w:val="20"/>
              </w:rPr>
              <w:t xml:space="preserve">Markov model with </w:t>
            </w:r>
            <w:r w:rsidRPr="00753C7A">
              <w:rPr>
                <w:rFonts w:ascii="Arial Narrow" w:hAnsi="Arial Narrow"/>
                <w:sz w:val="20"/>
              </w:rPr>
              <w:t>Monte Carlo simulation</w:t>
            </w:r>
          </w:p>
        </w:tc>
      </w:tr>
      <w:tr w:rsidR="00F2667A" w:rsidRPr="00753C7A" w:rsidTr="00AC5E2D">
        <w:trPr>
          <w:trHeight w:val="225"/>
        </w:trPr>
        <w:tc>
          <w:tcPr>
            <w:tcW w:w="2552" w:type="dxa"/>
            <w:shd w:val="clear" w:color="auto" w:fill="auto"/>
          </w:tcPr>
          <w:p w:rsidR="00F2667A" w:rsidRPr="00753C7A" w:rsidRDefault="00F2667A" w:rsidP="00AC5E2D">
            <w:pPr>
              <w:keepNext/>
              <w:rPr>
                <w:rFonts w:ascii="Arial Narrow" w:hAnsi="Arial Narrow"/>
                <w:sz w:val="20"/>
              </w:rPr>
            </w:pPr>
            <w:r>
              <w:rPr>
                <w:rFonts w:ascii="Arial Narrow" w:hAnsi="Arial Narrow"/>
                <w:sz w:val="20"/>
              </w:rPr>
              <w:t>Health states</w:t>
            </w:r>
          </w:p>
        </w:tc>
        <w:tc>
          <w:tcPr>
            <w:tcW w:w="5783" w:type="dxa"/>
            <w:shd w:val="clear" w:color="auto" w:fill="auto"/>
          </w:tcPr>
          <w:p w:rsidR="00F2667A" w:rsidRPr="00753C7A" w:rsidRDefault="00F2667A" w:rsidP="00EA000B">
            <w:pPr>
              <w:keepNext/>
              <w:rPr>
                <w:rFonts w:ascii="Arial Narrow" w:hAnsi="Arial Narrow"/>
                <w:sz w:val="20"/>
              </w:rPr>
            </w:pPr>
            <w:r>
              <w:rPr>
                <w:rFonts w:ascii="Arial Narrow" w:hAnsi="Arial Narrow"/>
                <w:sz w:val="20"/>
              </w:rPr>
              <w:t>Patients were modelled as alive or dead. Alive patients were partitioned into complete response, complete response (</w:t>
            </w:r>
            <w:proofErr w:type="spellStart"/>
            <w:r>
              <w:rPr>
                <w:rFonts w:ascii="Arial Narrow" w:hAnsi="Arial Narrow"/>
                <w:sz w:val="20"/>
              </w:rPr>
              <w:t>unevaluable</w:t>
            </w:r>
            <w:proofErr w:type="spellEnd"/>
            <w:r>
              <w:rPr>
                <w:rFonts w:ascii="Arial Narrow" w:hAnsi="Arial Narrow"/>
                <w:sz w:val="20"/>
              </w:rPr>
              <w:t xml:space="preserve">), partial response, stable disease, progressive disease and </w:t>
            </w:r>
            <w:proofErr w:type="spellStart"/>
            <w:r>
              <w:rPr>
                <w:rFonts w:ascii="Arial Narrow" w:hAnsi="Arial Narrow"/>
                <w:sz w:val="20"/>
              </w:rPr>
              <w:t>unevaluable</w:t>
            </w:r>
            <w:proofErr w:type="spellEnd"/>
            <w:r>
              <w:rPr>
                <w:rFonts w:ascii="Arial Narrow" w:hAnsi="Arial Narrow"/>
                <w:sz w:val="20"/>
              </w:rPr>
              <w:t xml:space="preserve"> response. </w:t>
            </w:r>
          </w:p>
        </w:tc>
      </w:tr>
      <w:tr w:rsidR="00F2667A" w:rsidRPr="00753C7A" w:rsidTr="00AC5E2D">
        <w:trPr>
          <w:trHeight w:val="225"/>
        </w:trPr>
        <w:tc>
          <w:tcPr>
            <w:tcW w:w="2552" w:type="dxa"/>
            <w:shd w:val="clear" w:color="auto" w:fill="auto"/>
          </w:tcPr>
          <w:p w:rsidR="00F2667A" w:rsidRPr="00753C7A" w:rsidRDefault="00F2667A" w:rsidP="00AC5E2D">
            <w:pPr>
              <w:keepNext/>
              <w:rPr>
                <w:rFonts w:ascii="Arial Narrow" w:hAnsi="Arial Narrow"/>
                <w:sz w:val="20"/>
              </w:rPr>
            </w:pPr>
            <w:r w:rsidRPr="00753C7A">
              <w:rPr>
                <w:rFonts w:ascii="Arial Narrow" w:hAnsi="Arial Narrow"/>
                <w:sz w:val="20"/>
              </w:rPr>
              <w:t>Cycle length</w:t>
            </w:r>
          </w:p>
        </w:tc>
        <w:tc>
          <w:tcPr>
            <w:tcW w:w="5783" w:type="dxa"/>
            <w:shd w:val="clear" w:color="auto" w:fill="auto"/>
          </w:tcPr>
          <w:p w:rsidR="00F2667A" w:rsidRPr="00753C7A" w:rsidRDefault="00F2667A" w:rsidP="00AC5E2D">
            <w:pPr>
              <w:keepNext/>
              <w:rPr>
                <w:rFonts w:ascii="Arial Narrow" w:hAnsi="Arial Narrow"/>
                <w:sz w:val="20"/>
              </w:rPr>
            </w:pPr>
            <w:r>
              <w:rPr>
                <w:rFonts w:ascii="Arial Narrow" w:hAnsi="Arial Narrow"/>
                <w:sz w:val="20"/>
              </w:rPr>
              <w:t>One month</w:t>
            </w:r>
          </w:p>
        </w:tc>
      </w:tr>
      <w:tr w:rsidR="00F2667A" w:rsidRPr="00753C7A" w:rsidTr="00AC5E2D">
        <w:trPr>
          <w:trHeight w:val="448"/>
        </w:trPr>
        <w:tc>
          <w:tcPr>
            <w:tcW w:w="2552" w:type="dxa"/>
            <w:shd w:val="clear" w:color="auto" w:fill="auto"/>
          </w:tcPr>
          <w:p w:rsidR="00F2667A" w:rsidRPr="00753C7A" w:rsidRDefault="00F2667A" w:rsidP="00AC5E2D">
            <w:pPr>
              <w:keepNext/>
              <w:rPr>
                <w:rFonts w:ascii="Arial Narrow" w:hAnsi="Arial Narrow"/>
                <w:sz w:val="20"/>
              </w:rPr>
            </w:pPr>
            <w:r w:rsidRPr="00753C7A">
              <w:rPr>
                <w:rFonts w:ascii="Arial Narrow" w:hAnsi="Arial Narrow"/>
                <w:sz w:val="20"/>
              </w:rPr>
              <w:t>Transition probabilities</w:t>
            </w:r>
          </w:p>
        </w:tc>
        <w:tc>
          <w:tcPr>
            <w:tcW w:w="5783" w:type="dxa"/>
            <w:shd w:val="clear" w:color="auto" w:fill="auto"/>
          </w:tcPr>
          <w:p w:rsidR="00F2667A" w:rsidRPr="00467ED5" w:rsidRDefault="00F2667A" w:rsidP="00AC5E2D">
            <w:pPr>
              <w:keepNext/>
              <w:rPr>
                <w:rFonts w:ascii="Arial Narrow" w:hAnsi="Arial Narrow"/>
                <w:sz w:val="20"/>
              </w:rPr>
            </w:pPr>
            <w:r w:rsidRPr="00467ED5">
              <w:rPr>
                <w:rFonts w:ascii="Arial Narrow" w:hAnsi="Arial Narrow"/>
                <w:sz w:val="20"/>
              </w:rPr>
              <w:t xml:space="preserve">Parametric function is used to approximate the matched historical control cohort reference overall survival curve with the hazard ratio applied to approximate the overall survival curve in the </w:t>
            </w:r>
            <w:proofErr w:type="spellStart"/>
            <w:r w:rsidRPr="00467ED5">
              <w:rPr>
                <w:rFonts w:ascii="Arial Narrow" w:hAnsi="Arial Narrow"/>
                <w:sz w:val="20"/>
              </w:rPr>
              <w:t>pralatrexate</w:t>
            </w:r>
            <w:proofErr w:type="spellEnd"/>
            <w:r w:rsidRPr="00467ED5">
              <w:rPr>
                <w:rFonts w:ascii="Arial Narrow" w:hAnsi="Arial Narrow"/>
                <w:sz w:val="20"/>
              </w:rPr>
              <w:t xml:space="preserve"> arm.</w:t>
            </w:r>
          </w:p>
          <w:p w:rsidR="00F2667A" w:rsidRPr="00753C7A" w:rsidRDefault="00F2667A" w:rsidP="00AC5E2D">
            <w:pPr>
              <w:keepNext/>
              <w:rPr>
                <w:rFonts w:ascii="Arial Narrow" w:hAnsi="Arial Narrow"/>
                <w:sz w:val="20"/>
              </w:rPr>
            </w:pPr>
            <w:r w:rsidRPr="00467ED5">
              <w:rPr>
                <w:rFonts w:ascii="Arial Narrow" w:hAnsi="Arial Narrow"/>
                <w:sz w:val="20"/>
              </w:rPr>
              <w:t xml:space="preserve">Proportion of patients in each </w:t>
            </w:r>
            <w:proofErr w:type="gramStart"/>
            <w:r w:rsidRPr="00467ED5">
              <w:rPr>
                <w:rFonts w:ascii="Arial Narrow" w:hAnsi="Arial Narrow"/>
                <w:sz w:val="20"/>
              </w:rPr>
              <w:t>alive</w:t>
            </w:r>
            <w:proofErr w:type="gramEnd"/>
            <w:r w:rsidRPr="00467ED5">
              <w:rPr>
                <w:rFonts w:ascii="Arial Narrow" w:hAnsi="Arial Narrow"/>
                <w:sz w:val="20"/>
              </w:rPr>
              <w:t xml:space="preserve"> health state assumed to be equal in each arm. Derived from PDX-008.</w:t>
            </w:r>
          </w:p>
        </w:tc>
      </w:tr>
    </w:tbl>
    <w:p w:rsidR="00F2667A" w:rsidRPr="00D13A3E" w:rsidRDefault="00F2667A" w:rsidP="00F2667A">
      <w:pPr>
        <w:pStyle w:val="TableFooter"/>
        <w:keepNext/>
      </w:pPr>
      <w:r>
        <w:tab/>
      </w:r>
      <w:r w:rsidRPr="00D13A3E">
        <w:t>Source: constructed during the evaluation</w:t>
      </w:r>
    </w:p>
    <w:p w:rsidR="00F2667A" w:rsidRPr="00275C5A" w:rsidRDefault="00F2667A" w:rsidP="00F2667A">
      <w:pPr>
        <w:widowControl/>
        <w:rPr>
          <w:szCs w:val="22"/>
        </w:rPr>
      </w:pPr>
    </w:p>
    <w:p w:rsidR="00D44685" w:rsidRPr="00FA2BF7" w:rsidRDefault="00D44685" w:rsidP="00733B01">
      <w:pPr>
        <w:pStyle w:val="ListParagraph"/>
        <w:widowControl/>
        <w:numPr>
          <w:ilvl w:val="1"/>
          <w:numId w:val="1"/>
        </w:numPr>
        <w:ind w:left="720"/>
        <w:rPr>
          <w:szCs w:val="22"/>
        </w:rPr>
      </w:pPr>
      <w:r w:rsidRPr="00FA2BF7">
        <w:rPr>
          <w:szCs w:val="22"/>
        </w:rPr>
        <w:t>Th</w:t>
      </w:r>
      <w:r w:rsidR="004D6953" w:rsidRPr="00FA2BF7">
        <w:rPr>
          <w:szCs w:val="22"/>
        </w:rPr>
        <w:t xml:space="preserve">e ESC </w:t>
      </w:r>
      <w:r w:rsidR="00F92DE3" w:rsidRPr="00FA2BF7">
        <w:rPr>
          <w:szCs w:val="22"/>
        </w:rPr>
        <w:t xml:space="preserve">noted </w:t>
      </w:r>
      <w:r w:rsidR="00BD03F5" w:rsidRPr="00FA2BF7">
        <w:rPr>
          <w:szCs w:val="22"/>
        </w:rPr>
        <w:t xml:space="preserve">that the Commentary </w:t>
      </w:r>
      <w:r w:rsidR="00F92DE3" w:rsidRPr="00FA2BF7">
        <w:rPr>
          <w:szCs w:val="22"/>
        </w:rPr>
        <w:t xml:space="preserve">had identified </w:t>
      </w:r>
      <w:r w:rsidR="004D6953" w:rsidRPr="00FA2BF7">
        <w:rPr>
          <w:szCs w:val="22"/>
        </w:rPr>
        <w:t xml:space="preserve">a number of technical issues with the model, including: </w:t>
      </w:r>
    </w:p>
    <w:p w:rsidR="006C4B77" w:rsidRPr="00FA2BF7" w:rsidRDefault="006C4B77" w:rsidP="00733B01">
      <w:pPr>
        <w:pStyle w:val="ListParagraph"/>
        <w:widowControl/>
        <w:numPr>
          <w:ilvl w:val="0"/>
          <w:numId w:val="9"/>
        </w:numPr>
        <w:rPr>
          <w:szCs w:val="22"/>
        </w:rPr>
      </w:pPr>
      <w:r w:rsidRPr="00FA2BF7">
        <w:rPr>
          <w:szCs w:val="22"/>
        </w:rPr>
        <w:t xml:space="preserve">All costs seem to be included as one off costs up front (hence </w:t>
      </w:r>
      <w:r w:rsidR="004D6953" w:rsidRPr="00FA2BF7">
        <w:rPr>
          <w:szCs w:val="22"/>
        </w:rPr>
        <w:t xml:space="preserve">the </w:t>
      </w:r>
      <w:proofErr w:type="spellStart"/>
      <w:r w:rsidR="004D6953" w:rsidRPr="00FA2BF7">
        <w:rPr>
          <w:szCs w:val="22"/>
        </w:rPr>
        <w:t>pralatrexate</w:t>
      </w:r>
      <w:proofErr w:type="spellEnd"/>
      <w:r w:rsidRPr="00FA2BF7">
        <w:rPr>
          <w:szCs w:val="22"/>
        </w:rPr>
        <w:t xml:space="preserve"> arm costs do not change from Step 2b onwards</w:t>
      </w:r>
      <w:r w:rsidR="002E7274" w:rsidRPr="00FA2BF7">
        <w:rPr>
          <w:szCs w:val="22"/>
        </w:rPr>
        <w:t xml:space="preserve"> in the ‘stepped economic</w:t>
      </w:r>
      <w:r w:rsidR="002E7274" w:rsidRPr="002E7274">
        <w:rPr>
          <w:i/>
          <w:szCs w:val="22"/>
        </w:rPr>
        <w:t xml:space="preserve"> </w:t>
      </w:r>
      <w:r w:rsidR="002E7274" w:rsidRPr="00FA2BF7">
        <w:rPr>
          <w:szCs w:val="22"/>
        </w:rPr>
        <w:t>evaluation’ table below</w:t>
      </w:r>
      <w:r w:rsidRPr="00FA2BF7">
        <w:rPr>
          <w:szCs w:val="22"/>
        </w:rPr>
        <w:t>, even with discounting and a change in model time horizon), rather than a</w:t>
      </w:r>
      <w:r w:rsidR="00BD03F5" w:rsidRPr="00FA2BF7">
        <w:rPr>
          <w:szCs w:val="22"/>
        </w:rPr>
        <w:t xml:space="preserve">ccruing over time with treatment. </w:t>
      </w:r>
      <w:r w:rsidR="00A36794" w:rsidRPr="00FA2BF7">
        <w:rPr>
          <w:szCs w:val="22"/>
        </w:rPr>
        <w:t xml:space="preserve">The ESC considered this lead to implausible results that favour </w:t>
      </w:r>
      <w:proofErr w:type="spellStart"/>
      <w:r w:rsidR="00A36794" w:rsidRPr="00FA2BF7">
        <w:rPr>
          <w:szCs w:val="22"/>
        </w:rPr>
        <w:t>pralatrexate</w:t>
      </w:r>
      <w:proofErr w:type="spellEnd"/>
      <w:r w:rsidR="00A36794" w:rsidRPr="00FA2BF7">
        <w:rPr>
          <w:szCs w:val="22"/>
        </w:rPr>
        <w:t xml:space="preserve">, whereby incremental costs for 5 years and 10 years follow up are identical, so incremental costs are not increasing over time, even though patients continue to accrue health outcomes. </w:t>
      </w:r>
    </w:p>
    <w:p w:rsidR="006C4B77" w:rsidRPr="00FA2BF7" w:rsidRDefault="006C4B77" w:rsidP="00733B01">
      <w:pPr>
        <w:pStyle w:val="ListParagraph"/>
        <w:widowControl/>
        <w:numPr>
          <w:ilvl w:val="0"/>
          <w:numId w:val="9"/>
        </w:numPr>
        <w:rPr>
          <w:szCs w:val="22"/>
        </w:rPr>
      </w:pPr>
      <w:r w:rsidRPr="00FA2BF7">
        <w:rPr>
          <w:szCs w:val="22"/>
        </w:rPr>
        <w:t>No variation of proportion of patients in each response state across treatment arms or with cycle</w:t>
      </w:r>
      <w:r w:rsidR="002E7274" w:rsidRPr="00FA2BF7">
        <w:rPr>
          <w:szCs w:val="22"/>
        </w:rPr>
        <w:t xml:space="preserve">. This result in the </w:t>
      </w:r>
      <w:r w:rsidRPr="00FA2BF7">
        <w:rPr>
          <w:szCs w:val="22"/>
        </w:rPr>
        <w:t xml:space="preserve">QALYs </w:t>
      </w:r>
      <w:r w:rsidR="002E7274" w:rsidRPr="00FA2BF7">
        <w:rPr>
          <w:szCs w:val="22"/>
        </w:rPr>
        <w:t>being</w:t>
      </w:r>
      <w:r w:rsidRPr="00FA2BF7">
        <w:rPr>
          <w:szCs w:val="22"/>
        </w:rPr>
        <w:t xml:space="preserve"> driven by survival, rather than any changes in response to treatment</w:t>
      </w:r>
      <w:r w:rsidR="002E7274" w:rsidRPr="00FA2BF7">
        <w:rPr>
          <w:szCs w:val="22"/>
        </w:rPr>
        <w:t>.</w:t>
      </w:r>
    </w:p>
    <w:p w:rsidR="00045D70" w:rsidRDefault="006C4B77" w:rsidP="00733B01">
      <w:pPr>
        <w:pStyle w:val="ListParagraph"/>
        <w:widowControl/>
        <w:numPr>
          <w:ilvl w:val="0"/>
          <w:numId w:val="9"/>
        </w:numPr>
        <w:rPr>
          <w:i/>
          <w:szCs w:val="22"/>
        </w:rPr>
      </w:pPr>
      <w:r w:rsidRPr="00FA2BF7">
        <w:rPr>
          <w:szCs w:val="22"/>
        </w:rPr>
        <w:t>No inclusion of post</w:t>
      </w:r>
      <w:r w:rsidR="009F75C7" w:rsidRPr="00FA2BF7">
        <w:rPr>
          <w:szCs w:val="22"/>
        </w:rPr>
        <w:t>-</w:t>
      </w:r>
      <w:r w:rsidRPr="00FA2BF7">
        <w:rPr>
          <w:szCs w:val="22"/>
        </w:rPr>
        <w:t>progression treatment costs and consequences</w:t>
      </w:r>
      <w:r w:rsidR="00840260" w:rsidRPr="00FA2BF7">
        <w:rPr>
          <w:szCs w:val="22"/>
        </w:rPr>
        <w:t xml:space="preserve">, including stem cell transplant. </w:t>
      </w:r>
      <w:r w:rsidR="00B24BE1" w:rsidRPr="00FA2BF7">
        <w:rPr>
          <w:szCs w:val="22"/>
        </w:rPr>
        <w:t>The ESC disagreed with the PSCR (p5) when the response claimed that inclusion of these costs would define the resulting analysis as a ‘cost of illness study’</w:t>
      </w:r>
      <w:r w:rsidR="00B24BE1">
        <w:rPr>
          <w:i/>
          <w:szCs w:val="22"/>
        </w:rPr>
        <w:t xml:space="preserve">. </w:t>
      </w:r>
    </w:p>
    <w:p w:rsidR="00045D70" w:rsidRPr="00FA2BF7" w:rsidRDefault="00045D70" w:rsidP="00733B01">
      <w:pPr>
        <w:pStyle w:val="ListParagraph"/>
        <w:widowControl/>
        <w:numPr>
          <w:ilvl w:val="0"/>
          <w:numId w:val="9"/>
        </w:numPr>
        <w:rPr>
          <w:szCs w:val="22"/>
        </w:rPr>
      </w:pPr>
      <w:r w:rsidRPr="006010F6">
        <w:t xml:space="preserve">Modelled overall survival estimates in the </w:t>
      </w:r>
      <w:proofErr w:type="spellStart"/>
      <w:r w:rsidRPr="006010F6">
        <w:t>TreeAge</w:t>
      </w:r>
      <w:proofErr w:type="spellEnd"/>
      <w:r w:rsidRPr="006010F6">
        <w:t xml:space="preserve"> economic model are inconsistent with the Kaplan Meier data. Survival estimates from the economic model show that </w:t>
      </w:r>
      <w:r w:rsidR="00685063">
        <w:rPr>
          <w:noProof/>
          <w:color w:val="000000"/>
          <w:highlight w:val="black"/>
        </w:rPr>
        <w:t>'''''''</w:t>
      </w:r>
      <w:r w:rsidRPr="006010F6">
        <w:t xml:space="preserve">% of patients in the matched control cohort are alive after </w:t>
      </w:r>
      <w:r w:rsidR="00685063">
        <w:rPr>
          <w:noProof/>
          <w:color w:val="000000"/>
          <w:highlight w:val="black"/>
        </w:rPr>
        <w:t>''''</w:t>
      </w:r>
      <w:r w:rsidRPr="006010F6">
        <w:t xml:space="preserve"> years and </w:t>
      </w:r>
      <w:r w:rsidR="00685063">
        <w:rPr>
          <w:noProof/>
          <w:color w:val="000000"/>
          <w:highlight w:val="black"/>
        </w:rPr>
        <w:t>''''''</w:t>
      </w:r>
      <w:r w:rsidRPr="006010F6">
        <w:t xml:space="preserve">% of patients in the matched control cohort are alive at the end of the model. </w:t>
      </w:r>
      <w:r w:rsidR="00685063">
        <w:rPr>
          <w:noProof/>
          <w:color w:val="000000"/>
          <w:highlight w:val="black"/>
        </w:rPr>
        <w:t>''''''</w:t>
      </w:r>
      <w:r w:rsidRPr="006010F6">
        <w:t xml:space="preserve">% of patients in the matched </w:t>
      </w:r>
      <w:proofErr w:type="spellStart"/>
      <w:r w:rsidRPr="006010F6">
        <w:t>pralatrexate</w:t>
      </w:r>
      <w:proofErr w:type="spellEnd"/>
      <w:r w:rsidRPr="006010F6">
        <w:t xml:space="preserve"> cohort are alive after </w:t>
      </w:r>
      <w:r w:rsidR="00685063">
        <w:rPr>
          <w:noProof/>
          <w:color w:val="000000"/>
          <w:highlight w:val="black"/>
        </w:rPr>
        <w:t>'''</w:t>
      </w:r>
      <w:r w:rsidRPr="006010F6">
        <w:t xml:space="preserve"> years and </w:t>
      </w:r>
      <w:r w:rsidR="00685063">
        <w:rPr>
          <w:noProof/>
          <w:color w:val="000000"/>
          <w:highlight w:val="black"/>
        </w:rPr>
        <w:t>'''''''</w:t>
      </w:r>
      <w:r w:rsidRPr="006010F6">
        <w:t xml:space="preserve">% of patients in the matched </w:t>
      </w:r>
      <w:proofErr w:type="spellStart"/>
      <w:r w:rsidRPr="006010F6">
        <w:t>pralatrexate</w:t>
      </w:r>
      <w:proofErr w:type="spellEnd"/>
      <w:r w:rsidRPr="006010F6">
        <w:t xml:space="preserve"> cohort are alive at the end of the model. These estimates are inconsistent with the Kaplan-Meier data (</w:t>
      </w:r>
      <w:r w:rsidR="00685063">
        <w:rPr>
          <w:noProof/>
          <w:color w:val="000000"/>
          <w:highlight w:val="black"/>
        </w:rPr>
        <w:t>''''</w:t>
      </w:r>
      <w:r w:rsidRPr="006010F6">
        <w:t xml:space="preserve"> year survival of </w:t>
      </w:r>
      <w:r w:rsidR="00685063">
        <w:rPr>
          <w:noProof/>
          <w:color w:val="000000"/>
          <w:highlight w:val="black"/>
        </w:rPr>
        <w:t>''''''''''''''''''''''''''''''''' ''''''</w:t>
      </w:r>
      <w:r w:rsidRPr="006010F6">
        <w:t xml:space="preserve">% in the matched control cohort and </w:t>
      </w:r>
      <w:r w:rsidR="00685063">
        <w:rPr>
          <w:noProof/>
          <w:color w:val="000000"/>
          <w:highlight w:val="black"/>
        </w:rPr>
        <w:t>''''''</w:t>
      </w:r>
      <w:r w:rsidRPr="006010F6">
        <w:t xml:space="preserve">% in the matched PDX-008 cohort). </w:t>
      </w:r>
      <w:r w:rsidRPr="00FA2BF7">
        <w:t xml:space="preserve">In addition, the model estimates that </w:t>
      </w:r>
      <w:r w:rsidR="00685063">
        <w:rPr>
          <w:noProof/>
          <w:color w:val="000000"/>
          <w:highlight w:val="black"/>
        </w:rPr>
        <w:t>''''''</w:t>
      </w:r>
      <w:r w:rsidRPr="00FA2BF7">
        <w:t xml:space="preserve">% of </w:t>
      </w:r>
      <w:proofErr w:type="spellStart"/>
      <w:r w:rsidRPr="00FA2BF7">
        <w:t>pralatrexate</w:t>
      </w:r>
      <w:proofErr w:type="spellEnd"/>
      <w:r w:rsidRPr="00FA2BF7">
        <w:t xml:space="preserve"> patients and </w:t>
      </w:r>
      <w:r w:rsidR="00685063">
        <w:rPr>
          <w:noProof/>
          <w:color w:val="000000"/>
          <w:highlight w:val="black"/>
        </w:rPr>
        <w:t>''''''</w:t>
      </w:r>
      <w:r w:rsidRPr="00FA2BF7">
        <w:t xml:space="preserve">% of matched cohort patients are alive at </w:t>
      </w:r>
      <w:r w:rsidR="00685063">
        <w:rPr>
          <w:noProof/>
          <w:color w:val="000000"/>
          <w:highlight w:val="black"/>
        </w:rPr>
        <w:t>''''''</w:t>
      </w:r>
      <w:r w:rsidRPr="00FA2BF7">
        <w:t xml:space="preserve"> years</w:t>
      </w:r>
      <w:r w:rsidR="00B24BE1" w:rsidRPr="00FA2BF7">
        <w:t>. The PSCR</w:t>
      </w:r>
      <w:r w:rsidR="008E7F2B" w:rsidRPr="00FA2BF7">
        <w:t xml:space="preserve"> (p2) identified an error in the model</w:t>
      </w:r>
      <w:r w:rsidR="00A167B7" w:rsidRPr="00FA2BF7">
        <w:t xml:space="preserve"> </w:t>
      </w:r>
      <w:r w:rsidR="00AD7422" w:rsidRPr="00FA2BF7">
        <w:t xml:space="preserve">that resulted in a modelled overall survival that is longer than would be anticipated from the Kaplan-Meier curves. The corrected model indicated that in the </w:t>
      </w:r>
      <w:proofErr w:type="spellStart"/>
      <w:r w:rsidR="00AD7422" w:rsidRPr="00FA2BF7">
        <w:t>pralatrexate</w:t>
      </w:r>
      <w:proofErr w:type="spellEnd"/>
      <w:r w:rsidR="00AD7422" w:rsidRPr="00FA2BF7">
        <w:t xml:space="preserve"> arm </w:t>
      </w:r>
      <w:r w:rsidR="00685063">
        <w:rPr>
          <w:noProof/>
          <w:color w:val="000000"/>
          <w:highlight w:val="black"/>
        </w:rPr>
        <w:t>''''''</w:t>
      </w:r>
      <w:r w:rsidR="00AD7422" w:rsidRPr="00FA2BF7">
        <w:t>% of patients are still alive and in the comparator arm</w:t>
      </w:r>
      <w:r w:rsidR="00685063">
        <w:rPr>
          <w:noProof/>
          <w:color w:val="000000"/>
          <w:highlight w:val="black"/>
        </w:rPr>
        <w:t xml:space="preserve"> ''''</w:t>
      </w:r>
      <w:r w:rsidR="00AD7422" w:rsidRPr="00FA2BF7">
        <w:t xml:space="preserve">% of patients are still alive at the end of the model. After </w:t>
      </w:r>
      <w:r w:rsidR="00685063">
        <w:rPr>
          <w:noProof/>
          <w:color w:val="000000"/>
          <w:highlight w:val="black"/>
        </w:rPr>
        <w:t>''''</w:t>
      </w:r>
      <w:r w:rsidR="00AD7422" w:rsidRPr="00FA2BF7">
        <w:t xml:space="preserve"> years, </w:t>
      </w:r>
      <w:r w:rsidR="00685063">
        <w:rPr>
          <w:noProof/>
          <w:color w:val="000000"/>
          <w:highlight w:val="black"/>
        </w:rPr>
        <w:t>''''''</w:t>
      </w:r>
      <w:r w:rsidR="00AD7422" w:rsidRPr="00FA2BF7">
        <w:t xml:space="preserve">% of patients in the </w:t>
      </w:r>
      <w:proofErr w:type="spellStart"/>
      <w:r w:rsidR="00AD7422" w:rsidRPr="00FA2BF7">
        <w:t>pralatrexate</w:t>
      </w:r>
      <w:proofErr w:type="spellEnd"/>
      <w:r w:rsidR="00AD7422" w:rsidRPr="00FA2BF7">
        <w:t xml:space="preserve"> arm are still alive and </w:t>
      </w:r>
      <w:r w:rsidR="00685063">
        <w:rPr>
          <w:noProof/>
          <w:color w:val="000000"/>
          <w:highlight w:val="black"/>
        </w:rPr>
        <w:t>''''''</w:t>
      </w:r>
      <w:r w:rsidR="00AD7422" w:rsidRPr="00FA2BF7">
        <w:t xml:space="preserve">% of patients in the comparator arm are still alive. Despite correction in the revised model provided in the PSCR, the ESC considered that incremental survival was still overestimated in the model. </w:t>
      </w:r>
      <w:r w:rsidRPr="00FA2BF7">
        <w:t xml:space="preserve"> </w:t>
      </w:r>
      <w:r w:rsidR="00AD7422" w:rsidRPr="00FA2BF7">
        <w:t xml:space="preserve">Based on the information in </w:t>
      </w:r>
      <w:r w:rsidR="00D90B93" w:rsidRPr="00FA2BF7">
        <w:t xml:space="preserve">the </w:t>
      </w:r>
      <w:r w:rsidR="00D90B93" w:rsidRPr="00FA2BF7">
        <w:lastRenderedPageBreak/>
        <w:t>submission, t</w:t>
      </w:r>
      <w:r w:rsidRPr="00FA2BF7">
        <w:t>his inconsistency</w:t>
      </w:r>
      <w:r w:rsidR="00D90B93" w:rsidRPr="00FA2BF7">
        <w:t xml:space="preserve"> can</w:t>
      </w:r>
      <w:r w:rsidRPr="00FA2BF7">
        <w:t xml:space="preserve"> be visualised by comparing the Kaplan Meier data and Markov traces</w:t>
      </w:r>
      <w:r w:rsidR="00F9019A" w:rsidRPr="00FA2BF7">
        <w:t xml:space="preserve"> (</w:t>
      </w:r>
      <w:proofErr w:type="spellStart"/>
      <w:r w:rsidR="00F9019A" w:rsidRPr="00FA2BF7">
        <w:t>pralatrexate</w:t>
      </w:r>
      <w:proofErr w:type="spellEnd"/>
      <w:r w:rsidR="00F9019A" w:rsidRPr="00FA2BF7">
        <w:t xml:space="preserve"> and control arms)</w:t>
      </w:r>
      <w:r w:rsidRPr="00FA2BF7">
        <w:t xml:space="preserve"> from the model in the figures below.</w:t>
      </w:r>
    </w:p>
    <w:p w:rsidR="00045D70" w:rsidRPr="00FA2BF7" w:rsidRDefault="00045D70" w:rsidP="00045D70">
      <w:pPr>
        <w:widowControl/>
        <w:rPr>
          <w:szCs w:val="22"/>
        </w:rPr>
      </w:pPr>
    </w:p>
    <w:p w:rsidR="00045D70" w:rsidRDefault="00045D70" w:rsidP="00EF08BE">
      <w:pPr>
        <w:pStyle w:val="NoSpacing"/>
        <w:keepNext/>
        <w:ind w:firstLine="720"/>
        <w:rPr>
          <w:rStyle w:val="CommentReference"/>
        </w:rPr>
      </w:pPr>
      <w:r>
        <w:rPr>
          <w:rStyle w:val="CommentReference"/>
        </w:rPr>
        <w:t>Figure</w:t>
      </w:r>
      <w:r w:rsidRPr="00C938CF">
        <w:rPr>
          <w:rStyle w:val="CommentReference"/>
        </w:rPr>
        <w:t xml:space="preserve"> </w:t>
      </w:r>
      <w:r w:rsidR="00604EA5">
        <w:rPr>
          <w:rStyle w:val="CommentReference"/>
        </w:rPr>
        <w:t>3</w:t>
      </w:r>
      <w:r w:rsidRPr="00C938CF">
        <w:rPr>
          <w:rStyle w:val="CommentReference"/>
        </w:rPr>
        <w:t xml:space="preserve">: </w:t>
      </w:r>
      <w:r>
        <w:rPr>
          <w:rStyle w:val="CommentReference"/>
        </w:rPr>
        <w:t xml:space="preserve">Overall survival in the economic model; </w:t>
      </w:r>
      <w:proofErr w:type="spellStart"/>
      <w:r>
        <w:rPr>
          <w:rStyle w:val="CommentReference"/>
        </w:rPr>
        <w:t>pralatrexate</w:t>
      </w:r>
      <w:proofErr w:type="spellEnd"/>
      <w:r w:rsidR="00604EA5">
        <w:rPr>
          <w:rStyle w:val="CommentReference"/>
        </w:rPr>
        <w:t xml:space="preserve"> (Markov Trace)</w:t>
      </w:r>
    </w:p>
    <w:p w:rsidR="00045D70" w:rsidRDefault="00685063" w:rsidP="00EF08BE">
      <w:pPr>
        <w:ind w:left="720" w:hanging="11"/>
        <w:rPr>
          <w:i/>
        </w:rPr>
      </w:pPr>
      <w:r>
        <w:rPr>
          <w:i/>
          <w:noProof/>
          <w:snapToGrid/>
          <w:lang w:eastAsia="en-AU"/>
        </w:rPr>
        <w:drawing>
          <wp:inline distT="0" distB="0" distL="0" distR="0">
            <wp:extent cx="4495800" cy="2447925"/>
            <wp:effectExtent l="0" t="0" r="0" b="9525"/>
            <wp:docPr id="5" name="Picture 5" descr="Markov trace of overall survival in the economic model for pralatrexate" title="Overall survival in the economic mode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95800" cy="2447925"/>
                    </a:xfrm>
                    <a:prstGeom prst="rect">
                      <a:avLst/>
                    </a:prstGeom>
                  </pic:spPr>
                </pic:pic>
              </a:graphicData>
            </a:graphic>
          </wp:inline>
        </w:drawing>
      </w:r>
    </w:p>
    <w:p w:rsidR="00604EA5" w:rsidRPr="002F435E" w:rsidRDefault="00604EA5" w:rsidP="00EF08BE">
      <w:pPr>
        <w:pStyle w:val="NoSpacing"/>
        <w:keepNext/>
        <w:ind w:left="709"/>
        <w:rPr>
          <w:rStyle w:val="CommentReference"/>
          <w:b w:val="0"/>
        </w:rPr>
      </w:pPr>
      <w:r w:rsidRPr="002F435E">
        <w:rPr>
          <w:rStyle w:val="CommentReference"/>
          <w:b w:val="0"/>
        </w:rPr>
        <w:t xml:space="preserve">Source: </w:t>
      </w:r>
      <w:r w:rsidRPr="00604EA5">
        <w:rPr>
          <w:rStyle w:val="CommentReference"/>
          <w:b w:val="0"/>
        </w:rPr>
        <w:t xml:space="preserve">Figure </w:t>
      </w:r>
      <w:proofErr w:type="gramStart"/>
      <w:r w:rsidRPr="00604EA5">
        <w:rPr>
          <w:rStyle w:val="CommentReference"/>
          <w:b w:val="0"/>
        </w:rPr>
        <w:t>C(</w:t>
      </w:r>
      <w:proofErr w:type="spellStart"/>
      <w:proofErr w:type="gramEnd"/>
      <w:r w:rsidRPr="00604EA5">
        <w:rPr>
          <w:rStyle w:val="CommentReference"/>
          <w:b w:val="0"/>
        </w:rPr>
        <w:t>i</w:t>
      </w:r>
      <w:proofErr w:type="spellEnd"/>
      <w:r w:rsidRPr="00604EA5">
        <w:rPr>
          <w:rStyle w:val="CommentReference"/>
          <w:b w:val="0"/>
        </w:rPr>
        <w:t>).2.1</w:t>
      </w:r>
      <w:r>
        <w:rPr>
          <w:rStyle w:val="CommentReference"/>
          <w:b w:val="0"/>
        </w:rPr>
        <w:t xml:space="preserve">of the Commentary. </w:t>
      </w:r>
      <w:r w:rsidRPr="002F435E">
        <w:rPr>
          <w:rStyle w:val="CommentReference"/>
          <w:b w:val="0"/>
        </w:rPr>
        <w:t>Extracted during the evaluation from the economic model (</w:t>
      </w:r>
      <w:proofErr w:type="spellStart"/>
      <w:r w:rsidRPr="002F435E">
        <w:rPr>
          <w:rStyle w:val="CommentReference"/>
          <w:b w:val="0"/>
        </w:rPr>
        <w:t>Folotyn</w:t>
      </w:r>
      <w:proofErr w:type="spellEnd"/>
      <w:r w:rsidRPr="002F435E">
        <w:rPr>
          <w:rStyle w:val="CommentReference"/>
          <w:b w:val="0"/>
        </w:rPr>
        <w:t xml:space="preserve"> Model FINAL (Step 5) Base </w:t>
      </w:r>
      <w:proofErr w:type="spellStart"/>
      <w:r w:rsidRPr="002F435E">
        <w:rPr>
          <w:rStyle w:val="CommentReference"/>
          <w:b w:val="0"/>
        </w:rPr>
        <w:t>Case.trex</w:t>
      </w:r>
      <w:proofErr w:type="spellEnd"/>
      <w:r>
        <w:rPr>
          <w:rStyle w:val="CommentReference"/>
          <w:b w:val="0"/>
        </w:rPr>
        <w:t>)</w:t>
      </w:r>
    </w:p>
    <w:p w:rsidR="00604EA5" w:rsidRDefault="00604EA5" w:rsidP="00045D70">
      <w:pPr>
        <w:rPr>
          <w:i/>
        </w:rPr>
      </w:pPr>
    </w:p>
    <w:p w:rsidR="00A167B7" w:rsidRDefault="00A167B7" w:rsidP="00045D70">
      <w:pPr>
        <w:rPr>
          <w:i/>
        </w:rPr>
      </w:pPr>
    </w:p>
    <w:p w:rsidR="00045D70" w:rsidRDefault="00045D70" w:rsidP="00EF08BE">
      <w:pPr>
        <w:pStyle w:val="NoSpacing"/>
        <w:keepNext/>
        <w:ind w:firstLine="709"/>
        <w:rPr>
          <w:rStyle w:val="CommentReference"/>
        </w:rPr>
      </w:pPr>
      <w:r>
        <w:rPr>
          <w:rStyle w:val="CommentReference"/>
        </w:rPr>
        <w:t>Figure</w:t>
      </w:r>
      <w:r w:rsidRPr="00C938CF">
        <w:rPr>
          <w:rStyle w:val="CommentReference"/>
        </w:rPr>
        <w:t xml:space="preserve"> </w:t>
      </w:r>
      <w:r w:rsidR="00604EA5">
        <w:rPr>
          <w:rStyle w:val="CommentReference"/>
        </w:rPr>
        <w:t>4</w:t>
      </w:r>
      <w:r w:rsidRPr="00C938CF">
        <w:rPr>
          <w:rStyle w:val="CommentReference"/>
        </w:rPr>
        <w:t xml:space="preserve">: </w:t>
      </w:r>
      <w:r>
        <w:rPr>
          <w:rStyle w:val="CommentReference"/>
        </w:rPr>
        <w:t>Overall survival in the economic model; matched cohort</w:t>
      </w:r>
      <w:r w:rsidR="00604EA5">
        <w:rPr>
          <w:rStyle w:val="CommentReference"/>
        </w:rPr>
        <w:t xml:space="preserve"> (Markov Trace)</w:t>
      </w:r>
    </w:p>
    <w:p w:rsidR="00045D70" w:rsidRDefault="00685063" w:rsidP="00EF08BE">
      <w:pPr>
        <w:keepNext/>
        <w:ind w:firstLine="720"/>
        <w:rPr>
          <w:u w:val="single"/>
        </w:rPr>
      </w:pPr>
      <w:r>
        <w:rPr>
          <w:noProof/>
          <w:snapToGrid/>
          <w:u w:val="single"/>
          <w:lang w:eastAsia="en-AU"/>
        </w:rPr>
        <w:drawing>
          <wp:inline distT="0" distB="0" distL="0" distR="0">
            <wp:extent cx="4495800" cy="2647950"/>
            <wp:effectExtent l="0" t="0" r="0" b="0"/>
            <wp:docPr id="4" name="Picture 4" title="Overall survival in the economic model for the matched cohor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95800" cy="2647950"/>
                    </a:xfrm>
                    <a:prstGeom prst="rect">
                      <a:avLst/>
                    </a:prstGeom>
                  </pic:spPr>
                </pic:pic>
              </a:graphicData>
            </a:graphic>
          </wp:inline>
        </w:drawing>
      </w:r>
    </w:p>
    <w:p w:rsidR="00045D70" w:rsidRPr="002F435E" w:rsidRDefault="00045D70" w:rsidP="00EF08BE">
      <w:pPr>
        <w:pStyle w:val="NoSpacing"/>
        <w:keepNext/>
        <w:ind w:left="720"/>
        <w:rPr>
          <w:rStyle w:val="CommentReference"/>
          <w:b w:val="0"/>
        </w:rPr>
      </w:pPr>
      <w:r w:rsidRPr="002F435E">
        <w:rPr>
          <w:rStyle w:val="CommentReference"/>
          <w:b w:val="0"/>
        </w:rPr>
        <w:t>Source:</w:t>
      </w:r>
      <w:r w:rsidR="00604EA5" w:rsidRPr="00604EA5">
        <w:t xml:space="preserve"> </w:t>
      </w:r>
      <w:r w:rsidR="00604EA5" w:rsidRPr="00604EA5">
        <w:rPr>
          <w:rStyle w:val="CommentReference"/>
          <w:b w:val="0"/>
        </w:rPr>
        <w:t xml:space="preserve">Figure </w:t>
      </w:r>
      <w:proofErr w:type="gramStart"/>
      <w:r w:rsidR="00604EA5" w:rsidRPr="00604EA5">
        <w:rPr>
          <w:rStyle w:val="CommentReference"/>
          <w:b w:val="0"/>
        </w:rPr>
        <w:t>C(</w:t>
      </w:r>
      <w:proofErr w:type="spellStart"/>
      <w:proofErr w:type="gramEnd"/>
      <w:r w:rsidR="00604EA5" w:rsidRPr="00604EA5">
        <w:rPr>
          <w:rStyle w:val="CommentReference"/>
          <w:b w:val="0"/>
        </w:rPr>
        <w:t>i</w:t>
      </w:r>
      <w:proofErr w:type="spellEnd"/>
      <w:r w:rsidR="00604EA5" w:rsidRPr="00604EA5">
        <w:rPr>
          <w:rStyle w:val="CommentReference"/>
          <w:b w:val="0"/>
        </w:rPr>
        <w:t>).2.2</w:t>
      </w:r>
      <w:r w:rsidR="00604EA5">
        <w:rPr>
          <w:rStyle w:val="CommentReference"/>
          <w:b w:val="0"/>
        </w:rPr>
        <w:t xml:space="preserve"> of the </w:t>
      </w:r>
      <w:r w:rsidR="00103F61">
        <w:rPr>
          <w:rStyle w:val="CommentReference"/>
          <w:b w:val="0"/>
        </w:rPr>
        <w:t>Commentary</w:t>
      </w:r>
      <w:r w:rsidR="00604EA5">
        <w:rPr>
          <w:rStyle w:val="CommentReference"/>
          <w:b w:val="0"/>
        </w:rPr>
        <w:t xml:space="preserve">. </w:t>
      </w:r>
      <w:r w:rsidRPr="002F435E">
        <w:rPr>
          <w:rStyle w:val="CommentReference"/>
          <w:b w:val="0"/>
        </w:rPr>
        <w:t xml:space="preserve"> Extracted during the evaluation from the economic model (</w:t>
      </w:r>
      <w:proofErr w:type="spellStart"/>
      <w:r w:rsidRPr="002F435E">
        <w:rPr>
          <w:rStyle w:val="CommentReference"/>
          <w:b w:val="0"/>
        </w:rPr>
        <w:t>Folotyn</w:t>
      </w:r>
      <w:proofErr w:type="spellEnd"/>
      <w:r w:rsidRPr="002F435E">
        <w:rPr>
          <w:rStyle w:val="CommentReference"/>
          <w:b w:val="0"/>
        </w:rPr>
        <w:t xml:space="preserve"> Model FINAL (Step 5) Base </w:t>
      </w:r>
      <w:proofErr w:type="spellStart"/>
      <w:r w:rsidRPr="002F435E">
        <w:rPr>
          <w:rStyle w:val="CommentReference"/>
          <w:b w:val="0"/>
        </w:rPr>
        <w:t>Case.trex</w:t>
      </w:r>
      <w:proofErr w:type="spellEnd"/>
      <w:r w:rsidR="00604EA5">
        <w:rPr>
          <w:rStyle w:val="CommentReference"/>
          <w:b w:val="0"/>
        </w:rPr>
        <w:t>)</w:t>
      </w:r>
    </w:p>
    <w:p w:rsidR="00EF08BE" w:rsidRDefault="00EF08BE" w:rsidP="00045D70">
      <w:pPr>
        <w:widowControl/>
        <w:jc w:val="left"/>
        <w:rPr>
          <w:rStyle w:val="CommentReference"/>
        </w:rPr>
      </w:pPr>
    </w:p>
    <w:p w:rsidR="003B4ED7" w:rsidRDefault="003B4ED7" w:rsidP="00237798">
      <w:pPr>
        <w:widowControl/>
        <w:spacing w:line="1680" w:lineRule="auto"/>
        <w:jc w:val="left"/>
        <w:rPr>
          <w:rStyle w:val="CommentReference"/>
        </w:rPr>
      </w:pPr>
    </w:p>
    <w:p w:rsidR="00045D70" w:rsidRPr="00B4455E" w:rsidRDefault="00045D70" w:rsidP="00EF08BE">
      <w:pPr>
        <w:widowControl/>
        <w:ind w:firstLine="720"/>
        <w:jc w:val="left"/>
        <w:rPr>
          <w:rStyle w:val="CommentReference"/>
          <w:rFonts w:ascii="Arial" w:hAnsi="Arial"/>
          <w:b w:val="0"/>
          <w:sz w:val="22"/>
          <w:szCs w:val="20"/>
          <w:u w:val="single"/>
        </w:rPr>
      </w:pPr>
      <w:r>
        <w:rPr>
          <w:rStyle w:val="CommentReference"/>
        </w:rPr>
        <w:lastRenderedPageBreak/>
        <w:t>Figure</w:t>
      </w:r>
      <w:r w:rsidRPr="00C938CF">
        <w:rPr>
          <w:rStyle w:val="CommentReference"/>
        </w:rPr>
        <w:t xml:space="preserve"> </w:t>
      </w:r>
      <w:r w:rsidR="00FB26D7">
        <w:rPr>
          <w:rStyle w:val="CommentReference"/>
        </w:rPr>
        <w:t>5</w:t>
      </w:r>
      <w:r w:rsidRPr="00C938CF">
        <w:rPr>
          <w:rStyle w:val="CommentReference"/>
        </w:rPr>
        <w:t xml:space="preserve">: </w:t>
      </w:r>
      <w:r>
        <w:rPr>
          <w:rStyle w:val="CommentReference"/>
        </w:rPr>
        <w:t>Overall survival; Kaplan Meier curves and log-logistic parametric curve</w:t>
      </w:r>
    </w:p>
    <w:p w:rsidR="00045D70" w:rsidRPr="00685063" w:rsidRDefault="00685063" w:rsidP="00045D70">
      <w:pPr>
        <w:keepNext/>
        <w:rPr>
          <w:i/>
        </w:rPr>
      </w:pPr>
      <w:r>
        <w:rPr>
          <w:i/>
          <w:noProof/>
          <w:snapToGrid/>
          <w:lang w:eastAsia="en-AU"/>
        </w:rPr>
        <w:drawing>
          <wp:inline distT="0" distB="0" distL="0" distR="0">
            <wp:extent cx="5577840" cy="4304665"/>
            <wp:effectExtent l="0" t="0" r="3810" b="635"/>
            <wp:docPr id="3" name="Picture 3" title="Kaplan Meier curves of overall survival and log-logistic parametric curv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77840" cy="4304665"/>
                    </a:xfrm>
                    <a:prstGeom prst="rect">
                      <a:avLst/>
                    </a:prstGeom>
                  </pic:spPr>
                </pic:pic>
              </a:graphicData>
            </a:graphic>
          </wp:inline>
        </w:drawing>
      </w:r>
    </w:p>
    <w:p w:rsidR="00045D70" w:rsidRPr="00685063" w:rsidRDefault="00685063" w:rsidP="00EF08BE">
      <w:pPr>
        <w:widowControl/>
        <w:ind w:left="720"/>
        <w:rPr>
          <w:i/>
          <w:szCs w:val="22"/>
          <w:highlight w:val="black"/>
        </w:rPr>
      </w:pPr>
      <w:r>
        <w:rPr>
          <w:rStyle w:val="CommentReference"/>
          <w:b w:val="0"/>
          <w:noProof/>
          <w:color w:val="000000"/>
          <w:highlight w:val="black"/>
        </w:rPr>
        <w:t>''''''''''''''''''' ''''''''''''''' '''''''''''''''''' '''' ''''''''' '''''''''''''''''''''''''''''' ''''''''''''''''''' ''''''''''''''' '''' '''''''''' '''' ''''''''' ''''''''''''''''''''''''''''</w:t>
      </w:r>
    </w:p>
    <w:p w:rsidR="00CE78B5" w:rsidRPr="00CE78B5" w:rsidRDefault="00CE78B5" w:rsidP="00CE78B5">
      <w:pPr>
        <w:pStyle w:val="ListParagraph"/>
        <w:widowControl/>
        <w:rPr>
          <w:rStyle w:val="CommentReference"/>
          <w:rFonts w:ascii="Arial" w:hAnsi="Arial"/>
          <w:b w:val="0"/>
          <w:sz w:val="22"/>
          <w:szCs w:val="22"/>
        </w:rPr>
      </w:pPr>
    </w:p>
    <w:p w:rsidR="00F2667A" w:rsidRPr="00EF08BE" w:rsidRDefault="00F2667A" w:rsidP="00733B01">
      <w:pPr>
        <w:pStyle w:val="ListParagraph"/>
        <w:widowControl/>
        <w:numPr>
          <w:ilvl w:val="1"/>
          <w:numId w:val="1"/>
        </w:numPr>
        <w:ind w:left="720"/>
        <w:rPr>
          <w:rStyle w:val="CommentReference"/>
          <w:rFonts w:ascii="Arial" w:hAnsi="Arial"/>
          <w:b w:val="0"/>
          <w:sz w:val="22"/>
          <w:szCs w:val="22"/>
        </w:rPr>
      </w:pPr>
      <w:r w:rsidRPr="00A56B6A">
        <w:rPr>
          <w:rStyle w:val="CommentReference"/>
        </w:rPr>
        <w:t xml:space="preserve">Table </w:t>
      </w:r>
      <w:r>
        <w:rPr>
          <w:rStyle w:val="CommentReference"/>
        </w:rPr>
        <w:t>6</w:t>
      </w:r>
      <w:r w:rsidRPr="00A56B6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2552"/>
        <w:gridCol w:w="3543"/>
        <w:gridCol w:w="2250"/>
      </w:tblGrid>
      <w:tr w:rsidR="00F2667A" w:rsidRPr="00E2771E" w:rsidTr="00AC5E2D">
        <w:trPr>
          <w:tblHeader/>
        </w:trPr>
        <w:tc>
          <w:tcPr>
            <w:tcW w:w="1529" w:type="pct"/>
            <w:shd w:val="clear" w:color="auto" w:fill="auto"/>
            <w:vAlign w:val="center"/>
          </w:tcPr>
          <w:p w:rsidR="00F2667A" w:rsidRPr="00E2771E" w:rsidRDefault="00F2667A" w:rsidP="00AC5E2D">
            <w:pPr>
              <w:jc w:val="left"/>
              <w:rPr>
                <w:rFonts w:ascii="Arial Narrow" w:hAnsi="Arial Narrow"/>
                <w:b/>
                <w:sz w:val="20"/>
                <w:lang w:val="en-US"/>
              </w:rPr>
            </w:pPr>
            <w:r w:rsidRPr="00E2771E">
              <w:rPr>
                <w:rFonts w:ascii="Arial Narrow" w:hAnsi="Arial Narrow"/>
                <w:b/>
                <w:sz w:val="20"/>
                <w:lang w:val="en-US"/>
              </w:rPr>
              <w:t>Description</w:t>
            </w:r>
          </w:p>
        </w:tc>
        <w:tc>
          <w:tcPr>
            <w:tcW w:w="2123" w:type="pct"/>
            <w:shd w:val="clear" w:color="auto" w:fill="auto"/>
            <w:vAlign w:val="center"/>
          </w:tcPr>
          <w:p w:rsidR="00F2667A" w:rsidRPr="00E2771E" w:rsidRDefault="00F2667A" w:rsidP="00AC5E2D">
            <w:pPr>
              <w:jc w:val="center"/>
              <w:rPr>
                <w:rFonts w:ascii="Arial Narrow" w:hAnsi="Arial Narrow"/>
                <w:b/>
                <w:sz w:val="20"/>
                <w:lang w:val="en-US"/>
              </w:rPr>
            </w:pPr>
            <w:r w:rsidRPr="00E2771E">
              <w:rPr>
                <w:rFonts w:ascii="Arial Narrow" w:hAnsi="Arial Narrow"/>
                <w:b/>
                <w:sz w:val="20"/>
                <w:lang w:val="en-US"/>
              </w:rPr>
              <w:t>Method/Value</w:t>
            </w:r>
          </w:p>
        </w:tc>
        <w:tc>
          <w:tcPr>
            <w:tcW w:w="1348" w:type="pct"/>
            <w:shd w:val="clear" w:color="auto" w:fill="auto"/>
            <w:vAlign w:val="center"/>
          </w:tcPr>
          <w:p w:rsidR="00F2667A" w:rsidRPr="00E2771E" w:rsidRDefault="00F2667A" w:rsidP="00AC5E2D">
            <w:pPr>
              <w:jc w:val="center"/>
              <w:rPr>
                <w:rFonts w:ascii="Arial Narrow" w:hAnsi="Arial Narrow"/>
                <w:b/>
                <w:sz w:val="20"/>
                <w:lang w:val="en-US"/>
              </w:rPr>
            </w:pPr>
            <w:r w:rsidRPr="00E2771E">
              <w:rPr>
                <w:rFonts w:ascii="Arial Narrow" w:hAnsi="Arial Narrow"/>
                <w:b/>
                <w:sz w:val="20"/>
                <w:lang w:val="en-US"/>
              </w:rPr>
              <w:t>Impact</w:t>
            </w:r>
          </w:p>
        </w:tc>
      </w:tr>
      <w:tr w:rsidR="00F2667A" w:rsidRPr="00E2771E" w:rsidTr="00AC5E2D">
        <w:tc>
          <w:tcPr>
            <w:tcW w:w="1529" w:type="pct"/>
            <w:shd w:val="clear" w:color="auto" w:fill="auto"/>
            <w:vAlign w:val="center"/>
          </w:tcPr>
          <w:p w:rsidR="00F2667A" w:rsidRPr="00E2771E" w:rsidRDefault="00F2667A" w:rsidP="00AC5E2D">
            <w:pPr>
              <w:jc w:val="left"/>
              <w:rPr>
                <w:rFonts w:ascii="Arial Narrow" w:hAnsi="Arial Narrow"/>
                <w:sz w:val="20"/>
                <w:lang w:val="en-US"/>
              </w:rPr>
            </w:pPr>
            <w:r>
              <w:rPr>
                <w:rFonts w:ascii="Arial Narrow" w:hAnsi="Arial Narrow"/>
                <w:sz w:val="20"/>
                <w:lang w:val="en-US"/>
              </w:rPr>
              <w:t>Hazard ratio</w:t>
            </w:r>
          </w:p>
        </w:tc>
        <w:tc>
          <w:tcPr>
            <w:tcW w:w="2123" w:type="pct"/>
            <w:shd w:val="clear" w:color="auto" w:fill="auto"/>
            <w:vAlign w:val="center"/>
          </w:tcPr>
          <w:p w:rsidR="00F2667A" w:rsidRPr="00E2771E" w:rsidRDefault="00685063" w:rsidP="00AC5E2D">
            <w:pPr>
              <w:jc w:val="center"/>
              <w:rPr>
                <w:rFonts w:ascii="Arial Narrow" w:hAnsi="Arial Narrow"/>
                <w:sz w:val="20"/>
                <w:lang w:val="en-US"/>
              </w:rPr>
            </w:pPr>
            <w:r>
              <w:rPr>
                <w:rFonts w:ascii="Arial Narrow" w:hAnsi="Arial Narrow"/>
                <w:noProof/>
                <w:color w:val="000000"/>
                <w:sz w:val="20"/>
                <w:highlight w:val="black"/>
                <w:lang w:val="en-US"/>
              </w:rPr>
              <w:t>'''''''''''''</w:t>
            </w:r>
            <w:r w:rsidR="00F2667A">
              <w:rPr>
                <w:rFonts w:ascii="Arial Narrow" w:hAnsi="Arial Narrow"/>
                <w:sz w:val="20"/>
                <w:lang w:val="en-US"/>
              </w:rPr>
              <w:t xml:space="preserve"> (matched control analysis)</w:t>
            </w:r>
          </w:p>
        </w:tc>
        <w:tc>
          <w:tcPr>
            <w:tcW w:w="1348"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w:t>
            </w:r>
            <w:proofErr w:type="spellStart"/>
            <w:r>
              <w:rPr>
                <w:rFonts w:ascii="Arial Narrow" w:hAnsi="Arial Narrow"/>
                <w:sz w:val="20"/>
                <w:lang w:val="en-US"/>
              </w:rPr>
              <w:t>pralatrexate</w:t>
            </w:r>
            <w:proofErr w:type="spellEnd"/>
          </w:p>
        </w:tc>
      </w:tr>
      <w:tr w:rsidR="00F2667A" w:rsidRPr="00E2771E" w:rsidTr="00AC5E2D">
        <w:tc>
          <w:tcPr>
            <w:tcW w:w="1529" w:type="pct"/>
            <w:shd w:val="clear" w:color="auto" w:fill="auto"/>
            <w:vAlign w:val="center"/>
          </w:tcPr>
          <w:p w:rsidR="00F2667A" w:rsidRPr="00E2771E" w:rsidRDefault="00F2667A" w:rsidP="00AC5E2D">
            <w:pPr>
              <w:jc w:val="left"/>
              <w:rPr>
                <w:rFonts w:ascii="Arial Narrow" w:hAnsi="Arial Narrow"/>
                <w:sz w:val="20"/>
                <w:lang w:val="en-US"/>
              </w:rPr>
            </w:pPr>
            <w:r>
              <w:rPr>
                <w:rFonts w:ascii="Arial Narrow" w:hAnsi="Arial Narrow"/>
                <w:sz w:val="20"/>
                <w:lang w:val="en-US"/>
              </w:rPr>
              <w:t xml:space="preserve">Dose of </w:t>
            </w:r>
            <w:proofErr w:type="spellStart"/>
            <w:r>
              <w:rPr>
                <w:rFonts w:ascii="Arial Narrow" w:hAnsi="Arial Narrow"/>
                <w:sz w:val="20"/>
                <w:lang w:val="en-US"/>
              </w:rPr>
              <w:t>pralatrexate</w:t>
            </w:r>
            <w:proofErr w:type="spellEnd"/>
          </w:p>
        </w:tc>
        <w:tc>
          <w:tcPr>
            <w:tcW w:w="2123"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Calculated based on mean total dose in PDX-008. Does not include wastage</w:t>
            </w:r>
          </w:p>
        </w:tc>
        <w:tc>
          <w:tcPr>
            <w:tcW w:w="1348"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 xml:space="preserve">High, </w:t>
            </w:r>
            <w:proofErr w:type="spellStart"/>
            <w:r>
              <w:rPr>
                <w:rFonts w:ascii="Arial Narrow" w:hAnsi="Arial Narrow"/>
                <w:sz w:val="20"/>
                <w:lang w:val="en-US"/>
              </w:rPr>
              <w:t>favours</w:t>
            </w:r>
            <w:proofErr w:type="spellEnd"/>
            <w:r>
              <w:rPr>
                <w:rFonts w:ascii="Arial Narrow" w:hAnsi="Arial Narrow"/>
                <w:sz w:val="20"/>
                <w:lang w:val="en-US"/>
              </w:rPr>
              <w:t xml:space="preserve"> </w:t>
            </w:r>
            <w:proofErr w:type="spellStart"/>
            <w:r>
              <w:rPr>
                <w:rFonts w:ascii="Arial Narrow" w:hAnsi="Arial Narrow"/>
                <w:sz w:val="20"/>
                <w:lang w:val="en-US"/>
              </w:rPr>
              <w:t>pralatrexate</w:t>
            </w:r>
            <w:proofErr w:type="spellEnd"/>
          </w:p>
        </w:tc>
      </w:tr>
      <w:tr w:rsidR="00F2667A" w:rsidRPr="00E2771E" w:rsidTr="00AC5E2D">
        <w:tc>
          <w:tcPr>
            <w:tcW w:w="1529" w:type="pct"/>
            <w:shd w:val="clear" w:color="auto" w:fill="auto"/>
            <w:vAlign w:val="center"/>
          </w:tcPr>
          <w:p w:rsidR="00F2667A" w:rsidRPr="00E2771E" w:rsidRDefault="00F2667A" w:rsidP="00AC5E2D">
            <w:pPr>
              <w:jc w:val="left"/>
              <w:rPr>
                <w:rFonts w:ascii="Arial Narrow" w:hAnsi="Arial Narrow"/>
                <w:sz w:val="20"/>
                <w:lang w:val="en-US"/>
              </w:rPr>
            </w:pPr>
            <w:r>
              <w:rPr>
                <w:rFonts w:ascii="Arial Narrow" w:hAnsi="Arial Narrow"/>
                <w:sz w:val="20"/>
                <w:lang w:val="en-US"/>
              </w:rPr>
              <w:t>Cost of comparator chemotherapy regimens</w:t>
            </w:r>
          </w:p>
        </w:tc>
        <w:tc>
          <w:tcPr>
            <w:tcW w:w="2123"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Based on chemotherapy treatments in the matched historical control cohort</w:t>
            </w:r>
            <w:r w:rsidR="00E44724">
              <w:rPr>
                <w:rFonts w:ascii="Arial Narrow" w:hAnsi="Arial Narrow"/>
                <w:sz w:val="20"/>
                <w:lang w:val="en-US"/>
              </w:rPr>
              <w:t xml:space="preserve"> (not include </w:t>
            </w:r>
            <w:proofErr w:type="spellStart"/>
            <w:r w:rsidR="00E44724" w:rsidRPr="00E44724">
              <w:rPr>
                <w:rFonts w:ascii="Arial Narrow" w:hAnsi="Arial Narrow"/>
                <w:sz w:val="20"/>
                <w:lang w:val="en-US"/>
              </w:rPr>
              <w:t>brentuximab</w:t>
            </w:r>
            <w:proofErr w:type="spellEnd"/>
            <w:r w:rsidR="00E44724">
              <w:rPr>
                <w:rFonts w:ascii="Arial Narrow" w:hAnsi="Arial Narrow"/>
                <w:sz w:val="20"/>
                <w:lang w:val="en-US"/>
              </w:rPr>
              <w:t xml:space="preserve">) </w:t>
            </w:r>
          </w:p>
        </w:tc>
        <w:tc>
          <w:tcPr>
            <w:tcW w:w="1348"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 xml:space="preserve">Low, </w:t>
            </w:r>
            <w:proofErr w:type="spellStart"/>
            <w:r>
              <w:rPr>
                <w:rFonts w:ascii="Arial Narrow" w:hAnsi="Arial Narrow"/>
                <w:sz w:val="20"/>
                <w:lang w:val="en-US"/>
              </w:rPr>
              <w:t>favours</w:t>
            </w:r>
            <w:proofErr w:type="spellEnd"/>
            <w:r>
              <w:rPr>
                <w:rFonts w:ascii="Arial Narrow" w:hAnsi="Arial Narrow"/>
                <w:sz w:val="20"/>
                <w:lang w:val="en-US"/>
              </w:rPr>
              <w:t xml:space="preserve"> comparator</w:t>
            </w:r>
          </w:p>
        </w:tc>
      </w:tr>
      <w:tr w:rsidR="00F2667A" w:rsidRPr="00E2771E" w:rsidTr="00AC5E2D">
        <w:tc>
          <w:tcPr>
            <w:tcW w:w="1529" w:type="pct"/>
            <w:shd w:val="clear" w:color="auto" w:fill="auto"/>
            <w:vAlign w:val="center"/>
          </w:tcPr>
          <w:p w:rsidR="00F2667A" w:rsidRPr="00E2771E" w:rsidRDefault="00F2667A" w:rsidP="00AC5E2D">
            <w:pPr>
              <w:jc w:val="left"/>
              <w:rPr>
                <w:rFonts w:ascii="Arial Narrow" w:hAnsi="Arial Narrow"/>
                <w:sz w:val="20"/>
                <w:lang w:val="en-US"/>
              </w:rPr>
            </w:pPr>
            <w:r>
              <w:rPr>
                <w:rFonts w:ascii="Arial Narrow" w:hAnsi="Arial Narrow"/>
                <w:sz w:val="20"/>
                <w:lang w:val="en-US"/>
              </w:rPr>
              <w:t>Utility values</w:t>
            </w:r>
          </w:p>
        </w:tc>
        <w:tc>
          <w:tcPr>
            <w:tcW w:w="2123" w:type="pct"/>
            <w:shd w:val="clear" w:color="auto" w:fill="auto"/>
            <w:vAlign w:val="center"/>
          </w:tcPr>
          <w:p w:rsidR="00F2667A" w:rsidRPr="00E2771E" w:rsidRDefault="00F2667A" w:rsidP="00AC5E2D">
            <w:pPr>
              <w:jc w:val="center"/>
              <w:rPr>
                <w:rFonts w:ascii="Arial Narrow" w:hAnsi="Arial Narrow"/>
                <w:sz w:val="20"/>
                <w:lang w:val="en-US"/>
              </w:rPr>
            </w:pPr>
            <w:proofErr w:type="spellStart"/>
            <w:r>
              <w:rPr>
                <w:rFonts w:ascii="Arial Narrow" w:hAnsi="Arial Narrow"/>
                <w:sz w:val="20"/>
                <w:lang w:val="en-US"/>
              </w:rPr>
              <w:t>Swinburn</w:t>
            </w:r>
            <w:proofErr w:type="spellEnd"/>
            <w:r>
              <w:rPr>
                <w:rFonts w:ascii="Arial Narrow" w:hAnsi="Arial Narrow"/>
                <w:sz w:val="20"/>
                <w:lang w:val="en-US"/>
              </w:rPr>
              <w:t xml:space="preserve"> 2012</w:t>
            </w:r>
          </w:p>
        </w:tc>
        <w:tc>
          <w:tcPr>
            <w:tcW w:w="1348"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 xml:space="preserve">Moderate, </w:t>
            </w:r>
            <w:proofErr w:type="spellStart"/>
            <w:r>
              <w:rPr>
                <w:rFonts w:ascii="Arial Narrow" w:hAnsi="Arial Narrow"/>
                <w:sz w:val="20"/>
                <w:lang w:val="en-US"/>
              </w:rPr>
              <w:t>favours</w:t>
            </w:r>
            <w:proofErr w:type="spellEnd"/>
            <w:r>
              <w:rPr>
                <w:rFonts w:ascii="Arial Narrow" w:hAnsi="Arial Narrow"/>
                <w:sz w:val="20"/>
                <w:lang w:val="en-US"/>
              </w:rPr>
              <w:t xml:space="preserve"> </w:t>
            </w:r>
            <w:proofErr w:type="spellStart"/>
            <w:r>
              <w:rPr>
                <w:rFonts w:ascii="Arial Narrow" w:hAnsi="Arial Narrow"/>
                <w:sz w:val="20"/>
                <w:lang w:val="en-US"/>
              </w:rPr>
              <w:t>pralatrexate</w:t>
            </w:r>
            <w:proofErr w:type="spellEnd"/>
          </w:p>
        </w:tc>
      </w:tr>
      <w:tr w:rsidR="00F2667A" w:rsidRPr="00E2771E" w:rsidTr="00AC5E2D">
        <w:tc>
          <w:tcPr>
            <w:tcW w:w="1529" w:type="pct"/>
            <w:shd w:val="clear" w:color="auto" w:fill="auto"/>
            <w:vAlign w:val="center"/>
          </w:tcPr>
          <w:p w:rsidR="00F2667A" w:rsidRPr="00E2771E" w:rsidRDefault="00F2667A" w:rsidP="00AC5E2D">
            <w:pPr>
              <w:jc w:val="left"/>
              <w:rPr>
                <w:rFonts w:ascii="Arial Narrow" w:hAnsi="Arial Narrow"/>
                <w:sz w:val="20"/>
                <w:lang w:val="en-US"/>
              </w:rPr>
            </w:pPr>
            <w:r>
              <w:rPr>
                <w:rFonts w:ascii="Arial Narrow" w:hAnsi="Arial Narrow"/>
                <w:sz w:val="20"/>
                <w:lang w:val="en-US"/>
              </w:rPr>
              <w:t>Costs of adverse events</w:t>
            </w:r>
          </w:p>
        </w:tc>
        <w:tc>
          <w:tcPr>
            <w:tcW w:w="2123"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Treatment related to neutropenia included, other adverse events excluded</w:t>
            </w:r>
          </w:p>
        </w:tc>
        <w:tc>
          <w:tcPr>
            <w:tcW w:w="1348"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Low</w:t>
            </w:r>
          </w:p>
        </w:tc>
      </w:tr>
      <w:tr w:rsidR="00F2667A" w:rsidRPr="00E2771E" w:rsidTr="00AC5E2D">
        <w:tc>
          <w:tcPr>
            <w:tcW w:w="1529" w:type="pct"/>
            <w:shd w:val="clear" w:color="auto" w:fill="auto"/>
            <w:vAlign w:val="center"/>
          </w:tcPr>
          <w:p w:rsidR="00F2667A" w:rsidRPr="00E2771E" w:rsidRDefault="00F2667A" w:rsidP="00AC5E2D">
            <w:pPr>
              <w:jc w:val="left"/>
              <w:rPr>
                <w:rFonts w:ascii="Arial Narrow" w:hAnsi="Arial Narrow"/>
                <w:sz w:val="20"/>
                <w:lang w:val="en-US"/>
              </w:rPr>
            </w:pPr>
            <w:r>
              <w:rPr>
                <w:rFonts w:ascii="Arial Narrow" w:hAnsi="Arial Narrow"/>
                <w:sz w:val="20"/>
                <w:lang w:val="en-US"/>
              </w:rPr>
              <w:t>Choice of parametric function</w:t>
            </w:r>
          </w:p>
        </w:tc>
        <w:tc>
          <w:tcPr>
            <w:tcW w:w="2123"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Log-logistic</w:t>
            </w:r>
          </w:p>
        </w:tc>
        <w:tc>
          <w:tcPr>
            <w:tcW w:w="1348" w:type="pct"/>
            <w:shd w:val="clear" w:color="auto" w:fill="auto"/>
            <w:vAlign w:val="center"/>
          </w:tcPr>
          <w:p w:rsidR="00F2667A" w:rsidRPr="00E2771E" w:rsidRDefault="00F2667A" w:rsidP="00AC5E2D">
            <w:pPr>
              <w:jc w:val="center"/>
              <w:rPr>
                <w:rFonts w:ascii="Arial Narrow" w:hAnsi="Arial Narrow"/>
                <w:sz w:val="20"/>
                <w:lang w:val="en-US"/>
              </w:rPr>
            </w:pPr>
            <w:r>
              <w:rPr>
                <w:rFonts w:ascii="Arial Narrow" w:hAnsi="Arial Narrow"/>
                <w:sz w:val="20"/>
                <w:lang w:val="en-US"/>
              </w:rPr>
              <w:t>Low</w:t>
            </w:r>
          </w:p>
        </w:tc>
      </w:tr>
    </w:tbl>
    <w:p w:rsidR="00EF08BE" w:rsidRDefault="00F2667A" w:rsidP="00D2791F">
      <w:pPr>
        <w:pStyle w:val="TableFooter"/>
        <w:ind w:firstLine="720"/>
      </w:pPr>
      <w:r w:rsidRPr="00D110BD">
        <w:t>Source: compiled during the evaluation</w:t>
      </w:r>
    </w:p>
    <w:p w:rsidR="00D2791F" w:rsidRDefault="00D2791F">
      <w:pPr>
        <w:widowControl/>
        <w:jc w:val="left"/>
        <w:rPr>
          <w:rFonts w:ascii="Arial Narrow" w:hAnsi="Arial Narrow"/>
          <w:sz w:val="18"/>
        </w:rPr>
      </w:pPr>
      <w:r>
        <w:br w:type="page"/>
      </w:r>
    </w:p>
    <w:p w:rsidR="00D2791F" w:rsidRPr="00D2791F" w:rsidRDefault="00D2791F" w:rsidP="00D2791F">
      <w:pPr>
        <w:pStyle w:val="TableFooter"/>
        <w:ind w:firstLine="720"/>
      </w:pPr>
    </w:p>
    <w:p w:rsidR="00983E10" w:rsidRPr="00EF08BE" w:rsidRDefault="006103DA" w:rsidP="00733B01">
      <w:pPr>
        <w:pStyle w:val="ListParagraph"/>
        <w:widowControl/>
        <w:numPr>
          <w:ilvl w:val="1"/>
          <w:numId w:val="1"/>
        </w:numPr>
        <w:ind w:left="720"/>
        <w:rPr>
          <w:rStyle w:val="CommentReference"/>
          <w:rFonts w:ascii="Arial" w:hAnsi="Arial"/>
          <w:b w:val="0"/>
          <w:sz w:val="22"/>
          <w:szCs w:val="22"/>
        </w:rPr>
      </w:pPr>
      <w:r>
        <w:rPr>
          <w:rStyle w:val="CommentReference"/>
        </w:rPr>
        <w:t xml:space="preserve">Table </w:t>
      </w:r>
      <w:r w:rsidR="00F2667A">
        <w:rPr>
          <w:rStyle w:val="CommentReference"/>
        </w:rPr>
        <w:t>7</w:t>
      </w:r>
      <w:r w:rsidR="00F2667A" w:rsidRPr="001222FC">
        <w:rPr>
          <w:rStyle w:val="CommentReference"/>
        </w:rPr>
        <w:t>: Results of the stepped economic evaluation</w:t>
      </w:r>
    </w:p>
    <w:tbl>
      <w:tblPr>
        <w:tblW w:w="4594"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stepped economic evaluation"/>
      </w:tblPr>
      <w:tblGrid>
        <w:gridCol w:w="1534"/>
        <w:gridCol w:w="2380"/>
        <w:gridCol w:w="2345"/>
        <w:gridCol w:w="35"/>
        <w:gridCol w:w="2051"/>
      </w:tblGrid>
      <w:tr w:rsidR="00675170" w:rsidRPr="004E2ADC" w:rsidTr="00EA2A32">
        <w:tc>
          <w:tcPr>
            <w:tcW w:w="919" w:type="pct"/>
            <w:vAlign w:val="center"/>
          </w:tcPr>
          <w:p w:rsidR="00675170" w:rsidRPr="004E2ADC" w:rsidRDefault="00675170" w:rsidP="00EA2A32">
            <w:pPr>
              <w:keepNext/>
              <w:jc w:val="left"/>
              <w:rPr>
                <w:rFonts w:ascii="Arial Narrow" w:hAnsi="Arial Narrow" w:cs="Arial Narrow"/>
                <w:b/>
                <w:bCs/>
                <w:sz w:val="20"/>
              </w:rPr>
            </w:pPr>
            <w:r>
              <w:rPr>
                <w:rFonts w:ascii="Arial Narrow" w:hAnsi="Arial Narrow" w:cs="Arial Narrow"/>
                <w:b/>
                <w:bCs/>
                <w:sz w:val="20"/>
              </w:rPr>
              <w:t>Step and component</w:t>
            </w:r>
          </w:p>
        </w:tc>
        <w:tc>
          <w:tcPr>
            <w:tcW w:w="1426" w:type="pct"/>
            <w:vAlign w:val="center"/>
          </w:tcPr>
          <w:p w:rsidR="00675170" w:rsidRPr="004E2ADC" w:rsidRDefault="00675170" w:rsidP="00EA2A32">
            <w:pPr>
              <w:keepNext/>
              <w:jc w:val="left"/>
              <w:rPr>
                <w:rFonts w:ascii="Arial Narrow" w:hAnsi="Arial Narrow" w:cs="Arial Narrow"/>
                <w:b/>
                <w:bCs/>
                <w:sz w:val="20"/>
              </w:rPr>
            </w:pPr>
            <w:proofErr w:type="spellStart"/>
            <w:r>
              <w:rPr>
                <w:rFonts w:ascii="Arial Narrow" w:hAnsi="Arial Narrow" w:cs="Arial Narrow"/>
                <w:b/>
                <w:bCs/>
                <w:sz w:val="20"/>
              </w:rPr>
              <w:t>Pralatrexate</w:t>
            </w:r>
            <w:proofErr w:type="spellEnd"/>
          </w:p>
        </w:tc>
        <w:tc>
          <w:tcPr>
            <w:tcW w:w="1405" w:type="pct"/>
            <w:vAlign w:val="center"/>
          </w:tcPr>
          <w:p w:rsidR="00675170" w:rsidRPr="004E2ADC" w:rsidRDefault="00675170" w:rsidP="00EA2A32">
            <w:pPr>
              <w:keepNext/>
              <w:jc w:val="left"/>
              <w:rPr>
                <w:rFonts w:ascii="Arial Narrow" w:hAnsi="Arial Narrow" w:cs="Arial Narrow"/>
                <w:b/>
                <w:bCs/>
                <w:sz w:val="20"/>
              </w:rPr>
            </w:pPr>
            <w:r>
              <w:rPr>
                <w:rFonts w:ascii="Arial Narrow" w:hAnsi="Arial Narrow" w:cs="Arial Narrow"/>
                <w:b/>
                <w:bCs/>
                <w:sz w:val="20"/>
              </w:rPr>
              <w:t>Comparator</w:t>
            </w:r>
          </w:p>
        </w:tc>
        <w:tc>
          <w:tcPr>
            <w:tcW w:w="1250" w:type="pct"/>
            <w:gridSpan w:val="2"/>
            <w:vAlign w:val="center"/>
          </w:tcPr>
          <w:p w:rsidR="00675170" w:rsidRPr="004E2ADC" w:rsidRDefault="00675170" w:rsidP="00EA2A32">
            <w:pPr>
              <w:keepNext/>
              <w:jc w:val="left"/>
              <w:rPr>
                <w:rFonts w:ascii="Arial Narrow" w:hAnsi="Arial Narrow" w:cs="Arial Narrow"/>
                <w:b/>
                <w:bCs/>
                <w:sz w:val="20"/>
              </w:rPr>
            </w:pPr>
            <w:r>
              <w:rPr>
                <w:rFonts w:ascii="Arial Narrow" w:hAnsi="Arial Narrow" w:cs="Arial Narrow"/>
                <w:b/>
                <w:bCs/>
                <w:sz w:val="20"/>
              </w:rPr>
              <w:t>Increment</w:t>
            </w:r>
          </w:p>
        </w:tc>
      </w:tr>
      <w:tr w:rsidR="00675170" w:rsidRPr="004E2ADC" w:rsidTr="00EA2A32">
        <w:tc>
          <w:tcPr>
            <w:tcW w:w="5000" w:type="pct"/>
            <w:gridSpan w:val="5"/>
            <w:vAlign w:val="center"/>
          </w:tcPr>
          <w:p w:rsidR="00675170" w:rsidRPr="004E2ADC" w:rsidRDefault="00675170" w:rsidP="00EA2A32">
            <w:pPr>
              <w:keepNext/>
              <w:jc w:val="left"/>
              <w:rPr>
                <w:rFonts w:ascii="Arial Narrow" w:hAnsi="Arial Narrow" w:cs="Arial Narrow"/>
                <w:b/>
                <w:bCs/>
                <w:sz w:val="20"/>
              </w:rPr>
            </w:pPr>
            <w:r w:rsidRPr="004E2ADC">
              <w:rPr>
                <w:rFonts w:ascii="Arial Narrow" w:hAnsi="Arial Narrow" w:cs="Arial Narrow"/>
                <w:b/>
                <w:bCs/>
                <w:sz w:val="20"/>
              </w:rPr>
              <w:t xml:space="preserve">Step 1: </w:t>
            </w:r>
            <w:r>
              <w:rPr>
                <w:rFonts w:ascii="Arial Narrow" w:hAnsi="Arial Narrow" w:cs="Arial Narrow"/>
                <w:b/>
                <w:bCs/>
                <w:sz w:val="20"/>
              </w:rPr>
              <w:t>T</w:t>
            </w:r>
            <w:r w:rsidRPr="004E2ADC">
              <w:rPr>
                <w:rFonts w:ascii="Arial Narrow" w:hAnsi="Arial Narrow" w:cs="Arial Narrow"/>
                <w:b/>
                <w:bCs/>
                <w:sz w:val="20"/>
              </w:rPr>
              <w:t>rial-based outcomes</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Life years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sidRPr="004E2ADC">
              <w:rPr>
                <w:rFonts w:ascii="Arial Narrow" w:hAnsi="Arial Narrow" w:cs="Times New Roman"/>
                <w:b/>
                <w:snapToGrid/>
                <w:sz w:val="20"/>
              </w:rPr>
              <w:t>Incremental cost/extra out</w:t>
            </w:r>
            <w:r>
              <w:rPr>
                <w:rFonts w:ascii="Arial Narrow" w:hAnsi="Arial Narrow" w:cs="Times New Roman"/>
                <w:b/>
                <w:snapToGrid/>
                <w:sz w:val="20"/>
              </w:rPr>
              <w:t>come</w:t>
            </w:r>
            <w:r w:rsidRPr="004E2ADC">
              <w:rPr>
                <w:rFonts w:ascii="Arial Narrow" w:hAnsi="Arial Narrow" w:cs="Times New Roman"/>
                <w:b/>
                <w:snapToGrid/>
                <w:sz w:val="20"/>
              </w:rPr>
              <w:t xml:space="preserve"> 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NA</w:t>
            </w:r>
          </w:p>
        </w:tc>
      </w:tr>
      <w:tr w:rsidR="00675170" w:rsidRPr="004E2ADC" w:rsidTr="00EA2A32">
        <w:tc>
          <w:tcPr>
            <w:tcW w:w="5000" w:type="pct"/>
            <w:gridSpan w:val="5"/>
            <w:vAlign w:val="center"/>
          </w:tcPr>
          <w:p w:rsidR="00675170" w:rsidRPr="004E2ADC" w:rsidRDefault="00675170" w:rsidP="00EA2A32">
            <w:pPr>
              <w:keepNext/>
              <w:jc w:val="left"/>
              <w:rPr>
                <w:rFonts w:ascii="Arial Narrow" w:hAnsi="Arial Narrow" w:cs="Arial Narrow"/>
                <w:b/>
                <w:bCs/>
                <w:sz w:val="20"/>
              </w:rPr>
            </w:pPr>
            <w:r w:rsidRPr="004E2ADC">
              <w:rPr>
                <w:rFonts w:ascii="Arial Narrow" w:hAnsi="Arial Narrow" w:cs="Arial Narrow"/>
                <w:b/>
                <w:bCs/>
                <w:sz w:val="20"/>
              </w:rPr>
              <w:t xml:space="preserve">Step </w:t>
            </w:r>
            <w:r>
              <w:rPr>
                <w:rFonts w:ascii="Arial Narrow" w:hAnsi="Arial Narrow" w:cs="Arial Narrow"/>
                <w:b/>
                <w:bCs/>
                <w:sz w:val="20"/>
              </w:rPr>
              <w:t>2a: Trial based costs and outcomes (</w:t>
            </w:r>
            <w:proofErr w:type="spellStart"/>
            <w:r>
              <w:rPr>
                <w:rFonts w:ascii="Arial Narrow" w:hAnsi="Arial Narrow" w:cs="Arial Narrow"/>
                <w:b/>
                <w:bCs/>
                <w:sz w:val="20"/>
              </w:rPr>
              <w:t>pralatrexate</w:t>
            </w:r>
            <w:proofErr w:type="spellEnd"/>
            <w:r>
              <w:rPr>
                <w:rFonts w:ascii="Arial Narrow" w:hAnsi="Arial Narrow" w:cs="Arial Narrow"/>
                <w:b/>
                <w:bCs/>
                <w:sz w:val="20"/>
              </w:rPr>
              <w:t xml:space="preserve"> and comparator drug costs)</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Costs</w:t>
            </w:r>
          </w:p>
        </w:tc>
        <w:tc>
          <w:tcPr>
            <w:tcW w:w="1426"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Life years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sidRPr="004E2ADC">
              <w:rPr>
                <w:rFonts w:ascii="Arial Narrow" w:hAnsi="Arial Narrow" w:cs="Times New Roman"/>
                <w:b/>
                <w:snapToGrid/>
                <w:sz w:val="20"/>
              </w:rPr>
              <w:t>Incremental cost/</w:t>
            </w:r>
            <w:r>
              <w:rPr>
                <w:rFonts w:ascii="Arial Narrow" w:hAnsi="Arial Narrow" w:cs="Times New Roman"/>
                <w:b/>
                <w:snapToGrid/>
                <w:sz w:val="20"/>
              </w:rPr>
              <w:t>life year</w:t>
            </w:r>
            <w:r w:rsidRPr="004E2ADC">
              <w:rPr>
                <w:rFonts w:ascii="Arial Narrow" w:hAnsi="Arial Narrow" w:cs="Times New Roman"/>
                <w:b/>
                <w:snapToGrid/>
                <w:sz w:val="20"/>
              </w:rPr>
              <w:t xml:space="preserve"> gained</w:t>
            </w:r>
          </w:p>
        </w:tc>
        <w:tc>
          <w:tcPr>
            <w:tcW w:w="1229" w:type="pct"/>
          </w:tcPr>
          <w:p w:rsidR="00675170" w:rsidRPr="004E2ADC" w:rsidRDefault="00675170" w:rsidP="006C4B77">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w:t>
            </w:r>
            <w:r w:rsidR="006C4B77" w:rsidRPr="006C4B77">
              <w:rPr>
                <w:rFonts w:ascii="Arial Narrow" w:hAnsi="Arial Narrow" w:cs="Times New Roman"/>
                <w:b/>
                <w:i/>
                <w:sz w:val="20"/>
              </w:rPr>
              <w:t>LYG</w:t>
            </w:r>
          </w:p>
        </w:tc>
      </w:tr>
      <w:tr w:rsidR="00675170" w:rsidRPr="004E2ADC" w:rsidTr="00EA2A32">
        <w:tc>
          <w:tcPr>
            <w:tcW w:w="5000" w:type="pct"/>
            <w:gridSpan w:val="5"/>
            <w:vAlign w:val="center"/>
          </w:tcPr>
          <w:p w:rsidR="00675170" w:rsidRPr="004E2ADC" w:rsidRDefault="00675170" w:rsidP="00EA2A32">
            <w:pPr>
              <w:keepNext/>
              <w:jc w:val="left"/>
              <w:rPr>
                <w:rFonts w:ascii="Arial Narrow" w:hAnsi="Arial Narrow" w:cs="Arial Narrow"/>
                <w:b/>
                <w:bCs/>
                <w:sz w:val="20"/>
              </w:rPr>
            </w:pPr>
            <w:r w:rsidRPr="004E2ADC">
              <w:rPr>
                <w:rFonts w:ascii="Arial Narrow" w:hAnsi="Arial Narrow" w:cs="Arial Narrow"/>
                <w:b/>
                <w:bCs/>
                <w:sz w:val="20"/>
              </w:rPr>
              <w:t xml:space="preserve">Step </w:t>
            </w:r>
            <w:r>
              <w:rPr>
                <w:rFonts w:ascii="Arial Narrow" w:hAnsi="Arial Narrow" w:cs="Arial Narrow"/>
                <w:b/>
                <w:bCs/>
                <w:sz w:val="20"/>
              </w:rPr>
              <w:t>2b: Trial based costs and outcomes (</w:t>
            </w:r>
            <w:proofErr w:type="spellStart"/>
            <w:r>
              <w:rPr>
                <w:rFonts w:ascii="Arial Narrow" w:hAnsi="Arial Narrow" w:cs="Arial Narrow"/>
                <w:b/>
                <w:bCs/>
                <w:sz w:val="20"/>
              </w:rPr>
              <w:t>pralatrexate</w:t>
            </w:r>
            <w:proofErr w:type="spellEnd"/>
            <w:r>
              <w:rPr>
                <w:rFonts w:ascii="Arial Narrow" w:hAnsi="Arial Narrow" w:cs="Arial Narrow"/>
                <w:b/>
                <w:bCs/>
                <w:sz w:val="20"/>
              </w:rPr>
              <w:t xml:space="preserve"> and comparator drug costs, co-medication, admin and adverse event costs)</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Costs</w:t>
            </w:r>
          </w:p>
        </w:tc>
        <w:tc>
          <w:tcPr>
            <w:tcW w:w="1426"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Life years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b/>
                <w:snapToGrid/>
                <w:sz w:val="20"/>
              </w:rPr>
              <w:t xml:space="preserve">Incremental cost/life year </w:t>
            </w:r>
            <w:r w:rsidRPr="004E2ADC">
              <w:rPr>
                <w:rFonts w:ascii="Arial Narrow" w:hAnsi="Arial Narrow" w:cs="Times New Roman"/>
                <w:b/>
                <w:snapToGrid/>
                <w:sz w:val="20"/>
              </w:rPr>
              <w:t>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w:t>
            </w:r>
            <w:r w:rsidR="006C4B77" w:rsidRPr="006C4B77">
              <w:rPr>
                <w:rFonts w:ascii="Arial Narrow" w:hAnsi="Arial Narrow" w:cs="Times New Roman"/>
                <w:b/>
                <w:i/>
                <w:sz w:val="20"/>
              </w:rPr>
              <w:t xml:space="preserve"> LYG</w:t>
            </w:r>
          </w:p>
        </w:tc>
      </w:tr>
      <w:tr w:rsidR="00675170" w:rsidRPr="004E2ADC" w:rsidTr="00EA2A32">
        <w:tc>
          <w:tcPr>
            <w:tcW w:w="5000" w:type="pct"/>
            <w:gridSpan w:val="5"/>
            <w:vAlign w:val="center"/>
          </w:tcPr>
          <w:p w:rsidR="00675170" w:rsidRPr="004E2ADC" w:rsidRDefault="00675170" w:rsidP="00EA2A32">
            <w:pPr>
              <w:keepNext/>
              <w:jc w:val="left"/>
              <w:rPr>
                <w:rFonts w:ascii="Arial Narrow" w:hAnsi="Arial Narrow" w:cs="Arial Narrow"/>
                <w:b/>
                <w:bCs/>
                <w:sz w:val="20"/>
              </w:rPr>
            </w:pPr>
            <w:r w:rsidRPr="004E2ADC">
              <w:rPr>
                <w:rFonts w:ascii="Arial Narrow" w:hAnsi="Arial Narrow" w:cs="Arial Narrow"/>
                <w:b/>
                <w:bCs/>
                <w:sz w:val="20"/>
              </w:rPr>
              <w:t xml:space="preserve">Step </w:t>
            </w:r>
            <w:r>
              <w:rPr>
                <w:rFonts w:ascii="Arial Narrow" w:hAnsi="Arial Narrow" w:cs="Arial Narrow"/>
                <w:b/>
                <w:bCs/>
                <w:sz w:val="20"/>
              </w:rPr>
              <w:t>3a: Inclusion of utilities</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Costs</w:t>
            </w:r>
          </w:p>
        </w:tc>
        <w:tc>
          <w:tcPr>
            <w:tcW w:w="1426"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Life years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sidRPr="009E602A">
              <w:rPr>
                <w:rFonts w:ascii="Arial Narrow" w:hAnsi="Arial Narrow" w:cs="Times New Roman"/>
                <w:sz w:val="20"/>
              </w:rPr>
              <w:t>QALYs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b/>
                <w:snapToGrid/>
                <w:sz w:val="20"/>
              </w:rPr>
              <w:t xml:space="preserve">Incremental cost/life year </w:t>
            </w:r>
            <w:r w:rsidRPr="004E2ADC">
              <w:rPr>
                <w:rFonts w:ascii="Arial Narrow" w:hAnsi="Arial Narrow" w:cs="Times New Roman"/>
                <w:b/>
                <w:snapToGrid/>
                <w:sz w:val="20"/>
              </w:rPr>
              <w:t>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w:t>
            </w:r>
            <w:r w:rsidR="006C4B77" w:rsidRPr="006C4B77">
              <w:rPr>
                <w:rFonts w:ascii="Arial Narrow" w:hAnsi="Arial Narrow" w:cs="Times New Roman"/>
                <w:b/>
                <w:i/>
                <w:sz w:val="20"/>
              </w:rPr>
              <w:t xml:space="preserve"> LYG</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b/>
                <w:snapToGrid/>
                <w:sz w:val="20"/>
              </w:rPr>
              <w:t xml:space="preserve">Incremental cost/QALY </w:t>
            </w:r>
            <w:r w:rsidRPr="004E2ADC">
              <w:rPr>
                <w:rFonts w:ascii="Arial Narrow" w:hAnsi="Arial Narrow" w:cs="Times New Roman"/>
                <w:b/>
                <w:snapToGrid/>
                <w:sz w:val="20"/>
              </w:rPr>
              <w:t>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/QALY</w:t>
            </w:r>
          </w:p>
        </w:tc>
      </w:tr>
      <w:tr w:rsidR="00675170" w:rsidRPr="004E2ADC" w:rsidTr="00EA2A32">
        <w:tc>
          <w:tcPr>
            <w:tcW w:w="5000" w:type="pct"/>
            <w:gridSpan w:val="5"/>
            <w:vAlign w:val="center"/>
          </w:tcPr>
          <w:p w:rsidR="00675170" w:rsidRPr="004E2ADC" w:rsidRDefault="00675170" w:rsidP="00EA2A32">
            <w:pPr>
              <w:keepNext/>
              <w:jc w:val="left"/>
              <w:rPr>
                <w:rFonts w:ascii="Arial Narrow" w:hAnsi="Arial Narrow" w:cs="Arial Narrow"/>
                <w:b/>
                <w:bCs/>
                <w:sz w:val="20"/>
              </w:rPr>
            </w:pPr>
            <w:r w:rsidRPr="004E2ADC">
              <w:rPr>
                <w:rFonts w:ascii="Arial Narrow" w:hAnsi="Arial Narrow" w:cs="Arial Narrow"/>
                <w:b/>
                <w:bCs/>
                <w:sz w:val="20"/>
              </w:rPr>
              <w:t xml:space="preserve">Step </w:t>
            </w:r>
            <w:r>
              <w:rPr>
                <w:rFonts w:ascii="Arial Narrow" w:hAnsi="Arial Narrow" w:cs="Arial Narrow"/>
                <w:b/>
                <w:bCs/>
                <w:sz w:val="20"/>
              </w:rPr>
              <w:t>3b: Inclusion of discount rate</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Costs</w:t>
            </w:r>
          </w:p>
        </w:tc>
        <w:tc>
          <w:tcPr>
            <w:tcW w:w="1426"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Life years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QALYs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b/>
                <w:snapToGrid/>
                <w:sz w:val="20"/>
              </w:rPr>
              <w:t xml:space="preserve">Incremental cost/life year </w:t>
            </w:r>
            <w:r w:rsidRPr="004E2ADC">
              <w:rPr>
                <w:rFonts w:ascii="Arial Narrow" w:hAnsi="Arial Narrow" w:cs="Times New Roman"/>
                <w:b/>
                <w:snapToGrid/>
                <w:sz w:val="20"/>
              </w:rPr>
              <w:t>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w:t>
            </w:r>
            <w:r w:rsidR="006C4B77" w:rsidRPr="006C4B77">
              <w:rPr>
                <w:rFonts w:ascii="Arial Narrow" w:hAnsi="Arial Narrow" w:cs="Times New Roman"/>
                <w:b/>
                <w:i/>
                <w:sz w:val="20"/>
              </w:rPr>
              <w:t xml:space="preserve"> LYG</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b/>
                <w:snapToGrid/>
                <w:sz w:val="20"/>
              </w:rPr>
              <w:t xml:space="preserve">Incremental cost/QALY </w:t>
            </w:r>
            <w:r w:rsidRPr="004E2ADC">
              <w:rPr>
                <w:rFonts w:ascii="Arial Narrow" w:hAnsi="Arial Narrow" w:cs="Times New Roman"/>
                <w:b/>
                <w:snapToGrid/>
                <w:sz w:val="20"/>
              </w:rPr>
              <w:t>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/QALY</w:t>
            </w:r>
          </w:p>
        </w:tc>
      </w:tr>
      <w:tr w:rsidR="00675170" w:rsidRPr="004E2ADC" w:rsidTr="00EA2A32">
        <w:tc>
          <w:tcPr>
            <w:tcW w:w="5000" w:type="pct"/>
            <w:gridSpan w:val="5"/>
            <w:vAlign w:val="center"/>
          </w:tcPr>
          <w:p w:rsidR="00675170" w:rsidRPr="004E2ADC" w:rsidRDefault="00675170" w:rsidP="00EA2A32">
            <w:pPr>
              <w:keepNext/>
              <w:jc w:val="left"/>
              <w:rPr>
                <w:rFonts w:ascii="Arial Narrow" w:hAnsi="Arial Narrow" w:cs="Arial Narrow"/>
                <w:b/>
                <w:bCs/>
                <w:sz w:val="20"/>
              </w:rPr>
            </w:pPr>
            <w:r w:rsidRPr="004E2ADC">
              <w:rPr>
                <w:rFonts w:ascii="Arial Narrow" w:hAnsi="Arial Narrow" w:cs="Arial Narrow"/>
                <w:b/>
                <w:bCs/>
                <w:sz w:val="20"/>
              </w:rPr>
              <w:t xml:space="preserve">Step </w:t>
            </w:r>
            <w:r>
              <w:rPr>
                <w:rFonts w:ascii="Arial Narrow" w:hAnsi="Arial Narrow" w:cs="Arial Narrow"/>
                <w:b/>
                <w:bCs/>
                <w:sz w:val="20"/>
              </w:rPr>
              <w:t xml:space="preserve">4: Replacement of Kaplan-Meier curves with parametric curve for matched historical cohort and hazard rate applied to </w:t>
            </w:r>
            <w:proofErr w:type="spellStart"/>
            <w:r>
              <w:rPr>
                <w:rFonts w:ascii="Arial Narrow" w:hAnsi="Arial Narrow" w:cs="Arial Narrow"/>
                <w:b/>
                <w:bCs/>
                <w:sz w:val="20"/>
              </w:rPr>
              <w:t>pralatrexate</w:t>
            </w:r>
            <w:proofErr w:type="spellEnd"/>
            <w:r>
              <w:rPr>
                <w:rFonts w:ascii="Arial Narrow" w:hAnsi="Arial Narrow" w:cs="Arial Narrow"/>
                <w:b/>
                <w:bCs/>
                <w:sz w:val="20"/>
              </w:rPr>
              <w:t xml:space="preserve"> arm</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Costs</w:t>
            </w:r>
          </w:p>
        </w:tc>
        <w:tc>
          <w:tcPr>
            <w:tcW w:w="1426"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Life years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QALYs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b/>
                <w:snapToGrid/>
                <w:sz w:val="20"/>
              </w:rPr>
              <w:t xml:space="preserve">Incremental cost/life year </w:t>
            </w:r>
            <w:r w:rsidRPr="004E2ADC">
              <w:rPr>
                <w:rFonts w:ascii="Arial Narrow" w:hAnsi="Arial Narrow" w:cs="Times New Roman"/>
                <w:b/>
                <w:snapToGrid/>
                <w:sz w:val="20"/>
              </w:rPr>
              <w:t>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w:t>
            </w:r>
            <w:r w:rsidR="006C4B77" w:rsidRPr="006C4B77">
              <w:rPr>
                <w:rFonts w:ascii="Arial Narrow" w:hAnsi="Arial Narrow" w:cs="Times New Roman"/>
                <w:b/>
                <w:i/>
                <w:sz w:val="20"/>
              </w:rPr>
              <w:t xml:space="preserve"> LYG</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b/>
                <w:snapToGrid/>
                <w:sz w:val="20"/>
              </w:rPr>
              <w:t xml:space="preserve">Incremental cost/QALY </w:t>
            </w:r>
            <w:r w:rsidRPr="004E2ADC">
              <w:rPr>
                <w:rFonts w:ascii="Arial Narrow" w:hAnsi="Arial Narrow" w:cs="Times New Roman"/>
                <w:b/>
                <w:snapToGrid/>
                <w:sz w:val="20"/>
              </w:rPr>
              <w:t>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/QALY</w:t>
            </w:r>
          </w:p>
        </w:tc>
      </w:tr>
      <w:tr w:rsidR="00675170" w:rsidRPr="004E2ADC" w:rsidTr="00EA2A32">
        <w:tc>
          <w:tcPr>
            <w:tcW w:w="5000" w:type="pct"/>
            <w:gridSpan w:val="5"/>
            <w:vAlign w:val="center"/>
          </w:tcPr>
          <w:p w:rsidR="00675170" w:rsidRPr="004E2ADC" w:rsidRDefault="00675170" w:rsidP="00EA2A32">
            <w:pPr>
              <w:keepNext/>
              <w:jc w:val="left"/>
              <w:rPr>
                <w:rFonts w:ascii="Arial Narrow" w:hAnsi="Arial Narrow" w:cs="Arial Narrow"/>
                <w:b/>
                <w:bCs/>
                <w:sz w:val="20"/>
              </w:rPr>
            </w:pPr>
            <w:r w:rsidRPr="004E2ADC">
              <w:rPr>
                <w:rFonts w:ascii="Arial Narrow" w:hAnsi="Arial Narrow" w:cs="Arial Narrow"/>
                <w:b/>
                <w:bCs/>
                <w:sz w:val="20"/>
              </w:rPr>
              <w:t xml:space="preserve">Step </w:t>
            </w:r>
            <w:r>
              <w:rPr>
                <w:rFonts w:ascii="Arial Narrow" w:hAnsi="Arial Narrow" w:cs="Arial Narrow"/>
                <w:b/>
                <w:bCs/>
                <w:sz w:val="20"/>
              </w:rPr>
              <w:t>5: Modelled evaluation: model extended to 10 years</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Costs</w:t>
            </w:r>
          </w:p>
        </w:tc>
        <w:tc>
          <w:tcPr>
            <w:tcW w:w="1426"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sz w:val="20"/>
              </w:rPr>
              <w:t>$</w:t>
            </w:r>
            <w:r w:rsidR="00685063">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Life years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919" w:type="pct"/>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sz w:val="20"/>
              </w:rPr>
              <w:t>QALYs</w:t>
            </w:r>
          </w:p>
        </w:tc>
        <w:tc>
          <w:tcPr>
            <w:tcW w:w="1426"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426" w:type="pct"/>
            <w:gridSpan w:val="2"/>
            <w:vAlign w:val="center"/>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29" w:type="pct"/>
          </w:tcPr>
          <w:p w:rsidR="00675170" w:rsidRPr="00685063" w:rsidRDefault="00685063" w:rsidP="00EA2A32">
            <w:pPr>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b/>
                <w:snapToGrid/>
                <w:sz w:val="20"/>
              </w:rPr>
              <w:t xml:space="preserve">Incremental cost/life year </w:t>
            </w:r>
            <w:r w:rsidRPr="004E2ADC">
              <w:rPr>
                <w:rFonts w:ascii="Arial Narrow" w:hAnsi="Arial Narrow" w:cs="Times New Roman"/>
                <w:b/>
                <w:snapToGrid/>
                <w:sz w:val="20"/>
              </w:rPr>
              <w:t>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w:t>
            </w:r>
            <w:r w:rsidR="006C4B77" w:rsidRPr="006C4B77">
              <w:rPr>
                <w:rFonts w:ascii="Arial Narrow" w:hAnsi="Arial Narrow" w:cs="Times New Roman"/>
                <w:b/>
                <w:i/>
                <w:sz w:val="20"/>
              </w:rPr>
              <w:t xml:space="preserve"> LYG</w:t>
            </w:r>
          </w:p>
        </w:tc>
      </w:tr>
      <w:tr w:rsidR="00675170" w:rsidRPr="004E2ADC" w:rsidTr="00EA2A32">
        <w:tc>
          <w:tcPr>
            <w:tcW w:w="3771" w:type="pct"/>
            <w:gridSpan w:val="4"/>
            <w:vAlign w:val="center"/>
          </w:tcPr>
          <w:p w:rsidR="00675170" w:rsidRPr="004E2ADC" w:rsidRDefault="00675170" w:rsidP="00EA2A32">
            <w:pPr>
              <w:jc w:val="left"/>
              <w:rPr>
                <w:rFonts w:ascii="Arial Narrow" w:hAnsi="Arial Narrow" w:cs="Times New Roman"/>
                <w:sz w:val="20"/>
              </w:rPr>
            </w:pPr>
            <w:r>
              <w:rPr>
                <w:rFonts w:ascii="Arial Narrow" w:hAnsi="Arial Narrow" w:cs="Times New Roman"/>
                <w:b/>
                <w:snapToGrid/>
                <w:sz w:val="20"/>
              </w:rPr>
              <w:t xml:space="preserve">Incremental cost/QALY </w:t>
            </w:r>
            <w:r w:rsidRPr="004E2ADC">
              <w:rPr>
                <w:rFonts w:ascii="Arial Narrow" w:hAnsi="Arial Narrow" w:cs="Times New Roman"/>
                <w:b/>
                <w:snapToGrid/>
                <w:sz w:val="20"/>
              </w:rPr>
              <w:t>gained</w:t>
            </w:r>
          </w:p>
        </w:tc>
        <w:tc>
          <w:tcPr>
            <w:tcW w:w="1229" w:type="pct"/>
          </w:tcPr>
          <w:p w:rsidR="00675170" w:rsidRPr="004E2ADC" w:rsidRDefault="00675170" w:rsidP="00EA2A32">
            <w:pPr>
              <w:jc w:val="center"/>
              <w:rPr>
                <w:rFonts w:ascii="Arial Narrow" w:hAnsi="Arial Narrow" w:cs="Times New Roman"/>
                <w:sz w:val="20"/>
              </w:rPr>
            </w:pPr>
            <w:r>
              <w:rPr>
                <w:rFonts w:ascii="Arial Narrow" w:hAnsi="Arial Narrow" w:cs="Times New Roman"/>
                <w:b/>
                <w:sz w:val="20"/>
              </w:rPr>
              <w:t>$</w:t>
            </w:r>
            <w:r w:rsidR="00685063">
              <w:rPr>
                <w:rFonts w:ascii="Arial Narrow" w:hAnsi="Arial Narrow" w:cs="Times New Roman"/>
                <w:b/>
                <w:noProof/>
                <w:color w:val="000000"/>
                <w:sz w:val="20"/>
                <w:highlight w:val="black"/>
              </w:rPr>
              <w:t>'''''''''''''</w:t>
            </w:r>
            <w:r>
              <w:rPr>
                <w:rFonts w:ascii="Arial Narrow" w:hAnsi="Arial Narrow" w:cs="Times New Roman"/>
                <w:b/>
                <w:sz w:val="20"/>
              </w:rPr>
              <w:t>/QALY</w:t>
            </w:r>
          </w:p>
        </w:tc>
      </w:tr>
    </w:tbl>
    <w:p w:rsidR="00F2667A" w:rsidRPr="00D13A3E" w:rsidRDefault="00F2667A" w:rsidP="00675170">
      <w:pPr>
        <w:pStyle w:val="TableFooter"/>
        <w:ind w:firstLine="720"/>
      </w:pPr>
      <w:r w:rsidRPr="00D13A3E">
        <w:t xml:space="preserve">Source: </w:t>
      </w:r>
      <w:r>
        <w:t>Table D.6.1, pD31, Table D.6.2, pD33, Table D.6.3, pD35 of the submission</w:t>
      </w:r>
    </w:p>
    <w:p w:rsidR="00F2667A" w:rsidRPr="00D110BD" w:rsidRDefault="00F2667A" w:rsidP="00F2667A">
      <w:pPr>
        <w:widowControl/>
        <w:rPr>
          <w:szCs w:val="22"/>
        </w:rPr>
      </w:pPr>
    </w:p>
    <w:p w:rsidR="006A1A85" w:rsidRDefault="00F2667A" w:rsidP="00733B01">
      <w:pPr>
        <w:pStyle w:val="ListParagraph"/>
        <w:widowControl/>
        <w:numPr>
          <w:ilvl w:val="1"/>
          <w:numId w:val="1"/>
        </w:numPr>
        <w:ind w:left="720"/>
      </w:pPr>
      <w:r w:rsidRPr="00852486">
        <w:t xml:space="preserve">The </w:t>
      </w:r>
      <w:r w:rsidRPr="00A34815">
        <w:t xml:space="preserve">Kaplan-Meier estimates in the economic model were not able to be verified during the evaluation. The source of the estimates used in the </w:t>
      </w:r>
      <w:proofErr w:type="spellStart"/>
      <w:r w:rsidRPr="00A34815">
        <w:t>pralatrexate</w:t>
      </w:r>
      <w:proofErr w:type="spellEnd"/>
      <w:r w:rsidRPr="00A34815">
        <w:t xml:space="preserve"> arm was not able to be identified during the evaluation. In the comparator arm the Weibull survival curve was used instead of the Kaplan Meier curve.  As a result the ICERs up to Step 3b are </w:t>
      </w:r>
      <w:r w:rsidR="00196F1B" w:rsidRPr="00A34815">
        <w:t>unable to be verified</w:t>
      </w:r>
      <w:r w:rsidR="002D16C3">
        <w:t xml:space="preserve">. </w:t>
      </w:r>
      <w:r w:rsidR="00377442" w:rsidRPr="00FA2BF7">
        <w:t>The ESC noted that the PSCR indicated the estimates used were derived from the matched cohort report, however, the ESC could not identify the data in the sources stated in the PSCR to verity these estimates.</w:t>
      </w:r>
    </w:p>
    <w:p w:rsidR="00CE78B5" w:rsidRPr="00FA2BF7" w:rsidRDefault="00CE78B5" w:rsidP="00CE78B5">
      <w:pPr>
        <w:pStyle w:val="ListParagraph"/>
        <w:widowControl/>
      </w:pPr>
    </w:p>
    <w:p w:rsidR="00F2667A" w:rsidRPr="00FA2BF7" w:rsidRDefault="00BD2568" w:rsidP="00852486">
      <w:pPr>
        <w:pStyle w:val="ListParagraph"/>
        <w:widowControl/>
        <w:numPr>
          <w:ilvl w:val="1"/>
          <w:numId w:val="1"/>
        </w:numPr>
        <w:ind w:left="709" w:hanging="709"/>
      </w:pPr>
      <w:r w:rsidRPr="00FA2BF7">
        <w:lastRenderedPageBreak/>
        <w:t>The PSCR</w:t>
      </w:r>
      <w:r w:rsidR="00EC2DC2" w:rsidRPr="00FA2BF7">
        <w:t xml:space="preserve"> (p2) </w:t>
      </w:r>
      <w:r w:rsidRPr="00FA2BF7">
        <w:t xml:space="preserve">corrected </w:t>
      </w:r>
      <w:r w:rsidR="00EC2DC2" w:rsidRPr="00FA2BF7">
        <w:t xml:space="preserve">errors in the model, including </w:t>
      </w:r>
      <w:r w:rsidRPr="00FA2BF7">
        <w:t>the mortality estimates</w:t>
      </w:r>
      <w:r w:rsidR="00EC2DC2" w:rsidRPr="00FA2BF7">
        <w:t>.</w:t>
      </w:r>
      <w:r w:rsidRPr="00FA2BF7">
        <w:t xml:space="preserve"> </w:t>
      </w:r>
      <w:r w:rsidR="00EC2DC2" w:rsidRPr="00FA2BF7">
        <w:t>The PSCR updated the bas</w:t>
      </w:r>
      <w:r w:rsidR="00EF08BE" w:rsidRPr="00FA2BF7">
        <w:t xml:space="preserve">e case ICER to be </w:t>
      </w:r>
      <w:r w:rsidR="00E72C21" w:rsidRPr="00E72C21">
        <w:t>$45,000</w:t>
      </w:r>
      <w:r w:rsidR="00852486">
        <w:t>/QALY</w:t>
      </w:r>
      <w:r w:rsidR="00E72C21" w:rsidRPr="00E72C21">
        <w:t xml:space="preserve"> – $75,000</w:t>
      </w:r>
      <w:r w:rsidR="00EF08BE" w:rsidRPr="00FA2BF7">
        <w:t>/QALY.</w:t>
      </w:r>
    </w:p>
    <w:p w:rsidR="00F2667A" w:rsidRPr="00BD17E2" w:rsidRDefault="00F2667A" w:rsidP="00852486">
      <w:pPr>
        <w:pStyle w:val="ListParagraph"/>
        <w:widowControl/>
        <w:ind w:left="709" w:hanging="709"/>
        <w:rPr>
          <w:i/>
        </w:rPr>
      </w:pPr>
    </w:p>
    <w:p w:rsidR="00F2667A" w:rsidRPr="00A34815" w:rsidRDefault="00F2667A" w:rsidP="00852486">
      <w:pPr>
        <w:pStyle w:val="ListParagraph"/>
        <w:widowControl/>
        <w:numPr>
          <w:ilvl w:val="1"/>
          <w:numId w:val="1"/>
        </w:numPr>
        <w:ind w:left="709" w:hanging="709"/>
      </w:pPr>
      <w:r w:rsidRPr="00A34815">
        <w:t xml:space="preserve">The submission presented univariate and probabilistic sensitivity analyses. The evaluation conducted additional univariate sensitivity analysis to examine the impact of wastage, not considered by the </w:t>
      </w:r>
      <w:r w:rsidR="00103F61" w:rsidRPr="00A34815">
        <w:t>submission</w:t>
      </w:r>
      <w:r w:rsidR="00103F61">
        <w:t>.</w:t>
      </w:r>
      <w:r w:rsidR="00103F61" w:rsidRPr="00A34815">
        <w:t xml:space="preserve"> Including</w:t>
      </w:r>
      <w:r w:rsidRPr="00A34815">
        <w:t xml:space="preserve"> wastage the ICER increased to </w:t>
      </w:r>
      <w:r w:rsidR="00E72C21" w:rsidRPr="00E72C21">
        <w:t>$75,000</w:t>
      </w:r>
      <w:r w:rsidR="00852486">
        <w:t>/QALY</w:t>
      </w:r>
      <w:r w:rsidR="00E72C21" w:rsidRPr="00E72C21">
        <w:t xml:space="preserve"> – $105,000</w:t>
      </w:r>
      <w:r w:rsidR="00852486">
        <w:t>/QALY</w:t>
      </w:r>
      <w:r w:rsidRPr="00A34815">
        <w:t>.</w:t>
      </w:r>
    </w:p>
    <w:p w:rsidR="00F2667A" w:rsidRPr="00A34815" w:rsidRDefault="00F2667A" w:rsidP="00852486">
      <w:pPr>
        <w:pStyle w:val="ListParagraph"/>
        <w:widowControl/>
        <w:ind w:left="709" w:hanging="709"/>
      </w:pPr>
    </w:p>
    <w:p w:rsidR="006010F6" w:rsidRPr="006010F6" w:rsidRDefault="006010F6" w:rsidP="00852486">
      <w:pPr>
        <w:pStyle w:val="ListParagraph"/>
        <w:widowControl/>
        <w:numPr>
          <w:ilvl w:val="1"/>
          <w:numId w:val="1"/>
        </w:numPr>
        <w:ind w:left="709" w:hanging="709"/>
      </w:pPr>
      <w:r w:rsidRPr="006010F6">
        <w:t xml:space="preserve">The evaluation also explored the impact of using the alternate hazard ratios obtained in the sensitivity analyses of the matched controls analysis (MCA). This was considered important as the hazard ratio was sensitive to the matching methodology employed. Using these alternate hazard ratios the ICER increased to </w:t>
      </w:r>
      <w:r w:rsidR="00E72C21" w:rsidRPr="00852486">
        <w:t>$75,000</w:t>
      </w:r>
      <w:r w:rsidR="00852486">
        <w:t>/QALY</w:t>
      </w:r>
      <w:r w:rsidR="00E72C21" w:rsidRPr="00852486">
        <w:t xml:space="preserve"> – $105,000</w:t>
      </w:r>
      <w:r w:rsidR="00852486">
        <w:t>/QALY</w:t>
      </w:r>
      <w:r w:rsidRPr="006010F6">
        <w:t>.</w:t>
      </w:r>
    </w:p>
    <w:p w:rsidR="00F2667A" w:rsidRPr="00BD17E2" w:rsidRDefault="00F2667A" w:rsidP="006B70E7">
      <w:pPr>
        <w:pStyle w:val="ListParagraph"/>
        <w:widowControl/>
        <w:ind w:left="284"/>
      </w:pPr>
    </w:p>
    <w:p w:rsidR="00F2667A" w:rsidRPr="00BD17E2" w:rsidRDefault="00F2667A" w:rsidP="00733B01">
      <w:pPr>
        <w:pStyle w:val="ListParagraph"/>
        <w:widowControl/>
        <w:numPr>
          <w:ilvl w:val="1"/>
          <w:numId w:val="1"/>
        </w:numPr>
        <w:ind w:left="720"/>
      </w:pPr>
      <w:r w:rsidRPr="00BD17E2">
        <w:t xml:space="preserve">The model was most sensitive to the dose (number of vials) of </w:t>
      </w:r>
      <w:proofErr w:type="spellStart"/>
      <w:r w:rsidRPr="00BD17E2">
        <w:t>pralatrexate</w:t>
      </w:r>
      <w:proofErr w:type="spellEnd"/>
      <w:r w:rsidRPr="00BD17E2">
        <w:t xml:space="preserve"> and the incremental survival gain. </w:t>
      </w:r>
    </w:p>
    <w:p w:rsidR="00CE78B5" w:rsidRDefault="00CE78B5" w:rsidP="00C42F5A">
      <w:pPr>
        <w:pStyle w:val="BodyText"/>
      </w:pPr>
      <w:bookmarkStart w:id="14" w:name="_Toc430087385"/>
    </w:p>
    <w:p w:rsidR="00F2667A" w:rsidRPr="002C2775" w:rsidRDefault="00F2667A" w:rsidP="00F2667A">
      <w:pPr>
        <w:pStyle w:val="Heading2"/>
        <w:rPr>
          <w:i/>
          <w:szCs w:val="22"/>
        </w:rPr>
      </w:pPr>
      <w:r>
        <w:rPr>
          <w:i/>
        </w:rPr>
        <w:t>Drug cost/patient</w:t>
      </w:r>
      <w:r w:rsidRPr="002C2775">
        <w:rPr>
          <w:i/>
        </w:rPr>
        <w:t>: $</w:t>
      </w:r>
      <w:bookmarkEnd w:id="14"/>
      <w:r w:rsidR="00685063">
        <w:rPr>
          <w:i/>
          <w:noProof/>
          <w:color w:val="000000"/>
          <w:highlight w:val="black"/>
        </w:rPr>
        <w:t>''''''''''''''</w:t>
      </w:r>
    </w:p>
    <w:p w:rsidR="00F2667A" w:rsidRPr="00C25D9C" w:rsidRDefault="00F2667A" w:rsidP="00F2667A">
      <w:pPr>
        <w:widowControl/>
        <w:rPr>
          <w:szCs w:val="22"/>
        </w:rPr>
      </w:pPr>
    </w:p>
    <w:p w:rsidR="00F2667A" w:rsidRPr="00BC718A" w:rsidRDefault="00F2667A" w:rsidP="00733B01">
      <w:pPr>
        <w:pStyle w:val="ListParagraph"/>
        <w:widowControl/>
        <w:numPr>
          <w:ilvl w:val="1"/>
          <w:numId w:val="1"/>
        </w:numPr>
        <w:ind w:left="720"/>
        <w:rPr>
          <w:szCs w:val="22"/>
        </w:rPr>
      </w:pPr>
      <w:r w:rsidRPr="00BC718A">
        <w:rPr>
          <w:szCs w:val="22"/>
        </w:rPr>
        <w:t>The total cost of treatment was modelled to be $</w:t>
      </w:r>
      <w:r w:rsidR="00685063">
        <w:rPr>
          <w:noProof/>
          <w:color w:val="000000"/>
          <w:szCs w:val="22"/>
          <w:highlight w:val="black"/>
        </w:rPr>
        <w:t>''''''''''''''''''''''''''</w:t>
      </w:r>
      <w:r w:rsidRPr="00BC718A">
        <w:rPr>
          <w:szCs w:val="22"/>
        </w:rPr>
        <w:t>. This was based on the total dose of treatment in PDX-008, an assumed body surface area (assumed separately for males and females</w:t>
      </w:r>
      <w:r w:rsidR="00E44724">
        <w:rPr>
          <w:szCs w:val="22"/>
        </w:rPr>
        <w:t xml:space="preserve">, </w:t>
      </w:r>
      <w:r w:rsidR="00E44724" w:rsidRPr="00E44724">
        <w:rPr>
          <w:szCs w:val="22"/>
        </w:rPr>
        <w:t>1.8m</w:t>
      </w:r>
      <w:r w:rsidR="00E44724" w:rsidRPr="00E44724">
        <w:rPr>
          <w:szCs w:val="22"/>
          <w:vertAlign w:val="superscript"/>
        </w:rPr>
        <w:t>2</w:t>
      </w:r>
      <w:r w:rsidR="00E44724" w:rsidRPr="00E44724">
        <w:rPr>
          <w:szCs w:val="22"/>
        </w:rPr>
        <w:t xml:space="preserve"> overall</w:t>
      </w:r>
      <w:r w:rsidRPr="00BC718A">
        <w:rPr>
          <w:szCs w:val="22"/>
        </w:rPr>
        <w:t>) and a gender ratio obtained from the matched control cohort. Based on the mean number of cycles in PDX-008 (3 cycles) the cost per cycle was $</w:t>
      </w:r>
      <w:r w:rsidR="00685063">
        <w:rPr>
          <w:noProof/>
          <w:color w:val="000000"/>
          <w:szCs w:val="22"/>
          <w:highlight w:val="black"/>
        </w:rPr>
        <w:t>'''''''''''''''</w:t>
      </w:r>
      <w:r w:rsidRPr="00BC718A">
        <w:rPr>
          <w:szCs w:val="22"/>
        </w:rPr>
        <w:t>. The total cost of treatment of the comparator was modelled to be $</w:t>
      </w:r>
      <w:r w:rsidR="00685063">
        <w:rPr>
          <w:noProof/>
          <w:color w:val="000000"/>
          <w:szCs w:val="22"/>
          <w:highlight w:val="black"/>
        </w:rPr>
        <w:t>''''''''''''''''</w:t>
      </w:r>
      <w:r>
        <w:rPr>
          <w:szCs w:val="22"/>
        </w:rPr>
        <w:t xml:space="preserve"> (this cost was based on the basket of comparator therapies nominated in the clinician survey)</w:t>
      </w:r>
      <w:r w:rsidRPr="00BC718A">
        <w:rPr>
          <w:szCs w:val="22"/>
        </w:rPr>
        <w:t xml:space="preserve">. Based on an average of </w:t>
      </w:r>
      <w:r w:rsidR="00685063">
        <w:rPr>
          <w:noProof/>
          <w:color w:val="000000"/>
          <w:szCs w:val="22"/>
          <w:highlight w:val="black"/>
        </w:rPr>
        <w:t>''''''''''</w:t>
      </w:r>
      <w:r w:rsidRPr="00BC718A">
        <w:rPr>
          <w:szCs w:val="22"/>
        </w:rPr>
        <w:t xml:space="preserve"> cycles the cost per cycle was $</w:t>
      </w:r>
      <w:r w:rsidR="00685063">
        <w:rPr>
          <w:noProof/>
          <w:color w:val="000000"/>
          <w:szCs w:val="22"/>
          <w:highlight w:val="black"/>
        </w:rPr>
        <w:t>''''''''''''''</w:t>
      </w:r>
      <w:r w:rsidRPr="00BC718A">
        <w:rPr>
          <w:szCs w:val="22"/>
        </w:rPr>
        <w:t>.</w:t>
      </w:r>
    </w:p>
    <w:p w:rsidR="00F2667A" w:rsidRPr="00425D1D" w:rsidRDefault="00F2667A" w:rsidP="006B70E7">
      <w:pPr>
        <w:pStyle w:val="ListParagraph"/>
        <w:widowControl/>
        <w:ind w:left="284"/>
        <w:rPr>
          <w:szCs w:val="22"/>
        </w:rPr>
      </w:pPr>
    </w:p>
    <w:p w:rsidR="00F2667A" w:rsidRPr="00CE78B5" w:rsidRDefault="00F2667A" w:rsidP="00F2667A">
      <w:pPr>
        <w:pStyle w:val="Heading2"/>
      </w:pPr>
      <w:bookmarkStart w:id="15" w:name="_Toc430087386"/>
      <w:r w:rsidRPr="00CE78B5">
        <w:t>Estimated PBS usage &amp; financial implications</w:t>
      </w:r>
      <w:bookmarkEnd w:id="15"/>
    </w:p>
    <w:p w:rsidR="00F2667A" w:rsidRPr="00882085" w:rsidRDefault="00F2667A" w:rsidP="00F2667A">
      <w:pPr>
        <w:ind w:left="720" w:hanging="720"/>
        <w:rPr>
          <w:b/>
          <w:i/>
          <w:szCs w:val="22"/>
        </w:rPr>
      </w:pPr>
    </w:p>
    <w:p w:rsidR="00F2667A" w:rsidRPr="003B4ED7" w:rsidRDefault="00F2667A" w:rsidP="00733B01">
      <w:pPr>
        <w:pStyle w:val="ListParagraph"/>
        <w:widowControl/>
        <w:numPr>
          <w:ilvl w:val="1"/>
          <w:numId w:val="1"/>
        </w:numPr>
        <w:ind w:left="720"/>
        <w:rPr>
          <w:szCs w:val="22"/>
        </w:rPr>
      </w:pPr>
      <w:r w:rsidRPr="00BC718A">
        <w:t xml:space="preserve">This submission </w:t>
      </w:r>
      <w:r w:rsidR="00300627">
        <w:t>was</w:t>
      </w:r>
      <w:r w:rsidRPr="00BC718A">
        <w:t xml:space="preserve"> not considered by DUSC. The submission adopted an epidemiological approach. </w:t>
      </w:r>
      <w:r w:rsidR="006D223A" w:rsidRPr="00F11A5E">
        <w:rPr>
          <w:bCs/>
          <w:szCs w:val="22"/>
        </w:rPr>
        <w:t xml:space="preserve">At year 5, the estimated number of patients </w:t>
      </w:r>
      <w:proofErr w:type="gramStart"/>
      <w:r w:rsidR="006D223A" w:rsidRPr="00F11A5E">
        <w:rPr>
          <w:bCs/>
          <w:szCs w:val="22"/>
        </w:rPr>
        <w:t xml:space="preserve">was </w:t>
      </w:r>
      <w:r w:rsidR="00852486">
        <w:rPr>
          <w:bCs/>
          <w:szCs w:val="22"/>
        </w:rPr>
        <w:t xml:space="preserve"> less</w:t>
      </w:r>
      <w:proofErr w:type="gramEnd"/>
      <w:r w:rsidR="00852486">
        <w:rPr>
          <w:bCs/>
          <w:szCs w:val="22"/>
        </w:rPr>
        <w:t xml:space="preserve"> than 10,000 per year</w:t>
      </w:r>
      <w:r w:rsidR="006D223A" w:rsidRPr="00F11A5E">
        <w:rPr>
          <w:bCs/>
          <w:szCs w:val="22"/>
        </w:rPr>
        <w:t xml:space="preserve"> and the net cost to the PBS would be </w:t>
      </w:r>
      <w:r w:rsidR="00E72C21" w:rsidRPr="009E2B53">
        <w:rPr>
          <w:rFonts w:cs="Times New Roman"/>
          <w:szCs w:val="24"/>
        </w:rPr>
        <w:t xml:space="preserve">$20 – $30 million </w:t>
      </w:r>
      <w:proofErr w:type="spellStart"/>
      <w:r w:rsidR="006D223A" w:rsidRPr="00F11A5E">
        <w:rPr>
          <w:bCs/>
          <w:szCs w:val="22"/>
        </w:rPr>
        <w:t>million</w:t>
      </w:r>
      <w:proofErr w:type="spellEnd"/>
      <w:r w:rsidR="006D223A" w:rsidRPr="00F11A5E">
        <w:rPr>
          <w:bCs/>
          <w:szCs w:val="22"/>
        </w:rPr>
        <w:t xml:space="preserve">. </w:t>
      </w:r>
      <w:r w:rsidR="005B3507" w:rsidRPr="00F11A5E">
        <w:t xml:space="preserve"> </w:t>
      </w:r>
    </w:p>
    <w:p w:rsidR="003B4ED7" w:rsidRPr="00F11A5E" w:rsidRDefault="003B4ED7" w:rsidP="003B4ED7">
      <w:pPr>
        <w:pStyle w:val="ListParagraph"/>
        <w:widowControl/>
        <w:rPr>
          <w:szCs w:val="22"/>
        </w:rPr>
      </w:pPr>
    </w:p>
    <w:p w:rsidR="00CE78B5" w:rsidRDefault="00CE78B5">
      <w:pPr>
        <w:widowControl/>
        <w:jc w:val="left"/>
        <w:rPr>
          <w:rStyle w:val="CommentReference"/>
        </w:rPr>
      </w:pPr>
      <w:r>
        <w:rPr>
          <w:rStyle w:val="CommentReference"/>
        </w:rPr>
        <w:br w:type="page"/>
      </w:r>
    </w:p>
    <w:p w:rsidR="00F2667A" w:rsidRDefault="00F2667A" w:rsidP="00F2667A">
      <w:pPr>
        <w:ind w:firstLine="709"/>
        <w:rPr>
          <w:rStyle w:val="CommentReference"/>
        </w:rPr>
      </w:pPr>
      <w:r w:rsidRPr="001222FC">
        <w:rPr>
          <w:rStyle w:val="CommentReference"/>
        </w:rPr>
        <w:lastRenderedPageBreak/>
        <w:t xml:space="preserve">Table </w:t>
      </w:r>
      <w:r>
        <w:rPr>
          <w:rStyle w:val="CommentReference"/>
        </w:rPr>
        <w:t>8</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4"/>
        <w:gridCol w:w="1275"/>
        <w:gridCol w:w="1275"/>
        <w:gridCol w:w="1260"/>
      </w:tblGrid>
      <w:tr w:rsidR="00F2667A" w:rsidRPr="004E2ADC" w:rsidTr="00AC5E2D">
        <w:trPr>
          <w:tblHeader/>
        </w:trPr>
        <w:tc>
          <w:tcPr>
            <w:tcW w:w="1359" w:type="pct"/>
            <w:shd w:val="clear" w:color="auto" w:fill="auto"/>
            <w:vAlign w:val="center"/>
          </w:tcPr>
          <w:p w:rsidR="00F2667A" w:rsidRPr="004E2ADC" w:rsidRDefault="00F2667A" w:rsidP="00AC5E2D">
            <w:pPr>
              <w:tabs>
                <w:tab w:val="left" w:pos="142"/>
              </w:tabs>
              <w:jc w:val="left"/>
              <w:rPr>
                <w:rFonts w:ascii="Arial Narrow" w:hAnsi="Arial Narrow"/>
                <w:b/>
                <w:sz w:val="20"/>
              </w:rPr>
            </w:pPr>
          </w:p>
        </w:tc>
        <w:tc>
          <w:tcPr>
            <w:tcW w:w="679" w:type="pct"/>
            <w:shd w:val="clear" w:color="auto" w:fill="auto"/>
            <w:vAlign w:val="center"/>
          </w:tcPr>
          <w:p w:rsidR="00F2667A" w:rsidRPr="004E2ADC" w:rsidRDefault="00F2667A" w:rsidP="00AC5E2D">
            <w:pPr>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F2667A" w:rsidRPr="004E2ADC" w:rsidRDefault="00F2667A" w:rsidP="00AC5E2D">
            <w:pPr>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F2667A" w:rsidRPr="004E2ADC" w:rsidRDefault="00F2667A" w:rsidP="00AC5E2D">
            <w:pPr>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F2667A" w:rsidRPr="004E2ADC" w:rsidRDefault="00F2667A" w:rsidP="00AC5E2D">
            <w:pPr>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F2667A" w:rsidRPr="004E2ADC" w:rsidRDefault="00F2667A" w:rsidP="00AC5E2D">
            <w:pPr>
              <w:jc w:val="center"/>
              <w:rPr>
                <w:rFonts w:ascii="Arial Narrow" w:hAnsi="Arial Narrow"/>
                <w:b/>
                <w:sz w:val="20"/>
              </w:rPr>
            </w:pPr>
            <w:r w:rsidRPr="004E2ADC">
              <w:rPr>
                <w:rFonts w:ascii="Arial Narrow" w:hAnsi="Arial Narrow"/>
                <w:b/>
                <w:sz w:val="20"/>
              </w:rPr>
              <w:t>Year 5</w:t>
            </w:r>
          </w:p>
        </w:tc>
      </w:tr>
      <w:tr w:rsidR="00F2667A" w:rsidRPr="004E2ADC" w:rsidTr="00AC5E2D">
        <w:tc>
          <w:tcPr>
            <w:tcW w:w="5000" w:type="pct"/>
            <w:gridSpan w:val="6"/>
            <w:shd w:val="clear" w:color="auto" w:fill="auto"/>
            <w:vAlign w:val="center"/>
          </w:tcPr>
          <w:p w:rsidR="00F2667A" w:rsidRPr="004E2ADC" w:rsidRDefault="00F2667A" w:rsidP="00AC5E2D">
            <w:pPr>
              <w:jc w:val="left"/>
              <w:rPr>
                <w:rFonts w:ascii="Arial Narrow" w:hAnsi="Arial Narrow"/>
                <w:b/>
                <w:bCs/>
                <w:color w:val="000000"/>
                <w:sz w:val="20"/>
              </w:rPr>
            </w:pPr>
            <w:r w:rsidRPr="004E2ADC">
              <w:rPr>
                <w:rFonts w:ascii="Arial Narrow" w:hAnsi="Arial Narrow"/>
                <w:b/>
                <w:bCs/>
                <w:color w:val="000000"/>
                <w:sz w:val="20"/>
              </w:rPr>
              <w:t>Estimated extent of use</w:t>
            </w:r>
          </w:p>
        </w:tc>
      </w:tr>
      <w:tr w:rsidR="00F2667A" w:rsidRPr="004E2ADC" w:rsidTr="00AC5E2D">
        <w:tc>
          <w:tcPr>
            <w:tcW w:w="1359" w:type="pct"/>
            <w:shd w:val="clear" w:color="auto" w:fill="auto"/>
            <w:vAlign w:val="center"/>
          </w:tcPr>
          <w:p w:rsidR="00F2667A" w:rsidRPr="004E2ADC" w:rsidRDefault="00F2667A" w:rsidP="00AC5E2D">
            <w:pPr>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tcPr>
          <w:p w:rsidR="00F2667A" w:rsidRPr="00685063" w:rsidRDefault="00685063" w:rsidP="00AC5E2D">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F2667A" w:rsidRPr="00685063" w:rsidRDefault="00685063" w:rsidP="00AC5E2D">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F2667A" w:rsidRPr="00685063" w:rsidRDefault="00685063" w:rsidP="00AC5E2D">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tcPr>
          <w:p w:rsidR="00F2667A" w:rsidRPr="00685063" w:rsidRDefault="00685063" w:rsidP="00AC5E2D">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tcPr>
          <w:p w:rsidR="00F2667A" w:rsidRPr="00685063" w:rsidRDefault="00685063" w:rsidP="00AC5E2D">
            <w:pPr>
              <w:jc w:val="center"/>
              <w:rPr>
                <w:rFonts w:ascii="Arial Narrow" w:hAnsi="Arial Narrow"/>
                <w:sz w:val="20"/>
                <w:highlight w:val="black"/>
              </w:rPr>
            </w:pPr>
            <w:r>
              <w:rPr>
                <w:rFonts w:ascii="Arial Narrow" w:hAnsi="Arial Narrow"/>
                <w:noProof/>
                <w:color w:val="000000"/>
                <w:sz w:val="20"/>
                <w:highlight w:val="black"/>
              </w:rPr>
              <w:t>''''''''''</w:t>
            </w:r>
          </w:p>
        </w:tc>
      </w:tr>
      <w:tr w:rsidR="00F2667A" w:rsidRPr="004E2ADC" w:rsidTr="00AC5E2D">
        <w:tc>
          <w:tcPr>
            <w:tcW w:w="1359" w:type="pct"/>
            <w:shd w:val="clear" w:color="auto" w:fill="auto"/>
            <w:vAlign w:val="center"/>
          </w:tcPr>
          <w:p w:rsidR="00F2667A" w:rsidRPr="004E2ADC" w:rsidRDefault="00F2667A" w:rsidP="00AC5E2D">
            <w:pPr>
              <w:tabs>
                <w:tab w:val="left" w:pos="142"/>
              </w:tabs>
              <w:jc w:val="left"/>
              <w:rPr>
                <w:rFonts w:ascii="Arial Narrow" w:hAnsi="Arial Narrow"/>
                <w:sz w:val="20"/>
              </w:rPr>
            </w:pPr>
            <w:r w:rsidRPr="004E2ADC">
              <w:rPr>
                <w:rFonts w:ascii="Arial Narrow" w:hAnsi="Arial Narrow"/>
                <w:sz w:val="20"/>
              </w:rPr>
              <w:t>Market share</w:t>
            </w:r>
            <w:r>
              <w:rPr>
                <w:rFonts w:ascii="Arial Narrow" w:hAnsi="Arial Narrow"/>
                <w:sz w:val="20"/>
              </w:rPr>
              <w:t xml:space="preserve"> (</w:t>
            </w:r>
            <w:proofErr w:type="spellStart"/>
            <w:r>
              <w:rPr>
                <w:rFonts w:ascii="Arial Narrow" w:hAnsi="Arial Narrow"/>
                <w:sz w:val="20"/>
              </w:rPr>
              <w:t>sALCL</w:t>
            </w:r>
            <w:proofErr w:type="spellEnd"/>
            <w:r>
              <w:rPr>
                <w:rFonts w:ascii="Arial Narrow" w:hAnsi="Arial Narrow"/>
                <w:sz w:val="20"/>
              </w:rPr>
              <w:t xml:space="preserve"> patients)</w:t>
            </w:r>
          </w:p>
        </w:tc>
        <w:tc>
          <w:tcPr>
            <w:tcW w:w="679" w:type="pct"/>
            <w:shd w:val="clear" w:color="auto" w:fill="auto"/>
            <w:vAlign w:val="center"/>
          </w:tcPr>
          <w:p w:rsidR="00F2667A" w:rsidRPr="004E2ADC" w:rsidRDefault="00F2667A" w:rsidP="00AC5E2D">
            <w:pPr>
              <w:jc w:val="center"/>
              <w:rPr>
                <w:rFonts w:ascii="Arial Narrow" w:hAnsi="Arial Narrow"/>
                <w:bCs/>
                <w:color w:val="000000"/>
                <w:sz w:val="20"/>
              </w:rPr>
            </w:pPr>
            <w:r>
              <w:rPr>
                <w:rFonts w:ascii="Arial Narrow" w:hAnsi="Arial Narrow"/>
                <w:bCs/>
                <w:color w:val="000000"/>
                <w:sz w:val="20"/>
              </w:rPr>
              <w:t>20%</w:t>
            </w:r>
          </w:p>
        </w:tc>
        <w:tc>
          <w:tcPr>
            <w:tcW w:w="679" w:type="pct"/>
            <w:shd w:val="clear" w:color="auto" w:fill="auto"/>
            <w:vAlign w:val="center"/>
          </w:tcPr>
          <w:p w:rsidR="00F2667A" w:rsidRPr="004E2ADC" w:rsidRDefault="00F2667A" w:rsidP="00AC5E2D">
            <w:pPr>
              <w:jc w:val="center"/>
              <w:rPr>
                <w:rFonts w:ascii="Arial Narrow" w:hAnsi="Arial Narrow"/>
                <w:bCs/>
                <w:color w:val="000000"/>
                <w:sz w:val="20"/>
              </w:rPr>
            </w:pPr>
            <w:r>
              <w:rPr>
                <w:rFonts w:ascii="Arial Narrow" w:hAnsi="Arial Narrow"/>
                <w:bCs/>
                <w:color w:val="000000"/>
                <w:sz w:val="20"/>
              </w:rPr>
              <w:t>30%</w:t>
            </w:r>
          </w:p>
        </w:tc>
        <w:tc>
          <w:tcPr>
            <w:tcW w:w="764" w:type="pct"/>
            <w:shd w:val="clear" w:color="auto" w:fill="auto"/>
            <w:vAlign w:val="center"/>
          </w:tcPr>
          <w:p w:rsidR="00F2667A" w:rsidRPr="004E2ADC" w:rsidRDefault="00F2667A" w:rsidP="00AC5E2D">
            <w:pPr>
              <w:jc w:val="center"/>
              <w:rPr>
                <w:rFonts w:ascii="Arial Narrow" w:hAnsi="Arial Narrow"/>
                <w:bCs/>
                <w:color w:val="000000"/>
                <w:sz w:val="20"/>
              </w:rPr>
            </w:pPr>
            <w:r>
              <w:rPr>
                <w:rFonts w:ascii="Arial Narrow" w:hAnsi="Arial Narrow"/>
                <w:bCs/>
                <w:color w:val="000000"/>
                <w:sz w:val="20"/>
              </w:rPr>
              <w:t>30%</w:t>
            </w:r>
          </w:p>
        </w:tc>
        <w:tc>
          <w:tcPr>
            <w:tcW w:w="764" w:type="pct"/>
            <w:shd w:val="clear" w:color="auto" w:fill="auto"/>
            <w:vAlign w:val="center"/>
          </w:tcPr>
          <w:p w:rsidR="00F2667A" w:rsidRPr="004E2ADC" w:rsidRDefault="00F2667A" w:rsidP="00AC5E2D">
            <w:pPr>
              <w:jc w:val="center"/>
              <w:rPr>
                <w:rFonts w:ascii="Arial Narrow" w:hAnsi="Arial Narrow"/>
                <w:bCs/>
                <w:color w:val="000000"/>
                <w:sz w:val="20"/>
              </w:rPr>
            </w:pPr>
            <w:r>
              <w:rPr>
                <w:rFonts w:ascii="Arial Narrow" w:hAnsi="Arial Narrow"/>
                <w:bCs/>
                <w:color w:val="000000"/>
                <w:sz w:val="20"/>
              </w:rPr>
              <w:t>30%</w:t>
            </w:r>
          </w:p>
        </w:tc>
        <w:tc>
          <w:tcPr>
            <w:tcW w:w="755" w:type="pct"/>
            <w:shd w:val="clear" w:color="auto" w:fill="auto"/>
            <w:vAlign w:val="center"/>
          </w:tcPr>
          <w:p w:rsidR="00F2667A" w:rsidRPr="004E2ADC" w:rsidRDefault="00F2667A" w:rsidP="00AC5E2D">
            <w:pPr>
              <w:jc w:val="center"/>
              <w:rPr>
                <w:rFonts w:ascii="Arial Narrow" w:hAnsi="Arial Narrow"/>
                <w:bCs/>
                <w:color w:val="000000"/>
                <w:sz w:val="20"/>
              </w:rPr>
            </w:pPr>
            <w:r>
              <w:rPr>
                <w:rFonts w:ascii="Arial Narrow" w:hAnsi="Arial Narrow"/>
                <w:bCs/>
                <w:color w:val="000000"/>
                <w:sz w:val="20"/>
              </w:rPr>
              <w:t>30%</w:t>
            </w:r>
          </w:p>
        </w:tc>
      </w:tr>
      <w:tr w:rsidR="00F2667A" w:rsidRPr="004E2ADC" w:rsidTr="00AC5E2D">
        <w:tc>
          <w:tcPr>
            <w:tcW w:w="1359" w:type="pct"/>
            <w:shd w:val="clear" w:color="auto" w:fill="auto"/>
            <w:vAlign w:val="center"/>
          </w:tcPr>
          <w:p w:rsidR="00F2667A" w:rsidRPr="004E2ADC" w:rsidRDefault="00F2667A" w:rsidP="00AC5E2D">
            <w:pPr>
              <w:tabs>
                <w:tab w:val="left" w:pos="142"/>
              </w:tabs>
              <w:jc w:val="left"/>
              <w:rPr>
                <w:rFonts w:ascii="Arial Narrow" w:hAnsi="Arial Narrow"/>
                <w:sz w:val="20"/>
              </w:rPr>
            </w:pPr>
            <w:r w:rsidRPr="004E2ADC">
              <w:rPr>
                <w:rFonts w:ascii="Arial Narrow" w:hAnsi="Arial Narrow"/>
                <w:sz w:val="20"/>
              </w:rPr>
              <w:t>Market share</w:t>
            </w:r>
            <w:r>
              <w:rPr>
                <w:rFonts w:ascii="Arial Narrow" w:hAnsi="Arial Narrow"/>
                <w:sz w:val="20"/>
              </w:rPr>
              <w:t xml:space="preserve"> (all other patients)</w:t>
            </w:r>
          </w:p>
        </w:tc>
        <w:tc>
          <w:tcPr>
            <w:tcW w:w="679" w:type="pct"/>
            <w:shd w:val="clear" w:color="auto" w:fill="auto"/>
            <w:vAlign w:val="center"/>
          </w:tcPr>
          <w:p w:rsidR="00F2667A" w:rsidRPr="004E2ADC" w:rsidRDefault="00685063" w:rsidP="00AC5E2D">
            <w:pPr>
              <w:jc w:val="center"/>
              <w:rPr>
                <w:rFonts w:ascii="Arial Narrow" w:hAnsi="Arial Narrow"/>
                <w:bCs/>
                <w:color w:val="000000"/>
                <w:sz w:val="20"/>
              </w:rPr>
            </w:pPr>
            <w:r>
              <w:rPr>
                <w:rFonts w:ascii="Arial Narrow" w:hAnsi="Arial Narrow"/>
                <w:bCs/>
                <w:noProof/>
                <w:color w:val="000000"/>
                <w:sz w:val="20"/>
                <w:highlight w:val="black"/>
              </w:rPr>
              <w:t>''''''</w:t>
            </w:r>
            <w:r w:rsidR="00F2667A">
              <w:rPr>
                <w:rFonts w:ascii="Arial Narrow" w:hAnsi="Arial Narrow"/>
                <w:bCs/>
                <w:color w:val="000000"/>
                <w:sz w:val="20"/>
              </w:rPr>
              <w:t>%</w:t>
            </w:r>
          </w:p>
        </w:tc>
        <w:tc>
          <w:tcPr>
            <w:tcW w:w="679" w:type="pct"/>
            <w:shd w:val="clear" w:color="auto" w:fill="auto"/>
            <w:vAlign w:val="center"/>
          </w:tcPr>
          <w:p w:rsidR="00F2667A" w:rsidRPr="004E2ADC" w:rsidRDefault="00685063" w:rsidP="00AC5E2D">
            <w:pPr>
              <w:jc w:val="center"/>
              <w:rPr>
                <w:rFonts w:ascii="Arial Narrow" w:hAnsi="Arial Narrow"/>
                <w:bCs/>
                <w:color w:val="000000"/>
                <w:sz w:val="20"/>
              </w:rPr>
            </w:pPr>
            <w:r>
              <w:rPr>
                <w:rFonts w:ascii="Arial Narrow" w:hAnsi="Arial Narrow"/>
                <w:bCs/>
                <w:noProof/>
                <w:color w:val="000000"/>
                <w:sz w:val="20"/>
                <w:highlight w:val="black"/>
              </w:rPr>
              <w:t>'''''</w:t>
            </w:r>
            <w:r w:rsidR="00F2667A">
              <w:rPr>
                <w:rFonts w:ascii="Arial Narrow" w:hAnsi="Arial Narrow"/>
                <w:bCs/>
                <w:color w:val="000000"/>
                <w:sz w:val="20"/>
              </w:rPr>
              <w:t>%</w:t>
            </w:r>
          </w:p>
        </w:tc>
        <w:tc>
          <w:tcPr>
            <w:tcW w:w="764" w:type="pct"/>
            <w:shd w:val="clear" w:color="auto" w:fill="auto"/>
            <w:vAlign w:val="center"/>
          </w:tcPr>
          <w:p w:rsidR="00F2667A" w:rsidRPr="004E2ADC" w:rsidRDefault="00685063" w:rsidP="00AC5E2D">
            <w:pPr>
              <w:jc w:val="center"/>
              <w:rPr>
                <w:rFonts w:ascii="Arial Narrow" w:hAnsi="Arial Narrow"/>
                <w:bCs/>
                <w:color w:val="000000"/>
                <w:sz w:val="20"/>
              </w:rPr>
            </w:pPr>
            <w:r>
              <w:rPr>
                <w:rFonts w:ascii="Arial Narrow" w:hAnsi="Arial Narrow"/>
                <w:bCs/>
                <w:noProof/>
                <w:color w:val="000000"/>
                <w:sz w:val="20"/>
                <w:highlight w:val="black"/>
              </w:rPr>
              <w:t>'''''''</w:t>
            </w:r>
            <w:r w:rsidR="00F2667A">
              <w:rPr>
                <w:rFonts w:ascii="Arial Narrow" w:hAnsi="Arial Narrow"/>
                <w:bCs/>
                <w:color w:val="000000"/>
                <w:sz w:val="20"/>
              </w:rPr>
              <w:t>%</w:t>
            </w:r>
          </w:p>
        </w:tc>
        <w:tc>
          <w:tcPr>
            <w:tcW w:w="764" w:type="pct"/>
            <w:shd w:val="clear" w:color="auto" w:fill="auto"/>
            <w:vAlign w:val="center"/>
          </w:tcPr>
          <w:p w:rsidR="00F2667A" w:rsidRPr="004E2ADC" w:rsidRDefault="00685063" w:rsidP="00AC5E2D">
            <w:pPr>
              <w:jc w:val="center"/>
              <w:rPr>
                <w:rFonts w:ascii="Arial Narrow" w:hAnsi="Arial Narrow"/>
                <w:bCs/>
                <w:color w:val="000000"/>
                <w:sz w:val="20"/>
              </w:rPr>
            </w:pPr>
            <w:r>
              <w:rPr>
                <w:rFonts w:ascii="Arial Narrow" w:hAnsi="Arial Narrow"/>
                <w:bCs/>
                <w:noProof/>
                <w:color w:val="000000"/>
                <w:sz w:val="20"/>
                <w:highlight w:val="black"/>
              </w:rPr>
              <w:t>'''''</w:t>
            </w:r>
            <w:r w:rsidR="00F2667A">
              <w:rPr>
                <w:rFonts w:ascii="Arial Narrow" w:hAnsi="Arial Narrow"/>
                <w:bCs/>
                <w:color w:val="000000"/>
                <w:sz w:val="20"/>
              </w:rPr>
              <w:t>%</w:t>
            </w:r>
          </w:p>
        </w:tc>
        <w:tc>
          <w:tcPr>
            <w:tcW w:w="755" w:type="pct"/>
            <w:shd w:val="clear" w:color="auto" w:fill="auto"/>
            <w:vAlign w:val="center"/>
          </w:tcPr>
          <w:p w:rsidR="00F2667A" w:rsidRPr="004E2ADC" w:rsidRDefault="00685063" w:rsidP="00AC5E2D">
            <w:pPr>
              <w:jc w:val="center"/>
              <w:rPr>
                <w:rFonts w:ascii="Arial Narrow" w:hAnsi="Arial Narrow"/>
                <w:bCs/>
                <w:color w:val="000000"/>
                <w:sz w:val="20"/>
              </w:rPr>
            </w:pPr>
            <w:r>
              <w:rPr>
                <w:rFonts w:ascii="Arial Narrow" w:hAnsi="Arial Narrow"/>
                <w:bCs/>
                <w:noProof/>
                <w:color w:val="000000"/>
                <w:sz w:val="20"/>
                <w:highlight w:val="black"/>
              </w:rPr>
              <w:t>'''''''</w:t>
            </w:r>
            <w:r w:rsidR="00F2667A">
              <w:rPr>
                <w:rFonts w:ascii="Arial Narrow" w:hAnsi="Arial Narrow"/>
                <w:bCs/>
                <w:color w:val="000000"/>
                <w:sz w:val="20"/>
              </w:rPr>
              <w:t>%</w:t>
            </w:r>
          </w:p>
        </w:tc>
      </w:tr>
      <w:tr w:rsidR="00F2667A" w:rsidRPr="004E2ADC" w:rsidTr="00AC5E2D">
        <w:tc>
          <w:tcPr>
            <w:tcW w:w="1359" w:type="pct"/>
            <w:shd w:val="clear" w:color="auto" w:fill="auto"/>
            <w:vAlign w:val="center"/>
          </w:tcPr>
          <w:p w:rsidR="00F2667A" w:rsidRPr="004E2ADC" w:rsidRDefault="00F2667A" w:rsidP="00AC5E2D">
            <w:pPr>
              <w:tabs>
                <w:tab w:val="left" w:pos="142"/>
              </w:tabs>
              <w:jc w:val="left"/>
              <w:rPr>
                <w:rFonts w:ascii="Arial Narrow" w:hAnsi="Arial Narrow"/>
                <w:sz w:val="20"/>
              </w:rPr>
            </w:pPr>
            <w:r w:rsidRPr="004E2ADC">
              <w:rPr>
                <w:rFonts w:ascii="Arial Narrow" w:hAnsi="Arial Narrow"/>
                <w:sz w:val="20"/>
              </w:rPr>
              <w:t>Scripts</w:t>
            </w:r>
            <w:r>
              <w:rPr>
                <w:rFonts w:ascii="Arial Narrow" w:hAnsi="Arial Narrow"/>
                <w:sz w:val="20"/>
              </w:rPr>
              <w:t>*</w:t>
            </w:r>
          </w:p>
        </w:tc>
        <w:tc>
          <w:tcPr>
            <w:tcW w:w="679" w:type="pct"/>
            <w:shd w:val="clear" w:color="auto" w:fill="auto"/>
            <w:vAlign w:val="center"/>
          </w:tcPr>
          <w:p w:rsidR="00F2667A" w:rsidRPr="00685063" w:rsidRDefault="00685063" w:rsidP="00AC5E2D">
            <w:pPr>
              <w:keepNext/>
              <w:widowControl/>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c>
          <w:tcPr>
            <w:tcW w:w="679" w:type="pct"/>
            <w:shd w:val="clear" w:color="auto" w:fill="auto"/>
            <w:vAlign w:val="center"/>
          </w:tcPr>
          <w:p w:rsidR="00F2667A" w:rsidRPr="00685063" w:rsidRDefault="00685063" w:rsidP="00AC5E2D">
            <w:pPr>
              <w:keepNext/>
              <w:widowControl/>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c>
          <w:tcPr>
            <w:tcW w:w="764" w:type="pct"/>
            <w:shd w:val="clear" w:color="auto" w:fill="auto"/>
            <w:vAlign w:val="center"/>
          </w:tcPr>
          <w:p w:rsidR="00F2667A" w:rsidRPr="00685063" w:rsidRDefault="00685063" w:rsidP="00AC5E2D">
            <w:pPr>
              <w:keepNext/>
              <w:widowControl/>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c>
          <w:tcPr>
            <w:tcW w:w="764" w:type="pct"/>
            <w:shd w:val="clear" w:color="auto" w:fill="auto"/>
            <w:vAlign w:val="center"/>
          </w:tcPr>
          <w:p w:rsidR="00F2667A" w:rsidRPr="00685063" w:rsidRDefault="00685063" w:rsidP="00AC5E2D">
            <w:pPr>
              <w:keepNext/>
              <w:widowControl/>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c>
          <w:tcPr>
            <w:tcW w:w="755" w:type="pct"/>
            <w:shd w:val="clear" w:color="auto" w:fill="auto"/>
            <w:vAlign w:val="center"/>
          </w:tcPr>
          <w:p w:rsidR="00F2667A" w:rsidRPr="00685063" w:rsidRDefault="00685063" w:rsidP="00AC5E2D">
            <w:pPr>
              <w:keepNext/>
              <w:widowControl/>
              <w:jc w:val="center"/>
              <w:rPr>
                <w:rFonts w:ascii="Arial Narrow" w:hAnsi="Arial Narrow"/>
                <w:bCs/>
                <w:snapToGrid/>
                <w:sz w:val="20"/>
                <w:highlight w:val="black"/>
                <w:lang w:eastAsia="en-AU"/>
              </w:rPr>
            </w:pPr>
            <w:r>
              <w:rPr>
                <w:rFonts w:ascii="Arial Narrow" w:hAnsi="Arial Narrow"/>
                <w:bCs/>
                <w:noProof/>
                <w:snapToGrid/>
                <w:color w:val="000000"/>
                <w:sz w:val="20"/>
                <w:highlight w:val="black"/>
                <w:lang w:eastAsia="en-AU"/>
              </w:rPr>
              <w:t>''''''''''''''</w:t>
            </w:r>
          </w:p>
        </w:tc>
      </w:tr>
      <w:tr w:rsidR="00F2667A" w:rsidRPr="004E2ADC" w:rsidTr="00AC5E2D">
        <w:tc>
          <w:tcPr>
            <w:tcW w:w="5000" w:type="pct"/>
            <w:gridSpan w:val="6"/>
            <w:shd w:val="clear" w:color="auto" w:fill="auto"/>
            <w:vAlign w:val="center"/>
          </w:tcPr>
          <w:p w:rsidR="00F2667A" w:rsidRPr="004E2ADC" w:rsidRDefault="00F2667A" w:rsidP="00AC5E2D">
            <w:pPr>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F2667A" w:rsidRPr="004E2ADC" w:rsidTr="00AC5E2D">
        <w:tc>
          <w:tcPr>
            <w:tcW w:w="1359" w:type="pct"/>
            <w:shd w:val="clear" w:color="auto" w:fill="auto"/>
            <w:vAlign w:val="center"/>
          </w:tcPr>
          <w:p w:rsidR="00F2667A" w:rsidRPr="004E2ADC" w:rsidRDefault="00F2667A" w:rsidP="00AC5E2D">
            <w:pPr>
              <w:tabs>
                <w:tab w:val="left" w:pos="142"/>
              </w:tabs>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679" w:type="pct"/>
            <w:shd w:val="clear" w:color="auto" w:fill="auto"/>
            <w:vAlign w:val="center"/>
          </w:tcPr>
          <w:p w:rsidR="00F2667A" w:rsidRPr="00AD0028" w:rsidRDefault="00F2667A" w:rsidP="00AC5E2D">
            <w:pPr>
              <w:keepNext/>
              <w:widowControl/>
              <w:jc w:val="center"/>
              <w:rPr>
                <w:rFonts w:ascii="Arial Narrow" w:hAnsi="Arial Narrow"/>
                <w:bCs/>
                <w:snapToGrid/>
                <w:sz w:val="16"/>
                <w:szCs w:val="16"/>
                <w:lang w:eastAsia="en-AU"/>
              </w:rPr>
            </w:pPr>
            <w:r w:rsidRPr="00AD0028">
              <w:rPr>
                <w:rFonts w:ascii="Arial Narrow" w:hAnsi="Arial Narrow"/>
                <w:bCs/>
                <w:snapToGrid/>
                <w:sz w:val="16"/>
                <w:szCs w:val="16"/>
                <w:lang w:eastAsia="en-AU"/>
              </w:rPr>
              <w:t>$</w:t>
            </w:r>
            <w:r w:rsidR="00685063">
              <w:rPr>
                <w:rFonts w:ascii="Arial Narrow" w:hAnsi="Arial Narrow"/>
                <w:bCs/>
                <w:noProof/>
                <w:snapToGrid/>
                <w:color w:val="000000"/>
                <w:sz w:val="16"/>
                <w:szCs w:val="16"/>
                <w:highlight w:val="black"/>
                <w:lang w:eastAsia="en-AU"/>
              </w:rPr>
              <w:t>''''''''''''''''''''''''</w:t>
            </w:r>
          </w:p>
        </w:tc>
        <w:tc>
          <w:tcPr>
            <w:tcW w:w="679" w:type="pct"/>
            <w:shd w:val="clear" w:color="auto" w:fill="auto"/>
            <w:vAlign w:val="center"/>
          </w:tcPr>
          <w:p w:rsidR="00F2667A" w:rsidRPr="00AD0028" w:rsidRDefault="00F2667A" w:rsidP="00AC5E2D">
            <w:pPr>
              <w:keepNext/>
              <w:widowControl/>
              <w:jc w:val="center"/>
              <w:rPr>
                <w:rFonts w:ascii="Arial Narrow" w:hAnsi="Arial Narrow"/>
                <w:bCs/>
                <w:snapToGrid/>
                <w:sz w:val="16"/>
                <w:szCs w:val="16"/>
                <w:lang w:eastAsia="en-AU"/>
              </w:rPr>
            </w:pPr>
            <w:r w:rsidRPr="00AD0028">
              <w:rPr>
                <w:rFonts w:ascii="Arial Narrow" w:hAnsi="Arial Narrow"/>
                <w:bCs/>
                <w:snapToGrid/>
                <w:sz w:val="16"/>
                <w:szCs w:val="16"/>
                <w:lang w:eastAsia="en-AU"/>
              </w:rPr>
              <w:t>$</w:t>
            </w:r>
            <w:r w:rsidR="00685063">
              <w:rPr>
                <w:rFonts w:ascii="Arial Narrow" w:hAnsi="Arial Narrow"/>
                <w:bCs/>
                <w:noProof/>
                <w:snapToGrid/>
                <w:color w:val="000000"/>
                <w:sz w:val="16"/>
                <w:szCs w:val="16"/>
                <w:highlight w:val="black"/>
                <w:lang w:eastAsia="en-AU"/>
              </w:rPr>
              <w:t>'''''''''''''''''''''''''''''</w:t>
            </w:r>
          </w:p>
        </w:tc>
        <w:tc>
          <w:tcPr>
            <w:tcW w:w="764" w:type="pct"/>
            <w:shd w:val="clear" w:color="auto" w:fill="auto"/>
            <w:vAlign w:val="center"/>
          </w:tcPr>
          <w:p w:rsidR="00F2667A" w:rsidRPr="00AD0028" w:rsidRDefault="00F2667A" w:rsidP="00AC5E2D">
            <w:pPr>
              <w:keepNext/>
              <w:widowControl/>
              <w:jc w:val="center"/>
              <w:rPr>
                <w:rFonts w:ascii="Arial Narrow" w:hAnsi="Arial Narrow"/>
                <w:bCs/>
                <w:snapToGrid/>
                <w:sz w:val="16"/>
                <w:szCs w:val="16"/>
                <w:lang w:eastAsia="en-AU"/>
              </w:rPr>
            </w:pPr>
            <w:r w:rsidRPr="00AD0028">
              <w:rPr>
                <w:rFonts w:ascii="Arial Narrow" w:hAnsi="Arial Narrow"/>
                <w:bCs/>
                <w:snapToGrid/>
                <w:sz w:val="16"/>
                <w:szCs w:val="16"/>
                <w:lang w:eastAsia="en-AU"/>
              </w:rPr>
              <w:t>$</w:t>
            </w:r>
            <w:r w:rsidR="00685063">
              <w:rPr>
                <w:rFonts w:ascii="Arial Narrow" w:hAnsi="Arial Narrow"/>
                <w:bCs/>
                <w:noProof/>
                <w:snapToGrid/>
                <w:color w:val="000000"/>
                <w:sz w:val="16"/>
                <w:szCs w:val="16"/>
                <w:highlight w:val="black"/>
                <w:lang w:eastAsia="en-AU"/>
              </w:rPr>
              <w:t>''''''''''''''''''''''''''</w:t>
            </w:r>
          </w:p>
        </w:tc>
        <w:tc>
          <w:tcPr>
            <w:tcW w:w="764" w:type="pct"/>
            <w:shd w:val="clear" w:color="auto" w:fill="auto"/>
            <w:vAlign w:val="center"/>
          </w:tcPr>
          <w:p w:rsidR="00F2667A" w:rsidRPr="00AD0028" w:rsidRDefault="00F2667A" w:rsidP="00AC5E2D">
            <w:pPr>
              <w:keepNext/>
              <w:widowControl/>
              <w:jc w:val="center"/>
              <w:rPr>
                <w:rFonts w:ascii="Arial Narrow" w:hAnsi="Arial Narrow"/>
                <w:bCs/>
                <w:snapToGrid/>
                <w:sz w:val="16"/>
                <w:szCs w:val="16"/>
                <w:lang w:eastAsia="en-AU"/>
              </w:rPr>
            </w:pPr>
            <w:r w:rsidRPr="00AD0028">
              <w:rPr>
                <w:rFonts w:ascii="Arial Narrow" w:hAnsi="Arial Narrow"/>
                <w:bCs/>
                <w:snapToGrid/>
                <w:sz w:val="16"/>
                <w:szCs w:val="16"/>
                <w:lang w:eastAsia="en-AU"/>
              </w:rPr>
              <w:t>$</w:t>
            </w:r>
            <w:r w:rsidR="00685063">
              <w:rPr>
                <w:rFonts w:ascii="Arial Narrow" w:hAnsi="Arial Narrow"/>
                <w:bCs/>
                <w:noProof/>
                <w:snapToGrid/>
                <w:color w:val="000000"/>
                <w:sz w:val="16"/>
                <w:szCs w:val="16"/>
                <w:highlight w:val="black"/>
                <w:lang w:eastAsia="en-AU"/>
              </w:rPr>
              <w:t>'''''''''''''''''''''''''''</w:t>
            </w:r>
          </w:p>
        </w:tc>
        <w:tc>
          <w:tcPr>
            <w:tcW w:w="755" w:type="pct"/>
            <w:shd w:val="clear" w:color="auto" w:fill="auto"/>
            <w:vAlign w:val="center"/>
          </w:tcPr>
          <w:p w:rsidR="00F2667A" w:rsidRPr="00AD0028" w:rsidRDefault="00F2667A" w:rsidP="00AC5E2D">
            <w:pPr>
              <w:keepNext/>
              <w:widowControl/>
              <w:jc w:val="center"/>
              <w:rPr>
                <w:rFonts w:ascii="Arial Narrow" w:hAnsi="Arial Narrow"/>
                <w:bCs/>
                <w:snapToGrid/>
                <w:sz w:val="16"/>
                <w:szCs w:val="16"/>
                <w:lang w:eastAsia="en-AU"/>
              </w:rPr>
            </w:pPr>
            <w:r w:rsidRPr="00AD0028">
              <w:rPr>
                <w:rFonts w:ascii="Arial Narrow" w:hAnsi="Arial Narrow"/>
                <w:bCs/>
                <w:snapToGrid/>
                <w:sz w:val="16"/>
                <w:szCs w:val="16"/>
                <w:lang w:eastAsia="en-AU"/>
              </w:rPr>
              <w:t>$</w:t>
            </w:r>
            <w:r w:rsidR="00685063">
              <w:rPr>
                <w:rFonts w:ascii="Arial Narrow" w:hAnsi="Arial Narrow"/>
                <w:bCs/>
                <w:noProof/>
                <w:snapToGrid/>
                <w:color w:val="000000"/>
                <w:sz w:val="16"/>
                <w:szCs w:val="16"/>
                <w:highlight w:val="black"/>
                <w:lang w:eastAsia="en-AU"/>
              </w:rPr>
              <w:t>'''''''''''''''''''''''''''</w:t>
            </w:r>
          </w:p>
        </w:tc>
      </w:tr>
      <w:tr w:rsidR="00F2667A" w:rsidRPr="004E2ADC" w:rsidTr="00AC5E2D">
        <w:tc>
          <w:tcPr>
            <w:tcW w:w="1359" w:type="pct"/>
            <w:shd w:val="clear" w:color="auto" w:fill="auto"/>
            <w:vAlign w:val="center"/>
          </w:tcPr>
          <w:p w:rsidR="00F2667A" w:rsidRPr="004E2ADC" w:rsidRDefault="00F2667A" w:rsidP="00AC5E2D">
            <w:pPr>
              <w:tabs>
                <w:tab w:val="left" w:pos="142"/>
              </w:tabs>
              <w:jc w:val="left"/>
              <w:rPr>
                <w:rFonts w:ascii="Arial Narrow" w:hAnsi="Arial Narrow"/>
                <w:sz w:val="20"/>
              </w:rPr>
            </w:pPr>
            <w:r w:rsidRPr="004E2ADC">
              <w:rPr>
                <w:rFonts w:ascii="Arial Narrow" w:hAnsi="Arial Narrow"/>
                <w:sz w:val="19"/>
                <w:szCs w:val="19"/>
              </w:rPr>
              <w:t>Net cost to MBS</w:t>
            </w:r>
          </w:p>
        </w:tc>
        <w:tc>
          <w:tcPr>
            <w:tcW w:w="679" w:type="pct"/>
            <w:shd w:val="clear" w:color="auto" w:fill="auto"/>
            <w:vAlign w:val="center"/>
          </w:tcPr>
          <w:p w:rsidR="00F2667A" w:rsidRPr="00685063" w:rsidRDefault="00685063" w:rsidP="00AC5E2D">
            <w:pPr>
              <w:keepNext/>
              <w:widowControl/>
              <w:jc w:val="center"/>
              <w:rPr>
                <w:rFonts w:ascii="Arial Narrow" w:hAnsi="Arial Narrow"/>
                <w:bCs/>
                <w:snapToGrid/>
                <w:sz w:val="16"/>
                <w:szCs w:val="16"/>
                <w:highlight w:val="black"/>
                <w:lang w:eastAsia="en-AU"/>
              </w:rPr>
            </w:pPr>
            <w:r>
              <w:rPr>
                <w:rFonts w:ascii="Arial Narrow" w:hAnsi="Arial Narrow"/>
                <w:bCs/>
                <w:noProof/>
                <w:snapToGrid/>
                <w:color w:val="000000"/>
                <w:sz w:val="16"/>
                <w:szCs w:val="16"/>
                <w:highlight w:val="black"/>
                <w:lang w:eastAsia="en-AU"/>
              </w:rPr>
              <w:t>'''''''''''''''</w:t>
            </w:r>
          </w:p>
        </w:tc>
        <w:tc>
          <w:tcPr>
            <w:tcW w:w="679" w:type="pct"/>
            <w:shd w:val="clear" w:color="auto" w:fill="auto"/>
            <w:vAlign w:val="center"/>
          </w:tcPr>
          <w:p w:rsidR="00F2667A" w:rsidRPr="00685063" w:rsidRDefault="00685063" w:rsidP="00AC5E2D">
            <w:pPr>
              <w:keepNext/>
              <w:widowControl/>
              <w:jc w:val="center"/>
              <w:rPr>
                <w:rFonts w:ascii="Arial Narrow" w:hAnsi="Arial Narrow"/>
                <w:bCs/>
                <w:snapToGrid/>
                <w:sz w:val="16"/>
                <w:szCs w:val="16"/>
                <w:highlight w:val="black"/>
                <w:lang w:eastAsia="en-AU"/>
              </w:rPr>
            </w:pPr>
            <w:r>
              <w:rPr>
                <w:rFonts w:ascii="Arial Narrow" w:hAnsi="Arial Narrow"/>
                <w:bCs/>
                <w:noProof/>
                <w:snapToGrid/>
                <w:color w:val="000000"/>
                <w:sz w:val="16"/>
                <w:szCs w:val="16"/>
                <w:highlight w:val="black"/>
                <w:lang w:eastAsia="en-AU"/>
              </w:rPr>
              <w:t>'''''''''''''''''''</w:t>
            </w:r>
          </w:p>
        </w:tc>
        <w:tc>
          <w:tcPr>
            <w:tcW w:w="764" w:type="pct"/>
            <w:shd w:val="clear" w:color="auto" w:fill="auto"/>
            <w:vAlign w:val="center"/>
          </w:tcPr>
          <w:p w:rsidR="00F2667A" w:rsidRPr="00685063" w:rsidRDefault="00685063" w:rsidP="00AC5E2D">
            <w:pPr>
              <w:keepNext/>
              <w:widowControl/>
              <w:jc w:val="center"/>
              <w:rPr>
                <w:rFonts w:ascii="Arial Narrow" w:hAnsi="Arial Narrow"/>
                <w:bCs/>
                <w:snapToGrid/>
                <w:sz w:val="16"/>
                <w:szCs w:val="16"/>
                <w:highlight w:val="black"/>
                <w:lang w:eastAsia="en-AU"/>
              </w:rPr>
            </w:pPr>
            <w:r>
              <w:rPr>
                <w:rFonts w:ascii="Arial Narrow" w:hAnsi="Arial Narrow"/>
                <w:bCs/>
                <w:noProof/>
                <w:snapToGrid/>
                <w:color w:val="000000"/>
                <w:sz w:val="16"/>
                <w:szCs w:val="16"/>
                <w:highlight w:val="black"/>
                <w:lang w:eastAsia="en-AU"/>
              </w:rPr>
              <w:t>'''''''''''''''''</w:t>
            </w:r>
          </w:p>
        </w:tc>
        <w:tc>
          <w:tcPr>
            <w:tcW w:w="764" w:type="pct"/>
            <w:shd w:val="clear" w:color="auto" w:fill="auto"/>
            <w:vAlign w:val="center"/>
          </w:tcPr>
          <w:p w:rsidR="00F2667A" w:rsidRPr="00685063" w:rsidRDefault="00685063" w:rsidP="00AC5E2D">
            <w:pPr>
              <w:keepNext/>
              <w:widowControl/>
              <w:jc w:val="center"/>
              <w:rPr>
                <w:rFonts w:ascii="Arial Narrow" w:hAnsi="Arial Narrow"/>
                <w:bCs/>
                <w:snapToGrid/>
                <w:sz w:val="16"/>
                <w:szCs w:val="16"/>
                <w:highlight w:val="black"/>
                <w:lang w:eastAsia="en-AU"/>
              </w:rPr>
            </w:pPr>
            <w:r>
              <w:rPr>
                <w:rFonts w:ascii="Arial Narrow" w:hAnsi="Arial Narrow"/>
                <w:bCs/>
                <w:noProof/>
                <w:snapToGrid/>
                <w:color w:val="000000"/>
                <w:sz w:val="16"/>
                <w:szCs w:val="16"/>
                <w:highlight w:val="black"/>
                <w:lang w:eastAsia="en-AU"/>
              </w:rPr>
              <w:t>'''''''''''''''''''</w:t>
            </w:r>
          </w:p>
        </w:tc>
        <w:tc>
          <w:tcPr>
            <w:tcW w:w="755" w:type="pct"/>
            <w:shd w:val="clear" w:color="auto" w:fill="auto"/>
            <w:vAlign w:val="center"/>
          </w:tcPr>
          <w:p w:rsidR="00F2667A" w:rsidRPr="00685063" w:rsidRDefault="00685063" w:rsidP="00AC5E2D">
            <w:pPr>
              <w:keepNext/>
              <w:widowControl/>
              <w:jc w:val="center"/>
              <w:rPr>
                <w:rFonts w:ascii="Arial Narrow" w:hAnsi="Arial Narrow"/>
                <w:bCs/>
                <w:snapToGrid/>
                <w:sz w:val="16"/>
                <w:szCs w:val="16"/>
                <w:highlight w:val="black"/>
                <w:lang w:eastAsia="en-AU"/>
              </w:rPr>
            </w:pPr>
            <w:r>
              <w:rPr>
                <w:rFonts w:ascii="Arial Narrow" w:hAnsi="Arial Narrow"/>
                <w:bCs/>
                <w:noProof/>
                <w:snapToGrid/>
                <w:color w:val="000000"/>
                <w:sz w:val="16"/>
                <w:szCs w:val="16"/>
                <w:highlight w:val="black"/>
                <w:lang w:eastAsia="en-AU"/>
              </w:rPr>
              <w:t>''''''''''''''''''</w:t>
            </w:r>
          </w:p>
        </w:tc>
      </w:tr>
      <w:tr w:rsidR="00F2667A" w:rsidRPr="004E2ADC" w:rsidTr="00AC5E2D">
        <w:tc>
          <w:tcPr>
            <w:tcW w:w="5000" w:type="pct"/>
            <w:gridSpan w:val="6"/>
            <w:shd w:val="clear" w:color="auto" w:fill="auto"/>
            <w:vAlign w:val="center"/>
          </w:tcPr>
          <w:p w:rsidR="00F2667A" w:rsidRPr="004E2ADC" w:rsidRDefault="00F2667A" w:rsidP="00AC5E2D">
            <w:pPr>
              <w:jc w:val="left"/>
              <w:rPr>
                <w:rFonts w:ascii="Arial Narrow" w:hAnsi="Arial Narrow"/>
                <w:b/>
                <w:color w:val="000000"/>
                <w:sz w:val="20"/>
              </w:rPr>
            </w:pPr>
            <w:r w:rsidRPr="004E2ADC">
              <w:rPr>
                <w:rFonts w:ascii="Arial Narrow" w:hAnsi="Arial Narrow"/>
                <w:b/>
                <w:color w:val="000000"/>
                <w:sz w:val="20"/>
              </w:rPr>
              <w:t>Estimated total net cost</w:t>
            </w:r>
          </w:p>
        </w:tc>
      </w:tr>
      <w:tr w:rsidR="00F2667A" w:rsidRPr="004E2ADC" w:rsidTr="00AC5E2D">
        <w:tc>
          <w:tcPr>
            <w:tcW w:w="1359" w:type="pct"/>
            <w:shd w:val="clear" w:color="auto" w:fill="auto"/>
            <w:vAlign w:val="center"/>
          </w:tcPr>
          <w:p w:rsidR="00F2667A" w:rsidRPr="00145540" w:rsidRDefault="00F2667A" w:rsidP="00AC5E2D">
            <w:pPr>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79" w:type="pct"/>
            <w:shd w:val="clear" w:color="auto" w:fill="auto"/>
            <w:vAlign w:val="center"/>
          </w:tcPr>
          <w:p w:rsidR="00F2667A" w:rsidRPr="00BC718A" w:rsidRDefault="00F2667A" w:rsidP="00AC5E2D">
            <w:pPr>
              <w:keepNext/>
              <w:widowControl/>
              <w:jc w:val="center"/>
              <w:rPr>
                <w:rFonts w:ascii="Arial Narrow" w:hAnsi="Arial Narrow"/>
                <w:b/>
                <w:bCs/>
                <w:snapToGrid/>
                <w:sz w:val="16"/>
                <w:szCs w:val="16"/>
                <w:lang w:eastAsia="en-AU"/>
              </w:rPr>
            </w:pPr>
            <w:r w:rsidRPr="00BC718A">
              <w:rPr>
                <w:rFonts w:ascii="Arial Narrow" w:hAnsi="Arial Narrow"/>
                <w:b/>
                <w:bCs/>
                <w:snapToGrid/>
                <w:sz w:val="16"/>
                <w:szCs w:val="16"/>
                <w:lang w:eastAsia="en-AU"/>
              </w:rPr>
              <w:t>$</w:t>
            </w:r>
            <w:r w:rsidR="00685063">
              <w:rPr>
                <w:rFonts w:ascii="Arial Narrow" w:hAnsi="Arial Narrow"/>
                <w:b/>
                <w:bCs/>
                <w:noProof/>
                <w:snapToGrid/>
                <w:color w:val="000000"/>
                <w:sz w:val="16"/>
                <w:szCs w:val="16"/>
                <w:highlight w:val="black"/>
                <w:lang w:eastAsia="en-AU"/>
              </w:rPr>
              <w:t>'''''''''''''''''''</w:t>
            </w:r>
          </w:p>
        </w:tc>
        <w:tc>
          <w:tcPr>
            <w:tcW w:w="679" w:type="pct"/>
            <w:shd w:val="clear" w:color="auto" w:fill="auto"/>
            <w:vAlign w:val="center"/>
          </w:tcPr>
          <w:p w:rsidR="00F2667A" w:rsidRPr="00BC718A" w:rsidRDefault="00F2667A" w:rsidP="00AC5E2D">
            <w:pPr>
              <w:keepNext/>
              <w:widowControl/>
              <w:jc w:val="center"/>
              <w:rPr>
                <w:rFonts w:ascii="Arial Narrow" w:hAnsi="Arial Narrow"/>
                <w:b/>
                <w:bCs/>
                <w:snapToGrid/>
                <w:sz w:val="16"/>
                <w:szCs w:val="16"/>
                <w:lang w:eastAsia="en-AU"/>
              </w:rPr>
            </w:pPr>
            <w:r w:rsidRPr="00BC718A">
              <w:rPr>
                <w:rFonts w:ascii="Arial Narrow" w:hAnsi="Arial Narrow"/>
                <w:b/>
                <w:bCs/>
                <w:snapToGrid/>
                <w:sz w:val="16"/>
                <w:szCs w:val="16"/>
                <w:lang w:eastAsia="en-AU"/>
              </w:rPr>
              <w:t>$</w:t>
            </w:r>
            <w:r w:rsidR="00685063">
              <w:rPr>
                <w:rFonts w:ascii="Arial Narrow" w:hAnsi="Arial Narrow"/>
                <w:b/>
                <w:bCs/>
                <w:noProof/>
                <w:snapToGrid/>
                <w:color w:val="000000"/>
                <w:sz w:val="16"/>
                <w:szCs w:val="16"/>
                <w:highlight w:val="black"/>
                <w:lang w:eastAsia="en-AU"/>
              </w:rPr>
              <w:t>'''''''''''''''''''''</w:t>
            </w:r>
          </w:p>
        </w:tc>
        <w:tc>
          <w:tcPr>
            <w:tcW w:w="764" w:type="pct"/>
            <w:shd w:val="clear" w:color="auto" w:fill="auto"/>
            <w:vAlign w:val="center"/>
          </w:tcPr>
          <w:p w:rsidR="00F2667A" w:rsidRPr="00BC718A" w:rsidRDefault="00F2667A" w:rsidP="00AC5E2D">
            <w:pPr>
              <w:keepNext/>
              <w:widowControl/>
              <w:jc w:val="center"/>
              <w:rPr>
                <w:rFonts w:ascii="Arial Narrow" w:hAnsi="Arial Narrow"/>
                <w:b/>
                <w:bCs/>
                <w:snapToGrid/>
                <w:sz w:val="16"/>
                <w:szCs w:val="16"/>
                <w:lang w:eastAsia="en-AU"/>
              </w:rPr>
            </w:pPr>
            <w:r w:rsidRPr="00BC718A">
              <w:rPr>
                <w:rFonts w:ascii="Arial Narrow" w:hAnsi="Arial Narrow"/>
                <w:b/>
                <w:bCs/>
                <w:snapToGrid/>
                <w:sz w:val="16"/>
                <w:szCs w:val="16"/>
                <w:lang w:eastAsia="en-AU"/>
              </w:rPr>
              <w:t>$</w:t>
            </w:r>
            <w:r w:rsidR="00685063">
              <w:rPr>
                <w:rFonts w:ascii="Arial Narrow" w:hAnsi="Arial Narrow"/>
                <w:b/>
                <w:bCs/>
                <w:noProof/>
                <w:snapToGrid/>
                <w:color w:val="000000"/>
                <w:sz w:val="16"/>
                <w:szCs w:val="16"/>
                <w:highlight w:val="black"/>
                <w:lang w:eastAsia="en-AU"/>
              </w:rPr>
              <w:t>''''''''''''''''''''</w:t>
            </w:r>
          </w:p>
        </w:tc>
        <w:tc>
          <w:tcPr>
            <w:tcW w:w="764" w:type="pct"/>
            <w:shd w:val="clear" w:color="auto" w:fill="auto"/>
            <w:vAlign w:val="center"/>
          </w:tcPr>
          <w:p w:rsidR="00F2667A" w:rsidRPr="00BC718A" w:rsidRDefault="00F2667A" w:rsidP="00AC5E2D">
            <w:pPr>
              <w:keepNext/>
              <w:widowControl/>
              <w:jc w:val="center"/>
              <w:rPr>
                <w:rFonts w:ascii="Arial Narrow" w:hAnsi="Arial Narrow"/>
                <w:b/>
                <w:bCs/>
                <w:snapToGrid/>
                <w:sz w:val="16"/>
                <w:szCs w:val="16"/>
                <w:lang w:eastAsia="en-AU"/>
              </w:rPr>
            </w:pPr>
            <w:r w:rsidRPr="00BC718A">
              <w:rPr>
                <w:rFonts w:ascii="Arial Narrow" w:hAnsi="Arial Narrow"/>
                <w:b/>
                <w:bCs/>
                <w:snapToGrid/>
                <w:sz w:val="16"/>
                <w:szCs w:val="16"/>
                <w:lang w:eastAsia="en-AU"/>
              </w:rPr>
              <w:t>$</w:t>
            </w:r>
            <w:r w:rsidR="00685063">
              <w:rPr>
                <w:rFonts w:ascii="Arial Narrow" w:hAnsi="Arial Narrow"/>
                <w:b/>
                <w:bCs/>
                <w:noProof/>
                <w:snapToGrid/>
                <w:color w:val="000000"/>
                <w:sz w:val="16"/>
                <w:szCs w:val="16"/>
                <w:highlight w:val="black"/>
                <w:lang w:eastAsia="en-AU"/>
              </w:rPr>
              <w:t>''''''''''''''''''''''</w:t>
            </w:r>
          </w:p>
        </w:tc>
        <w:tc>
          <w:tcPr>
            <w:tcW w:w="755" w:type="pct"/>
            <w:shd w:val="clear" w:color="auto" w:fill="auto"/>
            <w:vAlign w:val="center"/>
          </w:tcPr>
          <w:p w:rsidR="00F2667A" w:rsidRPr="00BC718A" w:rsidRDefault="00F2667A" w:rsidP="00AC5E2D">
            <w:pPr>
              <w:keepNext/>
              <w:widowControl/>
              <w:jc w:val="center"/>
              <w:rPr>
                <w:rFonts w:ascii="Arial Narrow" w:hAnsi="Arial Narrow"/>
                <w:b/>
                <w:bCs/>
                <w:snapToGrid/>
                <w:sz w:val="16"/>
                <w:szCs w:val="16"/>
                <w:lang w:eastAsia="en-AU"/>
              </w:rPr>
            </w:pPr>
            <w:r w:rsidRPr="00BC718A">
              <w:rPr>
                <w:rFonts w:ascii="Arial Narrow" w:hAnsi="Arial Narrow"/>
                <w:b/>
                <w:bCs/>
                <w:snapToGrid/>
                <w:sz w:val="16"/>
                <w:szCs w:val="16"/>
                <w:lang w:eastAsia="en-AU"/>
              </w:rPr>
              <w:t>$</w:t>
            </w:r>
            <w:r w:rsidR="00685063">
              <w:rPr>
                <w:rFonts w:ascii="Arial Narrow" w:hAnsi="Arial Narrow"/>
                <w:b/>
                <w:bCs/>
                <w:noProof/>
                <w:snapToGrid/>
                <w:color w:val="000000"/>
                <w:sz w:val="16"/>
                <w:szCs w:val="16"/>
                <w:highlight w:val="black"/>
                <w:lang w:eastAsia="en-AU"/>
              </w:rPr>
              <w:t>'''''''''''''''''''''</w:t>
            </w:r>
          </w:p>
        </w:tc>
      </w:tr>
    </w:tbl>
    <w:p w:rsidR="00F2667A" w:rsidRDefault="00F2667A" w:rsidP="00F2667A">
      <w:pPr>
        <w:pStyle w:val="TableFooter"/>
        <w:ind w:left="720"/>
        <w:rPr>
          <w:szCs w:val="18"/>
        </w:rPr>
      </w:pPr>
      <w:r w:rsidRPr="001222FC">
        <w:rPr>
          <w:sz w:val="16"/>
          <w:szCs w:val="18"/>
        </w:rPr>
        <w:t xml:space="preserve">Source: </w:t>
      </w:r>
      <w:r>
        <w:t xml:space="preserve">Table E.3.2, pE11 of the submission, </w:t>
      </w:r>
      <w:r>
        <w:rPr>
          <w:szCs w:val="18"/>
        </w:rPr>
        <w:t xml:space="preserve">Table E.6.3, pE38 of the submission, </w:t>
      </w:r>
      <w:proofErr w:type="spellStart"/>
      <w:r>
        <w:rPr>
          <w:szCs w:val="18"/>
        </w:rPr>
        <w:t>Folotyn</w:t>
      </w:r>
      <w:proofErr w:type="spellEnd"/>
      <w:r>
        <w:rPr>
          <w:szCs w:val="18"/>
        </w:rPr>
        <w:t xml:space="preserve"> – Section E Base Case (Ver10).</w:t>
      </w:r>
      <w:proofErr w:type="spellStart"/>
      <w:r>
        <w:rPr>
          <w:szCs w:val="18"/>
        </w:rPr>
        <w:t>xlsx</w:t>
      </w:r>
      <w:proofErr w:type="spellEnd"/>
      <w:r>
        <w:rPr>
          <w:szCs w:val="18"/>
        </w:rPr>
        <w:t>, sheet Net Cost to PBS</w:t>
      </w:r>
    </w:p>
    <w:p w:rsidR="005E1FC9" w:rsidRDefault="00F2667A" w:rsidP="00F2667A">
      <w:pPr>
        <w:pStyle w:val="TableFooter"/>
        <w:ind w:firstLine="720"/>
        <w:rPr>
          <w:szCs w:val="18"/>
        </w:rPr>
      </w:pPr>
      <w:r>
        <w:rPr>
          <w:szCs w:val="18"/>
        </w:rPr>
        <w:t>*Assuming 14 scripts per person as estimated by the submission</w:t>
      </w:r>
      <w:r w:rsidR="005E1FC9">
        <w:rPr>
          <w:szCs w:val="18"/>
        </w:rPr>
        <w:t xml:space="preserve">. </w:t>
      </w:r>
    </w:p>
    <w:p w:rsidR="00F2667A" w:rsidRDefault="005E1FC9" w:rsidP="00F2667A">
      <w:pPr>
        <w:pStyle w:val="TableFooter"/>
        <w:ind w:firstLine="720"/>
        <w:rPr>
          <w:szCs w:val="22"/>
        </w:rPr>
      </w:pPr>
      <w:proofErr w:type="gramStart"/>
      <w:r w:rsidRPr="005E1FC9">
        <w:rPr>
          <w:szCs w:val="18"/>
        </w:rPr>
        <w:t>Abbreviations.</w:t>
      </w:r>
      <w:proofErr w:type="gramEnd"/>
      <w:r w:rsidRPr="005E1FC9">
        <w:rPr>
          <w:szCs w:val="18"/>
        </w:rPr>
        <w:t xml:space="preserve"> </w:t>
      </w:r>
      <w:proofErr w:type="spellStart"/>
      <w:proofErr w:type="gramStart"/>
      <w:r w:rsidRPr="005E1FC9">
        <w:rPr>
          <w:szCs w:val="18"/>
        </w:rPr>
        <w:t>sALCL</w:t>
      </w:r>
      <w:proofErr w:type="spellEnd"/>
      <w:proofErr w:type="gramEnd"/>
      <w:r w:rsidRPr="005E1FC9">
        <w:rPr>
          <w:szCs w:val="18"/>
        </w:rPr>
        <w:t xml:space="preserve"> - Systemic Anaplastic Large Cell Lymphoma.</w:t>
      </w:r>
    </w:p>
    <w:p w:rsidR="00F2667A" w:rsidRPr="00C25D9C" w:rsidRDefault="00F2667A" w:rsidP="00F2667A">
      <w:pPr>
        <w:widowControl/>
        <w:rPr>
          <w:szCs w:val="22"/>
        </w:rPr>
      </w:pPr>
    </w:p>
    <w:p w:rsidR="006E7EFD" w:rsidRPr="00A34815" w:rsidRDefault="006E7EFD" w:rsidP="00733B01">
      <w:pPr>
        <w:pStyle w:val="ListParagraph"/>
        <w:widowControl/>
        <w:numPr>
          <w:ilvl w:val="1"/>
          <w:numId w:val="1"/>
        </w:numPr>
        <w:ind w:left="720"/>
      </w:pPr>
      <w:r w:rsidRPr="00A34815">
        <w:t xml:space="preserve">The 6th Community Pharmacy Agreement which took effect on 1 July 2015, made some changes to the way chemotherapy preparation fees are paid under the Section 100 Efficient Funding of Chemotherapy (EFC) arrangement.  </w:t>
      </w:r>
    </w:p>
    <w:p w:rsidR="006E7EFD" w:rsidRPr="006E7EFD" w:rsidRDefault="006E7EFD" w:rsidP="006B70E7">
      <w:pPr>
        <w:pStyle w:val="ListParagraph"/>
        <w:widowControl/>
        <w:ind w:left="284"/>
        <w:rPr>
          <w:i/>
        </w:rPr>
      </w:pPr>
    </w:p>
    <w:p w:rsidR="006E7EFD" w:rsidRPr="00A34815" w:rsidRDefault="006E7EFD" w:rsidP="00EF08BE">
      <w:pPr>
        <w:pStyle w:val="ListParagraph"/>
        <w:widowControl/>
      </w:pPr>
      <w:r w:rsidRPr="00A34815">
        <w:t>In addition, some chemotherapy compounders will be paid a smaller fee and the DPMA that is published in the schedule will only include that smaller fee.</w:t>
      </w:r>
    </w:p>
    <w:p w:rsidR="006E7EFD" w:rsidRPr="006E7EFD" w:rsidRDefault="006E7EFD" w:rsidP="006E7EFD">
      <w:pPr>
        <w:widowControl/>
        <w:rPr>
          <w:i/>
        </w:rPr>
      </w:pPr>
    </w:p>
    <w:p w:rsidR="006E7EFD" w:rsidRPr="00A34815" w:rsidRDefault="006E7EFD" w:rsidP="00EF08BE">
      <w:pPr>
        <w:pStyle w:val="ListParagraph"/>
        <w:widowControl/>
        <w:ind w:left="0" w:firstLine="720"/>
      </w:pPr>
      <w:r w:rsidRPr="00A34815">
        <w:t>Under the finalised new arrangements:</w:t>
      </w:r>
    </w:p>
    <w:p w:rsidR="006E7EFD" w:rsidRPr="00A34815" w:rsidRDefault="006E7EFD" w:rsidP="00733B01">
      <w:pPr>
        <w:pStyle w:val="ListParagraph"/>
        <w:widowControl/>
        <w:numPr>
          <w:ilvl w:val="0"/>
          <w:numId w:val="4"/>
        </w:numPr>
        <w:ind w:left="1080"/>
      </w:pPr>
      <w:r w:rsidRPr="00A34815">
        <w:t>The preparation fees paid to compounders who are licensed by the TGA to undertake such compounding are higher than those paid to compounders who are not licensed by the TGA, recognising that TGA licensed compounders incur additional costs in complying with the TGA’s licensing requirements, as compared to chemotherapy compounders who are not TGA licensed;</w:t>
      </w:r>
    </w:p>
    <w:p w:rsidR="006E7EFD" w:rsidRPr="00A34815" w:rsidRDefault="006E7EFD" w:rsidP="00733B01">
      <w:pPr>
        <w:pStyle w:val="ListParagraph"/>
        <w:widowControl/>
        <w:numPr>
          <w:ilvl w:val="0"/>
          <w:numId w:val="4"/>
        </w:numPr>
        <w:ind w:left="1080"/>
      </w:pPr>
      <w:r w:rsidRPr="00A34815">
        <w:t>The preparation fee paid to TGA licensed compounders remains the same as under the 5th CPA at $102.67* (indexed price for 2014/2015);</w:t>
      </w:r>
    </w:p>
    <w:p w:rsidR="006E7EFD" w:rsidRPr="00A34815" w:rsidRDefault="00103F61" w:rsidP="00733B01">
      <w:pPr>
        <w:pStyle w:val="ListParagraph"/>
        <w:widowControl/>
        <w:numPr>
          <w:ilvl w:val="0"/>
          <w:numId w:val="4"/>
        </w:numPr>
        <w:ind w:left="1080"/>
      </w:pPr>
      <w:r w:rsidRPr="00A34815">
        <w:t>The preparation fees paid to a s90 Community Pharmacy (incl</w:t>
      </w:r>
      <w:r>
        <w:t>uding</w:t>
      </w:r>
      <w:r w:rsidRPr="00A34815">
        <w:t xml:space="preserve"> s92 approved  practitioners) and a s94 Approved Private Hospital Authority are the same as those paid to TGA licensed compounders to recognise the specialist nature of preparing chemotherapy medicines;</w:t>
      </w:r>
    </w:p>
    <w:p w:rsidR="006E7EFD" w:rsidRPr="00A34815" w:rsidRDefault="006E7EFD" w:rsidP="00733B01">
      <w:pPr>
        <w:pStyle w:val="ListParagraph"/>
        <w:widowControl/>
        <w:numPr>
          <w:ilvl w:val="0"/>
          <w:numId w:val="4"/>
        </w:numPr>
        <w:ind w:left="1080"/>
      </w:pPr>
      <w:r w:rsidRPr="00A34815">
        <w:t>The preparation fee paid to non-TGA licensed compounders is $20 less at $82.67.</w:t>
      </w:r>
    </w:p>
    <w:p w:rsidR="006E7EFD" w:rsidRPr="00A34815" w:rsidRDefault="006E7EFD" w:rsidP="00733B01">
      <w:pPr>
        <w:pStyle w:val="ListParagraph"/>
        <w:widowControl/>
        <w:numPr>
          <w:ilvl w:val="0"/>
          <w:numId w:val="4"/>
        </w:numPr>
        <w:ind w:left="1080"/>
      </w:pPr>
      <w:r w:rsidRPr="00A34815">
        <w:t xml:space="preserve">Where applicable, the $20 portion of the preparation fee will be paid directly to the compounder through Australian Healthcare Associates (AHA); and.  </w:t>
      </w:r>
    </w:p>
    <w:p w:rsidR="006E7EFD" w:rsidRPr="00A34815" w:rsidRDefault="006E7EFD" w:rsidP="00733B01">
      <w:pPr>
        <w:pStyle w:val="ListParagraph"/>
        <w:widowControl/>
        <w:numPr>
          <w:ilvl w:val="0"/>
          <w:numId w:val="4"/>
        </w:numPr>
        <w:ind w:left="1080"/>
      </w:pPr>
      <w:r w:rsidRPr="00A34815">
        <w:t>The $20 is not currently captured by the DMPA that is published in the Schedule of Pharmaceutical Benefits.</w:t>
      </w:r>
    </w:p>
    <w:p w:rsidR="006E7EFD" w:rsidRPr="006E7EFD" w:rsidRDefault="006E7EFD" w:rsidP="006B70E7">
      <w:pPr>
        <w:pStyle w:val="ListParagraph"/>
        <w:widowControl/>
        <w:ind w:left="0"/>
        <w:rPr>
          <w:i/>
        </w:rPr>
      </w:pPr>
    </w:p>
    <w:p w:rsidR="006E7EFD" w:rsidRPr="00A34815" w:rsidRDefault="006E7EFD" w:rsidP="00EF08BE">
      <w:pPr>
        <w:pStyle w:val="ListParagraph"/>
        <w:widowControl/>
      </w:pPr>
      <w:r w:rsidRPr="00A34815">
        <w:t xml:space="preserve">As the majority of chemotherapy preparations are compounded in settings where the $102.67 fee applies, this fee should continue to be used in PBAC submissions. </w:t>
      </w:r>
    </w:p>
    <w:p w:rsidR="006E7EFD" w:rsidRPr="00A34815" w:rsidRDefault="006E7EFD" w:rsidP="006E7EFD">
      <w:pPr>
        <w:widowControl/>
      </w:pPr>
      <w:r w:rsidRPr="00A34815">
        <w:t xml:space="preserve"> </w:t>
      </w:r>
    </w:p>
    <w:p w:rsidR="00F2667A" w:rsidRPr="00A34815" w:rsidRDefault="00F2667A" w:rsidP="00733B01">
      <w:pPr>
        <w:pStyle w:val="ListParagraph"/>
        <w:widowControl/>
        <w:numPr>
          <w:ilvl w:val="1"/>
          <w:numId w:val="1"/>
        </w:numPr>
        <w:ind w:left="720"/>
      </w:pPr>
      <w:r w:rsidRPr="00A34815">
        <w:t>There is potential for the net cost to government to be greater than the estimate in the submission given that:</w:t>
      </w:r>
    </w:p>
    <w:p w:rsidR="00F2667A" w:rsidRPr="00A34815" w:rsidRDefault="00F2667A" w:rsidP="00733B01">
      <w:pPr>
        <w:pStyle w:val="ListParagraph"/>
        <w:widowControl/>
        <w:numPr>
          <w:ilvl w:val="0"/>
          <w:numId w:val="10"/>
        </w:numPr>
      </w:pPr>
      <w:r w:rsidRPr="00A34815">
        <w:t xml:space="preserve">The number of patients receiving treatment for PTCL in second line may grow.  </w:t>
      </w:r>
    </w:p>
    <w:p w:rsidR="00F2667A" w:rsidRPr="00A34815" w:rsidRDefault="00F2667A" w:rsidP="00733B01">
      <w:pPr>
        <w:pStyle w:val="ListParagraph"/>
        <w:widowControl/>
        <w:numPr>
          <w:ilvl w:val="0"/>
          <w:numId w:val="10"/>
        </w:numPr>
      </w:pPr>
      <w:r w:rsidRPr="00A34815">
        <w:lastRenderedPageBreak/>
        <w:t>The estimated total number of vials per patient has been calculated incorrectly by the submission.</w:t>
      </w:r>
    </w:p>
    <w:p w:rsidR="0099773F" w:rsidRDefault="00F2667A" w:rsidP="00733B01">
      <w:pPr>
        <w:pStyle w:val="ListParagraph"/>
        <w:widowControl/>
        <w:numPr>
          <w:ilvl w:val="0"/>
          <w:numId w:val="10"/>
        </w:numPr>
      </w:pPr>
      <w:r w:rsidRPr="00A34815">
        <w:t>The submission does not consider the number of vials administered per dose (i.e. wastage).</w:t>
      </w:r>
    </w:p>
    <w:p w:rsidR="00196F1B" w:rsidRPr="00FA2BF7" w:rsidRDefault="0099773F" w:rsidP="00733B01">
      <w:pPr>
        <w:pStyle w:val="ListParagraph"/>
        <w:widowControl/>
        <w:numPr>
          <w:ilvl w:val="0"/>
          <w:numId w:val="10"/>
        </w:numPr>
      </w:pPr>
      <w:r w:rsidRPr="00FA2BF7">
        <w:t xml:space="preserve">The special pricing arrangements for </w:t>
      </w:r>
      <w:proofErr w:type="spellStart"/>
      <w:r w:rsidRPr="00FA2BF7">
        <w:t>brentuximab</w:t>
      </w:r>
      <w:proofErr w:type="spellEnd"/>
      <w:r w:rsidRPr="00FA2BF7">
        <w:t xml:space="preserve"> results </w:t>
      </w:r>
      <w:r w:rsidR="00711647" w:rsidRPr="00FA2BF7">
        <w:t xml:space="preserve">in </w:t>
      </w:r>
      <w:r w:rsidRPr="00FA2BF7">
        <w:t xml:space="preserve">a reduced offset </w:t>
      </w:r>
      <w:r w:rsidR="009F75C7" w:rsidRPr="00FA2BF7">
        <w:t xml:space="preserve">due </w:t>
      </w:r>
      <w:r w:rsidR="00377442" w:rsidRPr="00FA2BF7">
        <w:t>to patients</w:t>
      </w:r>
      <w:r w:rsidRPr="00FA2BF7">
        <w:t xml:space="preserve"> not using </w:t>
      </w:r>
      <w:proofErr w:type="spellStart"/>
      <w:r w:rsidRPr="00FA2BF7">
        <w:t>brentuximab</w:t>
      </w:r>
      <w:proofErr w:type="spellEnd"/>
      <w:r w:rsidRPr="00FA2BF7">
        <w:t>.</w:t>
      </w:r>
    </w:p>
    <w:p w:rsidR="0099773F" w:rsidRDefault="0099773F" w:rsidP="0099773F">
      <w:pPr>
        <w:widowControl/>
      </w:pPr>
    </w:p>
    <w:p w:rsidR="00F2667A" w:rsidRPr="00CE78B5" w:rsidRDefault="00F2667A" w:rsidP="00F2667A">
      <w:pPr>
        <w:pStyle w:val="Heading2"/>
        <w:rPr>
          <w:szCs w:val="22"/>
        </w:rPr>
      </w:pPr>
      <w:bookmarkStart w:id="16" w:name="_Toc430087387"/>
      <w:r w:rsidRPr="00CE78B5">
        <w:t>Financial Management – Risk Sharing Arrangements</w:t>
      </w:r>
      <w:bookmarkEnd w:id="16"/>
    </w:p>
    <w:p w:rsidR="00F2667A" w:rsidRPr="00576972" w:rsidRDefault="00F2667A" w:rsidP="00F2667A">
      <w:pPr>
        <w:widowControl/>
        <w:rPr>
          <w:szCs w:val="22"/>
        </w:rPr>
      </w:pPr>
    </w:p>
    <w:p w:rsidR="00F2667A" w:rsidRPr="00BC718A" w:rsidRDefault="00F2667A" w:rsidP="00733B01">
      <w:pPr>
        <w:pStyle w:val="ListParagraph"/>
        <w:widowControl/>
        <w:numPr>
          <w:ilvl w:val="1"/>
          <w:numId w:val="1"/>
        </w:numPr>
        <w:ind w:left="720"/>
        <w:rPr>
          <w:szCs w:val="22"/>
        </w:rPr>
      </w:pPr>
      <w:r w:rsidRPr="00BC718A">
        <w:t xml:space="preserve">The submission requested a Special Pricing Arrangement such that the pricing of </w:t>
      </w:r>
      <w:proofErr w:type="spellStart"/>
      <w:r w:rsidRPr="00BC718A">
        <w:t>pralatrexate</w:t>
      </w:r>
      <w:proofErr w:type="spellEnd"/>
      <w:r w:rsidRPr="00BC718A">
        <w:t xml:space="preserve"> be published at no less than $</w:t>
      </w:r>
      <w:r w:rsidR="00685063">
        <w:rPr>
          <w:noProof/>
          <w:color w:val="000000"/>
          <w:highlight w:val="black"/>
        </w:rPr>
        <w:t>'''''''''''''</w:t>
      </w:r>
      <w:r w:rsidRPr="00BC718A">
        <w:t xml:space="preserve"> (ex. man - per 20mg vial).  The submission proposed a risk share arrangement so that any additional cost to government as a result of a Special Pricing Arrangement is rebated to government.   </w:t>
      </w:r>
    </w:p>
    <w:p w:rsidR="00F2667A" w:rsidRDefault="00F2667A" w:rsidP="00F2667A">
      <w:pPr>
        <w:widowControl/>
        <w:rPr>
          <w:szCs w:val="22"/>
        </w:rPr>
      </w:pPr>
    </w:p>
    <w:p w:rsidR="00FA2BF7" w:rsidRPr="00880C84" w:rsidRDefault="00FA2BF7" w:rsidP="00D3113C">
      <w:pPr>
        <w:pStyle w:val="ListParagraph"/>
        <w:ind w:left="709"/>
        <w:rPr>
          <w:i/>
          <w:szCs w:val="22"/>
        </w:rPr>
      </w:pPr>
      <w:r w:rsidRPr="00880C84">
        <w:rPr>
          <w:i/>
          <w:szCs w:val="22"/>
        </w:rPr>
        <w:t>For more detail on PBAC’s view, see section 7 “PBAC outcome”</w:t>
      </w:r>
    </w:p>
    <w:p w:rsidR="00CE78B5" w:rsidRDefault="00CE78B5" w:rsidP="00CE78B5">
      <w:pPr>
        <w:spacing w:line="480" w:lineRule="auto"/>
        <w:ind w:left="720"/>
        <w:rPr>
          <w:b/>
          <w:bCs/>
          <w:szCs w:val="22"/>
        </w:rPr>
      </w:pPr>
    </w:p>
    <w:p w:rsidR="00FA2BF7" w:rsidRPr="00880C84" w:rsidRDefault="00FA2BF7" w:rsidP="00CE78B5">
      <w:pPr>
        <w:pStyle w:val="Heading1"/>
      </w:pPr>
      <w:r w:rsidRPr="00880C84">
        <w:t>PBAC Outcome</w:t>
      </w:r>
    </w:p>
    <w:p w:rsidR="00FA2BF7" w:rsidRPr="00880C84" w:rsidRDefault="00FA2BF7" w:rsidP="00D3113C">
      <w:pPr>
        <w:contextualSpacing/>
        <w:rPr>
          <w:b/>
          <w:bCs/>
          <w:szCs w:val="22"/>
          <w:lang w:val="en-GB"/>
        </w:rPr>
      </w:pPr>
    </w:p>
    <w:p w:rsidR="00D7230A" w:rsidRPr="00D7230A" w:rsidRDefault="006D471D" w:rsidP="00EC72C9">
      <w:pPr>
        <w:numPr>
          <w:ilvl w:val="1"/>
          <w:numId w:val="1"/>
        </w:numPr>
        <w:ind w:left="720"/>
        <w:contextualSpacing/>
        <w:rPr>
          <w:bCs/>
        </w:rPr>
      </w:pPr>
      <w:r w:rsidRPr="00EC72C9">
        <w:rPr>
          <w:bCs/>
          <w:szCs w:val="22"/>
          <w:lang w:val="en-GB"/>
        </w:rPr>
        <w:t>The</w:t>
      </w:r>
      <w:r w:rsidRPr="00880C84">
        <w:rPr>
          <w:bCs/>
        </w:rPr>
        <w:t xml:space="preserve"> PBAC did not recommend </w:t>
      </w:r>
      <w:r w:rsidR="00EC72C9">
        <w:rPr>
          <w:bCs/>
        </w:rPr>
        <w:t xml:space="preserve">Authority </w:t>
      </w:r>
      <w:proofErr w:type="gramStart"/>
      <w:r w:rsidR="00EC72C9">
        <w:rPr>
          <w:bCs/>
        </w:rPr>
        <w:t>Required</w:t>
      </w:r>
      <w:proofErr w:type="gramEnd"/>
      <w:r w:rsidRPr="00880C84">
        <w:rPr>
          <w:bCs/>
        </w:rPr>
        <w:t xml:space="preserve"> listing for </w:t>
      </w:r>
      <w:proofErr w:type="spellStart"/>
      <w:r w:rsidRPr="00880C84">
        <w:rPr>
          <w:bCs/>
        </w:rPr>
        <w:t>pralatrexate</w:t>
      </w:r>
      <w:proofErr w:type="spellEnd"/>
      <w:r w:rsidRPr="00880C84">
        <w:rPr>
          <w:bCs/>
        </w:rPr>
        <w:t xml:space="preserve"> for treatment of relapsed or refractory peripheral T-Cell lymphoma</w:t>
      </w:r>
      <w:r w:rsidR="00FE1AB8">
        <w:rPr>
          <w:bCs/>
        </w:rPr>
        <w:t>.</w:t>
      </w:r>
      <w:r w:rsidR="006E6BF4" w:rsidRPr="006E6BF4">
        <w:rPr>
          <w:lang w:val="en-GB"/>
        </w:rPr>
        <w:t xml:space="preserve"> </w:t>
      </w:r>
      <w:r w:rsidR="006E6BF4" w:rsidRPr="0070590E">
        <w:rPr>
          <w:lang w:val="en-GB"/>
        </w:rPr>
        <w:t xml:space="preserve">In reaching this conclusion, the PBAC considered that </w:t>
      </w:r>
      <w:r w:rsidR="006E6BF4">
        <w:rPr>
          <w:bCs/>
          <w:szCs w:val="22"/>
        </w:rPr>
        <w:t>there was i</w:t>
      </w:r>
      <w:r w:rsidR="006E6BF4" w:rsidRPr="00880C84">
        <w:rPr>
          <w:bCs/>
          <w:szCs w:val="22"/>
        </w:rPr>
        <w:t xml:space="preserve">nsufficient evidence of </w:t>
      </w:r>
      <w:r w:rsidR="006E6BF4">
        <w:rPr>
          <w:bCs/>
          <w:szCs w:val="22"/>
        </w:rPr>
        <w:t xml:space="preserve">the </w:t>
      </w:r>
      <w:r w:rsidR="005664FB">
        <w:rPr>
          <w:bCs/>
          <w:szCs w:val="22"/>
        </w:rPr>
        <w:t xml:space="preserve">incremental </w:t>
      </w:r>
      <w:r w:rsidR="006E6BF4" w:rsidRPr="00880C84">
        <w:rPr>
          <w:bCs/>
          <w:szCs w:val="22"/>
        </w:rPr>
        <w:t>clinical benefit</w:t>
      </w:r>
      <w:r w:rsidR="006E6BF4">
        <w:rPr>
          <w:bCs/>
          <w:szCs w:val="22"/>
        </w:rPr>
        <w:t xml:space="preserve"> against currently available treatments</w:t>
      </w:r>
      <w:r w:rsidR="00C722AD">
        <w:rPr>
          <w:bCs/>
          <w:szCs w:val="22"/>
        </w:rPr>
        <w:t xml:space="preserve">, concerns regarding a high burden of adverse events, </w:t>
      </w:r>
      <w:r w:rsidR="006E6BF4">
        <w:rPr>
          <w:bCs/>
          <w:szCs w:val="22"/>
        </w:rPr>
        <w:t xml:space="preserve">and economic modelling was not reliable to enable the Committee to determine the cost-effectiveness of the </w:t>
      </w:r>
      <w:proofErr w:type="spellStart"/>
      <w:r w:rsidR="006E6BF4">
        <w:rPr>
          <w:bCs/>
          <w:szCs w:val="22"/>
        </w:rPr>
        <w:t>pralatrexate</w:t>
      </w:r>
      <w:proofErr w:type="spellEnd"/>
      <w:r w:rsidR="006E6BF4">
        <w:rPr>
          <w:bCs/>
          <w:szCs w:val="22"/>
        </w:rPr>
        <w:t xml:space="preserve"> in the Australian context. </w:t>
      </w:r>
    </w:p>
    <w:p w:rsidR="00D3113C" w:rsidRPr="00880C84" w:rsidRDefault="006E6BF4" w:rsidP="00D7230A">
      <w:pPr>
        <w:pStyle w:val="PBACHeading1"/>
        <w:numPr>
          <w:ilvl w:val="0"/>
          <w:numId w:val="0"/>
        </w:numPr>
        <w:ind w:left="720" w:hanging="720"/>
      </w:pPr>
      <w:r w:rsidRPr="0070590E">
        <w:rPr>
          <w:lang w:val="en-GB"/>
        </w:rPr>
        <w:t xml:space="preserve"> </w:t>
      </w:r>
    </w:p>
    <w:p w:rsidR="006D223A" w:rsidRPr="00EC72C9" w:rsidRDefault="00651383" w:rsidP="00733B01">
      <w:pPr>
        <w:numPr>
          <w:ilvl w:val="1"/>
          <w:numId w:val="1"/>
        </w:numPr>
        <w:ind w:left="720"/>
        <w:contextualSpacing/>
        <w:rPr>
          <w:bCs/>
          <w:szCs w:val="22"/>
        </w:rPr>
      </w:pPr>
      <w:r w:rsidRPr="00EC72C9">
        <w:rPr>
          <w:bCs/>
          <w:szCs w:val="22"/>
          <w:lang w:val="en-GB"/>
        </w:rPr>
        <w:t xml:space="preserve">The PBAC accepted that </w:t>
      </w:r>
      <w:r w:rsidR="00D7230A" w:rsidRPr="00EC72C9">
        <w:t>the basket of treatments was the appropriate the main comparator</w:t>
      </w:r>
      <w:r w:rsidR="00D7230A" w:rsidRPr="00EC72C9">
        <w:rPr>
          <w:bCs/>
          <w:szCs w:val="22"/>
          <w:lang w:val="en-GB"/>
        </w:rPr>
        <w:t xml:space="preserve">. </w:t>
      </w:r>
    </w:p>
    <w:p w:rsidR="00D7230A" w:rsidRPr="00EC72C9" w:rsidRDefault="00D7230A" w:rsidP="00D7230A">
      <w:pPr>
        <w:pStyle w:val="PBACHeading1"/>
        <w:numPr>
          <w:ilvl w:val="0"/>
          <w:numId w:val="0"/>
        </w:numPr>
      </w:pPr>
    </w:p>
    <w:p w:rsidR="00FE1AB8" w:rsidRPr="00EC72C9" w:rsidRDefault="00D7230A" w:rsidP="00880C84">
      <w:pPr>
        <w:numPr>
          <w:ilvl w:val="1"/>
          <w:numId w:val="1"/>
        </w:numPr>
        <w:ind w:left="720"/>
        <w:contextualSpacing/>
        <w:rPr>
          <w:bCs/>
          <w:szCs w:val="22"/>
          <w:lang w:val="en-GB"/>
        </w:rPr>
      </w:pPr>
      <w:r w:rsidRPr="00EC72C9">
        <w:rPr>
          <w:bCs/>
          <w:szCs w:val="22"/>
          <w:lang w:val="en-GB"/>
        </w:rPr>
        <w:t xml:space="preserve">The PBAC noted that the </w:t>
      </w:r>
      <w:r w:rsidRPr="00EC72C9">
        <w:t xml:space="preserve">PDX-008 trial of </w:t>
      </w:r>
      <w:proofErr w:type="spellStart"/>
      <w:r w:rsidRPr="00EC72C9">
        <w:t>pralatrexate</w:t>
      </w:r>
      <w:proofErr w:type="spellEnd"/>
      <w:r w:rsidRPr="00EC72C9">
        <w:t xml:space="preserve"> was a single arm study, which by its nature is subject to biases. The PBAC recalled that other submissions, including </w:t>
      </w:r>
      <w:proofErr w:type="spellStart"/>
      <w:r w:rsidRPr="00EC72C9">
        <w:rPr>
          <w:szCs w:val="22"/>
        </w:rPr>
        <w:t>brentuximab</w:t>
      </w:r>
      <w:proofErr w:type="spellEnd"/>
      <w:r w:rsidRPr="00EC72C9">
        <w:rPr>
          <w:szCs w:val="22"/>
        </w:rPr>
        <w:t xml:space="preserve"> for the treatment of adult patients with relapsed or refractory systemic anaplastic large cell lymphoma, have utilised a matched cohort analysis to </w:t>
      </w:r>
      <w:r w:rsidR="00FE1AB8" w:rsidRPr="00EC72C9">
        <w:rPr>
          <w:szCs w:val="22"/>
        </w:rPr>
        <w:t>quantify</w:t>
      </w:r>
      <w:r w:rsidRPr="00EC72C9">
        <w:rPr>
          <w:szCs w:val="22"/>
        </w:rPr>
        <w:t xml:space="preserve"> the comparative clinical </w:t>
      </w:r>
      <w:r w:rsidR="00FE1AB8" w:rsidRPr="00EC72C9">
        <w:rPr>
          <w:szCs w:val="22"/>
        </w:rPr>
        <w:t>efficacy</w:t>
      </w:r>
      <w:r w:rsidRPr="00EC72C9">
        <w:rPr>
          <w:szCs w:val="22"/>
        </w:rPr>
        <w:t xml:space="preserve"> of treatments in small patient populations. While </w:t>
      </w:r>
      <w:r w:rsidR="00CA3525" w:rsidRPr="00EC72C9">
        <w:rPr>
          <w:szCs w:val="22"/>
        </w:rPr>
        <w:t xml:space="preserve">the PBAC considered that this analysis was appropriate, the Committee was concerned about the methodology used in the submission, where </w:t>
      </w:r>
      <w:r w:rsidR="0073564C">
        <w:rPr>
          <w:szCs w:val="22"/>
        </w:rPr>
        <w:t>the</w:t>
      </w:r>
      <w:r w:rsidR="00CA3525" w:rsidRPr="00EC72C9">
        <w:rPr>
          <w:szCs w:val="22"/>
        </w:rPr>
        <w:t xml:space="preserve"> submission presented the most optimistic clinical benefit of a small sub-group of patients in the PDX-008 trial </w:t>
      </w:r>
      <w:r w:rsidR="006B055E">
        <w:rPr>
          <w:szCs w:val="22"/>
        </w:rPr>
        <w:t xml:space="preserve">compared to </w:t>
      </w:r>
      <w:r w:rsidR="00CA3525" w:rsidRPr="00EC72C9">
        <w:rPr>
          <w:szCs w:val="22"/>
        </w:rPr>
        <w:t>the historical control cohort</w:t>
      </w:r>
      <w:r w:rsidR="00FE1AB8" w:rsidRPr="00EC72C9">
        <w:rPr>
          <w:szCs w:val="22"/>
        </w:rPr>
        <w:t xml:space="preserve"> (</w:t>
      </w:r>
      <w:r w:rsidR="00FE1AB8" w:rsidRPr="00EC72C9">
        <w:t xml:space="preserve">median survival of 19 and </w:t>
      </w:r>
      <w:r w:rsidR="00685063">
        <w:rPr>
          <w:noProof/>
          <w:color w:val="000000"/>
          <w:highlight w:val="black"/>
        </w:rPr>
        <w:t>'''''''</w:t>
      </w:r>
      <w:r w:rsidR="00FE1AB8" w:rsidRPr="00EC72C9">
        <w:t xml:space="preserve"> months respectively)</w:t>
      </w:r>
      <w:r w:rsidR="00CA3525" w:rsidRPr="00EC72C9">
        <w:rPr>
          <w:szCs w:val="22"/>
        </w:rPr>
        <w:t xml:space="preserve">. </w:t>
      </w:r>
      <w:r w:rsidR="00CA3525" w:rsidRPr="00EC72C9">
        <w:t xml:space="preserve">The </w:t>
      </w:r>
      <w:r w:rsidR="00FE1AB8" w:rsidRPr="00EC72C9">
        <w:t xml:space="preserve">PBAC noted that the </w:t>
      </w:r>
      <w:r w:rsidR="00CA3525" w:rsidRPr="00EC72C9">
        <w:t xml:space="preserve">hazard ratio for overall survival in the base case </w:t>
      </w:r>
      <w:r w:rsidR="00FE1AB8" w:rsidRPr="00EC72C9">
        <w:t xml:space="preserve">matched controls analysis (MCA) </w:t>
      </w:r>
      <w:r w:rsidR="00CA3525" w:rsidRPr="00EC72C9">
        <w:t xml:space="preserve">was </w:t>
      </w:r>
      <w:r w:rsidR="00685063">
        <w:rPr>
          <w:noProof/>
          <w:color w:val="000000"/>
          <w:highlight w:val="black"/>
        </w:rPr>
        <w:t>''''''''''''</w:t>
      </w:r>
      <w:r w:rsidR="00CA3525" w:rsidRPr="00EC72C9">
        <w:t xml:space="preserve"> (95%CI: </w:t>
      </w:r>
      <w:r w:rsidR="00685063">
        <w:rPr>
          <w:noProof/>
          <w:color w:val="000000"/>
          <w:highlight w:val="black"/>
        </w:rPr>
        <w:t>'''''''''''''</w:t>
      </w:r>
      <w:r w:rsidR="00CA3525" w:rsidRPr="00EC72C9">
        <w:t xml:space="preserve">, </w:t>
      </w:r>
      <w:r w:rsidR="00685063">
        <w:rPr>
          <w:noProof/>
          <w:color w:val="000000"/>
          <w:highlight w:val="black"/>
        </w:rPr>
        <w:t>'''''''''''''''</w:t>
      </w:r>
      <w:r w:rsidR="00CA3525" w:rsidRPr="00EC72C9">
        <w:t xml:space="preserve">) </w:t>
      </w:r>
      <w:r w:rsidR="00FE1AB8" w:rsidRPr="00EC72C9">
        <w:t>while using different matching methodologies, hazard ratio was</w:t>
      </w:r>
      <w:r w:rsidR="00CA3525" w:rsidRPr="00EC72C9">
        <w:t xml:space="preserve"> </w:t>
      </w:r>
      <w:r w:rsidR="00685063">
        <w:rPr>
          <w:noProof/>
          <w:color w:val="000000"/>
          <w:highlight w:val="black"/>
        </w:rPr>
        <w:t>''''''''''''''</w:t>
      </w:r>
      <w:r w:rsidR="00CA3525" w:rsidRPr="00EC72C9">
        <w:t xml:space="preserve"> (95%CI: </w:t>
      </w:r>
      <w:r w:rsidR="00685063">
        <w:rPr>
          <w:noProof/>
          <w:color w:val="000000"/>
          <w:highlight w:val="black"/>
        </w:rPr>
        <w:t>'''''''''''''</w:t>
      </w:r>
      <w:r w:rsidR="00CA3525" w:rsidRPr="00EC72C9">
        <w:t xml:space="preserve">, </w:t>
      </w:r>
      <w:r w:rsidR="00685063">
        <w:rPr>
          <w:noProof/>
          <w:color w:val="000000"/>
          <w:highlight w:val="black"/>
        </w:rPr>
        <w:t>''''''''''''</w:t>
      </w:r>
      <w:r w:rsidR="00CA3525" w:rsidRPr="00EC72C9">
        <w:t xml:space="preserve">) and </w:t>
      </w:r>
      <w:r w:rsidR="00685063">
        <w:rPr>
          <w:noProof/>
          <w:color w:val="000000"/>
          <w:highlight w:val="black"/>
        </w:rPr>
        <w:t>'''''''''''''</w:t>
      </w:r>
      <w:r w:rsidR="00CA3525" w:rsidRPr="00EC72C9">
        <w:t xml:space="preserve"> (95%CI: </w:t>
      </w:r>
      <w:r w:rsidR="00685063">
        <w:rPr>
          <w:noProof/>
          <w:color w:val="000000"/>
          <w:highlight w:val="black"/>
        </w:rPr>
        <w:t>'''''''''''''''</w:t>
      </w:r>
      <w:r w:rsidR="00CA3525" w:rsidRPr="00EC72C9">
        <w:t xml:space="preserve">, </w:t>
      </w:r>
      <w:r w:rsidR="00685063">
        <w:rPr>
          <w:noProof/>
          <w:color w:val="000000"/>
          <w:highlight w:val="black"/>
        </w:rPr>
        <w:t>'''''''''''''</w:t>
      </w:r>
      <w:r w:rsidR="00CA3525" w:rsidRPr="00EC72C9">
        <w:t>)</w:t>
      </w:r>
      <w:r w:rsidR="00FE1AB8" w:rsidRPr="00EC72C9">
        <w:rPr>
          <w:szCs w:val="22"/>
        </w:rPr>
        <w:t xml:space="preserve">. </w:t>
      </w:r>
    </w:p>
    <w:p w:rsidR="00FE1AB8" w:rsidRPr="00EC72C9" w:rsidRDefault="00FE1AB8" w:rsidP="00FE1AB8">
      <w:pPr>
        <w:pStyle w:val="ListParagraph"/>
        <w:rPr>
          <w:bCs/>
          <w:szCs w:val="22"/>
          <w:lang w:val="en-GB"/>
        </w:rPr>
      </w:pPr>
    </w:p>
    <w:p w:rsidR="00FE1AB8" w:rsidRPr="00EC72C9" w:rsidRDefault="00FE1AB8" w:rsidP="00880C84">
      <w:pPr>
        <w:numPr>
          <w:ilvl w:val="1"/>
          <w:numId w:val="1"/>
        </w:numPr>
        <w:ind w:left="720"/>
        <w:contextualSpacing/>
        <w:rPr>
          <w:bCs/>
          <w:szCs w:val="22"/>
          <w:lang w:val="en-GB"/>
        </w:rPr>
      </w:pPr>
      <w:r w:rsidRPr="00EC72C9">
        <w:rPr>
          <w:bCs/>
          <w:szCs w:val="22"/>
          <w:lang w:val="en-GB"/>
        </w:rPr>
        <w:t xml:space="preserve">The </w:t>
      </w:r>
      <w:r w:rsidR="00470181" w:rsidRPr="00EC72C9">
        <w:rPr>
          <w:bCs/>
          <w:szCs w:val="22"/>
          <w:lang w:val="en-GB"/>
        </w:rPr>
        <w:t xml:space="preserve">PBAC considered that there is a clinical need for new effective treatments for the </w:t>
      </w:r>
      <w:r w:rsidR="00470181" w:rsidRPr="00EC72C9">
        <w:rPr>
          <w:bCs/>
        </w:rPr>
        <w:t>relapsed or refractory peripheral T-Cell lymphoma</w:t>
      </w:r>
      <w:r w:rsidR="00470181">
        <w:rPr>
          <w:bCs/>
        </w:rPr>
        <w:t>,</w:t>
      </w:r>
      <w:r w:rsidR="00470181" w:rsidRPr="00EC72C9">
        <w:rPr>
          <w:bCs/>
        </w:rPr>
        <w:t xml:space="preserve"> and noted that this view was reiterated in the pre-PBAC response. The PBAC considered that the</w:t>
      </w:r>
      <w:r w:rsidR="00470181">
        <w:rPr>
          <w:bCs/>
        </w:rPr>
        <w:t xml:space="preserve">re was insufficient </w:t>
      </w:r>
      <w:r w:rsidR="00470181" w:rsidRPr="00EC72C9">
        <w:rPr>
          <w:bCs/>
        </w:rPr>
        <w:t xml:space="preserve"> </w:t>
      </w:r>
      <w:r w:rsidR="00470181">
        <w:rPr>
          <w:bCs/>
        </w:rPr>
        <w:t xml:space="preserve">evidence of </w:t>
      </w:r>
      <w:r w:rsidR="00470181" w:rsidRPr="00EC72C9">
        <w:rPr>
          <w:bCs/>
        </w:rPr>
        <w:t xml:space="preserve">incremental benefit of </w:t>
      </w:r>
      <w:proofErr w:type="spellStart"/>
      <w:r w:rsidR="00470181" w:rsidRPr="00EC72C9">
        <w:rPr>
          <w:bCs/>
        </w:rPr>
        <w:t>pralatrexate</w:t>
      </w:r>
      <w:proofErr w:type="spellEnd"/>
      <w:r w:rsidR="00470181" w:rsidRPr="00EC72C9">
        <w:rPr>
          <w:bCs/>
        </w:rPr>
        <w:t xml:space="preserve"> </w:t>
      </w:r>
      <w:r w:rsidR="00470181">
        <w:rPr>
          <w:bCs/>
        </w:rPr>
        <w:t xml:space="preserve">versus comparators, based  on </w:t>
      </w:r>
      <w:r w:rsidR="00470181" w:rsidRPr="00EC72C9">
        <w:t>evidence from study PDX-008</w:t>
      </w:r>
      <w:r w:rsidR="00470181">
        <w:t xml:space="preserve">, in </w:t>
      </w:r>
      <w:r w:rsidR="00470181" w:rsidRPr="00EC72C9">
        <w:t xml:space="preserve"> </w:t>
      </w:r>
      <w:r w:rsidR="00470181">
        <w:t xml:space="preserve">which median progression-free survival was 3.5 months, </w:t>
      </w:r>
      <w:r w:rsidR="00470181" w:rsidRPr="00EC72C9">
        <w:t xml:space="preserve">and a meta-analysis of fourteen single arm comparisons indicated that the overall response rate for </w:t>
      </w:r>
      <w:proofErr w:type="spellStart"/>
      <w:r w:rsidR="00470181" w:rsidRPr="00EC72C9">
        <w:t>pralatrexate</w:t>
      </w:r>
      <w:proofErr w:type="spellEnd"/>
      <w:r w:rsidR="00470181" w:rsidRPr="00EC72C9">
        <w:t xml:space="preserve"> was not improved compared to </w:t>
      </w:r>
      <w:proofErr w:type="spellStart"/>
      <w:r w:rsidR="00470181" w:rsidRPr="00EC72C9">
        <w:lastRenderedPageBreak/>
        <w:t>brentuximab</w:t>
      </w:r>
      <w:proofErr w:type="spellEnd"/>
      <w:r w:rsidR="00470181" w:rsidRPr="00EC72C9">
        <w:t xml:space="preserve"> or combination therapies. </w:t>
      </w:r>
      <w:r w:rsidR="00470181" w:rsidRPr="00EC72C9">
        <w:rPr>
          <w:bCs/>
        </w:rPr>
        <w:t xml:space="preserve"> Overall, the </w:t>
      </w:r>
      <w:r w:rsidR="00470181" w:rsidRPr="00EC72C9">
        <w:rPr>
          <w:bCs/>
          <w:szCs w:val="22"/>
        </w:rPr>
        <w:t>PBAC considered that the claim of superior comparative effectiveness was not adequately supported by the data in the submission.</w:t>
      </w:r>
    </w:p>
    <w:p w:rsidR="00FE1AB8" w:rsidRPr="00EC72C9" w:rsidRDefault="00FE1AB8" w:rsidP="00FE1AB8">
      <w:pPr>
        <w:pStyle w:val="ListParagraph"/>
        <w:rPr>
          <w:bCs/>
          <w:szCs w:val="22"/>
          <w:lang w:val="en-GB"/>
        </w:rPr>
      </w:pPr>
    </w:p>
    <w:p w:rsidR="00D3113C" w:rsidRPr="00EC72C9" w:rsidRDefault="000B45AC" w:rsidP="000B45AC">
      <w:pPr>
        <w:numPr>
          <w:ilvl w:val="1"/>
          <w:numId w:val="1"/>
        </w:numPr>
        <w:ind w:left="720"/>
        <w:contextualSpacing/>
        <w:rPr>
          <w:bCs/>
          <w:szCs w:val="22"/>
          <w:lang w:val="en-GB"/>
        </w:rPr>
      </w:pPr>
      <w:r w:rsidRPr="00EC72C9">
        <w:rPr>
          <w:bCs/>
          <w:szCs w:val="22"/>
          <w:lang w:val="en-GB"/>
        </w:rPr>
        <w:t xml:space="preserve">The PBAC noted </w:t>
      </w:r>
      <w:r w:rsidR="0073564C">
        <w:rPr>
          <w:bCs/>
          <w:szCs w:val="22"/>
          <w:lang w:val="en-GB"/>
        </w:rPr>
        <w:t xml:space="preserve">study </w:t>
      </w:r>
      <w:r w:rsidR="00D3113C" w:rsidRPr="00EC72C9">
        <w:rPr>
          <w:bCs/>
        </w:rPr>
        <w:t xml:space="preserve">PDX-008 </w:t>
      </w:r>
      <w:r w:rsidRPr="00EC72C9">
        <w:rPr>
          <w:bCs/>
        </w:rPr>
        <w:t xml:space="preserve">was </w:t>
      </w:r>
      <w:r w:rsidR="00D3113C" w:rsidRPr="00EC72C9">
        <w:rPr>
          <w:bCs/>
        </w:rPr>
        <w:t>associated with high burden of adverse events</w:t>
      </w:r>
      <w:r w:rsidRPr="00EC72C9">
        <w:rPr>
          <w:bCs/>
          <w:szCs w:val="22"/>
          <w:lang w:val="en-GB"/>
        </w:rPr>
        <w:t xml:space="preserve">, where </w:t>
      </w:r>
      <w:r w:rsidR="00D3113C" w:rsidRPr="00EC72C9">
        <w:rPr>
          <w:bCs/>
          <w:szCs w:val="22"/>
        </w:rPr>
        <w:t xml:space="preserve">25% of patients had ≥ 1 treatment-related serious adverse event, </w:t>
      </w:r>
      <w:proofErr w:type="gramStart"/>
      <w:r w:rsidR="00D3113C" w:rsidRPr="00EC72C9">
        <w:rPr>
          <w:bCs/>
          <w:szCs w:val="22"/>
        </w:rPr>
        <w:t>23</w:t>
      </w:r>
      <w:proofErr w:type="gramEnd"/>
      <w:r w:rsidR="00D3113C" w:rsidRPr="00EC72C9">
        <w:rPr>
          <w:bCs/>
          <w:szCs w:val="22"/>
        </w:rPr>
        <w:t>% of patients in PDX-008 discontinued treatment due to adverse events</w:t>
      </w:r>
      <w:r w:rsidRPr="00EC72C9">
        <w:rPr>
          <w:bCs/>
          <w:szCs w:val="22"/>
        </w:rPr>
        <w:t>. The PBAC noted the discussion of comparative safety by the sponsor in the PSCR and the pre-PBAC response, but considered that the evidence</w:t>
      </w:r>
      <w:r w:rsidR="0073564C">
        <w:rPr>
          <w:bCs/>
          <w:szCs w:val="22"/>
        </w:rPr>
        <w:t xml:space="preserve"> presented in the submission</w:t>
      </w:r>
      <w:r w:rsidRPr="00EC72C9">
        <w:rPr>
          <w:bCs/>
          <w:szCs w:val="22"/>
        </w:rPr>
        <w:t xml:space="preserve"> did not support the claim of </w:t>
      </w:r>
      <w:r w:rsidRPr="00EC72C9">
        <w:rPr>
          <w:szCs w:val="22"/>
        </w:rPr>
        <w:t>claim of non-inferior comparative safety in the submission</w:t>
      </w:r>
      <w:r w:rsidR="00827BA3" w:rsidRPr="00EC72C9">
        <w:rPr>
          <w:szCs w:val="22"/>
        </w:rPr>
        <w:t xml:space="preserve">. </w:t>
      </w:r>
    </w:p>
    <w:p w:rsidR="00827BA3" w:rsidRPr="00EC72C9" w:rsidRDefault="00827BA3" w:rsidP="00827BA3">
      <w:pPr>
        <w:pStyle w:val="ListParagraph"/>
        <w:rPr>
          <w:bCs/>
          <w:szCs w:val="22"/>
          <w:lang w:val="en-GB"/>
        </w:rPr>
      </w:pPr>
    </w:p>
    <w:p w:rsidR="00827BA3" w:rsidRPr="00EC72C9" w:rsidRDefault="00827BA3" w:rsidP="000B45AC">
      <w:pPr>
        <w:numPr>
          <w:ilvl w:val="1"/>
          <w:numId w:val="1"/>
        </w:numPr>
        <w:ind w:left="720"/>
        <w:contextualSpacing/>
        <w:rPr>
          <w:bCs/>
          <w:szCs w:val="22"/>
          <w:lang w:val="en-GB"/>
        </w:rPr>
      </w:pPr>
      <w:r w:rsidRPr="00EC72C9">
        <w:rPr>
          <w:bCs/>
          <w:szCs w:val="22"/>
          <w:lang w:val="en-GB"/>
        </w:rPr>
        <w:t xml:space="preserve">The PBAC agreed with the ESC that </w:t>
      </w:r>
      <w:r w:rsidRPr="00EC72C9">
        <w:t>there was insufficient clinical evidence to support the claim of superior efficacy and non-inferior safety</w:t>
      </w:r>
      <w:r w:rsidR="00DD7A27">
        <w:t>,</w:t>
      </w:r>
      <w:r w:rsidRPr="00EC72C9">
        <w:t xml:space="preserve"> and therefore considered the economic evaluation presented in the submission was neither informative nor meaningful. The PBAC noted that, as presented in the submission, the ESC considered that the model was not sufficiently reliable to provide a plausible estimate of value for money for the listing of </w:t>
      </w:r>
      <w:proofErr w:type="spellStart"/>
      <w:r w:rsidRPr="00EC72C9">
        <w:t>pralatrexate</w:t>
      </w:r>
      <w:proofErr w:type="spellEnd"/>
      <w:r w:rsidRPr="00EC72C9">
        <w:t xml:space="preserve">. The PBAC noted that of the </w:t>
      </w:r>
      <w:r w:rsidR="0073564C">
        <w:t xml:space="preserve">many </w:t>
      </w:r>
      <w:r w:rsidRPr="00EC72C9">
        <w:t>issues raised by ESC, the pre-PBAC response only addressed the issue of post-progression costs</w:t>
      </w:r>
      <w:r w:rsidR="00187E6B" w:rsidRPr="00EC72C9">
        <w:t xml:space="preserve">, which reiterated that these costs should not be incorporated into the economic modelling. The PBAC considered that a model should include post-treatment costs, as </w:t>
      </w:r>
      <w:r w:rsidR="0073564C">
        <w:t>in the case of t</w:t>
      </w:r>
      <w:r w:rsidR="00187E6B" w:rsidRPr="00EC72C9">
        <w:t xml:space="preserve">he economic model of </w:t>
      </w:r>
      <w:proofErr w:type="spellStart"/>
      <w:r w:rsidR="00187E6B" w:rsidRPr="00EC72C9">
        <w:rPr>
          <w:szCs w:val="22"/>
        </w:rPr>
        <w:t>brentuximab</w:t>
      </w:r>
      <w:proofErr w:type="spellEnd"/>
      <w:r w:rsidR="00187E6B" w:rsidRPr="00EC72C9">
        <w:rPr>
          <w:szCs w:val="22"/>
        </w:rPr>
        <w:t xml:space="preserve"> for the treatment of adult patients with relapsed or refractory systemic anaplastic large cell lymphoma</w:t>
      </w:r>
      <w:r w:rsidR="0073564C">
        <w:rPr>
          <w:szCs w:val="22"/>
        </w:rPr>
        <w:t>, recommended</w:t>
      </w:r>
      <w:r w:rsidR="00187E6B" w:rsidRPr="00EC72C9">
        <w:rPr>
          <w:szCs w:val="22"/>
        </w:rPr>
        <w:t xml:space="preserve"> at the March and July 2014 PBAC meetings. </w:t>
      </w:r>
    </w:p>
    <w:p w:rsidR="00A31550" w:rsidRPr="00EC72C9" w:rsidRDefault="00A31550" w:rsidP="00A31550">
      <w:pPr>
        <w:pStyle w:val="ListParagraph"/>
        <w:rPr>
          <w:bCs/>
          <w:szCs w:val="22"/>
          <w:lang w:val="en-GB"/>
        </w:rPr>
      </w:pPr>
    </w:p>
    <w:p w:rsidR="00A31550" w:rsidRPr="00EC72C9" w:rsidRDefault="00A31550" w:rsidP="000B45AC">
      <w:pPr>
        <w:numPr>
          <w:ilvl w:val="1"/>
          <w:numId w:val="1"/>
        </w:numPr>
        <w:ind w:left="720"/>
        <w:contextualSpacing/>
        <w:rPr>
          <w:bCs/>
          <w:szCs w:val="22"/>
          <w:lang w:val="en-GB"/>
        </w:rPr>
      </w:pPr>
      <w:r w:rsidRPr="00EC72C9">
        <w:rPr>
          <w:bCs/>
          <w:szCs w:val="22"/>
          <w:lang w:val="en-GB"/>
        </w:rPr>
        <w:t xml:space="preserve">The PBAC considered, at the price requested, that the </w:t>
      </w:r>
      <w:r w:rsidRPr="00EC72C9">
        <w:t xml:space="preserve">net cost to government </w:t>
      </w:r>
      <w:r w:rsidR="0073564C">
        <w:t>may be</w:t>
      </w:r>
      <w:r w:rsidRPr="00EC72C9">
        <w:t xml:space="preserve"> greater than the estimate in the submission.</w:t>
      </w:r>
      <w:r w:rsidRPr="00EC72C9">
        <w:rPr>
          <w:bCs/>
          <w:szCs w:val="22"/>
          <w:lang w:val="en-GB"/>
        </w:rPr>
        <w:t xml:space="preserve"> </w:t>
      </w:r>
    </w:p>
    <w:p w:rsidR="00D3113C" w:rsidRPr="00EC72C9" w:rsidRDefault="00D3113C" w:rsidP="00827BA3">
      <w:pPr>
        <w:ind w:left="720"/>
        <w:contextualSpacing/>
        <w:rPr>
          <w:bCs/>
          <w:szCs w:val="22"/>
        </w:rPr>
      </w:pPr>
    </w:p>
    <w:p w:rsidR="00A31550" w:rsidRPr="00FD3FA7" w:rsidRDefault="00A31550" w:rsidP="00FD3FA7">
      <w:pPr>
        <w:numPr>
          <w:ilvl w:val="1"/>
          <w:numId w:val="1"/>
        </w:numPr>
        <w:ind w:left="720"/>
      </w:pPr>
      <w:r w:rsidRPr="00EC72C9">
        <w:rPr>
          <w:lang w:val="en-GB"/>
        </w:rPr>
        <w:t xml:space="preserve">The PBAC noted that </w:t>
      </w:r>
      <w:r w:rsidRPr="00EC72C9">
        <w:t>patients in the PDX-008 trial had a median of 3 lines prior therapy</w:t>
      </w:r>
      <w:r w:rsidR="005F5321">
        <w:t>,</w:t>
      </w:r>
      <w:r w:rsidRPr="00EC72C9">
        <w:t xml:space="preserve"> but considered that a second </w:t>
      </w:r>
      <w:r w:rsidR="00E616E8">
        <w:t xml:space="preserve">or later </w:t>
      </w:r>
      <w:r w:rsidRPr="00EC72C9">
        <w:t xml:space="preserve">line listing as proposed in the submission was the appropriate clinical place for </w:t>
      </w:r>
      <w:proofErr w:type="spellStart"/>
      <w:r w:rsidRPr="00EC72C9">
        <w:t>pralatrexate</w:t>
      </w:r>
      <w:proofErr w:type="spellEnd"/>
      <w:r w:rsidRPr="00EC72C9">
        <w:t>.</w:t>
      </w:r>
      <w:r w:rsidRPr="00EC72C9">
        <w:rPr>
          <w:lang w:val="en-GB"/>
        </w:rPr>
        <w:t xml:space="preserve"> The PBAC considered that the following would need to be addressed in a major resubmission: present </w:t>
      </w:r>
      <w:r w:rsidR="00DD7A27">
        <w:rPr>
          <w:lang w:val="en-GB"/>
        </w:rPr>
        <w:t xml:space="preserve">more robust </w:t>
      </w:r>
      <w:r w:rsidRPr="00EC72C9">
        <w:rPr>
          <w:lang w:val="en-GB"/>
        </w:rPr>
        <w:t xml:space="preserve">evidence to demonstrate the comparative efficacy and safety of </w:t>
      </w:r>
      <w:proofErr w:type="spellStart"/>
      <w:r w:rsidRPr="00EC72C9">
        <w:rPr>
          <w:lang w:val="en-GB"/>
        </w:rPr>
        <w:t>pralatrexate</w:t>
      </w:r>
      <w:proofErr w:type="spellEnd"/>
      <w:r w:rsidRPr="00EC72C9">
        <w:rPr>
          <w:lang w:val="en-GB"/>
        </w:rPr>
        <w:t xml:space="preserve"> </w:t>
      </w:r>
      <w:r w:rsidR="0073564C">
        <w:rPr>
          <w:lang w:val="en-GB"/>
        </w:rPr>
        <w:t>over</w:t>
      </w:r>
      <w:r w:rsidRPr="00EC72C9">
        <w:rPr>
          <w:lang w:val="en-GB"/>
        </w:rPr>
        <w:t xml:space="preserve"> the comparators, </w:t>
      </w:r>
      <w:r w:rsidR="00A315D8">
        <w:rPr>
          <w:lang w:val="en-GB"/>
        </w:rPr>
        <w:t xml:space="preserve">ideally </w:t>
      </w:r>
      <w:r w:rsidRPr="00EC72C9">
        <w:rPr>
          <w:lang w:val="en-GB"/>
        </w:rPr>
        <w:t>including other evidence of clinical benefit, such as Quality of Life data</w:t>
      </w:r>
      <w:r w:rsidR="00FD3FA7" w:rsidRPr="00EC72C9">
        <w:rPr>
          <w:lang w:val="en-GB"/>
        </w:rPr>
        <w:t>; and a</w:t>
      </w:r>
      <w:r w:rsidRPr="00EC72C9">
        <w:rPr>
          <w:lang w:val="en-GB"/>
        </w:rPr>
        <w:t xml:space="preserve"> </w:t>
      </w:r>
      <w:r w:rsidR="00FD3FA7" w:rsidRPr="00EC72C9">
        <w:rPr>
          <w:lang w:val="en-GB"/>
        </w:rPr>
        <w:t xml:space="preserve">substantially </w:t>
      </w:r>
      <w:r w:rsidRPr="00EC72C9">
        <w:rPr>
          <w:lang w:val="en-GB"/>
        </w:rPr>
        <w:t xml:space="preserve">updated economic evaluation </w:t>
      </w:r>
      <w:r w:rsidR="00FD3FA7" w:rsidRPr="00EC72C9">
        <w:rPr>
          <w:lang w:val="en-GB"/>
        </w:rPr>
        <w:t xml:space="preserve">addressing the concerns of ESC </w:t>
      </w:r>
      <w:r w:rsidRPr="00EC72C9">
        <w:rPr>
          <w:lang w:val="en-GB"/>
        </w:rPr>
        <w:t xml:space="preserve">and revised financial estimates. The PBAC </w:t>
      </w:r>
      <w:r w:rsidR="00FD3FA7" w:rsidRPr="00EC72C9">
        <w:rPr>
          <w:lang w:val="en-GB"/>
        </w:rPr>
        <w:t xml:space="preserve">recalled that </w:t>
      </w:r>
      <w:proofErr w:type="spellStart"/>
      <w:r w:rsidR="00FD3FA7" w:rsidRPr="00EC72C9">
        <w:rPr>
          <w:szCs w:val="22"/>
        </w:rPr>
        <w:t>brentuximab</w:t>
      </w:r>
      <w:proofErr w:type="spellEnd"/>
      <w:r w:rsidR="00FD3FA7" w:rsidRPr="00EC72C9">
        <w:rPr>
          <w:szCs w:val="22"/>
        </w:rPr>
        <w:t xml:space="preserve"> for the treatment of adult patients with relapsed or refractory systemic anaplastic large cell lymphoma</w:t>
      </w:r>
      <w:r w:rsidR="00FD3FA7" w:rsidRPr="00EC72C9">
        <w:rPr>
          <w:lang w:val="en-GB"/>
        </w:rPr>
        <w:t xml:space="preserve"> was accepted in the ICER</w:t>
      </w:r>
      <w:r w:rsidR="00FD3FA7">
        <w:rPr>
          <w:lang w:val="en-GB"/>
        </w:rPr>
        <w:t xml:space="preserve"> range of $</w:t>
      </w:r>
      <w:r w:rsidR="00FD3FA7" w:rsidRPr="00852486">
        <w:rPr>
          <w:lang w:val="en-GB"/>
        </w:rPr>
        <w:t>45,000</w:t>
      </w:r>
      <w:r w:rsidR="00FD3FA7">
        <w:rPr>
          <w:lang w:val="en-GB"/>
        </w:rPr>
        <w:t xml:space="preserve"> to $</w:t>
      </w:r>
      <w:r w:rsidR="00FD3FA7" w:rsidRPr="00E72C21">
        <w:rPr>
          <w:lang w:val="en-GB"/>
        </w:rPr>
        <w:t>75,000</w:t>
      </w:r>
      <w:r w:rsidR="0073564C">
        <w:rPr>
          <w:lang w:val="en-GB"/>
        </w:rPr>
        <w:t>/QALY</w:t>
      </w:r>
      <w:r w:rsidR="00FD3FA7">
        <w:rPr>
          <w:lang w:val="en-GB"/>
        </w:rPr>
        <w:t xml:space="preserve"> and the Committee </w:t>
      </w:r>
      <w:r w:rsidRPr="0070590E">
        <w:rPr>
          <w:lang w:val="en-GB"/>
        </w:rPr>
        <w:t>considered</w:t>
      </w:r>
      <w:r w:rsidR="00FD3FA7">
        <w:rPr>
          <w:lang w:val="en-GB"/>
        </w:rPr>
        <w:t xml:space="preserve">, </w:t>
      </w:r>
      <w:r w:rsidR="0073564C" w:rsidRPr="00FD3FA7">
        <w:t>given uncertainty of clinical benefit</w:t>
      </w:r>
      <w:r w:rsidR="00FD3FA7">
        <w:t xml:space="preserve">, </w:t>
      </w:r>
      <w:r w:rsidRPr="00FD3FA7">
        <w:rPr>
          <w:lang w:val="en-GB"/>
        </w:rPr>
        <w:t xml:space="preserve">that an ICER </w:t>
      </w:r>
      <w:r w:rsidR="00FD3FA7">
        <w:rPr>
          <w:lang w:val="en-GB"/>
        </w:rPr>
        <w:t>at the lower end of this range</w:t>
      </w:r>
      <w:r w:rsidRPr="00FD3FA7">
        <w:rPr>
          <w:lang w:val="en-GB"/>
        </w:rPr>
        <w:t xml:space="preserve"> </w:t>
      </w:r>
      <w:r w:rsidR="00470181">
        <w:rPr>
          <w:lang w:val="en-GB"/>
        </w:rPr>
        <w:t xml:space="preserve">would be needed </w:t>
      </w:r>
      <w:r w:rsidRPr="00FD3FA7">
        <w:rPr>
          <w:lang w:val="en-GB"/>
        </w:rPr>
        <w:t xml:space="preserve">in order for </w:t>
      </w:r>
      <w:proofErr w:type="spellStart"/>
      <w:r w:rsidR="00FD3FA7">
        <w:rPr>
          <w:lang w:val="en-GB"/>
        </w:rPr>
        <w:t>pralatrexate</w:t>
      </w:r>
      <w:proofErr w:type="spellEnd"/>
      <w:r w:rsidRPr="00FD3FA7">
        <w:rPr>
          <w:lang w:val="en-GB"/>
        </w:rPr>
        <w:t xml:space="preserve"> to be acceptably cost-effective</w:t>
      </w:r>
      <w:r w:rsidR="00FD3FA7">
        <w:rPr>
          <w:lang w:val="en-GB"/>
        </w:rPr>
        <w:t>.</w:t>
      </w:r>
    </w:p>
    <w:p w:rsidR="00D3113C" w:rsidRPr="00880C84" w:rsidRDefault="00D3113C" w:rsidP="00EC72C9">
      <w:pPr>
        <w:rPr>
          <w:bCs/>
          <w:szCs w:val="22"/>
        </w:rPr>
      </w:pPr>
    </w:p>
    <w:p w:rsidR="00D3113C" w:rsidRPr="00880C84" w:rsidRDefault="006D223A" w:rsidP="00733B01">
      <w:pPr>
        <w:numPr>
          <w:ilvl w:val="1"/>
          <w:numId w:val="1"/>
        </w:numPr>
        <w:ind w:left="720"/>
        <w:contextualSpacing/>
        <w:rPr>
          <w:bCs/>
          <w:szCs w:val="22"/>
        </w:rPr>
      </w:pPr>
      <w:r w:rsidRPr="00880C84">
        <w:rPr>
          <w:bCs/>
          <w:szCs w:val="22"/>
          <w:lang w:val="en-GB"/>
        </w:rPr>
        <w:t>The PBAC noted that this submission is eligible for an Independent Review.</w:t>
      </w:r>
    </w:p>
    <w:p w:rsidR="00FA2BF7" w:rsidRPr="00880C84" w:rsidRDefault="00FA2BF7" w:rsidP="00D3113C">
      <w:pPr>
        <w:pStyle w:val="PBACHeading1"/>
        <w:numPr>
          <w:ilvl w:val="0"/>
          <w:numId w:val="0"/>
        </w:numPr>
        <w:ind w:left="720"/>
        <w:rPr>
          <w:b w:val="0"/>
          <w:lang w:val="en-GB"/>
        </w:rPr>
      </w:pPr>
    </w:p>
    <w:p w:rsidR="00FA2BF7" w:rsidRPr="0073564C" w:rsidRDefault="00FA2BF7" w:rsidP="00CE78B5">
      <w:pPr>
        <w:pStyle w:val="Heading2"/>
        <w:rPr>
          <w:lang w:val="en-GB"/>
        </w:rPr>
      </w:pPr>
      <w:r w:rsidRPr="0073564C">
        <w:rPr>
          <w:lang w:val="en-GB"/>
        </w:rPr>
        <w:t>Outc</w:t>
      </w:r>
      <w:bookmarkStart w:id="17" w:name="_GoBack"/>
      <w:bookmarkEnd w:id="17"/>
      <w:r w:rsidRPr="0073564C">
        <w:rPr>
          <w:lang w:val="en-GB"/>
        </w:rPr>
        <w:t>ome:</w:t>
      </w:r>
    </w:p>
    <w:p w:rsidR="00FA2BF7" w:rsidRDefault="00FA2BF7" w:rsidP="00FA2BF7">
      <w:pPr>
        <w:rPr>
          <w:bCs/>
          <w:szCs w:val="22"/>
          <w:lang w:val="en-GB"/>
        </w:rPr>
      </w:pPr>
      <w:r w:rsidRPr="0073564C">
        <w:rPr>
          <w:bCs/>
          <w:szCs w:val="22"/>
          <w:lang w:val="en-GB"/>
        </w:rPr>
        <w:t xml:space="preserve">Rejected </w:t>
      </w:r>
    </w:p>
    <w:p w:rsidR="00237798" w:rsidRDefault="00237798" w:rsidP="00CE78B5">
      <w:pPr>
        <w:spacing w:line="480" w:lineRule="auto"/>
        <w:rPr>
          <w:bCs/>
          <w:szCs w:val="22"/>
          <w:lang w:val="en-GB"/>
        </w:rPr>
      </w:pPr>
    </w:p>
    <w:p w:rsidR="00237798" w:rsidRDefault="00237798" w:rsidP="00CE78B5">
      <w:pPr>
        <w:pStyle w:val="Heading1"/>
        <w:rPr>
          <w:rFonts w:eastAsia="SimSun"/>
        </w:rPr>
      </w:pPr>
      <w:r>
        <w:rPr>
          <w:rFonts w:eastAsia="SimSun"/>
        </w:rPr>
        <w:t>Context for Decision</w:t>
      </w:r>
    </w:p>
    <w:p w:rsidR="00237798" w:rsidRDefault="00237798" w:rsidP="00237798">
      <w:pPr>
        <w:ind w:left="720"/>
        <w:contextualSpacing/>
        <w:rPr>
          <w:b/>
        </w:rPr>
      </w:pPr>
    </w:p>
    <w:p w:rsidR="00237798" w:rsidRDefault="00237798" w:rsidP="00237798">
      <w:pPr>
        <w:ind w:left="720"/>
        <w:rPr>
          <w:bCs/>
          <w:szCs w:val="22"/>
        </w:rPr>
      </w:pPr>
      <w:r>
        <w:rPr>
          <w:bCs/>
          <w:szCs w:val="22"/>
        </w:rPr>
        <w:t xml:space="preserve">The PBAC helps decide whether and, if so, how medicines should be subsidised in Australia. It considers submissions in this context. A PBAC decision not to </w:t>
      </w:r>
      <w:r>
        <w:rPr>
          <w:bCs/>
          <w:szCs w:val="22"/>
        </w:rPr>
        <w:lastRenderedPageBreak/>
        <w:t>recommend listing or not to recommend changing a listing does not represent a final PBAC view about the merits of the medicine. A company can resubmit to the PBAC or seek independent review of the PBAC decision.</w:t>
      </w:r>
    </w:p>
    <w:p w:rsidR="00237798" w:rsidRDefault="00237798" w:rsidP="00237798"/>
    <w:p w:rsidR="00237798" w:rsidRDefault="00237798" w:rsidP="00CE78B5">
      <w:pPr>
        <w:pStyle w:val="Heading1"/>
        <w:rPr>
          <w:rFonts w:eastAsia="SimSun"/>
        </w:rPr>
      </w:pPr>
      <w:r>
        <w:rPr>
          <w:rFonts w:eastAsia="SimSun"/>
        </w:rPr>
        <w:t>Sponsor’s Comment</w:t>
      </w:r>
    </w:p>
    <w:p w:rsidR="00237798" w:rsidRDefault="00237798" w:rsidP="00237798">
      <w:pPr>
        <w:tabs>
          <w:tab w:val="left" w:pos="2940"/>
        </w:tabs>
        <w:rPr>
          <w:szCs w:val="22"/>
        </w:rPr>
      </w:pPr>
    </w:p>
    <w:p w:rsidR="00237798" w:rsidRPr="009E602A" w:rsidRDefault="009E602A" w:rsidP="00CE78B5">
      <w:pPr>
        <w:ind w:left="720"/>
        <w:rPr>
          <w:bCs/>
          <w:szCs w:val="22"/>
        </w:rPr>
      </w:pPr>
      <w:r w:rsidRPr="009E602A">
        <w:rPr>
          <w:bCs/>
          <w:szCs w:val="22"/>
        </w:rPr>
        <w:t xml:space="preserve">PTCL is a rare group of diseases.  Once a patient becomes refractory or relapses from 1st line treatment they rely on combination treatments, whose evidence is with b-cell lymphoma patients, rather than in PTCL. </w:t>
      </w:r>
      <w:proofErr w:type="spellStart"/>
      <w:r w:rsidRPr="009E602A">
        <w:rPr>
          <w:bCs/>
          <w:szCs w:val="22"/>
        </w:rPr>
        <w:t>Pralatrexate</w:t>
      </w:r>
      <w:proofErr w:type="spellEnd"/>
      <w:r w:rsidRPr="009E602A">
        <w:rPr>
          <w:bCs/>
          <w:szCs w:val="22"/>
        </w:rPr>
        <w:t xml:space="preserve"> would provide a valid treatment option for these relapsed/refractory PTCL patients.  The Sponsor will continue working with the PBAC in order to ensure that </w:t>
      </w:r>
      <w:proofErr w:type="spellStart"/>
      <w:r w:rsidRPr="009E602A">
        <w:rPr>
          <w:bCs/>
          <w:szCs w:val="22"/>
        </w:rPr>
        <w:t>pralatrexate</w:t>
      </w:r>
      <w:proofErr w:type="spellEnd"/>
      <w:r w:rsidRPr="009E602A">
        <w:rPr>
          <w:bCs/>
          <w:szCs w:val="22"/>
        </w:rPr>
        <w:t xml:space="preserve"> is made available to patients who currently have no targeted treatment for their cancer.  </w:t>
      </w:r>
    </w:p>
    <w:sectPr w:rsidR="00237798" w:rsidRPr="009E602A" w:rsidSect="00E21358">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4AA348" w15:done="0"/>
  <w15:commentEx w15:paraId="0DBEBE88" w15:paraIdParent="694AA348" w15:done="0"/>
  <w15:commentEx w15:paraId="16D405CA" w15:done="0"/>
  <w15:commentEx w15:paraId="5EEEE030" w15:paraIdParent="16D405CA" w15:done="0"/>
  <w15:commentEx w15:paraId="2023D33F" w15:done="0"/>
  <w15:commentEx w15:paraId="1086C94E" w15:paraIdParent="2023D33F" w15:done="0"/>
  <w15:commentEx w15:paraId="45B46952" w15:done="0"/>
  <w15:commentEx w15:paraId="3539536B" w15:paraIdParent="45B46952" w15:done="0"/>
  <w15:commentEx w15:paraId="73420789" w15:done="0"/>
  <w15:commentEx w15:paraId="40D1993A" w15:paraIdParent="73420789" w15:done="0"/>
  <w15:commentEx w15:paraId="4728008A" w15:paraIdParent="73420789" w15:done="0"/>
  <w15:commentEx w15:paraId="4DB84860" w15:paraIdParent="73420789" w15:done="0"/>
  <w15:commentEx w15:paraId="64A98C04" w15:done="0"/>
  <w15:commentEx w15:paraId="0083B8EA" w15:paraIdParent="64A98C04" w15:done="0"/>
  <w15:commentEx w15:paraId="576D6625" w15:paraIdParent="64A98C04" w15:done="0"/>
  <w15:commentEx w15:paraId="79D613F0" w15:paraIdParent="64A98C04" w15:done="0"/>
  <w15:commentEx w15:paraId="1AF47A7A" w15:done="0"/>
  <w15:commentEx w15:paraId="300B566A" w15:paraIdParent="1AF47A7A" w15:done="0"/>
  <w15:commentEx w15:paraId="052DEFE6" w15:paraIdParent="1AF47A7A" w15:done="0"/>
  <w15:commentEx w15:paraId="3C62C2DB" w15:done="0"/>
  <w15:commentEx w15:paraId="3DFEEDE9" w15:done="0"/>
  <w15:commentEx w15:paraId="7553D43C" w15:done="0"/>
  <w15:commentEx w15:paraId="333CF5C1" w15:done="0"/>
  <w15:commentEx w15:paraId="2286BDCD" w15:done="0"/>
  <w15:commentEx w15:paraId="3F6D9E6E" w15:done="0"/>
  <w15:commentEx w15:paraId="16B7FB9E" w15:done="0"/>
  <w15:commentEx w15:paraId="4E0908F1" w15:done="0"/>
  <w15:commentEx w15:paraId="2D0A9B4A" w15:done="0"/>
  <w15:commentEx w15:paraId="08D90EC7" w15:done="0"/>
  <w15:commentEx w15:paraId="1BC89505" w15:done="0"/>
  <w15:commentEx w15:paraId="243B6A9B" w15:done="0"/>
  <w15:commentEx w15:paraId="77F9CF78" w15:done="0"/>
  <w15:commentEx w15:paraId="459927E7" w15:paraIdParent="77F9CF78" w15:done="0"/>
  <w15:commentEx w15:paraId="58AADACF" w15:paraIdParent="77F9CF78" w15:done="0"/>
  <w15:commentEx w15:paraId="1F9CA5C2" w15:done="0"/>
  <w15:commentEx w15:paraId="578FB8F9" w15:paraIdParent="1F9CA5C2" w15:done="0"/>
  <w15:commentEx w15:paraId="12793866" w15:done="0"/>
  <w15:commentEx w15:paraId="38663F2C" w15:paraIdParent="12793866" w15:done="0"/>
  <w15:commentEx w15:paraId="3FB81CD2" w15:done="0"/>
  <w15:commentEx w15:paraId="15368181" w15:paraIdParent="3FB81CD2" w15:done="0"/>
  <w15:commentEx w15:paraId="5A287C8E" w15:paraIdParent="3FB81CD2" w15:done="0"/>
  <w15:commentEx w15:paraId="6712E3D7" w15:done="0"/>
  <w15:commentEx w15:paraId="6E80448A" w15:paraIdParent="6712E3D7" w15:done="0"/>
  <w15:commentEx w15:paraId="5ABB8EDD" w15:paraIdParent="6712E3D7" w15:done="0"/>
  <w15:commentEx w15:paraId="17FAB66D" w15:paraIdParent="6712E3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97" w:rsidRDefault="009C2297" w:rsidP="00124A51">
      <w:r>
        <w:separator/>
      </w:r>
    </w:p>
  </w:endnote>
  <w:endnote w:type="continuationSeparator" w:id="0">
    <w:p w:rsidR="009C2297" w:rsidRDefault="009C2297"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Segoe Script"/>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7" w:rsidRDefault="009C2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988178"/>
      <w:docPartObj>
        <w:docPartGallery w:val="Page Numbers (Bottom of Page)"/>
        <w:docPartUnique/>
      </w:docPartObj>
    </w:sdtPr>
    <w:sdtEndPr>
      <w:rPr>
        <w:noProof/>
      </w:rPr>
    </w:sdtEndPr>
    <w:sdtContent>
      <w:p w:rsidR="009C2297" w:rsidRDefault="009C2297">
        <w:pPr>
          <w:pStyle w:val="Footer"/>
          <w:jc w:val="center"/>
        </w:pPr>
        <w:r>
          <w:fldChar w:fldCharType="begin"/>
        </w:r>
        <w:r>
          <w:instrText xml:space="preserve"> PAGE   \* MERGEFORMAT </w:instrText>
        </w:r>
        <w:r>
          <w:fldChar w:fldCharType="separate"/>
        </w:r>
        <w:r w:rsidR="00C42F5A">
          <w:rPr>
            <w:noProof/>
          </w:rPr>
          <w:t>20</w:t>
        </w:r>
        <w:r>
          <w:rPr>
            <w:noProof/>
          </w:rPr>
          <w:fldChar w:fldCharType="end"/>
        </w:r>
      </w:p>
    </w:sdtContent>
  </w:sdt>
  <w:p w:rsidR="009C2297" w:rsidRDefault="009C2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7" w:rsidRDefault="009C2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97" w:rsidRDefault="009C2297" w:rsidP="00124A51">
      <w:r>
        <w:separator/>
      </w:r>
    </w:p>
  </w:footnote>
  <w:footnote w:type="continuationSeparator" w:id="0">
    <w:p w:rsidR="009C2297" w:rsidRDefault="009C2297"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7" w:rsidRDefault="009C2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7" w:rsidRPr="00DF217D" w:rsidRDefault="009C2297" w:rsidP="00237798">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9C2297" w:rsidRDefault="009C2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7" w:rsidRDefault="009C22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CF2"/>
    <w:multiLevelType w:val="hybridMultilevel"/>
    <w:tmpl w:val="A552E73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75B62B12">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6B4762"/>
    <w:multiLevelType w:val="hybridMultilevel"/>
    <w:tmpl w:val="6F98B2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AF52470"/>
    <w:multiLevelType w:val="hybridMultilevel"/>
    <w:tmpl w:val="1FBA8E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30D47BD"/>
    <w:multiLevelType w:val="hybridMultilevel"/>
    <w:tmpl w:val="A0C657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FBB2510"/>
    <w:multiLevelType w:val="hybridMultilevel"/>
    <w:tmpl w:val="3CC0190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7542C5A"/>
    <w:multiLevelType w:val="hybridMultilevel"/>
    <w:tmpl w:val="752E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192098"/>
    <w:multiLevelType w:val="hybridMultilevel"/>
    <w:tmpl w:val="3BCA3A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D8B2B02"/>
    <w:multiLevelType w:val="hybridMultilevel"/>
    <w:tmpl w:val="731C5D24"/>
    <w:lvl w:ilvl="0" w:tplc="A6C2DD46">
      <w:start w:val="1"/>
      <w:numFmt w:val="bullet"/>
      <w:lvlText w:val="–"/>
      <w:lvlJc w:val="left"/>
      <w:pPr>
        <w:tabs>
          <w:tab w:val="num" w:pos="720"/>
        </w:tabs>
        <w:ind w:left="720" w:hanging="360"/>
      </w:pPr>
      <w:rPr>
        <w:rFonts w:ascii="Arial" w:hAnsi="Arial" w:hint="default"/>
      </w:rPr>
    </w:lvl>
    <w:lvl w:ilvl="1" w:tplc="635C27DA">
      <w:start w:val="1"/>
      <w:numFmt w:val="bullet"/>
      <w:lvlText w:val="–"/>
      <w:lvlJc w:val="left"/>
      <w:pPr>
        <w:tabs>
          <w:tab w:val="num" w:pos="1440"/>
        </w:tabs>
        <w:ind w:left="1440" w:hanging="360"/>
      </w:pPr>
      <w:rPr>
        <w:rFonts w:ascii="Arial" w:hAnsi="Arial" w:hint="default"/>
      </w:rPr>
    </w:lvl>
    <w:lvl w:ilvl="2" w:tplc="556A228C" w:tentative="1">
      <w:start w:val="1"/>
      <w:numFmt w:val="bullet"/>
      <w:lvlText w:val="–"/>
      <w:lvlJc w:val="left"/>
      <w:pPr>
        <w:tabs>
          <w:tab w:val="num" w:pos="2160"/>
        </w:tabs>
        <w:ind w:left="2160" w:hanging="360"/>
      </w:pPr>
      <w:rPr>
        <w:rFonts w:ascii="Arial" w:hAnsi="Arial" w:hint="default"/>
      </w:rPr>
    </w:lvl>
    <w:lvl w:ilvl="3" w:tplc="9C5ABF28" w:tentative="1">
      <w:start w:val="1"/>
      <w:numFmt w:val="bullet"/>
      <w:lvlText w:val="–"/>
      <w:lvlJc w:val="left"/>
      <w:pPr>
        <w:tabs>
          <w:tab w:val="num" w:pos="2880"/>
        </w:tabs>
        <w:ind w:left="2880" w:hanging="360"/>
      </w:pPr>
      <w:rPr>
        <w:rFonts w:ascii="Arial" w:hAnsi="Arial" w:hint="default"/>
      </w:rPr>
    </w:lvl>
    <w:lvl w:ilvl="4" w:tplc="F7E0D0D8" w:tentative="1">
      <w:start w:val="1"/>
      <w:numFmt w:val="bullet"/>
      <w:lvlText w:val="–"/>
      <w:lvlJc w:val="left"/>
      <w:pPr>
        <w:tabs>
          <w:tab w:val="num" w:pos="3600"/>
        </w:tabs>
        <w:ind w:left="3600" w:hanging="360"/>
      </w:pPr>
      <w:rPr>
        <w:rFonts w:ascii="Arial" w:hAnsi="Arial" w:hint="default"/>
      </w:rPr>
    </w:lvl>
    <w:lvl w:ilvl="5" w:tplc="6C92B5AC" w:tentative="1">
      <w:start w:val="1"/>
      <w:numFmt w:val="bullet"/>
      <w:lvlText w:val="–"/>
      <w:lvlJc w:val="left"/>
      <w:pPr>
        <w:tabs>
          <w:tab w:val="num" w:pos="4320"/>
        </w:tabs>
        <w:ind w:left="4320" w:hanging="360"/>
      </w:pPr>
      <w:rPr>
        <w:rFonts w:ascii="Arial" w:hAnsi="Arial" w:hint="default"/>
      </w:rPr>
    </w:lvl>
    <w:lvl w:ilvl="6" w:tplc="00983522" w:tentative="1">
      <w:start w:val="1"/>
      <w:numFmt w:val="bullet"/>
      <w:lvlText w:val="–"/>
      <w:lvlJc w:val="left"/>
      <w:pPr>
        <w:tabs>
          <w:tab w:val="num" w:pos="5040"/>
        </w:tabs>
        <w:ind w:left="5040" w:hanging="360"/>
      </w:pPr>
      <w:rPr>
        <w:rFonts w:ascii="Arial" w:hAnsi="Arial" w:hint="default"/>
      </w:rPr>
    </w:lvl>
    <w:lvl w:ilvl="7" w:tplc="B576E8E2" w:tentative="1">
      <w:start w:val="1"/>
      <w:numFmt w:val="bullet"/>
      <w:lvlText w:val="–"/>
      <w:lvlJc w:val="left"/>
      <w:pPr>
        <w:tabs>
          <w:tab w:val="num" w:pos="5760"/>
        </w:tabs>
        <w:ind w:left="5760" w:hanging="360"/>
      </w:pPr>
      <w:rPr>
        <w:rFonts w:ascii="Arial" w:hAnsi="Arial" w:hint="default"/>
      </w:rPr>
    </w:lvl>
    <w:lvl w:ilvl="8" w:tplc="A4CE1AF0" w:tentative="1">
      <w:start w:val="1"/>
      <w:numFmt w:val="bullet"/>
      <w:lvlText w:val="–"/>
      <w:lvlJc w:val="left"/>
      <w:pPr>
        <w:tabs>
          <w:tab w:val="num" w:pos="6480"/>
        </w:tabs>
        <w:ind w:left="6480" w:hanging="360"/>
      </w:pPr>
      <w:rPr>
        <w:rFonts w:ascii="Arial" w:hAnsi="Arial" w:hint="default"/>
      </w:rPr>
    </w:lvl>
  </w:abstractNum>
  <w:abstractNum w:abstractNumId="8">
    <w:nsid w:val="6DEA7CCB"/>
    <w:multiLevelType w:val="hybridMultilevel"/>
    <w:tmpl w:val="90A819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84D033C"/>
    <w:multiLevelType w:val="multilevel"/>
    <w:tmpl w:val="27786EF8"/>
    <w:lvl w:ilvl="0">
      <w:start w:val="1"/>
      <w:numFmt w:val="decimal"/>
      <w:pStyle w:val="PBACHeading1"/>
      <w:lvlText w:val="%1"/>
      <w:lvlJc w:val="left"/>
      <w:pPr>
        <w:ind w:left="720" w:hanging="720"/>
      </w:pPr>
      <w:rPr>
        <w:rFonts w:hint="default"/>
        <w:b/>
      </w:rPr>
    </w:lvl>
    <w:lvl w:ilvl="1">
      <w:start w:val="1"/>
      <w:numFmt w:val="decimal"/>
      <w:lvlText w:val="%1.%2"/>
      <w:lvlJc w:val="left"/>
      <w:pPr>
        <w:ind w:left="1004"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B136C07"/>
    <w:multiLevelType w:val="hybridMultilevel"/>
    <w:tmpl w:val="233632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0"/>
  </w:num>
  <w:num w:numId="4">
    <w:abstractNumId w:val="8"/>
  </w:num>
  <w:num w:numId="5">
    <w:abstractNumId w:val="5"/>
  </w:num>
  <w:num w:numId="6">
    <w:abstractNumId w:val="3"/>
  </w:num>
  <w:num w:numId="7">
    <w:abstractNumId w:val="10"/>
  </w:num>
  <w:num w:numId="8">
    <w:abstractNumId w:val="2"/>
  </w:num>
  <w:num w:numId="9">
    <w:abstractNumId w:val="1"/>
  </w:num>
  <w:num w:numId="10">
    <w:abstractNumId w:val="6"/>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4B2"/>
    <w:rsid w:val="00003499"/>
    <w:rsid w:val="00003F52"/>
    <w:rsid w:val="00012BEB"/>
    <w:rsid w:val="00012D97"/>
    <w:rsid w:val="00013247"/>
    <w:rsid w:val="00013F88"/>
    <w:rsid w:val="00014334"/>
    <w:rsid w:val="00015886"/>
    <w:rsid w:val="000162EF"/>
    <w:rsid w:val="0002150B"/>
    <w:rsid w:val="0002225F"/>
    <w:rsid w:val="00023763"/>
    <w:rsid w:val="00024445"/>
    <w:rsid w:val="00025351"/>
    <w:rsid w:val="00040895"/>
    <w:rsid w:val="00043C37"/>
    <w:rsid w:val="00045D70"/>
    <w:rsid w:val="00053302"/>
    <w:rsid w:val="0005348D"/>
    <w:rsid w:val="000546D7"/>
    <w:rsid w:val="000563BF"/>
    <w:rsid w:val="00060BBE"/>
    <w:rsid w:val="00061372"/>
    <w:rsid w:val="000627DD"/>
    <w:rsid w:val="00070F2E"/>
    <w:rsid w:val="00071248"/>
    <w:rsid w:val="00072068"/>
    <w:rsid w:val="000720B9"/>
    <w:rsid w:val="00074AFB"/>
    <w:rsid w:val="00074C32"/>
    <w:rsid w:val="00080A7A"/>
    <w:rsid w:val="000812CA"/>
    <w:rsid w:val="00081EA4"/>
    <w:rsid w:val="00090C7E"/>
    <w:rsid w:val="00091C6D"/>
    <w:rsid w:val="000A5E8A"/>
    <w:rsid w:val="000A7879"/>
    <w:rsid w:val="000B4504"/>
    <w:rsid w:val="000B45AC"/>
    <w:rsid w:val="000B5050"/>
    <w:rsid w:val="000C56F0"/>
    <w:rsid w:val="000D1BFC"/>
    <w:rsid w:val="000D3D2B"/>
    <w:rsid w:val="000D50AA"/>
    <w:rsid w:val="000D5697"/>
    <w:rsid w:val="000D6EE3"/>
    <w:rsid w:val="000E1D46"/>
    <w:rsid w:val="000E5A51"/>
    <w:rsid w:val="000E6803"/>
    <w:rsid w:val="000F367D"/>
    <w:rsid w:val="000F4BB8"/>
    <w:rsid w:val="000F63BB"/>
    <w:rsid w:val="000F7106"/>
    <w:rsid w:val="000F7127"/>
    <w:rsid w:val="00100F8A"/>
    <w:rsid w:val="001037B7"/>
    <w:rsid w:val="00103F61"/>
    <w:rsid w:val="0010595B"/>
    <w:rsid w:val="00110220"/>
    <w:rsid w:val="0011032E"/>
    <w:rsid w:val="001115E0"/>
    <w:rsid w:val="0011348B"/>
    <w:rsid w:val="00113DE3"/>
    <w:rsid w:val="00116997"/>
    <w:rsid w:val="001207FD"/>
    <w:rsid w:val="00121799"/>
    <w:rsid w:val="001222FC"/>
    <w:rsid w:val="00124A51"/>
    <w:rsid w:val="00125E3F"/>
    <w:rsid w:val="00126621"/>
    <w:rsid w:val="00126F5D"/>
    <w:rsid w:val="001301E9"/>
    <w:rsid w:val="0013323D"/>
    <w:rsid w:val="001373FF"/>
    <w:rsid w:val="00137645"/>
    <w:rsid w:val="0014015A"/>
    <w:rsid w:val="00140E99"/>
    <w:rsid w:val="00142900"/>
    <w:rsid w:val="00143045"/>
    <w:rsid w:val="0014325E"/>
    <w:rsid w:val="00145540"/>
    <w:rsid w:val="001456B0"/>
    <w:rsid w:val="00153316"/>
    <w:rsid w:val="00157130"/>
    <w:rsid w:val="00162913"/>
    <w:rsid w:val="00163EFF"/>
    <w:rsid w:val="001661FB"/>
    <w:rsid w:val="0017335D"/>
    <w:rsid w:val="0017425F"/>
    <w:rsid w:val="00175D62"/>
    <w:rsid w:val="001777A7"/>
    <w:rsid w:val="001806EE"/>
    <w:rsid w:val="00181FA2"/>
    <w:rsid w:val="00185A48"/>
    <w:rsid w:val="0018749E"/>
    <w:rsid w:val="0018752F"/>
    <w:rsid w:val="00187E6B"/>
    <w:rsid w:val="00195222"/>
    <w:rsid w:val="00196F1B"/>
    <w:rsid w:val="001975D8"/>
    <w:rsid w:val="001A15E7"/>
    <w:rsid w:val="001A29C2"/>
    <w:rsid w:val="001A3B37"/>
    <w:rsid w:val="001A4C07"/>
    <w:rsid w:val="001A630C"/>
    <w:rsid w:val="001A672D"/>
    <w:rsid w:val="001B3443"/>
    <w:rsid w:val="001B7949"/>
    <w:rsid w:val="001C0532"/>
    <w:rsid w:val="001C21BA"/>
    <w:rsid w:val="001C56A3"/>
    <w:rsid w:val="001C6AFD"/>
    <w:rsid w:val="001C6E66"/>
    <w:rsid w:val="001C7BBA"/>
    <w:rsid w:val="001E1703"/>
    <w:rsid w:val="001E1B05"/>
    <w:rsid w:val="001E238E"/>
    <w:rsid w:val="001E2B1E"/>
    <w:rsid w:val="001E52EB"/>
    <w:rsid w:val="001E740C"/>
    <w:rsid w:val="001F05D8"/>
    <w:rsid w:val="001F1235"/>
    <w:rsid w:val="001F1CB3"/>
    <w:rsid w:val="001F35E1"/>
    <w:rsid w:val="001F382A"/>
    <w:rsid w:val="001F5336"/>
    <w:rsid w:val="001F7361"/>
    <w:rsid w:val="002008DB"/>
    <w:rsid w:val="002029CF"/>
    <w:rsid w:val="0020385F"/>
    <w:rsid w:val="002041C0"/>
    <w:rsid w:val="00204D31"/>
    <w:rsid w:val="002062F2"/>
    <w:rsid w:val="00207021"/>
    <w:rsid w:val="00207D00"/>
    <w:rsid w:val="002105C1"/>
    <w:rsid w:val="00222FA3"/>
    <w:rsid w:val="00223B49"/>
    <w:rsid w:val="00224DD4"/>
    <w:rsid w:val="002309CC"/>
    <w:rsid w:val="00232FBC"/>
    <w:rsid w:val="00233F24"/>
    <w:rsid w:val="00233F8E"/>
    <w:rsid w:val="00237798"/>
    <w:rsid w:val="002404BA"/>
    <w:rsid w:val="00245FF7"/>
    <w:rsid w:val="002474C4"/>
    <w:rsid w:val="00252F45"/>
    <w:rsid w:val="00254B82"/>
    <w:rsid w:val="00254DCF"/>
    <w:rsid w:val="0025534B"/>
    <w:rsid w:val="00255BB7"/>
    <w:rsid w:val="00261B24"/>
    <w:rsid w:val="00262A87"/>
    <w:rsid w:val="00262C95"/>
    <w:rsid w:val="00265F01"/>
    <w:rsid w:val="00266B99"/>
    <w:rsid w:val="00275A44"/>
    <w:rsid w:val="00275C5A"/>
    <w:rsid w:val="00281014"/>
    <w:rsid w:val="002849A8"/>
    <w:rsid w:val="00291699"/>
    <w:rsid w:val="00292B37"/>
    <w:rsid w:val="00292D20"/>
    <w:rsid w:val="00294B49"/>
    <w:rsid w:val="002952B0"/>
    <w:rsid w:val="002956B5"/>
    <w:rsid w:val="00296595"/>
    <w:rsid w:val="002A05BC"/>
    <w:rsid w:val="002A14AB"/>
    <w:rsid w:val="002A54C3"/>
    <w:rsid w:val="002A79C7"/>
    <w:rsid w:val="002B0628"/>
    <w:rsid w:val="002B1C1F"/>
    <w:rsid w:val="002B432F"/>
    <w:rsid w:val="002B6CCE"/>
    <w:rsid w:val="002B7A98"/>
    <w:rsid w:val="002C2775"/>
    <w:rsid w:val="002C27C1"/>
    <w:rsid w:val="002C3162"/>
    <w:rsid w:val="002D1646"/>
    <w:rsid w:val="002D16C3"/>
    <w:rsid w:val="002D51D0"/>
    <w:rsid w:val="002D51FD"/>
    <w:rsid w:val="002D6C6E"/>
    <w:rsid w:val="002E1A5A"/>
    <w:rsid w:val="002E424B"/>
    <w:rsid w:val="002E4983"/>
    <w:rsid w:val="002E7274"/>
    <w:rsid w:val="002F057A"/>
    <w:rsid w:val="002F2A2A"/>
    <w:rsid w:val="002F435E"/>
    <w:rsid w:val="00300627"/>
    <w:rsid w:val="00301017"/>
    <w:rsid w:val="003011F1"/>
    <w:rsid w:val="00304E1D"/>
    <w:rsid w:val="003054FC"/>
    <w:rsid w:val="0030786C"/>
    <w:rsid w:val="0031031A"/>
    <w:rsid w:val="00310981"/>
    <w:rsid w:val="003128FB"/>
    <w:rsid w:val="00313932"/>
    <w:rsid w:val="00314B31"/>
    <w:rsid w:val="00315498"/>
    <w:rsid w:val="00322D41"/>
    <w:rsid w:val="00323AD8"/>
    <w:rsid w:val="003366C9"/>
    <w:rsid w:val="00336A02"/>
    <w:rsid w:val="003371B0"/>
    <w:rsid w:val="0034082E"/>
    <w:rsid w:val="003426D2"/>
    <w:rsid w:val="003506D5"/>
    <w:rsid w:val="0035132A"/>
    <w:rsid w:val="0035235F"/>
    <w:rsid w:val="0035620E"/>
    <w:rsid w:val="003565E9"/>
    <w:rsid w:val="00356B20"/>
    <w:rsid w:val="0036038A"/>
    <w:rsid w:val="00361A4F"/>
    <w:rsid w:val="0036333A"/>
    <w:rsid w:val="00367926"/>
    <w:rsid w:val="00371F01"/>
    <w:rsid w:val="00375FC6"/>
    <w:rsid w:val="00377442"/>
    <w:rsid w:val="003774C0"/>
    <w:rsid w:val="003829D8"/>
    <w:rsid w:val="00383160"/>
    <w:rsid w:val="0038365C"/>
    <w:rsid w:val="003860B2"/>
    <w:rsid w:val="00386F2C"/>
    <w:rsid w:val="00386F40"/>
    <w:rsid w:val="0038755D"/>
    <w:rsid w:val="00387F54"/>
    <w:rsid w:val="0039078B"/>
    <w:rsid w:val="00390E0B"/>
    <w:rsid w:val="003931EA"/>
    <w:rsid w:val="00396FD0"/>
    <w:rsid w:val="003A1369"/>
    <w:rsid w:val="003A1A7A"/>
    <w:rsid w:val="003A2FD9"/>
    <w:rsid w:val="003A7EC4"/>
    <w:rsid w:val="003B47E9"/>
    <w:rsid w:val="003B4ED7"/>
    <w:rsid w:val="003B588D"/>
    <w:rsid w:val="003B6E12"/>
    <w:rsid w:val="003C4472"/>
    <w:rsid w:val="003C5B6D"/>
    <w:rsid w:val="003C5C37"/>
    <w:rsid w:val="003D1828"/>
    <w:rsid w:val="003D1EA1"/>
    <w:rsid w:val="003D2422"/>
    <w:rsid w:val="003D628E"/>
    <w:rsid w:val="003E7755"/>
    <w:rsid w:val="003E7ACC"/>
    <w:rsid w:val="003F0359"/>
    <w:rsid w:val="003F3FF3"/>
    <w:rsid w:val="003F4156"/>
    <w:rsid w:val="003F6562"/>
    <w:rsid w:val="004009BC"/>
    <w:rsid w:val="00402B56"/>
    <w:rsid w:val="00402F34"/>
    <w:rsid w:val="004058E6"/>
    <w:rsid w:val="00406788"/>
    <w:rsid w:val="00406DC2"/>
    <w:rsid w:val="00410708"/>
    <w:rsid w:val="00410EC7"/>
    <w:rsid w:val="0041272A"/>
    <w:rsid w:val="0041317B"/>
    <w:rsid w:val="00414476"/>
    <w:rsid w:val="00416B1D"/>
    <w:rsid w:val="00417D96"/>
    <w:rsid w:val="00420B9F"/>
    <w:rsid w:val="004214EE"/>
    <w:rsid w:val="00421BBA"/>
    <w:rsid w:val="004259D1"/>
    <w:rsid w:val="004260E8"/>
    <w:rsid w:val="004275C4"/>
    <w:rsid w:val="004309BD"/>
    <w:rsid w:val="004319F8"/>
    <w:rsid w:val="00433044"/>
    <w:rsid w:val="00433B68"/>
    <w:rsid w:val="004340D3"/>
    <w:rsid w:val="0043471C"/>
    <w:rsid w:val="00441480"/>
    <w:rsid w:val="004443A7"/>
    <w:rsid w:val="00444922"/>
    <w:rsid w:val="00445DAE"/>
    <w:rsid w:val="004464EB"/>
    <w:rsid w:val="00447594"/>
    <w:rsid w:val="00453522"/>
    <w:rsid w:val="00453785"/>
    <w:rsid w:val="00455776"/>
    <w:rsid w:val="00455D45"/>
    <w:rsid w:val="00460BC8"/>
    <w:rsid w:val="00461C6F"/>
    <w:rsid w:val="00462C28"/>
    <w:rsid w:val="00462DD8"/>
    <w:rsid w:val="00464595"/>
    <w:rsid w:val="00467ED5"/>
    <w:rsid w:val="00470181"/>
    <w:rsid w:val="004726A4"/>
    <w:rsid w:val="00472D0F"/>
    <w:rsid w:val="00483CC7"/>
    <w:rsid w:val="004840B5"/>
    <w:rsid w:val="004856AA"/>
    <w:rsid w:val="004867E2"/>
    <w:rsid w:val="00487951"/>
    <w:rsid w:val="00491B3A"/>
    <w:rsid w:val="00492CFD"/>
    <w:rsid w:val="00493CDD"/>
    <w:rsid w:val="00494919"/>
    <w:rsid w:val="004962D2"/>
    <w:rsid w:val="004A0860"/>
    <w:rsid w:val="004A0DA1"/>
    <w:rsid w:val="004A2093"/>
    <w:rsid w:val="004A6597"/>
    <w:rsid w:val="004B1CB4"/>
    <w:rsid w:val="004B2F18"/>
    <w:rsid w:val="004B3DDB"/>
    <w:rsid w:val="004B44FD"/>
    <w:rsid w:val="004B5CFC"/>
    <w:rsid w:val="004B7CE8"/>
    <w:rsid w:val="004C2082"/>
    <w:rsid w:val="004C3601"/>
    <w:rsid w:val="004C4AED"/>
    <w:rsid w:val="004C51F8"/>
    <w:rsid w:val="004D2B0A"/>
    <w:rsid w:val="004D4843"/>
    <w:rsid w:val="004D6953"/>
    <w:rsid w:val="004D6DEE"/>
    <w:rsid w:val="004D70A4"/>
    <w:rsid w:val="004E0EB8"/>
    <w:rsid w:val="004E2ADC"/>
    <w:rsid w:val="004E43B2"/>
    <w:rsid w:val="004E447B"/>
    <w:rsid w:val="004E70AB"/>
    <w:rsid w:val="004F1D02"/>
    <w:rsid w:val="004F2679"/>
    <w:rsid w:val="004F58B9"/>
    <w:rsid w:val="004F75C6"/>
    <w:rsid w:val="004F7865"/>
    <w:rsid w:val="005014C2"/>
    <w:rsid w:val="005034BF"/>
    <w:rsid w:val="00506928"/>
    <w:rsid w:val="0051129C"/>
    <w:rsid w:val="005123D5"/>
    <w:rsid w:val="005152B5"/>
    <w:rsid w:val="00515547"/>
    <w:rsid w:val="00515AE4"/>
    <w:rsid w:val="00517886"/>
    <w:rsid w:val="00521319"/>
    <w:rsid w:val="00523C28"/>
    <w:rsid w:val="0052549C"/>
    <w:rsid w:val="00530E09"/>
    <w:rsid w:val="005444DE"/>
    <w:rsid w:val="005445D7"/>
    <w:rsid w:val="00545317"/>
    <w:rsid w:val="00545CC4"/>
    <w:rsid w:val="005506DB"/>
    <w:rsid w:val="00551682"/>
    <w:rsid w:val="00552747"/>
    <w:rsid w:val="00552BD3"/>
    <w:rsid w:val="00555109"/>
    <w:rsid w:val="00556C6A"/>
    <w:rsid w:val="00560838"/>
    <w:rsid w:val="005616C2"/>
    <w:rsid w:val="005664FB"/>
    <w:rsid w:val="0056696F"/>
    <w:rsid w:val="00570012"/>
    <w:rsid w:val="005708C7"/>
    <w:rsid w:val="00571E02"/>
    <w:rsid w:val="00575D8D"/>
    <w:rsid w:val="00576972"/>
    <w:rsid w:val="0058090D"/>
    <w:rsid w:val="005812C5"/>
    <w:rsid w:val="00583699"/>
    <w:rsid w:val="0058529D"/>
    <w:rsid w:val="005933E4"/>
    <w:rsid w:val="00595964"/>
    <w:rsid w:val="005A027C"/>
    <w:rsid w:val="005A105C"/>
    <w:rsid w:val="005A526A"/>
    <w:rsid w:val="005A6669"/>
    <w:rsid w:val="005A6CF5"/>
    <w:rsid w:val="005A7EC7"/>
    <w:rsid w:val="005B14D1"/>
    <w:rsid w:val="005B3507"/>
    <w:rsid w:val="005B5857"/>
    <w:rsid w:val="005C1B83"/>
    <w:rsid w:val="005C255B"/>
    <w:rsid w:val="005C346B"/>
    <w:rsid w:val="005D044D"/>
    <w:rsid w:val="005D18AD"/>
    <w:rsid w:val="005E0A60"/>
    <w:rsid w:val="005E1FC9"/>
    <w:rsid w:val="005E336B"/>
    <w:rsid w:val="005E3393"/>
    <w:rsid w:val="005E73C0"/>
    <w:rsid w:val="005F06AA"/>
    <w:rsid w:val="005F0814"/>
    <w:rsid w:val="005F2706"/>
    <w:rsid w:val="005F5321"/>
    <w:rsid w:val="005F6A8F"/>
    <w:rsid w:val="006010F6"/>
    <w:rsid w:val="00601842"/>
    <w:rsid w:val="00601C09"/>
    <w:rsid w:val="00604EA5"/>
    <w:rsid w:val="00605267"/>
    <w:rsid w:val="0060622D"/>
    <w:rsid w:val="00606E87"/>
    <w:rsid w:val="0060760F"/>
    <w:rsid w:val="00607669"/>
    <w:rsid w:val="006103DA"/>
    <w:rsid w:val="00611279"/>
    <w:rsid w:val="00612F97"/>
    <w:rsid w:val="006152FB"/>
    <w:rsid w:val="00616802"/>
    <w:rsid w:val="00617E12"/>
    <w:rsid w:val="00620994"/>
    <w:rsid w:val="00621477"/>
    <w:rsid w:val="00624F61"/>
    <w:rsid w:val="00625B50"/>
    <w:rsid w:val="006311E9"/>
    <w:rsid w:val="006316D2"/>
    <w:rsid w:val="00631D6B"/>
    <w:rsid w:val="0063479F"/>
    <w:rsid w:val="006356C3"/>
    <w:rsid w:val="0063633F"/>
    <w:rsid w:val="006364A1"/>
    <w:rsid w:val="00636F30"/>
    <w:rsid w:val="00637BFD"/>
    <w:rsid w:val="00640EF6"/>
    <w:rsid w:val="006439FB"/>
    <w:rsid w:val="006471CC"/>
    <w:rsid w:val="0065079F"/>
    <w:rsid w:val="00650C76"/>
    <w:rsid w:val="00651383"/>
    <w:rsid w:val="006533E8"/>
    <w:rsid w:val="006540D4"/>
    <w:rsid w:val="006609D6"/>
    <w:rsid w:val="00662DFB"/>
    <w:rsid w:val="00664189"/>
    <w:rsid w:val="0066666C"/>
    <w:rsid w:val="00670D71"/>
    <w:rsid w:val="006729A8"/>
    <w:rsid w:val="00673815"/>
    <w:rsid w:val="00674E42"/>
    <w:rsid w:val="00675170"/>
    <w:rsid w:val="0067593C"/>
    <w:rsid w:val="00682084"/>
    <w:rsid w:val="00682112"/>
    <w:rsid w:val="00682C84"/>
    <w:rsid w:val="00685063"/>
    <w:rsid w:val="006872BA"/>
    <w:rsid w:val="006875B4"/>
    <w:rsid w:val="006917D7"/>
    <w:rsid w:val="00691E63"/>
    <w:rsid w:val="006946A5"/>
    <w:rsid w:val="00694899"/>
    <w:rsid w:val="00694F44"/>
    <w:rsid w:val="006A067B"/>
    <w:rsid w:val="006A1A85"/>
    <w:rsid w:val="006A497D"/>
    <w:rsid w:val="006A6DB3"/>
    <w:rsid w:val="006B055E"/>
    <w:rsid w:val="006B0F4A"/>
    <w:rsid w:val="006B1374"/>
    <w:rsid w:val="006B27D6"/>
    <w:rsid w:val="006B3EF9"/>
    <w:rsid w:val="006B70E7"/>
    <w:rsid w:val="006C01FD"/>
    <w:rsid w:val="006C1505"/>
    <w:rsid w:val="006C2A8E"/>
    <w:rsid w:val="006C4B77"/>
    <w:rsid w:val="006D223A"/>
    <w:rsid w:val="006D2DBE"/>
    <w:rsid w:val="006D3C7D"/>
    <w:rsid w:val="006D471D"/>
    <w:rsid w:val="006D5D5F"/>
    <w:rsid w:val="006E6BF4"/>
    <w:rsid w:val="006E7EFD"/>
    <w:rsid w:val="006F6185"/>
    <w:rsid w:val="006F63A5"/>
    <w:rsid w:val="0070276E"/>
    <w:rsid w:val="00702F8F"/>
    <w:rsid w:val="00705D62"/>
    <w:rsid w:val="00711541"/>
    <w:rsid w:val="00711647"/>
    <w:rsid w:val="00711A36"/>
    <w:rsid w:val="00714ACF"/>
    <w:rsid w:val="007172AD"/>
    <w:rsid w:val="00720C13"/>
    <w:rsid w:val="007211F0"/>
    <w:rsid w:val="00721368"/>
    <w:rsid w:val="00723E45"/>
    <w:rsid w:val="0072416F"/>
    <w:rsid w:val="00724965"/>
    <w:rsid w:val="00726C99"/>
    <w:rsid w:val="00731611"/>
    <w:rsid w:val="00733B01"/>
    <w:rsid w:val="00735328"/>
    <w:rsid w:val="0073564C"/>
    <w:rsid w:val="0073685B"/>
    <w:rsid w:val="007430EA"/>
    <w:rsid w:val="007437B9"/>
    <w:rsid w:val="00745A89"/>
    <w:rsid w:val="007527E0"/>
    <w:rsid w:val="00753C7A"/>
    <w:rsid w:val="00754521"/>
    <w:rsid w:val="00754A71"/>
    <w:rsid w:val="00761AB4"/>
    <w:rsid w:val="00765E6E"/>
    <w:rsid w:val="00766A52"/>
    <w:rsid w:val="007670D1"/>
    <w:rsid w:val="00772756"/>
    <w:rsid w:val="00776EFE"/>
    <w:rsid w:val="00782FFA"/>
    <w:rsid w:val="0078462A"/>
    <w:rsid w:val="007903D5"/>
    <w:rsid w:val="00797352"/>
    <w:rsid w:val="00797E70"/>
    <w:rsid w:val="007A0A12"/>
    <w:rsid w:val="007A1279"/>
    <w:rsid w:val="007A3D38"/>
    <w:rsid w:val="007A7EC3"/>
    <w:rsid w:val="007B251D"/>
    <w:rsid w:val="007B65DD"/>
    <w:rsid w:val="007B77D1"/>
    <w:rsid w:val="007C2015"/>
    <w:rsid w:val="007C2678"/>
    <w:rsid w:val="007C361D"/>
    <w:rsid w:val="007C4294"/>
    <w:rsid w:val="007C7C67"/>
    <w:rsid w:val="007D0B38"/>
    <w:rsid w:val="007D4DEC"/>
    <w:rsid w:val="007E08CC"/>
    <w:rsid w:val="007E3F91"/>
    <w:rsid w:val="007E4F7C"/>
    <w:rsid w:val="007F1017"/>
    <w:rsid w:val="007F22DD"/>
    <w:rsid w:val="007F4A3F"/>
    <w:rsid w:val="007F615A"/>
    <w:rsid w:val="008009F6"/>
    <w:rsid w:val="00804A39"/>
    <w:rsid w:val="00805142"/>
    <w:rsid w:val="00806C12"/>
    <w:rsid w:val="00806E27"/>
    <w:rsid w:val="00807A8B"/>
    <w:rsid w:val="008112EB"/>
    <w:rsid w:val="00811837"/>
    <w:rsid w:val="008119EF"/>
    <w:rsid w:val="0081200D"/>
    <w:rsid w:val="00812149"/>
    <w:rsid w:val="008166EF"/>
    <w:rsid w:val="00821A05"/>
    <w:rsid w:val="008244DE"/>
    <w:rsid w:val="008264EB"/>
    <w:rsid w:val="00827BA3"/>
    <w:rsid w:val="00827C8B"/>
    <w:rsid w:val="00833B05"/>
    <w:rsid w:val="00834FD2"/>
    <w:rsid w:val="008356B1"/>
    <w:rsid w:val="00840260"/>
    <w:rsid w:val="008406E7"/>
    <w:rsid w:val="00840CA2"/>
    <w:rsid w:val="00842308"/>
    <w:rsid w:val="00846C5E"/>
    <w:rsid w:val="00852486"/>
    <w:rsid w:val="00854366"/>
    <w:rsid w:val="00856E9A"/>
    <w:rsid w:val="00862502"/>
    <w:rsid w:val="00871704"/>
    <w:rsid w:val="0087343F"/>
    <w:rsid w:val="00877057"/>
    <w:rsid w:val="0087745C"/>
    <w:rsid w:val="00880C84"/>
    <w:rsid w:val="00882874"/>
    <w:rsid w:val="00883787"/>
    <w:rsid w:val="00891D95"/>
    <w:rsid w:val="00894489"/>
    <w:rsid w:val="008963A5"/>
    <w:rsid w:val="00896460"/>
    <w:rsid w:val="0089696A"/>
    <w:rsid w:val="00897768"/>
    <w:rsid w:val="008A02DA"/>
    <w:rsid w:val="008A1360"/>
    <w:rsid w:val="008A3C3E"/>
    <w:rsid w:val="008A499E"/>
    <w:rsid w:val="008A539F"/>
    <w:rsid w:val="008A6347"/>
    <w:rsid w:val="008A79DE"/>
    <w:rsid w:val="008B725E"/>
    <w:rsid w:val="008B7D7E"/>
    <w:rsid w:val="008C09D5"/>
    <w:rsid w:val="008C393E"/>
    <w:rsid w:val="008C7272"/>
    <w:rsid w:val="008C7ECB"/>
    <w:rsid w:val="008D3E5A"/>
    <w:rsid w:val="008D62D0"/>
    <w:rsid w:val="008E1B9E"/>
    <w:rsid w:val="008E7F2B"/>
    <w:rsid w:val="008F0F85"/>
    <w:rsid w:val="008F120A"/>
    <w:rsid w:val="008F42C8"/>
    <w:rsid w:val="008F48EB"/>
    <w:rsid w:val="008F4F0B"/>
    <w:rsid w:val="00903637"/>
    <w:rsid w:val="009062A5"/>
    <w:rsid w:val="0090665F"/>
    <w:rsid w:val="00911272"/>
    <w:rsid w:val="00912DF9"/>
    <w:rsid w:val="009202DC"/>
    <w:rsid w:val="00922399"/>
    <w:rsid w:val="00923C58"/>
    <w:rsid w:val="009337C2"/>
    <w:rsid w:val="00937E19"/>
    <w:rsid w:val="00941663"/>
    <w:rsid w:val="00942D93"/>
    <w:rsid w:val="0094759F"/>
    <w:rsid w:val="0095018A"/>
    <w:rsid w:val="00951B83"/>
    <w:rsid w:val="0095237F"/>
    <w:rsid w:val="00953B6F"/>
    <w:rsid w:val="009618F5"/>
    <w:rsid w:val="00962CB9"/>
    <w:rsid w:val="00964273"/>
    <w:rsid w:val="00964312"/>
    <w:rsid w:val="00982664"/>
    <w:rsid w:val="009827D7"/>
    <w:rsid w:val="00983121"/>
    <w:rsid w:val="00983E10"/>
    <w:rsid w:val="00983E57"/>
    <w:rsid w:val="00994608"/>
    <w:rsid w:val="00996B1A"/>
    <w:rsid w:val="0099773F"/>
    <w:rsid w:val="009A103A"/>
    <w:rsid w:val="009A1F49"/>
    <w:rsid w:val="009A29C3"/>
    <w:rsid w:val="009A34FC"/>
    <w:rsid w:val="009A566E"/>
    <w:rsid w:val="009A762A"/>
    <w:rsid w:val="009B0967"/>
    <w:rsid w:val="009B0F94"/>
    <w:rsid w:val="009B3E26"/>
    <w:rsid w:val="009B675B"/>
    <w:rsid w:val="009C2297"/>
    <w:rsid w:val="009C4BD3"/>
    <w:rsid w:val="009D11D8"/>
    <w:rsid w:val="009D26E8"/>
    <w:rsid w:val="009D51F9"/>
    <w:rsid w:val="009D5B91"/>
    <w:rsid w:val="009D6C3F"/>
    <w:rsid w:val="009E1715"/>
    <w:rsid w:val="009E3B74"/>
    <w:rsid w:val="009E463F"/>
    <w:rsid w:val="009E4C07"/>
    <w:rsid w:val="009E56AF"/>
    <w:rsid w:val="009E602A"/>
    <w:rsid w:val="009F4B2F"/>
    <w:rsid w:val="009F75C7"/>
    <w:rsid w:val="00A03D43"/>
    <w:rsid w:val="00A04380"/>
    <w:rsid w:val="00A05E01"/>
    <w:rsid w:val="00A1379F"/>
    <w:rsid w:val="00A13948"/>
    <w:rsid w:val="00A167B7"/>
    <w:rsid w:val="00A254BE"/>
    <w:rsid w:val="00A26F96"/>
    <w:rsid w:val="00A27AEC"/>
    <w:rsid w:val="00A27D26"/>
    <w:rsid w:val="00A30972"/>
    <w:rsid w:val="00A31550"/>
    <w:rsid w:val="00A315D8"/>
    <w:rsid w:val="00A33987"/>
    <w:rsid w:val="00A34815"/>
    <w:rsid w:val="00A3533D"/>
    <w:rsid w:val="00A35D16"/>
    <w:rsid w:val="00A36794"/>
    <w:rsid w:val="00A419EB"/>
    <w:rsid w:val="00A43C59"/>
    <w:rsid w:val="00A50ECD"/>
    <w:rsid w:val="00A52729"/>
    <w:rsid w:val="00A52B41"/>
    <w:rsid w:val="00A53550"/>
    <w:rsid w:val="00A53675"/>
    <w:rsid w:val="00A56B6A"/>
    <w:rsid w:val="00A578DC"/>
    <w:rsid w:val="00A60711"/>
    <w:rsid w:val="00A65CB0"/>
    <w:rsid w:val="00A66101"/>
    <w:rsid w:val="00A6725B"/>
    <w:rsid w:val="00A70C0A"/>
    <w:rsid w:val="00A70D4C"/>
    <w:rsid w:val="00A73114"/>
    <w:rsid w:val="00A809F2"/>
    <w:rsid w:val="00A86E8B"/>
    <w:rsid w:val="00A9088C"/>
    <w:rsid w:val="00A918A3"/>
    <w:rsid w:val="00A93072"/>
    <w:rsid w:val="00A959D8"/>
    <w:rsid w:val="00AA095A"/>
    <w:rsid w:val="00AA3880"/>
    <w:rsid w:val="00AA66C9"/>
    <w:rsid w:val="00AA67CF"/>
    <w:rsid w:val="00AB042A"/>
    <w:rsid w:val="00AB0FCF"/>
    <w:rsid w:val="00AB2D34"/>
    <w:rsid w:val="00AB3430"/>
    <w:rsid w:val="00AB5634"/>
    <w:rsid w:val="00AB72B0"/>
    <w:rsid w:val="00AB7BE9"/>
    <w:rsid w:val="00AB7CFA"/>
    <w:rsid w:val="00AC4B5D"/>
    <w:rsid w:val="00AC4EF1"/>
    <w:rsid w:val="00AC5E2D"/>
    <w:rsid w:val="00AC5FF6"/>
    <w:rsid w:val="00AD0028"/>
    <w:rsid w:val="00AD1B36"/>
    <w:rsid w:val="00AD400D"/>
    <w:rsid w:val="00AD4071"/>
    <w:rsid w:val="00AD7422"/>
    <w:rsid w:val="00AE6E5F"/>
    <w:rsid w:val="00AF03C2"/>
    <w:rsid w:val="00AF42CD"/>
    <w:rsid w:val="00B02945"/>
    <w:rsid w:val="00B02ED6"/>
    <w:rsid w:val="00B02FF9"/>
    <w:rsid w:val="00B05867"/>
    <w:rsid w:val="00B125F1"/>
    <w:rsid w:val="00B206B5"/>
    <w:rsid w:val="00B2239D"/>
    <w:rsid w:val="00B24BE1"/>
    <w:rsid w:val="00B32618"/>
    <w:rsid w:val="00B35AE6"/>
    <w:rsid w:val="00B36333"/>
    <w:rsid w:val="00B42851"/>
    <w:rsid w:val="00B442AD"/>
    <w:rsid w:val="00B46D72"/>
    <w:rsid w:val="00B50DB8"/>
    <w:rsid w:val="00B52DC1"/>
    <w:rsid w:val="00B53905"/>
    <w:rsid w:val="00B54B5B"/>
    <w:rsid w:val="00B5562E"/>
    <w:rsid w:val="00B56449"/>
    <w:rsid w:val="00B5667A"/>
    <w:rsid w:val="00B57000"/>
    <w:rsid w:val="00B60939"/>
    <w:rsid w:val="00B60AFD"/>
    <w:rsid w:val="00B62715"/>
    <w:rsid w:val="00B64036"/>
    <w:rsid w:val="00B7797D"/>
    <w:rsid w:val="00B818A4"/>
    <w:rsid w:val="00B81AA5"/>
    <w:rsid w:val="00B823C0"/>
    <w:rsid w:val="00B827CC"/>
    <w:rsid w:val="00B82F57"/>
    <w:rsid w:val="00B8367F"/>
    <w:rsid w:val="00B84E29"/>
    <w:rsid w:val="00B8649C"/>
    <w:rsid w:val="00B92D0B"/>
    <w:rsid w:val="00B94945"/>
    <w:rsid w:val="00BA4AF9"/>
    <w:rsid w:val="00BB0700"/>
    <w:rsid w:val="00BB5697"/>
    <w:rsid w:val="00BB6CE5"/>
    <w:rsid w:val="00BB7405"/>
    <w:rsid w:val="00BC0395"/>
    <w:rsid w:val="00BC5ED3"/>
    <w:rsid w:val="00BC63B8"/>
    <w:rsid w:val="00BD03F5"/>
    <w:rsid w:val="00BD2568"/>
    <w:rsid w:val="00BD4FEB"/>
    <w:rsid w:val="00BD6CF3"/>
    <w:rsid w:val="00BD746C"/>
    <w:rsid w:val="00BE0F91"/>
    <w:rsid w:val="00BE1637"/>
    <w:rsid w:val="00BE16E6"/>
    <w:rsid w:val="00BE1896"/>
    <w:rsid w:val="00BE2180"/>
    <w:rsid w:val="00BE3FEA"/>
    <w:rsid w:val="00BE4275"/>
    <w:rsid w:val="00BF0817"/>
    <w:rsid w:val="00BF2433"/>
    <w:rsid w:val="00BF310F"/>
    <w:rsid w:val="00BF4F0D"/>
    <w:rsid w:val="00BF61C9"/>
    <w:rsid w:val="00C00175"/>
    <w:rsid w:val="00C02C7B"/>
    <w:rsid w:val="00C054D0"/>
    <w:rsid w:val="00C06FA3"/>
    <w:rsid w:val="00C13B57"/>
    <w:rsid w:val="00C140F8"/>
    <w:rsid w:val="00C243CC"/>
    <w:rsid w:val="00C24C72"/>
    <w:rsid w:val="00C25224"/>
    <w:rsid w:val="00C25418"/>
    <w:rsid w:val="00C25D9C"/>
    <w:rsid w:val="00C31154"/>
    <w:rsid w:val="00C31649"/>
    <w:rsid w:val="00C35F01"/>
    <w:rsid w:val="00C37FB0"/>
    <w:rsid w:val="00C40385"/>
    <w:rsid w:val="00C42F5A"/>
    <w:rsid w:val="00C457A1"/>
    <w:rsid w:val="00C50D36"/>
    <w:rsid w:val="00C55B74"/>
    <w:rsid w:val="00C56844"/>
    <w:rsid w:val="00C62714"/>
    <w:rsid w:val="00C65576"/>
    <w:rsid w:val="00C66165"/>
    <w:rsid w:val="00C663A5"/>
    <w:rsid w:val="00C6788B"/>
    <w:rsid w:val="00C722AD"/>
    <w:rsid w:val="00C750C8"/>
    <w:rsid w:val="00C751BC"/>
    <w:rsid w:val="00C8213F"/>
    <w:rsid w:val="00C8451C"/>
    <w:rsid w:val="00C8797A"/>
    <w:rsid w:val="00C938CF"/>
    <w:rsid w:val="00C972DC"/>
    <w:rsid w:val="00C97805"/>
    <w:rsid w:val="00CA3525"/>
    <w:rsid w:val="00CA5245"/>
    <w:rsid w:val="00CA6D9C"/>
    <w:rsid w:val="00CA783B"/>
    <w:rsid w:val="00CA7B09"/>
    <w:rsid w:val="00CB1782"/>
    <w:rsid w:val="00CB5B1A"/>
    <w:rsid w:val="00CC3AE1"/>
    <w:rsid w:val="00CC47E8"/>
    <w:rsid w:val="00CC571D"/>
    <w:rsid w:val="00CD6ADC"/>
    <w:rsid w:val="00CE6274"/>
    <w:rsid w:val="00CE6E4D"/>
    <w:rsid w:val="00CE78B5"/>
    <w:rsid w:val="00CE7BBF"/>
    <w:rsid w:val="00CE7F9F"/>
    <w:rsid w:val="00CF17BC"/>
    <w:rsid w:val="00CF2C9D"/>
    <w:rsid w:val="00CF456B"/>
    <w:rsid w:val="00CF553C"/>
    <w:rsid w:val="00CF5A22"/>
    <w:rsid w:val="00CF64EB"/>
    <w:rsid w:val="00CF6D0D"/>
    <w:rsid w:val="00D0262E"/>
    <w:rsid w:val="00D03511"/>
    <w:rsid w:val="00D06080"/>
    <w:rsid w:val="00D06C1D"/>
    <w:rsid w:val="00D10B6B"/>
    <w:rsid w:val="00D110BD"/>
    <w:rsid w:val="00D128B6"/>
    <w:rsid w:val="00D146BA"/>
    <w:rsid w:val="00D152E7"/>
    <w:rsid w:val="00D161A7"/>
    <w:rsid w:val="00D17D6C"/>
    <w:rsid w:val="00D24FA9"/>
    <w:rsid w:val="00D2791F"/>
    <w:rsid w:val="00D3113C"/>
    <w:rsid w:val="00D330DD"/>
    <w:rsid w:val="00D3450D"/>
    <w:rsid w:val="00D35423"/>
    <w:rsid w:val="00D357FF"/>
    <w:rsid w:val="00D40ADB"/>
    <w:rsid w:val="00D41B0B"/>
    <w:rsid w:val="00D44685"/>
    <w:rsid w:val="00D44E7B"/>
    <w:rsid w:val="00D5623E"/>
    <w:rsid w:val="00D602A8"/>
    <w:rsid w:val="00D62EA9"/>
    <w:rsid w:val="00D648BF"/>
    <w:rsid w:val="00D7230A"/>
    <w:rsid w:val="00D727A5"/>
    <w:rsid w:val="00D74058"/>
    <w:rsid w:val="00D76A44"/>
    <w:rsid w:val="00D80BA4"/>
    <w:rsid w:val="00D841E1"/>
    <w:rsid w:val="00D90B93"/>
    <w:rsid w:val="00D93753"/>
    <w:rsid w:val="00D94927"/>
    <w:rsid w:val="00DA1B52"/>
    <w:rsid w:val="00DA27F8"/>
    <w:rsid w:val="00DA77A5"/>
    <w:rsid w:val="00DB1A99"/>
    <w:rsid w:val="00DB3682"/>
    <w:rsid w:val="00DB7891"/>
    <w:rsid w:val="00DC50B2"/>
    <w:rsid w:val="00DC5501"/>
    <w:rsid w:val="00DC5B86"/>
    <w:rsid w:val="00DC76E3"/>
    <w:rsid w:val="00DD3F28"/>
    <w:rsid w:val="00DD4537"/>
    <w:rsid w:val="00DD4E15"/>
    <w:rsid w:val="00DD7A27"/>
    <w:rsid w:val="00DE30A5"/>
    <w:rsid w:val="00DE319C"/>
    <w:rsid w:val="00DE3FE4"/>
    <w:rsid w:val="00DE4FCB"/>
    <w:rsid w:val="00DE68E0"/>
    <w:rsid w:val="00DE6E65"/>
    <w:rsid w:val="00DE7132"/>
    <w:rsid w:val="00DF5D2B"/>
    <w:rsid w:val="00E01EBC"/>
    <w:rsid w:val="00E0376B"/>
    <w:rsid w:val="00E05773"/>
    <w:rsid w:val="00E10149"/>
    <w:rsid w:val="00E15620"/>
    <w:rsid w:val="00E16372"/>
    <w:rsid w:val="00E20ED6"/>
    <w:rsid w:val="00E21358"/>
    <w:rsid w:val="00E2249B"/>
    <w:rsid w:val="00E22A0D"/>
    <w:rsid w:val="00E23A5C"/>
    <w:rsid w:val="00E2771E"/>
    <w:rsid w:val="00E33241"/>
    <w:rsid w:val="00E332DD"/>
    <w:rsid w:val="00E37569"/>
    <w:rsid w:val="00E37704"/>
    <w:rsid w:val="00E41ADD"/>
    <w:rsid w:val="00E41E30"/>
    <w:rsid w:val="00E43097"/>
    <w:rsid w:val="00E43D70"/>
    <w:rsid w:val="00E43ED1"/>
    <w:rsid w:val="00E44724"/>
    <w:rsid w:val="00E47B2C"/>
    <w:rsid w:val="00E51560"/>
    <w:rsid w:val="00E55424"/>
    <w:rsid w:val="00E55BB5"/>
    <w:rsid w:val="00E616E8"/>
    <w:rsid w:val="00E642F4"/>
    <w:rsid w:val="00E65815"/>
    <w:rsid w:val="00E65E79"/>
    <w:rsid w:val="00E67416"/>
    <w:rsid w:val="00E70BDF"/>
    <w:rsid w:val="00E718B6"/>
    <w:rsid w:val="00E72C21"/>
    <w:rsid w:val="00E73581"/>
    <w:rsid w:val="00E7568B"/>
    <w:rsid w:val="00E7682F"/>
    <w:rsid w:val="00E825F5"/>
    <w:rsid w:val="00E83BDF"/>
    <w:rsid w:val="00E95A46"/>
    <w:rsid w:val="00EA000B"/>
    <w:rsid w:val="00EA2A32"/>
    <w:rsid w:val="00EA3864"/>
    <w:rsid w:val="00EA5E79"/>
    <w:rsid w:val="00EA7F2F"/>
    <w:rsid w:val="00EB08FF"/>
    <w:rsid w:val="00EB15B6"/>
    <w:rsid w:val="00EB1B68"/>
    <w:rsid w:val="00EB34A6"/>
    <w:rsid w:val="00EB4916"/>
    <w:rsid w:val="00EB65C8"/>
    <w:rsid w:val="00EB7076"/>
    <w:rsid w:val="00EC00C9"/>
    <w:rsid w:val="00EC1879"/>
    <w:rsid w:val="00EC2DC2"/>
    <w:rsid w:val="00EC72C9"/>
    <w:rsid w:val="00ED18A6"/>
    <w:rsid w:val="00ED4084"/>
    <w:rsid w:val="00EE07D3"/>
    <w:rsid w:val="00EE26B2"/>
    <w:rsid w:val="00EE60F2"/>
    <w:rsid w:val="00EE7498"/>
    <w:rsid w:val="00EF08BE"/>
    <w:rsid w:val="00EF1917"/>
    <w:rsid w:val="00EF32E0"/>
    <w:rsid w:val="00F022B9"/>
    <w:rsid w:val="00F067A2"/>
    <w:rsid w:val="00F06CA7"/>
    <w:rsid w:val="00F10001"/>
    <w:rsid w:val="00F11A5E"/>
    <w:rsid w:val="00F24837"/>
    <w:rsid w:val="00F25499"/>
    <w:rsid w:val="00F2575F"/>
    <w:rsid w:val="00F2667A"/>
    <w:rsid w:val="00F3194B"/>
    <w:rsid w:val="00F33DE9"/>
    <w:rsid w:val="00F3619A"/>
    <w:rsid w:val="00F4321D"/>
    <w:rsid w:val="00F443EB"/>
    <w:rsid w:val="00F46CB6"/>
    <w:rsid w:val="00F53A39"/>
    <w:rsid w:val="00F55E73"/>
    <w:rsid w:val="00F60092"/>
    <w:rsid w:val="00F6030F"/>
    <w:rsid w:val="00F6291B"/>
    <w:rsid w:val="00F62C9E"/>
    <w:rsid w:val="00F66499"/>
    <w:rsid w:val="00F67EB7"/>
    <w:rsid w:val="00F67EC3"/>
    <w:rsid w:val="00F74C29"/>
    <w:rsid w:val="00F80E5D"/>
    <w:rsid w:val="00F82C46"/>
    <w:rsid w:val="00F834DD"/>
    <w:rsid w:val="00F851CE"/>
    <w:rsid w:val="00F87602"/>
    <w:rsid w:val="00F9019A"/>
    <w:rsid w:val="00F90485"/>
    <w:rsid w:val="00F92284"/>
    <w:rsid w:val="00F92DE3"/>
    <w:rsid w:val="00F937FC"/>
    <w:rsid w:val="00F94716"/>
    <w:rsid w:val="00F9574C"/>
    <w:rsid w:val="00F975DF"/>
    <w:rsid w:val="00F97A78"/>
    <w:rsid w:val="00FA24E7"/>
    <w:rsid w:val="00FA2BF7"/>
    <w:rsid w:val="00FB26D7"/>
    <w:rsid w:val="00FB2FCB"/>
    <w:rsid w:val="00FB4BD0"/>
    <w:rsid w:val="00FB6E0D"/>
    <w:rsid w:val="00FC04AC"/>
    <w:rsid w:val="00FC1074"/>
    <w:rsid w:val="00FC1884"/>
    <w:rsid w:val="00FC3944"/>
    <w:rsid w:val="00FC4733"/>
    <w:rsid w:val="00FC4C9E"/>
    <w:rsid w:val="00FC7BEF"/>
    <w:rsid w:val="00FC7D95"/>
    <w:rsid w:val="00FD1F03"/>
    <w:rsid w:val="00FD2100"/>
    <w:rsid w:val="00FD3FA7"/>
    <w:rsid w:val="00FD41A8"/>
    <w:rsid w:val="00FD446D"/>
    <w:rsid w:val="00FE1AB8"/>
    <w:rsid w:val="00FE3EAC"/>
    <w:rsid w:val="00FF0640"/>
    <w:rsid w:val="00FF0EA5"/>
    <w:rsid w:val="00FF3DCF"/>
    <w:rsid w:val="00FF5AA3"/>
    <w:rsid w:val="00FF61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CE78B5"/>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SR Caption,Char,Caption-FUSA,Bayer Caption Char Char Char Char,Bayer Caption Char,Bayer Caption Char Char Char,Bayer Caption Char Char,Bayer 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CSR Caption Char,Char Char,Caption-FUSA Char,Bayer Caption Char Char Char Char Char,Bayer Caption Char Char1,Bayer Caption Char Char Char Char1,Bayer Caption Char Char Char1,Bayer Caption Char1"/>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CE78B5"/>
    <w:pPr>
      <w:spacing w:before="240" w:after="60"/>
      <w:jc w:val="left"/>
      <w:outlineLvl w:val="0"/>
    </w:pPr>
    <w:rPr>
      <w:b/>
      <w:bCs/>
      <w:kern w:val="28"/>
      <w:sz w:val="32"/>
      <w:szCs w:val="32"/>
    </w:rPr>
  </w:style>
  <w:style w:type="character" w:customStyle="1" w:styleId="TitleChar">
    <w:name w:val="Title Char"/>
    <w:basedOn w:val="DefaultParagraphFont"/>
    <w:link w:val="Title"/>
    <w:rsid w:val="00CE78B5"/>
    <w:rPr>
      <w:rFonts w:ascii="Arial" w:hAnsi="Arial"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Text1">
    <w:name w:val="Table Text"/>
    <w:basedOn w:val="Normal"/>
    <w:link w:val="TableTextChar0"/>
    <w:qFormat/>
    <w:rsid w:val="00DA1B52"/>
    <w:pPr>
      <w:keepNext/>
      <w:keepLines/>
      <w:widowControl/>
      <w:spacing w:before="40" w:after="60"/>
      <w:jc w:val="left"/>
    </w:pPr>
    <w:rPr>
      <w:rFonts w:ascii="Arial Narrow" w:hAnsi="Arial Narrow" w:cs="Times New Roman"/>
      <w:snapToGrid/>
      <w:sz w:val="20"/>
      <w:szCs w:val="22"/>
      <w:lang w:eastAsia="en-AU"/>
    </w:rPr>
  </w:style>
  <w:style w:type="character" w:customStyle="1" w:styleId="TableTextChar0">
    <w:name w:val="Table Text Char"/>
    <w:link w:val="TableText1"/>
    <w:locked/>
    <w:rsid w:val="00DA1B52"/>
    <w:rPr>
      <w:rFonts w:ascii="Arial Narrow" w:hAnsi="Arial Narrow"/>
      <w:szCs w:val="22"/>
    </w:rPr>
  </w:style>
  <w:style w:type="paragraph" w:customStyle="1" w:styleId="KMC-Tablecontent">
    <w:name w:val="KMC-Table content"/>
    <w:basedOn w:val="Normal"/>
    <w:link w:val="KMC-TablecontentChar"/>
    <w:qFormat/>
    <w:rsid w:val="001207FD"/>
    <w:pPr>
      <w:widowControl/>
      <w:spacing w:before="40" w:after="40"/>
      <w:jc w:val="left"/>
    </w:pPr>
    <w:rPr>
      <w:rFonts w:ascii="Arial Narrow" w:hAnsi="Arial Narrow" w:cs="Times New Roman"/>
      <w:snapToGrid/>
      <w:color w:val="000000"/>
      <w:sz w:val="20"/>
      <w:lang w:eastAsia="en-AU"/>
    </w:rPr>
  </w:style>
  <w:style w:type="character" w:customStyle="1" w:styleId="KMC-TablecontentChar">
    <w:name w:val="KMC-Table content Char"/>
    <w:basedOn w:val="DefaultParagraphFont"/>
    <w:link w:val="KMC-Tablecontent"/>
    <w:rsid w:val="001207FD"/>
    <w:rPr>
      <w:rFonts w:ascii="Arial Narrow" w:hAnsi="Arial Narrow"/>
      <w:color w:val="000000"/>
    </w:rPr>
  </w:style>
  <w:style w:type="paragraph" w:customStyle="1" w:styleId="Table11">
    <w:name w:val="Table11"/>
    <w:basedOn w:val="Normal"/>
    <w:rsid w:val="001207FD"/>
    <w:pPr>
      <w:widowControl/>
      <w:spacing w:before="120" w:after="120" w:line="360" w:lineRule="auto"/>
    </w:pPr>
    <w:rPr>
      <w:rFonts w:cs="Times New Roman"/>
      <w:snapToGrid/>
      <w:color w:val="000000"/>
    </w:rPr>
  </w:style>
  <w:style w:type="character" w:customStyle="1" w:styleId="PBACTableTextChar">
    <w:name w:val="PBAC Table Text Char"/>
    <w:basedOn w:val="DefaultParagraphFont"/>
    <w:link w:val="PBACTableText"/>
    <w:locked/>
    <w:rsid w:val="00F975DF"/>
    <w:rPr>
      <w:rFonts w:ascii="News Gothic MT" w:eastAsia="Batang" w:hAnsi="News Gothic MT"/>
    </w:rPr>
  </w:style>
  <w:style w:type="paragraph" w:customStyle="1" w:styleId="PBACTableText">
    <w:name w:val="PBAC Table Text"/>
    <w:basedOn w:val="Normal"/>
    <w:link w:val="PBACTableTextChar"/>
    <w:qFormat/>
    <w:rsid w:val="00F975DF"/>
    <w:pPr>
      <w:widowControl/>
      <w:jc w:val="left"/>
    </w:pPr>
    <w:rPr>
      <w:rFonts w:ascii="News Gothic MT" w:eastAsia="Batang" w:hAnsi="News Gothic MT" w:cs="Times New Roman"/>
      <w:snapToGrid/>
      <w:sz w:val="20"/>
      <w:lang w:eastAsia="en-AU"/>
    </w:rPr>
  </w:style>
  <w:style w:type="paragraph" w:styleId="DocumentMap">
    <w:name w:val="Document Map"/>
    <w:basedOn w:val="Normal"/>
    <w:link w:val="DocumentMapChar"/>
    <w:semiHidden/>
    <w:rsid w:val="00FD41A8"/>
    <w:pPr>
      <w:widowControl/>
      <w:shd w:val="clear" w:color="auto" w:fill="000080"/>
    </w:pPr>
    <w:rPr>
      <w:rFonts w:ascii="Tahoma" w:hAnsi="Tahoma" w:cs="Tahoma"/>
      <w:snapToGrid/>
      <w:sz w:val="20"/>
      <w:lang w:eastAsia="en-AU"/>
    </w:rPr>
  </w:style>
  <w:style w:type="character" w:customStyle="1" w:styleId="DocumentMapChar">
    <w:name w:val="Document Map Char"/>
    <w:basedOn w:val="DefaultParagraphFont"/>
    <w:link w:val="DocumentMap"/>
    <w:semiHidden/>
    <w:rsid w:val="00FD41A8"/>
    <w:rPr>
      <w:rFonts w:ascii="Tahoma" w:hAnsi="Tahoma" w:cs="Tahoma"/>
      <w:shd w:val="clear" w:color="auto" w:fill="000080"/>
    </w:rPr>
  </w:style>
  <w:style w:type="paragraph" w:customStyle="1" w:styleId="KMC-Tabletext">
    <w:name w:val="KMC - Table text"/>
    <w:basedOn w:val="Normal"/>
    <w:qFormat/>
    <w:rsid w:val="00FD41A8"/>
    <w:pPr>
      <w:widowControl/>
      <w:spacing w:before="40" w:after="40"/>
      <w:jc w:val="left"/>
    </w:pPr>
    <w:rPr>
      <w:rFonts w:ascii="Arial Narrow" w:hAnsi="Arial Narrow"/>
      <w:bCs/>
      <w:snapToGrid/>
      <w:lang w:eastAsia="en-AU"/>
    </w:rPr>
  </w:style>
  <w:style w:type="paragraph" w:customStyle="1" w:styleId="KMC-Tabletext0">
    <w:name w:val="KMC-Table text"/>
    <w:basedOn w:val="Normal"/>
    <w:qFormat/>
    <w:rsid w:val="00BB6CE5"/>
    <w:pPr>
      <w:widowControl/>
      <w:spacing w:before="40" w:after="40"/>
    </w:pPr>
    <w:rPr>
      <w:rFonts w:ascii="Arial Narrow" w:hAnsi="Arial Narrow"/>
      <w:bCs/>
      <w:snapToGrid/>
      <w:lang w:eastAsia="en-AU"/>
    </w:rPr>
  </w:style>
  <w:style w:type="paragraph" w:styleId="FootnoteText">
    <w:name w:val="footnote text"/>
    <w:basedOn w:val="Normal"/>
    <w:link w:val="FootnoteTextChar"/>
    <w:uiPriority w:val="99"/>
    <w:semiHidden/>
    <w:unhideWhenUsed/>
    <w:rsid w:val="00D94927"/>
    <w:rPr>
      <w:sz w:val="20"/>
    </w:rPr>
  </w:style>
  <w:style w:type="character" w:customStyle="1" w:styleId="FootnoteTextChar">
    <w:name w:val="Footnote Text Char"/>
    <w:basedOn w:val="DefaultParagraphFont"/>
    <w:link w:val="FootnoteText"/>
    <w:uiPriority w:val="99"/>
    <w:semiHidden/>
    <w:rsid w:val="00D94927"/>
    <w:rPr>
      <w:rFonts w:ascii="Arial" w:hAnsi="Arial" w:cs="Arial"/>
      <w:snapToGrid w:val="0"/>
      <w:lang w:eastAsia="en-US"/>
    </w:rPr>
  </w:style>
  <w:style w:type="character" w:styleId="FootnoteReference">
    <w:name w:val="footnote reference"/>
    <w:basedOn w:val="DefaultParagraphFont"/>
    <w:uiPriority w:val="99"/>
    <w:semiHidden/>
    <w:unhideWhenUsed/>
    <w:rsid w:val="00D94927"/>
    <w:rPr>
      <w:vertAlign w:val="superscript"/>
    </w:rPr>
  </w:style>
  <w:style w:type="paragraph" w:customStyle="1" w:styleId="KMC-Footnotes">
    <w:name w:val="KMC-Footnotes"/>
    <w:basedOn w:val="Normal"/>
    <w:qFormat/>
    <w:rsid w:val="007430EA"/>
    <w:pPr>
      <w:widowControl/>
      <w:spacing w:before="40" w:after="40"/>
    </w:pPr>
    <w:rPr>
      <w:rFonts w:cs="Times New Roman"/>
      <w:snapToGrid/>
      <w:sz w:val="18"/>
      <w:szCs w:val="18"/>
      <w:lang w:eastAsia="en-AU"/>
    </w:rPr>
  </w:style>
  <w:style w:type="table" w:customStyle="1" w:styleId="TableGrid0">
    <w:name w:val="TableGrid"/>
    <w:rsid w:val="00A1379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
    <w:name w:val="EndNote Bibliography"/>
    <w:basedOn w:val="Normal"/>
    <w:link w:val="EndNoteBibliographyChar"/>
    <w:rsid w:val="00720C13"/>
    <w:pPr>
      <w:widowControl/>
    </w:pPr>
    <w:rPr>
      <w:noProof/>
      <w:snapToGrid/>
      <w:lang w:eastAsia="en-AU"/>
    </w:rPr>
  </w:style>
  <w:style w:type="character" w:customStyle="1" w:styleId="EndNoteBibliographyChar">
    <w:name w:val="EndNote Bibliography Char"/>
    <w:basedOn w:val="DefaultParagraphFont"/>
    <w:link w:val="EndNoteBibliography"/>
    <w:rsid w:val="00720C13"/>
    <w:rPr>
      <w:rFonts w:ascii="Arial" w:hAnsi="Arial" w:cs="Arial"/>
      <w:noProof/>
      <w:sz w:val="22"/>
    </w:rPr>
  </w:style>
  <w:style w:type="paragraph" w:customStyle="1" w:styleId="KMC-Caption">
    <w:name w:val="KMC-Caption"/>
    <w:basedOn w:val="Caption"/>
    <w:link w:val="KMC-CaptionChar"/>
    <w:qFormat/>
    <w:rsid w:val="00570012"/>
    <w:pPr>
      <w:keepNext/>
      <w:widowControl/>
      <w:tabs>
        <w:tab w:val="left" w:pos="567"/>
      </w:tabs>
      <w:spacing w:before="240" w:after="120" w:line="276" w:lineRule="auto"/>
      <w:ind w:left="1304" w:hanging="1304"/>
      <w:contextualSpacing/>
      <w:jc w:val="left"/>
    </w:pPr>
    <w:rPr>
      <w:rFonts w:cs="Times New Roman"/>
      <w:bCs w:val="0"/>
      <w:noProof/>
      <w:snapToGrid/>
      <w:color w:val="000000"/>
    </w:rPr>
  </w:style>
  <w:style w:type="character" w:customStyle="1" w:styleId="KMC-CaptionChar">
    <w:name w:val="KMC-Caption Char"/>
    <w:basedOn w:val="CaptionChar"/>
    <w:link w:val="KMC-Caption"/>
    <w:rsid w:val="00570012"/>
    <w:rPr>
      <w:rFonts w:ascii="Arial" w:hAnsi="Arial"/>
      <w:b/>
      <w:bCs w:val="0"/>
      <w:noProof/>
      <w:snapToGrid/>
      <w:color w:val="000000"/>
      <w:sz w:val="18"/>
      <w:szCs w:val="18"/>
      <w:lang w:eastAsia="en-US"/>
    </w:rPr>
  </w:style>
  <w:style w:type="paragraph" w:customStyle="1" w:styleId="KMC-TFNotes">
    <w:name w:val="KMC-TF Notes"/>
    <w:basedOn w:val="Normal"/>
    <w:link w:val="KMC-TFNotesChar"/>
    <w:qFormat/>
    <w:rsid w:val="0005348D"/>
    <w:pPr>
      <w:keepNext/>
      <w:widowControl/>
      <w:autoSpaceDE w:val="0"/>
      <w:autoSpaceDN w:val="0"/>
      <w:adjustRightInd w:val="0"/>
      <w:spacing w:before="45" w:after="240"/>
      <w:contextualSpacing/>
    </w:pPr>
    <w:rPr>
      <w:rFonts w:ascii="Calibri" w:hAnsi="Calibri" w:cs="Times New Roman"/>
      <w:snapToGrid/>
      <w:sz w:val="16"/>
      <w:szCs w:val="18"/>
      <w:lang w:eastAsia="en-AU"/>
    </w:rPr>
  </w:style>
  <w:style w:type="character" w:customStyle="1" w:styleId="KMC-TFNotesChar">
    <w:name w:val="KMC-TF Notes Char"/>
    <w:basedOn w:val="DefaultParagraphFont"/>
    <w:link w:val="KMC-TFNotes"/>
    <w:rsid w:val="0005348D"/>
    <w:rPr>
      <w:rFonts w:ascii="Calibri" w:hAnsi="Calibri"/>
      <w:sz w:val="16"/>
      <w:szCs w:val="18"/>
    </w:rPr>
  </w:style>
  <w:style w:type="paragraph" w:customStyle="1" w:styleId="KMC-Text">
    <w:name w:val="KMC-Text"/>
    <w:basedOn w:val="Normal"/>
    <w:link w:val="KMC-TextChar"/>
    <w:qFormat/>
    <w:rsid w:val="00E332DD"/>
    <w:pPr>
      <w:widowControl/>
      <w:spacing w:before="120" w:after="240" w:line="360" w:lineRule="auto"/>
    </w:pPr>
    <w:rPr>
      <w:snapToGrid/>
      <w:lang w:eastAsia="en-AU"/>
    </w:rPr>
  </w:style>
  <w:style w:type="character" w:customStyle="1" w:styleId="KMC-TextChar">
    <w:name w:val="KMC-Text Char"/>
    <w:basedOn w:val="DefaultParagraphFont"/>
    <w:link w:val="KMC-Text"/>
    <w:rsid w:val="00E332DD"/>
    <w:rPr>
      <w:rFonts w:ascii="Arial" w:hAnsi="Arial" w:cs="Arial"/>
      <w:sz w:val="22"/>
    </w:rPr>
  </w:style>
  <w:style w:type="paragraph" w:customStyle="1" w:styleId="KMC-Tablesheading">
    <w:name w:val="KMC-Tables heading"/>
    <w:basedOn w:val="KMC-Text"/>
    <w:qFormat/>
    <w:rsid w:val="00304E1D"/>
    <w:pPr>
      <w:keepNext/>
      <w:spacing w:before="240" w:after="120" w:line="276" w:lineRule="auto"/>
      <w:jc w:val="left"/>
    </w:pPr>
    <w:rPr>
      <w:rFonts w:ascii="Arial Narrow" w:hAnsi="Arial Narrow"/>
      <w:b/>
    </w:rPr>
  </w:style>
  <w:style w:type="paragraph" w:customStyle="1" w:styleId="PBSNormal">
    <w:name w:val="PBS Normal"/>
    <w:basedOn w:val="Normal"/>
    <w:link w:val="PBSNormalChar1"/>
    <w:rsid w:val="000F7106"/>
    <w:pPr>
      <w:widowControl/>
      <w:spacing w:before="120" w:after="120" w:line="360" w:lineRule="auto"/>
    </w:pPr>
    <w:rPr>
      <w:rFonts w:ascii="Times New Roman" w:hAnsi="Times New Roman" w:cs="Times New Roman"/>
      <w:snapToGrid/>
      <w:sz w:val="20"/>
      <w:lang w:eastAsia="en-AU"/>
    </w:rPr>
  </w:style>
  <w:style w:type="character" w:customStyle="1" w:styleId="PBSNormalChar1">
    <w:name w:val="PBS Normal Char1"/>
    <w:basedOn w:val="DefaultParagraphFont"/>
    <w:link w:val="PBSNormal"/>
    <w:rsid w:val="000F7106"/>
  </w:style>
  <w:style w:type="character" w:customStyle="1" w:styleId="TableText1leftChar">
    <w:name w:val="Table Text 1 (left) Char"/>
    <w:link w:val="TableText1left"/>
    <w:locked/>
    <w:rsid w:val="00754521"/>
    <w:rPr>
      <w:lang w:val="en-GB"/>
    </w:rPr>
  </w:style>
  <w:style w:type="paragraph" w:customStyle="1" w:styleId="TableText1left">
    <w:name w:val="Table Text 1 (left)"/>
    <w:basedOn w:val="Normal"/>
    <w:link w:val="TableText1leftChar"/>
    <w:qFormat/>
    <w:rsid w:val="00754521"/>
    <w:pPr>
      <w:widowControl/>
      <w:spacing w:before="40" w:after="40"/>
      <w:jc w:val="left"/>
    </w:pPr>
    <w:rPr>
      <w:rFonts w:ascii="Times New Roman" w:hAnsi="Times New Roman" w:cs="Times New Roman"/>
      <w:snapToGrid/>
      <w:sz w:val="20"/>
      <w:lang w:val="en-GB" w:eastAsia="en-AU"/>
    </w:rPr>
  </w:style>
  <w:style w:type="paragraph" w:customStyle="1" w:styleId="TableText2centerheaderrow">
    <w:name w:val="Table Text 2 (center) header row"/>
    <w:basedOn w:val="Normal"/>
    <w:rsid w:val="00754521"/>
    <w:pPr>
      <w:widowControl/>
      <w:tabs>
        <w:tab w:val="left" w:pos="2835"/>
      </w:tabs>
      <w:snapToGrid w:val="0"/>
      <w:spacing w:before="80" w:after="80"/>
      <w:jc w:val="center"/>
    </w:pPr>
    <w:rPr>
      <w:rFonts w:ascii="Times New Roman" w:eastAsia="SimSun" w:hAnsi="Times New Roman" w:cs="Times New Roman"/>
      <w:snapToGrid/>
      <w:sz w:val="20"/>
    </w:rPr>
  </w:style>
  <w:style w:type="paragraph" w:customStyle="1" w:styleId="KMC-FooterHeader">
    <w:name w:val="KMC-Footer Header"/>
    <w:basedOn w:val="Footer"/>
    <w:link w:val="KMC-FooterHeaderChar"/>
    <w:qFormat/>
    <w:rsid w:val="00FC04AC"/>
    <w:pPr>
      <w:widowControl/>
      <w:pBdr>
        <w:top w:val="single" w:sz="4" w:space="1" w:color="auto"/>
      </w:pBdr>
      <w:tabs>
        <w:tab w:val="clear" w:pos="4513"/>
        <w:tab w:val="clear" w:pos="9026"/>
        <w:tab w:val="center" w:pos="4153"/>
        <w:tab w:val="right" w:pos="8306"/>
      </w:tabs>
      <w:spacing w:before="120" w:after="120" w:line="276" w:lineRule="auto"/>
      <w:contextualSpacing/>
    </w:pPr>
    <w:rPr>
      <w:rFonts w:ascii="Calibri" w:hAnsi="Calibri" w:cs="Times New Roman"/>
      <w:snapToGrid/>
      <w:color w:val="000000"/>
      <w:sz w:val="18"/>
      <w:lang w:eastAsia="en-AU"/>
    </w:rPr>
  </w:style>
  <w:style w:type="character" w:customStyle="1" w:styleId="KMC-FooterHeaderChar">
    <w:name w:val="KMC-Footer Header Char"/>
    <w:basedOn w:val="DefaultParagraphFont"/>
    <w:link w:val="KMC-FooterHeader"/>
    <w:rsid w:val="00FC04AC"/>
    <w:rPr>
      <w:rFonts w:ascii="Calibri" w:hAnsi="Calibri"/>
      <w:color w:val="000000"/>
      <w:sz w:val="18"/>
    </w:rPr>
  </w:style>
  <w:style w:type="character" w:customStyle="1" w:styleId="ListParagraphChar">
    <w:name w:val="List Paragraph Char"/>
    <w:basedOn w:val="DefaultParagraphFont"/>
    <w:link w:val="ListParagraph"/>
    <w:uiPriority w:val="72"/>
    <w:locked/>
    <w:rsid w:val="001A29C2"/>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014C2"/>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CE78B5"/>
    <w:pPr>
      <w:outlineLvl w:val="0"/>
    </w:p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SR Caption,Char,Caption-FUSA,Bayer Caption Char Char Char Char,Bayer Caption Char,Bayer Caption Char Char Char,Bayer Caption Char Char,Bayer 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CSR Caption Char,Char Char,Caption-FUSA Char,Bayer Caption Char Char Char Char Char,Bayer Caption Char Char1,Bayer Caption Char Char Char Char1,Bayer Caption Char Char Char1,Bayer Caption Char1"/>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CE78B5"/>
    <w:pPr>
      <w:spacing w:before="240" w:after="60"/>
      <w:jc w:val="left"/>
      <w:outlineLvl w:val="0"/>
    </w:pPr>
    <w:rPr>
      <w:b/>
      <w:bCs/>
      <w:kern w:val="28"/>
      <w:sz w:val="32"/>
      <w:szCs w:val="32"/>
    </w:rPr>
  </w:style>
  <w:style w:type="character" w:customStyle="1" w:styleId="TitleChar">
    <w:name w:val="Title Char"/>
    <w:basedOn w:val="DefaultParagraphFont"/>
    <w:link w:val="Title"/>
    <w:rsid w:val="00CE78B5"/>
    <w:rPr>
      <w:rFonts w:ascii="Arial" w:hAnsi="Arial" w:cs="Arial"/>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Text1">
    <w:name w:val="Table Text"/>
    <w:basedOn w:val="Normal"/>
    <w:link w:val="TableTextChar0"/>
    <w:qFormat/>
    <w:rsid w:val="00DA1B52"/>
    <w:pPr>
      <w:keepNext/>
      <w:keepLines/>
      <w:widowControl/>
      <w:spacing w:before="40" w:after="60"/>
      <w:jc w:val="left"/>
    </w:pPr>
    <w:rPr>
      <w:rFonts w:ascii="Arial Narrow" w:hAnsi="Arial Narrow" w:cs="Times New Roman"/>
      <w:snapToGrid/>
      <w:sz w:val="20"/>
      <w:szCs w:val="22"/>
      <w:lang w:eastAsia="en-AU"/>
    </w:rPr>
  </w:style>
  <w:style w:type="character" w:customStyle="1" w:styleId="TableTextChar0">
    <w:name w:val="Table Text Char"/>
    <w:link w:val="TableText1"/>
    <w:locked/>
    <w:rsid w:val="00DA1B52"/>
    <w:rPr>
      <w:rFonts w:ascii="Arial Narrow" w:hAnsi="Arial Narrow"/>
      <w:szCs w:val="22"/>
    </w:rPr>
  </w:style>
  <w:style w:type="paragraph" w:customStyle="1" w:styleId="KMC-Tablecontent">
    <w:name w:val="KMC-Table content"/>
    <w:basedOn w:val="Normal"/>
    <w:link w:val="KMC-TablecontentChar"/>
    <w:qFormat/>
    <w:rsid w:val="001207FD"/>
    <w:pPr>
      <w:widowControl/>
      <w:spacing w:before="40" w:after="40"/>
      <w:jc w:val="left"/>
    </w:pPr>
    <w:rPr>
      <w:rFonts w:ascii="Arial Narrow" w:hAnsi="Arial Narrow" w:cs="Times New Roman"/>
      <w:snapToGrid/>
      <w:color w:val="000000"/>
      <w:sz w:val="20"/>
      <w:lang w:eastAsia="en-AU"/>
    </w:rPr>
  </w:style>
  <w:style w:type="character" w:customStyle="1" w:styleId="KMC-TablecontentChar">
    <w:name w:val="KMC-Table content Char"/>
    <w:basedOn w:val="DefaultParagraphFont"/>
    <w:link w:val="KMC-Tablecontent"/>
    <w:rsid w:val="001207FD"/>
    <w:rPr>
      <w:rFonts w:ascii="Arial Narrow" w:hAnsi="Arial Narrow"/>
      <w:color w:val="000000"/>
    </w:rPr>
  </w:style>
  <w:style w:type="paragraph" w:customStyle="1" w:styleId="Table11">
    <w:name w:val="Table11"/>
    <w:basedOn w:val="Normal"/>
    <w:rsid w:val="001207FD"/>
    <w:pPr>
      <w:widowControl/>
      <w:spacing w:before="120" w:after="120" w:line="360" w:lineRule="auto"/>
    </w:pPr>
    <w:rPr>
      <w:rFonts w:cs="Times New Roman"/>
      <w:snapToGrid/>
      <w:color w:val="000000"/>
    </w:rPr>
  </w:style>
  <w:style w:type="character" w:customStyle="1" w:styleId="PBACTableTextChar">
    <w:name w:val="PBAC Table Text Char"/>
    <w:basedOn w:val="DefaultParagraphFont"/>
    <w:link w:val="PBACTableText"/>
    <w:locked/>
    <w:rsid w:val="00F975DF"/>
    <w:rPr>
      <w:rFonts w:ascii="News Gothic MT" w:eastAsia="Batang" w:hAnsi="News Gothic MT"/>
    </w:rPr>
  </w:style>
  <w:style w:type="paragraph" w:customStyle="1" w:styleId="PBACTableText">
    <w:name w:val="PBAC Table Text"/>
    <w:basedOn w:val="Normal"/>
    <w:link w:val="PBACTableTextChar"/>
    <w:qFormat/>
    <w:rsid w:val="00F975DF"/>
    <w:pPr>
      <w:widowControl/>
      <w:jc w:val="left"/>
    </w:pPr>
    <w:rPr>
      <w:rFonts w:ascii="News Gothic MT" w:eastAsia="Batang" w:hAnsi="News Gothic MT" w:cs="Times New Roman"/>
      <w:snapToGrid/>
      <w:sz w:val="20"/>
      <w:lang w:eastAsia="en-AU"/>
    </w:rPr>
  </w:style>
  <w:style w:type="paragraph" w:styleId="DocumentMap">
    <w:name w:val="Document Map"/>
    <w:basedOn w:val="Normal"/>
    <w:link w:val="DocumentMapChar"/>
    <w:semiHidden/>
    <w:rsid w:val="00FD41A8"/>
    <w:pPr>
      <w:widowControl/>
      <w:shd w:val="clear" w:color="auto" w:fill="000080"/>
    </w:pPr>
    <w:rPr>
      <w:rFonts w:ascii="Tahoma" w:hAnsi="Tahoma" w:cs="Tahoma"/>
      <w:snapToGrid/>
      <w:sz w:val="20"/>
      <w:lang w:eastAsia="en-AU"/>
    </w:rPr>
  </w:style>
  <w:style w:type="character" w:customStyle="1" w:styleId="DocumentMapChar">
    <w:name w:val="Document Map Char"/>
    <w:basedOn w:val="DefaultParagraphFont"/>
    <w:link w:val="DocumentMap"/>
    <w:semiHidden/>
    <w:rsid w:val="00FD41A8"/>
    <w:rPr>
      <w:rFonts w:ascii="Tahoma" w:hAnsi="Tahoma" w:cs="Tahoma"/>
      <w:shd w:val="clear" w:color="auto" w:fill="000080"/>
    </w:rPr>
  </w:style>
  <w:style w:type="paragraph" w:customStyle="1" w:styleId="KMC-Tabletext">
    <w:name w:val="KMC - Table text"/>
    <w:basedOn w:val="Normal"/>
    <w:qFormat/>
    <w:rsid w:val="00FD41A8"/>
    <w:pPr>
      <w:widowControl/>
      <w:spacing w:before="40" w:after="40"/>
      <w:jc w:val="left"/>
    </w:pPr>
    <w:rPr>
      <w:rFonts w:ascii="Arial Narrow" w:hAnsi="Arial Narrow"/>
      <w:bCs/>
      <w:snapToGrid/>
      <w:lang w:eastAsia="en-AU"/>
    </w:rPr>
  </w:style>
  <w:style w:type="paragraph" w:customStyle="1" w:styleId="KMC-Tabletext0">
    <w:name w:val="KMC-Table text"/>
    <w:basedOn w:val="Normal"/>
    <w:qFormat/>
    <w:rsid w:val="00BB6CE5"/>
    <w:pPr>
      <w:widowControl/>
      <w:spacing w:before="40" w:after="40"/>
    </w:pPr>
    <w:rPr>
      <w:rFonts w:ascii="Arial Narrow" w:hAnsi="Arial Narrow"/>
      <w:bCs/>
      <w:snapToGrid/>
      <w:lang w:eastAsia="en-AU"/>
    </w:rPr>
  </w:style>
  <w:style w:type="paragraph" w:styleId="FootnoteText">
    <w:name w:val="footnote text"/>
    <w:basedOn w:val="Normal"/>
    <w:link w:val="FootnoteTextChar"/>
    <w:uiPriority w:val="99"/>
    <w:semiHidden/>
    <w:unhideWhenUsed/>
    <w:rsid w:val="00D94927"/>
    <w:rPr>
      <w:sz w:val="20"/>
    </w:rPr>
  </w:style>
  <w:style w:type="character" w:customStyle="1" w:styleId="FootnoteTextChar">
    <w:name w:val="Footnote Text Char"/>
    <w:basedOn w:val="DefaultParagraphFont"/>
    <w:link w:val="FootnoteText"/>
    <w:uiPriority w:val="99"/>
    <w:semiHidden/>
    <w:rsid w:val="00D94927"/>
    <w:rPr>
      <w:rFonts w:ascii="Arial" w:hAnsi="Arial" w:cs="Arial"/>
      <w:snapToGrid w:val="0"/>
      <w:lang w:eastAsia="en-US"/>
    </w:rPr>
  </w:style>
  <w:style w:type="character" w:styleId="FootnoteReference">
    <w:name w:val="footnote reference"/>
    <w:basedOn w:val="DefaultParagraphFont"/>
    <w:uiPriority w:val="99"/>
    <w:semiHidden/>
    <w:unhideWhenUsed/>
    <w:rsid w:val="00D94927"/>
    <w:rPr>
      <w:vertAlign w:val="superscript"/>
    </w:rPr>
  </w:style>
  <w:style w:type="paragraph" w:customStyle="1" w:styleId="KMC-Footnotes">
    <w:name w:val="KMC-Footnotes"/>
    <w:basedOn w:val="Normal"/>
    <w:qFormat/>
    <w:rsid w:val="007430EA"/>
    <w:pPr>
      <w:widowControl/>
      <w:spacing w:before="40" w:after="40"/>
    </w:pPr>
    <w:rPr>
      <w:rFonts w:cs="Times New Roman"/>
      <w:snapToGrid/>
      <w:sz w:val="18"/>
      <w:szCs w:val="18"/>
      <w:lang w:eastAsia="en-AU"/>
    </w:rPr>
  </w:style>
  <w:style w:type="table" w:customStyle="1" w:styleId="TableGrid0">
    <w:name w:val="TableGrid"/>
    <w:rsid w:val="00A1379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
    <w:name w:val="EndNote Bibliography"/>
    <w:basedOn w:val="Normal"/>
    <w:link w:val="EndNoteBibliographyChar"/>
    <w:rsid w:val="00720C13"/>
    <w:pPr>
      <w:widowControl/>
    </w:pPr>
    <w:rPr>
      <w:noProof/>
      <w:snapToGrid/>
      <w:lang w:eastAsia="en-AU"/>
    </w:rPr>
  </w:style>
  <w:style w:type="character" w:customStyle="1" w:styleId="EndNoteBibliographyChar">
    <w:name w:val="EndNote Bibliography Char"/>
    <w:basedOn w:val="DefaultParagraphFont"/>
    <w:link w:val="EndNoteBibliography"/>
    <w:rsid w:val="00720C13"/>
    <w:rPr>
      <w:rFonts w:ascii="Arial" w:hAnsi="Arial" w:cs="Arial"/>
      <w:noProof/>
      <w:sz w:val="22"/>
    </w:rPr>
  </w:style>
  <w:style w:type="paragraph" w:customStyle="1" w:styleId="KMC-Caption">
    <w:name w:val="KMC-Caption"/>
    <w:basedOn w:val="Caption"/>
    <w:link w:val="KMC-CaptionChar"/>
    <w:qFormat/>
    <w:rsid w:val="00570012"/>
    <w:pPr>
      <w:keepNext/>
      <w:widowControl/>
      <w:tabs>
        <w:tab w:val="left" w:pos="567"/>
      </w:tabs>
      <w:spacing w:before="240" w:after="120" w:line="276" w:lineRule="auto"/>
      <w:ind w:left="1304" w:hanging="1304"/>
      <w:contextualSpacing/>
      <w:jc w:val="left"/>
    </w:pPr>
    <w:rPr>
      <w:rFonts w:cs="Times New Roman"/>
      <w:bCs w:val="0"/>
      <w:noProof/>
      <w:snapToGrid/>
      <w:color w:val="000000"/>
    </w:rPr>
  </w:style>
  <w:style w:type="character" w:customStyle="1" w:styleId="KMC-CaptionChar">
    <w:name w:val="KMC-Caption Char"/>
    <w:basedOn w:val="CaptionChar"/>
    <w:link w:val="KMC-Caption"/>
    <w:rsid w:val="00570012"/>
    <w:rPr>
      <w:rFonts w:ascii="Arial" w:hAnsi="Arial"/>
      <w:b/>
      <w:bCs w:val="0"/>
      <w:noProof/>
      <w:snapToGrid/>
      <w:color w:val="000000"/>
      <w:sz w:val="18"/>
      <w:szCs w:val="18"/>
      <w:lang w:eastAsia="en-US"/>
    </w:rPr>
  </w:style>
  <w:style w:type="paragraph" w:customStyle="1" w:styleId="KMC-TFNotes">
    <w:name w:val="KMC-TF Notes"/>
    <w:basedOn w:val="Normal"/>
    <w:link w:val="KMC-TFNotesChar"/>
    <w:qFormat/>
    <w:rsid w:val="0005348D"/>
    <w:pPr>
      <w:keepNext/>
      <w:widowControl/>
      <w:autoSpaceDE w:val="0"/>
      <w:autoSpaceDN w:val="0"/>
      <w:adjustRightInd w:val="0"/>
      <w:spacing w:before="45" w:after="240"/>
      <w:contextualSpacing/>
    </w:pPr>
    <w:rPr>
      <w:rFonts w:ascii="Calibri" w:hAnsi="Calibri" w:cs="Times New Roman"/>
      <w:snapToGrid/>
      <w:sz w:val="16"/>
      <w:szCs w:val="18"/>
      <w:lang w:eastAsia="en-AU"/>
    </w:rPr>
  </w:style>
  <w:style w:type="character" w:customStyle="1" w:styleId="KMC-TFNotesChar">
    <w:name w:val="KMC-TF Notes Char"/>
    <w:basedOn w:val="DefaultParagraphFont"/>
    <w:link w:val="KMC-TFNotes"/>
    <w:rsid w:val="0005348D"/>
    <w:rPr>
      <w:rFonts w:ascii="Calibri" w:hAnsi="Calibri"/>
      <w:sz w:val="16"/>
      <w:szCs w:val="18"/>
    </w:rPr>
  </w:style>
  <w:style w:type="paragraph" w:customStyle="1" w:styleId="KMC-Text">
    <w:name w:val="KMC-Text"/>
    <w:basedOn w:val="Normal"/>
    <w:link w:val="KMC-TextChar"/>
    <w:qFormat/>
    <w:rsid w:val="00E332DD"/>
    <w:pPr>
      <w:widowControl/>
      <w:spacing w:before="120" w:after="240" w:line="360" w:lineRule="auto"/>
    </w:pPr>
    <w:rPr>
      <w:snapToGrid/>
      <w:lang w:eastAsia="en-AU"/>
    </w:rPr>
  </w:style>
  <w:style w:type="character" w:customStyle="1" w:styleId="KMC-TextChar">
    <w:name w:val="KMC-Text Char"/>
    <w:basedOn w:val="DefaultParagraphFont"/>
    <w:link w:val="KMC-Text"/>
    <w:rsid w:val="00E332DD"/>
    <w:rPr>
      <w:rFonts w:ascii="Arial" w:hAnsi="Arial" w:cs="Arial"/>
      <w:sz w:val="22"/>
    </w:rPr>
  </w:style>
  <w:style w:type="paragraph" w:customStyle="1" w:styleId="KMC-Tablesheading">
    <w:name w:val="KMC-Tables heading"/>
    <w:basedOn w:val="KMC-Text"/>
    <w:qFormat/>
    <w:rsid w:val="00304E1D"/>
    <w:pPr>
      <w:keepNext/>
      <w:spacing w:before="240" w:after="120" w:line="276" w:lineRule="auto"/>
      <w:jc w:val="left"/>
    </w:pPr>
    <w:rPr>
      <w:rFonts w:ascii="Arial Narrow" w:hAnsi="Arial Narrow"/>
      <w:b/>
    </w:rPr>
  </w:style>
  <w:style w:type="paragraph" w:customStyle="1" w:styleId="PBSNormal">
    <w:name w:val="PBS Normal"/>
    <w:basedOn w:val="Normal"/>
    <w:link w:val="PBSNormalChar1"/>
    <w:rsid w:val="000F7106"/>
    <w:pPr>
      <w:widowControl/>
      <w:spacing w:before="120" w:after="120" w:line="360" w:lineRule="auto"/>
    </w:pPr>
    <w:rPr>
      <w:rFonts w:ascii="Times New Roman" w:hAnsi="Times New Roman" w:cs="Times New Roman"/>
      <w:snapToGrid/>
      <w:sz w:val="20"/>
      <w:lang w:eastAsia="en-AU"/>
    </w:rPr>
  </w:style>
  <w:style w:type="character" w:customStyle="1" w:styleId="PBSNormalChar1">
    <w:name w:val="PBS Normal Char1"/>
    <w:basedOn w:val="DefaultParagraphFont"/>
    <w:link w:val="PBSNormal"/>
    <w:rsid w:val="000F7106"/>
  </w:style>
  <w:style w:type="character" w:customStyle="1" w:styleId="TableText1leftChar">
    <w:name w:val="Table Text 1 (left) Char"/>
    <w:link w:val="TableText1left"/>
    <w:locked/>
    <w:rsid w:val="00754521"/>
    <w:rPr>
      <w:lang w:val="en-GB"/>
    </w:rPr>
  </w:style>
  <w:style w:type="paragraph" w:customStyle="1" w:styleId="TableText1left">
    <w:name w:val="Table Text 1 (left)"/>
    <w:basedOn w:val="Normal"/>
    <w:link w:val="TableText1leftChar"/>
    <w:qFormat/>
    <w:rsid w:val="00754521"/>
    <w:pPr>
      <w:widowControl/>
      <w:spacing w:before="40" w:after="40"/>
      <w:jc w:val="left"/>
    </w:pPr>
    <w:rPr>
      <w:rFonts w:ascii="Times New Roman" w:hAnsi="Times New Roman" w:cs="Times New Roman"/>
      <w:snapToGrid/>
      <w:sz w:val="20"/>
      <w:lang w:val="en-GB" w:eastAsia="en-AU"/>
    </w:rPr>
  </w:style>
  <w:style w:type="paragraph" w:customStyle="1" w:styleId="TableText2centerheaderrow">
    <w:name w:val="Table Text 2 (center) header row"/>
    <w:basedOn w:val="Normal"/>
    <w:rsid w:val="00754521"/>
    <w:pPr>
      <w:widowControl/>
      <w:tabs>
        <w:tab w:val="left" w:pos="2835"/>
      </w:tabs>
      <w:snapToGrid w:val="0"/>
      <w:spacing w:before="80" w:after="80"/>
      <w:jc w:val="center"/>
    </w:pPr>
    <w:rPr>
      <w:rFonts w:ascii="Times New Roman" w:eastAsia="SimSun" w:hAnsi="Times New Roman" w:cs="Times New Roman"/>
      <w:snapToGrid/>
      <w:sz w:val="20"/>
    </w:rPr>
  </w:style>
  <w:style w:type="paragraph" w:customStyle="1" w:styleId="KMC-FooterHeader">
    <w:name w:val="KMC-Footer Header"/>
    <w:basedOn w:val="Footer"/>
    <w:link w:val="KMC-FooterHeaderChar"/>
    <w:qFormat/>
    <w:rsid w:val="00FC04AC"/>
    <w:pPr>
      <w:widowControl/>
      <w:pBdr>
        <w:top w:val="single" w:sz="4" w:space="1" w:color="auto"/>
      </w:pBdr>
      <w:tabs>
        <w:tab w:val="clear" w:pos="4513"/>
        <w:tab w:val="clear" w:pos="9026"/>
        <w:tab w:val="center" w:pos="4153"/>
        <w:tab w:val="right" w:pos="8306"/>
      </w:tabs>
      <w:spacing w:before="120" w:after="120" w:line="276" w:lineRule="auto"/>
      <w:contextualSpacing/>
    </w:pPr>
    <w:rPr>
      <w:rFonts w:ascii="Calibri" w:hAnsi="Calibri" w:cs="Times New Roman"/>
      <w:snapToGrid/>
      <w:color w:val="000000"/>
      <w:sz w:val="18"/>
      <w:lang w:eastAsia="en-AU"/>
    </w:rPr>
  </w:style>
  <w:style w:type="character" w:customStyle="1" w:styleId="KMC-FooterHeaderChar">
    <w:name w:val="KMC-Footer Header Char"/>
    <w:basedOn w:val="DefaultParagraphFont"/>
    <w:link w:val="KMC-FooterHeader"/>
    <w:rsid w:val="00FC04AC"/>
    <w:rPr>
      <w:rFonts w:ascii="Calibri" w:hAnsi="Calibri"/>
      <w:color w:val="000000"/>
      <w:sz w:val="18"/>
    </w:rPr>
  </w:style>
  <w:style w:type="character" w:customStyle="1" w:styleId="ListParagraphChar">
    <w:name w:val="List Paragraph Char"/>
    <w:basedOn w:val="DefaultParagraphFont"/>
    <w:link w:val="ListParagraph"/>
    <w:uiPriority w:val="72"/>
    <w:locked/>
    <w:rsid w:val="001A29C2"/>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014C2"/>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847220">
      <w:bodyDiv w:val="1"/>
      <w:marLeft w:val="0"/>
      <w:marRight w:val="0"/>
      <w:marTop w:val="0"/>
      <w:marBottom w:val="0"/>
      <w:divBdr>
        <w:top w:val="none" w:sz="0" w:space="0" w:color="auto"/>
        <w:left w:val="none" w:sz="0" w:space="0" w:color="auto"/>
        <w:bottom w:val="none" w:sz="0" w:space="0" w:color="auto"/>
        <w:right w:val="none" w:sz="0" w:space="0" w:color="auto"/>
      </w:divBdr>
    </w:div>
    <w:div w:id="299506331">
      <w:bodyDiv w:val="1"/>
      <w:marLeft w:val="0"/>
      <w:marRight w:val="0"/>
      <w:marTop w:val="0"/>
      <w:marBottom w:val="0"/>
      <w:divBdr>
        <w:top w:val="none" w:sz="0" w:space="0" w:color="auto"/>
        <w:left w:val="none" w:sz="0" w:space="0" w:color="auto"/>
        <w:bottom w:val="none" w:sz="0" w:space="0" w:color="auto"/>
        <w:right w:val="none" w:sz="0" w:space="0" w:color="auto"/>
      </w:divBdr>
    </w:div>
    <w:div w:id="345913563">
      <w:bodyDiv w:val="1"/>
      <w:marLeft w:val="0"/>
      <w:marRight w:val="0"/>
      <w:marTop w:val="0"/>
      <w:marBottom w:val="0"/>
      <w:divBdr>
        <w:top w:val="none" w:sz="0" w:space="0" w:color="auto"/>
        <w:left w:val="none" w:sz="0" w:space="0" w:color="auto"/>
        <w:bottom w:val="none" w:sz="0" w:space="0" w:color="auto"/>
        <w:right w:val="none" w:sz="0" w:space="0" w:color="auto"/>
      </w:divBdr>
    </w:div>
    <w:div w:id="367029738">
      <w:bodyDiv w:val="1"/>
      <w:marLeft w:val="0"/>
      <w:marRight w:val="0"/>
      <w:marTop w:val="0"/>
      <w:marBottom w:val="0"/>
      <w:divBdr>
        <w:top w:val="none" w:sz="0" w:space="0" w:color="auto"/>
        <w:left w:val="none" w:sz="0" w:space="0" w:color="auto"/>
        <w:bottom w:val="none" w:sz="0" w:space="0" w:color="auto"/>
        <w:right w:val="none" w:sz="0" w:space="0" w:color="auto"/>
      </w:divBdr>
    </w:div>
    <w:div w:id="456333873">
      <w:bodyDiv w:val="1"/>
      <w:marLeft w:val="0"/>
      <w:marRight w:val="0"/>
      <w:marTop w:val="0"/>
      <w:marBottom w:val="0"/>
      <w:divBdr>
        <w:top w:val="none" w:sz="0" w:space="0" w:color="auto"/>
        <w:left w:val="none" w:sz="0" w:space="0" w:color="auto"/>
        <w:bottom w:val="none" w:sz="0" w:space="0" w:color="auto"/>
        <w:right w:val="none" w:sz="0" w:space="0" w:color="auto"/>
      </w:divBdr>
      <w:divsChild>
        <w:div w:id="385298172">
          <w:marLeft w:val="1166"/>
          <w:marRight w:val="0"/>
          <w:marTop w:val="106"/>
          <w:marBottom w:val="0"/>
          <w:divBdr>
            <w:top w:val="none" w:sz="0" w:space="0" w:color="auto"/>
            <w:left w:val="none" w:sz="0" w:space="0" w:color="auto"/>
            <w:bottom w:val="none" w:sz="0" w:space="0" w:color="auto"/>
            <w:right w:val="none" w:sz="0" w:space="0" w:color="auto"/>
          </w:divBdr>
        </w:div>
      </w:divsChild>
    </w:div>
    <w:div w:id="464012585">
      <w:bodyDiv w:val="1"/>
      <w:marLeft w:val="0"/>
      <w:marRight w:val="0"/>
      <w:marTop w:val="0"/>
      <w:marBottom w:val="0"/>
      <w:divBdr>
        <w:top w:val="none" w:sz="0" w:space="0" w:color="auto"/>
        <w:left w:val="none" w:sz="0" w:space="0" w:color="auto"/>
        <w:bottom w:val="none" w:sz="0" w:space="0" w:color="auto"/>
        <w:right w:val="none" w:sz="0" w:space="0" w:color="auto"/>
      </w:divBdr>
    </w:div>
    <w:div w:id="476410557">
      <w:bodyDiv w:val="1"/>
      <w:marLeft w:val="0"/>
      <w:marRight w:val="0"/>
      <w:marTop w:val="0"/>
      <w:marBottom w:val="0"/>
      <w:divBdr>
        <w:top w:val="none" w:sz="0" w:space="0" w:color="auto"/>
        <w:left w:val="none" w:sz="0" w:space="0" w:color="auto"/>
        <w:bottom w:val="none" w:sz="0" w:space="0" w:color="auto"/>
        <w:right w:val="none" w:sz="0" w:space="0" w:color="auto"/>
      </w:divBdr>
    </w:div>
    <w:div w:id="500435490">
      <w:bodyDiv w:val="1"/>
      <w:marLeft w:val="0"/>
      <w:marRight w:val="0"/>
      <w:marTop w:val="0"/>
      <w:marBottom w:val="0"/>
      <w:divBdr>
        <w:top w:val="none" w:sz="0" w:space="0" w:color="auto"/>
        <w:left w:val="none" w:sz="0" w:space="0" w:color="auto"/>
        <w:bottom w:val="none" w:sz="0" w:space="0" w:color="auto"/>
        <w:right w:val="none" w:sz="0" w:space="0" w:color="auto"/>
      </w:divBdr>
    </w:div>
    <w:div w:id="596058688">
      <w:bodyDiv w:val="1"/>
      <w:marLeft w:val="0"/>
      <w:marRight w:val="0"/>
      <w:marTop w:val="0"/>
      <w:marBottom w:val="0"/>
      <w:divBdr>
        <w:top w:val="none" w:sz="0" w:space="0" w:color="auto"/>
        <w:left w:val="none" w:sz="0" w:space="0" w:color="auto"/>
        <w:bottom w:val="none" w:sz="0" w:space="0" w:color="auto"/>
        <w:right w:val="none" w:sz="0" w:space="0" w:color="auto"/>
      </w:divBdr>
    </w:div>
    <w:div w:id="610212412">
      <w:bodyDiv w:val="1"/>
      <w:marLeft w:val="0"/>
      <w:marRight w:val="0"/>
      <w:marTop w:val="0"/>
      <w:marBottom w:val="0"/>
      <w:divBdr>
        <w:top w:val="none" w:sz="0" w:space="0" w:color="auto"/>
        <w:left w:val="none" w:sz="0" w:space="0" w:color="auto"/>
        <w:bottom w:val="none" w:sz="0" w:space="0" w:color="auto"/>
        <w:right w:val="none" w:sz="0" w:space="0" w:color="auto"/>
      </w:divBdr>
      <w:divsChild>
        <w:div w:id="1110932159">
          <w:marLeft w:val="1166"/>
          <w:marRight w:val="0"/>
          <w:marTop w:val="106"/>
          <w:marBottom w:val="0"/>
          <w:divBdr>
            <w:top w:val="none" w:sz="0" w:space="0" w:color="auto"/>
            <w:left w:val="none" w:sz="0" w:space="0" w:color="auto"/>
            <w:bottom w:val="none" w:sz="0" w:space="0" w:color="auto"/>
            <w:right w:val="none" w:sz="0" w:space="0" w:color="auto"/>
          </w:divBdr>
        </w:div>
      </w:divsChild>
    </w:div>
    <w:div w:id="651183044">
      <w:bodyDiv w:val="1"/>
      <w:marLeft w:val="0"/>
      <w:marRight w:val="0"/>
      <w:marTop w:val="0"/>
      <w:marBottom w:val="0"/>
      <w:divBdr>
        <w:top w:val="none" w:sz="0" w:space="0" w:color="auto"/>
        <w:left w:val="none" w:sz="0" w:space="0" w:color="auto"/>
        <w:bottom w:val="none" w:sz="0" w:space="0" w:color="auto"/>
        <w:right w:val="none" w:sz="0" w:space="0" w:color="auto"/>
      </w:divBdr>
    </w:div>
    <w:div w:id="776557621">
      <w:bodyDiv w:val="1"/>
      <w:marLeft w:val="0"/>
      <w:marRight w:val="0"/>
      <w:marTop w:val="0"/>
      <w:marBottom w:val="0"/>
      <w:divBdr>
        <w:top w:val="none" w:sz="0" w:space="0" w:color="auto"/>
        <w:left w:val="none" w:sz="0" w:space="0" w:color="auto"/>
        <w:bottom w:val="none" w:sz="0" w:space="0" w:color="auto"/>
        <w:right w:val="none" w:sz="0" w:space="0" w:color="auto"/>
      </w:divBdr>
    </w:div>
    <w:div w:id="792215527">
      <w:bodyDiv w:val="1"/>
      <w:marLeft w:val="0"/>
      <w:marRight w:val="0"/>
      <w:marTop w:val="0"/>
      <w:marBottom w:val="0"/>
      <w:divBdr>
        <w:top w:val="none" w:sz="0" w:space="0" w:color="auto"/>
        <w:left w:val="none" w:sz="0" w:space="0" w:color="auto"/>
        <w:bottom w:val="none" w:sz="0" w:space="0" w:color="auto"/>
        <w:right w:val="none" w:sz="0" w:space="0" w:color="auto"/>
      </w:divBdr>
    </w:div>
    <w:div w:id="963191248">
      <w:bodyDiv w:val="1"/>
      <w:marLeft w:val="0"/>
      <w:marRight w:val="0"/>
      <w:marTop w:val="0"/>
      <w:marBottom w:val="0"/>
      <w:divBdr>
        <w:top w:val="none" w:sz="0" w:space="0" w:color="auto"/>
        <w:left w:val="none" w:sz="0" w:space="0" w:color="auto"/>
        <w:bottom w:val="none" w:sz="0" w:space="0" w:color="auto"/>
        <w:right w:val="none" w:sz="0" w:space="0" w:color="auto"/>
      </w:divBdr>
    </w:div>
    <w:div w:id="975065793">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4183443">
      <w:bodyDiv w:val="1"/>
      <w:marLeft w:val="0"/>
      <w:marRight w:val="0"/>
      <w:marTop w:val="0"/>
      <w:marBottom w:val="0"/>
      <w:divBdr>
        <w:top w:val="none" w:sz="0" w:space="0" w:color="auto"/>
        <w:left w:val="none" w:sz="0" w:space="0" w:color="auto"/>
        <w:bottom w:val="none" w:sz="0" w:space="0" w:color="auto"/>
        <w:right w:val="none" w:sz="0" w:space="0" w:color="auto"/>
      </w:divBdr>
    </w:div>
    <w:div w:id="1198006643">
      <w:bodyDiv w:val="1"/>
      <w:marLeft w:val="0"/>
      <w:marRight w:val="0"/>
      <w:marTop w:val="0"/>
      <w:marBottom w:val="0"/>
      <w:divBdr>
        <w:top w:val="none" w:sz="0" w:space="0" w:color="auto"/>
        <w:left w:val="none" w:sz="0" w:space="0" w:color="auto"/>
        <w:bottom w:val="none" w:sz="0" w:space="0" w:color="auto"/>
        <w:right w:val="none" w:sz="0" w:space="0" w:color="auto"/>
      </w:divBdr>
    </w:div>
    <w:div w:id="1204363691">
      <w:bodyDiv w:val="1"/>
      <w:marLeft w:val="0"/>
      <w:marRight w:val="0"/>
      <w:marTop w:val="0"/>
      <w:marBottom w:val="0"/>
      <w:divBdr>
        <w:top w:val="none" w:sz="0" w:space="0" w:color="auto"/>
        <w:left w:val="none" w:sz="0" w:space="0" w:color="auto"/>
        <w:bottom w:val="none" w:sz="0" w:space="0" w:color="auto"/>
        <w:right w:val="none" w:sz="0" w:space="0" w:color="auto"/>
      </w:divBdr>
      <w:divsChild>
        <w:div w:id="1547257036">
          <w:marLeft w:val="547"/>
          <w:marRight w:val="0"/>
          <w:marTop w:val="120"/>
          <w:marBottom w:val="0"/>
          <w:divBdr>
            <w:top w:val="none" w:sz="0" w:space="0" w:color="auto"/>
            <w:left w:val="none" w:sz="0" w:space="0" w:color="auto"/>
            <w:bottom w:val="none" w:sz="0" w:space="0" w:color="auto"/>
            <w:right w:val="none" w:sz="0" w:space="0" w:color="auto"/>
          </w:divBdr>
        </w:div>
        <w:div w:id="349373682">
          <w:marLeft w:val="1166"/>
          <w:marRight w:val="0"/>
          <w:marTop w:val="106"/>
          <w:marBottom w:val="0"/>
          <w:divBdr>
            <w:top w:val="none" w:sz="0" w:space="0" w:color="auto"/>
            <w:left w:val="none" w:sz="0" w:space="0" w:color="auto"/>
            <w:bottom w:val="none" w:sz="0" w:space="0" w:color="auto"/>
            <w:right w:val="none" w:sz="0" w:space="0" w:color="auto"/>
          </w:divBdr>
        </w:div>
      </w:divsChild>
    </w:div>
    <w:div w:id="1315061164">
      <w:bodyDiv w:val="1"/>
      <w:marLeft w:val="0"/>
      <w:marRight w:val="0"/>
      <w:marTop w:val="0"/>
      <w:marBottom w:val="0"/>
      <w:divBdr>
        <w:top w:val="none" w:sz="0" w:space="0" w:color="auto"/>
        <w:left w:val="none" w:sz="0" w:space="0" w:color="auto"/>
        <w:bottom w:val="none" w:sz="0" w:space="0" w:color="auto"/>
        <w:right w:val="none" w:sz="0" w:space="0" w:color="auto"/>
      </w:divBdr>
    </w:div>
    <w:div w:id="1387292910">
      <w:bodyDiv w:val="1"/>
      <w:marLeft w:val="0"/>
      <w:marRight w:val="0"/>
      <w:marTop w:val="0"/>
      <w:marBottom w:val="0"/>
      <w:divBdr>
        <w:top w:val="none" w:sz="0" w:space="0" w:color="auto"/>
        <w:left w:val="none" w:sz="0" w:space="0" w:color="auto"/>
        <w:bottom w:val="none" w:sz="0" w:space="0" w:color="auto"/>
        <w:right w:val="none" w:sz="0" w:space="0" w:color="auto"/>
      </w:divBdr>
      <w:divsChild>
        <w:div w:id="291057768">
          <w:marLeft w:val="547"/>
          <w:marRight w:val="0"/>
          <w:marTop w:val="120"/>
          <w:marBottom w:val="0"/>
          <w:divBdr>
            <w:top w:val="none" w:sz="0" w:space="0" w:color="auto"/>
            <w:left w:val="none" w:sz="0" w:space="0" w:color="auto"/>
            <w:bottom w:val="none" w:sz="0" w:space="0" w:color="auto"/>
            <w:right w:val="none" w:sz="0" w:space="0" w:color="auto"/>
          </w:divBdr>
        </w:div>
        <w:div w:id="389420214">
          <w:marLeft w:val="1166"/>
          <w:marRight w:val="0"/>
          <w:marTop w:val="106"/>
          <w:marBottom w:val="0"/>
          <w:divBdr>
            <w:top w:val="none" w:sz="0" w:space="0" w:color="auto"/>
            <w:left w:val="none" w:sz="0" w:space="0" w:color="auto"/>
            <w:bottom w:val="none" w:sz="0" w:space="0" w:color="auto"/>
            <w:right w:val="none" w:sz="0" w:space="0" w:color="auto"/>
          </w:divBdr>
        </w:div>
        <w:div w:id="460417277">
          <w:marLeft w:val="1166"/>
          <w:marRight w:val="0"/>
          <w:marTop w:val="106"/>
          <w:marBottom w:val="0"/>
          <w:divBdr>
            <w:top w:val="none" w:sz="0" w:space="0" w:color="auto"/>
            <w:left w:val="none" w:sz="0" w:space="0" w:color="auto"/>
            <w:bottom w:val="none" w:sz="0" w:space="0" w:color="auto"/>
            <w:right w:val="none" w:sz="0" w:space="0" w:color="auto"/>
          </w:divBdr>
        </w:div>
        <w:div w:id="1987279666">
          <w:marLeft w:val="1166"/>
          <w:marRight w:val="0"/>
          <w:marTop w:val="106"/>
          <w:marBottom w:val="0"/>
          <w:divBdr>
            <w:top w:val="none" w:sz="0" w:space="0" w:color="auto"/>
            <w:left w:val="none" w:sz="0" w:space="0" w:color="auto"/>
            <w:bottom w:val="none" w:sz="0" w:space="0" w:color="auto"/>
            <w:right w:val="none" w:sz="0" w:space="0" w:color="auto"/>
          </w:divBdr>
        </w:div>
      </w:divsChild>
    </w:div>
    <w:div w:id="1388143004">
      <w:bodyDiv w:val="1"/>
      <w:marLeft w:val="0"/>
      <w:marRight w:val="0"/>
      <w:marTop w:val="0"/>
      <w:marBottom w:val="0"/>
      <w:divBdr>
        <w:top w:val="none" w:sz="0" w:space="0" w:color="auto"/>
        <w:left w:val="none" w:sz="0" w:space="0" w:color="auto"/>
        <w:bottom w:val="none" w:sz="0" w:space="0" w:color="auto"/>
        <w:right w:val="none" w:sz="0" w:space="0" w:color="auto"/>
      </w:divBdr>
      <w:divsChild>
        <w:div w:id="1021515549">
          <w:marLeft w:val="1166"/>
          <w:marRight w:val="0"/>
          <w:marTop w:val="106"/>
          <w:marBottom w:val="0"/>
          <w:divBdr>
            <w:top w:val="none" w:sz="0" w:space="0" w:color="auto"/>
            <w:left w:val="none" w:sz="0" w:space="0" w:color="auto"/>
            <w:bottom w:val="none" w:sz="0" w:space="0" w:color="auto"/>
            <w:right w:val="none" w:sz="0" w:space="0" w:color="auto"/>
          </w:divBdr>
        </w:div>
      </w:divsChild>
    </w:div>
    <w:div w:id="1399864905">
      <w:bodyDiv w:val="1"/>
      <w:marLeft w:val="0"/>
      <w:marRight w:val="0"/>
      <w:marTop w:val="0"/>
      <w:marBottom w:val="0"/>
      <w:divBdr>
        <w:top w:val="none" w:sz="0" w:space="0" w:color="auto"/>
        <w:left w:val="none" w:sz="0" w:space="0" w:color="auto"/>
        <w:bottom w:val="none" w:sz="0" w:space="0" w:color="auto"/>
        <w:right w:val="none" w:sz="0" w:space="0" w:color="auto"/>
      </w:divBdr>
    </w:div>
    <w:div w:id="1453133249">
      <w:bodyDiv w:val="1"/>
      <w:marLeft w:val="0"/>
      <w:marRight w:val="0"/>
      <w:marTop w:val="0"/>
      <w:marBottom w:val="0"/>
      <w:divBdr>
        <w:top w:val="none" w:sz="0" w:space="0" w:color="auto"/>
        <w:left w:val="none" w:sz="0" w:space="0" w:color="auto"/>
        <w:bottom w:val="none" w:sz="0" w:space="0" w:color="auto"/>
        <w:right w:val="none" w:sz="0" w:space="0" w:color="auto"/>
      </w:divBdr>
    </w:div>
    <w:div w:id="1531604338">
      <w:bodyDiv w:val="1"/>
      <w:marLeft w:val="0"/>
      <w:marRight w:val="0"/>
      <w:marTop w:val="0"/>
      <w:marBottom w:val="0"/>
      <w:divBdr>
        <w:top w:val="none" w:sz="0" w:space="0" w:color="auto"/>
        <w:left w:val="none" w:sz="0" w:space="0" w:color="auto"/>
        <w:bottom w:val="none" w:sz="0" w:space="0" w:color="auto"/>
        <w:right w:val="none" w:sz="0" w:space="0" w:color="auto"/>
      </w:divBdr>
    </w:div>
    <w:div w:id="1542672050">
      <w:bodyDiv w:val="1"/>
      <w:marLeft w:val="0"/>
      <w:marRight w:val="0"/>
      <w:marTop w:val="0"/>
      <w:marBottom w:val="0"/>
      <w:divBdr>
        <w:top w:val="none" w:sz="0" w:space="0" w:color="auto"/>
        <w:left w:val="none" w:sz="0" w:space="0" w:color="auto"/>
        <w:bottom w:val="none" w:sz="0" w:space="0" w:color="auto"/>
        <w:right w:val="none" w:sz="0" w:space="0" w:color="auto"/>
      </w:divBdr>
    </w:div>
    <w:div w:id="1564675486">
      <w:bodyDiv w:val="1"/>
      <w:marLeft w:val="0"/>
      <w:marRight w:val="0"/>
      <w:marTop w:val="0"/>
      <w:marBottom w:val="0"/>
      <w:divBdr>
        <w:top w:val="none" w:sz="0" w:space="0" w:color="auto"/>
        <w:left w:val="none" w:sz="0" w:space="0" w:color="auto"/>
        <w:bottom w:val="none" w:sz="0" w:space="0" w:color="auto"/>
        <w:right w:val="none" w:sz="0" w:space="0" w:color="auto"/>
      </w:divBdr>
    </w:div>
    <w:div w:id="1605960558">
      <w:bodyDiv w:val="1"/>
      <w:marLeft w:val="0"/>
      <w:marRight w:val="0"/>
      <w:marTop w:val="0"/>
      <w:marBottom w:val="0"/>
      <w:divBdr>
        <w:top w:val="none" w:sz="0" w:space="0" w:color="auto"/>
        <w:left w:val="none" w:sz="0" w:space="0" w:color="auto"/>
        <w:bottom w:val="none" w:sz="0" w:space="0" w:color="auto"/>
        <w:right w:val="none" w:sz="0" w:space="0" w:color="auto"/>
      </w:divBdr>
    </w:div>
    <w:div w:id="1676882768">
      <w:bodyDiv w:val="1"/>
      <w:marLeft w:val="0"/>
      <w:marRight w:val="0"/>
      <w:marTop w:val="0"/>
      <w:marBottom w:val="0"/>
      <w:divBdr>
        <w:top w:val="none" w:sz="0" w:space="0" w:color="auto"/>
        <w:left w:val="none" w:sz="0" w:space="0" w:color="auto"/>
        <w:bottom w:val="none" w:sz="0" w:space="0" w:color="auto"/>
        <w:right w:val="none" w:sz="0" w:space="0" w:color="auto"/>
      </w:divBdr>
    </w:div>
    <w:div w:id="1698116751">
      <w:bodyDiv w:val="1"/>
      <w:marLeft w:val="0"/>
      <w:marRight w:val="0"/>
      <w:marTop w:val="0"/>
      <w:marBottom w:val="0"/>
      <w:divBdr>
        <w:top w:val="none" w:sz="0" w:space="0" w:color="auto"/>
        <w:left w:val="none" w:sz="0" w:space="0" w:color="auto"/>
        <w:bottom w:val="none" w:sz="0" w:space="0" w:color="auto"/>
        <w:right w:val="none" w:sz="0" w:space="0" w:color="auto"/>
      </w:divBdr>
    </w:div>
    <w:div w:id="1742945980">
      <w:bodyDiv w:val="1"/>
      <w:marLeft w:val="0"/>
      <w:marRight w:val="0"/>
      <w:marTop w:val="0"/>
      <w:marBottom w:val="0"/>
      <w:divBdr>
        <w:top w:val="none" w:sz="0" w:space="0" w:color="auto"/>
        <w:left w:val="none" w:sz="0" w:space="0" w:color="auto"/>
        <w:bottom w:val="none" w:sz="0" w:space="0" w:color="auto"/>
        <w:right w:val="none" w:sz="0" w:space="0" w:color="auto"/>
      </w:divBdr>
    </w:div>
    <w:div w:id="1982421569">
      <w:bodyDiv w:val="1"/>
      <w:marLeft w:val="0"/>
      <w:marRight w:val="0"/>
      <w:marTop w:val="0"/>
      <w:marBottom w:val="0"/>
      <w:divBdr>
        <w:top w:val="none" w:sz="0" w:space="0" w:color="auto"/>
        <w:left w:val="none" w:sz="0" w:space="0" w:color="auto"/>
        <w:bottom w:val="none" w:sz="0" w:space="0" w:color="auto"/>
        <w:right w:val="none" w:sz="0" w:space="0" w:color="auto"/>
      </w:divBdr>
    </w:div>
    <w:div w:id="1993557530">
      <w:bodyDiv w:val="1"/>
      <w:marLeft w:val="0"/>
      <w:marRight w:val="0"/>
      <w:marTop w:val="0"/>
      <w:marBottom w:val="0"/>
      <w:divBdr>
        <w:top w:val="none" w:sz="0" w:space="0" w:color="auto"/>
        <w:left w:val="none" w:sz="0" w:space="0" w:color="auto"/>
        <w:bottom w:val="none" w:sz="0" w:space="0" w:color="auto"/>
        <w:right w:val="none" w:sz="0" w:space="0" w:color="auto"/>
      </w:divBdr>
    </w:div>
    <w:div w:id="20139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4F3F-7912-44D3-9D3C-1E6DF9FD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6091</Words>
  <Characters>38156</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5.13 pralatrexate</vt:lpstr>
    </vt:vector>
  </TitlesOfParts>
  <LinksUpToDate>false</LinksUpToDate>
  <CharactersWithSpaces>44159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 pralatrexate</dc:title>
  <dc:creator/>
  <cp:lastModifiedBy/>
  <cp:revision>1</cp:revision>
  <dcterms:created xsi:type="dcterms:W3CDTF">2016-02-23T05:21:00Z</dcterms:created>
  <dcterms:modified xsi:type="dcterms:W3CDTF">2016-02-26T03:07:00Z</dcterms:modified>
</cp:coreProperties>
</file>