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C96994" w:rsidRDefault="009E0CAA" w:rsidP="00943B9B">
      <w:pPr>
        <w:pStyle w:val="Title"/>
      </w:pPr>
      <w:r w:rsidRPr="00C96994">
        <w:t>7.16</w:t>
      </w:r>
      <w:r w:rsidR="007C0F57" w:rsidRPr="00C96994">
        <w:tab/>
      </w:r>
      <w:r w:rsidR="00BC5FBE" w:rsidRPr="00943B9B">
        <w:t>PROPRANOLOL</w:t>
      </w:r>
    </w:p>
    <w:p w:rsidR="00C27B58" w:rsidRPr="00C96994" w:rsidRDefault="00BC5FBE" w:rsidP="00943B9B">
      <w:pPr>
        <w:pStyle w:val="Title"/>
      </w:pPr>
      <w:proofErr w:type="gramStart"/>
      <w:r w:rsidRPr="00C96994">
        <w:t>oral</w:t>
      </w:r>
      <w:proofErr w:type="gramEnd"/>
      <w:r w:rsidRPr="00C96994">
        <w:t xml:space="preserve"> liquid, 3.75 mg/mL</w:t>
      </w:r>
      <w:r w:rsidR="0004240E" w:rsidRPr="00C96994">
        <w:t>,</w:t>
      </w:r>
      <w:r w:rsidR="00582577" w:rsidRPr="00C96994">
        <w:t xml:space="preserve"> 120 mL x 2</w:t>
      </w:r>
    </w:p>
    <w:p w:rsidR="00D3280C" w:rsidRPr="00C96994" w:rsidRDefault="00BC5FBE" w:rsidP="00943B9B">
      <w:pPr>
        <w:pStyle w:val="Title"/>
      </w:pPr>
      <w:proofErr w:type="spellStart"/>
      <w:r w:rsidRPr="00C96994">
        <w:t>Hemangio</w:t>
      </w:r>
      <w:bookmarkStart w:id="0" w:name="_GoBack"/>
      <w:bookmarkEnd w:id="0"/>
      <w:r w:rsidRPr="00C96994">
        <w:t>l</w:t>
      </w:r>
      <w:proofErr w:type="spellEnd"/>
      <w:r w:rsidR="0004240E" w:rsidRPr="00C96994">
        <w:t>®</w:t>
      </w:r>
      <w:r w:rsidR="00EF44A0" w:rsidRPr="00C96994">
        <w:t>,</w:t>
      </w:r>
      <w:r w:rsidRPr="00C96994">
        <w:t xml:space="preserve"> Pierre Fabre Australia Pty Ltd</w:t>
      </w:r>
    </w:p>
    <w:p w:rsidR="00CE10C4" w:rsidRDefault="00CE10C4" w:rsidP="00C96994">
      <w:pPr>
        <w:pStyle w:val="NoSpacing"/>
        <w:spacing w:line="480" w:lineRule="auto"/>
      </w:pPr>
    </w:p>
    <w:p w:rsidR="00CE10C4" w:rsidRPr="00C96994" w:rsidRDefault="00CE10C4" w:rsidP="00C96994">
      <w:pPr>
        <w:pStyle w:val="Heading1"/>
      </w:pPr>
      <w:r w:rsidRPr="00C96994">
        <w:t xml:space="preserve">Purpose of </w:t>
      </w:r>
      <w:r w:rsidR="0004240E" w:rsidRPr="00C96994">
        <w:t>Application</w:t>
      </w:r>
    </w:p>
    <w:p w:rsidR="006A12A5" w:rsidRPr="00882085" w:rsidRDefault="006A12A5" w:rsidP="00882085">
      <w:pPr>
        <w:jc w:val="both"/>
        <w:rPr>
          <w:rFonts w:ascii="Arial" w:hAnsi="Arial"/>
          <w:sz w:val="22"/>
          <w:szCs w:val="22"/>
        </w:rPr>
      </w:pPr>
    </w:p>
    <w:p w:rsidR="00F9629A" w:rsidRPr="00F9629A" w:rsidRDefault="00093FD0" w:rsidP="00107796">
      <w:pPr>
        <w:ind w:left="720" w:hanging="720"/>
        <w:jc w:val="both"/>
      </w:pPr>
      <w:r w:rsidRPr="00107796">
        <w:rPr>
          <w:rFonts w:ascii="Arial" w:hAnsi="Arial"/>
          <w:sz w:val="22"/>
          <w:szCs w:val="22"/>
        </w:rPr>
        <w:t>1.1</w:t>
      </w:r>
      <w:r w:rsidRPr="00107796">
        <w:rPr>
          <w:rFonts w:ascii="Arial" w:hAnsi="Arial"/>
          <w:sz w:val="22"/>
          <w:szCs w:val="22"/>
        </w:rPr>
        <w:tab/>
      </w:r>
      <w:r w:rsidR="00EF44A0" w:rsidRPr="00107796">
        <w:rPr>
          <w:rFonts w:ascii="Arial" w:hAnsi="Arial"/>
          <w:sz w:val="22"/>
          <w:szCs w:val="22"/>
        </w:rPr>
        <w:t>The mi</w:t>
      </w:r>
      <w:r w:rsidR="00FF2801" w:rsidRPr="00107796">
        <w:rPr>
          <w:rFonts w:ascii="Arial" w:hAnsi="Arial"/>
          <w:sz w:val="22"/>
          <w:szCs w:val="22"/>
        </w:rPr>
        <w:t>nor</w:t>
      </w:r>
      <w:r w:rsidR="00C453E6" w:rsidRPr="00107796">
        <w:rPr>
          <w:rFonts w:ascii="Arial" w:hAnsi="Arial"/>
          <w:sz w:val="22"/>
          <w:szCs w:val="22"/>
        </w:rPr>
        <w:t xml:space="preserve"> </w:t>
      </w:r>
      <w:r w:rsidR="00FF2801" w:rsidRPr="00107796">
        <w:rPr>
          <w:rFonts w:ascii="Arial" w:hAnsi="Arial"/>
          <w:sz w:val="22"/>
          <w:szCs w:val="22"/>
        </w:rPr>
        <w:t xml:space="preserve">submission </w:t>
      </w:r>
      <w:r w:rsidR="00363259" w:rsidRPr="00107796">
        <w:rPr>
          <w:rFonts w:ascii="Arial" w:hAnsi="Arial"/>
          <w:sz w:val="22"/>
          <w:szCs w:val="22"/>
        </w:rPr>
        <w:t>sought</w:t>
      </w:r>
      <w:r w:rsidR="00265F34" w:rsidRPr="00107796">
        <w:rPr>
          <w:rFonts w:ascii="Arial" w:hAnsi="Arial"/>
          <w:sz w:val="22"/>
          <w:szCs w:val="22"/>
        </w:rPr>
        <w:t xml:space="preserve"> </w:t>
      </w:r>
      <w:r w:rsidR="003120F9" w:rsidRPr="00107796">
        <w:rPr>
          <w:rFonts w:ascii="Arial" w:hAnsi="Arial"/>
          <w:sz w:val="22"/>
          <w:szCs w:val="22"/>
        </w:rPr>
        <w:t xml:space="preserve">a </w:t>
      </w:r>
      <w:r w:rsidR="00A30374" w:rsidRPr="00107796">
        <w:rPr>
          <w:rFonts w:ascii="Arial" w:hAnsi="Arial"/>
          <w:sz w:val="22"/>
          <w:szCs w:val="22"/>
        </w:rPr>
        <w:t xml:space="preserve">higher </w:t>
      </w:r>
      <w:r w:rsidR="003120F9" w:rsidRPr="00107796">
        <w:rPr>
          <w:rFonts w:ascii="Arial" w:hAnsi="Arial"/>
          <w:sz w:val="22"/>
          <w:szCs w:val="22"/>
        </w:rPr>
        <w:t>price than recommended in the March 2015 meeting.</w:t>
      </w:r>
    </w:p>
    <w:p w:rsidR="00EF44A0" w:rsidRDefault="00EF44A0" w:rsidP="00C96994">
      <w:pPr>
        <w:pStyle w:val="NoSpacing"/>
        <w:spacing w:line="480" w:lineRule="auto"/>
      </w:pPr>
    </w:p>
    <w:p w:rsidR="00CE10C4" w:rsidRPr="00882085" w:rsidRDefault="00CE10C4" w:rsidP="00C96994">
      <w:pPr>
        <w:pStyle w:val="Heading1"/>
      </w:pPr>
      <w:r w:rsidRPr="00882085">
        <w:t>Background</w:t>
      </w:r>
    </w:p>
    <w:p w:rsidR="006A12A5" w:rsidRPr="00882085" w:rsidRDefault="006A12A5" w:rsidP="00882085">
      <w:pPr>
        <w:jc w:val="both"/>
        <w:rPr>
          <w:rFonts w:ascii="Arial" w:hAnsi="Arial"/>
          <w:sz w:val="22"/>
          <w:szCs w:val="22"/>
        </w:rPr>
      </w:pPr>
    </w:p>
    <w:p w:rsidR="009E0CAA" w:rsidRPr="009E0CAA" w:rsidRDefault="00AE3196" w:rsidP="009E0CAA">
      <w:pPr>
        <w:pStyle w:val="ListParagraph"/>
        <w:numPr>
          <w:ilvl w:val="1"/>
          <w:numId w:val="25"/>
        </w:numPr>
        <w:jc w:val="both"/>
        <w:rPr>
          <w:rFonts w:ascii="Arial" w:hAnsi="Arial"/>
          <w:sz w:val="22"/>
          <w:szCs w:val="22"/>
        </w:rPr>
      </w:pPr>
      <w:r>
        <w:rPr>
          <w:rFonts w:ascii="Arial" w:hAnsi="Arial"/>
          <w:sz w:val="22"/>
          <w:szCs w:val="22"/>
        </w:rPr>
        <w:t>Propranolol liquid (</w:t>
      </w:r>
      <w:proofErr w:type="spellStart"/>
      <w:r w:rsidR="009E0CAA" w:rsidRPr="009E0CAA">
        <w:rPr>
          <w:rFonts w:ascii="Arial" w:hAnsi="Arial"/>
          <w:sz w:val="22"/>
          <w:szCs w:val="22"/>
        </w:rPr>
        <w:t>Hemangiol</w:t>
      </w:r>
      <w:proofErr w:type="spellEnd"/>
      <w:r w:rsidR="009E0CAA" w:rsidRPr="009E0CAA">
        <w:rPr>
          <w:rFonts w:ascii="Arial" w:hAnsi="Arial"/>
          <w:sz w:val="22"/>
          <w:szCs w:val="22"/>
        </w:rPr>
        <w:t>®</w:t>
      </w:r>
      <w:r w:rsidR="00190031">
        <w:rPr>
          <w:rFonts w:ascii="Arial" w:hAnsi="Arial"/>
          <w:sz w:val="22"/>
          <w:szCs w:val="22"/>
        </w:rPr>
        <w:t>)</w:t>
      </w:r>
      <w:r>
        <w:rPr>
          <w:rFonts w:ascii="Arial" w:hAnsi="Arial"/>
          <w:sz w:val="22"/>
          <w:szCs w:val="22"/>
        </w:rPr>
        <w:t xml:space="preserve"> listed on the ARTG</w:t>
      </w:r>
      <w:r w:rsidR="009E0CAA" w:rsidRPr="009E0CAA">
        <w:rPr>
          <w:rFonts w:ascii="Arial" w:hAnsi="Arial"/>
          <w:sz w:val="22"/>
          <w:szCs w:val="22"/>
        </w:rPr>
        <w:t xml:space="preserve"> </w:t>
      </w:r>
      <w:r w:rsidR="00190031">
        <w:rPr>
          <w:rFonts w:ascii="Arial" w:hAnsi="Arial"/>
          <w:sz w:val="22"/>
          <w:szCs w:val="22"/>
        </w:rPr>
        <w:t xml:space="preserve">on 25 June 2015 </w:t>
      </w:r>
      <w:r w:rsidR="009E0CAA" w:rsidRPr="009E0CAA">
        <w:rPr>
          <w:rFonts w:ascii="Arial" w:hAnsi="Arial"/>
          <w:sz w:val="22"/>
          <w:szCs w:val="22"/>
        </w:rPr>
        <w:t>for the following indication</w:t>
      </w:r>
      <w:r w:rsidR="00190031">
        <w:rPr>
          <w:rFonts w:ascii="Arial" w:hAnsi="Arial"/>
          <w:sz w:val="22"/>
          <w:szCs w:val="22"/>
        </w:rPr>
        <w:t>s</w:t>
      </w:r>
      <w:r w:rsidR="009E0CAA" w:rsidRPr="009E0CAA">
        <w:rPr>
          <w:rFonts w:ascii="Arial" w:hAnsi="Arial"/>
          <w:sz w:val="22"/>
          <w:szCs w:val="22"/>
        </w:rPr>
        <w:t>:</w:t>
      </w:r>
    </w:p>
    <w:p w:rsidR="009E0CAA" w:rsidRPr="009E0CAA" w:rsidRDefault="009E0CAA" w:rsidP="009E0CAA">
      <w:pPr>
        <w:pStyle w:val="ListParagraph"/>
        <w:jc w:val="both"/>
        <w:rPr>
          <w:rFonts w:ascii="Arial" w:hAnsi="Arial"/>
          <w:sz w:val="22"/>
          <w:szCs w:val="22"/>
        </w:rPr>
      </w:pPr>
      <w:r w:rsidRPr="009E0CAA">
        <w:rPr>
          <w:rFonts w:ascii="Arial" w:hAnsi="Arial"/>
          <w:sz w:val="22"/>
          <w:szCs w:val="22"/>
        </w:rPr>
        <w:t>Treatment of proliferating infantile hemangioma requiring systemic therapy:</w:t>
      </w:r>
    </w:p>
    <w:p w:rsidR="009E0CAA" w:rsidRPr="009E0CAA" w:rsidRDefault="009E0CAA" w:rsidP="009E0CAA">
      <w:pPr>
        <w:pStyle w:val="ListParagraph"/>
        <w:jc w:val="both"/>
        <w:rPr>
          <w:rFonts w:ascii="Arial" w:hAnsi="Arial"/>
          <w:sz w:val="22"/>
          <w:szCs w:val="22"/>
        </w:rPr>
      </w:pPr>
      <w:proofErr w:type="gramStart"/>
      <w:r w:rsidRPr="009E0CAA">
        <w:rPr>
          <w:rFonts w:ascii="Arial" w:hAnsi="Arial"/>
          <w:sz w:val="22"/>
          <w:szCs w:val="22"/>
        </w:rPr>
        <w:t>Life-threatening hemangioma.</w:t>
      </w:r>
      <w:proofErr w:type="gramEnd"/>
    </w:p>
    <w:p w:rsidR="009E0CAA" w:rsidRPr="009E0CAA" w:rsidRDefault="009E0CAA" w:rsidP="009E0CAA">
      <w:pPr>
        <w:pStyle w:val="ListParagraph"/>
        <w:jc w:val="both"/>
        <w:rPr>
          <w:rFonts w:ascii="Arial" w:hAnsi="Arial"/>
          <w:sz w:val="22"/>
          <w:szCs w:val="22"/>
        </w:rPr>
      </w:pPr>
      <w:proofErr w:type="gramStart"/>
      <w:r w:rsidRPr="009E0CAA">
        <w:rPr>
          <w:rFonts w:ascii="Arial" w:hAnsi="Arial"/>
          <w:sz w:val="22"/>
          <w:szCs w:val="22"/>
        </w:rPr>
        <w:t xml:space="preserve">Ulcerated hemangioma with pain and/or </w:t>
      </w:r>
      <w:r w:rsidR="004A3D03">
        <w:rPr>
          <w:rFonts w:ascii="Arial" w:hAnsi="Arial"/>
          <w:sz w:val="22"/>
          <w:szCs w:val="22"/>
        </w:rPr>
        <w:t>lack of response to simple wound</w:t>
      </w:r>
      <w:r w:rsidRPr="009E0CAA">
        <w:rPr>
          <w:rFonts w:ascii="Arial" w:hAnsi="Arial"/>
          <w:sz w:val="22"/>
          <w:szCs w:val="22"/>
        </w:rPr>
        <w:t xml:space="preserve"> care measures.</w:t>
      </w:r>
      <w:proofErr w:type="gramEnd"/>
    </w:p>
    <w:p w:rsidR="009E0CAA" w:rsidRDefault="009E0CAA" w:rsidP="009E0CAA">
      <w:pPr>
        <w:pStyle w:val="ListParagraph"/>
        <w:jc w:val="both"/>
        <w:rPr>
          <w:rFonts w:ascii="Arial" w:hAnsi="Arial"/>
          <w:sz w:val="22"/>
          <w:szCs w:val="22"/>
        </w:rPr>
      </w:pPr>
      <w:proofErr w:type="gramStart"/>
      <w:r w:rsidRPr="009E0CAA">
        <w:rPr>
          <w:rFonts w:ascii="Arial" w:hAnsi="Arial"/>
          <w:sz w:val="22"/>
          <w:szCs w:val="22"/>
        </w:rPr>
        <w:t>Hemangiomas with a risk of permanent scars or disfigurement.</w:t>
      </w:r>
      <w:proofErr w:type="gramEnd"/>
      <w:r w:rsidRPr="009E0CAA">
        <w:rPr>
          <w:rFonts w:ascii="Arial" w:hAnsi="Arial"/>
          <w:sz w:val="22"/>
          <w:szCs w:val="22"/>
        </w:rPr>
        <w:t xml:space="preserve"> </w:t>
      </w:r>
    </w:p>
    <w:p w:rsidR="00190031" w:rsidRDefault="00190031" w:rsidP="009E0CAA">
      <w:pPr>
        <w:pStyle w:val="ListParagraph"/>
        <w:jc w:val="both"/>
        <w:rPr>
          <w:rFonts w:ascii="Arial" w:hAnsi="Arial"/>
          <w:sz w:val="22"/>
          <w:szCs w:val="22"/>
        </w:rPr>
      </w:pPr>
    </w:p>
    <w:p w:rsidR="00D33F8C" w:rsidRPr="00107796" w:rsidRDefault="00F35E26" w:rsidP="00107796">
      <w:pPr>
        <w:ind w:left="720" w:hanging="720"/>
        <w:jc w:val="both"/>
        <w:rPr>
          <w:rFonts w:ascii="Arial" w:hAnsi="Arial"/>
          <w:sz w:val="22"/>
          <w:szCs w:val="22"/>
        </w:rPr>
      </w:pPr>
      <w:r w:rsidRPr="00107796">
        <w:rPr>
          <w:rFonts w:ascii="Arial" w:hAnsi="Arial"/>
          <w:sz w:val="22"/>
          <w:szCs w:val="22"/>
        </w:rPr>
        <w:t>2.2</w:t>
      </w:r>
      <w:r w:rsidR="00D33F8C" w:rsidRPr="00107796">
        <w:rPr>
          <w:rFonts w:ascii="Arial" w:hAnsi="Arial"/>
          <w:sz w:val="22"/>
          <w:szCs w:val="22"/>
        </w:rPr>
        <w:tab/>
        <w:t>At its March 2015 meeting, the PBAC recommended the listing of propranolol oral liquid (</w:t>
      </w:r>
      <w:proofErr w:type="spellStart"/>
      <w:r w:rsidR="00D33F8C" w:rsidRPr="00107796">
        <w:rPr>
          <w:rFonts w:ascii="Arial" w:hAnsi="Arial"/>
          <w:sz w:val="22"/>
          <w:szCs w:val="22"/>
        </w:rPr>
        <w:t>Hemangiol</w:t>
      </w:r>
      <w:proofErr w:type="spellEnd"/>
      <w:r w:rsidR="00D33F8C" w:rsidRPr="00107796">
        <w:rPr>
          <w:rFonts w:ascii="Arial" w:hAnsi="Arial"/>
          <w:sz w:val="22"/>
          <w:szCs w:val="22"/>
        </w:rPr>
        <w:t xml:space="preserve">) as an Authority </w:t>
      </w:r>
      <w:proofErr w:type="gramStart"/>
      <w:r w:rsidR="00D33F8C" w:rsidRPr="00107796">
        <w:rPr>
          <w:rFonts w:ascii="Arial" w:hAnsi="Arial"/>
          <w:sz w:val="22"/>
          <w:szCs w:val="22"/>
        </w:rPr>
        <w:t>Required</w:t>
      </w:r>
      <w:proofErr w:type="gramEnd"/>
      <w:r w:rsidR="00D33F8C" w:rsidRPr="00107796">
        <w:rPr>
          <w:rFonts w:ascii="Arial" w:hAnsi="Arial"/>
          <w:sz w:val="22"/>
          <w:szCs w:val="22"/>
        </w:rPr>
        <w:t xml:space="preserve"> (telephone) item on the general schedule.</w:t>
      </w:r>
      <w:r w:rsidR="00CB285D">
        <w:rPr>
          <w:rFonts w:ascii="Arial" w:hAnsi="Arial"/>
          <w:sz w:val="22"/>
          <w:szCs w:val="22"/>
        </w:rPr>
        <w:t xml:space="preserve"> </w:t>
      </w:r>
    </w:p>
    <w:p w:rsidR="00D33F8C" w:rsidRPr="00D33F8C" w:rsidRDefault="00D33F8C" w:rsidP="00D33F8C">
      <w:pPr>
        <w:rPr>
          <w:rFonts w:ascii="Arial" w:hAnsi="Arial"/>
          <w:sz w:val="22"/>
          <w:szCs w:val="22"/>
        </w:rPr>
      </w:pPr>
    </w:p>
    <w:p w:rsidR="00D33F8C" w:rsidRPr="00107796" w:rsidRDefault="00F35E26" w:rsidP="00107796">
      <w:pPr>
        <w:ind w:left="720" w:hanging="720"/>
        <w:jc w:val="both"/>
        <w:rPr>
          <w:rFonts w:ascii="Arial" w:hAnsi="Arial"/>
          <w:sz w:val="22"/>
          <w:szCs w:val="22"/>
        </w:rPr>
      </w:pPr>
      <w:r w:rsidRPr="00107796">
        <w:rPr>
          <w:rFonts w:ascii="Arial" w:hAnsi="Arial"/>
          <w:sz w:val="22"/>
          <w:szCs w:val="22"/>
        </w:rPr>
        <w:t>2.3</w:t>
      </w:r>
      <w:r w:rsidR="00D33F8C" w:rsidRPr="00107796">
        <w:rPr>
          <w:rFonts w:ascii="Arial" w:hAnsi="Arial"/>
          <w:sz w:val="22"/>
          <w:szCs w:val="22"/>
        </w:rPr>
        <w:tab/>
        <w:t xml:space="preserve">The PBAC was satisfied that </w:t>
      </w:r>
      <w:proofErr w:type="spellStart"/>
      <w:r w:rsidR="00D33F8C" w:rsidRPr="00107796">
        <w:rPr>
          <w:rFonts w:ascii="Arial" w:hAnsi="Arial"/>
          <w:sz w:val="22"/>
          <w:szCs w:val="22"/>
        </w:rPr>
        <w:t>Hemangiol</w:t>
      </w:r>
      <w:proofErr w:type="spellEnd"/>
      <w:r w:rsidR="00D33F8C" w:rsidRPr="00107796">
        <w:rPr>
          <w:rFonts w:ascii="Arial" w:hAnsi="Arial"/>
          <w:sz w:val="22"/>
          <w:szCs w:val="22"/>
        </w:rPr>
        <w:t xml:space="preserve"> provides the same benefits as seen with either of the currently available alternatives, namely, </w:t>
      </w:r>
      <w:proofErr w:type="spellStart"/>
      <w:r w:rsidR="00D33F8C" w:rsidRPr="00107796">
        <w:rPr>
          <w:rFonts w:ascii="Arial" w:hAnsi="Arial"/>
          <w:sz w:val="22"/>
          <w:szCs w:val="22"/>
        </w:rPr>
        <w:t>Auspman</w:t>
      </w:r>
      <w:proofErr w:type="spellEnd"/>
      <w:r w:rsidR="00D33F8C" w:rsidRPr="00107796">
        <w:rPr>
          <w:rFonts w:ascii="Arial" w:hAnsi="Arial"/>
          <w:sz w:val="22"/>
          <w:szCs w:val="22"/>
        </w:rPr>
        <w:t xml:space="preserve"> propranolol solution or compounded propranolol liquid, and that these are the therapies most likely to be replaced. </w:t>
      </w:r>
      <w:r w:rsidR="00A30374" w:rsidRPr="00107796">
        <w:rPr>
          <w:rFonts w:ascii="Arial" w:hAnsi="Arial"/>
          <w:sz w:val="22"/>
          <w:szCs w:val="22"/>
        </w:rPr>
        <w:t xml:space="preserve"> </w:t>
      </w:r>
      <w:proofErr w:type="spellStart"/>
      <w:r w:rsidR="00D33F8C" w:rsidRPr="00107796">
        <w:rPr>
          <w:rFonts w:ascii="Arial" w:hAnsi="Arial"/>
          <w:sz w:val="22"/>
          <w:szCs w:val="22"/>
        </w:rPr>
        <w:t>Auspman</w:t>
      </w:r>
      <w:proofErr w:type="spellEnd"/>
      <w:r w:rsidR="00D33F8C" w:rsidRPr="00107796">
        <w:rPr>
          <w:rFonts w:ascii="Arial" w:hAnsi="Arial"/>
          <w:sz w:val="22"/>
          <w:szCs w:val="22"/>
        </w:rPr>
        <w:t xml:space="preserve"> propranolol solution or compounded </w:t>
      </w:r>
      <w:proofErr w:type="gramStart"/>
      <w:r w:rsidR="00D33F8C" w:rsidRPr="00107796">
        <w:rPr>
          <w:rFonts w:ascii="Arial" w:hAnsi="Arial"/>
          <w:sz w:val="22"/>
          <w:szCs w:val="22"/>
        </w:rPr>
        <w:t>propranolol liquid are</w:t>
      </w:r>
      <w:proofErr w:type="gramEnd"/>
      <w:r w:rsidR="00D33F8C" w:rsidRPr="00107796">
        <w:rPr>
          <w:rFonts w:ascii="Arial" w:hAnsi="Arial"/>
          <w:sz w:val="22"/>
          <w:szCs w:val="22"/>
        </w:rPr>
        <w:t xml:space="preserve"> therefore the most appropriate comparators. </w:t>
      </w:r>
    </w:p>
    <w:p w:rsidR="00D33F8C" w:rsidRPr="00D33F8C" w:rsidRDefault="00D33F8C" w:rsidP="00D33F8C">
      <w:pPr>
        <w:rPr>
          <w:rFonts w:ascii="Arial" w:hAnsi="Arial"/>
          <w:sz w:val="22"/>
          <w:szCs w:val="22"/>
        </w:rPr>
      </w:pPr>
    </w:p>
    <w:p w:rsidR="00D33F8C" w:rsidRPr="00107796" w:rsidRDefault="00F35E26" w:rsidP="00107796">
      <w:pPr>
        <w:ind w:left="720" w:hanging="720"/>
        <w:jc w:val="both"/>
        <w:rPr>
          <w:rFonts w:ascii="Arial" w:hAnsi="Arial"/>
          <w:sz w:val="22"/>
          <w:szCs w:val="22"/>
        </w:rPr>
      </w:pPr>
      <w:r w:rsidRPr="00107796">
        <w:rPr>
          <w:rFonts w:ascii="Arial" w:hAnsi="Arial"/>
          <w:sz w:val="22"/>
          <w:szCs w:val="22"/>
        </w:rPr>
        <w:t>2.4</w:t>
      </w:r>
      <w:r w:rsidR="00D33F8C" w:rsidRPr="00107796">
        <w:rPr>
          <w:rFonts w:ascii="Arial" w:hAnsi="Arial"/>
          <w:sz w:val="22"/>
          <w:szCs w:val="22"/>
        </w:rPr>
        <w:tab/>
        <w:t xml:space="preserve">The PBAC noted the clinical need for a product to treat infantile haemangiomas in high risk patients. </w:t>
      </w:r>
    </w:p>
    <w:p w:rsidR="00D33F8C" w:rsidRPr="00D33F8C" w:rsidRDefault="00D33F8C" w:rsidP="00D33F8C">
      <w:pPr>
        <w:rPr>
          <w:rFonts w:ascii="Arial" w:hAnsi="Arial"/>
          <w:sz w:val="22"/>
          <w:szCs w:val="22"/>
        </w:rPr>
      </w:pPr>
    </w:p>
    <w:p w:rsidR="00D33F8C" w:rsidRPr="00107796" w:rsidRDefault="00F35E26" w:rsidP="00107796">
      <w:pPr>
        <w:ind w:left="720" w:hanging="720"/>
        <w:jc w:val="both"/>
        <w:rPr>
          <w:rFonts w:ascii="Arial" w:hAnsi="Arial"/>
          <w:sz w:val="22"/>
          <w:szCs w:val="22"/>
        </w:rPr>
      </w:pPr>
      <w:r w:rsidRPr="00107796">
        <w:rPr>
          <w:rFonts w:ascii="Arial" w:hAnsi="Arial"/>
          <w:sz w:val="22"/>
          <w:szCs w:val="22"/>
        </w:rPr>
        <w:t>2.5</w:t>
      </w:r>
      <w:r w:rsidR="00D33F8C" w:rsidRPr="00107796">
        <w:rPr>
          <w:rFonts w:ascii="Arial" w:hAnsi="Arial"/>
          <w:sz w:val="22"/>
          <w:szCs w:val="22"/>
        </w:rPr>
        <w:tab/>
        <w:t xml:space="preserve">The PBAC noted that PBS listing is unlikely to change the current treatment algorithm for infantile haemangioma as patients would otherwise be treated with an alternative compounded product. </w:t>
      </w:r>
    </w:p>
    <w:p w:rsidR="00D33F8C" w:rsidRPr="00D33F8C" w:rsidRDefault="00D33F8C" w:rsidP="00D33F8C">
      <w:pPr>
        <w:rPr>
          <w:rFonts w:ascii="Arial" w:hAnsi="Arial"/>
          <w:sz w:val="22"/>
          <w:szCs w:val="22"/>
        </w:rPr>
      </w:pPr>
    </w:p>
    <w:p w:rsidR="00D33F8C" w:rsidRPr="00107796" w:rsidRDefault="00F35E26" w:rsidP="00107796">
      <w:pPr>
        <w:ind w:left="720" w:hanging="720"/>
        <w:jc w:val="both"/>
        <w:rPr>
          <w:rFonts w:ascii="Arial" w:hAnsi="Arial"/>
          <w:sz w:val="22"/>
          <w:szCs w:val="22"/>
        </w:rPr>
      </w:pPr>
      <w:r w:rsidRPr="00107796">
        <w:rPr>
          <w:rFonts w:ascii="Arial" w:hAnsi="Arial"/>
          <w:sz w:val="22"/>
          <w:szCs w:val="22"/>
        </w:rPr>
        <w:t>2.6</w:t>
      </w:r>
      <w:r w:rsidR="00D33F8C" w:rsidRPr="00107796">
        <w:rPr>
          <w:rFonts w:ascii="Arial" w:hAnsi="Arial"/>
          <w:sz w:val="22"/>
          <w:szCs w:val="22"/>
        </w:rPr>
        <w:tab/>
        <w:t xml:space="preserve">The PBAC considered that the PBS restriction should mirror the TGA indication: that is, for the treatment of patients requiring systemic therapy with life threatening haemangiomas, ulcerated haemangiomas with pain, or haemangiomas with risk of permanent scarring or disfigurement. </w:t>
      </w:r>
    </w:p>
    <w:p w:rsidR="00D33F8C" w:rsidRPr="00D33F8C" w:rsidRDefault="00D33F8C" w:rsidP="00D33F8C">
      <w:pPr>
        <w:rPr>
          <w:rFonts w:ascii="Arial" w:hAnsi="Arial"/>
          <w:sz w:val="22"/>
          <w:szCs w:val="22"/>
        </w:rPr>
      </w:pPr>
    </w:p>
    <w:p w:rsidR="00D33F8C" w:rsidRPr="00107796" w:rsidRDefault="00F35E26" w:rsidP="00107796">
      <w:pPr>
        <w:ind w:left="720" w:hanging="720"/>
        <w:jc w:val="both"/>
        <w:rPr>
          <w:rFonts w:ascii="Arial" w:hAnsi="Arial"/>
          <w:sz w:val="22"/>
          <w:szCs w:val="22"/>
        </w:rPr>
      </w:pPr>
      <w:r w:rsidRPr="00107796">
        <w:rPr>
          <w:rFonts w:ascii="Arial" w:hAnsi="Arial"/>
          <w:sz w:val="22"/>
          <w:szCs w:val="22"/>
        </w:rPr>
        <w:t>2.7</w:t>
      </w:r>
      <w:r w:rsidR="00D33F8C" w:rsidRPr="00107796">
        <w:rPr>
          <w:rFonts w:ascii="Arial" w:hAnsi="Arial"/>
          <w:sz w:val="22"/>
          <w:szCs w:val="22"/>
        </w:rPr>
        <w:tab/>
        <w:t xml:space="preserve">The PBAC agreed that the maximum quantity of 240mL as proposed in the submission was appropriate, but considered it appropriate for up to 2 repeats to be issued to allow patients to complete 6 months of treatment if required. </w:t>
      </w:r>
    </w:p>
    <w:p w:rsidR="00D33F8C" w:rsidRPr="00D33F8C" w:rsidRDefault="00D33F8C" w:rsidP="00D33F8C">
      <w:pPr>
        <w:rPr>
          <w:rFonts w:ascii="Arial" w:hAnsi="Arial"/>
          <w:sz w:val="22"/>
          <w:szCs w:val="22"/>
        </w:rPr>
      </w:pPr>
    </w:p>
    <w:p w:rsidR="00D33F8C" w:rsidRPr="00107796" w:rsidRDefault="00F35E26" w:rsidP="00107796">
      <w:pPr>
        <w:ind w:left="720" w:hanging="720"/>
        <w:jc w:val="both"/>
        <w:rPr>
          <w:rFonts w:ascii="Arial" w:hAnsi="Arial"/>
          <w:sz w:val="22"/>
          <w:szCs w:val="22"/>
        </w:rPr>
      </w:pPr>
      <w:r w:rsidRPr="00107796">
        <w:rPr>
          <w:rFonts w:ascii="Arial" w:hAnsi="Arial"/>
          <w:sz w:val="22"/>
          <w:szCs w:val="22"/>
        </w:rPr>
        <w:t>2.8</w:t>
      </w:r>
      <w:r w:rsidR="00D33F8C" w:rsidRPr="00107796">
        <w:rPr>
          <w:rFonts w:ascii="Arial" w:hAnsi="Arial"/>
          <w:sz w:val="22"/>
          <w:szCs w:val="22"/>
        </w:rPr>
        <w:tab/>
        <w:t xml:space="preserve">The PBAC recommended use should be limited to prescribing only by a doctor with expertise in the diagnosis, treatment and management of infantile haemangiomas, or </w:t>
      </w:r>
      <w:r w:rsidR="00D33F8C" w:rsidRPr="00107796">
        <w:rPr>
          <w:rFonts w:ascii="Arial" w:hAnsi="Arial"/>
          <w:sz w:val="22"/>
          <w:szCs w:val="22"/>
        </w:rPr>
        <w:lastRenderedPageBreak/>
        <w:t xml:space="preserve">by a General Practitioner in consultation with a doctor with expertise in the diagnosis, treatment and management of infantile haemangiomas. </w:t>
      </w:r>
    </w:p>
    <w:p w:rsidR="00D33F8C" w:rsidRPr="00D33F8C" w:rsidRDefault="00D33F8C" w:rsidP="00D33F8C">
      <w:pPr>
        <w:rPr>
          <w:rFonts w:ascii="Arial" w:hAnsi="Arial"/>
          <w:sz w:val="22"/>
          <w:szCs w:val="22"/>
        </w:rPr>
      </w:pPr>
    </w:p>
    <w:p w:rsidR="00D33F8C" w:rsidRPr="00107796" w:rsidRDefault="00F35E26" w:rsidP="00107796">
      <w:pPr>
        <w:ind w:left="720" w:hanging="720"/>
        <w:jc w:val="both"/>
        <w:rPr>
          <w:rFonts w:ascii="Arial" w:hAnsi="Arial"/>
          <w:sz w:val="22"/>
          <w:szCs w:val="22"/>
        </w:rPr>
      </w:pPr>
      <w:r w:rsidRPr="00107796">
        <w:rPr>
          <w:rFonts w:ascii="Arial" w:hAnsi="Arial"/>
          <w:sz w:val="22"/>
          <w:szCs w:val="22"/>
        </w:rPr>
        <w:t>2.9</w:t>
      </w:r>
      <w:r w:rsidR="00D33F8C" w:rsidRPr="00107796">
        <w:rPr>
          <w:rFonts w:ascii="Arial" w:hAnsi="Arial"/>
          <w:sz w:val="22"/>
          <w:szCs w:val="22"/>
        </w:rPr>
        <w:tab/>
        <w:t xml:space="preserve">The PBAC considered that </w:t>
      </w:r>
      <w:proofErr w:type="spellStart"/>
      <w:r w:rsidR="00D33F8C" w:rsidRPr="00107796">
        <w:rPr>
          <w:rFonts w:ascii="Arial" w:hAnsi="Arial"/>
          <w:sz w:val="22"/>
          <w:szCs w:val="22"/>
        </w:rPr>
        <w:t>Hemangiol</w:t>
      </w:r>
      <w:proofErr w:type="spellEnd"/>
      <w:r w:rsidR="00D33F8C" w:rsidRPr="00107796">
        <w:rPr>
          <w:rFonts w:ascii="Arial" w:hAnsi="Arial"/>
          <w:sz w:val="22"/>
          <w:szCs w:val="22"/>
        </w:rPr>
        <w:t xml:space="preserve"> should be cost minimised against the currently available </w:t>
      </w:r>
      <w:proofErr w:type="spellStart"/>
      <w:r w:rsidR="00D33F8C" w:rsidRPr="00107796">
        <w:rPr>
          <w:rFonts w:ascii="Arial" w:hAnsi="Arial"/>
          <w:sz w:val="22"/>
          <w:szCs w:val="22"/>
        </w:rPr>
        <w:t>Auspman</w:t>
      </w:r>
      <w:proofErr w:type="spellEnd"/>
      <w:r w:rsidR="00D33F8C" w:rsidRPr="00107796">
        <w:rPr>
          <w:rFonts w:ascii="Arial" w:hAnsi="Arial"/>
          <w:sz w:val="22"/>
          <w:szCs w:val="22"/>
        </w:rPr>
        <w:t xml:space="preserve"> propranolol solution with a modest price premium to be negotiated between the </w:t>
      </w:r>
      <w:r w:rsidR="00A30374" w:rsidRPr="00107796">
        <w:rPr>
          <w:rFonts w:ascii="Arial" w:hAnsi="Arial"/>
          <w:sz w:val="22"/>
          <w:szCs w:val="22"/>
        </w:rPr>
        <w:t>s</w:t>
      </w:r>
      <w:r w:rsidR="00D33F8C" w:rsidRPr="00107796">
        <w:rPr>
          <w:rFonts w:ascii="Arial" w:hAnsi="Arial"/>
          <w:sz w:val="22"/>
          <w:szCs w:val="22"/>
        </w:rPr>
        <w:t xml:space="preserve">ponsor and the Department in acknowledgement that </w:t>
      </w:r>
      <w:proofErr w:type="spellStart"/>
      <w:r w:rsidR="00D33F8C" w:rsidRPr="00107796">
        <w:rPr>
          <w:rFonts w:ascii="Arial" w:hAnsi="Arial"/>
          <w:sz w:val="22"/>
          <w:szCs w:val="22"/>
        </w:rPr>
        <w:t>Hemangiol</w:t>
      </w:r>
      <w:proofErr w:type="spellEnd"/>
      <w:r w:rsidR="00D33F8C" w:rsidRPr="00107796">
        <w:rPr>
          <w:rFonts w:ascii="Arial" w:hAnsi="Arial"/>
          <w:sz w:val="22"/>
          <w:szCs w:val="22"/>
        </w:rPr>
        <w:t xml:space="preserve"> is a commercially available product which is likely to have benefits for patients in terms of access. The PBAC noted that cost consequence method used to derive the proposed price was unsubstantiated and resulted in an unacceptably high price, noting that the proposed price of </w:t>
      </w:r>
      <w:proofErr w:type="spellStart"/>
      <w:r w:rsidR="00D33F8C" w:rsidRPr="00107796">
        <w:rPr>
          <w:rFonts w:ascii="Arial" w:hAnsi="Arial"/>
          <w:sz w:val="22"/>
          <w:szCs w:val="22"/>
        </w:rPr>
        <w:t>Hemangiol</w:t>
      </w:r>
      <w:proofErr w:type="spellEnd"/>
      <w:r w:rsidR="00D33F8C" w:rsidRPr="00107796">
        <w:rPr>
          <w:rFonts w:ascii="Arial" w:hAnsi="Arial"/>
          <w:sz w:val="22"/>
          <w:szCs w:val="22"/>
        </w:rPr>
        <w:t xml:space="preserve"> is over </w:t>
      </w:r>
      <w:r w:rsidR="00CB285D">
        <w:rPr>
          <w:rFonts w:ascii="Arial" w:hAnsi="Arial"/>
          <w:noProof/>
          <w:color w:val="000000"/>
          <w:sz w:val="22"/>
          <w:szCs w:val="22"/>
          <w:highlight w:val="black"/>
        </w:rPr>
        <w:t>''''''''''</w:t>
      </w:r>
      <w:r w:rsidR="00D33F8C" w:rsidRPr="00107796">
        <w:rPr>
          <w:rFonts w:ascii="Arial" w:hAnsi="Arial"/>
          <w:sz w:val="22"/>
          <w:szCs w:val="22"/>
        </w:rPr>
        <w:t xml:space="preserve"> times the price of propranolol tablets (at the ex-manufacturer level). The PBAC considered a price premium of this magnitude to be unjustified</w:t>
      </w:r>
      <w:r w:rsidR="00A30374" w:rsidRPr="00107796">
        <w:rPr>
          <w:rFonts w:ascii="Arial" w:hAnsi="Arial"/>
          <w:sz w:val="22"/>
          <w:szCs w:val="22"/>
        </w:rPr>
        <w:t>,</w:t>
      </w:r>
      <w:r w:rsidR="00D33F8C" w:rsidRPr="00107796">
        <w:rPr>
          <w:rFonts w:ascii="Arial" w:hAnsi="Arial"/>
          <w:sz w:val="22"/>
          <w:szCs w:val="22"/>
        </w:rPr>
        <w:t xml:space="preserve"> although a small price premium for oral liquids over tablets is reasonable. The price of </w:t>
      </w:r>
      <w:proofErr w:type="spellStart"/>
      <w:r w:rsidR="00D33F8C" w:rsidRPr="00107796">
        <w:rPr>
          <w:rFonts w:ascii="Arial" w:hAnsi="Arial"/>
          <w:sz w:val="22"/>
          <w:szCs w:val="22"/>
        </w:rPr>
        <w:t>Hemangiol</w:t>
      </w:r>
      <w:proofErr w:type="spellEnd"/>
      <w:r w:rsidR="00D33F8C" w:rsidRPr="00107796">
        <w:rPr>
          <w:rFonts w:ascii="Arial" w:hAnsi="Arial"/>
          <w:sz w:val="22"/>
          <w:szCs w:val="22"/>
        </w:rPr>
        <w:t xml:space="preserve"> was considered in the context of the ratio of </w:t>
      </w:r>
      <w:r w:rsidR="0052072C" w:rsidRPr="00107796">
        <w:rPr>
          <w:rFonts w:ascii="Arial" w:hAnsi="Arial"/>
          <w:sz w:val="22"/>
          <w:szCs w:val="22"/>
        </w:rPr>
        <w:t xml:space="preserve">the </w:t>
      </w:r>
      <w:r w:rsidR="00D33F8C" w:rsidRPr="00107796">
        <w:rPr>
          <w:rFonts w:ascii="Arial" w:hAnsi="Arial"/>
          <w:sz w:val="22"/>
          <w:szCs w:val="22"/>
        </w:rPr>
        <w:t xml:space="preserve">solution price per milligram compared to the tablet price per milligram </w:t>
      </w:r>
      <w:r w:rsidR="00A30374" w:rsidRPr="00107796">
        <w:rPr>
          <w:rFonts w:ascii="Arial" w:hAnsi="Arial"/>
          <w:sz w:val="22"/>
          <w:szCs w:val="22"/>
        </w:rPr>
        <w:t>for other liquid dosage form products</w:t>
      </w:r>
      <w:r w:rsidR="0052072C" w:rsidRPr="00107796">
        <w:rPr>
          <w:rFonts w:ascii="Arial" w:hAnsi="Arial"/>
          <w:sz w:val="22"/>
          <w:szCs w:val="22"/>
        </w:rPr>
        <w:t>,</w:t>
      </w:r>
      <w:r w:rsidR="00A30374" w:rsidRPr="00107796">
        <w:rPr>
          <w:rFonts w:ascii="Arial" w:hAnsi="Arial"/>
          <w:sz w:val="22"/>
          <w:szCs w:val="22"/>
        </w:rPr>
        <w:t xml:space="preserve"> which demonstrate</w:t>
      </w:r>
      <w:r w:rsidR="0052072C" w:rsidRPr="00107796">
        <w:rPr>
          <w:rFonts w:ascii="Arial" w:hAnsi="Arial"/>
          <w:sz w:val="22"/>
          <w:szCs w:val="22"/>
        </w:rPr>
        <w:t>d</w:t>
      </w:r>
      <w:r w:rsidR="00A30374" w:rsidRPr="00107796">
        <w:rPr>
          <w:rFonts w:ascii="Arial" w:hAnsi="Arial"/>
          <w:sz w:val="22"/>
          <w:szCs w:val="22"/>
        </w:rPr>
        <w:t xml:space="preserve"> that the ratio requested </w:t>
      </w:r>
      <w:r w:rsidR="00D33F8C" w:rsidRPr="00107796">
        <w:rPr>
          <w:rFonts w:ascii="Arial" w:hAnsi="Arial"/>
          <w:sz w:val="22"/>
          <w:szCs w:val="22"/>
        </w:rPr>
        <w:t xml:space="preserve">is significantly higher for </w:t>
      </w:r>
      <w:proofErr w:type="spellStart"/>
      <w:r w:rsidR="00D33F8C" w:rsidRPr="00107796">
        <w:rPr>
          <w:rFonts w:ascii="Arial" w:hAnsi="Arial"/>
          <w:sz w:val="22"/>
          <w:szCs w:val="22"/>
        </w:rPr>
        <w:t>Hemangiol</w:t>
      </w:r>
      <w:proofErr w:type="spellEnd"/>
      <w:r w:rsidR="00D33F8C" w:rsidRPr="00107796">
        <w:rPr>
          <w:rFonts w:ascii="Arial" w:hAnsi="Arial"/>
          <w:sz w:val="22"/>
          <w:szCs w:val="22"/>
        </w:rPr>
        <w:t xml:space="preserve"> </w:t>
      </w:r>
      <w:r w:rsidR="00363259" w:rsidRPr="00107796">
        <w:rPr>
          <w:rFonts w:ascii="Arial" w:hAnsi="Arial"/>
          <w:sz w:val="22"/>
          <w:szCs w:val="22"/>
        </w:rPr>
        <w:t>(see table below).</w:t>
      </w:r>
    </w:p>
    <w:p w:rsidR="00D33F8C" w:rsidRPr="00D33F8C" w:rsidRDefault="00D33F8C" w:rsidP="00D33F8C">
      <w:pPr>
        <w:rPr>
          <w:rFonts w:ascii="Arial" w:hAnsi="Arial"/>
          <w:sz w:val="22"/>
          <w:szCs w:val="22"/>
        </w:rPr>
      </w:pPr>
    </w:p>
    <w:tbl>
      <w:tblPr>
        <w:tblStyle w:val="TableGrid"/>
        <w:tblW w:w="4448" w:type="pct"/>
        <w:tblInd w:w="822" w:type="dxa"/>
        <w:tblLook w:val="04A0" w:firstRow="1" w:lastRow="0" w:firstColumn="1" w:lastColumn="0" w:noHBand="0" w:noVBand="1"/>
        <w:tblCaption w:val="Price ratios of oral liquids to tablet forms of common medicines"/>
      </w:tblPr>
      <w:tblGrid>
        <w:gridCol w:w="1138"/>
        <w:gridCol w:w="1472"/>
        <w:gridCol w:w="766"/>
        <w:gridCol w:w="1615"/>
        <w:gridCol w:w="1332"/>
        <w:gridCol w:w="1899"/>
      </w:tblGrid>
      <w:tr w:rsidR="00D33F8C" w:rsidRPr="005F35C8" w:rsidTr="00611A07">
        <w:trPr>
          <w:trHeight w:val="670"/>
          <w:tblHeader/>
        </w:trPr>
        <w:tc>
          <w:tcPr>
            <w:tcW w:w="691" w:type="pct"/>
            <w:hideMark/>
          </w:tcPr>
          <w:p w:rsidR="00D33F8C" w:rsidRPr="005F35C8" w:rsidRDefault="00D33F8C" w:rsidP="00B81A80">
            <w:pPr>
              <w:jc w:val="both"/>
              <w:rPr>
                <w:rFonts w:ascii="Arial Narrow" w:hAnsi="Arial Narrow" w:cs="Arial"/>
                <w:sz w:val="20"/>
                <w:szCs w:val="20"/>
              </w:rPr>
            </w:pPr>
            <w:r w:rsidRPr="006007B8">
              <w:rPr>
                <w:rFonts w:ascii="Arial Narrow" w:hAnsi="Arial Narrow" w:cs="Arial"/>
                <w:b/>
                <w:bCs/>
                <w:sz w:val="20"/>
                <w:szCs w:val="20"/>
              </w:rPr>
              <w:t>Drug</w:t>
            </w:r>
          </w:p>
        </w:tc>
        <w:tc>
          <w:tcPr>
            <w:tcW w:w="895"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Form, including strength</w:t>
            </w:r>
          </w:p>
        </w:tc>
        <w:tc>
          <w:tcPr>
            <w:tcW w:w="466"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Mg per pack</w:t>
            </w:r>
          </w:p>
        </w:tc>
        <w:tc>
          <w:tcPr>
            <w:tcW w:w="982"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Ex-man price per pack</w:t>
            </w:r>
          </w:p>
        </w:tc>
        <w:tc>
          <w:tcPr>
            <w:tcW w:w="810"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Price per mg</w:t>
            </w:r>
          </w:p>
        </w:tc>
        <w:tc>
          <w:tcPr>
            <w:tcW w:w="1155"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Ratio of solution price per mg to tablet price per mg</w:t>
            </w:r>
          </w:p>
        </w:tc>
      </w:tr>
      <w:tr w:rsidR="00D33F8C" w:rsidRPr="005F35C8" w:rsidTr="00B81A80">
        <w:trPr>
          <w:trHeight w:val="458"/>
        </w:trPr>
        <w:tc>
          <w:tcPr>
            <w:tcW w:w="691" w:type="pct"/>
            <w:vMerge w:val="restar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Propranolol</w:t>
            </w:r>
          </w:p>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 </w:t>
            </w:r>
          </w:p>
        </w:tc>
        <w:tc>
          <w:tcPr>
            <w:tcW w:w="895"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 xml:space="preserve">Oral liquid, </w:t>
            </w:r>
          </w:p>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3.75 mg/1 mL, 120 mL</w:t>
            </w:r>
          </w:p>
        </w:tc>
        <w:tc>
          <w:tcPr>
            <w:tcW w:w="466"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450 mg</w:t>
            </w:r>
          </w:p>
        </w:tc>
        <w:tc>
          <w:tcPr>
            <w:tcW w:w="982"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w:t>
            </w:r>
            <w:r w:rsidR="00CB285D">
              <w:rPr>
                <w:rFonts w:ascii="Arial Narrow" w:hAnsi="Arial Narrow" w:cs="Arial"/>
                <w:noProof/>
                <w:color w:val="000000"/>
                <w:sz w:val="20"/>
                <w:szCs w:val="20"/>
                <w:highlight w:val="black"/>
              </w:rPr>
              <w:t>''''''''''''''''</w:t>
            </w:r>
          </w:p>
        </w:tc>
        <w:tc>
          <w:tcPr>
            <w:tcW w:w="810"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w:t>
            </w:r>
            <w:r w:rsidR="00CB285D">
              <w:rPr>
                <w:rFonts w:ascii="Arial Narrow" w:hAnsi="Arial Narrow" w:cs="Arial"/>
                <w:noProof/>
                <w:color w:val="000000"/>
                <w:sz w:val="20"/>
                <w:szCs w:val="20"/>
                <w:highlight w:val="black"/>
              </w:rPr>
              <w:t>''''''''''''</w:t>
            </w:r>
          </w:p>
        </w:tc>
        <w:tc>
          <w:tcPr>
            <w:tcW w:w="1155" w:type="pct"/>
            <w:vMerge w:val="restart"/>
            <w:vAlign w:val="center"/>
            <w:hideMark/>
          </w:tcPr>
          <w:p w:rsidR="00D33F8C" w:rsidRPr="00CB285D" w:rsidRDefault="00CB285D" w:rsidP="00B81A80">
            <w:pP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D33F8C" w:rsidRPr="005F35C8" w:rsidTr="00B81A80">
        <w:trPr>
          <w:trHeight w:val="252"/>
        </w:trPr>
        <w:tc>
          <w:tcPr>
            <w:tcW w:w="691" w:type="pct"/>
            <w:vMerge/>
            <w:hideMark/>
          </w:tcPr>
          <w:p w:rsidR="00D33F8C" w:rsidRPr="005F35C8" w:rsidRDefault="00D33F8C" w:rsidP="00B81A80">
            <w:pPr>
              <w:jc w:val="both"/>
              <w:rPr>
                <w:rFonts w:ascii="Arial Narrow" w:hAnsi="Arial Narrow" w:cs="Arial"/>
                <w:sz w:val="20"/>
                <w:szCs w:val="20"/>
              </w:rPr>
            </w:pPr>
          </w:p>
        </w:tc>
        <w:tc>
          <w:tcPr>
            <w:tcW w:w="895"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Tablet 10 mg, 100</w:t>
            </w:r>
          </w:p>
        </w:tc>
        <w:tc>
          <w:tcPr>
            <w:tcW w:w="466"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1,000 mg</w:t>
            </w:r>
          </w:p>
        </w:tc>
        <w:tc>
          <w:tcPr>
            <w:tcW w:w="982"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$3.05</w:t>
            </w:r>
          </w:p>
        </w:tc>
        <w:tc>
          <w:tcPr>
            <w:tcW w:w="810"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$0.003</w:t>
            </w:r>
          </w:p>
        </w:tc>
        <w:tc>
          <w:tcPr>
            <w:tcW w:w="1155" w:type="pct"/>
            <w:vMerge/>
            <w:vAlign w:val="center"/>
            <w:hideMark/>
          </w:tcPr>
          <w:p w:rsidR="00D33F8C" w:rsidRPr="005F35C8" w:rsidRDefault="00D33F8C" w:rsidP="00B81A80">
            <w:pPr>
              <w:rPr>
                <w:rFonts w:ascii="Arial Narrow" w:hAnsi="Arial Narrow" w:cs="Arial"/>
                <w:sz w:val="20"/>
                <w:szCs w:val="20"/>
              </w:rPr>
            </w:pPr>
          </w:p>
        </w:tc>
      </w:tr>
      <w:tr w:rsidR="00D33F8C" w:rsidRPr="005F35C8" w:rsidTr="00B81A80">
        <w:trPr>
          <w:trHeight w:val="525"/>
        </w:trPr>
        <w:tc>
          <w:tcPr>
            <w:tcW w:w="691" w:type="pct"/>
            <w:vMerge w:val="restar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Digoxin</w:t>
            </w:r>
          </w:p>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 </w:t>
            </w:r>
          </w:p>
        </w:tc>
        <w:tc>
          <w:tcPr>
            <w:tcW w:w="895"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Oral solution,</w:t>
            </w:r>
          </w:p>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50 mcg/1 mL, 60 mL</w:t>
            </w:r>
          </w:p>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 </w:t>
            </w:r>
          </w:p>
        </w:tc>
        <w:tc>
          <w:tcPr>
            <w:tcW w:w="466"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3 mg</w:t>
            </w:r>
          </w:p>
        </w:tc>
        <w:tc>
          <w:tcPr>
            <w:tcW w:w="982"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$14.04</w:t>
            </w:r>
          </w:p>
        </w:tc>
        <w:tc>
          <w:tcPr>
            <w:tcW w:w="810"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$4.68</w:t>
            </w:r>
          </w:p>
        </w:tc>
        <w:tc>
          <w:tcPr>
            <w:tcW w:w="1155" w:type="pct"/>
            <w:vMerge w:val="restart"/>
            <w:vAlign w:val="center"/>
            <w:hideMark/>
          </w:tcPr>
          <w:p w:rsidR="00D33F8C" w:rsidRPr="005F35C8" w:rsidRDefault="00D33F8C" w:rsidP="00B81A80">
            <w:pPr>
              <w:rPr>
                <w:rFonts w:ascii="Arial Narrow" w:hAnsi="Arial Narrow" w:cs="Arial"/>
                <w:sz w:val="20"/>
                <w:szCs w:val="20"/>
              </w:rPr>
            </w:pPr>
            <w:r w:rsidRPr="005F35C8">
              <w:rPr>
                <w:rFonts w:ascii="Arial Narrow" w:hAnsi="Arial Narrow" w:cs="Arial"/>
                <w:sz w:val="20"/>
                <w:szCs w:val="20"/>
              </w:rPr>
              <w:t>18:1</w:t>
            </w:r>
          </w:p>
        </w:tc>
      </w:tr>
      <w:tr w:rsidR="00D33F8C" w:rsidRPr="005F35C8" w:rsidTr="00B81A80">
        <w:trPr>
          <w:trHeight w:val="366"/>
        </w:trPr>
        <w:tc>
          <w:tcPr>
            <w:tcW w:w="691" w:type="pct"/>
            <w:vMerge/>
            <w:hideMark/>
          </w:tcPr>
          <w:p w:rsidR="00D33F8C" w:rsidRPr="005F35C8" w:rsidRDefault="00D33F8C" w:rsidP="00B81A80">
            <w:pPr>
              <w:jc w:val="both"/>
              <w:rPr>
                <w:rFonts w:ascii="Arial Narrow" w:hAnsi="Arial Narrow" w:cs="Arial"/>
                <w:sz w:val="20"/>
                <w:szCs w:val="20"/>
              </w:rPr>
            </w:pPr>
          </w:p>
        </w:tc>
        <w:tc>
          <w:tcPr>
            <w:tcW w:w="895"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Tablet 62.5 mcg, 200</w:t>
            </w:r>
          </w:p>
        </w:tc>
        <w:tc>
          <w:tcPr>
            <w:tcW w:w="466"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12.5 mg</w:t>
            </w:r>
          </w:p>
        </w:tc>
        <w:tc>
          <w:tcPr>
            <w:tcW w:w="982"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$3.24</w:t>
            </w:r>
          </w:p>
        </w:tc>
        <w:tc>
          <w:tcPr>
            <w:tcW w:w="810"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$0.26</w:t>
            </w:r>
          </w:p>
        </w:tc>
        <w:tc>
          <w:tcPr>
            <w:tcW w:w="1155" w:type="pct"/>
            <w:vMerge/>
            <w:vAlign w:val="center"/>
            <w:hideMark/>
          </w:tcPr>
          <w:p w:rsidR="00D33F8C" w:rsidRPr="005F35C8" w:rsidRDefault="00D33F8C" w:rsidP="00B81A80">
            <w:pPr>
              <w:rPr>
                <w:rFonts w:ascii="Arial Narrow" w:hAnsi="Arial Narrow" w:cs="Arial"/>
                <w:sz w:val="20"/>
                <w:szCs w:val="20"/>
              </w:rPr>
            </w:pPr>
          </w:p>
        </w:tc>
      </w:tr>
      <w:tr w:rsidR="00D33F8C" w:rsidRPr="005F35C8" w:rsidTr="00B81A80">
        <w:trPr>
          <w:trHeight w:val="600"/>
        </w:trPr>
        <w:tc>
          <w:tcPr>
            <w:tcW w:w="691" w:type="pct"/>
            <w:vMerge w:val="restar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Diazepam</w:t>
            </w:r>
          </w:p>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 </w:t>
            </w:r>
          </w:p>
        </w:tc>
        <w:tc>
          <w:tcPr>
            <w:tcW w:w="895"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Oral liquid,</w:t>
            </w:r>
          </w:p>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1 mg/1 mL, 100 mL</w:t>
            </w:r>
          </w:p>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 </w:t>
            </w:r>
          </w:p>
        </w:tc>
        <w:tc>
          <w:tcPr>
            <w:tcW w:w="466"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100 mg</w:t>
            </w:r>
          </w:p>
        </w:tc>
        <w:tc>
          <w:tcPr>
            <w:tcW w:w="982"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$29.63</w:t>
            </w:r>
          </w:p>
        </w:tc>
        <w:tc>
          <w:tcPr>
            <w:tcW w:w="810"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$2.96</w:t>
            </w:r>
          </w:p>
        </w:tc>
        <w:tc>
          <w:tcPr>
            <w:tcW w:w="1155" w:type="pct"/>
            <w:vMerge w:val="restart"/>
            <w:vAlign w:val="center"/>
            <w:hideMark/>
          </w:tcPr>
          <w:p w:rsidR="00D33F8C" w:rsidRPr="005F35C8" w:rsidRDefault="00D33F8C" w:rsidP="00B81A80">
            <w:pPr>
              <w:rPr>
                <w:rFonts w:ascii="Arial Narrow" w:hAnsi="Arial Narrow" w:cs="Arial"/>
                <w:sz w:val="20"/>
                <w:szCs w:val="20"/>
              </w:rPr>
            </w:pPr>
            <w:r w:rsidRPr="005F35C8">
              <w:rPr>
                <w:rFonts w:ascii="Arial Narrow" w:hAnsi="Arial Narrow" w:cs="Arial"/>
                <w:sz w:val="20"/>
                <w:szCs w:val="20"/>
              </w:rPr>
              <w:t>32:1</w:t>
            </w:r>
          </w:p>
        </w:tc>
      </w:tr>
      <w:tr w:rsidR="00D33F8C" w:rsidRPr="005F35C8" w:rsidTr="00B81A80">
        <w:trPr>
          <w:trHeight w:val="312"/>
        </w:trPr>
        <w:tc>
          <w:tcPr>
            <w:tcW w:w="691" w:type="pct"/>
            <w:vMerge/>
            <w:hideMark/>
          </w:tcPr>
          <w:p w:rsidR="00D33F8C" w:rsidRPr="005F35C8" w:rsidRDefault="00D33F8C" w:rsidP="00B81A80">
            <w:pPr>
              <w:jc w:val="both"/>
              <w:rPr>
                <w:rFonts w:ascii="Arial Narrow" w:hAnsi="Arial Narrow" w:cs="Arial"/>
                <w:sz w:val="20"/>
                <w:szCs w:val="20"/>
              </w:rPr>
            </w:pPr>
          </w:p>
        </w:tc>
        <w:tc>
          <w:tcPr>
            <w:tcW w:w="895"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Tablet 2 mg, 50</w:t>
            </w:r>
          </w:p>
        </w:tc>
        <w:tc>
          <w:tcPr>
            <w:tcW w:w="466"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100 mg</w:t>
            </w:r>
          </w:p>
        </w:tc>
        <w:tc>
          <w:tcPr>
            <w:tcW w:w="982"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$0.94</w:t>
            </w:r>
          </w:p>
        </w:tc>
        <w:tc>
          <w:tcPr>
            <w:tcW w:w="810"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$0.094</w:t>
            </w:r>
          </w:p>
        </w:tc>
        <w:tc>
          <w:tcPr>
            <w:tcW w:w="1155" w:type="pct"/>
            <w:vMerge/>
            <w:vAlign w:val="center"/>
            <w:hideMark/>
          </w:tcPr>
          <w:p w:rsidR="00D33F8C" w:rsidRPr="005F35C8" w:rsidRDefault="00D33F8C" w:rsidP="00B81A80">
            <w:pPr>
              <w:rPr>
                <w:rFonts w:ascii="Arial Narrow" w:hAnsi="Arial Narrow" w:cs="Arial"/>
                <w:sz w:val="20"/>
                <w:szCs w:val="20"/>
              </w:rPr>
            </w:pPr>
          </w:p>
        </w:tc>
      </w:tr>
      <w:tr w:rsidR="00D33F8C" w:rsidRPr="005F35C8" w:rsidTr="00B81A80">
        <w:trPr>
          <w:trHeight w:val="700"/>
        </w:trPr>
        <w:tc>
          <w:tcPr>
            <w:tcW w:w="691" w:type="pct"/>
            <w:vMerge w:val="restar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Naproxen</w:t>
            </w:r>
          </w:p>
          <w:p w:rsidR="00D33F8C" w:rsidRPr="005F35C8" w:rsidRDefault="00D33F8C" w:rsidP="00B81A80">
            <w:pPr>
              <w:jc w:val="both"/>
              <w:rPr>
                <w:rFonts w:ascii="Arial Narrow" w:hAnsi="Arial Narrow" w:cs="Arial"/>
                <w:sz w:val="20"/>
                <w:szCs w:val="20"/>
              </w:rPr>
            </w:pPr>
            <w:r w:rsidRPr="005F35C8">
              <w:rPr>
                <w:rFonts w:ascii="Arial Narrow" w:hAnsi="Arial Narrow" w:cs="Arial"/>
                <w:b/>
                <w:bCs/>
                <w:sz w:val="20"/>
                <w:szCs w:val="20"/>
              </w:rPr>
              <w:t> </w:t>
            </w:r>
          </w:p>
        </w:tc>
        <w:tc>
          <w:tcPr>
            <w:tcW w:w="895"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Oral suspension,</w:t>
            </w:r>
          </w:p>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125 mg/5 mL, 474 mL</w:t>
            </w:r>
          </w:p>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 </w:t>
            </w:r>
          </w:p>
        </w:tc>
        <w:tc>
          <w:tcPr>
            <w:tcW w:w="466"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11,850 mg</w:t>
            </w:r>
          </w:p>
        </w:tc>
        <w:tc>
          <w:tcPr>
            <w:tcW w:w="982"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$102.47</w:t>
            </w:r>
          </w:p>
        </w:tc>
        <w:tc>
          <w:tcPr>
            <w:tcW w:w="810"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$0.01</w:t>
            </w:r>
          </w:p>
        </w:tc>
        <w:tc>
          <w:tcPr>
            <w:tcW w:w="1155" w:type="pct"/>
            <w:vMerge w:val="restart"/>
            <w:vAlign w:val="center"/>
            <w:hideMark/>
          </w:tcPr>
          <w:p w:rsidR="00D33F8C" w:rsidRPr="005F35C8" w:rsidRDefault="00D33F8C" w:rsidP="00B81A80">
            <w:pPr>
              <w:rPr>
                <w:rFonts w:ascii="Arial Narrow" w:hAnsi="Arial Narrow" w:cs="Arial"/>
                <w:sz w:val="20"/>
                <w:szCs w:val="20"/>
              </w:rPr>
            </w:pPr>
            <w:r w:rsidRPr="005F35C8">
              <w:rPr>
                <w:rFonts w:ascii="Arial Narrow" w:hAnsi="Arial Narrow" w:cs="Arial"/>
                <w:sz w:val="20"/>
                <w:szCs w:val="20"/>
              </w:rPr>
              <w:t>50:1</w:t>
            </w:r>
          </w:p>
        </w:tc>
      </w:tr>
      <w:tr w:rsidR="00D33F8C" w:rsidRPr="005F35C8" w:rsidTr="00B81A80">
        <w:trPr>
          <w:trHeight w:val="433"/>
        </w:trPr>
        <w:tc>
          <w:tcPr>
            <w:tcW w:w="691" w:type="pct"/>
            <w:vMerge/>
            <w:hideMark/>
          </w:tcPr>
          <w:p w:rsidR="00D33F8C" w:rsidRPr="005F35C8" w:rsidRDefault="00D33F8C" w:rsidP="00B81A80">
            <w:pPr>
              <w:jc w:val="both"/>
              <w:rPr>
                <w:rFonts w:ascii="Arial Narrow" w:hAnsi="Arial Narrow" w:cs="Arial"/>
                <w:sz w:val="20"/>
                <w:szCs w:val="20"/>
              </w:rPr>
            </w:pPr>
          </w:p>
        </w:tc>
        <w:tc>
          <w:tcPr>
            <w:tcW w:w="895"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Tablet 250 mg, 50</w:t>
            </w:r>
          </w:p>
        </w:tc>
        <w:tc>
          <w:tcPr>
            <w:tcW w:w="466"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12,500 mg</w:t>
            </w:r>
          </w:p>
        </w:tc>
        <w:tc>
          <w:tcPr>
            <w:tcW w:w="982"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$2.80</w:t>
            </w:r>
          </w:p>
        </w:tc>
        <w:tc>
          <w:tcPr>
            <w:tcW w:w="810" w:type="pct"/>
            <w:hideMark/>
          </w:tcPr>
          <w:p w:rsidR="00D33F8C" w:rsidRPr="005F35C8" w:rsidRDefault="00D33F8C" w:rsidP="00B81A80">
            <w:pPr>
              <w:jc w:val="both"/>
              <w:rPr>
                <w:rFonts w:ascii="Arial Narrow" w:hAnsi="Arial Narrow" w:cs="Arial"/>
                <w:sz w:val="20"/>
                <w:szCs w:val="20"/>
              </w:rPr>
            </w:pPr>
            <w:r w:rsidRPr="005F35C8">
              <w:rPr>
                <w:rFonts w:ascii="Arial Narrow" w:hAnsi="Arial Narrow" w:cs="Arial"/>
                <w:sz w:val="20"/>
                <w:szCs w:val="20"/>
              </w:rPr>
              <w:t>$0.0002</w:t>
            </w:r>
          </w:p>
        </w:tc>
        <w:tc>
          <w:tcPr>
            <w:tcW w:w="1155" w:type="pct"/>
            <w:vMerge/>
            <w:hideMark/>
          </w:tcPr>
          <w:p w:rsidR="00D33F8C" w:rsidRPr="006007B8" w:rsidRDefault="00D33F8C" w:rsidP="00B81A80">
            <w:pPr>
              <w:jc w:val="both"/>
              <w:rPr>
                <w:rFonts w:ascii="Arial Narrow" w:hAnsi="Arial Narrow" w:cs="Arial"/>
                <w:sz w:val="20"/>
                <w:szCs w:val="20"/>
              </w:rPr>
            </w:pPr>
          </w:p>
        </w:tc>
      </w:tr>
    </w:tbl>
    <w:p w:rsidR="00D33F8C" w:rsidRPr="00D33F8C" w:rsidRDefault="00D33F8C" w:rsidP="00D33F8C">
      <w:pPr>
        <w:rPr>
          <w:rFonts w:ascii="Arial" w:hAnsi="Arial"/>
          <w:sz w:val="22"/>
          <w:szCs w:val="22"/>
        </w:rPr>
      </w:pPr>
    </w:p>
    <w:p w:rsidR="00D33F8C" w:rsidRPr="00107796" w:rsidRDefault="00F35E26" w:rsidP="00107796">
      <w:pPr>
        <w:ind w:left="720" w:hanging="720"/>
        <w:jc w:val="both"/>
        <w:rPr>
          <w:rFonts w:ascii="Arial" w:hAnsi="Arial"/>
          <w:sz w:val="22"/>
          <w:szCs w:val="22"/>
        </w:rPr>
      </w:pPr>
      <w:r w:rsidRPr="00107796">
        <w:rPr>
          <w:rFonts w:ascii="Arial" w:hAnsi="Arial"/>
          <w:sz w:val="22"/>
          <w:szCs w:val="22"/>
        </w:rPr>
        <w:t>2.10</w:t>
      </w:r>
      <w:r w:rsidR="00D33F8C" w:rsidRPr="00107796">
        <w:rPr>
          <w:rFonts w:ascii="Arial" w:hAnsi="Arial"/>
          <w:sz w:val="22"/>
          <w:szCs w:val="22"/>
        </w:rPr>
        <w:tab/>
        <w:t xml:space="preserve">The PBAC noted that the estimated total number of prescriptions was based on patient weight. While the total patient population is likely to be small, the PBAC considered that there was a risk of </w:t>
      </w:r>
      <w:proofErr w:type="spellStart"/>
      <w:r w:rsidR="00D33F8C" w:rsidRPr="00107796">
        <w:rPr>
          <w:rFonts w:ascii="Arial" w:hAnsi="Arial"/>
          <w:sz w:val="22"/>
          <w:szCs w:val="22"/>
        </w:rPr>
        <w:t>Hemangiol</w:t>
      </w:r>
      <w:proofErr w:type="spellEnd"/>
      <w:r w:rsidR="00D33F8C" w:rsidRPr="00107796">
        <w:rPr>
          <w:rFonts w:ascii="Arial" w:hAnsi="Arial"/>
          <w:sz w:val="22"/>
          <w:szCs w:val="22"/>
        </w:rPr>
        <w:t xml:space="preserve"> use in patients with less severe, non-fatal haemangiomas. The Committee considered that the basis for the financial estimates should be reviewed in the context of negotiations of pricing with the Department. </w:t>
      </w:r>
    </w:p>
    <w:p w:rsidR="00D33F8C" w:rsidRPr="00D33F8C" w:rsidRDefault="00D33F8C" w:rsidP="00D33F8C">
      <w:pPr>
        <w:rPr>
          <w:rFonts w:ascii="Arial" w:hAnsi="Arial"/>
          <w:sz w:val="22"/>
          <w:szCs w:val="22"/>
        </w:rPr>
      </w:pPr>
    </w:p>
    <w:p w:rsidR="00D33F8C" w:rsidRPr="00107796" w:rsidRDefault="00F35E26" w:rsidP="00107796">
      <w:pPr>
        <w:ind w:left="720" w:hanging="720"/>
        <w:jc w:val="both"/>
        <w:rPr>
          <w:rFonts w:ascii="Arial" w:hAnsi="Arial"/>
          <w:sz w:val="22"/>
          <w:szCs w:val="22"/>
        </w:rPr>
      </w:pPr>
      <w:r w:rsidRPr="00107796">
        <w:rPr>
          <w:rFonts w:ascii="Arial" w:hAnsi="Arial"/>
          <w:sz w:val="22"/>
          <w:szCs w:val="22"/>
        </w:rPr>
        <w:t>2.11</w:t>
      </w:r>
      <w:r w:rsidR="00D33F8C" w:rsidRPr="00107796">
        <w:rPr>
          <w:rFonts w:ascii="Arial" w:hAnsi="Arial"/>
          <w:sz w:val="22"/>
          <w:szCs w:val="22"/>
        </w:rPr>
        <w:tab/>
        <w:t>The PBAC recommended that propranolol, in the form oral liquid, should not be treated as interchangeable with any other drugs.</w:t>
      </w:r>
    </w:p>
    <w:p w:rsidR="00D33F8C" w:rsidRPr="00D33F8C" w:rsidRDefault="00D33F8C" w:rsidP="00D33F8C">
      <w:pPr>
        <w:rPr>
          <w:rFonts w:ascii="Arial" w:hAnsi="Arial"/>
          <w:sz w:val="22"/>
          <w:szCs w:val="22"/>
        </w:rPr>
      </w:pPr>
    </w:p>
    <w:p w:rsidR="00D33F8C" w:rsidRPr="00107796" w:rsidRDefault="00F35E26" w:rsidP="00107796">
      <w:pPr>
        <w:ind w:left="720" w:hanging="720"/>
        <w:jc w:val="both"/>
        <w:rPr>
          <w:rFonts w:ascii="Arial" w:hAnsi="Arial"/>
          <w:sz w:val="22"/>
          <w:szCs w:val="22"/>
        </w:rPr>
      </w:pPr>
      <w:r w:rsidRPr="00107796">
        <w:rPr>
          <w:rFonts w:ascii="Arial" w:hAnsi="Arial"/>
          <w:sz w:val="22"/>
          <w:szCs w:val="22"/>
        </w:rPr>
        <w:t>2.12</w:t>
      </w:r>
      <w:r w:rsidR="00D33F8C" w:rsidRPr="00107796">
        <w:rPr>
          <w:rFonts w:ascii="Arial" w:hAnsi="Arial"/>
          <w:sz w:val="22"/>
          <w:szCs w:val="22"/>
        </w:rPr>
        <w:tab/>
        <w:t>The PBAC advised that propranolol oral liquid is not suitable for prescribing by nurse practitioners.</w:t>
      </w:r>
      <w:r w:rsidR="00CB285D">
        <w:rPr>
          <w:rFonts w:ascii="Arial" w:hAnsi="Arial"/>
          <w:sz w:val="22"/>
          <w:szCs w:val="22"/>
        </w:rPr>
        <w:t xml:space="preserve"> </w:t>
      </w:r>
    </w:p>
    <w:p w:rsidR="00F35E26" w:rsidRDefault="00F35E26" w:rsidP="00D33F8C">
      <w:pPr>
        <w:rPr>
          <w:rFonts w:ascii="Arial" w:hAnsi="Arial"/>
          <w:sz w:val="22"/>
          <w:szCs w:val="22"/>
        </w:rPr>
      </w:pPr>
    </w:p>
    <w:p w:rsidR="00A757A9" w:rsidRPr="00107796" w:rsidRDefault="00F35E26" w:rsidP="00107796">
      <w:pPr>
        <w:jc w:val="both"/>
        <w:rPr>
          <w:rFonts w:ascii="Arial" w:hAnsi="Arial"/>
          <w:sz w:val="22"/>
          <w:szCs w:val="22"/>
        </w:rPr>
      </w:pPr>
      <w:r w:rsidRPr="00107796">
        <w:rPr>
          <w:rFonts w:ascii="Arial" w:hAnsi="Arial"/>
          <w:sz w:val="22"/>
          <w:szCs w:val="22"/>
        </w:rPr>
        <w:t>2.13</w:t>
      </w:r>
      <w:r w:rsidR="00D33F8C" w:rsidRPr="00107796">
        <w:rPr>
          <w:rFonts w:ascii="Arial" w:hAnsi="Arial"/>
          <w:sz w:val="22"/>
          <w:szCs w:val="22"/>
        </w:rPr>
        <w:tab/>
        <w:t>The PBAC recommended that the Safety Net 20 Day Rule should apply.</w:t>
      </w:r>
    </w:p>
    <w:p w:rsidR="00BB7EC3" w:rsidRDefault="00BB7EC3" w:rsidP="00C96994">
      <w:pPr>
        <w:pStyle w:val="Header"/>
        <w:tabs>
          <w:tab w:val="clear" w:pos="4153"/>
          <w:tab w:val="clear" w:pos="8306"/>
        </w:tabs>
        <w:spacing w:line="480" w:lineRule="auto"/>
        <w:jc w:val="both"/>
        <w:rPr>
          <w:rFonts w:ascii="Arial" w:hAnsi="Arial"/>
          <w:sz w:val="22"/>
          <w:szCs w:val="22"/>
        </w:rPr>
      </w:pPr>
    </w:p>
    <w:p w:rsidR="000B558D" w:rsidRPr="00107796" w:rsidRDefault="008C3EBA" w:rsidP="00C96994">
      <w:pPr>
        <w:pStyle w:val="Heading1"/>
      </w:pPr>
      <w:r w:rsidRPr="00107796">
        <w:t xml:space="preserve">Summary of the minor </w:t>
      </w:r>
      <w:r w:rsidR="004D64B6">
        <w:t>re-</w:t>
      </w:r>
      <w:r w:rsidRPr="00107796">
        <w:t>submission</w:t>
      </w:r>
    </w:p>
    <w:p w:rsidR="00AF0C02" w:rsidRDefault="00AF0C02" w:rsidP="00AF0C02">
      <w:pPr>
        <w:pStyle w:val="Header"/>
        <w:tabs>
          <w:tab w:val="clear" w:pos="4153"/>
          <w:tab w:val="clear" w:pos="8306"/>
        </w:tabs>
        <w:jc w:val="both"/>
        <w:rPr>
          <w:rFonts w:ascii="Arial" w:hAnsi="Arial"/>
          <w:sz w:val="22"/>
          <w:szCs w:val="22"/>
        </w:rPr>
      </w:pPr>
    </w:p>
    <w:p w:rsidR="00B406F2" w:rsidRDefault="00D81C6F" w:rsidP="00FF134A">
      <w:pPr>
        <w:pStyle w:val="ListParagraph"/>
        <w:numPr>
          <w:ilvl w:val="1"/>
          <w:numId w:val="25"/>
        </w:numPr>
        <w:jc w:val="both"/>
        <w:rPr>
          <w:rFonts w:ascii="Arial" w:hAnsi="Arial"/>
          <w:sz w:val="22"/>
          <w:szCs w:val="22"/>
        </w:rPr>
      </w:pPr>
      <w:r w:rsidRPr="002703AC">
        <w:rPr>
          <w:rFonts w:ascii="Arial" w:hAnsi="Arial"/>
          <w:sz w:val="22"/>
          <w:szCs w:val="22"/>
        </w:rPr>
        <w:t>The</w:t>
      </w:r>
      <w:r w:rsidR="00051CA2" w:rsidRPr="002703AC">
        <w:rPr>
          <w:rFonts w:ascii="Arial" w:hAnsi="Arial"/>
          <w:sz w:val="22"/>
          <w:szCs w:val="22"/>
        </w:rPr>
        <w:t xml:space="preserve"> </w:t>
      </w:r>
      <w:r w:rsidR="004D64B6">
        <w:rPr>
          <w:rFonts w:ascii="Arial" w:hAnsi="Arial"/>
          <w:sz w:val="22"/>
          <w:szCs w:val="22"/>
        </w:rPr>
        <w:t>re-</w:t>
      </w:r>
      <w:r w:rsidRPr="002703AC">
        <w:rPr>
          <w:rFonts w:ascii="Arial" w:hAnsi="Arial"/>
          <w:sz w:val="22"/>
          <w:szCs w:val="22"/>
        </w:rPr>
        <w:t xml:space="preserve">submission </w:t>
      </w:r>
      <w:r w:rsidR="002703AC" w:rsidRPr="002703AC">
        <w:rPr>
          <w:rFonts w:ascii="Arial" w:hAnsi="Arial"/>
          <w:sz w:val="22"/>
          <w:szCs w:val="22"/>
        </w:rPr>
        <w:t>sought</w:t>
      </w:r>
      <w:r w:rsidR="00B406F2" w:rsidRPr="002703AC">
        <w:rPr>
          <w:rFonts w:ascii="Arial" w:hAnsi="Arial"/>
          <w:sz w:val="22"/>
          <w:szCs w:val="22"/>
        </w:rPr>
        <w:t xml:space="preserve"> a</w:t>
      </w:r>
      <w:r w:rsidR="003120F9" w:rsidRPr="002703AC">
        <w:rPr>
          <w:rFonts w:ascii="Arial" w:hAnsi="Arial"/>
          <w:sz w:val="22"/>
          <w:szCs w:val="22"/>
        </w:rPr>
        <w:t xml:space="preserve"> </w:t>
      </w:r>
      <w:r w:rsidR="008B096F" w:rsidRPr="002703AC">
        <w:rPr>
          <w:rFonts w:ascii="Arial" w:hAnsi="Arial"/>
          <w:sz w:val="22"/>
          <w:szCs w:val="22"/>
        </w:rPr>
        <w:t xml:space="preserve">higher </w:t>
      </w:r>
      <w:r w:rsidR="00B406F2" w:rsidRPr="002703AC">
        <w:rPr>
          <w:rFonts w:ascii="Arial" w:hAnsi="Arial"/>
          <w:sz w:val="22"/>
          <w:szCs w:val="22"/>
        </w:rPr>
        <w:t xml:space="preserve">price </w:t>
      </w:r>
      <w:r w:rsidR="003120F9" w:rsidRPr="002703AC">
        <w:rPr>
          <w:rFonts w:ascii="Arial" w:hAnsi="Arial"/>
          <w:sz w:val="22"/>
          <w:szCs w:val="22"/>
        </w:rPr>
        <w:t xml:space="preserve">for </w:t>
      </w:r>
      <w:proofErr w:type="spellStart"/>
      <w:r w:rsidR="003120F9" w:rsidRPr="002703AC">
        <w:rPr>
          <w:rFonts w:ascii="Arial" w:hAnsi="Arial"/>
          <w:sz w:val="22"/>
          <w:szCs w:val="22"/>
        </w:rPr>
        <w:t>Hemangiol</w:t>
      </w:r>
      <w:proofErr w:type="spellEnd"/>
      <w:r w:rsidR="003120F9" w:rsidRPr="002703AC">
        <w:rPr>
          <w:rFonts w:ascii="Arial" w:hAnsi="Arial"/>
          <w:sz w:val="22"/>
          <w:szCs w:val="22"/>
        </w:rPr>
        <w:t xml:space="preserve"> </w:t>
      </w:r>
      <w:r w:rsidR="00544CB0" w:rsidRPr="002703AC">
        <w:rPr>
          <w:rFonts w:ascii="Arial" w:hAnsi="Arial"/>
          <w:sz w:val="22"/>
          <w:szCs w:val="22"/>
        </w:rPr>
        <w:t>compared to</w:t>
      </w:r>
      <w:r w:rsidR="003120F9" w:rsidRPr="002703AC">
        <w:rPr>
          <w:rFonts w:ascii="Arial" w:hAnsi="Arial"/>
          <w:sz w:val="22"/>
          <w:szCs w:val="22"/>
        </w:rPr>
        <w:t xml:space="preserve"> what was </w:t>
      </w:r>
      <w:r w:rsidR="008B096F" w:rsidRPr="002703AC">
        <w:rPr>
          <w:rFonts w:ascii="Arial" w:hAnsi="Arial"/>
          <w:sz w:val="22"/>
          <w:szCs w:val="22"/>
        </w:rPr>
        <w:t>recommended</w:t>
      </w:r>
      <w:r w:rsidR="003120F9" w:rsidRPr="002703AC">
        <w:rPr>
          <w:rFonts w:ascii="Arial" w:hAnsi="Arial"/>
          <w:sz w:val="22"/>
          <w:szCs w:val="22"/>
        </w:rPr>
        <w:t xml:space="preserve"> in the March</w:t>
      </w:r>
      <w:r w:rsidR="008B096F" w:rsidRPr="002703AC">
        <w:rPr>
          <w:rFonts w:ascii="Arial" w:hAnsi="Arial"/>
          <w:sz w:val="22"/>
          <w:szCs w:val="22"/>
        </w:rPr>
        <w:t xml:space="preserve"> meeting</w:t>
      </w:r>
      <w:r w:rsidR="00544CB0" w:rsidRPr="002703AC">
        <w:rPr>
          <w:rFonts w:ascii="Arial" w:hAnsi="Arial"/>
          <w:sz w:val="22"/>
          <w:szCs w:val="22"/>
        </w:rPr>
        <w:t>.</w:t>
      </w:r>
      <w:r w:rsidR="00CB285D">
        <w:rPr>
          <w:rFonts w:ascii="Arial" w:hAnsi="Arial"/>
          <w:sz w:val="22"/>
          <w:szCs w:val="22"/>
        </w:rPr>
        <w:t xml:space="preserve"> </w:t>
      </w:r>
    </w:p>
    <w:p w:rsidR="002703AC" w:rsidRPr="002703AC" w:rsidRDefault="002703AC" w:rsidP="002703AC">
      <w:pPr>
        <w:jc w:val="both"/>
        <w:rPr>
          <w:rFonts w:ascii="Arial" w:hAnsi="Arial"/>
          <w:sz w:val="22"/>
          <w:szCs w:val="22"/>
        </w:rPr>
      </w:pPr>
    </w:p>
    <w:p w:rsidR="002C07E9" w:rsidRDefault="0052072C" w:rsidP="009B1B34">
      <w:pPr>
        <w:pStyle w:val="ListParagraph"/>
        <w:numPr>
          <w:ilvl w:val="1"/>
          <w:numId w:val="25"/>
        </w:numPr>
        <w:jc w:val="both"/>
        <w:rPr>
          <w:rFonts w:ascii="Arial" w:hAnsi="Arial"/>
          <w:sz w:val="22"/>
          <w:szCs w:val="22"/>
        </w:rPr>
      </w:pPr>
      <w:r>
        <w:rPr>
          <w:rFonts w:ascii="Arial" w:hAnsi="Arial"/>
          <w:sz w:val="22"/>
          <w:szCs w:val="22"/>
        </w:rPr>
        <w:t>T</w:t>
      </w:r>
      <w:r w:rsidR="003C7ADB">
        <w:rPr>
          <w:rFonts w:ascii="Arial" w:hAnsi="Arial"/>
          <w:sz w:val="22"/>
          <w:szCs w:val="22"/>
        </w:rPr>
        <w:t xml:space="preserve">he </w:t>
      </w:r>
      <w:r w:rsidR="003774DA">
        <w:rPr>
          <w:rFonts w:ascii="Arial" w:hAnsi="Arial"/>
          <w:sz w:val="22"/>
          <w:szCs w:val="22"/>
        </w:rPr>
        <w:t>re-</w:t>
      </w:r>
      <w:r w:rsidR="003C7ADB">
        <w:rPr>
          <w:rFonts w:ascii="Arial" w:hAnsi="Arial"/>
          <w:sz w:val="22"/>
          <w:szCs w:val="22"/>
        </w:rPr>
        <w:t xml:space="preserve">submission </w:t>
      </w:r>
      <w:r w:rsidR="00544CB0">
        <w:rPr>
          <w:rFonts w:ascii="Arial" w:hAnsi="Arial"/>
          <w:sz w:val="22"/>
          <w:szCs w:val="22"/>
        </w:rPr>
        <w:t>proposed</w:t>
      </w:r>
      <w:r>
        <w:rPr>
          <w:rFonts w:ascii="Arial" w:hAnsi="Arial"/>
          <w:sz w:val="22"/>
          <w:szCs w:val="22"/>
        </w:rPr>
        <w:t xml:space="preserve"> th</w:t>
      </w:r>
      <w:r w:rsidR="006748C9">
        <w:rPr>
          <w:rFonts w:ascii="Arial" w:hAnsi="Arial"/>
          <w:sz w:val="22"/>
          <w:szCs w:val="22"/>
        </w:rPr>
        <w:t xml:space="preserve">at 100% of the price for </w:t>
      </w:r>
      <w:proofErr w:type="spellStart"/>
      <w:r w:rsidR="006748C9">
        <w:rPr>
          <w:rFonts w:ascii="Arial" w:hAnsi="Arial"/>
          <w:sz w:val="22"/>
          <w:szCs w:val="22"/>
        </w:rPr>
        <w:t>Hemangi</w:t>
      </w:r>
      <w:r>
        <w:rPr>
          <w:rFonts w:ascii="Arial" w:hAnsi="Arial"/>
          <w:sz w:val="22"/>
          <w:szCs w:val="22"/>
        </w:rPr>
        <w:t>ol</w:t>
      </w:r>
      <w:proofErr w:type="spellEnd"/>
      <w:r>
        <w:rPr>
          <w:rFonts w:ascii="Arial" w:hAnsi="Arial"/>
          <w:sz w:val="22"/>
          <w:szCs w:val="22"/>
        </w:rPr>
        <w:t xml:space="preserve"> be based on the price of compounded propranolol solution.</w:t>
      </w:r>
      <w:r w:rsidR="003C7ADB">
        <w:rPr>
          <w:rFonts w:ascii="Arial" w:hAnsi="Arial"/>
          <w:sz w:val="22"/>
          <w:szCs w:val="22"/>
        </w:rPr>
        <w:t xml:space="preserve"> This proposal was </w:t>
      </w:r>
      <w:r w:rsidR="003C7ADB" w:rsidRPr="003C7ADB">
        <w:rPr>
          <w:rFonts w:ascii="Arial" w:hAnsi="Arial"/>
          <w:sz w:val="22"/>
          <w:szCs w:val="22"/>
        </w:rPr>
        <w:t xml:space="preserve">based on advice from hospital pharmacists that majority of the dispensing of propranolol liquid would be from the community pharmacy setting, and that in this setting most patients would be supplied compounded propranolol liquid rather than the </w:t>
      </w:r>
      <w:proofErr w:type="spellStart"/>
      <w:r w:rsidR="003C7ADB" w:rsidRPr="003C7ADB">
        <w:rPr>
          <w:rFonts w:ascii="Arial" w:hAnsi="Arial"/>
          <w:sz w:val="22"/>
          <w:szCs w:val="22"/>
        </w:rPr>
        <w:t>Auspman</w:t>
      </w:r>
      <w:proofErr w:type="spellEnd"/>
      <w:r w:rsidR="003C7ADB" w:rsidRPr="003C7ADB">
        <w:rPr>
          <w:rFonts w:ascii="Arial" w:hAnsi="Arial"/>
          <w:sz w:val="22"/>
          <w:szCs w:val="22"/>
        </w:rPr>
        <w:t xml:space="preserve"> propranolol solution.</w:t>
      </w:r>
    </w:p>
    <w:p w:rsidR="00671189" w:rsidRDefault="00671189" w:rsidP="00FF134A">
      <w:pPr>
        <w:pStyle w:val="Header"/>
        <w:tabs>
          <w:tab w:val="clear" w:pos="4153"/>
          <w:tab w:val="clear" w:pos="8306"/>
        </w:tabs>
        <w:jc w:val="both"/>
        <w:rPr>
          <w:rFonts w:ascii="Arial" w:hAnsi="Arial"/>
          <w:sz w:val="22"/>
          <w:szCs w:val="22"/>
        </w:rPr>
      </w:pPr>
    </w:p>
    <w:p w:rsidR="007B6F2A" w:rsidRPr="007B6F2A" w:rsidRDefault="00671189" w:rsidP="007B6F2A">
      <w:pPr>
        <w:pStyle w:val="ListParagraph"/>
        <w:numPr>
          <w:ilvl w:val="1"/>
          <w:numId w:val="25"/>
        </w:numPr>
        <w:jc w:val="both"/>
        <w:rPr>
          <w:rFonts w:ascii="Arial" w:hAnsi="Arial"/>
          <w:sz w:val="22"/>
          <w:szCs w:val="22"/>
        </w:rPr>
      </w:pPr>
      <w:r w:rsidRPr="00544CB0">
        <w:rPr>
          <w:rFonts w:ascii="Arial" w:hAnsi="Arial"/>
          <w:sz w:val="22"/>
          <w:szCs w:val="22"/>
        </w:rPr>
        <w:t xml:space="preserve">The re-submission </w:t>
      </w:r>
      <w:r w:rsidR="004D64B6">
        <w:rPr>
          <w:rFonts w:ascii="Arial" w:hAnsi="Arial"/>
          <w:sz w:val="22"/>
          <w:szCs w:val="22"/>
        </w:rPr>
        <w:t xml:space="preserve">proposed to </w:t>
      </w:r>
      <w:r w:rsidR="004D64B6" w:rsidRPr="004D64B6">
        <w:rPr>
          <w:rFonts w:ascii="Arial" w:hAnsi="Arial"/>
          <w:sz w:val="22"/>
          <w:szCs w:val="22"/>
        </w:rPr>
        <w:t xml:space="preserve">establish a reference price for compounded propranolol liquid </w:t>
      </w:r>
      <w:r w:rsidR="004D64B6">
        <w:rPr>
          <w:rFonts w:ascii="Arial" w:hAnsi="Arial"/>
          <w:sz w:val="22"/>
          <w:szCs w:val="22"/>
        </w:rPr>
        <w:t>by conducting</w:t>
      </w:r>
      <w:r w:rsidRPr="00544CB0">
        <w:rPr>
          <w:rFonts w:ascii="Arial" w:hAnsi="Arial"/>
          <w:sz w:val="22"/>
          <w:szCs w:val="22"/>
        </w:rPr>
        <w:t xml:space="preserve"> a</w:t>
      </w:r>
      <w:r w:rsidR="00EF3E64" w:rsidRPr="00544CB0">
        <w:rPr>
          <w:rFonts w:ascii="Arial" w:hAnsi="Arial"/>
          <w:sz w:val="22"/>
          <w:szCs w:val="22"/>
        </w:rPr>
        <w:t xml:space="preserve"> </w:t>
      </w:r>
      <w:r w:rsidRPr="00544CB0">
        <w:rPr>
          <w:rFonts w:ascii="Arial" w:hAnsi="Arial"/>
          <w:sz w:val="22"/>
          <w:szCs w:val="22"/>
        </w:rPr>
        <w:t xml:space="preserve">survey of 131 community pharmacies </w:t>
      </w:r>
      <w:r w:rsidR="004D64B6">
        <w:rPr>
          <w:rFonts w:ascii="Arial" w:hAnsi="Arial"/>
          <w:sz w:val="22"/>
          <w:szCs w:val="22"/>
        </w:rPr>
        <w:t>f</w:t>
      </w:r>
      <w:r w:rsidR="00950CF4" w:rsidRPr="00544CB0">
        <w:rPr>
          <w:rFonts w:ascii="Arial" w:hAnsi="Arial"/>
          <w:sz w:val="22"/>
          <w:szCs w:val="22"/>
        </w:rPr>
        <w:t xml:space="preserve">or a </w:t>
      </w:r>
      <w:r w:rsidR="00544CB0" w:rsidRPr="00544CB0">
        <w:rPr>
          <w:rFonts w:ascii="Arial" w:hAnsi="Arial"/>
          <w:sz w:val="22"/>
          <w:szCs w:val="22"/>
        </w:rPr>
        <w:t>900 mg preparation –</w:t>
      </w:r>
      <w:r w:rsidRPr="00544CB0">
        <w:rPr>
          <w:rFonts w:ascii="Arial" w:hAnsi="Arial"/>
          <w:sz w:val="22"/>
          <w:szCs w:val="22"/>
        </w:rPr>
        <w:t xml:space="preserve"> equivalent</w:t>
      </w:r>
      <w:r w:rsidR="00544CB0" w:rsidRPr="00544CB0">
        <w:rPr>
          <w:rFonts w:ascii="Arial" w:hAnsi="Arial"/>
          <w:sz w:val="22"/>
          <w:szCs w:val="22"/>
        </w:rPr>
        <w:t xml:space="preserve"> </w:t>
      </w:r>
      <w:r w:rsidRPr="00544CB0">
        <w:rPr>
          <w:rFonts w:ascii="Arial" w:hAnsi="Arial"/>
          <w:sz w:val="22"/>
          <w:szCs w:val="22"/>
        </w:rPr>
        <w:t xml:space="preserve"> to </w:t>
      </w:r>
      <w:r w:rsidR="00325C2A" w:rsidRPr="00544CB0">
        <w:rPr>
          <w:rFonts w:ascii="Arial" w:hAnsi="Arial"/>
          <w:sz w:val="22"/>
          <w:szCs w:val="22"/>
        </w:rPr>
        <w:t xml:space="preserve">the amount of propranolol contained in the maximum quantity of  </w:t>
      </w:r>
      <w:proofErr w:type="spellStart"/>
      <w:r w:rsidR="00325C2A" w:rsidRPr="00544CB0">
        <w:rPr>
          <w:rFonts w:ascii="Arial" w:hAnsi="Arial"/>
          <w:sz w:val="22"/>
          <w:szCs w:val="22"/>
        </w:rPr>
        <w:t>Hemangiol</w:t>
      </w:r>
      <w:proofErr w:type="spellEnd"/>
      <w:r w:rsidR="00325C2A" w:rsidRPr="00544CB0">
        <w:rPr>
          <w:rFonts w:ascii="Arial" w:hAnsi="Arial"/>
          <w:sz w:val="22"/>
          <w:szCs w:val="22"/>
        </w:rPr>
        <w:t xml:space="preserve"> (2 bottles of 120 mL, 3.75 mg/mL)</w:t>
      </w:r>
      <w:r w:rsidRPr="00544CB0">
        <w:rPr>
          <w:rFonts w:ascii="Arial" w:hAnsi="Arial"/>
          <w:sz w:val="22"/>
          <w:szCs w:val="22"/>
        </w:rPr>
        <w:t xml:space="preserve">. </w:t>
      </w:r>
    </w:p>
    <w:p w:rsidR="003C7ADB" w:rsidRPr="003C7ADB" w:rsidRDefault="003C7ADB" w:rsidP="003C7ADB">
      <w:pPr>
        <w:jc w:val="both"/>
        <w:rPr>
          <w:rFonts w:ascii="Arial" w:hAnsi="Arial"/>
          <w:sz w:val="22"/>
          <w:szCs w:val="22"/>
        </w:rPr>
      </w:pPr>
    </w:p>
    <w:p w:rsidR="006B1814" w:rsidRPr="006B1814" w:rsidRDefault="006B1814" w:rsidP="006B1814">
      <w:pPr>
        <w:pStyle w:val="ListParagraph"/>
        <w:numPr>
          <w:ilvl w:val="1"/>
          <w:numId w:val="25"/>
        </w:numPr>
        <w:rPr>
          <w:rFonts w:ascii="Arial" w:hAnsi="Arial"/>
          <w:sz w:val="22"/>
          <w:szCs w:val="22"/>
        </w:rPr>
      </w:pPr>
      <w:r>
        <w:rPr>
          <w:rFonts w:ascii="Arial" w:hAnsi="Arial"/>
          <w:sz w:val="22"/>
          <w:szCs w:val="22"/>
        </w:rPr>
        <w:t xml:space="preserve">The re-submission’s requested </w:t>
      </w:r>
      <w:r w:rsidRPr="006B1814">
        <w:rPr>
          <w:rFonts w:ascii="Arial" w:hAnsi="Arial"/>
          <w:sz w:val="22"/>
          <w:szCs w:val="22"/>
        </w:rPr>
        <w:t>price of $</w:t>
      </w:r>
      <w:r w:rsidR="00CB285D">
        <w:rPr>
          <w:rFonts w:ascii="Arial" w:hAnsi="Arial"/>
          <w:noProof/>
          <w:color w:val="000000"/>
          <w:sz w:val="22"/>
          <w:szCs w:val="22"/>
          <w:highlight w:val="black"/>
        </w:rPr>
        <w:t>'''''''''''''''</w:t>
      </w:r>
      <w:r w:rsidRPr="006B1814">
        <w:rPr>
          <w:rFonts w:ascii="Arial" w:hAnsi="Arial"/>
          <w:sz w:val="22"/>
          <w:szCs w:val="22"/>
        </w:rPr>
        <w:t xml:space="preserve"> (DPMQ) </w:t>
      </w:r>
      <w:r>
        <w:rPr>
          <w:rFonts w:ascii="Arial" w:hAnsi="Arial"/>
          <w:sz w:val="22"/>
          <w:szCs w:val="22"/>
        </w:rPr>
        <w:t>was based on the average price for a 900 mg preparation of compounded propranolol liquid ($</w:t>
      </w:r>
      <w:r w:rsidR="00CB285D">
        <w:rPr>
          <w:rFonts w:ascii="Arial" w:hAnsi="Arial"/>
          <w:noProof/>
          <w:color w:val="000000"/>
          <w:sz w:val="22"/>
          <w:szCs w:val="22"/>
          <w:highlight w:val="black"/>
        </w:rPr>
        <w:t>'''''''''''''''''</w:t>
      </w:r>
      <w:r>
        <w:rPr>
          <w:rFonts w:ascii="Arial" w:hAnsi="Arial"/>
          <w:sz w:val="22"/>
          <w:szCs w:val="22"/>
        </w:rPr>
        <w:t xml:space="preserve">) plus a premium factor </w:t>
      </w:r>
      <w:r w:rsidRPr="00984540">
        <w:rPr>
          <w:rFonts w:ascii="Arial" w:hAnsi="Arial"/>
          <w:sz w:val="22"/>
          <w:szCs w:val="22"/>
        </w:rPr>
        <w:t>of two</w:t>
      </w:r>
      <w:r>
        <w:rPr>
          <w:rFonts w:ascii="Arial" w:hAnsi="Arial"/>
          <w:sz w:val="22"/>
          <w:szCs w:val="22"/>
        </w:rPr>
        <w:t>.</w:t>
      </w:r>
      <w:r w:rsidR="00CB285D">
        <w:rPr>
          <w:rFonts w:ascii="Arial" w:hAnsi="Arial"/>
          <w:sz w:val="22"/>
          <w:szCs w:val="22"/>
        </w:rPr>
        <w:t xml:space="preserve"> </w:t>
      </w:r>
    </w:p>
    <w:p w:rsidR="006B1814" w:rsidRPr="006B1814" w:rsidRDefault="006B1814" w:rsidP="006B1814">
      <w:pPr>
        <w:pStyle w:val="ListParagraph"/>
        <w:jc w:val="both"/>
        <w:rPr>
          <w:rFonts w:ascii="Arial" w:hAnsi="Arial"/>
          <w:sz w:val="22"/>
          <w:szCs w:val="22"/>
        </w:rPr>
      </w:pPr>
    </w:p>
    <w:p w:rsidR="004C787D" w:rsidRDefault="00544CB0" w:rsidP="009B1B34">
      <w:pPr>
        <w:pStyle w:val="ListParagraph"/>
        <w:numPr>
          <w:ilvl w:val="1"/>
          <w:numId w:val="25"/>
        </w:numPr>
        <w:jc w:val="both"/>
        <w:rPr>
          <w:rFonts w:ascii="Arial" w:hAnsi="Arial"/>
          <w:sz w:val="22"/>
          <w:szCs w:val="22"/>
        </w:rPr>
      </w:pPr>
      <w:r>
        <w:rPr>
          <w:rFonts w:ascii="Arial" w:hAnsi="Arial"/>
          <w:sz w:val="22"/>
          <w:szCs w:val="22"/>
        </w:rPr>
        <w:t xml:space="preserve">The Department </w:t>
      </w:r>
      <w:r w:rsidR="0013707F">
        <w:rPr>
          <w:rFonts w:ascii="Arial" w:hAnsi="Arial"/>
          <w:sz w:val="22"/>
          <w:szCs w:val="22"/>
        </w:rPr>
        <w:t>explored a</w:t>
      </w:r>
      <w:r w:rsidR="00AD5226" w:rsidRPr="00AD5226">
        <w:rPr>
          <w:rFonts w:ascii="Arial" w:hAnsi="Arial"/>
          <w:sz w:val="22"/>
          <w:szCs w:val="22"/>
        </w:rPr>
        <w:t xml:space="preserve">n alternative </w:t>
      </w:r>
      <w:r w:rsidR="00F97ED7">
        <w:rPr>
          <w:rFonts w:ascii="Arial" w:hAnsi="Arial"/>
          <w:sz w:val="22"/>
          <w:szCs w:val="22"/>
        </w:rPr>
        <w:t xml:space="preserve">weighting </w:t>
      </w:r>
      <w:r w:rsidR="00AD5226" w:rsidRPr="00AD5226">
        <w:rPr>
          <w:rFonts w:ascii="Arial" w:hAnsi="Arial"/>
          <w:sz w:val="22"/>
          <w:szCs w:val="22"/>
        </w:rPr>
        <w:t xml:space="preserve">method to </w:t>
      </w:r>
      <w:r w:rsidR="00F97ED7">
        <w:rPr>
          <w:rFonts w:ascii="Arial" w:hAnsi="Arial"/>
          <w:sz w:val="22"/>
          <w:szCs w:val="22"/>
        </w:rPr>
        <w:t>determine</w:t>
      </w:r>
      <w:r w:rsidR="00AD5226" w:rsidRPr="00AD5226">
        <w:rPr>
          <w:rFonts w:ascii="Arial" w:hAnsi="Arial"/>
          <w:sz w:val="22"/>
          <w:szCs w:val="22"/>
        </w:rPr>
        <w:t xml:space="preserve"> </w:t>
      </w:r>
      <w:r w:rsidR="00C967CE">
        <w:rPr>
          <w:rFonts w:ascii="Arial" w:hAnsi="Arial"/>
          <w:sz w:val="22"/>
          <w:szCs w:val="22"/>
        </w:rPr>
        <w:t>a</w:t>
      </w:r>
      <w:r w:rsidR="0014786A" w:rsidRPr="00AD5226">
        <w:rPr>
          <w:rFonts w:ascii="Arial" w:hAnsi="Arial"/>
          <w:sz w:val="22"/>
          <w:szCs w:val="22"/>
        </w:rPr>
        <w:t xml:space="preserve"> </w:t>
      </w:r>
      <w:r w:rsidR="00AD5226" w:rsidRPr="00AD5226">
        <w:rPr>
          <w:rFonts w:ascii="Arial" w:hAnsi="Arial"/>
          <w:sz w:val="22"/>
          <w:szCs w:val="22"/>
        </w:rPr>
        <w:t xml:space="preserve">price </w:t>
      </w:r>
      <w:r w:rsidR="00C967CE">
        <w:rPr>
          <w:rFonts w:ascii="Arial" w:hAnsi="Arial"/>
          <w:sz w:val="22"/>
          <w:szCs w:val="22"/>
        </w:rPr>
        <w:t xml:space="preserve">for </w:t>
      </w:r>
      <w:proofErr w:type="spellStart"/>
      <w:r w:rsidR="00F97ED7">
        <w:rPr>
          <w:rFonts w:ascii="Arial" w:hAnsi="Arial"/>
          <w:sz w:val="22"/>
          <w:szCs w:val="22"/>
        </w:rPr>
        <w:t>Heman</w:t>
      </w:r>
      <w:r w:rsidR="0052072C">
        <w:rPr>
          <w:rFonts w:ascii="Arial" w:hAnsi="Arial"/>
          <w:sz w:val="22"/>
          <w:szCs w:val="22"/>
        </w:rPr>
        <w:t>g</w:t>
      </w:r>
      <w:r w:rsidR="00F97ED7">
        <w:rPr>
          <w:rFonts w:ascii="Arial" w:hAnsi="Arial"/>
          <w:sz w:val="22"/>
          <w:szCs w:val="22"/>
        </w:rPr>
        <w:t>i</w:t>
      </w:r>
      <w:r w:rsidR="0052072C">
        <w:rPr>
          <w:rFonts w:ascii="Arial" w:hAnsi="Arial"/>
          <w:sz w:val="22"/>
          <w:szCs w:val="22"/>
        </w:rPr>
        <w:t>ol</w:t>
      </w:r>
      <w:proofErr w:type="spellEnd"/>
      <w:r w:rsidR="00F97ED7">
        <w:rPr>
          <w:rFonts w:ascii="Arial" w:hAnsi="Arial"/>
          <w:sz w:val="22"/>
          <w:szCs w:val="22"/>
        </w:rPr>
        <w:t xml:space="preserve">. </w:t>
      </w:r>
      <w:r>
        <w:rPr>
          <w:rFonts w:ascii="Arial" w:hAnsi="Arial"/>
          <w:sz w:val="22"/>
          <w:szCs w:val="22"/>
        </w:rPr>
        <w:t>This method assumed the following</w:t>
      </w:r>
      <w:r w:rsidR="004C787D">
        <w:rPr>
          <w:rFonts w:ascii="Arial" w:hAnsi="Arial"/>
          <w:sz w:val="22"/>
          <w:szCs w:val="22"/>
        </w:rPr>
        <w:t xml:space="preserve">: </w:t>
      </w:r>
    </w:p>
    <w:p w:rsidR="00F97ED7" w:rsidRDefault="00D04806" w:rsidP="00A464E1">
      <w:pPr>
        <w:pStyle w:val="Header"/>
        <w:numPr>
          <w:ilvl w:val="0"/>
          <w:numId w:val="47"/>
        </w:numPr>
        <w:tabs>
          <w:tab w:val="clear" w:pos="4153"/>
          <w:tab w:val="clear" w:pos="8306"/>
        </w:tabs>
        <w:jc w:val="both"/>
        <w:rPr>
          <w:rFonts w:ascii="Arial" w:hAnsi="Arial"/>
          <w:sz w:val="22"/>
          <w:szCs w:val="22"/>
        </w:rPr>
      </w:pPr>
      <w:r>
        <w:rPr>
          <w:rFonts w:ascii="Arial" w:hAnsi="Arial"/>
          <w:sz w:val="22"/>
          <w:szCs w:val="22"/>
        </w:rPr>
        <w:t>the</w:t>
      </w:r>
      <w:r w:rsidR="00265F34">
        <w:rPr>
          <w:rFonts w:ascii="Arial" w:hAnsi="Arial"/>
          <w:sz w:val="22"/>
          <w:szCs w:val="22"/>
        </w:rPr>
        <w:t xml:space="preserve"> </w:t>
      </w:r>
      <w:r w:rsidR="00E33001">
        <w:rPr>
          <w:rFonts w:ascii="Arial" w:hAnsi="Arial"/>
          <w:sz w:val="22"/>
          <w:szCs w:val="22"/>
        </w:rPr>
        <w:t xml:space="preserve">price of </w:t>
      </w:r>
      <w:proofErr w:type="spellStart"/>
      <w:r w:rsidR="00265F34">
        <w:rPr>
          <w:rFonts w:ascii="Arial" w:hAnsi="Arial"/>
          <w:sz w:val="22"/>
          <w:szCs w:val="22"/>
        </w:rPr>
        <w:t>Auspman</w:t>
      </w:r>
      <w:proofErr w:type="spellEnd"/>
      <w:r w:rsidR="00E33001">
        <w:rPr>
          <w:rFonts w:ascii="Arial" w:hAnsi="Arial"/>
          <w:sz w:val="22"/>
          <w:szCs w:val="22"/>
        </w:rPr>
        <w:t xml:space="preserve"> oral solution</w:t>
      </w:r>
      <w:r w:rsidR="00265F34">
        <w:rPr>
          <w:rFonts w:ascii="Arial" w:hAnsi="Arial"/>
          <w:sz w:val="22"/>
          <w:szCs w:val="22"/>
        </w:rPr>
        <w:t xml:space="preserve"> </w:t>
      </w:r>
      <w:r w:rsidR="00925458">
        <w:rPr>
          <w:rFonts w:ascii="Arial" w:hAnsi="Arial"/>
          <w:sz w:val="22"/>
          <w:szCs w:val="22"/>
        </w:rPr>
        <w:t xml:space="preserve">as </w:t>
      </w:r>
      <w:r w:rsidR="00265F34">
        <w:rPr>
          <w:rFonts w:ascii="Arial" w:hAnsi="Arial"/>
          <w:sz w:val="22"/>
          <w:szCs w:val="22"/>
        </w:rPr>
        <w:t>quoted in the original submission</w:t>
      </w:r>
      <w:r w:rsidR="00F97ED7">
        <w:rPr>
          <w:rFonts w:ascii="Arial" w:hAnsi="Arial"/>
          <w:sz w:val="22"/>
          <w:szCs w:val="22"/>
        </w:rPr>
        <w:t>;</w:t>
      </w:r>
    </w:p>
    <w:p w:rsidR="004C787D" w:rsidRDefault="00F97ED7" w:rsidP="00A464E1">
      <w:pPr>
        <w:pStyle w:val="Header"/>
        <w:numPr>
          <w:ilvl w:val="0"/>
          <w:numId w:val="47"/>
        </w:numPr>
        <w:tabs>
          <w:tab w:val="clear" w:pos="4153"/>
          <w:tab w:val="clear" w:pos="8306"/>
        </w:tabs>
        <w:jc w:val="both"/>
        <w:rPr>
          <w:rFonts w:ascii="Arial" w:hAnsi="Arial"/>
          <w:sz w:val="22"/>
          <w:szCs w:val="22"/>
        </w:rPr>
      </w:pPr>
      <w:r>
        <w:rPr>
          <w:rFonts w:ascii="Arial" w:hAnsi="Arial"/>
          <w:sz w:val="22"/>
          <w:szCs w:val="22"/>
        </w:rPr>
        <w:t xml:space="preserve">the </w:t>
      </w:r>
      <w:r w:rsidR="00D04806">
        <w:rPr>
          <w:rFonts w:ascii="Arial" w:hAnsi="Arial"/>
          <w:sz w:val="22"/>
          <w:szCs w:val="22"/>
        </w:rPr>
        <w:t xml:space="preserve">average </w:t>
      </w:r>
      <w:r w:rsidR="00265F34">
        <w:rPr>
          <w:rFonts w:ascii="Arial" w:hAnsi="Arial"/>
          <w:sz w:val="22"/>
          <w:szCs w:val="22"/>
        </w:rPr>
        <w:t xml:space="preserve">price of </w:t>
      </w:r>
      <w:r w:rsidR="00D04806">
        <w:rPr>
          <w:rFonts w:ascii="Arial" w:hAnsi="Arial"/>
          <w:sz w:val="22"/>
          <w:szCs w:val="22"/>
        </w:rPr>
        <w:t>compounded propranolol liquid</w:t>
      </w:r>
      <w:r w:rsidR="00265F34">
        <w:rPr>
          <w:rFonts w:ascii="Arial" w:hAnsi="Arial"/>
          <w:sz w:val="22"/>
          <w:szCs w:val="22"/>
        </w:rPr>
        <w:t xml:space="preserve"> </w:t>
      </w:r>
      <w:r w:rsidR="0014786A">
        <w:rPr>
          <w:rFonts w:ascii="Arial" w:hAnsi="Arial"/>
          <w:sz w:val="22"/>
          <w:szCs w:val="22"/>
        </w:rPr>
        <w:t xml:space="preserve">as </w:t>
      </w:r>
      <w:r>
        <w:rPr>
          <w:rFonts w:ascii="Arial" w:hAnsi="Arial"/>
          <w:sz w:val="22"/>
          <w:szCs w:val="22"/>
        </w:rPr>
        <w:t xml:space="preserve">calculated </w:t>
      </w:r>
      <w:r w:rsidR="00265F34">
        <w:rPr>
          <w:rFonts w:ascii="Arial" w:hAnsi="Arial"/>
          <w:sz w:val="22"/>
          <w:szCs w:val="22"/>
        </w:rPr>
        <w:t>in the re-submission</w:t>
      </w:r>
      <w:r w:rsidR="004C787D">
        <w:rPr>
          <w:rFonts w:ascii="Arial" w:hAnsi="Arial"/>
          <w:sz w:val="22"/>
          <w:szCs w:val="22"/>
        </w:rPr>
        <w:t>;</w:t>
      </w:r>
    </w:p>
    <w:p w:rsidR="005974CD" w:rsidRDefault="00D04806" w:rsidP="005974CD">
      <w:pPr>
        <w:pStyle w:val="Header"/>
        <w:numPr>
          <w:ilvl w:val="0"/>
          <w:numId w:val="47"/>
        </w:numPr>
        <w:tabs>
          <w:tab w:val="clear" w:pos="4153"/>
          <w:tab w:val="clear" w:pos="8306"/>
        </w:tabs>
        <w:jc w:val="both"/>
        <w:rPr>
          <w:rFonts w:ascii="Arial" w:hAnsi="Arial"/>
          <w:sz w:val="22"/>
          <w:szCs w:val="22"/>
        </w:rPr>
      </w:pPr>
      <w:r>
        <w:rPr>
          <w:rFonts w:ascii="Arial" w:hAnsi="Arial"/>
          <w:sz w:val="22"/>
          <w:szCs w:val="22"/>
        </w:rPr>
        <w:t xml:space="preserve">weightings </w:t>
      </w:r>
      <w:r w:rsidR="006D07BD">
        <w:rPr>
          <w:rFonts w:ascii="Arial" w:hAnsi="Arial"/>
          <w:sz w:val="22"/>
          <w:szCs w:val="22"/>
        </w:rPr>
        <w:t xml:space="preserve"> </w:t>
      </w:r>
      <w:r w:rsidR="004E3968">
        <w:rPr>
          <w:rFonts w:ascii="Arial" w:hAnsi="Arial"/>
          <w:sz w:val="22"/>
          <w:szCs w:val="22"/>
        </w:rPr>
        <w:t xml:space="preserve">based on the </w:t>
      </w:r>
      <w:r w:rsidR="00DD69A3">
        <w:rPr>
          <w:rFonts w:ascii="Arial" w:hAnsi="Arial"/>
          <w:sz w:val="22"/>
          <w:szCs w:val="22"/>
        </w:rPr>
        <w:t>advice</w:t>
      </w:r>
      <w:r w:rsidR="006D07BD">
        <w:rPr>
          <w:rFonts w:ascii="Arial" w:hAnsi="Arial"/>
          <w:sz w:val="22"/>
          <w:szCs w:val="22"/>
        </w:rPr>
        <w:t xml:space="preserve"> in the re-submission </w:t>
      </w:r>
      <w:r w:rsidR="00F0555A">
        <w:rPr>
          <w:rFonts w:ascii="Arial" w:hAnsi="Arial"/>
          <w:sz w:val="22"/>
          <w:szCs w:val="22"/>
        </w:rPr>
        <w:t xml:space="preserve">that </w:t>
      </w:r>
      <w:r w:rsidR="00925458">
        <w:rPr>
          <w:rFonts w:ascii="Arial" w:hAnsi="Arial"/>
          <w:sz w:val="22"/>
          <w:szCs w:val="22"/>
        </w:rPr>
        <w:t xml:space="preserve">the continued </w:t>
      </w:r>
      <w:r w:rsidR="00F0555A">
        <w:rPr>
          <w:rFonts w:ascii="Arial" w:hAnsi="Arial"/>
          <w:sz w:val="22"/>
          <w:szCs w:val="22"/>
        </w:rPr>
        <w:t xml:space="preserve">dispensing of propranolol liquid </w:t>
      </w:r>
      <w:r w:rsidR="00F97ED7">
        <w:rPr>
          <w:rFonts w:ascii="Arial" w:hAnsi="Arial"/>
          <w:sz w:val="22"/>
          <w:szCs w:val="22"/>
        </w:rPr>
        <w:t>was</w:t>
      </w:r>
      <w:r w:rsidR="00F0555A">
        <w:rPr>
          <w:rFonts w:ascii="Arial" w:hAnsi="Arial"/>
          <w:sz w:val="22"/>
          <w:szCs w:val="22"/>
        </w:rPr>
        <w:t xml:space="preserve"> likely to be from </w:t>
      </w:r>
      <w:r w:rsidR="00925458">
        <w:rPr>
          <w:rFonts w:ascii="Arial" w:hAnsi="Arial"/>
          <w:sz w:val="22"/>
          <w:szCs w:val="22"/>
        </w:rPr>
        <w:t xml:space="preserve">a </w:t>
      </w:r>
      <w:r w:rsidR="00F0555A">
        <w:rPr>
          <w:rFonts w:ascii="Arial" w:hAnsi="Arial"/>
          <w:sz w:val="22"/>
          <w:szCs w:val="22"/>
        </w:rPr>
        <w:t xml:space="preserve">community pharmacy setting </w:t>
      </w:r>
      <w:r w:rsidR="0014786A">
        <w:rPr>
          <w:rFonts w:ascii="Arial" w:hAnsi="Arial"/>
          <w:sz w:val="22"/>
          <w:szCs w:val="22"/>
        </w:rPr>
        <w:t xml:space="preserve">(91%) </w:t>
      </w:r>
      <w:r w:rsidR="00925458">
        <w:rPr>
          <w:rFonts w:ascii="Arial" w:hAnsi="Arial"/>
          <w:sz w:val="22"/>
          <w:szCs w:val="22"/>
        </w:rPr>
        <w:t>using compounded</w:t>
      </w:r>
      <w:r w:rsidR="00E33001">
        <w:rPr>
          <w:rFonts w:ascii="Arial" w:hAnsi="Arial"/>
          <w:sz w:val="22"/>
          <w:szCs w:val="22"/>
        </w:rPr>
        <w:t xml:space="preserve"> propranolol</w:t>
      </w:r>
      <w:r w:rsidR="00925458">
        <w:rPr>
          <w:rFonts w:ascii="Arial" w:hAnsi="Arial"/>
          <w:sz w:val="22"/>
          <w:szCs w:val="22"/>
        </w:rPr>
        <w:t xml:space="preserve"> liquid</w:t>
      </w:r>
      <w:r w:rsidR="004C787D">
        <w:rPr>
          <w:rFonts w:ascii="Arial" w:hAnsi="Arial"/>
          <w:sz w:val="22"/>
          <w:szCs w:val="22"/>
        </w:rPr>
        <w:t>,</w:t>
      </w:r>
      <w:r w:rsidR="00925458">
        <w:rPr>
          <w:rFonts w:ascii="Arial" w:hAnsi="Arial"/>
          <w:sz w:val="22"/>
          <w:szCs w:val="22"/>
        </w:rPr>
        <w:t xml:space="preserve"> </w:t>
      </w:r>
      <w:r w:rsidR="00F0555A">
        <w:rPr>
          <w:rFonts w:ascii="Arial" w:hAnsi="Arial"/>
          <w:sz w:val="22"/>
          <w:szCs w:val="22"/>
        </w:rPr>
        <w:t>with the initial script dispe</w:t>
      </w:r>
      <w:r w:rsidR="00DD69A3">
        <w:rPr>
          <w:rFonts w:ascii="Arial" w:hAnsi="Arial"/>
          <w:sz w:val="22"/>
          <w:szCs w:val="22"/>
        </w:rPr>
        <w:t xml:space="preserve">nsed from the hospital pharmacy </w:t>
      </w:r>
      <w:r w:rsidR="00925458">
        <w:rPr>
          <w:rFonts w:ascii="Arial" w:hAnsi="Arial"/>
          <w:sz w:val="22"/>
          <w:szCs w:val="22"/>
        </w:rPr>
        <w:t xml:space="preserve">with the </w:t>
      </w:r>
      <w:proofErr w:type="spellStart"/>
      <w:r w:rsidR="00DD69A3">
        <w:rPr>
          <w:rFonts w:ascii="Arial" w:hAnsi="Arial"/>
          <w:sz w:val="22"/>
          <w:szCs w:val="22"/>
        </w:rPr>
        <w:t>Auspman</w:t>
      </w:r>
      <w:proofErr w:type="spellEnd"/>
      <w:r w:rsidR="00925458">
        <w:rPr>
          <w:rFonts w:ascii="Arial" w:hAnsi="Arial"/>
          <w:sz w:val="22"/>
          <w:szCs w:val="22"/>
        </w:rPr>
        <w:t xml:space="preserve"> solution</w:t>
      </w:r>
      <w:r w:rsidR="0014786A">
        <w:rPr>
          <w:rFonts w:ascii="Arial" w:hAnsi="Arial"/>
          <w:sz w:val="22"/>
          <w:szCs w:val="22"/>
        </w:rPr>
        <w:t xml:space="preserve"> (9%)</w:t>
      </w:r>
      <w:r w:rsidR="00E33001">
        <w:rPr>
          <w:rFonts w:ascii="Arial" w:hAnsi="Arial"/>
          <w:sz w:val="22"/>
          <w:szCs w:val="22"/>
        </w:rPr>
        <w:t>;</w:t>
      </w:r>
    </w:p>
    <w:p w:rsidR="008264A1" w:rsidRDefault="00E33001" w:rsidP="005974CD">
      <w:pPr>
        <w:pStyle w:val="Header"/>
        <w:numPr>
          <w:ilvl w:val="0"/>
          <w:numId w:val="47"/>
        </w:numPr>
        <w:tabs>
          <w:tab w:val="clear" w:pos="4153"/>
          <w:tab w:val="clear" w:pos="8306"/>
        </w:tabs>
        <w:jc w:val="both"/>
        <w:rPr>
          <w:rFonts w:ascii="Arial" w:hAnsi="Arial"/>
          <w:sz w:val="22"/>
          <w:szCs w:val="22"/>
        </w:rPr>
      </w:pPr>
      <w:proofErr w:type="gramStart"/>
      <w:r>
        <w:rPr>
          <w:rFonts w:ascii="Arial" w:hAnsi="Arial"/>
          <w:sz w:val="22"/>
          <w:szCs w:val="22"/>
        </w:rPr>
        <w:t>average</w:t>
      </w:r>
      <w:proofErr w:type="gramEnd"/>
      <w:r>
        <w:rPr>
          <w:rFonts w:ascii="Arial" w:hAnsi="Arial"/>
          <w:sz w:val="22"/>
          <w:szCs w:val="22"/>
        </w:rPr>
        <w:t xml:space="preserve"> </w:t>
      </w:r>
      <w:r w:rsidR="00962A0F" w:rsidRPr="005974CD">
        <w:rPr>
          <w:rFonts w:ascii="Arial" w:hAnsi="Arial"/>
          <w:sz w:val="22"/>
          <w:szCs w:val="22"/>
        </w:rPr>
        <w:t>patient would</w:t>
      </w:r>
      <w:r w:rsidR="004C787D" w:rsidRPr="005974CD">
        <w:rPr>
          <w:rFonts w:ascii="Arial" w:hAnsi="Arial"/>
          <w:sz w:val="22"/>
          <w:szCs w:val="22"/>
        </w:rPr>
        <w:t xml:space="preserve"> require 10 bottles of 450 mg per treatment cycle (or total propranolol content of 4,500 mg).</w:t>
      </w:r>
    </w:p>
    <w:p w:rsidR="00E33001" w:rsidRDefault="00E33001" w:rsidP="00E33001">
      <w:pPr>
        <w:pStyle w:val="Header"/>
        <w:tabs>
          <w:tab w:val="clear" w:pos="4153"/>
          <w:tab w:val="clear" w:pos="8306"/>
        </w:tabs>
        <w:jc w:val="both"/>
        <w:rPr>
          <w:rFonts w:ascii="Arial" w:hAnsi="Arial"/>
          <w:sz w:val="22"/>
          <w:szCs w:val="22"/>
        </w:rPr>
      </w:pPr>
    </w:p>
    <w:p w:rsidR="004C787D" w:rsidRDefault="00D04806" w:rsidP="009B1B34">
      <w:pPr>
        <w:pStyle w:val="ListParagraph"/>
        <w:numPr>
          <w:ilvl w:val="1"/>
          <w:numId w:val="25"/>
        </w:numPr>
        <w:jc w:val="both"/>
        <w:rPr>
          <w:rFonts w:ascii="Arial" w:hAnsi="Arial"/>
          <w:sz w:val="22"/>
          <w:szCs w:val="22"/>
        </w:rPr>
      </w:pPr>
      <w:r>
        <w:rPr>
          <w:rFonts w:ascii="Arial" w:hAnsi="Arial"/>
          <w:sz w:val="22"/>
          <w:szCs w:val="22"/>
        </w:rPr>
        <w:t xml:space="preserve">The </w:t>
      </w:r>
      <w:r w:rsidR="00902CC7">
        <w:rPr>
          <w:rFonts w:ascii="Arial" w:hAnsi="Arial"/>
          <w:sz w:val="22"/>
          <w:szCs w:val="22"/>
        </w:rPr>
        <w:t>alternative</w:t>
      </w:r>
      <w:r w:rsidR="00220588">
        <w:rPr>
          <w:rFonts w:ascii="Arial" w:hAnsi="Arial"/>
          <w:sz w:val="22"/>
          <w:szCs w:val="22"/>
        </w:rPr>
        <w:t xml:space="preserve"> method</w:t>
      </w:r>
      <w:r w:rsidR="009E1670">
        <w:rPr>
          <w:rFonts w:ascii="Arial" w:hAnsi="Arial"/>
          <w:sz w:val="22"/>
          <w:szCs w:val="22"/>
        </w:rPr>
        <w:t xml:space="preserve"> </w:t>
      </w:r>
      <w:r w:rsidR="00220588">
        <w:rPr>
          <w:rFonts w:ascii="Arial" w:hAnsi="Arial"/>
          <w:sz w:val="22"/>
          <w:szCs w:val="22"/>
        </w:rPr>
        <w:t xml:space="preserve">results </w:t>
      </w:r>
      <w:r w:rsidR="00C967CE">
        <w:rPr>
          <w:rFonts w:ascii="Arial" w:hAnsi="Arial"/>
          <w:sz w:val="22"/>
          <w:szCs w:val="22"/>
        </w:rPr>
        <w:t>in</w:t>
      </w:r>
      <w:r w:rsidR="00220588">
        <w:rPr>
          <w:rFonts w:ascii="Arial" w:hAnsi="Arial"/>
          <w:sz w:val="22"/>
          <w:szCs w:val="22"/>
        </w:rPr>
        <w:t xml:space="preserve"> a</w:t>
      </w:r>
      <w:r w:rsidR="00093FD0">
        <w:rPr>
          <w:rFonts w:ascii="Arial" w:hAnsi="Arial"/>
          <w:sz w:val="22"/>
          <w:szCs w:val="22"/>
        </w:rPr>
        <w:t xml:space="preserve"> </w:t>
      </w:r>
      <w:r w:rsidR="008D14E7">
        <w:rPr>
          <w:rFonts w:ascii="Arial" w:hAnsi="Arial"/>
          <w:sz w:val="22"/>
          <w:szCs w:val="22"/>
        </w:rPr>
        <w:t xml:space="preserve">weighted price/mg </w:t>
      </w:r>
      <w:r w:rsidR="00300FEF">
        <w:rPr>
          <w:rFonts w:ascii="Arial" w:hAnsi="Arial"/>
          <w:sz w:val="22"/>
          <w:szCs w:val="22"/>
        </w:rPr>
        <w:t xml:space="preserve">for </w:t>
      </w:r>
      <w:proofErr w:type="spellStart"/>
      <w:r w:rsidR="00093FD0">
        <w:rPr>
          <w:rFonts w:ascii="Arial" w:hAnsi="Arial"/>
          <w:sz w:val="22"/>
          <w:szCs w:val="22"/>
        </w:rPr>
        <w:t>Hemangiol</w:t>
      </w:r>
      <w:proofErr w:type="spellEnd"/>
      <w:r w:rsidR="00093FD0">
        <w:rPr>
          <w:rFonts w:ascii="Arial" w:hAnsi="Arial"/>
          <w:sz w:val="22"/>
          <w:szCs w:val="22"/>
        </w:rPr>
        <w:t xml:space="preserve"> </w:t>
      </w:r>
      <w:r w:rsidR="00C967CE">
        <w:rPr>
          <w:rFonts w:ascii="Arial" w:hAnsi="Arial"/>
          <w:sz w:val="22"/>
          <w:szCs w:val="22"/>
        </w:rPr>
        <w:t>that is around</w:t>
      </w:r>
      <w:r w:rsidR="00E33001">
        <w:rPr>
          <w:rFonts w:ascii="Arial" w:hAnsi="Arial"/>
          <w:sz w:val="22"/>
          <w:szCs w:val="22"/>
        </w:rPr>
        <w:t xml:space="preserve"> </w:t>
      </w:r>
      <w:r w:rsidR="009406EA">
        <w:rPr>
          <w:rFonts w:ascii="Arial" w:hAnsi="Arial"/>
          <w:sz w:val="22"/>
          <w:szCs w:val="22"/>
        </w:rPr>
        <w:t xml:space="preserve">double </w:t>
      </w:r>
      <w:r w:rsidR="00C967CE">
        <w:rPr>
          <w:rFonts w:ascii="Arial" w:hAnsi="Arial"/>
          <w:sz w:val="22"/>
          <w:szCs w:val="22"/>
        </w:rPr>
        <w:t xml:space="preserve">to </w:t>
      </w:r>
      <w:r w:rsidR="009406EA">
        <w:rPr>
          <w:rFonts w:ascii="Arial" w:hAnsi="Arial"/>
          <w:sz w:val="22"/>
          <w:szCs w:val="22"/>
        </w:rPr>
        <w:t>the cost-minimised price</w:t>
      </w:r>
      <w:r w:rsidR="00E33001">
        <w:rPr>
          <w:rFonts w:ascii="Arial" w:hAnsi="Arial"/>
          <w:sz w:val="22"/>
          <w:szCs w:val="22"/>
        </w:rPr>
        <w:t xml:space="preserve"> of</w:t>
      </w:r>
      <w:r w:rsidR="004C787D">
        <w:rPr>
          <w:rFonts w:ascii="Arial" w:hAnsi="Arial"/>
          <w:sz w:val="22"/>
          <w:szCs w:val="22"/>
        </w:rPr>
        <w:t xml:space="preserve"> the</w:t>
      </w:r>
      <w:r w:rsidR="009406EA">
        <w:rPr>
          <w:rFonts w:ascii="Arial" w:hAnsi="Arial"/>
          <w:sz w:val="22"/>
          <w:szCs w:val="22"/>
        </w:rPr>
        <w:t xml:space="preserve"> March</w:t>
      </w:r>
      <w:r w:rsidR="004C787D">
        <w:rPr>
          <w:rFonts w:ascii="Arial" w:hAnsi="Arial"/>
          <w:sz w:val="22"/>
          <w:szCs w:val="22"/>
        </w:rPr>
        <w:t xml:space="preserve"> </w:t>
      </w:r>
      <w:r w:rsidR="009406EA">
        <w:rPr>
          <w:rFonts w:ascii="Arial" w:hAnsi="Arial"/>
          <w:sz w:val="22"/>
          <w:szCs w:val="22"/>
        </w:rPr>
        <w:t>recommendation.</w:t>
      </w:r>
      <w:r w:rsidR="00CB285D">
        <w:rPr>
          <w:rFonts w:ascii="Arial" w:hAnsi="Arial"/>
          <w:sz w:val="22"/>
          <w:szCs w:val="22"/>
        </w:rPr>
        <w:t xml:space="preserve"> </w:t>
      </w:r>
    </w:p>
    <w:p w:rsidR="004C787D" w:rsidRDefault="004C787D" w:rsidP="00D04806">
      <w:pPr>
        <w:pStyle w:val="Header"/>
        <w:tabs>
          <w:tab w:val="clear" w:pos="4153"/>
          <w:tab w:val="clear" w:pos="8306"/>
        </w:tabs>
        <w:ind w:left="720" w:hanging="720"/>
        <w:jc w:val="both"/>
        <w:rPr>
          <w:rFonts w:ascii="Arial" w:hAnsi="Arial"/>
          <w:sz w:val="22"/>
          <w:szCs w:val="22"/>
        </w:rPr>
      </w:pPr>
    </w:p>
    <w:p w:rsidR="004C787D" w:rsidRDefault="00D04806" w:rsidP="009B1B34">
      <w:pPr>
        <w:pStyle w:val="ListParagraph"/>
        <w:numPr>
          <w:ilvl w:val="1"/>
          <w:numId w:val="25"/>
        </w:numPr>
        <w:jc w:val="both"/>
        <w:rPr>
          <w:rFonts w:ascii="Arial" w:hAnsi="Arial"/>
          <w:sz w:val="22"/>
          <w:szCs w:val="22"/>
        </w:rPr>
      </w:pPr>
      <w:r>
        <w:rPr>
          <w:rFonts w:ascii="Arial" w:hAnsi="Arial"/>
          <w:sz w:val="22"/>
          <w:szCs w:val="22"/>
        </w:rPr>
        <w:t xml:space="preserve">The </w:t>
      </w:r>
      <w:r w:rsidR="004C787D">
        <w:rPr>
          <w:rFonts w:ascii="Arial" w:hAnsi="Arial"/>
          <w:sz w:val="22"/>
          <w:szCs w:val="22"/>
        </w:rPr>
        <w:t xml:space="preserve">proposed </w:t>
      </w:r>
      <w:r w:rsidR="00582577">
        <w:rPr>
          <w:rFonts w:ascii="Arial" w:hAnsi="Arial"/>
          <w:sz w:val="22"/>
          <w:szCs w:val="22"/>
        </w:rPr>
        <w:t xml:space="preserve">DPMQ </w:t>
      </w:r>
      <w:r w:rsidR="004C787D">
        <w:rPr>
          <w:rFonts w:ascii="Arial" w:hAnsi="Arial"/>
          <w:sz w:val="22"/>
          <w:szCs w:val="22"/>
        </w:rPr>
        <w:t>prices for 2 bottles</w:t>
      </w:r>
      <w:r w:rsidR="00582577">
        <w:rPr>
          <w:rFonts w:ascii="Arial" w:hAnsi="Arial"/>
          <w:sz w:val="22"/>
          <w:szCs w:val="22"/>
        </w:rPr>
        <w:t xml:space="preserve"> x 3.75 mg/mL x 120 mL</w:t>
      </w:r>
      <w:r w:rsidR="004C787D">
        <w:rPr>
          <w:rFonts w:ascii="Arial" w:hAnsi="Arial"/>
          <w:sz w:val="22"/>
          <w:szCs w:val="22"/>
        </w:rPr>
        <w:t xml:space="preserve"> (</w:t>
      </w:r>
      <w:r w:rsidR="00582577">
        <w:rPr>
          <w:rFonts w:ascii="Arial" w:hAnsi="Arial"/>
          <w:sz w:val="22"/>
          <w:szCs w:val="22"/>
        </w:rPr>
        <w:t xml:space="preserve">= </w:t>
      </w:r>
      <w:r w:rsidR="004C787D">
        <w:rPr>
          <w:rFonts w:ascii="Arial" w:hAnsi="Arial"/>
          <w:sz w:val="22"/>
          <w:szCs w:val="22"/>
        </w:rPr>
        <w:t>900 mg propranolol) as requested by the sponsor and as calculated by the Department’s alternative method are as follows</w:t>
      </w:r>
      <w:r w:rsidR="006A4C37">
        <w:rPr>
          <w:rFonts w:ascii="Arial" w:hAnsi="Arial"/>
          <w:sz w:val="22"/>
          <w:szCs w:val="22"/>
        </w:rPr>
        <w:t xml:space="preserve"> (updated using 1 July 2015 fees)</w:t>
      </w:r>
      <w:r w:rsidR="004C787D">
        <w:rPr>
          <w:rFonts w:ascii="Arial" w:hAnsi="Arial"/>
          <w:sz w:val="22"/>
          <w:szCs w:val="22"/>
        </w:rPr>
        <w:t>.</w:t>
      </w:r>
    </w:p>
    <w:p w:rsidR="00582577" w:rsidRDefault="00582577" w:rsidP="00A464E1">
      <w:pPr>
        <w:pStyle w:val="Header"/>
        <w:numPr>
          <w:ilvl w:val="0"/>
          <w:numId w:val="48"/>
        </w:numPr>
        <w:tabs>
          <w:tab w:val="clear" w:pos="4153"/>
          <w:tab w:val="clear" w:pos="8306"/>
        </w:tabs>
        <w:jc w:val="both"/>
        <w:rPr>
          <w:rFonts w:ascii="Arial" w:hAnsi="Arial"/>
          <w:sz w:val="22"/>
          <w:szCs w:val="22"/>
        </w:rPr>
      </w:pPr>
      <w:r>
        <w:rPr>
          <w:rFonts w:ascii="Arial" w:hAnsi="Arial"/>
          <w:sz w:val="22"/>
          <w:szCs w:val="22"/>
        </w:rPr>
        <w:t>Sponsor:</w:t>
      </w:r>
      <w:r>
        <w:rPr>
          <w:rFonts w:ascii="Arial" w:hAnsi="Arial"/>
          <w:sz w:val="22"/>
          <w:szCs w:val="22"/>
        </w:rPr>
        <w:tab/>
      </w:r>
      <w:r w:rsidRPr="00582577">
        <w:rPr>
          <w:rFonts w:ascii="Arial" w:hAnsi="Arial"/>
          <w:sz w:val="22"/>
          <w:szCs w:val="22"/>
        </w:rPr>
        <w:t>$</w:t>
      </w:r>
      <w:r w:rsidR="00CB285D">
        <w:rPr>
          <w:rFonts w:ascii="Arial" w:hAnsi="Arial"/>
          <w:noProof/>
          <w:color w:val="000000"/>
          <w:sz w:val="22"/>
          <w:szCs w:val="22"/>
          <w:highlight w:val="black"/>
        </w:rPr>
        <w:t>'''''''''''''''</w:t>
      </w:r>
    </w:p>
    <w:p w:rsidR="00582577" w:rsidRDefault="00A464E1" w:rsidP="00A464E1">
      <w:pPr>
        <w:pStyle w:val="Header"/>
        <w:numPr>
          <w:ilvl w:val="0"/>
          <w:numId w:val="48"/>
        </w:numPr>
        <w:tabs>
          <w:tab w:val="clear" w:pos="4153"/>
          <w:tab w:val="clear" w:pos="8306"/>
        </w:tabs>
        <w:jc w:val="both"/>
        <w:rPr>
          <w:rFonts w:ascii="Arial" w:hAnsi="Arial"/>
          <w:sz w:val="22"/>
          <w:szCs w:val="22"/>
        </w:rPr>
      </w:pPr>
      <w:r>
        <w:rPr>
          <w:rFonts w:ascii="Arial" w:hAnsi="Arial"/>
          <w:sz w:val="22"/>
          <w:szCs w:val="22"/>
        </w:rPr>
        <w:t xml:space="preserve">Department: </w:t>
      </w:r>
      <w:r>
        <w:rPr>
          <w:rFonts w:ascii="Arial" w:hAnsi="Arial"/>
          <w:sz w:val="22"/>
          <w:szCs w:val="22"/>
        </w:rPr>
        <w:tab/>
        <w:t>$</w:t>
      </w:r>
      <w:r w:rsidR="00CB285D">
        <w:rPr>
          <w:rFonts w:ascii="Arial" w:hAnsi="Arial"/>
          <w:noProof/>
          <w:color w:val="000000"/>
          <w:sz w:val="22"/>
          <w:szCs w:val="22"/>
          <w:highlight w:val="black"/>
        </w:rPr>
        <w:t>''''''''''''''''''</w:t>
      </w:r>
    </w:p>
    <w:p w:rsidR="004C787D" w:rsidRDefault="004C787D" w:rsidP="00D04806">
      <w:pPr>
        <w:pStyle w:val="Header"/>
        <w:tabs>
          <w:tab w:val="clear" w:pos="4153"/>
          <w:tab w:val="clear" w:pos="8306"/>
        </w:tabs>
        <w:ind w:left="720" w:hanging="720"/>
        <w:jc w:val="both"/>
        <w:rPr>
          <w:rFonts w:ascii="Arial" w:hAnsi="Arial"/>
          <w:sz w:val="22"/>
          <w:szCs w:val="22"/>
        </w:rPr>
      </w:pPr>
    </w:p>
    <w:p w:rsidR="00293023" w:rsidRDefault="003774DA" w:rsidP="009B1B34">
      <w:pPr>
        <w:pStyle w:val="ListParagraph"/>
        <w:numPr>
          <w:ilvl w:val="1"/>
          <w:numId w:val="25"/>
        </w:numPr>
        <w:jc w:val="both"/>
        <w:rPr>
          <w:rFonts w:ascii="Arial" w:hAnsi="Arial"/>
          <w:sz w:val="22"/>
          <w:szCs w:val="22"/>
        </w:rPr>
      </w:pPr>
      <w:r>
        <w:rPr>
          <w:rFonts w:ascii="Arial" w:hAnsi="Arial"/>
          <w:sz w:val="22"/>
          <w:szCs w:val="22"/>
        </w:rPr>
        <w:lastRenderedPageBreak/>
        <w:t>T</w:t>
      </w:r>
      <w:r w:rsidR="00E33001">
        <w:rPr>
          <w:rFonts w:ascii="Arial" w:hAnsi="Arial"/>
          <w:sz w:val="22"/>
          <w:szCs w:val="22"/>
        </w:rPr>
        <w:t xml:space="preserve">he re-submission </w:t>
      </w:r>
      <w:r>
        <w:rPr>
          <w:rFonts w:ascii="Arial" w:hAnsi="Arial"/>
          <w:sz w:val="22"/>
          <w:szCs w:val="22"/>
        </w:rPr>
        <w:t>requested</w:t>
      </w:r>
      <w:r w:rsidR="00293023">
        <w:rPr>
          <w:rFonts w:ascii="Arial" w:hAnsi="Arial"/>
          <w:sz w:val="22"/>
          <w:szCs w:val="22"/>
        </w:rPr>
        <w:t xml:space="preserve"> a </w:t>
      </w:r>
      <w:r w:rsidR="00C967CE">
        <w:rPr>
          <w:rFonts w:ascii="Arial" w:hAnsi="Arial"/>
          <w:sz w:val="22"/>
          <w:szCs w:val="22"/>
        </w:rPr>
        <w:t>Special Pricing Arrangement</w:t>
      </w:r>
      <w:r w:rsidR="003A01AE">
        <w:rPr>
          <w:rFonts w:ascii="Arial" w:hAnsi="Arial"/>
          <w:sz w:val="22"/>
          <w:szCs w:val="22"/>
        </w:rPr>
        <w:t xml:space="preserve"> </w:t>
      </w:r>
      <w:r w:rsidR="00CB285D">
        <w:rPr>
          <w:rFonts w:ascii="Arial" w:hAnsi="Arial"/>
          <w:noProof/>
          <w:color w:val="000000"/>
          <w:sz w:val="22"/>
          <w:szCs w:val="22"/>
          <w:highlight w:val="black"/>
        </w:rPr>
        <w:t>'''''''''''''''''' '''''''''''''''''''''''' ''''' '''''''''''' '''''' '''''''' '''''''''''' ''''' ''' ''''''''''''''''''''''' ''''''''''''''''' ''''' ''''''''''''''''''''' '''''''''' '''''''''''''''''''''''''''' ''''''''''''''''''' '''''''''''''''''''' ''''' ''''''' ''''''''''''''''''''''''''' ''''' ''''''''''''''''' ''''''''' '''''''''''''''''''' ''''''''''''''''</w:t>
      </w:r>
      <w:r w:rsidR="002D7A11">
        <w:rPr>
          <w:rFonts w:ascii="Arial" w:hAnsi="Arial"/>
          <w:sz w:val="22"/>
          <w:szCs w:val="22"/>
        </w:rPr>
        <w:t>.</w:t>
      </w:r>
    </w:p>
    <w:p w:rsidR="00107796" w:rsidRDefault="00107796" w:rsidP="00C96994">
      <w:pPr>
        <w:spacing w:line="480" w:lineRule="auto"/>
        <w:jc w:val="both"/>
        <w:rPr>
          <w:rFonts w:ascii="Arial" w:hAnsi="Arial"/>
          <w:sz w:val="22"/>
          <w:szCs w:val="22"/>
        </w:rPr>
      </w:pPr>
    </w:p>
    <w:p w:rsidR="006C1CF6" w:rsidRPr="005974CD" w:rsidRDefault="006C1CF6" w:rsidP="00C96994">
      <w:pPr>
        <w:pStyle w:val="Heading1"/>
        <w:rPr>
          <w:snapToGrid w:val="0"/>
        </w:rPr>
      </w:pPr>
      <w:r w:rsidRPr="00107796">
        <w:rPr>
          <w:snapToGrid w:val="0"/>
        </w:rPr>
        <w:t>PBAC Outcom</w:t>
      </w:r>
      <w:r w:rsidR="005974CD">
        <w:rPr>
          <w:snapToGrid w:val="0"/>
        </w:rPr>
        <w:t>e</w:t>
      </w:r>
    </w:p>
    <w:p w:rsidR="00363259" w:rsidRPr="00951FA4" w:rsidRDefault="00363259" w:rsidP="00363259">
      <w:pPr>
        <w:widowControl w:val="0"/>
        <w:contextualSpacing/>
        <w:jc w:val="both"/>
        <w:rPr>
          <w:rFonts w:ascii="Arial" w:hAnsi="Arial" w:cs="Arial"/>
          <w:b/>
          <w:bCs/>
          <w:snapToGrid w:val="0"/>
          <w:sz w:val="22"/>
          <w:szCs w:val="22"/>
          <w:lang w:val="en-GB"/>
        </w:rPr>
      </w:pPr>
    </w:p>
    <w:p w:rsidR="005974CD" w:rsidRPr="005974CD" w:rsidRDefault="005974CD" w:rsidP="005974CD">
      <w:pPr>
        <w:pStyle w:val="ListParagraph"/>
        <w:numPr>
          <w:ilvl w:val="1"/>
          <w:numId w:val="25"/>
        </w:numPr>
        <w:jc w:val="both"/>
        <w:rPr>
          <w:rFonts w:ascii="Arial" w:hAnsi="Arial" w:cs="Arial"/>
          <w:b/>
          <w:bCs/>
          <w:snapToGrid w:val="0"/>
          <w:sz w:val="22"/>
          <w:szCs w:val="22"/>
          <w:lang w:val="en-GB"/>
        </w:rPr>
      </w:pPr>
      <w:r w:rsidRPr="005974CD">
        <w:rPr>
          <w:rFonts w:ascii="Arial" w:hAnsi="Arial" w:cs="Arial"/>
          <w:bCs/>
          <w:snapToGrid w:val="0"/>
          <w:sz w:val="22"/>
          <w:szCs w:val="22"/>
          <w:lang w:val="en-GB"/>
        </w:rPr>
        <w:t>The PBAC</w:t>
      </w:r>
      <w:r w:rsidR="007D5C08">
        <w:rPr>
          <w:rFonts w:ascii="Arial" w:hAnsi="Arial" w:cs="Arial"/>
          <w:bCs/>
          <w:snapToGrid w:val="0"/>
          <w:sz w:val="22"/>
          <w:szCs w:val="22"/>
          <w:lang w:val="en-GB"/>
        </w:rPr>
        <w:t xml:space="preserve"> </w:t>
      </w:r>
      <w:r w:rsidR="00B728CD">
        <w:rPr>
          <w:rFonts w:ascii="Arial" w:hAnsi="Arial" w:cs="Arial"/>
          <w:bCs/>
          <w:snapToGrid w:val="0"/>
          <w:sz w:val="22"/>
          <w:szCs w:val="22"/>
          <w:lang w:val="en-GB"/>
        </w:rPr>
        <w:t>rejected</w:t>
      </w:r>
      <w:r w:rsidR="007D5C08">
        <w:rPr>
          <w:rFonts w:ascii="Arial" w:hAnsi="Arial" w:cs="Arial"/>
          <w:bCs/>
          <w:snapToGrid w:val="0"/>
          <w:sz w:val="22"/>
          <w:szCs w:val="22"/>
          <w:lang w:val="en-GB"/>
        </w:rPr>
        <w:t xml:space="preserve"> the proposed price for </w:t>
      </w:r>
      <w:proofErr w:type="spellStart"/>
      <w:r w:rsidR="007D5C08">
        <w:rPr>
          <w:rFonts w:ascii="Arial" w:hAnsi="Arial" w:cs="Arial"/>
          <w:bCs/>
          <w:snapToGrid w:val="0"/>
          <w:sz w:val="22"/>
          <w:szCs w:val="22"/>
          <w:lang w:val="en-GB"/>
        </w:rPr>
        <w:t>Hemangiol</w:t>
      </w:r>
      <w:proofErr w:type="spellEnd"/>
      <w:r w:rsidR="007D5C08">
        <w:rPr>
          <w:rFonts w:ascii="Arial" w:hAnsi="Arial" w:cs="Arial"/>
          <w:bCs/>
          <w:snapToGrid w:val="0"/>
          <w:sz w:val="22"/>
          <w:szCs w:val="22"/>
          <w:lang w:val="en-GB"/>
        </w:rPr>
        <w:t xml:space="preserve"> and</w:t>
      </w:r>
      <w:r w:rsidRPr="005974CD">
        <w:rPr>
          <w:rFonts w:ascii="Arial" w:hAnsi="Arial" w:cs="Arial"/>
          <w:bCs/>
          <w:snapToGrid w:val="0"/>
          <w:sz w:val="22"/>
          <w:szCs w:val="22"/>
          <w:lang w:val="en-GB"/>
        </w:rPr>
        <w:t xml:space="preserve"> re-affirmed its </w:t>
      </w:r>
      <w:r w:rsidR="00C967CE">
        <w:rPr>
          <w:rFonts w:ascii="Arial" w:hAnsi="Arial" w:cs="Arial"/>
          <w:bCs/>
          <w:snapToGrid w:val="0"/>
          <w:sz w:val="22"/>
          <w:szCs w:val="22"/>
          <w:lang w:val="en-GB"/>
        </w:rPr>
        <w:t xml:space="preserve">recommendation at </w:t>
      </w:r>
      <w:r w:rsidRPr="005974CD">
        <w:rPr>
          <w:rFonts w:ascii="Arial" w:hAnsi="Arial" w:cs="Arial"/>
          <w:bCs/>
          <w:snapToGrid w:val="0"/>
          <w:sz w:val="22"/>
          <w:szCs w:val="22"/>
          <w:lang w:val="en-GB"/>
        </w:rPr>
        <w:t>March 2015</w:t>
      </w:r>
      <w:r w:rsidR="00C967CE">
        <w:rPr>
          <w:rFonts w:ascii="Arial" w:hAnsi="Arial" w:cs="Arial"/>
          <w:bCs/>
          <w:snapToGrid w:val="0"/>
          <w:sz w:val="22"/>
          <w:szCs w:val="22"/>
          <w:lang w:val="en-GB"/>
        </w:rPr>
        <w:t>.</w:t>
      </w:r>
    </w:p>
    <w:p w:rsidR="005974CD" w:rsidRPr="005974CD" w:rsidRDefault="005974CD" w:rsidP="005974CD">
      <w:pPr>
        <w:jc w:val="both"/>
        <w:rPr>
          <w:rFonts w:ascii="Arial" w:hAnsi="Arial" w:cs="Arial"/>
          <w:b/>
          <w:bCs/>
          <w:snapToGrid w:val="0"/>
          <w:sz w:val="22"/>
          <w:szCs w:val="22"/>
          <w:lang w:val="en-GB"/>
        </w:rPr>
      </w:pPr>
    </w:p>
    <w:p w:rsidR="002E6F38" w:rsidRDefault="002E6F38" w:rsidP="002E6F38">
      <w:pPr>
        <w:pStyle w:val="ListParagraph"/>
        <w:numPr>
          <w:ilvl w:val="1"/>
          <w:numId w:val="25"/>
        </w:numPr>
        <w:jc w:val="both"/>
        <w:rPr>
          <w:rFonts w:ascii="Arial" w:hAnsi="Arial" w:cs="Arial"/>
          <w:bCs/>
          <w:snapToGrid w:val="0"/>
          <w:sz w:val="22"/>
          <w:szCs w:val="22"/>
          <w:lang w:val="en-GB"/>
        </w:rPr>
      </w:pPr>
      <w:r w:rsidRPr="00926974">
        <w:rPr>
          <w:rFonts w:ascii="Arial" w:hAnsi="Arial" w:cs="Arial"/>
          <w:bCs/>
          <w:snapToGrid w:val="0"/>
          <w:sz w:val="22"/>
          <w:szCs w:val="22"/>
          <w:lang w:val="en-GB"/>
        </w:rPr>
        <w:t>The PBAC noted the re-submission’s proposed methodology to establish a reference price for compounded propranolol liquid</w:t>
      </w:r>
      <w:r w:rsidR="00926974">
        <w:rPr>
          <w:rFonts w:ascii="Arial" w:hAnsi="Arial" w:cs="Arial"/>
          <w:bCs/>
          <w:snapToGrid w:val="0"/>
          <w:sz w:val="22"/>
          <w:szCs w:val="22"/>
          <w:lang w:val="en-GB"/>
        </w:rPr>
        <w:t>,</w:t>
      </w:r>
      <w:r w:rsidRPr="00926974">
        <w:rPr>
          <w:rFonts w:ascii="Arial" w:hAnsi="Arial" w:cs="Arial"/>
          <w:bCs/>
          <w:snapToGrid w:val="0"/>
          <w:sz w:val="22"/>
          <w:szCs w:val="22"/>
          <w:lang w:val="en-GB"/>
        </w:rPr>
        <w:t xml:space="preserve"> however it </w:t>
      </w:r>
      <w:r w:rsidR="00926974">
        <w:rPr>
          <w:rFonts w:ascii="Arial" w:hAnsi="Arial" w:cs="Arial"/>
          <w:bCs/>
          <w:snapToGrid w:val="0"/>
          <w:sz w:val="22"/>
          <w:szCs w:val="22"/>
          <w:lang w:val="en-GB"/>
        </w:rPr>
        <w:t xml:space="preserve">considered that the proposed price for </w:t>
      </w:r>
      <w:proofErr w:type="spellStart"/>
      <w:r w:rsidR="00926974">
        <w:rPr>
          <w:rFonts w:ascii="Arial" w:hAnsi="Arial" w:cs="Arial"/>
          <w:bCs/>
          <w:snapToGrid w:val="0"/>
          <w:sz w:val="22"/>
          <w:szCs w:val="22"/>
          <w:lang w:val="en-GB"/>
        </w:rPr>
        <w:t>Hemangiol</w:t>
      </w:r>
      <w:proofErr w:type="spellEnd"/>
      <w:r w:rsidR="00926974">
        <w:rPr>
          <w:rFonts w:ascii="Arial" w:hAnsi="Arial" w:cs="Arial"/>
          <w:bCs/>
          <w:snapToGrid w:val="0"/>
          <w:sz w:val="22"/>
          <w:szCs w:val="22"/>
          <w:lang w:val="en-GB"/>
        </w:rPr>
        <w:t xml:space="preserve">, which includes a premium factor of </w:t>
      </w:r>
      <w:r w:rsidR="00926974" w:rsidRPr="00984540">
        <w:rPr>
          <w:rFonts w:ascii="Arial" w:hAnsi="Arial" w:cs="Arial"/>
          <w:bCs/>
          <w:snapToGrid w:val="0"/>
          <w:sz w:val="22"/>
          <w:szCs w:val="22"/>
          <w:lang w:val="en-GB"/>
        </w:rPr>
        <w:t>two</w:t>
      </w:r>
      <w:r w:rsidR="00926974">
        <w:rPr>
          <w:rFonts w:ascii="Arial" w:hAnsi="Arial" w:cs="Arial"/>
          <w:bCs/>
          <w:snapToGrid w:val="0"/>
          <w:sz w:val="22"/>
          <w:szCs w:val="22"/>
          <w:lang w:val="en-GB"/>
        </w:rPr>
        <w:t xml:space="preserve"> over the reference price of compounded propranolol liquid, to be unsubstantiated.</w:t>
      </w:r>
    </w:p>
    <w:p w:rsidR="00392136" w:rsidRPr="00392136" w:rsidRDefault="00392136" w:rsidP="00392136">
      <w:pPr>
        <w:jc w:val="both"/>
        <w:rPr>
          <w:rFonts w:ascii="Arial" w:hAnsi="Arial" w:cs="Arial"/>
          <w:bCs/>
          <w:snapToGrid w:val="0"/>
          <w:sz w:val="22"/>
          <w:szCs w:val="22"/>
          <w:lang w:val="en-GB"/>
        </w:rPr>
      </w:pPr>
    </w:p>
    <w:p w:rsidR="00392136" w:rsidRDefault="00392136" w:rsidP="00392136">
      <w:pPr>
        <w:pStyle w:val="ListParagraph"/>
        <w:numPr>
          <w:ilvl w:val="1"/>
          <w:numId w:val="25"/>
        </w:numPr>
        <w:rPr>
          <w:rFonts w:ascii="Arial" w:hAnsi="Arial" w:cs="Arial"/>
          <w:bCs/>
          <w:snapToGrid w:val="0"/>
          <w:sz w:val="22"/>
          <w:szCs w:val="22"/>
          <w:lang w:val="en-GB"/>
        </w:rPr>
      </w:pPr>
      <w:r w:rsidRPr="00392136">
        <w:rPr>
          <w:rFonts w:ascii="Arial" w:hAnsi="Arial" w:cs="Arial"/>
          <w:bCs/>
          <w:snapToGrid w:val="0"/>
          <w:sz w:val="22"/>
          <w:szCs w:val="22"/>
          <w:lang w:val="en-GB"/>
        </w:rPr>
        <w:t xml:space="preserve">The PBAC considered that the price of the ready-prepared </w:t>
      </w:r>
      <w:proofErr w:type="spellStart"/>
      <w:r w:rsidRPr="00392136">
        <w:rPr>
          <w:rFonts w:ascii="Arial" w:hAnsi="Arial" w:cs="Arial"/>
          <w:bCs/>
          <w:snapToGrid w:val="0"/>
          <w:sz w:val="22"/>
          <w:szCs w:val="22"/>
          <w:lang w:val="en-GB"/>
        </w:rPr>
        <w:t>Auspman</w:t>
      </w:r>
      <w:proofErr w:type="spellEnd"/>
      <w:r w:rsidRPr="00392136">
        <w:rPr>
          <w:rFonts w:ascii="Arial" w:hAnsi="Arial" w:cs="Arial"/>
          <w:bCs/>
          <w:snapToGrid w:val="0"/>
          <w:sz w:val="22"/>
          <w:szCs w:val="22"/>
          <w:lang w:val="en-GB"/>
        </w:rPr>
        <w:t xml:space="preserve"> oral solution needs to be reflected in the price of </w:t>
      </w:r>
      <w:proofErr w:type="spellStart"/>
      <w:r w:rsidRPr="00392136">
        <w:rPr>
          <w:rFonts w:ascii="Arial" w:hAnsi="Arial" w:cs="Arial"/>
          <w:bCs/>
          <w:snapToGrid w:val="0"/>
          <w:sz w:val="22"/>
          <w:szCs w:val="22"/>
          <w:lang w:val="en-GB"/>
        </w:rPr>
        <w:t>Hemangiol</w:t>
      </w:r>
      <w:proofErr w:type="spellEnd"/>
      <w:r w:rsidRPr="00392136">
        <w:rPr>
          <w:rFonts w:ascii="Arial" w:hAnsi="Arial" w:cs="Arial"/>
          <w:bCs/>
          <w:snapToGrid w:val="0"/>
          <w:sz w:val="22"/>
          <w:szCs w:val="22"/>
          <w:lang w:val="en-GB"/>
        </w:rPr>
        <w:t xml:space="preserve"> as this is the current standard of care for this treatment setting. </w:t>
      </w:r>
    </w:p>
    <w:p w:rsidR="00902CC7" w:rsidRPr="00902CC7" w:rsidRDefault="00902CC7" w:rsidP="00902CC7">
      <w:pPr>
        <w:rPr>
          <w:rFonts w:ascii="Arial" w:hAnsi="Arial" w:cs="Arial"/>
          <w:bCs/>
          <w:snapToGrid w:val="0"/>
          <w:sz w:val="22"/>
          <w:szCs w:val="22"/>
          <w:lang w:val="en-GB"/>
        </w:rPr>
      </w:pPr>
    </w:p>
    <w:p w:rsidR="005376FB" w:rsidRDefault="00651B14" w:rsidP="005376FB">
      <w:pPr>
        <w:pStyle w:val="ListParagraph"/>
        <w:numPr>
          <w:ilvl w:val="1"/>
          <w:numId w:val="25"/>
        </w:numPr>
        <w:rPr>
          <w:rFonts w:ascii="Arial" w:hAnsi="Arial" w:cs="Arial"/>
          <w:bCs/>
          <w:snapToGrid w:val="0"/>
          <w:sz w:val="22"/>
          <w:szCs w:val="22"/>
          <w:lang w:val="en-GB"/>
        </w:rPr>
      </w:pPr>
      <w:r w:rsidRPr="00D47D8D">
        <w:rPr>
          <w:rFonts w:ascii="Arial" w:hAnsi="Arial" w:cs="Arial"/>
          <w:bCs/>
          <w:snapToGrid w:val="0"/>
          <w:sz w:val="22"/>
          <w:szCs w:val="22"/>
          <w:lang w:val="en-GB"/>
        </w:rPr>
        <w:t xml:space="preserve">The </w:t>
      </w:r>
      <w:r w:rsidR="003C7ADB" w:rsidRPr="00D47D8D">
        <w:rPr>
          <w:rFonts w:ascii="Arial" w:hAnsi="Arial" w:cs="Arial"/>
          <w:bCs/>
          <w:snapToGrid w:val="0"/>
          <w:sz w:val="22"/>
          <w:szCs w:val="22"/>
          <w:lang w:val="en-GB"/>
        </w:rPr>
        <w:t xml:space="preserve">PBAC </w:t>
      </w:r>
      <w:r w:rsidR="00392136" w:rsidRPr="00D47D8D">
        <w:rPr>
          <w:rFonts w:ascii="Arial" w:hAnsi="Arial" w:cs="Arial"/>
          <w:bCs/>
          <w:snapToGrid w:val="0"/>
          <w:sz w:val="22"/>
          <w:szCs w:val="22"/>
          <w:lang w:val="en-GB"/>
        </w:rPr>
        <w:t>noted</w:t>
      </w:r>
      <w:r w:rsidR="00926974" w:rsidRPr="00D47D8D">
        <w:rPr>
          <w:rFonts w:ascii="Arial" w:hAnsi="Arial" w:cs="Arial"/>
          <w:bCs/>
          <w:snapToGrid w:val="0"/>
          <w:sz w:val="22"/>
          <w:szCs w:val="22"/>
          <w:lang w:val="en-GB"/>
        </w:rPr>
        <w:t xml:space="preserve"> </w:t>
      </w:r>
      <w:r w:rsidR="001348E0" w:rsidRPr="00D47D8D">
        <w:rPr>
          <w:rFonts w:ascii="Arial" w:hAnsi="Arial" w:cs="Arial"/>
          <w:bCs/>
          <w:snapToGrid w:val="0"/>
          <w:sz w:val="22"/>
          <w:szCs w:val="22"/>
          <w:lang w:val="en-GB"/>
        </w:rPr>
        <w:t xml:space="preserve">that </w:t>
      </w:r>
      <w:r w:rsidR="003C7ADB" w:rsidRPr="00D47D8D">
        <w:rPr>
          <w:rFonts w:ascii="Arial" w:hAnsi="Arial" w:cs="Arial"/>
          <w:bCs/>
          <w:snapToGrid w:val="0"/>
          <w:sz w:val="22"/>
          <w:szCs w:val="22"/>
          <w:lang w:val="en-GB"/>
        </w:rPr>
        <w:t>Department</w:t>
      </w:r>
      <w:r w:rsidR="00392136" w:rsidRPr="00D47D8D">
        <w:rPr>
          <w:rFonts w:ascii="Arial" w:hAnsi="Arial" w:cs="Arial"/>
          <w:bCs/>
          <w:snapToGrid w:val="0"/>
          <w:sz w:val="22"/>
          <w:szCs w:val="22"/>
          <w:lang w:val="en-GB"/>
        </w:rPr>
        <w:t>’s alternative method</w:t>
      </w:r>
      <w:r w:rsidR="00D47D8D">
        <w:rPr>
          <w:rFonts w:ascii="Arial" w:hAnsi="Arial" w:cs="Arial"/>
          <w:bCs/>
          <w:snapToGrid w:val="0"/>
          <w:sz w:val="22"/>
          <w:szCs w:val="22"/>
          <w:lang w:val="en-GB"/>
        </w:rPr>
        <w:t xml:space="preserve"> utilised a mixed comparator weighting based on </w:t>
      </w:r>
      <w:r w:rsidR="00D47D8D" w:rsidRPr="00D47D8D">
        <w:rPr>
          <w:rFonts w:ascii="Arial" w:hAnsi="Arial" w:cs="Arial"/>
          <w:bCs/>
          <w:snapToGrid w:val="0"/>
          <w:sz w:val="22"/>
          <w:szCs w:val="22"/>
          <w:lang w:val="en-GB"/>
        </w:rPr>
        <w:t xml:space="preserve">the re-submission’s assumption on </w:t>
      </w:r>
      <w:r w:rsidR="00D47D8D">
        <w:rPr>
          <w:rFonts w:ascii="Arial" w:hAnsi="Arial" w:cs="Arial"/>
          <w:bCs/>
          <w:snapToGrid w:val="0"/>
          <w:sz w:val="22"/>
          <w:szCs w:val="22"/>
          <w:lang w:val="en-GB"/>
        </w:rPr>
        <w:t>the</w:t>
      </w:r>
      <w:r w:rsidR="0062258F">
        <w:rPr>
          <w:rFonts w:ascii="Arial" w:hAnsi="Arial" w:cs="Arial"/>
          <w:bCs/>
          <w:snapToGrid w:val="0"/>
          <w:sz w:val="22"/>
          <w:szCs w:val="22"/>
          <w:lang w:val="en-GB"/>
        </w:rPr>
        <w:t xml:space="preserve"> likely</w:t>
      </w:r>
      <w:r w:rsidR="00D47D8D">
        <w:rPr>
          <w:rFonts w:ascii="Arial" w:hAnsi="Arial" w:cs="Arial"/>
          <w:bCs/>
          <w:snapToGrid w:val="0"/>
          <w:sz w:val="22"/>
          <w:szCs w:val="22"/>
          <w:lang w:val="en-GB"/>
        </w:rPr>
        <w:t xml:space="preserve"> </w:t>
      </w:r>
      <w:r w:rsidR="00D47D8D" w:rsidRPr="00D47D8D">
        <w:rPr>
          <w:rFonts w:ascii="Arial" w:hAnsi="Arial" w:cs="Arial"/>
          <w:bCs/>
          <w:snapToGrid w:val="0"/>
          <w:sz w:val="22"/>
          <w:szCs w:val="22"/>
          <w:lang w:val="en-GB"/>
        </w:rPr>
        <w:t xml:space="preserve">dispensing </w:t>
      </w:r>
      <w:r w:rsidR="00D47D8D">
        <w:rPr>
          <w:rFonts w:ascii="Arial" w:hAnsi="Arial" w:cs="Arial"/>
          <w:bCs/>
          <w:snapToGrid w:val="0"/>
          <w:sz w:val="22"/>
          <w:szCs w:val="22"/>
          <w:lang w:val="en-GB"/>
        </w:rPr>
        <w:t>setting</w:t>
      </w:r>
      <w:r w:rsidR="00D47D8D" w:rsidRPr="00D47D8D">
        <w:rPr>
          <w:rFonts w:ascii="Arial" w:hAnsi="Arial" w:cs="Arial"/>
          <w:bCs/>
          <w:snapToGrid w:val="0"/>
          <w:sz w:val="22"/>
          <w:szCs w:val="22"/>
          <w:lang w:val="en-GB"/>
        </w:rPr>
        <w:t xml:space="preserve"> of </w:t>
      </w:r>
      <w:proofErr w:type="spellStart"/>
      <w:r w:rsidR="0062258F">
        <w:rPr>
          <w:rFonts w:ascii="Arial" w:hAnsi="Arial" w:cs="Arial"/>
          <w:bCs/>
          <w:snapToGrid w:val="0"/>
          <w:sz w:val="22"/>
          <w:szCs w:val="22"/>
          <w:lang w:val="en-GB"/>
        </w:rPr>
        <w:t>Hemangiol</w:t>
      </w:r>
      <w:proofErr w:type="spellEnd"/>
      <w:r w:rsidR="00D47D8D" w:rsidRPr="00D47D8D">
        <w:rPr>
          <w:rFonts w:ascii="Arial" w:hAnsi="Arial" w:cs="Arial"/>
          <w:bCs/>
          <w:snapToGrid w:val="0"/>
          <w:sz w:val="22"/>
          <w:szCs w:val="22"/>
          <w:lang w:val="en-GB"/>
        </w:rPr>
        <w:t>, and</w:t>
      </w:r>
      <w:r w:rsidR="0062258F">
        <w:rPr>
          <w:rFonts w:ascii="Arial" w:hAnsi="Arial" w:cs="Arial"/>
          <w:bCs/>
          <w:snapToGrid w:val="0"/>
          <w:sz w:val="22"/>
          <w:szCs w:val="22"/>
          <w:lang w:val="en-GB"/>
        </w:rPr>
        <w:t xml:space="preserve"> also</w:t>
      </w:r>
      <w:r w:rsidR="00D47D8D">
        <w:rPr>
          <w:rFonts w:ascii="Arial" w:hAnsi="Arial" w:cs="Arial"/>
          <w:bCs/>
          <w:snapToGrid w:val="0"/>
          <w:sz w:val="22"/>
          <w:szCs w:val="22"/>
          <w:lang w:val="en-GB"/>
        </w:rPr>
        <w:t xml:space="preserve"> utilised</w:t>
      </w:r>
      <w:r w:rsidR="001348E0" w:rsidRPr="00D47D8D">
        <w:rPr>
          <w:rFonts w:ascii="Arial" w:hAnsi="Arial" w:cs="Arial"/>
          <w:bCs/>
          <w:snapToGrid w:val="0"/>
          <w:sz w:val="22"/>
          <w:szCs w:val="22"/>
          <w:lang w:val="en-GB"/>
        </w:rPr>
        <w:t xml:space="preserve"> </w:t>
      </w:r>
      <w:r w:rsidR="005376FB" w:rsidRPr="00D47D8D">
        <w:rPr>
          <w:rFonts w:ascii="Arial" w:hAnsi="Arial" w:cs="Arial"/>
          <w:bCs/>
          <w:snapToGrid w:val="0"/>
          <w:sz w:val="22"/>
          <w:szCs w:val="22"/>
          <w:lang w:val="en-GB"/>
        </w:rPr>
        <w:t xml:space="preserve">the price of the ready-prepared </w:t>
      </w:r>
      <w:proofErr w:type="spellStart"/>
      <w:r w:rsidR="005376FB" w:rsidRPr="00D47D8D">
        <w:rPr>
          <w:rFonts w:ascii="Arial" w:hAnsi="Arial" w:cs="Arial"/>
          <w:bCs/>
          <w:snapToGrid w:val="0"/>
          <w:sz w:val="22"/>
          <w:szCs w:val="22"/>
          <w:lang w:val="en-GB"/>
        </w:rPr>
        <w:t>Auspman</w:t>
      </w:r>
      <w:proofErr w:type="spellEnd"/>
      <w:r w:rsidR="005376FB" w:rsidRPr="00D47D8D">
        <w:rPr>
          <w:rFonts w:ascii="Arial" w:hAnsi="Arial" w:cs="Arial"/>
          <w:bCs/>
          <w:snapToGrid w:val="0"/>
          <w:sz w:val="22"/>
          <w:szCs w:val="22"/>
          <w:lang w:val="en-GB"/>
        </w:rPr>
        <w:t xml:space="preserve"> from the original submission</w:t>
      </w:r>
      <w:r w:rsidR="0062258F">
        <w:rPr>
          <w:rFonts w:ascii="Arial" w:hAnsi="Arial" w:cs="Arial"/>
          <w:bCs/>
          <w:snapToGrid w:val="0"/>
          <w:sz w:val="22"/>
          <w:szCs w:val="22"/>
          <w:lang w:val="en-GB"/>
        </w:rPr>
        <w:t xml:space="preserve"> </w:t>
      </w:r>
      <w:r w:rsidR="005376FB" w:rsidRPr="00D47D8D">
        <w:rPr>
          <w:rFonts w:ascii="Arial" w:hAnsi="Arial" w:cs="Arial"/>
          <w:bCs/>
          <w:snapToGrid w:val="0"/>
          <w:sz w:val="22"/>
          <w:szCs w:val="22"/>
          <w:lang w:val="en-GB"/>
        </w:rPr>
        <w:t>and the average price of compounded propranolol from the community pharmacy survey.</w:t>
      </w:r>
      <w:r w:rsidR="00CB285D">
        <w:rPr>
          <w:rFonts w:ascii="Arial" w:hAnsi="Arial" w:cs="Arial"/>
          <w:bCs/>
          <w:snapToGrid w:val="0"/>
          <w:sz w:val="22"/>
          <w:szCs w:val="22"/>
          <w:lang w:val="en-GB"/>
        </w:rPr>
        <w:t xml:space="preserve"> </w:t>
      </w:r>
    </w:p>
    <w:p w:rsidR="00D47D8D" w:rsidRPr="00D47D8D" w:rsidRDefault="00D47D8D" w:rsidP="0062258F">
      <w:pPr>
        <w:pStyle w:val="ListParagraph"/>
        <w:rPr>
          <w:rFonts w:ascii="Arial" w:hAnsi="Arial" w:cs="Arial"/>
          <w:bCs/>
          <w:snapToGrid w:val="0"/>
          <w:sz w:val="22"/>
          <w:szCs w:val="22"/>
          <w:lang w:val="en-GB"/>
        </w:rPr>
      </w:pPr>
    </w:p>
    <w:p w:rsidR="00607D5A" w:rsidRDefault="00392136" w:rsidP="00607D5A">
      <w:pPr>
        <w:pStyle w:val="ListParagraph"/>
        <w:numPr>
          <w:ilvl w:val="1"/>
          <w:numId w:val="25"/>
        </w:numPr>
        <w:jc w:val="both"/>
        <w:rPr>
          <w:rFonts w:ascii="Arial" w:hAnsi="Arial" w:cs="Arial"/>
          <w:bCs/>
          <w:snapToGrid w:val="0"/>
          <w:sz w:val="22"/>
          <w:szCs w:val="22"/>
          <w:lang w:val="en-GB"/>
        </w:rPr>
      </w:pPr>
      <w:r w:rsidRPr="00C967CE">
        <w:rPr>
          <w:rFonts w:ascii="Arial" w:hAnsi="Arial" w:cs="Arial"/>
          <w:bCs/>
          <w:snapToGrid w:val="0"/>
          <w:sz w:val="22"/>
          <w:szCs w:val="22"/>
          <w:lang w:val="en-GB"/>
        </w:rPr>
        <w:t xml:space="preserve">The PBAC </w:t>
      </w:r>
      <w:r w:rsidR="0062258F" w:rsidRPr="00C967CE">
        <w:rPr>
          <w:rFonts w:ascii="Arial" w:hAnsi="Arial" w:cs="Arial"/>
          <w:bCs/>
          <w:snapToGrid w:val="0"/>
          <w:sz w:val="22"/>
          <w:szCs w:val="22"/>
          <w:lang w:val="en-GB"/>
        </w:rPr>
        <w:t>noted</w:t>
      </w:r>
      <w:r w:rsidRPr="00C967CE">
        <w:rPr>
          <w:rFonts w:ascii="Arial" w:hAnsi="Arial" w:cs="Arial"/>
          <w:bCs/>
          <w:snapToGrid w:val="0"/>
          <w:sz w:val="22"/>
          <w:szCs w:val="22"/>
          <w:lang w:val="en-GB"/>
        </w:rPr>
        <w:t xml:space="preserve"> </w:t>
      </w:r>
      <w:r w:rsidR="004F76F9">
        <w:rPr>
          <w:rFonts w:ascii="Arial" w:hAnsi="Arial" w:cs="Arial"/>
          <w:bCs/>
          <w:snapToGrid w:val="0"/>
          <w:sz w:val="22"/>
          <w:szCs w:val="22"/>
          <w:lang w:val="en-GB"/>
        </w:rPr>
        <w:t>the Department’s alternative</w:t>
      </w:r>
      <w:r w:rsidR="00607D5A" w:rsidRPr="00C967CE">
        <w:rPr>
          <w:rFonts w:ascii="Arial" w:hAnsi="Arial" w:cs="Arial"/>
          <w:bCs/>
          <w:snapToGrid w:val="0"/>
          <w:sz w:val="22"/>
          <w:szCs w:val="22"/>
          <w:lang w:val="en-GB"/>
        </w:rPr>
        <w:t xml:space="preserve"> metho</w:t>
      </w:r>
      <w:r w:rsidR="004F76F9">
        <w:rPr>
          <w:rFonts w:ascii="Arial" w:hAnsi="Arial" w:cs="Arial"/>
          <w:bCs/>
          <w:snapToGrid w:val="0"/>
          <w:sz w:val="22"/>
          <w:szCs w:val="22"/>
          <w:lang w:val="en-GB"/>
        </w:rPr>
        <w:t>d</w:t>
      </w:r>
      <w:r w:rsidR="00C967CE">
        <w:rPr>
          <w:rFonts w:ascii="Arial" w:hAnsi="Arial" w:cs="Arial"/>
          <w:bCs/>
          <w:snapToGrid w:val="0"/>
          <w:sz w:val="22"/>
          <w:szCs w:val="22"/>
          <w:lang w:val="en-GB"/>
        </w:rPr>
        <w:t xml:space="preserve"> would result to a price</w:t>
      </w:r>
      <w:r w:rsidR="004F76F9">
        <w:rPr>
          <w:rFonts w:ascii="Arial" w:hAnsi="Arial" w:cs="Arial"/>
          <w:bCs/>
          <w:snapToGrid w:val="0"/>
          <w:sz w:val="22"/>
          <w:szCs w:val="22"/>
          <w:lang w:val="en-GB"/>
        </w:rPr>
        <w:t xml:space="preserve"> for </w:t>
      </w:r>
      <w:proofErr w:type="spellStart"/>
      <w:r w:rsidR="004F76F9">
        <w:rPr>
          <w:rFonts w:ascii="Arial" w:hAnsi="Arial" w:cs="Arial"/>
          <w:bCs/>
          <w:snapToGrid w:val="0"/>
          <w:sz w:val="22"/>
          <w:szCs w:val="22"/>
          <w:lang w:val="en-GB"/>
        </w:rPr>
        <w:t>Hemangiol</w:t>
      </w:r>
      <w:proofErr w:type="spellEnd"/>
      <w:r w:rsidR="00C967CE">
        <w:rPr>
          <w:rFonts w:ascii="Arial" w:hAnsi="Arial" w:cs="Arial"/>
          <w:bCs/>
          <w:snapToGrid w:val="0"/>
          <w:sz w:val="22"/>
          <w:szCs w:val="22"/>
          <w:lang w:val="en-GB"/>
        </w:rPr>
        <w:t xml:space="preserve"> that is </w:t>
      </w:r>
      <w:r w:rsidR="00CB285D">
        <w:rPr>
          <w:rFonts w:ascii="Arial" w:hAnsi="Arial" w:cs="Arial"/>
          <w:bCs/>
          <w:noProof/>
          <w:snapToGrid w:val="0"/>
          <w:color w:val="000000"/>
          <w:sz w:val="22"/>
          <w:szCs w:val="22"/>
          <w:highlight w:val="black"/>
          <w:lang w:val="en-GB"/>
        </w:rPr>
        <w:t xml:space="preserve">'''''''''''''''''' </w:t>
      </w:r>
      <w:r w:rsidR="00C967CE" w:rsidRPr="00984540">
        <w:rPr>
          <w:rFonts w:ascii="Arial" w:hAnsi="Arial" w:cs="Arial"/>
          <w:bCs/>
          <w:snapToGrid w:val="0"/>
          <w:sz w:val="22"/>
          <w:szCs w:val="22"/>
          <w:lang w:val="en-GB"/>
        </w:rPr>
        <w:t>the</w:t>
      </w:r>
      <w:r w:rsidR="0062258F" w:rsidRPr="00984540">
        <w:rPr>
          <w:rFonts w:ascii="Arial" w:hAnsi="Arial" w:cs="Arial"/>
          <w:bCs/>
          <w:snapToGrid w:val="0"/>
          <w:sz w:val="22"/>
          <w:szCs w:val="22"/>
          <w:lang w:val="en-GB"/>
        </w:rPr>
        <w:t xml:space="preserve"> price</w:t>
      </w:r>
      <w:r w:rsidR="0062258F" w:rsidRPr="00C967CE">
        <w:rPr>
          <w:rFonts w:ascii="Arial" w:hAnsi="Arial" w:cs="Arial"/>
          <w:bCs/>
          <w:snapToGrid w:val="0"/>
          <w:sz w:val="22"/>
          <w:szCs w:val="22"/>
          <w:lang w:val="en-GB"/>
        </w:rPr>
        <w:t xml:space="preserve"> of ready-prepared </w:t>
      </w:r>
      <w:proofErr w:type="spellStart"/>
      <w:r w:rsidR="0062258F" w:rsidRPr="00C967CE">
        <w:rPr>
          <w:rFonts w:ascii="Arial" w:hAnsi="Arial" w:cs="Arial"/>
          <w:bCs/>
          <w:snapToGrid w:val="0"/>
          <w:sz w:val="22"/>
          <w:szCs w:val="22"/>
          <w:lang w:val="en-GB"/>
        </w:rPr>
        <w:t>Auspman</w:t>
      </w:r>
      <w:proofErr w:type="spellEnd"/>
      <w:r w:rsidR="004F76F9">
        <w:rPr>
          <w:rFonts w:ascii="Arial" w:hAnsi="Arial" w:cs="Arial"/>
          <w:bCs/>
          <w:snapToGrid w:val="0"/>
          <w:sz w:val="22"/>
          <w:szCs w:val="22"/>
          <w:lang w:val="en-GB"/>
        </w:rPr>
        <w:t xml:space="preserve"> oral solution</w:t>
      </w:r>
      <w:r w:rsidR="0062258F" w:rsidRPr="00C967CE">
        <w:rPr>
          <w:rFonts w:ascii="Arial" w:hAnsi="Arial" w:cs="Arial"/>
          <w:bCs/>
          <w:snapToGrid w:val="0"/>
          <w:sz w:val="22"/>
          <w:szCs w:val="22"/>
          <w:lang w:val="en-GB"/>
        </w:rPr>
        <w:t>.</w:t>
      </w:r>
      <w:r w:rsidR="00CB285D">
        <w:rPr>
          <w:rFonts w:ascii="Arial" w:hAnsi="Arial" w:cs="Arial"/>
          <w:bCs/>
          <w:snapToGrid w:val="0"/>
          <w:sz w:val="22"/>
          <w:szCs w:val="22"/>
          <w:lang w:val="en-GB"/>
        </w:rPr>
        <w:t xml:space="preserve"> </w:t>
      </w:r>
    </w:p>
    <w:p w:rsidR="00C967CE" w:rsidRPr="00C967CE" w:rsidRDefault="00C967CE" w:rsidP="00C967CE">
      <w:pPr>
        <w:jc w:val="both"/>
        <w:rPr>
          <w:rFonts w:ascii="Arial" w:hAnsi="Arial" w:cs="Arial"/>
          <w:bCs/>
          <w:snapToGrid w:val="0"/>
          <w:sz w:val="22"/>
          <w:szCs w:val="22"/>
          <w:lang w:val="en-GB"/>
        </w:rPr>
      </w:pPr>
    </w:p>
    <w:p w:rsidR="00651B14" w:rsidRDefault="003774DA" w:rsidP="003774DA">
      <w:pPr>
        <w:pStyle w:val="ListParagraph"/>
        <w:numPr>
          <w:ilvl w:val="1"/>
          <w:numId w:val="25"/>
        </w:numPr>
        <w:rPr>
          <w:rFonts w:ascii="Arial" w:hAnsi="Arial" w:cs="Arial"/>
          <w:bCs/>
          <w:snapToGrid w:val="0"/>
          <w:sz w:val="22"/>
          <w:szCs w:val="22"/>
          <w:lang w:val="en-GB"/>
        </w:rPr>
      </w:pPr>
      <w:r>
        <w:rPr>
          <w:rFonts w:ascii="Arial" w:hAnsi="Arial" w:cs="Arial"/>
          <w:bCs/>
          <w:snapToGrid w:val="0"/>
          <w:sz w:val="22"/>
          <w:szCs w:val="22"/>
          <w:lang w:val="en-GB"/>
        </w:rPr>
        <w:t>The PBAC noted that p</w:t>
      </w:r>
      <w:r w:rsidRPr="003774DA">
        <w:rPr>
          <w:rFonts w:ascii="Arial" w:hAnsi="Arial" w:cs="Arial"/>
          <w:bCs/>
          <w:snapToGrid w:val="0"/>
          <w:sz w:val="22"/>
          <w:szCs w:val="22"/>
          <w:lang w:val="en-GB"/>
        </w:rPr>
        <w:t>ropranolol is in the F2 formulary</w:t>
      </w:r>
      <w:r>
        <w:rPr>
          <w:rFonts w:ascii="Arial" w:hAnsi="Arial" w:cs="Arial"/>
          <w:bCs/>
          <w:snapToGrid w:val="0"/>
          <w:sz w:val="22"/>
          <w:szCs w:val="22"/>
          <w:lang w:val="en-GB"/>
        </w:rPr>
        <w:t xml:space="preserve"> and</w:t>
      </w:r>
      <w:r w:rsidR="00C967CE">
        <w:rPr>
          <w:rFonts w:ascii="Arial" w:hAnsi="Arial" w:cs="Arial"/>
          <w:bCs/>
          <w:snapToGrid w:val="0"/>
          <w:sz w:val="22"/>
          <w:szCs w:val="22"/>
          <w:lang w:val="en-GB"/>
        </w:rPr>
        <w:t xml:space="preserve"> the Department’s advice that Special Pricing Arrangements are not normally applied to F2 medicines.</w:t>
      </w:r>
    </w:p>
    <w:p w:rsidR="00E058CD" w:rsidRPr="00E058CD" w:rsidRDefault="00E058CD" w:rsidP="00E058CD">
      <w:pPr>
        <w:rPr>
          <w:rFonts w:ascii="Arial" w:hAnsi="Arial" w:cs="Arial"/>
          <w:bCs/>
          <w:snapToGrid w:val="0"/>
          <w:sz w:val="22"/>
          <w:szCs w:val="22"/>
          <w:lang w:val="en-GB"/>
        </w:rPr>
      </w:pPr>
    </w:p>
    <w:p w:rsidR="00EC25C2" w:rsidRPr="00C96994" w:rsidRDefault="00EC25C2" w:rsidP="00C96994">
      <w:pPr>
        <w:pStyle w:val="Heading2"/>
      </w:pPr>
      <w:r w:rsidRPr="00C96994">
        <w:t>Outcome:</w:t>
      </w:r>
    </w:p>
    <w:p w:rsidR="006C1CF6" w:rsidRDefault="00EC25C2" w:rsidP="00611A07">
      <w:pPr>
        <w:jc w:val="both"/>
        <w:rPr>
          <w:rFonts w:ascii="Arial" w:hAnsi="Arial" w:cs="Arial"/>
          <w:bCs/>
          <w:snapToGrid w:val="0"/>
          <w:sz w:val="22"/>
          <w:szCs w:val="22"/>
          <w:lang w:val="en-GB"/>
        </w:rPr>
      </w:pPr>
      <w:r w:rsidRPr="00EC25C2">
        <w:rPr>
          <w:rFonts w:ascii="Arial" w:hAnsi="Arial" w:cs="Arial"/>
          <w:bCs/>
          <w:snapToGrid w:val="0"/>
          <w:sz w:val="22"/>
          <w:szCs w:val="22"/>
          <w:lang w:val="en-GB"/>
        </w:rPr>
        <w:t>Rejected</w:t>
      </w:r>
    </w:p>
    <w:p w:rsidR="00432B7E" w:rsidRDefault="00432B7E" w:rsidP="00C96994">
      <w:pPr>
        <w:spacing w:line="480" w:lineRule="auto"/>
        <w:jc w:val="both"/>
        <w:rPr>
          <w:rFonts w:ascii="Arial" w:hAnsi="Arial" w:cs="Arial"/>
          <w:bCs/>
          <w:snapToGrid w:val="0"/>
          <w:sz w:val="22"/>
          <w:szCs w:val="22"/>
          <w:lang w:val="en-GB"/>
        </w:rPr>
      </w:pPr>
    </w:p>
    <w:p w:rsidR="00432B7E" w:rsidRDefault="00432B7E" w:rsidP="00C96994">
      <w:pPr>
        <w:pStyle w:val="Heading1"/>
        <w:rPr>
          <w:rFonts w:eastAsia="SimSun"/>
          <w:lang w:eastAsia="en-US"/>
        </w:rPr>
      </w:pPr>
      <w:r>
        <w:rPr>
          <w:rFonts w:eastAsia="SimSun"/>
          <w:lang w:eastAsia="en-US"/>
        </w:rPr>
        <w:t>Context for Decision</w:t>
      </w:r>
    </w:p>
    <w:p w:rsidR="00432B7E" w:rsidRDefault="00432B7E" w:rsidP="00432B7E">
      <w:pPr>
        <w:ind w:left="720"/>
        <w:contextualSpacing/>
        <w:rPr>
          <w:b/>
        </w:rPr>
      </w:pPr>
    </w:p>
    <w:p w:rsidR="00432B7E" w:rsidRDefault="00432B7E" w:rsidP="00432B7E">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32B7E" w:rsidRDefault="00432B7E" w:rsidP="00C96994">
      <w:pPr>
        <w:spacing w:line="480" w:lineRule="auto"/>
      </w:pPr>
    </w:p>
    <w:p w:rsidR="00432B7E" w:rsidRDefault="00432B7E" w:rsidP="00C96994">
      <w:pPr>
        <w:pStyle w:val="Heading1"/>
        <w:rPr>
          <w:rFonts w:eastAsia="SimSun"/>
          <w:lang w:eastAsia="en-US"/>
        </w:rPr>
      </w:pPr>
      <w:r>
        <w:rPr>
          <w:rFonts w:eastAsia="SimSun"/>
          <w:lang w:eastAsia="en-US"/>
        </w:rPr>
        <w:t>Sponsor’s Comment</w:t>
      </w:r>
    </w:p>
    <w:p w:rsidR="00432B7E" w:rsidRDefault="00432B7E" w:rsidP="00432B7E">
      <w:pPr>
        <w:tabs>
          <w:tab w:val="left" w:pos="2940"/>
        </w:tabs>
        <w:jc w:val="both"/>
        <w:rPr>
          <w:rFonts w:ascii="Arial" w:hAnsi="Arial"/>
          <w:sz w:val="22"/>
          <w:szCs w:val="22"/>
        </w:rPr>
      </w:pPr>
    </w:p>
    <w:p w:rsidR="00CD0577" w:rsidRPr="00611A07" w:rsidRDefault="00CD0577" w:rsidP="00CD0577">
      <w:pPr>
        <w:ind w:left="720"/>
        <w:jc w:val="both"/>
        <w:rPr>
          <w:rFonts w:ascii="Arial" w:hAnsi="Arial" w:cs="Arial"/>
          <w:bCs/>
          <w:snapToGrid w:val="0"/>
          <w:sz w:val="22"/>
          <w:szCs w:val="22"/>
          <w:lang w:val="en-GB"/>
        </w:rPr>
      </w:pPr>
      <w:r>
        <w:rPr>
          <w:rFonts w:ascii="Arial" w:hAnsi="Arial" w:cs="Arial"/>
          <w:bCs/>
          <w:snapToGrid w:val="0"/>
          <w:sz w:val="22"/>
          <w:szCs w:val="22"/>
          <w:lang w:val="en-GB"/>
        </w:rPr>
        <w:t xml:space="preserve">Pierre Fabre will continue to work with the Department to achieve a listing for </w:t>
      </w:r>
      <w:proofErr w:type="spellStart"/>
      <w:r>
        <w:rPr>
          <w:rFonts w:ascii="Arial" w:hAnsi="Arial" w:cs="Arial"/>
          <w:bCs/>
          <w:snapToGrid w:val="0"/>
          <w:sz w:val="22"/>
          <w:szCs w:val="22"/>
          <w:lang w:val="en-GB"/>
        </w:rPr>
        <w:t>Hemangiol</w:t>
      </w:r>
      <w:proofErr w:type="spellEnd"/>
    </w:p>
    <w:p w:rsidR="00432B7E" w:rsidRPr="00611A07" w:rsidRDefault="00432B7E" w:rsidP="00611A07">
      <w:pPr>
        <w:jc w:val="both"/>
        <w:rPr>
          <w:rFonts w:ascii="Arial" w:hAnsi="Arial" w:cs="Arial"/>
          <w:bCs/>
          <w:snapToGrid w:val="0"/>
          <w:sz w:val="22"/>
          <w:szCs w:val="22"/>
          <w:lang w:val="en-GB"/>
        </w:rPr>
      </w:pPr>
    </w:p>
    <w:sectPr w:rsidR="00432B7E" w:rsidRPr="00611A07"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5D" w:rsidRDefault="00CB285D">
      <w:r>
        <w:separator/>
      </w:r>
    </w:p>
    <w:p w:rsidR="00CB285D" w:rsidRDefault="00CB285D"/>
  </w:endnote>
  <w:endnote w:type="continuationSeparator" w:id="0">
    <w:p w:rsidR="00CB285D" w:rsidRDefault="00CB285D">
      <w:r>
        <w:continuationSeparator/>
      </w:r>
    </w:p>
    <w:p w:rsidR="00CB285D" w:rsidRDefault="00CB2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6553F" w:rsidTr="005A3173">
      <w:trPr>
        <w:trHeight w:val="151"/>
      </w:trPr>
      <w:tc>
        <w:tcPr>
          <w:tcW w:w="2250" w:type="pct"/>
          <w:tcBorders>
            <w:top w:val="nil"/>
            <w:left w:val="nil"/>
            <w:bottom w:val="single" w:sz="4" w:space="0" w:color="4F81BD"/>
            <w:right w:val="nil"/>
          </w:tcBorders>
        </w:tcPr>
        <w:p w:rsidR="0026553F" w:rsidRPr="005A3173" w:rsidRDefault="0026553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6553F" w:rsidRPr="005A3173" w:rsidRDefault="0026553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6553F" w:rsidRPr="005A3173" w:rsidRDefault="0026553F" w:rsidP="005A3173">
          <w:pPr>
            <w:pStyle w:val="Header"/>
            <w:spacing w:line="276" w:lineRule="auto"/>
            <w:rPr>
              <w:rFonts w:ascii="Calibri" w:eastAsia="MS Gothic" w:hAnsi="Calibri"/>
              <w:b/>
              <w:bCs/>
              <w:color w:val="4F81BD"/>
            </w:rPr>
          </w:pPr>
        </w:p>
      </w:tc>
    </w:tr>
    <w:tr w:rsidR="0026553F" w:rsidTr="005A3173">
      <w:trPr>
        <w:trHeight w:val="150"/>
      </w:trPr>
      <w:tc>
        <w:tcPr>
          <w:tcW w:w="2250" w:type="pct"/>
          <w:tcBorders>
            <w:top w:val="single" w:sz="4" w:space="0" w:color="4F81BD"/>
            <w:left w:val="nil"/>
            <w:bottom w:val="nil"/>
            <w:right w:val="nil"/>
          </w:tcBorders>
        </w:tcPr>
        <w:p w:rsidR="0026553F" w:rsidRPr="005A3173" w:rsidRDefault="0026553F" w:rsidP="005A3173">
          <w:pPr>
            <w:pStyle w:val="Header"/>
            <w:spacing w:line="276" w:lineRule="auto"/>
            <w:rPr>
              <w:rFonts w:ascii="Calibri" w:eastAsia="MS Gothic" w:hAnsi="Calibri"/>
              <w:b/>
              <w:bCs/>
              <w:color w:val="4F81BD"/>
            </w:rPr>
          </w:pPr>
        </w:p>
      </w:tc>
      <w:tc>
        <w:tcPr>
          <w:tcW w:w="0" w:type="auto"/>
          <w:vMerge/>
          <w:vAlign w:val="center"/>
          <w:hideMark/>
        </w:tcPr>
        <w:p w:rsidR="0026553F" w:rsidRPr="005A3173" w:rsidRDefault="0026553F" w:rsidP="005A3173">
          <w:pPr>
            <w:rPr>
              <w:rFonts w:ascii="Calibri" w:hAnsi="Calibri"/>
              <w:color w:val="365F91"/>
              <w:sz w:val="22"/>
              <w:szCs w:val="22"/>
            </w:rPr>
          </w:pPr>
        </w:p>
      </w:tc>
      <w:tc>
        <w:tcPr>
          <w:tcW w:w="2250" w:type="pct"/>
          <w:tcBorders>
            <w:top w:val="single" w:sz="4" w:space="0" w:color="4F81BD"/>
            <w:left w:val="nil"/>
            <w:bottom w:val="nil"/>
            <w:right w:val="nil"/>
          </w:tcBorders>
        </w:tcPr>
        <w:p w:rsidR="0026553F" w:rsidRPr="005A3173" w:rsidRDefault="0026553F" w:rsidP="005A3173">
          <w:pPr>
            <w:pStyle w:val="Header"/>
            <w:spacing w:line="276" w:lineRule="auto"/>
            <w:rPr>
              <w:rFonts w:ascii="Calibri" w:eastAsia="MS Gothic" w:hAnsi="Calibri"/>
              <w:b/>
              <w:bCs/>
              <w:color w:val="4F81BD"/>
            </w:rPr>
          </w:pPr>
        </w:p>
      </w:tc>
    </w:tr>
  </w:tbl>
  <w:p w:rsidR="0026553F" w:rsidRDefault="0026553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553F" w:rsidRDefault="0026553F">
    <w:pPr>
      <w:pStyle w:val="Footer"/>
    </w:pPr>
  </w:p>
  <w:p w:rsidR="0026553F" w:rsidRDefault="002655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881335"/>
      <w:docPartObj>
        <w:docPartGallery w:val="Page Numbers (Bottom of Page)"/>
        <w:docPartUnique/>
      </w:docPartObj>
    </w:sdtPr>
    <w:sdtEndPr>
      <w:rPr>
        <w:noProof/>
      </w:rPr>
    </w:sdtEndPr>
    <w:sdtContent>
      <w:p w:rsidR="006C1CF6" w:rsidRDefault="006C1CF6">
        <w:pPr>
          <w:pStyle w:val="Footer"/>
          <w:jc w:val="center"/>
        </w:pPr>
        <w:r>
          <w:fldChar w:fldCharType="begin"/>
        </w:r>
        <w:r>
          <w:instrText xml:space="preserve"> PAGE   \* MERGEFORMAT </w:instrText>
        </w:r>
        <w:r>
          <w:fldChar w:fldCharType="separate"/>
        </w:r>
        <w:r w:rsidR="007E07EF">
          <w:rPr>
            <w:noProof/>
          </w:rPr>
          <w:t>1</w:t>
        </w:r>
        <w:r>
          <w:rPr>
            <w:noProof/>
          </w:rPr>
          <w:fldChar w:fldCharType="end"/>
        </w:r>
      </w:p>
    </w:sdtContent>
  </w:sdt>
  <w:p w:rsidR="0026553F" w:rsidRDefault="0026553F"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6553F" w:rsidTr="005A3173">
      <w:trPr>
        <w:trHeight w:val="151"/>
      </w:trPr>
      <w:tc>
        <w:tcPr>
          <w:tcW w:w="2250" w:type="pct"/>
          <w:tcBorders>
            <w:top w:val="nil"/>
            <w:left w:val="nil"/>
            <w:bottom w:val="single" w:sz="4" w:space="0" w:color="4F81BD"/>
            <w:right w:val="nil"/>
          </w:tcBorders>
        </w:tcPr>
        <w:p w:rsidR="0026553F" w:rsidRPr="005A3173" w:rsidRDefault="0026553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6553F" w:rsidRPr="005A3173" w:rsidRDefault="0026553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6553F" w:rsidRPr="005A3173" w:rsidRDefault="0026553F" w:rsidP="005A3173">
          <w:pPr>
            <w:pStyle w:val="Header"/>
            <w:spacing w:line="276" w:lineRule="auto"/>
            <w:rPr>
              <w:rFonts w:ascii="Calibri" w:eastAsia="MS Gothic" w:hAnsi="Calibri"/>
              <w:b/>
              <w:bCs/>
              <w:color w:val="4F81BD"/>
            </w:rPr>
          </w:pPr>
        </w:p>
      </w:tc>
    </w:tr>
    <w:tr w:rsidR="0026553F" w:rsidTr="005A3173">
      <w:trPr>
        <w:trHeight w:val="150"/>
      </w:trPr>
      <w:tc>
        <w:tcPr>
          <w:tcW w:w="2250" w:type="pct"/>
          <w:tcBorders>
            <w:top w:val="single" w:sz="4" w:space="0" w:color="4F81BD"/>
            <w:left w:val="nil"/>
            <w:bottom w:val="nil"/>
            <w:right w:val="nil"/>
          </w:tcBorders>
        </w:tcPr>
        <w:p w:rsidR="0026553F" w:rsidRPr="005A3173" w:rsidRDefault="0026553F" w:rsidP="005A3173">
          <w:pPr>
            <w:pStyle w:val="Header"/>
            <w:spacing w:line="276" w:lineRule="auto"/>
            <w:rPr>
              <w:rFonts w:ascii="Calibri" w:eastAsia="MS Gothic" w:hAnsi="Calibri"/>
              <w:b/>
              <w:bCs/>
              <w:color w:val="4F81BD"/>
            </w:rPr>
          </w:pPr>
        </w:p>
      </w:tc>
      <w:tc>
        <w:tcPr>
          <w:tcW w:w="0" w:type="auto"/>
          <w:vMerge/>
          <w:vAlign w:val="center"/>
          <w:hideMark/>
        </w:tcPr>
        <w:p w:rsidR="0026553F" w:rsidRPr="005A3173" w:rsidRDefault="0026553F" w:rsidP="005A3173">
          <w:pPr>
            <w:rPr>
              <w:rFonts w:ascii="Calibri" w:hAnsi="Calibri"/>
              <w:color w:val="365F91"/>
              <w:sz w:val="22"/>
              <w:szCs w:val="22"/>
            </w:rPr>
          </w:pPr>
        </w:p>
      </w:tc>
      <w:tc>
        <w:tcPr>
          <w:tcW w:w="2250" w:type="pct"/>
          <w:tcBorders>
            <w:top w:val="single" w:sz="4" w:space="0" w:color="4F81BD"/>
            <w:left w:val="nil"/>
            <w:bottom w:val="nil"/>
            <w:right w:val="nil"/>
          </w:tcBorders>
        </w:tcPr>
        <w:p w:rsidR="0026553F" w:rsidRPr="005A3173" w:rsidRDefault="0026553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6553F" w:rsidTr="005A3173">
      <w:trPr>
        <w:trHeight w:val="151"/>
      </w:trPr>
      <w:tc>
        <w:tcPr>
          <w:tcW w:w="2250" w:type="pct"/>
          <w:tcBorders>
            <w:top w:val="nil"/>
            <w:left w:val="nil"/>
            <w:bottom w:val="single" w:sz="4" w:space="0" w:color="4F81BD"/>
            <w:right w:val="nil"/>
          </w:tcBorders>
        </w:tcPr>
        <w:p w:rsidR="0026553F" w:rsidRPr="005A3173" w:rsidRDefault="0026553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6553F" w:rsidRPr="005A3173" w:rsidRDefault="0026553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6553F" w:rsidRPr="005A3173" w:rsidRDefault="0026553F" w:rsidP="005A3173">
          <w:pPr>
            <w:pStyle w:val="Header"/>
            <w:spacing w:line="276" w:lineRule="auto"/>
            <w:rPr>
              <w:rFonts w:ascii="Calibri" w:eastAsia="MS Gothic" w:hAnsi="Calibri"/>
              <w:b/>
              <w:bCs/>
              <w:color w:val="4F81BD"/>
            </w:rPr>
          </w:pPr>
        </w:p>
      </w:tc>
    </w:tr>
    <w:tr w:rsidR="0026553F" w:rsidTr="005A3173">
      <w:trPr>
        <w:trHeight w:val="150"/>
      </w:trPr>
      <w:tc>
        <w:tcPr>
          <w:tcW w:w="2250" w:type="pct"/>
          <w:tcBorders>
            <w:top w:val="single" w:sz="4" w:space="0" w:color="4F81BD"/>
            <w:left w:val="nil"/>
            <w:bottom w:val="nil"/>
            <w:right w:val="nil"/>
          </w:tcBorders>
        </w:tcPr>
        <w:p w:rsidR="0026553F" w:rsidRPr="005A3173" w:rsidRDefault="0026553F" w:rsidP="005A3173">
          <w:pPr>
            <w:pStyle w:val="Header"/>
            <w:spacing w:line="276" w:lineRule="auto"/>
            <w:rPr>
              <w:rFonts w:ascii="Calibri" w:eastAsia="MS Gothic" w:hAnsi="Calibri"/>
              <w:b/>
              <w:bCs/>
              <w:color w:val="4F81BD"/>
            </w:rPr>
          </w:pPr>
        </w:p>
      </w:tc>
      <w:tc>
        <w:tcPr>
          <w:tcW w:w="0" w:type="auto"/>
          <w:vMerge/>
          <w:vAlign w:val="center"/>
          <w:hideMark/>
        </w:tcPr>
        <w:p w:rsidR="0026553F" w:rsidRPr="005A3173" w:rsidRDefault="0026553F" w:rsidP="005A3173">
          <w:pPr>
            <w:rPr>
              <w:rFonts w:ascii="Calibri" w:hAnsi="Calibri"/>
              <w:color w:val="365F91"/>
              <w:sz w:val="22"/>
              <w:szCs w:val="22"/>
            </w:rPr>
          </w:pPr>
        </w:p>
      </w:tc>
      <w:tc>
        <w:tcPr>
          <w:tcW w:w="2250" w:type="pct"/>
          <w:tcBorders>
            <w:top w:val="single" w:sz="4" w:space="0" w:color="4F81BD"/>
            <w:left w:val="nil"/>
            <w:bottom w:val="nil"/>
            <w:right w:val="nil"/>
          </w:tcBorders>
        </w:tcPr>
        <w:p w:rsidR="0026553F" w:rsidRPr="005A3173" w:rsidRDefault="0026553F" w:rsidP="005A3173">
          <w:pPr>
            <w:pStyle w:val="Header"/>
            <w:spacing w:line="276" w:lineRule="auto"/>
            <w:rPr>
              <w:rFonts w:ascii="Calibri" w:eastAsia="MS Gothic" w:hAnsi="Calibri"/>
              <w:b/>
              <w:bCs/>
              <w:color w:val="4F81BD"/>
            </w:rPr>
          </w:pPr>
        </w:p>
      </w:tc>
    </w:tr>
  </w:tbl>
  <w:p w:rsidR="0026553F" w:rsidRPr="007C0F57" w:rsidRDefault="0026553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6553F" w:rsidRPr="007C0F57" w:rsidRDefault="0026553F" w:rsidP="007C0F57">
    <w:pPr>
      <w:pStyle w:val="Footer"/>
      <w:jc w:val="center"/>
      <w:rPr>
        <w:b/>
        <w:i/>
        <w:sz w:val="20"/>
        <w:szCs w:val="20"/>
      </w:rPr>
    </w:pPr>
    <w:r w:rsidRPr="007C0F57">
      <w:rPr>
        <w:b/>
        <w:i/>
        <w:sz w:val="20"/>
        <w:szCs w:val="20"/>
      </w:rPr>
      <w:t>Commercial-in-Confidence</w:t>
    </w:r>
  </w:p>
  <w:p w:rsidR="0026553F" w:rsidRDefault="002655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5D" w:rsidRDefault="00CB285D">
      <w:r>
        <w:separator/>
      </w:r>
    </w:p>
    <w:p w:rsidR="00CB285D" w:rsidRDefault="00CB285D"/>
  </w:footnote>
  <w:footnote w:type="continuationSeparator" w:id="0">
    <w:p w:rsidR="00CB285D" w:rsidRDefault="00CB285D">
      <w:r>
        <w:continuationSeparator/>
      </w:r>
    </w:p>
    <w:p w:rsidR="00CB285D" w:rsidRDefault="00CB28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6553F" w:rsidRPr="008E0D90" w:rsidTr="00A06225">
      <w:trPr>
        <w:trHeight w:val="151"/>
      </w:trPr>
      <w:tc>
        <w:tcPr>
          <w:tcW w:w="2389" w:type="pct"/>
          <w:tcBorders>
            <w:top w:val="nil"/>
            <w:left w:val="nil"/>
            <w:bottom w:val="single" w:sz="4" w:space="0" w:color="4F81BD"/>
            <w:right w:val="nil"/>
          </w:tcBorders>
        </w:tcPr>
        <w:p w:rsidR="0026553F" w:rsidRPr="00A06225" w:rsidRDefault="0026553F">
          <w:pPr>
            <w:pStyle w:val="Header"/>
            <w:spacing w:line="276" w:lineRule="auto"/>
            <w:rPr>
              <w:rFonts w:ascii="Cambria" w:eastAsia="MS Gothic" w:hAnsi="Cambria"/>
              <w:b/>
              <w:bCs/>
              <w:color w:val="4F81BD"/>
            </w:rPr>
          </w:pPr>
        </w:p>
      </w:tc>
      <w:tc>
        <w:tcPr>
          <w:tcW w:w="333" w:type="pct"/>
          <w:vMerge w:val="restart"/>
          <w:noWrap/>
          <w:vAlign w:val="center"/>
          <w:hideMark/>
        </w:tcPr>
        <w:p w:rsidR="0026553F" w:rsidRPr="00A06225" w:rsidRDefault="0026553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6553F" w:rsidRPr="00A06225" w:rsidRDefault="0026553F">
          <w:pPr>
            <w:pStyle w:val="Header"/>
            <w:spacing w:line="276" w:lineRule="auto"/>
            <w:rPr>
              <w:rFonts w:ascii="Cambria" w:eastAsia="MS Gothic" w:hAnsi="Cambria"/>
              <w:b/>
              <w:bCs/>
              <w:color w:val="4F81BD"/>
            </w:rPr>
          </w:pPr>
        </w:p>
      </w:tc>
    </w:tr>
    <w:tr w:rsidR="0026553F" w:rsidRPr="008E0D90" w:rsidTr="00A06225">
      <w:trPr>
        <w:trHeight w:val="150"/>
      </w:trPr>
      <w:tc>
        <w:tcPr>
          <w:tcW w:w="2389" w:type="pct"/>
          <w:tcBorders>
            <w:top w:val="single" w:sz="4" w:space="0" w:color="4F81BD"/>
            <w:left w:val="nil"/>
            <w:bottom w:val="nil"/>
            <w:right w:val="nil"/>
          </w:tcBorders>
        </w:tcPr>
        <w:p w:rsidR="0026553F" w:rsidRPr="00A06225" w:rsidRDefault="0026553F">
          <w:pPr>
            <w:pStyle w:val="Header"/>
            <w:spacing w:line="276" w:lineRule="auto"/>
            <w:rPr>
              <w:rFonts w:ascii="Cambria" w:eastAsia="MS Gothic" w:hAnsi="Cambria"/>
              <w:b/>
              <w:bCs/>
              <w:color w:val="4F81BD"/>
            </w:rPr>
          </w:pPr>
        </w:p>
      </w:tc>
      <w:tc>
        <w:tcPr>
          <w:tcW w:w="0" w:type="auto"/>
          <w:vMerge/>
          <w:vAlign w:val="center"/>
          <w:hideMark/>
        </w:tcPr>
        <w:p w:rsidR="0026553F" w:rsidRPr="00A06225" w:rsidRDefault="0026553F">
          <w:pPr>
            <w:rPr>
              <w:rFonts w:ascii="Cambria" w:hAnsi="Cambria"/>
              <w:color w:val="4F81BD"/>
              <w:sz w:val="22"/>
              <w:szCs w:val="22"/>
            </w:rPr>
          </w:pPr>
        </w:p>
      </w:tc>
      <w:tc>
        <w:tcPr>
          <w:tcW w:w="2278" w:type="pct"/>
          <w:tcBorders>
            <w:top w:val="single" w:sz="4" w:space="0" w:color="4F81BD"/>
            <w:left w:val="nil"/>
            <w:bottom w:val="nil"/>
            <w:right w:val="nil"/>
          </w:tcBorders>
        </w:tcPr>
        <w:p w:rsidR="0026553F" w:rsidRPr="00A06225" w:rsidRDefault="0026553F">
          <w:pPr>
            <w:pStyle w:val="Header"/>
            <w:spacing w:line="276" w:lineRule="auto"/>
            <w:rPr>
              <w:rFonts w:ascii="Cambria" w:eastAsia="MS Gothic" w:hAnsi="Cambria"/>
              <w:b/>
              <w:bCs/>
              <w:color w:val="4F81BD"/>
            </w:rPr>
          </w:pPr>
        </w:p>
      </w:tc>
    </w:tr>
  </w:tbl>
  <w:p w:rsidR="0026553F" w:rsidRDefault="0026553F">
    <w:pPr>
      <w:pStyle w:val="Header"/>
    </w:pPr>
  </w:p>
  <w:p w:rsidR="0026553F" w:rsidRDefault="002655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7E" w:rsidRPr="00DF217D" w:rsidRDefault="00432B7E" w:rsidP="00432B7E">
    <w:pPr>
      <w:pStyle w:val="Header"/>
      <w:ind w:left="360"/>
      <w:jc w:val="center"/>
      <w:rPr>
        <w:rFonts w:ascii="Arial" w:hAnsi="Arial" w:cs="Arial"/>
        <w:i/>
        <w:color w:val="808080"/>
        <w:sz w:val="22"/>
      </w:rPr>
    </w:pPr>
    <w:r w:rsidRPr="00E810C7">
      <w:rPr>
        <w:rFonts w:ascii="Arial" w:hAnsi="Arial" w:cs="Arial"/>
        <w:i/>
        <w:color w:val="808080"/>
        <w:sz w:val="22"/>
        <w:szCs w:val="22"/>
      </w:rPr>
      <w:t>Public Summary Document –</w:t>
    </w:r>
    <w:r w:rsidRPr="00DF217D">
      <w:rPr>
        <w:rFonts w:ascii="Arial" w:hAnsi="Arial" w:cs="Arial"/>
        <w:i/>
        <w:color w:val="808080"/>
        <w:sz w:val="22"/>
      </w:rPr>
      <w:t xml:space="preserve"> </w:t>
    </w:r>
    <w:r>
      <w:rPr>
        <w:rFonts w:ascii="Arial" w:hAnsi="Arial" w:cs="Arial"/>
        <w:i/>
        <w:color w:val="808080"/>
        <w:sz w:val="22"/>
      </w:rPr>
      <w:t xml:space="preserve">November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26553F" w:rsidRDefault="0026553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5D" w:rsidRDefault="00CB2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1156A5C"/>
    <w:multiLevelType w:val="hybridMultilevel"/>
    <w:tmpl w:val="2F9E0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22C24AD"/>
    <w:multiLevelType w:val="hybridMultilevel"/>
    <w:tmpl w:val="9424A7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1">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2">
    <w:nsid w:val="44BF28CF"/>
    <w:multiLevelType w:val="hybridMultilevel"/>
    <w:tmpl w:val="A11A0B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8">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7A35E11"/>
    <w:multiLevelType w:val="hybridMultilevel"/>
    <w:tmpl w:val="03C4C61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094608B"/>
    <w:multiLevelType w:val="multilevel"/>
    <w:tmpl w:val="EE689DF8"/>
    <w:lvl w:ilvl="0">
      <w:start w:val="2"/>
      <w:numFmt w:val="decimal"/>
      <w:lvlText w:val="%1"/>
      <w:lvlJc w:val="left"/>
      <w:pPr>
        <w:ind w:left="720" w:hanging="720"/>
      </w:pPr>
      <w:rPr>
        <w:rFonts w:hint="default"/>
        <w:b/>
      </w:rPr>
    </w:lvl>
    <w:lvl w:ilvl="1">
      <w:start w:val="3"/>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EB5E64"/>
    <w:multiLevelType w:val="hybridMultilevel"/>
    <w:tmpl w:val="C2107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9">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1">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4">
    <w:nsid w:val="784D033C"/>
    <w:multiLevelType w:val="multilevel"/>
    <w:tmpl w:val="B1FC8DA4"/>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0"/>
  </w:num>
  <w:num w:numId="5">
    <w:abstractNumId w:val="6"/>
  </w:num>
  <w:num w:numId="6">
    <w:abstractNumId w:val="21"/>
  </w:num>
  <w:num w:numId="7">
    <w:abstractNumId w:val="18"/>
  </w:num>
  <w:num w:numId="8">
    <w:abstractNumId w:val="5"/>
  </w:num>
  <w:num w:numId="9">
    <w:abstractNumId w:val="8"/>
  </w:num>
  <w:num w:numId="10">
    <w:abstractNumId w:val="3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1"/>
  </w:num>
  <w:num w:numId="15">
    <w:abstractNumId w:val="30"/>
  </w:num>
  <w:num w:numId="16">
    <w:abstractNumId w:val="26"/>
  </w:num>
  <w:num w:numId="17">
    <w:abstractNumId w:val="43"/>
  </w:num>
  <w:num w:numId="18">
    <w:abstractNumId w:val="15"/>
  </w:num>
  <w:num w:numId="19">
    <w:abstractNumId w:val="20"/>
  </w:num>
  <w:num w:numId="20">
    <w:abstractNumId w:val="4"/>
  </w:num>
  <w:num w:numId="21">
    <w:abstractNumId w:val="35"/>
  </w:num>
  <w:num w:numId="22">
    <w:abstractNumId w:val="39"/>
  </w:num>
  <w:num w:numId="23">
    <w:abstractNumId w:val="45"/>
  </w:num>
  <w:num w:numId="24">
    <w:abstractNumId w:val="17"/>
  </w:num>
  <w:num w:numId="25">
    <w:abstractNumId w:val="44"/>
  </w:num>
  <w:num w:numId="26">
    <w:abstractNumId w:val="32"/>
  </w:num>
  <w:num w:numId="27">
    <w:abstractNumId w:val="12"/>
  </w:num>
  <w:num w:numId="28">
    <w:abstractNumId w:val="7"/>
  </w:num>
  <w:num w:numId="29">
    <w:abstractNumId w:val="28"/>
  </w:num>
  <w:num w:numId="30">
    <w:abstractNumId w:val="3"/>
  </w:num>
  <w:num w:numId="31">
    <w:abstractNumId w:val="29"/>
  </w:num>
  <w:num w:numId="32">
    <w:abstractNumId w:val="42"/>
  </w:num>
  <w:num w:numId="33">
    <w:abstractNumId w:val="27"/>
  </w:num>
  <w:num w:numId="34">
    <w:abstractNumId w:val="46"/>
  </w:num>
  <w:num w:numId="35">
    <w:abstractNumId w:val="11"/>
  </w:num>
  <w:num w:numId="36">
    <w:abstractNumId w:val="25"/>
  </w:num>
  <w:num w:numId="37">
    <w:abstractNumId w:val="33"/>
  </w:num>
  <w:num w:numId="38">
    <w:abstractNumId w:val="9"/>
  </w:num>
  <w:num w:numId="39">
    <w:abstractNumId w:val="19"/>
  </w:num>
  <w:num w:numId="40">
    <w:abstractNumId w:val="1"/>
  </w:num>
  <w:num w:numId="41">
    <w:abstractNumId w:val="16"/>
  </w:num>
  <w:num w:numId="42">
    <w:abstractNumId w:val="37"/>
  </w:num>
  <w:num w:numId="43">
    <w:abstractNumId w:val="2"/>
  </w:num>
  <w:num w:numId="44">
    <w:abstractNumId w:val="22"/>
  </w:num>
  <w:num w:numId="45">
    <w:abstractNumId w:val="36"/>
  </w:num>
  <w:num w:numId="46">
    <w:abstractNumId w:val="13"/>
  </w:num>
  <w:num w:numId="47">
    <w:abstractNumId w:val="14"/>
  </w:num>
  <w:num w:numId="48">
    <w:abstractNumId w:val="31"/>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51CA2"/>
    <w:rsid w:val="00060E64"/>
    <w:rsid w:val="0006342E"/>
    <w:rsid w:val="00066755"/>
    <w:rsid w:val="00085B93"/>
    <w:rsid w:val="00093FD0"/>
    <w:rsid w:val="000969AD"/>
    <w:rsid w:val="000B558D"/>
    <w:rsid w:val="000C420B"/>
    <w:rsid w:val="000C6996"/>
    <w:rsid w:val="000D23BA"/>
    <w:rsid w:val="000D5B2E"/>
    <w:rsid w:val="000E681E"/>
    <w:rsid w:val="000F4E6A"/>
    <w:rsid w:val="00107796"/>
    <w:rsid w:val="001107BF"/>
    <w:rsid w:val="001179AF"/>
    <w:rsid w:val="0012417C"/>
    <w:rsid w:val="0013139A"/>
    <w:rsid w:val="001348E0"/>
    <w:rsid w:val="0013707F"/>
    <w:rsid w:val="00142395"/>
    <w:rsid w:val="00142714"/>
    <w:rsid w:val="001452ED"/>
    <w:rsid w:val="0014786A"/>
    <w:rsid w:val="001830CE"/>
    <w:rsid w:val="00190031"/>
    <w:rsid w:val="00196307"/>
    <w:rsid w:val="001B017F"/>
    <w:rsid w:val="001B5129"/>
    <w:rsid w:val="001C1195"/>
    <w:rsid w:val="001D7AA2"/>
    <w:rsid w:val="001E7B36"/>
    <w:rsid w:val="00213CFB"/>
    <w:rsid w:val="00220588"/>
    <w:rsid w:val="00225B13"/>
    <w:rsid w:val="00232729"/>
    <w:rsid w:val="0026553F"/>
    <w:rsid w:val="00265F34"/>
    <w:rsid w:val="002675BD"/>
    <w:rsid w:val="002703AC"/>
    <w:rsid w:val="00271BA1"/>
    <w:rsid w:val="00277505"/>
    <w:rsid w:val="002836BC"/>
    <w:rsid w:val="0029255A"/>
    <w:rsid w:val="00292F49"/>
    <w:rsid w:val="00293023"/>
    <w:rsid w:val="0029458F"/>
    <w:rsid w:val="00296551"/>
    <w:rsid w:val="002A104C"/>
    <w:rsid w:val="002A4960"/>
    <w:rsid w:val="002B1AE6"/>
    <w:rsid w:val="002B30F8"/>
    <w:rsid w:val="002B6559"/>
    <w:rsid w:val="002C07E9"/>
    <w:rsid w:val="002C212F"/>
    <w:rsid w:val="002D7A11"/>
    <w:rsid w:val="002E3153"/>
    <w:rsid w:val="002E6F38"/>
    <w:rsid w:val="002E72CA"/>
    <w:rsid w:val="00300FEF"/>
    <w:rsid w:val="003120F9"/>
    <w:rsid w:val="00325C2A"/>
    <w:rsid w:val="00326E79"/>
    <w:rsid w:val="00326F76"/>
    <w:rsid w:val="003367EF"/>
    <w:rsid w:val="00340409"/>
    <w:rsid w:val="00341AE4"/>
    <w:rsid w:val="00346F29"/>
    <w:rsid w:val="003600BE"/>
    <w:rsid w:val="00363259"/>
    <w:rsid w:val="003774DA"/>
    <w:rsid w:val="0038078C"/>
    <w:rsid w:val="003872CF"/>
    <w:rsid w:val="00392136"/>
    <w:rsid w:val="0039782C"/>
    <w:rsid w:val="003A01AE"/>
    <w:rsid w:val="003A0810"/>
    <w:rsid w:val="003A5B4A"/>
    <w:rsid w:val="003B23C5"/>
    <w:rsid w:val="003B2A75"/>
    <w:rsid w:val="003B6E1F"/>
    <w:rsid w:val="003C7ADB"/>
    <w:rsid w:val="003D4AC4"/>
    <w:rsid w:val="003D63B7"/>
    <w:rsid w:val="003E468B"/>
    <w:rsid w:val="003F5C8C"/>
    <w:rsid w:val="00432B7E"/>
    <w:rsid w:val="004465BD"/>
    <w:rsid w:val="00466ADA"/>
    <w:rsid w:val="00476245"/>
    <w:rsid w:val="00481A11"/>
    <w:rsid w:val="00485940"/>
    <w:rsid w:val="004A3D03"/>
    <w:rsid w:val="004A5A85"/>
    <w:rsid w:val="004B5640"/>
    <w:rsid w:val="004C1BD7"/>
    <w:rsid w:val="004C691D"/>
    <w:rsid w:val="004C787D"/>
    <w:rsid w:val="004D64B6"/>
    <w:rsid w:val="004E3968"/>
    <w:rsid w:val="004E692D"/>
    <w:rsid w:val="004F76F9"/>
    <w:rsid w:val="00501554"/>
    <w:rsid w:val="00514CD7"/>
    <w:rsid w:val="0052072C"/>
    <w:rsid w:val="005229D7"/>
    <w:rsid w:val="005319B2"/>
    <w:rsid w:val="00532C74"/>
    <w:rsid w:val="00533B6C"/>
    <w:rsid w:val="00534E2E"/>
    <w:rsid w:val="005376FB"/>
    <w:rsid w:val="00544552"/>
    <w:rsid w:val="00544CB0"/>
    <w:rsid w:val="00557A49"/>
    <w:rsid w:val="00581932"/>
    <w:rsid w:val="00582577"/>
    <w:rsid w:val="005963BB"/>
    <w:rsid w:val="005974CD"/>
    <w:rsid w:val="005A3173"/>
    <w:rsid w:val="005A3223"/>
    <w:rsid w:val="005A3DA3"/>
    <w:rsid w:val="005A52C4"/>
    <w:rsid w:val="005D03AB"/>
    <w:rsid w:val="005D5017"/>
    <w:rsid w:val="005D58EF"/>
    <w:rsid w:val="00601A91"/>
    <w:rsid w:val="00602BA3"/>
    <w:rsid w:val="00607D5A"/>
    <w:rsid w:val="00611A07"/>
    <w:rsid w:val="00612D38"/>
    <w:rsid w:val="00614159"/>
    <w:rsid w:val="00617C00"/>
    <w:rsid w:val="00617E6D"/>
    <w:rsid w:val="0062258F"/>
    <w:rsid w:val="006263BF"/>
    <w:rsid w:val="0062748A"/>
    <w:rsid w:val="00630A2C"/>
    <w:rsid w:val="00651169"/>
    <w:rsid w:val="00651B14"/>
    <w:rsid w:val="00653D69"/>
    <w:rsid w:val="00670A76"/>
    <w:rsid w:val="00671189"/>
    <w:rsid w:val="006711AA"/>
    <w:rsid w:val="00672B57"/>
    <w:rsid w:val="006748C9"/>
    <w:rsid w:val="0067493A"/>
    <w:rsid w:val="00675622"/>
    <w:rsid w:val="00680F28"/>
    <w:rsid w:val="006906DB"/>
    <w:rsid w:val="006A12A5"/>
    <w:rsid w:val="006A4C37"/>
    <w:rsid w:val="006B0D94"/>
    <w:rsid w:val="006B1814"/>
    <w:rsid w:val="006B485D"/>
    <w:rsid w:val="006C1CF6"/>
    <w:rsid w:val="006C708E"/>
    <w:rsid w:val="006D07BD"/>
    <w:rsid w:val="006D6EC7"/>
    <w:rsid w:val="006E0670"/>
    <w:rsid w:val="006F31F0"/>
    <w:rsid w:val="006F5125"/>
    <w:rsid w:val="006F749B"/>
    <w:rsid w:val="007174BB"/>
    <w:rsid w:val="00747F43"/>
    <w:rsid w:val="00757722"/>
    <w:rsid w:val="0076420C"/>
    <w:rsid w:val="007753C2"/>
    <w:rsid w:val="007838B8"/>
    <w:rsid w:val="00790BFF"/>
    <w:rsid w:val="007B520A"/>
    <w:rsid w:val="007B6F2A"/>
    <w:rsid w:val="007C01FB"/>
    <w:rsid w:val="007C0F57"/>
    <w:rsid w:val="007C40B6"/>
    <w:rsid w:val="007C4D9C"/>
    <w:rsid w:val="007C4F1D"/>
    <w:rsid w:val="007C729F"/>
    <w:rsid w:val="007C7D8C"/>
    <w:rsid w:val="007D538B"/>
    <w:rsid w:val="007D5C08"/>
    <w:rsid w:val="007E07EF"/>
    <w:rsid w:val="007E1D28"/>
    <w:rsid w:val="007E47B5"/>
    <w:rsid w:val="007F2641"/>
    <w:rsid w:val="007F7C36"/>
    <w:rsid w:val="00806796"/>
    <w:rsid w:val="00812DF7"/>
    <w:rsid w:val="008264A1"/>
    <w:rsid w:val="00826F6D"/>
    <w:rsid w:val="00833C3A"/>
    <w:rsid w:val="00856DDD"/>
    <w:rsid w:val="00860A5C"/>
    <w:rsid w:val="00863E68"/>
    <w:rsid w:val="00882085"/>
    <w:rsid w:val="00883188"/>
    <w:rsid w:val="00897D58"/>
    <w:rsid w:val="008A1956"/>
    <w:rsid w:val="008A4937"/>
    <w:rsid w:val="008B096F"/>
    <w:rsid w:val="008C3EBA"/>
    <w:rsid w:val="008C77DA"/>
    <w:rsid w:val="008D14E7"/>
    <w:rsid w:val="008D3C82"/>
    <w:rsid w:val="008D439E"/>
    <w:rsid w:val="008D447E"/>
    <w:rsid w:val="008D54E0"/>
    <w:rsid w:val="008D59FD"/>
    <w:rsid w:val="008D7A41"/>
    <w:rsid w:val="008E3680"/>
    <w:rsid w:val="008E5870"/>
    <w:rsid w:val="008F1434"/>
    <w:rsid w:val="008F7355"/>
    <w:rsid w:val="00902CC7"/>
    <w:rsid w:val="009067B7"/>
    <w:rsid w:val="00925458"/>
    <w:rsid w:val="00926974"/>
    <w:rsid w:val="00930937"/>
    <w:rsid w:val="00930C62"/>
    <w:rsid w:val="00932A77"/>
    <w:rsid w:val="00933E6C"/>
    <w:rsid w:val="009406EA"/>
    <w:rsid w:val="00942160"/>
    <w:rsid w:val="00943B9B"/>
    <w:rsid w:val="00950CF4"/>
    <w:rsid w:val="00951FA4"/>
    <w:rsid w:val="009602C5"/>
    <w:rsid w:val="00962A0F"/>
    <w:rsid w:val="00964C23"/>
    <w:rsid w:val="00974C21"/>
    <w:rsid w:val="00984540"/>
    <w:rsid w:val="00996AC2"/>
    <w:rsid w:val="009A7D55"/>
    <w:rsid w:val="009B0F67"/>
    <w:rsid w:val="009B1B34"/>
    <w:rsid w:val="009C703C"/>
    <w:rsid w:val="009D3CAA"/>
    <w:rsid w:val="009D5178"/>
    <w:rsid w:val="009E0CAA"/>
    <w:rsid w:val="009E1670"/>
    <w:rsid w:val="009E446A"/>
    <w:rsid w:val="009E5B5B"/>
    <w:rsid w:val="009F4E46"/>
    <w:rsid w:val="009F5B65"/>
    <w:rsid w:val="009F5F2E"/>
    <w:rsid w:val="009F7D91"/>
    <w:rsid w:val="00A06225"/>
    <w:rsid w:val="00A128E6"/>
    <w:rsid w:val="00A23388"/>
    <w:rsid w:val="00A30374"/>
    <w:rsid w:val="00A37C8D"/>
    <w:rsid w:val="00A464E1"/>
    <w:rsid w:val="00A5132D"/>
    <w:rsid w:val="00A5273B"/>
    <w:rsid w:val="00A53A9D"/>
    <w:rsid w:val="00A55FEE"/>
    <w:rsid w:val="00A62C1A"/>
    <w:rsid w:val="00A6426D"/>
    <w:rsid w:val="00A70622"/>
    <w:rsid w:val="00A70977"/>
    <w:rsid w:val="00A757A9"/>
    <w:rsid w:val="00A8390C"/>
    <w:rsid w:val="00A86E9C"/>
    <w:rsid w:val="00A928BD"/>
    <w:rsid w:val="00AA4D1C"/>
    <w:rsid w:val="00AB5F0C"/>
    <w:rsid w:val="00AC5206"/>
    <w:rsid w:val="00AD2FFB"/>
    <w:rsid w:val="00AD5226"/>
    <w:rsid w:val="00AE11A5"/>
    <w:rsid w:val="00AE13E2"/>
    <w:rsid w:val="00AE3196"/>
    <w:rsid w:val="00AF0C02"/>
    <w:rsid w:val="00AF12F2"/>
    <w:rsid w:val="00AF68CC"/>
    <w:rsid w:val="00B205AA"/>
    <w:rsid w:val="00B22E84"/>
    <w:rsid w:val="00B25F75"/>
    <w:rsid w:val="00B261BC"/>
    <w:rsid w:val="00B406F2"/>
    <w:rsid w:val="00B43E90"/>
    <w:rsid w:val="00B56118"/>
    <w:rsid w:val="00B6773F"/>
    <w:rsid w:val="00B6798C"/>
    <w:rsid w:val="00B728CD"/>
    <w:rsid w:val="00B801BA"/>
    <w:rsid w:val="00B84E1D"/>
    <w:rsid w:val="00BB69F5"/>
    <w:rsid w:val="00BB7EC3"/>
    <w:rsid w:val="00BC4B9A"/>
    <w:rsid w:val="00BC50B3"/>
    <w:rsid w:val="00BC5FBE"/>
    <w:rsid w:val="00BD05E5"/>
    <w:rsid w:val="00BD784C"/>
    <w:rsid w:val="00BF052B"/>
    <w:rsid w:val="00BF4CB6"/>
    <w:rsid w:val="00C00DA7"/>
    <w:rsid w:val="00C078A0"/>
    <w:rsid w:val="00C12768"/>
    <w:rsid w:val="00C27B58"/>
    <w:rsid w:val="00C35996"/>
    <w:rsid w:val="00C364E5"/>
    <w:rsid w:val="00C453E6"/>
    <w:rsid w:val="00C5342C"/>
    <w:rsid w:val="00C6256A"/>
    <w:rsid w:val="00C7768B"/>
    <w:rsid w:val="00C85A11"/>
    <w:rsid w:val="00C91237"/>
    <w:rsid w:val="00C91449"/>
    <w:rsid w:val="00C92D10"/>
    <w:rsid w:val="00C967CE"/>
    <w:rsid w:val="00C96994"/>
    <w:rsid w:val="00CB285D"/>
    <w:rsid w:val="00CD0577"/>
    <w:rsid w:val="00CE10C4"/>
    <w:rsid w:val="00CE27B5"/>
    <w:rsid w:val="00CE4A16"/>
    <w:rsid w:val="00D0321E"/>
    <w:rsid w:val="00D04806"/>
    <w:rsid w:val="00D1455A"/>
    <w:rsid w:val="00D22134"/>
    <w:rsid w:val="00D3280C"/>
    <w:rsid w:val="00D3350D"/>
    <w:rsid w:val="00D33F8C"/>
    <w:rsid w:val="00D3406A"/>
    <w:rsid w:val="00D3655A"/>
    <w:rsid w:val="00D45ACB"/>
    <w:rsid w:val="00D469B2"/>
    <w:rsid w:val="00D47D8D"/>
    <w:rsid w:val="00D62FD3"/>
    <w:rsid w:val="00D741EB"/>
    <w:rsid w:val="00D81C6F"/>
    <w:rsid w:val="00D84934"/>
    <w:rsid w:val="00D91271"/>
    <w:rsid w:val="00DA2CB5"/>
    <w:rsid w:val="00DA4BAC"/>
    <w:rsid w:val="00DB63C8"/>
    <w:rsid w:val="00DD4320"/>
    <w:rsid w:val="00DD69A3"/>
    <w:rsid w:val="00DE6954"/>
    <w:rsid w:val="00DE6D27"/>
    <w:rsid w:val="00DF217D"/>
    <w:rsid w:val="00DF26A7"/>
    <w:rsid w:val="00DF47AE"/>
    <w:rsid w:val="00E058CD"/>
    <w:rsid w:val="00E164B3"/>
    <w:rsid w:val="00E16910"/>
    <w:rsid w:val="00E24521"/>
    <w:rsid w:val="00E33001"/>
    <w:rsid w:val="00E65E54"/>
    <w:rsid w:val="00E76089"/>
    <w:rsid w:val="00E80155"/>
    <w:rsid w:val="00E848C0"/>
    <w:rsid w:val="00E85960"/>
    <w:rsid w:val="00E91B96"/>
    <w:rsid w:val="00E923B8"/>
    <w:rsid w:val="00E941A1"/>
    <w:rsid w:val="00E95CE3"/>
    <w:rsid w:val="00E97838"/>
    <w:rsid w:val="00EA2825"/>
    <w:rsid w:val="00EB5088"/>
    <w:rsid w:val="00EC25C2"/>
    <w:rsid w:val="00ED1644"/>
    <w:rsid w:val="00EE5ED0"/>
    <w:rsid w:val="00EF3E64"/>
    <w:rsid w:val="00EF44A0"/>
    <w:rsid w:val="00EF4FED"/>
    <w:rsid w:val="00EF6E31"/>
    <w:rsid w:val="00F0260C"/>
    <w:rsid w:val="00F050BD"/>
    <w:rsid w:val="00F0555A"/>
    <w:rsid w:val="00F05657"/>
    <w:rsid w:val="00F0763B"/>
    <w:rsid w:val="00F13DE7"/>
    <w:rsid w:val="00F14463"/>
    <w:rsid w:val="00F242AA"/>
    <w:rsid w:val="00F25578"/>
    <w:rsid w:val="00F258E5"/>
    <w:rsid w:val="00F300BC"/>
    <w:rsid w:val="00F3334E"/>
    <w:rsid w:val="00F35E26"/>
    <w:rsid w:val="00F41E0F"/>
    <w:rsid w:val="00F50EC4"/>
    <w:rsid w:val="00F57A6D"/>
    <w:rsid w:val="00F638CC"/>
    <w:rsid w:val="00F64004"/>
    <w:rsid w:val="00F64CC1"/>
    <w:rsid w:val="00F81786"/>
    <w:rsid w:val="00F8247A"/>
    <w:rsid w:val="00F90097"/>
    <w:rsid w:val="00F9629A"/>
    <w:rsid w:val="00F97ED7"/>
    <w:rsid w:val="00FA5883"/>
    <w:rsid w:val="00FA6055"/>
    <w:rsid w:val="00FB322F"/>
    <w:rsid w:val="00FB442F"/>
    <w:rsid w:val="00FC0BF2"/>
    <w:rsid w:val="00FC1929"/>
    <w:rsid w:val="00FC5B46"/>
    <w:rsid w:val="00FF00BD"/>
    <w:rsid w:val="00FF134A"/>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96994"/>
    <w:pPr>
      <w:numPr>
        <w:numId w:val="25"/>
      </w:numPr>
      <w:jc w:val="both"/>
      <w:outlineLvl w:val="0"/>
    </w:pPr>
    <w:rPr>
      <w:rFonts w:ascii="Arial" w:hAnsi="Arial"/>
      <w:b/>
      <w:sz w:val="22"/>
      <w:szCs w:val="22"/>
    </w:rPr>
  </w:style>
  <w:style w:type="paragraph" w:styleId="Heading2">
    <w:name w:val="heading 2"/>
    <w:basedOn w:val="Normal"/>
    <w:next w:val="Normal"/>
    <w:qFormat/>
    <w:rsid w:val="00C96994"/>
    <w:pPr>
      <w:jc w:val="both"/>
      <w:outlineLvl w:val="1"/>
    </w:pPr>
    <w:rPr>
      <w:rFonts w:ascii="Arial" w:hAnsi="Arial" w:cs="Arial"/>
      <w:b/>
      <w:bCs/>
      <w:snapToGrid w:val="0"/>
      <w:sz w:val="22"/>
      <w:szCs w:val="22"/>
      <w:lang w:val="en-GB"/>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Footnote,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TableText0">
    <w:name w:val="Table Text"/>
    <w:basedOn w:val="Normal"/>
    <w:link w:val="TableTextChar"/>
    <w:qFormat/>
    <w:rsid w:val="005D58EF"/>
    <w:rPr>
      <w:rFonts w:ascii="Arial" w:eastAsia="SimSun" w:hAnsi="Arial"/>
      <w:sz w:val="20"/>
      <w:szCs w:val="20"/>
      <w:lang w:eastAsia="zh-CN"/>
    </w:rPr>
  </w:style>
  <w:style w:type="character" w:customStyle="1" w:styleId="TableTextChar">
    <w:name w:val="Table Text Char"/>
    <w:link w:val="TableText0"/>
    <w:rsid w:val="005D58EF"/>
    <w:rPr>
      <w:rFonts w:ascii="Arial" w:eastAsia="SimSun" w:hAnsi="Arial"/>
      <w:lang w:eastAsia="zh-CN"/>
    </w:rPr>
  </w:style>
  <w:style w:type="character" w:customStyle="1" w:styleId="ListParagraphChar">
    <w:name w:val="List Paragraph Char"/>
    <w:aliases w:val="Footnote Char,BulletPoints Char"/>
    <w:basedOn w:val="DefaultParagraphFont"/>
    <w:link w:val="ListParagraph"/>
    <w:uiPriority w:val="72"/>
    <w:rsid w:val="005D58EF"/>
    <w:rPr>
      <w:sz w:val="24"/>
      <w:szCs w:val="24"/>
    </w:rPr>
  </w:style>
  <w:style w:type="paragraph" w:styleId="EndnoteText">
    <w:name w:val="endnote text"/>
    <w:basedOn w:val="Normal"/>
    <w:link w:val="EndnoteTextChar"/>
    <w:rsid w:val="00932A77"/>
    <w:rPr>
      <w:sz w:val="20"/>
      <w:szCs w:val="20"/>
    </w:rPr>
  </w:style>
  <w:style w:type="character" w:customStyle="1" w:styleId="EndnoteTextChar">
    <w:name w:val="Endnote Text Char"/>
    <w:basedOn w:val="DefaultParagraphFont"/>
    <w:link w:val="EndnoteText"/>
    <w:rsid w:val="00932A77"/>
  </w:style>
  <w:style w:type="character" w:styleId="EndnoteReference">
    <w:name w:val="endnote reference"/>
    <w:basedOn w:val="DefaultParagraphFont"/>
    <w:rsid w:val="00932A77"/>
    <w:rPr>
      <w:vertAlign w:val="superscript"/>
    </w:rPr>
  </w:style>
  <w:style w:type="paragraph" w:styleId="FootnoteText">
    <w:name w:val="footnote text"/>
    <w:basedOn w:val="Normal"/>
    <w:link w:val="FootnoteTextChar"/>
    <w:rsid w:val="00932A77"/>
    <w:rPr>
      <w:sz w:val="20"/>
      <w:szCs w:val="20"/>
    </w:rPr>
  </w:style>
  <w:style w:type="character" w:customStyle="1" w:styleId="FootnoteTextChar">
    <w:name w:val="Footnote Text Char"/>
    <w:basedOn w:val="DefaultParagraphFont"/>
    <w:link w:val="FootnoteText"/>
    <w:rsid w:val="00932A77"/>
  </w:style>
  <w:style w:type="character" w:styleId="FootnoteReference">
    <w:name w:val="footnote reference"/>
    <w:basedOn w:val="DefaultParagraphFont"/>
    <w:rsid w:val="00932A77"/>
    <w:rPr>
      <w:vertAlign w:val="superscript"/>
    </w:rPr>
  </w:style>
  <w:style w:type="paragraph" w:styleId="Title">
    <w:name w:val="Title"/>
    <w:link w:val="TitleChar"/>
    <w:qFormat/>
    <w:rsid w:val="00943B9B"/>
    <w:pPr>
      <w:ind w:left="720" w:hanging="720"/>
      <w:outlineLvl w:val="0"/>
    </w:pPr>
    <w:rPr>
      <w:rFonts w:ascii="Arial" w:hAnsi="Arial" w:cs="Arial"/>
      <w:b/>
      <w:bCs/>
      <w:snapToGrid w:val="0"/>
      <w:sz w:val="28"/>
      <w:szCs w:val="28"/>
      <w:lang w:val="en-GB"/>
    </w:rPr>
  </w:style>
  <w:style w:type="character" w:customStyle="1" w:styleId="TitleChar">
    <w:name w:val="Title Char"/>
    <w:basedOn w:val="DefaultParagraphFont"/>
    <w:link w:val="Title"/>
    <w:rsid w:val="00943B9B"/>
    <w:rPr>
      <w:rFonts w:ascii="Arial" w:hAnsi="Arial" w:cs="Arial"/>
      <w:b/>
      <w:bCs/>
      <w:snapToGrid w:val="0"/>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96994"/>
    <w:pPr>
      <w:numPr>
        <w:numId w:val="25"/>
      </w:numPr>
      <w:jc w:val="both"/>
      <w:outlineLvl w:val="0"/>
    </w:pPr>
    <w:rPr>
      <w:rFonts w:ascii="Arial" w:hAnsi="Arial"/>
      <w:b/>
      <w:sz w:val="22"/>
      <w:szCs w:val="22"/>
    </w:rPr>
  </w:style>
  <w:style w:type="paragraph" w:styleId="Heading2">
    <w:name w:val="heading 2"/>
    <w:basedOn w:val="Normal"/>
    <w:next w:val="Normal"/>
    <w:qFormat/>
    <w:rsid w:val="00C96994"/>
    <w:pPr>
      <w:jc w:val="both"/>
      <w:outlineLvl w:val="1"/>
    </w:pPr>
    <w:rPr>
      <w:rFonts w:ascii="Arial" w:hAnsi="Arial" w:cs="Arial"/>
      <w:b/>
      <w:bCs/>
      <w:snapToGrid w:val="0"/>
      <w:sz w:val="22"/>
      <w:szCs w:val="22"/>
      <w:lang w:val="en-GB"/>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Footnote,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TableText0">
    <w:name w:val="Table Text"/>
    <w:basedOn w:val="Normal"/>
    <w:link w:val="TableTextChar"/>
    <w:qFormat/>
    <w:rsid w:val="005D58EF"/>
    <w:rPr>
      <w:rFonts w:ascii="Arial" w:eastAsia="SimSun" w:hAnsi="Arial"/>
      <w:sz w:val="20"/>
      <w:szCs w:val="20"/>
      <w:lang w:eastAsia="zh-CN"/>
    </w:rPr>
  </w:style>
  <w:style w:type="character" w:customStyle="1" w:styleId="TableTextChar">
    <w:name w:val="Table Text Char"/>
    <w:link w:val="TableText0"/>
    <w:rsid w:val="005D58EF"/>
    <w:rPr>
      <w:rFonts w:ascii="Arial" w:eastAsia="SimSun" w:hAnsi="Arial"/>
      <w:lang w:eastAsia="zh-CN"/>
    </w:rPr>
  </w:style>
  <w:style w:type="character" w:customStyle="1" w:styleId="ListParagraphChar">
    <w:name w:val="List Paragraph Char"/>
    <w:aliases w:val="Footnote Char,BulletPoints Char"/>
    <w:basedOn w:val="DefaultParagraphFont"/>
    <w:link w:val="ListParagraph"/>
    <w:uiPriority w:val="72"/>
    <w:rsid w:val="005D58EF"/>
    <w:rPr>
      <w:sz w:val="24"/>
      <w:szCs w:val="24"/>
    </w:rPr>
  </w:style>
  <w:style w:type="paragraph" w:styleId="EndnoteText">
    <w:name w:val="endnote text"/>
    <w:basedOn w:val="Normal"/>
    <w:link w:val="EndnoteTextChar"/>
    <w:rsid w:val="00932A77"/>
    <w:rPr>
      <w:sz w:val="20"/>
      <w:szCs w:val="20"/>
    </w:rPr>
  </w:style>
  <w:style w:type="character" w:customStyle="1" w:styleId="EndnoteTextChar">
    <w:name w:val="Endnote Text Char"/>
    <w:basedOn w:val="DefaultParagraphFont"/>
    <w:link w:val="EndnoteText"/>
    <w:rsid w:val="00932A77"/>
  </w:style>
  <w:style w:type="character" w:styleId="EndnoteReference">
    <w:name w:val="endnote reference"/>
    <w:basedOn w:val="DefaultParagraphFont"/>
    <w:rsid w:val="00932A77"/>
    <w:rPr>
      <w:vertAlign w:val="superscript"/>
    </w:rPr>
  </w:style>
  <w:style w:type="paragraph" w:styleId="FootnoteText">
    <w:name w:val="footnote text"/>
    <w:basedOn w:val="Normal"/>
    <w:link w:val="FootnoteTextChar"/>
    <w:rsid w:val="00932A77"/>
    <w:rPr>
      <w:sz w:val="20"/>
      <w:szCs w:val="20"/>
    </w:rPr>
  </w:style>
  <w:style w:type="character" w:customStyle="1" w:styleId="FootnoteTextChar">
    <w:name w:val="Footnote Text Char"/>
    <w:basedOn w:val="DefaultParagraphFont"/>
    <w:link w:val="FootnoteText"/>
    <w:rsid w:val="00932A77"/>
  </w:style>
  <w:style w:type="character" w:styleId="FootnoteReference">
    <w:name w:val="footnote reference"/>
    <w:basedOn w:val="DefaultParagraphFont"/>
    <w:rsid w:val="00932A77"/>
    <w:rPr>
      <w:vertAlign w:val="superscript"/>
    </w:rPr>
  </w:style>
  <w:style w:type="paragraph" w:styleId="Title">
    <w:name w:val="Title"/>
    <w:link w:val="TitleChar"/>
    <w:qFormat/>
    <w:rsid w:val="00943B9B"/>
    <w:pPr>
      <w:ind w:left="720" w:hanging="720"/>
      <w:outlineLvl w:val="0"/>
    </w:pPr>
    <w:rPr>
      <w:rFonts w:ascii="Arial" w:hAnsi="Arial" w:cs="Arial"/>
      <w:b/>
      <w:bCs/>
      <w:snapToGrid w:val="0"/>
      <w:sz w:val="28"/>
      <w:szCs w:val="28"/>
      <w:lang w:val="en-GB"/>
    </w:rPr>
  </w:style>
  <w:style w:type="character" w:customStyle="1" w:styleId="TitleChar">
    <w:name w:val="Title Char"/>
    <w:basedOn w:val="DefaultParagraphFont"/>
    <w:link w:val="Title"/>
    <w:rsid w:val="00943B9B"/>
    <w:rPr>
      <w:rFonts w:ascii="Arial" w:hAnsi="Arial" w:cs="Arial"/>
      <w:b/>
      <w:bCs/>
      <w:snapToGrid w:val="0"/>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3801408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C500-655B-400E-88DE-063D901B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7.16 propranolol</vt:lpstr>
    </vt:vector>
  </TitlesOfParts>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7.16 propranolol</dc:title>
  <dc:creator/>
  <cp:lastModifiedBy/>
  <cp:revision>1</cp:revision>
  <dcterms:created xsi:type="dcterms:W3CDTF">2016-02-24T22:14:00Z</dcterms:created>
  <dcterms:modified xsi:type="dcterms:W3CDTF">2016-02-25T22:04:00Z</dcterms:modified>
</cp:coreProperties>
</file>