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131" w:rsidRPr="000D3D9B" w:rsidRDefault="00A81A51" w:rsidP="00A3795A">
      <w:pPr>
        <w:pStyle w:val="Title"/>
        <w:numPr>
          <w:ilvl w:val="0"/>
          <w:numId w:val="0"/>
        </w:numPr>
        <w:ind w:left="720" w:hanging="720"/>
      </w:pPr>
      <w:bookmarkStart w:id="0" w:name="_Toc430008001"/>
      <w:bookmarkStart w:id="1" w:name="_GoBack"/>
      <w:bookmarkEnd w:id="1"/>
      <w:r w:rsidRPr="00657812">
        <w:t>5.1</w:t>
      </w:r>
      <w:r w:rsidR="009972EA">
        <w:t>4</w:t>
      </w:r>
      <w:r>
        <w:tab/>
      </w:r>
      <w:r w:rsidR="00B01B97" w:rsidRPr="000D3D9B">
        <w:t>PROTEIN FORMULA WITH CARBOHYDRATE, FAT, FIBRE, VITAMINS AND MINERALS,</w:t>
      </w:r>
      <w:r w:rsidRPr="000D3D9B">
        <w:t xml:space="preserve"> </w:t>
      </w:r>
    </w:p>
    <w:p w:rsidR="00A81A51" w:rsidRPr="000D3D9B" w:rsidRDefault="00CB5485" w:rsidP="00A3795A">
      <w:pPr>
        <w:pStyle w:val="Title"/>
        <w:numPr>
          <w:ilvl w:val="0"/>
          <w:numId w:val="0"/>
        </w:numPr>
        <w:ind w:left="720"/>
      </w:pPr>
      <w:r w:rsidRPr="000D3D9B">
        <w:t xml:space="preserve">NUTRINI LOW ENERGY MULTI FIBRE, </w:t>
      </w:r>
      <w:r w:rsidR="00A81A51" w:rsidRPr="000D3D9B">
        <w:t>8 X 500mL, Nutricia Australia Pty Ltd</w:t>
      </w:r>
      <w:bookmarkEnd w:id="0"/>
    </w:p>
    <w:p w:rsidR="00541E34" w:rsidRDefault="00541E34" w:rsidP="00A3795A">
      <w:pPr>
        <w:spacing w:line="480" w:lineRule="auto"/>
      </w:pPr>
    </w:p>
    <w:p w:rsidR="00F376C4" w:rsidRPr="00407F2D" w:rsidRDefault="00F376C4" w:rsidP="00A3795A">
      <w:pPr>
        <w:pStyle w:val="Heading1"/>
      </w:pPr>
      <w:bookmarkStart w:id="2" w:name="_Toc427572863"/>
      <w:r w:rsidRPr="00A3795A">
        <w:t>Purpose</w:t>
      </w:r>
      <w:r w:rsidRPr="00407F2D">
        <w:t xml:space="preserve"> of Application</w:t>
      </w:r>
      <w:bookmarkEnd w:id="2"/>
    </w:p>
    <w:p w:rsidR="00A81A51" w:rsidRPr="00A81A51" w:rsidRDefault="00A81A51" w:rsidP="00A81A51"/>
    <w:p w:rsidR="004B3DDB" w:rsidRDefault="00A81A51" w:rsidP="00F376C4">
      <w:pPr>
        <w:pStyle w:val="ListParagraph"/>
        <w:widowControl/>
        <w:numPr>
          <w:ilvl w:val="1"/>
          <w:numId w:val="25"/>
        </w:numPr>
      </w:pPr>
      <w:r>
        <w:t>The major submission requested a r</w:t>
      </w:r>
      <w:r w:rsidR="00750063">
        <w:t xml:space="preserve">estricted </w:t>
      </w:r>
      <w:r>
        <w:t>b</w:t>
      </w:r>
      <w:r w:rsidR="00750063">
        <w:t>enefit</w:t>
      </w:r>
      <w:r w:rsidR="004B3DDB" w:rsidRPr="004B3DDB">
        <w:t xml:space="preserve"> listing for </w:t>
      </w:r>
      <w:r w:rsidR="00750063" w:rsidRPr="00750063">
        <w:t>Nutrini Low Energy Multi Fibre</w:t>
      </w:r>
      <w:r w:rsidR="00750063" w:rsidRPr="004B3DDB">
        <w:t xml:space="preserve"> </w:t>
      </w:r>
      <w:r w:rsidR="004B3DDB" w:rsidRPr="004B3DDB">
        <w:t>for</w:t>
      </w:r>
      <w:r>
        <w:t xml:space="preserve"> the</w:t>
      </w:r>
      <w:r w:rsidR="004B3DDB" w:rsidRPr="004B3DDB">
        <w:t xml:space="preserve"> </w:t>
      </w:r>
      <w:r w:rsidR="00750063">
        <w:t>dietary management of conditions requiring a low energy enteral tube feed.</w:t>
      </w:r>
    </w:p>
    <w:p w:rsidR="004B3DDB" w:rsidRDefault="004B3DDB" w:rsidP="00A3795A">
      <w:pPr>
        <w:spacing w:line="480" w:lineRule="auto"/>
      </w:pPr>
    </w:p>
    <w:p w:rsidR="00F376C4" w:rsidRDefault="0025534B" w:rsidP="00A3795A">
      <w:pPr>
        <w:pStyle w:val="Heading1"/>
      </w:pPr>
      <w:bookmarkStart w:id="3" w:name="_Toc380679749"/>
      <w:bookmarkStart w:id="4" w:name="_Toc380742606"/>
      <w:bookmarkStart w:id="5" w:name="_Toc380746173"/>
      <w:bookmarkStart w:id="6" w:name="_Toc380746296"/>
      <w:bookmarkStart w:id="7" w:name="_Toc380746580"/>
      <w:r>
        <w:t>Requested listing</w:t>
      </w:r>
      <w:bookmarkEnd w:id="3"/>
      <w:bookmarkEnd w:id="4"/>
      <w:bookmarkEnd w:id="5"/>
      <w:bookmarkEnd w:id="6"/>
      <w:bookmarkEnd w:id="7"/>
    </w:p>
    <w:p w:rsidR="00F376C4" w:rsidRDefault="00F376C4" w:rsidP="00F376C4">
      <w:pPr>
        <w:pStyle w:val="PBACHeading1"/>
        <w:ind w:left="720"/>
      </w:pPr>
    </w:p>
    <w:p w:rsidR="00F376C4" w:rsidRPr="006B37D5" w:rsidRDefault="00F376C4" w:rsidP="00F376C4">
      <w:pPr>
        <w:pStyle w:val="PBACHeading1"/>
        <w:numPr>
          <w:ilvl w:val="1"/>
          <w:numId w:val="18"/>
        </w:numPr>
        <w:rPr>
          <w:b w:val="0"/>
        </w:rPr>
      </w:pPr>
      <w:r w:rsidRPr="00F376C4">
        <w:rPr>
          <w:b w:val="0"/>
          <w:szCs w:val="20"/>
        </w:rPr>
        <w:t>The</w:t>
      </w:r>
      <w:r w:rsidRPr="00F376C4">
        <w:rPr>
          <w:b w:val="0"/>
        </w:rPr>
        <w:t xml:space="preserve"> submission’s requested listing is shown below. </w:t>
      </w:r>
      <w:r w:rsidRPr="006B37D5">
        <w:rPr>
          <w:rFonts w:eastAsia="SimSun"/>
          <w:b w:val="0"/>
          <w:iCs/>
          <w:color w:val="000000"/>
        </w:rPr>
        <w:t>Suggestions and additions proposed by the Secretariat to the requested listing are added in italics and suggested deletions are crossed out with strikethrough.</w:t>
      </w:r>
    </w:p>
    <w:p w:rsidR="00F376C4" w:rsidRDefault="00F376C4" w:rsidP="00414476">
      <w:pPr>
        <w:rPr>
          <w:szCs w:val="22"/>
        </w:rPr>
      </w:pPr>
    </w:p>
    <w:tbl>
      <w:tblPr>
        <w:tblW w:w="4683" w:type="pct"/>
        <w:tblInd w:w="737" w:type="dxa"/>
        <w:tblCellMar>
          <w:left w:w="28" w:type="dxa"/>
          <w:right w:w="28" w:type="dxa"/>
        </w:tblCellMar>
        <w:tblLook w:val="0000" w:firstRow="0" w:lastRow="0" w:firstColumn="0" w:lastColumn="0" w:noHBand="0" w:noVBand="0"/>
        <w:tblCaption w:val="Requested PBS listing"/>
      </w:tblPr>
      <w:tblGrid>
        <w:gridCol w:w="2110"/>
        <w:gridCol w:w="17"/>
        <w:gridCol w:w="618"/>
        <w:gridCol w:w="951"/>
        <w:gridCol w:w="2008"/>
        <w:gridCol w:w="1269"/>
        <w:gridCol w:w="1376"/>
        <w:gridCol w:w="158"/>
      </w:tblGrid>
      <w:tr w:rsidR="00283ADA" w:rsidRPr="00F376C4" w:rsidTr="00283ADA">
        <w:trPr>
          <w:gridAfter w:val="1"/>
          <w:wAfter w:w="93" w:type="pct"/>
          <w:cantSplit/>
          <w:trHeight w:val="471"/>
        </w:trPr>
        <w:tc>
          <w:tcPr>
            <w:tcW w:w="1240" w:type="pct"/>
            <w:tcBorders>
              <w:bottom w:val="single" w:sz="4" w:space="0" w:color="auto"/>
            </w:tcBorders>
            <w:vAlign w:val="center"/>
          </w:tcPr>
          <w:p w:rsidR="00283ADA" w:rsidRPr="00F376C4" w:rsidRDefault="00283ADA" w:rsidP="007C76E5">
            <w:pPr>
              <w:keepNext/>
              <w:jc w:val="left"/>
              <w:rPr>
                <w:rFonts w:ascii="Arial Narrow" w:hAnsi="Arial Narrow"/>
                <w:sz w:val="20"/>
              </w:rPr>
            </w:pPr>
            <w:r w:rsidRPr="00F376C4">
              <w:rPr>
                <w:rFonts w:ascii="Arial Narrow" w:hAnsi="Arial Narrow"/>
                <w:sz w:val="20"/>
              </w:rPr>
              <w:t>Name, Restriction,</w:t>
            </w:r>
          </w:p>
          <w:p w:rsidR="00283ADA" w:rsidRPr="00F376C4" w:rsidRDefault="00283ADA" w:rsidP="007C76E5">
            <w:pPr>
              <w:keepNext/>
              <w:jc w:val="left"/>
              <w:rPr>
                <w:rFonts w:ascii="Arial Narrow" w:hAnsi="Arial Narrow"/>
                <w:sz w:val="20"/>
              </w:rPr>
            </w:pPr>
            <w:r w:rsidRPr="00F376C4">
              <w:rPr>
                <w:rFonts w:ascii="Arial Narrow" w:hAnsi="Arial Narrow"/>
                <w:sz w:val="20"/>
              </w:rPr>
              <w:t>Manner of administration and form</w:t>
            </w:r>
          </w:p>
        </w:tc>
        <w:tc>
          <w:tcPr>
            <w:tcW w:w="373" w:type="pct"/>
            <w:gridSpan w:val="2"/>
            <w:tcBorders>
              <w:bottom w:val="single" w:sz="4" w:space="0" w:color="auto"/>
            </w:tcBorders>
            <w:vAlign w:val="center"/>
          </w:tcPr>
          <w:p w:rsidR="00283ADA" w:rsidRPr="00F376C4" w:rsidRDefault="00283ADA" w:rsidP="007C76E5">
            <w:pPr>
              <w:keepNext/>
              <w:jc w:val="center"/>
              <w:rPr>
                <w:rFonts w:ascii="Arial Narrow" w:hAnsi="Arial Narrow"/>
                <w:sz w:val="20"/>
              </w:rPr>
            </w:pPr>
            <w:r w:rsidRPr="00F376C4">
              <w:rPr>
                <w:rFonts w:ascii="Arial Narrow" w:hAnsi="Arial Narrow"/>
                <w:sz w:val="20"/>
              </w:rPr>
              <w:t>Max.</w:t>
            </w:r>
          </w:p>
          <w:p w:rsidR="00283ADA" w:rsidRPr="00F376C4" w:rsidRDefault="00283ADA" w:rsidP="007C76E5">
            <w:pPr>
              <w:keepNext/>
              <w:jc w:val="center"/>
              <w:rPr>
                <w:rFonts w:ascii="Arial Narrow" w:hAnsi="Arial Narrow"/>
                <w:sz w:val="20"/>
              </w:rPr>
            </w:pPr>
            <w:r w:rsidRPr="00F376C4">
              <w:rPr>
                <w:rFonts w:ascii="Arial Narrow" w:hAnsi="Arial Narrow"/>
                <w:sz w:val="20"/>
              </w:rPr>
              <w:t>Qty</w:t>
            </w:r>
          </w:p>
        </w:tc>
        <w:tc>
          <w:tcPr>
            <w:tcW w:w="559" w:type="pct"/>
            <w:tcBorders>
              <w:bottom w:val="single" w:sz="4" w:space="0" w:color="auto"/>
            </w:tcBorders>
            <w:vAlign w:val="center"/>
          </w:tcPr>
          <w:p w:rsidR="00283ADA" w:rsidRPr="00F376C4" w:rsidRDefault="00283ADA" w:rsidP="007C76E5">
            <w:pPr>
              <w:keepNext/>
              <w:jc w:val="center"/>
              <w:rPr>
                <w:rFonts w:ascii="Arial Narrow" w:hAnsi="Arial Narrow"/>
                <w:sz w:val="20"/>
              </w:rPr>
            </w:pPr>
            <w:r w:rsidRPr="00F376C4">
              <w:rPr>
                <w:rFonts w:ascii="Arial Narrow" w:hAnsi="Arial Narrow"/>
                <w:sz w:val="20"/>
              </w:rPr>
              <w:t>№.of</w:t>
            </w:r>
          </w:p>
          <w:p w:rsidR="00283ADA" w:rsidRPr="00F376C4" w:rsidRDefault="00283ADA" w:rsidP="007C76E5">
            <w:pPr>
              <w:keepNext/>
              <w:jc w:val="center"/>
              <w:rPr>
                <w:rFonts w:ascii="Arial Narrow" w:hAnsi="Arial Narrow"/>
                <w:sz w:val="20"/>
              </w:rPr>
            </w:pPr>
            <w:r w:rsidRPr="00F376C4">
              <w:rPr>
                <w:rFonts w:ascii="Arial Narrow" w:hAnsi="Arial Narrow"/>
                <w:sz w:val="20"/>
              </w:rPr>
              <w:t>Rpts</w:t>
            </w:r>
          </w:p>
        </w:tc>
        <w:tc>
          <w:tcPr>
            <w:tcW w:w="1180" w:type="pct"/>
            <w:tcBorders>
              <w:bottom w:val="single" w:sz="4" w:space="0" w:color="auto"/>
            </w:tcBorders>
            <w:vAlign w:val="center"/>
          </w:tcPr>
          <w:p w:rsidR="00283ADA" w:rsidRPr="00F376C4" w:rsidRDefault="00283ADA" w:rsidP="007C76E5">
            <w:pPr>
              <w:keepNext/>
              <w:jc w:val="center"/>
              <w:rPr>
                <w:rFonts w:ascii="Arial Narrow" w:hAnsi="Arial Narrow"/>
                <w:sz w:val="20"/>
              </w:rPr>
            </w:pPr>
            <w:r w:rsidRPr="00F376C4">
              <w:rPr>
                <w:rFonts w:ascii="Arial Narrow" w:hAnsi="Arial Narrow"/>
                <w:sz w:val="20"/>
              </w:rPr>
              <w:t>Dispensed Price for Max. Qty</w:t>
            </w:r>
          </w:p>
        </w:tc>
        <w:tc>
          <w:tcPr>
            <w:tcW w:w="1555" w:type="pct"/>
            <w:gridSpan w:val="2"/>
            <w:tcBorders>
              <w:bottom w:val="single" w:sz="4" w:space="0" w:color="auto"/>
            </w:tcBorders>
            <w:vAlign w:val="center"/>
          </w:tcPr>
          <w:p w:rsidR="00283ADA" w:rsidRPr="00F376C4" w:rsidRDefault="00283ADA" w:rsidP="007C76E5">
            <w:pPr>
              <w:keepNext/>
              <w:jc w:val="center"/>
              <w:rPr>
                <w:rFonts w:ascii="Arial Narrow" w:hAnsi="Arial Narrow"/>
                <w:sz w:val="20"/>
                <w:lang w:val="fr-FR"/>
              </w:rPr>
            </w:pPr>
            <w:r w:rsidRPr="00F376C4">
              <w:rPr>
                <w:rFonts w:ascii="Arial Narrow" w:hAnsi="Arial Narrow"/>
                <w:sz w:val="20"/>
              </w:rPr>
              <w:t>Proprietary Name and Manufacturer</w:t>
            </w:r>
          </w:p>
        </w:tc>
      </w:tr>
      <w:tr w:rsidR="00283ADA" w:rsidRPr="00F376C4" w:rsidTr="00283ADA">
        <w:trPr>
          <w:gridAfter w:val="1"/>
          <w:wAfter w:w="93" w:type="pct"/>
          <w:cantSplit/>
          <w:trHeight w:val="577"/>
        </w:trPr>
        <w:tc>
          <w:tcPr>
            <w:tcW w:w="1240" w:type="pct"/>
            <w:vAlign w:val="center"/>
          </w:tcPr>
          <w:p w:rsidR="00283ADA" w:rsidRPr="00F376C4" w:rsidRDefault="00283ADA" w:rsidP="007C76E5">
            <w:pPr>
              <w:keepNext/>
              <w:rPr>
                <w:rFonts w:ascii="Arial Narrow" w:hAnsi="Arial Narrow"/>
                <w:sz w:val="20"/>
              </w:rPr>
            </w:pPr>
            <w:r w:rsidRPr="00F376C4">
              <w:rPr>
                <w:rFonts w:ascii="Arial Narrow" w:hAnsi="Arial Narrow"/>
                <w:smallCaps/>
                <w:sz w:val="20"/>
              </w:rPr>
              <w:t>LOW ENERGY FORMULA WITH VITAMINS, MINERALS AND TRACE ELEMENTS CONTAINING FIBRE</w:t>
            </w:r>
            <w:r w:rsidRPr="00F376C4">
              <w:rPr>
                <w:rFonts w:ascii="Arial Narrow" w:hAnsi="Arial Narrow"/>
                <w:sz w:val="20"/>
              </w:rPr>
              <w:t xml:space="preserve"> </w:t>
            </w:r>
          </w:p>
          <w:p w:rsidR="00283ADA" w:rsidRDefault="00283ADA" w:rsidP="007C76E5">
            <w:pPr>
              <w:keepNext/>
              <w:jc w:val="left"/>
              <w:rPr>
                <w:rFonts w:ascii="Arial Narrow" w:hAnsi="Arial Narrow"/>
                <w:sz w:val="20"/>
              </w:rPr>
            </w:pPr>
            <w:r w:rsidRPr="00F376C4">
              <w:rPr>
                <w:rFonts w:ascii="Arial Narrow" w:hAnsi="Arial Narrow"/>
                <w:sz w:val="20"/>
              </w:rPr>
              <w:t xml:space="preserve">Oral liquid, 8 x500ml </w:t>
            </w:r>
          </w:p>
          <w:p w:rsidR="00283ADA" w:rsidRPr="00F376C4" w:rsidRDefault="00283ADA" w:rsidP="007C76E5">
            <w:pPr>
              <w:keepNext/>
              <w:jc w:val="left"/>
              <w:rPr>
                <w:rFonts w:ascii="Arial Narrow" w:hAnsi="Arial Narrow"/>
                <w:sz w:val="20"/>
              </w:rPr>
            </w:pPr>
          </w:p>
        </w:tc>
        <w:tc>
          <w:tcPr>
            <w:tcW w:w="373" w:type="pct"/>
            <w:gridSpan w:val="2"/>
            <w:vAlign w:val="center"/>
          </w:tcPr>
          <w:p w:rsidR="00283ADA" w:rsidRPr="00F376C4" w:rsidRDefault="00283ADA" w:rsidP="007C76E5">
            <w:pPr>
              <w:keepNext/>
              <w:jc w:val="center"/>
              <w:rPr>
                <w:rFonts w:ascii="Arial Narrow" w:hAnsi="Arial Narrow"/>
                <w:sz w:val="20"/>
              </w:rPr>
            </w:pPr>
          </w:p>
          <w:p w:rsidR="00283ADA" w:rsidRPr="00F376C4" w:rsidRDefault="00283ADA" w:rsidP="007C76E5">
            <w:pPr>
              <w:keepNext/>
              <w:jc w:val="center"/>
              <w:rPr>
                <w:rFonts w:ascii="Arial Narrow" w:hAnsi="Arial Narrow"/>
                <w:sz w:val="20"/>
              </w:rPr>
            </w:pPr>
            <w:r w:rsidRPr="00F376C4">
              <w:rPr>
                <w:rFonts w:ascii="Arial Narrow" w:hAnsi="Arial Narrow"/>
                <w:sz w:val="20"/>
              </w:rPr>
              <w:t>8</w:t>
            </w:r>
          </w:p>
        </w:tc>
        <w:tc>
          <w:tcPr>
            <w:tcW w:w="559" w:type="pct"/>
            <w:vAlign w:val="center"/>
          </w:tcPr>
          <w:p w:rsidR="00283ADA" w:rsidRPr="00F376C4" w:rsidRDefault="00283ADA" w:rsidP="007C76E5">
            <w:pPr>
              <w:keepNext/>
              <w:jc w:val="center"/>
              <w:rPr>
                <w:rFonts w:ascii="Arial Narrow" w:hAnsi="Arial Narrow"/>
                <w:sz w:val="20"/>
              </w:rPr>
            </w:pPr>
          </w:p>
          <w:p w:rsidR="00283ADA" w:rsidRPr="00F376C4" w:rsidRDefault="00283ADA" w:rsidP="007C76E5">
            <w:pPr>
              <w:keepNext/>
              <w:jc w:val="center"/>
              <w:rPr>
                <w:rFonts w:ascii="Arial Narrow" w:hAnsi="Arial Narrow"/>
                <w:sz w:val="20"/>
              </w:rPr>
            </w:pPr>
            <w:r w:rsidRPr="00F376C4">
              <w:rPr>
                <w:rFonts w:ascii="Arial Narrow" w:hAnsi="Arial Narrow"/>
                <w:sz w:val="20"/>
              </w:rPr>
              <w:t>5</w:t>
            </w:r>
          </w:p>
        </w:tc>
        <w:tc>
          <w:tcPr>
            <w:tcW w:w="1180" w:type="pct"/>
            <w:vAlign w:val="center"/>
          </w:tcPr>
          <w:p w:rsidR="00283ADA" w:rsidRPr="00F376C4" w:rsidRDefault="00283ADA" w:rsidP="007C76E5">
            <w:pPr>
              <w:keepNext/>
              <w:jc w:val="center"/>
              <w:rPr>
                <w:rFonts w:ascii="Arial Narrow" w:hAnsi="Arial Narrow"/>
                <w:sz w:val="20"/>
              </w:rPr>
            </w:pPr>
          </w:p>
          <w:p w:rsidR="00283ADA" w:rsidRPr="00F376C4" w:rsidRDefault="00283ADA" w:rsidP="007C76E5">
            <w:pPr>
              <w:keepNext/>
              <w:jc w:val="center"/>
              <w:rPr>
                <w:rFonts w:ascii="Arial Narrow" w:hAnsi="Arial Narrow"/>
                <w:sz w:val="20"/>
              </w:rPr>
            </w:pPr>
            <w:r w:rsidRPr="00F376C4">
              <w:rPr>
                <w:rFonts w:ascii="Arial Narrow" w:hAnsi="Arial Narrow"/>
                <w:sz w:val="20"/>
              </w:rPr>
              <w:t>$</w:t>
            </w:r>
            <w:r w:rsidR="003F744C">
              <w:rPr>
                <w:rFonts w:ascii="Arial Narrow" w:hAnsi="Arial Narrow"/>
                <w:noProof/>
                <w:color w:val="000000"/>
                <w:sz w:val="20"/>
                <w:highlight w:val="black"/>
              </w:rPr>
              <w:t>''''''''''''''''</w:t>
            </w:r>
          </w:p>
        </w:tc>
        <w:tc>
          <w:tcPr>
            <w:tcW w:w="746" w:type="pct"/>
            <w:vAlign w:val="center"/>
          </w:tcPr>
          <w:p w:rsidR="00283ADA" w:rsidRPr="00F376C4" w:rsidRDefault="00283ADA" w:rsidP="007C76E5">
            <w:pPr>
              <w:keepNext/>
              <w:jc w:val="center"/>
              <w:rPr>
                <w:rFonts w:ascii="Arial Narrow" w:hAnsi="Arial Narrow"/>
                <w:sz w:val="20"/>
              </w:rPr>
            </w:pPr>
            <w:r w:rsidRPr="00F376C4">
              <w:rPr>
                <w:rFonts w:ascii="Arial Narrow" w:hAnsi="Arial Narrow"/>
                <w:sz w:val="20"/>
              </w:rPr>
              <w:t>Nutrini  Low Energy Multi Fibre</w:t>
            </w:r>
          </w:p>
        </w:tc>
        <w:tc>
          <w:tcPr>
            <w:tcW w:w="809" w:type="pct"/>
            <w:vAlign w:val="center"/>
          </w:tcPr>
          <w:p w:rsidR="00283ADA" w:rsidRPr="00F376C4" w:rsidRDefault="00283ADA" w:rsidP="007C76E5">
            <w:pPr>
              <w:keepNext/>
              <w:jc w:val="center"/>
              <w:rPr>
                <w:rFonts w:ascii="Arial Narrow" w:hAnsi="Arial Narrow"/>
                <w:sz w:val="20"/>
              </w:rPr>
            </w:pPr>
            <w:r w:rsidRPr="00F376C4">
              <w:rPr>
                <w:rFonts w:ascii="Arial Narrow" w:hAnsi="Arial Narrow"/>
                <w:sz w:val="20"/>
              </w:rPr>
              <w:t>SB</w:t>
            </w:r>
          </w:p>
        </w:tc>
      </w:tr>
      <w:tr w:rsidR="00283ADA" w:rsidRPr="00260CE3" w:rsidTr="00283ADA">
        <w:tblPrEx>
          <w:tblCellMar>
            <w:left w:w="108" w:type="dxa"/>
            <w:right w:w="108" w:type="dxa"/>
          </w:tblCellMar>
        </w:tblPrEx>
        <w:trPr>
          <w:cantSplit/>
          <w:trHeight w:val="360"/>
        </w:trPr>
        <w:tc>
          <w:tcPr>
            <w:tcW w:w="1250" w:type="pct"/>
            <w:gridSpan w:val="2"/>
            <w:tcBorders>
              <w:top w:val="single" w:sz="4" w:space="0" w:color="auto"/>
              <w:left w:val="single" w:sz="4" w:space="0" w:color="auto"/>
              <w:bottom w:val="single" w:sz="4" w:space="0" w:color="auto"/>
              <w:right w:val="single" w:sz="4" w:space="0" w:color="auto"/>
            </w:tcBorders>
          </w:tcPr>
          <w:p w:rsidR="00283ADA" w:rsidRPr="00260CE3" w:rsidRDefault="00283ADA" w:rsidP="007C76E5">
            <w:pPr>
              <w:rPr>
                <w:rFonts w:ascii="Arial Narrow" w:hAnsi="Arial Narrow"/>
                <w:b/>
                <w:sz w:val="20"/>
              </w:rPr>
            </w:pPr>
            <w:r w:rsidRPr="00260CE3">
              <w:rPr>
                <w:rFonts w:ascii="Arial Narrow" w:hAnsi="Arial Narrow"/>
                <w:b/>
                <w:sz w:val="20"/>
              </w:rPr>
              <w:t xml:space="preserve">Category / </w:t>
            </w:r>
          </w:p>
          <w:p w:rsidR="00283ADA" w:rsidRPr="00260CE3" w:rsidRDefault="00283ADA" w:rsidP="007C76E5">
            <w:pPr>
              <w:rPr>
                <w:rFonts w:ascii="Arial Narrow" w:hAnsi="Arial Narrow"/>
                <w:b/>
                <w:sz w:val="20"/>
              </w:rPr>
            </w:pPr>
            <w:r w:rsidRPr="00260CE3">
              <w:rPr>
                <w:rFonts w:ascii="Arial Narrow" w:hAnsi="Arial Narrow"/>
                <w:b/>
                <w:sz w:val="20"/>
              </w:rPr>
              <w:t>Program</w:t>
            </w:r>
          </w:p>
        </w:tc>
        <w:tc>
          <w:tcPr>
            <w:tcW w:w="3750" w:type="pct"/>
            <w:gridSpan w:val="6"/>
            <w:tcBorders>
              <w:top w:val="single" w:sz="4" w:space="0" w:color="auto"/>
              <w:left w:val="single" w:sz="4" w:space="0" w:color="auto"/>
              <w:bottom w:val="single" w:sz="4" w:space="0" w:color="auto"/>
              <w:right w:val="single" w:sz="4" w:space="0" w:color="auto"/>
            </w:tcBorders>
          </w:tcPr>
          <w:p w:rsidR="00283ADA" w:rsidRPr="00260CE3" w:rsidRDefault="00283ADA" w:rsidP="007C76E5">
            <w:pPr>
              <w:rPr>
                <w:rFonts w:ascii="Arial Narrow" w:hAnsi="Arial Narrow"/>
                <w:sz w:val="20"/>
              </w:rPr>
            </w:pPr>
            <w:r w:rsidRPr="00260CE3">
              <w:rPr>
                <w:rFonts w:ascii="Arial Narrow" w:hAnsi="Arial Narrow"/>
                <w:sz w:val="20"/>
              </w:rPr>
              <w:t>GENERAL – General Schedule (Code GE)</w:t>
            </w:r>
          </w:p>
          <w:p w:rsidR="00283ADA" w:rsidRPr="00260CE3" w:rsidRDefault="00283ADA" w:rsidP="007C76E5">
            <w:pPr>
              <w:rPr>
                <w:rFonts w:ascii="Arial Narrow" w:hAnsi="Arial Narrow"/>
                <w:sz w:val="20"/>
              </w:rPr>
            </w:pPr>
          </w:p>
        </w:tc>
      </w:tr>
      <w:tr w:rsidR="00283ADA" w:rsidRPr="00260CE3" w:rsidTr="00283ADA">
        <w:tblPrEx>
          <w:tblCellMar>
            <w:left w:w="108" w:type="dxa"/>
            <w:right w:w="108" w:type="dxa"/>
          </w:tblCellMar>
        </w:tblPrEx>
        <w:trPr>
          <w:cantSplit/>
          <w:trHeight w:val="360"/>
        </w:trPr>
        <w:tc>
          <w:tcPr>
            <w:tcW w:w="1250" w:type="pct"/>
            <w:gridSpan w:val="2"/>
            <w:tcBorders>
              <w:top w:val="single" w:sz="4" w:space="0" w:color="auto"/>
              <w:left w:val="single" w:sz="4" w:space="0" w:color="auto"/>
              <w:bottom w:val="single" w:sz="4" w:space="0" w:color="auto"/>
              <w:right w:val="single" w:sz="4" w:space="0" w:color="auto"/>
            </w:tcBorders>
          </w:tcPr>
          <w:p w:rsidR="00283ADA" w:rsidRDefault="00283ADA" w:rsidP="007C76E5">
            <w:pPr>
              <w:rPr>
                <w:rFonts w:ascii="Arial Narrow" w:hAnsi="Arial Narrow"/>
                <w:b/>
                <w:sz w:val="20"/>
              </w:rPr>
            </w:pPr>
            <w:r w:rsidRPr="00260CE3">
              <w:rPr>
                <w:rFonts w:ascii="Arial Narrow" w:hAnsi="Arial Narrow"/>
                <w:b/>
                <w:sz w:val="20"/>
              </w:rPr>
              <w:t>Prescriber type:</w:t>
            </w:r>
          </w:p>
          <w:p w:rsidR="00283ADA" w:rsidRPr="00260CE3" w:rsidRDefault="00283ADA" w:rsidP="007C76E5">
            <w:pPr>
              <w:rPr>
                <w:rFonts w:ascii="Arial Narrow" w:hAnsi="Arial Narrow"/>
                <w:b/>
                <w:sz w:val="20"/>
              </w:rPr>
            </w:pPr>
          </w:p>
        </w:tc>
        <w:tc>
          <w:tcPr>
            <w:tcW w:w="3750" w:type="pct"/>
            <w:gridSpan w:val="6"/>
            <w:tcBorders>
              <w:top w:val="single" w:sz="4" w:space="0" w:color="auto"/>
              <w:left w:val="single" w:sz="4" w:space="0" w:color="auto"/>
              <w:bottom w:val="single" w:sz="4" w:space="0" w:color="auto"/>
              <w:right w:val="single" w:sz="4" w:space="0" w:color="auto"/>
            </w:tcBorders>
          </w:tcPr>
          <w:p w:rsidR="00283ADA" w:rsidRPr="00260CE3" w:rsidRDefault="00283ADA" w:rsidP="007C76E5">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9C71F9">
              <w:rPr>
                <w:rFonts w:ascii="Arial Narrow" w:hAnsi="Arial Narrow"/>
                <w:sz w:val="20"/>
              </w:rPr>
            </w:r>
            <w:r w:rsidR="009C71F9">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9C71F9">
              <w:rPr>
                <w:rFonts w:ascii="Arial Narrow" w:hAnsi="Arial Narrow"/>
                <w:sz w:val="20"/>
              </w:rPr>
            </w:r>
            <w:r w:rsidR="009C71F9">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Pr>
                <w:rFonts w:ascii="Arial Narrow" w:hAnsi="Arial Narrow"/>
                <w:sz w:val="20"/>
              </w:rPr>
              <w:fldChar w:fldCharType="begin">
                <w:ffData>
                  <w:name w:val="Check3"/>
                  <w:enabled/>
                  <w:calcOnExit w:val="0"/>
                  <w:checkBox>
                    <w:sizeAuto/>
                    <w:default w:val="1"/>
                  </w:checkBox>
                </w:ffData>
              </w:fldChar>
            </w:r>
            <w:r>
              <w:rPr>
                <w:rFonts w:ascii="Arial Narrow" w:hAnsi="Arial Narrow"/>
                <w:sz w:val="20"/>
              </w:rPr>
              <w:instrText xml:space="preserve"> FORMCHECKBOX </w:instrText>
            </w:r>
            <w:r w:rsidR="009C71F9">
              <w:rPr>
                <w:rFonts w:ascii="Arial Narrow" w:hAnsi="Arial Narrow"/>
                <w:sz w:val="20"/>
              </w:rPr>
            </w:r>
            <w:r w:rsidR="009C71F9">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9C71F9">
              <w:rPr>
                <w:rFonts w:ascii="Arial Narrow" w:hAnsi="Arial Narrow"/>
                <w:sz w:val="20"/>
              </w:rPr>
            </w:r>
            <w:r w:rsidR="009C71F9">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283ADA" w:rsidRPr="00260CE3" w:rsidRDefault="00283ADA" w:rsidP="007C76E5">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9C71F9">
              <w:rPr>
                <w:rFonts w:ascii="Arial Narrow" w:hAnsi="Arial Narrow"/>
                <w:sz w:val="20"/>
              </w:rPr>
            </w:r>
            <w:r w:rsidR="009C71F9">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283ADA" w:rsidRPr="00260CE3" w:rsidTr="00283ADA">
        <w:tblPrEx>
          <w:tblCellMar>
            <w:left w:w="108" w:type="dxa"/>
            <w:right w:w="108" w:type="dxa"/>
          </w:tblCellMar>
        </w:tblPrEx>
        <w:trPr>
          <w:cantSplit/>
          <w:trHeight w:val="360"/>
        </w:trPr>
        <w:tc>
          <w:tcPr>
            <w:tcW w:w="1250" w:type="pct"/>
            <w:gridSpan w:val="2"/>
            <w:tcBorders>
              <w:top w:val="single" w:sz="4" w:space="0" w:color="auto"/>
              <w:left w:val="single" w:sz="4" w:space="0" w:color="auto"/>
              <w:bottom w:val="single" w:sz="4" w:space="0" w:color="auto"/>
              <w:right w:val="single" w:sz="4" w:space="0" w:color="auto"/>
            </w:tcBorders>
          </w:tcPr>
          <w:p w:rsidR="00283ADA" w:rsidRPr="00260CE3" w:rsidRDefault="00283ADA" w:rsidP="007C76E5">
            <w:pPr>
              <w:rPr>
                <w:rFonts w:ascii="Arial Narrow" w:hAnsi="Arial Narrow"/>
                <w:b/>
                <w:sz w:val="20"/>
              </w:rPr>
            </w:pPr>
            <w:r w:rsidRPr="00260CE3">
              <w:rPr>
                <w:rFonts w:ascii="Arial Narrow" w:hAnsi="Arial Narrow"/>
                <w:b/>
                <w:sz w:val="20"/>
              </w:rPr>
              <w:t>PBS Indication:</w:t>
            </w:r>
          </w:p>
        </w:tc>
        <w:tc>
          <w:tcPr>
            <w:tcW w:w="3750" w:type="pct"/>
            <w:gridSpan w:val="6"/>
            <w:tcBorders>
              <w:top w:val="single" w:sz="4" w:space="0" w:color="auto"/>
              <w:left w:val="single" w:sz="4" w:space="0" w:color="auto"/>
              <w:bottom w:val="single" w:sz="4" w:space="0" w:color="auto"/>
              <w:right w:val="single" w:sz="4" w:space="0" w:color="auto"/>
            </w:tcBorders>
          </w:tcPr>
          <w:p w:rsidR="00283ADA" w:rsidRPr="00260CE3" w:rsidRDefault="00283ADA" w:rsidP="007C76E5">
            <w:pPr>
              <w:rPr>
                <w:rFonts w:ascii="Arial Narrow" w:hAnsi="Arial Narrow"/>
                <w:sz w:val="20"/>
              </w:rPr>
            </w:pPr>
            <w:r w:rsidRPr="00F376C4">
              <w:rPr>
                <w:rFonts w:ascii="Arial Narrow" w:hAnsi="Arial Narrow"/>
                <w:sz w:val="20"/>
              </w:rPr>
              <w:t>Dietary management of conditions requiring a low energy enteral tube feed</w:t>
            </w:r>
          </w:p>
        </w:tc>
      </w:tr>
      <w:tr w:rsidR="00283ADA" w:rsidRPr="00260CE3" w:rsidTr="00283ADA">
        <w:tblPrEx>
          <w:tblCellMar>
            <w:left w:w="108" w:type="dxa"/>
            <w:right w:w="108" w:type="dxa"/>
          </w:tblCellMar>
        </w:tblPrEx>
        <w:trPr>
          <w:cantSplit/>
          <w:trHeight w:val="360"/>
        </w:trPr>
        <w:tc>
          <w:tcPr>
            <w:tcW w:w="1250" w:type="pct"/>
            <w:gridSpan w:val="2"/>
            <w:tcBorders>
              <w:top w:val="single" w:sz="4" w:space="0" w:color="auto"/>
              <w:left w:val="single" w:sz="4" w:space="0" w:color="auto"/>
              <w:bottom w:val="single" w:sz="4" w:space="0" w:color="auto"/>
              <w:right w:val="single" w:sz="4" w:space="0" w:color="auto"/>
            </w:tcBorders>
          </w:tcPr>
          <w:p w:rsidR="00283ADA" w:rsidRPr="00890A88" w:rsidRDefault="00283ADA" w:rsidP="007C76E5">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3750" w:type="pct"/>
            <w:gridSpan w:val="6"/>
            <w:tcBorders>
              <w:top w:val="single" w:sz="4" w:space="0" w:color="auto"/>
              <w:left w:val="single" w:sz="4" w:space="0" w:color="auto"/>
              <w:bottom w:val="single" w:sz="4" w:space="0" w:color="auto"/>
              <w:right w:val="single" w:sz="4" w:space="0" w:color="auto"/>
            </w:tcBorders>
          </w:tcPr>
          <w:p w:rsidR="00283ADA" w:rsidRPr="00106BCF" w:rsidRDefault="00283ADA" w:rsidP="007C76E5">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9C71F9">
              <w:rPr>
                <w:rFonts w:ascii="Arial Narrow" w:hAnsi="Arial Narrow"/>
                <w:sz w:val="20"/>
              </w:rPr>
            </w:r>
            <w:r w:rsidR="009C71F9">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Restricted benefit</w:t>
            </w:r>
          </w:p>
          <w:p w:rsidR="00283ADA" w:rsidRPr="00106BCF" w:rsidRDefault="00283ADA" w:rsidP="007C76E5">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9C71F9">
              <w:rPr>
                <w:rFonts w:ascii="Arial Narrow" w:hAnsi="Arial Narrow"/>
                <w:sz w:val="20"/>
              </w:rPr>
            </w:r>
            <w:r w:rsidR="009C71F9">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rsidR="00283ADA" w:rsidRPr="00106BCF" w:rsidRDefault="00283ADA" w:rsidP="007C76E5">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9C71F9">
              <w:rPr>
                <w:rFonts w:ascii="Arial Narrow" w:hAnsi="Arial Narrow"/>
                <w:sz w:val="20"/>
              </w:rPr>
            </w:r>
            <w:r w:rsidR="009C71F9">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283ADA" w:rsidRPr="00106BCF" w:rsidRDefault="00283ADA" w:rsidP="007C76E5">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9C71F9">
              <w:rPr>
                <w:rFonts w:ascii="Arial Narrow" w:hAnsi="Arial Narrow"/>
                <w:sz w:val="20"/>
              </w:rPr>
            </w:r>
            <w:r w:rsidR="009C71F9">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283ADA" w:rsidRPr="00106BCF" w:rsidRDefault="00283ADA" w:rsidP="007C76E5">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9C71F9">
              <w:rPr>
                <w:rFonts w:ascii="Arial Narrow" w:hAnsi="Arial Narrow"/>
                <w:sz w:val="20"/>
              </w:rPr>
            </w:r>
            <w:r w:rsidR="009C71F9">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283ADA" w:rsidRPr="00260CE3" w:rsidRDefault="00283ADA" w:rsidP="007C76E5">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9C71F9">
              <w:rPr>
                <w:rFonts w:ascii="Arial Narrow" w:hAnsi="Arial Narrow"/>
                <w:sz w:val="20"/>
              </w:rPr>
            </w:r>
            <w:r w:rsidR="009C71F9">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283ADA" w:rsidRPr="00260CE3" w:rsidTr="00283ADA">
        <w:tblPrEx>
          <w:tblCellMar>
            <w:left w:w="108" w:type="dxa"/>
            <w:right w:w="108" w:type="dxa"/>
          </w:tblCellMar>
        </w:tblPrEx>
        <w:trPr>
          <w:cantSplit/>
          <w:trHeight w:val="360"/>
        </w:trPr>
        <w:tc>
          <w:tcPr>
            <w:tcW w:w="1250" w:type="pct"/>
            <w:gridSpan w:val="2"/>
            <w:tcBorders>
              <w:top w:val="single" w:sz="4" w:space="0" w:color="auto"/>
              <w:left w:val="single" w:sz="4" w:space="0" w:color="auto"/>
              <w:bottom w:val="single" w:sz="4" w:space="0" w:color="auto"/>
              <w:right w:val="single" w:sz="4" w:space="0" w:color="auto"/>
            </w:tcBorders>
          </w:tcPr>
          <w:p w:rsidR="00283ADA" w:rsidRPr="00260CE3" w:rsidRDefault="00283ADA" w:rsidP="007C76E5">
            <w:pPr>
              <w:rPr>
                <w:rFonts w:ascii="Arial Narrow" w:hAnsi="Arial Narrow"/>
                <w:b/>
                <w:sz w:val="20"/>
              </w:rPr>
            </w:pPr>
            <w:r w:rsidRPr="00260CE3">
              <w:rPr>
                <w:rFonts w:ascii="Arial Narrow" w:hAnsi="Arial Narrow"/>
                <w:b/>
                <w:sz w:val="20"/>
              </w:rPr>
              <w:t>Treatment criteria:</w:t>
            </w:r>
          </w:p>
          <w:p w:rsidR="00283ADA" w:rsidRPr="00260CE3" w:rsidRDefault="00283ADA" w:rsidP="007C76E5">
            <w:pPr>
              <w:rPr>
                <w:rFonts w:ascii="Arial Narrow" w:hAnsi="Arial Narrow"/>
                <w:sz w:val="20"/>
              </w:rPr>
            </w:pPr>
          </w:p>
        </w:tc>
        <w:tc>
          <w:tcPr>
            <w:tcW w:w="3750" w:type="pct"/>
            <w:gridSpan w:val="6"/>
            <w:tcBorders>
              <w:top w:val="single" w:sz="4" w:space="0" w:color="auto"/>
              <w:left w:val="single" w:sz="4" w:space="0" w:color="auto"/>
              <w:bottom w:val="single" w:sz="4" w:space="0" w:color="auto"/>
              <w:right w:val="single" w:sz="4" w:space="0" w:color="auto"/>
            </w:tcBorders>
          </w:tcPr>
          <w:p w:rsidR="00283ADA" w:rsidRPr="00283ADA" w:rsidRDefault="00283ADA" w:rsidP="007C76E5">
            <w:pPr>
              <w:rPr>
                <w:rFonts w:ascii="Arial Narrow" w:hAnsi="Arial Narrow"/>
                <w:strike/>
                <w:sz w:val="20"/>
              </w:rPr>
            </w:pPr>
            <w:r>
              <w:rPr>
                <w:rFonts w:ascii="Arial Narrow" w:hAnsi="Arial Narrow"/>
                <w:strike/>
                <w:sz w:val="20"/>
              </w:rPr>
              <w:t xml:space="preserve">Nutrini Low Energy Multi Fibre must be used under the strict supervision of a dietitian. </w:t>
            </w:r>
          </w:p>
        </w:tc>
      </w:tr>
      <w:tr w:rsidR="00283ADA" w:rsidRPr="00260CE3" w:rsidTr="00283ADA">
        <w:tblPrEx>
          <w:tblCellMar>
            <w:left w:w="108" w:type="dxa"/>
            <w:right w:w="108" w:type="dxa"/>
          </w:tblCellMar>
        </w:tblPrEx>
        <w:trPr>
          <w:cantSplit/>
          <w:trHeight w:val="360"/>
        </w:trPr>
        <w:tc>
          <w:tcPr>
            <w:tcW w:w="1250" w:type="pct"/>
            <w:gridSpan w:val="2"/>
            <w:tcBorders>
              <w:top w:val="single" w:sz="4" w:space="0" w:color="auto"/>
              <w:left w:val="single" w:sz="4" w:space="0" w:color="auto"/>
              <w:bottom w:val="single" w:sz="4" w:space="0" w:color="auto"/>
              <w:right w:val="single" w:sz="4" w:space="0" w:color="auto"/>
            </w:tcBorders>
          </w:tcPr>
          <w:p w:rsidR="00283ADA" w:rsidRPr="00890A88" w:rsidRDefault="00283ADA" w:rsidP="007C76E5">
            <w:pPr>
              <w:rPr>
                <w:rFonts w:ascii="Arial Narrow" w:hAnsi="Arial Narrow"/>
                <w:b/>
                <w:sz w:val="20"/>
              </w:rPr>
            </w:pPr>
            <w:r w:rsidRPr="00260CE3">
              <w:rPr>
                <w:rFonts w:ascii="Arial Narrow" w:hAnsi="Arial Narrow"/>
                <w:b/>
                <w:sz w:val="20"/>
              </w:rPr>
              <w:t>Clinical criteria:</w:t>
            </w:r>
          </w:p>
        </w:tc>
        <w:tc>
          <w:tcPr>
            <w:tcW w:w="3750" w:type="pct"/>
            <w:gridSpan w:val="6"/>
            <w:tcBorders>
              <w:top w:val="single" w:sz="4" w:space="0" w:color="auto"/>
              <w:left w:val="single" w:sz="4" w:space="0" w:color="auto"/>
              <w:bottom w:val="single" w:sz="4" w:space="0" w:color="auto"/>
              <w:right w:val="single" w:sz="4" w:space="0" w:color="auto"/>
            </w:tcBorders>
          </w:tcPr>
          <w:p w:rsidR="0098351D" w:rsidRDefault="0098351D" w:rsidP="0098351D">
            <w:pPr>
              <w:spacing w:after="200" w:line="276" w:lineRule="auto"/>
              <w:contextualSpacing/>
              <w:rPr>
                <w:rFonts w:ascii="Arial Narrow" w:hAnsi="Arial Narrow"/>
                <w:sz w:val="20"/>
              </w:rPr>
            </w:pPr>
            <w:r w:rsidRPr="00F376C4">
              <w:rPr>
                <w:rFonts w:ascii="Arial Narrow" w:hAnsi="Arial Narrow"/>
                <w:sz w:val="20"/>
              </w:rPr>
              <w:t>Patient must have low energy requirements</w:t>
            </w:r>
            <w:r>
              <w:rPr>
                <w:rFonts w:ascii="Arial Narrow" w:hAnsi="Arial Narrow"/>
                <w:sz w:val="20"/>
              </w:rPr>
              <w:t>;</w:t>
            </w:r>
            <w:r w:rsidRPr="00F376C4">
              <w:rPr>
                <w:rFonts w:ascii="Arial Narrow" w:hAnsi="Arial Narrow"/>
                <w:sz w:val="20"/>
              </w:rPr>
              <w:t xml:space="preserve"> </w:t>
            </w:r>
            <w:r w:rsidRPr="0098351D">
              <w:rPr>
                <w:rFonts w:ascii="Arial Narrow" w:hAnsi="Arial Narrow"/>
                <w:strike/>
                <w:sz w:val="20"/>
              </w:rPr>
              <w:t>due to reduced mobility but</w:t>
            </w:r>
            <w:r w:rsidRPr="00F376C4">
              <w:rPr>
                <w:rFonts w:ascii="Arial Narrow" w:hAnsi="Arial Narrow"/>
                <w:sz w:val="20"/>
              </w:rPr>
              <w:t xml:space="preserve"> </w:t>
            </w:r>
          </w:p>
          <w:p w:rsidR="0098351D" w:rsidRDefault="0098351D" w:rsidP="0098351D">
            <w:pPr>
              <w:spacing w:after="200" w:line="276" w:lineRule="auto"/>
              <w:contextualSpacing/>
              <w:rPr>
                <w:rFonts w:ascii="Arial Narrow" w:hAnsi="Arial Narrow"/>
                <w:sz w:val="20"/>
              </w:rPr>
            </w:pPr>
          </w:p>
          <w:p w:rsidR="0098351D" w:rsidRPr="0098351D" w:rsidRDefault="0098351D" w:rsidP="0098351D">
            <w:pPr>
              <w:spacing w:after="200" w:line="276" w:lineRule="auto"/>
              <w:contextualSpacing/>
              <w:rPr>
                <w:rFonts w:ascii="Arial Narrow" w:hAnsi="Arial Narrow"/>
                <w:b/>
                <w:i/>
                <w:sz w:val="20"/>
              </w:rPr>
            </w:pPr>
            <w:r w:rsidRPr="0098351D">
              <w:rPr>
                <w:rFonts w:ascii="Arial Narrow" w:hAnsi="Arial Narrow"/>
                <w:b/>
                <w:i/>
                <w:sz w:val="20"/>
              </w:rPr>
              <w:t xml:space="preserve">AND </w:t>
            </w:r>
          </w:p>
          <w:p w:rsidR="0098351D" w:rsidRDefault="0098351D" w:rsidP="0098351D">
            <w:pPr>
              <w:spacing w:after="200" w:line="276" w:lineRule="auto"/>
              <w:contextualSpacing/>
              <w:rPr>
                <w:rFonts w:ascii="Arial Narrow" w:hAnsi="Arial Narrow"/>
                <w:i/>
                <w:sz w:val="20"/>
              </w:rPr>
            </w:pPr>
          </w:p>
          <w:p w:rsidR="0098351D" w:rsidRPr="006B37D5" w:rsidRDefault="0098351D" w:rsidP="0098351D">
            <w:pPr>
              <w:spacing w:after="200" w:line="276" w:lineRule="auto"/>
              <w:contextualSpacing/>
              <w:rPr>
                <w:rFonts w:ascii="Arial Narrow" w:hAnsi="Arial Narrow"/>
                <w:sz w:val="20"/>
              </w:rPr>
            </w:pPr>
            <w:r w:rsidRPr="002174C4">
              <w:rPr>
                <w:rFonts w:ascii="Arial Narrow" w:hAnsi="Arial Narrow"/>
                <w:i/>
                <w:sz w:val="20"/>
              </w:rPr>
              <w:t>Patient must have</w:t>
            </w:r>
            <w:r w:rsidRPr="006B37D5">
              <w:rPr>
                <w:rFonts w:ascii="Arial Narrow" w:hAnsi="Arial Narrow"/>
                <w:sz w:val="20"/>
              </w:rPr>
              <w:t xml:space="preserve"> normal protein and micronutrient requirements;</w:t>
            </w:r>
          </w:p>
          <w:p w:rsidR="0098351D" w:rsidRDefault="0098351D" w:rsidP="0098351D">
            <w:pPr>
              <w:spacing w:after="200" w:line="276" w:lineRule="auto"/>
              <w:contextualSpacing/>
              <w:rPr>
                <w:rFonts w:ascii="Arial Narrow" w:hAnsi="Arial Narrow"/>
                <w:b/>
                <w:sz w:val="20"/>
              </w:rPr>
            </w:pPr>
            <w:r w:rsidRPr="00F376C4">
              <w:rPr>
                <w:rFonts w:ascii="Arial Narrow" w:hAnsi="Arial Narrow"/>
                <w:sz w:val="20"/>
              </w:rPr>
              <w:br/>
            </w:r>
            <w:r w:rsidRPr="00F376C4">
              <w:rPr>
                <w:rFonts w:ascii="Arial Narrow" w:hAnsi="Arial Narrow"/>
                <w:b/>
                <w:sz w:val="20"/>
              </w:rPr>
              <w:t>AND</w:t>
            </w:r>
          </w:p>
          <w:p w:rsidR="0098351D" w:rsidRPr="00F376C4" w:rsidRDefault="0098351D" w:rsidP="0098351D">
            <w:pPr>
              <w:spacing w:after="200" w:line="276" w:lineRule="auto"/>
              <w:contextualSpacing/>
              <w:rPr>
                <w:rFonts w:ascii="Arial Narrow" w:hAnsi="Arial Narrow"/>
                <w:sz w:val="20"/>
              </w:rPr>
            </w:pPr>
          </w:p>
          <w:p w:rsidR="00283ADA" w:rsidRPr="006B37D5" w:rsidRDefault="0098351D" w:rsidP="0098351D">
            <w:pPr>
              <w:rPr>
                <w:rFonts w:ascii="Arial Narrow" w:hAnsi="Arial Narrow"/>
                <w:sz w:val="20"/>
              </w:rPr>
            </w:pPr>
            <w:r w:rsidRPr="002174C4">
              <w:rPr>
                <w:rFonts w:ascii="Arial Narrow" w:hAnsi="Arial Narrow"/>
                <w:i/>
                <w:sz w:val="20"/>
              </w:rPr>
              <w:t>Patient must be</w:t>
            </w:r>
            <w:r w:rsidRPr="006B37D5">
              <w:rPr>
                <w:rFonts w:ascii="Arial Narrow" w:hAnsi="Arial Narrow"/>
                <w:sz w:val="20"/>
              </w:rPr>
              <w:t xml:space="preserve"> unable to use a standard 1.0kcal/ml tube feed.</w:t>
            </w:r>
          </w:p>
        </w:tc>
      </w:tr>
      <w:tr w:rsidR="00283ADA" w:rsidRPr="00260CE3" w:rsidTr="00283ADA">
        <w:tblPrEx>
          <w:tblCellMar>
            <w:left w:w="108" w:type="dxa"/>
            <w:right w:w="108" w:type="dxa"/>
          </w:tblCellMar>
        </w:tblPrEx>
        <w:trPr>
          <w:cantSplit/>
          <w:trHeight w:val="360"/>
        </w:trPr>
        <w:tc>
          <w:tcPr>
            <w:tcW w:w="1250" w:type="pct"/>
            <w:gridSpan w:val="2"/>
            <w:tcBorders>
              <w:top w:val="single" w:sz="4" w:space="0" w:color="auto"/>
              <w:left w:val="single" w:sz="4" w:space="0" w:color="auto"/>
              <w:bottom w:val="single" w:sz="4" w:space="0" w:color="auto"/>
              <w:right w:val="single" w:sz="4" w:space="0" w:color="auto"/>
            </w:tcBorders>
          </w:tcPr>
          <w:p w:rsidR="00283ADA" w:rsidRPr="00890A88" w:rsidRDefault="00283ADA" w:rsidP="007C76E5">
            <w:pPr>
              <w:rPr>
                <w:rFonts w:ascii="Arial Narrow" w:hAnsi="Arial Narrow"/>
                <w:b/>
                <w:sz w:val="20"/>
              </w:rPr>
            </w:pPr>
            <w:r w:rsidRPr="00260CE3">
              <w:rPr>
                <w:rFonts w:ascii="Arial Narrow" w:hAnsi="Arial Narrow"/>
                <w:b/>
                <w:sz w:val="20"/>
              </w:rPr>
              <w:lastRenderedPageBreak/>
              <w:t>Population criteria:</w:t>
            </w:r>
          </w:p>
        </w:tc>
        <w:tc>
          <w:tcPr>
            <w:tcW w:w="3750" w:type="pct"/>
            <w:gridSpan w:val="6"/>
            <w:tcBorders>
              <w:top w:val="single" w:sz="4" w:space="0" w:color="auto"/>
              <w:left w:val="single" w:sz="4" w:space="0" w:color="auto"/>
              <w:bottom w:val="single" w:sz="4" w:space="0" w:color="auto"/>
              <w:right w:val="single" w:sz="4" w:space="0" w:color="auto"/>
            </w:tcBorders>
          </w:tcPr>
          <w:p w:rsidR="00283ADA" w:rsidRPr="002174C4" w:rsidRDefault="00283ADA" w:rsidP="007C76E5">
            <w:pPr>
              <w:rPr>
                <w:rFonts w:ascii="Arial Narrow" w:hAnsi="Arial Narrow"/>
                <w:i/>
                <w:sz w:val="20"/>
              </w:rPr>
            </w:pPr>
            <w:r w:rsidRPr="002174C4">
              <w:rPr>
                <w:rFonts w:ascii="Arial Narrow" w:hAnsi="Arial Narrow"/>
                <w:i/>
                <w:sz w:val="20"/>
              </w:rPr>
              <w:t>Patient must be aged from 1 to 6 years inclusive.</w:t>
            </w:r>
          </w:p>
        </w:tc>
      </w:tr>
      <w:tr w:rsidR="00283ADA" w:rsidRPr="00260CE3" w:rsidTr="00283ADA">
        <w:tblPrEx>
          <w:tblCellMar>
            <w:left w:w="108" w:type="dxa"/>
            <w:right w:w="108" w:type="dxa"/>
          </w:tblCellMar>
        </w:tblPrEx>
        <w:trPr>
          <w:cantSplit/>
          <w:trHeight w:val="360"/>
        </w:trPr>
        <w:tc>
          <w:tcPr>
            <w:tcW w:w="1250" w:type="pct"/>
            <w:gridSpan w:val="2"/>
            <w:tcBorders>
              <w:top w:val="single" w:sz="4" w:space="0" w:color="auto"/>
              <w:left w:val="single" w:sz="4" w:space="0" w:color="auto"/>
              <w:bottom w:val="single" w:sz="4" w:space="0" w:color="auto"/>
              <w:right w:val="single" w:sz="4" w:space="0" w:color="auto"/>
            </w:tcBorders>
          </w:tcPr>
          <w:p w:rsidR="00283ADA" w:rsidRPr="005D1BCA" w:rsidRDefault="00283ADA" w:rsidP="007C76E5">
            <w:pPr>
              <w:rPr>
                <w:rFonts w:ascii="Arial Narrow" w:hAnsi="Arial Narrow"/>
                <w:b/>
                <w:sz w:val="20"/>
              </w:rPr>
            </w:pPr>
            <w:r w:rsidRPr="00260CE3">
              <w:rPr>
                <w:rFonts w:ascii="Arial Narrow" w:hAnsi="Arial Narrow"/>
                <w:b/>
                <w:sz w:val="20"/>
              </w:rPr>
              <w:t>Administrative Advice</w:t>
            </w:r>
          </w:p>
          <w:p w:rsidR="00283ADA" w:rsidRPr="00260CE3" w:rsidRDefault="00283ADA" w:rsidP="007C76E5">
            <w:pPr>
              <w:rPr>
                <w:rFonts w:ascii="Arial Narrow" w:hAnsi="Arial Narrow"/>
                <w:i/>
                <w:sz w:val="20"/>
              </w:rPr>
            </w:pPr>
          </w:p>
        </w:tc>
        <w:tc>
          <w:tcPr>
            <w:tcW w:w="3750" w:type="pct"/>
            <w:gridSpan w:val="6"/>
            <w:tcBorders>
              <w:top w:val="single" w:sz="4" w:space="0" w:color="auto"/>
              <w:left w:val="single" w:sz="4" w:space="0" w:color="auto"/>
              <w:bottom w:val="single" w:sz="4" w:space="0" w:color="auto"/>
              <w:right w:val="single" w:sz="4" w:space="0" w:color="auto"/>
            </w:tcBorders>
          </w:tcPr>
          <w:p w:rsidR="00283ADA" w:rsidRPr="002174C4" w:rsidRDefault="00283ADA" w:rsidP="009972EA">
            <w:pPr>
              <w:rPr>
                <w:rFonts w:ascii="Arial Narrow" w:hAnsi="Arial Narrow"/>
                <w:i/>
                <w:sz w:val="20"/>
              </w:rPr>
            </w:pPr>
            <w:r w:rsidRPr="002174C4">
              <w:rPr>
                <w:rFonts w:ascii="Arial Narrow" w:hAnsi="Arial Narrow"/>
                <w:i/>
                <w:sz w:val="20"/>
              </w:rPr>
              <w:t>This product must only be used under strict supervision of a dietitian</w:t>
            </w:r>
            <w:r w:rsidR="009D6E26" w:rsidRPr="002174C4">
              <w:rPr>
                <w:rFonts w:ascii="Arial Narrow" w:hAnsi="Arial Narrow"/>
                <w:i/>
                <w:sz w:val="20"/>
              </w:rPr>
              <w:t xml:space="preserve"> and a paediatrician</w:t>
            </w:r>
            <w:r w:rsidR="009972EA" w:rsidRPr="002174C4">
              <w:rPr>
                <w:rFonts w:ascii="Arial Narrow" w:hAnsi="Arial Narrow"/>
                <w:i/>
                <w:sz w:val="20"/>
              </w:rPr>
              <w:t>.</w:t>
            </w:r>
          </w:p>
        </w:tc>
      </w:tr>
    </w:tbl>
    <w:p w:rsidR="00F376C4" w:rsidRDefault="00F376C4" w:rsidP="00414476"/>
    <w:p w:rsidR="002174C4" w:rsidRDefault="002174C4" w:rsidP="002174C4">
      <w:pPr>
        <w:pStyle w:val="PBACHeading1"/>
        <w:numPr>
          <w:ilvl w:val="1"/>
          <w:numId w:val="18"/>
        </w:numPr>
        <w:rPr>
          <w:b w:val="0"/>
        </w:rPr>
      </w:pPr>
      <w:r w:rsidRPr="001D5F66">
        <w:rPr>
          <w:b w:val="0"/>
        </w:rPr>
        <w:t xml:space="preserve">The Pre-Sub-Committee Response (PSCR, p2) disagreed with the inclusion of the specified age range proposed in the restriction (1-6 years inclusive), suggesting that the product </w:t>
      </w:r>
      <w:r w:rsidR="00AA048B" w:rsidRPr="001D5F66">
        <w:rPr>
          <w:b w:val="0"/>
        </w:rPr>
        <w:t>will be used</w:t>
      </w:r>
      <w:r w:rsidRPr="001D5F66">
        <w:rPr>
          <w:b w:val="0"/>
        </w:rPr>
        <w:t xml:space="preserve"> in children up to and including 12 years. </w:t>
      </w:r>
    </w:p>
    <w:p w:rsidR="006C7948" w:rsidRDefault="006C7948" w:rsidP="006C7948">
      <w:pPr>
        <w:pStyle w:val="PBACHeading1"/>
        <w:ind w:left="720"/>
        <w:rPr>
          <w:b w:val="0"/>
        </w:rPr>
      </w:pPr>
    </w:p>
    <w:p w:rsidR="0063303B" w:rsidRPr="0063303B" w:rsidRDefault="0063303B" w:rsidP="0063303B">
      <w:pPr>
        <w:pStyle w:val="PBACHeading1"/>
        <w:numPr>
          <w:ilvl w:val="1"/>
          <w:numId w:val="18"/>
        </w:numPr>
        <w:rPr>
          <w:b w:val="0"/>
        </w:rPr>
      </w:pPr>
      <w:r w:rsidRPr="0063303B">
        <w:rPr>
          <w:b w:val="0"/>
        </w:rPr>
        <w:t xml:space="preserve">The </w:t>
      </w:r>
      <w:r>
        <w:rPr>
          <w:b w:val="0"/>
        </w:rPr>
        <w:t>Nutritional Products Working Party (</w:t>
      </w:r>
      <w:r w:rsidRPr="0063303B">
        <w:rPr>
          <w:b w:val="0"/>
        </w:rPr>
        <w:t>NPWP</w:t>
      </w:r>
      <w:r>
        <w:rPr>
          <w:b w:val="0"/>
        </w:rPr>
        <w:t>)</w:t>
      </w:r>
      <w:r w:rsidRPr="0063303B">
        <w:rPr>
          <w:b w:val="0"/>
        </w:rPr>
        <w:t xml:space="preserve"> noted that the proposed wording of the </w:t>
      </w:r>
      <w:r>
        <w:rPr>
          <w:b w:val="0"/>
        </w:rPr>
        <w:t>restriction</w:t>
      </w:r>
      <w:r w:rsidRPr="0063303B">
        <w:rPr>
          <w:b w:val="0"/>
        </w:rPr>
        <w:t xml:space="preserve"> would allow broad acc</w:t>
      </w:r>
      <w:r w:rsidR="003B2211">
        <w:rPr>
          <w:b w:val="0"/>
        </w:rPr>
        <w:t xml:space="preserve">ess </w:t>
      </w:r>
      <w:r>
        <w:rPr>
          <w:b w:val="0"/>
        </w:rPr>
        <w:t>bey</w:t>
      </w:r>
      <w:r w:rsidR="00D260AD">
        <w:rPr>
          <w:b w:val="0"/>
        </w:rPr>
        <w:t>ond patients with cerebral palsy</w:t>
      </w:r>
      <w:r>
        <w:rPr>
          <w:b w:val="0"/>
        </w:rPr>
        <w:t xml:space="preserve">, however </w:t>
      </w:r>
      <w:r w:rsidRPr="0063303B">
        <w:rPr>
          <w:b w:val="0"/>
        </w:rPr>
        <w:t>the clinical benefit</w:t>
      </w:r>
      <w:r>
        <w:rPr>
          <w:b w:val="0"/>
        </w:rPr>
        <w:t xml:space="preserve"> of this product</w:t>
      </w:r>
      <w:r w:rsidRPr="0063303B">
        <w:rPr>
          <w:b w:val="0"/>
        </w:rPr>
        <w:t xml:space="preserve"> to patients with other neurodisabilities</w:t>
      </w:r>
      <w:r w:rsidR="003B2211">
        <w:rPr>
          <w:b w:val="0"/>
        </w:rPr>
        <w:t xml:space="preserve"> </w:t>
      </w:r>
      <w:r w:rsidRPr="0063303B">
        <w:rPr>
          <w:b w:val="0"/>
        </w:rPr>
        <w:t xml:space="preserve">was unclear. </w:t>
      </w:r>
    </w:p>
    <w:p w:rsidR="0063303B" w:rsidRDefault="0063303B" w:rsidP="0063303B">
      <w:pPr>
        <w:pStyle w:val="ListParagraph"/>
        <w:rPr>
          <w:b/>
        </w:rPr>
      </w:pPr>
    </w:p>
    <w:p w:rsidR="006C7948" w:rsidRPr="001D5F66" w:rsidRDefault="006C7948" w:rsidP="002174C4">
      <w:pPr>
        <w:pStyle w:val="PBACHeading1"/>
        <w:numPr>
          <w:ilvl w:val="1"/>
          <w:numId w:val="18"/>
        </w:numPr>
        <w:rPr>
          <w:b w:val="0"/>
        </w:rPr>
      </w:pPr>
      <w:r>
        <w:rPr>
          <w:b w:val="0"/>
        </w:rPr>
        <w:t xml:space="preserve">The Pre-PBAC response (p1) </w:t>
      </w:r>
      <w:r w:rsidR="009A40D8">
        <w:rPr>
          <w:b w:val="0"/>
        </w:rPr>
        <w:t>proposed to that the restriction be</w:t>
      </w:r>
      <w:r>
        <w:rPr>
          <w:b w:val="0"/>
        </w:rPr>
        <w:t xml:space="preserve"> amended to</w:t>
      </w:r>
      <w:r w:rsidR="009A40D8">
        <w:rPr>
          <w:b w:val="0"/>
        </w:rPr>
        <w:t xml:space="preserve"> restrict to children with cerebral palsy aged 1-12 years to address concerns raised by the </w:t>
      </w:r>
      <w:r w:rsidR="0063303B">
        <w:rPr>
          <w:b w:val="0"/>
        </w:rPr>
        <w:t xml:space="preserve">NPWP. </w:t>
      </w:r>
      <w:r w:rsidR="009A40D8">
        <w:rPr>
          <w:b w:val="0"/>
        </w:rPr>
        <w:t xml:space="preserve"> </w:t>
      </w:r>
    </w:p>
    <w:p w:rsidR="004B04BF" w:rsidRDefault="004B04BF" w:rsidP="00414476"/>
    <w:p w:rsidR="004911F9" w:rsidRDefault="004911F9" w:rsidP="004911F9">
      <w:pPr>
        <w:ind w:left="709"/>
        <w:rPr>
          <w:i/>
        </w:rPr>
      </w:pPr>
      <w:r>
        <w:rPr>
          <w:i/>
        </w:rPr>
        <w:t xml:space="preserve">For more detail on PBAC’s view, see section 7 “PBAC outcome” </w:t>
      </w:r>
    </w:p>
    <w:p w:rsidR="004911F9" w:rsidRDefault="004911F9" w:rsidP="00A3795A">
      <w:pPr>
        <w:spacing w:line="480" w:lineRule="auto"/>
        <w:ind w:left="709"/>
        <w:rPr>
          <w:i/>
        </w:rPr>
      </w:pPr>
    </w:p>
    <w:p w:rsidR="0025534B" w:rsidRDefault="0025534B" w:rsidP="00A3795A">
      <w:pPr>
        <w:pStyle w:val="Heading1"/>
      </w:pPr>
      <w:bookmarkStart w:id="8" w:name="_Toc380679751"/>
      <w:bookmarkStart w:id="9" w:name="_Toc380742608"/>
      <w:bookmarkStart w:id="10" w:name="_Toc380746175"/>
      <w:bookmarkStart w:id="11" w:name="_Toc380746301"/>
      <w:bookmarkStart w:id="12" w:name="_Toc380746582"/>
      <w:r>
        <w:t>Background</w:t>
      </w:r>
      <w:bookmarkEnd w:id="8"/>
      <w:bookmarkEnd w:id="9"/>
      <w:bookmarkEnd w:id="10"/>
      <w:bookmarkEnd w:id="11"/>
      <w:bookmarkEnd w:id="12"/>
    </w:p>
    <w:p w:rsidR="005A6E40" w:rsidRPr="005A6E40" w:rsidRDefault="005A6E40" w:rsidP="005A6E40">
      <w:pPr>
        <w:pStyle w:val="PBACHeading1"/>
        <w:ind w:left="720"/>
        <w:rPr>
          <w:b w:val="0"/>
        </w:rPr>
      </w:pPr>
    </w:p>
    <w:p w:rsidR="00833829" w:rsidRPr="004F0849" w:rsidRDefault="00833829" w:rsidP="00833829">
      <w:pPr>
        <w:pStyle w:val="PBACHeading1"/>
        <w:numPr>
          <w:ilvl w:val="1"/>
          <w:numId w:val="18"/>
        </w:numPr>
        <w:rPr>
          <w:b w:val="0"/>
          <w:i/>
        </w:rPr>
      </w:pPr>
      <w:r w:rsidRPr="004911F9">
        <w:rPr>
          <w:b w:val="0"/>
        </w:rPr>
        <w:t>Nutrini Low Energy Multi Fibre did not re</w:t>
      </w:r>
      <w:r w:rsidR="00983891" w:rsidRPr="004911F9">
        <w:rPr>
          <w:b w:val="0"/>
        </w:rPr>
        <w:t>quire registration with the TGA as</w:t>
      </w:r>
      <w:r w:rsidRPr="004911F9">
        <w:rPr>
          <w:b w:val="0"/>
        </w:rPr>
        <w:t xml:space="preserve"> </w:t>
      </w:r>
      <w:r w:rsidR="00983891" w:rsidRPr="004911F9">
        <w:rPr>
          <w:b w:val="0"/>
        </w:rPr>
        <w:t>i</w:t>
      </w:r>
      <w:r w:rsidRPr="004911F9">
        <w:rPr>
          <w:b w:val="0"/>
        </w:rPr>
        <w:t>t is</w:t>
      </w:r>
      <w:r w:rsidRPr="004F0849">
        <w:rPr>
          <w:b w:val="0"/>
        </w:rPr>
        <w:t xml:space="preserve"> classified as a </w:t>
      </w:r>
      <w:r w:rsidR="00343A4F" w:rsidRPr="004F0849">
        <w:rPr>
          <w:b w:val="0"/>
        </w:rPr>
        <w:t>“Food</w:t>
      </w:r>
      <w:r w:rsidR="007713D2" w:rsidRPr="004F0849">
        <w:rPr>
          <w:b w:val="0"/>
        </w:rPr>
        <w:t xml:space="preserve"> </w:t>
      </w:r>
      <w:r w:rsidR="00343A4F" w:rsidRPr="004F0849">
        <w:rPr>
          <w:b w:val="0"/>
        </w:rPr>
        <w:t>for Special Medical Purpose”</w:t>
      </w:r>
      <w:r w:rsidR="00DC79F4" w:rsidRPr="004F0849">
        <w:rPr>
          <w:b w:val="0"/>
        </w:rPr>
        <w:t xml:space="preserve"> </w:t>
      </w:r>
      <w:r w:rsidR="00343A4F" w:rsidRPr="004F0849">
        <w:rPr>
          <w:b w:val="0"/>
        </w:rPr>
        <w:t>regulated under the Australia New Zealand Food</w:t>
      </w:r>
      <w:r w:rsidR="007713D2" w:rsidRPr="004F0849">
        <w:rPr>
          <w:b w:val="0"/>
        </w:rPr>
        <w:t xml:space="preserve"> </w:t>
      </w:r>
      <w:r w:rsidR="00343A4F" w:rsidRPr="004F0849">
        <w:rPr>
          <w:b w:val="0"/>
        </w:rPr>
        <w:t>Standards Code</w:t>
      </w:r>
      <w:r w:rsidR="007713D2" w:rsidRPr="004F0849">
        <w:rPr>
          <w:b w:val="0"/>
        </w:rPr>
        <w:t xml:space="preserve">. </w:t>
      </w:r>
    </w:p>
    <w:p w:rsidR="004F0849" w:rsidRPr="004F0849" w:rsidRDefault="004F0849" w:rsidP="004F0849">
      <w:pPr>
        <w:pStyle w:val="PBACHeading1"/>
        <w:ind w:left="720"/>
        <w:rPr>
          <w:b w:val="0"/>
          <w:i/>
        </w:rPr>
      </w:pPr>
    </w:p>
    <w:p w:rsidR="00833829" w:rsidRPr="004F0849" w:rsidRDefault="00833829" w:rsidP="005D1BCA">
      <w:pPr>
        <w:pStyle w:val="PBACHeading1"/>
        <w:numPr>
          <w:ilvl w:val="1"/>
          <w:numId w:val="18"/>
        </w:numPr>
        <w:rPr>
          <w:b w:val="0"/>
          <w:i/>
        </w:rPr>
      </w:pPr>
      <w:r>
        <w:rPr>
          <w:b w:val="0"/>
        </w:rPr>
        <w:t>Nutrini Low Energy Multi Fibre has not been considered by the PBAC previously.</w:t>
      </w:r>
    </w:p>
    <w:p w:rsidR="004F0849" w:rsidRDefault="004F0849" w:rsidP="004F0849">
      <w:pPr>
        <w:pStyle w:val="ListParagraph"/>
        <w:rPr>
          <w:b/>
          <w:i/>
        </w:rPr>
      </w:pPr>
    </w:p>
    <w:p w:rsidR="004F0849" w:rsidRDefault="006C57F1" w:rsidP="004F0849">
      <w:pPr>
        <w:pStyle w:val="PBACHeading1"/>
        <w:numPr>
          <w:ilvl w:val="1"/>
          <w:numId w:val="18"/>
        </w:numPr>
        <w:rPr>
          <w:b w:val="0"/>
        </w:rPr>
      </w:pPr>
      <w:r w:rsidRPr="006B37D5">
        <w:rPr>
          <w:b w:val="0"/>
        </w:rPr>
        <w:t>During the consideration of the nutritional product Nutrini Peptisorb a</w:t>
      </w:r>
      <w:r w:rsidR="004F0849" w:rsidRPr="006B37D5">
        <w:rPr>
          <w:b w:val="0"/>
        </w:rPr>
        <w:t xml:space="preserve">t its meeting in March 2015, the PBAC noted that submissions seeking the addition of a new indication/s on the PBS would usually require a major submission (Public Summary Document, Nutrini Peptisorb, March 2015, paragraph 6.3). </w:t>
      </w:r>
      <w:r w:rsidRPr="006B37D5">
        <w:rPr>
          <w:b w:val="0"/>
        </w:rPr>
        <w:t>T</w:t>
      </w:r>
      <w:r w:rsidR="004F0849" w:rsidRPr="006B37D5">
        <w:rPr>
          <w:b w:val="0"/>
        </w:rPr>
        <w:t>his was in the context of highly uncertain</w:t>
      </w:r>
      <w:r w:rsidRPr="006B37D5">
        <w:rPr>
          <w:b w:val="0"/>
        </w:rPr>
        <w:t xml:space="preserve"> estimates of use</w:t>
      </w:r>
      <w:r w:rsidR="004F0849" w:rsidRPr="006B37D5">
        <w:rPr>
          <w:b w:val="0"/>
        </w:rPr>
        <w:t xml:space="preserve">, with the </w:t>
      </w:r>
      <w:r w:rsidRPr="006B37D5">
        <w:rPr>
          <w:b w:val="0"/>
        </w:rPr>
        <w:t xml:space="preserve">potential for the </w:t>
      </w:r>
      <w:r w:rsidR="004F0849" w:rsidRPr="006B37D5">
        <w:rPr>
          <w:b w:val="0"/>
        </w:rPr>
        <w:t xml:space="preserve">total patient pool being &gt;600 children. The </w:t>
      </w:r>
      <w:r w:rsidRPr="006B37D5">
        <w:rPr>
          <w:b w:val="0"/>
        </w:rPr>
        <w:t xml:space="preserve">current submission is for a </w:t>
      </w:r>
      <w:r w:rsidR="009972EA" w:rsidRPr="006B37D5">
        <w:rPr>
          <w:b w:val="0"/>
        </w:rPr>
        <w:t>s</w:t>
      </w:r>
      <w:r w:rsidRPr="006B37D5">
        <w:rPr>
          <w:b w:val="0"/>
        </w:rPr>
        <w:t>maller, but still uncertain, population</w:t>
      </w:r>
      <w:r w:rsidR="004F0849" w:rsidRPr="006B37D5">
        <w:rPr>
          <w:b w:val="0"/>
        </w:rPr>
        <w:t xml:space="preserve">. </w:t>
      </w:r>
    </w:p>
    <w:p w:rsidR="00C5179C" w:rsidRDefault="00C5179C" w:rsidP="00A3795A">
      <w:pPr>
        <w:widowControl/>
        <w:spacing w:line="480" w:lineRule="auto"/>
        <w:jc w:val="left"/>
        <w:rPr>
          <w:snapToGrid/>
          <w:szCs w:val="22"/>
        </w:rPr>
      </w:pPr>
    </w:p>
    <w:p w:rsidR="0025534B" w:rsidRDefault="0025534B" w:rsidP="00A3795A">
      <w:pPr>
        <w:pStyle w:val="Heading1"/>
      </w:pPr>
      <w:bookmarkStart w:id="13" w:name="_Toc380679752"/>
      <w:bookmarkStart w:id="14" w:name="_Toc380742609"/>
      <w:bookmarkStart w:id="15" w:name="_Toc380746176"/>
      <w:bookmarkStart w:id="16" w:name="_Toc380746302"/>
      <w:bookmarkStart w:id="17" w:name="_Toc380746583"/>
      <w:r w:rsidRPr="0025534B">
        <w:t>Clinical</w:t>
      </w:r>
      <w:r>
        <w:t xml:space="preserve"> place for the proposed therapy</w:t>
      </w:r>
      <w:bookmarkEnd w:id="13"/>
      <w:bookmarkEnd w:id="14"/>
      <w:bookmarkEnd w:id="15"/>
      <w:bookmarkEnd w:id="16"/>
      <w:bookmarkEnd w:id="17"/>
    </w:p>
    <w:p w:rsidR="00DB17DC" w:rsidRDefault="00DB17DC" w:rsidP="00DB17DC">
      <w:pPr>
        <w:pStyle w:val="PBACHeading1"/>
        <w:ind w:left="720"/>
      </w:pPr>
    </w:p>
    <w:p w:rsidR="0025534B" w:rsidRDefault="00201C26" w:rsidP="00DB17DC">
      <w:pPr>
        <w:pStyle w:val="PBACHeading1"/>
        <w:numPr>
          <w:ilvl w:val="1"/>
          <w:numId w:val="18"/>
        </w:numPr>
        <w:rPr>
          <w:b w:val="0"/>
        </w:rPr>
      </w:pPr>
      <w:r w:rsidRPr="00DB17DC">
        <w:rPr>
          <w:b w:val="0"/>
        </w:rPr>
        <w:t xml:space="preserve">The proposed therapy is </w:t>
      </w:r>
      <w:r w:rsidR="00ED3E57" w:rsidRPr="00DB17DC">
        <w:rPr>
          <w:b w:val="0"/>
        </w:rPr>
        <w:t xml:space="preserve">a ready-to-use </w:t>
      </w:r>
      <w:r w:rsidR="005D1BCA">
        <w:rPr>
          <w:b w:val="0"/>
        </w:rPr>
        <w:t xml:space="preserve">(‘closed system’) </w:t>
      </w:r>
      <w:r w:rsidR="00ED3E57" w:rsidRPr="00DB17DC">
        <w:rPr>
          <w:b w:val="0"/>
        </w:rPr>
        <w:t>nutritionally complete tube feed formula</w:t>
      </w:r>
      <w:r w:rsidRPr="00DB17DC">
        <w:rPr>
          <w:b w:val="0"/>
        </w:rPr>
        <w:t xml:space="preserve"> </w:t>
      </w:r>
      <w:r w:rsidR="00DC79F4" w:rsidRPr="00DB17DC">
        <w:rPr>
          <w:b w:val="0"/>
        </w:rPr>
        <w:t>for</w:t>
      </w:r>
      <w:r w:rsidR="00195377">
        <w:rPr>
          <w:b w:val="0"/>
        </w:rPr>
        <w:t xml:space="preserve"> infants and young</w:t>
      </w:r>
      <w:r w:rsidR="00DC79F4" w:rsidRPr="00DB17DC">
        <w:rPr>
          <w:b w:val="0"/>
        </w:rPr>
        <w:t xml:space="preserve"> </w:t>
      </w:r>
      <w:r w:rsidRPr="00DB17DC">
        <w:rPr>
          <w:b w:val="0"/>
        </w:rPr>
        <w:t>children who have low energy needs</w:t>
      </w:r>
      <w:r w:rsidR="00195377">
        <w:rPr>
          <w:b w:val="0"/>
        </w:rPr>
        <w:t xml:space="preserve"> </w:t>
      </w:r>
      <w:r w:rsidR="00DB17DC" w:rsidRPr="00DB17DC">
        <w:rPr>
          <w:b w:val="0"/>
        </w:rPr>
        <w:t>d</w:t>
      </w:r>
      <w:r w:rsidR="00ED3E57" w:rsidRPr="00DB17DC">
        <w:rPr>
          <w:b w:val="0"/>
        </w:rPr>
        <w:t>ue to dec</w:t>
      </w:r>
      <w:r w:rsidR="004F0849">
        <w:rPr>
          <w:b w:val="0"/>
        </w:rPr>
        <w:t>reased</w:t>
      </w:r>
      <w:r w:rsidR="00ED3E57" w:rsidRPr="00DB17DC">
        <w:rPr>
          <w:b w:val="0"/>
        </w:rPr>
        <w:t xml:space="preserve"> or impaired mobility</w:t>
      </w:r>
      <w:r w:rsidRPr="00DB17DC">
        <w:rPr>
          <w:b w:val="0"/>
        </w:rPr>
        <w:t xml:space="preserve"> and are receiving their nutrition via an enteral tube feed.</w:t>
      </w:r>
      <w:r w:rsidR="005D1BCA">
        <w:rPr>
          <w:b w:val="0"/>
        </w:rPr>
        <w:t xml:space="preserve"> </w:t>
      </w:r>
    </w:p>
    <w:p w:rsidR="00195377" w:rsidRDefault="00195377" w:rsidP="00195377">
      <w:pPr>
        <w:pStyle w:val="PBACHeading1"/>
        <w:ind w:left="720"/>
        <w:rPr>
          <w:b w:val="0"/>
        </w:rPr>
      </w:pPr>
    </w:p>
    <w:p w:rsidR="00195377" w:rsidRPr="003B2211" w:rsidRDefault="00195377" w:rsidP="00195377">
      <w:pPr>
        <w:pStyle w:val="PBACHeading1"/>
        <w:numPr>
          <w:ilvl w:val="1"/>
          <w:numId w:val="18"/>
        </w:numPr>
        <w:rPr>
          <w:b w:val="0"/>
          <w:i/>
        </w:rPr>
      </w:pPr>
      <w:r w:rsidRPr="00195377">
        <w:rPr>
          <w:b w:val="0"/>
        </w:rPr>
        <w:t xml:space="preserve">Presently, there are no PBS listed enteral tube formulas specifically for children with low energy requirements. The options currently available for such children can involve a combination of formula products and powdered supplements </w:t>
      </w:r>
      <w:r w:rsidR="00283ADA">
        <w:rPr>
          <w:b w:val="0"/>
        </w:rPr>
        <w:t xml:space="preserve">to meet individual energy, protein and micronutrient needs </w:t>
      </w:r>
      <w:r w:rsidRPr="00195377">
        <w:rPr>
          <w:b w:val="0"/>
        </w:rPr>
        <w:t xml:space="preserve">(‘open system’). The submission </w:t>
      </w:r>
      <w:r w:rsidR="004F0849">
        <w:rPr>
          <w:b w:val="0"/>
        </w:rPr>
        <w:t>notes that</w:t>
      </w:r>
      <w:r w:rsidRPr="00195377">
        <w:rPr>
          <w:b w:val="0"/>
        </w:rPr>
        <w:t xml:space="preserve"> there is an inherent safety risk of contamination and dilution errors associated with preparing the tube feed in an open system</w:t>
      </w:r>
      <w:r w:rsidR="006C57F1">
        <w:rPr>
          <w:b w:val="0"/>
        </w:rPr>
        <w:t xml:space="preserve">, and that the use of </w:t>
      </w:r>
      <w:r w:rsidRPr="00195377">
        <w:rPr>
          <w:b w:val="0"/>
        </w:rPr>
        <w:t xml:space="preserve"> a closed system such as Nutrini Low Energy Multi Fibre</w:t>
      </w:r>
      <w:r w:rsidR="006C57F1">
        <w:rPr>
          <w:b w:val="0"/>
        </w:rPr>
        <w:t xml:space="preserve"> removes these risks</w:t>
      </w:r>
      <w:r w:rsidRPr="00195377">
        <w:rPr>
          <w:b w:val="0"/>
        </w:rPr>
        <w:t>.</w:t>
      </w:r>
    </w:p>
    <w:p w:rsidR="003B2211" w:rsidRDefault="003B2211" w:rsidP="003B2211">
      <w:pPr>
        <w:pStyle w:val="ListParagraph"/>
        <w:rPr>
          <w:b/>
          <w:i/>
        </w:rPr>
      </w:pPr>
    </w:p>
    <w:p w:rsidR="003B2211" w:rsidRPr="00195377" w:rsidRDefault="003B2211" w:rsidP="00195377">
      <w:pPr>
        <w:pStyle w:val="PBACHeading1"/>
        <w:numPr>
          <w:ilvl w:val="1"/>
          <w:numId w:val="18"/>
        </w:numPr>
        <w:rPr>
          <w:b w:val="0"/>
          <w:i/>
        </w:rPr>
      </w:pPr>
      <w:r>
        <w:rPr>
          <w:b w:val="0"/>
        </w:rPr>
        <w:t xml:space="preserve">The NPWP noted that there is uncertainty about the clinical place for this product and considered it may be used more broadly in clinical practice than proposed in the submission. </w:t>
      </w:r>
    </w:p>
    <w:p w:rsidR="00195377" w:rsidRDefault="00195377" w:rsidP="00195377">
      <w:pPr>
        <w:pStyle w:val="PBACHeading1"/>
        <w:ind w:left="720"/>
        <w:rPr>
          <w:b w:val="0"/>
        </w:rPr>
      </w:pPr>
    </w:p>
    <w:p w:rsidR="004911F9" w:rsidRDefault="004911F9" w:rsidP="004911F9">
      <w:pPr>
        <w:ind w:left="709"/>
        <w:rPr>
          <w:i/>
        </w:rPr>
      </w:pPr>
      <w:r>
        <w:rPr>
          <w:i/>
        </w:rPr>
        <w:t xml:space="preserve">For more detail on PBAC’s view, see section 7 “PBAC outcome” </w:t>
      </w:r>
    </w:p>
    <w:p w:rsidR="004911F9" w:rsidRDefault="004911F9" w:rsidP="00A3795A">
      <w:pPr>
        <w:spacing w:line="480" w:lineRule="auto"/>
        <w:ind w:left="709"/>
        <w:rPr>
          <w:i/>
        </w:rPr>
      </w:pPr>
    </w:p>
    <w:p w:rsidR="0025534B" w:rsidRDefault="0025534B" w:rsidP="00A3795A">
      <w:pPr>
        <w:pStyle w:val="Heading1"/>
      </w:pPr>
      <w:bookmarkStart w:id="18" w:name="_Toc380679753"/>
      <w:bookmarkStart w:id="19" w:name="_Toc380742610"/>
      <w:bookmarkStart w:id="20" w:name="_Toc380746177"/>
      <w:bookmarkStart w:id="21" w:name="_Toc380746303"/>
      <w:bookmarkStart w:id="22" w:name="_Toc380746584"/>
      <w:r>
        <w:t>Comparator</w:t>
      </w:r>
      <w:bookmarkEnd w:id="18"/>
      <w:bookmarkEnd w:id="19"/>
      <w:bookmarkEnd w:id="20"/>
      <w:bookmarkEnd w:id="21"/>
      <w:bookmarkEnd w:id="22"/>
    </w:p>
    <w:p w:rsidR="00DB17DC" w:rsidRDefault="00DB17DC" w:rsidP="00ED3E57">
      <w:pPr>
        <w:rPr>
          <w:color w:val="3366FF"/>
        </w:rPr>
      </w:pPr>
    </w:p>
    <w:p w:rsidR="00DD5D93" w:rsidRDefault="00ED3E57" w:rsidP="00DD5D93">
      <w:pPr>
        <w:pStyle w:val="PBACHeading1"/>
        <w:numPr>
          <w:ilvl w:val="1"/>
          <w:numId w:val="18"/>
        </w:numPr>
        <w:rPr>
          <w:b w:val="0"/>
        </w:rPr>
      </w:pPr>
      <w:r w:rsidRPr="00DB17DC">
        <w:rPr>
          <w:b w:val="0"/>
        </w:rPr>
        <w:t xml:space="preserve">The comparator is a </w:t>
      </w:r>
      <w:r w:rsidR="00DB17DC">
        <w:rPr>
          <w:b w:val="0"/>
        </w:rPr>
        <w:t>combination</w:t>
      </w:r>
      <w:r w:rsidRPr="00DB17DC">
        <w:rPr>
          <w:b w:val="0"/>
        </w:rPr>
        <w:t xml:space="preserve"> of</w:t>
      </w:r>
      <w:r w:rsidR="00283ADA">
        <w:rPr>
          <w:b w:val="0"/>
        </w:rPr>
        <w:t xml:space="preserve"> diluted</w:t>
      </w:r>
      <w:r w:rsidRPr="00DB17DC">
        <w:rPr>
          <w:b w:val="0"/>
        </w:rPr>
        <w:t xml:space="preserve"> standard energy enteral</w:t>
      </w:r>
      <w:r w:rsidR="007C3F61" w:rsidRPr="00DB17DC">
        <w:rPr>
          <w:b w:val="0"/>
        </w:rPr>
        <w:t xml:space="preserve"> tube feed formula (Nutrini Multi Fibre), Paediatric Seravit</w:t>
      </w:r>
      <w:r w:rsidR="00283ADA">
        <w:rPr>
          <w:b w:val="0"/>
        </w:rPr>
        <w:t xml:space="preserve"> (to meet micronutrient requirements resulting from dilution of standard energy feed)</w:t>
      </w:r>
      <w:r w:rsidR="007C3F61" w:rsidRPr="00DB17DC">
        <w:rPr>
          <w:b w:val="0"/>
        </w:rPr>
        <w:t xml:space="preserve"> and skim milk powder (as required to meet protein requirements).</w:t>
      </w:r>
      <w:r w:rsidRPr="00DB17DC">
        <w:rPr>
          <w:b w:val="0"/>
        </w:rPr>
        <w:t xml:space="preserve"> </w:t>
      </w:r>
      <w:r w:rsidR="000C42B8" w:rsidRPr="001D5F66">
        <w:rPr>
          <w:b w:val="0"/>
        </w:rPr>
        <w:t>The ESC noted that</w:t>
      </w:r>
      <w:r w:rsidR="00DD5D93" w:rsidRPr="001D5F66">
        <w:rPr>
          <w:b w:val="0"/>
        </w:rPr>
        <w:t xml:space="preserve"> this assumes a decision has already been made to feed with a low energy diet. </w:t>
      </w:r>
      <w:r w:rsidR="00E344FC" w:rsidRPr="001D5F66">
        <w:rPr>
          <w:b w:val="0"/>
        </w:rPr>
        <w:t xml:space="preserve">The ESC considered </w:t>
      </w:r>
      <w:r w:rsidR="00C93FC0" w:rsidRPr="001D5F66">
        <w:rPr>
          <w:b w:val="0"/>
        </w:rPr>
        <w:t xml:space="preserve">that it was unclear both from the data provided and the requested listing who would benefit from a low energy normal nutrient feed. </w:t>
      </w:r>
    </w:p>
    <w:p w:rsidR="003B2211" w:rsidRDefault="003B2211" w:rsidP="003B2211">
      <w:pPr>
        <w:pStyle w:val="PBACHeading1"/>
        <w:ind w:left="720"/>
        <w:rPr>
          <w:b w:val="0"/>
        </w:rPr>
      </w:pPr>
    </w:p>
    <w:p w:rsidR="003B2211" w:rsidRPr="001D5F66" w:rsidRDefault="003B2211" w:rsidP="00DD5D93">
      <w:pPr>
        <w:pStyle w:val="PBACHeading1"/>
        <w:numPr>
          <w:ilvl w:val="1"/>
          <w:numId w:val="18"/>
        </w:numPr>
        <w:rPr>
          <w:b w:val="0"/>
        </w:rPr>
      </w:pPr>
      <w:r>
        <w:rPr>
          <w:b w:val="0"/>
        </w:rPr>
        <w:t xml:space="preserve">The NPWP agreed that the comparator was appropriate, but noted that the comparator is currently available to patients through subsidised schemes in state and territory hospitals, therefore patients are unlikely to be paying the whole cost of the product. </w:t>
      </w:r>
    </w:p>
    <w:p w:rsidR="004911F9" w:rsidRDefault="004911F9" w:rsidP="004911F9">
      <w:pPr>
        <w:pStyle w:val="ListParagraph"/>
        <w:rPr>
          <w:i/>
        </w:rPr>
      </w:pPr>
    </w:p>
    <w:p w:rsidR="004911F9" w:rsidRPr="004911F9" w:rsidRDefault="004911F9" w:rsidP="004911F9">
      <w:pPr>
        <w:pStyle w:val="ListParagraph"/>
        <w:rPr>
          <w:i/>
        </w:rPr>
      </w:pPr>
      <w:r w:rsidRPr="004911F9">
        <w:rPr>
          <w:i/>
        </w:rPr>
        <w:t xml:space="preserve">For more detail on PBAC’s view, see section 7 “PBAC outcome” </w:t>
      </w:r>
    </w:p>
    <w:p w:rsidR="001D5F66" w:rsidRDefault="001D5F66" w:rsidP="00A3795A">
      <w:pPr>
        <w:pStyle w:val="PBACHeading1"/>
        <w:spacing w:line="480" w:lineRule="auto"/>
        <w:ind w:left="720"/>
      </w:pPr>
    </w:p>
    <w:p w:rsidR="00FD446D" w:rsidRDefault="00DB17DC" w:rsidP="00A3795A">
      <w:pPr>
        <w:pStyle w:val="Heading1"/>
      </w:pPr>
      <w:r>
        <w:t>Consideration of evidence</w:t>
      </w:r>
    </w:p>
    <w:p w:rsidR="00DB17DC" w:rsidRPr="00DB17DC" w:rsidRDefault="00DB17DC" w:rsidP="00DB17DC">
      <w:pPr>
        <w:pStyle w:val="PBACHeading1"/>
        <w:rPr>
          <w:i/>
        </w:rPr>
      </w:pPr>
    </w:p>
    <w:p w:rsidR="001D5F66" w:rsidRDefault="004911F9" w:rsidP="00A3795A">
      <w:pPr>
        <w:pStyle w:val="Heading2"/>
      </w:pPr>
      <w:r>
        <w:t xml:space="preserve">Sponsor hearing </w:t>
      </w:r>
    </w:p>
    <w:p w:rsidR="004911F9" w:rsidRDefault="004911F9" w:rsidP="00DB17DC">
      <w:pPr>
        <w:pStyle w:val="PBACHeading1"/>
      </w:pPr>
    </w:p>
    <w:p w:rsidR="00230D08" w:rsidRPr="00166327" w:rsidRDefault="004911F9" w:rsidP="004911F9">
      <w:pPr>
        <w:pStyle w:val="PBACHeading1"/>
        <w:numPr>
          <w:ilvl w:val="1"/>
          <w:numId w:val="18"/>
        </w:numPr>
        <w:rPr>
          <w:b w:val="0"/>
        </w:rPr>
      </w:pPr>
      <w:r w:rsidRPr="00166327">
        <w:rPr>
          <w:b w:val="0"/>
        </w:rPr>
        <w:t>The sponsor requested a hearing for this ite</w:t>
      </w:r>
      <w:r w:rsidR="00BA7152" w:rsidRPr="00166327">
        <w:rPr>
          <w:b w:val="0"/>
        </w:rPr>
        <w:t xml:space="preserve">m. The hearing </w:t>
      </w:r>
      <w:r w:rsidR="00166327" w:rsidRPr="00166327">
        <w:rPr>
          <w:b w:val="0"/>
        </w:rPr>
        <w:t xml:space="preserve">acknowledged the limited data available for this product in the broader proposed restriction and </w:t>
      </w:r>
      <w:r w:rsidR="00BA7152" w:rsidRPr="00166327">
        <w:rPr>
          <w:b w:val="0"/>
        </w:rPr>
        <w:t xml:space="preserve">reiterated that, as stated in the pre-PBAC response, </w:t>
      </w:r>
      <w:r w:rsidR="00EB3891" w:rsidRPr="00166327">
        <w:rPr>
          <w:b w:val="0"/>
        </w:rPr>
        <w:t xml:space="preserve">the proposed </w:t>
      </w:r>
      <w:r w:rsidR="00BA7152" w:rsidRPr="00166327">
        <w:rPr>
          <w:b w:val="0"/>
        </w:rPr>
        <w:t>use of this product will be limited to patients with cerebral palsy</w:t>
      </w:r>
      <w:r w:rsidR="00230D08" w:rsidRPr="00166327">
        <w:rPr>
          <w:b w:val="0"/>
        </w:rPr>
        <w:t xml:space="preserve"> </w:t>
      </w:r>
      <w:r w:rsidR="00EB3891" w:rsidRPr="00166327">
        <w:rPr>
          <w:b w:val="0"/>
        </w:rPr>
        <w:t xml:space="preserve">aged 1-12 years. The </w:t>
      </w:r>
      <w:r w:rsidR="00166327" w:rsidRPr="00166327">
        <w:rPr>
          <w:b w:val="0"/>
        </w:rPr>
        <w:t>hearing</w:t>
      </w:r>
      <w:r w:rsidR="00EB3891" w:rsidRPr="00166327">
        <w:rPr>
          <w:b w:val="0"/>
        </w:rPr>
        <w:t xml:space="preserve"> </w:t>
      </w:r>
      <w:r w:rsidR="00166327" w:rsidRPr="00166327">
        <w:rPr>
          <w:b w:val="0"/>
        </w:rPr>
        <w:t xml:space="preserve">noted </w:t>
      </w:r>
      <w:r w:rsidR="00EB3891" w:rsidRPr="00166327">
        <w:rPr>
          <w:b w:val="0"/>
        </w:rPr>
        <w:t xml:space="preserve">that while the comparator is currently subsidised through state hospitals, there are currently inconsistencies and inequalities between state access. </w:t>
      </w:r>
      <w:r w:rsidR="00166327">
        <w:rPr>
          <w:b w:val="0"/>
        </w:rPr>
        <w:t xml:space="preserve">In addressing concerns around uncertain utilisation, the hearing highlighted that a minority of patients with cerebral palsy are likely to have issues with excess weight gain, therefore the usage of this product will be </w:t>
      </w:r>
      <w:r w:rsidR="007717B5">
        <w:rPr>
          <w:b w:val="0"/>
        </w:rPr>
        <w:t>small</w:t>
      </w:r>
      <w:r w:rsidR="00166327">
        <w:rPr>
          <w:b w:val="0"/>
        </w:rPr>
        <w:t xml:space="preserve">. The PBAC considered that the hearing did not substantially add to the evidence presented in the submission and the pre-PBAC response. </w:t>
      </w:r>
    </w:p>
    <w:p w:rsidR="004911F9" w:rsidRDefault="004911F9" w:rsidP="00DB17DC">
      <w:pPr>
        <w:pStyle w:val="PBACHeading1"/>
        <w:rPr>
          <w:b w:val="0"/>
        </w:rPr>
      </w:pPr>
    </w:p>
    <w:p w:rsidR="004911F9" w:rsidRDefault="004911F9" w:rsidP="00A3795A">
      <w:pPr>
        <w:pStyle w:val="Heading2"/>
      </w:pPr>
      <w:r>
        <w:t xml:space="preserve">Consumer comments </w:t>
      </w:r>
    </w:p>
    <w:p w:rsidR="004911F9" w:rsidRDefault="004911F9" w:rsidP="00DB17DC">
      <w:pPr>
        <w:pStyle w:val="PBACHeading1"/>
      </w:pPr>
    </w:p>
    <w:p w:rsidR="004911F9" w:rsidRPr="004911F9" w:rsidRDefault="004911F9" w:rsidP="004911F9">
      <w:pPr>
        <w:pStyle w:val="PBACHeading1"/>
        <w:numPr>
          <w:ilvl w:val="1"/>
          <w:numId w:val="18"/>
        </w:numPr>
        <w:rPr>
          <w:b w:val="0"/>
        </w:rPr>
      </w:pPr>
      <w:r>
        <w:rPr>
          <w:b w:val="0"/>
        </w:rPr>
        <w:t xml:space="preserve">The PBAC noted that no consumer comments were received for this item. </w:t>
      </w:r>
    </w:p>
    <w:p w:rsidR="004911F9" w:rsidRDefault="004911F9" w:rsidP="00DB17DC">
      <w:pPr>
        <w:pStyle w:val="PBACHeading1"/>
      </w:pPr>
    </w:p>
    <w:p w:rsidR="00DB17DC" w:rsidRPr="006B37D5" w:rsidRDefault="00DB17DC" w:rsidP="00A3795A">
      <w:pPr>
        <w:pStyle w:val="Heading2"/>
      </w:pPr>
      <w:r w:rsidRPr="006B37D5">
        <w:t xml:space="preserve">Clinical trials </w:t>
      </w:r>
    </w:p>
    <w:p w:rsidR="00DB17DC" w:rsidRPr="00DB17DC" w:rsidRDefault="00DB17DC" w:rsidP="00DB17DC">
      <w:pPr>
        <w:pStyle w:val="PBACHeading1"/>
        <w:rPr>
          <w:i/>
        </w:rPr>
      </w:pPr>
    </w:p>
    <w:p w:rsidR="0099387A" w:rsidRPr="00CB5485" w:rsidRDefault="007C3F61" w:rsidP="0099387A">
      <w:pPr>
        <w:pStyle w:val="PBACHeading1"/>
        <w:numPr>
          <w:ilvl w:val="1"/>
          <w:numId w:val="18"/>
        </w:numPr>
        <w:rPr>
          <w:b w:val="0"/>
          <w:i/>
          <w:kern w:val="16"/>
        </w:rPr>
      </w:pPr>
      <w:r w:rsidRPr="0099387A">
        <w:rPr>
          <w:b w:val="0"/>
        </w:rPr>
        <w:t xml:space="preserve">The </w:t>
      </w:r>
      <w:r w:rsidR="005F7AFF" w:rsidRPr="0099387A">
        <w:rPr>
          <w:b w:val="0"/>
        </w:rPr>
        <w:t>submission is based on a single 6 month longitudinal prospective feasibility study of 14 children (ages ranging from 10 months to 11 years) with spastic quadriplegic cerebral palsy</w:t>
      </w:r>
      <w:r w:rsidR="00283ADA">
        <w:rPr>
          <w:b w:val="0"/>
        </w:rPr>
        <w:t xml:space="preserve"> (SQCP)</w:t>
      </w:r>
      <w:r w:rsidR="005F7AFF" w:rsidRPr="0099387A">
        <w:rPr>
          <w:b w:val="0"/>
        </w:rPr>
        <w:t xml:space="preserve"> </w:t>
      </w:r>
      <w:r w:rsidR="00DB17DC" w:rsidRPr="0099387A">
        <w:rPr>
          <w:b w:val="0"/>
        </w:rPr>
        <w:t xml:space="preserve">who </w:t>
      </w:r>
      <w:r w:rsidR="005F7AFF" w:rsidRPr="0099387A">
        <w:rPr>
          <w:b w:val="0"/>
        </w:rPr>
        <w:t xml:space="preserve">were administered Nutrini Low Energy Multi </w:t>
      </w:r>
      <w:r w:rsidR="005F7AFF" w:rsidRPr="0099387A">
        <w:rPr>
          <w:b w:val="0"/>
        </w:rPr>
        <w:lastRenderedPageBreak/>
        <w:t>Fibre via gastrostomy tube feed</w:t>
      </w:r>
      <w:r w:rsidR="004F0849">
        <w:rPr>
          <w:b w:val="0"/>
        </w:rPr>
        <w:t>. The purpose of this study was to demonstrate that children exhibit normal growth on a low energy tube feed</w:t>
      </w:r>
      <w:r w:rsidR="00D642DE" w:rsidRPr="0099387A">
        <w:rPr>
          <w:b w:val="0"/>
        </w:rPr>
        <w:t>.</w:t>
      </w:r>
      <w:r w:rsidR="005F7AFF" w:rsidRPr="0099387A">
        <w:rPr>
          <w:b w:val="0"/>
        </w:rPr>
        <w:t xml:space="preserve"> </w:t>
      </w:r>
      <w:r w:rsidR="00DB17DC" w:rsidRPr="0099387A">
        <w:rPr>
          <w:b w:val="0"/>
        </w:rPr>
        <w:t xml:space="preserve">Additional information is provided from a tolerance study comparing gastrointestinal effects of fibre enriched formula compared to non-fibre containing formula. </w:t>
      </w:r>
    </w:p>
    <w:p w:rsidR="00CB5485" w:rsidRPr="0099387A" w:rsidRDefault="00CB5485" w:rsidP="00CB5485">
      <w:pPr>
        <w:pStyle w:val="PBACHeading1"/>
        <w:ind w:left="720"/>
        <w:rPr>
          <w:b w:val="0"/>
          <w:i/>
          <w:kern w:val="16"/>
        </w:rPr>
      </w:pPr>
    </w:p>
    <w:p w:rsidR="0099387A" w:rsidRPr="006B37D5" w:rsidRDefault="0099387A" w:rsidP="0099387A">
      <w:pPr>
        <w:pStyle w:val="PBACHeading1"/>
        <w:numPr>
          <w:ilvl w:val="1"/>
          <w:numId w:val="18"/>
        </w:numPr>
        <w:rPr>
          <w:b w:val="0"/>
          <w:kern w:val="16"/>
        </w:rPr>
      </w:pPr>
      <w:r w:rsidRPr="0099387A">
        <w:rPr>
          <w:b w:val="0"/>
          <w:kern w:val="16"/>
        </w:rPr>
        <w:t xml:space="preserve">No relevant direct comparative evidence was presented between Nutrini Low Energy Multi Fibre and the comparator. </w:t>
      </w:r>
      <w:r w:rsidRPr="0099387A">
        <w:rPr>
          <w:b w:val="0"/>
        </w:rPr>
        <w:t>The submission acknowledges that a randomised controlled trial would have provided higher quality evidence, but argues that this is not regularly conducted in the field of medical nutrition products.</w:t>
      </w:r>
      <w:r w:rsidRPr="0099387A">
        <w:rPr>
          <w:b w:val="0"/>
          <w:i/>
        </w:rPr>
        <w:t xml:space="preserve"> </w:t>
      </w:r>
      <w:r w:rsidRPr="006B37D5">
        <w:rPr>
          <w:b w:val="0"/>
        </w:rPr>
        <w:t>G</w:t>
      </w:r>
      <w:r w:rsidRPr="006B37D5">
        <w:rPr>
          <w:b w:val="0"/>
          <w:kern w:val="16"/>
        </w:rPr>
        <w:t xml:space="preserve">iven the difficulty in recruiting for paediatric studies and the relatively low prevalence of children with severe neurodisabilities, the lack of direct comparative evidence is reasonable. </w:t>
      </w:r>
    </w:p>
    <w:p w:rsidR="00DB17DC" w:rsidRDefault="00DB17DC" w:rsidP="0099387A">
      <w:pPr>
        <w:pStyle w:val="PBACHeading1"/>
        <w:rPr>
          <w:b w:val="0"/>
        </w:rPr>
      </w:pPr>
    </w:p>
    <w:p w:rsidR="00DB17DC" w:rsidRDefault="00DB17DC" w:rsidP="00DB17DC">
      <w:pPr>
        <w:pStyle w:val="PBACHeading1"/>
        <w:numPr>
          <w:ilvl w:val="1"/>
          <w:numId w:val="18"/>
        </w:numPr>
        <w:rPr>
          <w:b w:val="0"/>
        </w:rPr>
      </w:pPr>
      <w:r>
        <w:rPr>
          <w:b w:val="0"/>
        </w:rPr>
        <w:t xml:space="preserve">Details of the trials presented in the submission are provided in the table below. </w:t>
      </w:r>
    </w:p>
    <w:p w:rsidR="001D5F66" w:rsidRDefault="001D5F66">
      <w:pPr>
        <w:widowControl/>
        <w:jc w:val="left"/>
        <w:rPr>
          <w:rStyle w:val="CommentReference"/>
        </w:rPr>
      </w:pPr>
    </w:p>
    <w:p w:rsidR="00A3795A" w:rsidRPr="00A3795A" w:rsidRDefault="00A3795A" w:rsidP="00A3795A">
      <w:pPr>
        <w:pStyle w:val="Caption"/>
        <w:keepNext/>
        <w:spacing w:after="0"/>
        <w:ind w:firstLine="720"/>
        <w:rPr>
          <w:rFonts w:ascii="Arial Narrow" w:hAnsi="Arial Narrow"/>
          <w:color w:val="auto"/>
          <w:sz w:val="20"/>
        </w:rPr>
      </w:pPr>
      <w:r w:rsidRPr="00A3795A">
        <w:rPr>
          <w:rFonts w:ascii="Arial Narrow" w:hAnsi="Arial Narrow"/>
          <w:color w:val="auto"/>
          <w:sz w:val="20"/>
        </w:rPr>
        <w:t xml:space="preserve">Table </w:t>
      </w:r>
      <w:r w:rsidRPr="00A3795A">
        <w:rPr>
          <w:rFonts w:ascii="Arial Narrow" w:hAnsi="Arial Narrow"/>
          <w:color w:val="auto"/>
          <w:sz w:val="20"/>
        </w:rPr>
        <w:fldChar w:fldCharType="begin"/>
      </w:r>
      <w:r w:rsidRPr="00A3795A">
        <w:rPr>
          <w:rFonts w:ascii="Arial Narrow" w:hAnsi="Arial Narrow"/>
          <w:color w:val="auto"/>
          <w:sz w:val="20"/>
        </w:rPr>
        <w:instrText xml:space="preserve"> SEQ Table \* ARABIC </w:instrText>
      </w:r>
      <w:r w:rsidRPr="00A3795A">
        <w:rPr>
          <w:rFonts w:ascii="Arial Narrow" w:hAnsi="Arial Narrow"/>
          <w:color w:val="auto"/>
          <w:sz w:val="20"/>
        </w:rPr>
        <w:fldChar w:fldCharType="separate"/>
      </w:r>
      <w:r w:rsidR="009C71F9">
        <w:rPr>
          <w:rFonts w:ascii="Arial Narrow" w:hAnsi="Arial Narrow"/>
          <w:noProof/>
          <w:color w:val="auto"/>
          <w:sz w:val="20"/>
        </w:rPr>
        <w:t>1</w:t>
      </w:r>
      <w:r w:rsidRPr="00A3795A">
        <w:rPr>
          <w:rFonts w:ascii="Arial Narrow" w:hAnsi="Arial Narrow"/>
          <w:color w:val="auto"/>
          <w:sz w:val="20"/>
        </w:rPr>
        <w:fldChar w:fldCharType="end"/>
      </w:r>
      <w:r w:rsidRPr="00A3795A">
        <w:rPr>
          <w:rFonts w:ascii="Arial Narrow" w:hAnsi="Arial Narrow"/>
          <w:color w:val="auto"/>
          <w:sz w:val="20"/>
        </w:rPr>
        <w:t>: 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Studies presented in the submission"/>
      </w:tblPr>
      <w:tblGrid>
        <w:gridCol w:w="1857"/>
        <w:gridCol w:w="2437"/>
        <w:gridCol w:w="4051"/>
      </w:tblGrid>
      <w:tr w:rsidR="00DB17DC" w:rsidRPr="004E2ADC" w:rsidTr="00A3795A">
        <w:trPr>
          <w:cantSplit/>
        </w:trPr>
        <w:tc>
          <w:tcPr>
            <w:tcW w:w="1113" w:type="pct"/>
            <w:tcBorders>
              <w:top w:val="single" w:sz="4" w:space="0" w:color="auto"/>
              <w:left w:val="single" w:sz="4" w:space="0" w:color="auto"/>
              <w:bottom w:val="single" w:sz="4" w:space="0" w:color="auto"/>
              <w:right w:val="single" w:sz="4" w:space="0" w:color="auto"/>
            </w:tcBorders>
            <w:vAlign w:val="center"/>
          </w:tcPr>
          <w:p w:rsidR="00DB17DC" w:rsidRPr="004E2ADC" w:rsidRDefault="00DB17DC" w:rsidP="00890A88">
            <w:pPr>
              <w:pStyle w:val="TableHeading"/>
              <w:spacing w:before="0" w:after="0"/>
              <w:rPr>
                <w:rFonts w:cs="Arial"/>
                <w:lang w:eastAsia="en-AU"/>
              </w:rPr>
            </w:pPr>
            <w:r w:rsidRPr="004E2ADC">
              <w:rPr>
                <w:rFonts w:cs="Arial"/>
                <w:lang w:eastAsia="en-AU"/>
              </w:rPr>
              <w:t>Study</w:t>
            </w:r>
          </w:p>
        </w:tc>
        <w:tc>
          <w:tcPr>
            <w:tcW w:w="1460" w:type="pct"/>
            <w:tcBorders>
              <w:top w:val="single" w:sz="4" w:space="0" w:color="auto"/>
              <w:left w:val="single" w:sz="4" w:space="0" w:color="auto"/>
              <w:bottom w:val="single" w:sz="4" w:space="0" w:color="auto"/>
              <w:right w:val="single" w:sz="4" w:space="0" w:color="auto"/>
            </w:tcBorders>
            <w:vAlign w:val="center"/>
          </w:tcPr>
          <w:p w:rsidR="00DB17DC" w:rsidRPr="004E2ADC" w:rsidRDefault="00DB17DC" w:rsidP="00890A88">
            <w:pPr>
              <w:pStyle w:val="TableHeading"/>
              <w:spacing w:before="0" w:after="0"/>
              <w:jc w:val="center"/>
              <w:rPr>
                <w:rFonts w:cs="Arial"/>
                <w:lang w:eastAsia="en-AU"/>
              </w:rPr>
            </w:pPr>
            <w:r w:rsidRPr="004E2ADC">
              <w:rPr>
                <w:rFonts w:cs="Arial"/>
                <w:lang w:eastAsia="en-AU"/>
              </w:rPr>
              <w:t>Description</w:t>
            </w:r>
          </w:p>
        </w:tc>
        <w:tc>
          <w:tcPr>
            <w:tcW w:w="2427" w:type="pct"/>
            <w:tcBorders>
              <w:top w:val="single" w:sz="4" w:space="0" w:color="auto"/>
              <w:left w:val="single" w:sz="4" w:space="0" w:color="auto"/>
              <w:bottom w:val="single" w:sz="4" w:space="0" w:color="auto"/>
              <w:right w:val="single" w:sz="4" w:space="0" w:color="auto"/>
            </w:tcBorders>
            <w:vAlign w:val="center"/>
          </w:tcPr>
          <w:p w:rsidR="00DB17DC" w:rsidRPr="004E2ADC" w:rsidRDefault="00DB17DC" w:rsidP="00890A88">
            <w:pPr>
              <w:pStyle w:val="TableHeading"/>
              <w:spacing w:before="0" w:after="0"/>
              <w:jc w:val="center"/>
              <w:rPr>
                <w:rFonts w:cs="Arial"/>
                <w:lang w:eastAsia="en-AU"/>
              </w:rPr>
            </w:pPr>
            <w:r w:rsidRPr="004E2ADC">
              <w:rPr>
                <w:rFonts w:cs="Arial"/>
                <w:lang w:eastAsia="en-AU"/>
              </w:rPr>
              <w:t>Reports</w:t>
            </w:r>
          </w:p>
        </w:tc>
      </w:tr>
      <w:tr w:rsidR="00DB17DC" w:rsidRPr="004E2ADC" w:rsidTr="00DB17DC">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rsidR="00DB17DC" w:rsidRPr="006B37D5" w:rsidRDefault="00DB17DC" w:rsidP="00890A88">
            <w:pPr>
              <w:pStyle w:val="TableText0"/>
              <w:spacing w:before="0" w:after="0"/>
              <w:rPr>
                <w:rFonts w:cs="Arial"/>
                <w:iCs/>
                <w:lang w:eastAsia="en-AU"/>
              </w:rPr>
            </w:pPr>
            <w:r w:rsidRPr="006B37D5">
              <w:rPr>
                <w:rFonts w:cs="Arial"/>
                <w:iCs/>
                <w:lang w:eastAsia="en-AU"/>
              </w:rPr>
              <w:t>Nonrandomised studies</w:t>
            </w:r>
          </w:p>
        </w:tc>
      </w:tr>
      <w:tr w:rsidR="00DB17DC" w:rsidRPr="004E2ADC" w:rsidTr="00A3795A">
        <w:trPr>
          <w:cantSplit/>
        </w:trPr>
        <w:tc>
          <w:tcPr>
            <w:tcW w:w="1113" w:type="pct"/>
            <w:tcBorders>
              <w:top w:val="single" w:sz="4" w:space="0" w:color="auto"/>
              <w:left w:val="single" w:sz="4" w:space="0" w:color="auto"/>
              <w:bottom w:val="single" w:sz="4" w:space="0" w:color="auto"/>
              <w:right w:val="single" w:sz="4" w:space="0" w:color="auto"/>
            </w:tcBorders>
            <w:vAlign w:val="center"/>
          </w:tcPr>
          <w:p w:rsidR="00DB17DC" w:rsidRPr="004E2ADC" w:rsidRDefault="00C2088B" w:rsidP="00890A88">
            <w:pPr>
              <w:pStyle w:val="TableText0"/>
              <w:spacing w:before="0" w:after="0"/>
              <w:rPr>
                <w:rFonts w:cs="Arial"/>
                <w:lang w:eastAsia="en-AU"/>
              </w:rPr>
            </w:pPr>
            <w:r>
              <w:rPr>
                <w:rFonts w:cs="Arial"/>
                <w:lang w:eastAsia="en-AU"/>
              </w:rPr>
              <w:t>Vernon-Roberts et al. (feasibility study)</w:t>
            </w:r>
          </w:p>
        </w:tc>
        <w:tc>
          <w:tcPr>
            <w:tcW w:w="1460" w:type="pct"/>
            <w:tcBorders>
              <w:top w:val="single" w:sz="4" w:space="0" w:color="auto"/>
              <w:left w:val="single" w:sz="4" w:space="0" w:color="auto"/>
              <w:bottom w:val="single" w:sz="4" w:space="0" w:color="auto"/>
              <w:right w:val="single" w:sz="4" w:space="0" w:color="auto"/>
            </w:tcBorders>
          </w:tcPr>
          <w:p w:rsidR="00DB17DC" w:rsidRPr="004E2ADC" w:rsidRDefault="00DB17DC" w:rsidP="00756B85">
            <w:pPr>
              <w:pStyle w:val="TableText0"/>
              <w:spacing w:before="0" w:after="0"/>
              <w:rPr>
                <w:rFonts w:cs="Arial"/>
                <w:lang w:eastAsia="en-AU"/>
              </w:rPr>
            </w:pPr>
            <w:r>
              <w:rPr>
                <w:rFonts w:cs="Arial"/>
                <w:lang w:eastAsia="en-AU"/>
              </w:rPr>
              <w:t>6 month longitudinal feasibility study investigating nutritional outcomes  and general health of children with spastic quadriplegic cerebral palsy</w:t>
            </w:r>
          </w:p>
        </w:tc>
        <w:tc>
          <w:tcPr>
            <w:tcW w:w="2427" w:type="pct"/>
            <w:tcBorders>
              <w:top w:val="single" w:sz="4" w:space="0" w:color="auto"/>
              <w:left w:val="single" w:sz="4" w:space="0" w:color="auto"/>
              <w:bottom w:val="single" w:sz="4" w:space="0" w:color="auto"/>
              <w:right w:val="single" w:sz="4" w:space="0" w:color="auto"/>
            </w:tcBorders>
          </w:tcPr>
          <w:p w:rsidR="00DB17DC" w:rsidRDefault="00DB17DC" w:rsidP="00890A88">
            <w:pPr>
              <w:pStyle w:val="TableText0"/>
              <w:spacing w:before="0" w:after="0"/>
            </w:pPr>
            <w:r w:rsidRPr="00062B91">
              <w:t>Vernon-Roberts A et al.</w:t>
            </w:r>
          </w:p>
          <w:p w:rsidR="00DB17DC" w:rsidRDefault="00DB17DC" w:rsidP="00890A88">
            <w:pPr>
              <w:pStyle w:val="TableText0"/>
              <w:spacing w:before="0" w:after="0"/>
              <w:rPr>
                <w:i/>
              </w:rPr>
            </w:pPr>
            <w:r w:rsidRPr="00062B91">
              <w:t>Gastrostomy feeding in cerebral palsy: enough and no more</w:t>
            </w:r>
          </w:p>
          <w:p w:rsidR="00DB17DC" w:rsidRPr="004E2ADC" w:rsidRDefault="00DB17DC" w:rsidP="00890A88">
            <w:pPr>
              <w:pStyle w:val="TableText0"/>
              <w:spacing w:before="0" w:after="0"/>
              <w:rPr>
                <w:rFonts w:cs="Arial"/>
                <w:lang w:eastAsia="en-AU"/>
              </w:rPr>
            </w:pPr>
            <w:r w:rsidRPr="00D86B2D">
              <w:rPr>
                <w:i/>
              </w:rPr>
              <w:t>Developmental Medicine and Child Neurology</w:t>
            </w:r>
            <w:r>
              <w:rPr>
                <w:i/>
              </w:rPr>
              <w:t xml:space="preserve"> </w:t>
            </w:r>
            <w:r w:rsidRPr="004E2ADC">
              <w:t xml:space="preserve">Year; </w:t>
            </w:r>
            <w:r>
              <w:t xml:space="preserve">2010 </w:t>
            </w:r>
            <w:r w:rsidRPr="004E2ADC">
              <w:t>Vol (</w:t>
            </w:r>
            <w:r>
              <w:t>52</w:t>
            </w:r>
            <w:r w:rsidRPr="004E2ADC">
              <w:t>)</w:t>
            </w:r>
            <w:r>
              <w:t>12</w:t>
            </w:r>
            <w:r w:rsidRPr="004E2ADC">
              <w:t>:</w:t>
            </w:r>
            <w:r>
              <w:t xml:space="preserve"> </w:t>
            </w:r>
            <w:r w:rsidRPr="00D86B2D">
              <w:t>1099-1105</w:t>
            </w:r>
          </w:p>
        </w:tc>
      </w:tr>
      <w:tr w:rsidR="00DB17DC" w:rsidRPr="004E2ADC" w:rsidTr="00A3795A">
        <w:trPr>
          <w:cantSplit/>
        </w:trPr>
        <w:tc>
          <w:tcPr>
            <w:tcW w:w="1113" w:type="pct"/>
            <w:tcBorders>
              <w:top w:val="single" w:sz="4" w:space="0" w:color="auto"/>
              <w:left w:val="single" w:sz="4" w:space="0" w:color="auto"/>
              <w:bottom w:val="single" w:sz="4" w:space="0" w:color="auto"/>
              <w:right w:val="single" w:sz="4" w:space="0" w:color="auto"/>
            </w:tcBorders>
            <w:vAlign w:val="center"/>
          </w:tcPr>
          <w:p w:rsidR="00DB17DC" w:rsidRDefault="00C2088B" w:rsidP="00890A88">
            <w:pPr>
              <w:pStyle w:val="TableText0"/>
              <w:spacing w:before="0" w:after="0"/>
              <w:rPr>
                <w:rFonts w:cs="Arial"/>
                <w:lang w:eastAsia="en-AU"/>
              </w:rPr>
            </w:pPr>
            <w:r>
              <w:rPr>
                <w:rFonts w:cs="Arial"/>
                <w:lang w:eastAsia="en-AU"/>
              </w:rPr>
              <w:t>Grogan et al</w:t>
            </w:r>
            <w:r w:rsidR="004911F9">
              <w:rPr>
                <w:rFonts w:cs="Arial"/>
                <w:lang w:eastAsia="en-AU"/>
              </w:rPr>
              <w:t>.</w:t>
            </w:r>
            <w:r>
              <w:rPr>
                <w:rFonts w:cs="Arial"/>
                <w:lang w:eastAsia="en-AU"/>
              </w:rPr>
              <w:t xml:space="preserve"> (tolerance study)</w:t>
            </w:r>
          </w:p>
        </w:tc>
        <w:tc>
          <w:tcPr>
            <w:tcW w:w="1460" w:type="pct"/>
            <w:tcBorders>
              <w:top w:val="single" w:sz="4" w:space="0" w:color="auto"/>
              <w:left w:val="single" w:sz="4" w:space="0" w:color="auto"/>
              <w:bottom w:val="single" w:sz="4" w:space="0" w:color="auto"/>
              <w:right w:val="single" w:sz="4" w:space="0" w:color="auto"/>
            </w:tcBorders>
          </w:tcPr>
          <w:p w:rsidR="00DB17DC" w:rsidRDefault="00DB17DC" w:rsidP="00283ADA">
            <w:pPr>
              <w:pStyle w:val="TableText0"/>
              <w:spacing w:before="0" w:after="0"/>
              <w:rPr>
                <w:rFonts w:cs="Arial"/>
                <w:lang w:eastAsia="en-AU"/>
              </w:rPr>
            </w:pPr>
            <w:r>
              <w:rPr>
                <w:rFonts w:cs="Arial"/>
                <w:lang w:eastAsia="en-AU"/>
              </w:rPr>
              <w:t xml:space="preserve">Tolerance study providing comparison of gastrointestinal effects (including stool consistency and bowel movements and laxative usage) of non-fibre containing formula versus two fibre enriched formulas (Nutrini Low Energy Multi Fibre and Nutrini Multi Fibre) </w:t>
            </w:r>
          </w:p>
        </w:tc>
        <w:tc>
          <w:tcPr>
            <w:tcW w:w="2427" w:type="pct"/>
            <w:tcBorders>
              <w:top w:val="single" w:sz="4" w:space="0" w:color="auto"/>
              <w:left w:val="single" w:sz="4" w:space="0" w:color="auto"/>
              <w:bottom w:val="single" w:sz="4" w:space="0" w:color="auto"/>
              <w:right w:val="single" w:sz="4" w:space="0" w:color="auto"/>
            </w:tcBorders>
          </w:tcPr>
          <w:p w:rsidR="00DB17DC" w:rsidRDefault="00DB17DC" w:rsidP="00890A88">
            <w:pPr>
              <w:pStyle w:val="TableText0"/>
              <w:spacing w:before="0" w:after="0"/>
            </w:pPr>
            <w:r w:rsidRPr="00F32E94">
              <w:t xml:space="preserve">Grogan J et al. Gastrointestinal effects of two fibre enriched paediatric enteral tube feeds. </w:t>
            </w:r>
          </w:p>
          <w:p w:rsidR="00DB17DC" w:rsidRPr="00062B91" w:rsidRDefault="00DB17DC" w:rsidP="00890A88">
            <w:pPr>
              <w:pStyle w:val="TableText0"/>
              <w:spacing w:before="0" w:after="0"/>
            </w:pPr>
            <w:r w:rsidRPr="00F32E94">
              <w:rPr>
                <w:i/>
              </w:rPr>
              <w:t xml:space="preserve">J Hum Nutr Diet Year </w:t>
            </w:r>
            <w:r>
              <w:t xml:space="preserve">2006 Vol </w:t>
            </w:r>
            <w:r w:rsidRPr="00F32E94">
              <w:t>19: 458 – 477</w:t>
            </w:r>
          </w:p>
        </w:tc>
      </w:tr>
    </w:tbl>
    <w:p w:rsidR="00DB17DC" w:rsidRDefault="00657812" w:rsidP="00DB17DC">
      <w:pPr>
        <w:rPr>
          <w:rFonts w:ascii="Arial Narrow" w:hAnsi="Arial Narrow"/>
          <w:sz w:val="18"/>
        </w:rPr>
      </w:pPr>
      <w:r>
        <w:tab/>
      </w:r>
      <w:r>
        <w:rPr>
          <w:rFonts w:ascii="Arial Narrow" w:hAnsi="Arial Narrow"/>
          <w:sz w:val="18"/>
        </w:rPr>
        <w:t xml:space="preserve">Source: </w:t>
      </w:r>
      <w:r w:rsidR="00724EFC" w:rsidRPr="00724EFC">
        <w:rPr>
          <w:rFonts w:ascii="Arial Narrow" w:hAnsi="Arial Narrow"/>
          <w:b/>
          <w:sz w:val="18"/>
        </w:rPr>
        <w:t xml:space="preserve"> </w:t>
      </w:r>
      <w:r w:rsidR="00724EFC" w:rsidRPr="00724EFC">
        <w:rPr>
          <w:rFonts w:ascii="Arial Narrow" w:hAnsi="Arial Narrow"/>
          <w:sz w:val="18"/>
        </w:rPr>
        <w:t>compiled during evaluation</w:t>
      </w:r>
    </w:p>
    <w:p w:rsidR="00657812" w:rsidRPr="00657812" w:rsidRDefault="00657812" w:rsidP="00DB17DC">
      <w:pPr>
        <w:rPr>
          <w:rFonts w:ascii="Arial Narrow" w:hAnsi="Arial Narrow"/>
          <w:sz w:val="18"/>
        </w:rPr>
      </w:pPr>
    </w:p>
    <w:p w:rsidR="00C93FC0" w:rsidRPr="004911F9" w:rsidRDefault="005F7AFF" w:rsidP="00C93FC0">
      <w:pPr>
        <w:pStyle w:val="PBACHeading1"/>
        <w:numPr>
          <w:ilvl w:val="1"/>
          <w:numId w:val="18"/>
        </w:numPr>
        <w:rPr>
          <w:b w:val="0"/>
        </w:rPr>
      </w:pPr>
      <w:r w:rsidRPr="00DB17DC">
        <w:rPr>
          <w:b w:val="0"/>
        </w:rPr>
        <w:t>The volume of tube feed for each child</w:t>
      </w:r>
      <w:r w:rsidR="00A929B9">
        <w:rPr>
          <w:b w:val="0"/>
        </w:rPr>
        <w:t xml:space="preserve"> receiving Nutrini Low Energy Multi Fibre</w:t>
      </w:r>
      <w:r w:rsidRPr="00DB17DC">
        <w:rPr>
          <w:b w:val="0"/>
        </w:rPr>
        <w:t xml:space="preserve"> was determined by the attending dietitian in the study</w:t>
      </w:r>
      <w:r w:rsidR="00A929B9">
        <w:rPr>
          <w:b w:val="0"/>
        </w:rPr>
        <w:t xml:space="preserve">. This </w:t>
      </w:r>
      <w:r w:rsidRPr="00DB17DC">
        <w:rPr>
          <w:b w:val="0"/>
        </w:rPr>
        <w:t xml:space="preserve">did not exceed 75% of the estimated average requirements of energy (kcal) for age. </w:t>
      </w:r>
      <w:r w:rsidR="00C93FC0" w:rsidRPr="001D5F66">
        <w:rPr>
          <w:b w:val="0"/>
        </w:rPr>
        <w:t>The ESC noted the following from a commentary accompanying Vernon-Roberts 2010, written by Australian experts: ‘</w:t>
      </w:r>
      <w:r w:rsidR="00C93FC0" w:rsidRPr="001D5F66">
        <w:rPr>
          <w:b w:val="0"/>
          <w:lang w:val="en-US" w:eastAsia="en-AU"/>
        </w:rPr>
        <w:t xml:space="preserve">We are concerned with the authors’ contention that </w:t>
      </w:r>
      <w:r w:rsidR="002F55DD" w:rsidRPr="001D5F66">
        <w:rPr>
          <w:b w:val="0"/>
          <w:lang w:val="en-US" w:eastAsia="en-AU"/>
        </w:rPr>
        <w:t xml:space="preserve">the </w:t>
      </w:r>
      <w:r w:rsidR="00C93FC0" w:rsidRPr="001D5F66">
        <w:rPr>
          <w:b w:val="0"/>
          <w:lang w:val="en-US" w:eastAsia="en-AU"/>
        </w:rPr>
        <w:t>children with severe Cerebral Palsy ‘will grow … even on energy intakes which are 50% of estimated average requirement for normal children’. Children with cerebral palsy and other forms of Severe Neurological Impairment are heterogeneous and have serious comorbidities that complicate feeding, so that a ‘one size fits all’ approach is inappropriate.’</w:t>
      </w:r>
      <w:r w:rsidR="00C93FC0" w:rsidRPr="001D5F66">
        <w:rPr>
          <w:rStyle w:val="FootnoteReference"/>
          <w:b w:val="0"/>
          <w:lang w:val="en-US" w:eastAsia="en-AU"/>
        </w:rPr>
        <w:footnoteReference w:id="1"/>
      </w:r>
    </w:p>
    <w:p w:rsidR="004911F9" w:rsidRPr="001D5F66" w:rsidRDefault="004911F9" w:rsidP="004911F9">
      <w:pPr>
        <w:pStyle w:val="PBACHeading1"/>
        <w:ind w:left="720"/>
        <w:rPr>
          <w:b w:val="0"/>
        </w:rPr>
      </w:pPr>
    </w:p>
    <w:p w:rsidR="0099387A" w:rsidRDefault="0099387A" w:rsidP="0099387A">
      <w:pPr>
        <w:pStyle w:val="PBACHeading1"/>
        <w:numPr>
          <w:ilvl w:val="1"/>
          <w:numId w:val="18"/>
        </w:numPr>
        <w:rPr>
          <w:b w:val="0"/>
          <w:kern w:val="16"/>
        </w:rPr>
      </w:pPr>
      <w:r w:rsidRPr="0099387A">
        <w:rPr>
          <w:b w:val="0"/>
          <w:kern w:val="16"/>
        </w:rPr>
        <w:t xml:space="preserve">The submission presents additional supplementary evidence from survey data of dietitians, a letter of support from a study investigator and three patient case studies. </w:t>
      </w:r>
      <w:r w:rsidRPr="006B37D5">
        <w:rPr>
          <w:b w:val="0"/>
          <w:kern w:val="16"/>
        </w:rPr>
        <w:t xml:space="preserve">This information serves to inform the clinical management algorithm </w:t>
      </w:r>
      <w:r w:rsidR="00756B85" w:rsidRPr="006B37D5">
        <w:rPr>
          <w:b w:val="0"/>
          <w:kern w:val="16"/>
        </w:rPr>
        <w:t xml:space="preserve">and the estimated extent of use and </w:t>
      </w:r>
      <w:r w:rsidRPr="006B37D5">
        <w:rPr>
          <w:b w:val="0"/>
          <w:kern w:val="16"/>
        </w:rPr>
        <w:t>financial implications.</w:t>
      </w:r>
    </w:p>
    <w:p w:rsidR="00CB5485" w:rsidRPr="009D3AE2" w:rsidRDefault="00CB5485" w:rsidP="00CB5485">
      <w:pPr>
        <w:pStyle w:val="PBACHeading1"/>
        <w:rPr>
          <w:b w:val="0"/>
          <w:kern w:val="16"/>
        </w:rPr>
      </w:pPr>
    </w:p>
    <w:p w:rsidR="0099387A" w:rsidRPr="006B37D5" w:rsidRDefault="0099387A" w:rsidP="0099387A">
      <w:pPr>
        <w:pStyle w:val="PBACHeading1"/>
        <w:numPr>
          <w:ilvl w:val="1"/>
          <w:numId w:val="18"/>
        </w:numPr>
        <w:rPr>
          <w:b w:val="0"/>
        </w:rPr>
      </w:pPr>
      <w:r w:rsidRPr="0099387A">
        <w:rPr>
          <w:b w:val="0"/>
        </w:rPr>
        <w:lastRenderedPageBreak/>
        <w:t xml:space="preserve">In the feasibility study, 1 patient was lost to follow-up, 3 patients </w:t>
      </w:r>
      <w:r w:rsidR="00756B85">
        <w:rPr>
          <w:b w:val="0"/>
        </w:rPr>
        <w:t xml:space="preserve">died from </w:t>
      </w:r>
      <w:r w:rsidRPr="0099387A">
        <w:rPr>
          <w:b w:val="0"/>
        </w:rPr>
        <w:t>respiratory infection</w:t>
      </w:r>
      <w:r w:rsidR="00756B85">
        <w:rPr>
          <w:b w:val="0"/>
        </w:rPr>
        <w:t>,</w:t>
      </w:r>
      <w:r w:rsidRPr="0099387A">
        <w:rPr>
          <w:b w:val="0"/>
        </w:rPr>
        <w:t xml:space="preserve"> and 2 patients dropped out as they began to feed orally. As a result, baseline and 6 month follow-up </w:t>
      </w:r>
      <w:r w:rsidR="00833829">
        <w:rPr>
          <w:b w:val="0"/>
        </w:rPr>
        <w:t>data were</w:t>
      </w:r>
      <w:r w:rsidRPr="0099387A">
        <w:rPr>
          <w:b w:val="0"/>
        </w:rPr>
        <w:t xml:space="preserve"> available only for 8 of the 14 enrolled study participants. </w:t>
      </w:r>
      <w:r w:rsidRPr="006B37D5">
        <w:rPr>
          <w:b w:val="0"/>
        </w:rPr>
        <w:t xml:space="preserve">Overall, </w:t>
      </w:r>
      <w:r w:rsidR="004F0849" w:rsidRPr="006B37D5">
        <w:rPr>
          <w:b w:val="0"/>
        </w:rPr>
        <w:t>the high rate of</w:t>
      </w:r>
      <w:r w:rsidRPr="006B37D5">
        <w:rPr>
          <w:b w:val="0"/>
        </w:rPr>
        <w:t xml:space="preserve"> study drop-outs and </w:t>
      </w:r>
      <w:r w:rsidR="004F0849" w:rsidRPr="006B37D5">
        <w:rPr>
          <w:b w:val="0"/>
        </w:rPr>
        <w:t xml:space="preserve">low </w:t>
      </w:r>
      <w:r w:rsidRPr="006B37D5">
        <w:rPr>
          <w:b w:val="0"/>
        </w:rPr>
        <w:t>follow</w:t>
      </w:r>
      <w:r w:rsidR="004F0849" w:rsidRPr="006B37D5">
        <w:rPr>
          <w:b w:val="0"/>
        </w:rPr>
        <w:t>-</w:t>
      </w:r>
      <w:r w:rsidRPr="006B37D5">
        <w:rPr>
          <w:b w:val="0"/>
        </w:rPr>
        <w:t xml:space="preserve">up rates in this study had an unknown impact on the study’s findings. </w:t>
      </w:r>
    </w:p>
    <w:p w:rsidR="00DB17DC" w:rsidRDefault="00DB17DC" w:rsidP="00DB17DC">
      <w:pPr>
        <w:pStyle w:val="ListParagraph"/>
        <w:rPr>
          <w:b/>
        </w:rPr>
      </w:pPr>
    </w:p>
    <w:p w:rsidR="00A929B9" w:rsidRDefault="00D642DE" w:rsidP="00DB17DC">
      <w:pPr>
        <w:pStyle w:val="PBACHeading1"/>
        <w:numPr>
          <w:ilvl w:val="1"/>
          <w:numId w:val="18"/>
        </w:numPr>
        <w:rPr>
          <w:b w:val="0"/>
        </w:rPr>
      </w:pPr>
      <w:r w:rsidRPr="00DB17DC">
        <w:rPr>
          <w:b w:val="0"/>
        </w:rPr>
        <w:t>The</w:t>
      </w:r>
      <w:r w:rsidRPr="00DB17DC">
        <w:rPr>
          <w:b w:val="0"/>
          <w:i/>
          <w:iCs/>
        </w:rPr>
        <w:t xml:space="preserve"> </w:t>
      </w:r>
      <w:r w:rsidR="00DA7F04" w:rsidRPr="00DB17DC">
        <w:rPr>
          <w:b w:val="0"/>
        </w:rPr>
        <w:t xml:space="preserve">primary outcome measures of the </w:t>
      </w:r>
      <w:r w:rsidR="0099387A">
        <w:rPr>
          <w:b w:val="0"/>
        </w:rPr>
        <w:t xml:space="preserve">feasibility </w:t>
      </w:r>
      <w:r w:rsidR="00DA7F04" w:rsidRPr="00DB17DC">
        <w:rPr>
          <w:b w:val="0"/>
        </w:rPr>
        <w:t xml:space="preserve">study </w:t>
      </w:r>
      <w:r w:rsidR="00A929B9">
        <w:rPr>
          <w:b w:val="0"/>
        </w:rPr>
        <w:t xml:space="preserve">are shown in the table below. </w:t>
      </w:r>
    </w:p>
    <w:p w:rsidR="00DA5296" w:rsidRPr="00A3795A" w:rsidRDefault="00DA5296">
      <w:pPr>
        <w:widowControl/>
        <w:jc w:val="left"/>
        <w:rPr>
          <w:rFonts w:ascii="Arial Narrow" w:hAnsi="Arial Narrow"/>
          <w:b/>
          <w:snapToGrid/>
          <w:szCs w:val="22"/>
        </w:rPr>
      </w:pPr>
    </w:p>
    <w:p w:rsidR="00A3795A" w:rsidRPr="00A3795A" w:rsidRDefault="00A3795A" w:rsidP="00A3795A">
      <w:pPr>
        <w:pStyle w:val="Caption"/>
        <w:keepNext/>
        <w:spacing w:after="0"/>
        <w:ind w:firstLine="720"/>
        <w:rPr>
          <w:rFonts w:ascii="Arial Narrow" w:hAnsi="Arial Narrow"/>
          <w:color w:val="auto"/>
          <w:sz w:val="20"/>
        </w:rPr>
      </w:pPr>
      <w:r w:rsidRPr="00A3795A">
        <w:rPr>
          <w:rFonts w:ascii="Arial Narrow" w:hAnsi="Arial Narrow"/>
          <w:color w:val="auto"/>
          <w:sz w:val="20"/>
        </w:rPr>
        <w:t xml:space="preserve">Table </w:t>
      </w:r>
      <w:r w:rsidRPr="00A3795A">
        <w:rPr>
          <w:rFonts w:ascii="Arial Narrow" w:hAnsi="Arial Narrow"/>
          <w:color w:val="auto"/>
          <w:sz w:val="20"/>
        </w:rPr>
        <w:fldChar w:fldCharType="begin"/>
      </w:r>
      <w:r w:rsidRPr="00A3795A">
        <w:rPr>
          <w:rFonts w:ascii="Arial Narrow" w:hAnsi="Arial Narrow"/>
          <w:color w:val="auto"/>
          <w:sz w:val="20"/>
        </w:rPr>
        <w:instrText xml:space="preserve"> SEQ Table \* ARABIC </w:instrText>
      </w:r>
      <w:r w:rsidRPr="00A3795A">
        <w:rPr>
          <w:rFonts w:ascii="Arial Narrow" w:hAnsi="Arial Narrow"/>
          <w:color w:val="auto"/>
          <w:sz w:val="20"/>
        </w:rPr>
        <w:fldChar w:fldCharType="separate"/>
      </w:r>
      <w:r w:rsidR="009C71F9">
        <w:rPr>
          <w:rFonts w:ascii="Arial Narrow" w:hAnsi="Arial Narrow"/>
          <w:noProof/>
          <w:color w:val="auto"/>
          <w:sz w:val="20"/>
        </w:rPr>
        <w:t>2</w:t>
      </w:r>
      <w:r w:rsidRPr="00A3795A">
        <w:rPr>
          <w:rFonts w:ascii="Arial Narrow" w:hAnsi="Arial Narrow"/>
          <w:color w:val="auto"/>
          <w:sz w:val="20"/>
        </w:rPr>
        <w:fldChar w:fldCharType="end"/>
      </w:r>
      <w:r w:rsidRPr="00A3795A">
        <w:rPr>
          <w:rFonts w:ascii="Arial Narrow" w:hAnsi="Arial Narrow"/>
          <w:color w:val="auto"/>
          <w:sz w:val="20"/>
        </w:rPr>
        <w:t>: Primary and secondary outcomes at 6 months after commencing low energy feed</w:t>
      </w:r>
    </w:p>
    <w:tbl>
      <w:tblPr>
        <w:tblStyle w:val="TableGrid"/>
        <w:tblW w:w="8345" w:type="dxa"/>
        <w:tblInd w:w="737" w:type="dxa"/>
        <w:tblCellMar>
          <w:left w:w="28" w:type="dxa"/>
          <w:right w:w="28" w:type="dxa"/>
        </w:tblCellMar>
        <w:tblLook w:val="04A0" w:firstRow="1" w:lastRow="0" w:firstColumn="1" w:lastColumn="0" w:noHBand="0" w:noVBand="1"/>
        <w:tblCaption w:val="Primary and secondary outcomes at 6 mths"/>
      </w:tblPr>
      <w:tblGrid>
        <w:gridCol w:w="4424"/>
        <w:gridCol w:w="3921"/>
      </w:tblGrid>
      <w:tr w:rsidR="00A929B9" w:rsidRPr="00E559E8" w:rsidTr="003F744C">
        <w:trPr>
          <w:tblHeader/>
        </w:trPr>
        <w:tc>
          <w:tcPr>
            <w:tcW w:w="4424" w:type="dxa"/>
            <w:tcBorders>
              <w:top w:val="single" w:sz="4" w:space="0" w:color="auto"/>
              <w:left w:val="single" w:sz="4" w:space="0" w:color="auto"/>
              <w:bottom w:val="single" w:sz="4" w:space="0" w:color="auto"/>
              <w:right w:val="single" w:sz="4" w:space="0" w:color="auto"/>
            </w:tcBorders>
            <w:hideMark/>
          </w:tcPr>
          <w:p w:rsidR="00A929B9" w:rsidRPr="00E559E8" w:rsidRDefault="00A929B9" w:rsidP="00890A88">
            <w:pPr>
              <w:widowControl/>
              <w:snapToGrid w:val="0"/>
              <w:rPr>
                <w:rFonts w:ascii="Arial Narrow" w:hAnsi="Arial Narrow"/>
                <w:b/>
                <w:sz w:val="20"/>
                <w:lang w:eastAsia="en-AU"/>
              </w:rPr>
            </w:pPr>
            <w:r w:rsidRPr="00E559E8">
              <w:rPr>
                <w:rFonts w:ascii="Arial Narrow" w:hAnsi="Arial Narrow"/>
                <w:b/>
                <w:sz w:val="20"/>
              </w:rPr>
              <w:t>Primary outcome</w:t>
            </w:r>
          </w:p>
        </w:tc>
        <w:tc>
          <w:tcPr>
            <w:tcW w:w="0" w:type="auto"/>
            <w:tcBorders>
              <w:top w:val="single" w:sz="4" w:space="0" w:color="auto"/>
              <w:left w:val="single" w:sz="4" w:space="0" w:color="auto"/>
              <w:bottom w:val="single" w:sz="4" w:space="0" w:color="auto"/>
              <w:right w:val="single" w:sz="4" w:space="0" w:color="auto"/>
            </w:tcBorders>
            <w:hideMark/>
          </w:tcPr>
          <w:p w:rsidR="00A929B9" w:rsidRPr="00E559E8" w:rsidRDefault="00A929B9" w:rsidP="00890A88">
            <w:pPr>
              <w:widowControl/>
              <w:snapToGrid w:val="0"/>
              <w:rPr>
                <w:rFonts w:ascii="Arial Narrow" w:hAnsi="Arial Narrow"/>
                <w:b/>
                <w:sz w:val="20"/>
                <w:lang w:eastAsia="en-AU"/>
              </w:rPr>
            </w:pPr>
            <w:r w:rsidRPr="00E559E8">
              <w:rPr>
                <w:rFonts w:ascii="Arial Narrow" w:hAnsi="Arial Narrow"/>
                <w:b/>
                <w:sz w:val="20"/>
              </w:rPr>
              <w:t>Secondary outcome</w:t>
            </w:r>
          </w:p>
        </w:tc>
      </w:tr>
      <w:tr w:rsidR="00A929B9" w:rsidRPr="00374E3A" w:rsidTr="00A929B9">
        <w:tc>
          <w:tcPr>
            <w:tcW w:w="4424" w:type="dxa"/>
            <w:vMerge w:val="restart"/>
            <w:tcBorders>
              <w:top w:val="single" w:sz="4" w:space="0" w:color="auto"/>
              <w:left w:val="single" w:sz="4" w:space="0" w:color="auto"/>
              <w:bottom w:val="single" w:sz="4" w:space="0" w:color="auto"/>
              <w:right w:val="single" w:sz="4" w:space="0" w:color="auto"/>
            </w:tcBorders>
          </w:tcPr>
          <w:p w:rsidR="00A929B9" w:rsidRPr="00374E3A" w:rsidRDefault="00A929B9" w:rsidP="00890A88">
            <w:pPr>
              <w:widowControl/>
              <w:jc w:val="left"/>
              <w:rPr>
                <w:rFonts w:ascii="Arial Narrow" w:hAnsi="Arial Narrow"/>
                <w:sz w:val="20"/>
              </w:rPr>
            </w:pPr>
            <w:r w:rsidRPr="00374E3A">
              <w:rPr>
                <w:rFonts w:ascii="Arial Narrow" w:hAnsi="Arial Narrow"/>
                <w:sz w:val="20"/>
              </w:rPr>
              <w:t>Increase in weight (measured in kg and z-score), mid-upper arm circumference, upper arm length, lower leg length, triceps skinfold, subscapular skinfold</w:t>
            </w:r>
            <w:r>
              <w:rPr>
                <w:rFonts w:ascii="Arial Narrow" w:hAnsi="Arial Narrow"/>
                <w:sz w:val="20"/>
              </w:rPr>
              <w:t>.</w:t>
            </w:r>
          </w:p>
          <w:p w:rsidR="00A929B9" w:rsidRPr="00374E3A" w:rsidRDefault="00A929B9" w:rsidP="00890A88">
            <w:pPr>
              <w:widowControl/>
              <w:jc w:val="left"/>
              <w:rPr>
                <w:rFonts w:ascii="Arial Narrow" w:hAnsi="Arial Narrow"/>
                <w:sz w:val="20"/>
              </w:rPr>
            </w:pPr>
          </w:p>
          <w:p w:rsidR="00A929B9" w:rsidRPr="00374E3A" w:rsidRDefault="00A929B9" w:rsidP="00890A88">
            <w:pPr>
              <w:widowControl/>
              <w:snapToGrid w:val="0"/>
              <w:jc w:val="left"/>
              <w:rPr>
                <w:rFonts w:ascii="Arial Narrow" w:hAnsi="Arial Narrow"/>
                <w:sz w:val="20"/>
                <w:lang w:eastAsia="en-AU"/>
              </w:rPr>
            </w:pPr>
            <w:r w:rsidRPr="00374E3A">
              <w:rPr>
                <w:rFonts w:ascii="Arial Narrow" w:hAnsi="Arial Narrow"/>
                <w:sz w:val="20"/>
                <w:lang w:eastAsia="en-AU"/>
              </w:rPr>
              <w:t>Change in body composition measured in terms of fat mass, body fat percentage, fat mass index and fat-free mass index.</w:t>
            </w:r>
          </w:p>
        </w:tc>
        <w:tc>
          <w:tcPr>
            <w:tcW w:w="0" w:type="auto"/>
            <w:tcBorders>
              <w:top w:val="single" w:sz="4" w:space="0" w:color="auto"/>
              <w:left w:val="single" w:sz="4" w:space="0" w:color="auto"/>
              <w:bottom w:val="single" w:sz="4" w:space="0" w:color="auto"/>
              <w:right w:val="single" w:sz="4" w:space="0" w:color="auto"/>
            </w:tcBorders>
            <w:vAlign w:val="center"/>
          </w:tcPr>
          <w:p w:rsidR="00A929B9" w:rsidRPr="00374E3A" w:rsidRDefault="00A929B9" w:rsidP="00890A88">
            <w:pPr>
              <w:widowControl/>
              <w:snapToGrid w:val="0"/>
              <w:jc w:val="left"/>
              <w:rPr>
                <w:rFonts w:ascii="Arial Narrow" w:hAnsi="Arial Narrow"/>
                <w:sz w:val="20"/>
                <w:lang w:eastAsia="en-AU"/>
              </w:rPr>
            </w:pPr>
            <w:r w:rsidRPr="00374E3A">
              <w:rPr>
                <w:rFonts w:ascii="Arial Narrow" w:hAnsi="Arial Narrow"/>
                <w:sz w:val="20"/>
                <w:lang w:eastAsia="en-AU"/>
              </w:rPr>
              <w:t>Macronutrient intake</w:t>
            </w:r>
            <w:r>
              <w:rPr>
                <w:rFonts w:ascii="Arial Narrow" w:hAnsi="Arial Narrow"/>
                <w:sz w:val="20"/>
                <w:lang w:eastAsia="en-AU"/>
              </w:rPr>
              <w:t xml:space="preserve"> (carbohydrate, protein and fat) measured in terms of percentage of derived energy intake.</w:t>
            </w:r>
          </w:p>
        </w:tc>
      </w:tr>
      <w:tr w:rsidR="00A929B9" w:rsidRPr="00E559E8" w:rsidTr="00A929B9">
        <w:tc>
          <w:tcPr>
            <w:tcW w:w="4424" w:type="dxa"/>
            <w:vMerge/>
            <w:tcBorders>
              <w:top w:val="single" w:sz="4" w:space="0" w:color="auto"/>
              <w:left w:val="single" w:sz="4" w:space="0" w:color="auto"/>
              <w:bottom w:val="single" w:sz="4" w:space="0" w:color="auto"/>
              <w:right w:val="single" w:sz="4" w:space="0" w:color="auto"/>
            </w:tcBorders>
            <w:vAlign w:val="center"/>
            <w:hideMark/>
          </w:tcPr>
          <w:p w:rsidR="00A929B9" w:rsidRPr="00E559E8" w:rsidRDefault="00A929B9" w:rsidP="00890A88">
            <w:pPr>
              <w:widowControl/>
              <w:jc w:val="left"/>
              <w:rPr>
                <w:rFonts w:ascii="Arial Narrow" w:hAnsi="Arial Narrow"/>
                <w:sz w:val="20"/>
                <w:lang w:eastAsia="en-AU"/>
              </w:rPr>
            </w:pPr>
          </w:p>
        </w:tc>
        <w:tc>
          <w:tcPr>
            <w:tcW w:w="0" w:type="auto"/>
            <w:tcBorders>
              <w:top w:val="single" w:sz="4" w:space="0" w:color="auto"/>
              <w:left w:val="single" w:sz="4" w:space="0" w:color="auto"/>
              <w:bottom w:val="single" w:sz="4" w:space="0" w:color="auto"/>
              <w:right w:val="single" w:sz="4" w:space="0" w:color="auto"/>
            </w:tcBorders>
            <w:vAlign w:val="center"/>
          </w:tcPr>
          <w:p w:rsidR="00A929B9" w:rsidRPr="00E559E8" w:rsidRDefault="00A929B9" w:rsidP="00890A88">
            <w:pPr>
              <w:widowControl/>
              <w:snapToGrid w:val="0"/>
              <w:jc w:val="left"/>
              <w:rPr>
                <w:rFonts w:ascii="Arial Narrow" w:hAnsi="Arial Narrow"/>
                <w:sz w:val="20"/>
                <w:lang w:eastAsia="en-AU"/>
              </w:rPr>
            </w:pPr>
            <w:r>
              <w:rPr>
                <w:rFonts w:ascii="Arial Narrow" w:hAnsi="Arial Narrow"/>
                <w:sz w:val="20"/>
                <w:lang w:eastAsia="en-AU"/>
              </w:rPr>
              <w:t>Micronutrient concentrations in plasma/serum</w:t>
            </w:r>
          </w:p>
        </w:tc>
      </w:tr>
      <w:tr w:rsidR="00A929B9" w:rsidRPr="00E559E8" w:rsidTr="00A929B9">
        <w:tc>
          <w:tcPr>
            <w:tcW w:w="4424" w:type="dxa"/>
            <w:vMerge/>
            <w:tcBorders>
              <w:top w:val="single" w:sz="4" w:space="0" w:color="auto"/>
              <w:left w:val="single" w:sz="4" w:space="0" w:color="auto"/>
              <w:bottom w:val="single" w:sz="4" w:space="0" w:color="auto"/>
              <w:right w:val="single" w:sz="4" w:space="0" w:color="auto"/>
            </w:tcBorders>
            <w:vAlign w:val="center"/>
            <w:hideMark/>
          </w:tcPr>
          <w:p w:rsidR="00A929B9" w:rsidRPr="00E559E8" w:rsidRDefault="00A929B9" w:rsidP="00890A88">
            <w:pPr>
              <w:widowControl/>
              <w:jc w:val="left"/>
              <w:rPr>
                <w:rFonts w:ascii="Arial Narrow" w:hAnsi="Arial Narrow"/>
                <w:sz w:val="20"/>
                <w:lang w:eastAsia="en-AU"/>
              </w:rPr>
            </w:pPr>
          </w:p>
        </w:tc>
        <w:tc>
          <w:tcPr>
            <w:tcW w:w="0" w:type="auto"/>
            <w:tcBorders>
              <w:top w:val="single" w:sz="4" w:space="0" w:color="auto"/>
              <w:left w:val="single" w:sz="4" w:space="0" w:color="auto"/>
              <w:bottom w:val="single" w:sz="4" w:space="0" w:color="auto"/>
              <w:right w:val="single" w:sz="4" w:space="0" w:color="auto"/>
            </w:tcBorders>
            <w:vAlign w:val="center"/>
          </w:tcPr>
          <w:p w:rsidR="00A929B9" w:rsidRPr="00E559E8" w:rsidRDefault="00A929B9" w:rsidP="00890A88">
            <w:pPr>
              <w:widowControl/>
              <w:snapToGrid w:val="0"/>
              <w:jc w:val="left"/>
              <w:rPr>
                <w:rFonts w:ascii="Arial Narrow" w:hAnsi="Arial Narrow"/>
                <w:sz w:val="20"/>
                <w:lang w:eastAsia="en-AU"/>
              </w:rPr>
            </w:pPr>
            <w:r>
              <w:rPr>
                <w:rFonts w:ascii="Arial Narrow" w:hAnsi="Arial Narrow"/>
                <w:sz w:val="20"/>
                <w:lang w:eastAsia="en-AU"/>
              </w:rPr>
              <w:t xml:space="preserve">General health: frequency of chest infections </w:t>
            </w:r>
          </w:p>
        </w:tc>
      </w:tr>
      <w:tr w:rsidR="00A929B9" w:rsidRPr="00E559E8" w:rsidTr="00A929B9">
        <w:tc>
          <w:tcPr>
            <w:tcW w:w="4424" w:type="dxa"/>
            <w:vMerge/>
            <w:tcBorders>
              <w:top w:val="single" w:sz="4" w:space="0" w:color="auto"/>
              <w:left w:val="single" w:sz="4" w:space="0" w:color="auto"/>
              <w:bottom w:val="single" w:sz="4" w:space="0" w:color="auto"/>
              <w:right w:val="single" w:sz="4" w:space="0" w:color="auto"/>
            </w:tcBorders>
            <w:vAlign w:val="center"/>
            <w:hideMark/>
          </w:tcPr>
          <w:p w:rsidR="00A929B9" w:rsidRPr="00E559E8" w:rsidRDefault="00A929B9" w:rsidP="00890A88">
            <w:pPr>
              <w:widowControl/>
              <w:jc w:val="left"/>
              <w:rPr>
                <w:rFonts w:ascii="Arial Narrow" w:hAnsi="Arial Narrow"/>
                <w:sz w:val="20"/>
                <w:lang w:eastAsia="en-AU"/>
              </w:rPr>
            </w:pPr>
          </w:p>
        </w:tc>
        <w:tc>
          <w:tcPr>
            <w:tcW w:w="0" w:type="auto"/>
            <w:tcBorders>
              <w:top w:val="single" w:sz="4" w:space="0" w:color="auto"/>
              <w:left w:val="single" w:sz="4" w:space="0" w:color="auto"/>
              <w:bottom w:val="single" w:sz="4" w:space="0" w:color="auto"/>
              <w:right w:val="single" w:sz="4" w:space="0" w:color="auto"/>
            </w:tcBorders>
            <w:vAlign w:val="center"/>
          </w:tcPr>
          <w:p w:rsidR="00A929B9" w:rsidRDefault="00A929B9" w:rsidP="00890A88">
            <w:pPr>
              <w:widowControl/>
              <w:snapToGrid w:val="0"/>
              <w:jc w:val="left"/>
              <w:rPr>
                <w:rFonts w:ascii="Arial Narrow" w:hAnsi="Arial Narrow"/>
                <w:sz w:val="20"/>
                <w:lang w:eastAsia="en-AU"/>
              </w:rPr>
            </w:pPr>
            <w:r>
              <w:rPr>
                <w:rFonts w:ascii="Arial Narrow" w:hAnsi="Arial Narrow"/>
                <w:sz w:val="20"/>
                <w:lang w:eastAsia="en-AU"/>
              </w:rPr>
              <w:t>Bowel movement frequency (per week) and medication use for relieving constipation</w:t>
            </w:r>
          </w:p>
          <w:p w:rsidR="00A929B9" w:rsidRPr="00E559E8" w:rsidRDefault="00A929B9" w:rsidP="00890A88">
            <w:pPr>
              <w:widowControl/>
              <w:snapToGrid w:val="0"/>
              <w:jc w:val="left"/>
              <w:rPr>
                <w:rFonts w:ascii="Arial Narrow" w:hAnsi="Arial Narrow"/>
                <w:sz w:val="20"/>
                <w:lang w:eastAsia="en-AU"/>
              </w:rPr>
            </w:pPr>
          </w:p>
        </w:tc>
      </w:tr>
    </w:tbl>
    <w:p w:rsidR="00A929B9" w:rsidRPr="00A94BF7" w:rsidRDefault="00A929B9" w:rsidP="00A94BF7">
      <w:pPr>
        <w:pStyle w:val="BodyText"/>
        <w:rPr>
          <w:rFonts w:ascii="Arial Narrow" w:hAnsi="Arial Narrow"/>
          <w:b/>
          <w:sz w:val="18"/>
        </w:rPr>
      </w:pPr>
      <w:r>
        <w:tab/>
      </w:r>
      <w:r w:rsidRPr="00A94BF7">
        <w:rPr>
          <w:rFonts w:ascii="Arial Narrow" w:hAnsi="Arial Narrow"/>
          <w:sz w:val="18"/>
        </w:rPr>
        <w:t xml:space="preserve">Source: </w:t>
      </w:r>
      <w:r w:rsidR="00724EFC" w:rsidRPr="00A94BF7">
        <w:rPr>
          <w:rFonts w:ascii="Arial Narrow" w:hAnsi="Arial Narrow"/>
          <w:sz w:val="18"/>
        </w:rPr>
        <w:t>compiled during evaluation</w:t>
      </w:r>
    </w:p>
    <w:p w:rsidR="0099387A" w:rsidRDefault="0099387A" w:rsidP="00A929B9">
      <w:pPr>
        <w:pStyle w:val="ListParagraph"/>
        <w:rPr>
          <w:b/>
        </w:rPr>
      </w:pPr>
    </w:p>
    <w:p w:rsidR="00A929B9" w:rsidRPr="00BF6DC1" w:rsidRDefault="004F0849" w:rsidP="00A94BF7">
      <w:pPr>
        <w:pStyle w:val="Heading2"/>
      </w:pPr>
      <w:bookmarkStart w:id="23" w:name="_Toc430008003"/>
      <w:r w:rsidRPr="00BF6DC1">
        <w:t xml:space="preserve">Clinical </w:t>
      </w:r>
      <w:r w:rsidR="00A929B9" w:rsidRPr="00BF6DC1">
        <w:t>effectiveness</w:t>
      </w:r>
      <w:bookmarkEnd w:id="23"/>
    </w:p>
    <w:p w:rsidR="00A94BF7" w:rsidRPr="00A94BF7" w:rsidRDefault="00A94BF7" w:rsidP="00A94BF7"/>
    <w:p w:rsidR="00A929B9" w:rsidRPr="00C60068" w:rsidRDefault="005D1BCA" w:rsidP="00C60068">
      <w:pPr>
        <w:pStyle w:val="PBACHeading1"/>
        <w:numPr>
          <w:ilvl w:val="1"/>
          <w:numId w:val="18"/>
        </w:numPr>
        <w:rPr>
          <w:b w:val="0"/>
          <w:i/>
          <w:kern w:val="16"/>
        </w:rPr>
      </w:pPr>
      <w:r>
        <w:rPr>
          <w:b w:val="0"/>
        </w:rPr>
        <w:t>The results of the Ver</w:t>
      </w:r>
      <w:r w:rsidR="00A929B9" w:rsidRPr="00C60068">
        <w:rPr>
          <w:b w:val="0"/>
        </w:rPr>
        <w:t xml:space="preserve">non-Roberts et al feasibility study demonstrate that </w:t>
      </w:r>
      <w:r w:rsidR="00C60068" w:rsidRPr="00C60068">
        <w:rPr>
          <w:b w:val="0"/>
        </w:rPr>
        <w:t xml:space="preserve">patients appear to exhibit normal growth on a low energy tube feed without an adverse impact on general health or a disproportionate increase in body fat. </w:t>
      </w:r>
      <w:r w:rsidR="00BA563E">
        <w:rPr>
          <w:b w:val="0"/>
          <w:kern w:val="16"/>
        </w:rPr>
        <w:t xml:space="preserve">The </w:t>
      </w:r>
      <w:r w:rsidR="00283ADA" w:rsidRPr="00283ADA">
        <w:rPr>
          <w:b w:val="0"/>
          <w:kern w:val="16"/>
        </w:rPr>
        <w:t>results show</w:t>
      </w:r>
      <w:r w:rsidR="00BA563E">
        <w:rPr>
          <w:b w:val="0"/>
          <w:kern w:val="16"/>
        </w:rPr>
        <w:t>ed</w:t>
      </w:r>
      <w:r w:rsidR="00283ADA" w:rsidRPr="00283ADA">
        <w:rPr>
          <w:b w:val="0"/>
          <w:kern w:val="16"/>
        </w:rPr>
        <w:t xml:space="preserve"> </w:t>
      </w:r>
      <w:r w:rsidR="00BA563E">
        <w:rPr>
          <w:b w:val="0"/>
          <w:kern w:val="16"/>
        </w:rPr>
        <w:t xml:space="preserve">that </w:t>
      </w:r>
      <w:r w:rsidR="00283ADA" w:rsidRPr="00283ADA">
        <w:rPr>
          <w:b w:val="0"/>
          <w:kern w:val="16"/>
        </w:rPr>
        <w:t>there was no significant increase in fat mass index (median diff 1.21, 95% CI -1.15 to 2.94, p=0.345) or fat free mass index (median diff -1.41, 95% CI -1.15 to 2.94, p=</w:t>
      </w:r>
      <w:r w:rsidR="00573BE4">
        <w:rPr>
          <w:b w:val="0"/>
          <w:kern w:val="16"/>
        </w:rPr>
        <w:t>0</w:t>
      </w:r>
      <w:r w:rsidR="00283ADA" w:rsidRPr="00283ADA">
        <w:rPr>
          <w:b w:val="0"/>
          <w:kern w:val="16"/>
        </w:rPr>
        <w:t>.249).</w:t>
      </w:r>
      <w:r w:rsidR="00283ADA">
        <w:rPr>
          <w:color w:val="FF0000"/>
          <w:kern w:val="16"/>
        </w:rPr>
        <w:t xml:space="preserve">  </w:t>
      </w:r>
      <w:r w:rsidR="00C60068" w:rsidRPr="006B37D5">
        <w:rPr>
          <w:b w:val="0"/>
          <w:kern w:val="16"/>
        </w:rPr>
        <w:t>As the sample size of the population with follow up results is low (n=8), it is difficult to determine the reliability of this outcome measure.</w:t>
      </w:r>
    </w:p>
    <w:p w:rsidR="00A929B9" w:rsidRPr="00BB55F7" w:rsidRDefault="00A929B9" w:rsidP="00BB55F7">
      <w:pPr>
        <w:rPr>
          <w:b/>
          <w:i/>
        </w:rPr>
      </w:pPr>
    </w:p>
    <w:p w:rsidR="00A929B9" w:rsidRPr="003B2211" w:rsidRDefault="00A929B9" w:rsidP="00A929B9">
      <w:pPr>
        <w:pStyle w:val="PBACHeading1"/>
        <w:numPr>
          <w:ilvl w:val="1"/>
          <w:numId w:val="18"/>
        </w:numPr>
      </w:pPr>
      <w:r>
        <w:rPr>
          <w:b w:val="0"/>
        </w:rPr>
        <w:t xml:space="preserve">The results of the </w:t>
      </w:r>
      <w:r w:rsidR="0099387A">
        <w:rPr>
          <w:b w:val="0"/>
        </w:rPr>
        <w:t xml:space="preserve">tolerance study demonstrate that Nutrini Low Energy Multi Fibre may have </w:t>
      </w:r>
      <w:r w:rsidR="00FB3D1A">
        <w:rPr>
          <w:b w:val="0"/>
        </w:rPr>
        <w:t xml:space="preserve">possible benefits </w:t>
      </w:r>
      <w:r w:rsidR="0099387A">
        <w:rPr>
          <w:b w:val="0"/>
        </w:rPr>
        <w:t>in terms of relieving constipation</w:t>
      </w:r>
      <w:r w:rsidR="00FB3D1A">
        <w:rPr>
          <w:b w:val="0"/>
        </w:rPr>
        <w:t xml:space="preserve"> compared to standard enteral feeding formulations that are not fibre-enriched</w:t>
      </w:r>
      <w:r w:rsidR="0099387A">
        <w:rPr>
          <w:b w:val="0"/>
        </w:rPr>
        <w:t xml:space="preserve">. </w:t>
      </w:r>
      <w:r w:rsidR="0099387A" w:rsidRPr="006B37D5">
        <w:rPr>
          <w:b w:val="0"/>
        </w:rPr>
        <w:t>The strength of this evidence is limited by</w:t>
      </w:r>
      <w:r w:rsidR="00681D72" w:rsidRPr="006B37D5">
        <w:rPr>
          <w:b w:val="0"/>
        </w:rPr>
        <w:t xml:space="preserve"> the size (n=</w:t>
      </w:r>
      <w:r w:rsidR="00DC42FE" w:rsidRPr="006B37D5">
        <w:rPr>
          <w:b w:val="0"/>
        </w:rPr>
        <w:t>7</w:t>
      </w:r>
      <w:r w:rsidR="00681D72" w:rsidRPr="006B37D5">
        <w:rPr>
          <w:b w:val="0"/>
        </w:rPr>
        <w:t xml:space="preserve">) </w:t>
      </w:r>
      <w:r w:rsidR="00DC42FE" w:rsidRPr="006B37D5">
        <w:rPr>
          <w:b w:val="0"/>
        </w:rPr>
        <w:t>and duration (4 weeks)</w:t>
      </w:r>
      <w:r w:rsidR="00BB55F7" w:rsidRPr="006B37D5">
        <w:rPr>
          <w:b w:val="0"/>
        </w:rPr>
        <w:t xml:space="preserve"> of the study</w:t>
      </w:r>
      <w:r w:rsidR="00681D72" w:rsidRPr="006B37D5">
        <w:rPr>
          <w:b w:val="0"/>
        </w:rPr>
        <w:t>.</w:t>
      </w:r>
    </w:p>
    <w:p w:rsidR="003B2211" w:rsidRDefault="003B2211" w:rsidP="003B2211">
      <w:pPr>
        <w:pStyle w:val="ListParagraph"/>
      </w:pPr>
    </w:p>
    <w:p w:rsidR="003B2211" w:rsidRPr="005D4717" w:rsidRDefault="003B2211" w:rsidP="00A929B9">
      <w:pPr>
        <w:pStyle w:val="PBACHeading1"/>
        <w:numPr>
          <w:ilvl w:val="1"/>
          <w:numId w:val="18"/>
        </w:numPr>
      </w:pPr>
      <w:r>
        <w:rPr>
          <w:b w:val="0"/>
        </w:rPr>
        <w:t xml:space="preserve">The NPWP considered that there may be a small number of cerebral palsy patients who would benefit from this formula. </w:t>
      </w:r>
    </w:p>
    <w:p w:rsidR="005D4717" w:rsidRDefault="005D4717" w:rsidP="005D4717">
      <w:pPr>
        <w:pStyle w:val="ListParagraph"/>
      </w:pPr>
    </w:p>
    <w:p w:rsidR="00A929B9" w:rsidRPr="00DA5296" w:rsidRDefault="00A929B9" w:rsidP="00A94BF7">
      <w:pPr>
        <w:pStyle w:val="Heading2"/>
      </w:pPr>
      <w:bookmarkStart w:id="24" w:name="_Toc430008004"/>
      <w:r w:rsidRPr="00DA5296">
        <w:t>Comparative harms</w:t>
      </w:r>
      <w:bookmarkEnd w:id="24"/>
    </w:p>
    <w:p w:rsidR="00A94BF7" w:rsidRPr="00A94BF7" w:rsidRDefault="00A94BF7" w:rsidP="00A94BF7"/>
    <w:p w:rsidR="00A929B9" w:rsidRPr="001D5F66" w:rsidRDefault="00A929B9" w:rsidP="00A929B9">
      <w:pPr>
        <w:pStyle w:val="PBACHeading1"/>
        <w:numPr>
          <w:ilvl w:val="1"/>
          <w:numId w:val="18"/>
        </w:numPr>
        <w:rPr>
          <w:b w:val="0"/>
        </w:rPr>
      </w:pPr>
      <w:r w:rsidRPr="001D5F66">
        <w:rPr>
          <w:b w:val="0"/>
        </w:rPr>
        <w:t>No assessment of comparative harms was presented.</w:t>
      </w:r>
      <w:r w:rsidR="00C93FC0" w:rsidRPr="001D5F66">
        <w:rPr>
          <w:b w:val="0"/>
        </w:rPr>
        <w:t xml:space="preserve"> The ESC noted that three out of fourteen patients in the main clinical study died </w:t>
      </w:r>
      <w:r w:rsidR="00AA048B" w:rsidRPr="001D5F66">
        <w:rPr>
          <w:b w:val="0"/>
        </w:rPr>
        <w:t xml:space="preserve">from respiratory infection </w:t>
      </w:r>
      <w:r w:rsidR="00C93FC0" w:rsidRPr="001D5F66">
        <w:rPr>
          <w:b w:val="0"/>
        </w:rPr>
        <w:t xml:space="preserve">within the six-month period of the study. </w:t>
      </w:r>
      <w:r w:rsidR="00973CB2" w:rsidRPr="001D5F66">
        <w:rPr>
          <w:b w:val="0"/>
        </w:rPr>
        <w:t>The ESC noted the submission’s claim that this was likely to be due to complications related to patients underlying conditions, but considered that given no background rate of harms was discussed and the study did not have a control group, no assessment of comparative harms was able to be conducted.</w:t>
      </w:r>
    </w:p>
    <w:p w:rsidR="009D3AE2" w:rsidRPr="001D5F66" w:rsidRDefault="009D3AE2" w:rsidP="001F7361"/>
    <w:p w:rsidR="00301017" w:rsidRPr="00DA5296" w:rsidRDefault="00301017" w:rsidP="00301017">
      <w:pPr>
        <w:pStyle w:val="Heading2"/>
      </w:pPr>
      <w:bookmarkStart w:id="25" w:name="_Toc341702025"/>
      <w:bookmarkStart w:id="26" w:name="_Toc380679756"/>
      <w:bookmarkStart w:id="27" w:name="_Toc380742613"/>
      <w:bookmarkStart w:id="28" w:name="_Toc380746180"/>
      <w:bookmarkStart w:id="29" w:name="_Toc380746306"/>
      <w:bookmarkStart w:id="30" w:name="_Toc380746587"/>
      <w:bookmarkStart w:id="31" w:name="_Toc430008005"/>
      <w:r w:rsidRPr="00DA5296">
        <w:t>Clinical claim</w:t>
      </w:r>
      <w:bookmarkEnd w:id="25"/>
      <w:bookmarkEnd w:id="26"/>
      <w:bookmarkEnd w:id="27"/>
      <w:bookmarkEnd w:id="28"/>
      <w:bookmarkEnd w:id="29"/>
      <w:bookmarkEnd w:id="30"/>
      <w:bookmarkEnd w:id="31"/>
    </w:p>
    <w:p w:rsidR="00A94BF7" w:rsidRPr="00A94BF7" w:rsidRDefault="00A94BF7" w:rsidP="00A94BF7"/>
    <w:p w:rsidR="00C93FC0" w:rsidRPr="00AA048B" w:rsidRDefault="004C0922" w:rsidP="00AA048B">
      <w:pPr>
        <w:pStyle w:val="PBACHeading1"/>
        <w:numPr>
          <w:ilvl w:val="1"/>
          <w:numId w:val="18"/>
        </w:numPr>
        <w:rPr>
          <w:b w:val="0"/>
        </w:rPr>
      </w:pPr>
      <w:r w:rsidRPr="00AA048B">
        <w:rPr>
          <w:b w:val="0"/>
        </w:rPr>
        <w:t>The</w:t>
      </w:r>
      <w:r w:rsidRPr="00AA048B">
        <w:rPr>
          <w:b w:val="0"/>
          <w:kern w:val="16"/>
        </w:rPr>
        <w:t xml:space="preserve"> submission claim</w:t>
      </w:r>
      <w:r w:rsidR="00AA048B">
        <w:rPr>
          <w:b w:val="0"/>
          <w:kern w:val="16"/>
        </w:rPr>
        <w:t>ed</w:t>
      </w:r>
      <w:r w:rsidRPr="00AA048B">
        <w:rPr>
          <w:b w:val="0"/>
          <w:kern w:val="16"/>
        </w:rPr>
        <w:t xml:space="preserve"> that </w:t>
      </w:r>
      <w:r w:rsidR="00B55E01" w:rsidRPr="00AA048B">
        <w:rPr>
          <w:b w:val="0"/>
          <w:kern w:val="16"/>
        </w:rPr>
        <w:t>children who used</w:t>
      </w:r>
      <w:r w:rsidRPr="00AA048B">
        <w:rPr>
          <w:b w:val="0"/>
          <w:kern w:val="16"/>
        </w:rPr>
        <w:t xml:space="preserve"> Nut</w:t>
      </w:r>
      <w:r w:rsidR="00983891" w:rsidRPr="00AA048B">
        <w:rPr>
          <w:b w:val="0"/>
          <w:kern w:val="16"/>
        </w:rPr>
        <w:t xml:space="preserve">rini Low Energy Multi Fibre </w:t>
      </w:r>
      <w:r w:rsidR="00B55E01" w:rsidRPr="00AA048B">
        <w:rPr>
          <w:b w:val="0"/>
          <w:kern w:val="16"/>
        </w:rPr>
        <w:t xml:space="preserve">continued to grow normally without </w:t>
      </w:r>
      <w:r w:rsidRPr="00AA048B">
        <w:rPr>
          <w:b w:val="0"/>
          <w:kern w:val="16"/>
        </w:rPr>
        <w:t xml:space="preserve">a disproportionate increase in body </w:t>
      </w:r>
      <w:r w:rsidR="00C60068" w:rsidRPr="00AA048B">
        <w:rPr>
          <w:b w:val="0"/>
          <w:kern w:val="16"/>
        </w:rPr>
        <w:t xml:space="preserve">fat. </w:t>
      </w:r>
      <w:r w:rsidR="006507D7" w:rsidRPr="00AA048B">
        <w:rPr>
          <w:b w:val="0"/>
          <w:kern w:val="16"/>
        </w:rPr>
        <w:t>T</w:t>
      </w:r>
      <w:r w:rsidRPr="00AA048B">
        <w:rPr>
          <w:b w:val="0"/>
          <w:kern w:val="16"/>
        </w:rPr>
        <w:t xml:space="preserve">he </w:t>
      </w:r>
      <w:r w:rsidRPr="00AA048B">
        <w:rPr>
          <w:b w:val="0"/>
          <w:kern w:val="16"/>
        </w:rPr>
        <w:lastRenderedPageBreak/>
        <w:t xml:space="preserve">strength of evidence is </w:t>
      </w:r>
      <w:r w:rsidR="00C60068" w:rsidRPr="00AA048B">
        <w:rPr>
          <w:b w:val="0"/>
          <w:kern w:val="16"/>
        </w:rPr>
        <w:t>low due to the small sample size and high rate of drop-outs</w:t>
      </w:r>
      <w:r w:rsidR="006510A0" w:rsidRPr="00AA048B">
        <w:rPr>
          <w:b w:val="0"/>
          <w:kern w:val="16"/>
        </w:rPr>
        <w:t>. T</w:t>
      </w:r>
      <w:r w:rsidRPr="00AA048B">
        <w:rPr>
          <w:b w:val="0"/>
          <w:kern w:val="16"/>
        </w:rPr>
        <w:t xml:space="preserve">he results </w:t>
      </w:r>
      <w:r w:rsidR="00756B85" w:rsidRPr="00AA048B">
        <w:rPr>
          <w:b w:val="0"/>
          <w:kern w:val="16"/>
        </w:rPr>
        <w:t xml:space="preserve">of the tolerance study </w:t>
      </w:r>
      <w:r w:rsidRPr="00AA048B">
        <w:rPr>
          <w:b w:val="0"/>
          <w:kern w:val="16"/>
        </w:rPr>
        <w:t xml:space="preserve">are not sufficiently robust to substantiate a claim for improvement in bowel habits in terms of less reliance on laxative use to relieve constipation. </w:t>
      </w:r>
      <w:r w:rsidR="00C93FC0" w:rsidRPr="001D5F66">
        <w:rPr>
          <w:b w:val="0"/>
        </w:rPr>
        <w:t xml:space="preserve">The </w:t>
      </w:r>
      <w:r w:rsidR="003B2211">
        <w:rPr>
          <w:b w:val="0"/>
        </w:rPr>
        <w:t xml:space="preserve">NPWP and the </w:t>
      </w:r>
      <w:r w:rsidR="00C93FC0" w:rsidRPr="001D5F66">
        <w:rPr>
          <w:b w:val="0"/>
        </w:rPr>
        <w:t>ESC considered that there was insufficient information available in order to support the clinical claim.</w:t>
      </w:r>
      <w:r w:rsidR="00C93FC0" w:rsidRPr="00AA048B">
        <w:rPr>
          <w:b w:val="0"/>
          <w:i/>
        </w:rPr>
        <w:t xml:space="preserve"> </w:t>
      </w:r>
    </w:p>
    <w:p w:rsidR="004C0922" w:rsidRDefault="004C0922" w:rsidP="00AA048B">
      <w:pPr>
        <w:pStyle w:val="PBACHeading1"/>
        <w:rPr>
          <w:b w:val="0"/>
          <w:kern w:val="16"/>
        </w:rPr>
      </w:pPr>
    </w:p>
    <w:p w:rsidR="00AA048B" w:rsidRDefault="00AA048B" w:rsidP="00AA048B">
      <w:pPr>
        <w:pStyle w:val="PBACHeading1"/>
        <w:numPr>
          <w:ilvl w:val="1"/>
          <w:numId w:val="18"/>
        </w:numPr>
        <w:rPr>
          <w:b w:val="0"/>
          <w:kern w:val="16"/>
        </w:rPr>
      </w:pPr>
      <w:r w:rsidRPr="001D5F66">
        <w:rPr>
          <w:b w:val="0"/>
          <w:kern w:val="16"/>
        </w:rPr>
        <w:t xml:space="preserve">The ESC noted that if a major submission is pursued, sufficient information on both effectiveness and harms should be available in order to assess the clinical claim. </w:t>
      </w:r>
    </w:p>
    <w:p w:rsidR="003B2211" w:rsidRDefault="003B2211" w:rsidP="003B2211">
      <w:pPr>
        <w:pStyle w:val="PBACHeading1"/>
        <w:rPr>
          <w:b w:val="0"/>
          <w:kern w:val="16"/>
        </w:rPr>
      </w:pPr>
    </w:p>
    <w:p w:rsidR="00301017" w:rsidRPr="00DA5296" w:rsidRDefault="00301017" w:rsidP="00301017">
      <w:pPr>
        <w:pStyle w:val="Heading2"/>
      </w:pPr>
      <w:bookmarkStart w:id="32" w:name="_Toc430008006"/>
      <w:bookmarkStart w:id="33" w:name="_Toc380679757"/>
      <w:bookmarkStart w:id="34" w:name="_Toc380742614"/>
      <w:bookmarkStart w:id="35" w:name="_Toc380746181"/>
      <w:bookmarkStart w:id="36" w:name="_Toc380746307"/>
      <w:bookmarkStart w:id="37" w:name="_Toc380746588"/>
      <w:r w:rsidRPr="00DA5296">
        <w:t>Economic analysis</w:t>
      </w:r>
      <w:bookmarkEnd w:id="32"/>
      <w:r w:rsidRPr="00DA5296">
        <w:t xml:space="preserve"> </w:t>
      </w:r>
      <w:bookmarkEnd w:id="33"/>
      <w:bookmarkEnd w:id="34"/>
      <w:bookmarkEnd w:id="35"/>
      <w:bookmarkEnd w:id="36"/>
      <w:bookmarkEnd w:id="37"/>
    </w:p>
    <w:p w:rsidR="00A94BF7" w:rsidRPr="00A94BF7" w:rsidRDefault="00A94BF7" w:rsidP="00A94BF7"/>
    <w:p w:rsidR="00455D45" w:rsidRPr="00C60068" w:rsidRDefault="000A264B" w:rsidP="00C60068">
      <w:pPr>
        <w:pStyle w:val="PBACHeading1"/>
        <w:numPr>
          <w:ilvl w:val="1"/>
          <w:numId w:val="18"/>
        </w:numPr>
        <w:rPr>
          <w:b w:val="0"/>
        </w:rPr>
      </w:pPr>
      <w:r w:rsidRPr="00C60068">
        <w:rPr>
          <w:b w:val="0"/>
        </w:rPr>
        <w:t xml:space="preserve">The submission did not provide a formal economic analysis. </w:t>
      </w:r>
      <w:r w:rsidR="004F3F89" w:rsidRPr="00C60068">
        <w:rPr>
          <w:b w:val="0"/>
        </w:rPr>
        <w:t>Instead,</w:t>
      </w:r>
      <w:r w:rsidRPr="00C60068">
        <w:rPr>
          <w:b w:val="0"/>
        </w:rPr>
        <w:t xml:space="preserve"> the submission presented a cost-comparison of Nutrini Low Energy Multi Fibre to the comparator</w:t>
      </w:r>
      <w:r w:rsidR="00D86EA4" w:rsidRPr="00C60068">
        <w:rPr>
          <w:b w:val="0"/>
        </w:rPr>
        <w:t xml:space="preserve"> to de</w:t>
      </w:r>
      <w:r w:rsidR="00C60068" w:rsidRPr="00C60068">
        <w:rPr>
          <w:b w:val="0"/>
        </w:rPr>
        <w:t>rive</w:t>
      </w:r>
      <w:r w:rsidR="00D86EA4" w:rsidRPr="00C60068">
        <w:rPr>
          <w:b w:val="0"/>
        </w:rPr>
        <w:t xml:space="preserve"> a suitable price.</w:t>
      </w:r>
      <w:r w:rsidR="00C60068">
        <w:rPr>
          <w:b w:val="0"/>
        </w:rPr>
        <w:t xml:space="preserve"> </w:t>
      </w:r>
    </w:p>
    <w:p w:rsidR="001222FC" w:rsidRDefault="001222FC" w:rsidP="001222FC"/>
    <w:p w:rsidR="00C60068" w:rsidRDefault="00C60068" w:rsidP="00A3795A">
      <w:pPr>
        <w:pStyle w:val="Heading2"/>
      </w:pPr>
      <w:bookmarkStart w:id="38" w:name="_Toc430008007"/>
      <w:r w:rsidRPr="00A3795A">
        <w:t>Drug cost/patient/year</w:t>
      </w:r>
      <w:r w:rsidR="00B94945" w:rsidRPr="00A3795A">
        <w:rPr>
          <w:i/>
        </w:rPr>
        <w:t>:</w:t>
      </w:r>
      <w:bookmarkEnd w:id="38"/>
      <w:r w:rsidR="00ED1815" w:rsidRPr="00283ADA">
        <w:t xml:space="preserve"> $</w:t>
      </w:r>
      <w:r w:rsidR="003F744C">
        <w:rPr>
          <w:noProof/>
          <w:color w:val="000000"/>
          <w:highlight w:val="black"/>
        </w:rPr>
        <w:t>''''''''''''''''''</w:t>
      </w:r>
      <w:r w:rsidR="00ED1815" w:rsidRPr="00283ADA">
        <w:t>.</w:t>
      </w:r>
      <w:r w:rsidR="00ED1815">
        <w:t xml:space="preserve"> </w:t>
      </w:r>
    </w:p>
    <w:p w:rsidR="00C60068" w:rsidRDefault="00C60068" w:rsidP="00674E42"/>
    <w:p w:rsidR="00B94945" w:rsidRPr="006B37D5" w:rsidRDefault="00C60068" w:rsidP="00C60068">
      <w:pPr>
        <w:pStyle w:val="PBACHeading1"/>
        <w:numPr>
          <w:ilvl w:val="1"/>
          <w:numId w:val="18"/>
        </w:numPr>
        <w:rPr>
          <w:b w:val="0"/>
        </w:rPr>
      </w:pPr>
      <w:r>
        <w:rPr>
          <w:b w:val="0"/>
        </w:rPr>
        <w:t>The</w:t>
      </w:r>
      <w:r w:rsidR="00ED1815" w:rsidRPr="00C60068">
        <w:rPr>
          <w:b w:val="0"/>
        </w:rPr>
        <w:t xml:space="preserve"> cost</w:t>
      </w:r>
      <w:r>
        <w:rPr>
          <w:b w:val="0"/>
        </w:rPr>
        <w:t xml:space="preserve"> per patient per year</w:t>
      </w:r>
      <w:r w:rsidR="00ED1815" w:rsidRPr="00C60068">
        <w:rPr>
          <w:b w:val="0"/>
        </w:rPr>
        <w:t xml:space="preserve"> is based on </w:t>
      </w:r>
      <w:r w:rsidR="00A47374">
        <w:rPr>
          <w:b w:val="0"/>
        </w:rPr>
        <w:t xml:space="preserve">a patient receiving the </w:t>
      </w:r>
      <w:r w:rsidR="00B55E01">
        <w:rPr>
          <w:b w:val="0"/>
        </w:rPr>
        <w:t>proposed PBS</w:t>
      </w:r>
      <w:r w:rsidR="00A47374">
        <w:rPr>
          <w:b w:val="0"/>
        </w:rPr>
        <w:t xml:space="preserve"> quantity of 64 cartons each month.</w:t>
      </w:r>
      <w:r w:rsidR="00ED1815" w:rsidRPr="00C60068">
        <w:rPr>
          <w:b w:val="0"/>
        </w:rPr>
        <w:t xml:space="preserve"> </w:t>
      </w:r>
      <w:r w:rsidR="00517732" w:rsidRPr="006B37D5">
        <w:rPr>
          <w:b w:val="0"/>
        </w:rPr>
        <w:t xml:space="preserve">This cost will vary significantly based on the individual patient’s age and energy requirements. </w:t>
      </w:r>
    </w:p>
    <w:p w:rsidR="00B94945" w:rsidRDefault="00B94945" w:rsidP="001222FC"/>
    <w:p w:rsidR="001222FC" w:rsidRPr="00DA5296" w:rsidRDefault="001222FC" w:rsidP="001222FC">
      <w:pPr>
        <w:pStyle w:val="Heading2"/>
      </w:pPr>
      <w:bookmarkStart w:id="39" w:name="_Toc380679758"/>
      <w:bookmarkStart w:id="40" w:name="_Toc380742615"/>
      <w:bookmarkStart w:id="41" w:name="_Toc380746182"/>
      <w:bookmarkStart w:id="42" w:name="_Toc380746308"/>
      <w:bookmarkStart w:id="43" w:name="_Toc380746589"/>
      <w:bookmarkStart w:id="44" w:name="_Toc430008008"/>
      <w:r w:rsidRPr="00DA5296">
        <w:t>Estimated PBS usage and financial implications</w:t>
      </w:r>
      <w:bookmarkEnd w:id="39"/>
      <w:bookmarkEnd w:id="40"/>
      <w:bookmarkEnd w:id="41"/>
      <w:bookmarkEnd w:id="42"/>
      <w:bookmarkEnd w:id="43"/>
      <w:bookmarkEnd w:id="44"/>
    </w:p>
    <w:p w:rsidR="00A94BF7" w:rsidRPr="00A94BF7" w:rsidRDefault="00A94BF7" w:rsidP="00A94BF7"/>
    <w:p w:rsidR="001222FC" w:rsidRDefault="00D86EA4" w:rsidP="00517732">
      <w:pPr>
        <w:pStyle w:val="PBACHeading1"/>
        <w:numPr>
          <w:ilvl w:val="1"/>
          <w:numId w:val="18"/>
        </w:numPr>
        <w:rPr>
          <w:b w:val="0"/>
        </w:rPr>
      </w:pPr>
      <w:r w:rsidRPr="00517732">
        <w:rPr>
          <w:b w:val="0"/>
        </w:rPr>
        <w:t xml:space="preserve">This submission </w:t>
      </w:r>
      <w:r w:rsidR="006B37D5">
        <w:rPr>
          <w:b w:val="0"/>
        </w:rPr>
        <w:t>was</w:t>
      </w:r>
      <w:r w:rsidRPr="00517732">
        <w:rPr>
          <w:b w:val="0"/>
        </w:rPr>
        <w:t xml:space="preserve"> not</w:t>
      </w:r>
      <w:r w:rsidR="00FF3DCF" w:rsidRPr="00517732">
        <w:rPr>
          <w:b w:val="0"/>
        </w:rPr>
        <w:t xml:space="preserve"> considered by DUSC.</w:t>
      </w:r>
    </w:p>
    <w:p w:rsidR="00A94BF7" w:rsidRDefault="00A94BF7" w:rsidP="00A94BF7">
      <w:pPr>
        <w:pStyle w:val="PBACHeading1"/>
        <w:ind w:left="720"/>
        <w:rPr>
          <w:b w:val="0"/>
        </w:rPr>
      </w:pPr>
    </w:p>
    <w:p w:rsidR="009D3AE2" w:rsidRDefault="00756B85" w:rsidP="009D3AE2">
      <w:pPr>
        <w:pStyle w:val="PBACHeading1"/>
        <w:numPr>
          <w:ilvl w:val="1"/>
          <w:numId w:val="18"/>
        </w:numPr>
        <w:rPr>
          <w:b w:val="0"/>
        </w:rPr>
      </w:pPr>
      <w:r>
        <w:rPr>
          <w:b w:val="0"/>
        </w:rPr>
        <w:t>The submission used</w:t>
      </w:r>
      <w:r w:rsidR="007C76E5">
        <w:rPr>
          <w:b w:val="0"/>
        </w:rPr>
        <w:t xml:space="preserve"> a market share approach to estimate the extent of use and financial implication of Nutrini Low Energy Multi Fibre on th</w:t>
      </w:r>
      <w:r>
        <w:rPr>
          <w:b w:val="0"/>
        </w:rPr>
        <w:t>e PBS. The main source of data wa</w:t>
      </w:r>
      <w:r w:rsidR="007C76E5">
        <w:rPr>
          <w:b w:val="0"/>
        </w:rPr>
        <w:t xml:space="preserve">s a survey of Australian dietitians working in children’s hospitals and extrapolated using population data from the Australian Bureau of Statistics. </w:t>
      </w:r>
    </w:p>
    <w:p w:rsidR="00A3795A" w:rsidRDefault="00A3795A" w:rsidP="009D3AE2">
      <w:pPr>
        <w:pStyle w:val="PBACHeading1"/>
        <w:ind w:left="720"/>
        <w:rPr>
          <w:rStyle w:val="CommentReference"/>
          <w:b/>
        </w:rPr>
      </w:pPr>
    </w:p>
    <w:p w:rsidR="00A3795A" w:rsidRPr="00A3795A" w:rsidRDefault="00A3795A" w:rsidP="00A3795A">
      <w:pPr>
        <w:pStyle w:val="Caption"/>
        <w:keepNext/>
        <w:spacing w:after="0"/>
        <w:ind w:firstLine="720"/>
        <w:rPr>
          <w:rFonts w:ascii="Arial Narrow" w:hAnsi="Arial Narrow"/>
          <w:color w:val="auto"/>
          <w:sz w:val="20"/>
        </w:rPr>
      </w:pPr>
      <w:r w:rsidRPr="00A3795A">
        <w:rPr>
          <w:rFonts w:ascii="Arial Narrow" w:hAnsi="Arial Narrow"/>
          <w:color w:val="auto"/>
          <w:sz w:val="20"/>
        </w:rPr>
        <w:t xml:space="preserve">Table </w:t>
      </w:r>
      <w:r w:rsidRPr="00A3795A">
        <w:rPr>
          <w:rFonts w:ascii="Arial Narrow" w:hAnsi="Arial Narrow"/>
          <w:color w:val="auto"/>
          <w:sz w:val="20"/>
        </w:rPr>
        <w:fldChar w:fldCharType="begin"/>
      </w:r>
      <w:r w:rsidRPr="00A3795A">
        <w:rPr>
          <w:rFonts w:ascii="Arial Narrow" w:hAnsi="Arial Narrow"/>
          <w:color w:val="auto"/>
          <w:sz w:val="20"/>
        </w:rPr>
        <w:instrText xml:space="preserve"> SEQ Table \* ARABIC </w:instrText>
      </w:r>
      <w:r w:rsidRPr="00A3795A">
        <w:rPr>
          <w:rFonts w:ascii="Arial Narrow" w:hAnsi="Arial Narrow"/>
          <w:color w:val="auto"/>
          <w:sz w:val="20"/>
        </w:rPr>
        <w:fldChar w:fldCharType="separate"/>
      </w:r>
      <w:r w:rsidR="009C71F9">
        <w:rPr>
          <w:rFonts w:ascii="Arial Narrow" w:hAnsi="Arial Narrow"/>
          <w:noProof/>
          <w:color w:val="auto"/>
          <w:sz w:val="20"/>
        </w:rPr>
        <w:t>3</w:t>
      </w:r>
      <w:r w:rsidRPr="00A3795A">
        <w:rPr>
          <w:rFonts w:ascii="Arial Narrow" w:hAnsi="Arial Narrow"/>
          <w:color w:val="auto"/>
          <w:sz w:val="20"/>
        </w:rPr>
        <w:fldChar w:fldCharType="end"/>
      </w:r>
      <w:r w:rsidRPr="00A3795A">
        <w:rPr>
          <w:rFonts w:ascii="Arial Narrow" w:hAnsi="Arial Narrow"/>
          <w:color w:val="auto"/>
          <w:sz w:val="20"/>
        </w:rPr>
        <w:t>: Estimated use and financial implications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Utilisation estimates and financial implications"/>
      </w:tblPr>
      <w:tblGrid>
        <w:gridCol w:w="1726"/>
        <w:gridCol w:w="1235"/>
        <w:gridCol w:w="1235"/>
        <w:gridCol w:w="1390"/>
        <w:gridCol w:w="1389"/>
        <w:gridCol w:w="1370"/>
      </w:tblGrid>
      <w:tr w:rsidR="00283ADA" w:rsidRPr="00A3795A" w:rsidTr="00A3795A">
        <w:trPr>
          <w:tblHeader/>
        </w:trPr>
        <w:tc>
          <w:tcPr>
            <w:tcW w:w="1034" w:type="pct"/>
            <w:shd w:val="clear" w:color="auto" w:fill="auto"/>
            <w:vAlign w:val="center"/>
          </w:tcPr>
          <w:p w:rsidR="00283ADA" w:rsidRPr="00A3795A" w:rsidRDefault="00283ADA" w:rsidP="007C76E5">
            <w:pPr>
              <w:keepNext/>
              <w:widowControl/>
              <w:tabs>
                <w:tab w:val="left" w:pos="142"/>
              </w:tabs>
              <w:jc w:val="left"/>
              <w:rPr>
                <w:rFonts w:ascii="Arial Narrow" w:hAnsi="Arial Narrow"/>
                <w:b/>
                <w:sz w:val="20"/>
              </w:rPr>
            </w:pPr>
          </w:p>
        </w:tc>
        <w:tc>
          <w:tcPr>
            <w:tcW w:w="740" w:type="pct"/>
            <w:shd w:val="clear" w:color="auto" w:fill="auto"/>
            <w:vAlign w:val="center"/>
          </w:tcPr>
          <w:p w:rsidR="00283ADA" w:rsidRPr="00A3795A" w:rsidRDefault="00283ADA" w:rsidP="007C76E5">
            <w:pPr>
              <w:keepNext/>
              <w:widowControl/>
              <w:jc w:val="center"/>
              <w:rPr>
                <w:rFonts w:ascii="Arial Narrow" w:hAnsi="Arial Narrow"/>
                <w:b/>
                <w:sz w:val="20"/>
              </w:rPr>
            </w:pPr>
            <w:r w:rsidRPr="00A3795A">
              <w:rPr>
                <w:rFonts w:ascii="Arial Narrow" w:hAnsi="Arial Narrow"/>
                <w:b/>
                <w:sz w:val="20"/>
              </w:rPr>
              <w:t>Year 1</w:t>
            </w:r>
          </w:p>
        </w:tc>
        <w:tc>
          <w:tcPr>
            <w:tcW w:w="740" w:type="pct"/>
            <w:shd w:val="clear" w:color="auto" w:fill="auto"/>
            <w:vAlign w:val="center"/>
          </w:tcPr>
          <w:p w:rsidR="00283ADA" w:rsidRPr="00A3795A" w:rsidRDefault="00283ADA" w:rsidP="007C76E5">
            <w:pPr>
              <w:keepNext/>
              <w:widowControl/>
              <w:jc w:val="center"/>
              <w:rPr>
                <w:rFonts w:ascii="Arial Narrow" w:hAnsi="Arial Narrow"/>
                <w:b/>
                <w:sz w:val="20"/>
              </w:rPr>
            </w:pPr>
            <w:r w:rsidRPr="00A3795A">
              <w:rPr>
                <w:rFonts w:ascii="Arial Narrow" w:hAnsi="Arial Narrow"/>
                <w:b/>
                <w:sz w:val="20"/>
              </w:rPr>
              <w:t>Year 2</w:t>
            </w:r>
          </w:p>
        </w:tc>
        <w:tc>
          <w:tcPr>
            <w:tcW w:w="833" w:type="pct"/>
            <w:shd w:val="clear" w:color="auto" w:fill="auto"/>
            <w:vAlign w:val="center"/>
          </w:tcPr>
          <w:p w:rsidR="00283ADA" w:rsidRPr="00A3795A" w:rsidRDefault="00283ADA" w:rsidP="007C76E5">
            <w:pPr>
              <w:keepNext/>
              <w:widowControl/>
              <w:jc w:val="center"/>
              <w:rPr>
                <w:rFonts w:ascii="Arial Narrow" w:hAnsi="Arial Narrow"/>
                <w:b/>
                <w:sz w:val="20"/>
              </w:rPr>
            </w:pPr>
            <w:r w:rsidRPr="00A3795A">
              <w:rPr>
                <w:rFonts w:ascii="Arial Narrow" w:hAnsi="Arial Narrow"/>
                <w:b/>
                <w:sz w:val="20"/>
              </w:rPr>
              <w:t>Year 3</w:t>
            </w:r>
          </w:p>
        </w:tc>
        <w:tc>
          <w:tcPr>
            <w:tcW w:w="832" w:type="pct"/>
            <w:shd w:val="clear" w:color="auto" w:fill="auto"/>
            <w:vAlign w:val="center"/>
          </w:tcPr>
          <w:p w:rsidR="00283ADA" w:rsidRPr="00A3795A" w:rsidRDefault="00283ADA" w:rsidP="007C76E5">
            <w:pPr>
              <w:keepNext/>
              <w:widowControl/>
              <w:jc w:val="center"/>
              <w:rPr>
                <w:rFonts w:ascii="Arial Narrow" w:hAnsi="Arial Narrow"/>
                <w:b/>
                <w:sz w:val="20"/>
              </w:rPr>
            </w:pPr>
            <w:r w:rsidRPr="00A3795A">
              <w:rPr>
                <w:rFonts w:ascii="Arial Narrow" w:hAnsi="Arial Narrow"/>
                <w:b/>
                <w:sz w:val="20"/>
              </w:rPr>
              <w:t>Year 4</w:t>
            </w:r>
          </w:p>
        </w:tc>
        <w:tc>
          <w:tcPr>
            <w:tcW w:w="821" w:type="pct"/>
            <w:shd w:val="clear" w:color="auto" w:fill="auto"/>
            <w:vAlign w:val="center"/>
          </w:tcPr>
          <w:p w:rsidR="00283ADA" w:rsidRPr="00A3795A" w:rsidRDefault="00283ADA" w:rsidP="007C76E5">
            <w:pPr>
              <w:keepNext/>
              <w:widowControl/>
              <w:jc w:val="center"/>
              <w:rPr>
                <w:rFonts w:ascii="Arial Narrow" w:hAnsi="Arial Narrow"/>
                <w:b/>
                <w:sz w:val="20"/>
              </w:rPr>
            </w:pPr>
            <w:r w:rsidRPr="00A3795A">
              <w:rPr>
                <w:rFonts w:ascii="Arial Narrow" w:hAnsi="Arial Narrow"/>
                <w:b/>
                <w:sz w:val="20"/>
              </w:rPr>
              <w:t>Year 5</w:t>
            </w:r>
          </w:p>
        </w:tc>
      </w:tr>
      <w:tr w:rsidR="00283ADA" w:rsidRPr="00A3795A" w:rsidTr="00A3795A">
        <w:tc>
          <w:tcPr>
            <w:tcW w:w="1034" w:type="pct"/>
            <w:shd w:val="clear" w:color="auto" w:fill="auto"/>
            <w:vAlign w:val="center"/>
          </w:tcPr>
          <w:p w:rsidR="00283ADA" w:rsidRPr="00A3795A" w:rsidRDefault="00283ADA" w:rsidP="007C76E5">
            <w:pPr>
              <w:keepNext/>
              <w:widowControl/>
              <w:jc w:val="left"/>
              <w:rPr>
                <w:rFonts w:ascii="Arial Narrow" w:hAnsi="Arial Narrow"/>
                <w:b/>
                <w:bCs/>
                <w:color w:val="000000"/>
                <w:sz w:val="20"/>
              </w:rPr>
            </w:pPr>
            <w:r w:rsidRPr="00A3795A">
              <w:rPr>
                <w:rFonts w:ascii="Arial Narrow" w:hAnsi="Arial Narrow"/>
                <w:b/>
                <w:bCs/>
                <w:color w:val="000000"/>
                <w:sz w:val="20"/>
              </w:rPr>
              <w:t>Estimated population</w:t>
            </w:r>
          </w:p>
        </w:tc>
        <w:tc>
          <w:tcPr>
            <w:tcW w:w="740" w:type="pct"/>
            <w:shd w:val="clear" w:color="auto" w:fill="auto"/>
            <w:vAlign w:val="center"/>
          </w:tcPr>
          <w:p w:rsidR="00283ADA" w:rsidRPr="00A3795A" w:rsidRDefault="003F744C" w:rsidP="007C76E5">
            <w:pPr>
              <w:keepNext/>
              <w:widowControl/>
              <w:jc w:val="center"/>
              <w:rPr>
                <w:rFonts w:ascii="Arial Narrow" w:hAnsi="Arial Narrow"/>
                <w:bCs/>
                <w:color w:val="000000"/>
                <w:sz w:val="20"/>
                <w:highlight w:val="black"/>
              </w:rPr>
            </w:pPr>
            <w:r w:rsidRPr="00A3795A">
              <w:rPr>
                <w:rFonts w:ascii="Arial Narrow" w:hAnsi="Arial Narrow"/>
                <w:bCs/>
                <w:noProof/>
                <w:color w:val="000000"/>
                <w:sz w:val="20"/>
                <w:highlight w:val="black"/>
              </w:rPr>
              <w:t>'''''''''</w:t>
            </w:r>
          </w:p>
        </w:tc>
        <w:tc>
          <w:tcPr>
            <w:tcW w:w="740" w:type="pct"/>
            <w:shd w:val="clear" w:color="auto" w:fill="auto"/>
            <w:vAlign w:val="center"/>
          </w:tcPr>
          <w:p w:rsidR="00283ADA" w:rsidRPr="00A3795A" w:rsidRDefault="003F744C" w:rsidP="007C76E5">
            <w:pPr>
              <w:keepNext/>
              <w:widowControl/>
              <w:jc w:val="center"/>
              <w:rPr>
                <w:rFonts w:ascii="Arial Narrow" w:hAnsi="Arial Narrow"/>
                <w:bCs/>
                <w:color w:val="000000"/>
                <w:sz w:val="20"/>
                <w:highlight w:val="black"/>
              </w:rPr>
            </w:pPr>
            <w:r w:rsidRPr="00A3795A">
              <w:rPr>
                <w:rFonts w:ascii="Arial Narrow" w:hAnsi="Arial Narrow"/>
                <w:bCs/>
                <w:noProof/>
                <w:color w:val="000000"/>
                <w:sz w:val="20"/>
                <w:highlight w:val="black"/>
              </w:rPr>
              <w:t>'''''''''</w:t>
            </w:r>
          </w:p>
        </w:tc>
        <w:tc>
          <w:tcPr>
            <w:tcW w:w="833" w:type="pct"/>
            <w:shd w:val="clear" w:color="auto" w:fill="auto"/>
            <w:vAlign w:val="center"/>
          </w:tcPr>
          <w:p w:rsidR="00283ADA" w:rsidRPr="00A3795A" w:rsidRDefault="003F744C" w:rsidP="007C76E5">
            <w:pPr>
              <w:keepNext/>
              <w:widowControl/>
              <w:jc w:val="center"/>
              <w:rPr>
                <w:rFonts w:ascii="Arial Narrow" w:hAnsi="Arial Narrow"/>
                <w:bCs/>
                <w:color w:val="000000"/>
                <w:sz w:val="20"/>
                <w:highlight w:val="black"/>
              </w:rPr>
            </w:pPr>
            <w:r w:rsidRPr="00A3795A">
              <w:rPr>
                <w:rFonts w:ascii="Arial Narrow" w:hAnsi="Arial Narrow"/>
                <w:bCs/>
                <w:noProof/>
                <w:color w:val="000000"/>
                <w:sz w:val="20"/>
                <w:highlight w:val="black"/>
              </w:rPr>
              <w:t>'''''''''</w:t>
            </w:r>
          </w:p>
        </w:tc>
        <w:tc>
          <w:tcPr>
            <w:tcW w:w="832" w:type="pct"/>
            <w:shd w:val="clear" w:color="auto" w:fill="auto"/>
            <w:vAlign w:val="center"/>
          </w:tcPr>
          <w:p w:rsidR="00283ADA" w:rsidRPr="00A3795A" w:rsidRDefault="003F744C" w:rsidP="007C76E5">
            <w:pPr>
              <w:keepNext/>
              <w:widowControl/>
              <w:jc w:val="center"/>
              <w:rPr>
                <w:rFonts w:ascii="Arial Narrow" w:hAnsi="Arial Narrow"/>
                <w:bCs/>
                <w:color w:val="000000"/>
                <w:sz w:val="20"/>
                <w:highlight w:val="black"/>
              </w:rPr>
            </w:pPr>
            <w:r w:rsidRPr="00A3795A">
              <w:rPr>
                <w:rFonts w:ascii="Arial Narrow" w:hAnsi="Arial Narrow"/>
                <w:bCs/>
                <w:noProof/>
                <w:color w:val="000000"/>
                <w:sz w:val="20"/>
                <w:highlight w:val="black"/>
              </w:rPr>
              <w:t>'''''''''</w:t>
            </w:r>
          </w:p>
        </w:tc>
        <w:tc>
          <w:tcPr>
            <w:tcW w:w="821" w:type="pct"/>
            <w:shd w:val="clear" w:color="auto" w:fill="auto"/>
            <w:vAlign w:val="center"/>
          </w:tcPr>
          <w:p w:rsidR="00283ADA" w:rsidRPr="00A3795A" w:rsidRDefault="003F744C" w:rsidP="007C76E5">
            <w:pPr>
              <w:keepNext/>
              <w:widowControl/>
              <w:jc w:val="center"/>
              <w:rPr>
                <w:rFonts w:ascii="Arial Narrow" w:hAnsi="Arial Narrow"/>
                <w:bCs/>
                <w:color w:val="000000"/>
                <w:sz w:val="20"/>
                <w:highlight w:val="black"/>
              </w:rPr>
            </w:pPr>
            <w:r w:rsidRPr="00A3795A">
              <w:rPr>
                <w:rFonts w:ascii="Arial Narrow" w:hAnsi="Arial Narrow"/>
                <w:bCs/>
                <w:noProof/>
                <w:color w:val="000000"/>
                <w:sz w:val="20"/>
                <w:highlight w:val="black"/>
              </w:rPr>
              <w:t>'''''''''</w:t>
            </w:r>
          </w:p>
        </w:tc>
      </w:tr>
      <w:tr w:rsidR="00283ADA" w:rsidRPr="00A3795A" w:rsidTr="007C76E5">
        <w:tc>
          <w:tcPr>
            <w:tcW w:w="5000" w:type="pct"/>
            <w:gridSpan w:val="6"/>
            <w:shd w:val="clear" w:color="auto" w:fill="auto"/>
            <w:vAlign w:val="center"/>
          </w:tcPr>
          <w:p w:rsidR="00283ADA" w:rsidRPr="00A3795A" w:rsidRDefault="00283ADA" w:rsidP="007C76E5">
            <w:pPr>
              <w:keepNext/>
              <w:widowControl/>
              <w:jc w:val="left"/>
              <w:rPr>
                <w:rFonts w:ascii="Arial Narrow" w:hAnsi="Arial Narrow"/>
                <w:b/>
                <w:bCs/>
                <w:color w:val="000000"/>
                <w:sz w:val="20"/>
              </w:rPr>
            </w:pPr>
            <w:r w:rsidRPr="00A3795A">
              <w:rPr>
                <w:rFonts w:ascii="Arial Narrow" w:hAnsi="Arial Narrow"/>
                <w:b/>
                <w:bCs/>
                <w:color w:val="000000"/>
                <w:sz w:val="20"/>
              </w:rPr>
              <w:t>Estimated extent of use</w:t>
            </w:r>
          </w:p>
        </w:tc>
      </w:tr>
      <w:tr w:rsidR="00283ADA" w:rsidRPr="00A3795A" w:rsidTr="00A3795A">
        <w:tc>
          <w:tcPr>
            <w:tcW w:w="1034" w:type="pct"/>
            <w:shd w:val="clear" w:color="auto" w:fill="auto"/>
            <w:vAlign w:val="center"/>
          </w:tcPr>
          <w:p w:rsidR="00283ADA" w:rsidRPr="00A3795A" w:rsidRDefault="00283ADA" w:rsidP="007C76E5">
            <w:pPr>
              <w:keepNext/>
              <w:widowControl/>
              <w:tabs>
                <w:tab w:val="left" w:pos="142"/>
              </w:tabs>
              <w:jc w:val="left"/>
              <w:rPr>
                <w:rFonts w:ascii="Arial Narrow" w:hAnsi="Arial Narrow"/>
                <w:sz w:val="20"/>
              </w:rPr>
            </w:pPr>
            <w:r w:rsidRPr="00A3795A">
              <w:rPr>
                <w:rFonts w:ascii="Arial Narrow" w:hAnsi="Arial Narrow"/>
                <w:sz w:val="20"/>
              </w:rPr>
              <w:t>Uptake rate</w:t>
            </w:r>
          </w:p>
        </w:tc>
        <w:tc>
          <w:tcPr>
            <w:tcW w:w="740" w:type="pct"/>
            <w:shd w:val="clear" w:color="auto" w:fill="auto"/>
            <w:vAlign w:val="center"/>
          </w:tcPr>
          <w:p w:rsidR="00283ADA" w:rsidRPr="00A3795A" w:rsidRDefault="00283ADA" w:rsidP="007C76E5">
            <w:pPr>
              <w:keepNext/>
              <w:widowControl/>
              <w:jc w:val="center"/>
              <w:rPr>
                <w:rFonts w:ascii="Arial Narrow" w:hAnsi="Arial Narrow"/>
                <w:bCs/>
                <w:color w:val="000000"/>
                <w:sz w:val="20"/>
              </w:rPr>
            </w:pPr>
            <w:r w:rsidRPr="00A3795A">
              <w:rPr>
                <w:rFonts w:ascii="Arial Narrow" w:hAnsi="Arial Narrow"/>
                <w:bCs/>
                <w:color w:val="000000"/>
                <w:sz w:val="20"/>
              </w:rPr>
              <w:t>30%</w:t>
            </w:r>
          </w:p>
        </w:tc>
        <w:tc>
          <w:tcPr>
            <w:tcW w:w="740" w:type="pct"/>
            <w:shd w:val="clear" w:color="auto" w:fill="auto"/>
            <w:vAlign w:val="center"/>
          </w:tcPr>
          <w:p w:rsidR="00283ADA" w:rsidRPr="00A3795A" w:rsidRDefault="00283ADA" w:rsidP="007C76E5">
            <w:pPr>
              <w:keepNext/>
              <w:widowControl/>
              <w:jc w:val="center"/>
              <w:rPr>
                <w:rFonts w:ascii="Arial Narrow" w:hAnsi="Arial Narrow"/>
                <w:bCs/>
                <w:color w:val="000000"/>
                <w:sz w:val="20"/>
              </w:rPr>
            </w:pPr>
            <w:r w:rsidRPr="00A3795A">
              <w:rPr>
                <w:rFonts w:ascii="Arial Narrow" w:hAnsi="Arial Narrow"/>
                <w:bCs/>
                <w:color w:val="000000"/>
                <w:sz w:val="20"/>
              </w:rPr>
              <w:t>50%</w:t>
            </w:r>
          </w:p>
        </w:tc>
        <w:tc>
          <w:tcPr>
            <w:tcW w:w="833" w:type="pct"/>
            <w:shd w:val="clear" w:color="auto" w:fill="auto"/>
            <w:vAlign w:val="center"/>
          </w:tcPr>
          <w:p w:rsidR="00283ADA" w:rsidRPr="00A3795A" w:rsidRDefault="00283ADA" w:rsidP="007C76E5">
            <w:pPr>
              <w:keepNext/>
              <w:widowControl/>
              <w:jc w:val="center"/>
              <w:rPr>
                <w:rFonts w:ascii="Arial Narrow" w:hAnsi="Arial Narrow"/>
                <w:bCs/>
                <w:color w:val="000000"/>
                <w:sz w:val="20"/>
              </w:rPr>
            </w:pPr>
            <w:r w:rsidRPr="00A3795A">
              <w:rPr>
                <w:rFonts w:ascii="Arial Narrow" w:hAnsi="Arial Narrow"/>
                <w:bCs/>
                <w:color w:val="000000"/>
                <w:sz w:val="20"/>
              </w:rPr>
              <w:t>65%</w:t>
            </w:r>
          </w:p>
        </w:tc>
        <w:tc>
          <w:tcPr>
            <w:tcW w:w="832" w:type="pct"/>
            <w:shd w:val="clear" w:color="auto" w:fill="auto"/>
            <w:vAlign w:val="center"/>
          </w:tcPr>
          <w:p w:rsidR="00283ADA" w:rsidRPr="00A3795A" w:rsidRDefault="00283ADA" w:rsidP="007C76E5">
            <w:pPr>
              <w:keepNext/>
              <w:widowControl/>
              <w:jc w:val="center"/>
              <w:rPr>
                <w:rFonts w:ascii="Arial Narrow" w:hAnsi="Arial Narrow"/>
                <w:bCs/>
                <w:color w:val="000000"/>
                <w:sz w:val="20"/>
              </w:rPr>
            </w:pPr>
            <w:r w:rsidRPr="00A3795A">
              <w:rPr>
                <w:rFonts w:ascii="Arial Narrow" w:hAnsi="Arial Narrow"/>
                <w:bCs/>
                <w:color w:val="000000"/>
                <w:sz w:val="20"/>
              </w:rPr>
              <w:t>80%</w:t>
            </w:r>
          </w:p>
        </w:tc>
        <w:tc>
          <w:tcPr>
            <w:tcW w:w="821" w:type="pct"/>
            <w:shd w:val="clear" w:color="auto" w:fill="auto"/>
            <w:vAlign w:val="center"/>
          </w:tcPr>
          <w:p w:rsidR="00283ADA" w:rsidRPr="00A3795A" w:rsidRDefault="00283ADA" w:rsidP="007C76E5">
            <w:pPr>
              <w:keepNext/>
              <w:widowControl/>
              <w:jc w:val="center"/>
              <w:rPr>
                <w:rFonts w:ascii="Arial Narrow" w:hAnsi="Arial Narrow"/>
                <w:bCs/>
                <w:color w:val="000000"/>
                <w:sz w:val="20"/>
              </w:rPr>
            </w:pPr>
            <w:r w:rsidRPr="00A3795A">
              <w:rPr>
                <w:rFonts w:ascii="Arial Narrow" w:hAnsi="Arial Narrow"/>
                <w:bCs/>
                <w:color w:val="000000"/>
                <w:sz w:val="20"/>
              </w:rPr>
              <w:t>90%</w:t>
            </w:r>
          </w:p>
        </w:tc>
      </w:tr>
      <w:tr w:rsidR="00283ADA" w:rsidRPr="00A3795A" w:rsidTr="00A3795A">
        <w:tc>
          <w:tcPr>
            <w:tcW w:w="1034" w:type="pct"/>
            <w:shd w:val="clear" w:color="auto" w:fill="auto"/>
            <w:vAlign w:val="center"/>
          </w:tcPr>
          <w:p w:rsidR="00283ADA" w:rsidRPr="00A3795A" w:rsidRDefault="00283ADA" w:rsidP="007C76E5">
            <w:pPr>
              <w:keepNext/>
              <w:widowControl/>
              <w:tabs>
                <w:tab w:val="left" w:pos="142"/>
              </w:tabs>
              <w:jc w:val="left"/>
              <w:rPr>
                <w:rFonts w:ascii="Arial Narrow" w:hAnsi="Arial Narrow"/>
                <w:sz w:val="20"/>
              </w:rPr>
            </w:pPr>
            <w:r w:rsidRPr="00A3795A">
              <w:rPr>
                <w:rFonts w:ascii="Arial Narrow" w:hAnsi="Arial Narrow"/>
                <w:sz w:val="20"/>
              </w:rPr>
              <w:t>Number treated</w:t>
            </w:r>
          </w:p>
        </w:tc>
        <w:tc>
          <w:tcPr>
            <w:tcW w:w="740" w:type="pct"/>
            <w:shd w:val="clear" w:color="auto" w:fill="auto"/>
            <w:vAlign w:val="center"/>
          </w:tcPr>
          <w:p w:rsidR="00283ADA" w:rsidRPr="00A3795A" w:rsidRDefault="003F744C" w:rsidP="007C76E5">
            <w:pPr>
              <w:keepNext/>
              <w:widowControl/>
              <w:jc w:val="center"/>
              <w:rPr>
                <w:rFonts w:ascii="Arial Narrow" w:hAnsi="Arial Narrow"/>
                <w:bCs/>
                <w:color w:val="000000"/>
                <w:sz w:val="20"/>
                <w:highlight w:val="black"/>
              </w:rPr>
            </w:pPr>
            <w:r w:rsidRPr="00A3795A">
              <w:rPr>
                <w:rFonts w:ascii="Arial Narrow" w:hAnsi="Arial Narrow"/>
                <w:noProof/>
                <w:color w:val="000000"/>
                <w:sz w:val="20"/>
                <w:highlight w:val="black"/>
              </w:rPr>
              <w:t>'''''''</w:t>
            </w:r>
          </w:p>
        </w:tc>
        <w:tc>
          <w:tcPr>
            <w:tcW w:w="740" w:type="pct"/>
            <w:shd w:val="clear" w:color="auto" w:fill="auto"/>
            <w:vAlign w:val="center"/>
          </w:tcPr>
          <w:p w:rsidR="00283ADA" w:rsidRPr="00A3795A" w:rsidRDefault="003F744C" w:rsidP="007C76E5">
            <w:pPr>
              <w:keepNext/>
              <w:widowControl/>
              <w:jc w:val="center"/>
              <w:rPr>
                <w:rFonts w:ascii="Arial Narrow" w:hAnsi="Arial Narrow"/>
                <w:bCs/>
                <w:color w:val="000000"/>
                <w:sz w:val="20"/>
                <w:highlight w:val="black"/>
              </w:rPr>
            </w:pPr>
            <w:r w:rsidRPr="00A3795A">
              <w:rPr>
                <w:rFonts w:ascii="Arial Narrow" w:hAnsi="Arial Narrow"/>
                <w:noProof/>
                <w:color w:val="000000"/>
                <w:sz w:val="20"/>
                <w:highlight w:val="black"/>
              </w:rPr>
              <w:t>'''''</w:t>
            </w:r>
          </w:p>
        </w:tc>
        <w:tc>
          <w:tcPr>
            <w:tcW w:w="833" w:type="pct"/>
            <w:shd w:val="clear" w:color="auto" w:fill="auto"/>
            <w:vAlign w:val="center"/>
          </w:tcPr>
          <w:p w:rsidR="00283ADA" w:rsidRPr="00A3795A" w:rsidRDefault="003F744C" w:rsidP="007C76E5">
            <w:pPr>
              <w:keepNext/>
              <w:widowControl/>
              <w:jc w:val="center"/>
              <w:rPr>
                <w:rFonts w:ascii="Arial Narrow" w:hAnsi="Arial Narrow"/>
                <w:bCs/>
                <w:color w:val="000000"/>
                <w:sz w:val="20"/>
                <w:highlight w:val="black"/>
              </w:rPr>
            </w:pPr>
            <w:r w:rsidRPr="00A3795A">
              <w:rPr>
                <w:rFonts w:ascii="Arial Narrow" w:hAnsi="Arial Narrow"/>
                <w:noProof/>
                <w:color w:val="000000"/>
                <w:sz w:val="20"/>
                <w:highlight w:val="black"/>
              </w:rPr>
              <w:t>'''''</w:t>
            </w:r>
          </w:p>
        </w:tc>
        <w:tc>
          <w:tcPr>
            <w:tcW w:w="832" w:type="pct"/>
            <w:shd w:val="clear" w:color="auto" w:fill="auto"/>
            <w:vAlign w:val="center"/>
          </w:tcPr>
          <w:p w:rsidR="00283ADA" w:rsidRPr="00A3795A" w:rsidRDefault="003F744C" w:rsidP="007C76E5">
            <w:pPr>
              <w:keepNext/>
              <w:widowControl/>
              <w:jc w:val="center"/>
              <w:rPr>
                <w:rFonts w:ascii="Arial Narrow" w:hAnsi="Arial Narrow"/>
                <w:bCs/>
                <w:color w:val="000000"/>
                <w:sz w:val="20"/>
                <w:highlight w:val="black"/>
              </w:rPr>
            </w:pPr>
            <w:r w:rsidRPr="00A3795A">
              <w:rPr>
                <w:rFonts w:ascii="Arial Narrow" w:hAnsi="Arial Narrow"/>
                <w:noProof/>
                <w:color w:val="000000"/>
                <w:sz w:val="20"/>
                <w:highlight w:val="black"/>
              </w:rPr>
              <w:t>'''''''''</w:t>
            </w:r>
          </w:p>
        </w:tc>
        <w:tc>
          <w:tcPr>
            <w:tcW w:w="821" w:type="pct"/>
            <w:shd w:val="clear" w:color="auto" w:fill="auto"/>
            <w:vAlign w:val="center"/>
          </w:tcPr>
          <w:p w:rsidR="00283ADA" w:rsidRPr="00A3795A" w:rsidRDefault="003F744C" w:rsidP="007C76E5">
            <w:pPr>
              <w:keepNext/>
              <w:widowControl/>
              <w:jc w:val="center"/>
              <w:rPr>
                <w:rFonts w:ascii="Arial Narrow" w:hAnsi="Arial Narrow"/>
                <w:bCs/>
                <w:color w:val="000000"/>
                <w:sz w:val="20"/>
                <w:highlight w:val="black"/>
              </w:rPr>
            </w:pPr>
            <w:r w:rsidRPr="00A3795A">
              <w:rPr>
                <w:rFonts w:ascii="Arial Narrow" w:hAnsi="Arial Narrow"/>
                <w:noProof/>
                <w:color w:val="000000"/>
                <w:sz w:val="20"/>
                <w:highlight w:val="black"/>
              </w:rPr>
              <w:t>''''''''''</w:t>
            </w:r>
          </w:p>
        </w:tc>
      </w:tr>
      <w:tr w:rsidR="00283ADA" w:rsidRPr="00A3795A" w:rsidTr="00A3795A">
        <w:tc>
          <w:tcPr>
            <w:tcW w:w="1034" w:type="pct"/>
            <w:shd w:val="clear" w:color="auto" w:fill="auto"/>
            <w:vAlign w:val="center"/>
          </w:tcPr>
          <w:p w:rsidR="00283ADA" w:rsidRPr="00A3795A" w:rsidRDefault="00283ADA" w:rsidP="007C76E5">
            <w:pPr>
              <w:keepNext/>
              <w:widowControl/>
              <w:tabs>
                <w:tab w:val="left" w:pos="142"/>
              </w:tabs>
              <w:jc w:val="left"/>
              <w:rPr>
                <w:rFonts w:ascii="Arial Narrow" w:hAnsi="Arial Narrow"/>
                <w:sz w:val="20"/>
              </w:rPr>
            </w:pPr>
            <w:r w:rsidRPr="00A3795A">
              <w:rPr>
                <w:rFonts w:ascii="Arial Narrow" w:hAnsi="Arial Narrow"/>
                <w:sz w:val="20"/>
              </w:rPr>
              <w:t>Total number of packs*</w:t>
            </w:r>
          </w:p>
        </w:tc>
        <w:tc>
          <w:tcPr>
            <w:tcW w:w="740" w:type="pct"/>
            <w:shd w:val="clear" w:color="auto" w:fill="auto"/>
            <w:vAlign w:val="center"/>
          </w:tcPr>
          <w:p w:rsidR="00283ADA" w:rsidRPr="00A3795A" w:rsidRDefault="003F744C" w:rsidP="007C76E5">
            <w:pPr>
              <w:keepNext/>
              <w:widowControl/>
              <w:jc w:val="center"/>
              <w:rPr>
                <w:rFonts w:ascii="Arial Narrow" w:hAnsi="Arial Narrow"/>
                <w:bCs/>
                <w:color w:val="000000"/>
                <w:sz w:val="20"/>
                <w:highlight w:val="black"/>
              </w:rPr>
            </w:pPr>
            <w:r w:rsidRPr="00A3795A">
              <w:rPr>
                <w:rFonts w:ascii="Arial Narrow" w:hAnsi="Arial Narrow"/>
                <w:bCs/>
                <w:noProof/>
                <w:color w:val="000000"/>
                <w:sz w:val="20"/>
                <w:highlight w:val="black"/>
              </w:rPr>
              <w:t>'''''''''''''''''</w:t>
            </w:r>
          </w:p>
        </w:tc>
        <w:tc>
          <w:tcPr>
            <w:tcW w:w="740" w:type="pct"/>
            <w:shd w:val="clear" w:color="auto" w:fill="auto"/>
            <w:vAlign w:val="center"/>
          </w:tcPr>
          <w:p w:rsidR="00283ADA" w:rsidRPr="00A3795A" w:rsidRDefault="003F744C" w:rsidP="007C76E5">
            <w:pPr>
              <w:keepNext/>
              <w:widowControl/>
              <w:jc w:val="center"/>
              <w:rPr>
                <w:rFonts w:ascii="Arial Narrow" w:hAnsi="Arial Narrow"/>
                <w:bCs/>
                <w:color w:val="000000"/>
                <w:sz w:val="20"/>
                <w:highlight w:val="black"/>
              </w:rPr>
            </w:pPr>
            <w:r w:rsidRPr="00A3795A">
              <w:rPr>
                <w:rFonts w:ascii="Arial Narrow" w:hAnsi="Arial Narrow"/>
                <w:bCs/>
                <w:noProof/>
                <w:color w:val="000000"/>
                <w:sz w:val="20"/>
                <w:highlight w:val="black"/>
              </w:rPr>
              <w:t>'''''''''''''''</w:t>
            </w:r>
          </w:p>
        </w:tc>
        <w:tc>
          <w:tcPr>
            <w:tcW w:w="833" w:type="pct"/>
            <w:shd w:val="clear" w:color="auto" w:fill="auto"/>
            <w:vAlign w:val="center"/>
          </w:tcPr>
          <w:p w:rsidR="00283ADA" w:rsidRPr="00A3795A" w:rsidRDefault="003F744C" w:rsidP="007C76E5">
            <w:pPr>
              <w:keepNext/>
              <w:widowControl/>
              <w:jc w:val="center"/>
              <w:rPr>
                <w:rFonts w:ascii="Arial Narrow" w:hAnsi="Arial Narrow"/>
                <w:bCs/>
                <w:color w:val="000000"/>
                <w:sz w:val="20"/>
                <w:highlight w:val="black"/>
              </w:rPr>
            </w:pPr>
            <w:r w:rsidRPr="00A3795A">
              <w:rPr>
                <w:rFonts w:ascii="Arial Narrow" w:hAnsi="Arial Narrow"/>
                <w:bCs/>
                <w:noProof/>
                <w:color w:val="000000"/>
                <w:sz w:val="20"/>
                <w:highlight w:val="black"/>
              </w:rPr>
              <w:t>'''''''''''''''''</w:t>
            </w:r>
          </w:p>
        </w:tc>
        <w:tc>
          <w:tcPr>
            <w:tcW w:w="832" w:type="pct"/>
            <w:shd w:val="clear" w:color="auto" w:fill="auto"/>
            <w:vAlign w:val="center"/>
          </w:tcPr>
          <w:p w:rsidR="00283ADA" w:rsidRPr="00A3795A" w:rsidRDefault="003F744C" w:rsidP="007C76E5">
            <w:pPr>
              <w:keepNext/>
              <w:widowControl/>
              <w:jc w:val="center"/>
              <w:rPr>
                <w:rFonts w:ascii="Arial Narrow" w:hAnsi="Arial Narrow"/>
                <w:bCs/>
                <w:color w:val="000000"/>
                <w:sz w:val="20"/>
                <w:highlight w:val="black"/>
              </w:rPr>
            </w:pPr>
            <w:r w:rsidRPr="00A3795A">
              <w:rPr>
                <w:rFonts w:ascii="Arial Narrow" w:hAnsi="Arial Narrow"/>
                <w:bCs/>
                <w:noProof/>
                <w:color w:val="000000"/>
                <w:sz w:val="20"/>
                <w:highlight w:val="black"/>
              </w:rPr>
              <w:t>''''''''''''''''</w:t>
            </w:r>
          </w:p>
        </w:tc>
        <w:tc>
          <w:tcPr>
            <w:tcW w:w="821" w:type="pct"/>
            <w:shd w:val="clear" w:color="auto" w:fill="auto"/>
            <w:vAlign w:val="center"/>
          </w:tcPr>
          <w:p w:rsidR="00283ADA" w:rsidRPr="00A3795A" w:rsidRDefault="003F744C" w:rsidP="007C76E5">
            <w:pPr>
              <w:keepNext/>
              <w:widowControl/>
              <w:jc w:val="center"/>
              <w:rPr>
                <w:rFonts w:ascii="Arial Narrow" w:hAnsi="Arial Narrow"/>
                <w:bCs/>
                <w:color w:val="000000"/>
                <w:sz w:val="20"/>
                <w:highlight w:val="black"/>
              </w:rPr>
            </w:pPr>
            <w:r w:rsidRPr="00A3795A">
              <w:rPr>
                <w:rFonts w:ascii="Arial Narrow" w:hAnsi="Arial Narrow"/>
                <w:bCs/>
                <w:noProof/>
                <w:color w:val="000000"/>
                <w:sz w:val="20"/>
                <w:highlight w:val="black"/>
              </w:rPr>
              <w:t>''''''''''''''''''</w:t>
            </w:r>
          </w:p>
        </w:tc>
      </w:tr>
      <w:tr w:rsidR="00283ADA" w:rsidRPr="00A3795A" w:rsidTr="007C76E5">
        <w:tc>
          <w:tcPr>
            <w:tcW w:w="5000" w:type="pct"/>
            <w:gridSpan w:val="6"/>
            <w:shd w:val="clear" w:color="auto" w:fill="auto"/>
            <w:vAlign w:val="center"/>
          </w:tcPr>
          <w:p w:rsidR="00283ADA" w:rsidRPr="00A3795A" w:rsidRDefault="00283ADA" w:rsidP="007C76E5">
            <w:pPr>
              <w:keepNext/>
              <w:widowControl/>
              <w:jc w:val="left"/>
              <w:rPr>
                <w:rFonts w:ascii="Arial Narrow" w:hAnsi="Arial Narrow"/>
                <w:b/>
                <w:bCs/>
                <w:color w:val="000000"/>
                <w:sz w:val="20"/>
              </w:rPr>
            </w:pPr>
            <w:r w:rsidRPr="00A3795A">
              <w:rPr>
                <w:rFonts w:ascii="Arial Narrow" w:hAnsi="Arial Narrow"/>
                <w:b/>
                <w:bCs/>
                <w:color w:val="000000"/>
                <w:sz w:val="20"/>
              </w:rPr>
              <w:t>Estimated net cost to PBS/RPBS/MBS</w:t>
            </w:r>
          </w:p>
        </w:tc>
      </w:tr>
      <w:tr w:rsidR="00283ADA" w:rsidRPr="00A3795A" w:rsidTr="00A3795A">
        <w:tc>
          <w:tcPr>
            <w:tcW w:w="1034" w:type="pct"/>
            <w:shd w:val="clear" w:color="auto" w:fill="auto"/>
            <w:vAlign w:val="center"/>
          </w:tcPr>
          <w:p w:rsidR="00283ADA" w:rsidRPr="00A3795A" w:rsidRDefault="00283ADA" w:rsidP="007C76E5">
            <w:pPr>
              <w:keepNext/>
              <w:widowControl/>
              <w:tabs>
                <w:tab w:val="left" w:pos="142"/>
              </w:tabs>
              <w:jc w:val="left"/>
              <w:rPr>
                <w:rFonts w:ascii="Arial Narrow" w:hAnsi="Arial Narrow"/>
                <w:sz w:val="20"/>
              </w:rPr>
            </w:pPr>
            <w:r w:rsidRPr="00A3795A">
              <w:rPr>
                <w:rFonts w:ascii="Arial Narrow" w:hAnsi="Arial Narrow"/>
                <w:sz w:val="20"/>
              </w:rPr>
              <w:t>Net cost to PBS/RPBS</w:t>
            </w:r>
          </w:p>
        </w:tc>
        <w:tc>
          <w:tcPr>
            <w:tcW w:w="740" w:type="pct"/>
            <w:shd w:val="clear" w:color="auto" w:fill="auto"/>
            <w:vAlign w:val="center"/>
          </w:tcPr>
          <w:p w:rsidR="00283ADA" w:rsidRPr="00A3795A" w:rsidRDefault="00283ADA" w:rsidP="007C76E5">
            <w:pPr>
              <w:keepNext/>
              <w:widowControl/>
              <w:jc w:val="center"/>
              <w:rPr>
                <w:rFonts w:ascii="Arial Narrow" w:hAnsi="Arial Narrow"/>
                <w:bCs/>
                <w:color w:val="000000"/>
                <w:sz w:val="20"/>
              </w:rPr>
            </w:pPr>
            <w:r w:rsidRPr="00A3795A">
              <w:rPr>
                <w:rFonts w:ascii="Arial Narrow" w:hAnsi="Arial Narrow"/>
                <w:bCs/>
                <w:color w:val="000000"/>
                <w:sz w:val="20"/>
              </w:rPr>
              <w:t>$</w:t>
            </w:r>
            <w:r w:rsidR="003F744C" w:rsidRPr="00A3795A">
              <w:rPr>
                <w:rFonts w:ascii="Arial Narrow" w:hAnsi="Arial Narrow"/>
                <w:bCs/>
                <w:noProof/>
                <w:color w:val="000000"/>
                <w:sz w:val="20"/>
                <w:highlight w:val="black"/>
              </w:rPr>
              <w:t>'''''''''''''''''''''''''''</w:t>
            </w:r>
          </w:p>
        </w:tc>
        <w:tc>
          <w:tcPr>
            <w:tcW w:w="740" w:type="pct"/>
            <w:shd w:val="clear" w:color="auto" w:fill="auto"/>
            <w:vAlign w:val="center"/>
          </w:tcPr>
          <w:p w:rsidR="00283ADA" w:rsidRPr="00A3795A" w:rsidRDefault="00283ADA" w:rsidP="007C76E5">
            <w:pPr>
              <w:keepNext/>
              <w:widowControl/>
              <w:jc w:val="center"/>
              <w:rPr>
                <w:rFonts w:ascii="Arial Narrow" w:hAnsi="Arial Narrow"/>
                <w:bCs/>
                <w:color w:val="000000"/>
                <w:sz w:val="20"/>
              </w:rPr>
            </w:pPr>
            <w:r w:rsidRPr="00A3795A">
              <w:rPr>
                <w:rFonts w:ascii="Arial Narrow" w:hAnsi="Arial Narrow"/>
                <w:bCs/>
                <w:color w:val="000000"/>
                <w:sz w:val="20"/>
              </w:rPr>
              <w:t>$</w:t>
            </w:r>
            <w:r w:rsidR="003F744C" w:rsidRPr="00A3795A">
              <w:rPr>
                <w:rFonts w:ascii="Arial Narrow" w:hAnsi="Arial Narrow"/>
                <w:bCs/>
                <w:noProof/>
                <w:color w:val="000000"/>
                <w:sz w:val="20"/>
                <w:highlight w:val="black"/>
              </w:rPr>
              <w:t>'''''''''''''''''''''''''</w:t>
            </w:r>
          </w:p>
        </w:tc>
        <w:tc>
          <w:tcPr>
            <w:tcW w:w="833" w:type="pct"/>
            <w:shd w:val="clear" w:color="auto" w:fill="auto"/>
            <w:vAlign w:val="center"/>
          </w:tcPr>
          <w:p w:rsidR="00283ADA" w:rsidRPr="00A3795A" w:rsidRDefault="00283ADA" w:rsidP="007C76E5">
            <w:pPr>
              <w:keepNext/>
              <w:widowControl/>
              <w:jc w:val="center"/>
              <w:rPr>
                <w:rFonts w:ascii="Arial Narrow" w:hAnsi="Arial Narrow"/>
                <w:bCs/>
                <w:color w:val="000000"/>
                <w:sz w:val="20"/>
              </w:rPr>
            </w:pPr>
            <w:r w:rsidRPr="00A3795A">
              <w:rPr>
                <w:rFonts w:ascii="Arial Narrow" w:hAnsi="Arial Narrow"/>
                <w:bCs/>
                <w:color w:val="000000"/>
                <w:sz w:val="20"/>
              </w:rPr>
              <w:t>$</w:t>
            </w:r>
            <w:r w:rsidR="003F744C" w:rsidRPr="00A3795A">
              <w:rPr>
                <w:rFonts w:ascii="Arial Narrow" w:hAnsi="Arial Narrow"/>
                <w:bCs/>
                <w:noProof/>
                <w:color w:val="000000"/>
                <w:sz w:val="20"/>
                <w:highlight w:val="black"/>
              </w:rPr>
              <w:t>'''''''''''''''''''''''''''''</w:t>
            </w:r>
          </w:p>
        </w:tc>
        <w:tc>
          <w:tcPr>
            <w:tcW w:w="832" w:type="pct"/>
            <w:shd w:val="clear" w:color="auto" w:fill="auto"/>
            <w:vAlign w:val="center"/>
          </w:tcPr>
          <w:p w:rsidR="00283ADA" w:rsidRPr="00A3795A" w:rsidRDefault="00283ADA" w:rsidP="007C76E5">
            <w:pPr>
              <w:keepNext/>
              <w:widowControl/>
              <w:jc w:val="center"/>
              <w:rPr>
                <w:rFonts w:ascii="Arial Narrow" w:hAnsi="Arial Narrow"/>
                <w:bCs/>
                <w:color w:val="000000"/>
                <w:sz w:val="20"/>
              </w:rPr>
            </w:pPr>
            <w:r w:rsidRPr="00A3795A">
              <w:rPr>
                <w:rFonts w:ascii="Arial Narrow" w:hAnsi="Arial Narrow"/>
                <w:bCs/>
                <w:color w:val="000000"/>
                <w:sz w:val="20"/>
              </w:rPr>
              <w:t>$</w:t>
            </w:r>
            <w:r w:rsidR="003F744C" w:rsidRPr="00A3795A">
              <w:rPr>
                <w:rFonts w:ascii="Arial Narrow" w:hAnsi="Arial Narrow"/>
                <w:bCs/>
                <w:noProof/>
                <w:color w:val="000000"/>
                <w:sz w:val="20"/>
                <w:highlight w:val="black"/>
              </w:rPr>
              <w:t>''''''''''''''''''''''''</w:t>
            </w:r>
          </w:p>
        </w:tc>
        <w:tc>
          <w:tcPr>
            <w:tcW w:w="821" w:type="pct"/>
            <w:shd w:val="clear" w:color="auto" w:fill="auto"/>
            <w:vAlign w:val="center"/>
          </w:tcPr>
          <w:p w:rsidR="00283ADA" w:rsidRPr="00A3795A" w:rsidRDefault="00283ADA" w:rsidP="007C76E5">
            <w:pPr>
              <w:keepNext/>
              <w:widowControl/>
              <w:jc w:val="center"/>
              <w:rPr>
                <w:rFonts w:ascii="Arial Narrow" w:hAnsi="Arial Narrow"/>
                <w:bCs/>
                <w:color w:val="000000"/>
                <w:sz w:val="20"/>
              </w:rPr>
            </w:pPr>
            <w:r w:rsidRPr="00A3795A">
              <w:rPr>
                <w:rFonts w:ascii="Arial Narrow" w:hAnsi="Arial Narrow"/>
                <w:bCs/>
                <w:color w:val="000000"/>
                <w:sz w:val="20"/>
              </w:rPr>
              <w:t>$</w:t>
            </w:r>
            <w:r w:rsidR="003F744C" w:rsidRPr="00A3795A">
              <w:rPr>
                <w:rFonts w:ascii="Arial Narrow" w:hAnsi="Arial Narrow"/>
                <w:bCs/>
                <w:noProof/>
                <w:color w:val="000000"/>
                <w:sz w:val="20"/>
                <w:highlight w:val="black"/>
              </w:rPr>
              <w:t>'''''''''''''''''''''''''''</w:t>
            </w:r>
          </w:p>
        </w:tc>
      </w:tr>
      <w:tr w:rsidR="00283ADA" w:rsidRPr="00A3795A" w:rsidTr="00A3795A">
        <w:tc>
          <w:tcPr>
            <w:tcW w:w="1034" w:type="pct"/>
            <w:shd w:val="clear" w:color="auto" w:fill="auto"/>
            <w:vAlign w:val="center"/>
          </w:tcPr>
          <w:p w:rsidR="00283ADA" w:rsidRPr="00A3795A" w:rsidRDefault="00283ADA" w:rsidP="007C76E5">
            <w:pPr>
              <w:keepNext/>
              <w:widowControl/>
              <w:tabs>
                <w:tab w:val="left" w:pos="142"/>
              </w:tabs>
              <w:jc w:val="left"/>
              <w:rPr>
                <w:rFonts w:ascii="Arial Narrow" w:hAnsi="Arial Narrow"/>
                <w:sz w:val="20"/>
              </w:rPr>
            </w:pPr>
            <w:r w:rsidRPr="00A3795A">
              <w:rPr>
                <w:rFonts w:ascii="Arial Narrow" w:hAnsi="Arial Narrow"/>
                <w:sz w:val="20"/>
              </w:rPr>
              <w:t>Net cost to MBS</w:t>
            </w:r>
          </w:p>
        </w:tc>
        <w:tc>
          <w:tcPr>
            <w:tcW w:w="740" w:type="pct"/>
            <w:shd w:val="clear" w:color="auto" w:fill="auto"/>
            <w:vAlign w:val="center"/>
          </w:tcPr>
          <w:p w:rsidR="00283ADA" w:rsidRPr="00A3795A" w:rsidRDefault="00283ADA" w:rsidP="007C76E5">
            <w:pPr>
              <w:keepNext/>
              <w:widowControl/>
              <w:jc w:val="center"/>
              <w:rPr>
                <w:rFonts w:ascii="Arial Narrow" w:hAnsi="Arial Narrow"/>
                <w:bCs/>
                <w:color w:val="000000"/>
                <w:sz w:val="20"/>
              </w:rPr>
            </w:pPr>
            <w:r w:rsidRPr="00A3795A">
              <w:rPr>
                <w:rFonts w:ascii="Arial Narrow" w:hAnsi="Arial Narrow"/>
                <w:bCs/>
                <w:sz w:val="20"/>
              </w:rPr>
              <w:t>-</w:t>
            </w:r>
          </w:p>
        </w:tc>
        <w:tc>
          <w:tcPr>
            <w:tcW w:w="740" w:type="pct"/>
            <w:shd w:val="clear" w:color="auto" w:fill="auto"/>
            <w:vAlign w:val="center"/>
          </w:tcPr>
          <w:p w:rsidR="00283ADA" w:rsidRPr="00A3795A" w:rsidRDefault="00283ADA" w:rsidP="007C76E5">
            <w:pPr>
              <w:keepNext/>
              <w:widowControl/>
              <w:jc w:val="center"/>
              <w:rPr>
                <w:rFonts w:ascii="Arial Narrow" w:hAnsi="Arial Narrow"/>
                <w:bCs/>
                <w:color w:val="000000"/>
                <w:sz w:val="20"/>
              </w:rPr>
            </w:pPr>
            <w:r w:rsidRPr="00A3795A">
              <w:rPr>
                <w:rFonts w:ascii="Arial Narrow" w:hAnsi="Arial Narrow"/>
                <w:bCs/>
                <w:color w:val="000000"/>
                <w:sz w:val="20"/>
              </w:rPr>
              <w:t>-</w:t>
            </w:r>
          </w:p>
        </w:tc>
        <w:tc>
          <w:tcPr>
            <w:tcW w:w="833" w:type="pct"/>
            <w:shd w:val="clear" w:color="auto" w:fill="auto"/>
            <w:vAlign w:val="center"/>
          </w:tcPr>
          <w:p w:rsidR="00283ADA" w:rsidRPr="00A3795A" w:rsidRDefault="00283ADA" w:rsidP="007C76E5">
            <w:pPr>
              <w:keepNext/>
              <w:widowControl/>
              <w:jc w:val="center"/>
              <w:rPr>
                <w:rFonts w:ascii="Arial Narrow" w:hAnsi="Arial Narrow"/>
                <w:bCs/>
                <w:color w:val="000000"/>
                <w:sz w:val="20"/>
              </w:rPr>
            </w:pPr>
            <w:r w:rsidRPr="00A3795A">
              <w:rPr>
                <w:rFonts w:ascii="Arial Narrow" w:hAnsi="Arial Narrow"/>
                <w:bCs/>
                <w:sz w:val="20"/>
              </w:rPr>
              <w:t>-</w:t>
            </w:r>
          </w:p>
        </w:tc>
        <w:tc>
          <w:tcPr>
            <w:tcW w:w="832" w:type="pct"/>
            <w:shd w:val="clear" w:color="auto" w:fill="auto"/>
            <w:vAlign w:val="center"/>
          </w:tcPr>
          <w:p w:rsidR="00283ADA" w:rsidRPr="00A3795A" w:rsidRDefault="00283ADA" w:rsidP="007C76E5">
            <w:pPr>
              <w:keepNext/>
              <w:widowControl/>
              <w:jc w:val="center"/>
              <w:rPr>
                <w:rFonts w:ascii="Arial Narrow" w:hAnsi="Arial Narrow"/>
                <w:bCs/>
                <w:color w:val="000000"/>
                <w:sz w:val="20"/>
              </w:rPr>
            </w:pPr>
            <w:r w:rsidRPr="00A3795A">
              <w:rPr>
                <w:rFonts w:ascii="Arial Narrow" w:hAnsi="Arial Narrow"/>
                <w:bCs/>
                <w:sz w:val="20"/>
              </w:rPr>
              <w:t>-</w:t>
            </w:r>
          </w:p>
        </w:tc>
        <w:tc>
          <w:tcPr>
            <w:tcW w:w="821" w:type="pct"/>
            <w:shd w:val="clear" w:color="auto" w:fill="auto"/>
            <w:vAlign w:val="center"/>
          </w:tcPr>
          <w:p w:rsidR="00283ADA" w:rsidRPr="00A3795A" w:rsidRDefault="00283ADA" w:rsidP="007C76E5">
            <w:pPr>
              <w:keepNext/>
              <w:widowControl/>
              <w:jc w:val="center"/>
              <w:rPr>
                <w:rFonts w:ascii="Arial Narrow" w:hAnsi="Arial Narrow"/>
                <w:bCs/>
                <w:color w:val="000000"/>
                <w:sz w:val="20"/>
              </w:rPr>
            </w:pPr>
            <w:r w:rsidRPr="00A3795A">
              <w:rPr>
                <w:rFonts w:ascii="Arial Narrow" w:hAnsi="Arial Narrow"/>
                <w:bCs/>
                <w:sz w:val="20"/>
              </w:rPr>
              <w:t>-</w:t>
            </w:r>
          </w:p>
        </w:tc>
      </w:tr>
      <w:tr w:rsidR="00283ADA" w:rsidRPr="00A3795A" w:rsidTr="00A3795A">
        <w:tc>
          <w:tcPr>
            <w:tcW w:w="1034" w:type="pct"/>
            <w:shd w:val="clear" w:color="auto" w:fill="auto"/>
            <w:vAlign w:val="center"/>
          </w:tcPr>
          <w:p w:rsidR="00283ADA" w:rsidRPr="00A3795A" w:rsidRDefault="00283ADA" w:rsidP="007C76E5">
            <w:pPr>
              <w:keepNext/>
              <w:widowControl/>
              <w:tabs>
                <w:tab w:val="left" w:pos="142"/>
              </w:tabs>
              <w:jc w:val="left"/>
              <w:rPr>
                <w:rFonts w:ascii="Arial Narrow" w:hAnsi="Arial Narrow"/>
                <w:sz w:val="20"/>
              </w:rPr>
            </w:pPr>
            <w:r w:rsidRPr="00A3795A">
              <w:rPr>
                <w:rFonts w:ascii="Arial Narrow" w:hAnsi="Arial Narrow"/>
                <w:sz w:val="20"/>
              </w:rPr>
              <w:t>Patient co-payment</w:t>
            </w:r>
          </w:p>
        </w:tc>
        <w:tc>
          <w:tcPr>
            <w:tcW w:w="740" w:type="pct"/>
            <w:shd w:val="clear" w:color="auto" w:fill="auto"/>
            <w:vAlign w:val="center"/>
          </w:tcPr>
          <w:p w:rsidR="00283ADA" w:rsidRPr="00A3795A" w:rsidRDefault="00283ADA" w:rsidP="007C76E5">
            <w:pPr>
              <w:keepNext/>
              <w:widowControl/>
              <w:jc w:val="center"/>
              <w:rPr>
                <w:rFonts w:ascii="Arial Narrow" w:hAnsi="Arial Narrow"/>
                <w:bCs/>
                <w:sz w:val="20"/>
              </w:rPr>
            </w:pPr>
            <w:r w:rsidRPr="00A3795A">
              <w:rPr>
                <w:rFonts w:ascii="Arial Narrow" w:hAnsi="Arial Narrow"/>
                <w:color w:val="000000"/>
                <w:sz w:val="20"/>
              </w:rPr>
              <w:t xml:space="preserve"> $   19,950.84 </w:t>
            </w:r>
          </w:p>
        </w:tc>
        <w:tc>
          <w:tcPr>
            <w:tcW w:w="740" w:type="pct"/>
            <w:shd w:val="clear" w:color="auto" w:fill="auto"/>
            <w:vAlign w:val="center"/>
          </w:tcPr>
          <w:p w:rsidR="00283ADA" w:rsidRPr="00A3795A" w:rsidRDefault="00283ADA" w:rsidP="007C76E5">
            <w:pPr>
              <w:keepNext/>
              <w:widowControl/>
              <w:jc w:val="center"/>
              <w:rPr>
                <w:rFonts w:ascii="Arial Narrow" w:hAnsi="Arial Narrow"/>
                <w:bCs/>
                <w:color w:val="000000"/>
                <w:sz w:val="20"/>
              </w:rPr>
            </w:pPr>
            <w:r w:rsidRPr="00A3795A">
              <w:rPr>
                <w:rFonts w:ascii="Arial Narrow" w:hAnsi="Arial Narrow"/>
                <w:color w:val="000000"/>
                <w:sz w:val="20"/>
              </w:rPr>
              <w:t xml:space="preserve"> $   33,251.40 </w:t>
            </w:r>
          </w:p>
        </w:tc>
        <w:tc>
          <w:tcPr>
            <w:tcW w:w="833" w:type="pct"/>
            <w:shd w:val="clear" w:color="auto" w:fill="auto"/>
            <w:vAlign w:val="center"/>
          </w:tcPr>
          <w:p w:rsidR="00283ADA" w:rsidRPr="00A3795A" w:rsidRDefault="00283ADA" w:rsidP="007C76E5">
            <w:pPr>
              <w:keepNext/>
              <w:widowControl/>
              <w:jc w:val="center"/>
              <w:rPr>
                <w:rFonts w:ascii="Arial Narrow" w:hAnsi="Arial Narrow"/>
                <w:bCs/>
                <w:sz w:val="20"/>
              </w:rPr>
            </w:pPr>
            <w:r w:rsidRPr="00A3795A">
              <w:rPr>
                <w:rFonts w:ascii="Arial Narrow" w:hAnsi="Arial Narrow"/>
                <w:color w:val="000000"/>
                <w:sz w:val="20"/>
              </w:rPr>
              <w:t xml:space="preserve"> $   43,226.82 </w:t>
            </w:r>
          </w:p>
        </w:tc>
        <w:tc>
          <w:tcPr>
            <w:tcW w:w="832" w:type="pct"/>
            <w:shd w:val="clear" w:color="auto" w:fill="auto"/>
            <w:vAlign w:val="center"/>
          </w:tcPr>
          <w:p w:rsidR="00283ADA" w:rsidRPr="00A3795A" w:rsidRDefault="00283ADA" w:rsidP="007C76E5">
            <w:pPr>
              <w:keepNext/>
              <w:widowControl/>
              <w:jc w:val="center"/>
              <w:rPr>
                <w:rFonts w:ascii="Arial Narrow" w:hAnsi="Arial Narrow"/>
                <w:bCs/>
                <w:sz w:val="20"/>
              </w:rPr>
            </w:pPr>
            <w:r w:rsidRPr="00A3795A">
              <w:rPr>
                <w:rFonts w:ascii="Arial Narrow" w:hAnsi="Arial Narrow"/>
                <w:color w:val="000000"/>
                <w:sz w:val="20"/>
              </w:rPr>
              <w:t xml:space="preserve"> $   53,202.24 </w:t>
            </w:r>
          </w:p>
        </w:tc>
        <w:tc>
          <w:tcPr>
            <w:tcW w:w="821" w:type="pct"/>
            <w:shd w:val="clear" w:color="auto" w:fill="auto"/>
            <w:vAlign w:val="center"/>
          </w:tcPr>
          <w:p w:rsidR="00283ADA" w:rsidRPr="00A3795A" w:rsidRDefault="00283ADA" w:rsidP="007C76E5">
            <w:pPr>
              <w:keepNext/>
              <w:widowControl/>
              <w:jc w:val="center"/>
              <w:rPr>
                <w:rFonts w:ascii="Arial Narrow" w:hAnsi="Arial Narrow"/>
                <w:bCs/>
                <w:sz w:val="20"/>
              </w:rPr>
            </w:pPr>
            <w:r w:rsidRPr="00A3795A">
              <w:rPr>
                <w:rFonts w:ascii="Arial Narrow" w:hAnsi="Arial Narrow"/>
                <w:color w:val="000000"/>
                <w:sz w:val="20"/>
              </w:rPr>
              <w:t xml:space="preserve"> $   59,852.52 </w:t>
            </w:r>
          </w:p>
        </w:tc>
      </w:tr>
      <w:tr w:rsidR="007C76E5" w:rsidRPr="00A3795A" w:rsidTr="00A3795A">
        <w:tc>
          <w:tcPr>
            <w:tcW w:w="1034" w:type="pct"/>
            <w:shd w:val="clear" w:color="auto" w:fill="auto"/>
            <w:vAlign w:val="center"/>
          </w:tcPr>
          <w:p w:rsidR="007C76E5" w:rsidRPr="00A3795A" w:rsidRDefault="007C76E5" w:rsidP="007C76E5">
            <w:pPr>
              <w:keepNext/>
              <w:widowControl/>
              <w:tabs>
                <w:tab w:val="left" w:pos="142"/>
              </w:tabs>
              <w:jc w:val="left"/>
              <w:rPr>
                <w:rFonts w:ascii="Arial Narrow" w:hAnsi="Arial Narrow"/>
                <w:sz w:val="20"/>
              </w:rPr>
            </w:pPr>
            <w:r w:rsidRPr="00A3795A">
              <w:rPr>
                <w:rFonts w:ascii="Arial Narrow" w:hAnsi="Arial Narrow"/>
                <w:sz w:val="20"/>
              </w:rPr>
              <w:t>Reduction in prescriptions for Paediatric Seravit</w:t>
            </w:r>
          </w:p>
        </w:tc>
        <w:tc>
          <w:tcPr>
            <w:tcW w:w="740" w:type="pct"/>
            <w:shd w:val="clear" w:color="auto" w:fill="auto"/>
            <w:vAlign w:val="center"/>
          </w:tcPr>
          <w:p w:rsidR="007C76E5" w:rsidRPr="00A3795A" w:rsidRDefault="007C76E5" w:rsidP="007C76E5">
            <w:pPr>
              <w:keepNext/>
              <w:widowControl/>
              <w:jc w:val="center"/>
              <w:rPr>
                <w:rFonts w:ascii="Arial Narrow" w:hAnsi="Arial Narrow"/>
                <w:color w:val="000000"/>
                <w:sz w:val="20"/>
              </w:rPr>
            </w:pPr>
            <w:r w:rsidRPr="00A3795A">
              <w:rPr>
                <w:rFonts w:ascii="Arial Narrow" w:hAnsi="Arial Narrow"/>
                <w:color w:val="000000"/>
                <w:sz w:val="20"/>
              </w:rPr>
              <w:t>$11,328.27</w:t>
            </w:r>
          </w:p>
        </w:tc>
        <w:tc>
          <w:tcPr>
            <w:tcW w:w="740" w:type="pct"/>
            <w:shd w:val="clear" w:color="auto" w:fill="auto"/>
            <w:vAlign w:val="center"/>
          </w:tcPr>
          <w:p w:rsidR="007C76E5" w:rsidRPr="00A3795A" w:rsidRDefault="007C76E5" w:rsidP="007C76E5">
            <w:pPr>
              <w:keepNext/>
              <w:widowControl/>
              <w:jc w:val="center"/>
              <w:rPr>
                <w:rFonts w:ascii="Arial Narrow" w:hAnsi="Arial Narrow"/>
                <w:color w:val="000000"/>
                <w:sz w:val="20"/>
              </w:rPr>
            </w:pPr>
            <w:r w:rsidRPr="00A3795A">
              <w:rPr>
                <w:rFonts w:ascii="Arial Narrow" w:hAnsi="Arial Narrow"/>
                <w:color w:val="000000"/>
                <w:sz w:val="20"/>
              </w:rPr>
              <w:t>$11,328.27</w:t>
            </w:r>
          </w:p>
        </w:tc>
        <w:tc>
          <w:tcPr>
            <w:tcW w:w="833" w:type="pct"/>
            <w:shd w:val="clear" w:color="auto" w:fill="auto"/>
            <w:vAlign w:val="center"/>
          </w:tcPr>
          <w:p w:rsidR="007C76E5" w:rsidRPr="00A3795A" w:rsidRDefault="007C76E5" w:rsidP="007C76E5">
            <w:pPr>
              <w:keepNext/>
              <w:widowControl/>
              <w:jc w:val="center"/>
              <w:rPr>
                <w:rFonts w:ascii="Arial Narrow" w:hAnsi="Arial Narrow"/>
                <w:color w:val="000000"/>
                <w:sz w:val="20"/>
              </w:rPr>
            </w:pPr>
            <w:r w:rsidRPr="00A3795A">
              <w:rPr>
                <w:rFonts w:ascii="Arial Narrow" w:hAnsi="Arial Narrow"/>
                <w:color w:val="000000"/>
                <w:sz w:val="20"/>
              </w:rPr>
              <w:t>$11,328.27</w:t>
            </w:r>
          </w:p>
        </w:tc>
        <w:tc>
          <w:tcPr>
            <w:tcW w:w="832" w:type="pct"/>
            <w:shd w:val="clear" w:color="auto" w:fill="auto"/>
            <w:vAlign w:val="center"/>
          </w:tcPr>
          <w:p w:rsidR="007C76E5" w:rsidRPr="00A3795A" w:rsidRDefault="007C76E5" w:rsidP="007C76E5">
            <w:pPr>
              <w:keepNext/>
              <w:widowControl/>
              <w:jc w:val="center"/>
              <w:rPr>
                <w:rFonts w:ascii="Arial Narrow" w:hAnsi="Arial Narrow"/>
                <w:color w:val="000000"/>
                <w:sz w:val="20"/>
              </w:rPr>
            </w:pPr>
            <w:r w:rsidRPr="00A3795A">
              <w:rPr>
                <w:rFonts w:ascii="Arial Narrow" w:hAnsi="Arial Narrow"/>
                <w:color w:val="000000"/>
                <w:sz w:val="20"/>
              </w:rPr>
              <w:t>$11,328.27</w:t>
            </w:r>
          </w:p>
        </w:tc>
        <w:tc>
          <w:tcPr>
            <w:tcW w:w="821" w:type="pct"/>
            <w:shd w:val="clear" w:color="auto" w:fill="auto"/>
            <w:vAlign w:val="center"/>
          </w:tcPr>
          <w:p w:rsidR="007C76E5" w:rsidRPr="00A3795A" w:rsidRDefault="007C76E5" w:rsidP="007C76E5">
            <w:pPr>
              <w:keepNext/>
              <w:widowControl/>
              <w:jc w:val="center"/>
              <w:rPr>
                <w:rFonts w:ascii="Arial Narrow" w:hAnsi="Arial Narrow"/>
                <w:color w:val="000000"/>
                <w:sz w:val="20"/>
              </w:rPr>
            </w:pPr>
            <w:r w:rsidRPr="00A3795A">
              <w:rPr>
                <w:rFonts w:ascii="Arial Narrow" w:hAnsi="Arial Narrow"/>
                <w:color w:val="000000"/>
                <w:sz w:val="20"/>
              </w:rPr>
              <w:t>$11,328.27</w:t>
            </w:r>
          </w:p>
        </w:tc>
      </w:tr>
      <w:tr w:rsidR="00283ADA" w:rsidRPr="00A3795A" w:rsidTr="007C76E5">
        <w:tc>
          <w:tcPr>
            <w:tcW w:w="5000" w:type="pct"/>
            <w:gridSpan w:val="6"/>
            <w:shd w:val="clear" w:color="auto" w:fill="auto"/>
            <w:vAlign w:val="center"/>
          </w:tcPr>
          <w:p w:rsidR="00283ADA" w:rsidRPr="00A3795A" w:rsidRDefault="00283ADA" w:rsidP="007C76E5">
            <w:pPr>
              <w:keepNext/>
              <w:widowControl/>
              <w:jc w:val="left"/>
              <w:rPr>
                <w:rFonts w:ascii="Arial Narrow" w:hAnsi="Arial Narrow"/>
                <w:b/>
                <w:color w:val="000000"/>
                <w:sz w:val="20"/>
              </w:rPr>
            </w:pPr>
            <w:r w:rsidRPr="00A3795A">
              <w:rPr>
                <w:rFonts w:ascii="Arial Narrow" w:hAnsi="Arial Narrow"/>
                <w:b/>
                <w:color w:val="000000"/>
                <w:sz w:val="20"/>
              </w:rPr>
              <w:t>Estimated total net cost</w:t>
            </w:r>
          </w:p>
        </w:tc>
      </w:tr>
      <w:tr w:rsidR="007C76E5" w:rsidRPr="00A3795A" w:rsidTr="00A3795A">
        <w:tc>
          <w:tcPr>
            <w:tcW w:w="1034" w:type="pct"/>
            <w:shd w:val="clear" w:color="auto" w:fill="auto"/>
            <w:vAlign w:val="center"/>
          </w:tcPr>
          <w:p w:rsidR="007C76E5" w:rsidRPr="00A3795A" w:rsidRDefault="007C76E5" w:rsidP="007C76E5">
            <w:pPr>
              <w:keepNext/>
              <w:widowControl/>
              <w:tabs>
                <w:tab w:val="left" w:pos="142"/>
              </w:tabs>
              <w:jc w:val="left"/>
              <w:rPr>
                <w:rFonts w:ascii="Arial Narrow" w:hAnsi="Arial Narrow"/>
                <w:b/>
                <w:sz w:val="20"/>
              </w:rPr>
            </w:pPr>
            <w:r w:rsidRPr="00A3795A">
              <w:rPr>
                <w:rFonts w:ascii="Arial Narrow" w:hAnsi="Arial Narrow"/>
                <w:b/>
                <w:bCs/>
                <w:color w:val="000000"/>
                <w:sz w:val="20"/>
              </w:rPr>
              <w:t>Net cost to PBS/RPBS/MBS</w:t>
            </w:r>
          </w:p>
        </w:tc>
        <w:tc>
          <w:tcPr>
            <w:tcW w:w="740" w:type="pct"/>
            <w:shd w:val="clear" w:color="auto" w:fill="auto"/>
            <w:vAlign w:val="bottom"/>
          </w:tcPr>
          <w:p w:rsidR="007C76E5" w:rsidRPr="00A3795A" w:rsidRDefault="007C76E5" w:rsidP="007C76E5">
            <w:pPr>
              <w:keepNext/>
              <w:widowControl/>
              <w:jc w:val="center"/>
              <w:rPr>
                <w:rFonts w:ascii="Arial Narrow" w:hAnsi="Arial Narrow"/>
                <w:b/>
                <w:bCs/>
                <w:color w:val="000000"/>
                <w:sz w:val="20"/>
              </w:rPr>
            </w:pPr>
            <w:r w:rsidRPr="00A3795A">
              <w:rPr>
                <w:rFonts w:ascii="Arial Narrow" w:hAnsi="Arial Narrow"/>
                <w:b/>
                <w:color w:val="000000"/>
                <w:sz w:val="20"/>
              </w:rPr>
              <w:t>$</w:t>
            </w:r>
            <w:r w:rsidR="003F744C" w:rsidRPr="00A3795A">
              <w:rPr>
                <w:rFonts w:ascii="Arial Narrow" w:hAnsi="Arial Narrow"/>
                <w:b/>
                <w:noProof/>
                <w:color w:val="000000"/>
                <w:sz w:val="20"/>
                <w:highlight w:val="black"/>
              </w:rPr>
              <w:t>''''''''''''''''''''''</w:t>
            </w:r>
          </w:p>
        </w:tc>
        <w:tc>
          <w:tcPr>
            <w:tcW w:w="740" w:type="pct"/>
            <w:shd w:val="clear" w:color="auto" w:fill="auto"/>
            <w:vAlign w:val="bottom"/>
          </w:tcPr>
          <w:p w:rsidR="007C76E5" w:rsidRPr="00A3795A" w:rsidRDefault="007C76E5" w:rsidP="007C76E5">
            <w:pPr>
              <w:keepNext/>
              <w:widowControl/>
              <w:jc w:val="center"/>
              <w:rPr>
                <w:rFonts w:ascii="Arial Narrow" w:hAnsi="Arial Narrow"/>
                <w:b/>
                <w:bCs/>
                <w:color w:val="000000"/>
                <w:sz w:val="20"/>
              </w:rPr>
            </w:pPr>
            <w:r w:rsidRPr="00A3795A">
              <w:rPr>
                <w:rFonts w:ascii="Arial Narrow" w:hAnsi="Arial Narrow"/>
                <w:b/>
                <w:color w:val="000000"/>
                <w:sz w:val="20"/>
              </w:rPr>
              <w:t>$</w:t>
            </w:r>
            <w:r w:rsidR="003F744C" w:rsidRPr="00A3795A">
              <w:rPr>
                <w:rFonts w:ascii="Arial Narrow" w:hAnsi="Arial Narrow"/>
                <w:b/>
                <w:noProof/>
                <w:color w:val="000000"/>
                <w:sz w:val="20"/>
                <w:highlight w:val="black"/>
              </w:rPr>
              <w:t>'''''''''''''''''''''''</w:t>
            </w:r>
          </w:p>
        </w:tc>
        <w:tc>
          <w:tcPr>
            <w:tcW w:w="833" w:type="pct"/>
            <w:shd w:val="clear" w:color="auto" w:fill="auto"/>
            <w:vAlign w:val="bottom"/>
          </w:tcPr>
          <w:p w:rsidR="007C76E5" w:rsidRPr="00A3795A" w:rsidRDefault="007C76E5" w:rsidP="007C76E5">
            <w:pPr>
              <w:keepNext/>
              <w:widowControl/>
              <w:jc w:val="center"/>
              <w:rPr>
                <w:rFonts w:ascii="Arial Narrow" w:hAnsi="Arial Narrow"/>
                <w:b/>
                <w:bCs/>
                <w:color w:val="000000"/>
                <w:sz w:val="20"/>
              </w:rPr>
            </w:pPr>
            <w:r w:rsidRPr="00A3795A">
              <w:rPr>
                <w:rFonts w:ascii="Arial Narrow" w:hAnsi="Arial Narrow"/>
                <w:b/>
                <w:color w:val="000000"/>
                <w:sz w:val="20"/>
              </w:rPr>
              <w:t>$</w:t>
            </w:r>
            <w:r w:rsidR="003F744C" w:rsidRPr="00A3795A">
              <w:rPr>
                <w:rFonts w:ascii="Arial Narrow" w:hAnsi="Arial Narrow"/>
                <w:b/>
                <w:noProof/>
                <w:color w:val="000000"/>
                <w:sz w:val="20"/>
                <w:highlight w:val="black"/>
              </w:rPr>
              <w:t>'''''''''''''''''''''</w:t>
            </w:r>
          </w:p>
        </w:tc>
        <w:tc>
          <w:tcPr>
            <w:tcW w:w="832" w:type="pct"/>
            <w:shd w:val="clear" w:color="auto" w:fill="auto"/>
            <w:vAlign w:val="bottom"/>
          </w:tcPr>
          <w:p w:rsidR="007C76E5" w:rsidRPr="00A3795A" w:rsidRDefault="007C76E5" w:rsidP="007C76E5">
            <w:pPr>
              <w:keepNext/>
              <w:widowControl/>
              <w:jc w:val="center"/>
              <w:rPr>
                <w:rFonts w:ascii="Arial Narrow" w:hAnsi="Arial Narrow"/>
                <w:b/>
                <w:bCs/>
                <w:color w:val="000000"/>
                <w:sz w:val="20"/>
              </w:rPr>
            </w:pPr>
            <w:r w:rsidRPr="00A3795A">
              <w:rPr>
                <w:rFonts w:ascii="Arial Narrow" w:hAnsi="Arial Narrow"/>
                <w:b/>
                <w:color w:val="000000"/>
                <w:sz w:val="20"/>
              </w:rPr>
              <w:t>$</w:t>
            </w:r>
            <w:r w:rsidR="003F744C" w:rsidRPr="00A3795A">
              <w:rPr>
                <w:rFonts w:ascii="Arial Narrow" w:hAnsi="Arial Narrow"/>
                <w:b/>
                <w:noProof/>
                <w:color w:val="000000"/>
                <w:sz w:val="20"/>
                <w:highlight w:val="black"/>
              </w:rPr>
              <w:t>'''''''''''''''''''''''</w:t>
            </w:r>
          </w:p>
        </w:tc>
        <w:tc>
          <w:tcPr>
            <w:tcW w:w="821" w:type="pct"/>
            <w:shd w:val="clear" w:color="auto" w:fill="auto"/>
            <w:vAlign w:val="bottom"/>
          </w:tcPr>
          <w:p w:rsidR="007C76E5" w:rsidRPr="00A3795A" w:rsidRDefault="007C76E5" w:rsidP="007C76E5">
            <w:pPr>
              <w:keepNext/>
              <w:widowControl/>
              <w:jc w:val="center"/>
              <w:rPr>
                <w:rFonts w:ascii="Arial Narrow" w:hAnsi="Arial Narrow"/>
                <w:b/>
                <w:bCs/>
                <w:color w:val="000000"/>
                <w:sz w:val="20"/>
              </w:rPr>
            </w:pPr>
            <w:r w:rsidRPr="00A3795A">
              <w:rPr>
                <w:rFonts w:ascii="Arial Narrow" w:hAnsi="Arial Narrow"/>
                <w:b/>
                <w:color w:val="000000"/>
                <w:sz w:val="20"/>
              </w:rPr>
              <w:t>$</w:t>
            </w:r>
            <w:r w:rsidR="003F744C" w:rsidRPr="00A3795A">
              <w:rPr>
                <w:rFonts w:ascii="Arial Narrow" w:hAnsi="Arial Narrow"/>
                <w:b/>
                <w:noProof/>
                <w:color w:val="000000"/>
                <w:sz w:val="20"/>
                <w:highlight w:val="black"/>
              </w:rPr>
              <w:t>'''''''''''''''''''''</w:t>
            </w:r>
          </w:p>
        </w:tc>
      </w:tr>
    </w:tbl>
    <w:p w:rsidR="00283ADA" w:rsidRDefault="007C76E5" w:rsidP="007C76E5">
      <w:pPr>
        <w:ind w:firstLine="720"/>
        <w:rPr>
          <w:rFonts w:ascii="Arial Narrow" w:hAnsi="Arial Narrow"/>
          <w:sz w:val="18"/>
          <w:szCs w:val="18"/>
        </w:rPr>
      </w:pPr>
      <w:r w:rsidRPr="007C76E5">
        <w:rPr>
          <w:rFonts w:ascii="Arial Narrow" w:hAnsi="Arial Narrow"/>
          <w:sz w:val="18"/>
          <w:szCs w:val="18"/>
        </w:rPr>
        <w:t xml:space="preserve">Source: Compiled during evaluation from Table 8 p 58 of the submission and p51 of the submission </w:t>
      </w:r>
    </w:p>
    <w:p w:rsidR="007C76E5" w:rsidRDefault="007C76E5" w:rsidP="001222FC">
      <w:pPr>
        <w:rPr>
          <w:rFonts w:ascii="Arial Narrow" w:hAnsi="Arial Narrow"/>
          <w:sz w:val="18"/>
          <w:szCs w:val="18"/>
        </w:rPr>
      </w:pPr>
    </w:p>
    <w:p w:rsidR="00A3795A" w:rsidRDefault="00A3795A">
      <w:pPr>
        <w:widowControl/>
        <w:jc w:val="left"/>
        <w:rPr>
          <w:i/>
          <w:szCs w:val="22"/>
        </w:rPr>
      </w:pPr>
      <w:r>
        <w:rPr>
          <w:i/>
          <w:szCs w:val="22"/>
        </w:rPr>
        <w:br w:type="page"/>
      </w:r>
    </w:p>
    <w:p w:rsidR="00803D31" w:rsidRPr="00803D31" w:rsidRDefault="00803D31" w:rsidP="00803D31">
      <w:pPr>
        <w:ind w:left="720"/>
        <w:rPr>
          <w:i/>
          <w:szCs w:val="22"/>
        </w:rPr>
      </w:pPr>
      <w:r w:rsidRPr="00803D31">
        <w:rPr>
          <w:i/>
          <w:szCs w:val="22"/>
        </w:rPr>
        <w:lastRenderedPageBreak/>
        <w:t>The</w:t>
      </w:r>
      <w:r>
        <w:rPr>
          <w:i/>
          <w:szCs w:val="22"/>
        </w:rPr>
        <w:t xml:space="preserve"> redacted table above shows that the number of patients treated with Nutrini Low Energy Multi Fibre is estimated to be less than 10,000 per year at a net cost to the PBS of less than $10 million per year.</w:t>
      </w:r>
      <w:r w:rsidRPr="00803D31">
        <w:rPr>
          <w:i/>
          <w:szCs w:val="22"/>
        </w:rPr>
        <w:t xml:space="preserve"> </w:t>
      </w:r>
    </w:p>
    <w:p w:rsidR="00803D31" w:rsidRDefault="00803D31" w:rsidP="001222FC">
      <w:pPr>
        <w:rPr>
          <w:rFonts w:ascii="Arial Narrow" w:hAnsi="Arial Narrow"/>
          <w:sz w:val="18"/>
          <w:szCs w:val="18"/>
        </w:rPr>
      </w:pPr>
    </w:p>
    <w:p w:rsidR="007C76E5" w:rsidRPr="006B37D5" w:rsidRDefault="007C76E5" w:rsidP="00B354FD">
      <w:pPr>
        <w:pStyle w:val="PBACHeading1"/>
        <w:numPr>
          <w:ilvl w:val="1"/>
          <w:numId w:val="18"/>
        </w:numPr>
        <w:rPr>
          <w:b w:val="0"/>
        </w:rPr>
      </w:pPr>
      <w:r w:rsidRPr="006B37D5">
        <w:rPr>
          <w:b w:val="0"/>
        </w:rPr>
        <w:t>The financial estimates presented:</w:t>
      </w:r>
    </w:p>
    <w:p w:rsidR="007C76E5" w:rsidRPr="006B37D5" w:rsidRDefault="00B55E01" w:rsidP="00B55E01">
      <w:pPr>
        <w:pStyle w:val="ListParagraph"/>
        <w:numPr>
          <w:ilvl w:val="0"/>
          <w:numId w:val="32"/>
        </w:numPr>
        <w:rPr>
          <w:szCs w:val="22"/>
        </w:rPr>
      </w:pPr>
      <w:r w:rsidRPr="006B37D5">
        <w:rPr>
          <w:szCs w:val="22"/>
        </w:rPr>
        <w:t>m</w:t>
      </w:r>
      <w:r w:rsidR="007C76E5" w:rsidRPr="006B37D5">
        <w:rPr>
          <w:szCs w:val="22"/>
        </w:rPr>
        <w:t xml:space="preserve">ay </w:t>
      </w:r>
      <w:r w:rsidR="00756B85" w:rsidRPr="006B37D5">
        <w:rPr>
          <w:szCs w:val="22"/>
        </w:rPr>
        <w:t xml:space="preserve">have </w:t>
      </w:r>
      <w:r w:rsidR="007C76E5" w:rsidRPr="006B37D5">
        <w:rPr>
          <w:szCs w:val="22"/>
        </w:rPr>
        <w:t>overestimate</w:t>
      </w:r>
      <w:r w:rsidR="00756B85" w:rsidRPr="006B37D5">
        <w:rPr>
          <w:szCs w:val="22"/>
        </w:rPr>
        <w:t>d</w:t>
      </w:r>
      <w:r w:rsidR="007C76E5" w:rsidRPr="006B37D5">
        <w:rPr>
          <w:szCs w:val="22"/>
        </w:rPr>
        <w:t xml:space="preserve"> patient numbers as children aged under 15 years were included in the population, rather than limiting to use in children 1-6 years</w:t>
      </w:r>
      <w:r w:rsidR="0063303B">
        <w:rPr>
          <w:szCs w:val="22"/>
        </w:rPr>
        <w:t xml:space="preserve"> to align with the manufacturers recommendation</w:t>
      </w:r>
      <w:r w:rsidR="007C76E5" w:rsidRPr="006B37D5">
        <w:rPr>
          <w:szCs w:val="22"/>
        </w:rPr>
        <w:t>;</w:t>
      </w:r>
    </w:p>
    <w:p w:rsidR="007C76E5" w:rsidRPr="006B37D5" w:rsidRDefault="00D64281" w:rsidP="00B55E01">
      <w:pPr>
        <w:pStyle w:val="ListParagraph"/>
        <w:numPr>
          <w:ilvl w:val="0"/>
          <w:numId w:val="32"/>
        </w:numPr>
        <w:rPr>
          <w:szCs w:val="22"/>
        </w:rPr>
      </w:pPr>
      <w:r w:rsidRPr="006B37D5">
        <w:rPr>
          <w:szCs w:val="22"/>
        </w:rPr>
        <w:t>were</w:t>
      </w:r>
      <w:r w:rsidR="007C76E5" w:rsidRPr="006B37D5">
        <w:rPr>
          <w:szCs w:val="22"/>
        </w:rPr>
        <w:t xml:space="preserve"> based on all patients</w:t>
      </w:r>
      <w:r w:rsidRPr="006B37D5">
        <w:rPr>
          <w:szCs w:val="22"/>
        </w:rPr>
        <w:t xml:space="preserve"> using 2 cartons per day. This wa</w:t>
      </w:r>
      <w:r w:rsidR="007C76E5" w:rsidRPr="006B37D5">
        <w:rPr>
          <w:szCs w:val="22"/>
        </w:rPr>
        <w:t>s inappropriate as dose will be highly variable between patients;</w:t>
      </w:r>
    </w:p>
    <w:p w:rsidR="007C76E5" w:rsidRPr="006B37D5" w:rsidRDefault="00B55E01" w:rsidP="00B55E01">
      <w:pPr>
        <w:pStyle w:val="ListParagraph"/>
        <w:numPr>
          <w:ilvl w:val="0"/>
          <w:numId w:val="32"/>
        </w:numPr>
        <w:rPr>
          <w:szCs w:val="22"/>
        </w:rPr>
      </w:pPr>
      <w:r w:rsidRPr="006B37D5">
        <w:rPr>
          <w:szCs w:val="22"/>
        </w:rPr>
        <w:t>d</w:t>
      </w:r>
      <w:r w:rsidR="007C76E5" w:rsidRPr="006B37D5">
        <w:rPr>
          <w:szCs w:val="22"/>
        </w:rPr>
        <w:t xml:space="preserve">id not include </w:t>
      </w:r>
      <w:r w:rsidR="00677869" w:rsidRPr="006B37D5">
        <w:rPr>
          <w:szCs w:val="22"/>
        </w:rPr>
        <w:t xml:space="preserve">an estimate of </w:t>
      </w:r>
      <w:r w:rsidR="007C76E5" w:rsidRPr="006B37D5">
        <w:rPr>
          <w:szCs w:val="22"/>
        </w:rPr>
        <w:t>patients who may be on low-energy formula short-term;</w:t>
      </w:r>
    </w:p>
    <w:p w:rsidR="00B354FD" w:rsidRPr="006B37D5" w:rsidRDefault="00B55E01" w:rsidP="00B55E01">
      <w:pPr>
        <w:pStyle w:val="ListParagraph"/>
        <w:numPr>
          <w:ilvl w:val="0"/>
          <w:numId w:val="32"/>
        </w:numPr>
        <w:rPr>
          <w:szCs w:val="22"/>
        </w:rPr>
      </w:pPr>
      <w:r w:rsidRPr="006B37D5">
        <w:rPr>
          <w:szCs w:val="22"/>
        </w:rPr>
        <w:t>a</w:t>
      </w:r>
      <w:r w:rsidR="00B354FD" w:rsidRPr="006B37D5">
        <w:rPr>
          <w:szCs w:val="22"/>
        </w:rPr>
        <w:t>ssumed that all patients would use this product as their sole source of nutrition; and</w:t>
      </w:r>
    </w:p>
    <w:p w:rsidR="007C76E5" w:rsidRDefault="00B55E01" w:rsidP="00B55E01">
      <w:pPr>
        <w:pStyle w:val="ListParagraph"/>
        <w:numPr>
          <w:ilvl w:val="0"/>
          <w:numId w:val="32"/>
        </w:numPr>
        <w:rPr>
          <w:i/>
          <w:szCs w:val="22"/>
        </w:rPr>
      </w:pPr>
      <w:r w:rsidRPr="006B37D5">
        <w:rPr>
          <w:szCs w:val="22"/>
        </w:rPr>
        <w:t>a</w:t>
      </w:r>
      <w:r w:rsidR="007C76E5" w:rsidRPr="006B37D5">
        <w:rPr>
          <w:szCs w:val="22"/>
        </w:rPr>
        <w:t>ssumed that all patients will pay the general co-payment. This underestimates the total net cost</w:t>
      </w:r>
      <w:r w:rsidR="007C76E5" w:rsidRPr="007C76E5">
        <w:rPr>
          <w:i/>
          <w:szCs w:val="22"/>
        </w:rPr>
        <w:t>.</w:t>
      </w:r>
    </w:p>
    <w:p w:rsidR="007C76E5" w:rsidRDefault="007C76E5" w:rsidP="007C76E5">
      <w:pPr>
        <w:rPr>
          <w:i/>
          <w:szCs w:val="22"/>
        </w:rPr>
      </w:pPr>
    </w:p>
    <w:p w:rsidR="007C76E5" w:rsidRDefault="00664EF9" w:rsidP="00B354FD">
      <w:pPr>
        <w:pStyle w:val="PBACHeading1"/>
        <w:numPr>
          <w:ilvl w:val="1"/>
          <w:numId w:val="18"/>
        </w:numPr>
        <w:rPr>
          <w:b w:val="0"/>
        </w:rPr>
      </w:pPr>
      <w:r w:rsidRPr="006B37D5">
        <w:rPr>
          <w:b w:val="0"/>
        </w:rPr>
        <w:t xml:space="preserve">Given the range of uncertainties noted, it is unclear if the estimated use and financial </w:t>
      </w:r>
      <w:r w:rsidRPr="003B2211">
        <w:rPr>
          <w:b w:val="0"/>
        </w:rPr>
        <w:t>implications presented in the submission are likely to be an under or over estimate.</w:t>
      </w:r>
    </w:p>
    <w:p w:rsidR="003B2211" w:rsidRPr="003B2211" w:rsidRDefault="003B2211" w:rsidP="003B2211">
      <w:pPr>
        <w:pStyle w:val="PBACHeading1"/>
        <w:ind w:left="720"/>
        <w:rPr>
          <w:b w:val="0"/>
        </w:rPr>
      </w:pPr>
    </w:p>
    <w:p w:rsidR="009D3AE2" w:rsidRPr="00DA5296" w:rsidRDefault="009D3AE2" w:rsidP="00A3795A">
      <w:pPr>
        <w:pStyle w:val="Heading2"/>
      </w:pPr>
      <w:r w:rsidRPr="00DA5296">
        <w:t>Quality Use of Medicines</w:t>
      </w:r>
    </w:p>
    <w:p w:rsidR="009D3AE2" w:rsidRPr="00A94BF7" w:rsidRDefault="009D3AE2" w:rsidP="009D3AE2"/>
    <w:p w:rsidR="009D3AE2" w:rsidRPr="00B354FD" w:rsidRDefault="009D3AE2" w:rsidP="009D3AE2">
      <w:pPr>
        <w:pStyle w:val="PBACHeading1"/>
        <w:numPr>
          <w:ilvl w:val="1"/>
          <w:numId w:val="18"/>
        </w:numPr>
      </w:pPr>
      <w:r w:rsidRPr="00B354FD">
        <w:rPr>
          <w:b w:val="0"/>
        </w:rPr>
        <w:t>The</w:t>
      </w:r>
      <w:r w:rsidRPr="00B354FD">
        <w:t xml:space="preserve"> </w:t>
      </w:r>
      <w:r w:rsidRPr="00B354FD">
        <w:rPr>
          <w:b w:val="0"/>
        </w:rPr>
        <w:t>following quality use of medicines issues were identified by the submission:</w:t>
      </w:r>
      <w:r w:rsidRPr="00B354FD">
        <w:t xml:space="preserve"> </w:t>
      </w:r>
    </w:p>
    <w:p w:rsidR="009D3AE2" w:rsidRPr="00B354FD" w:rsidRDefault="009D3AE2" w:rsidP="009D3AE2">
      <w:pPr>
        <w:pStyle w:val="ListParagraph"/>
        <w:numPr>
          <w:ilvl w:val="0"/>
          <w:numId w:val="26"/>
        </w:numPr>
      </w:pPr>
      <w:r w:rsidRPr="00B354FD">
        <w:t>as Nutrini Low Energy Multi Fibre is a ready-to-use nutritionally complete formula, there is no risk of dilution errors or cross contamination associated with use of multiple products;</w:t>
      </w:r>
      <w:r>
        <w:t xml:space="preserve"> and</w:t>
      </w:r>
    </w:p>
    <w:p w:rsidR="009D3AE2" w:rsidRDefault="009D3AE2" w:rsidP="009D3AE2">
      <w:pPr>
        <w:pStyle w:val="ListParagraph"/>
        <w:numPr>
          <w:ilvl w:val="0"/>
          <w:numId w:val="26"/>
        </w:numPr>
      </w:pPr>
      <w:r>
        <w:t>t</w:t>
      </w:r>
      <w:r w:rsidRPr="00B354FD">
        <w:t xml:space="preserve">he current method for diluting standard formula and adding addition supplements is time and labour intensive for parents. This product is more convenient </w:t>
      </w:r>
      <w:r>
        <w:t>to</w:t>
      </w:r>
      <w:r w:rsidRPr="00B354FD">
        <w:t xml:space="preserve"> prepare and administer. </w:t>
      </w:r>
    </w:p>
    <w:p w:rsidR="009D3AE2" w:rsidRDefault="009D3AE2" w:rsidP="00A3795A">
      <w:pPr>
        <w:widowControl/>
        <w:spacing w:line="480" w:lineRule="auto"/>
        <w:jc w:val="left"/>
        <w:rPr>
          <w:rFonts w:ascii="Arial Bold" w:hAnsi="Arial Bold"/>
          <w:b/>
        </w:rPr>
      </w:pPr>
    </w:p>
    <w:p w:rsidR="004911F9" w:rsidRDefault="004911F9" w:rsidP="00A3795A">
      <w:pPr>
        <w:pStyle w:val="Heading1"/>
      </w:pPr>
      <w:r w:rsidRPr="004911F9">
        <w:t>PBAC Outcome</w:t>
      </w:r>
    </w:p>
    <w:p w:rsidR="004911F9" w:rsidRPr="004911F9" w:rsidRDefault="004911F9" w:rsidP="009D3AE2">
      <w:pPr>
        <w:widowControl/>
        <w:jc w:val="left"/>
        <w:rPr>
          <w:rFonts w:ascii="Arial Bold" w:hAnsi="Arial Bold"/>
        </w:rPr>
      </w:pPr>
    </w:p>
    <w:p w:rsidR="00BA7152" w:rsidRPr="00E9734D" w:rsidRDefault="00BA7152" w:rsidP="00E9734D">
      <w:pPr>
        <w:pStyle w:val="PBACHeading1"/>
        <w:numPr>
          <w:ilvl w:val="1"/>
          <w:numId w:val="18"/>
        </w:numPr>
        <w:rPr>
          <w:b w:val="0"/>
        </w:rPr>
      </w:pPr>
      <w:r w:rsidRPr="00E9734D">
        <w:rPr>
          <w:b w:val="0"/>
        </w:rPr>
        <w:t>The PBAC did not recommend the listing of Nutrini Low Energy Multi Fibre on the PBS for children with cerebral palsy</w:t>
      </w:r>
      <w:r w:rsidR="00E9734D" w:rsidRPr="00E9734D">
        <w:rPr>
          <w:b w:val="0"/>
        </w:rPr>
        <w:t xml:space="preserve"> aged 1-12 years </w:t>
      </w:r>
      <w:r w:rsidRPr="00E9734D">
        <w:rPr>
          <w:b w:val="0"/>
        </w:rPr>
        <w:t>due to an uncertain definition of</w:t>
      </w:r>
      <w:r w:rsidR="009B7B45">
        <w:rPr>
          <w:b w:val="0"/>
        </w:rPr>
        <w:t xml:space="preserve"> the</w:t>
      </w:r>
      <w:r w:rsidRPr="00E9734D">
        <w:rPr>
          <w:b w:val="0"/>
        </w:rPr>
        <w:t xml:space="preserve"> patient group likely to benefit from this product and an uncertain clinical need. </w:t>
      </w:r>
    </w:p>
    <w:p w:rsidR="00BA7152" w:rsidRPr="00D11977" w:rsidRDefault="00BA7152" w:rsidP="009D3AE2">
      <w:pPr>
        <w:widowControl/>
        <w:jc w:val="left"/>
        <w:rPr>
          <w:highlight w:val="yellow"/>
        </w:rPr>
      </w:pPr>
    </w:p>
    <w:p w:rsidR="00BA7152" w:rsidRPr="00E9734D" w:rsidRDefault="00FE10CF" w:rsidP="00E9734D">
      <w:pPr>
        <w:pStyle w:val="PBACHeading1"/>
        <w:numPr>
          <w:ilvl w:val="1"/>
          <w:numId w:val="18"/>
        </w:numPr>
        <w:rPr>
          <w:b w:val="0"/>
        </w:rPr>
      </w:pPr>
      <w:r w:rsidRPr="00E9734D">
        <w:rPr>
          <w:b w:val="0"/>
        </w:rPr>
        <w:t>The PBAC noted</w:t>
      </w:r>
      <w:r w:rsidR="00BA7152" w:rsidRPr="00E9734D">
        <w:rPr>
          <w:b w:val="0"/>
        </w:rPr>
        <w:t xml:space="preserve"> and agreed with</w:t>
      </w:r>
      <w:r w:rsidRPr="00E9734D">
        <w:rPr>
          <w:b w:val="0"/>
        </w:rPr>
        <w:t xml:space="preserve"> the advice of the Nutritional Products Working Party (NPWP) that did not support the listing of Nutrini Low Energy Multi Fibre on the PBS, including:</w:t>
      </w:r>
    </w:p>
    <w:p w:rsidR="0063303B" w:rsidRPr="00AA7EF8" w:rsidRDefault="0063303B" w:rsidP="00E9734D">
      <w:pPr>
        <w:widowControl/>
        <w:numPr>
          <w:ilvl w:val="0"/>
          <w:numId w:val="33"/>
        </w:numPr>
        <w:ind w:left="0" w:firstLine="709"/>
      </w:pPr>
      <w:r w:rsidRPr="00AA7EF8">
        <w:t>u</w:t>
      </w:r>
      <w:r>
        <w:t xml:space="preserve">ncertainty about </w:t>
      </w:r>
      <w:r w:rsidRPr="00AA7EF8">
        <w:t>the clinical place for this product</w:t>
      </w:r>
      <w:r w:rsidR="00E9734D">
        <w:t xml:space="preserve">; </w:t>
      </w:r>
    </w:p>
    <w:p w:rsidR="0063303B" w:rsidRPr="00565F44" w:rsidRDefault="0063303B" w:rsidP="009B7B45">
      <w:pPr>
        <w:widowControl/>
        <w:numPr>
          <w:ilvl w:val="0"/>
          <w:numId w:val="33"/>
        </w:numPr>
        <w:tabs>
          <w:tab w:val="left" w:pos="567"/>
        </w:tabs>
        <w:ind w:left="1418" w:hanging="709"/>
      </w:pPr>
      <w:r w:rsidRPr="00565F44">
        <w:t>that the comparator is currently available to patients thro</w:t>
      </w:r>
      <w:r w:rsidR="00E9734D">
        <w:t xml:space="preserve">ugh subsidised </w:t>
      </w:r>
      <w:r>
        <w:t xml:space="preserve">schemes in state and </w:t>
      </w:r>
      <w:r w:rsidRPr="00565F44">
        <w:t xml:space="preserve">territory hospitals, </w:t>
      </w:r>
      <w:r>
        <w:t>and thus the patient is</w:t>
      </w:r>
      <w:r w:rsidRPr="00565F44">
        <w:t xml:space="preserve"> unlikely to</w:t>
      </w:r>
      <w:r>
        <w:t xml:space="preserve"> be paying</w:t>
      </w:r>
      <w:r w:rsidRPr="00565F44">
        <w:t xml:space="preserve"> </w:t>
      </w:r>
      <w:r w:rsidR="00E9734D">
        <w:t xml:space="preserve">the whole cost of the medicine; </w:t>
      </w:r>
    </w:p>
    <w:p w:rsidR="0063303B" w:rsidRDefault="00E9734D" w:rsidP="009B7B45">
      <w:pPr>
        <w:widowControl/>
        <w:numPr>
          <w:ilvl w:val="0"/>
          <w:numId w:val="33"/>
        </w:numPr>
        <w:ind w:left="1418" w:hanging="709"/>
      </w:pPr>
      <w:r>
        <w:t>t</w:t>
      </w:r>
      <w:r w:rsidR="0063303B" w:rsidRPr="00565F44">
        <w:t>he quality of the evidence provided in the submission</w:t>
      </w:r>
      <w:r w:rsidR="0063303B">
        <w:t xml:space="preserve"> was of a low quality and</w:t>
      </w:r>
      <w:r w:rsidR="0063303B" w:rsidRPr="00565F44">
        <w:t xml:space="preserve"> </w:t>
      </w:r>
      <w:r w:rsidR="0063303B">
        <w:t>did not support the clinical claims in the submission:</w:t>
      </w:r>
      <w:r w:rsidR="0063303B" w:rsidRPr="00565F44">
        <w:t xml:space="preserve"> </w:t>
      </w:r>
    </w:p>
    <w:p w:rsidR="00E9734D" w:rsidRDefault="0063303B" w:rsidP="009B7B45">
      <w:pPr>
        <w:widowControl/>
        <w:numPr>
          <w:ilvl w:val="2"/>
          <w:numId w:val="33"/>
        </w:numPr>
      </w:pPr>
      <w:r>
        <w:t xml:space="preserve">Noting the small sample size, the trial participants were not randomised. </w:t>
      </w:r>
    </w:p>
    <w:p w:rsidR="00E9734D" w:rsidRDefault="0063303B" w:rsidP="009B7B45">
      <w:pPr>
        <w:widowControl/>
        <w:numPr>
          <w:ilvl w:val="2"/>
          <w:numId w:val="33"/>
        </w:numPr>
      </w:pPr>
      <w:r>
        <w:t xml:space="preserve">Participants were not overweight (while submission stated that the main clinical benefit was in patients who were overweight). </w:t>
      </w:r>
    </w:p>
    <w:p w:rsidR="00E9734D" w:rsidRDefault="0063303B" w:rsidP="009B7B45">
      <w:pPr>
        <w:widowControl/>
        <w:numPr>
          <w:ilvl w:val="2"/>
          <w:numId w:val="33"/>
        </w:numPr>
      </w:pPr>
      <w:r>
        <w:lastRenderedPageBreak/>
        <w:t xml:space="preserve">Participants appeared to grow normally, without unexpected changes in body fat.  </w:t>
      </w:r>
    </w:p>
    <w:p w:rsidR="0063303B" w:rsidRPr="00565F44" w:rsidRDefault="0063303B" w:rsidP="009B7B45">
      <w:pPr>
        <w:widowControl/>
        <w:numPr>
          <w:ilvl w:val="2"/>
          <w:numId w:val="33"/>
        </w:numPr>
      </w:pPr>
      <w:r>
        <w:t>No evidence was provided for</w:t>
      </w:r>
      <w:r w:rsidRPr="00565F44">
        <w:t xml:space="preserve"> extrapolating the findings to all patients who may qualify for PBS subsidy </w:t>
      </w:r>
    </w:p>
    <w:p w:rsidR="0063303B" w:rsidRPr="00565F44" w:rsidRDefault="00E9734D" w:rsidP="009B7B45">
      <w:pPr>
        <w:widowControl/>
        <w:numPr>
          <w:ilvl w:val="0"/>
          <w:numId w:val="33"/>
        </w:numPr>
        <w:ind w:left="1418" w:hanging="709"/>
      </w:pPr>
      <w:r>
        <w:t>t</w:t>
      </w:r>
      <w:r w:rsidR="0063303B" w:rsidRPr="00565F44">
        <w:t xml:space="preserve">here is a significant risk that the estimated use </w:t>
      </w:r>
      <w:r w:rsidR="0063303B">
        <w:t xml:space="preserve">in the submission </w:t>
      </w:r>
      <w:r w:rsidR="0063303B" w:rsidRPr="00565F44">
        <w:t xml:space="preserve">may underestimate the actual patient population </w:t>
      </w:r>
      <w:r>
        <w:t>and that t</w:t>
      </w:r>
      <w:r w:rsidR="0063303B">
        <w:t xml:space="preserve">here may be use in patients where clinical benefit may not be derived, </w:t>
      </w:r>
      <w:r w:rsidR="0063303B" w:rsidRPr="0008435E">
        <w:t>such as patients with neurological or neurometabolic disorders</w:t>
      </w:r>
      <w:r>
        <w:t xml:space="preserve"> other than cerebral palsy</w:t>
      </w:r>
      <w:r w:rsidR="0063303B" w:rsidRPr="0008435E">
        <w:t>.  These issues a</w:t>
      </w:r>
      <w:r w:rsidR="0063303B">
        <w:t>bout patient numbers lead to an uncertain effect on the financial implications to Government, which are most likely underestimated.</w:t>
      </w:r>
    </w:p>
    <w:p w:rsidR="0063303B" w:rsidRPr="00D11977" w:rsidRDefault="0063303B" w:rsidP="00E9734D">
      <w:pPr>
        <w:widowControl/>
        <w:jc w:val="left"/>
        <w:rPr>
          <w:highlight w:val="yellow"/>
        </w:rPr>
      </w:pPr>
    </w:p>
    <w:p w:rsidR="00E14A42" w:rsidRDefault="00E14A42" w:rsidP="00D2140B">
      <w:pPr>
        <w:pStyle w:val="PBACHeading1"/>
        <w:numPr>
          <w:ilvl w:val="1"/>
          <w:numId w:val="18"/>
        </w:numPr>
        <w:rPr>
          <w:b w:val="0"/>
        </w:rPr>
      </w:pPr>
      <w:r w:rsidRPr="00D2140B">
        <w:rPr>
          <w:b w:val="0"/>
        </w:rPr>
        <w:t>The PBAC noted the revised restriction in the Pre-PBAC response</w:t>
      </w:r>
      <w:r w:rsidR="00575D40">
        <w:rPr>
          <w:b w:val="0"/>
        </w:rPr>
        <w:t xml:space="preserve"> </w:t>
      </w:r>
      <w:r w:rsidR="00052BE0">
        <w:rPr>
          <w:b w:val="0"/>
        </w:rPr>
        <w:t>which proposed</w:t>
      </w:r>
      <w:r w:rsidR="00D2140B" w:rsidRPr="00D2140B">
        <w:rPr>
          <w:b w:val="0"/>
        </w:rPr>
        <w:t xml:space="preserve"> limit</w:t>
      </w:r>
      <w:r w:rsidR="00052BE0">
        <w:rPr>
          <w:b w:val="0"/>
        </w:rPr>
        <w:t>ing</w:t>
      </w:r>
      <w:r w:rsidR="00D2140B" w:rsidRPr="00D2140B">
        <w:rPr>
          <w:b w:val="0"/>
        </w:rPr>
        <w:t xml:space="preserve"> the use of th</w:t>
      </w:r>
      <w:r w:rsidR="009B7B45">
        <w:rPr>
          <w:b w:val="0"/>
        </w:rPr>
        <w:t>e</w:t>
      </w:r>
      <w:r w:rsidR="00D2140B" w:rsidRPr="00D2140B">
        <w:rPr>
          <w:b w:val="0"/>
        </w:rPr>
        <w:t xml:space="preserve"> product to patients with cerebral palsy aged 1-12 years.</w:t>
      </w:r>
      <w:r w:rsidR="00575D40">
        <w:rPr>
          <w:b w:val="0"/>
        </w:rPr>
        <w:t xml:space="preserve"> The PBAC noted that excessive weight gain is unlikely to be a problem for many patients with cerebral palsy and were therefore unclear about the patient group likely to benefit from th</w:t>
      </w:r>
      <w:r w:rsidR="009B7B45">
        <w:rPr>
          <w:b w:val="0"/>
        </w:rPr>
        <w:t>e</w:t>
      </w:r>
      <w:r w:rsidR="00575D40">
        <w:rPr>
          <w:b w:val="0"/>
        </w:rPr>
        <w:t xml:space="preserve"> product. </w:t>
      </w:r>
    </w:p>
    <w:p w:rsidR="00D2140B" w:rsidRDefault="00D2140B" w:rsidP="00D2140B">
      <w:pPr>
        <w:pStyle w:val="PBACHeading1"/>
        <w:ind w:left="720"/>
        <w:rPr>
          <w:b w:val="0"/>
        </w:rPr>
      </w:pPr>
    </w:p>
    <w:p w:rsidR="00D2140B" w:rsidRDefault="00D2140B" w:rsidP="00D2140B">
      <w:pPr>
        <w:pStyle w:val="PBACHeading1"/>
        <w:numPr>
          <w:ilvl w:val="1"/>
          <w:numId w:val="18"/>
        </w:numPr>
        <w:rPr>
          <w:b w:val="0"/>
        </w:rPr>
      </w:pPr>
      <w:r>
        <w:rPr>
          <w:b w:val="0"/>
        </w:rPr>
        <w:t xml:space="preserve">The PBAC noted that currently, nutritional products for patients with medical conditions requiring strict dietary management including metabolic conditions and severe protein intolerance are PBS subsidised. The PBAC considered that non-modified feeds such as Nutrini Low Energy Multi Fibre are not appropriate for inclusion on the PBS. </w:t>
      </w:r>
    </w:p>
    <w:p w:rsidR="007717B5" w:rsidRDefault="007717B5" w:rsidP="007717B5">
      <w:pPr>
        <w:pStyle w:val="ListParagraph"/>
        <w:rPr>
          <w:b/>
        </w:rPr>
      </w:pPr>
    </w:p>
    <w:p w:rsidR="00575D40" w:rsidRDefault="00BA7152" w:rsidP="00C46748">
      <w:pPr>
        <w:pStyle w:val="PBACHeading1"/>
        <w:numPr>
          <w:ilvl w:val="1"/>
          <w:numId w:val="18"/>
        </w:numPr>
        <w:rPr>
          <w:b w:val="0"/>
        </w:rPr>
      </w:pPr>
      <w:r w:rsidRPr="00C46748">
        <w:rPr>
          <w:b w:val="0"/>
        </w:rPr>
        <w:t xml:space="preserve">The PBAC </w:t>
      </w:r>
      <w:r w:rsidR="007717B5" w:rsidRPr="00C46748">
        <w:rPr>
          <w:b w:val="0"/>
        </w:rPr>
        <w:t xml:space="preserve">considered </w:t>
      </w:r>
      <w:r w:rsidRPr="00C46748">
        <w:rPr>
          <w:b w:val="0"/>
        </w:rPr>
        <w:t>that the clinical evidence</w:t>
      </w:r>
      <w:r w:rsidR="00C46748">
        <w:rPr>
          <w:b w:val="0"/>
        </w:rPr>
        <w:t xml:space="preserve"> presented</w:t>
      </w:r>
      <w:r w:rsidRPr="00C46748">
        <w:rPr>
          <w:b w:val="0"/>
        </w:rPr>
        <w:t xml:space="preserve"> to support the p</w:t>
      </w:r>
      <w:r w:rsidR="0024410B" w:rsidRPr="00C46748">
        <w:rPr>
          <w:b w:val="0"/>
        </w:rPr>
        <w:t>roposed listing was inadequate</w:t>
      </w:r>
      <w:r w:rsidR="00C46748" w:rsidRPr="00C46748">
        <w:rPr>
          <w:b w:val="0"/>
        </w:rPr>
        <w:t xml:space="preserve"> due to the</w:t>
      </w:r>
      <w:r w:rsidR="00C46748">
        <w:rPr>
          <w:b w:val="0"/>
        </w:rPr>
        <w:t xml:space="preserve"> small number of patients with follow up results in the feasibility study (n=8)</w:t>
      </w:r>
      <w:r w:rsidR="00C46748" w:rsidRPr="00C46748">
        <w:rPr>
          <w:b w:val="0"/>
        </w:rPr>
        <w:t xml:space="preserve"> </w:t>
      </w:r>
      <w:r w:rsidR="00C46748">
        <w:rPr>
          <w:b w:val="0"/>
        </w:rPr>
        <w:t xml:space="preserve">and </w:t>
      </w:r>
      <w:r w:rsidR="00C46748" w:rsidRPr="00C46748">
        <w:rPr>
          <w:b w:val="0"/>
        </w:rPr>
        <w:t>the lack of comparative evidence</w:t>
      </w:r>
      <w:r w:rsidR="00575D40">
        <w:rPr>
          <w:b w:val="0"/>
        </w:rPr>
        <w:t xml:space="preserve"> to demonstrate the extent of benefits in terms of improved body composition</w:t>
      </w:r>
      <w:r w:rsidR="00C46748" w:rsidRPr="00C46748">
        <w:rPr>
          <w:b w:val="0"/>
        </w:rPr>
        <w:t xml:space="preserve">. The PBAC also noted that patients in </w:t>
      </w:r>
      <w:r w:rsidR="00AB112B">
        <w:rPr>
          <w:b w:val="0"/>
        </w:rPr>
        <w:t xml:space="preserve">the </w:t>
      </w:r>
      <w:r w:rsidR="00C46748">
        <w:rPr>
          <w:b w:val="0"/>
        </w:rPr>
        <w:t>feasibility study</w:t>
      </w:r>
      <w:r w:rsidR="00C46748" w:rsidRPr="00C46748">
        <w:rPr>
          <w:b w:val="0"/>
        </w:rPr>
        <w:t xml:space="preserve"> did not follow</w:t>
      </w:r>
      <w:r w:rsidR="00575D40">
        <w:rPr>
          <w:b w:val="0"/>
        </w:rPr>
        <w:t xml:space="preserve"> the</w:t>
      </w:r>
      <w:r w:rsidR="00C46748" w:rsidRPr="00C46748">
        <w:rPr>
          <w:b w:val="0"/>
        </w:rPr>
        <w:t xml:space="preserve"> clinical algorithm</w:t>
      </w:r>
      <w:r w:rsidR="00C46748">
        <w:rPr>
          <w:b w:val="0"/>
        </w:rPr>
        <w:t xml:space="preserve"> as presented in the submission</w:t>
      </w:r>
      <w:r w:rsidR="00C46748" w:rsidRPr="00C46748">
        <w:rPr>
          <w:b w:val="0"/>
        </w:rPr>
        <w:t xml:space="preserve"> as </w:t>
      </w:r>
      <w:r w:rsidR="00C46748">
        <w:rPr>
          <w:b w:val="0"/>
        </w:rPr>
        <w:t>patients</w:t>
      </w:r>
      <w:r w:rsidR="00C46748" w:rsidRPr="00C46748">
        <w:rPr>
          <w:b w:val="0"/>
        </w:rPr>
        <w:t xml:space="preserve"> were not </w:t>
      </w:r>
      <w:r w:rsidR="00C46748">
        <w:rPr>
          <w:b w:val="0"/>
        </w:rPr>
        <w:t xml:space="preserve">gaining weight too rapidly </w:t>
      </w:r>
      <w:r w:rsidR="00C46748" w:rsidRPr="00C46748">
        <w:rPr>
          <w:b w:val="0"/>
        </w:rPr>
        <w:t>on</w:t>
      </w:r>
      <w:r w:rsidR="00C46748">
        <w:rPr>
          <w:b w:val="0"/>
        </w:rPr>
        <w:t xml:space="preserve"> standard energy formula at </w:t>
      </w:r>
      <w:r w:rsidR="00575D40">
        <w:rPr>
          <w:b w:val="0"/>
        </w:rPr>
        <w:t>the</w:t>
      </w:r>
      <w:r w:rsidR="00C46748">
        <w:rPr>
          <w:b w:val="0"/>
        </w:rPr>
        <w:t xml:space="preserve"> initiation</w:t>
      </w:r>
      <w:r w:rsidR="00575D40">
        <w:rPr>
          <w:b w:val="0"/>
        </w:rPr>
        <w:t xml:space="preserve"> of the study</w:t>
      </w:r>
      <w:r w:rsidR="00C46748">
        <w:rPr>
          <w:b w:val="0"/>
        </w:rPr>
        <w:t xml:space="preserve">. </w:t>
      </w:r>
    </w:p>
    <w:p w:rsidR="00575D40" w:rsidRDefault="00575D40" w:rsidP="00575D40">
      <w:pPr>
        <w:pStyle w:val="ListParagraph"/>
        <w:rPr>
          <w:b/>
        </w:rPr>
      </w:pPr>
    </w:p>
    <w:p w:rsidR="00C46748" w:rsidRDefault="00575D40" w:rsidP="00C46748">
      <w:pPr>
        <w:pStyle w:val="PBACHeading1"/>
        <w:numPr>
          <w:ilvl w:val="1"/>
          <w:numId w:val="18"/>
        </w:numPr>
        <w:rPr>
          <w:b w:val="0"/>
        </w:rPr>
      </w:pPr>
      <w:r>
        <w:rPr>
          <w:b w:val="0"/>
        </w:rPr>
        <w:t>T</w:t>
      </w:r>
      <w:r w:rsidR="00C46748">
        <w:rPr>
          <w:b w:val="0"/>
        </w:rPr>
        <w:t xml:space="preserve">he results of the tolerance study were limited by the small sample size (n=7) and short </w:t>
      </w:r>
      <w:r w:rsidR="009B7B45">
        <w:rPr>
          <w:b w:val="0"/>
        </w:rPr>
        <w:t>duration (4 weeks) however the results</w:t>
      </w:r>
      <w:r w:rsidR="00C46748">
        <w:rPr>
          <w:b w:val="0"/>
        </w:rPr>
        <w:t xml:space="preserve"> may demonstrate a benefit in relieving constipation.</w:t>
      </w:r>
    </w:p>
    <w:p w:rsidR="00C46748" w:rsidRDefault="00C46748" w:rsidP="00C46748">
      <w:pPr>
        <w:pStyle w:val="ListParagraph"/>
        <w:rPr>
          <w:b/>
        </w:rPr>
      </w:pPr>
    </w:p>
    <w:p w:rsidR="00BA7152" w:rsidRDefault="00C46748" w:rsidP="009D3AE2">
      <w:pPr>
        <w:pStyle w:val="PBACHeading1"/>
        <w:numPr>
          <w:ilvl w:val="1"/>
          <w:numId w:val="18"/>
        </w:numPr>
        <w:rPr>
          <w:b w:val="0"/>
        </w:rPr>
      </w:pPr>
      <w:r>
        <w:rPr>
          <w:b w:val="0"/>
        </w:rPr>
        <w:t xml:space="preserve">The PBAC </w:t>
      </w:r>
      <w:r w:rsidR="00052BE0">
        <w:rPr>
          <w:b w:val="0"/>
        </w:rPr>
        <w:t>agreed with the ESC</w:t>
      </w:r>
      <w:r>
        <w:rPr>
          <w:b w:val="0"/>
        </w:rPr>
        <w:t xml:space="preserve"> </w:t>
      </w:r>
      <w:r w:rsidRPr="00C46748">
        <w:rPr>
          <w:b w:val="0"/>
        </w:rPr>
        <w:t xml:space="preserve">that </w:t>
      </w:r>
      <w:r w:rsidR="00BA7152" w:rsidRPr="00C46748">
        <w:rPr>
          <w:b w:val="0"/>
        </w:rPr>
        <w:t xml:space="preserve">sufficient information for both effectiveness and harms </w:t>
      </w:r>
      <w:r w:rsidR="00575D40">
        <w:rPr>
          <w:b w:val="0"/>
        </w:rPr>
        <w:t xml:space="preserve">should be available </w:t>
      </w:r>
      <w:r w:rsidR="00BA7152" w:rsidRPr="00C46748">
        <w:rPr>
          <w:b w:val="0"/>
        </w:rPr>
        <w:t xml:space="preserve">in order to </w:t>
      </w:r>
      <w:r w:rsidR="00575D40">
        <w:rPr>
          <w:b w:val="0"/>
        </w:rPr>
        <w:t xml:space="preserve">robustly </w:t>
      </w:r>
      <w:r w:rsidR="00BA7152" w:rsidRPr="00C46748">
        <w:rPr>
          <w:b w:val="0"/>
        </w:rPr>
        <w:t>assess the clinical claim</w:t>
      </w:r>
      <w:r w:rsidR="00575D40">
        <w:rPr>
          <w:b w:val="0"/>
        </w:rPr>
        <w:t xml:space="preserve">. </w:t>
      </w:r>
    </w:p>
    <w:p w:rsidR="00575D40" w:rsidRDefault="00575D40" w:rsidP="00575D40">
      <w:pPr>
        <w:pStyle w:val="ListParagraph"/>
        <w:rPr>
          <w:b/>
        </w:rPr>
      </w:pPr>
    </w:p>
    <w:p w:rsidR="00575D40" w:rsidRDefault="00575D40" w:rsidP="009D3AE2">
      <w:pPr>
        <w:pStyle w:val="PBACHeading1"/>
        <w:numPr>
          <w:ilvl w:val="1"/>
          <w:numId w:val="18"/>
        </w:numPr>
        <w:rPr>
          <w:b w:val="0"/>
        </w:rPr>
      </w:pPr>
      <w:r>
        <w:rPr>
          <w:b w:val="0"/>
        </w:rPr>
        <w:t xml:space="preserve">The PBAC considered that due to the unclear patient group likely to use this product, the financial impact of listing this product is unknown. </w:t>
      </w:r>
    </w:p>
    <w:p w:rsidR="00575D40" w:rsidRDefault="00575D40" w:rsidP="00575D40">
      <w:pPr>
        <w:pStyle w:val="ListParagraph"/>
        <w:rPr>
          <w:b/>
        </w:rPr>
      </w:pPr>
    </w:p>
    <w:p w:rsidR="00575D40" w:rsidRPr="00C46748" w:rsidRDefault="00575D40" w:rsidP="009D3AE2">
      <w:pPr>
        <w:pStyle w:val="PBACHeading1"/>
        <w:numPr>
          <w:ilvl w:val="1"/>
          <w:numId w:val="18"/>
        </w:numPr>
        <w:rPr>
          <w:b w:val="0"/>
        </w:rPr>
      </w:pPr>
      <w:r>
        <w:rPr>
          <w:b w:val="0"/>
        </w:rPr>
        <w:t xml:space="preserve">The PBAC noted that this submission is eligible for Independent Review. </w:t>
      </w:r>
    </w:p>
    <w:p w:rsidR="00575D40" w:rsidRDefault="00575D40" w:rsidP="009D3AE2">
      <w:pPr>
        <w:widowControl/>
        <w:jc w:val="left"/>
        <w:rPr>
          <w:rFonts w:ascii="Arial Bold" w:hAnsi="Arial Bold"/>
          <w:b/>
        </w:rPr>
      </w:pPr>
    </w:p>
    <w:p w:rsidR="004911F9" w:rsidRPr="00E9734D" w:rsidRDefault="004911F9" w:rsidP="00A3795A">
      <w:pPr>
        <w:pStyle w:val="Heading2"/>
      </w:pPr>
      <w:r w:rsidRPr="00E9734D">
        <w:t>Outcome:</w:t>
      </w:r>
    </w:p>
    <w:p w:rsidR="004911F9" w:rsidRPr="00E9734D" w:rsidRDefault="004911F9" w:rsidP="009D3AE2">
      <w:pPr>
        <w:widowControl/>
        <w:jc w:val="left"/>
      </w:pPr>
      <w:r w:rsidRPr="00E9734D">
        <w:t>Rejected</w:t>
      </w:r>
    </w:p>
    <w:p w:rsidR="004911F9" w:rsidRPr="00D11977" w:rsidRDefault="004911F9" w:rsidP="00A3795A">
      <w:pPr>
        <w:widowControl/>
        <w:spacing w:line="480" w:lineRule="auto"/>
        <w:jc w:val="left"/>
        <w:rPr>
          <w:highlight w:val="yellow"/>
        </w:rPr>
      </w:pPr>
    </w:p>
    <w:p w:rsidR="00574131" w:rsidRDefault="00574131" w:rsidP="00A3795A">
      <w:pPr>
        <w:pStyle w:val="Heading1"/>
        <w:rPr>
          <w:rFonts w:eastAsia="SimSun"/>
        </w:rPr>
      </w:pPr>
      <w:r>
        <w:rPr>
          <w:rFonts w:eastAsia="SimSun"/>
        </w:rPr>
        <w:t>Context for Decision</w:t>
      </w:r>
    </w:p>
    <w:p w:rsidR="00574131" w:rsidRDefault="00574131" w:rsidP="00574131">
      <w:pPr>
        <w:ind w:left="720"/>
        <w:contextualSpacing/>
        <w:rPr>
          <w:b/>
        </w:rPr>
      </w:pPr>
    </w:p>
    <w:p w:rsidR="00574131" w:rsidRDefault="00574131" w:rsidP="00574131">
      <w:pPr>
        <w:ind w:left="720"/>
        <w:rPr>
          <w:bCs/>
          <w:szCs w:val="22"/>
        </w:rPr>
      </w:pPr>
      <w:r>
        <w:rPr>
          <w:bCs/>
          <w:szCs w:val="22"/>
        </w:rPr>
        <w:t xml:space="preserve">The PBAC helps decide whether and, if so, how medicines should be subsidised in Australia. It considers submissions in this context. A PBAC decision not to </w:t>
      </w:r>
      <w:r>
        <w:rPr>
          <w:bCs/>
          <w:szCs w:val="22"/>
        </w:rPr>
        <w:lastRenderedPageBreak/>
        <w:t>recommend listing or not to recommend changing a listing does not represent a final PBAC view about the merits of the medicine. A company can resubmit to the PBAC or seek independent review of the PBAC decision.</w:t>
      </w:r>
    </w:p>
    <w:p w:rsidR="00574131" w:rsidRDefault="00574131" w:rsidP="00A3795A">
      <w:pPr>
        <w:spacing w:line="480" w:lineRule="auto"/>
      </w:pPr>
    </w:p>
    <w:p w:rsidR="00574131" w:rsidRDefault="00574131" w:rsidP="00A3795A">
      <w:pPr>
        <w:pStyle w:val="Heading1"/>
        <w:rPr>
          <w:rFonts w:eastAsia="SimSun"/>
        </w:rPr>
      </w:pPr>
      <w:r>
        <w:rPr>
          <w:rFonts w:eastAsia="SimSun"/>
        </w:rPr>
        <w:t>Sponsor’s Comment</w:t>
      </w:r>
    </w:p>
    <w:p w:rsidR="0068180E" w:rsidRDefault="0068180E" w:rsidP="0068180E">
      <w:pPr>
        <w:pStyle w:val="ListParagraph"/>
        <w:widowControl/>
        <w:rPr>
          <w:rFonts w:eastAsia="SimSun"/>
          <w:b/>
          <w:szCs w:val="22"/>
        </w:rPr>
      </w:pPr>
    </w:p>
    <w:p w:rsidR="0068180E" w:rsidRDefault="0068180E" w:rsidP="0068180E">
      <w:pPr>
        <w:ind w:left="720"/>
        <w:rPr>
          <w:szCs w:val="18"/>
        </w:rPr>
      </w:pPr>
      <w:r>
        <w:rPr>
          <w:szCs w:val="18"/>
        </w:rPr>
        <w:t>Whilst Nutricia is disappointed in the PBAC outcome, we will continue to work with the PBAC on demonstrating the value of Nutrini Low Energy Multi Fibre.</w:t>
      </w:r>
    </w:p>
    <w:p w:rsidR="0068180E" w:rsidRDefault="0068180E" w:rsidP="0068180E">
      <w:pPr>
        <w:rPr>
          <w:szCs w:val="18"/>
        </w:rPr>
      </w:pPr>
    </w:p>
    <w:p w:rsidR="0068180E" w:rsidRDefault="0068180E" w:rsidP="0068180E">
      <w:pPr>
        <w:ind w:left="720"/>
        <w:rPr>
          <w:szCs w:val="18"/>
        </w:rPr>
      </w:pPr>
      <w:r>
        <w:rPr>
          <w:szCs w:val="18"/>
        </w:rPr>
        <w:t xml:space="preserve">Nutricia firmly believes that medical nutrition products, whether modified or non-modified, are important in the nutritional management of patients with a disease, disorder or medical condition and will continue to seek subsidised access for patients. </w:t>
      </w:r>
    </w:p>
    <w:sectPr w:rsidR="0068180E" w:rsidSect="00BB55F7">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D545A2" w15:done="0"/>
  <w15:commentEx w15:paraId="5ABDE20F" w15:done="0"/>
  <w15:commentEx w15:paraId="020FDB35" w15:done="0"/>
  <w15:commentEx w15:paraId="412A8BC4" w15:done="0"/>
  <w15:commentEx w15:paraId="15450053" w15:done="0"/>
  <w15:commentEx w15:paraId="4D04FC54" w15:done="0"/>
  <w15:commentEx w15:paraId="1336DCE7" w15:done="0"/>
  <w15:commentEx w15:paraId="0D4FEF2A" w15:done="0"/>
  <w15:commentEx w15:paraId="0F20F1F5" w15:done="0"/>
  <w15:commentEx w15:paraId="6EB4EAAE" w15:done="0"/>
  <w15:commentEx w15:paraId="1B97FF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44C" w:rsidRDefault="003F744C" w:rsidP="00124A51">
      <w:r>
        <w:separator/>
      </w:r>
    </w:p>
  </w:endnote>
  <w:endnote w:type="continuationSeparator" w:id="0">
    <w:p w:rsidR="003F744C" w:rsidRDefault="003F744C"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44C" w:rsidRDefault="003F74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590463"/>
      <w:docPartObj>
        <w:docPartGallery w:val="Page Numbers (Bottom of Page)"/>
        <w:docPartUnique/>
      </w:docPartObj>
    </w:sdtPr>
    <w:sdtEndPr>
      <w:rPr>
        <w:noProof/>
      </w:rPr>
    </w:sdtEndPr>
    <w:sdtContent>
      <w:p w:rsidR="001D5F66" w:rsidRDefault="001D5F66">
        <w:pPr>
          <w:pStyle w:val="Footer"/>
          <w:jc w:val="center"/>
        </w:pPr>
        <w:r>
          <w:fldChar w:fldCharType="begin"/>
        </w:r>
        <w:r>
          <w:instrText xml:space="preserve"> PAGE   \* MERGEFORMAT </w:instrText>
        </w:r>
        <w:r>
          <w:fldChar w:fldCharType="separate"/>
        </w:r>
        <w:r w:rsidR="009C71F9">
          <w:rPr>
            <w:noProof/>
          </w:rPr>
          <w:t>1</w:t>
        </w:r>
        <w:r>
          <w:rPr>
            <w:noProof/>
          </w:rPr>
          <w:fldChar w:fldCharType="end"/>
        </w:r>
      </w:p>
    </w:sdtContent>
  </w:sdt>
  <w:p w:rsidR="00541E34" w:rsidRDefault="00541E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44C" w:rsidRDefault="003F74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44C" w:rsidRDefault="003F744C" w:rsidP="00124A51">
      <w:r>
        <w:separator/>
      </w:r>
    </w:p>
  </w:footnote>
  <w:footnote w:type="continuationSeparator" w:id="0">
    <w:p w:rsidR="003F744C" w:rsidRDefault="003F744C" w:rsidP="00124A51">
      <w:r>
        <w:continuationSeparator/>
      </w:r>
    </w:p>
  </w:footnote>
  <w:footnote w:id="1">
    <w:p w:rsidR="00C93FC0" w:rsidRPr="00DA5296" w:rsidRDefault="00C93FC0" w:rsidP="00C93FC0">
      <w:pPr>
        <w:pStyle w:val="FootnoteText"/>
        <w:rPr>
          <w:rFonts w:ascii="Arial Narrow" w:hAnsi="Arial Narrow"/>
        </w:rPr>
      </w:pPr>
      <w:r w:rsidRPr="00DA5296">
        <w:rPr>
          <w:rStyle w:val="FootnoteReference"/>
          <w:rFonts w:ascii="Arial Narrow" w:hAnsi="Arial Narrow"/>
          <w:sz w:val="18"/>
        </w:rPr>
        <w:footnoteRef/>
      </w:r>
      <w:r w:rsidRPr="00DA5296">
        <w:rPr>
          <w:rFonts w:ascii="Arial Narrow" w:hAnsi="Arial Narrow"/>
          <w:sz w:val="18"/>
        </w:rPr>
        <w:t xml:space="preserve"> Somerville H, O’Loughlin E. Gastrostomy feeding in cerebral palsy: enough and no more [commentary]. Dev Med Chld Neuro 2010; 52 (12): 1076.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44C" w:rsidRDefault="003F74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131" w:rsidRPr="00DF217D" w:rsidRDefault="00574131" w:rsidP="00574131">
    <w:pPr>
      <w:pStyle w:val="Header"/>
      <w:ind w:left="360"/>
      <w:jc w:val="center"/>
      <w:rPr>
        <w:i/>
        <w:color w:val="808080"/>
      </w:rPr>
    </w:pPr>
    <w:r w:rsidRPr="00E810C7">
      <w:rPr>
        <w:i/>
        <w:color w:val="808080"/>
        <w:szCs w:val="22"/>
      </w:rPr>
      <w:t>Public Summary Document –</w:t>
    </w:r>
    <w:r w:rsidRPr="00DF217D">
      <w:rPr>
        <w:i/>
        <w:color w:val="808080"/>
      </w:rPr>
      <w:t xml:space="preserve"> </w:t>
    </w:r>
    <w:r>
      <w:rPr>
        <w:i/>
        <w:color w:val="808080"/>
      </w:rPr>
      <w:t xml:space="preserve">November 2015 </w:t>
    </w:r>
    <w:r w:rsidRPr="00DF217D">
      <w:rPr>
        <w:i/>
        <w:color w:val="808080"/>
      </w:rPr>
      <w:t>PBAC</w:t>
    </w:r>
    <w:r>
      <w:rPr>
        <w:i/>
        <w:color w:val="808080"/>
      </w:rPr>
      <w:t xml:space="preserve"> </w:t>
    </w:r>
    <w:r w:rsidRPr="00DF217D">
      <w:rPr>
        <w:i/>
        <w:color w:val="808080"/>
      </w:rPr>
      <w:t>Meeting</w:t>
    </w:r>
  </w:p>
  <w:p w:rsidR="002F55DD" w:rsidRPr="00F376C4" w:rsidRDefault="002F55DD" w:rsidP="002F55DD">
    <w:pPr>
      <w:tabs>
        <w:tab w:val="left" w:pos="142"/>
        <w:tab w:val="right" w:pos="9027"/>
      </w:tabs>
      <w:jc w:val="left"/>
      <w:rPr>
        <w:caps/>
        <w:color w:val="BFBFBF" w:themeColor="background1" w:themeShade="B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44C" w:rsidRDefault="003F74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5AB8"/>
    <w:multiLevelType w:val="hybridMultilevel"/>
    <w:tmpl w:val="20A4B8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8D11B9"/>
    <w:multiLevelType w:val="hybridMultilevel"/>
    <w:tmpl w:val="C2663B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DB6EC1"/>
    <w:multiLevelType w:val="hybridMultilevel"/>
    <w:tmpl w:val="4342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754C9"/>
    <w:multiLevelType w:val="hybridMultilevel"/>
    <w:tmpl w:val="756E9C54"/>
    <w:lvl w:ilvl="0" w:tplc="B8B6C624">
      <w:start w:val="1"/>
      <w:numFmt w:val="decimal"/>
      <w:lvlText w:val="%1."/>
      <w:lvlJc w:val="left"/>
      <w:pPr>
        <w:ind w:left="1440" w:hanging="360"/>
      </w:pPr>
      <w:rPr>
        <w:i/>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0B7956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750C1A"/>
    <w:multiLevelType w:val="hybridMultilevel"/>
    <w:tmpl w:val="C99E5F3E"/>
    <w:lvl w:ilvl="0" w:tplc="6F6E4D4A">
      <w:start w:val="1"/>
      <w:numFmt w:val="bullet"/>
      <w:lvlText w:val="o"/>
      <w:lvlJc w:val="left"/>
      <w:pPr>
        <w:tabs>
          <w:tab w:val="num" w:pos="720"/>
        </w:tabs>
        <w:ind w:left="72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A04F9A"/>
    <w:multiLevelType w:val="hybridMultilevel"/>
    <w:tmpl w:val="F5DA2F1C"/>
    <w:lvl w:ilvl="0" w:tplc="FFFFFFFF">
      <w:start w:val="1"/>
      <w:numFmt w:val="bullet"/>
      <w:lvlText w:val=""/>
      <w:lvlJc w:val="left"/>
      <w:pPr>
        <w:tabs>
          <w:tab w:val="num" w:pos="720"/>
        </w:tabs>
        <w:ind w:left="720" w:hanging="360"/>
      </w:pPr>
      <w:rPr>
        <w:rFonts w:ascii="Symbol" w:hAnsi="Symbol" w:hint="default"/>
      </w:rPr>
    </w:lvl>
    <w:lvl w:ilvl="1" w:tplc="F488CFD6">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D987DAD"/>
    <w:multiLevelType w:val="hybridMultilevel"/>
    <w:tmpl w:val="31F600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22A556D1"/>
    <w:multiLevelType w:val="hybridMultilevel"/>
    <w:tmpl w:val="FE9419F2"/>
    <w:lvl w:ilvl="0" w:tplc="1DD6E35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6A42768"/>
    <w:multiLevelType w:val="hybridMultilevel"/>
    <w:tmpl w:val="12C0BAB6"/>
    <w:lvl w:ilvl="0" w:tplc="1E44919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9"/>
        </w:tabs>
        <w:ind w:left="1209" w:hanging="360"/>
      </w:pPr>
      <w:rPr>
        <w:rFonts w:ascii="Courier New" w:hAnsi="Courier New" w:cs="Courier New" w:hint="default"/>
      </w:rPr>
    </w:lvl>
    <w:lvl w:ilvl="2" w:tplc="04090005" w:tentative="1">
      <w:start w:val="1"/>
      <w:numFmt w:val="bullet"/>
      <w:lvlText w:val=""/>
      <w:lvlJc w:val="left"/>
      <w:pPr>
        <w:tabs>
          <w:tab w:val="num" w:pos="1929"/>
        </w:tabs>
        <w:ind w:left="1929" w:hanging="360"/>
      </w:pPr>
      <w:rPr>
        <w:rFonts w:ascii="Wingdings" w:hAnsi="Wingdings" w:hint="default"/>
      </w:rPr>
    </w:lvl>
    <w:lvl w:ilvl="3" w:tplc="04090001" w:tentative="1">
      <w:start w:val="1"/>
      <w:numFmt w:val="bullet"/>
      <w:lvlText w:val=""/>
      <w:lvlJc w:val="left"/>
      <w:pPr>
        <w:tabs>
          <w:tab w:val="num" w:pos="2649"/>
        </w:tabs>
        <w:ind w:left="2649" w:hanging="360"/>
      </w:pPr>
      <w:rPr>
        <w:rFonts w:ascii="Symbol" w:hAnsi="Symbol" w:hint="default"/>
      </w:rPr>
    </w:lvl>
    <w:lvl w:ilvl="4" w:tplc="04090003" w:tentative="1">
      <w:start w:val="1"/>
      <w:numFmt w:val="bullet"/>
      <w:lvlText w:val="o"/>
      <w:lvlJc w:val="left"/>
      <w:pPr>
        <w:tabs>
          <w:tab w:val="num" w:pos="3369"/>
        </w:tabs>
        <w:ind w:left="3369" w:hanging="360"/>
      </w:pPr>
      <w:rPr>
        <w:rFonts w:ascii="Courier New" w:hAnsi="Courier New" w:cs="Courier New" w:hint="default"/>
      </w:rPr>
    </w:lvl>
    <w:lvl w:ilvl="5" w:tplc="04090005" w:tentative="1">
      <w:start w:val="1"/>
      <w:numFmt w:val="bullet"/>
      <w:lvlText w:val=""/>
      <w:lvlJc w:val="left"/>
      <w:pPr>
        <w:tabs>
          <w:tab w:val="num" w:pos="4089"/>
        </w:tabs>
        <w:ind w:left="4089" w:hanging="360"/>
      </w:pPr>
      <w:rPr>
        <w:rFonts w:ascii="Wingdings" w:hAnsi="Wingdings" w:hint="default"/>
      </w:rPr>
    </w:lvl>
    <w:lvl w:ilvl="6" w:tplc="04090001" w:tentative="1">
      <w:start w:val="1"/>
      <w:numFmt w:val="bullet"/>
      <w:lvlText w:val=""/>
      <w:lvlJc w:val="left"/>
      <w:pPr>
        <w:tabs>
          <w:tab w:val="num" w:pos="4809"/>
        </w:tabs>
        <w:ind w:left="4809" w:hanging="360"/>
      </w:pPr>
      <w:rPr>
        <w:rFonts w:ascii="Symbol" w:hAnsi="Symbol" w:hint="default"/>
      </w:rPr>
    </w:lvl>
    <w:lvl w:ilvl="7" w:tplc="04090003" w:tentative="1">
      <w:start w:val="1"/>
      <w:numFmt w:val="bullet"/>
      <w:lvlText w:val="o"/>
      <w:lvlJc w:val="left"/>
      <w:pPr>
        <w:tabs>
          <w:tab w:val="num" w:pos="5529"/>
        </w:tabs>
        <w:ind w:left="5529" w:hanging="360"/>
      </w:pPr>
      <w:rPr>
        <w:rFonts w:ascii="Courier New" w:hAnsi="Courier New" w:cs="Courier New" w:hint="default"/>
      </w:rPr>
    </w:lvl>
    <w:lvl w:ilvl="8" w:tplc="04090005" w:tentative="1">
      <w:start w:val="1"/>
      <w:numFmt w:val="bullet"/>
      <w:lvlText w:val=""/>
      <w:lvlJc w:val="left"/>
      <w:pPr>
        <w:tabs>
          <w:tab w:val="num" w:pos="6249"/>
        </w:tabs>
        <w:ind w:left="6249" w:hanging="360"/>
      </w:pPr>
      <w:rPr>
        <w:rFonts w:ascii="Wingdings" w:hAnsi="Wingdings" w:hint="default"/>
      </w:rPr>
    </w:lvl>
  </w:abstractNum>
  <w:abstractNum w:abstractNumId="10">
    <w:nsid w:val="285041AE"/>
    <w:multiLevelType w:val="hybridMultilevel"/>
    <w:tmpl w:val="C6183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11">
    <w:nsid w:val="28893989"/>
    <w:multiLevelType w:val="hybridMultilevel"/>
    <w:tmpl w:val="DF9AB36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1C62850"/>
    <w:multiLevelType w:val="hybridMultilevel"/>
    <w:tmpl w:val="EB4ED51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5E006C1"/>
    <w:multiLevelType w:val="hybridMultilevel"/>
    <w:tmpl w:val="8ADCAF52"/>
    <w:lvl w:ilvl="0" w:tplc="1E44919A">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B7C34E2"/>
    <w:multiLevelType w:val="hybridMultilevel"/>
    <w:tmpl w:val="1F80B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C030B40"/>
    <w:multiLevelType w:val="hybridMultilevel"/>
    <w:tmpl w:val="B896CC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7">
    <w:nsid w:val="3FBC5420"/>
    <w:multiLevelType w:val="hybridMultilevel"/>
    <w:tmpl w:val="055A8C54"/>
    <w:lvl w:ilvl="0" w:tplc="14CC47DA">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0E253D1"/>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9">
    <w:nsid w:val="41011384"/>
    <w:multiLevelType w:val="hybridMultilevel"/>
    <w:tmpl w:val="308E2DE2"/>
    <w:lvl w:ilvl="0" w:tplc="5C22184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6F73ACD"/>
    <w:multiLevelType w:val="hybridMultilevel"/>
    <w:tmpl w:val="F0C8F37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87A3262"/>
    <w:multiLevelType w:val="hybridMultilevel"/>
    <w:tmpl w:val="7D14E786"/>
    <w:lvl w:ilvl="0" w:tplc="5268E038">
      <w:start w:val="4"/>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3">
    <w:nsid w:val="4F2E592A"/>
    <w:multiLevelType w:val="hybridMultilevel"/>
    <w:tmpl w:val="0EDC921E"/>
    <w:lvl w:ilvl="0" w:tplc="FAE609D2">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F9E2CAB"/>
    <w:multiLevelType w:val="multilevel"/>
    <w:tmpl w:val="2CA882A8"/>
    <w:lvl w:ilvl="0">
      <w:start w:val="1"/>
      <w:numFmt w:val="decimal"/>
      <w:lvlText w:val="%1"/>
      <w:lvlJc w:val="left"/>
      <w:pPr>
        <w:ind w:left="720" w:hanging="720"/>
      </w:pPr>
      <w:rPr>
        <w:rFonts w:cs="Times New Roman" w:hint="default"/>
        <w:b/>
      </w:rPr>
    </w:lvl>
    <w:lvl w:ilvl="1">
      <w:start w:val="1"/>
      <w:numFmt w:val="decimal"/>
      <w:lvlText w:val="%1.%2"/>
      <w:lvlJc w:val="left"/>
      <w:pPr>
        <w:ind w:left="720" w:hanging="72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5CE03714"/>
    <w:multiLevelType w:val="hybridMultilevel"/>
    <w:tmpl w:val="529227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6187187"/>
    <w:multiLevelType w:val="hybridMultilevel"/>
    <w:tmpl w:val="383221B4"/>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8">
    <w:nsid w:val="68FF57A7"/>
    <w:multiLevelType w:val="hybridMultilevel"/>
    <w:tmpl w:val="C6B233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566237F"/>
    <w:multiLevelType w:val="hybridMultilevel"/>
    <w:tmpl w:val="0C3CD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84D033C"/>
    <w:multiLevelType w:val="multilevel"/>
    <w:tmpl w:val="307C53B0"/>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EF55792"/>
    <w:multiLevelType w:val="hybridMultilevel"/>
    <w:tmpl w:val="70A6F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F3328A7"/>
    <w:multiLevelType w:val="hybridMultilevel"/>
    <w:tmpl w:val="7A36081E"/>
    <w:lvl w:ilvl="0" w:tplc="6F6E4D4A">
      <w:start w:val="1"/>
      <w:numFmt w:val="bullet"/>
      <w:lvlText w:val="o"/>
      <w:lvlJc w:val="left"/>
      <w:pPr>
        <w:tabs>
          <w:tab w:val="num" w:pos="720"/>
        </w:tabs>
        <w:ind w:left="720" w:hanging="360"/>
      </w:pPr>
      <w:rPr>
        <w:rFonts w:ascii="Courier New" w:hAnsi="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26"/>
  </w:num>
  <w:num w:numId="4">
    <w:abstractNumId w:val="4"/>
  </w:num>
  <w:num w:numId="5">
    <w:abstractNumId w:val="16"/>
  </w:num>
  <w:num w:numId="6">
    <w:abstractNumId w:val="13"/>
  </w:num>
  <w:num w:numId="7">
    <w:abstractNumId w:val="27"/>
  </w:num>
  <w:num w:numId="8">
    <w:abstractNumId w:val="29"/>
  </w:num>
  <w:num w:numId="9">
    <w:abstractNumId w:val="10"/>
  </w:num>
  <w:num w:numId="10">
    <w:abstractNumId w:val="9"/>
  </w:num>
  <w:num w:numId="11">
    <w:abstractNumId w:val="5"/>
  </w:num>
  <w:num w:numId="12">
    <w:abstractNumId w:val="32"/>
  </w:num>
  <w:num w:numId="13">
    <w:abstractNumId w:val="22"/>
  </w:num>
  <w:num w:numId="14">
    <w:abstractNumId w:val="18"/>
  </w:num>
  <w:num w:numId="15">
    <w:abstractNumId w:val="31"/>
  </w:num>
  <w:num w:numId="16">
    <w:abstractNumId w:val="14"/>
  </w:num>
  <w:num w:numId="17">
    <w:abstractNumId w:val="2"/>
  </w:num>
  <w:num w:numId="18">
    <w:abstractNumId w:val="30"/>
  </w:num>
  <w:num w:numId="19">
    <w:abstractNumId w:val="1"/>
  </w:num>
  <w:num w:numId="20">
    <w:abstractNumId w:val="3"/>
  </w:num>
  <w:num w:numId="21">
    <w:abstractNumId w:val="12"/>
  </w:num>
  <w:num w:numId="22">
    <w:abstractNumId w:val="8"/>
  </w:num>
  <w:num w:numId="23">
    <w:abstractNumId w:val="25"/>
  </w:num>
  <w:num w:numId="24">
    <w:abstractNumId w:val="28"/>
  </w:num>
  <w:num w:numId="25">
    <w:abstractNumId w:val="24"/>
  </w:num>
  <w:num w:numId="26">
    <w:abstractNumId w:val="15"/>
  </w:num>
  <w:num w:numId="27">
    <w:abstractNumId w:val="21"/>
  </w:num>
  <w:num w:numId="28">
    <w:abstractNumId w:val="23"/>
  </w:num>
  <w:num w:numId="29">
    <w:abstractNumId w:val="19"/>
  </w:num>
  <w:num w:numId="30">
    <w:abstractNumId w:val="17"/>
  </w:num>
  <w:num w:numId="31">
    <w:abstractNumId w:val="11"/>
  </w:num>
  <w:num w:numId="32">
    <w:abstractNumId w:val="7"/>
  </w:num>
  <w:num w:numId="3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us Tan">
    <w15:presenceInfo w15:providerId="AD" w15:userId="S-1-5-21-248963057-614103661-3067232799-296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934"/>
    <w:rsid w:val="00000A27"/>
    <w:rsid w:val="0000110B"/>
    <w:rsid w:val="00006A71"/>
    <w:rsid w:val="000107D5"/>
    <w:rsid w:val="00013247"/>
    <w:rsid w:val="00014C08"/>
    <w:rsid w:val="00014E4E"/>
    <w:rsid w:val="00015886"/>
    <w:rsid w:val="000162EF"/>
    <w:rsid w:val="000201DF"/>
    <w:rsid w:val="00020B92"/>
    <w:rsid w:val="00020DBE"/>
    <w:rsid w:val="00022004"/>
    <w:rsid w:val="0002225F"/>
    <w:rsid w:val="00023186"/>
    <w:rsid w:val="000235BA"/>
    <w:rsid w:val="00023763"/>
    <w:rsid w:val="00026359"/>
    <w:rsid w:val="00026851"/>
    <w:rsid w:val="00027D80"/>
    <w:rsid w:val="00032DD0"/>
    <w:rsid w:val="00037FE7"/>
    <w:rsid w:val="00040895"/>
    <w:rsid w:val="00042C9B"/>
    <w:rsid w:val="00043C37"/>
    <w:rsid w:val="00044BB9"/>
    <w:rsid w:val="00050AF9"/>
    <w:rsid w:val="00052BE0"/>
    <w:rsid w:val="000539FE"/>
    <w:rsid w:val="000546D7"/>
    <w:rsid w:val="00054A29"/>
    <w:rsid w:val="00061C56"/>
    <w:rsid w:val="00062B91"/>
    <w:rsid w:val="000677F2"/>
    <w:rsid w:val="00071248"/>
    <w:rsid w:val="000720B9"/>
    <w:rsid w:val="000812CA"/>
    <w:rsid w:val="00090C7E"/>
    <w:rsid w:val="000A264B"/>
    <w:rsid w:val="000A2B35"/>
    <w:rsid w:val="000B340C"/>
    <w:rsid w:val="000C42B8"/>
    <w:rsid w:val="000D1BFC"/>
    <w:rsid w:val="000D1FB9"/>
    <w:rsid w:val="000D3D9B"/>
    <w:rsid w:val="000D6EB8"/>
    <w:rsid w:val="000D7085"/>
    <w:rsid w:val="000E2EDE"/>
    <w:rsid w:val="000F4708"/>
    <w:rsid w:val="00100016"/>
    <w:rsid w:val="00100F8A"/>
    <w:rsid w:val="00104321"/>
    <w:rsid w:val="001064BE"/>
    <w:rsid w:val="001065E8"/>
    <w:rsid w:val="0011032E"/>
    <w:rsid w:val="001179F6"/>
    <w:rsid w:val="00121799"/>
    <w:rsid w:val="001222FC"/>
    <w:rsid w:val="00124A51"/>
    <w:rsid w:val="00126371"/>
    <w:rsid w:val="00126621"/>
    <w:rsid w:val="001301E9"/>
    <w:rsid w:val="00137645"/>
    <w:rsid w:val="00140E99"/>
    <w:rsid w:val="00141CA2"/>
    <w:rsid w:val="00141CF5"/>
    <w:rsid w:val="00157130"/>
    <w:rsid w:val="0016421C"/>
    <w:rsid w:val="001661FB"/>
    <w:rsid w:val="00166327"/>
    <w:rsid w:val="00167F2D"/>
    <w:rsid w:val="00171987"/>
    <w:rsid w:val="00177122"/>
    <w:rsid w:val="00181CB4"/>
    <w:rsid w:val="00186F05"/>
    <w:rsid w:val="00187F21"/>
    <w:rsid w:val="00192F4F"/>
    <w:rsid w:val="00195222"/>
    <w:rsid w:val="00195377"/>
    <w:rsid w:val="001975D8"/>
    <w:rsid w:val="00197B54"/>
    <w:rsid w:val="001A3F75"/>
    <w:rsid w:val="001A5E9E"/>
    <w:rsid w:val="001B3443"/>
    <w:rsid w:val="001C1B39"/>
    <w:rsid w:val="001C4D6A"/>
    <w:rsid w:val="001C6E66"/>
    <w:rsid w:val="001D196D"/>
    <w:rsid w:val="001D5F66"/>
    <w:rsid w:val="001E3A38"/>
    <w:rsid w:val="001E4400"/>
    <w:rsid w:val="001E52EB"/>
    <w:rsid w:val="001E74AA"/>
    <w:rsid w:val="001F1235"/>
    <w:rsid w:val="001F1CB3"/>
    <w:rsid w:val="001F7361"/>
    <w:rsid w:val="00201C26"/>
    <w:rsid w:val="002105C1"/>
    <w:rsid w:val="00211714"/>
    <w:rsid w:val="00213497"/>
    <w:rsid w:val="002174C4"/>
    <w:rsid w:val="00223B49"/>
    <w:rsid w:val="00223F91"/>
    <w:rsid w:val="00224416"/>
    <w:rsid w:val="00224DD4"/>
    <w:rsid w:val="00227839"/>
    <w:rsid w:val="002309CC"/>
    <w:rsid w:val="00230D08"/>
    <w:rsid w:val="00234F18"/>
    <w:rsid w:val="0024410B"/>
    <w:rsid w:val="002448E1"/>
    <w:rsid w:val="002512D0"/>
    <w:rsid w:val="0025284C"/>
    <w:rsid w:val="0025534B"/>
    <w:rsid w:val="00255BB7"/>
    <w:rsid w:val="00261244"/>
    <w:rsid w:val="00262A87"/>
    <w:rsid w:val="00265990"/>
    <w:rsid w:val="00277531"/>
    <w:rsid w:val="00283ADA"/>
    <w:rsid w:val="00291CC0"/>
    <w:rsid w:val="00295980"/>
    <w:rsid w:val="002A14AB"/>
    <w:rsid w:val="002A2BEC"/>
    <w:rsid w:val="002A4B97"/>
    <w:rsid w:val="002A536C"/>
    <w:rsid w:val="002B1C1F"/>
    <w:rsid w:val="002B432F"/>
    <w:rsid w:val="002B5354"/>
    <w:rsid w:val="002B5817"/>
    <w:rsid w:val="002B6CCE"/>
    <w:rsid w:val="002C0934"/>
    <w:rsid w:val="002C2050"/>
    <w:rsid w:val="002C27C1"/>
    <w:rsid w:val="002C33B3"/>
    <w:rsid w:val="002C75C2"/>
    <w:rsid w:val="002D1C80"/>
    <w:rsid w:val="002D3779"/>
    <w:rsid w:val="002D4ED8"/>
    <w:rsid w:val="002E5A44"/>
    <w:rsid w:val="002F43FE"/>
    <w:rsid w:val="002F55DD"/>
    <w:rsid w:val="002F586E"/>
    <w:rsid w:val="002F6F78"/>
    <w:rsid w:val="00301017"/>
    <w:rsid w:val="00306715"/>
    <w:rsid w:val="0030786C"/>
    <w:rsid w:val="0031031A"/>
    <w:rsid w:val="00310E8E"/>
    <w:rsid w:val="00315498"/>
    <w:rsid w:val="00317652"/>
    <w:rsid w:val="003366C9"/>
    <w:rsid w:val="00337FB4"/>
    <w:rsid w:val="00343A4F"/>
    <w:rsid w:val="00343CA9"/>
    <w:rsid w:val="00351855"/>
    <w:rsid w:val="00352A43"/>
    <w:rsid w:val="00353BEA"/>
    <w:rsid w:val="0035620E"/>
    <w:rsid w:val="00357AA6"/>
    <w:rsid w:val="00367F2C"/>
    <w:rsid w:val="003740F9"/>
    <w:rsid w:val="00374E3A"/>
    <w:rsid w:val="0037783D"/>
    <w:rsid w:val="00381339"/>
    <w:rsid w:val="00382B56"/>
    <w:rsid w:val="00383088"/>
    <w:rsid w:val="0038353D"/>
    <w:rsid w:val="0038365C"/>
    <w:rsid w:val="003963FB"/>
    <w:rsid w:val="00396FD0"/>
    <w:rsid w:val="003A0FE0"/>
    <w:rsid w:val="003A1A7A"/>
    <w:rsid w:val="003A7D62"/>
    <w:rsid w:val="003B2211"/>
    <w:rsid w:val="003B3CDA"/>
    <w:rsid w:val="003B7E3B"/>
    <w:rsid w:val="003C21AF"/>
    <w:rsid w:val="003D1828"/>
    <w:rsid w:val="003D23AE"/>
    <w:rsid w:val="003D2422"/>
    <w:rsid w:val="003D2A6C"/>
    <w:rsid w:val="003D7E5E"/>
    <w:rsid w:val="003E099B"/>
    <w:rsid w:val="003E130E"/>
    <w:rsid w:val="003F1883"/>
    <w:rsid w:val="003F1C74"/>
    <w:rsid w:val="003F4156"/>
    <w:rsid w:val="003F6133"/>
    <w:rsid w:val="003F744C"/>
    <w:rsid w:val="00410EC7"/>
    <w:rsid w:val="00414476"/>
    <w:rsid w:val="00420B9F"/>
    <w:rsid w:val="004319F8"/>
    <w:rsid w:val="00434B4E"/>
    <w:rsid w:val="0044399A"/>
    <w:rsid w:val="004443A7"/>
    <w:rsid w:val="004459F2"/>
    <w:rsid w:val="004464EB"/>
    <w:rsid w:val="004518CF"/>
    <w:rsid w:val="00453129"/>
    <w:rsid w:val="00455D45"/>
    <w:rsid w:val="004561D7"/>
    <w:rsid w:val="00457130"/>
    <w:rsid w:val="004610F8"/>
    <w:rsid w:val="00462F09"/>
    <w:rsid w:val="00464595"/>
    <w:rsid w:val="00467ECC"/>
    <w:rsid w:val="00477E41"/>
    <w:rsid w:val="00484B4E"/>
    <w:rsid w:val="004867E2"/>
    <w:rsid w:val="00487C07"/>
    <w:rsid w:val="004911F9"/>
    <w:rsid w:val="004922CA"/>
    <w:rsid w:val="004927C3"/>
    <w:rsid w:val="004A0DA1"/>
    <w:rsid w:val="004A6597"/>
    <w:rsid w:val="004A7747"/>
    <w:rsid w:val="004B04BF"/>
    <w:rsid w:val="004B2F18"/>
    <w:rsid w:val="004B3479"/>
    <w:rsid w:val="004B3DDB"/>
    <w:rsid w:val="004B44FD"/>
    <w:rsid w:val="004B5CFC"/>
    <w:rsid w:val="004B6698"/>
    <w:rsid w:val="004B75CA"/>
    <w:rsid w:val="004C0922"/>
    <w:rsid w:val="004C26B8"/>
    <w:rsid w:val="004C4AED"/>
    <w:rsid w:val="004C4D4B"/>
    <w:rsid w:val="004D4F77"/>
    <w:rsid w:val="004E2479"/>
    <w:rsid w:val="004E2ADC"/>
    <w:rsid w:val="004F0609"/>
    <w:rsid w:val="004F0849"/>
    <w:rsid w:val="004F1D02"/>
    <w:rsid w:val="004F2679"/>
    <w:rsid w:val="004F3F89"/>
    <w:rsid w:val="005006A3"/>
    <w:rsid w:val="005010D2"/>
    <w:rsid w:val="0050414D"/>
    <w:rsid w:val="005073C8"/>
    <w:rsid w:val="005152B5"/>
    <w:rsid w:val="00517732"/>
    <w:rsid w:val="00521319"/>
    <w:rsid w:val="00523C28"/>
    <w:rsid w:val="005250DE"/>
    <w:rsid w:val="00536663"/>
    <w:rsid w:val="00537EDA"/>
    <w:rsid w:val="00540953"/>
    <w:rsid w:val="00541E34"/>
    <w:rsid w:val="005425F5"/>
    <w:rsid w:val="00550F22"/>
    <w:rsid w:val="00555109"/>
    <w:rsid w:val="0056696F"/>
    <w:rsid w:val="00573BE4"/>
    <w:rsid w:val="00574131"/>
    <w:rsid w:val="00575D40"/>
    <w:rsid w:val="005760CB"/>
    <w:rsid w:val="005818F8"/>
    <w:rsid w:val="00583699"/>
    <w:rsid w:val="00590AAA"/>
    <w:rsid w:val="005926E4"/>
    <w:rsid w:val="00592B26"/>
    <w:rsid w:val="005953F7"/>
    <w:rsid w:val="005970EF"/>
    <w:rsid w:val="005A1A7B"/>
    <w:rsid w:val="005A2061"/>
    <w:rsid w:val="005A5284"/>
    <w:rsid w:val="005A6E40"/>
    <w:rsid w:val="005B5857"/>
    <w:rsid w:val="005C195F"/>
    <w:rsid w:val="005C346B"/>
    <w:rsid w:val="005D18AD"/>
    <w:rsid w:val="005D1BCA"/>
    <w:rsid w:val="005D4576"/>
    <w:rsid w:val="005D4717"/>
    <w:rsid w:val="005D5A4E"/>
    <w:rsid w:val="005E0FEC"/>
    <w:rsid w:val="005F0CA3"/>
    <w:rsid w:val="005F2706"/>
    <w:rsid w:val="005F6A8F"/>
    <w:rsid w:val="005F7AFF"/>
    <w:rsid w:val="00606C39"/>
    <w:rsid w:val="00607669"/>
    <w:rsid w:val="00607AD4"/>
    <w:rsid w:val="006127C0"/>
    <w:rsid w:val="00612F97"/>
    <w:rsid w:val="00615B7B"/>
    <w:rsid w:val="00616802"/>
    <w:rsid w:val="00621477"/>
    <w:rsid w:val="00631D6B"/>
    <w:rsid w:val="0063274A"/>
    <w:rsid w:val="0063303B"/>
    <w:rsid w:val="0063479F"/>
    <w:rsid w:val="006364A1"/>
    <w:rsid w:val="00637BFD"/>
    <w:rsid w:val="00641FD2"/>
    <w:rsid w:val="00645108"/>
    <w:rsid w:val="006471CC"/>
    <w:rsid w:val="0065079F"/>
    <w:rsid w:val="006507D7"/>
    <w:rsid w:val="006510A0"/>
    <w:rsid w:val="00657812"/>
    <w:rsid w:val="0066386D"/>
    <w:rsid w:val="00664EF9"/>
    <w:rsid w:val="00674E42"/>
    <w:rsid w:val="00675AD4"/>
    <w:rsid w:val="00677869"/>
    <w:rsid w:val="006778A8"/>
    <w:rsid w:val="0068180E"/>
    <w:rsid w:val="00681D72"/>
    <w:rsid w:val="00682112"/>
    <w:rsid w:val="00682322"/>
    <w:rsid w:val="00692A8F"/>
    <w:rsid w:val="00693798"/>
    <w:rsid w:val="00693813"/>
    <w:rsid w:val="006955DA"/>
    <w:rsid w:val="00696873"/>
    <w:rsid w:val="006A5BA3"/>
    <w:rsid w:val="006B37D5"/>
    <w:rsid w:val="006C0128"/>
    <w:rsid w:val="006C0523"/>
    <w:rsid w:val="006C2A8E"/>
    <w:rsid w:val="006C57F1"/>
    <w:rsid w:val="006C7948"/>
    <w:rsid w:val="006D3C7D"/>
    <w:rsid w:val="006D5C17"/>
    <w:rsid w:val="006E2755"/>
    <w:rsid w:val="006F226B"/>
    <w:rsid w:val="006F63A5"/>
    <w:rsid w:val="00700FBA"/>
    <w:rsid w:val="0070276E"/>
    <w:rsid w:val="00707FF7"/>
    <w:rsid w:val="00711A36"/>
    <w:rsid w:val="007172AD"/>
    <w:rsid w:val="00724157"/>
    <w:rsid w:val="00724E62"/>
    <w:rsid w:val="00724EFC"/>
    <w:rsid w:val="00730B89"/>
    <w:rsid w:val="00735328"/>
    <w:rsid w:val="0073685B"/>
    <w:rsid w:val="00742C08"/>
    <w:rsid w:val="00742EF5"/>
    <w:rsid w:val="00750063"/>
    <w:rsid w:val="00750FA4"/>
    <w:rsid w:val="0075497D"/>
    <w:rsid w:val="00756B85"/>
    <w:rsid w:val="00757BB8"/>
    <w:rsid w:val="007624ED"/>
    <w:rsid w:val="00765ACB"/>
    <w:rsid w:val="007713D2"/>
    <w:rsid w:val="007717B5"/>
    <w:rsid w:val="00776356"/>
    <w:rsid w:val="00777957"/>
    <w:rsid w:val="00787539"/>
    <w:rsid w:val="007A0DFF"/>
    <w:rsid w:val="007A72D1"/>
    <w:rsid w:val="007B251D"/>
    <w:rsid w:val="007B75E5"/>
    <w:rsid w:val="007B77D1"/>
    <w:rsid w:val="007C3A90"/>
    <w:rsid w:val="007C3F61"/>
    <w:rsid w:val="007C4B1E"/>
    <w:rsid w:val="007C76E5"/>
    <w:rsid w:val="007D0B38"/>
    <w:rsid w:val="007D62A7"/>
    <w:rsid w:val="007E33F8"/>
    <w:rsid w:val="007E3DA0"/>
    <w:rsid w:val="007E4E60"/>
    <w:rsid w:val="007E5E12"/>
    <w:rsid w:val="007F012E"/>
    <w:rsid w:val="007F2928"/>
    <w:rsid w:val="007F42D1"/>
    <w:rsid w:val="0080233A"/>
    <w:rsid w:val="00802902"/>
    <w:rsid w:val="00803D31"/>
    <w:rsid w:val="00805142"/>
    <w:rsid w:val="00807A8B"/>
    <w:rsid w:val="00812149"/>
    <w:rsid w:val="008166EF"/>
    <w:rsid w:val="00817EA1"/>
    <w:rsid w:val="00817F21"/>
    <w:rsid w:val="00826441"/>
    <w:rsid w:val="008264EB"/>
    <w:rsid w:val="008272EF"/>
    <w:rsid w:val="008279C7"/>
    <w:rsid w:val="00833829"/>
    <w:rsid w:val="008346B7"/>
    <w:rsid w:val="008358EE"/>
    <w:rsid w:val="00840CA2"/>
    <w:rsid w:val="00842437"/>
    <w:rsid w:val="008444EB"/>
    <w:rsid w:val="00846767"/>
    <w:rsid w:val="00852228"/>
    <w:rsid w:val="008523BD"/>
    <w:rsid w:val="00856132"/>
    <w:rsid w:val="00856E9A"/>
    <w:rsid w:val="00857327"/>
    <w:rsid w:val="00862FBA"/>
    <w:rsid w:val="008655EA"/>
    <w:rsid w:val="00871A32"/>
    <w:rsid w:val="00882874"/>
    <w:rsid w:val="00883787"/>
    <w:rsid w:val="00890A88"/>
    <w:rsid w:val="0089180A"/>
    <w:rsid w:val="00893EFC"/>
    <w:rsid w:val="00894587"/>
    <w:rsid w:val="00895F51"/>
    <w:rsid w:val="008963A5"/>
    <w:rsid w:val="008A3791"/>
    <w:rsid w:val="008A79DE"/>
    <w:rsid w:val="008B3CB2"/>
    <w:rsid w:val="008B3E7F"/>
    <w:rsid w:val="008B7D7E"/>
    <w:rsid w:val="008C57CE"/>
    <w:rsid w:val="008C7ECB"/>
    <w:rsid w:val="008D0352"/>
    <w:rsid w:val="008D177F"/>
    <w:rsid w:val="008D4F76"/>
    <w:rsid w:val="008E0151"/>
    <w:rsid w:val="008E1B9E"/>
    <w:rsid w:val="008E4D7E"/>
    <w:rsid w:val="008F48EB"/>
    <w:rsid w:val="008F4F0B"/>
    <w:rsid w:val="0090025C"/>
    <w:rsid w:val="00902BA8"/>
    <w:rsid w:val="00905986"/>
    <w:rsid w:val="009062A5"/>
    <w:rsid w:val="00906A08"/>
    <w:rsid w:val="00911272"/>
    <w:rsid w:val="0092244E"/>
    <w:rsid w:val="009341A0"/>
    <w:rsid w:val="00941503"/>
    <w:rsid w:val="00941FFE"/>
    <w:rsid w:val="00951003"/>
    <w:rsid w:val="0095349C"/>
    <w:rsid w:val="00961295"/>
    <w:rsid w:val="009617A1"/>
    <w:rsid w:val="00964312"/>
    <w:rsid w:val="00973CB2"/>
    <w:rsid w:val="00975563"/>
    <w:rsid w:val="00976C8D"/>
    <w:rsid w:val="00981C5A"/>
    <w:rsid w:val="0098351D"/>
    <w:rsid w:val="00983891"/>
    <w:rsid w:val="00983E57"/>
    <w:rsid w:val="0099387A"/>
    <w:rsid w:val="00996DAD"/>
    <w:rsid w:val="009972EA"/>
    <w:rsid w:val="009A2810"/>
    <w:rsid w:val="009A397E"/>
    <w:rsid w:val="009A40D8"/>
    <w:rsid w:val="009B0FF3"/>
    <w:rsid w:val="009B3E26"/>
    <w:rsid w:val="009B7507"/>
    <w:rsid w:val="009B7B45"/>
    <w:rsid w:val="009C14C7"/>
    <w:rsid w:val="009C1B00"/>
    <w:rsid w:val="009C2A08"/>
    <w:rsid w:val="009C435A"/>
    <w:rsid w:val="009C4D5E"/>
    <w:rsid w:val="009C6000"/>
    <w:rsid w:val="009C71F9"/>
    <w:rsid w:val="009C7E54"/>
    <w:rsid w:val="009D3AE2"/>
    <w:rsid w:val="009D6E26"/>
    <w:rsid w:val="009E1395"/>
    <w:rsid w:val="009E247C"/>
    <w:rsid w:val="009E4C07"/>
    <w:rsid w:val="009E62B6"/>
    <w:rsid w:val="009F16C1"/>
    <w:rsid w:val="009F5E75"/>
    <w:rsid w:val="009F7628"/>
    <w:rsid w:val="00A03D43"/>
    <w:rsid w:val="00A04380"/>
    <w:rsid w:val="00A12E75"/>
    <w:rsid w:val="00A1365A"/>
    <w:rsid w:val="00A13948"/>
    <w:rsid w:val="00A1511A"/>
    <w:rsid w:val="00A16CB9"/>
    <w:rsid w:val="00A1703A"/>
    <w:rsid w:val="00A21709"/>
    <w:rsid w:val="00A22E74"/>
    <w:rsid w:val="00A25E81"/>
    <w:rsid w:val="00A27AEC"/>
    <w:rsid w:val="00A337D9"/>
    <w:rsid w:val="00A367C5"/>
    <w:rsid w:val="00A3795A"/>
    <w:rsid w:val="00A4161B"/>
    <w:rsid w:val="00A43C59"/>
    <w:rsid w:val="00A44323"/>
    <w:rsid w:val="00A47374"/>
    <w:rsid w:val="00A50ECD"/>
    <w:rsid w:val="00A52729"/>
    <w:rsid w:val="00A53675"/>
    <w:rsid w:val="00A56B6A"/>
    <w:rsid w:val="00A578DC"/>
    <w:rsid w:val="00A64F48"/>
    <w:rsid w:val="00A6603F"/>
    <w:rsid w:val="00A6725B"/>
    <w:rsid w:val="00A7099E"/>
    <w:rsid w:val="00A716D8"/>
    <w:rsid w:val="00A720BD"/>
    <w:rsid w:val="00A748D0"/>
    <w:rsid w:val="00A74F27"/>
    <w:rsid w:val="00A81A51"/>
    <w:rsid w:val="00A85988"/>
    <w:rsid w:val="00A86CA3"/>
    <w:rsid w:val="00A904D1"/>
    <w:rsid w:val="00A929B9"/>
    <w:rsid w:val="00A93072"/>
    <w:rsid w:val="00A94A4A"/>
    <w:rsid w:val="00A94BF7"/>
    <w:rsid w:val="00A95D1C"/>
    <w:rsid w:val="00AA048B"/>
    <w:rsid w:val="00AA0BF7"/>
    <w:rsid w:val="00AA15A6"/>
    <w:rsid w:val="00AA4D20"/>
    <w:rsid w:val="00AA7369"/>
    <w:rsid w:val="00AB042A"/>
    <w:rsid w:val="00AB112B"/>
    <w:rsid w:val="00AB24B7"/>
    <w:rsid w:val="00AB24CD"/>
    <w:rsid w:val="00AB3430"/>
    <w:rsid w:val="00AB7CFA"/>
    <w:rsid w:val="00AC15B6"/>
    <w:rsid w:val="00AD06A9"/>
    <w:rsid w:val="00AD6606"/>
    <w:rsid w:val="00AE357E"/>
    <w:rsid w:val="00AE5A14"/>
    <w:rsid w:val="00AF0534"/>
    <w:rsid w:val="00AF1037"/>
    <w:rsid w:val="00AF26F1"/>
    <w:rsid w:val="00AF6213"/>
    <w:rsid w:val="00B01B97"/>
    <w:rsid w:val="00B03007"/>
    <w:rsid w:val="00B05FE3"/>
    <w:rsid w:val="00B10BCB"/>
    <w:rsid w:val="00B328B7"/>
    <w:rsid w:val="00B33BEF"/>
    <w:rsid w:val="00B354FD"/>
    <w:rsid w:val="00B35B6E"/>
    <w:rsid w:val="00B37834"/>
    <w:rsid w:val="00B42851"/>
    <w:rsid w:val="00B42B34"/>
    <w:rsid w:val="00B432D9"/>
    <w:rsid w:val="00B47047"/>
    <w:rsid w:val="00B500C5"/>
    <w:rsid w:val="00B50F73"/>
    <w:rsid w:val="00B526C1"/>
    <w:rsid w:val="00B53398"/>
    <w:rsid w:val="00B53557"/>
    <w:rsid w:val="00B54B5B"/>
    <w:rsid w:val="00B5562E"/>
    <w:rsid w:val="00B55E01"/>
    <w:rsid w:val="00B57000"/>
    <w:rsid w:val="00B60AFD"/>
    <w:rsid w:val="00B6453E"/>
    <w:rsid w:val="00B64D5B"/>
    <w:rsid w:val="00B65DF2"/>
    <w:rsid w:val="00B67DE8"/>
    <w:rsid w:val="00B74268"/>
    <w:rsid w:val="00B76785"/>
    <w:rsid w:val="00B818A4"/>
    <w:rsid w:val="00B84B98"/>
    <w:rsid w:val="00B94945"/>
    <w:rsid w:val="00BA1CD6"/>
    <w:rsid w:val="00BA563E"/>
    <w:rsid w:val="00BA5AAF"/>
    <w:rsid w:val="00BA5D52"/>
    <w:rsid w:val="00BA7152"/>
    <w:rsid w:val="00BB55F7"/>
    <w:rsid w:val="00BC6A46"/>
    <w:rsid w:val="00BD0DB9"/>
    <w:rsid w:val="00BD71CA"/>
    <w:rsid w:val="00BE10EC"/>
    <w:rsid w:val="00BE2180"/>
    <w:rsid w:val="00BE31C3"/>
    <w:rsid w:val="00BE4275"/>
    <w:rsid w:val="00BE444D"/>
    <w:rsid w:val="00BE645C"/>
    <w:rsid w:val="00BF0DEB"/>
    <w:rsid w:val="00BF22D4"/>
    <w:rsid w:val="00BF2433"/>
    <w:rsid w:val="00BF61C9"/>
    <w:rsid w:val="00BF6DC1"/>
    <w:rsid w:val="00C00169"/>
    <w:rsid w:val="00C013F6"/>
    <w:rsid w:val="00C10200"/>
    <w:rsid w:val="00C130E0"/>
    <w:rsid w:val="00C13F7D"/>
    <w:rsid w:val="00C206F8"/>
    <w:rsid w:val="00C2088B"/>
    <w:rsid w:val="00C25418"/>
    <w:rsid w:val="00C25461"/>
    <w:rsid w:val="00C302CD"/>
    <w:rsid w:val="00C31649"/>
    <w:rsid w:val="00C33B05"/>
    <w:rsid w:val="00C36843"/>
    <w:rsid w:val="00C40385"/>
    <w:rsid w:val="00C46748"/>
    <w:rsid w:val="00C47307"/>
    <w:rsid w:val="00C5179C"/>
    <w:rsid w:val="00C54D4C"/>
    <w:rsid w:val="00C55D80"/>
    <w:rsid w:val="00C5740C"/>
    <w:rsid w:val="00C60068"/>
    <w:rsid w:val="00C64E74"/>
    <w:rsid w:val="00C65576"/>
    <w:rsid w:val="00C65CA6"/>
    <w:rsid w:val="00C65EA1"/>
    <w:rsid w:val="00C66165"/>
    <w:rsid w:val="00C724A2"/>
    <w:rsid w:val="00C733DA"/>
    <w:rsid w:val="00C7548E"/>
    <w:rsid w:val="00C77FDA"/>
    <w:rsid w:val="00C8213F"/>
    <w:rsid w:val="00C8797A"/>
    <w:rsid w:val="00C938CF"/>
    <w:rsid w:val="00C93FC0"/>
    <w:rsid w:val="00C959B4"/>
    <w:rsid w:val="00C976BD"/>
    <w:rsid w:val="00CA06C8"/>
    <w:rsid w:val="00CA5245"/>
    <w:rsid w:val="00CA7B09"/>
    <w:rsid w:val="00CB5485"/>
    <w:rsid w:val="00CB5B1A"/>
    <w:rsid w:val="00CD171A"/>
    <w:rsid w:val="00CD3932"/>
    <w:rsid w:val="00CD6ADC"/>
    <w:rsid w:val="00CD6E4A"/>
    <w:rsid w:val="00CE07A8"/>
    <w:rsid w:val="00CE6274"/>
    <w:rsid w:val="00CF0DC1"/>
    <w:rsid w:val="00CF175D"/>
    <w:rsid w:val="00CF456B"/>
    <w:rsid w:val="00CF5A22"/>
    <w:rsid w:val="00CF738F"/>
    <w:rsid w:val="00D01250"/>
    <w:rsid w:val="00D0262E"/>
    <w:rsid w:val="00D04CA3"/>
    <w:rsid w:val="00D11977"/>
    <w:rsid w:val="00D16653"/>
    <w:rsid w:val="00D17D6C"/>
    <w:rsid w:val="00D2140B"/>
    <w:rsid w:val="00D21738"/>
    <w:rsid w:val="00D260AD"/>
    <w:rsid w:val="00D26797"/>
    <w:rsid w:val="00D31831"/>
    <w:rsid w:val="00D3314F"/>
    <w:rsid w:val="00D35C3D"/>
    <w:rsid w:val="00D43243"/>
    <w:rsid w:val="00D518D1"/>
    <w:rsid w:val="00D52123"/>
    <w:rsid w:val="00D53889"/>
    <w:rsid w:val="00D5631F"/>
    <w:rsid w:val="00D6145F"/>
    <w:rsid w:val="00D61686"/>
    <w:rsid w:val="00D64281"/>
    <w:rsid w:val="00D642DE"/>
    <w:rsid w:val="00D67236"/>
    <w:rsid w:val="00D76A44"/>
    <w:rsid w:val="00D81404"/>
    <w:rsid w:val="00D86B2D"/>
    <w:rsid w:val="00D86E82"/>
    <w:rsid w:val="00D86EA4"/>
    <w:rsid w:val="00D917AB"/>
    <w:rsid w:val="00D93753"/>
    <w:rsid w:val="00D95E7E"/>
    <w:rsid w:val="00DA0C83"/>
    <w:rsid w:val="00DA5296"/>
    <w:rsid w:val="00DA77A5"/>
    <w:rsid w:val="00DA7F04"/>
    <w:rsid w:val="00DB0F7E"/>
    <w:rsid w:val="00DB17DC"/>
    <w:rsid w:val="00DB1909"/>
    <w:rsid w:val="00DB536D"/>
    <w:rsid w:val="00DC128B"/>
    <w:rsid w:val="00DC42FE"/>
    <w:rsid w:val="00DC4CB5"/>
    <w:rsid w:val="00DC5501"/>
    <w:rsid w:val="00DC79F4"/>
    <w:rsid w:val="00DD3F28"/>
    <w:rsid w:val="00DD4537"/>
    <w:rsid w:val="00DD5D93"/>
    <w:rsid w:val="00DD61A9"/>
    <w:rsid w:val="00DE2184"/>
    <w:rsid w:val="00DE4642"/>
    <w:rsid w:val="00DE4FCB"/>
    <w:rsid w:val="00DF0BB6"/>
    <w:rsid w:val="00DF13FB"/>
    <w:rsid w:val="00DF6257"/>
    <w:rsid w:val="00E10149"/>
    <w:rsid w:val="00E14A42"/>
    <w:rsid w:val="00E16372"/>
    <w:rsid w:val="00E20ED6"/>
    <w:rsid w:val="00E21358"/>
    <w:rsid w:val="00E2249B"/>
    <w:rsid w:val="00E2771E"/>
    <w:rsid w:val="00E326C3"/>
    <w:rsid w:val="00E33E34"/>
    <w:rsid w:val="00E344FC"/>
    <w:rsid w:val="00E359F3"/>
    <w:rsid w:val="00E37002"/>
    <w:rsid w:val="00E37569"/>
    <w:rsid w:val="00E41E30"/>
    <w:rsid w:val="00E44BFD"/>
    <w:rsid w:val="00E47B2C"/>
    <w:rsid w:val="00E51DAC"/>
    <w:rsid w:val="00E52F2E"/>
    <w:rsid w:val="00E55424"/>
    <w:rsid w:val="00E65E79"/>
    <w:rsid w:val="00E67416"/>
    <w:rsid w:val="00E70E7D"/>
    <w:rsid w:val="00E718B6"/>
    <w:rsid w:val="00E73581"/>
    <w:rsid w:val="00E7726E"/>
    <w:rsid w:val="00E80A3F"/>
    <w:rsid w:val="00E83BDF"/>
    <w:rsid w:val="00E849CE"/>
    <w:rsid w:val="00E86C92"/>
    <w:rsid w:val="00E86E0D"/>
    <w:rsid w:val="00E9207F"/>
    <w:rsid w:val="00E933F6"/>
    <w:rsid w:val="00E93638"/>
    <w:rsid w:val="00E9677D"/>
    <w:rsid w:val="00E9734D"/>
    <w:rsid w:val="00EA00A8"/>
    <w:rsid w:val="00EA1815"/>
    <w:rsid w:val="00EA3864"/>
    <w:rsid w:val="00EA40EC"/>
    <w:rsid w:val="00EA6594"/>
    <w:rsid w:val="00EB3891"/>
    <w:rsid w:val="00EB705C"/>
    <w:rsid w:val="00ED1815"/>
    <w:rsid w:val="00ED3E57"/>
    <w:rsid w:val="00ED5A23"/>
    <w:rsid w:val="00EE07D3"/>
    <w:rsid w:val="00EF24DF"/>
    <w:rsid w:val="00EF3132"/>
    <w:rsid w:val="00F004D1"/>
    <w:rsid w:val="00F03248"/>
    <w:rsid w:val="00F03E95"/>
    <w:rsid w:val="00F06142"/>
    <w:rsid w:val="00F11BF3"/>
    <w:rsid w:val="00F130F2"/>
    <w:rsid w:val="00F15055"/>
    <w:rsid w:val="00F2575F"/>
    <w:rsid w:val="00F30999"/>
    <w:rsid w:val="00F32260"/>
    <w:rsid w:val="00F33DE9"/>
    <w:rsid w:val="00F3619A"/>
    <w:rsid w:val="00F376C4"/>
    <w:rsid w:val="00F4015D"/>
    <w:rsid w:val="00F43AC2"/>
    <w:rsid w:val="00F46CB6"/>
    <w:rsid w:val="00F55E73"/>
    <w:rsid w:val="00F604D6"/>
    <w:rsid w:val="00F65981"/>
    <w:rsid w:val="00F67E69"/>
    <w:rsid w:val="00F72FC2"/>
    <w:rsid w:val="00F768E3"/>
    <w:rsid w:val="00F77C19"/>
    <w:rsid w:val="00F80E5D"/>
    <w:rsid w:val="00F851CE"/>
    <w:rsid w:val="00F864B2"/>
    <w:rsid w:val="00F954D6"/>
    <w:rsid w:val="00F96380"/>
    <w:rsid w:val="00FA5646"/>
    <w:rsid w:val="00FA7B61"/>
    <w:rsid w:val="00FB17D4"/>
    <w:rsid w:val="00FB2FCB"/>
    <w:rsid w:val="00FB3D1A"/>
    <w:rsid w:val="00FC1074"/>
    <w:rsid w:val="00FC201D"/>
    <w:rsid w:val="00FC5C14"/>
    <w:rsid w:val="00FC7C47"/>
    <w:rsid w:val="00FD19CB"/>
    <w:rsid w:val="00FD2100"/>
    <w:rsid w:val="00FD21E1"/>
    <w:rsid w:val="00FD2A7A"/>
    <w:rsid w:val="00FD446D"/>
    <w:rsid w:val="00FE10CF"/>
    <w:rsid w:val="00FE40D8"/>
    <w:rsid w:val="00FE58C2"/>
    <w:rsid w:val="00FF26A3"/>
    <w:rsid w:val="00FF38AE"/>
    <w:rsid w:val="00FF3DCF"/>
    <w:rsid w:val="00FF5AA3"/>
    <w:rsid w:val="00FF67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PBACHeading1"/>
    <w:next w:val="Normal"/>
    <w:qFormat/>
    <w:rsid w:val="00A3795A"/>
    <w:pPr>
      <w:numPr>
        <w:numId w:val="18"/>
      </w:numPr>
      <w:outlineLvl w:val="0"/>
    </w:p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0D3D9B"/>
    <w:rPr>
      <w:sz w:val="28"/>
      <w:szCs w:val="28"/>
    </w:rPr>
  </w:style>
  <w:style w:type="character" w:customStyle="1" w:styleId="TitleChar">
    <w:name w:val="Title Char"/>
    <w:basedOn w:val="DefaultParagraphFont"/>
    <w:link w:val="Title"/>
    <w:rsid w:val="000D3D9B"/>
    <w:rPr>
      <w:rFonts w:ascii="Arial Bold" w:hAnsi="Arial Bold" w:cs="Arial"/>
      <w:b/>
      <w:caps/>
      <w:snapToGrid w:val="0"/>
      <w:sz w:val="28"/>
      <w:szCs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styleId="FootnoteText">
    <w:name w:val="footnote text"/>
    <w:basedOn w:val="Normal"/>
    <w:link w:val="FootnoteTextChar"/>
    <w:semiHidden/>
    <w:unhideWhenUsed/>
    <w:rsid w:val="009C4D5E"/>
    <w:rPr>
      <w:sz w:val="20"/>
    </w:rPr>
  </w:style>
  <w:style w:type="character" w:customStyle="1" w:styleId="FootnoteTextChar">
    <w:name w:val="Footnote Text Char"/>
    <w:basedOn w:val="DefaultParagraphFont"/>
    <w:link w:val="FootnoteText"/>
    <w:semiHidden/>
    <w:rsid w:val="009C4D5E"/>
    <w:rPr>
      <w:rFonts w:ascii="Arial" w:hAnsi="Arial" w:cs="Arial"/>
      <w:snapToGrid w:val="0"/>
      <w:lang w:eastAsia="en-US"/>
    </w:rPr>
  </w:style>
  <w:style w:type="character" w:styleId="FootnoteReference">
    <w:name w:val="footnote reference"/>
    <w:basedOn w:val="DefaultParagraphFont"/>
    <w:semiHidden/>
    <w:unhideWhenUsed/>
    <w:rsid w:val="009C4D5E"/>
    <w:rPr>
      <w:vertAlign w:val="superscript"/>
    </w:rPr>
  </w:style>
  <w:style w:type="character" w:styleId="PlaceholderText">
    <w:name w:val="Placeholder Text"/>
    <w:basedOn w:val="DefaultParagraphFont"/>
    <w:uiPriority w:val="99"/>
    <w:semiHidden/>
    <w:rsid w:val="005970EF"/>
    <w:rPr>
      <w:color w:val="808080"/>
    </w:rPr>
  </w:style>
  <w:style w:type="paragraph" w:customStyle="1" w:styleId="PBACHeading1">
    <w:name w:val="PBAC Heading 1"/>
    <w:qFormat/>
    <w:rsid w:val="00F376C4"/>
    <w:rPr>
      <w:rFonts w:ascii="Arial" w:hAnsi="Arial" w:cs="Arial"/>
      <w:b/>
      <w:sz w:val="22"/>
      <w:szCs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90A88"/>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basedOn w:val="DefaultParagraphFont"/>
    <w:link w:val="ListParagraph"/>
    <w:uiPriority w:val="72"/>
    <w:rsid w:val="00574131"/>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PBACHeading1"/>
    <w:next w:val="Normal"/>
    <w:qFormat/>
    <w:rsid w:val="00A3795A"/>
    <w:pPr>
      <w:numPr>
        <w:numId w:val="18"/>
      </w:numPr>
      <w:outlineLvl w:val="0"/>
    </w:p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0D3D9B"/>
    <w:rPr>
      <w:sz w:val="28"/>
      <w:szCs w:val="28"/>
    </w:rPr>
  </w:style>
  <w:style w:type="character" w:customStyle="1" w:styleId="TitleChar">
    <w:name w:val="Title Char"/>
    <w:basedOn w:val="DefaultParagraphFont"/>
    <w:link w:val="Title"/>
    <w:rsid w:val="000D3D9B"/>
    <w:rPr>
      <w:rFonts w:ascii="Arial Bold" w:hAnsi="Arial Bold" w:cs="Arial"/>
      <w:b/>
      <w:caps/>
      <w:snapToGrid w:val="0"/>
      <w:sz w:val="28"/>
      <w:szCs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styleId="FootnoteText">
    <w:name w:val="footnote text"/>
    <w:basedOn w:val="Normal"/>
    <w:link w:val="FootnoteTextChar"/>
    <w:semiHidden/>
    <w:unhideWhenUsed/>
    <w:rsid w:val="009C4D5E"/>
    <w:rPr>
      <w:sz w:val="20"/>
    </w:rPr>
  </w:style>
  <w:style w:type="character" w:customStyle="1" w:styleId="FootnoteTextChar">
    <w:name w:val="Footnote Text Char"/>
    <w:basedOn w:val="DefaultParagraphFont"/>
    <w:link w:val="FootnoteText"/>
    <w:semiHidden/>
    <w:rsid w:val="009C4D5E"/>
    <w:rPr>
      <w:rFonts w:ascii="Arial" w:hAnsi="Arial" w:cs="Arial"/>
      <w:snapToGrid w:val="0"/>
      <w:lang w:eastAsia="en-US"/>
    </w:rPr>
  </w:style>
  <w:style w:type="character" w:styleId="FootnoteReference">
    <w:name w:val="footnote reference"/>
    <w:basedOn w:val="DefaultParagraphFont"/>
    <w:semiHidden/>
    <w:unhideWhenUsed/>
    <w:rsid w:val="009C4D5E"/>
    <w:rPr>
      <w:vertAlign w:val="superscript"/>
    </w:rPr>
  </w:style>
  <w:style w:type="character" w:styleId="PlaceholderText">
    <w:name w:val="Placeholder Text"/>
    <w:basedOn w:val="DefaultParagraphFont"/>
    <w:uiPriority w:val="99"/>
    <w:semiHidden/>
    <w:rsid w:val="005970EF"/>
    <w:rPr>
      <w:color w:val="808080"/>
    </w:rPr>
  </w:style>
  <w:style w:type="paragraph" w:customStyle="1" w:styleId="PBACHeading1">
    <w:name w:val="PBAC Heading 1"/>
    <w:qFormat/>
    <w:rsid w:val="00F376C4"/>
    <w:rPr>
      <w:rFonts w:ascii="Arial" w:hAnsi="Arial" w:cs="Arial"/>
      <w:b/>
      <w:sz w:val="22"/>
      <w:szCs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90A88"/>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basedOn w:val="DefaultParagraphFont"/>
    <w:link w:val="ListParagraph"/>
    <w:uiPriority w:val="72"/>
    <w:rsid w:val="00574131"/>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3191</Words>
  <Characters>17811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5.14 protein formula</vt:lpstr>
    </vt:vector>
  </TitlesOfParts>
  <LinksUpToDate>false</LinksUpToDate>
  <CharactersWithSpaces>20961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5.14 protein formula</dc:title>
  <dc:creator/>
  <cp:lastModifiedBy/>
  <cp:revision>1</cp:revision>
  <dcterms:created xsi:type="dcterms:W3CDTF">2016-02-23T05:47:00Z</dcterms:created>
  <dcterms:modified xsi:type="dcterms:W3CDTF">2016-03-07T23:20:00Z</dcterms:modified>
</cp:coreProperties>
</file>