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B7" w:rsidRPr="00F30141" w:rsidRDefault="00BF3D22" w:rsidP="009040A1">
      <w:pPr>
        <w:pStyle w:val="Title"/>
        <w:numPr>
          <w:ilvl w:val="0"/>
          <w:numId w:val="0"/>
        </w:numPr>
        <w:ind w:left="720" w:hanging="720"/>
      </w:pPr>
      <w:bookmarkStart w:id="0" w:name="_Toc430014676"/>
      <w:r w:rsidRPr="00F30141">
        <w:t>4.</w:t>
      </w:r>
      <w:r w:rsidR="00F30141" w:rsidRPr="00F30141">
        <w:t>0</w:t>
      </w:r>
      <w:r w:rsidRPr="00F30141">
        <w:t>5</w:t>
      </w:r>
      <w:r w:rsidR="009A4BEE" w:rsidRPr="00F30141">
        <w:tab/>
        <w:t>SORAFENIB</w:t>
      </w:r>
    </w:p>
    <w:p w:rsidR="00F80DB7" w:rsidRPr="00F30141" w:rsidRDefault="009A4BEE" w:rsidP="00F30141">
      <w:pPr>
        <w:pStyle w:val="Title"/>
        <w:numPr>
          <w:ilvl w:val="0"/>
          <w:numId w:val="0"/>
        </w:numPr>
        <w:ind w:left="720"/>
      </w:pPr>
      <w:proofErr w:type="gramStart"/>
      <w:r w:rsidRPr="00F30141">
        <w:t>tablet</w:t>
      </w:r>
      <w:proofErr w:type="gramEnd"/>
      <w:r w:rsidRPr="00F30141">
        <w:t>, 200</w:t>
      </w:r>
      <w:r w:rsidR="0058113B" w:rsidRPr="00F30141">
        <w:rPr>
          <w:rFonts w:hint="eastAsia"/>
        </w:rPr>
        <w:t> </w:t>
      </w:r>
      <w:r w:rsidRPr="00F30141">
        <w:t>mg</w:t>
      </w:r>
    </w:p>
    <w:p w:rsidR="009A4BEE" w:rsidRPr="00F30141" w:rsidRDefault="009A4BEE" w:rsidP="00F30141">
      <w:pPr>
        <w:pStyle w:val="Title"/>
        <w:numPr>
          <w:ilvl w:val="0"/>
          <w:numId w:val="0"/>
        </w:numPr>
        <w:ind w:left="720"/>
      </w:pPr>
      <w:proofErr w:type="spellStart"/>
      <w:proofErr w:type="gramStart"/>
      <w:r w:rsidRPr="00F30141">
        <w:t>Nexavar</w:t>
      </w:r>
      <w:proofErr w:type="spellEnd"/>
      <w:r w:rsidRPr="00F30141">
        <w:t>®, Bayer Australia Ltd.</w:t>
      </w:r>
      <w:bookmarkEnd w:id="0"/>
      <w:proofErr w:type="gramEnd"/>
    </w:p>
    <w:p w:rsidR="00A81A48" w:rsidRDefault="00A81A48" w:rsidP="00A81A48"/>
    <w:p w:rsidR="001D760E" w:rsidRPr="006D6EC7" w:rsidRDefault="001D760E" w:rsidP="009A4BEE"/>
    <w:p w:rsidR="009A4BEE" w:rsidRPr="00F30141" w:rsidRDefault="009A4BEE" w:rsidP="00F30141">
      <w:pPr>
        <w:pStyle w:val="Heading1"/>
      </w:pPr>
      <w:bookmarkStart w:id="1" w:name="_Toc430014678"/>
      <w:r w:rsidRPr="00F30141">
        <w:t>Purpose of Application</w:t>
      </w:r>
      <w:bookmarkEnd w:id="1"/>
    </w:p>
    <w:p w:rsidR="009A4BEE" w:rsidRPr="00882085" w:rsidRDefault="009A4BEE" w:rsidP="009A4BEE">
      <w:pPr>
        <w:rPr>
          <w:szCs w:val="22"/>
        </w:rPr>
      </w:pPr>
    </w:p>
    <w:p w:rsidR="009A4BEE" w:rsidRPr="00F338FF" w:rsidRDefault="009A4BEE" w:rsidP="009A4BEE">
      <w:pPr>
        <w:pStyle w:val="ListParagraph"/>
        <w:widowControl/>
        <w:numPr>
          <w:ilvl w:val="1"/>
          <w:numId w:val="6"/>
        </w:numPr>
        <w:rPr>
          <w:szCs w:val="22"/>
        </w:rPr>
      </w:pPr>
      <w:r w:rsidRPr="004B3DDB">
        <w:t xml:space="preserve">Section </w:t>
      </w:r>
      <w:r>
        <w:t xml:space="preserve">85, Authority </w:t>
      </w:r>
      <w:proofErr w:type="gramStart"/>
      <w:r>
        <w:t>Required</w:t>
      </w:r>
      <w:proofErr w:type="gramEnd"/>
      <w:r w:rsidRPr="004B3DDB">
        <w:t xml:space="preserve"> listing for </w:t>
      </w:r>
      <w:r>
        <w:t>sorafenib for treatment of locally advanced or metastatic, radioactive iodine refractory differentiated thyroid cancer (RAI-R DTC)</w:t>
      </w:r>
      <w:r w:rsidRPr="004B3DDB">
        <w:t>.</w:t>
      </w:r>
      <w:r>
        <w:t xml:space="preserve"> </w:t>
      </w:r>
      <w:r w:rsidRPr="00AE568B">
        <w:t xml:space="preserve">The first submission was </w:t>
      </w:r>
      <w:r>
        <w:t xml:space="preserve">considered at the July 2014 PBAC Meeting, </w:t>
      </w:r>
      <w:r w:rsidR="00A20623">
        <w:t>a</w:t>
      </w:r>
      <w:r>
        <w:t xml:space="preserve"> re</w:t>
      </w:r>
      <w:r w:rsidR="0058113B">
        <w:t>-</w:t>
      </w:r>
      <w:r>
        <w:t xml:space="preserve">submission was considered at the March 2015 PBAC </w:t>
      </w:r>
      <w:r w:rsidR="00524460">
        <w:t>m</w:t>
      </w:r>
      <w:r>
        <w:t xml:space="preserve">eeting and a minor </w:t>
      </w:r>
      <w:r w:rsidR="00524460">
        <w:t>re-</w:t>
      </w:r>
      <w:r>
        <w:t>submission was withdra</w:t>
      </w:r>
      <w:r w:rsidR="00524460">
        <w:t>wn prior to the July 2015 PBAC m</w:t>
      </w:r>
      <w:r>
        <w:t>eeting</w:t>
      </w:r>
      <w:r w:rsidRPr="00AE568B">
        <w:t>.</w:t>
      </w:r>
    </w:p>
    <w:p w:rsidR="009A4BEE" w:rsidRDefault="009A4BEE" w:rsidP="009A4BEE"/>
    <w:p w:rsidR="002B6234" w:rsidRPr="00882085" w:rsidRDefault="002B6234" w:rsidP="009A4BEE"/>
    <w:p w:rsidR="009A4BEE" w:rsidRPr="00F30141" w:rsidRDefault="009A4BEE" w:rsidP="00F30141">
      <w:pPr>
        <w:pStyle w:val="Heading1"/>
      </w:pPr>
      <w:bookmarkStart w:id="2" w:name="_Toc430014679"/>
      <w:r w:rsidRPr="00F30141">
        <w:t>Requested listing</w:t>
      </w:r>
      <w:bookmarkEnd w:id="2"/>
    </w:p>
    <w:p w:rsidR="009A4BEE" w:rsidRPr="00882085" w:rsidRDefault="009A4BEE" w:rsidP="009A4BEE"/>
    <w:p w:rsidR="001C2FF4" w:rsidRPr="001C2FF4" w:rsidRDefault="001C2FF4" w:rsidP="009A4BEE">
      <w:pPr>
        <w:pStyle w:val="ListParagraph"/>
        <w:widowControl/>
        <w:numPr>
          <w:ilvl w:val="1"/>
          <w:numId w:val="6"/>
        </w:numPr>
        <w:rPr>
          <w:szCs w:val="22"/>
        </w:rPr>
      </w:pPr>
      <w:r>
        <w:t>The abridged proposed listings of sorafenib are shown below.</w:t>
      </w:r>
    </w:p>
    <w:p w:rsidR="001C2FF4" w:rsidRDefault="001C2FF4" w:rsidP="001C2FF4">
      <w:pPr>
        <w:widowControl/>
      </w:pPr>
    </w:p>
    <w:p w:rsidR="009A4BEE" w:rsidRPr="00F338FF" w:rsidRDefault="009A4BEE" w:rsidP="001C2FF4">
      <w:pPr>
        <w:pStyle w:val="ListParagraph"/>
        <w:widowControl/>
        <w:rPr>
          <w:szCs w:val="22"/>
        </w:rPr>
      </w:pPr>
      <w:r w:rsidRPr="002B2685">
        <w:t xml:space="preserve">Scenario 1: disallows </w:t>
      </w:r>
      <w:r w:rsidR="00524460">
        <w:t xml:space="preserve">PBS-subsidised use of </w:t>
      </w:r>
      <w:r w:rsidRPr="002B2685">
        <w:t xml:space="preserve">sorafenib </w:t>
      </w:r>
      <w:r w:rsidR="00524460">
        <w:t xml:space="preserve">after </w:t>
      </w:r>
      <w:r w:rsidRPr="002B2685">
        <w:t>progression</w:t>
      </w:r>
      <w:r w:rsidR="0058113B">
        <w:t>.</w:t>
      </w:r>
    </w:p>
    <w:tbl>
      <w:tblPr>
        <w:tblW w:w="4605" w:type="pct"/>
        <w:tblInd w:w="736" w:type="dxa"/>
        <w:tblLayout w:type="fixed"/>
        <w:tblCellMar>
          <w:left w:w="28" w:type="dxa"/>
          <w:right w:w="28" w:type="dxa"/>
        </w:tblCellMar>
        <w:tblLook w:val="0000" w:firstRow="0" w:lastRow="0" w:firstColumn="0" w:lastColumn="0" w:noHBand="0" w:noVBand="0"/>
      </w:tblPr>
      <w:tblGrid>
        <w:gridCol w:w="2836"/>
        <w:gridCol w:w="709"/>
        <w:gridCol w:w="187"/>
        <w:gridCol w:w="795"/>
        <w:gridCol w:w="156"/>
        <w:gridCol w:w="1276"/>
        <w:gridCol w:w="17"/>
        <w:gridCol w:w="950"/>
        <w:gridCol w:w="1439"/>
      </w:tblGrid>
      <w:tr w:rsidR="009A4BEE" w:rsidRPr="00BF3D22" w:rsidTr="0058113B">
        <w:trPr>
          <w:cantSplit/>
          <w:trHeight w:val="471"/>
        </w:trPr>
        <w:tc>
          <w:tcPr>
            <w:tcW w:w="1695" w:type="pct"/>
            <w:tcBorders>
              <w:bottom w:val="single" w:sz="4" w:space="0" w:color="auto"/>
            </w:tcBorders>
            <w:vAlign w:val="center"/>
          </w:tcPr>
          <w:p w:rsidR="009A4BEE" w:rsidRPr="00BF3D22" w:rsidRDefault="009A4BEE" w:rsidP="009A4BEE">
            <w:pPr>
              <w:keepNext/>
              <w:jc w:val="left"/>
              <w:rPr>
                <w:rFonts w:ascii="Arial Narrow" w:hAnsi="Arial Narrow"/>
                <w:sz w:val="20"/>
              </w:rPr>
            </w:pPr>
            <w:r w:rsidRPr="00BF3D22">
              <w:rPr>
                <w:rFonts w:ascii="Arial Narrow" w:hAnsi="Arial Narrow"/>
                <w:sz w:val="20"/>
              </w:rPr>
              <w:t>Name, Restriction,</w:t>
            </w:r>
          </w:p>
          <w:p w:rsidR="009A4BEE" w:rsidRPr="00BF3D22" w:rsidRDefault="009A4BEE" w:rsidP="009A4BEE">
            <w:pPr>
              <w:keepNext/>
              <w:jc w:val="left"/>
              <w:rPr>
                <w:rFonts w:ascii="Arial Narrow" w:hAnsi="Arial Narrow"/>
                <w:sz w:val="20"/>
              </w:rPr>
            </w:pPr>
            <w:r w:rsidRPr="00BF3D22">
              <w:rPr>
                <w:rFonts w:ascii="Arial Narrow" w:hAnsi="Arial Narrow"/>
                <w:sz w:val="20"/>
              </w:rPr>
              <w:t>Manner of administration and form</w:t>
            </w:r>
          </w:p>
        </w:tc>
        <w:tc>
          <w:tcPr>
            <w:tcW w:w="424" w:type="pct"/>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Max.</w:t>
            </w:r>
          </w:p>
          <w:p w:rsidR="009A4BEE" w:rsidRPr="00BF3D22" w:rsidRDefault="009A4BEE" w:rsidP="009A4BEE">
            <w:pPr>
              <w:keepNext/>
              <w:jc w:val="center"/>
              <w:rPr>
                <w:rFonts w:ascii="Arial Narrow" w:hAnsi="Arial Narrow"/>
                <w:sz w:val="20"/>
              </w:rPr>
            </w:pPr>
            <w:proofErr w:type="spellStart"/>
            <w:r w:rsidRPr="00BF3D22">
              <w:rPr>
                <w:rFonts w:ascii="Arial Narrow" w:hAnsi="Arial Narrow"/>
                <w:sz w:val="20"/>
              </w:rPr>
              <w:t>Qty</w:t>
            </w:r>
            <w:proofErr w:type="spellEnd"/>
          </w:p>
        </w:tc>
        <w:tc>
          <w:tcPr>
            <w:tcW w:w="680" w:type="pct"/>
            <w:gridSpan w:val="3"/>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№.of</w:t>
            </w:r>
          </w:p>
          <w:p w:rsidR="009A4BEE" w:rsidRPr="00BF3D22" w:rsidRDefault="009A4BEE" w:rsidP="009A4BEE">
            <w:pPr>
              <w:keepNext/>
              <w:jc w:val="center"/>
              <w:rPr>
                <w:rFonts w:ascii="Arial Narrow" w:hAnsi="Arial Narrow"/>
                <w:sz w:val="20"/>
              </w:rPr>
            </w:pPr>
            <w:r w:rsidRPr="00BF3D22">
              <w:rPr>
                <w:rFonts w:ascii="Arial Narrow" w:hAnsi="Arial Narrow"/>
                <w:sz w:val="20"/>
              </w:rPr>
              <w:t>Rpts</w:t>
            </w:r>
          </w:p>
        </w:tc>
        <w:tc>
          <w:tcPr>
            <w:tcW w:w="763" w:type="pct"/>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 xml:space="preserve">Dispensed Price for Max. </w:t>
            </w:r>
            <w:proofErr w:type="spellStart"/>
            <w:r w:rsidRPr="00BF3D22">
              <w:rPr>
                <w:rFonts w:ascii="Arial Narrow" w:hAnsi="Arial Narrow"/>
                <w:sz w:val="20"/>
              </w:rPr>
              <w:t>Qty</w:t>
            </w:r>
            <w:proofErr w:type="spellEnd"/>
          </w:p>
        </w:tc>
        <w:tc>
          <w:tcPr>
            <w:tcW w:w="1438" w:type="pct"/>
            <w:gridSpan w:val="3"/>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Proprietary Name and Manufacturer</w:t>
            </w:r>
          </w:p>
        </w:tc>
      </w:tr>
      <w:tr w:rsidR="009A4BEE" w:rsidRPr="00BF3D22" w:rsidTr="0058113B">
        <w:trPr>
          <w:cantSplit/>
          <w:trHeight w:val="567"/>
        </w:trPr>
        <w:tc>
          <w:tcPr>
            <w:tcW w:w="1695" w:type="pct"/>
            <w:vAlign w:val="center"/>
          </w:tcPr>
          <w:p w:rsidR="009A4BEE" w:rsidRPr="00BF3D22" w:rsidRDefault="009A4BEE" w:rsidP="0058113B">
            <w:pPr>
              <w:keepNext/>
              <w:jc w:val="left"/>
              <w:rPr>
                <w:rFonts w:ascii="Arial Narrow" w:hAnsi="Arial Narrow"/>
                <w:sz w:val="20"/>
              </w:rPr>
            </w:pPr>
            <w:r w:rsidRPr="00BF3D22">
              <w:rPr>
                <w:rFonts w:ascii="Arial Narrow" w:hAnsi="Arial Narrow"/>
                <w:smallCaps/>
                <w:sz w:val="20"/>
              </w:rPr>
              <w:t>SORAFENIB TABLET 200</w:t>
            </w:r>
            <w:r w:rsidR="0058113B" w:rsidRPr="00BF3D22">
              <w:rPr>
                <w:rFonts w:ascii="Arial Narrow" w:hAnsi="Arial Narrow"/>
                <w:smallCaps/>
                <w:sz w:val="20"/>
              </w:rPr>
              <w:t> </w:t>
            </w:r>
            <w:r w:rsidRPr="00BF3D22">
              <w:rPr>
                <w:rFonts w:ascii="Arial Narrow" w:hAnsi="Arial Narrow"/>
                <w:sz w:val="20"/>
              </w:rPr>
              <w:t>mg</w:t>
            </w:r>
          </w:p>
        </w:tc>
        <w:tc>
          <w:tcPr>
            <w:tcW w:w="536" w:type="pct"/>
            <w:gridSpan w:val="2"/>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120</w:t>
            </w:r>
          </w:p>
        </w:tc>
        <w:tc>
          <w:tcPr>
            <w:tcW w:w="475" w:type="pct"/>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2</w:t>
            </w:r>
          </w:p>
        </w:tc>
        <w:tc>
          <w:tcPr>
            <w:tcW w:w="866" w:type="pct"/>
            <w:gridSpan w:val="3"/>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w:t>
            </w:r>
            <w:r w:rsidR="00EF72BF">
              <w:rPr>
                <w:rFonts w:ascii="Arial Narrow" w:hAnsi="Arial Narrow"/>
                <w:noProof/>
                <w:color w:val="000000"/>
                <w:sz w:val="20"/>
                <w:highlight w:val="black"/>
              </w:rPr>
              <w:t>'''''''''''''''''''''</w:t>
            </w:r>
            <w:r w:rsidRPr="00BF3D22">
              <w:rPr>
                <w:rFonts w:ascii="Arial Narrow" w:hAnsi="Arial Narrow"/>
                <w:sz w:val="20"/>
              </w:rPr>
              <w:t xml:space="preserve"> </w:t>
            </w:r>
            <w:r w:rsidRPr="00BF7549">
              <w:rPr>
                <w:rFonts w:ascii="Arial Narrow" w:hAnsi="Arial Narrow"/>
                <w:sz w:val="20"/>
              </w:rPr>
              <w:t>($</w:t>
            </w:r>
            <w:r w:rsidR="00EF72BF">
              <w:rPr>
                <w:rFonts w:ascii="Arial Narrow" w:hAnsi="Arial Narrow"/>
                <w:noProof/>
                <w:color w:val="000000"/>
                <w:sz w:val="20"/>
                <w:highlight w:val="black"/>
              </w:rPr>
              <w:t>'''''''''''''''''''''''</w:t>
            </w:r>
            <w:r w:rsidRPr="00BF7549">
              <w:rPr>
                <w:rFonts w:ascii="Arial Narrow" w:hAnsi="Arial Narrow"/>
                <w:sz w:val="20"/>
              </w:rPr>
              <w:t>)</w:t>
            </w:r>
            <w:r w:rsidRPr="00BF7549">
              <w:rPr>
                <w:rFonts w:ascii="Arial Narrow" w:hAnsi="Arial Narrow"/>
                <w:sz w:val="20"/>
                <w:vertAlign w:val="superscript"/>
              </w:rPr>
              <w:t>a</w:t>
            </w:r>
          </w:p>
        </w:tc>
        <w:tc>
          <w:tcPr>
            <w:tcW w:w="568" w:type="pct"/>
            <w:vAlign w:val="center"/>
          </w:tcPr>
          <w:p w:rsidR="009A4BEE" w:rsidRPr="00BF3D22" w:rsidRDefault="009A4BEE" w:rsidP="009A4BEE">
            <w:pPr>
              <w:keepNext/>
              <w:jc w:val="center"/>
              <w:rPr>
                <w:rFonts w:ascii="Arial Narrow" w:hAnsi="Arial Narrow"/>
                <w:sz w:val="20"/>
              </w:rPr>
            </w:pPr>
            <w:proofErr w:type="spellStart"/>
            <w:r w:rsidRPr="00BF3D22">
              <w:rPr>
                <w:rFonts w:ascii="Arial Narrow" w:hAnsi="Arial Narrow"/>
                <w:sz w:val="20"/>
              </w:rPr>
              <w:t>Nexavar</w:t>
            </w:r>
            <w:proofErr w:type="spellEnd"/>
            <w:r w:rsidRPr="00BF3D22">
              <w:rPr>
                <w:rFonts w:ascii="Arial Narrow" w:hAnsi="Arial Narrow"/>
                <w:sz w:val="20"/>
              </w:rPr>
              <w:t>®</w:t>
            </w:r>
          </w:p>
        </w:tc>
        <w:tc>
          <w:tcPr>
            <w:tcW w:w="860" w:type="pct"/>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Bayer Australia</w:t>
            </w:r>
          </w:p>
        </w:tc>
      </w:tr>
      <w:tr w:rsidR="009A4BEE" w:rsidRPr="00BF3D22" w:rsidTr="009A4BEE">
        <w:trPr>
          <w:cantSplit/>
          <w:trHeight w:val="354"/>
        </w:trPr>
        <w:tc>
          <w:tcPr>
            <w:tcW w:w="5000" w:type="pct"/>
            <w:gridSpan w:val="9"/>
            <w:vAlign w:val="center"/>
          </w:tcPr>
          <w:p w:rsidR="009A4BEE" w:rsidRPr="00BF3D22" w:rsidRDefault="009A4BEE" w:rsidP="009A4BEE">
            <w:pPr>
              <w:rPr>
                <w:rFonts w:ascii="Arial Narrow" w:hAnsi="Arial Narrow"/>
                <w:sz w:val="20"/>
              </w:rPr>
            </w:pPr>
            <w:r w:rsidRPr="00BF3D22">
              <w:rPr>
                <w:rFonts w:ascii="Arial Narrow" w:hAnsi="Arial Narrow"/>
                <w:b/>
                <w:sz w:val="20"/>
                <w:u w:val="single"/>
              </w:rPr>
              <w:t>Authority required</w:t>
            </w:r>
            <w:r w:rsidRPr="00BF3D22">
              <w:rPr>
                <w:rFonts w:ascii="Arial Narrow" w:hAnsi="Arial Narrow"/>
                <w:sz w:val="20"/>
              </w:rPr>
              <w:t xml:space="preserve"> (Streamlined)</w:t>
            </w:r>
          </w:p>
          <w:p w:rsidR="009A4BEE" w:rsidRPr="00BF3D22" w:rsidRDefault="009A4BEE" w:rsidP="009A4BEE">
            <w:pPr>
              <w:pStyle w:val="TableFooter"/>
              <w:rPr>
                <w:sz w:val="20"/>
              </w:rPr>
            </w:pPr>
            <w:proofErr w:type="spellStart"/>
            <w:r w:rsidRPr="00BF3D22">
              <w:rPr>
                <w:sz w:val="20"/>
                <w:vertAlign w:val="superscript"/>
              </w:rPr>
              <w:t>a</w:t>
            </w:r>
            <w:proofErr w:type="spellEnd"/>
            <w:r w:rsidR="001937FF">
              <w:rPr>
                <w:sz w:val="20"/>
              </w:rPr>
              <w:t xml:space="preserve"> </w:t>
            </w:r>
            <w:r w:rsidRPr="00BF3D22">
              <w:rPr>
                <w:sz w:val="20"/>
              </w:rPr>
              <w:t xml:space="preserve">Updated DPMQ </w:t>
            </w:r>
            <w:r w:rsidR="0058113B" w:rsidRPr="00BF3D22">
              <w:rPr>
                <w:sz w:val="20"/>
              </w:rPr>
              <w:t>using 1 July 2015 pharmacy mark-</w:t>
            </w:r>
            <w:r w:rsidRPr="00BF3D22">
              <w:rPr>
                <w:sz w:val="20"/>
              </w:rPr>
              <w:t>ups</w:t>
            </w:r>
          </w:p>
        </w:tc>
      </w:tr>
    </w:tbl>
    <w:p w:rsidR="009A4BEE" w:rsidRDefault="009A4BEE" w:rsidP="009A4BEE"/>
    <w:p w:rsidR="009A4BEE" w:rsidRDefault="009A4BEE" w:rsidP="009A4BEE">
      <w:pPr>
        <w:ind w:firstLine="720"/>
      </w:pPr>
      <w:r w:rsidRPr="002B2685">
        <w:t xml:space="preserve">Scenario 2: </w:t>
      </w:r>
      <w:r w:rsidR="00524460" w:rsidRPr="002B2685">
        <w:t xml:space="preserve">allows </w:t>
      </w:r>
      <w:r w:rsidR="00524460">
        <w:t xml:space="preserve">PBS-subsidised use of </w:t>
      </w:r>
      <w:r w:rsidR="00524460" w:rsidRPr="002B2685">
        <w:t xml:space="preserve">sorafenib </w:t>
      </w:r>
      <w:r w:rsidR="00524460">
        <w:t xml:space="preserve">after </w:t>
      </w:r>
      <w:r w:rsidR="00524460" w:rsidRPr="002B2685">
        <w:t>progression</w:t>
      </w:r>
      <w:r w:rsidR="00524460">
        <w:t>.</w:t>
      </w:r>
    </w:p>
    <w:tbl>
      <w:tblPr>
        <w:tblW w:w="4605" w:type="pct"/>
        <w:tblInd w:w="736" w:type="dxa"/>
        <w:tblLayout w:type="fixed"/>
        <w:tblCellMar>
          <w:left w:w="28" w:type="dxa"/>
          <w:right w:w="28" w:type="dxa"/>
        </w:tblCellMar>
        <w:tblLook w:val="0000" w:firstRow="0" w:lastRow="0" w:firstColumn="0" w:lastColumn="0" w:noHBand="0" w:noVBand="0"/>
      </w:tblPr>
      <w:tblGrid>
        <w:gridCol w:w="2836"/>
        <w:gridCol w:w="709"/>
        <w:gridCol w:w="154"/>
        <w:gridCol w:w="788"/>
        <w:gridCol w:w="50"/>
        <w:gridCol w:w="1419"/>
        <w:gridCol w:w="950"/>
        <w:gridCol w:w="1447"/>
        <w:gridCol w:w="12"/>
      </w:tblGrid>
      <w:tr w:rsidR="009A4BEE" w:rsidRPr="00BF3D22" w:rsidTr="0058113B">
        <w:trPr>
          <w:gridAfter w:val="1"/>
          <w:wAfter w:w="7" w:type="pct"/>
          <w:cantSplit/>
          <w:trHeight w:val="471"/>
        </w:trPr>
        <w:tc>
          <w:tcPr>
            <w:tcW w:w="1695" w:type="pct"/>
            <w:tcBorders>
              <w:bottom w:val="single" w:sz="4" w:space="0" w:color="auto"/>
            </w:tcBorders>
            <w:vAlign w:val="center"/>
          </w:tcPr>
          <w:p w:rsidR="009A4BEE" w:rsidRPr="00BF3D22" w:rsidRDefault="009A4BEE" w:rsidP="009A4BEE">
            <w:pPr>
              <w:keepNext/>
              <w:jc w:val="left"/>
              <w:rPr>
                <w:rFonts w:ascii="Arial Narrow" w:hAnsi="Arial Narrow"/>
                <w:sz w:val="20"/>
              </w:rPr>
            </w:pPr>
            <w:r w:rsidRPr="00BF3D22">
              <w:rPr>
                <w:rFonts w:ascii="Arial Narrow" w:hAnsi="Arial Narrow"/>
                <w:sz w:val="20"/>
              </w:rPr>
              <w:t>Name, Restriction,</w:t>
            </w:r>
          </w:p>
          <w:p w:rsidR="009A4BEE" w:rsidRPr="00BF3D22" w:rsidRDefault="009A4BEE" w:rsidP="009A4BEE">
            <w:pPr>
              <w:keepNext/>
              <w:jc w:val="left"/>
              <w:rPr>
                <w:rFonts w:ascii="Arial Narrow" w:hAnsi="Arial Narrow"/>
                <w:sz w:val="20"/>
              </w:rPr>
            </w:pPr>
            <w:r w:rsidRPr="00BF3D22">
              <w:rPr>
                <w:rFonts w:ascii="Arial Narrow" w:hAnsi="Arial Narrow"/>
                <w:sz w:val="20"/>
              </w:rPr>
              <w:t>Manner of administration and form</w:t>
            </w:r>
          </w:p>
        </w:tc>
        <w:tc>
          <w:tcPr>
            <w:tcW w:w="424" w:type="pct"/>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Max.</w:t>
            </w:r>
          </w:p>
          <w:p w:rsidR="009A4BEE" w:rsidRPr="00BF3D22" w:rsidRDefault="009A4BEE" w:rsidP="009A4BEE">
            <w:pPr>
              <w:keepNext/>
              <w:jc w:val="center"/>
              <w:rPr>
                <w:rFonts w:ascii="Arial Narrow" w:hAnsi="Arial Narrow"/>
                <w:sz w:val="20"/>
              </w:rPr>
            </w:pPr>
            <w:proofErr w:type="spellStart"/>
            <w:r w:rsidRPr="00BF3D22">
              <w:rPr>
                <w:rFonts w:ascii="Arial Narrow" w:hAnsi="Arial Narrow"/>
                <w:sz w:val="20"/>
              </w:rPr>
              <w:t>Qty</w:t>
            </w:r>
            <w:proofErr w:type="spellEnd"/>
          </w:p>
        </w:tc>
        <w:tc>
          <w:tcPr>
            <w:tcW w:w="593" w:type="pct"/>
            <w:gridSpan w:val="3"/>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№.of</w:t>
            </w:r>
          </w:p>
          <w:p w:rsidR="009A4BEE" w:rsidRPr="00BF3D22" w:rsidRDefault="009A4BEE" w:rsidP="009A4BEE">
            <w:pPr>
              <w:keepNext/>
              <w:jc w:val="center"/>
              <w:rPr>
                <w:rFonts w:ascii="Arial Narrow" w:hAnsi="Arial Narrow"/>
                <w:sz w:val="20"/>
              </w:rPr>
            </w:pPr>
            <w:r w:rsidRPr="00BF3D22">
              <w:rPr>
                <w:rFonts w:ascii="Arial Narrow" w:hAnsi="Arial Narrow"/>
                <w:sz w:val="20"/>
              </w:rPr>
              <w:t>Rpts</w:t>
            </w:r>
          </w:p>
        </w:tc>
        <w:tc>
          <w:tcPr>
            <w:tcW w:w="848" w:type="pct"/>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 xml:space="preserve">Dispensed Price for </w:t>
            </w:r>
            <w:proofErr w:type="spellStart"/>
            <w:r w:rsidRPr="00BF3D22">
              <w:rPr>
                <w:rFonts w:ascii="Arial Narrow" w:hAnsi="Arial Narrow"/>
                <w:sz w:val="20"/>
              </w:rPr>
              <w:t>Max.Qty</w:t>
            </w:r>
            <w:proofErr w:type="spellEnd"/>
          </w:p>
        </w:tc>
        <w:tc>
          <w:tcPr>
            <w:tcW w:w="1433" w:type="pct"/>
            <w:gridSpan w:val="2"/>
            <w:tcBorders>
              <w:bottom w:val="single" w:sz="4" w:space="0" w:color="auto"/>
            </w:tcBorders>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Proprietary Name and Manufacturer</w:t>
            </w:r>
          </w:p>
        </w:tc>
      </w:tr>
      <w:tr w:rsidR="009A4BEE" w:rsidRPr="00BF3D22" w:rsidTr="0058113B">
        <w:trPr>
          <w:cantSplit/>
          <w:trHeight w:val="567"/>
        </w:trPr>
        <w:tc>
          <w:tcPr>
            <w:tcW w:w="1695" w:type="pct"/>
            <w:vAlign w:val="center"/>
          </w:tcPr>
          <w:p w:rsidR="009A4BEE" w:rsidRPr="00BF3D22" w:rsidRDefault="009A4BEE" w:rsidP="009A4BEE">
            <w:pPr>
              <w:keepNext/>
              <w:jc w:val="left"/>
              <w:rPr>
                <w:rFonts w:ascii="Arial Narrow" w:hAnsi="Arial Narrow"/>
                <w:sz w:val="20"/>
              </w:rPr>
            </w:pPr>
            <w:r w:rsidRPr="00BF3D22">
              <w:rPr>
                <w:rFonts w:ascii="Arial Narrow" w:hAnsi="Arial Narrow"/>
                <w:smallCaps/>
                <w:sz w:val="20"/>
              </w:rPr>
              <w:t>SORAFENIB TABLET 200</w:t>
            </w:r>
            <w:r w:rsidR="0058113B" w:rsidRPr="00BF3D22">
              <w:rPr>
                <w:rFonts w:ascii="Arial Narrow" w:hAnsi="Arial Narrow"/>
                <w:smallCaps/>
                <w:sz w:val="20"/>
              </w:rPr>
              <w:t> </w:t>
            </w:r>
            <w:r w:rsidRPr="00BF3D22">
              <w:rPr>
                <w:rFonts w:ascii="Arial Narrow" w:hAnsi="Arial Narrow"/>
                <w:sz w:val="20"/>
              </w:rPr>
              <w:t>mg</w:t>
            </w:r>
          </w:p>
        </w:tc>
        <w:tc>
          <w:tcPr>
            <w:tcW w:w="516" w:type="pct"/>
            <w:gridSpan w:val="2"/>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120</w:t>
            </w:r>
          </w:p>
        </w:tc>
        <w:tc>
          <w:tcPr>
            <w:tcW w:w="471" w:type="pct"/>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2</w:t>
            </w:r>
          </w:p>
        </w:tc>
        <w:tc>
          <w:tcPr>
            <w:tcW w:w="878" w:type="pct"/>
            <w:gridSpan w:val="2"/>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w:t>
            </w:r>
            <w:r w:rsidR="00EF72BF">
              <w:rPr>
                <w:rFonts w:ascii="Arial Narrow" w:hAnsi="Arial Narrow"/>
                <w:noProof/>
                <w:color w:val="000000"/>
                <w:sz w:val="20"/>
                <w:highlight w:val="black"/>
              </w:rPr>
              <w:t>'''''''''''''''''''''</w:t>
            </w:r>
            <w:r w:rsidRPr="00BF3D22">
              <w:rPr>
                <w:rFonts w:ascii="Arial Narrow" w:hAnsi="Arial Narrow"/>
                <w:sz w:val="20"/>
              </w:rPr>
              <w:t xml:space="preserve"> </w:t>
            </w:r>
            <w:r w:rsidRPr="00BF7549">
              <w:rPr>
                <w:rFonts w:ascii="Arial Narrow" w:hAnsi="Arial Narrow"/>
                <w:sz w:val="20"/>
              </w:rPr>
              <w:t>($</w:t>
            </w:r>
            <w:r w:rsidR="00EF72BF">
              <w:rPr>
                <w:rFonts w:ascii="Arial Narrow" w:hAnsi="Arial Narrow"/>
                <w:noProof/>
                <w:color w:val="000000"/>
                <w:sz w:val="20"/>
                <w:highlight w:val="black"/>
              </w:rPr>
              <w:t>'''''''''''''''''''''</w:t>
            </w:r>
            <w:r w:rsidRPr="00BF7549">
              <w:rPr>
                <w:rFonts w:ascii="Arial Narrow" w:hAnsi="Arial Narrow"/>
                <w:sz w:val="20"/>
              </w:rPr>
              <w:t>)</w:t>
            </w:r>
            <w:r w:rsidRPr="00BF7549">
              <w:rPr>
                <w:rFonts w:ascii="Arial Narrow" w:hAnsi="Arial Narrow"/>
                <w:sz w:val="20"/>
                <w:vertAlign w:val="superscript"/>
              </w:rPr>
              <w:t>a</w:t>
            </w:r>
          </w:p>
        </w:tc>
        <w:tc>
          <w:tcPr>
            <w:tcW w:w="568" w:type="pct"/>
            <w:vAlign w:val="center"/>
          </w:tcPr>
          <w:p w:rsidR="009A4BEE" w:rsidRPr="00BF3D22" w:rsidRDefault="009A4BEE" w:rsidP="009A4BEE">
            <w:pPr>
              <w:keepNext/>
              <w:jc w:val="center"/>
              <w:rPr>
                <w:rFonts w:ascii="Arial Narrow" w:hAnsi="Arial Narrow"/>
                <w:sz w:val="20"/>
              </w:rPr>
            </w:pPr>
            <w:proofErr w:type="spellStart"/>
            <w:r w:rsidRPr="00BF3D22">
              <w:rPr>
                <w:rFonts w:ascii="Arial Narrow" w:hAnsi="Arial Narrow"/>
                <w:sz w:val="20"/>
              </w:rPr>
              <w:t>Nexavar</w:t>
            </w:r>
            <w:proofErr w:type="spellEnd"/>
            <w:r w:rsidRPr="00BF3D22">
              <w:rPr>
                <w:rFonts w:ascii="Arial Narrow" w:hAnsi="Arial Narrow"/>
                <w:sz w:val="20"/>
              </w:rPr>
              <w:t>®</w:t>
            </w:r>
          </w:p>
        </w:tc>
        <w:tc>
          <w:tcPr>
            <w:tcW w:w="872" w:type="pct"/>
            <w:gridSpan w:val="2"/>
            <w:vAlign w:val="center"/>
          </w:tcPr>
          <w:p w:rsidR="009A4BEE" w:rsidRPr="00BF3D22" w:rsidRDefault="009A4BEE" w:rsidP="009A4BEE">
            <w:pPr>
              <w:keepNext/>
              <w:jc w:val="center"/>
              <w:rPr>
                <w:rFonts w:ascii="Arial Narrow" w:hAnsi="Arial Narrow"/>
                <w:sz w:val="20"/>
              </w:rPr>
            </w:pPr>
            <w:r w:rsidRPr="00BF3D22">
              <w:rPr>
                <w:rFonts w:ascii="Arial Narrow" w:hAnsi="Arial Narrow"/>
                <w:sz w:val="20"/>
              </w:rPr>
              <w:t>Bayer Australia</w:t>
            </w:r>
          </w:p>
        </w:tc>
      </w:tr>
      <w:tr w:rsidR="009A4BEE" w:rsidRPr="00BF3D22" w:rsidTr="009A4BEE">
        <w:trPr>
          <w:cantSplit/>
          <w:trHeight w:val="354"/>
        </w:trPr>
        <w:tc>
          <w:tcPr>
            <w:tcW w:w="5000" w:type="pct"/>
            <w:gridSpan w:val="9"/>
            <w:vAlign w:val="center"/>
          </w:tcPr>
          <w:p w:rsidR="009A4BEE" w:rsidRPr="00BF3D22" w:rsidRDefault="009A4BEE" w:rsidP="009A4BEE">
            <w:pPr>
              <w:rPr>
                <w:rFonts w:ascii="Arial Narrow" w:hAnsi="Arial Narrow"/>
                <w:sz w:val="20"/>
              </w:rPr>
            </w:pPr>
            <w:r w:rsidRPr="00BF3D22">
              <w:rPr>
                <w:rFonts w:ascii="Arial Narrow" w:hAnsi="Arial Narrow"/>
                <w:b/>
                <w:sz w:val="20"/>
                <w:u w:val="single"/>
              </w:rPr>
              <w:t>Authority required</w:t>
            </w:r>
            <w:r w:rsidRPr="00BF3D22">
              <w:rPr>
                <w:rFonts w:ascii="Arial Narrow" w:hAnsi="Arial Narrow"/>
                <w:sz w:val="20"/>
              </w:rPr>
              <w:t xml:space="preserve"> (Streamlined)</w:t>
            </w:r>
          </w:p>
          <w:p w:rsidR="009A4BEE" w:rsidRPr="00BF3D22" w:rsidRDefault="009A4BEE" w:rsidP="009A4BEE">
            <w:pPr>
              <w:pStyle w:val="TableFooter"/>
              <w:rPr>
                <w:sz w:val="20"/>
              </w:rPr>
            </w:pPr>
            <w:proofErr w:type="spellStart"/>
            <w:r w:rsidRPr="00BF3D22">
              <w:rPr>
                <w:sz w:val="20"/>
                <w:vertAlign w:val="superscript"/>
              </w:rPr>
              <w:t>a</w:t>
            </w:r>
            <w:proofErr w:type="spellEnd"/>
            <w:r w:rsidR="001937FF">
              <w:rPr>
                <w:sz w:val="20"/>
              </w:rPr>
              <w:t xml:space="preserve"> </w:t>
            </w:r>
            <w:r w:rsidRPr="00BF3D22">
              <w:rPr>
                <w:sz w:val="20"/>
              </w:rPr>
              <w:t xml:space="preserve">Updated DPMQ </w:t>
            </w:r>
            <w:r w:rsidR="0058113B" w:rsidRPr="00BF3D22">
              <w:rPr>
                <w:sz w:val="20"/>
              </w:rPr>
              <w:t>using 1 July 2015 pharmacy mark-</w:t>
            </w:r>
            <w:r w:rsidRPr="00BF3D22">
              <w:rPr>
                <w:sz w:val="20"/>
              </w:rPr>
              <w:t>ups</w:t>
            </w:r>
          </w:p>
        </w:tc>
      </w:tr>
    </w:tbl>
    <w:p w:rsidR="009A4BEE" w:rsidRPr="00882085" w:rsidRDefault="009A4BEE" w:rsidP="009A4BEE"/>
    <w:p w:rsidR="009A4BEE" w:rsidRDefault="009A4BEE" w:rsidP="009A4BEE">
      <w:pPr>
        <w:pStyle w:val="ListParagraph"/>
        <w:widowControl/>
        <w:numPr>
          <w:ilvl w:val="1"/>
          <w:numId w:val="8"/>
        </w:numPr>
        <w:rPr>
          <w:szCs w:val="22"/>
        </w:rPr>
      </w:pPr>
      <w:r>
        <w:rPr>
          <w:szCs w:val="22"/>
        </w:rPr>
        <w:t xml:space="preserve">The </w:t>
      </w:r>
      <w:r w:rsidR="00524460">
        <w:rPr>
          <w:szCs w:val="22"/>
        </w:rPr>
        <w:t xml:space="preserve">current </w:t>
      </w:r>
      <w:r>
        <w:rPr>
          <w:szCs w:val="22"/>
        </w:rPr>
        <w:t>re</w:t>
      </w:r>
      <w:r w:rsidR="00524460">
        <w:rPr>
          <w:szCs w:val="22"/>
        </w:rPr>
        <w:t>-</w:t>
      </w:r>
      <w:r>
        <w:rPr>
          <w:szCs w:val="22"/>
        </w:rPr>
        <w:t>submission sought a listing based on the cost</w:t>
      </w:r>
      <w:r w:rsidR="0058113B">
        <w:rPr>
          <w:szCs w:val="22"/>
        </w:rPr>
        <w:t>-</w:t>
      </w:r>
      <w:r>
        <w:rPr>
          <w:szCs w:val="22"/>
        </w:rPr>
        <w:t>effectiveness of sorafenib compared with best supportive care (BSC).</w:t>
      </w:r>
    </w:p>
    <w:p w:rsidR="009A4BEE" w:rsidRPr="00882085" w:rsidRDefault="009A4BEE" w:rsidP="009A4BEE"/>
    <w:p w:rsidR="009A4BEE" w:rsidRPr="0087759E" w:rsidRDefault="009A4BEE" w:rsidP="009A4BEE">
      <w:pPr>
        <w:pStyle w:val="ListParagraph"/>
        <w:widowControl/>
        <w:numPr>
          <w:ilvl w:val="1"/>
          <w:numId w:val="8"/>
        </w:numPr>
        <w:rPr>
          <w:szCs w:val="22"/>
        </w:rPr>
      </w:pPr>
      <w:r>
        <w:t>The requested restriction for Scenario 1 was the same as suggested by the Secretariat for the March 2015 re</w:t>
      </w:r>
      <w:r w:rsidR="0058113B">
        <w:t>-</w:t>
      </w:r>
      <w:r>
        <w:t xml:space="preserve">submission. </w:t>
      </w:r>
      <w:r w:rsidR="005666DD">
        <w:t xml:space="preserve">The restriction for </w:t>
      </w:r>
      <w:r>
        <w:t xml:space="preserve">Scenario 2 differed in that it </w:t>
      </w:r>
      <w:r w:rsidR="0058113B">
        <w:t xml:space="preserve">would </w:t>
      </w:r>
      <w:r w:rsidRPr="004455C8">
        <w:t>allow the use of sorafenib post progression (</w:t>
      </w:r>
      <w:r>
        <w:t xml:space="preserve">i.e. the </w:t>
      </w:r>
      <w:r w:rsidRPr="00CB5F82">
        <w:t xml:space="preserve">requirement </w:t>
      </w:r>
      <w:r>
        <w:t>of</w:t>
      </w:r>
      <w:r w:rsidRPr="00CB5F82">
        <w:t xml:space="preserve"> stable or responding disease for continuing treatmen</w:t>
      </w:r>
      <w:r>
        <w:t>t was removed</w:t>
      </w:r>
      <w:r w:rsidRPr="004455C8">
        <w:t xml:space="preserve">). </w:t>
      </w:r>
      <w:r>
        <w:t xml:space="preserve">The Sponsor’s rationale for Scenario 2 was that the sorafenib treatment duration accepted by the PBAC for use in the economic model (17.55 months; 7.9, ratified PBAC minutes, sorafenib March 2015) includes the </w:t>
      </w:r>
      <w:r w:rsidR="0058113B">
        <w:t xml:space="preserve">post-progression </w:t>
      </w:r>
      <w:r>
        <w:t>use</w:t>
      </w:r>
      <w:r w:rsidR="0058113B">
        <w:t xml:space="preserve"> of sorafenib.</w:t>
      </w:r>
    </w:p>
    <w:p w:rsidR="0087759E" w:rsidRPr="00AA4D5C" w:rsidRDefault="0087759E" w:rsidP="0087759E">
      <w:pPr>
        <w:rPr>
          <w:szCs w:val="22"/>
        </w:rPr>
      </w:pPr>
    </w:p>
    <w:p w:rsidR="0087759E" w:rsidRPr="00BF7549" w:rsidRDefault="0087759E" w:rsidP="009A4BEE">
      <w:pPr>
        <w:pStyle w:val="ListParagraph"/>
        <w:widowControl/>
        <w:numPr>
          <w:ilvl w:val="1"/>
          <w:numId w:val="8"/>
        </w:numPr>
        <w:rPr>
          <w:szCs w:val="22"/>
        </w:rPr>
      </w:pPr>
      <w:r w:rsidRPr="00BF7549">
        <w:rPr>
          <w:szCs w:val="22"/>
        </w:rPr>
        <w:t xml:space="preserve">The </w:t>
      </w:r>
      <w:r w:rsidR="00524460">
        <w:rPr>
          <w:szCs w:val="22"/>
        </w:rPr>
        <w:t>re-</w:t>
      </w:r>
      <w:r w:rsidRPr="00BF7549">
        <w:rPr>
          <w:szCs w:val="22"/>
        </w:rPr>
        <w:t xml:space="preserve">submission did not address the PBAC’s previous considerations that stage III or stage IV disease patients should be specified in the </w:t>
      </w:r>
      <w:r w:rsidR="00AA4D5C" w:rsidRPr="00BF7549">
        <w:rPr>
          <w:szCs w:val="22"/>
        </w:rPr>
        <w:t>restriction</w:t>
      </w:r>
      <w:r w:rsidR="003A5874" w:rsidRPr="00BF7549">
        <w:rPr>
          <w:szCs w:val="22"/>
        </w:rPr>
        <w:t xml:space="preserve"> and that the restriction should define the subset of high</w:t>
      </w:r>
      <w:r w:rsidR="00AA4D5C" w:rsidRPr="00BF7549">
        <w:rPr>
          <w:szCs w:val="22"/>
        </w:rPr>
        <w:t>-</w:t>
      </w:r>
      <w:r w:rsidR="003A5874" w:rsidRPr="00BF7549">
        <w:rPr>
          <w:szCs w:val="22"/>
        </w:rPr>
        <w:t xml:space="preserve">risk patients aged less than 45 years who should be included. The PSCR (p.1) argued that </w:t>
      </w:r>
      <w:r w:rsidR="00600A3A" w:rsidRPr="00BF7549">
        <w:rPr>
          <w:szCs w:val="22"/>
        </w:rPr>
        <w:t xml:space="preserve">restricting use to stage III or IV </w:t>
      </w:r>
      <w:r w:rsidR="00600A3A" w:rsidRPr="00BF7549">
        <w:rPr>
          <w:szCs w:val="22"/>
        </w:rPr>
        <w:lastRenderedPageBreak/>
        <w:t>disease</w:t>
      </w:r>
      <w:r w:rsidR="003A5874" w:rsidRPr="00BF7549">
        <w:rPr>
          <w:szCs w:val="22"/>
        </w:rPr>
        <w:t xml:space="preserve"> would exclude patients who are under 45 years, and claimed that the requested restriction wording requires patients to be at risk.</w:t>
      </w:r>
    </w:p>
    <w:p w:rsidR="009A4BEE" w:rsidRDefault="009A4BEE" w:rsidP="00CD0889"/>
    <w:p w:rsidR="000F0B2A" w:rsidRPr="000F0B2A" w:rsidRDefault="000F0B2A" w:rsidP="00CD0889">
      <w:pPr>
        <w:widowControl/>
        <w:ind w:left="709"/>
        <w:contextualSpacing/>
        <w:rPr>
          <w:rFonts w:cs="Times New Roman"/>
          <w:i/>
          <w:snapToGrid/>
          <w:szCs w:val="22"/>
          <w:lang w:eastAsia="en-AU"/>
        </w:rPr>
      </w:pPr>
      <w:r w:rsidRPr="00CD0889">
        <w:rPr>
          <w:rFonts w:cs="Times New Roman"/>
          <w:i/>
          <w:snapToGrid/>
          <w:szCs w:val="22"/>
          <w:lang w:eastAsia="en-AU"/>
        </w:rPr>
        <w:t>For more detail on PBAC’s view, see section 7 “PBAC outcome”</w:t>
      </w:r>
      <w:r w:rsidR="00524460">
        <w:rPr>
          <w:rFonts w:cs="Times New Roman"/>
          <w:i/>
          <w:snapToGrid/>
          <w:szCs w:val="22"/>
          <w:lang w:eastAsia="en-AU"/>
        </w:rPr>
        <w:t>.</w:t>
      </w:r>
    </w:p>
    <w:p w:rsidR="003F4361" w:rsidRDefault="003F4361">
      <w:pPr>
        <w:widowControl/>
        <w:jc w:val="left"/>
      </w:pPr>
    </w:p>
    <w:p w:rsidR="002B6234" w:rsidRPr="00882085" w:rsidRDefault="002B6234" w:rsidP="009A4BEE"/>
    <w:p w:rsidR="009A4BEE" w:rsidRPr="00407F2D" w:rsidRDefault="009A4BEE" w:rsidP="00F30141">
      <w:pPr>
        <w:pStyle w:val="Heading1"/>
      </w:pPr>
      <w:bookmarkStart w:id="3" w:name="_Toc430014680"/>
      <w:r w:rsidRPr="00407F2D">
        <w:t>Background</w:t>
      </w:r>
      <w:bookmarkEnd w:id="3"/>
    </w:p>
    <w:p w:rsidR="009A4BEE" w:rsidRPr="00882085" w:rsidRDefault="009A4BEE" w:rsidP="009A4BEE">
      <w:pPr>
        <w:rPr>
          <w:szCs w:val="22"/>
        </w:rPr>
      </w:pPr>
    </w:p>
    <w:p w:rsidR="009A4BEE" w:rsidRPr="00F322BB" w:rsidRDefault="009A4BEE" w:rsidP="009A4BEE">
      <w:pPr>
        <w:pStyle w:val="ListParagraph"/>
        <w:widowControl/>
        <w:numPr>
          <w:ilvl w:val="1"/>
          <w:numId w:val="6"/>
        </w:numPr>
        <w:rPr>
          <w:szCs w:val="22"/>
        </w:rPr>
      </w:pPr>
      <w:r>
        <w:rPr>
          <w:szCs w:val="22"/>
        </w:rPr>
        <w:t xml:space="preserve">Sorafenib </w:t>
      </w:r>
      <w:r w:rsidRPr="00F322BB">
        <w:rPr>
          <w:szCs w:val="22"/>
        </w:rPr>
        <w:t xml:space="preserve">was TGA registered on </w:t>
      </w:r>
      <w:r>
        <w:rPr>
          <w:szCs w:val="22"/>
        </w:rPr>
        <w:t xml:space="preserve">May 2014 </w:t>
      </w:r>
      <w:r w:rsidRPr="00F322BB">
        <w:rPr>
          <w:szCs w:val="22"/>
        </w:rPr>
        <w:t xml:space="preserve">for </w:t>
      </w:r>
      <w:r>
        <w:rPr>
          <w:szCs w:val="22"/>
        </w:rPr>
        <w:t>l</w:t>
      </w:r>
      <w:r w:rsidRPr="00F322BB">
        <w:rPr>
          <w:szCs w:val="22"/>
        </w:rPr>
        <w:t>ocally advanced or metastatic, progressive, differentiated</w:t>
      </w:r>
      <w:r>
        <w:rPr>
          <w:szCs w:val="22"/>
        </w:rPr>
        <w:t xml:space="preserve"> </w:t>
      </w:r>
      <w:r w:rsidRPr="00F322BB">
        <w:rPr>
          <w:szCs w:val="22"/>
        </w:rPr>
        <w:t>thyroid carcinoma refractory to radioactive iodine</w:t>
      </w:r>
      <w:r>
        <w:rPr>
          <w:szCs w:val="22"/>
        </w:rPr>
        <w:t>. Sorafenib was granted Orphan Drug Status on 4 March 2013 for this indication.</w:t>
      </w:r>
    </w:p>
    <w:p w:rsidR="009A4BEE" w:rsidRPr="001971A6" w:rsidRDefault="009A4BEE" w:rsidP="009A4BEE"/>
    <w:p w:rsidR="009A4BEE" w:rsidRPr="00B249F6" w:rsidRDefault="009A4BEE" w:rsidP="009A4BEE">
      <w:pPr>
        <w:pStyle w:val="ListParagraph"/>
        <w:widowControl/>
        <w:numPr>
          <w:ilvl w:val="1"/>
          <w:numId w:val="6"/>
        </w:numPr>
        <w:rPr>
          <w:szCs w:val="22"/>
        </w:rPr>
      </w:pPr>
      <w:r w:rsidRPr="00B249F6">
        <w:rPr>
          <w:szCs w:val="22"/>
        </w:rPr>
        <w:t xml:space="preserve">The PBAC has </w:t>
      </w:r>
      <w:r>
        <w:rPr>
          <w:szCs w:val="22"/>
        </w:rPr>
        <w:t xml:space="preserve">previously </w:t>
      </w:r>
      <w:r w:rsidRPr="00B249F6">
        <w:rPr>
          <w:szCs w:val="22"/>
        </w:rPr>
        <w:t>considered sorafenib for this indication twice.</w:t>
      </w:r>
    </w:p>
    <w:p w:rsidR="009A4BEE" w:rsidRPr="00882085" w:rsidRDefault="009A4BEE" w:rsidP="009A4BEE"/>
    <w:p w:rsidR="009A4BEE" w:rsidRPr="001D112E" w:rsidRDefault="009A4BEE" w:rsidP="009A4BEE">
      <w:pPr>
        <w:pStyle w:val="ListParagraph"/>
        <w:widowControl/>
        <w:numPr>
          <w:ilvl w:val="1"/>
          <w:numId w:val="6"/>
        </w:numPr>
      </w:pPr>
      <w:r>
        <w:t>The table below compares the March 2015 re-submission to the PBAC for sorafenib in RAI-R DTC with the current re-submission.</w:t>
      </w:r>
    </w:p>
    <w:p w:rsidR="009A4BEE" w:rsidRPr="00ED0F04" w:rsidRDefault="004F2AFD" w:rsidP="003F4361">
      <w:pPr>
        <w:keepNext/>
        <w:ind w:firstLine="720"/>
        <w:rPr>
          <w:rStyle w:val="CommentReference"/>
        </w:rPr>
      </w:pPr>
      <w:r>
        <w:rPr>
          <w:rStyle w:val="CommentReference"/>
        </w:rPr>
        <w:lastRenderedPageBreak/>
        <w:t xml:space="preserve">Table 1: </w:t>
      </w:r>
      <w:r w:rsidR="009A4BEE" w:rsidRPr="00ED0F04">
        <w:rPr>
          <w:rStyle w:val="CommentReference"/>
        </w:rPr>
        <w:t>Summary of the previous submission and current re-submission</w:t>
      </w:r>
    </w:p>
    <w:tbl>
      <w:tblPr>
        <w:tblW w:w="85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4395"/>
        <w:gridCol w:w="3135"/>
      </w:tblGrid>
      <w:tr w:rsidR="009A4BEE" w:rsidRPr="00DF5913" w:rsidTr="009A4BEE">
        <w:trPr>
          <w:trHeight w:val="220"/>
          <w:tblHeader/>
        </w:trPr>
        <w:tc>
          <w:tcPr>
            <w:tcW w:w="992" w:type="dxa"/>
          </w:tcPr>
          <w:p w:rsidR="009A4BEE" w:rsidRPr="00DF5913" w:rsidRDefault="009A4BEE" w:rsidP="009A4BEE">
            <w:pPr>
              <w:keepNext/>
              <w:jc w:val="left"/>
              <w:rPr>
                <w:rFonts w:ascii="Arial Narrow" w:hAnsi="Arial Narrow"/>
                <w:sz w:val="18"/>
                <w:szCs w:val="18"/>
              </w:rPr>
            </w:pPr>
          </w:p>
        </w:tc>
        <w:tc>
          <w:tcPr>
            <w:tcW w:w="4395" w:type="dxa"/>
            <w:vAlign w:val="center"/>
          </w:tcPr>
          <w:p w:rsidR="009A4BEE" w:rsidRPr="00DF5913" w:rsidRDefault="009A4BEE" w:rsidP="001E0A85">
            <w:pPr>
              <w:keepNext/>
              <w:jc w:val="center"/>
              <w:rPr>
                <w:rFonts w:ascii="Arial Narrow" w:hAnsi="Arial Narrow"/>
                <w:b/>
                <w:sz w:val="18"/>
                <w:szCs w:val="18"/>
              </w:rPr>
            </w:pPr>
            <w:r w:rsidRPr="00DF5913">
              <w:rPr>
                <w:rFonts w:ascii="Arial Narrow" w:hAnsi="Arial Narrow"/>
                <w:b/>
                <w:sz w:val="18"/>
                <w:szCs w:val="18"/>
              </w:rPr>
              <w:t>Sorafenib, March 2015 re</w:t>
            </w:r>
            <w:r w:rsidR="001E0A85">
              <w:rPr>
                <w:rFonts w:ascii="Arial Narrow" w:hAnsi="Arial Narrow"/>
                <w:b/>
                <w:sz w:val="18"/>
                <w:szCs w:val="18"/>
              </w:rPr>
              <w:t>-</w:t>
            </w:r>
            <w:r w:rsidRPr="00DF5913">
              <w:rPr>
                <w:rFonts w:ascii="Arial Narrow" w:hAnsi="Arial Narrow"/>
                <w:b/>
                <w:sz w:val="18"/>
                <w:szCs w:val="18"/>
              </w:rPr>
              <w:t>submission</w:t>
            </w:r>
          </w:p>
        </w:tc>
        <w:tc>
          <w:tcPr>
            <w:tcW w:w="3135" w:type="dxa"/>
            <w:vAlign w:val="center"/>
          </w:tcPr>
          <w:p w:rsidR="009A4BEE" w:rsidRPr="00DF5913" w:rsidRDefault="009A4BEE" w:rsidP="009A4BEE">
            <w:pPr>
              <w:keepNext/>
              <w:jc w:val="center"/>
              <w:rPr>
                <w:rFonts w:ascii="Arial Narrow" w:hAnsi="Arial Narrow"/>
                <w:b/>
                <w:sz w:val="18"/>
                <w:szCs w:val="18"/>
              </w:rPr>
            </w:pPr>
            <w:r w:rsidRPr="00DF5913">
              <w:rPr>
                <w:rFonts w:ascii="Arial Narrow" w:hAnsi="Arial Narrow"/>
                <w:b/>
                <w:sz w:val="18"/>
                <w:szCs w:val="18"/>
              </w:rPr>
              <w:t>Current re-submission</w:t>
            </w:r>
          </w:p>
        </w:tc>
      </w:tr>
      <w:tr w:rsidR="009A4BEE" w:rsidRPr="00DF5913" w:rsidTr="009A4BEE">
        <w:trPr>
          <w:trHeight w:val="667"/>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Requested PBS listing</w:t>
            </w:r>
          </w:p>
        </w:tc>
        <w:tc>
          <w:tcPr>
            <w:tcW w:w="4395" w:type="dxa"/>
          </w:tcPr>
          <w:p w:rsidR="009A4BEE" w:rsidRPr="00DF5913" w:rsidRDefault="009A4BEE" w:rsidP="009A4BEE">
            <w:pPr>
              <w:keepNext/>
              <w:jc w:val="left"/>
              <w:rPr>
                <w:rFonts w:ascii="Arial Narrow" w:hAnsi="Arial Narrow"/>
                <w:b/>
                <w:sz w:val="18"/>
                <w:szCs w:val="18"/>
              </w:rPr>
            </w:pPr>
            <w:r w:rsidRPr="00DF5913">
              <w:rPr>
                <w:rFonts w:ascii="Arial Narrow" w:hAnsi="Arial Narrow"/>
                <w:sz w:val="18"/>
                <w:szCs w:val="18"/>
              </w:rPr>
              <w:t>Treatment of RAI-R DTC.</w:t>
            </w:r>
          </w:p>
          <w:p w:rsidR="009A4BEE" w:rsidRPr="00DF5913" w:rsidRDefault="009A4BEE" w:rsidP="0058113B">
            <w:pPr>
              <w:keepNext/>
              <w:jc w:val="left"/>
              <w:rPr>
                <w:rFonts w:ascii="Arial Narrow" w:hAnsi="Arial Narrow"/>
                <w:sz w:val="18"/>
                <w:szCs w:val="18"/>
              </w:rPr>
            </w:pPr>
            <w:r w:rsidRPr="00DF5913">
              <w:rPr>
                <w:rFonts w:ascii="Arial Narrow" w:hAnsi="Arial Narrow"/>
                <w:b/>
                <w:sz w:val="18"/>
                <w:szCs w:val="18"/>
              </w:rPr>
              <w:t xml:space="preserve">PBAC Comment: </w:t>
            </w:r>
            <w:r>
              <w:rPr>
                <w:rFonts w:ascii="Arial Narrow" w:hAnsi="Arial Narrow"/>
                <w:sz w:val="18"/>
                <w:szCs w:val="18"/>
              </w:rPr>
              <w:t>“</w:t>
            </w:r>
            <w:r w:rsidRPr="00DF5913">
              <w:rPr>
                <w:rFonts w:ascii="Arial Narrow" w:hAnsi="Arial Narrow"/>
                <w:sz w:val="18"/>
                <w:szCs w:val="18"/>
              </w:rPr>
              <w:t xml:space="preserve">The PBAC considered that the restriction should define the subset of high risk patients aged less than </w:t>
            </w:r>
            <w:r w:rsidR="0058113B">
              <w:rPr>
                <w:rFonts w:ascii="Arial Narrow" w:hAnsi="Arial Narrow"/>
                <w:sz w:val="18"/>
                <w:szCs w:val="18"/>
              </w:rPr>
              <w:t>45 years who should be included</w:t>
            </w:r>
            <w:r>
              <w:rPr>
                <w:rFonts w:ascii="Arial Narrow" w:hAnsi="Arial Narrow"/>
                <w:sz w:val="18"/>
                <w:szCs w:val="18"/>
              </w:rPr>
              <w:t>”</w:t>
            </w:r>
            <w:r w:rsidR="0058113B">
              <w:rPr>
                <w:rFonts w:ascii="Arial Narrow" w:hAnsi="Arial Narrow"/>
                <w:sz w:val="18"/>
                <w:szCs w:val="18"/>
              </w:rPr>
              <w:t xml:space="preserve"> </w:t>
            </w:r>
            <w:r>
              <w:rPr>
                <w:rFonts w:ascii="Arial Narrow" w:hAnsi="Arial Narrow"/>
                <w:sz w:val="18"/>
                <w:szCs w:val="18"/>
              </w:rPr>
              <w:t>(7.3, PBAC PSD, sorafenib March 2015)</w:t>
            </w:r>
            <w:r w:rsidR="0058113B">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1: use post</w:t>
            </w:r>
            <w:r>
              <w:rPr>
                <w:rFonts w:ascii="Arial Narrow" w:hAnsi="Arial Narrow"/>
                <w:sz w:val="18"/>
                <w:szCs w:val="18"/>
              </w:rPr>
              <w:t xml:space="preserve"> </w:t>
            </w:r>
            <w:r w:rsidRPr="00DF5913">
              <w:rPr>
                <w:rFonts w:ascii="Arial Narrow" w:hAnsi="Arial Narrow"/>
                <w:sz w:val="18"/>
                <w:szCs w:val="18"/>
              </w:rPr>
              <w:t>progression not allowed, same as the March 2015 re-submission.</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2: use post</w:t>
            </w:r>
            <w:r>
              <w:rPr>
                <w:rFonts w:ascii="Arial Narrow" w:hAnsi="Arial Narrow"/>
                <w:sz w:val="18"/>
                <w:szCs w:val="18"/>
              </w:rPr>
              <w:t xml:space="preserve"> </w:t>
            </w:r>
            <w:r w:rsidRPr="00DF5913">
              <w:rPr>
                <w:rFonts w:ascii="Arial Narrow" w:hAnsi="Arial Narrow"/>
                <w:sz w:val="18"/>
                <w:szCs w:val="18"/>
              </w:rPr>
              <w:t>progression allowed.</w:t>
            </w:r>
          </w:p>
          <w:p w:rsidR="009A4BEE" w:rsidRPr="004B43B6" w:rsidRDefault="009A4BEE" w:rsidP="0058113B">
            <w:pPr>
              <w:keepNext/>
              <w:jc w:val="left"/>
              <w:rPr>
                <w:rFonts w:ascii="Arial Narrow" w:hAnsi="Arial Narrow"/>
                <w:i/>
                <w:sz w:val="18"/>
                <w:szCs w:val="18"/>
              </w:rPr>
            </w:pPr>
            <w:r>
              <w:rPr>
                <w:rFonts w:ascii="Arial Narrow" w:hAnsi="Arial Narrow"/>
                <w:i/>
                <w:sz w:val="18"/>
                <w:szCs w:val="18"/>
              </w:rPr>
              <w:t>Defining these high</w:t>
            </w:r>
            <w:r w:rsidR="0058113B">
              <w:rPr>
                <w:rFonts w:ascii="Arial Narrow" w:hAnsi="Arial Narrow"/>
                <w:i/>
                <w:sz w:val="18"/>
                <w:szCs w:val="18"/>
              </w:rPr>
              <w:t>-</w:t>
            </w:r>
            <w:r>
              <w:rPr>
                <w:rFonts w:ascii="Arial Narrow" w:hAnsi="Arial Narrow"/>
                <w:i/>
                <w:sz w:val="18"/>
                <w:szCs w:val="18"/>
              </w:rPr>
              <w:t>risk patients was not addressed</w:t>
            </w:r>
            <w:r w:rsidR="0058113B">
              <w:rPr>
                <w:rFonts w:ascii="Arial Narrow" w:hAnsi="Arial Narrow"/>
                <w:i/>
                <w:sz w:val="18"/>
                <w:szCs w:val="18"/>
              </w:rPr>
              <w:t>.</w:t>
            </w:r>
          </w:p>
        </w:tc>
      </w:tr>
      <w:tr w:rsidR="009A4BEE" w:rsidRPr="00DF5913" w:rsidTr="009A4BEE">
        <w:trPr>
          <w:trHeight w:val="422"/>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Requested price</w:t>
            </w:r>
          </w:p>
        </w:tc>
        <w:tc>
          <w:tcPr>
            <w:tcW w:w="439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(published)</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(effective)</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1: effective DPMQ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w:t>
            </w:r>
            <w:r>
              <w:rPr>
                <w:rFonts w:ascii="Arial Narrow" w:hAnsi="Arial Narrow"/>
                <w:i/>
                <w:sz w:val="18"/>
                <w:szCs w:val="18"/>
              </w:rPr>
              <w:t>with</w:t>
            </w:r>
            <w:r w:rsidRPr="00DF5913">
              <w:rPr>
                <w:rFonts w:ascii="Arial Narrow" w:hAnsi="Arial Narrow"/>
                <w:i/>
                <w:sz w:val="18"/>
                <w:szCs w:val="18"/>
              </w:rPr>
              <w:t xml:space="preserve"> updated mark-ups $</w:t>
            </w:r>
            <w:r w:rsidR="00EF72BF">
              <w:rPr>
                <w:rFonts w:ascii="Arial Narrow" w:hAnsi="Arial Narrow"/>
                <w:i/>
                <w:noProof/>
                <w:color w:val="000000"/>
                <w:sz w:val="18"/>
                <w:szCs w:val="18"/>
                <w:highlight w:val="black"/>
              </w:rPr>
              <w:t>'''''''''''''''''''''</w:t>
            </w:r>
            <w:r w:rsidRPr="00DF5913">
              <w:rPr>
                <w:rFonts w:ascii="Arial Narrow" w:hAnsi="Arial Narrow"/>
                <w:sz w:val="18"/>
                <w:szCs w:val="18"/>
              </w:rPr>
              <w:t>)</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2: effective DPMQ of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w:t>
            </w:r>
            <w:r>
              <w:rPr>
                <w:rFonts w:ascii="Arial Narrow" w:hAnsi="Arial Narrow"/>
                <w:i/>
                <w:sz w:val="18"/>
                <w:szCs w:val="18"/>
              </w:rPr>
              <w:t xml:space="preserve">with </w:t>
            </w:r>
            <w:r w:rsidRPr="00DF5913">
              <w:rPr>
                <w:rFonts w:ascii="Arial Narrow" w:hAnsi="Arial Narrow"/>
                <w:i/>
                <w:sz w:val="18"/>
                <w:szCs w:val="18"/>
              </w:rPr>
              <w:t>updated mark-ups $</w:t>
            </w:r>
            <w:r w:rsidR="00EF72BF">
              <w:rPr>
                <w:rFonts w:ascii="Arial Narrow" w:hAnsi="Arial Narrow"/>
                <w:i/>
                <w:noProof/>
                <w:color w:val="000000"/>
                <w:sz w:val="18"/>
                <w:szCs w:val="18"/>
                <w:highlight w:val="black"/>
              </w:rPr>
              <w:t>''''''''''''''''''''</w:t>
            </w:r>
            <w:r w:rsidRPr="00DF5913">
              <w:rPr>
                <w:rFonts w:ascii="Arial Narrow" w:hAnsi="Arial Narrow"/>
                <w:sz w:val="18"/>
                <w:szCs w:val="18"/>
              </w:rPr>
              <w:t>)</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 published DPMQ</w:t>
            </w:r>
          </w:p>
        </w:tc>
      </w:tr>
      <w:tr w:rsidR="009A4BEE" w:rsidRPr="00DF5913" w:rsidTr="009A4BEE">
        <w:trPr>
          <w:trHeight w:val="642"/>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Main comparator</w:t>
            </w:r>
          </w:p>
        </w:tc>
        <w:tc>
          <w:tcPr>
            <w:tcW w:w="4395" w:type="dxa"/>
          </w:tcPr>
          <w:p w:rsidR="009A4BEE" w:rsidRPr="00DF5913" w:rsidRDefault="0058113B" w:rsidP="009A4BEE">
            <w:pPr>
              <w:keepNext/>
              <w:jc w:val="left"/>
              <w:rPr>
                <w:rFonts w:ascii="Arial Narrow" w:hAnsi="Arial Narrow"/>
                <w:sz w:val="18"/>
                <w:szCs w:val="18"/>
              </w:rPr>
            </w:pPr>
            <w:r>
              <w:rPr>
                <w:rFonts w:ascii="Arial Narrow" w:hAnsi="Arial Narrow"/>
                <w:sz w:val="18"/>
                <w:szCs w:val="18"/>
              </w:rPr>
              <w:t>Best s</w:t>
            </w:r>
            <w:r w:rsidR="009A4BEE" w:rsidRPr="00DF5913">
              <w:rPr>
                <w:rFonts w:ascii="Arial Narrow" w:hAnsi="Arial Narrow"/>
                <w:sz w:val="18"/>
                <w:szCs w:val="18"/>
              </w:rPr>
              <w:t>upportive care</w:t>
            </w:r>
            <w:r>
              <w:rPr>
                <w:rFonts w:ascii="Arial Narrow" w:hAnsi="Arial Narrow"/>
                <w:sz w:val="18"/>
                <w:szCs w:val="18"/>
              </w:rPr>
              <w:t>.</w:t>
            </w:r>
          </w:p>
          <w:p w:rsidR="009A4BEE" w:rsidRPr="00DF5913" w:rsidRDefault="009A4BEE" w:rsidP="009A4BEE">
            <w:pPr>
              <w:keepNext/>
              <w:jc w:val="left"/>
              <w:rPr>
                <w:rFonts w:ascii="Arial Narrow" w:hAnsi="Arial Narrow"/>
                <w:sz w:val="18"/>
                <w:szCs w:val="18"/>
              </w:rPr>
            </w:pPr>
            <w:r w:rsidRPr="00DF5913">
              <w:rPr>
                <w:rFonts w:ascii="Arial Narrow" w:hAnsi="Arial Narrow"/>
                <w:b/>
                <w:sz w:val="18"/>
                <w:szCs w:val="18"/>
              </w:rPr>
              <w:t>PBAC Comment:</w:t>
            </w:r>
            <w:r w:rsidRPr="00DF5913">
              <w:rPr>
                <w:rFonts w:ascii="Arial Narrow" w:hAnsi="Arial Narrow"/>
                <w:sz w:val="18"/>
                <w:szCs w:val="18"/>
              </w:rPr>
              <w:t xml:space="preserve"> The PBAC accepted BSC (placebo) as the appropriate comparator (7.5, </w:t>
            </w:r>
            <w:r>
              <w:rPr>
                <w:rFonts w:ascii="Arial Narrow" w:hAnsi="Arial Narrow"/>
                <w:sz w:val="18"/>
                <w:szCs w:val="18"/>
              </w:rPr>
              <w:t>PBAC PSD, sorafenib March 2015)</w:t>
            </w:r>
            <w:r w:rsidR="0058113B">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w:t>
            </w:r>
          </w:p>
        </w:tc>
      </w:tr>
      <w:tr w:rsidR="009A4BEE" w:rsidRPr="00DF5913" w:rsidTr="009A4BEE">
        <w:trPr>
          <w:trHeight w:val="860"/>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Clinical evidence</w:t>
            </w:r>
          </w:p>
        </w:tc>
        <w:tc>
          <w:tcPr>
            <w:tcW w:w="439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 xml:space="preserve">One head-to-head trial (DECISION) comparing sorafenib to placebo plus best </w:t>
            </w:r>
            <w:r w:rsidR="0058113B">
              <w:rPr>
                <w:rFonts w:ascii="Arial Narrow" w:hAnsi="Arial Narrow"/>
                <w:sz w:val="18"/>
                <w:szCs w:val="18"/>
              </w:rPr>
              <w:t>supportive care (BSC) (n=417).</w:t>
            </w:r>
          </w:p>
          <w:p w:rsidR="009A4BEE" w:rsidRPr="00DF5913" w:rsidRDefault="009A4BEE" w:rsidP="009A4BEE">
            <w:pPr>
              <w:keepNext/>
              <w:jc w:val="left"/>
              <w:rPr>
                <w:rFonts w:ascii="Arial Narrow" w:hAnsi="Arial Narrow"/>
                <w:sz w:val="18"/>
                <w:szCs w:val="18"/>
              </w:rPr>
            </w:pPr>
            <w:r w:rsidRPr="00DF5913">
              <w:rPr>
                <w:rFonts w:ascii="Arial Narrow" w:hAnsi="Arial Narrow"/>
                <w:b/>
                <w:sz w:val="18"/>
                <w:szCs w:val="18"/>
              </w:rPr>
              <w:t>PBAC Comment:</w:t>
            </w:r>
            <w:r w:rsidRPr="00DF5913">
              <w:rPr>
                <w:rFonts w:ascii="Arial Narrow" w:hAnsi="Arial Narrow"/>
                <w:sz w:val="18"/>
                <w:szCs w:val="18"/>
              </w:rPr>
              <w:t xml:space="preserve"> Overall survival (OS) was confounded by substantial crossover (6.7, </w:t>
            </w:r>
            <w:r>
              <w:rPr>
                <w:rFonts w:ascii="Arial Narrow" w:hAnsi="Arial Narrow"/>
                <w:sz w:val="18"/>
                <w:szCs w:val="18"/>
              </w:rPr>
              <w:t>PBAC PSD, sorafenib March 2015).</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w:t>
            </w:r>
          </w:p>
        </w:tc>
      </w:tr>
      <w:tr w:rsidR="009A4BEE" w:rsidRPr="00DF5913" w:rsidTr="009A4BEE">
        <w:trPr>
          <w:trHeight w:val="1064"/>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Key effectiveness data</w:t>
            </w:r>
          </w:p>
        </w:tc>
        <w:tc>
          <w:tcPr>
            <w:tcW w:w="439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-Increase in median PFS from 5.8 months (placebo) to 10.8 months (sorafenib); HR 0.587 (</w:t>
            </w:r>
            <w:r>
              <w:rPr>
                <w:rFonts w:ascii="Arial Narrow" w:hAnsi="Arial Narrow"/>
                <w:sz w:val="18"/>
                <w:szCs w:val="18"/>
              </w:rPr>
              <w:t xml:space="preserve">95% CI </w:t>
            </w:r>
            <w:r w:rsidRPr="00DF5913">
              <w:rPr>
                <w:rFonts w:ascii="Arial Narrow" w:hAnsi="Arial Narrow"/>
                <w:sz w:val="18"/>
                <w:szCs w:val="18"/>
              </w:rPr>
              <w:t>0.454 - 0.758)</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 OS, unadjusted HR: 0.80 (</w:t>
            </w:r>
            <w:r>
              <w:rPr>
                <w:rFonts w:ascii="Arial Narrow" w:hAnsi="Arial Narrow"/>
                <w:sz w:val="18"/>
                <w:szCs w:val="18"/>
              </w:rPr>
              <w:t xml:space="preserve">95% CI </w:t>
            </w:r>
            <w:r w:rsidRPr="00DF5913">
              <w:rPr>
                <w:rFonts w:ascii="Arial Narrow" w:hAnsi="Arial Narrow"/>
                <w:sz w:val="18"/>
                <w:szCs w:val="18"/>
              </w:rPr>
              <w:t>0.5</w:t>
            </w:r>
            <w:r w:rsidR="0058113B">
              <w:rPr>
                <w:rFonts w:ascii="Arial Narrow" w:hAnsi="Arial Narrow"/>
                <w:sz w:val="18"/>
                <w:szCs w:val="18"/>
              </w:rPr>
              <w:t>4 – 1.19) (August 2012 data cut-</w:t>
            </w:r>
            <w:r w:rsidRPr="00DF5913">
              <w:rPr>
                <w:rFonts w:ascii="Arial Narrow" w:hAnsi="Arial Narrow"/>
                <w:sz w:val="18"/>
                <w:szCs w:val="18"/>
              </w:rPr>
              <w:t>off, ITT); 0.88 (</w:t>
            </w:r>
            <w:r>
              <w:rPr>
                <w:rFonts w:ascii="Arial Narrow" w:hAnsi="Arial Narrow"/>
                <w:sz w:val="18"/>
                <w:szCs w:val="18"/>
              </w:rPr>
              <w:t xml:space="preserve">95% CI </w:t>
            </w:r>
            <w:r w:rsidRPr="00DF5913">
              <w:rPr>
                <w:rFonts w:ascii="Arial Narrow" w:hAnsi="Arial Narrow"/>
                <w:sz w:val="18"/>
                <w:szCs w:val="18"/>
              </w:rPr>
              <w:t>0.63-1.24) (May 2013 data cut-off, ITT)</w:t>
            </w:r>
          </w:p>
          <w:p w:rsidR="009A4BEE" w:rsidRPr="00DF5913" w:rsidRDefault="009A4BEE" w:rsidP="009A4BEE">
            <w:pPr>
              <w:keepNext/>
              <w:jc w:val="left"/>
              <w:rPr>
                <w:rFonts w:ascii="Arial Narrow" w:hAnsi="Arial Narrow"/>
                <w:sz w:val="18"/>
                <w:szCs w:val="18"/>
              </w:rPr>
            </w:pPr>
            <w:r w:rsidRPr="00DF5913">
              <w:rPr>
                <w:rFonts w:ascii="Arial Narrow" w:hAnsi="Arial Narrow"/>
                <w:b/>
                <w:sz w:val="18"/>
                <w:szCs w:val="18"/>
              </w:rPr>
              <w:t>PBAC Comment:</w:t>
            </w:r>
            <w:r w:rsidRPr="00DF5913">
              <w:rPr>
                <w:rFonts w:ascii="Arial Narrow" w:hAnsi="Arial Narrow"/>
                <w:sz w:val="18"/>
                <w:szCs w:val="18"/>
              </w:rPr>
              <w:t xml:space="preserve"> The PBAC could not conclude whether the RPSFT estimate would be less biased than the unadjusted survival estimate….the PBAC concluded that the ITT results, which did not show a statistically significant improvement in OS, were more informative than the adjusted analyses (7.10, </w:t>
            </w:r>
            <w:r>
              <w:rPr>
                <w:rFonts w:ascii="Arial Narrow" w:hAnsi="Arial Narrow"/>
                <w:sz w:val="18"/>
                <w:szCs w:val="18"/>
              </w:rPr>
              <w:t>PBAC PSD, sorafenib March 2015).</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w:t>
            </w:r>
          </w:p>
        </w:tc>
      </w:tr>
      <w:tr w:rsidR="009A4BEE" w:rsidRPr="00DF5913" w:rsidTr="009A4BEE">
        <w:trPr>
          <w:trHeight w:val="590"/>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Key safety data</w:t>
            </w:r>
          </w:p>
        </w:tc>
        <w:tc>
          <w:tcPr>
            <w:tcW w:w="4395" w:type="dxa"/>
          </w:tcPr>
          <w:p w:rsidR="009A4BEE" w:rsidRPr="00DF5913" w:rsidRDefault="009A4BEE" w:rsidP="0058113B">
            <w:pPr>
              <w:keepNext/>
              <w:jc w:val="left"/>
              <w:rPr>
                <w:rFonts w:ascii="Arial Narrow" w:hAnsi="Arial Narrow"/>
                <w:sz w:val="18"/>
                <w:szCs w:val="18"/>
              </w:rPr>
            </w:pPr>
            <w:r w:rsidRPr="00DF5913">
              <w:rPr>
                <w:rFonts w:ascii="Arial Narrow" w:hAnsi="Arial Narrow"/>
                <w:sz w:val="18"/>
                <w:szCs w:val="18"/>
              </w:rPr>
              <w:t>Sorafenib is associated with an increase in Grade ≥3 treatment emergent AEs, including hand-foot skin reaction and hypertension</w:t>
            </w:r>
            <w:r w:rsidR="0058113B">
              <w:rPr>
                <w:rFonts w:ascii="Arial Narrow" w:hAnsi="Arial Narrow"/>
                <w:sz w:val="18"/>
                <w:szCs w:val="18"/>
              </w:rPr>
              <w:t xml:space="preserve"> </w:t>
            </w:r>
            <w:r>
              <w:rPr>
                <w:rFonts w:ascii="Arial Narrow" w:hAnsi="Arial Narrow"/>
                <w:sz w:val="18"/>
                <w:szCs w:val="18"/>
              </w:rPr>
              <w:t>(6.17, PBAC PSD, sorafenib March 2015)</w:t>
            </w:r>
            <w:r w:rsidR="0058113B">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w:t>
            </w:r>
          </w:p>
        </w:tc>
      </w:tr>
      <w:tr w:rsidR="009A4BEE" w:rsidRPr="00DF5913" w:rsidTr="009A4BEE">
        <w:trPr>
          <w:trHeight w:val="242"/>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Clinical claim</w:t>
            </w:r>
          </w:p>
        </w:tc>
        <w:tc>
          <w:tcPr>
            <w:tcW w:w="439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Superior in terms of comparative effectiveness but inferior in term</w:t>
            </w:r>
            <w:r w:rsidR="0058113B">
              <w:rPr>
                <w:rFonts w:ascii="Arial Narrow" w:hAnsi="Arial Narrow"/>
                <w:sz w:val="18"/>
                <w:szCs w:val="18"/>
              </w:rPr>
              <w:t>s of comparative safety profile.</w:t>
            </w:r>
          </w:p>
          <w:p w:rsidR="009A4BEE" w:rsidRPr="00DF5913" w:rsidRDefault="009A4BEE" w:rsidP="00BB6833">
            <w:pPr>
              <w:keepNext/>
              <w:jc w:val="left"/>
              <w:rPr>
                <w:rFonts w:ascii="Arial Narrow" w:hAnsi="Arial Narrow"/>
                <w:sz w:val="18"/>
                <w:szCs w:val="18"/>
              </w:rPr>
            </w:pPr>
            <w:r w:rsidRPr="00DF5913">
              <w:rPr>
                <w:rFonts w:ascii="Arial Narrow" w:hAnsi="Arial Narrow"/>
                <w:b/>
                <w:sz w:val="18"/>
                <w:szCs w:val="18"/>
              </w:rPr>
              <w:t>PBAC Comment:</w:t>
            </w:r>
            <w:r w:rsidRPr="00DF5913">
              <w:rPr>
                <w:rFonts w:ascii="Arial Narrow" w:hAnsi="Arial Narrow"/>
                <w:sz w:val="18"/>
                <w:szCs w:val="18"/>
              </w:rPr>
              <w:t xml:space="preserve"> </w:t>
            </w:r>
            <w:r w:rsidR="00BB6833">
              <w:rPr>
                <w:rFonts w:ascii="Arial Narrow" w:hAnsi="Arial Narrow"/>
                <w:sz w:val="18"/>
                <w:szCs w:val="18"/>
              </w:rPr>
              <w:t>The PBAC a</w:t>
            </w:r>
            <w:r w:rsidRPr="00DF5913">
              <w:rPr>
                <w:rFonts w:ascii="Arial Narrow" w:hAnsi="Arial Narrow"/>
                <w:sz w:val="18"/>
                <w:szCs w:val="18"/>
              </w:rPr>
              <w:t xml:space="preserve">ccepted that sorafenib has inferior safety compared with BSC (7.8, </w:t>
            </w:r>
            <w:r>
              <w:rPr>
                <w:rFonts w:ascii="Arial Narrow" w:hAnsi="Arial Narrow"/>
                <w:sz w:val="18"/>
                <w:szCs w:val="18"/>
              </w:rPr>
              <w:t>PBAC PSD, sorafenib March 2015)</w:t>
            </w:r>
            <w:r w:rsidRPr="00DF5913">
              <w:rPr>
                <w:rFonts w:ascii="Arial Narrow" w:hAnsi="Arial Narrow"/>
                <w:sz w:val="18"/>
                <w:szCs w:val="18"/>
              </w:rPr>
              <w:t xml:space="preserve">. The claim of superior comparative effectiveness was adequately supported by the data for PFS, but not for OS (6.19, </w:t>
            </w:r>
            <w:r>
              <w:rPr>
                <w:rFonts w:ascii="Arial Narrow" w:hAnsi="Arial Narrow"/>
                <w:sz w:val="18"/>
                <w:szCs w:val="18"/>
              </w:rPr>
              <w:t>PBAC PSD, sorafenib March 2015)</w:t>
            </w:r>
            <w:r w:rsidR="00BB6833">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Same</w:t>
            </w:r>
          </w:p>
        </w:tc>
      </w:tr>
      <w:tr w:rsidR="009A4BEE" w:rsidRPr="00DF5913" w:rsidTr="009A4BEE">
        <w:trPr>
          <w:trHeight w:val="838"/>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Economic evaluation</w:t>
            </w:r>
          </w:p>
        </w:tc>
        <w:tc>
          <w:tcPr>
            <w:tcW w:w="4395" w:type="dxa"/>
          </w:tcPr>
          <w:p w:rsidR="009A4BEE" w:rsidRPr="00DF5913" w:rsidRDefault="009A4BEE" w:rsidP="009A4BEE">
            <w:pPr>
              <w:keepNext/>
              <w:jc w:val="left"/>
              <w:rPr>
                <w:rFonts w:ascii="Arial Narrow" w:hAnsi="Arial Narrow"/>
                <w:b/>
                <w:sz w:val="18"/>
                <w:szCs w:val="18"/>
              </w:rPr>
            </w:pPr>
            <w:r w:rsidRPr="00DF5913">
              <w:rPr>
                <w:rFonts w:ascii="Arial Narrow" w:hAnsi="Arial Narrow"/>
                <w:sz w:val="18"/>
                <w:szCs w:val="18"/>
              </w:rPr>
              <w:t>Cost/QALY: $</w:t>
            </w:r>
            <w:r w:rsidR="00EF72BF">
              <w:rPr>
                <w:rFonts w:ascii="Arial Narrow" w:hAnsi="Arial Narrow"/>
                <w:noProof/>
                <w:color w:val="000000"/>
                <w:sz w:val="18"/>
                <w:szCs w:val="18"/>
                <w:highlight w:val="black"/>
              </w:rPr>
              <w:t>'''''''''''''''''</w:t>
            </w:r>
          </w:p>
          <w:p w:rsidR="009A4BEE" w:rsidRPr="00DF5913" w:rsidRDefault="009A4BEE" w:rsidP="00263253">
            <w:pPr>
              <w:keepNext/>
              <w:jc w:val="left"/>
              <w:rPr>
                <w:rFonts w:ascii="Arial Narrow" w:hAnsi="Arial Narrow"/>
                <w:sz w:val="18"/>
                <w:szCs w:val="18"/>
              </w:rPr>
            </w:pPr>
            <w:r w:rsidRPr="00DF5913">
              <w:rPr>
                <w:rFonts w:ascii="Arial Narrow" w:hAnsi="Arial Narrow"/>
                <w:b/>
                <w:sz w:val="18"/>
                <w:szCs w:val="18"/>
              </w:rPr>
              <w:t>PBAC Comment:</w:t>
            </w:r>
            <w:r w:rsidRPr="00DF5913">
              <w:rPr>
                <w:rFonts w:ascii="Arial Narrow" w:hAnsi="Arial Narrow"/>
                <w:sz w:val="18"/>
                <w:szCs w:val="18"/>
              </w:rPr>
              <w:t xml:space="preserve"> The PBAC considered for the purposes of its deferral that the sensitivity analysis in which the gain in PFS is the same as the gain in OS should be the base case. The ICER for this sensitivity analysis was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/QALY (7.13, </w:t>
            </w:r>
            <w:r>
              <w:rPr>
                <w:rFonts w:ascii="Arial Narrow" w:hAnsi="Arial Narrow"/>
                <w:sz w:val="18"/>
                <w:szCs w:val="18"/>
              </w:rPr>
              <w:t>PBAC PSD, sorafenib March 2015).</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1: Cost/QALY $</w:t>
            </w:r>
            <w:r w:rsidR="00EF72BF">
              <w:rPr>
                <w:rFonts w:ascii="Arial Narrow" w:hAnsi="Arial Narrow"/>
                <w:noProof/>
                <w:color w:val="000000"/>
                <w:sz w:val="18"/>
                <w:szCs w:val="18"/>
                <w:highlight w:val="black"/>
              </w:rPr>
              <w:t>''''''''''''''''''</w:t>
            </w:r>
            <w:r w:rsidRPr="00DF5913">
              <w:rPr>
                <w:rFonts w:ascii="Arial Narrow" w:hAnsi="Arial Narrow"/>
                <w:sz w:val="18"/>
                <w:szCs w:val="18"/>
              </w:rPr>
              <w:t>.</w:t>
            </w:r>
          </w:p>
          <w:p w:rsidR="009A4BEE" w:rsidRPr="00DF5913" w:rsidRDefault="009A4BEE" w:rsidP="00BB6833">
            <w:pPr>
              <w:keepNext/>
              <w:jc w:val="left"/>
              <w:rPr>
                <w:rFonts w:ascii="Arial Narrow" w:hAnsi="Arial Narrow"/>
                <w:sz w:val="18"/>
                <w:szCs w:val="18"/>
              </w:rPr>
            </w:pPr>
            <w:r w:rsidRPr="00DF5913">
              <w:rPr>
                <w:rFonts w:ascii="Arial Narrow" w:hAnsi="Arial Narrow"/>
                <w:sz w:val="18"/>
                <w:szCs w:val="18"/>
              </w:rPr>
              <w:t>Scenario 2: Cost/QALY $</w:t>
            </w:r>
            <w:r w:rsidR="00EF72BF">
              <w:rPr>
                <w:rFonts w:ascii="Arial Narrow" w:hAnsi="Arial Narrow"/>
                <w:noProof/>
                <w:color w:val="000000"/>
                <w:sz w:val="18"/>
                <w:szCs w:val="18"/>
                <w:highlight w:val="black"/>
              </w:rPr>
              <w:t>''''''''''''''''</w:t>
            </w:r>
            <w:r w:rsidRPr="00DF5913">
              <w:rPr>
                <w:rFonts w:ascii="Arial Narrow" w:hAnsi="Arial Narrow"/>
                <w:sz w:val="18"/>
                <w:szCs w:val="18"/>
              </w:rPr>
              <w:t>.</w:t>
            </w:r>
          </w:p>
        </w:tc>
      </w:tr>
      <w:tr w:rsidR="009A4BEE" w:rsidRPr="00DF5913" w:rsidTr="009A4BEE">
        <w:trPr>
          <w:trHeight w:val="845"/>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Number of patients</w:t>
            </w:r>
          </w:p>
        </w:tc>
        <w:tc>
          <w:tcPr>
            <w:tcW w:w="4395" w:type="dxa"/>
          </w:tcPr>
          <w:p w:rsidR="009A4BEE" w:rsidRPr="00DF5913" w:rsidRDefault="00EF72BF" w:rsidP="009A4BEE">
            <w:pPr>
              <w:keepNext/>
              <w:jc w:val="left"/>
              <w:rPr>
                <w:rFonts w:ascii="Arial Narrow" w:hAnsi="Arial Narrow"/>
                <w:sz w:val="18"/>
                <w:szCs w:val="18"/>
              </w:rPr>
            </w:pPr>
            <w:r>
              <w:rPr>
                <w:rFonts w:ascii="Arial Narrow" w:hAnsi="Arial Narrow"/>
                <w:noProof/>
                <w:color w:val="000000"/>
                <w:sz w:val="18"/>
                <w:szCs w:val="18"/>
                <w:highlight w:val="black"/>
              </w:rPr>
              <w:t>'''''''</w:t>
            </w:r>
            <w:r w:rsidR="009A4BEE" w:rsidRPr="00DF5913">
              <w:rPr>
                <w:rFonts w:ascii="Arial Narrow" w:hAnsi="Arial Narrow"/>
                <w:sz w:val="18"/>
                <w:szCs w:val="18"/>
              </w:rPr>
              <w:t xml:space="preserve"> in Year 1 increasing to </w:t>
            </w:r>
            <w:r>
              <w:rPr>
                <w:rFonts w:ascii="Arial Narrow" w:hAnsi="Arial Narrow"/>
                <w:noProof/>
                <w:color w:val="000000"/>
                <w:sz w:val="18"/>
                <w:szCs w:val="18"/>
                <w:highlight w:val="black"/>
              </w:rPr>
              <w:t>''''''''</w:t>
            </w:r>
            <w:r w:rsidR="009A4BEE" w:rsidRPr="00DF5913">
              <w:rPr>
                <w:rFonts w:ascii="Arial Narrow" w:hAnsi="Arial Narrow"/>
                <w:sz w:val="18"/>
                <w:szCs w:val="18"/>
              </w:rPr>
              <w:t xml:space="preserve"> in Year 5.</w:t>
            </w:r>
          </w:p>
          <w:p w:rsidR="009A4BEE" w:rsidRPr="00DF5913" w:rsidRDefault="009A4BEE" w:rsidP="009A4BEE">
            <w:pPr>
              <w:keepNext/>
              <w:jc w:val="left"/>
              <w:rPr>
                <w:rFonts w:ascii="Arial Narrow" w:hAnsi="Arial Narrow"/>
                <w:sz w:val="18"/>
                <w:szCs w:val="18"/>
              </w:rPr>
            </w:pPr>
            <w:r w:rsidRPr="00DF5913">
              <w:rPr>
                <w:rFonts w:ascii="Arial Narrow" w:hAnsi="Arial Narrow"/>
                <w:b/>
                <w:sz w:val="18"/>
                <w:szCs w:val="18"/>
              </w:rPr>
              <w:t xml:space="preserve">PBAC Comment: </w:t>
            </w:r>
            <w:r w:rsidR="00BB6833">
              <w:rPr>
                <w:rFonts w:ascii="Arial Narrow" w:hAnsi="Arial Narrow"/>
                <w:sz w:val="18"/>
                <w:szCs w:val="18"/>
              </w:rPr>
              <w:t>T</w:t>
            </w:r>
            <w:r w:rsidRPr="00DF5913">
              <w:rPr>
                <w:rFonts w:ascii="Arial Narrow" w:hAnsi="Arial Narrow"/>
                <w:sz w:val="18"/>
                <w:szCs w:val="18"/>
              </w:rPr>
              <w:t>he re</w:t>
            </w:r>
            <w:r w:rsidR="00BB6833">
              <w:rPr>
                <w:rFonts w:ascii="Arial Narrow" w:hAnsi="Arial Narrow"/>
                <w:sz w:val="18"/>
                <w:szCs w:val="18"/>
              </w:rPr>
              <w:t>-</w:t>
            </w:r>
            <w:r w:rsidRPr="00DF5913">
              <w:rPr>
                <w:rFonts w:ascii="Arial Narrow" w:hAnsi="Arial Narrow"/>
                <w:sz w:val="18"/>
                <w:szCs w:val="18"/>
              </w:rPr>
              <w:t xml:space="preserve">submission’s estimate (approximately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patients per annum) was reasonable (7.15, </w:t>
            </w:r>
            <w:r>
              <w:rPr>
                <w:rFonts w:ascii="Arial Narrow" w:hAnsi="Arial Narrow"/>
                <w:sz w:val="18"/>
                <w:szCs w:val="18"/>
              </w:rPr>
              <w:t>PBAC PSD, sorafenib March 2015).</w:t>
            </w:r>
          </w:p>
        </w:tc>
        <w:tc>
          <w:tcPr>
            <w:tcW w:w="3135" w:type="dxa"/>
          </w:tcPr>
          <w:p w:rsidR="009A4BEE" w:rsidRPr="00DF5913" w:rsidRDefault="00EF72BF" w:rsidP="009A4BEE">
            <w:pPr>
              <w:keepNext/>
              <w:jc w:val="left"/>
              <w:rPr>
                <w:rFonts w:ascii="Arial Narrow" w:hAnsi="Arial Narrow"/>
                <w:sz w:val="18"/>
                <w:szCs w:val="18"/>
              </w:rPr>
            </w:pPr>
            <w:r>
              <w:rPr>
                <w:rFonts w:ascii="Arial Narrow" w:hAnsi="Arial Narrow"/>
                <w:noProof/>
                <w:color w:val="000000"/>
                <w:sz w:val="18"/>
                <w:szCs w:val="18"/>
                <w:highlight w:val="black"/>
              </w:rPr>
              <w:t>''''''''''</w:t>
            </w:r>
            <w:r w:rsidR="009A4BEE" w:rsidRPr="00DF5913">
              <w:rPr>
                <w:rFonts w:ascii="Arial Narrow" w:hAnsi="Arial Narrow"/>
                <w:sz w:val="18"/>
                <w:szCs w:val="18"/>
              </w:rPr>
              <w:t xml:space="preserve"> in Year 1 increasing to </w:t>
            </w:r>
            <w:r>
              <w:rPr>
                <w:rFonts w:ascii="Arial Narrow" w:hAnsi="Arial Narrow"/>
                <w:noProof/>
                <w:color w:val="000000"/>
                <w:sz w:val="18"/>
                <w:szCs w:val="18"/>
                <w:highlight w:val="black"/>
              </w:rPr>
              <w:t>'''''''''</w:t>
            </w:r>
            <w:r w:rsidR="009A4BEE" w:rsidRPr="00DF5913">
              <w:rPr>
                <w:rFonts w:ascii="Arial Narrow" w:hAnsi="Arial Narrow"/>
                <w:sz w:val="18"/>
                <w:szCs w:val="18"/>
              </w:rPr>
              <w:t xml:space="preserve"> in Year 5.</w:t>
            </w:r>
          </w:p>
        </w:tc>
      </w:tr>
      <w:tr w:rsidR="009A4BEE" w:rsidRPr="00DF5913" w:rsidTr="009A4BEE">
        <w:trPr>
          <w:trHeight w:val="383"/>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Estimated cost to PBS</w:t>
            </w:r>
          </w:p>
        </w:tc>
        <w:tc>
          <w:tcPr>
            <w:tcW w:w="439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1 increasing to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5</w:t>
            </w:r>
            <w:r>
              <w:rPr>
                <w:rFonts w:ascii="Arial Narrow" w:hAnsi="Arial Narrow"/>
                <w:sz w:val="18"/>
                <w:szCs w:val="18"/>
              </w:rPr>
              <w:t>, $</w:t>
            </w:r>
            <w:r w:rsidR="00EF72BF">
              <w:rPr>
                <w:rFonts w:ascii="Arial Narrow" w:hAnsi="Arial Narrow"/>
                <w:noProof/>
                <w:color w:val="000000"/>
                <w:sz w:val="18"/>
                <w:szCs w:val="18"/>
                <w:highlight w:val="black"/>
              </w:rPr>
              <w:t>'''''''''''''''''''''''''''</w:t>
            </w:r>
            <w:r>
              <w:rPr>
                <w:rFonts w:ascii="Arial Narrow" w:hAnsi="Arial Narrow"/>
                <w:sz w:val="18"/>
                <w:szCs w:val="18"/>
              </w:rPr>
              <w:t xml:space="preserve"> over the first 5 years</w:t>
            </w:r>
            <w:r w:rsidR="005666DD">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1: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1;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5;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over the first 5 years.</w:t>
            </w:r>
          </w:p>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Scenario 2: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1; $</w:t>
            </w:r>
            <w:r w:rsidR="00EF72BF">
              <w:rPr>
                <w:rFonts w:ascii="Arial Narrow" w:hAnsi="Arial Narrow"/>
                <w:noProof/>
                <w:color w:val="000000"/>
                <w:sz w:val="18"/>
                <w:szCs w:val="18"/>
                <w:highlight w:val="black"/>
              </w:rPr>
              <w:t>''''''''''''''''''''''''</w:t>
            </w:r>
            <w:r w:rsidRPr="00DF5913">
              <w:rPr>
                <w:rFonts w:ascii="Arial Narrow" w:hAnsi="Arial Narrow"/>
                <w:sz w:val="18"/>
                <w:szCs w:val="18"/>
              </w:rPr>
              <w:t xml:space="preserve"> in Year 5; $</w:t>
            </w:r>
            <w:r w:rsidR="00EF72BF">
              <w:rPr>
                <w:rFonts w:ascii="Arial Narrow" w:hAnsi="Arial Narrow"/>
                <w:noProof/>
                <w:color w:val="000000"/>
                <w:sz w:val="18"/>
                <w:szCs w:val="18"/>
                <w:highlight w:val="black"/>
              </w:rPr>
              <w:t xml:space="preserve">''''''''''''''''''''''''' </w:t>
            </w:r>
            <w:r w:rsidRPr="00DF5913">
              <w:rPr>
                <w:rFonts w:ascii="Arial Narrow" w:hAnsi="Arial Narrow"/>
                <w:sz w:val="18"/>
                <w:szCs w:val="18"/>
              </w:rPr>
              <w:t>over the first 5 years</w:t>
            </w:r>
            <w:r w:rsidR="005666DD">
              <w:rPr>
                <w:rFonts w:ascii="Arial Narrow" w:hAnsi="Arial Narrow"/>
                <w:sz w:val="18"/>
                <w:szCs w:val="18"/>
              </w:rPr>
              <w:t>.</w:t>
            </w:r>
          </w:p>
        </w:tc>
      </w:tr>
      <w:tr w:rsidR="009A4BEE" w:rsidRPr="00DF5913" w:rsidTr="009A4BEE">
        <w:trPr>
          <w:trHeight w:val="242"/>
        </w:trPr>
        <w:tc>
          <w:tcPr>
            <w:tcW w:w="992"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br w:type="page"/>
              <w:t>PBAC decision</w:t>
            </w:r>
          </w:p>
        </w:tc>
        <w:tc>
          <w:tcPr>
            <w:tcW w:w="4395" w:type="dxa"/>
          </w:tcPr>
          <w:p w:rsidR="009A4BEE" w:rsidRPr="00DF5913" w:rsidRDefault="00BB6833" w:rsidP="009A4BEE">
            <w:pPr>
              <w:keepNext/>
              <w:jc w:val="left"/>
              <w:rPr>
                <w:rFonts w:ascii="Arial Narrow" w:hAnsi="Arial Narrow"/>
                <w:sz w:val="18"/>
                <w:szCs w:val="18"/>
              </w:rPr>
            </w:pPr>
            <w:r>
              <w:rPr>
                <w:rFonts w:ascii="Arial Narrow" w:hAnsi="Arial Narrow"/>
                <w:sz w:val="18"/>
                <w:szCs w:val="18"/>
              </w:rPr>
              <w:t>Deferral.</w:t>
            </w:r>
          </w:p>
          <w:p w:rsidR="009A4BEE" w:rsidRPr="00DF5913" w:rsidRDefault="009A4BEE" w:rsidP="009A4BEE">
            <w:pPr>
              <w:keepNext/>
              <w:jc w:val="left"/>
              <w:rPr>
                <w:rFonts w:ascii="Arial Narrow" w:hAnsi="Arial Narrow"/>
                <w:sz w:val="18"/>
                <w:szCs w:val="18"/>
              </w:rPr>
            </w:pPr>
            <w:r>
              <w:rPr>
                <w:rFonts w:ascii="Arial Narrow" w:hAnsi="Arial Narrow"/>
                <w:sz w:val="18"/>
                <w:szCs w:val="18"/>
              </w:rPr>
              <w:t>T</w:t>
            </w:r>
            <w:r w:rsidRPr="00DF5913">
              <w:rPr>
                <w:rFonts w:ascii="Arial Narrow" w:hAnsi="Arial Narrow"/>
                <w:sz w:val="18"/>
                <w:szCs w:val="18"/>
              </w:rPr>
              <w:t>he submission had not provided a reliable estimate of the cost-effectiveness of sorafenib</w:t>
            </w:r>
            <w:r>
              <w:rPr>
                <w:rFonts w:ascii="Arial Narrow" w:hAnsi="Arial Narrow"/>
                <w:sz w:val="18"/>
                <w:szCs w:val="18"/>
              </w:rPr>
              <w:t>.</w:t>
            </w:r>
            <w:r w:rsidRPr="00DF5913">
              <w:rPr>
                <w:rFonts w:ascii="Arial Narrow" w:hAnsi="Arial Narrow"/>
                <w:sz w:val="18"/>
                <w:szCs w:val="18"/>
              </w:rPr>
              <w:t xml:space="preserve"> The PBAC wished to see the results of its request for a price reduction to the otherwise accepted sensitivity analysis in which the gain in OS </w:t>
            </w:r>
            <w:r w:rsidR="00BB6833">
              <w:rPr>
                <w:rFonts w:ascii="Arial Narrow" w:hAnsi="Arial Narrow"/>
                <w:sz w:val="18"/>
                <w:szCs w:val="18"/>
              </w:rPr>
              <w:t>was the same as the gain in PFS</w:t>
            </w:r>
            <w:r w:rsidRPr="00DF5913">
              <w:rPr>
                <w:rFonts w:ascii="Arial Narrow" w:hAnsi="Arial Narrow"/>
                <w:sz w:val="18"/>
                <w:szCs w:val="18"/>
              </w:rPr>
              <w:t xml:space="preserve"> (7.1, </w:t>
            </w:r>
            <w:r>
              <w:rPr>
                <w:rFonts w:ascii="Arial Narrow" w:hAnsi="Arial Narrow"/>
                <w:sz w:val="18"/>
                <w:szCs w:val="18"/>
              </w:rPr>
              <w:t>PBAC PSD, sorafenib March 2015)</w:t>
            </w:r>
            <w:r w:rsidR="00BB6833">
              <w:rPr>
                <w:rFonts w:ascii="Arial Narrow" w:hAnsi="Arial Narrow"/>
                <w:sz w:val="18"/>
                <w:szCs w:val="18"/>
              </w:rPr>
              <w:t>.</w:t>
            </w:r>
          </w:p>
        </w:tc>
        <w:tc>
          <w:tcPr>
            <w:tcW w:w="3135" w:type="dxa"/>
          </w:tcPr>
          <w:p w:rsidR="009A4BEE" w:rsidRPr="00DF5913" w:rsidRDefault="009A4BEE" w:rsidP="009A4BEE">
            <w:pPr>
              <w:keepNext/>
              <w:jc w:val="left"/>
              <w:rPr>
                <w:rFonts w:ascii="Arial Narrow" w:hAnsi="Arial Narrow"/>
                <w:sz w:val="18"/>
                <w:szCs w:val="18"/>
              </w:rPr>
            </w:pPr>
            <w:r w:rsidRPr="00DF5913">
              <w:rPr>
                <w:rFonts w:ascii="Arial Narrow" w:hAnsi="Arial Narrow"/>
                <w:sz w:val="18"/>
                <w:szCs w:val="18"/>
              </w:rPr>
              <w:t>-</w:t>
            </w:r>
          </w:p>
        </w:tc>
      </w:tr>
    </w:tbl>
    <w:p w:rsidR="009A4BEE" w:rsidRPr="00882085" w:rsidRDefault="009A4BEE" w:rsidP="009A4BEE">
      <w:pPr>
        <w:pStyle w:val="TableFooter"/>
        <w:ind w:firstLine="720"/>
      </w:pPr>
      <w:r w:rsidRPr="001D112E">
        <w:t>Source: Compiled during the evaluation</w:t>
      </w:r>
    </w:p>
    <w:p w:rsidR="009A4BEE" w:rsidRPr="00407F2D" w:rsidRDefault="009A4BEE" w:rsidP="00F30141">
      <w:pPr>
        <w:pStyle w:val="Heading1"/>
      </w:pPr>
      <w:bookmarkStart w:id="4" w:name="_Toc430014681"/>
      <w:r w:rsidRPr="00407F2D">
        <w:lastRenderedPageBreak/>
        <w:t>Clinical place for the proposed therapy</w:t>
      </w:r>
      <w:bookmarkEnd w:id="4"/>
    </w:p>
    <w:p w:rsidR="009A4BEE" w:rsidRDefault="009A4BEE" w:rsidP="009A4BEE">
      <w:pPr>
        <w:rPr>
          <w:szCs w:val="22"/>
        </w:rPr>
      </w:pPr>
    </w:p>
    <w:p w:rsidR="009A4BEE" w:rsidRPr="00FE0F7D" w:rsidRDefault="009A4BEE" w:rsidP="009A4BEE">
      <w:pPr>
        <w:pStyle w:val="ListParagraph"/>
        <w:widowControl/>
        <w:numPr>
          <w:ilvl w:val="1"/>
          <w:numId w:val="6"/>
        </w:numPr>
        <w:rPr>
          <w:szCs w:val="22"/>
        </w:rPr>
      </w:pPr>
      <w:r>
        <w:t>With treatment, thyroid cancer generally has a good prognosis. However, patients with locally advanced or distant metastatic differentiated thyroid cancer, who fail to respond to radioactive iodine, have a survival of only 2.5 to 3.5 years. Currently, there is no active treatment available for this group of patients.</w:t>
      </w:r>
    </w:p>
    <w:p w:rsidR="009A4BEE" w:rsidRPr="00BB6833" w:rsidRDefault="009A4BEE" w:rsidP="009A4BEE">
      <w:pPr>
        <w:widowControl/>
        <w:rPr>
          <w:szCs w:val="22"/>
        </w:rPr>
      </w:pPr>
    </w:p>
    <w:p w:rsidR="009A4BEE" w:rsidRPr="0084654C" w:rsidRDefault="009A4BEE" w:rsidP="009A4BEE">
      <w:pPr>
        <w:pStyle w:val="ListParagraph"/>
        <w:numPr>
          <w:ilvl w:val="1"/>
          <w:numId w:val="6"/>
        </w:numPr>
        <w:rPr>
          <w:szCs w:val="22"/>
        </w:rPr>
      </w:pPr>
      <w:r w:rsidRPr="00FE0F7D">
        <w:rPr>
          <w:szCs w:val="22"/>
        </w:rPr>
        <w:t>The re</w:t>
      </w:r>
      <w:r w:rsidR="00BB6833">
        <w:rPr>
          <w:szCs w:val="22"/>
        </w:rPr>
        <w:t>-</w:t>
      </w:r>
      <w:r w:rsidRPr="00FE0F7D">
        <w:rPr>
          <w:szCs w:val="22"/>
        </w:rPr>
        <w:t xml:space="preserve">submission proposed sorafenib </w:t>
      </w:r>
      <w:r w:rsidR="009C0347" w:rsidRPr="00FE0F7D">
        <w:rPr>
          <w:szCs w:val="22"/>
        </w:rPr>
        <w:t>is</w:t>
      </w:r>
      <w:r w:rsidRPr="00FE0F7D">
        <w:rPr>
          <w:szCs w:val="22"/>
        </w:rPr>
        <w:t xml:space="preserve"> used in patients who progress after treatment with radioactive iodine.</w:t>
      </w:r>
      <w:r w:rsidRPr="00DE7702">
        <w:t xml:space="preserve"> </w:t>
      </w:r>
      <w:r w:rsidRPr="0084654C">
        <w:t xml:space="preserve">Lenvatinib </w:t>
      </w:r>
      <w:r w:rsidR="009A5883">
        <w:t>was</w:t>
      </w:r>
      <w:r w:rsidRPr="0084654C">
        <w:t xml:space="preserve"> discussed at the November 2015 PBAC meeting for the same patient population.</w:t>
      </w:r>
    </w:p>
    <w:p w:rsidR="005B7986" w:rsidRPr="00882085" w:rsidRDefault="005B7986" w:rsidP="009A4BEE">
      <w:pPr>
        <w:pStyle w:val="ListParagraph"/>
        <w:ind w:left="0"/>
        <w:rPr>
          <w:szCs w:val="22"/>
        </w:rPr>
      </w:pPr>
    </w:p>
    <w:p w:rsidR="009A4BEE" w:rsidRPr="00407F2D" w:rsidRDefault="009A4BEE" w:rsidP="00F30141">
      <w:pPr>
        <w:pStyle w:val="Heading1"/>
      </w:pPr>
      <w:bookmarkStart w:id="5" w:name="_Toc430014682"/>
      <w:r w:rsidRPr="00407F2D">
        <w:t>Comparator</w:t>
      </w:r>
      <w:bookmarkEnd w:id="5"/>
    </w:p>
    <w:p w:rsidR="009A4BEE" w:rsidRPr="00882085" w:rsidRDefault="009A4BEE" w:rsidP="009A4BEE"/>
    <w:p w:rsidR="009A4BEE" w:rsidRPr="0084654C" w:rsidRDefault="009A4BEE" w:rsidP="009A4BEE">
      <w:pPr>
        <w:pStyle w:val="ListParagraph"/>
        <w:widowControl/>
        <w:numPr>
          <w:ilvl w:val="1"/>
          <w:numId w:val="6"/>
        </w:numPr>
      </w:pPr>
      <w:r w:rsidRPr="00A20623">
        <w:t xml:space="preserve">Best supportive care (placebo). </w:t>
      </w:r>
      <w:r w:rsidRPr="0084654C">
        <w:t>The PBAC has previously accepted best supportive care (placebo) as the appropriate comparator.</w:t>
      </w:r>
      <w:r w:rsidR="001E79B0">
        <w:t xml:space="preserve"> The PBAC also noted that the concurrent submission for lenvatinib in essentially the same population meant that lenvatinib was also an appropriate comparator.</w:t>
      </w:r>
    </w:p>
    <w:p w:rsidR="009A4BEE" w:rsidRDefault="009A4BEE" w:rsidP="00340CCB">
      <w:pPr>
        <w:widowControl/>
      </w:pPr>
    </w:p>
    <w:p w:rsidR="000F0B2A" w:rsidRDefault="000F0B2A" w:rsidP="00340CCB">
      <w:pPr>
        <w:pStyle w:val="ListParagraph"/>
        <w:ind w:left="709"/>
        <w:rPr>
          <w:i/>
          <w:szCs w:val="22"/>
        </w:rPr>
      </w:pPr>
      <w:r w:rsidRPr="00340CCB">
        <w:rPr>
          <w:i/>
          <w:szCs w:val="22"/>
        </w:rPr>
        <w:t>For more detail on PBAC’s view, see section 7 “PBAC outcome”</w:t>
      </w:r>
      <w:r w:rsidR="00524460">
        <w:rPr>
          <w:i/>
          <w:szCs w:val="22"/>
        </w:rPr>
        <w:t>.</w:t>
      </w:r>
    </w:p>
    <w:p w:rsidR="002B6234" w:rsidRPr="00A20623" w:rsidRDefault="002B6234" w:rsidP="00BB6833">
      <w:pPr>
        <w:widowControl/>
      </w:pPr>
    </w:p>
    <w:p w:rsidR="009A4BEE" w:rsidRPr="00407F2D" w:rsidRDefault="00882410" w:rsidP="00F30141">
      <w:pPr>
        <w:pStyle w:val="Heading1"/>
      </w:pPr>
      <w:bookmarkStart w:id="6" w:name="_Toc430014683"/>
      <w:r>
        <w:t>PBAC c</w:t>
      </w:r>
      <w:r w:rsidR="009A4BEE" w:rsidRPr="00407F2D">
        <w:t>onsideration of the evidence</w:t>
      </w:r>
      <w:bookmarkEnd w:id="6"/>
    </w:p>
    <w:p w:rsidR="009A4BEE" w:rsidRPr="00524460" w:rsidRDefault="009A4BEE" w:rsidP="009A4BEE">
      <w:pPr>
        <w:widowControl/>
        <w:rPr>
          <w:szCs w:val="22"/>
        </w:rPr>
      </w:pPr>
    </w:p>
    <w:p w:rsidR="0078694C" w:rsidRDefault="0078694C" w:rsidP="00F30141">
      <w:pPr>
        <w:pStyle w:val="Heading2"/>
      </w:pPr>
      <w:bookmarkStart w:id="7" w:name="_Toc430014684"/>
      <w:r>
        <w:t>Sponsor hearing</w:t>
      </w:r>
    </w:p>
    <w:p w:rsidR="0078694C" w:rsidRPr="00524460" w:rsidRDefault="0078694C" w:rsidP="0078694C"/>
    <w:bookmarkEnd w:id="7"/>
    <w:p w:rsidR="0078694C" w:rsidRPr="008C5D28" w:rsidRDefault="0078694C" w:rsidP="0078694C">
      <w:pPr>
        <w:numPr>
          <w:ilvl w:val="1"/>
          <w:numId w:val="6"/>
        </w:numPr>
        <w:contextualSpacing/>
        <w:rPr>
          <w:bCs/>
          <w:szCs w:val="22"/>
        </w:rPr>
      </w:pPr>
      <w:r w:rsidRPr="008C5D28">
        <w:rPr>
          <w:bCs/>
          <w:szCs w:val="22"/>
        </w:rPr>
        <w:t>There was no hearing for this item.</w:t>
      </w:r>
    </w:p>
    <w:p w:rsidR="0078694C" w:rsidRPr="00EF3F66" w:rsidRDefault="0078694C" w:rsidP="0078694C">
      <w:pPr>
        <w:rPr>
          <w:bCs/>
          <w:szCs w:val="22"/>
        </w:rPr>
      </w:pPr>
    </w:p>
    <w:p w:rsidR="0078694C" w:rsidRDefault="0078694C" w:rsidP="00F30141">
      <w:pPr>
        <w:pStyle w:val="Heading2"/>
      </w:pPr>
      <w:r w:rsidRPr="00EF3F66">
        <w:t>Consumer comments</w:t>
      </w:r>
    </w:p>
    <w:p w:rsidR="00524460" w:rsidRPr="00524460" w:rsidRDefault="00524460" w:rsidP="00524460">
      <w:pPr>
        <w:rPr>
          <w:bCs/>
          <w:szCs w:val="22"/>
        </w:rPr>
      </w:pPr>
    </w:p>
    <w:p w:rsidR="0078694C" w:rsidRPr="0078694C" w:rsidRDefault="0078694C" w:rsidP="0078694C">
      <w:pPr>
        <w:numPr>
          <w:ilvl w:val="1"/>
          <w:numId w:val="6"/>
        </w:numPr>
        <w:contextualSpacing/>
        <w:rPr>
          <w:bCs/>
          <w:szCs w:val="22"/>
        </w:rPr>
      </w:pPr>
      <w:r w:rsidRPr="0078694C">
        <w:rPr>
          <w:bCs/>
          <w:szCs w:val="22"/>
        </w:rPr>
        <w:t>The PBAC welcomed the input from an organisation (1) via the Consumer Comments facility on the PBS website. The comment described that there are patients who are willing to accept moderate to severe toxicities of cancer treatment to delay disease progression and that there was a need for better understanding and support for DTC.</w:t>
      </w:r>
    </w:p>
    <w:p w:rsidR="000F0B2A" w:rsidRDefault="000F0B2A" w:rsidP="00EF3F66">
      <w:pPr>
        <w:contextualSpacing/>
        <w:rPr>
          <w:bCs/>
          <w:szCs w:val="22"/>
          <w:highlight w:val="yellow"/>
        </w:rPr>
      </w:pPr>
    </w:p>
    <w:p w:rsidR="00EF3F66" w:rsidRPr="002C2775" w:rsidRDefault="00EF3F66" w:rsidP="00F30141">
      <w:pPr>
        <w:pStyle w:val="Heading2"/>
      </w:pPr>
      <w:r w:rsidRPr="002C2775">
        <w:t>Clinical trials</w:t>
      </w:r>
    </w:p>
    <w:p w:rsidR="009A4BEE" w:rsidRPr="00882085" w:rsidRDefault="009A4BEE" w:rsidP="00EF3F66">
      <w:pPr>
        <w:rPr>
          <w:szCs w:val="22"/>
        </w:rPr>
      </w:pPr>
    </w:p>
    <w:p w:rsidR="009A4BEE" w:rsidRPr="00D06FD4" w:rsidRDefault="009A4BEE" w:rsidP="00EF3F66">
      <w:pPr>
        <w:pStyle w:val="ListParagraph"/>
        <w:widowControl/>
        <w:numPr>
          <w:ilvl w:val="1"/>
          <w:numId w:val="6"/>
        </w:numPr>
        <w:rPr>
          <w:szCs w:val="22"/>
        </w:rPr>
      </w:pPr>
      <w:r w:rsidRPr="00862502">
        <w:t xml:space="preserve">The </w:t>
      </w:r>
      <w:r>
        <w:t>re-</w:t>
      </w:r>
      <w:r w:rsidRPr="00862502">
        <w:t xml:space="preserve">submission </w:t>
      </w:r>
      <w:r>
        <w:t>wa</w:t>
      </w:r>
      <w:r w:rsidRPr="00862502">
        <w:t xml:space="preserve">s based on one head-to-head trial comparing </w:t>
      </w:r>
      <w:r>
        <w:t>sorafenib to placebo</w:t>
      </w:r>
      <w:r w:rsidRPr="00862502">
        <w:t xml:space="preserve"> (n=</w:t>
      </w:r>
      <w:r>
        <w:t>417</w:t>
      </w:r>
      <w:r w:rsidRPr="00862502">
        <w:t>).</w:t>
      </w:r>
    </w:p>
    <w:p w:rsidR="009A4BEE" w:rsidRPr="001B6188" w:rsidRDefault="009A4BEE" w:rsidP="009A4BEE">
      <w:pPr>
        <w:widowControl/>
        <w:rPr>
          <w:szCs w:val="22"/>
        </w:rPr>
      </w:pPr>
    </w:p>
    <w:p w:rsidR="009A4BEE" w:rsidRPr="00D06FD4" w:rsidRDefault="009A4BEE" w:rsidP="009A4BEE">
      <w:pPr>
        <w:pStyle w:val="ListParagraph"/>
        <w:widowControl/>
        <w:numPr>
          <w:ilvl w:val="1"/>
          <w:numId w:val="6"/>
        </w:numPr>
        <w:rPr>
          <w:szCs w:val="22"/>
        </w:rPr>
      </w:pPr>
      <w:r w:rsidRPr="00D06FD4">
        <w:rPr>
          <w:szCs w:val="22"/>
        </w:rPr>
        <w:t>Details of the trials presented in the re-submission ar</w:t>
      </w:r>
      <w:r w:rsidR="00BB6833">
        <w:rPr>
          <w:szCs w:val="22"/>
        </w:rPr>
        <w:t>e provided in the table below.</w:t>
      </w:r>
    </w:p>
    <w:p w:rsidR="009A4BEE" w:rsidRPr="001B6188" w:rsidRDefault="009A4BEE" w:rsidP="009A4BEE">
      <w:pPr>
        <w:widowControl/>
        <w:rPr>
          <w:szCs w:val="22"/>
        </w:rPr>
      </w:pPr>
    </w:p>
    <w:p w:rsidR="009A4BEE" w:rsidRDefault="009A4BEE" w:rsidP="009A4BEE">
      <w:pPr>
        <w:ind w:firstLine="720"/>
        <w:rPr>
          <w:rStyle w:val="CommentReference"/>
        </w:rPr>
      </w:pPr>
      <w:r w:rsidRPr="000812CA">
        <w:rPr>
          <w:rStyle w:val="CommentReference"/>
        </w:rPr>
        <w:t xml:space="preserve">Table </w:t>
      </w:r>
      <w:r w:rsidR="004F2AFD">
        <w:rPr>
          <w:rStyle w:val="CommentReference"/>
        </w:rPr>
        <w:t>2</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242"/>
        <w:gridCol w:w="2111"/>
      </w:tblGrid>
      <w:tr w:rsidR="009A4BEE" w:rsidRPr="00112F96" w:rsidTr="00882410">
        <w:trPr>
          <w:tblHeader/>
        </w:trPr>
        <w:tc>
          <w:tcPr>
            <w:tcW w:w="594" w:type="pct"/>
          </w:tcPr>
          <w:p w:rsidR="009A4BEE" w:rsidRPr="00112F96" w:rsidRDefault="009A4BEE" w:rsidP="009A4BEE">
            <w:pPr>
              <w:keepNext/>
              <w:keepLines/>
              <w:rPr>
                <w:rFonts w:ascii="Arial Narrow" w:eastAsia="SimSun" w:hAnsi="Arial Narrow"/>
                <w:b/>
                <w:sz w:val="20"/>
              </w:rPr>
            </w:pPr>
            <w:r w:rsidRPr="00112F96">
              <w:rPr>
                <w:rFonts w:ascii="Arial Narrow" w:eastAsia="SimSun" w:hAnsi="Arial Narrow"/>
                <w:b/>
                <w:sz w:val="20"/>
              </w:rPr>
              <w:t>Trial ID</w:t>
            </w:r>
          </w:p>
        </w:tc>
        <w:tc>
          <w:tcPr>
            <w:tcW w:w="3141" w:type="pct"/>
          </w:tcPr>
          <w:p w:rsidR="009A4BEE" w:rsidRPr="00112F96" w:rsidRDefault="009A4BEE" w:rsidP="009A4BEE">
            <w:pPr>
              <w:keepNext/>
              <w:keepLines/>
              <w:rPr>
                <w:rFonts w:ascii="Arial Narrow" w:eastAsia="SimSun" w:hAnsi="Arial Narrow"/>
                <w:b/>
                <w:sz w:val="20"/>
              </w:rPr>
            </w:pPr>
            <w:r w:rsidRPr="00112F96">
              <w:rPr>
                <w:rFonts w:ascii="Arial Narrow" w:eastAsia="SimSun" w:hAnsi="Arial Narrow"/>
                <w:b/>
                <w:sz w:val="20"/>
              </w:rPr>
              <w:t>Protocol title/ Publication title</w:t>
            </w:r>
          </w:p>
        </w:tc>
        <w:tc>
          <w:tcPr>
            <w:tcW w:w="1265" w:type="pct"/>
          </w:tcPr>
          <w:p w:rsidR="009A4BEE" w:rsidRPr="00112F96" w:rsidRDefault="009A4BEE" w:rsidP="009A4BEE">
            <w:pPr>
              <w:keepNext/>
              <w:keepLines/>
              <w:rPr>
                <w:rFonts w:ascii="Arial Narrow" w:eastAsia="SimSun" w:hAnsi="Arial Narrow"/>
                <w:b/>
                <w:sz w:val="20"/>
              </w:rPr>
            </w:pPr>
            <w:r w:rsidRPr="00112F96">
              <w:rPr>
                <w:rFonts w:ascii="Arial Narrow" w:eastAsia="SimSun" w:hAnsi="Arial Narrow"/>
                <w:b/>
                <w:sz w:val="20"/>
              </w:rPr>
              <w:t>Publication citation</w:t>
            </w:r>
          </w:p>
        </w:tc>
      </w:tr>
      <w:tr w:rsidR="009A4BEE" w:rsidRPr="00112F96" w:rsidTr="009A4BEE">
        <w:tc>
          <w:tcPr>
            <w:tcW w:w="5000" w:type="pct"/>
            <w:gridSpan w:val="3"/>
          </w:tcPr>
          <w:p w:rsidR="009A4BEE" w:rsidRPr="00112F96" w:rsidRDefault="009A4BEE" w:rsidP="009A4BEE">
            <w:pPr>
              <w:keepNext/>
              <w:keepLines/>
              <w:rPr>
                <w:rFonts w:ascii="Arial Narrow" w:eastAsia="SimSun" w:hAnsi="Arial Narrow"/>
                <w:b/>
                <w:sz w:val="20"/>
              </w:rPr>
            </w:pPr>
            <w:r w:rsidRPr="00112F96">
              <w:rPr>
                <w:rFonts w:ascii="Arial Narrow" w:eastAsia="SimSun" w:hAnsi="Arial Narrow"/>
                <w:b/>
                <w:sz w:val="20"/>
              </w:rPr>
              <w:t>Direct randomised trial</w:t>
            </w:r>
          </w:p>
        </w:tc>
      </w:tr>
      <w:tr w:rsidR="009A4BEE" w:rsidRPr="00112F96" w:rsidTr="009A4BEE">
        <w:tc>
          <w:tcPr>
            <w:tcW w:w="594" w:type="pct"/>
            <w:vMerge w:val="restar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DECISION</w:t>
            </w: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Clinical Study Report No. A57578.  A double-blind, randomized, </w:t>
            </w:r>
            <w:proofErr w:type="gramStart"/>
            <w:r w:rsidRPr="00112F96">
              <w:rPr>
                <w:rFonts w:ascii="Arial Narrow" w:eastAsia="SimSun" w:hAnsi="Arial Narrow"/>
                <w:sz w:val="20"/>
              </w:rPr>
              <w:t>phase</w:t>
            </w:r>
            <w:proofErr w:type="gramEnd"/>
            <w:r w:rsidRPr="00112F96">
              <w:rPr>
                <w:rFonts w:ascii="Arial Narrow" w:eastAsia="SimSun" w:hAnsi="Arial Narrow"/>
                <w:sz w:val="20"/>
              </w:rPr>
              <w:t xml:space="preserve"> III trial evaluating the efficacy and safety of sorafenib compared to placebo in patients with locally advanced/ metastatic RAI-refractory, differentiated thyroid cancer. May 2013</w:t>
            </w:r>
          </w:p>
        </w:tc>
        <w:tc>
          <w:tcPr>
            <w:tcW w:w="1265" w:type="pct"/>
            <w:vAlign w:val="center"/>
          </w:tcPr>
          <w:p w:rsidR="009A4BEE" w:rsidRPr="00112F96" w:rsidRDefault="009A4BEE" w:rsidP="009A4BEE">
            <w:pPr>
              <w:widowControl/>
              <w:jc w:val="left"/>
              <w:rPr>
                <w:rFonts w:ascii="Arial Narrow" w:eastAsia="SimSun" w:hAnsi="Arial Narrow"/>
                <w:sz w:val="20"/>
              </w:rPr>
            </w:pPr>
            <w:r w:rsidRPr="00112F96">
              <w:rPr>
                <w:rFonts w:ascii="Arial Narrow" w:eastAsia="SimSun" w:hAnsi="Arial Narrow"/>
                <w:sz w:val="20"/>
              </w:rPr>
              <w:t>Year: 2013</w:t>
            </w:r>
          </w:p>
          <w:p w:rsidR="009A4BEE" w:rsidRPr="00112F96" w:rsidRDefault="009A4BEE" w:rsidP="009A4BEE">
            <w:pPr>
              <w:widowControl/>
              <w:jc w:val="left"/>
              <w:rPr>
                <w:rFonts w:ascii="Arial Narrow" w:eastAsia="SimSun" w:hAnsi="Arial Narrow"/>
                <w:sz w:val="20"/>
              </w:rPr>
            </w:pPr>
            <w:r w:rsidRPr="00112F96">
              <w:rPr>
                <w:rFonts w:ascii="Arial Narrow" w:eastAsia="SimSun" w:hAnsi="Arial Narrow"/>
                <w:sz w:val="20"/>
              </w:rPr>
              <w:t>14295 Clinical study report</w:t>
            </w:r>
          </w:p>
          <w:p w:rsidR="009A4BEE" w:rsidRPr="00112F96" w:rsidRDefault="009A4BEE" w:rsidP="009A4BEE">
            <w:pPr>
              <w:widowControl/>
              <w:jc w:val="left"/>
              <w:rPr>
                <w:rFonts w:ascii="Arial Narrow" w:eastAsia="SimSun" w:hAnsi="Arial Narrow"/>
                <w:sz w:val="20"/>
              </w:rPr>
            </w:pPr>
            <w:r w:rsidRPr="00112F96">
              <w:rPr>
                <w:rFonts w:ascii="Arial Narrow" w:eastAsia="SimSun" w:hAnsi="Arial Narrow"/>
                <w:sz w:val="20"/>
              </w:rPr>
              <w:t>NCT00984282 in clinicaltrials.gov</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Brose MS, Nutting CM, Sherman SI </w:t>
            </w:r>
            <w:r w:rsidRPr="00112F96">
              <w:rPr>
                <w:rFonts w:ascii="Arial Narrow" w:eastAsia="SimSun" w:hAnsi="Arial Narrow"/>
                <w:i/>
                <w:sz w:val="20"/>
              </w:rPr>
              <w:t>et al</w:t>
            </w:r>
          </w:p>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Rationale and design of decision: a double-blind, randomized, placebo-controlled phase III trial evaluating the efficacy and safety of sorafenib in patients with locally advanced or metastatic radioactive iodine (RAI)-refractory, differentiated thyroid cance</w:t>
            </w:r>
            <w:r w:rsidR="00BB6833">
              <w:rPr>
                <w:rFonts w:ascii="Arial Narrow" w:eastAsia="SimSun" w:hAnsi="Arial Narrow"/>
                <w:sz w:val="20"/>
              </w:rPr>
              <w:t>r.</w:t>
            </w:r>
          </w:p>
          <w:p w:rsidR="009A4BEE" w:rsidRPr="0084654C" w:rsidRDefault="009A4BEE" w:rsidP="009A4BEE">
            <w:pPr>
              <w:widowControl/>
              <w:rPr>
                <w:rFonts w:ascii="Arial Narrow" w:eastAsia="SimSun" w:hAnsi="Arial Narrow"/>
                <w:sz w:val="20"/>
              </w:rPr>
            </w:pPr>
            <w:r w:rsidRPr="0084654C">
              <w:rPr>
                <w:rFonts w:ascii="Arial Narrow" w:eastAsia="SimSun" w:hAnsi="Arial Narrow"/>
                <w:sz w:val="20"/>
              </w:rPr>
              <w:lastRenderedPageBreak/>
              <w:t>Note: this publication is for the protocol for DECISION.  One abstract of the results presented at ASCO has been identified; however there is no peer reviewed publication.</w:t>
            </w:r>
          </w:p>
        </w:tc>
        <w:tc>
          <w:tcPr>
            <w:tcW w:w="1265" w:type="pct"/>
          </w:tcPr>
          <w:p w:rsidR="009A4BEE" w:rsidRPr="00112F96" w:rsidRDefault="009A4BEE" w:rsidP="009A4BEE">
            <w:pPr>
              <w:widowControl/>
              <w:jc w:val="left"/>
              <w:rPr>
                <w:rFonts w:ascii="Arial Narrow" w:eastAsia="SimSun" w:hAnsi="Arial Narrow"/>
                <w:sz w:val="20"/>
              </w:rPr>
            </w:pPr>
            <w:r w:rsidRPr="00924940">
              <w:rPr>
                <w:rFonts w:ascii="Arial Narrow" w:eastAsia="SimSun" w:hAnsi="Arial Narrow"/>
                <w:i/>
                <w:sz w:val="20"/>
              </w:rPr>
              <w:lastRenderedPageBreak/>
              <w:t>BMC Cancer</w:t>
            </w:r>
            <w:r w:rsidR="00924940">
              <w:rPr>
                <w:rFonts w:ascii="Arial Narrow" w:eastAsia="SimSun" w:hAnsi="Arial Narrow"/>
                <w:sz w:val="20"/>
              </w:rPr>
              <w:t>. 2011 Aug 11;11:349</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Brose MS, Nutting CM,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Siena S,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Pacini</w:t>
            </w:r>
            <w:proofErr w:type="spellEnd"/>
            <w:r w:rsidRPr="00112F96">
              <w:rPr>
                <w:rFonts w:ascii="Arial Narrow" w:eastAsia="SimSun" w:hAnsi="Arial Narrow"/>
                <w:sz w:val="20"/>
              </w:rPr>
              <w:t xml:space="preserve"> F,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Sherman SI, Smit JW, Chung J, </w:t>
            </w:r>
            <w:proofErr w:type="spellStart"/>
            <w:r w:rsidRPr="00112F96">
              <w:rPr>
                <w:rFonts w:ascii="Arial Narrow" w:eastAsia="SimSun" w:hAnsi="Arial Narrow"/>
                <w:sz w:val="20"/>
              </w:rPr>
              <w:t>Kappeler</w:t>
            </w:r>
            <w:proofErr w:type="spellEnd"/>
            <w:r w:rsidRPr="00112F96">
              <w:rPr>
                <w:rFonts w:ascii="Arial Narrow" w:eastAsia="SimSun" w:hAnsi="Arial Narrow"/>
                <w:sz w:val="20"/>
              </w:rPr>
              <w:t xml:space="preserve"> C, Peña C, </w:t>
            </w:r>
            <w:proofErr w:type="spellStart"/>
            <w:r w:rsidRPr="00112F96">
              <w:rPr>
                <w:rFonts w:ascii="Arial Narrow" w:eastAsia="SimSun" w:hAnsi="Arial Narrow"/>
                <w:sz w:val="20"/>
              </w:rPr>
              <w:t>Molnár</w:t>
            </w:r>
            <w:proofErr w:type="spellEnd"/>
            <w:r w:rsidRPr="00112F96">
              <w:rPr>
                <w:rFonts w:ascii="Arial Narrow" w:eastAsia="SimSun" w:hAnsi="Arial Narrow"/>
                <w:sz w:val="20"/>
              </w:rPr>
              <w:t xml:space="preserve"> I, Schlumberger MJ; DECISION investigators. Sorafenib in radioactive iodine-refractory, locally advanced or metastatic differentiated thyroid cancer: a randomised, double-blind, phase 3 trial.</w:t>
            </w:r>
          </w:p>
        </w:tc>
        <w:tc>
          <w:tcPr>
            <w:tcW w:w="1265" w:type="pct"/>
          </w:tcPr>
          <w:p w:rsidR="009A4BEE" w:rsidRPr="00112F96" w:rsidRDefault="009A4BEE" w:rsidP="00924940">
            <w:pPr>
              <w:widowControl/>
              <w:jc w:val="left"/>
              <w:rPr>
                <w:rFonts w:ascii="Arial Narrow" w:eastAsia="SimSun" w:hAnsi="Arial Narrow"/>
                <w:sz w:val="20"/>
              </w:rPr>
            </w:pPr>
            <w:r w:rsidRPr="00924940">
              <w:rPr>
                <w:rFonts w:ascii="Arial Narrow" w:eastAsia="SimSun" w:hAnsi="Arial Narrow"/>
                <w:i/>
                <w:sz w:val="20"/>
              </w:rPr>
              <w:t>Lancet</w:t>
            </w:r>
            <w:r w:rsidRPr="00112F96">
              <w:rPr>
                <w:rFonts w:ascii="Arial Narrow" w:eastAsia="SimSun" w:hAnsi="Arial Narrow"/>
                <w:sz w:val="20"/>
              </w:rPr>
              <w:t>. 2014 Jul 26;384(9940):319-28</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Population PK modelling and exposure-response analyses of sorafenib in patients with radioactive iodine-refractory differentiated thyroid cancer (RAI-</w:t>
            </w:r>
            <w:proofErr w:type="spellStart"/>
            <w:r w:rsidRPr="00112F96">
              <w:rPr>
                <w:rFonts w:ascii="Arial Narrow" w:eastAsia="SimSun" w:hAnsi="Arial Narrow"/>
                <w:sz w:val="20"/>
              </w:rPr>
              <w:t>rDTC</w:t>
            </w:r>
            <w:proofErr w:type="spellEnd"/>
            <w:r w:rsidRPr="00112F96">
              <w:rPr>
                <w:rFonts w:ascii="Arial Narrow" w:eastAsia="SimSun" w:hAnsi="Arial Narrow"/>
                <w:sz w:val="20"/>
              </w:rPr>
              <w:t xml:space="preserve">) in the phase III DECISION trial.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Brose M.S.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 Schlumberger M. Siena S.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Deshpande H.A. Shi Y.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Gao M. Li L. </w:t>
            </w:r>
            <w:proofErr w:type="spellStart"/>
            <w:r w:rsidRPr="00112F96">
              <w:rPr>
                <w:rFonts w:ascii="Arial Narrow" w:eastAsia="SimSun" w:hAnsi="Arial Narrow"/>
                <w:sz w:val="20"/>
              </w:rPr>
              <w:t>Prins</w:t>
            </w:r>
            <w:proofErr w:type="spellEnd"/>
            <w:r w:rsidRPr="00112F96">
              <w:rPr>
                <w:rFonts w:ascii="Arial Narrow" w:eastAsia="SimSun" w:hAnsi="Arial Narrow"/>
                <w:sz w:val="20"/>
              </w:rPr>
              <w:t xml:space="preserve"> K. Walker H. Mitchell D.Y. </w:t>
            </w:r>
            <w:proofErr w:type="spellStart"/>
            <w:r w:rsidRPr="00112F96">
              <w:rPr>
                <w:rFonts w:ascii="Arial Narrow" w:eastAsia="SimSun" w:hAnsi="Arial Narrow"/>
                <w:sz w:val="20"/>
              </w:rPr>
              <w:t>Lettieri</w:t>
            </w:r>
            <w:proofErr w:type="spellEnd"/>
            <w:r w:rsidRPr="00112F96">
              <w:rPr>
                <w:rFonts w:ascii="Arial Narrow" w:eastAsia="SimSun" w:hAnsi="Arial Narrow"/>
                <w:sz w:val="20"/>
              </w:rPr>
              <w:t xml:space="preserve"> J.T. Molnar I. </w:t>
            </w:r>
            <w:proofErr w:type="spellStart"/>
            <w:r w:rsidRPr="00112F96">
              <w:rPr>
                <w:rFonts w:ascii="Arial Narrow" w:eastAsia="SimSun" w:hAnsi="Arial Narrow"/>
                <w:sz w:val="20"/>
              </w:rPr>
              <w:t>Kappeler</w:t>
            </w:r>
            <w:proofErr w:type="spellEnd"/>
            <w:r w:rsidRPr="00112F96">
              <w:rPr>
                <w:rFonts w:ascii="Arial Narrow" w:eastAsia="SimSun" w:hAnsi="Arial Narrow"/>
                <w:sz w:val="20"/>
              </w:rPr>
              <w:t xml:space="preserve"> C. Pena C.E.</w:t>
            </w:r>
          </w:p>
        </w:tc>
        <w:tc>
          <w:tcPr>
            <w:tcW w:w="1265" w:type="pct"/>
          </w:tcPr>
          <w:p w:rsidR="009A4BEE" w:rsidRPr="00112F96" w:rsidRDefault="009A4BEE" w:rsidP="00924940">
            <w:pPr>
              <w:jc w:val="left"/>
              <w:rPr>
                <w:rFonts w:ascii="Arial Narrow" w:eastAsia="SimSun" w:hAnsi="Arial Narrow"/>
                <w:sz w:val="20"/>
              </w:rPr>
            </w:pPr>
            <w:r w:rsidRPr="00924940">
              <w:rPr>
                <w:rFonts w:ascii="Arial Narrow" w:eastAsia="SimSun" w:hAnsi="Arial Narrow"/>
                <w:i/>
                <w:sz w:val="20"/>
              </w:rPr>
              <w:t>Journal of Clinical Oncology</w:t>
            </w:r>
            <w:r w:rsidRPr="00112F96">
              <w:rPr>
                <w:rFonts w:ascii="Arial Narrow" w:eastAsia="SimSun" w:hAnsi="Arial Narrow"/>
                <w:sz w:val="20"/>
              </w:rPr>
              <w:t xml:space="preserve"> (2014) 32:15 SUPPL. 1</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Updated overall survival analysis of patients with locally advanced or metastatic radioactive iodine-refractory differentiated thyroid cancer (RAI-</w:t>
            </w:r>
            <w:proofErr w:type="spellStart"/>
            <w:r w:rsidRPr="00112F96">
              <w:rPr>
                <w:rFonts w:ascii="Arial Narrow" w:eastAsia="SimSun" w:hAnsi="Arial Narrow"/>
                <w:sz w:val="20"/>
              </w:rPr>
              <w:t>rDTC</w:t>
            </w:r>
            <w:proofErr w:type="spellEnd"/>
            <w:r w:rsidRPr="00112F96">
              <w:rPr>
                <w:rFonts w:ascii="Arial Narrow" w:eastAsia="SimSun" w:hAnsi="Arial Narrow"/>
                <w:sz w:val="20"/>
              </w:rPr>
              <w:t xml:space="preserve">) treated with sorafenib on the phase 3 DECISION trial. Brose M.S.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Siena S.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Pacini</w:t>
            </w:r>
            <w:proofErr w:type="spellEnd"/>
            <w:r w:rsidRPr="00112F96">
              <w:rPr>
                <w:rFonts w:ascii="Arial Narrow" w:eastAsia="SimSun" w:hAnsi="Arial Narrow"/>
                <w:sz w:val="20"/>
              </w:rPr>
              <w:t xml:space="preserve"> F.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Nutting C.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Sherman S.I. Smit J.W.A. Chung J.W. </w:t>
            </w:r>
            <w:proofErr w:type="spellStart"/>
            <w:r w:rsidRPr="00112F96">
              <w:rPr>
                <w:rFonts w:ascii="Arial Narrow" w:eastAsia="SimSun" w:hAnsi="Arial Narrow"/>
                <w:sz w:val="20"/>
              </w:rPr>
              <w:t>Kappeler</w:t>
            </w:r>
            <w:proofErr w:type="spellEnd"/>
            <w:r w:rsidRPr="00112F96">
              <w:rPr>
                <w:rFonts w:ascii="Arial Narrow" w:eastAsia="SimSun" w:hAnsi="Arial Narrow"/>
                <w:sz w:val="20"/>
              </w:rPr>
              <w:t xml:space="preserve"> C. Molnar I. Schlumberger M.</w:t>
            </w:r>
          </w:p>
        </w:tc>
        <w:tc>
          <w:tcPr>
            <w:tcW w:w="1265" w:type="pct"/>
          </w:tcPr>
          <w:p w:rsidR="009A4BEE" w:rsidRPr="00112F96" w:rsidRDefault="009A4BEE" w:rsidP="00924940">
            <w:pPr>
              <w:widowControl/>
              <w:jc w:val="left"/>
              <w:rPr>
                <w:rFonts w:ascii="Arial Narrow" w:eastAsia="SimSun" w:hAnsi="Arial Narrow"/>
                <w:sz w:val="20"/>
              </w:rPr>
            </w:pPr>
            <w:r w:rsidRPr="00924940">
              <w:rPr>
                <w:rFonts w:ascii="Arial Narrow" w:eastAsia="SimSun" w:hAnsi="Arial Narrow"/>
                <w:i/>
                <w:sz w:val="20"/>
              </w:rPr>
              <w:t>Journal of Clinical Oncology</w:t>
            </w:r>
            <w:r w:rsidRPr="00112F96">
              <w:rPr>
                <w:rFonts w:ascii="Arial Narrow" w:eastAsia="SimSun" w:hAnsi="Arial Narrow"/>
                <w:sz w:val="20"/>
              </w:rPr>
              <w:t xml:space="preserve"> (2014) 32:15 SUPPL. 1</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Safety and tolerability of sorafenib for treatment of locally advanced or metastatic radioactive iodine-refractory differentiated thyroid cancer (RAI-</w:t>
            </w:r>
            <w:proofErr w:type="spellStart"/>
            <w:r w:rsidRPr="00112F96">
              <w:rPr>
                <w:rFonts w:ascii="Arial Narrow" w:eastAsia="SimSun" w:hAnsi="Arial Narrow"/>
                <w:sz w:val="20"/>
              </w:rPr>
              <w:t>rDTC</w:t>
            </w:r>
            <w:proofErr w:type="spellEnd"/>
            <w:r w:rsidRPr="00112F96">
              <w:rPr>
                <w:rFonts w:ascii="Arial Narrow" w:eastAsia="SimSun" w:hAnsi="Arial Narrow"/>
                <w:sz w:val="20"/>
              </w:rPr>
              <w:t xml:space="preserve">): Detailed analyses from the phase III DECISION trial. Worden F.P. </w:t>
            </w:r>
            <w:proofErr w:type="spellStart"/>
            <w:r w:rsidRPr="00112F96">
              <w:rPr>
                <w:rFonts w:ascii="Arial Narrow" w:eastAsia="SimSun" w:hAnsi="Arial Narrow"/>
                <w:sz w:val="20"/>
              </w:rPr>
              <w:t>Fassnacht</w:t>
            </w:r>
            <w:proofErr w:type="spellEnd"/>
            <w:r w:rsidRPr="00112F96">
              <w:rPr>
                <w:rFonts w:ascii="Arial Narrow" w:eastAsia="SimSun" w:hAnsi="Arial Narrow"/>
                <w:sz w:val="20"/>
              </w:rPr>
              <w:t xml:space="preserve"> M. Shi Y. </w:t>
            </w:r>
            <w:proofErr w:type="spellStart"/>
            <w:r w:rsidRPr="00112F96">
              <w:rPr>
                <w:rFonts w:ascii="Arial Narrow" w:eastAsia="SimSun" w:hAnsi="Arial Narrow"/>
                <w:sz w:val="20"/>
              </w:rPr>
              <w:t>Hadjieva</w:t>
            </w:r>
            <w:proofErr w:type="spellEnd"/>
            <w:r w:rsidRPr="00112F96">
              <w:rPr>
                <w:rFonts w:ascii="Arial Narrow" w:eastAsia="SimSun" w:hAnsi="Arial Narrow"/>
                <w:sz w:val="20"/>
              </w:rPr>
              <w:t xml:space="preserve"> T. </w:t>
            </w:r>
            <w:proofErr w:type="spellStart"/>
            <w:r w:rsidRPr="00112F96">
              <w:rPr>
                <w:rFonts w:ascii="Arial Narrow" w:eastAsia="SimSun" w:hAnsi="Arial Narrow"/>
                <w:sz w:val="20"/>
              </w:rPr>
              <w:t>Bonichon</w:t>
            </w:r>
            <w:proofErr w:type="spellEnd"/>
            <w:r w:rsidRPr="00112F96">
              <w:rPr>
                <w:rFonts w:ascii="Arial Narrow" w:eastAsia="SimSun" w:hAnsi="Arial Narrow"/>
                <w:sz w:val="20"/>
              </w:rPr>
              <w:t xml:space="preserve"> F. Gao M. </w:t>
            </w:r>
            <w:proofErr w:type="spellStart"/>
            <w:r w:rsidRPr="00112F96">
              <w:rPr>
                <w:rFonts w:ascii="Arial Narrow" w:eastAsia="SimSun" w:hAnsi="Arial Narrow"/>
                <w:sz w:val="20"/>
              </w:rPr>
              <w:t>Fugazzola</w:t>
            </w:r>
            <w:proofErr w:type="spellEnd"/>
            <w:r w:rsidRPr="00112F96">
              <w:rPr>
                <w:rFonts w:ascii="Arial Narrow" w:eastAsia="SimSun" w:hAnsi="Arial Narrow"/>
                <w:sz w:val="20"/>
              </w:rPr>
              <w:t xml:space="preserve"> L. Ando Y. Hasegawa Y. Park D.J. Nutting C. Sherman S.I.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Smit J.W.A. Chung J.W. </w:t>
            </w:r>
            <w:proofErr w:type="spellStart"/>
            <w:r w:rsidRPr="00112F96">
              <w:rPr>
                <w:rFonts w:ascii="Arial Narrow" w:eastAsia="SimSun" w:hAnsi="Arial Narrow"/>
                <w:sz w:val="20"/>
              </w:rPr>
              <w:t>Kappeler</w:t>
            </w:r>
            <w:proofErr w:type="spellEnd"/>
            <w:r w:rsidRPr="00112F96">
              <w:rPr>
                <w:rFonts w:ascii="Arial Narrow" w:eastAsia="SimSun" w:hAnsi="Arial Narrow"/>
                <w:sz w:val="20"/>
              </w:rPr>
              <w:t xml:space="preserve"> C. Molnar I. Schlumberger M. Brose M.S.</w:t>
            </w:r>
          </w:p>
        </w:tc>
        <w:tc>
          <w:tcPr>
            <w:tcW w:w="1265" w:type="pct"/>
          </w:tcPr>
          <w:p w:rsidR="009A4BEE" w:rsidRPr="00112F96" w:rsidRDefault="009A4BEE" w:rsidP="00924940">
            <w:pPr>
              <w:widowControl/>
              <w:jc w:val="left"/>
              <w:rPr>
                <w:rFonts w:ascii="Arial Narrow" w:eastAsia="SimSun" w:hAnsi="Arial Narrow"/>
                <w:sz w:val="20"/>
              </w:rPr>
            </w:pPr>
            <w:r w:rsidRPr="00924940">
              <w:rPr>
                <w:rFonts w:ascii="Arial Narrow" w:eastAsia="SimSun" w:hAnsi="Arial Narrow"/>
                <w:i/>
                <w:sz w:val="20"/>
              </w:rPr>
              <w:t>Journal of Clinical Oncology</w:t>
            </w:r>
            <w:r w:rsidRPr="00112F96">
              <w:rPr>
                <w:rFonts w:ascii="Arial Narrow" w:eastAsia="SimSun" w:hAnsi="Arial Narrow"/>
                <w:sz w:val="20"/>
              </w:rPr>
              <w:t xml:space="preserve"> (2014) 32:15 SUPPL. 1</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Phase III randomized, double-blinded, placebo controlled trial of sorafenib in locally advanced or metastatic patients with radioactive iodine (RAI)-refractory differentiated thyroid cancer (DTC)-exploratory analyses of patient-reported outcomes. Schlumberger M.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Siena S.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Pacini</w:t>
            </w:r>
            <w:proofErr w:type="spellEnd"/>
            <w:r w:rsidRPr="00112F96">
              <w:rPr>
                <w:rFonts w:ascii="Arial Narrow" w:eastAsia="SimSun" w:hAnsi="Arial Narrow"/>
                <w:sz w:val="20"/>
              </w:rPr>
              <w:t xml:space="preserve"> F.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Worden F. </w:t>
            </w:r>
            <w:proofErr w:type="spellStart"/>
            <w:r w:rsidRPr="00112F96">
              <w:rPr>
                <w:rFonts w:ascii="Arial Narrow" w:eastAsia="SimSun" w:hAnsi="Arial Narrow"/>
                <w:sz w:val="20"/>
              </w:rPr>
              <w:t>Bockisch</w:t>
            </w:r>
            <w:proofErr w:type="spellEnd"/>
            <w:r w:rsidRPr="00112F96">
              <w:rPr>
                <w:rFonts w:ascii="Arial Narrow" w:eastAsia="SimSun" w:hAnsi="Arial Narrow"/>
                <w:sz w:val="20"/>
              </w:rPr>
              <w:t xml:space="preserve"> A. Nutting C.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 Sherman S.I. Smit J. Chung J. </w:t>
            </w:r>
            <w:proofErr w:type="spellStart"/>
            <w:r w:rsidRPr="00112F96">
              <w:rPr>
                <w:rFonts w:ascii="Arial Narrow" w:eastAsia="SimSun" w:hAnsi="Arial Narrow"/>
                <w:sz w:val="20"/>
              </w:rPr>
              <w:t>Kappeler</w:t>
            </w:r>
            <w:proofErr w:type="spellEnd"/>
            <w:r w:rsidRPr="00112F96">
              <w:rPr>
                <w:rFonts w:ascii="Arial Narrow" w:eastAsia="SimSun" w:hAnsi="Arial Narrow"/>
                <w:sz w:val="20"/>
              </w:rPr>
              <w:t xml:space="preserve"> C. Molnar I. Keating K. </w:t>
            </w:r>
            <w:proofErr w:type="spellStart"/>
            <w:r w:rsidRPr="00112F96">
              <w:rPr>
                <w:rFonts w:ascii="Arial Narrow" w:eastAsia="SimSun" w:hAnsi="Arial Narrow"/>
                <w:sz w:val="20"/>
              </w:rPr>
              <w:t>Cella</w:t>
            </w:r>
            <w:proofErr w:type="spellEnd"/>
            <w:r w:rsidRPr="00112F96">
              <w:rPr>
                <w:rFonts w:ascii="Arial Narrow" w:eastAsia="SimSun" w:hAnsi="Arial Narrow"/>
                <w:sz w:val="20"/>
              </w:rPr>
              <w:t xml:space="preserve"> D. Brose M.S.</w:t>
            </w:r>
          </w:p>
        </w:tc>
        <w:tc>
          <w:tcPr>
            <w:tcW w:w="1265" w:type="pct"/>
          </w:tcPr>
          <w:p w:rsidR="009A4BEE" w:rsidRPr="00112F96" w:rsidRDefault="009A4BEE" w:rsidP="00924940">
            <w:pPr>
              <w:jc w:val="left"/>
              <w:rPr>
                <w:rFonts w:ascii="Arial Narrow" w:eastAsia="SimSun" w:hAnsi="Arial Narrow"/>
                <w:sz w:val="20"/>
              </w:rPr>
            </w:pPr>
            <w:r w:rsidRPr="00924940">
              <w:rPr>
                <w:rFonts w:ascii="Arial Narrow" w:eastAsia="SimSun" w:hAnsi="Arial Narrow"/>
                <w:i/>
                <w:sz w:val="20"/>
              </w:rPr>
              <w:t>Thyroid</w:t>
            </w:r>
            <w:r w:rsidRPr="00112F96">
              <w:rPr>
                <w:rFonts w:ascii="Arial Narrow" w:eastAsia="SimSun" w:hAnsi="Arial Narrow"/>
                <w:sz w:val="20"/>
              </w:rPr>
              <w:t xml:space="preserve"> (2013) 23 SUPPL. 1 (A49-A50)</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Sorafenib in locally advanced or metastatic patients with radioactive iodine-refractory differentiated thyroid cancer: The phase 3 DECISION trial.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Brose M.S. Nutting C.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B.J.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Siena S.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Pacini</w:t>
            </w:r>
            <w:proofErr w:type="spellEnd"/>
            <w:r w:rsidRPr="00112F96">
              <w:rPr>
                <w:rFonts w:ascii="Arial Narrow" w:eastAsia="SimSun" w:hAnsi="Arial Narrow"/>
                <w:sz w:val="20"/>
              </w:rPr>
              <w:t xml:space="preserve"> F.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Sherman S.I. Smit J.W.A. Chung J. </w:t>
            </w:r>
            <w:proofErr w:type="spellStart"/>
            <w:r w:rsidRPr="00112F96">
              <w:rPr>
                <w:rFonts w:ascii="Arial Narrow" w:eastAsia="SimSun" w:hAnsi="Arial Narrow"/>
                <w:sz w:val="20"/>
              </w:rPr>
              <w:t>Siedentop</w:t>
            </w:r>
            <w:proofErr w:type="spellEnd"/>
            <w:r w:rsidRPr="00112F96">
              <w:rPr>
                <w:rFonts w:ascii="Arial Narrow" w:eastAsia="SimSun" w:hAnsi="Arial Narrow"/>
                <w:sz w:val="20"/>
              </w:rPr>
              <w:t xml:space="preserve"> H. Molnar I. Schlumberger M.</w:t>
            </w:r>
          </w:p>
        </w:tc>
        <w:tc>
          <w:tcPr>
            <w:tcW w:w="1265" w:type="pct"/>
          </w:tcPr>
          <w:p w:rsidR="009A4BEE" w:rsidRPr="00112F96" w:rsidRDefault="009A4BEE" w:rsidP="00924940">
            <w:pPr>
              <w:widowControl/>
              <w:jc w:val="left"/>
              <w:rPr>
                <w:rFonts w:ascii="Arial Narrow" w:eastAsia="SimSun" w:hAnsi="Arial Narrow"/>
                <w:sz w:val="20"/>
              </w:rPr>
            </w:pPr>
            <w:proofErr w:type="spellStart"/>
            <w:r w:rsidRPr="00924940">
              <w:rPr>
                <w:rFonts w:ascii="Arial Narrow" w:eastAsia="SimSun" w:hAnsi="Arial Narrow"/>
                <w:i/>
                <w:sz w:val="20"/>
              </w:rPr>
              <w:t>Onkologie</w:t>
            </w:r>
            <w:proofErr w:type="spellEnd"/>
            <w:r w:rsidRPr="00112F96">
              <w:rPr>
                <w:rFonts w:ascii="Arial Narrow" w:eastAsia="SimSun" w:hAnsi="Arial Narrow"/>
                <w:sz w:val="20"/>
              </w:rPr>
              <w:t xml:space="preserve"> (2013) 36 SUPPL. 7 (184)</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Association between </w:t>
            </w:r>
            <w:proofErr w:type="spellStart"/>
            <w:r w:rsidRPr="00112F96">
              <w:rPr>
                <w:rFonts w:ascii="Arial Narrow" w:eastAsia="SimSun" w:hAnsi="Arial Narrow"/>
                <w:sz w:val="20"/>
              </w:rPr>
              <w:t>tumor</w:t>
            </w:r>
            <w:proofErr w:type="spellEnd"/>
            <w:r w:rsidRPr="00112F96">
              <w:rPr>
                <w:rFonts w:ascii="Arial Narrow" w:eastAsia="SimSun" w:hAnsi="Arial Narrow"/>
                <w:sz w:val="20"/>
              </w:rPr>
              <w:t xml:space="preserve"> BRAF and RAS mutation status and clinical outcomes in patients with radioactive iodine (RAI)-refractory differentiated thyroid cancer (DTC) randomized to sorafenib or placebo: Sub-analysis of the phase III DECISION trial. Brose M.S. Nutting C.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Sherman S.I. Smit J.W.A. Chung J. Molnar I. Jeffers M. Pena C. Schlumberger M.</w:t>
            </w:r>
          </w:p>
        </w:tc>
        <w:tc>
          <w:tcPr>
            <w:tcW w:w="1265" w:type="pct"/>
          </w:tcPr>
          <w:p w:rsidR="009A4BEE" w:rsidRPr="00112F96" w:rsidRDefault="009A4BEE" w:rsidP="00924940">
            <w:pPr>
              <w:widowControl/>
              <w:jc w:val="left"/>
              <w:rPr>
                <w:rFonts w:ascii="Arial Narrow" w:eastAsia="SimSun" w:hAnsi="Arial Narrow"/>
                <w:sz w:val="20"/>
              </w:rPr>
            </w:pPr>
            <w:r w:rsidRPr="00924940">
              <w:rPr>
                <w:rFonts w:ascii="Arial Narrow" w:eastAsia="SimSun" w:hAnsi="Arial Narrow"/>
                <w:i/>
                <w:sz w:val="20"/>
              </w:rPr>
              <w:t>European Journal of Cancer</w:t>
            </w:r>
            <w:r w:rsidRPr="00112F96">
              <w:rPr>
                <w:rFonts w:ascii="Arial Narrow" w:eastAsia="SimSun" w:hAnsi="Arial Narrow"/>
                <w:sz w:val="20"/>
              </w:rPr>
              <w:t xml:space="preserve"> (2013) 49 SUPPL. 2 (S745)</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sz w:val="20"/>
              </w:rPr>
            </w:pPr>
            <w:r w:rsidRPr="00112F96">
              <w:rPr>
                <w:rFonts w:ascii="Arial Narrow" w:eastAsia="SimSun" w:hAnsi="Arial Narrow"/>
                <w:sz w:val="20"/>
              </w:rPr>
              <w:t xml:space="preserve">Sorafenib in locally advanced or metastatic patients with radioactive iodine-refractory differentiated thyroid cancer: The phase III DECISION trial. Brose M.S. Nutting C. </w:t>
            </w:r>
            <w:proofErr w:type="spellStart"/>
            <w:r w:rsidRPr="00112F96">
              <w:rPr>
                <w:rFonts w:ascii="Arial Narrow" w:eastAsia="SimSun" w:hAnsi="Arial Narrow"/>
                <w:sz w:val="20"/>
              </w:rPr>
              <w:t>Jarzab</w:t>
            </w:r>
            <w:proofErr w:type="spellEnd"/>
            <w:r w:rsidRPr="00112F96">
              <w:rPr>
                <w:rFonts w:ascii="Arial Narrow" w:eastAsia="SimSun" w:hAnsi="Arial Narrow"/>
                <w:sz w:val="20"/>
              </w:rPr>
              <w:t xml:space="preserve"> B. </w:t>
            </w:r>
            <w:proofErr w:type="spellStart"/>
            <w:r w:rsidRPr="00112F96">
              <w:rPr>
                <w:rFonts w:ascii="Arial Narrow" w:eastAsia="SimSun" w:hAnsi="Arial Narrow"/>
                <w:sz w:val="20"/>
              </w:rPr>
              <w:t>Elisei</w:t>
            </w:r>
            <w:proofErr w:type="spellEnd"/>
            <w:r w:rsidRPr="00112F96">
              <w:rPr>
                <w:rFonts w:ascii="Arial Narrow" w:eastAsia="SimSun" w:hAnsi="Arial Narrow"/>
                <w:sz w:val="20"/>
              </w:rPr>
              <w:t xml:space="preserve"> R. Siena S. </w:t>
            </w:r>
            <w:proofErr w:type="spellStart"/>
            <w:r w:rsidRPr="00112F96">
              <w:rPr>
                <w:rFonts w:ascii="Arial Narrow" w:eastAsia="SimSun" w:hAnsi="Arial Narrow"/>
                <w:sz w:val="20"/>
              </w:rPr>
              <w:t>Bastholt</w:t>
            </w:r>
            <w:proofErr w:type="spellEnd"/>
            <w:r w:rsidRPr="00112F96">
              <w:rPr>
                <w:rFonts w:ascii="Arial Narrow" w:eastAsia="SimSun" w:hAnsi="Arial Narrow"/>
                <w:sz w:val="20"/>
              </w:rPr>
              <w:t xml:space="preserve"> L. De La </w:t>
            </w:r>
            <w:proofErr w:type="spellStart"/>
            <w:r w:rsidRPr="00112F96">
              <w:rPr>
                <w:rFonts w:ascii="Arial Narrow" w:eastAsia="SimSun" w:hAnsi="Arial Narrow"/>
                <w:sz w:val="20"/>
              </w:rPr>
              <w:t>Fouchardiere</w:t>
            </w:r>
            <w:proofErr w:type="spellEnd"/>
            <w:r w:rsidRPr="00112F96">
              <w:rPr>
                <w:rFonts w:ascii="Arial Narrow" w:eastAsia="SimSun" w:hAnsi="Arial Narrow"/>
                <w:sz w:val="20"/>
              </w:rPr>
              <w:t xml:space="preserve"> C. </w:t>
            </w:r>
            <w:proofErr w:type="spellStart"/>
            <w:r w:rsidRPr="00112F96">
              <w:rPr>
                <w:rFonts w:ascii="Arial Narrow" w:eastAsia="SimSun" w:hAnsi="Arial Narrow"/>
                <w:sz w:val="20"/>
              </w:rPr>
              <w:t>Pacini</w:t>
            </w:r>
            <w:proofErr w:type="spellEnd"/>
            <w:r w:rsidRPr="00112F96">
              <w:rPr>
                <w:rFonts w:ascii="Arial Narrow" w:eastAsia="SimSun" w:hAnsi="Arial Narrow"/>
                <w:sz w:val="20"/>
              </w:rPr>
              <w:t xml:space="preserve"> F. </w:t>
            </w:r>
            <w:proofErr w:type="spellStart"/>
            <w:r w:rsidRPr="00112F96">
              <w:rPr>
                <w:rFonts w:ascii="Arial Narrow" w:eastAsia="SimSun" w:hAnsi="Arial Narrow"/>
                <w:sz w:val="20"/>
              </w:rPr>
              <w:t>Paschke</w:t>
            </w:r>
            <w:proofErr w:type="spellEnd"/>
            <w:r w:rsidRPr="00112F96">
              <w:rPr>
                <w:rFonts w:ascii="Arial Narrow" w:eastAsia="SimSun" w:hAnsi="Arial Narrow"/>
                <w:sz w:val="20"/>
              </w:rPr>
              <w:t xml:space="preserve"> R. </w:t>
            </w:r>
            <w:proofErr w:type="spellStart"/>
            <w:r w:rsidRPr="00112F96">
              <w:rPr>
                <w:rFonts w:ascii="Arial Narrow" w:eastAsia="SimSun" w:hAnsi="Arial Narrow"/>
                <w:sz w:val="20"/>
              </w:rPr>
              <w:t>Shong</w:t>
            </w:r>
            <w:proofErr w:type="spellEnd"/>
            <w:r w:rsidRPr="00112F96">
              <w:rPr>
                <w:rFonts w:ascii="Arial Narrow" w:eastAsia="SimSun" w:hAnsi="Arial Narrow"/>
                <w:sz w:val="20"/>
              </w:rPr>
              <w:t xml:space="preserve"> Y.K. Sherman S.I. Smit J.W.A. Chung J.W. </w:t>
            </w:r>
            <w:proofErr w:type="spellStart"/>
            <w:r w:rsidRPr="00112F96">
              <w:rPr>
                <w:rFonts w:ascii="Arial Narrow" w:eastAsia="SimSun" w:hAnsi="Arial Narrow"/>
                <w:sz w:val="20"/>
              </w:rPr>
              <w:t>Siedentop</w:t>
            </w:r>
            <w:proofErr w:type="spellEnd"/>
            <w:r w:rsidRPr="00112F96">
              <w:rPr>
                <w:rFonts w:ascii="Arial Narrow" w:eastAsia="SimSun" w:hAnsi="Arial Narrow"/>
                <w:sz w:val="20"/>
              </w:rPr>
              <w:t xml:space="preserve"> H. Molnar I. Schlumberger M.</w:t>
            </w:r>
          </w:p>
        </w:tc>
        <w:tc>
          <w:tcPr>
            <w:tcW w:w="1265" w:type="pct"/>
          </w:tcPr>
          <w:p w:rsidR="009A4BEE" w:rsidRPr="00112F96" w:rsidRDefault="009A4BEE" w:rsidP="00924940">
            <w:pPr>
              <w:widowControl/>
              <w:jc w:val="left"/>
              <w:rPr>
                <w:rFonts w:ascii="Arial Narrow" w:eastAsia="SimSun" w:hAnsi="Arial Narrow"/>
                <w:sz w:val="20"/>
              </w:rPr>
            </w:pPr>
            <w:r w:rsidRPr="00924940">
              <w:rPr>
                <w:rFonts w:ascii="Arial Narrow" w:eastAsia="SimSun" w:hAnsi="Arial Narrow"/>
                <w:i/>
                <w:sz w:val="20"/>
              </w:rPr>
              <w:t>Journal of Clinical Oncology</w:t>
            </w:r>
            <w:r w:rsidRPr="00112F96">
              <w:rPr>
                <w:rFonts w:ascii="Arial Narrow" w:eastAsia="SimSun" w:hAnsi="Arial Narrow"/>
                <w:sz w:val="20"/>
              </w:rPr>
              <w:t xml:space="preserve"> (2013) 31:18 SUPPL. 1</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i/>
                <w:sz w:val="20"/>
              </w:rPr>
            </w:pPr>
            <w:r w:rsidRPr="00112F96">
              <w:rPr>
                <w:rFonts w:ascii="Arial Narrow" w:eastAsia="SimSun" w:hAnsi="Arial Narrow"/>
                <w:i/>
                <w:sz w:val="20"/>
              </w:rPr>
              <w:t xml:space="preserve">Sorafenib: a review of its use in patients with radioactive iodine-refractory, metastatic differentiated thyroid carcinoma. Blair H.A., </w:t>
            </w:r>
            <w:proofErr w:type="spellStart"/>
            <w:r w:rsidRPr="00112F96">
              <w:rPr>
                <w:rFonts w:ascii="Arial Narrow" w:eastAsia="SimSun" w:hAnsi="Arial Narrow"/>
                <w:i/>
                <w:sz w:val="20"/>
              </w:rPr>
              <w:t>Plosker</w:t>
            </w:r>
            <w:proofErr w:type="spellEnd"/>
            <w:r w:rsidRPr="00112F96">
              <w:rPr>
                <w:rFonts w:ascii="Arial Narrow" w:eastAsia="SimSun" w:hAnsi="Arial Narrow"/>
                <w:i/>
                <w:sz w:val="20"/>
              </w:rPr>
              <w:t xml:space="preserve"> G.L</w:t>
            </w:r>
          </w:p>
        </w:tc>
        <w:tc>
          <w:tcPr>
            <w:tcW w:w="1265" w:type="pct"/>
          </w:tcPr>
          <w:p w:rsidR="009A4BEE" w:rsidRPr="00112F96" w:rsidRDefault="009A4BEE" w:rsidP="009A4BEE">
            <w:pPr>
              <w:widowControl/>
              <w:jc w:val="left"/>
              <w:rPr>
                <w:rFonts w:ascii="Arial Narrow" w:eastAsia="SimSun" w:hAnsi="Arial Narrow"/>
                <w:i/>
                <w:sz w:val="20"/>
              </w:rPr>
            </w:pPr>
            <w:r w:rsidRPr="00112F96">
              <w:rPr>
                <w:rFonts w:ascii="Arial Narrow" w:eastAsia="SimSun" w:hAnsi="Arial Narrow"/>
                <w:i/>
                <w:sz w:val="20"/>
              </w:rPr>
              <w:t>Targeted Oncology (2015), 10 (1) (pp 171-178)</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vAlign w:val="center"/>
          </w:tcPr>
          <w:p w:rsidR="009A4BEE" w:rsidRPr="00112F96" w:rsidRDefault="009A4BEE" w:rsidP="009A4BEE">
            <w:pPr>
              <w:widowControl/>
              <w:rPr>
                <w:rFonts w:ascii="Arial Narrow" w:eastAsia="SimSun" w:hAnsi="Arial Narrow"/>
                <w:i/>
                <w:sz w:val="20"/>
              </w:rPr>
            </w:pPr>
            <w:r w:rsidRPr="00112F96">
              <w:rPr>
                <w:rFonts w:ascii="Arial Narrow" w:eastAsia="SimSun" w:hAnsi="Arial Narrow"/>
                <w:i/>
                <w:sz w:val="20"/>
              </w:rPr>
              <w:t xml:space="preserve">Sorafenib in locally advanced or metastatic patients with radioactive iodine-refractory differentiated thyroid cancer (DTC): The phase III DECISION trial. </w:t>
            </w:r>
            <w:proofErr w:type="spellStart"/>
            <w:r w:rsidRPr="00112F96">
              <w:rPr>
                <w:rFonts w:ascii="Arial Narrow" w:eastAsia="SimSun" w:hAnsi="Arial Narrow"/>
                <w:i/>
                <w:sz w:val="20"/>
              </w:rPr>
              <w:t>Bockisch</w:t>
            </w:r>
            <w:proofErr w:type="spellEnd"/>
            <w:r w:rsidRPr="00112F96">
              <w:rPr>
                <w:rFonts w:ascii="Arial Narrow" w:eastAsia="SimSun" w:hAnsi="Arial Narrow"/>
                <w:i/>
                <w:sz w:val="20"/>
              </w:rPr>
              <w:t xml:space="preserve"> A, Brose MS, Nutting C, </w:t>
            </w:r>
            <w:proofErr w:type="spellStart"/>
            <w:r w:rsidRPr="00112F96">
              <w:rPr>
                <w:rFonts w:ascii="Arial Narrow" w:eastAsia="SimSun" w:hAnsi="Arial Narrow"/>
                <w:i/>
                <w:sz w:val="20"/>
              </w:rPr>
              <w:t>Jarzab</w:t>
            </w:r>
            <w:proofErr w:type="spellEnd"/>
            <w:r w:rsidRPr="00112F96">
              <w:rPr>
                <w:rFonts w:ascii="Arial Narrow" w:eastAsia="SimSun" w:hAnsi="Arial Narrow"/>
                <w:i/>
                <w:sz w:val="20"/>
              </w:rPr>
              <w:t xml:space="preserve"> B, </w:t>
            </w:r>
            <w:proofErr w:type="spellStart"/>
            <w:r w:rsidRPr="00112F96">
              <w:rPr>
                <w:rFonts w:ascii="Arial Narrow" w:eastAsia="SimSun" w:hAnsi="Arial Narrow"/>
                <w:i/>
                <w:sz w:val="20"/>
              </w:rPr>
              <w:t>Elisei</w:t>
            </w:r>
            <w:proofErr w:type="spellEnd"/>
            <w:r w:rsidRPr="00112F96">
              <w:rPr>
                <w:rFonts w:ascii="Arial Narrow" w:eastAsia="SimSun" w:hAnsi="Arial Narrow"/>
                <w:i/>
                <w:sz w:val="20"/>
              </w:rPr>
              <w:t xml:space="preserve"> R, Siena S, </w:t>
            </w:r>
            <w:proofErr w:type="spellStart"/>
            <w:r w:rsidRPr="00112F96">
              <w:rPr>
                <w:rFonts w:ascii="Arial Narrow" w:eastAsia="SimSun" w:hAnsi="Arial Narrow"/>
                <w:i/>
                <w:sz w:val="20"/>
              </w:rPr>
              <w:t>Bastholt</w:t>
            </w:r>
            <w:proofErr w:type="spellEnd"/>
            <w:r w:rsidRPr="00112F96">
              <w:rPr>
                <w:rFonts w:ascii="Arial Narrow" w:eastAsia="SimSun" w:hAnsi="Arial Narrow"/>
                <w:i/>
                <w:sz w:val="20"/>
              </w:rPr>
              <w:t xml:space="preserve"> L, De La </w:t>
            </w:r>
            <w:proofErr w:type="spellStart"/>
            <w:r w:rsidRPr="00112F96">
              <w:rPr>
                <w:rFonts w:ascii="Arial Narrow" w:eastAsia="SimSun" w:hAnsi="Arial Narrow"/>
                <w:i/>
                <w:sz w:val="20"/>
              </w:rPr>
              <w:t>Fouchardiere</w:t>
            </w:r>
            <w:proofErr w:type="spellEnd"/>
            <w:r w:rsidRPr="00112F96">
              <w:rPr>
                <w:rFonts w:ascii="Arial Narrow" w:eastAsia="SimSun" w:hAnsi="Arial Narrow"/>
                <w:i/>
                <w:sz w:val="20"/>
              </w:rPr>
              <w:t xml:space="preserve"> C, </w:t>
            </w:r>
            <w:proofErr w:type="spellStart"/>
            <w:r w:rsidRPr="00112F96">
              <w:rPr>
                <w:rFonts w:ascii="Arial Narrow" w:eastAsia="SimSun" w:hAnsi="Arial Narrow"/>
                <w:i/>
                <w:sz w:val="20"/>
              </w:rPr>
              <w:t>Pacini</w:t>
            </w:r>
            <w:proofErr w:type="spellEnd"/>
            <w:r w:rsidRPr="00112F96">
              <w:rPr>
                <w:rFonts w:ascii="Arial Narrow" w:eastAsia="SimSun" w:hAnsi="Arial Narrow"/>
                <w:i/>
                <w:sz w:val="20"/>
              </w:rPr>
              <w:t xml:space="preserve"> F, </w:t>
            </w:r>
            <w:proofErr w:type="spellStart"/>
            <w:r w:rsidRPr="00112F96">
              <w:rPr>
                <w:rFonts w:ascii="Arial Narrow" w:eastAsia="SimSun" w:hAnsi="Arial Narrow"/>
                <w:i/>
                <w:sz w:val="20"/>
              </w:rPr>
              <w:t>Paschke</w:t>
            </w:r>
            <w:proofErr w:type="spellEnd"/>
            <w:r w:rsidRPr="00112F96">
              <w:rPr>
                <w:rFonts w:ascii="Arial Narrow" w:eastAsia="SimSun" w:hAnsi="Arial Narrow"/>
                <w:i/>
                <w:sz w:val="20"/>
              </w:rPr>
              <w:t xml:space="preserve"> R, </w:t>
            </w:r>
            <w:proofErr w:type="spellStart"/>
            <w:r w:rsidRPr="00112F96">
              <w:rPr>
                <w:rFonts w:ascii="Arial Narrow" w:eastAsia="SimSun" w:hAnsi="Arial Narrow"/>
                <w:i/>
                <w:sz w:val="20"/>
              </w:rPr>
              <w:t>Shong</w:t>
            </w:r>
            <w:proofErr w:type="spellEnd"/>
            <w:r w:rsidRPr="00112F96">
              <w:rPr>
                <w:rFonts w:ascii="Arial Narrow" w:eastAsia="SimSun" w:hAnsi="Arial Narrow"/>
                <w:i/>
                <w:sz w:val="20"/>
              </w:rPr>
              <w:t xml:space="preserve"> YK, Sherman SI, Smit JW, Chung JW, </w:t>
            </w:r>
            <w:proofErr w:type="spellStart"/>
            <w:r w:rsidRPr="00112F96">
              <w:rPr>
                <w:rFonts w:ascii="Arial Narrow" w:eastAsia="SimSun" w:hAnsi="Arial Narrow"/>
                <w:i/>
                <w:sz w:val="20"/>
              </w:rPr>
              <w:t>Kappeler</w:t>
            </w:r>
            <w:proofErr w:type="spellEnd"/>
            <w:r w:rsidRPr="00112F96">
              <w:rPr>
                <w:rFonts w:ascii="Arial Narrow" w:eastAsia="SimSun" w:hAnsi="Arial Narrow"/>
                <w:i/>
                <w:sz w:val="20"/>
              </w:rPr>
              <w:t xml:space="preserve"> C, Molnar I, Schlumberger M.</w:t>
            </w:r>
          </w:p>
        </w:tc>
        <w:tc>
          <w:tcPr>
            <w:tcW w:w="1265" w:type="pct"/>
          </w:tcPr>
          <w:p w:rsidR="009A4BEE" w:rsidRPr="00112F96" w:rsidRDefault="009A4BEE" w:rsidP="009A4BEE">
            <w:pPr>
              <w:widowControl/>
              <w:jc w:val="left"/>
              <w:rPr>
                <w:rFonts w:ascii="Arial Narrow" w:eastAsia="SimSun" w:hAnsi="Arial Narrow"/>
                <w:i/>
                <w:sz w:val="20"/>
              </w:rPr>
            </w:pPr>
            <w:r w:rsidRPr="00112F96">
              <w:rPr>
                <w:rFonts w:ascii="Arial Narrow" w:eastAsia="SimSun" w:hAnsi="Arial Narrow"/>
                <w:i/>
                <w:sz w:val="20"/>
              </w:rPr>
              <w:t>Experimental and clinical endocrinology &amp; diabetes 122(3)</w:t>
            </w:r>
          </w:p>
        </w:tc>
      </w:tr>
      <w:tr w:rsidR="009A4BEE" w:rsidRPr="00112F96" w:rsidTr="009A4BEE">
        <w:tc>
          <w:tcPr>
            <w:tcW w:w="594" w:type="pct"/>
            <w:vMerge/>
            <w:vAlign w:val="center"/>
          </w:tcPr>
          <w:p w:rsidR="009A4BEE" w:rsidRPr="00112F96" w:rsidRDefault="009A4BEE" w:rsidP="009A4BEE">
            <w:pPr>
              <w:widowControl/>
              <w:rPr>
                <w:rFonts w:ascii="Arial Narrow" w:eastAsia="SimSun" w:hAnsi="Arial Narrow"/>
                <w:sz w:val="20"/>
              </w:rPr>
            </w:pPr>
          </w:p>
        </w:tc>
        <w:tc>
          <w:tcPr>
            <w:tcW w:w="3141" w:type="pct"/>
          </w:tcPr>
          <w:p w:rsidR="009A4BEE" w:rsidRPr="00112F96" w:rsidRDefault="009A4BEE" w:rsidP="009A4BEE">
            <w:pPr>
              <w:widowControl/>
              <w:rPr>
                <w:rFonts w:ascii="Arial Narrow" w:eastAsia="SimSun" w:hAnsi="Arial Narrow"/>
                <w:i/>
                <w:sz w:val="20"/>
              </w:rPr>
            </w:pPr>
            <w:r w:rsidRPr="00112F96">
              <w:rPr>
                <w:rFonts w:ascii="Arial Narrow" w:eastAsia="SimSun" w:hAnsi="Arial Narrow"/>
                <w:i/>
                <w:sz w:val="20"/>
              </w:rPr>
              <w:t xml:space="preserve">Sorafenib for the treatment of thyroid cancer: An updated review. </w:t>
            </w:r>
            <w:proofErr w:type="spellStart"/>
            <w:r w:rsidRPr="00112F96">
              <w:rPr>
                <w:rFonts w:ascii="Arial Narrow" w:eastAsia="SimSun" w:hAnsi="Arial Narrow"/>
                <w:i/>
                <w:sz w:val="20"/>
              </w:rPr>
              <w:t>Krajewska</w:t>
            </w:r>
            <w:proofErr w:type="spellEnd"/>
            <w:r w:rsidRPr="00112F96">
              <w:rPr>
                <w:rFonts w:ascii="Arial Narrow" w:eastAsia="SimSun" w:hAnsi="Arial Narrow"/>
                <w:i/>
                <w:sz w:val="20"/>
              </w:rPr>
              <w:t xml:space="preserve"> J., </w:t>
            </w:r>
            <w:proofErr w:type="spellStart"/>
            <w:r w:rsidRPr="00112F96">
              <w:rPr>
                <w:rFonts w:ascii="Arial Narrow" w:eastAsia="SimSun" w:hAnsi="Arial Narrow"/>
                <w:i/>
                <w:sz w:val="20"/>
              </w:rPr>
              <w:t>Handkiewicz-Junak</w:t>
            </w:r>
            <w:proofErr w:type="spellEnd"/>
            <w:r w:rsidRPr="00112F96">
              <w:rPr>
                <w:rFonts w:ascii="Arial Narrow" w:eastAsia="SimSun" w:hAnsi="Arial Narrow"/>
                <w:i/>
                <w:sz w:val="20"/>
              </w:rPr>
              <w:t xml:space="preserve"> D., </w:t>
            </w:r>
            <w:proofErr w:type="spellStart"/>
            <w:r w:rsidRPr="00112F96">
              <w:rPr>
                <w:rFonts w:ascii="Arial Narrow" w:eastAsia="SimSun" w:hAnsi="Arial Narrow"/>
                <w:i/>
                <w:sz w:val="20"/>
              </w:rPr>
              <w:t>Jarzab</w:t>
            </w:r>
            <w:proofErr w:type="spellEnd"/>
            <w:r w:rsidRPr="00112F96">
              <w:rPr>
                <w:rFonts w:ascii="Arial Narrow" w:eastAsia="SimSun" w:hAnsi="Arial Narrow"/>
                <w:i/>
                <w:sz w:val="20"/>
              </w:rPr>
              <w:t xml:space="preserve"> B.</w:t>
            </w:r>
          </w:p>
        </w:tc>
        <w:tc>
          <w:tcPr>
            <w:tcW w:w="1265" w:type="pct"/>
          </w:tcPr>
          <w:p w:rsidR="009A4BEE" w:rsidRPr="00112F96" w:rsidRDefault="009A4BEE" w:rsidP="009A4BEE">
            <w:pPr>
              <w:widowControl/>
              <w:jc w:val="left"/>
              <w:rPr>
                <w:rFonts w:ascii="Arial Narrow" w:eastAsia="SimSun" w:hAnsi="Arial Narrow"/>
                <w:i/>
                <w:sz w:val="20"/>
              </w:rPr>
            </w:pPr>
            <w:r w:rsidRPr="00112F96">
              <w:rPr>
                <w:rFonts w:ascii="Arial Narrow" w:eastAsia="SimSun" w:hAnsi="Arial Narrow"/>
                <w:i/>
                <w:sz w:val="20"/>
              </w:rPr>
              <w:t>Expert Opinion on Pharmacotherapy. 16 (4) (pp 573-583)</w:t>
            </w:r>
          </w:p>
        </w:tc>
      </w:tr>
    </w:tbl>
    <w:p w:rsidR="003F4361" w:rsidRPr="00961AF9" w:rsidRDefault="009A4BEE" w:rsidP="009250F9">
      <w:pPr>
        <w:pStyle w:val="TableFooter"/>
        <w:ind w:firstLine="709"/>
      </w:pPr>
      <w:r>
        <w:t xml:space="preserve">Source: Table B.5, p82-83 </w:t>
      </w:r>
      <w:r w:rsidRPr="00961AF9">
        <w:t xml:space="preserve">of the </w:t>
      </w:r>
      <w:r w:rsidR="001E0A85">
        <w:t>March 2015 re-</w:t>
      </w:r>
      <w:r>
        <w:t>submission</w:t>
      </w:r>
    </w:p>
    <w:p w:rsidR="009A4BEE" w:rsidRPr="001B6188" w:rsidRDefault="009A4BEE" w:rsidP="009A4BEE">
      <w:pPr>
        <w:widowControl/>
        <w:rPr>
          <w:szCs w:val="22"/>
        </w:rPr>
      </w:pPr>
    </w:p>
    <w:p w:rsidR="009A4BEE" w:rsidRPr="003F4361" w:rsidRDefault="009A4BEE" w:rsidP="003F4361">
      <w:pPr>
        <w:pStyle w:val="ListParagraph"/>
        <w:numPr>
          <w:ilvl w:val="1"/>
          <w:numId w:val="6"/>
        </w:numPr>
        <w:rPr>
          <w:szCs w:val="22"/>
        </w:rPr>
      </w:pPr>
      <w:r w:rsidRPr="003F4361">
        <w:rPr>
          <w:szCs w:val="22"/>
        </w:rPr>
        <w:t>The key features of the direct randomised trial are summarised in the table belo</w:t>
      </w:r>
      <w:r w:rsidR="00BB6833" w:rsidRPr="003F4361">
        <w:rPr>
          <w:szCs w:val="22"/>
        </w:rPr>
        <w:t>w.</w:t>
      </w:r>
    </w:p>
    <w:p w:rsidR="009A4BEE" w:rsidRDefault="009A4BEE" w:rsidP="009A4BEE">
      <w:pPr>
        <w:widowControl/>
        <w:rPr>
          <w:szCs w:val="22"/>
        </w:rPr>
      </w:pPr>
    </w:p>
    <w:p w:rsidR="009A4BEE" w:rsidRDefault="009A4BEE" w:rsidP="009A4BEE">
      <w:pPr>
        <w:keepNext/>
        <w:ind w:firstLine="720"/>
        <w:rPr>
          <w:rStyle w:val="CommentReference"/>
        </w:rPr>
      </w:pPr>
      <w:r w:rsidRPr="00E2771E">
        <w:rPr>
          <w:rStyle w:val="CommentReference"/>
        </w:rPr>
        <w:t xml:space="preserve">Table </w:t>
      </w:r>
      <w:r w:rsidR="004F2AFD">
        <w:rPr>
          <w:rStyle w:val="CommentReference"/>
        </w:rPr>
        <w:t>3</w:t>
      </w:r>
      <w:r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569"/>
        <w:gridCol w:w="1841"/>
        <w:gridCol w:w="851"/>
        <w:gridCol w:w="1467"/>
        <w:gridCol w:w="1430"/>
        <w:gridCol w:w="1337"/>
      </w:tblGrid>
      <w:tr w:rsidR="009A4BEE" w:rsidRPr="00800CC7" w:rsidTr="009A4BEE">
        <w:trPr>
          <w:trHeight w:val="227"/>
        </w:trPr>
        <w:tc>
          <w:tcPr>
            <w:tcW w:w="509" w:type="pct"/>
            <w:shd w:val="clear" w:color="auto" w:fill="auto"/>
            <w:vAlign w:val="center"/>
          </w:tcPr>
          <w:p w:rsidR="009A4BEE" w:rsidRPr="00800CC7" w:rsidRDefault="009A4BEE" w:rsidP="009A4BEE">
            <w:pPr>
              <w:keepNext/>
              <w:jc w:val="left"/>
              <w:rPr>
                <w:rFonts w:ascii="Arial Narrow" w:eastAsia="SimSun" w:hAnsi="Arial Narrow"/>
                <w:b/>
                <w:sz w:val="20"/>
                <w:lang w:val="en-US"/>
              </w:rPr>
            </w:pPr>
            <w:r w:rsidRPr="00800CC7">
              <w:rPr>
                <w:rFonts w:ascii="Arial Narrow" w:eastAsia="SimSun" w:hAnsi="Arial Narrow"/>
                <w:b/>
                <w:sz w:val="20"/>
                <w:lang w:val="en-US"/>
              </w:rPr>
              <w:t>Trial</w:t>
            </w:r>
          </w:p>
        </w:tc>
        <w:tc>
          <w:tcPr>
            <w:tcW w:w="341"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N</w:t>
            </w:r>
          </w:p>
        </w:tc>
        <w:tc>
          <w:tcPr>
            <w:tcW w:w="1103"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 xml:space="preserve">Design/ </w:t>
            </w:r>
            <w:proofErr w:type="spellStart"/>
            <w:r w:rsidRPr="00800CC7">
              <w:rPr>
                <w:rFonts w:ascii="Arial Narrow" w:eastAsia="SimSun" w:hAnsi="Arial Narrow"/>
                <w:b/>
                <w:sz w:val="20"/>
                <w:lang w:val="en-US"/>
              </w:rPr>
              <w:t>duration</w:t>
            </w:r>
            <w:r w:rsidRPr="00800CC7">
              <w:rPr>
                <w:rFonts w:ascii="Arial Narrow" w:eastAsia="SimSun" w:hAnsi="Arial Narrow"/>
                <w:b/>
                <w:sz w:val="20"/>
                <w:vertAlign w:val="superscript"/>
                <w:lang w:val="en-US"/>
              </w:rPr>
              <w:t>a</w:t>
            </w:r>
            <w:proofErr w:type="spellEnd"/>
          </w:p>
        </w:tc>
        <w:tc>
          <w:tcPr>
            <w:tcW w:w="510"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Risk of bias</w:t>
            </w:r>
          </w:p>
        </w:tc>
        <w:tc>
          <w:tcPr>
            <w:tcW w:w="879"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Patient population</w:t>
            </w:r>
          </w:p>
        </w:tc>
        <w:tc>
          <w:tcPr>
            <w:tcW w:w="857"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Outcomes</w:t>
            </w:r>
          </w:p>
        </w:tc>
        <w:tc>
          <w:tcPr>
            <w:tcW w:w="801" w:type="pct"/>
            <w:shd w:val="clear" w:color="auto" w:fill="auto"/>
            <w:vAlign w:val="center"/>
          </w:tcPr>
          <w:p w:rsidR="009A4BEE" w:rsidRPr="00800CC7" w:rsidRDefault="009A4BEE" w:rsidP="009A4BEE">
            <w:pPr>
              <w:keepNext/>
              <w:jc w:val="center"/>
              <w:rPr>
                <w:rFonts w:ascii="Arial Narrow" w:eastAsia="SimSun" w:hAnsi="Arial Narrow"/>
                <w:b/>
                <w:sz w:val="20"/>
                <w:lang w:val="en-US"/>
              </w:rPr>
            </w:pPr>
            <w:r w:rsidRPr="00800CC7">
              <w:rPr>
                <w:rFonts w:ascii="Arial Narrow" w:eastAsia="SimSun" w:hAnsi="Arial Narrow"/>
                <w:b/>
                <w:sz w:val="20"/>
                <w:lang w:val="en-US"/>
              </w:rPr>
              <w:t>Use in modelled evaluation</w:t>
            </w:r>
          </w:p>
        </w:tc>
      </w:tr>
      <w:tr w:rsidR="009A4BEE" w:rsidRPr="00800CC7" w:rsidTr="009A4BEE">
        <w:trPr>
          <w:trHeight w:val="227"/>
        </w:trPr>
        <w:tc>
          <w:tcPr>
            <w:tcW w:w="5000" w:type="pct"/>
            <w:gridSpan w:val="7"/>
            <w:shd w:val="clear" w:color="auto" w:fill="auto"/>
            <w:vAlign w:val="center"/>
          </w:tcPr>
          <w:p w:rsidR="009A4BEE" w:rsidRPr="00800CC7" w:rsidRDefault="009A4BEE" w:rsidP="009A4BEE">
            <w:pPr>
              <w:keepNext/>
              <w:jc w:val="left"/>
              <w:rPr>
                <w:rFonts w:ascii="Arial Narrow" w:eastAsia="SimSun" w:hAnsi="Arial Narrow"/>
                <w:b/>
                <w:sz w:val="20"/>
                <w:lang w:val="en-US"/>
              </w:rPr>
            </w:pPr>
            <w:r w:rsidRPr="00800CC7">
              <w:rPr>
                <w:rFonts w:ascii="Arial Narrow" w:eastAsia="SimSun" w:hAnsi="Arial Narrow"/>
                <w:b/>
                <w:sz w:val="20"/>
                <w:lang w:val="en-US"/>
              </w:rPr>
              <w:t>Sorafenib versus Placebo</w:t>
            </w:r>
          </w:p>
        </w:tc>
      </w:tr>
      <w:tr w:rsidR="009A4BEE" w:rsidRPr="00800CC7" w:rsidTr="009A4BEE">
        <w:trPr>
          <w:trHeight w:val="227"/>
        </w:trPr>
        <w:tc>
          <w:tcPr>
            <w:tcW w:w="509" w:type="pct"/>
            <w:shd w:val="clear" w:color="auto" w:fill="auto"/>
            <w:vAlign w:val="center"/>
          </w:tcPr>
          <w:p w:rsidR="009A4BEE" w:rsidRPr="00800CC7" w:rsidRDefault="009A4BEE" w:rsidP="009A4BEE">
            <w:pPr>
              <w:keepNext/>
              <w:jc w:val="left"/>
              <w:rPr>
                <w:rFonts w:ascii="Arial Narrow" w:eastAsia="SimSun" w:hAnsi="Arial Narrow"/>
                <w:sz w:val="20"/>
                <w:lang w:val="en-US"/>
              </w:rPr>
            </w:pPr>
            <w:r w:rsidRPr="00800CC7">
              <w:rPr>
                <w:rFonts w:ascii="Arial Narrow" w:eastAsia="SimSun" w:hAnsi="Arial Narrow"/>
                <w:sz w:val="20"/>
                <w:lang w:val="en-US"/>
              </w:rPr>
              <w:t>DECISION</w:t>
            </w:r>
          </w:p>
        </w:tc>
        <w:tc>
          <w:tcPr>
            <w:tcW w:w="341"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417</w:t>
            </w:r>
          </w:p>
        </w:tc>
        <w:tc>
          <w:tcPr>
            <w:tcW w:w="1103"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R, DB, MC</w:t>
            </w:r>
          </w:p>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46.1 weeks (sorafenib)</w:t>
            </w:r>
          </w:p>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28.3 weeks (placebo)</w:t>
            </w:r>
          </w:p>
        </w:tc>
        <w:tc>
          <w:tcPr>
            <w:tcW w:w="510"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Low</w:t>
            </w:r>
          </w:p>
        </w:tc>
        <w:tc>
          <w:tcPr>
            <w:tcW w:w="879"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Progressed, radioactive iodine refractory</w:t>
            </w:r>
          </w:p>
        </w:tc>
        <w:tc>
          <w:tcPr>
            <w:tcW w:w="857"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PFS, OS</w:t>
            </w:r>
          </w:p>
        </w:tc>
        <w:tc>
          <w:tcPr>
            <w:tcW w:w="801" w:type="pct"/>
            <w:shd w:val="clear" w:color="auto" w:fill="auto"/>
            <w:vAlign w:val="center"/>
          </w:tcPr>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PFS</w:t>
            </w:r>
          </w:p>
          <w:p w:rsidR="009A4BEE" w:rsidRPr="00800CC7" w:rsidRDefault="009A4BEE" w:rsidP="009A4BEE">
            <w:pPr>
              <w:keepNext/>
              <w:jc w:val="center"/>
              <w:rPr>
                <w:rFonts w:ascii="Arial Narrow" w:eastAsia="SimSun" w:hAnsi="Arial Narrow"/>
                <w:sz w:val="20"/>
                <w:lang w:val="en-US"/>
              </w:rPr>
            </w:pPr>
            <w:r w:rsidRPr="00800CC7">
              <w:rPr>
                <w:rFonts w:ascii="Arial Narrow" w:eastAsia="SimSun" w:hAnsi="Arial Narrow"/>
                <w:sz w:val="20"/>
                <w:lang w:val="en-US"/>
              </w:rPr>
              <w:t>OS – adjusted for crossover</w:t>
            </w:r>
          </w:p>
        </w:tc>
      </w:tr>
    </w:tbl>
    <w:p w:rsidR="009A4BEE" w:rsidRPr="00800CC7" w:rsidRDefault="009A4BEE" w:rsidP="009A4BEE">
      <w:pPr>
        <w:pStyle w:val="TableFooter"/>
        <w:keepNext/>
        <w:ind w:left="720"/>
        <w:rPr>
          <w:rFonts w:eastAsia="SimSun"/>
        </w:rPr>
      </w:pPr>
      <w:r w:rsidRPr="00800CC7">
        <w:rPr>
          <w:rFonts w:eastAsia="SimSun"/>
        </w:rPr>
        <w:t>DB=double blind; MC=multi-centre; OS=overall survival; PFS=progression-free survival; R=randomised; BSC=best supportive care.</w:t>
      </w:r>
    </w:p>
    <w:p w:rsidR="009A4BEE" w:rsidRPr="00800CC7" w:rsidRDefault="009A4BEE" w:rsidP="009A4BEE">
      <w:pPr>
        <w:pStyle w:val="TableFooter"/>
        <w:keepNext/>
        <w:ind w:left="720"/>
        <w:rPr>
          <w:rFonts w:eastAsia="SimSun"/>
        </w:rPr>
      </w:pPr>
      <w:proofErr w:type="gramStart"/>
      <w:r w:rsidRPr="00800CC7">
        <w:rPr>
          <w:rFonts w:eastAsia="SimSun"/>
          <w:vertAlign w:val="superscript"/>
        </w:rPr>
        <w:t>a</w:t>
      </w:r>
      <w:proofErr w:type="gramEnd"/>
      <w:r w:rsidR="00BB6833">
        <w:rPr>
          <w:rFonts w:eastAsia="SimSun"/>
          <w:vertAlign w:val="superscript"/>
        </w:rPr>
        <w:t xml:space="preserve"> </w:t>
      </w:r>
      <w:r w:rsidRPr="00800CC7">
        <w:rPr>
          <w:rFonts w:eastAsia="SimSun"/>
        </w:rPr>
        <w:t>Median duration of treatment in the double-blind period (d</w:t>
      </w:r>
      <w:r w:rsidR="00BB6833">
        <w:rPr>
          <w:rFonts w:eastAsia="SimSun"/>
        </w:rPr>
        <w:t xml:space="preserve">ata cut-off 31 August 2012). </w:t>
      </w:r>
      <w:r w:rsidRPr="00800CC7">
        <w:rPr>
          <w:rFonts w:eastAsia="SimSun"/>
        </w:rPr>
        <w:t>Treatment with sorafenib continued into open label study for 55 patients in the sorafenib arm and overall median duration of treatment at data cut-off</w:t>
      </w:r>
      <w:r w:rsidR="00BB6833">
        <w:rPr>
          <w:rFonts w:eastAsia="SimSun"/>
        </w:rPr>
        <w:t xml:space="preserve"> 31 August 2012 was 56.9 weeks.</w:t>
      </w:r>
    </w:p>
    <w:p w:rsidR="009A4BEE" w:rsidRPr="00800CC7" w:rsidRDefault="009A4BEE" w:rsidP="009A4BEE">
      <w:pPr>
        <w:pStyle w:val="TableFooter"/>
        <w:ind w:left="720"/>
        <w:rPr>
          <w:rFonts w:eastAsia="SimSun"/>
        </w:rPr>
      </w:pPr>
      <w:r w:rsidRPr="00800CC7">
        <w:rPr>
          <w:rFonts w:eastAsia="SimSun"/>
        </w:rPr>
        <w:t>Source: compiled during the evaluation</w:t>
      </w:r>
    </w:p>
    <w:p w:rsidR="009A4BEE" w:rsidRDefault="009A4BEE" w:rsidP="009A4BEE"/>
    <w:p w:rsidR="009A4BEE" w:rsidRPr="0084654C" w:rsidRDefault="009A4BEE" w:rsidP="009A4BEE">
      <w:pPr>
        <w:pStyle w:val="ListParagraph"/>
        <w:numPr>
          <w:ilvl w:val="1"/>
          <w:numId w:val="6"/>
        </w:numPr>
      </w:pPr>
      <w:r w:rsidRPr="00FF090D">
        <w:t>OS was confounded by substantial crossover: 71% of patients in the placebo + BSC group crossed over to open-label sorafenib treatment after progression or at the end of the double-blind period, leaving 63 patients in the comparator arm of the trial to contribute data to the methods use</w:t>
      </w:r>
      <w:r w:rsidR="00BB6833">
        <w:t>d to adjust for this crossover.</w:t>
      </w:r>
      <w:r w:rsidR="002B253C">
        <w:t xml:space="preserve"> </w:t>
      </w:r>
      <w:r w:rsidR="002B253C" w:rsidRPr="0084654C">
        <w:t>The re-submission did not address further the issues identified by the March 2015 PBAC meeting concerning the contamination of the overall survival results, instead simply assuming that the hazard ratio for overall survival adjusted using the rank preserving structural failure time (RPSFT) model should be further adjusted back towards the null by 10%.</w:t>
      </w:r>
    </w:p>
    <w:p w:rsidR="009A4BEE" w:rsidRDefault="009A4BEE" w:rsidP="00BB6833"/>
    <w:p w:rsidR="009A4BEE" w:rsidRPr="00FF090D" w:rsidRDefault="009A4BEE" w:rsidP="009A4BEE">
      <w:pPr>
        <w:pStyle w:val="ListParagraph"/>
        <w:numPr>
          <w:ilvl w:val="1"/>
          <w:numId w:val="6"/>
        </w:numPr>
      </w:pPr>
      <w:r w:rsidRPr="00FF090D">
        <w:t>The extent of attrition bias during the double-blind period for PFS was unclear. There were 75 discontinuations</w:t>
      </w:r>
      <w:r>
        <w:t xml:space="preserve"> (49 censored without a PFS event)</w:t>
      </w:r>
      <w:r w:rsidRPr="00FF090D">
        <w:t xml:space="preserve"> in the sorafenib arm compared with 22 </w:t>
      </w:r>
      <w:r>
        <w:t xml:space="preserve">(17 censored without a PFS event) </w:t>
      </w:r>
      <w:r w:rsidRPr="00FF090D">
        <w:t>discontinuations in the placebo arm</w:t>
      </w:r>
      <w:r>
        <w:t>.</w:t>
      </w:r>
    </w:p>
    <w:p w:rsidR="009A4BEE" w:rsidRPr="00882085" w:rsidRDefault="009A4BEE" w:rsidP="009A4BEE">
      <w:pPr>
        <w:rPr>
          <w:szCs w:val="22"/>
        </w:rPr>
      </w:pPr>
    </w:p>
    <w:p w:rsidR="009A4BEE" w:rsidRPr="00497F10" w:rsidRDefault="009A4BEE" w:rsidP="00F30141">
      <w:pPr>
        <w:pStyle w:val="Heading2"/>
      </w:pPr>
      <w:bookmarkStart w:id="8" w:name="_Toc430014685"/>
      <w:r w:rsidRPr="00497F10">
        <w:t>Comparative effectiveness</w:t>
      </w:r>
      <w:bookmarkEnd w:id="8"/>
    </w:p>
    <w:p w:rsidR="009A4BEE" w:rsidRPr="00DA5B0D" w:rsidRDefault="009A4BEE" w:rsidP="009A4BEE">
      <w:pPr>
        <w:rPr>
          <w:szCs w:val="22"/>
        </w:rPr>
      </w:pPr>
    </w:p>
    <w:p w:rsidR="009A4BEE" w:rsidRPr="00DA5B0D" w:rsidRDefault="009A4BEE" w:rsidP="002B253C">
      <w:pPr>
        <w:pStyle w:val="ListParagraph"/>
        <w:numPr>
          <w:ilvl w:val="1"/>
          <w:numId w:val="6"/>
        </w:numPr>
        <w:rPr>
          <w:szCs w:val="22"/>
        </w:rPr>
      </w:pPr>
      <w:r>
        <w:t>The comparative benefits</w:t>
      </w:r>
      <w:r w:rsidRPr="00DA5B0D">
        <w:t xml:space="preserve"> are unchanged from the March 2015 re</w:t>
      </w:r>
      <w:r w:rsidR="00BB6833">
        <w:t>-</w:t>
      </w:r>
      <w:r w:rsidRPr="00DA5B0D">
        <w:t>submission.</w:t>
      </w:r>
    </w:p>
    <w:p w:rsidR="009A4BEE" w:rsidRPr="00BB6833" w:rsidRDefault="009A4BEE" w:rsidP="00BB6833">
      <w:pPr>
        <w:widowControl/>
        <w:rPr>
          <w:szCs w:val="22"/>
        </w:rPr>
      </w:pPr>
    </w:p>
    <w:p w:rsidR="009A4BEE" w:rsidRPr="00ED45C0" w:rsidRDefault="009A4BEE" w:rsidP="009A4BEE">
      <w:pPr>
        <w:keepNext/>
        <w:ind w:left="709"/>
        <w:rPr>
          <w:rStyle w:val="CommentReference"/>
        </w:rPr>
      </w:pPr>
      <w:r w:rsidRPr="00ED45C0">
        <w:rPr>
          <w:rStyle w:val="CommentReference"/>
        </w:rPr>
        <w:lastRenderedPageBreak/>
        <w:t xml:space="preserve">Table </w:t>
      </w:r>
      <w:r w:rsidR="004F2AFD">
        <w:rPr>
          <w:rStyle w:val="CommentReference"/>
        </w:rPr>
        <w:t>4</w:t>
      </w:r>
      <w:r w:rsidRPr="00ED45C0">
        <w:rPr>
          <w:rStyle w:val="CommentReference"/>
        </w:rPr>
        <w:t>: Progression free survival, central assessment (FAS)</w:t>
      </w:r>
      <w:r>
        <w:rPr>
          <w:rStyle w:val="CommentReference"/>
        </w:rPr>
        <w:t>,</w:t>
      </w:r>
      <w:r w:rsidRPr="00861EB2">
        <w:t xml:space="preserve"> </w:t>
      </w:r>
      <w:r w:rsidRPr="00861EB2">
        <w:rPr>
          <w:rStyle w:val="CommentReference"/>
        </w:rPr>
        <w:t>first cut-off 31 August 2012</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0"/>
        <w:gridCol w:w="1763"/>
        <w:gridCol w:w="1763"/>
      </w:tblGrid>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b/>
                <w:sz w:val="20"/>
              </w:rPr>
            </w:pPr>
            <w:r>
              <w:rPr>
                <w:rFonts w:ascii="Arial Narrow" w:hAnsi="Arial Narrow"/>
                <w:b/>
                <w:sz w:val="20"/>
              </w:rPr>
              <w:t>DECISION</w:t>
            </w:r>
          </w:p>
        </w:tc>
        <w:tc>
          <w:tcPr>
            <w:tcW w:w="1763" w:type="dxa"/>
            <w:shd w:val="clear" w:color="auto" w:fill="auto"/>
          </w:tcPr>
          <w:p w:rsidR="009A4BEE" w:rsidRPr="001C6C76" w:rsidRDefault="009A4BEE" w:rsidP="00BB6833">
            <w:pPr>
              <w:keepNext/>
              <w:jc w:val="center"/>
              <w:rPr>
                <w:rFonts w:ascii="Arial Narrow" w:hAnsi="Arial Narrow"/>
                <w:b/>
                <w:sz w:val="20"/>
              </w:rPr>
            </w:pPr>
            <w:r w:rsidRPr="001C6C76">
              <w:rPr>
                <w:rFonts w:ascii="Arial Narrow" w:hAnsi="Arial Narrow"/>
                <w:b/>
                <w:sz w:val="20"/>
              </w:rPr>
              <w:t>Sorafenib</w:t>
            </w:r>
            <w:r>
              <w:rPr>
                <w:rFonts w:ascii="Arial Narrow" w:hAnsi="Arial Narrow"/>
                <w:b/>
                <w:sz w:val="20"/>
              </w:rPr>
              <w:t xml:space="preserve"> (</w:t>
            </w:r>
            <w:r w:rsidRPr="001C6C76">
              <w:rPr>
                <w:rFonts w:ascii="Arial Narrow" w:hAnsi="Arial Narrow"/>
                <w:b/>
                <w:sz w:val="20"/>
              </w:rPr>
              <w:t>N = 207</w:t>
            </w:r>
            <w:r>
              <w:rPr>
                <w:rFonts w:ascii="Arial Narrow" w:hAnsi="Arial Narrow"/>
                <w:b/>
                <w:sz w:val="20"/>
              </w:rPr>
              <w:t>)</w:t>
            </w:r>
          </w:p>
        </w:tc>
        <w:tc>
          <w:tcPr>
            <w:tcW w:w="1763" w:type="dxa"/>
            <w:shd w:val="clear" w:color="auto" w:fill="auto"/>
          </w:tcPr>
          <w:p w:rsidR="009A4BEE" w:rsidRPr="001C6C76" w:rsidRDefault="009A4BEE" w:rsidP="00BB6833">
            <w:pPr>
              <w:keepNext/>
              <w:jc w:val="center"/>
              <w:rPr>
                <w:rFonts w:ascii="Arial Narrow" w:hAnsi="Arial Narrow"/>
                <w:b/>
                <w:sz w:val="20"/>
              </w:rPr>
            </w:pPr>
            <w:r w:rsidRPr="001C6C76">
              <w:rPr>
                <w:rFonts w:ascii="Arial Narrow" w:hAnsi="Arial Narrow"/>
                <w:b/>
                <w:sz w:val="20"/>
              </w:rPr>
              <w:t xml:space="preserve">Placebo </w:t>
            </w:r>
            <w:r>
              <w:rPr>
                <w:rFonts w:ascii="Arial Narrow" w:hAnsi="Arial Narrow"/>
                <w:b/>
                <w:sz w:val="20"/>
              </w:rPr>
              <w:t>(</w:t>
            </w:r>
            <w:r w:rsidRPr="001C6C76">
              <w:rPr>
                <w:rFonts w:ascii="Arial Narrow" w:hAnsi="Arial Narrow"/>
                <w:b/>
                <w:sz w:val="20"/>
              </w:rPr>
              <w:t>N = 210</w:t>
            </w:r>
            <w:r>
              <w:rPr>
                <w:rFonts w:ascii="Arial Narrow" w:hAnsi="Arial Narrow"/>
                <w:b/>
                <w:sz w:val="20"/>
              </w:rPr>
              <w:t>)</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Number of subjects (%) with event</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113 (54.6%)</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137 (65.2%)</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Number of subjects (%) censored</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94 (45.4%)</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73 (34.8%)</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Median PFS (days) [95% CI]</w:t>
            </w:r>
          </w:p>
        </w:tc>
        <w:tc>
          <w:tcPr>
            <w:tcW w:w="1763" w:type="dxa"/>
            <w:shd w:val="clear" w:color="auto" w:fill="auto"/>
          </w:tcPr>
          <w:p w:rsidR="009A4BEE" w:rsidRPr="001C6C76" w:rsidRDefault="009A4BEE" w:rsidP="00876518">
            <w:pPr>
              <w:keepNext/>
              <w:jc w:val="center"/>
              <w:rPr>
                <w:rFonts w:ascii="Arial Narrow" w:hAnsi="Arial Narrow"/>
                <w:sz w:val="20"/>
              </w:rPr>
            </w:pPr>
            <w:r w:rsidRPr="001C6C76">
              <w:rPr>
                <w:rFonts w:ascii="Arial Narrow" w:hAnsi="Arial Narrow"/>
                <w:sz w:val="20"/>
              </w:rPr>
              <w:t>329 [278</w:t>
            </w:r>
            <w:r w:rsidR="00876518">
              <w:rPr>
                <w:rFonts w:ascii="Arial Narrow" w:hAnsi="Arial Narrow"/>
                <w:sz w:val="20"/>
              </w:rPr>
              <w:t>,</w:t>
            </w:r>
            <w:r w:rsidRPr="001C6C76">
              <w:rPr>
                <w:rFonts w:ascii="Arial Narrow" w:hAnsi="Arial Narrow"/>
                <w:sz w:val="20"/>
              </w:rPr>
              <w:t xml:space="preserve"> 393]</w:t>
            </w:r>
          </w:p>
        </w:tc>
        <w:tc>
          <w:tcPr>
            <w:tcW w:w="1763" w:type="dxa"/>
            <w:shd w:val="clear" w:color="auto" w:fill="auto"/>
          </w:tcPr>
          <w:p w:rsidR="009A4BEE" w:rsidRPr="001C6C76" w:rsidRDefault="009A4BEE" w:rsidP="00876518">
            <w:pPr>
              <w:keepNext/>
              <w:jc w:val="center"/>
              <w:rPr>
                <w:rFonts w:ascii="Arial Narrow" w:hAnsi="Arial Narrow"/>
                <w:sz w:val="20"/>
              </w:rPr>
            </w:pPr>
            <w:r w:rsidRPr="001C6C76">
              <w:rPr>
                <w:rFonts w:ascii="Arial Narrow" w:hAnsi="Arial Narrow"/>
                <w:sz w:val="20"/>
              </w:rPr>
              <w:t>175 [160</w:t>
            </w:r>
            <w:r w:rsidR="00876518">
              <w:rPr>
                <w:rFonts w:ascii="Arial Narrow" w:hAnsi="Arial Narrow"/>
                <w:sz w:val="20"/>
              </w:rPr>
              <w:t>,</w:t>
            </w:r>
            <w:r w:rsidRPr="001C6C76">
              <w:rPr>
                <w:rFonts w:ascii="Arial Narrow" w:hAnsi="Arial Narrow"/>
                <w:sz w:val="20"/>
              </w:rPr>
              <w:t xml:space="preserve"> 238]</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Median PFS (months)</w:t>
            </w:r>
            <w:r w:rsidRPr="001C6C76">
              <w:rPr>
                <w:rFonts w:ascii="Arial Narrow" w:hAnsi="Arial Narrow"/>
                <w:sz w:val="20"/>
                <w:vertAlign w:val="superscript"/>
              </w:rPr>
              <w:t>a</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10.8</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5.8</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PFS range (days; without censored values</w:t>
            </w:r>
            <w:r>
              <w:rPr>
                <w:rFonts w:ascii="Arial Narrow" w:hAnsi="Arial Narrow"/>
                <w:sz w:val="20"/>
              </w:rPr>
              <w:t>)</w:t>
            </w:r>
          </w:p>
        </w:tc>
        <w:tc>
          <w:tcPr>
            <w:tcW w:w="1763" w:type="dxa"/>
            <w:shd w:val="clear" w:color="auto" w:fill="auto"/>
          </w:tcPr>
          <w:p w:rsidR="009A4BEE" w:rsidRPr="001C6C76" w:rsidRDefault="009A4BEE" w:rsidP="00876518">
            <w:pPr>
              <w:keepNext/>
              <w:jc w:val="center"/>
              <w:rPr>
                <w:rFonts w:ascii="Arial Narrow" w:hAnsi="Arial Narrow"/>
                <w:sz w:val="20"/>
              </w:rPr>
            </w:pPr>
            <w:r w:rsidRPr="001C6C76">
              <w:rPr>
                <w:rFonts w:ascii="Arial Narrow" w:hAnsi="Arial Narrow"/>
                <w:sz w:val="20"/>
              </w:rPr>
              <w:t xml:space="preserve">20 </w:t>
            </w:r>
            <w:r w:rsidR="00876518">
              <w:rPr>
                <w:rFonts w:ascii="Arial Narrow" w:hAnsi="Arial Narrow"/>
                <w:sz w:val="20"/>
              </w:rPr>
              <w:t>-</w:t>
            </w:r>
            <w:r w:rsidRPr="001C6C76">
              <w:rPr>
                <w:rFonts w:ascii="Arial Narrow" w:hAnsi="Arial Narrow"/>
                <w:sz w:val="20"/>
              </w:rPr>
              <w:t xml:space="preserve"> 728</w:t>
            </w:r>
          </w:p>
        </w:tc>
        <w:tc>
          <w:tcPr>
            <w:tcW w:w="1763" w:type="dxa"/>
            <w:shd w:val="clear" w:color="auto" w:fill="auto"/>
          </w:tcPr>
          <w:p w:rsidR="009A4BEE" w:rsidRPr="001C6C76" w:rsidRDefault="009A4BEE" w:rsidP="00BB6833">
            <w:pPr>
              <w:keepNext/>
              <w:jc w:val="center"/>
              <w:rPr>
                <w:rFonts w:ascii="Arial Narrow" w:hAnsi="Arial Narrow"/>
                <w:sz w:val="20"/>
              </w:rPr>
            </w:pPr>
            <w:r w:rsidRPr="001C6C76">
              <w:rPr>
                <w:rFonts w:ascii="Arial Narrow" w:hAnsi="Arial Narrow"/>
                <w:sz w:val="20"/>
              </w:rPr>
              <w:t>14 - 728</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Hazard ratio (sorafenib/placebo)</w:t>
            </w:r>
          </w:p>
        </w:tc>
        <w:tc>
          <w:tcPr>
            <w:tcW w:w="3526" w:type="dxa"/>
            <w:gridSpan w:val="2"/>
            <w:shd w:val="clear" w:color="auto" w:fill="auto"/>
          </w:tcPr>
          <w:p w:rsidR="009A4BEE" w:rsidRPr="001C6C76" w:rsidRDefault="009A4BEE" w:rsidP="009A4BEE">
            <w:pPr>
              <w:keepNext/>
              <w:jc w:val="center"/>
              <w:rPr>
                <w:rFonts w:ascii="Arial Narrow" w:hAnsi="Arial Narrow"/>
                <w:sz w:val="20"/>
              </w:rPr>
            </w:pPr>
            <w:r w:rsidRPr="001C6C76">
              <w:rPr>
                <w:rFonts w:ascii="Arial Narrow" w:hAnsi="Arial Narrow"/>
                <w:sz w:val="20"/>
              </w:rPr>
              <w:t>0.587</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95% CI for hazard ratio</w:t>
            </w:r>
          </w:p>
        </w:tc>
        <w:tc>
          <w:tcPr>
            <w:tcW w:w="3526" w:type="dxa"/>
            <w:gridSpan w:val="2"/>
            <w:shd w:val="clear" w:color="auto" w:fill="auto"/>
          </w:tcPr>
          <w:p w:rsidR="009A4BEE" w:rsidRPr="001C6C76" w:rsidRDefault="009A4BEE" w:rsidP="009A4BEE">
            <w:pPr>
              <w:keepNext/>
              <w:jc w:val="center"/>
              <w:rPr>
                <w:rFonts w:ascii="Arial Narrow" w:hAnsi="Arial Narrow"/>
                <w:sz w:val="20"/>
              </w:rPr>
            </w:pPr>
            <w:r>
              <w:rPr>
                <w:rFonts w:ascii="Arial Narrow" w:hAnsi="Arial Narrow"/>
                <w:sz w:val="20"/>
              </w:rPr>
              <w:t>[</w:t>
            </w:r>
            <w:r w:rsidR="00876518">
              <w:rPr>
                <w:rFonts w:ascii="Arial Narrow" w:hAnsi="Arial Narrow"/>
                <w:sz w:val="20"/>
              </w:rPr>
              <w:t>0.454,</w:t>
            </w:r>
            <w:r w:rsidRPr="001C6C76">
              <w:rPr>
                <w:rFonts w:ascii="Arial Narrow" w:hAnsi="Arial Narrow"/>
                <w:sz w:val="20"/>
              </w:rPr>
              <w:t xml:space="preserve"> 0.758]</w:t>
            </w:r>
          </w:p>
        </w:tc>
      </w:tr>
      <w:tr w:rsidR="009A4BEE" w:rsidRPr="001C6C76" w:rsidTr="009A4BEE">
        <w:trPr>
          <w:trHeight w:val="227"/>
        </w:trPr>
        <w:tc>
          <w:tcPr>
            <w:tcW w:w="4820" w:type="dxa"/>
            <w:shd w:val="clear" w:color="auto" w:fill="auto"/>
          </w:tcPr>
          <w:p w:rsidR="009A4BEE" w:rsidRPr="001C6C76" w:rsidRDefault="009A4BEE" w:rsidP="009A4BEE">
            <w:pPr>
              <w:keepNext/>
              <w:jc w:val="left"/>
              <w:rPr>
                <w:rFonts w:ascii="Arial Narrow" w:hAnsi="Arial Narrow"/>
                <w:sz w:val="20"/>
              </w:rPr>
            </w:pPr>
            <w:r w:rsidRPr="001C6C76">
              <w:rPr>
                <w:rFonts w:ascii="Arial Narrow" w:hAnsi="Arial Narrow"/>
                <w:sz w:val="20"/>
              </w:rPr>
              <w:t>p-value (one-sided</w:t>
            </w:r>
            <w:r w:rsidR="00B1198C">
              <w:rPr>
                <w:rFonts w:ascii="Arial Narrow" w:hAnsi="Arial Narrow"/>
                <w:sz w:val="20"/>
              </w:rPr>
              <w:t xml:space="preserve"> from stratified log-rank test)</w:t>
            </w:r>
          </w:p>
        </w:tc>
        <w:tc>
          <w:tcPr>
            <w:tcW w:w="3526" w:type="dxa"/>
            <w:gridSpan w:val="2"/>
            <w:shd w:val="clear" w:color="auto" w:fill="auto"/>
          </w:tcPr>
          <w:p w:rsidR="009A4BEE" w:rsidRPr="001C6C76" w:rsidRDefault="009A4BEE" w:rsidP="009A4BEE">
            <w:pPr>
              <w:keepNext/>
              <w:jc w:val="center"/>
              <w:rPr>
                <w:rFonts w:ascii="Arial Narrow" w:hAnsi="Arial Narrow"/>
                <w:sz w:val="20"/>
              </w:rPr>
            </w:pPr>
            <w:r w:rsidRPr="001C6C76">
              <w:rPr>
                <w:rFonts w:ascii="Arial Narrow" w:hAnsi="Arial Narrow"/>
                <w:sz w:val="20"/>
              </w:rPr>
              <w:t>&lt;0.0001</w:t>
            </w:r>
          </w:p>
        </w:tc>
      </w:tr>
    </w:tbl>
    <w:p w:rsidR="009A4BEE" w:rsidRDefault="009A4BEE" w:rsidP="009A4BEE">
      <w:pPr>
        <w:pStyle w:val="TableFooter"/>
        <w:keepNext/>
        <w:ind w:left="720"/>
      </w:pPr>
      <w:r>
        <w:t>Note: CI = confidence interval; FAS = full analysis set; PFS = progression-free survival.</w:t>
      </w:r>
    </w:p>
    <w:p w:rsidR="009A4BEE" w:rsidRDefault="009A4BEE" w:rsidP="009A4BEE">
      <w:pPr>
        <w:pStyle w:val="TableFooter"/>
        <w:keepNext/>
        <w:ind w:left="720"/>
      </w:pPr>
      <w:proofErr w:type="gramStart"/>
      <w:r w:rsidRPr="00BB6833">
        <w:rPr>
          <w:vertAlign w:val="superscript"/>
        </w:rPr>
        <w:t>a</w:t>
      </w:r>
      <w:proofErr w:type="gramEnd"/>
      <w:r>
        <w:t xml:space="preserve"> </w:t>
      </w:r>
      <w:proofErr w:type="spellStart"/>
      <w:r>
        <w:t>Months</w:t>
      </w:r>
      <w:proofErr w:type="spellEnd"/>
      <w:r>
        <w:t xml:space="preserve"> = days/30.4</w:t>
      </w:r>
    </w:p>
    <w:p w:rsidR="009A4BEE" w:rsidRDefault="009A4BEE" w:rsidP="009A4BEE">
      <w:pPr>
        <w:pStyle w:val="TableFooter"/>
        <w:ind w:left="720"/>
      </w:pPr>
      <w:r>
        <w:t>S</w:t>
      </w:r>
      <w:r w:rsidR="00BB6833">
        <w:t>ource: Table B.1</w:t>
      </w:r>
      <w:r w:rsidR="001937FF">
        <w:t>, p.27</w:t>
      </w:r>
      <w:r w:rsidR="00BB6833">
        <w:t xml:space="preserve"> of the re-</w:t>
      </w:r>
      <w:r>
        <w:t>submission</w:t>
      </w:r>
    </w:p>
    <w:p w:rsidR="009A4BEE" w:rsidRDefault="009A4BEE" w:rsidP="009A4BEE">
      <w:pPr>
        <w:rPr>
          <w:szCs w:val="22"/>
        </w:rPr>
      </w:pPr>
    </w:p>
    <w:p w:rsidR="009A4BEE" w:rsidRDefault="009A4BEE" w:rsidP="009A4BEE">
      <w:pPr>
        <w:keepNext/>
        <w:ind w:left="720"/>
        <w:rPr>
          <w:szCs w:val="22"/>
        </w:rPr>
      </w:pPr>
      <w:r>
        <w:rPr>
          <w:rStyle w:val="CommentReference"/>
        </w:rPr>
        <w:t>T</w:t>
      </w:r>
      <w:r w:rsidRPr="00B2362A">
        <w:rPr>
          <w:rStyle w:val="CommentReference"/>
        </w:rPr>
        <w:t xml:space="preserve">able </w:t>
      </w:r>
      <w:r w:rsidR="004F2AFD">
        <w:rPr>
          <w:rStyle w:val="CommentReference"/>
        </w:rPr>
        <w:t>5</w:t>
      </w:r>
      <w:r>
        <w:rPr>
          <w:rStyle w:val="CommentReference"/>
        </w:rPr>
        <w:t>:</w:t>
      </w:r>
      <w:r w:rsidRPr="00B2362A">
        <w:rPr>
          <w:rStyle w:val="CommentReference"/>
        </w:rPr>
        <w:t xml:space="preserve"> Overall</w:t>
      </w:r>
      <w:r w:rsidRPr="00383B40">
        <w:rPr>
          <w:rStyle w:val="CommentReference"/>
        </w:rPr>
        <w:t xml:space="preserve"> survival (FAS), </w:t>
      </w:r>
      <w:r>
        <w:rPr>
          <w:rStyle w:val="CommentReference"/>
        </w:rPr>
        <w:t xml:space="preserve">first </w:t>
      </w:r>
      <w:r w:rsidRPr="00383B40">
        <w:rPr>
          <w:rStyle w:val="CommentReference"/>
        </w:rPr>
        <w:t xml:space="preserve">cut-off 31 </w:t>
      </w:r>
      <w:r>
        <w:rPr>
          <w:rStyle w:val="CommentReference"/>
        </w:rPr>
        <w:t>August 2012</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0"/>
        <w:gridCol w:w="1771"/>
        <w:gridCol w:w="1772"/>
      </w:tblGrid>
      <w:tr w:rsidR="009A4BEE" w:rsidRPr="002F0498" w:rsidTr="009A4BEE">
        <w:trPr>
          <w:trHeight w:val="227"/>
        </w:trPr>
        <w:tc>
          <w:tcPr>
            <w:tcW w:w="4820" w:type="dxa"/>
            <w:shd w:val="clear" w:color="auto" w:fill="auto"/>
            <w:noWrap/>
          </w:tcPr>
          <w:p w:rsidR="009A4BEE" w:rsidRPr="002F0498" w:rsidRDefault="009A4BEE" w:rsidP="009A4BEE">
            <w:pPr>
              <w:keepNext/>
              <w:rPr>
                <w:rFonts w:ascii="Arial Narrow" w:hAnsi="Arial Narrow"/>
                <w:sz w:val="20"/>
                <w:lang w:val="x-none"/>
              </w:rPr>
            </w:pPr>
          </w:p>
        </w:tc>
        <w:tc>
          <w:tcPr>
            <w:tcW w:w="1771" w:type="dxa"/>
            <w:shd w:val="clear" w:color="auto" w:fill="auto"/>
            <w:noWrap/>
            <w:vAlign w:val="center"/>
          </w:tcPr>
          <w:p w:rsidR="009A4BEE" w:rsidRPr="00383B40" w:rsidRDefault="009A4BEE" w:rsidP="00BB6833">
            <w:pPr>
              <w:keepNext/>
              <w:jc w:val="center"/>
              <w:rPr>
                <w:rFonts w:ascii="Arial Narrow" w:hAnsi="Arial Narrow"/>
                <w:b/>
                <w:sz w:val="20"/>
              </w:rPr>
            </w:pPr>
            <w:r w:rsidRPr="00383B40">
              <w:rPr>
                <w:rFonts w:ascii="Arial Narrow" w:hAnsi="Arial Narrow"/>
                <w:b/>
                <w:sz w:val="20"/>
                <w:lang w:val="x-none"/>
              </w:rPr>
              <w:t>Sorafenib</w:t>
            </w:r>
            <w:r w:rsidRPr="00383B40">
              <w:rPr>
                <w:rFonts w:ascii="Arial Narrow" w:hAnsi="Arial Narrow"/>
                <w:b/>
                <w:sz w:val="20"/>
              </w:rPr>
              <w:t xml:space="preserve"> (</w:t>
            </w:r>
            <w:r w:rsidRPr="00383B40">
              <w:rPr>
                <w:rFonts w:ascii="Arial Narrow" w:hAnsi="Arial Narrow"/>
                <w:b/>
                <w:sz w:val="20"/>
                <w:lang w:val="x-none"/>
              </w:rPr>
              <w:t>N=207</w:t>
            </w:r>
            <w:r w:rsidRPr="00383B40">
              <w:rPr>
                <w:rFonts w:ascii="Arial Narrow" w:hAnsi="Arial Narrow"/>
                <w:b/>
                <w:sz w:val="20"/>
              </w:rPr>
              <w:t>)</w:t>
            </w:r>
          </w:p>
        </w:tc>
        <w:tc>
          <w:tcPr>
            <w:tcW w:w="1772" w:type="dxa"/>
            <w:shd w:val="clear" w:color="auto" w:fill="auto"/>
            <w:noWrap/>
            <w:vAlign w:val="center"/>
          </w:tcPr>
          <w:p w:rsidR="009A4BEE" w:rsidRPr="00383B40" w:rsidRDefault="009A4BEE" w:rsidP="00BB6833">
            <w:pPr>
              <w:keepNext/>
              <w:jc w:val="center"/>
              <w:rPr>
                <w:rFonts w:ascii="Arial Narrow" w:hAnsi="Arial Narrow"/>
                <w:b/>
                <w:sz w:val="20"/>
              </w:rPr>
            </w:pPr>
            <w:r w:rsidRPr="00383B40">
              <w:rPr>
                <w:rFonts w:ascii="Arial Narrow" w:hAnsi="Arial Narrow"/>
                <w:b/>
                <w:sz w:val="20"/>
                <w:lang w:val="x-none"/>
              </w:rPr>
              <w:t>Placebo</w:t>
            </w:r>
            <w:r w:rsidRPr="00383B40">
              <w:rPr>
                <w:rFonts w:ascii="Arial Narrow" w:hAnsi="Arial Narrow"/>
                <w:b/>
                <w:sz w:val="20"/>
              </w:rPr>
              <w:t xml:space="preserve"> (</w:t>
            </w:r>
            <w:r w:rsidRPr="00383B40">
              <w:rPr>
                <w:rFonts w:ascii="Arial Narrow" w:hAnsi="Arial Narrow"/>
                <w:b/>
                <w:sz w:val="20"/>
                <w:lang w:val="x-none"/>
              </w:rPr>
              <w:t>N=210</w:t>
            </w:r>
            <w:r w:rsidRPr="00383B40">
              <w:rPr>
                <w:rFonts w:ascii="Arial Narrow" w:hAnsi="Arial Narrow"/>
                <w:b/>
                <w:sz w:val="20"/>
              </w:rPr>
              <w:t>)</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Number of subjects (%) with event</w:t>
            </w:r>
          </w:p>
        </w:tc>
        <w:tc>
          <w:tcPr>
            <w:tcW w:w="1771"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45 (21.7%)</w:t>
            </w:r>
          </w:p>
        </w:tc>
        <w:tc>
          <w:tcPr>
            <w:tcW w:w="1772"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54 (25.7%)</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Number of subjects (%) censored</w:t>
            </w:r>
          </w:p>
        </w:tc>
        <w:tc>
          <w:tcPr>
            <w:tcW w:w="1771"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162 (78.3%)</w:t>
            </w:r>
          </w:p>
        </w:tc>
        <w:tc>
          <w:tcPr>
            <w:tcW w:w="1772"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156 (74.3%)</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Median overall survival (days)</w:t>
            </w:r>
          </w:p>
        </w:tc>
        <w:tc>
          <w:tcPr>
            <w:tcW w:w="3543" w:type="dxa"/>
            <w:gridSpan w:val="2"/>
            <w:shd w:val="clear" w:color="auto" w:fill="auto"/>
            <w:noWrap/>
            <w:vAlign w:val="center"/>
            <w:hideMark/>
          </w:tcPr>
          <w:p w:rsidR="009A4BEE" w:rsidRPr="002F0498" w:rsidRDefault="00BB6833" w:rsidP="00BB6833">
            <w:pPr>
              <w:keepNext/>
              <w:jc w:val="center"/>
              <w:rPr>
                <w:rFonts w:ascii="Arial Narrow" w:hAnsi="Arial Narrow"/>
                <w:sz w:val="20"/>
                <w:lang w:val="x-none"/>
              </w:rPr>
            </w:pPr>
            <w:r>
              <w:rPr>
                <w:rFonts w:ascii="Arial Narrow" w:hAnsi="Arial Narrow"/>
                <w:sz w:val="20"/>
              </w:rPr>
              <w:t xml:space="preserve">Cannot </w:t>
            </w:r>
            <w:r w:rsidR="009A4BEE" w:rsidRPr="002F0498">
              <w:rPr>
                <w:rFonts w:ascii="Arial Narrow" w:hAnsi="Arial Narrow"/>
                <w:sz w:val="20"/>
                <w:lang w:val="x-none"/>
              </w:rPr>
              <w:t>be estimated due to censored data</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Range (days, without censored values): uncorrected</w:t>
            </w:r>
          </w:p>
        </w:tc>
        <w:tc>
          <w:tcPr>
            <w:tcW w:w="1771"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57 - 771</w:t>
            </w:r>
          </w:p>
        </w:tc>
        <w:tc>
          <w:tcPr>
            <w:tcW w:w="1772" w:type="dxa"/>
            <w:shd w:val="clear" w:color="auto" w:fill="auto"/>
            <w:noWrap/>
            <w:vAlign w:val="center"/>
            <w:hideMark/>
          </w:tcPr>
          <w:p w:rsidR="009A4BEE" w:rsidRPr="002F0498" w:rsidRDefault="009A4BEE" w:rsidP="00BB6833">
            <w:pPr>
              <w:keepNext/>
              <w:jc w:val="center"/>
              <w:rPr>
                <w:rFonts w:ascii="Arial Narrow" w:hAnsi="Arial Narrow"/>
                <w:sz w:val="20"/>
                <w:lang w:val="x-none"/>
              </w:rPr>
            </w:pPr>
            <w:r w:rsidRPr="002F0498">
              <w:rPr>
                <w:rFonts w:ascii="Arial Narrow" w:hAnsi="Arial Narrow"/>
                <w:sz w:val="20"/>
                <w:lang w:val="x-none"/>
              </w:rPr>
              <w:t>26 - 766</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Range (</w:t>
            </w:r>
            <w:proofErr w:type="spellStart"/>
            <w:r w:rsidRPr="002F0498">
              <w:rPr>
                <w:rFonts w:ascii="Arial Narrow" w:hAnsi="Arial Narrow"/>
                <w:sz w:val="20"/>
                <w:lang w:val="x-none"/>
              </w:rPr>
              <w:t>months</w:t>
            </w:r>
            <w:r w:rsidRPr="002F0498">
              <w:rPr>
                <w:rFonts w:ascii="Arial Narrow" w:hAnsi="Arial Narrow"/>
                <w:sz w:val="20"/>
                <w:vertAlign w:val="superscript"/>
                <w:lang w:val="x-none"/>
              </w:rPr>
              <w:t>a</w:t>
            </w:r>
            <w:proofErr w:type="spellEnd"/>
            <w:r w:rsidRPr="002F0498">
              <w:rPr>
                <w:rFonts w:ascii="Arial Narrow" w:hAnsi="Arial Narrow"/>
                <w:sz w:val="20"/>
                <w:lang w:val="x-none"/>
              </w:rPr>
              <w:t>, without censored values):</w:t>
            </w:r>
            <w:r>
              <w:rPr>
                <w:rFonts w:ascii="Arial Narrow" w:hAnsi="Arial Narrow"/>
                <w:sz w:val="20"/>
              </w:rPr>
              <w:t xml:space="preserve"> </w:t>
            </w:r>
            <w:r w:rsidRPr="002F0498">
              <w:rPr>
                <w:rFonts w:ascii="Arial Narrow" w:hAnsi="Arial Narrow"/>
                <w:sz w:val="20"/>
                <w:lang w:val="x-none"/>
              </w:rPr>
              <w:t>uncorrected</w:t>
            </w:r>
          </w:p>
        </w:tc>
        <w:tc>
          <w:tcPr>
            <w:tcW w:w="1771" w:type="dxa"/>
            <w:shd w:val="clear" w:color="auto" w:fill="auto"/>
            <w:noWrap/>
            <w:vAlign w:val="center"/>
            <w:hideMark/>
          </w:tcPr>
          <w:p w:rsidR="009A4BEE" w:rsidRPr="002F0498" w:rsidRDefault="009A4BEE" w:rsidP="00876518">
            <w:pPr>
              <w:keepNext/>
              <w:jc w:val="center"/>
              <w:rPr>
                <w:rFonts w:ascii="Arial Narrow" w:hAnsi="Arial Narrow"/>
                <w:sz w:val="20"/>
                <w:lang w:val="x-none"/>
              </w:rPr>
            </w:pPr>
            <w:r w:rsidRPr="002F0498">
              <w:rPr>
                <w:rFonts w:ascii="Arial Narrow" w:hAnsi="Arial Narrow"/>
                <w:sz w:val="20"/>
                <w:lang w:val="x-none"/>
              </w:rPr>
              <w:t xml:space="preserve">1.9 </w:t>
            </w:r>
            <w:r w:rsidR="00876518">
              <w:rPr>
                <w:rFonts w:ascii="Arial Narrow" w:hAnsi="Arial Narrow"/>
                <w:sz w:val="20"/>
              </w:rPr>
              <w:t>-</w:t>
            </w:r>
            <w:r w:rsidRPr="002F0498">
              <w:rPr>
                <w:rFonts w:ascii="Arial Narrow" w:hAnsi="Arial Narrow"/>
                <w:sz w:val="20"/>
                <w:lang w:val="x-none"/>
              </w:rPr>
              <w:t xml:space="preserve"> 25.3</w:t>
            </w:r>
          </w:p>
        </w:tc>
        <w:tc>
          <w:tcPr>
            <w:tcW w:w="1772" w:type="dxa"/>
            <w:shd w:val="clear" w:color="auto" w:fill="auto"/>
            <w:noWrap/>
            <w:vAlign w:val="center"/>
            <w:hideMark/>
          </w:tcPr>
          <w:p w:rsidR="009A4BEE" w:rsidRPr="002F0498" w:rsidRDefault="00876518" w:rsidP="00BB6833">
            <w:pPr>
              <w:keepNext/>
              <w:jc w:val="center"/>
              <w:rPr>
                <w:rFonts w:ascii="Arial Narrow" w:hAnsi="Arial Narrow"/>
                <w:sz w:val="20"/>
                <w:lang w:val="x-none"/>
              </w:rPr>
            </w:pPr>
            <w:r>
              <w:rPr>
                <w:rFonts w:ascii="Arial Narrow" w:hAnsi="Arial Narrow"/>
                <w:sz w:val="20"/>
                <w:lang w:val="x-none"/>
              </w:rPr>
              <w:t xml:space="preserve">0.9 </w:t>
            </w:r>
            <w:r>
              <w:rPr>
                <w:rFonts w:ascii="Arial Narrow" w:hAnsi="Arial Narrow"/>
                <w:sz w:val="20"/>
              </w:rPr>
              <w:t>-</w:t>
            </w:r>
            <w:r w:rsidR="009A4BEE" w:rsidRPr="002F0498">
              <w:rPr>
                <w:rFonts w:ascii="Arial Narrow" w:hAnsi="Arial Narrow"/>
                <w:sz w:val="20"/>
                <w:lang w:val="x-none"/>
              </w:rPr>
              <w:t xml:space="preserve"> 25.2</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Hazard ratio (sorafenib/placebo): uncorrected</w:t>
            </w:r>
          </w:p>
        </w:tc>
        <w:tc>
          <w:tcPr>
            <w:tcW w:w="3543" w:type="dxa"/>
            <w:gridSpan w:val="2"/>
            <w:shd w:val="clear" w:color="auto" w:fill="auto"/>
            <w:noWrap/>
            <w:vAlign w:val="center"/>
            <w:hideMark/>
          </w:tcPr>
          <w:p w:rsidR="009A4BEE" w:rsidRPr="002F0498" w:rsidRDefault="009A4BEE" w:rsidP="009A4BEE">
            <w:pPr>
              <w:keepNext/>
              <w:jc w:val="center"/>
              <w:rPr>
                <w:rFonts w:ascii="Arial Narrow" w:hAnsi="Arial Narrow"/>
                <w:sz w:val="20"/>
                <w:lang w:val="x-none"/>
              </w:rPr>
            </w:pPr>
            <w:r w:rsidRPr="002F0498">
              <w:rPr>
                <w:rFonts w:ascii="Arial Narrow" w:hAnsi="Arial Narrow"/>
                <w:sz w:val="20"/>
                <w:lang w:val="x-none"/>
              </w:rPr>
              <w:t>0.802</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95% CI for hazard ratio: uncorrected</w:t>
            </w:r>
          </w:p>
        </w:tc>
        <w:tc>
          <w:tcPr>
            <w:tcW w:w="3543" w:type="dxa"/>
            <w:gridSpan w:val="2"/>
            <w:shd w:val="clear" w:color="auto" w:fill="auto"/>
            <w:noWrap/>
            <w:vAlign w:val="center"/>
            <w:hideMark/>
          </w:tcPr>
          <w:p w:rsidR="009A4BEE" w:rsidRPr="002F0498" w:rsidRDefault="009A4BEE" w:rsidP="00876518">
            <w:pPr>
              <w:keepNext/>
              <w:jc w:val="center"/>
              <w:rPr>
                <w:rFonts w:ascii="Arial Narrow" w:hAnsi="Arial Narrow"/>
                <w:sz w:val="20"/>
                <w:lang w:val="x-none"/>
              </w:rPr>
            </w:pPr>
            <w:r w:rsidRPr="002F0498">
              <w:rPr>
                <w:rFonts w:ascii="Arial Narrow" w:hAnsi="Arial Narrow"/>
                <w:sz w:val="20"/>
                <w:lang w:val="x-none"/>
              </w:rPr>
              <w:t>[0.539</w:t>
            </w:r>
            <w:r w:rsidR="00876518">
              <w:rPr>
                <w:rFonts w:ascii="Arial Narrow" w:hAnsi="Arial Narrow"/>
                <w:sz w:val="20"/>
              </w:rPr>
              <w:t>,</w:t>
            </w:r>
            <w:r w:rsidRPr="002F0498">
              <w:rPr>
                <w:rFonts w:ascii="Arial Narrow" w:hAnsi="Arial Narrow"/>
                <w:sz w:val="20"/>
                <w:lang w:val="x-none"/>
              </w:rPr>
              <w:t xml:space="preserve"> 1.194]</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sidRPr="002F0498">
              <w:rPr>
                <w:rFonts w:ascii="Arial Narrow" w:hAnsi="Arial Narrow"/>
                <w:sz w:val="20"/>
                <w:lang w:val="x-none"/>
              </w:rPr>
              <w:t>p-value (one-sided from stratified log-rank test): uncorrected</w:t>
            </w:r>
          </w:p>
        </w:tc>
        <w:tc>
          <w:tcPr>
            <w:tcW w:w="3543" w:type="dxa"/>
            <w:gridSpan w:val="2"/>
            <w:shd w:val="clear" w:color="auto" w:fill="auto"/>
            <w:noWrap/>
            <w:vAlign w:val="center"/>
            <w:hideMark/>
          </w:tcPr>
          <w:p w:rsidR="009A4BEE" w:rsidRPr="002F0498" w:rsidRDefault="009A4BEE" w:rsidP="009A4BEE">
            <w:pPr>
              <w:keepNext/>
              <w:jc w:val="center"/>
              <w:rPr>
                <w:rFonts w:ascii="Arial Narrow" w:hAnsi="Arial Narrow"/>
                <w:sz w:val="20"/>
                <w:lang w:val="x-none"/>
              </w:rPr>
            </w:pPr>
            <w:r w:rsidRPr="002F0498">
              <w:rPr>
                <w:rFonts w:ascii="Arial Narrow" w:hAnsi="Arial Narrow"/>
                <w:sz w:val="20"/>
                <w:lang w:val="x-none"/>
              </w:rPr>
              <w:t>0.1381</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Pr>
                <w:rFonts w:ascii="Arial Narrow" w:hAnsi="Arial Narrow"/>
                <w:sz w:val="20"/>
              </w:rPr>
              <w:t>Adjusted</w:t>
            </w:r>
            <w:r>
              <w:rPr>
                <w:rFonts w:ascii="Arial Narrow" w:hAnsi="Arial Narrow"/>
                <w:sz w:val="20"/>
                <w:lang w:val="x-none"/>
              </w:rPr>
              <w:t xml:space="preserve"> for crossover:</w:t>
            </w:r>
            <w:r w:rsidRPr="002F0498">
              <w:rPr>
                <w:rFonts w:ascii="Arial Narrow" w:hAnsi="Arial Narrow"/>
                <w:sz w:val="20"/>
                <w:lang w:val="x-none"/>
              </w:rPr>
              <w:t xml:space="preserve"> RPSFT</w:t>
            </w:r>
          </w:p>
        </w:tc>
        <w:tc>
          <w:tcPr>
            <w:tcW w:w="3543" w:type="dxa"/>
            <w:gridSpan w:val="2"/>
            <w:shd w:val="clear" w:color="auto" w:fill="auto"/>
            <w:noWrap/>
            <w:vAlign w:val="center"/>
            <w:hideMark/>
          </w:tcPr>
          <w:p w:rsidR="009A4BEE" w:rsidRPr="002F0498" w:rsidRDefault="009A4BEE" w:rsidP="00876518">
            <w:pPr>
              <w:keepNext/>
              <w:jc w:val="center"/>
              <w:rPr>
                <w:rFonts w:ascii="Arial Narrow" w:hAnsi="Arial Narrow"/>
                <w:sz w:val="20"/>
                <w:lang w:val="x-none"/>
              </w:rPr>
            </w:pPr>
            <w:r w:rsidRPr="002F0498">
              <w:rPr>
                <w:rFonts w:ascii="Arial Narrow" w:hAnsi="Arial Narrow"/>
                <w:sz w:val="20"/>
                <w:lang w:val="x-none"/>
              </w:rPr>
              <w:t>0.613</w:t>
            </w:r>
            <w:r>
              <w:rPr>
                <w:rFonts w:ascii="Arial Narrow" w:hAnsi="Arial Narrow"/>
                <w:sz w:val="20"/>
              </w:rPr>
              <w:t xml:space="preserve"> </w:t>
            </w:r>
            <w:r w:rsidRPr="002F0498">
              <w:rPr>
                <w:rFonts w:ascii="Arial Narrow" w:hAnsi="Arial Narrow"/>
                <w:sz w:val="20"/>
                <w:lang w:val="x-none"/>
              </w:rPr>
              <w:t>(CI: 0.398</w:t>
            </w:r>
            <w:r w:rsidR="00876518">
              <w:rPr>
                <w:rFonts w:ascii="Arial Narrow" w:hAnsi="Arial Narrow"/>
                <w:sz w:val="20"/>
              </w:rPr>
              <w:t>,</w:t>
            </w:r>
            <w:r w:rsidRPr="002F0498">
              <w:rPr>
                <w:rFonts w:ascii="Arial Narrow" w:hAnsi="Arial Narrow"/>
                <w:sz w:val="20"/>
                <w:lang w:val="x-none"/>
              </w:rPr>
              <w:t xml:space="preserve"> 0.944; one-sided p = 0.0125)</w:t>
            </w:r>
          </w:p>
        </w:tc>
      </w:tr>
      <w:tr w:rsidR="009A4BEE" w:rsidRPr="002F0498" w:rsidTr="009A4BEE">
        <w:trPr>
          <w:trHeight w:val="227"/>
        </w:trPr>
        <w:tc>
          <w:tcPr>
            <w:tcW w:w="4820" w:type="dxa"/>
            <w:shd w:val="clear" w:color="auto" w:fill="auto"/>
            <w:noWrap/>
            <w:hideMark/>
          </w:tcPr>
          <w:p w:rsidR="009A4BEE" w:rsidRPr="002F0498" w:rsidRDefault="009A4BEE" w:rsidP="009A4BEE">
            <w:pPr>
              <w:keepNext/>
              <w:rPr>
                <w:rFonts w:ascii="Arial Narrow" w:hAnsi="Arial Narrow"/>
                <w:sz w:val="20"/>
                <w:lang w:val="x-none"/>
              </w:rPr>
            </w:pPr>
            <w:r>
              <w:rPr>
                <w:rFonts w:ascii="Arial Narrow" w:hAnsi="Arial Narrow"/>
                <w:sz w:val="20"/>
              </w:rPr>
              <w:t xml:space="preserve">Adjusted </w:t>
            </w:r>
            <w:r>
              <w:rPr>
                <w:rFonts w:ascii="Arial Narrow" w:hAnsi="Arial Narrow"/>
                <w:sz w:val="20"/>
                <w:lang w:val="x-none"/>
              </w:rPr>
              <w:t xml:space="preserve">for crossover: </w:t>
            </w:r>
            <w:r w:rsidRPr="002F0498">
              <w:rPr>
                <w:rFonts w:ascii="Arial Narrow" w:hAnsi="Arial Narrow"/>
                <w:sz w:val="20"/>
                <w:lang w:val="x-none"/>
              </w:rPr>
              <w:t>IPE</w:t>
            </w:r>
          </w:p>
        </w:tc>
        <w:tc>
          <w:tcPr>
            <w:tcW w:w="3543" w:type="dxa"/>
            <w:gridSpan w:val="2"/>
            <w:shd w:val="clear" w:color="auto" w:fill="auto"/>
            <w:noWrap/>
            <w:vAlign w:val="center"/>
            <w:hideMark/>
          </w:tcPr>
          <w:p w:rsidR="009A4BEE" w:rsidRPr="002F0498" w:rsidRDefault="009A4BEE" w:rsidP="00876518">
            <w:pPr>
              <w:keepNext/>
              <w:jc w:val="center"/>
              <w:rPr>
                <w:rFonts w:ascii="Arial Narrow" w:hAnsi="Arial Narrow"/>
                <w:sz w:val="20"/>
              </w:rPr>
            </w:pPr>
            <w:r w:rsidRPr="002F0498">
              <w:rPr>
                <w:rFonts w:ascii="Arial Narrow" w:hAnsi="Arial Narrow"/>
                <w:sz w:val="20"/>
              </w:rPr>
              <w:t>0.698</w:t>
            </w:r>
            <w:r>
              <w:rPr>
                <w:rFonts w:ascii="Arial Narrow" w:hAnsi="Arial Narrow"/>
                <w:sz w:val="20"/>
              </w:rPr>
              <w:t xml:space="preserve"> </w:t>
            </w:r>
            <w:r w:rsidRPr="002F0498">
              <w:rPr>
                <w:rFonts w:ascii="Arial Narrow" w:hAnsi="Arial Narrow"/>
                <w:sz w:val="20"/>
              </w:rPr>
              <w:t>(CI: 0.467</w:t>
            </w:r>
            <w:r w:rsidR="00876518">
              <w:rPr>
                <w:rFonts w:ascii="Arial Narrow" w:hAnsi="Arial Narrow"/>
                <w:sz w:val="20"/>
              </w:rPr>
              <w:t>,</w:t>
            </w:r>
            <w:r w:rsidRPr="002F0498">
              <w:rPr>
                <w:rFonts w:ascii="Arial Narrow" w:hAnsi="Arial Narrow"/>
                <w:sz w:val="20"/>
              </w:rPr>
              <w:t>1.043; one-sided p = 0.0388)</w:t>
            </w:r>
          </w:p>
        </w:tc>
      </w:tr>
    </w:tbl>
    <w:p w:rsidR="00BB6833" w:rsidRDefault="009A4BEE" w:rsidP="009A4BEE">
      <w:pPr>
        <w:pStyle w:val="TableFooter"/>
        <w:keepNext/>
        <w:ind w:left="720"/>
      </w:pPr>
      <w:r>
        <w:t xml:space="preserve">Note: CI = confidence interval; FAS = full analysis set, </w:t>
      </w:r>
      <w:r w:rsidRPr="000F6C75">
        <w:t xml:space="preserve">IPE </w:t>
      </w:r>
      <w:r>
        <w:t xml:space="preserve">= iterative parameter estimation, </w:t>
      </w:r>
      <w:r w:rsidRPr="000F6C75">
        <w:t>RPSFT</w:t>
      </w:r>
      <w:r>
        <w:t xml:space="preserve"> = </w:t>
      </w:r>
      <w:r w:rsidRPr="000F6C75">
        <w:t>rank preserving structural failure time</w:t>
      </w:r>
      <w:r>
        <w:t>.</w:t>
      </w:r>
    </w:p>
    <w:p w:rsidR="009A4BEE" w:rsidRDefault="00BB6833" w:rsidP="009A4BEE">
      <w:pPr>
        <w:pStyle w:val="TableFooter"/>
        <w:keepNext/>
        <w:ind w:left="720"/>
      </w:pPr>
      <w:proofErr w:type="gramStart"/>
      <w:r w:rsidRPr="00BB6833">
        <w:rPr>
          <w:vertAlign w:val="superscript"/>
        </w:rPr>
        <w:t>a</w:t>
      </w:r>
      <w:proofErr w:type="gramEnd"/>
      <w:r w:rsidR="009A4BEE">
        <w:t xml:space="preserve"> </w:t>
      </w:r>
      <w:proofErr w:type="spellStart"/>
      <w:r w:rsidR="009A4BEE">
        <w:t>Months</w:t>
      </w:r>
      <w:proofErr w:type="spellEnd"/>
      <w:r w:rsidR="009A4BEE">
        <w:t xml:space="preserve"> = days/30.4.</w:t>
      </w:r>
    </w:p>
    <w:p w:rsidR="009A4BEE" w:rsidRDefault="009A4BEE" w:rsidP="009A4BEE">
      <w:pPr>
        <w:pStyle w:val="TableFooter"/>
        <w:ind w:left="720"/>
      </w:pPr>
      <w:r>
        <w:t>So</w:t>
      </w:r>
      <w:r w:rsidR="00BB6833">
        <w:t>urce: Table B.2, p.27 of the re-</w:t>
      </w:r>
      <w:r>
        <w:t>submission</w:t>
      </w:r>
    </w:p>
    <w:p w:rsidR="009A4BEE" w:rsidRDefault="009A4BEE" w:rsidP="00524460">
      <w:pPr>
        <w:rPr>
          <w:szCs w:val="22"/>
        </w:rPr>
      </w:pPr>
    </w:p>
    <w:p w:rsidR="009A4BEE" w:rsidRPr="00ED45C0" w:rsidRDefault="009A4BEE" w:rsidP="009A4BEE">
      <w:pPr>
        <w:keepNext/>
        <w:ind w:left="720"/>
        <w:rPr>
          <w:rFonts w:ascii="Arial Narrow" w:hAnsi="Arial Narrow"/>
          <w:b/>
          <w:sz w:val="20"/>
          <w:szCs w:val="16"/>
        </w:rPr>
      </w:pPr>
      <w:r w:rsidRPr="00B2362A">
        <w:rPr>
          <w:rStyle w:val="CommentReference"/>
        </w:rPr>
        <w:t xml:space="preserve">Table </w:t>
      </w:r>
      <w:r w:rsidR="004F2AFD">
        <w:rPr>
          <w:rStyle w:val="CommentReference"/>
        </w:rPr>
        <w:t>6</w:t>
      </w:r>
      <w:r w:rsidRPr="00B2362A">
        <w:rPr>
          <w:rStyle w:val="CommentReference"/>
        </w:rPr>
        <w:t>: Overall</w:t>
      </w:r>
      <w:r w:rsidRPr="00383B40">
        <w:rPr>
          <w:rStyle w:val="CommentReference"/>
        </w:rPr>
        <w:t xml:space="preserve"> survival (FAS), latest cut-off 31 May 2013</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8"/>
        <w:gridCol w:w="1843"/>
        <w:gridCol w:w="1842"/>
      </w:tblGrid>
      <w:tr w:rsidR="009A4BEE" w:rsidRPr="00EE1724" w:rsidTr="009A4BEE">
        <w:trPr>
          <w:trHeight w:val="227"/>
        </w:trPr>
        <w:tc>
          <w:tcPr>
            <w:tcW w:w="4678" w:type="dxa"/>
            <w:shd w:val="clear" w:color="auto" w:fill="auto"/>
            <w:noWrap/>
          </w:tcPr>
          <w:p w:rsidR="009A4BEE" w:rsidRPr="00EE1724" w:rsidRDefault="009A4BEE" w:rsidP="009A4BEE">
            <w:pPr>
              <w:keepNext/>
              <w:rPr>
                <w:rFonts w:ascii="Arial Narrow" w:hAnsi="Arial Narrow"/>
                <w:b/>
                <w:bCs/>
                <w:sz w:val="20"/>
              </w:rPr>
            </w:pPr>
          </w:p>
        </w:tc>
        <w:tc>
          <w:tcPr>
            <w:tcW w:w="1843" w:type="dxa"/>
            <w:shd w:val="clear" w:color="auto" w:fill="auto"/>
            <w:noWrap/>
            <w:vAlign w:val="center"/>
          </w:tcPr>
          <w:p w:rsidR="009A4BEE" w:rsidRPr="00EE1724" w:rsidRDefault="009A4BEE" w:rsidP="00BB6833">
            <w:pPr>
              <w:keepNext/>
              <w:jc w:val="center"/>
              <w:rPr>
                <w:rFonts w:ascii="Arial Narrow" w:hAnsi="Arial Narrow"/>
                <w:b/>
                <w:bCs/>
                <w:sz w:val="20"/>
              </w:rPr>
            </w:pPr>
            <w:r w:rsidRPr="00EE1724">
              <w:rPr>
                <w:rFonts w:ascii="Arial Narrow" w:hAnsi="Arial Narrow"/>
                <w:b/>
                <w:bCs/>
                <w:sz w:val="20"/>
              </w:rPr>
              <w:t>Sorafenib</w:t>
            </w:r>
            <w:r>
              <w:rPr>
                <w:rFonts w:ascii="Arial Narrow" w:hAnsi="Arial Narrow"/>
                <w:b/>
                <w:bCs/>
                <w:sz w:val="20"/>
              </w:rPr>
              <w:t xml:space="preserve"> (</w:t>
            </w:r>
            <w:r w:rsidRPr="00EE1724">
              <w:rPr>
                <w:rFonts w:ascii="Arial Narrow" w:hAnsi="Arial Narrow"/>
                <w:b/>
                <w:bCs/>
                <w:sz w:val="20"/>
              </w:rPr>
              <w:t>N=207</w:t>
            </w:r>
            <w:r>
              <w:rPr>
                <w:rFonts w:ascii="Arial Narrow" w:hAnsi="Arial Narrow"/>
                <w:b/>
                <w:bCs/>
                <w:sz w:val="20"/>
              </w:rPr>
              <w:t>)</w:t>
            </w:r>
          </w:p>
        </w:tc>
        <w:tc>
          <w:tcPr>
            <w:tcW w:w="1842" w:type="dxa"/>
            <w:shd w:val="clear" w:color="auto" w:fill="auto"/>
            <w:noWrap/>
            <w:vAlign w:val="center"/>
          </w:tcPr>
          <w:p w:rsidR="009A4BEE" w:rsidRPr="00EE1724" w:rsidRDefault="009A4BEE" w:rsidP="00BB6833">
            <w:pPr>
              <w:keepNext/>
              <w:jc w:val="center"/>
              <w:rPr>
                <w:rFonts w:ascii="Arial Narrow" w:hAnsi="Arial Narrow"/>
                <w:b/>
                <w:bCs/>
                <w:sz w:val="20"/>
              </w:rPr>
            </w:pPr>
            <w:r w:rsidRPr="00EE1724">
              <w:rPr>
                <w:rFonts w:ascii="Arial Narrow" w:hAnsi="Arial Narrow"/>
                <w:b/>
                <w:bCs/>
                <w:sz w:val="20"/>
              </w:rPr>
              <w:t>Placebo</w:t>
            </w:r>
            <w:r>
              <w:rPr>
                <w:rFonts w:ascii="Arial Narrow" w:hAnsi="Arial Narrow"/>
                <w:b/>
                <w:bCs/>
                <w:sz w:val="20"/>
              </w:rPr>
              <w:t xml:space="preserve"> (</w:t>
            </w:r>
            <w:r w:rsidRPr="00EE1724">
              <w:rPr>
                <w:rFonts w:ascii="Arial Narrow" w:hAnsi="Arial Narrow"/>
                <w:b/>
                <w:bCs/>
                <w:sz w:val="20"/>
              </w:rPr>
              <w:t>N=210</w:t>
            </w:r>
            <w:r>
              <w:rPr>
                <w:rFonts w:ascii="Arial Narrow" w:hAnsi="Arial Narrow"/>
                <w:b/>
                <w:bCs/>
                <w:sz w:val="20"/>
              </w:rPr>
              <w:t>)</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Number of subjects (%) with event</w:t>
            </w:r>
          </w:p>
        </w:tc>
        <w:tc>
          <w:tcPr>
            <w:tcW w:w="1843"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66 (31.9%)</w:t>
            </w:r>
          </w:p>
        </w:tc>
        <w:tc>
          <w:tcPr>
            <w:tcW w:w="1842"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72 (34.3%)</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Number of subjects (%) censored</w:t>
            </w:r>
          </w:p>
        </w:tc>
        <w:tc>
          <w:tcPr>
            <w:tcW w:w="1843"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141 (68.1%)</w:t>
            </w:r>
          </w:p>
        </w:tc>
        <w:tc>
          <w:tcPr>
            <w:tcW w:w="1842"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138 (65.7%)</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Median overall survival (days) [95% CI]</w:t>
            </w:r>
          </w:p>
        </w:tc>
        <w:tc>
          <w:tcPr>
            <w:tcW w:w="1843"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A (A;A)</w:t>
            </w:r>
          </w:p>
        </w:tc>
        <w:tc>
          <w:tcPr>
            <w:tcW w:w="1842" w:type="dxa"/>
            <w:shd w:val="clear" w:color="auto" w:fill="auto"/>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1110 (979;A)</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Range (days, without censored values): unadjusted</w:t>
            </w:r>
          </w:p>
        </w:tc>
        <w:tc>
          <w:tcPr>
            <w:tcW w:w="1843"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57</w:t>
            </w:r>
            <w:r w:rsidR="00876518">
              <w:rPr>
                <w:rFonts w:ascii="Arial Narrow" w:hAnsi="Arial Narrow"/>
                <w:bCs/>
                <w:sz w:val="20"/>
              </w:rPr>
              <w:t xml:space="preserve"> </w:t>
            </w:r>
            <w:r w:rsidRPr="00EE1724">
              <w:rPr>
                <w:rFonts w:ascii="Arial Narrow" w:hAnsi="Arial Narrow"/>
                <w:bCs/>
                <w:sz w:val="20"/>
              </w:rPr>
              <w:t>-</w:t>
            </w:r>
            <w:r w:rsidR="00876518">
              <w:rPr>
                <w:rFonts w:ascii="Arial Narrow" w:hAnsi="Arial Narrow"/>
                <w:bCs/>
                <w:sz w:val="20"/>
              </w:rPr>
              <w:t xml:space="preserve"> </w:t>
            </w:r>
            <w:r w:rsidRPr="00EE1724">
              <w:rPr>
                <w:rFonts w:ascii="Arial Narrow" w:hAnsi="Arial Narrow"/>
                <w:bCs/>
                <w:sz w:val="20"/>
              </w:rPr>
              <w:t>967</w:t>
            </w:r>
          </w:p>
        </w:tc>
        <w:tc>
          <w:tcPr>
            <w:tcW w:w="1842"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26</w:t>
            </w:r>
            <w:r w:rsidR="00876518">
              <w:rPr>
                <w:rFonts w:ascii="Arial Narrow" w:hAnsi="Arial Narrow"/>
                <w:bCs/>
                <w:sz w:val="20"/>
              </w:rPr>
              <w:t xml:space="preserve"> </w:t>
            </w:r>
            <w:r w:rsidRPr="00EE1724">
              <w:rPr>
                <w:rFonts w:ascii="Arial Narrow" w:hAnsi="Arial Narrow"/>
                <w:bCs/>
                <w:sz w:val="20"/>
              </w:rPr>
              <w:t>-</w:t>
            </w:r>
            <w:r w:rsidR="00876518">
              <w:rPr>
                <w:rFonts w:ascii="Arial Narrow" w:hAnsi="Arial Narrow"/>
                <w:bCs/>
                <w:sz w:val="20"/>
              </w:rPr>
              <w:t xml:space="preserve"> </w:t>
            </w:r>
            <w:r w:rsidRPr="00EE1724">
              <w:rPr>
                <w:rFonts w:ascii="Arial Narrow" w:hAnsi="Arial Narrow"/>
                <w:bCs/>
                <w:sz w:val="20"/>
              </w:rPr>
              <w:t>1110</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Range (</w:t>
            </w:r>
            <w:proofErr w:type="spellStart"/>
            <w:r w:rsidRPr="00EE1724">
              <w:rPr>
                <w:rFonts w:ascii="Arial Narrow" w:hAnsi="Arial Narrow"/>
                <w:bCs/>
                <w:sz w:val="20"/>
              </w:rPr>
              <w:t>months</w:t>
            </w:r>
            <w:r w:rsidRPr="000F6C75">
              <w:rPr>
                <w:rFonts w:ascii="Arial Narrow" w:hAnsi="Arial Narrow"/>
                <w:bCs/>
                <w:sz w:val="20"/>
                <w:vertAlign w:val="superscript"/>
              </w:rPr>
              <w:t>a</w:t>
            </w:r>
            <w:proofErr w:type="spellEnd"/>
            <w:r w:rsidRPr="00EE1724">
              <w:rPr>
                <w:rFonts w:ascii="Arial Narrow" w:hAnsi="Arial Narrow"/>
                <w:bCs/>
                <w:sz w:val="20"/>
              </w:rPr>
              <w:t>, without censored values):unadjusted</w:t>
            </w:r>
          </w:p>
        </w:tc>
        <w:tc>
          <w:tcPr>
            <w:tcW w:w="1843"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1.9</w:t>
            </w:r>
            <w:r w:rsidR="00876518">
              <w:rPr>
                <w:rFonts w:ascii="Arial Narrow" w:hAnsi="Arial Narrow"/>
                <w:bCs/>
                <w:sz w:val="20"/>
              </w:rPr>
              <w:t xml:space="preserve"> </w:t>
            </w:r>
            <w:r w:rsidRPr="00EE1724">
              <w:rPr>
                <w:rFonts w:ascii="Arial Narrow" w:hAnsi="Arial Narrow"/>
                <w:bCs/>
                <w:sz w:val="20"/>
              </w:rPr>
              <w:t>-</w:t>
            </w:r>
            <w:r w:rsidR="00876518">
              <w:rPr>
                <w:rFonts w:ascii="Arial Narrow" w:hAnsi="Arial Narrow"/>
                <w:bCs/>
                <w:sz w:val="20"/>
              </w:rPr>
              <w:t xml:space="preserve"> </w:t>
            </w:r>
            <w:r w:rsidRPr="00EE1724">
              <w:rPr>
                <w:rFonts w:ascii="Arial Narrow" w:hAnsi="Arial Narrow"/>
                <w:bCs/>
                <w:sz w:val="20"/>
              </w:rPr>
              <w:t>31.8</w:t>
            </w:r>
          </w:p>
        </w:tc>
        <w:tc>
          <w:tcPr>
            <w:tcW w:w="1842" w:type="dxa"/>
            <w:shd w:val="clear" w:color="auto" w:fill="auto"/>
            <w:noWrap/>
            <w:vAlign w:val="center"/>
          </w:tcPr>
          <w:p w:rsidR="009A4BEE" w:rsidRPr="00EE1724" w:rsidRDefault="009A4BEE" w:rsidP="00BB6833">
            <w:pPr>
              <w:keepNext/>
              <w:jc w:val="center"/>
              <w:rPr>
                <w:rFonts w:ascii="Arial Narrow" w:hAnsi="Arial Narrow"/>
                <w:bCs/>
                <w:sz w:val="20"/>
              </w:rPr>
            </w:pPr>
            <w:r w:rsidRPr="00EE1724">
              <w:rPr>
                <w:rFonts w:ascii="Arial Narrow" w:hAnsi="Arial Narrow"/>
                <w:bCs/>
                <w:sz w:val="20"/>
              </w:rPr>
              <w:t>0.9</w:t>
            </w:r>
            <w:r w:rsidR="00876518">
              <w:rPr>
                <w:rFonts w:ascii="Arial Narrow" w:hAnsi="Arial Narrow"/>
                <w:bCs/>
                <w:sz w:val="20"/>
              </w:rPr>
              <w:t xml:space="preserve"> </w:t>
            </w:r>
            <w:r w:rsidRPr="00EE1724">
              <w:rPr>
                <w:rFonts w:ascii="Arial Narrow" w:hAnsi="Arial Narrow"/>
                <w:bCs/>
                <w:sz w:val="20"/>
              </w:rPr>
              <w:t>-</w:t>
            </w:r>
            <w:r w:rsidR="00876518">
              <w:rPr>
                <w:rFonts w:ascii="Arial Narrow" w:hAnsi="Arial Narrow"/>
                <w:bCs/>
                <w:sz w:val="20"/>
              </w:rPr>
              <w:t xml:space="preserve"> </w:t>
            </w:r>
            <w:r w:rsidRPr="00EE1724">
              <w:rPr>
                <w:rFonts w:ascii="Arial Narrow" w:hAnsi="Arial Narrow"/>
                <w:bCs/>
                <w:sz w:val="20"/>
              </w:rPr>
              <w:t>36.5</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Hazard ratio with 95% CI (sorafenib/placebo): unadjusted</w:t>
            </w:r>
          </w:p>
        </w:tc>
        <w:tc>
          <w:tcPr>
            <w:tcW w:w="3685" w:type="dxa"/>
            <w:gridSpan w:val="2"/>
            <w:shd w:val="clear" w:color="auto" w:fill="auto"/>
            <w:noWrap/>
            <w:vAlign w:val="center"/>
          </w:tcPr>
          <w:p w:rsidR="009A4BEE" w:rsidRPr="00EE1724" w:rsidRDefault="009A4BEE" w:rsidP="00876518">
            <w:pPr>
              <w:keepNext/>
              <w:jc w:val="center"/>
              <w:rPr>
                <w:rFonts w:ascii="Arial Narrow" w:hAnsi="Arial Narrow"/>
                <w:bCs/>
                <w:sz w:val="20"/>
              </w:rPr>
            </w:pPr>
            <w:r w:rsidRPr="00EE1724">
              <w:rPr>
                <w:rFonts w:ascii="Arial Narrow" w:hAnsi="Arial Narrow"/>
                <w:bCs/>
                <w:sz w:val="20"/>
              </w:rPr>
              <w:t>0.884 (0.633</w:t>
            </w:r>
            <w:r w:rsidR="00876518">
              <w:rPr>
                <w:rFonts w:ascii="Arial Narrow" w:hAnsi="Arial Narrow"/>
                <w:bCs/>
                <w:sz w:val="20"/>
              </w:rPr>
              <w:t xml:space="preserve">, </w:t>
            </w:r>
            <w:r w:rsidRPr="00EE1724">
              <w:rPr>
                <w:rFonts w:ascii="Arial Narrow" w:hAnsi="Arial Narrow"/>
                <w:bCs/>
                <w:sz w:val="20"/>
              </w:rPr>
              <w:t>1.236)</w:t>
            </w:r>
          </w:p>
        </w:tc>
      </w:tr>
      <w:tr w:rsidR="009A4BEE" w:rsidRPr="00EE1724" w:rsidTr="009A4BEE">
        <w:trPr>
          <w:trHeight w:val="227"/>
        </w:trPr>
        <w:tc>
          <w:tcPr>
            <w:tcW w:w="4678" w:type="dxa"/>
            <w:shd w:val="clear" w:color="auto" w:fill="auto"/>
            <w:noWrap/>
            <w:hideMark/>
          </w:tcPr>
          <w:p w:rsidR="009A4BEE" w:rsidRPr="00EE1724" w:rsidRDefault="009A4BEE" w:rsidP="009A4BEE">
            <w:pPr>
              <w:keepNext/>
              <w:jc w:val="left"/>
              <w:rPr>
                <w:rFonts w:ascii="Arial Narrow" w:hAnsi="Arial Narrow"/>
                <w:bCs/>
                <w:sz w:val="20"/>
              </w:rPr>
            </w:pPr>
            <w:r w:rsidRPr="00EE1724">
              <w:rPr>
                <w:rFonts w:ascii="Arial Narrow" w:hAnsi="Arial Narrow"/>
                <w:bCs/>
                <w:sz w:val="20"/>
              </w:rPr>
              <w:t>p-value (one-sided from stratified log-rank test): unadjusted</w:t>
            </w:r>
          </w:p>
        </w:tc>
        <w:tc>
          <w:tcPr>
            <w:tcW w:w="3685" w:type="dxa"/>
            <w:gridSpan w:val="2"/>
            <w:shd w:val="clear" w:color="auto" w:fill="auto"/>
            <w:noWrap/>
            <w:vAlign w:val="center"/>
          </w:tcPr>
          <w:p w:rsidR="009A4BEE" w:rsidRPr="00EE1724" w:rsidRDefault="009A4BEE" w:rsidP="009A4BEE">
            <w:pPr>
              <w:keepNext/>
              <w:jc w:val="center"/>
              <w:rPr>
                <w:rFonts w:ascii="Arial Narrow" w:hAnsi="Arial Narrow"/>
                <w:bCs/>
                <w:sz w:val="20"/>
              </w:rPr>
            </w:pPr>
            <w:r w:rsidRPr="00EE1724">
              <w:rPr>
                <w:rFonts w:ascii="Arial Narrow" w:hAnsi="Arial Narrow"/>
                <w:bCs/>
                <w:sz w:val="20"/>
              </w:rPr>
              <w:t>0.2359</w:t>
            </w:r>
          </w:p>
        </w:tc>
      </w:tr>
      <w:tr w:rsidR="009A4BEE" w:rsidRPr="00EE1724" w:rsidTr="009A4BEE">
        <w:trPr>
          <w:trHeight w:val="227"/>
        </w:trPr>
        <w:tc>
          <w:tcPr>
            <w:tcW w:w="4678" w:type="dxa"/>
            <w:shd w:val="clear" w:color="auto" w:fill="auto"/>
            <w:noWrap/>
            <w:vAlign w:val="center"/>
          </w:tcPr>
          <w:p w:rsidR="009A4BEE" w:rsidRPr="00EE1724" w:rsidRDefault="009A4BEE" w:rsidP="009A4BEE">
            <w:pPr>
              <w:keepNext/>
              <w:jc w:val="left"/>
              <w:rPr>
                <w:rFonts w:ascii="Arial Narrow" w:hAnsi="Arial Narrow"/>
                <w:bCs/>
                <w:sz w:val="20"/>
              </w:rPr>
            </w:pPr>
            <w:r w:rsidRPr="00EE1724">
              <w:rPr>
                <w:rFonts w:ascii="Arial Narrow" w:hAnsi="Arial Narrow"/>
                <w:bCs/>
                <w:sz w:val="20"/>
              </w:rPr>
              <w:t>Hazard ratio (95% CI): adjusted for crossover, RPSFT method</w:t>
            </w:r>
          </w:p>
        </w:tc>
        <w:tc>
          <w:tcPr>
            <w:tcW w:w="3685" w:type="dxa"/>
            <w:gridSpan w:val="2"/>
            <w:shd w:val="clear" w:color="auto" w:fill="auto"/>
            <w:noWrap/>
            <w:vAlign w:val="center"/>
          </w:tcPr>
          <w:p w:rsidR="009A4BEE" w:rsidRPr="00EE1724" w:rsidDel="003B3F86" w:rsidRDefault="009A4BEE" w:rsidP="009A4BEE">
            <w:pPr>
              <w:keepNext/>
              <w:jc w:val="center"/>
              <w:rPr>
                <w:rFonts w:ascii="Arial Narrow" w:hAnsi="Arial Narrow"/>
                <w:b/>
                <w:sz w:val="20"/>
              </w:rPr>
            </w:pPr>
            <w:r w:rsidRPr="00EE1724">
              <w:rPr>
                <w:rFonts w:ascii="Arial Narrow" w:hAnsi="Arial Narrow"/>
                <w:sz w:val="20"/>
              </w:rPr>
              <w:t>0.69 (0.49, 0.99)</w:t>
            </w:r>
          </w:p>
        </w:tc>
      </w:tr>
      <w:tr w:rsidR="009A4BEE" w:rsidRPr="00EE1724" w:rsidTr="009A4BEE">
        <w:trPr>
          <w:trHeight w:val="227"/>
        </w:trPr>
        <w:tc>
          <w:tcPr>
            <w:tcW w:w="4678" w:type="dxa"/>
            <w:shd w:val="clear" w:color="auto" w:fill="auto"/>
            <w:noWrap/>
            <w:vAlign w:val="center"/>
          </w:tcPr>
          <w:p w:rsidR="009A4BEE" w:rsidRPr="00EE1724" w:rsidRDefault="009A4BEE" w:rsidP="009A4BEE">
            <w:pPr>
              <w:keepNext/>
              <w:jc w:val="left"/>
              <w:rPr>
                <w:rFonts w:ascii="Arial Narrow" w:hAnsi="Arial Narrow"/>
                <w:bCs/>
                <w:sz w:val="20"/>
              </w:rPr>
            </w:pPr>
            <w:r w:rsidRPr="00EE1724">
              <w:rPr>
                <w:rFonts w:ascii="Arial Narrow" w:hAnsi="Arial Narrow"/>
                <w:bCs/>
                <w:sz w:val="20"/>
              </w:rPr>
              <w:t>Hazard ratio (95% CI): adjusted for crossover, IPE method</w:t>
            </w:r>
          </w:p>
        </w:tc>
        <w:tc>
          <w:tcPr>
            <w:tcW w:w="3685" w:type="dxa"/>
            <w:gridSpan w:val="2"/>
            <w:shd w:val="clear" w:color="auto" w:fill="auto"/>
            <w:noWrap/>
            <w:vAlign w:val="center"/>
          </w:tcPr>
          <w:p w:rsidR="009A4BEE" w:rsidRPr="00EE1724" w:rsidRDefault="009A4BEE" w:rsidP="009A4BEE">
            <w:pPr>
              <w:keepNext/>
              <w:jc w:val="center"/>
              <w:rPr>
                <w:rFonts w:ascii="Arial Narrow" w:hAnsi="Arial Narrow"/>
                <w:sz w:val="20"/>
              </w:rPr>
            </w:pPr>
            <w:r w:rsidRPr="00EE1724">
              <w:rPr>
                <w:rFonts w:ascii="Arial Narrow" w:hAnsi="Arial Narrow"/>
                <w:sz w:val="20"/>
              </w:rPr>
              <w:t>0.79 (0.57, 1.11)</w:t>
            </w:r>
          </w:p>
        </w:tc>
      </w:tr>
    </w:tbl>
    <w:p w:rsidR="00BB6833" w:rsidRDefault="009A4BEE" w:rsidP="009A4BEE">
      <w:pPr>
        <w:pStyle w:val="TableFooter"/>
        <w:keepNext/>
        <w:ind w:left="720"/>
      </w:pPr>
      <w:r w:rsidRPr="00ED45C0">
        <w:t xml:space="preserve">Note: </w:t>
      </w:r>
      <w:r w:rsidR="00BB6833" w:rsidRPr="00ED45C0">
        <w:t>A</w:t>
      </w:r>
      <w:r w:rsidR="00BB6833">
        <w:t xml:space="preserve"> </w:t>
      </w:r>
      <w:r w:rsidR="00BB6833" w:rsidRPr="00ED45C0">
        <w:t>=</w:t>
      </w:r>
      <w:r w:rsidR="00BB6833">
        <w:t xml:space="preserve"> </w:t>
      </w:r>
      <w:r w:rsidR="00BB6833" w:rsidRPr="00ED45C0">
        <w:t>value cannot be estimated due to censored data</w:t>
      </w:r>
      <w:r w:rsidR="00BB6833">
        <w:t>;</w:t>
      </w:r>
      <w:r w:rsidR="00BB6833" w:rsidRPr="00ED45C0">
        <w:t xml:space="preserve"> </w:t>
      </w:r>
      <w:r w:rsidRPr="00ED45C0">
        <w:t>CI = confidence interval; FAS = full analysis set, IPE = iterative parameter estimation, RPSFT = rank pres</w:t>
      </w:r>
      <w:r w:rsidR="00BB6833">
        <w:t>erving structural failure time.</w:t>
      </w:r>
    </w:p>
    <w:p w:rsidR="009A4BEE" w:rsidRPr="00ED45C0" w:rsidRDefault="009A4BEE" w:rsidP="009A4BEE">
      <w:pPr>
        <w:pStyle w:val="TableFooter"/>
        <w:keepNext/>
        <w:ind w:left="720"/>
      </w:pPr>
      <w:proofErr w:type="gramStart"/>
      <w:r w:rsidRPr="00BB6833">
        <w:rPr>
          <w:vertAlign w:val="superscript"/>
        </w:rPr>
        <w:t>a</w:t>
      </w:r>
      <w:proofErr w:type="gramEnd"/>
      <w:r w:rsidRPr="00ED45C0">
        <w:t xml:space="preserve"> </w:t>
      </w:r>
      <w:proofErr w:type="spellStart"/>
      <w:r w:rsidRPr="00ED45C0">
        <w:t>Months</w:t>
      </w:r>
      <w:proofErr w:type="spellEnd"/>
      <w:r w:rsidRPr="00ED45C0">
        <w:t xml:space="preserve"> = days/30.4.</w:t>
      </w:r>
    </w:p>
    <w:p w:rsidR="009A4BEE" w:rsidRDefault="009A4BEE" w:rsidP="009A4BEE">
      <w:pPr>
        <w:pStyle w:val="TableFooter"/>
        <w:ind w:left="720"/>
      </w:pPr>
      <w:r w:rsidRPr="00ED45C0">
        <w:t>Source: Paragraph 6.10, p.10, 7.5 sorafenib ratified minutes, March 2015</w:t>
      </w:r>
    </w:p>
    <w:p w:rsidR="009A4BEE" w:rsidRPr="00882085" w:rsidRDefault="009A4BEE" w:rsidP="009A4BEE">
      <w:pPr>
        <w:rPr>
          <w:szCs w:val="22"/>
        </w:rPr>
      </w:pPr>
    </w:p>
    <w:p w:rsidR="009A4BEE" w:rsidRPr="00497F10" w:rsidRDefault="009A4BEE" w:rsidP="00F30141">
      <w:pPr>
        <w:pStyle w:val="Heading2"/>
      </w:pPr>
      <w:bookmarkStart w:id="9" w:name="_Toc430014686"/>
      <w:r w:rsidRPr="00497F10">
        <w:t>Comparative harms</w:t>
      </w:r>
      <w:bookmarkEnd w:id="9"/>
    </w:p>
    <w:p w:rsidR="009A4BEE" w:rsidRPr="00DA5B0D" w:rsidRDefault="009A4BEE" w:rsidP="00BB6833">
      <w:pPr>
        <w:widowControl/>
      </w:pPr>
    </w:p>
    <w:p w:rsidR="009A4BEE" w:rsidRPr="00E02D3D" w:rsidRDefault="009A4BEE" w:rsidP="009A4BEE">
      <w:pPr>
        <w:widowControl/>
        <w:numPr>
          <w:ilvl w:val="1"/>
          <w:numId w:val="6"/>
        </w:numPr>
        <w:contextualSpacing/>
        <w:rPr>
          <w:rFonts w:eastAsia="SimSun"/>
        </w:rPr>
      </w:pPr>
      <w:r w:rsidRPr="00E02D3D">
        <w:rPr>
          <w:rFonts w:eastAsia="SimSun"/>
        </w:rPr>
        <w:t xml:space="preserve">The comparative harms were unchanged from the </w:t>
      </w:r>
      <w:r>
        <w:rPr>
          <w:rFonts w:eastAsia="SimSun"/>
        </w:rPr>
        <w:t>March 2015</w:t>
      </w:r>
      <w:r w:rsidRPr="00E02D3D">
        <w:rPr>
          <w:rFonts w:eastAsia="SimSun"/>
        </w:rPr>
        <w:t xml:space="preserve"> </w:t>
      </w:r>
      <w:r w:rsidR="00BB6833">
        <w:rPr>
          <w:rFonts w:eastAsia="SimSun"/>
        </w:rPr>
        <w:t>re-</w:t>
      </w:r>
      <w:r w:rsidRPr="00E02D3D">
        <w:rPr>
          <w:rFonts w:eastAsia="SimSun"/>
        </w:rPr>
        <w:t>submission. Dose modifications were common among patients who received sorafenib (86.0%) with 60% of patients requiring two or more interruptions to the study medication.</w:t>
      </w:r>
    </w:p>
    <w:p w:rsidR="009A4BEE" w:rsidRPr="00E02D3D" w:rsidRDefault="009A4BEE" w:rsidP="009A4BEE">
      <w:pPr>
        <w:widowControl/>
        <w:rPr>
          <w:rFonts w:eastAsia="SimSun"/>
        </w:rPr>
      </w:pPr>
    </w:p>
    <w:p w:rsidR="009A4BEE" w:rsidRPr="00E02D3D" w:rsidRDefault="009A4BEE" w:rsidP="009A4BEE">
      <w:pPr>
        <w:widowControl/>
        <w:numPr>
          <w:ilvl w:val="1"/>
          <w:numId w:val="6"/>
        </w:numPr>
        <w:contextualSpacing/>
        <w:rPr>
          <w:rFonts w:eastAsia="SimSun"/>
        </w:rPr>
      </w:pPr>
      <w:r w:rsidRPr="00E02D3D">
        <w:rPr>
          <w:rFonts w:eastAsia="SimSun"/>
        </w:rPr>
        <w:lastRenderedPageBreak/>
        <w:t xml:space="preserve">More than 70% of patients receiving sorafenib experienced at least one Grade 3 </w:t>
      </w:r>
      <w:r w:rsidR="00BB6833">
        <w:rPr>
          <w:rFonts w:eastAsia="SimSun"/>
        </w:rPr>
        <w:t xml:space="preserve">adverse </w:t>
      </w:r>
      <w:r w:rsidRPr="00E02D3D">
        <w:rPr>
          <w:rFonts w:eastAsia="SimSun"/>
        </w:rPr>
        <w:t xml:space="preserve">reaction or higher compared with 33% of patients receiving </w:t>
      </w:r>
      <w:proofErr w:type="spellStart"/>
      <w:r w:rsidRPr="00E02D3D">
        <w:rPr>
          <w:rFonts w:eastAsia="SimSun"/>
        </w:rPr>
        <w:t>placebo+BSC</w:t>
      </w:r>
      <w:proofErr w:type="spellEnd"/>
      <w:r w:rsidRPr="00E02D3D">
        <w:rPr>
          <w:rFonts w:eastAsia="SimSun"/>
        </w:rPr>
        <w:t>. The most common treatment-emergent adverse events associated with sorafenib were hypertension (40.6%), fatigue (49.8%), weight loss (46.9%), hand-foot skin reaction</w:t>
      </w:r>
      <w:r w:rsidR="00BB6833">
        <w:rPr>
          <w:rFonts w:eastAsia="SimSun"/>
        </w:rPr>
        <w:t xml:space="preserve"> (76.3%) and diarrhoea (68.6%).</w:t>
      </w:r>
    </w:p>
    <w:p w:rsidR="009A4BEE" w:rsidRDefault="009A4BEE" w:rsidP="009A4BEE">
      <w:pPr>
        <w:pStyle w:val="ListParagraph"/>
        <w:ind w:left="0"/>
        <w:rPr>
          <w:szCs w:val="22"/>
        </w:rPr>
      </w:pPr>
    </w:p>
    <w:p w:rsidR="009A4BEE" w:rsidRPr="00497F10" w:rsidRDefault="009A4BEE" w:rsidP="00F30141">
      <w:pPr>
        <w:pStyle w:val="Heading2"/>
      </w:pPr>
      <w:bookmarkStart w:id="10" w:name="_Toc430014687"/>
      <w:r w:rsidRPr="00497F10">
        <w:t>Benefits/harms</w:t>
      </w:r>
      <w:bookmarkEnd w:id="10"/>
    </w:p>
    <w:p w:rsidR="009A4BEE" w:rsidRPr="00DA5B0D" w:rsidRDefault="009A4BEE" w:rsidP="00BB6833">
      <w:pPr>
        <w:widowControl/>
      </w:pPr>
    </w:p>
    <w:p w:rsidR="009A4BEE" w:rsidRDefault="009A4BEE" w:rsidP="009A4BEE">
      <w:pPr>
        <w:pStyle w:val="ListParagraph"/>
        <w:widowControl/>
        <w:numPr>
          <w:ilvl w:val="1"/>
          <w:numId w:val="6"/>
        </w:numPr>
        <w:rPr>
          <w:szCs w:val="22"/>
        </w:rPr>
      </w:pPr>
      <w:r w:rsidRPr="00FE0F7D">
        <w:rPr>
          <w:szCs w:val="22"/>
        </w:rPr>
        <w:t xml:space="preserve">A summary of the comparative benefits and harms for sorafenib versus </w:t>
      </w:r>
      <w:proofErr w:type="spellStart"/>
      <w:r w:rsidRPr="00FE0F7D">
        <w:rPr>
          <w:szCs w:val="22"/>
        </w:rPr>
        <w:t>placebo+BSC</w:t>
      </w:r>
      <w:proofErr w:type="spellEnd"/>
      <w:r w:rsidRPr="00FE0F7D">
        <w:rPr>
          <w:szCs w:val="22"/>
        </w:rPr>
        <w:t xml:space="preserve"> is presented below</w:t>
      </w:r>
      <w:r w:rsidRPr="00D06FD4">
        <w:rPr>
          <w:szCs w:val="22"/>
        </w:rPr>
        <w:t>.</w:t>
      </w:r>
    </w:p>
    <w:p w:rsidR="009A4BEE" w:rsidRPr="00BB6833" w:rsidRDefault="009A4BEE" w:rsidP="009A4BEE">
      <w:pPr>
        <w:widowControl/>
        <w:rPr>
          <w:szCs w:val="22"/>
        </w:rPr>
      </w:pPr>
    </w:p>
    <w:p w:rsidR="009A4BEE" w:rsidRDefault="009A4BEE" w:rsidP="009A4BEE">
      <w:pPr>
        <w:pStyle w:val="ListParagraph"/>
        <w:keepNext/>
        <w:rPr>
          <w:rStyle w:val="CommentReference"/>
        </w:rPr>
      </w:pPr>
      <w:r w:rsidRPr="00A578DC">
        <w:rPr>
          <w:rStyle w:val="CommentReference"/>
        </w:rPr>
        <w:t xml:space="preserve">Table </w:t>
      </w:r>
      <w:r w:rsidR="004F2AFD">
        <w:rPr>
          <w:rStyle w:val="CommentReference"/>
        </w:rPr>
        <w:t>7</w:t>
      </w:r>
      <w:r>
        <w:rPr>
          <w:rStyle w:val="CommentReference"/>
        </w:rPr>
        <w:t>:</w:t>
      </w:r>
      <w:r w:rsidRPr="00FE0F7D">
        <w:rPr>
          <w:rStyle w:val="CommentReference"/>
        </w:rPr>
        <w:t xml:space="preserve"> Summary of comparative benefits and harms for sorafenib and </w:t>
      </w:r>
      <w:proofErr w:type="spellStart"/>
      <w:r w:rsidRPr="00FE0F7D">
        <w:rPr>
          <w:rStyle w:val="CommentReference"/>
        </w:rPr>
        <w:t>placebo+BSC</w:t>
      </w:r>
      <w:proofErr w:type="spellEnd"/>
    </w:p>
    <w:tbl>
      <w:tblPr>
        <w:tblStyle w:val="TableGrid"/>
        <w:tblW w:w="4526" w:type="pct"/>
        <w:tblInd w:w="737" w:type="dxa"/>
        <w:tblCellMar>
          <w:left w:w="28" w:type="dxa"/>
          <w:right w:w="28" w:type="dxa"/>
        </w:tblCellMar>
        <w:tblLook w:val="04A0" w:firstRow="1" w:lastRow="0" w:firstColumn="1" w:lastColumn="0" w:noHBand="0" w:noVBand="1"/>
        <w:tblDescription w:val="Summary of comparative benefits and harms for sorafenib and placebo+BSC"/>
      </w:tblPr>
      <w:tblGrid>
        <w:gridCol w:w="851"/>
        <w:gridCol w:w="1136"/>
        <w:gridCol w:w="1273"/>
        <w:gridCol w:w="1398"/>
        <w:gridCol w:w="899"/>
        <w:gridCol w:w="113"/>
        <w:gridCol w:w="988"/>
        <w:gridCol w:w="1564"/>
      </w:tblGrid>
      <w:tr w:rsidR="009A4BEE" w:rsidRPr="001875EC" w:rsidTr="009A4BEE">
        <w:trPr>
          <w:trHeight w:val="227"/>
          <w:tblHeader/>
        </w:trPr>
        <w:tc>
          <w:tcPr>
            <w:tcW w:w="5000" w:type="pct"/>
            <w:gridSpan w:val="8"/>
            <w:shd w:val="clear" w:color="auto" w:fill="D9D9D9" w:themeFill="background1" w:themeFillShade="D9"/>
            <w:vAlign w:val="center"/>
          </w:tcPr>
          <w:p w:rsidR="009A4BEE" w:rsidRPr="001875EC" w:rsidRDefault="009A4BEE" w:rsidP="009A4BEE">
            <w:pPr>
              <w:keepNext/>
              <w:keepLines/>
              <w:jc w:val="left"/>
              <w:rPr>
                <w:rFonts w:ascii="Arial Narrow" w:hAnsi="Arial Narrow"/>
                <w:b/>
                <w:color w:val="000000"/>
                <w:sz w:val="20"/>
                <w:szCs w:val="18"/>
              </w:rPr>
            </w:pPr>
            <w:r w:rsidRPr="001875EC">
              <w:rPr>
                <w:rFonts w:ascii="Arial Narrow" w:hAnsi="Arial Narrow"/>
                <w:b/>
                <w:color w:val="000000"/>
                <w:sz w:val="20"/>
                <w:szCs w:val="18"/>
              </w:rPr>
              <w:t>Benefits</w:t>
            </w:r>
          </w:p>
        </w:tc>
      </w:tr>
      <w:tr w:rsidR="009A4BEE" w:rsidRPr="001875EC" w:rsidTr="009A4BEE">
        <w:trPr>
          <w:trHeight w:val="227"/>
        </w:trPr>
        <w:tc>
          <w:tcPr>
            <w:tcW w:w="5000" w:type="pct"/>
            <w:gridSpan w:val="8"/>
            <w:shd w:val="clear" w:color="auto" w:fill="auto"/>
            <w:vAlign w:val="center"/>
          </w:tcPr>
          <w:p w:rsidR="009A4BEE" w:rsidRPr="001875EC" w:rsidRDefault="009A4BEE" w:rsidP="00BB6833">
            <w:pPr>
              <w:keepNext/>
              <w:keepLines/>
              <w:jc w:val="left"/>
              <w:rPr>
                <w:rFonts w:ascii="Arial Narrow" w:hAnsi="Arial Narrow"/>
                <w:b/>
                <w:color w:val="000000"/>
                <w:sz w:val="20"/>
                <w:szCs w:val="18"/>
              </w:rPr>
            </w:pPr>
            <w:r w:rsidRPr="001875EC">
              <w:rPr>
                <w:rFonts w:ascii="Arial Narrow" w:hAnsi="Arial Narrow"/>
                <w:b/>
                <w:color w:val="000000"/>
                <w:sz w:val="20"/>
                <w:szCs w:val="18"/>
              </w:rPr>
              <w:t xml:space="preserve">Progression-free survival / </w:t>
            </w:r>
            <w:r w:rsidR="00BB6833">
              <w:rPr>
                <w:rFonts w:ascii="Arial Narrow" w:hAnsi="Arial Narrow"/>
                <w:b/>
                <w:color w:val="000000"/>
                <w:sz w:val="20"/>
                <w:szCs w:val="18"/>
              </w:rPr>
              <w:t>o</w:t>
            </w:r>
            <w:r w:rsidRPr="001875EC">
              <w:rPr>
                <w:rFonts w:ascii="Arial Narrow" w:hAnsi="Arial Narrow"/>
                <w:b/>
                <w:color w:val="000000"/>
                <w:sz w:val="20"/>
                <w:szCs w:val="18"/>
              </w:rPr>
              <w:t xml:space="preserve">verall </w:t>
            </w:r>
            <w:proofErr w:type="spellStart"/>
            <w:r w:rsidRPr="001875EC">
              <w:rPr>
                <w:rFonts w:ascii="Arial Narrow" w:hAnsi="Arial Narrow"/>
                <w:b/>
                <w:color w:val="000000"/>
                <w:sz w:val="20"/>
                <w:szCs w:val="18"/>
              </w:rPr>
              <w:t>survival</w:t>
            </w:r>
            <w:r w:rsidRPr="001875EC">
              <w:rPr>
                <w:rFonts w:ascii="Arial Narrow" w:hAnsi="Arial Narrow"/>
                <w:b/>
                <w:color w:val="000000"/>
                <w:sz w:val="20"/>
                <w:szCs w:val="18"/>
                <w:vertAlign w:val="superscript"/>
              </w:rPr>
              <w:t>a</w:t>
            </w:r>
            <w:proofErr w:type="spellEnd"/>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center"/>
              <w:rPr>
                <w:rFonts w:ascii="Arial Narrow" w:hAnsi="Arial Narrow"/>
                <w:color w:val="000000"/>
                <w:sz w:val="20"/>
                <w:szCs w:val="18"/>
              </w:rPr>
            </w:pPr>
          </w:p>
        </w:tc>
        <w:tc>
          <w:tcPr>
            <w:tcW w:w="774" w:type="pc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Sorafenib</w:t>
            </w:r>
          </w:p>
        </w:tc>
        <w:tc>
          <w:tcPr>
            <w:tcW w:w="850" w:type="pc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PBO+BSC</w:t>
            </w:r>
          </w:p>
        </w:tc>
        <w:tc>
          <w:tcPr>
            <w:tcW w:w="1217" w:type="pct"/>
            <w:gridSpan w:val="3"/>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 xml:space="preserve">Absolute </w:t>
            </w:r>
            <w:r w:rsidR="00BB6833" w:rsidRPr="001875EC">
              <w:rPr>
                <w:rFonts w:ascii="Arial Narrow" w:hAnsi="Arial Narrow"/>
                <w:b/>
                <w:color w:val="000000"/>
                <w:sz w:val="20"/>
                <w:szCs w:val="18"/>
              </w:rPr>
              <w:t>d</w:t>
            </w:r>
            <w:r w:rsidRPr="001875EC">
              <w:rPr>
                <w:rFonts w:ascii="Arial Narrow" w:hAnsi="Arial Narrow"/>
                <w:b/>
                <w:color w:val="000000"/>
                <w:sz w:val="20"/>
                <w:szCs w:val="18"/>
              </w:rPr>
              <w:t>ifference</w:t>
            </w:r>
          </w:p>
        </w:tc>
        <w:tc>
          <w:tcPr>
            <w:tcW w:w="951" w:type="pc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HR (95% CI)</w:t>
            </w: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1875EC">
              <w:rPr>
                <w:rFonts w:ascii="Arial Narrow" w:hAnsi="Arial Narrow"/>
                <w:color w:val="000000"/>
                <w:sz w:val="20"/>
                <w:szCs w:val="18"/>
              </w:rPr>
              <w:t>PFS</w:t>
            </w:r>
            <w:r>
              <w:rPr>
                <w:rFonts w:ascii="Arial Narrow" w:hAnsi="Arial Narrow"/>
                <w:color w:val="000000"/>
                <w:sz w:val="20"/>
                <w:szCs w:val="18"/>
              </w:rPr>
              <w:t xml:space="preserve"> (</w:t>
            </w:r>
            <w:r w:rsidRPr="00861EB2">
              <w:rPr>
                <w:rFonts w:ascii="Arial Narrow" w:hAnsi="Arial Narrow"/>
                <w:color w:val="000000"/>
                <w:sz w:val="20"/>
                <w:szCs w:val="18"/>
              </w:rPr>
              <w:t>31 August 2012</w:t>
            </w:r>
            <w:r>
              <w:rPr>
                <w:rFonts w:ascii="Arial Narrow" w:hAnsi="Arial Narrow"/>
                <w:color w:val="000000"/>
                <w:sz w:val="20"/>
                <w:szCs w:val="18"/>
              </w:rPr>
              <w:t>)</w:t>
            </w:r>
          </w:p>
        </w:tc>
        <w:tc>
          <w:tcPr>
            <w:tcW w:w="774"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rPr>
              <w:t>113/207</w:t>
            </w:r>
          </w:p>
        </w:tc>
        <w:tc>
          <w:tcPr>
            <w:tcW w:w="850"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rPr>
              <w:t>137/210</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0.587 (0.454, 0.758)</w:t>
            </w: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AC41CB">
              <w:rPr>
                <w:rFonts w:ascii="Arial Narrow" w:hAnsi="Arial Narrow"/>
                <w:color w:val="000000"/>
                <w:sz w:val="20"/>
                <w:szCs w:val="18"/>
              </w:rPr>
              <w:t>Median (95% CI), months</w:t>
            </w:r>
          </w:p>
        </w:tc>
        <w:tc>
          <w:tcPr>
            <w:tcW w:w="774"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lang w:val="en-US"/>
              </w:rPr>
              <w:t>10.8 (9.1, 12.9)</w:t>
            </w:r>
          </w:p>
        </w:tc>
        <w:tc>
          <w:tcPr>
            <w:tcW w:w="850"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lang w:val="en-US"/>
              </w:rPr>
              <w:t>5.8 (5.3, 7.8)</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sz w:val="20"/>
                <w:lang w:val="en-US"/>
              </w:rPr>
              <w:t>5.0</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1875EC">
              <w:rPr>
                <w:rFonts w:ascii="Arial Narrow" w:hAnsi="Arial Narrow"/>
                <w:color w:val="000000"/>
                <w:sz w:val="20"/>
                <w:szCs w:val="18"/>
              </w:rPr>
              <w:t>OS</w:t>
            </w:r>
            <w:r>
              <w:rPr>
                <w:rFonts w:ascii="Arial Narrow" w:hAnsi="Arial Narrow"/>
                <w:color w:val="000000"/>
                <w:sz w:val="20"/>
                <w:szCs w:val="18"/>
              </w:rPr>
              <w:t xml:space="preserve"> (</w:t>
            </w:r>
            <w:r w:rsidRPr="00861EB2">
              <w:rPr>
                <w:rFonts w:ascii="Arial Narrow" w:hAnsi="Arial Narrow"/>
                <w:color w:val="000000"/>
                <w:sz w:val="20"/>
                <w:szCs w:val="18"/>
              </w:rPr>
              <w:t>31 August 2012</w:t>
            </w:r>
            <w:r>
              <w:rPr>
                <w:rFonts w:ascii="Arial Narrow" w:hAnsi="Arial Narrow"/>
                <w:color w:val="000000"/>
                <w:sz w:val="20"/>
                <w:szCs w:val="18"/>
              </w:rPr>
              <w:t>)</w:t>
            </w:r>
          </w:p>
        </w:tc>
        <w:tc>
          <w:tcPr>
            <w:tcW w:w="774"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rPr>
              <w:t>45/207</w:t>
            </w:r>
          </w:p>
        </w:tc>
        <w:tc>
          <w:tcPr>
            <w:tcW w:w="850" w:type="pct"/>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rPr>
              <w:t>54/210</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0.802 (0.539, 1.194)</w:t>
            </w: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AC41CB">
              <w:rPr>
                <w:rFonts w:ascii="Arial Narrow" w:hAnsi="Arial Narrow"/>
                <w:color w:val="000000"/>
                <w:sz w:val="20"/>
                <w:szCs w:val="18"/>
              </w:rPr>
              <w:t>Median (95% CI), months</w:t>
            </w:r>
          </w:p>
        </w:tc>
        <w:tc>
          <w:tcPr>
            <w:tcW w:w="1624" w:type="pct"/>
            <w:gridSpan w:val="2"/>
            <w:vAlign w:val="center"/>
          </w:tcPr>
          <w:p w:rsidR="009A4BEE" w:rsidRPr="001875EC" w:rsidRDefault="009A4BEE" w:rsidP="009A4BEE">
            <w:pPr>
              <w:keepNext/>
              <w:keepLines/>
              <w:jc w:val="center"/>
              <w:rPr>
                <w:rFonts w:ascii="Arial Narrow" w:hAnsi="Arial Narrow"/>
                <w:sz w:val="20"/>
              </w:rPr>
            </w:pPr>
            <w:r w:rsidRPr="001875EC">
              <w:rPr>
                <w:rFonts w:ascii="Arial Narrow" w:hAnsi="Arial Narrow"/>
                <w:sz w:val="20"/>
              </w:rPr>
              <w:t>Median not yet reached</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Not evaluable</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Pr>
                <w:rFonts w:ascii="Arial Narrow" w:hAnsi="Arial Narrow"/>
                <w:color w:val="000000"/>
                <w:sz w:val="20"/>
                <w:szCs w:val="18"/>
              </w:rPr>
              <w:t>OS (</w:t>
            </w:r>
            <w:r w:rsidRPr="00861EB2">
              <w:rPr>
                <w:rFonts w:ascii="Arial Narrow" w:hAnsi="Arial Narrow"/>
                <w:color w:val="000000"/>
                <w:sz w:val="20"/>
                <w:szCs w:val="18"/>
              </w:rPr>
              <w:t>31 May 2013</w:t>
            </w:r>
            <w:r>
              <w:rPr>
                <w:rFonts w:ascii="Arial Narrow" w:hAnsi="Arial Narrow"/>
                <w:color w:val="000000"/>
                <w:sz w:val="20"/>
                <w:szCs w:val="18"/>
              </w:rPr>
              <w:t>)</w:t>
            </w:r>
          </w:p>
        </w:tc>
        <w:tc>
          <w:tcPr>
            <w:tcW w:w="774" w:type="pct"/>
            <w:vAlign w:val="center"/>
          </w:tcPr>
          <w:p w:rsidR="009A4BEE" w:rsidRPr="001875EC" w:rsidRDefault="009A4BEE" w:rsidP="009A4BEE">
            <w:pPr>
              <w:keepNext/>
              <w:keepLines/>
              <w:jc w:val="center"/>
              <w:rPr>
                <w:rFonts w:ascii="Arial Narrow" w:hAnsi="Arial Narrow"/>
                <w:sz w:val="20"/>
              </w:rPr>
            </w:pPr>
            <w:r>
              <w:rPr>
                <w:rFonts w:ascii="Arial Narrow" w:hAnsi="Arial Narrow"/>
                <w:sz w:val="20"/>
              </w:rPr>
              <w:t>66/207</w:t>
            </w:r>
          </w:p>
        </w:tc>
        <w:tc>
          <w:tcPr>
            <w:tcW w:w="850" w:type="pct"/>
            <w:vAlign w:val="center"/>
          </w:tcPr>
          <w:p w:rsidR="009A4BEE" w:rsidRPr="001875EC" w:rsidRDefault="009A4BEE" w:rsidP="009A4BEE">
            <w:pPr>
              <w:keepNext/>
              <w:keepLines/>
              <w:jc w:val="center"/>
              <w:rPr>
                <w:rFonts w:ascii="Arial Narrow" w:hAnsi="Arial Narrow"/>
                <w:sz w:val="20"/>
              </w:rPr>
            </w:pPr>
            <w:r>
              <w:rPr>
                <w:rFonts w:ascii="Arial Narrow" w:hAnsi="Arial Narrow"/>
                <w:sz w:val="20"/>
              </w:rPr>
              <w:t>74/210</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Pr>
                <w:rFonts w:ascii="Arial Narrow" w:hAnsi="Arial Narrow"/>
                <w:color w:val="000000"/>
                <w:sz w:val="20"/>
                <w:szCs w:val="18"/>
              </w:rPr>
              <w:t>-</w:t>
            </w:r>
          </w:p>
        </w:tc>
        <w:tc>
          <w:tcPr>
            <w:tcW w:w="951" w:type="pct"/>
            <w:vAlign w:val="center"/>
          </w:tcPr>
          <w:p w:rsidR="009A4BEE" w:rsidRPr="001875EC" w:rsidRDefault="009A4BEE" w:rsidP="00876518">
            <w:pPr>
              <w:keepNext/>
              <w:keepLines/>
              <w:jc w:val="center"/>
              <w:rPr>
                <w:rFonts w:ascii="Arial Narrow" w:hAnsi="Arial Narrow"/>
                <w:color w:val="000000"/>
                <w:sz w:val="20"/>
                <w:szCs w:val="18"/>
              </w:rPr>
            </w:pPr>
            <w:r w:rsidRPr="00861EB2">
              <w:rPr>
                <w:rFonts w:ascii="Arial Narrow" w:hAnsi="Arial Narrow"/>
                <w:color w:val="000000"/>
                <w:sz w:val="20"/>
                <w:szCs w:val="18"/>
              </w:rPr>
              <w:t>0.884 (0.633</w:t>
            </w:r>
            <w:r w:rsidR="00876518">
              <w:rPr>
                <w:rFonts w:ascii="Arial Narrow" w:hAnsi="Arial Narrow"/>
                <w:color w:val="000000"/>
                <w:sz w:val="20"/>
                <w:szCs w:val="18"/>
              </w:rPr>
              <w:t xml:space="preserve">, </w:t>
            </w:r>
            <w:r w:rsidRPr="00861EB2">
              <w:rPr>
                <w:rFonts w:ascii="Arial Narrow" w:hAnsi="Arial Narrow"/>
                <w:color w:val="000000"/>
                <w:sz w:val="20"/>
                <w:szCs w:val="18"/>
              </w:rPr>
              <w:t>1.236)</w:t>
            </w:r>
          </w:p>
        </w:tc>
      </w:tr>
      <w:tr w:rsidR="009A4BEE" w:rsidRPr="001875EC" w:rsidTr="009A4BEE">
        <w:trPr>
          <w:trHeight w:val="227"/>
        </w:trPr>
        <w:tc>
          <w:tcPr>
            <w:tcW w:w="1208" w:type="pct"/>
            <w:gridSpan w:val="2"/>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AC41CB">
              <w:rPr>
                <w:rFonts w:ascii="Arial Narrow" w:hAnsi="Arial Narrow"/>
                <w:color w:val="000000"/>
                <w:sz w:val="20"/>
                <w:szCs w:val="18"/>
              </w:rPr>
              <w:t>Median (95% CI), months</w:t>
            </w:r>
          </w:p>
        </w:tc>
        <w:tc>
          <w:tcPr>
            <w:tcW w:w="1624" w:type="pct"/>
            <w:gridSpan w:val="2"/>
            <w:vAlign w:val="center"/>
          </w:tcPr>
          <w:p w:rsidR="009A4BEE" w:rsidRPr="001875EC" w:rsidRDefault="009A4BEE" w:rsidP="009A4BEE">
            <w:pPr>
              <w:keepNext/>
              <w:keepLines/>
              <w:jc w:val="center"/>
              <w:rPr>
                <w:rFonts w:ascii="Arial Narrow" w:hAnsi="Arial Narrow"/>
                <w:sz w:val="20"/>
              </w:rPr>
            </w:pPr>
            <w:r w:rsidRPr="00861EB2">
              <w:rPr>
                <w:rFonts w:ascii="Arial Narrow" w:hAnsi="Arial Narrow"/>
                <w:sz w:val="20"/>
              </w:rPr>
              <w:t>Median not yet reached</w:t>
            </w:r>
          </w:p>
        </w:tc>
        <w:tc>
          <w:tcPr>
            <w:tcW w:w="1217" w:type="pct"/>
            <w:gridSpan w:val="3"/>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Not evaluable</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p>
        </w:tc>
      </w:tr>
      <w:tr w:rsidR="009A4BEE" w:rsidRPr="001875EC" w:rsidTr="009A4BEE">
        <w:trPr>
          <w:trHeight w:val="227"/>
        </w:trPr>
        <w:tc>
          <w:tcPr>
            <w:tcW w:w="517" w:type="pct"/>
            <w:vMerge w:val="restart"/>
            <w:shd w:val="clear" w:color="auto" w:fill="auto"/>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Trial</w:t>
            </w:r>
          </w:p>
        </w:tc>
        <w:tc>
          <w:tcPr>
            <w:tcW w:w="691"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Sorafenib</w:t>
            </w:r>
          </w:p>
        </w:tc>
        <w:tc>
          <w:tcPr>
            <w:tcW w:w="774"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PBO+BSC</w:t>
            </w:r>
          </w:p>
        </w:tc>
        <w:tc>
          <w:tcPr>
            <w:tcW w:w="850"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RR</w:t>
            </w:r>
            <w:r>
              <w:rPr>
                <w:rFonts w:ascii="Arial Narrow" w:hAnsi="Arial Narrow"/>
                <w:b/>
                <w:color w:val="000000"/>
                <w:sz w:val="20"/>
                <w:szCs w:val="18"/>
              </w:rPr>
              <w:t xml:space="preserve"> </w:t>
            </w:r>
            <w:r w:rsidRPr="001875EC">
              <w:rPr>
                <w:rFonts w:ascii="Arial Narrow" w:hAnsi="Arial Narrow"/>
                <w:b/>
                <w:color w:val="000000"/>
                <w:sz w:val="20"/>
                <w:szCs w:val="18"/>
              </w:rPr>
              <w:t>(95% CI)</w:t>
            </w:r>
          </w:p>
        </w:tc>
        <w:tc>
          <w:tcPr>
            <w:tcW w:w="1217" w:type="pct"/>
            <w:gridSpan w:val="3"/>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Event rate/100 patients</w:t>
            </w:r>
          </w:p>
        </w:tc>
        <w:tc>
          <w:tcPr>
            <w:tcW w:w="951"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RD</w:t>
            </w:r>
            <w:r>
              <w:rPr>
                <w:rFonts w:ascii="Arial Narrow" w:hAnsi="Arial Narrow"/>
                <w:b/>
                <w:color w:val="000000"/>
                <w:sz w:val="20"/>
                <w:szCs w:val="18"/>
              </w:rPr>
              <w:t xml:space="preserve"> </w:t>
            </w:r>
            <w:r w:rsidRPr="001875EC">
              <w:rPr>
                <w:rFonts w:ascii="Arial Narrow" w:hAnsi="Arial Narrow"/>
                <w:b/>
                <w:color w:val="000000"/>
                <w:sz w:val="20"/>
                <w:szCs w:val="18"/>
              </w:rPr>
              <w:t>(95% CI)</w:t>
            </w:r>
          </w:p>
        </w:tc>
      </w:tr>
      <w:tr w:rsidR="009A4BEE" w:rsidRPr="001875EC" w:rsidTr="009A4BEE">
        <w:trPr>
          <w:trHeight w:val="227"/>
        </w:trPr>
        <w:tc>
          <w:tcPr>
            <w:tcW w:w="517" w:type="pct"/>
            <w:vMerge/>
            <w:shd w:val="clear" w:color="auto" w:fill="auto"/>
            <w:vAlign w:val="center"/>
          </w:tcPr>
          <w:p w:rsidR="009A4BEE" w:rsidRPr="001875EC" w:rsidRDefault="009A4BEE" w:rsidP="009A4BEE">
            <w:pPr>
              <w:keepNext/>
              <w:keepLines/>
              <w:jc w:val="center"/>
              <w:rPr>
                <w:rFonts w:ascii="Arial Narrow" w:hAnsi="Arial Narrow"/>
                <w:b/>
                <w:color w:val="000000"/>
                <w:sz w:val="20"/>
                <w:szCs w:val="18"/>
              </w:rPr>
            </w:pPr>
          </w:p>
        </w:tc>
        <w:tc>
          <w:tcPr>
            <w:tcW w:w="691"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774"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850"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616" w:type="pct"/>
            <w:gridSpan w:val="2"/>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Sorafenib</w:t>
            </w:r>
          </w:p>
        </w:tc>
        <w:tc>
          <w:tcPr>
            <w:tcW w:w="601" w:type="pc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p>
        </w:tc>
        <w:tc>
          <w:tcPr>
            <w:tcW w:w="951" w:type="pct"/>
            <w:vMerge/>
            <w:vAlign w:val="center"/>
          </w:tcPr>
          <w:p w:rsidR="009A4BEE" w:rsidRPr="001875EC" w:rsidRDefault="009A4BEE" w:rsidP="009A4BEE">
            <w:pPr>
              <w:keepNext/>
              <w:keepLines/>
              <w:jc w:val="center"/>
              <w:rPr>
                <w:rFonts w:ascii="Arial Narrow" w:hAnsi="Arial Narrow"/>
                <w:b/>
                <w:color w:val="000000"/>
                <w:sz w:val="20"/>
                <w:szCs w:val="18"/>
              </w:rPr>
            </w:pPr>
          </w:p>
        </w:tc>
      </w:tr>
      <w:tr w:rsidR="009A4BEE" w:rsidRPr="001875EC" w:rsidTr="009A4BEE">
        <w:trPr>
          <w:trHeight w:val="227"/>
        </w:trPr>
        <w:tc>
          <w:tcPr>
            <w:tcW w:w="5000" w:type="pct"/>
            <w:gridSpan w:val="8"/>
            <w:shd w:val="clear" w:color="auto" w:fill="auto"/>
            <w:vAlign w:val="center"/>
          </w:tcPr>
          <w:p w:rsidR="009A4BEE" w:rsidRPr="001875EC" w:rsidRDefault="009A4BEE" w:rsidP="009A4BEE">
            <w:pPr>
              <w:keepNext/>
              <w:keepLines/>
              <w:jc w:val="left"/>
              <w:rPr>
                <w:rFonts w:ascii="Arial Narrow" w:hAnsi="Arial Narrow"/>
                <w:b/>
                <w:color w:val="000000"/>
                <w:sz w:val="20"/>
                <w:szCs w:val="18"/>
              </w:rPr>
            </w:pPr>
            <w:r w:rsidRPr="001875EC">
              <w:rPr>
                <w:rFonts w:ascii="Arial Narrow" w:hAnsi="Arial Narrow"/>
                <w:b/>
                <w:color w:val="000000"/>
                <w:sz w:val="20"/>
                <w:szCs w:val="18"/>
              </w:rPr>
              <w:t>Disease control rate (CR + PR + SD) – per protocol analysis set</w:t>
            </w:r>
          </w:p>
        </w:tc>
      </w:tr>
      <w:tr w:rsidR="009A4BEE" w:rsidRPr="001875EC" w:rsidTr="009A4BEE">
        <w:trPr>
          <w:trHeight w:val="227"/>
        </w:trPr>
        <w:tc>
          <w:tcPr>
            <w:tcW w:w="517" w:type="pct"/>
            <w:shd w:val="clear" w:color="auto" w:fill="auto"/>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DECISION</w:t>
            </w:r>
          </w:p>
        </w:tc>
        <w:tc>
          <w:tcPr>
            <w:tcW w:w="69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169/196</w:t>
            </w:r>
          </w:p>
        </w:tc>
        <w:tc>
          <w:tcPr>
            <w:tcW w:w="774"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150/201</w:t>
            </w:r>
          </w:p>
        </w:tc>
        <w:tc>
          <w:tcPr>
            <w:tcW w:w="850" w:type="pct"/>
            <w:vAlign w:val="center"/>
          </w:tcPr>
          <w:p w:rsidR="009A4BEE" w:rsidRPr="001875EC" w:rsidRDefault="009A4BEE" w:rsidP="00876518">
            <w:pPr>
              <w:keepNext/>
              <w:keepLines/>
              <w:jc w:val="center"/>
              <w:rPr>
                <w:rFonts w:ascii="Arial Narrow" w:hAnsi="Arial Narrow"/>
                <w:color w:val="000000"/>
                <w:sz w:val="20"/>
                <w:szCs w:val="18"/>
              </w:rPr>
            </w:pPr>
            <w:r w:rsidRPr="001875EC">
              <w:rPr>
                <w:rFonts w:ascii="Arial Narrow" w:hAnsi="Arial Narrow"/>
                <w:color w:val="000000"/>
                <w:sz w:val="20"/>
                <w:szCs w:val="18"/>
              </w:rPr>
              <w:t>1.16</w:t>
            </w:r>
            <w:r>
              <w:rPr>
                <w:rFonts w:ascii="Arial Narrow" w:hAnsi="Arial Narrow"/>
                <w:color w:val="000000"/>
                <w:sz w:val="20"/>
                <w:szCs w:val="18"/>
              </w:rPr>
              <w:t xml:space="preserve"> </w:t>
            </w:r>
            <w:r w:rsidRPr="001875EC">
              <w:rPr>
                <w:rFonts w:ascii="Arial Narrow" w:hAnsi="Arial Narrow"/>
                <w:color w:val="000000"/>
                <w:sz w:val="20"/>
                <w:szCs w:val="18"/>
              </w:rPr>
              <w:t>(1.05, 1.27)</w:t>
            </w:r>
          </w:p>
        </w:tc>
        <w:tc>
          <w:tcPr>
            <w:tcW w:w="547"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86.2</w:t>
            </w:r>
          </w:p>
        </w:tc>
        <w:tc>
          <w:tcPr>
            <w:tcW w:w="670" w:type="pct"/>
            <w:gridSpan w:val="2"/>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74.6</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0.12</w:t>
            </w:r>
            <w:r>
              <w:rPr>
                <w:rFonts w:ascii="Arial Narrow" w:hAnsi="Arial Narrow"/>
                <w:color w:val="000000"/>
                <w:sz w:val="20"/>
                <w:szCs w:val="18"/>
              </w:rPr>
              <w:t xml:space="preserve"> </w:t>
            </w:r>
            <w:r w:rsidRPr="001875EC">
              <w:rPr>
                <w:rFonts w:ascii="Arial Narrow" w:hAnsi="Arial Narrow"/>
                <w:color w:val="000000"/>
                <w:sz w:val="20"/>
                <w:szCs w:val="18"/>
              </w:rPr>
              <w:t>(0.04, 0.19)</w:t>
            </w:r>
          </w:p>
        </w:tc>
      </w:tr>
      <w:tr w:rsidR="009A4BEE" w:rsidRPr="001875EC" w:rsidTr="009A4BEE">
        <w:trPr>
          <w:trHeight w:val="227"/>
        </w:trPr>
        <w:tc>
          <w:tcPr>
            <w:tcW w:w="5000" w:type="pct"/>
            <w:gridSpan w:val="8"/>
            <w:tcBorders>
              <w:top w:val="double" w:sz="4" w:space="0" w:color="auto"/>
            </w:tcBorders>
            <w:shd w:val="clear" w:color="auto" w:fill="D9D9D9" w:themeFill="background1" w:themeFillShade="D9"/>
            <w:vAlign w:val="center"/>
          </w:tcPr>
          <w:p w:rsidR="009A4BEE" w:rsidRPr="001875EC" w:rsidRDefault="009A4BEE" w:rsidP="00BB6833">
            <w:pPr>
              <w:keepNext/>
              <w:keepLines/>
              <w:jc w:val="left"/>
              <w:rPr>
                <w:rFonts w:ascii="Arial Narrow" w:hAnsi="Arial Narrow"/>
                <w:b/>
                <w:color w:val="000000"/>
                <w:sz w:val="20"/>
                <w:szCs w:val="18"/>
              </w:rPr>
            </w:pPr>
            <w:r w:rsidRPr="001875EC">
              <w:rPr>
                <w:rFonts w:ascii="Arial Narrow" w:hAnsi="Arial Narrow"/>
                <w:b/>
                <w:color w:val="000000"/>
                <w:sz w:val="20"/>
                <w:szCs w:val="18"/>
              </w:rPr>
              <w:t>Harms</w:t>
            </w:r>
          </w:p>
        </w:tc>
      </w:tr>
      <w:tr w:rsidR="009A4BEE" w:rsidRPr="001875EC" w:rsidTr="009A4BEE">
        <w:trPr>
          <w:trHeight w:val="227"/>
        </w:trPr>
        <w:tc>
          <w:tcPr>
            <w:tcW w:w="517" w:type="pct"/>
            <w:vMerge w:val="restart"/>
            <w:shd w:val="clear" w:color="auto" w:fill="auto"/>
            <w:vAlign w:val="center"/>
          </w:tcPr>
          <w:p w:rsidR="009A4BEE" w:rsidRPr="001875EC" w:rsidRDefault="009A4BEE" w:rsidP="009A4BEE">
            <w:pPr>
              <w:keepNext/>
              <w:keepLines/>
              <w:jc w:val="center"/>
              <w:rPr>
                <w:rFonts w:ascii="Arial Narrow" w:hAnsi="Arial Narrow"/>
                <w:b/>
                <w:color w:val="000000"/>
                <w:sz w:val="20"/>
                <w:szCs w:val="18"/>
              </w:rPr>
            </w:pPr>
          </w:p>
        </w:tc>
        <w:tc>
          <w:tcPr>
            <w:tcW w:w="691"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Sorafenib</w:t>
            </w:r>
          </w:p>
        </w:tc>
        <w:tc>
          <w:tcPr>
            <w:tcW w:w="774"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PBO+BSC</w:t>
            </w:r>
          </w:p>
        </w:tc>
        <w:tc>
          <w:tcPr>
            <w:tcW w:w="850"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RR</w:t>
            </w:r>
            <w:r>
              <w:rPr>
                <w:rFonts w:ascii="Arial Narrow" w:hAnsi="Arial Narrow"/>
                <w:b/>
                <w:color w:val="000000"/>
                <w:sz w:val="20"/>
                <w:szCs w:val="18"/>
              </w:rPr>
              <w:t xml:space="preserve"> </w:t>
            </w:r>
            <w:r w:rsidRPr="001875EC">
              <w:rPr>
                <w:rFonts w:ascii="Arial Narrow" w:hAnsi="Arial Narrow"/>
                <w:b/>
                <w:color w:val="000000"/>
                <w:sz w:val="20"/>
                <w:szCs w:val="18"/>
              </w:rPr>
              <w:t>(95% CI)</w:t>
            </w:r>
          </w:p>
        </w:tc>
        <w:tc>
          <w:tcPr>
            <w:tcW w:w="1217" w:type="pct"/>
            <w:gridSpan w:val="3"/>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 xml:space="preserve">Event </w:t>
            </w:r>
            <w:proofErr w:type="spellStart"/>
            <w:r w:rsidRPr="001875EC">
              <w:rPr>
                <w:rFonts w:ascii="Arial Narrow" w:hAnsi="Arial Narrow"/>
                <w:b/>
                <w:color w:val="000000"/>
                <w:sz w:val="20"/>
                <w:szCs w:val="18"/>
              </w:rPr>
              <w:t>rate</w:t>
            </w:r>
            <w:r w:rsidRPr="001875EC">
              <w:rPr>
                <w:rFonts w:ascii="Arial Narrow" w:hAnsi="Arial Narrow"/>
                <w:b/>
                <w:color w:val="000000"/>
                <w:sz w:val="20"/>
                <w:szCs w:val="18"/>
                <w:vertAlign w:val="superscript"/>
              </w:rPr>
              <w:t>b</w:t>
            </w:r>
            <w:proofErr w:type="spellEnd"/>
            <w:r w:rsidRPr="001875EC">
              <w:rPr>
                <w:rFonts w:ascii="Arial Narrow" w:hAnsi="Arial Narrow"/>
                <w:b/>
                <w:color w:val="000000"/>
                <w:sz w:val="20"/>
                <w:szCs w:val="18"/>
              </w:rPr>
              <w:t>/100 patients</w:t>
            </w:r>
          </w:p>
        </w:tc>
        <w:tc>
          <w:tcPr>
            <w:tcW w:w="951" w:type="pct"/>
            <w:vMerge w:val="restar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RD</w:t>
            </w:r>
            <w:r>
              <w:rPr>
                <w:rFonts w:ascii="Arial Narrow" w:hAnsi="Arial Narrow"/>
                <w:b/>
                <w:color w:val="000000"/>
                <w:sz w:val="20"/>
                <w:szCs w:val="18"/>
              </w:rPr>
              <w:t xml:space="preserve"> </w:t>
            </w:r>
            <w:r w:rsidRPr="001875EC">
              <w:rPr>
                <w:rFonts w:ascii="Arial Narrow" w:hAnsi="Arial Narrow"/>
                <w:b/>
                <w:color w:val="000000"/>
                <w:sz w:val="20"/>
                <w:szCs w:val="18"/>
              </w:rPr>
              <w:t>(95% CI)</w:t>
            </w:r>
          </w:p>
        </w:tc>
      </w:tr>
      <w:tr w:rsidR="009A4BEE" w:rsidRPr="001875EC" w:rsidTr="009A4BEE">
        <w:trPr>
          <w:trHeight w:val="227"/>
        </w:trPr>
        <w:tc>
          <w:tcPr>
            <w:tcW w:w="517" w:type="pct"/>
            <w:vMerge/>
            <w:shd w:val="clear" w:color="auto" w:fill="auto"/>
            <w:vAlign w:val="center"/>
          </w:tcPr>
          <w:p w:rsidR="009A4BEE" w:rsidRPr="001875EC" w:rsidRDefault="009A4BEE" w:rsidP="009A4BEE">
            <w:pPr>
              <w:keepNext/>
              <w:keepLines/>
              <w:jc w:val="center"/>
              <w:rPr>
                <w:rFonts w:ascii="Arial Narrow" w:hAnsi="Arial Narrow"/>
                <w:b/>
                <w:color w:val="000000"/>
                <w:sz w:val="20"/>
                <w:szCs w:val="18"/>
              </w:rPr>
            </w:pPr>
          </w:p>
        </w:tc>
        <w:tc>
          <w:tcPr>
            <w:tcW w:w="691"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774"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850" w:type="pct"/>
            <w:vMerge/>
            <w:vAlign w:val="center"/>
          </w:tcPr>
          <w:p w:rsidR="009A4BEE" w:rsidRPr="001875EC" w:rsidRDefault="009A4BEE" w:rsidP="009A4BEE">
            <w:pPr>
              <w:keepNext/>
              <w:keepLines/>
              <w:jc w:val="center"/>
              <w:rPr>
                <w:rFonts w:ascii="Arial Narrow" w:hAnsi="Arial Narrow"/>
                <w:b/>
                <w:color w:val="000000"/>
                <w:sz w:val="20"/>
                <w:szCs w:val="18"/>
              </w:rPr>
            </w:pPr>
          </w:p>
        </w:tc>
        <w:tc>
          <w:tcPr>
            <w:tcW w:w="547" w:type="pct"/>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Sorafenib</w:t>
            </w:r>
          </w:p>
        </w:tc>
        <w:tc>
          <w:tcPr>
            <w:tcW w:w="670" w:type="pct"/>
            <w:gridSpan w:val="2"/>
            <w:vAlign w:val="center"/>
          </w:tcPr>
          <w:p w:rsidR="009A4BEE" w:rsidRPr="001875EC" w:rsidRDefault="009A4BEE" w:rsidP="009A4BEE">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p>
        </w:tc>
        <w:tc>
          <w:tcPr>
            <w:tcW w:w="951" w:type="pct"/>
            <w:vMerge/>
            <w:vAlign w:val="center"/>
          </w:tcPr>
          <w:p w:rsidR="009A4BEE" w:rsidRPr="001875EC" w:rsidRDefault="009A4BEE" w:rsidP="009A4BEE">
            <w:pPr>
              <w:keepNext/>
              <w:keepLines/>
              <w:jc w:val="center"/>
              <w:rPr>
                <w:rFonts w:ascii="Arial Narrow" w:hAnsi="Arial Narrow"/>
                <w:b/>
                <w:color w:val="000000"/>
                <w:sz w:val="20"/>
                <w:szCs w:val="18"/>
              </w:rPr>
            </w:pPr>
          </w:p>
        </w:tc>
      </w:tr>
      <w:tr w:rsidR="009A4BEE" w:rsidRPr="001875EC" w:rsidTr="009A4BEE">
        <w:trPr>
          <w:trHeight w:val="227"/>
        </w:trPr>
        <w:tc>
          <w:tcPr>
            <w:tcW w:w="5000" w:type="pct"/>
            <w:gridSpan w:val="8"/>
            <w:shd w:val="clear" w:color="auto" w:fill="auto"/>
            <w:vAlign w:val="center"/>
          </w:tcPr>
          <w:p w:rsidR="009A4BEE" w:rsidRPr="001875EC" w:rsidRDefault="009A4BEE" w:rsidP="009A4BEE">
            <w:pPr>
              <w:keepNext/>
              <w:keepLines/>
              <w:jc w:val="left"/>
              <w:rPr>
                <w:rFonts w:ascii="Arial Narrow" w:hAnsi="Arial Narrow"/>
                <w:b/>
                <w:color w:val="000000"/>
                <w:sz w:val="20"/>
                <w:szCs w:val="18"/>
              </w:rPr>
            </w:pPr>
            <w:r w:rsidRPr="001875EC">
              <w:rPr>
                <w:rFonts w:ascii="Arial Narrow" w:hAnsi="Arial Narrow"/>
                <w:b/>
                <w:color w:val="000000"/>
                <w:sz w:val="20"/>
                <w:szCs w:val="18"/>
              </w:rPr>
              <w:t>Treatment-emergent AE, Grade 3 or higher</w:t>
            </w:r>
          </w:p>
        </w:tc>
      </w:tr>
      <w:tr w:rsidR="009A4BEE" w:rsidRPr="001875EC" w:rsidTr="009A4BEE">
        <w:trPr>
          <w:trHeight w:val="227"/>
        </w:trPr>
        <w:tc>
          <w:tcPr>
            <w:tcW w:w="517" w:type="pct"/>
            <w:shd w:val="clear" w:color="auto" w:fill="auto"/>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DECISION</w:t>
            </w:r>
          </w:p>
        </w:tc>
        <w:tc>
          <w:tcPr>
            <w:tcW w:w="69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147/207</w:t>
            </w:r>
          </w:p>
        </w:tc>
        <w:tc>
          <w:tcPr>
            <w:tcW w:w="774"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69/209</w:t>
            </w:r>
          </w:p>
        </w:tc>
        <w:tc>
          <w:tcPr>
            <w:tcW w:w="850"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2.15</w:t>
            </w:r>
            <w:r>
              <w:rPr>
                <w:rFonts w:ascii="Arial Narrow" w:hAnsi="Arial Narrow"/>
                <w:color w:val="000000"/>
                <w:sz w:val="20"/>
                <w:szCs w:val="18"/>
              </w:rPr>
              <w:t xml:space="preserve"> </w:t>
            </w:r>
            <w:r w:rsidRPr="001875EC">
              <w:rPr>
                <w:rFonts w:ascii="Arial Narrow" w:hAnsi="Arial Narrow"/>
                <w:color w:val="000000"/>
                <w:sz w:val="20"/>
                <w:szCs w:val="18"/>
              </w:rPr>
              <w:t>(1.74, 2.66)</w:t>
            </w:r>
          </w:p>
        </w:tc>
        <w:tc>
          <w:tcPr>
            <w:tcW w:w="547"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71.0</w:t>
            </w:r>
          </w:p>
        </w:tc>
        <w:tc>
          <w:tcPr>
            <w:tcW w:w="670" w:type="pct"/>
            <w:gridSpan w:val="2"/>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33.0</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0.38</w:t>
            </w:r>
            <w:r>
              <w:rPr>
                <w:rFonts w:ascii="Arial Narrow" w:hAnsi="Arial Narrow"/>
                <w:color w:val="000000"/>
                <w:sz w:val="20"/>
                <w:szCs w:val="18"/>
              </w:rPr>
              <w:t xml:space="preserve"> </w:t>
            </w:r>
            <w:r w:rsidRPr="001875EC">
              <w:rPr>
                <w:rFonts w:ascii="Arial Narrow" w:hAnsi="Arial Narrow"/>
                <w:color w:val="000000"/>
                <w:sz w:val="20"/>
                <w:szCs w:val="18"/>
              </w:rPr>
              <w:t>(0.29, 0.47)</w:t>
            </w:r>
          </w:p>
        </w:tc>
      </w:tr>
      <w:tr w:rsidR="009A4BEE" w:rsidRPr="001875EC" w:rsidTr="009A4BEE">
        <w:trPr>
          <w:trHeight w:val="227"/>
        </w:trPr>
        <w:tc>
          <w:tcPr>
            <w:tcW w:w="5000" w:type="pct"/>
            <w:gridSpan w:val="8"/>
            <w:shd w:val="clear" w:color="auto" w:fill="auto"/>
            <w:vAlign w:val="center"/>
          </w:tcPr>
          <w:p w:rsidR="009A4BEE" w:rsidRPr="001875EC" w:rsidRDefault="009A4BEE" w:rsidP="009A4BEE">
            <w:pPr>
              <w:keepNext/>
              <w:keepLines/>
              <w:jc w:val="left"/>
              <w:rPr>
                <w:rFonts w:ascii="Arial Narrow" w:hAnsi="Arial Narrow"/>
                <w:b/>
                <w:color w:val="000000"/>
                <w:sz w:val="20"/>
                <w:szCs w:val="18"/>
              </w:rPr>
            </w:pPr>
            <w:r w:rsidRPr="001875EC">
              <w:rPr>
                <w:rFonts w:ascii="Arial Narrow" w:hAnsi="Arial Narrow"/>
                <w:b/>
                <w:color w:val="000000"/>
                <w:sz w:val="20"/>
                <w:szCs w:val="18"/>
              </w:rPr>
              <w:t>Hand-foot skin reaction, Grade 3 or higher</w:t>
            </w:r>
          </w:p>
        </w:tc>
      </w:tr>
      <w:tr w:rsidR="009A4BEE" w:rsidRPr="001875EC" w:rsidTr="009A4BEE">
        <w:trPr>
          <w:trHeight w:val="227"/>
        </w:trPr>
        <w:tc>
          <w:tcPr>
            <w:tcW w:w="517" w:type="pct"/>
            <w:shd w:val="clear" w:color="auto" w:fill="auto"/>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DECISION</w:t>
            </w:r>
          </w:p>
        </w:tc>
        <w:tc>
          <w:tcPr>
            <w:tcW w:w="69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42/207</w:t>
            </w:r>
          </w:p>
        </w:tc>
        <w:tc>
          <w:tcPr>
            <w:tcW w:w="774"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0/209</w:t>
            </w:r>
          </w:p>
        </w:tc>
        <w:tc>
          <w:tcPr>
            <w:tcW w:w="850"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Not calculable</w:t>
            </w:r>
          </w:p>
        </w:tc>
        <w:tc>
          <w:tcPr>
            <w:tcW w:w="547"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20.3</w:t>
            </w:r>
          </w:p>
        </w:tc>
        <w:tc>
          <w:tcPr>
            <w:tcW w:w="670" w:type="pct"/>
            <w:gridSpan w:val="2"/>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w:t>
            </w:r>
          </w:p>
        </w:tc>
        <w:tc>
          <w:tcPr>
            <w:tcW w:w="95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0.20</w:t>
            </w:r>
            <w:r>
              <w:rPr>
                <w:rFonts w:ascii="Arial Narrow" w:hAnsi="Arial Narrow"/>
                <w:color w:val="000000"/>
                <w:sz w:val="20"/>
                <w:szCs w:val="18"/>
              </w:rPr>
              <w:t xml:space="preserve"> </w:t>
            </w:r>
            <w:r w:rsidRPr="001875EC">
              <w:rPr>
                <w:rFonts w:ascii="Arial Narrow" w:hAnsi="Arial Narrow"/>
                <w:color w:val="000000"/>
                <w:sz w:val="20"/>
                <w:szCs w:val="18"/>
              </w:rPr>
              <w:t>(0.14, 0.26)</w:t>
            </w:r>
          </w:p>
        </w:tc>
      </w:tr>
      <w:tr w:rsidR="009A4BEE" w:rsidRPr="001875EC" w:rsidTr="009A4BEE">
        <w:trPr>
          <w:trHeight w:val="227"/>
        </w:trPr>
        <w:tc>
          <w:tcPr>
            <w:tcW w:w="5000" w:type="pct"/>
            <w:gridSpan w:val="8"/>
            <w:shd w:val="clear" w:color="auto" w:fill="auto"/>
            <w:vAlign w:val="center"/>
          </w:tcPr>
          <w:p w:rsidR="009A4BEE" w:rsidRPr="001875EC" w:rsidRDefault="009A4BEE" w:rsidP="009A4BEE">
            <w:pPr>
              <w:keepNext/>
              <w:keepLines/>
              <w:jc w:val="left"/>
              <w:rPr>
                <w:rFonts w:ascii="Arial Narrow" w:hAnsi="Arial Narrow"/>
                <w:color w:val="000000"/>
                <w:sz w:val="20"/>
                <w:szCs w:val="18"/>
              </w:rPr>
            </w:pPr>
            <w:r w:rsidRPr="001875EC">
              <w:rPr>
                <w:rFonts w:ascii="Arial Narrow" w:hAnsi="Arial Narrow"/>
                <w:b/>
                <w:color w:val="000000"/>
                <w:sz w:val="20"/>
                <w:szCs w:val="18"/>
              </w:rPr>
              <w:t>Hypertension, Grade 3 or higher</w:t>
            </w:r>
          </w:p>
        </w:tc>
      </w:tr>
      <w:tr w:rsidR="009A4BEE" w:rsidRPr="001875EC" w:rsidTr="009A4BEE">
        <w:trPr>
          <w:trHeight w:val="227"/>
        </w:trPr>
        <w:tc>
          <w:tcPr>
            <w:tcW w:w="517" w:type="pct"/>
            <w:shd w:val="clear" w:color="auto" w:fill="auto"/>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DECISION</w:t>
            </w:r>
          </w:p>
        </w:tc>
        <w:tc>
          <w:tcPr>
            <w:tcW w:w="691"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rPr>
              <w:t>20/207</w:t>
            </w:r>
          </w:p>
        </w:tc>
        <w:tc>
          <w:tcPr>
            <w:tcW w:w="774"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rPr>
              <w:t>5/209</w:t>
            </w:r>
          </w:p>
        </w:tc>
        <w:tc>
          <w:tcPr>
            <w:tcW w:w="850" w:type="pct"/>
            <w:vAlign w:val="center"/>
          </w:tcPr>
          <w:p w:rsidR="009A4BEE" w:rsidRPr="00861EB2" w:rsidRDefault="009A4BEE" w:rsidP="009A4BEE">
            <w:pPr>
              <w:keepNext/>
              <w:keepLines/>
              <w:jc w:val="center"/>
              <w:rPr>
                <w:rFonts w:ascii="Arial Narrow" w:hAnsi="Arial Narrow"/>
                <w:color w:val="000000"/>
                <w:sz w:val="20"/>
              </w:rPr>
            </w:pPr>
            <w:r w:rsidRPr="001875EC">
              <w:rPr>
                <w:rFonts w:ascii="Arial Narrow" w:hAnsi="Arial Narrow"/>
                <w:color w:val="000000"/>
                <w:sz w:val="20"/>
              </w:rPr>
              <w:t>4.04</w:t>
            </w:r>
            <w:r>
              <w:rPr>
                <w:rFonts w:ascii="Arial Narrow" w:hAnsi="Arial Narrow"/>
                <w:color w:val="000000"/>
                <w:sz w:val="20"/>
              </w:rPr>
              <w:t xml:space="preserve"> </w:t>
            </w:r>
            <w:r w:rsidRPr="001875EC">
              <w:rPr>
                <w:rFonts w:ascii="Arial Narrow" w:hAnsi="Arial Narrow"/>
                <w:color w:val="000000"/>
                <w:sz w:val="20"/>
              </w:rPr>
              <w:t>(1.54, 10.56)</w:t>
            </w:r>
          </w:p>
        </w:tc>
        <w:tc>
          <w:tcPr>
            <w:tcW w:w="547" w:type="pct"/>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9.7</w:t>
            </w:r>
          </w:p>
        </w:tc>
        <w:tc>
          <w:tcPr>
            <w:tcW w:w="670" w:type="pct"/>
            <w:gridSpan w:val="2"/>
            <w:vAlign w:val="center"/>
          </w:tcPr>
          <w:p w:rsidR="009A4BEE" w:rsidRPr="001875EC" w:rsidRDefault="009A4BEE" w:rsidP="009A4BEE">
            <w:pPr>
              <w:keepNext/>
              <w:keepLines/>
              <w:jc w:val="center"/>
              <w:rPr>
                <w:rFonts w:ascii="Arial Narrow" w:hAnsi="Arial Narrow"/>
                <w:color w:val="000000"/>
                <w:sz w:val="20"/>
                <w:szCs w:val="18"/>
              </w:rPr>
            </w:pPr>
            <w:r w:rsidRPr="001875EC">
              <w:rPr>
                <w:rFonts w:ascii="Arial Narrow" w:hAnsi="Arial Narrow"/>
                <w:color w:val="000000"/>
                <w:sz w:val="20"/>
                <w:szCs w:val="18"/>
              </w:rPr>
              <w:t>2.4</w:t>
            </w:r>
          </w:p>
        </w:tc>
        <w:tc>
          <w:tcPr>
            <w:tcW w:w="951" w:type="pct"/>
            <w:vAlign w:val="center"/>
          </w:tcPr>
          <w:p w:rsidR="009A4BEE" w:rsidRPr="00861EB2" w:rsidRDefault="009A4BEE" w:rsidP="009A4BEE">
            <w:pPr>
              <w:keepNext/>
              <w:keepLines/>
              <w:jc w:val="center"/>
              <w:rPr>
                <w:rFonts w:ascii="Arial Narrow" w:hAnsi="Arial Narrow"/>
                <w:color w:val="000000"/>
                <w:sz w:val="20"/>
              </w:rPr>
            </w:pPr>
            <w:r w:rsidRPr="001875EC">
              <w:rPr>
                <w:rFonts w:ascii="Arial Narrow" w:hAnsi="Arial Narrow"/>
                <w:color w:val="000000"/>
                <w:sz w:val="20"/>
              </w:rPr>
              <w:t>0.07</w:t>
            </w:r>
            <w:r>
              <w:rPr>
                <w:rFonts w:ascii="Arial Narrow" w:hAnsi="Arial Narrow"/>
                <w:color w:val="000000"/>
                <w:sz w:val="20"/>
              </w:rPr>
              <w:t xml:space="preserve"> </w:t>
            </w:r>
            <w:r w:rsidRPr="001875EC">
              <w:rPr>
                <w:rFonts w:ascii="Arial Narrow" w:hAnsi="Arial Narrow"/>
                <w:color w:val="000000"/>
                <w:sz w:val="20"/>
              </w:rPr>
              <w:t>(0.03, 0.12)</w:t>
            </w:r>
          </w:p>
        </w:tc>
      </w:tr>
    </w:tbl>
    <w:p w:rsidR="009A4BEE" w:rsidRPr="001875EC" w:rsidRDefault="009A4BEE" w:rsidP="009A4BEE">
      <w:pPr>
        <w:pStyle w:val="TableFooter"/>
        <w:keepNext/>
        <w:keepLines/>
        <w:ind w:left="709"/>
      </w:pPr>
      <w:proofErr w:type="gramStart"/>
      <w:r w:rsidRPr="001875EC">
        <w:rPr>
          <w:vertAlign w:val="superscript"/>
        </w:rPr>
        <w:t>a</w:t>
      </w:r>
      <w:proofErr w:type="gramEnd"/>
      <w:r w:rsidR="00BB6833">
        <w:rPr>
          <w:vertAlign w:val="superscript"/>
        </w:rPr>
        <w:t xml:space="preserve"> </w:t>
      </w:r>
      <w:r w:rsidRPr="001875EC">
        <w:t xml:space="preserve">PFS and OS </w:t>
      </w:r>
      <w:r w:rsidR="00263253">
        <w:t>we</w:t>
      </w:r>
      <w:r w:rsidRPr="001875EC">
        <w:t xml:space="preserve">re measured to data cut-off of 31 August 2012, at which time median exposure to the drug in the sorafenib arm </w:t>
      </w:r>
      <w:r w:rsidR="00263253">
        <w:t>wa</w:t>
      </w:r>
      <w:r w:rsidRPr="001875EC">
        <w:t>s 46.1 weeks under double-blind conditions an</w:t>
      </w:r>
      <w:r w:rsidR="00263253">
        <w:t>d 56.9 weeks including the open-</w:t>
      </w:r>
      <w:r w:rsidRPr="001875EC">
        <w:t xml:space="preserve">label use of sorafenib. Median exposure to placebo </w:t>
      </w:r>
      <w:r w:rsidR="00BB6833">
        <w:t>wa</w:t>
      </w:r>
      <w:r w:rsidRPr="001875EC">
        <w:t>s 28.3 weeks under double-blind conditions.</w:t>
      </w:r>
    </w:p>
    <w:p w:rsidR="009A4BEE" w:rsidRPr="001875EC" w:rsidRDefault="009A4BEE" w:rsidP="009A4BEE">
      <w:pPr>
        <w:pStyle w:val="TableFooter"/>
        <w:keepNext/>
        <w:keepLines/>
        <w:ind w:left="709"/>
      </w:pPr>
      <w:proofErr w:type="gramStart"/>
      <w:r w:rsidRPr="001875EC">
        <w:rPr>
          <w:vertAlign w:val="superscript"/>
        </w:rPr>
        <w:t>b</w:t>
      </w:r>
      <w:proofErr w:type="gramEnd"/>
      <w:r w:rsidRPr="001875EC">
        <w:t xml:space="preserve"> </w:t>
      </w:r>
      <w:r w:rsidR="00263253">
        <w:t>T</w:t>
      </w:r>
      <w:r w:rsidRPr="001875EC">
        <w:t>he proportion of patients who experience</w:t>
      </w:r>
      <w:r w:rsidR="00263253">
        <w:t>d</w:t>
      </w:r>
      <w:r w:rsidRPr="001875EC">
        <w:t xml:space="preserve"> at least one adverse event.</w:t>
      </w:r>
    </w:p>
    <w:p w:rsidR="009A4BEE" w:rsidRPr="001875EC" w:rsidRDefault="009A4BEE" w:rsidP="009A4BEE">
      <w:pPr>
        <w:pStyle w:val="TableFooter"/>
        <w:keepNext/>
        <w:keepLines/>
        <w:ind w:left="709"/>
      </w:pPr>
      <w:r w:rsidRPr="001875EC">
        <w:t>Abbreviations: PBO = placebo; RD = risk difference; BSC = best supportive care; RR = risk ratio; AE = adverse event; CR = complete response; PR = partial response; SD = st</w:t>
      </w:r>
      <w:r w:rsidR="00263253">
        <w:t>able disease; PFS = progression-</w:t>
      </w:r>
      <w:r w:rsidRPr="001875EC">
        <w:t>free survival; OS = overall survival.</w:t>
      </w:r>
    </w:p>
    <w:p w:rsidR="009A4BEE" w:rsidRPr="00FE0F7D" w:rsidRDefault="009A4BEE" w:rsidP="009A4BEE">
      <w:pPr>
        <w:pStyle w:val="TableFooter"/>
        <w:keepNext/>
        <w:keepLines/>
        <w:ind w:left="709"/>
      </w:pPr>
      <w:r w:rsidRPr="001875EC">
        <w:t>Source: Compiled during the evaluation from Table 34, p75, Table 38, p81, Table 40, p85, Table 51, p96, Table 53, pp99-100</w:t>
      </w:r>
      <w:r w:rsidR="00263253">
        <w:t xml:space="preserve"> of the March 2015 re-</w:t>
      </w:r>
      <w:r>
        <w:t>submission</w:t>
      </w:r>
      <w:r w:rsidR="00263253">
        <w:t>.</w:t>
      </w:r>
    </w:p>
    <w:p w:rsidR="009A4BEE" w:rsidRPr="00313592" w:rsidRDefault="009A4BEE" w:rsidP="009A4BEE">
      <w:pPr>
        <w:pStyle w:val="PBACheading1"/>
        <w:numPr>
          <w:ilvl w:val="0"/>
          <w:numId w:val="0"/>
        </w:numPr>
        <w:ind w:left="720" w:hanging="720"/>
      </w:pPr>
    </w:p>
    <w:p w:rsidR="009A4BEE" w:rsidRPr="0021610A" w:rsidRDefault="009A4BEE" w:rsidP="009A4BEE">
      <w:pPr>
        <w:pStyle w:val="ListParagraph"/>
        <w:widowControl/>
        <w:numPr>
          <w:ilvl w:val="1"/>
          <w:numId w:val="6"/>
        </w:numPr>
        <w:rPr>
          <w:szCs w:val="22"/>
        </w:rPr>
      </w:pPr>
      <w:r w:rsidRPr="0021610A">
        <w:rPr>
          <w:szCs w:val="22"/>
        </w:rPr>
        <w:t xml:space="preserve">On the basis of direct randomised evidence presented by the submission, for patients treated with sorafenib in comparison to </w:t>
      </w:r>
      <w:proofErr w:type="spellStart"/>
      <w:r w:rsidRPr="0021610A">
        <w:rPr>
          <w:szCs w:val="22"/>
        </w:rPr>
        <w:t>placebo</w:t>
      </w:r>
      <w:r>
        <w:rPr>
          <w:szCs w:val="22"/>
        </w:rPr>
        <w:t>+BSC</w:t>
      </w:r>
      <w:proofErr w:type="spellEnd"/>
      <w:r w:rsidRPr="0021610A">
        <w:rPr>
          <w:szCs w:val="22"/>
        </w:rPr>
        <w:t>, there would be:</w:t>
      </w:r>
    </w:p>
    <w:p w:rsidR="009A4BEE" w:rsidRPr="0021610A" w:rsidRDefault="00263253" w:rsidP="009A4BEE">
      <w:pPr>
        <w:pStyle w:val="ListParagraph"/>
        <w:widowControl/>
        <w:numPr>
          <w:ilvl w:val="0"/>
          <w:numId w:val="28"/>
        </w:numPr>
        <w:rPr>
          <w:szCs w:val="22"/>
        </w:rPr>
      </w:pPr>
      <w:r>
        <w:rPr>
          <w:szCs w:val="22"/>
        </w:rPr>
        <w:t>an a</w:t>
      </w:r>
      <w:r w:rsidR="009A4BEE" w:rsidRPr="0021610A">
        <w:rPr>
          <w:szCs w:val="22"/>
        </w:rPr>
        <w:t>pproximate difference in m</w:t>
      </w:r>
      <w:r>
        <w:rPr>
          <w:szCs w:val="22"/>
        </w:rPr>
        <w:t xml:space="preserve">edian progression-free survival of </w:t>
      </w:r>
      <w:r w:rsidRPr="0021610A">
        <w:rPr>
          <w:szCs w:val="22"/>
        </w:rPr>
        <w:t>5 months</w:t>
      </w:r>
    </w:p>
    <w:p w:rsidR="009A4BEE" w:rsidRPr="0021610A" w:rsidRDefault="00263253" w:rsidP="009A4BEE">
      <w:pPr>
        <w:pStyle w:val="ListParagraph"/>
        <w:widowControl/>
        <w:numPr>
          <w:ilvl w:val="0"/>
          <w:numId w:val="28"/>
        </w:numPr>
        <w:rPr>
          <w:szCs w:val="22"/>
        </w:rPr>
      </w:pPr>
      <w:proofErr w:type="gramStart"/>
      <w:r>
        <w:rPr>
          <w:szCs w:val="22"/>
        </w:rPr>
        <w:t>a</w:t>
      </w:r>
      <w:r w:rsidR="009A4BEE" w:rsidRPr="0021610A">
        <w:rPr>
          <w:szCs w:val="22"/>
        </w:rPr>
        <w:t>n</w:t>
      </w:r>
      <w:proofErr w:type="gramEnd"/>
      <w:r w:rsidR="009A4BEE" w:rsidRPr="0021610A">
        <w:rPr>
          <w:szCs w:val="22"/>
        </w:rPr>
        <w:t xml:space="preserve"> unknown possible differe</w:t>
      </w:r>
      <w:r>
        <w:rPr>
          <w:szCs w:val="22"/>
        </w:rPr>
        <w:t>nce in median overall survival.</w:t>
      </w:r>
    </w:p>
    <w:p w:rsidR="009A4BEE" w:rsidRPr="00263253" w:rsidRDefault="009A4BEE" w:rsidP="00263253">
      <w:pPr>
        <w:widowControl/>
        <w:rPr>
          <w:szCs w:val="22"/>
        </w:rPr>
      </w:pPr>
    </w:p>
    <w:p w:rsidR="009A4BEE" w:rsidRPr="0021610A" w:rsidRDefault="009A4BEE" w:rsidP="009A4BEE">
      <w:pPr>
        <w:widowControl/>
        <w:numPr>
          <w:ilvl w:val="1"/>
          <w:numId w:val="6"/>
        </w:numPr>
        <w:contextualSpacing/>
        <w:rPr>
          <w:rFonts w:eastAsia="SimSun"/>
        </w:rPr>
      </w:pPr>
      <w:r w:rsidRPr="0021610A">
        <w:rPr>
          <w:rFonts w:eastAsia="SimSun"/>
        </w:rPr>
        <w:t xml:space="preserve">On the basis of direct randomised evidence presented by the submission, for every 100 patients treated with sorafenib in comparison to </w:t>
      </w:r>
      <w:proofErr w:type="spellStart"/>
      <w:r w:rsidRPr="0021610A">
        <w:rPr>
          <w:rFonts w:eastAsia="SimSun"/>
        </w:rPr>
        <w:t>placebo+BSC</w:t>
      </w:r>
      <w:proofErr w:type="spellEnd"/>
      <w:r w:rsidRPr="0021610A">
        <w:rPr>
          <w:rFonts w:eastAsia="SimSun"/>
        </w:rPr>
        <w:t>:</w:t>
      </w:r>
    </w:p>
    <w:p w:rsidR="009A4BEE" w:rsidRPr="0021610A" w:rsidRDefault="00263253" w:rsidP="009A4BEE">
      <w:pPr>
        <w:widowControl/>
        <w:numPr>
          <w:ilvl w:val="0"/>
          <w:numId w:val="5"/>
        </w:numPr>
        <w:ind w:left="993" w:hanging="284"/>
        <w:contextualSpacing/>
        <w:rPr>
          <w:rFonts w:eastAsia="SimSun"/>
        </w:rPr>
      </w:pPr>
      <w:r w:rsidRPr="0021610A">
        <w:rPr>
          <w:rFonts w:eastAsia="SimSun"/>
        </w:rPr>
        <w:t>a</w:t>
      </w:r>
      <w:r w:rsidR="009A4BEE" w:rsidRPr="0021610A">
        <w:rPr>
          <w:rFonts w:eastAsia="SimSun"/>
        </w:rPr>
        <w:t xml:space="preserve">pproximately 38 additional patients would experience at least one treatment-emergent adverse event of Grade 3 or greater severity over a period of 10 – 12 </w:t>
      </w:r>
      <w:r w:rsidR="009A4BEE" w:rsidRPr="0021610A">
        <w:rPr>
          <w:rFonts w:eastAsia="SimSun"/>
        </w:rPr>
        <w:lastRenderedPageBreak/>
        <w:t>months of treatment with sorafenib (compared to 8 – 9 months of obse</w:t>
      </w:r>
      <w:r>
        <w:rPr>
          <w:rFonts w:eastAsia="SimSun"/>
        </w:rPr>
        <w:t xml:space="preserve">rvation in the </w:t>
      </w:r>
      <w:proofErr w:type="spellStart"/>
      <w:r>
        <w:rPr>
          <w:rFonts w:eastAsia="SimSun"/>
        </w:rPr>
        <w:t>placebo+BSC</w:t>
      </w:r>
      <w:proofErr w:type="spellEnd"/>
      <w:r>
        <w:rPr>
          <w:rFonts w:eastAsia="SimSun"/>
        </w:rPr>
        <w:t xml:space="preserve"> arm)</w:t>
      </w:r>
    </w:p>
    <w:p w:rsidR="009A4BEE" w:rsidRPr="0021610A" w:rsidRDefault="00263253" w:rsidP="009A4BEE">
      <w:pPr>
        <w:widowControl/>
        <w:numPr>
          <w:ilvl w:val="0"/>
          <w:numId w:val="5"/>
        </w:numPr>
        <w:ind w:left="993" w:hanging="284"/>
        <w:contextualSpacing/>
        <w:rPr>
          <w:rFonts w:eastAsia="SimSun"/>
        </w:rPr>
      </w:pPr>
      <w:r w:rsidRPr="0021610A">
        <w:rPr>
          <w:rFonts w:eastAsia="SimSun"/>
        </w:rPr>
        <w:t>a</w:t>
      </w:r>
      <w:r w:rsidR="009A4BEE" w:rsidRPr="0021610A">
        <w:rPr>
          <w:rFonts w:eastAsia="SimSun"/>
        </w:rPr>
        <w:t>pproximately 20 additional patients would experience a hand-foot skin reaction of at least Grade 3 severity over a period of 10 – 12 months of treatment with sorafenib (compared to 8 – 9 months of obse</w:t>
      </w:r>
      <w:r>
        <w:rPr>
          <w:rFonts w:eastAsia="SimSun"/>
        </w:rPr>
        <w:t xml:space="preserve">rvation in the </w:t>
      </w:r>
      <w:proofErr w:type="spellStart"/>
      <w:r>
        <w:rPr>
          <w:rFonts w:eastAsia="SimSun"/>
        </w:rPr>
        <w:t>placebo+BSC</w:t>
      </w:r>
      <w:proofErr w:type="spellEnd"/>
      <w:r>
        <w:rPr>
          <w:rFonts w:eastAsia="SimSun"/>
        </w:rPr>
        <w:t xml:space="preserve"> arm)</w:t>
      </w:r>
    </w:p>
    <w:p w:rsidR="00BF7549" w:rsidRDefault="00263253" w:rsidP="0038489E">
      <w:pPr>
        <w:widowControl/>
        <w:numPr>
          <w:ilvl w:val="0"/>
          <w:numId w:val="5"/>
        </w:numPr>
        <w:ind w:left="993" w:hanging="284"/>
        <w:contextualSpacing/>
        <w:rPr>
          <w:rFonts w:eastAsia="SimSun"/>
        </w:rPr>
      </w:pPr>
      <w:proofErr w:type="gramStart"/>
      <w:r>
        <w:rPr>
          <w:rFonts w:eastAsia="SimSun"/>
        </w:rPr>
        <w:t>a</w:t>
      </w:r>
      <w:r w:rsidR="009A4BEE" w:rsidRPr="0021610A">
        <w:rPr>
          <w:rFonts w:eastAsia="SimSun"/>
        </w:rPr>
        <w:t>pproximately</w:t>
      </w:r>
      <w:proofErr w:type="gramEnd"/>
      <w:r w:rsidR="009A4BEE" w:rsidRPr="0021610A">
        <w:rPr>
          <w:rFonts w:eastAsia="SimSun"/>
        </w:rPr>
        <w:t xml:space="preserve"> 7 additional patients would experience hypertension of at least Grade 3 severity over a period of 10 – 12 months of treatment with sorafenib (compared to 8 – 9 months of observation in the </w:t>
      </w:r>
      <w:proofErr w:type="spellStart"/>
      <w:r w:rsidR="009A4BEE" w:rsidRPr="0021610A">
        <w:rPr>
          <w:rFonts w:eastAsia="SimSun"/>
        </w:rPr>
        <w:t>placebo+BSC</w:t>
      </w:r>
      <w:proofErr w:type="spellEnd"/>
      <w:r w:rsidR="009A4BEE" w:rsidRPr="0021610A">
        <w:rPr>
          <w:rFonts w:eastAsia="SimSun"/>
        </w:rPr>
        <w:t xml:space="preserve"> arm).</w:t>
      </w:r>
      <w:bookmarkStart w:id="11" w:name="_Toc430014688"/>
    </w:p>
    <w:p w:rsidR="00F30141" w:rsidRPr="0038489E" w:rsidRDefault="00F30141" w:rsidP="00F30141">
      <w:pPr>
        <w:widowControl/>
        <w:ind w:left="993"/>
        <w:contextualSpacing/>
        <w:rPr>
          <w:rFonts w:eastAsia="SimSun"/>
        </w:rPr>
      </w:pPr>
    </w:p>
    <w:p w:rsidR="009A4BEE" w:rsidRPr="00497F10" w:rsidRDefault="009A4BEE" w:rsidP="00F30141">
      <w:pPr>
        <w:pStyle w:val="Heading2"/>
      </w:pPr>
      <w:r w:rsidRPr="00497F10">
        <w:t>Clinical claim</w:t>
      </w:r>
      <w:bookmarkEnd w:id="11"/>
    </w:p>
    <w:p w:rsidR="009A4BEE" w:rsidRPr="00882085" w:rsidRDefault="009A4BEE" w:rsidP="009A4BEE">
      <w:pPr>
        <w:pStyle w:val="BodyText"/>
      </w:pPr>
    </w:p>
    <w:p w:rsidR="009A4BEE" w:rsidRPr="005B7087" w:rsidRDefault="009A4BEE" w:rsidP="009A4BEE">
      <w:pPr>
        <w:pStyle w:val="ListParagraph"/>
        <w:widowControl/>
        <w:numPr>
          <w:ilvl w:val="1"/>
          <w:numId w:val="6"/>
        </w:numPr>
        <w:rPr>
          <w:szCs w:val="22"/>
        </w:rPr>
      </w:pPr>
      <w:r w:rsidRPr="00BA759B">
        <w:t xml:space="preserve">The </w:t>
      </w:r>
      <w:r>
        <w:t>re-</w:t>
      </w:r>
      <w:r w:rsidRPr="00BA759B">
        <w:t xml:space="preserve">submission described sorafenib as superior in terms of comparative effectiveness and inferior in terms of comparative safety over </w:t>
      </w:r>
      <w:r>
        <w:t>BSC</w:t>
      </w:r>
      <w:r w:rsidRPr="00BA759B">
        <w:t>.</w:t>
      </w:r>
    </w:p>
    <w:p w:rsidR="009A4BEE" w:rsidRPr="00FC2175" w:rsidRDefault="009A4BEE" w:rsidP="009A4BEE">
      <w:pPr>
        <w:pStyle w:val="ListParagraph"/>
        <w:numPr>
          <w:ilvl w:val="0"/>
          <w:numId w:val="23"/>
        </w:numPr>
        <w:rPr>
          <w:szCs w:val="22"/>
        </w:rPr>
      </w:pPr>
      <w:r w:rsidRPr="00FC2175">
        <w:rPr>
          <w:szCs w:val="22"/>
        </w:rPr>
        <w:t>The PBAC has previously accepted the claim of superiority for PFS</w:t>
      </w:r>
      <w:r w:rsidR="00263253">
        <w:rPr>
          <w:szCs w:val="22"/>
        </w:rPr>
        <w:t>,</w:t>
      </w:r>
      <w:r w:rsidRPr="00FC2175">
        <w:rPr>
          <w:szCs w:val="22"/>
        </w:rPr>
        <w:t xml:space="preserve"> but not for OS. The PBAC noted </w:t>
      </w:r>
      <w:r>
        <w:rPr>
          <w:szCs w:val="22"/>
        </w:rPr>
        <w:t>t</w:t>
      </w:r>
      <w:r w:rsidRPr="00FC2175">
        <w:rPr>
          <w:szCs w:val="22"/>
        </w:rPr>
        <w:t>he magnitude of benefit in terms of extension of life derived from sorafenib is difficult to ascertain due to crossover following progression</w:t>
      </w:r>
      <w:r>
        <w:rPr>
          <w:szCs w:val="22"/>
        </w:rPr>
        <w:t>.</w:t>
      </w:r>
    </w:p>
    <w:p w:rsidR="009A4BEE" w:rsidRPr="005B7087" w:rsidRDefault="009A4BEE" w:rsidP="009A4BEE">
      <w:pPr>
        <w:pStyle w:val="ListParagraph"/>
        <w:numPr>
          <w:ilvl w:val="0"/>
          <w:numId w:val="23"/>
        </w:numPr>
        <w:rPr>
          <w:szCs w:val="22"/>
        </w:rPr>
      </w:pPr>
      <w:r>
        <w:rPr>
          <w:szCs w:val="22"/>
        </w:rPr>
        <w:t>T</w:t>
      </w:r>
      <w:r w:rsidRPr="005B7087">
        <w:rPr>
          <w:szCs w:val="22"/>
        </w:rPr>
        <w:t xml:space="preserve">he PBAC </w:t>
      </w:r>
      <w:r>
        <w:rPr>
          <w:szCs w:val="22"/>
        </w:rPr>
        <w:t xml:space="preserve">has previously </w:t>
      </w:r>
      <w:r w:rsidRPr="005B7087">
        <w:rPr>
          <w:szCs w:val="22"/>
        </w:rPr>
        <w:t>accepted that sorafenib has inferior safety compared with BSC</w:t>
      </w:r>
      <w:r>
        <w:rPr>
          <w:szCs w:val="22"/>
        </w:rPr>
        <w:t>.</w:t>
      </w:r>
    </w:p>
    <w:p w:rsidR="009A4BEE" w:rsidRPr="00882085" w:rsidRDefault="009A4BEE" w:rsidP="009A4BEE">
      <w:pPr>
        <w:ind w:left="720" w:hanging="720"/>
        <w:rPr>
          <w:szCs w:val="22"/>
        </w:rPr>
      </w:pPr>
    </w:p>
    <w:p w:rsidR="009A4BEE" w:rsidRPr="00497F10" w:rsidRDefault="009A4BEE" w:rsidP="00F30141">
      <w:pPr>
        <w:pStyle w:val="Heading2"/>
      </w:pPr>
      <w:bookmarkStart w:id="12" w:name="_Toc430014689"/>
      <w:r w:rsidRPr="00497F10">
        <w:t>Economic analysis</w:t>
      </w:r>
      <w:bookmarkEnd w:id="12"/>
    </w:p>
    <w:p w:rsidR="009A4BEE" w:rsidRPr="00882085" w:rsidRDefault="009A4BEE" w:rsidP="009A4BEE">
      <w:pPr>
        <w:ind w:left="720" w:hanging="720"/>
        <w:rPr>
          <w:szCs w:val="22"/>
        </w:rPr>
      </w:pPr>
    </w:p>
    <w:p w:rsidR="009A4BEE" w:rsidRPr="009F2C59" w:rsidRDefault="009A4BEE" w:rsidP="009A4BEE">
      <w:pPr>
        <w:pStyle w:val="ListParagraph"/>
        <w:widowControl/>
        <w:numPr>
          <w:ilvl w:val="1"/>
          <w:numId w:val="6"/>
        </w:numPr>
        <w:rPr>
          <w:szCs w:val="22"/>
        </w:rPr>
      </w:pPr>
      <w:r w:rsidRPr="009F2C59">
        <w:t>The re</w:t>
      </w:r>
      <w:r w:rsidR="00263253">
        <w:t>-</w:t>
      </w:r>
      <w:r w:rsidRPr="009F2C59">
        <w:t>submission presented a cost</w:t>
      </w:r>
      <w:r w:rsidR="00263253">
        <w:t>-</w:t>
      </w:r>
      <w:r w:rsidRPr="009F2C59">
        <w:t xml:space="preserve">utility analysis. The economic evaluation </w:t>
      </w:r>
      <w:r>
        <w:t>wa</w:t>
      </w:r>
      <w:r w:rsidRPr="009F2C59">
        <w:t xml:space="preserve">s largely </w:t>
      </w:r>
      <w:r>
        <w:t>unchanged from</w:t>
      </w:r>
      <w:r w:rsidRPr="009F2C59">
        <w:t xml:space="preserve"> the March 2015 re</w:t>
      </w:r>
      <w:r w:rsidR="00263253">
        <w:t>-</w:t>
      </w:r>
      <w:r w:rsidRPr="009F2C59">
        <w:t xml:space="preserve">submission. The key changes </w:t>
      </w:r>
      <w:r>
        <w:t>were</w:t>
      </w:r>
      <w:r w:rsidRPr="009F2C59">
        <w:t xml:space="preserve">: the assumed duration of treatment </w:t>
      </w:r>
      <w:r>
        <w:t>wa</w:t>
      </w:r>
      <w:r w:rsidRPr="009F2C59">
        <w:t xml:space="preserve">s reduced to 13.44 months </w:t>
      </w:r>
      <w:r>
        <w:t xml:space="preserve">in </w:t>
      </w:r>
      <w:r w:rsidRPr="009F2C59">
        <w:t>Scenario 1</w:t>
      </w:r>
      <w:r>
        <w:t xml:space="preserve"> (it</w:t>
      </w:r>
      <w:r w:rsidRPr="009F2C59">
        <w:t xml:space="preserve"> remained</w:t>
      </w:r>
      <w:r>
        <w:t xml:space="preserve"> at</w:t>
      </w:r>
      <w:r w:rsidRPr="009F2C59">
        <w:t xml:space="preserve"> 17.55 months </w:t>
      </w:r>
      <w:r>
        <w:t xml:space="preserve">for </w:t>
      </w:r>
      <w:r w:rsidRPr="009F2C59">
        <w:t xml:space="preserve">Scenario 2), the dispensed price of sorafenib </w:t>
      </w:r>
      <w:r>
        <w:t>wa</w:t>
      </w:r>
      <w:r w:rsidRPr="009F2C59">
        <w:t xml:space="preserve">s reduced to </w:t>
      </w:r>
      <w:r>
        <w:t>an</w:t>
      </w:r>
      <w:r w:rsidRPr="009F2C59">
        <w:t xml:space="preserve"> effective price of $</w:t>
      </w:r>
      <w:r w:rsidR="00EF72BF">
        <w:rPr>
          <w:noProof/>
          <w:color w:val="000000"/>
          <w:highlight w:val="black"/>
        </w:rPr>
        <w:t>'''''''''''''''''''''</w:t>
      </w:r>
      <w:r w:rsidRPr="009F2C59">
        <w:t xml:space="preserve"> in Scenario 1 and $</w:t>
      </w:r>
      <w:r w:rsidR="00EF72BF">
        <w:rPr>
          <w:noProof/>
          <w:color w:val="000000"/>
          <w:highlight w:val="black"/>
        </w:rPr>
        <w:t>'''''''''''''''''''</w:t>
      </w:r>
      <w:r w:rsidRPr="009F2C59">
        <w:t xml:space="preserve"> in Scenario 2, and the </w:t>
      </w:r>
      <w:r w:rsidR="00876518">
        <w:t xml:space="preserve">adjusted </w:t>
      </w:r>
      <w:r w:rsidRPr="009F2C59">
        <w:t xml:space="preserve">HR for OS </w:t>
      </w:r>
      <w:r>
        <w:t>was</w:t>
      </w:r>
      <w:r w:rsidRPr="009F2C59">
        <w:t xml:space="preserve"> </w:t>
      </w:r>
      <w:r w:rsidR="00876518">
        <w:t>changed</w:t>
      </w:r>
      <w:r w:rsidRPr="009F2C59">
        <w:t xml:space="preserve"> </w:t>
      </w:r>
      <w:r>
        <w:t xml:space="preserve">from 0.613 </w:t>
      </w:r>
      <w:r w:rsidRPr="009F2C59">
        <w:t xml:space="preserve">to 0.68. </w:t>
      </w:r>
      <w:r w:rsidR="00876518" w:rsidRPr="0084654C">
        <w:t xml:space="preserve">This adjustment was based on the RPSFT model which was </w:t>
      </w:r>
      <w:r w:rsidR="00876518" w:rsidRPr="0084654C">
        <w:rPr>
          <w:szCs w:val="22"/>
        </w:rPr>
        <w:t>previously not accepted by the PBAC.</w:t>
      </w:r>
      <w:r w:rsidR="00876518">
        <w:rPr>
          <w:i/>
          <w:szCs w:val="22"/>
        </w:rPr>
        <w:t xml:space="preserve"> </w:t>
      </w:r>
      <w:r>
        <w:t>The model structure is summarised below.</w:t>
      </w:r>
    </w:p>
    <w:p w:rsidR="009A4BEE" w:rsidRDefault="009A4BEE" w:rsidP="009A4BEE">
      <w:pPr>
        <w:widowControl/>
        <w:rPr>
          <w:szCs w:val="22"/>
        </w:rPr>
      </w:pPr>
    </w:p>
    <w:p w:rsidR="009A4BEE" w:rsidRDefault="009A4BEE" w:rsidP="009A4BEE">
      <w:pPr>
        <w:ind w:firstLine="720"/>
        <w:rPr>
          <w:rStyle w:val="CommentReference"/>
        </w:rPr>
      </w:pPr>
      <w:r w:rsidRPr="00A56B6A">
        <w:rPr>
          <w:rStyle w:val="CommentReference"/>
        </w:rPr>
        <w:t xml:space="preserve">Table </w:t>
      </w:r>
      <w:r w:rsidR="004F2AFD">
        <w:rPr>
          <w:rStyle w:val="CommentReference"/>
        </w:rPr>
        <w:t>8</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9A4BEE" w:rsidRPr="009F2C59" w:rsidTr="009A4BEE">
        <w:trPr>
          <w:tblHeader/>
        </w:trPr>
        <w:tc>
          <w:tcPr>
            <w:tcW w:w="1529" w:type="pct"/>
            <w:shd w:val="clear" w:color="auto" w:fill="auto"/>
            <w:vAlign w:val="center"/>
          </w:tcPr>
          <w:p w:rsidR="009A4BEE" w:rsidRPr="009F2C59" w:rsidRDefault="009A4BEE" w:rsidP="009A4BEE">
            <w:pPr>
              <w:jc w:val="left"/>
              <w:rPr>
                <w:rFonts w:ascii="Arial Narrow" w:eastAsia="SimSun" w:hAnsi="Arial Narrow"/>
                <w:b/>
                <w:sz w:val="20"/>
              </w:rPr>
            </w:pPr>
            <w:r w:rsidRPr="009F2C59">
              <w:rPr>
                <w:rFonts w:ascii="Arial Narrow" w:eastAsia="SimSun" w:hAnsi="Arial Narrow"/>
                <w:b/>
                <w:sz w:val="20"/>
              </w:rPr>
              <w:t>Component</w:t>
            </w:r>
          </w:p>
        </w:tc>
        <w:tc>
          <w:tcPr>
            <w:tcW w:w="3471" w:type="pct"/>
            <w:shd w:val="clear" w:color="auto" w:fill="auto"/>
            <w:vAlign w:val="center"/>
          </w:tcPr>
          <w:p w:rsidR="009A4BEE" w:rsidRPr="009F2C59" w:rsidRDefault="009A4BEE" w:rsidP="009A4BEE">
            <w:pPr>
              <w:jc w:val="center"/>
              <w:rPr>
                <w:rFonts w:ascii="Arial Narrow" w:eastAsia="SimSun" w:hAnsi="Arial Narrow"/>
                <w:b/>
                <w:sz w:val="20"/>
              </w:rPr>
            </w:pPr>
            <w:r w:rsidRPr="009F2C59">
              <w:rPr>
                <w:rFonts w:ascii="Arial Narrow" w:eastAsia="SimSun" w:hAnsi="Arial Narrow"/>
                <w:b/>
                <w:sz w:val="20"/>
              </w:rPr>
              <w:t>Summary</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Time horizon</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10 years (130 cycles) in the model base case versus 2 years in the trial</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Outcomes</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LYG and QALYs</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Methods used to generate results</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Cohort expected value analysis</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Health states</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Progression-fee, progressed and death</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Cycle length</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28 days</w:t>
            </w:r>
          </w:p>
        </w:tc>
      </w:tr>
      <w:tr w:rsidR="009A4BEE" w:rsidRPr="009F2C59" w:rsidTr="009A4BEE">
        <w:tc>
          <w:tcPr>
            <w:tcW w:w="1529"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Transition probabilities</w:t>
            </w:r>
          </w:p>
        </w:tc>
        <w:tc>
          <w:tcPr>
            <w:tcW w:w="3471" w:type="pct"/>
            <w:shd w:val="clear" w:color="auto" w:fill="auto"/>
            <w:vAlign w:val="center"/>
          </w:tcPr>
          <w:p w:rsidR="009A4BEE" w:rsidRPr="009F2C59" w:rsidRDefault="009A4BEE" w:rsidP="009A4BEE">
            <w:pPr>
              <w:jc w:val="left"/>
              <w:rPr>
                <w:rFonts w:ascii="Arial Narrow" w:eastAsia="SimSun" w:hAnsi="Arial Narrow"/>
                <w:sz w:val="20"/>
              </w:rPr>
            </w:pPr>
            <w:r w:rsidRPr="009F2C59">
              <w:rPr>
                <w:rFonts w:ascii="Arial Narrow" w:eastAsia="SimSun" w:hAnsi="Arial Narrow"/>
                <w:sz w:val="20"/>
              </w:rPr>
              <w:t>The proportion of patients in each health state is based on the modelled PFS and OS curves</w:t>
            </w:r>
          </w:p>
        </w:tc>
      </w:tr>
    </w:tbl>
    <w:p w:rsidR="009A4BEE" w:rsidRPr="009F2C59" w:rsidRDefault="009A4BEE" w:rsidP="009A4BEE">
      <w:pPr>
        <w:pStyle w:val="TableFooter"/>
        <w:ind w:left="720"/>
        <w:rPr>
          <w:rStyle w:val="CommentReference"/>
          <w:b w:val="0"/>
          <w:sz w:val="18"/>
          <w:szCs w:val="20"/>
        </w:rPr>
      </w:pPr>
      <w:r w:rsidRPr="009F2C59">
        <w:rPr>
          <w:rStyle w:val="CommentReference"/>
          <w:b w:val="0"/>
          <w:sz w:val="18"/>
          <w:szCs w:val="20"/>
        </w:rPr>
        <w:t>LYG = life years gained; QALY = quality-adjusted life-year; PFS = progression free survival; OS = overall survival.</w:t>
      </w:r>
    </w:p>
    <w:p w:rsidR="009A4BEE" w:rsidRPr="009F2C59" w:rsidRDefault="009A4BEE" w:rsidP="009A4BEE">
      <w:pPr>
        <w:pStyle w:val="TableFooter"/>
        <w:ind w:left="720"/>
        <w:rPr>
          <w:rStyle w:val="CommentReference"/>
          <w:b w:val="0"/>
          <w:sz w:val="18"/>
          <w:szCs w:val="20"/>
        </w:rPr>
      </w:pPr>
      <w:r w:rsidRPr="009F2C59">
        <w:rPr>
          <w:rStyle w:val="CommentReference"/>
          <w:b w:val="0"/>
          <w:sz w:val="18"/>
          <w:szCs w:val="20"/>
        </w:rPr>
        <w:t>Source: compiled during the evaluation</w:t>
      </w:r>
    </w:p>
    <w:p w:rsidR="009A4BEE" w:rsidRPr="00275C5A" w:rsidRDefault="009A4BEE" w:rsidP="009A4BEE">
      <w:pPr>
        <w:widowControl/>
        <w:rPr>
          <w:szCs w:val="22"/>
        </w:rPr>
      </w:pPr>
    </w:p>
    <w:p w:rsidR="009A4BEE" w:rsidRPr="0021610A" w:rsidRDefault="009A4BEE" w:rsidP="009A4BEE">
      <w:pPr>
        <w:pStyle w:val="ListParagraph"/>
        <w:widowControl/>
        <w:numPr>
          <w:ilvl w:val="1"/>
          <w:numId w:val="6"/>
        </w:numPr>
        <w:rPr>
          <w:szCs w:val="22"/>
        </w:rPr>
      </w:pPr>
      <w:r>
        <w:t xml:space="preserve">The key driver for the economic model was the </w:t>
      </w:r>
      <w:r w:rsidRPr="0021610A">
        <w:t xml:space="preserve">OS benefit </w:t>
      </w:r>
      <w:r>
        <w:t>with</w:t>
      </w:r>
      <w:r w:rsidRPr="0021610A">
        <w:t xml:space="preserve"> sorafenib over BSC</w:t>
      </w:r>
      <w:r>
        <w:t>.</w:t>
      </w:r>
    </w:p>
    <w:p w:rsidR="009A4BEE" w:rsidRDefault="009A4BEE" w:rsidP="009A4BEE">
      <w:pPr>
        <w:widowControl/>
        <w:rPr>
          <w:szCs w:val="22"/>
        </w:rPr>
      </w:pPr>
    </w:p>
    <w:p w:rsidR="009A4BEE" w:rsidRPr="00BF7549" w:rsidRDefault="009A4BEE" w:rsidP="00C06290">
      <w:pPr>
        <w:pStyle w:val="ListParagraph"/>
        <w:widowControl/>
        <w:numPr>
          <w:ilvl w:val="1"/>
          <w:numId w:val="6"/>
        </w:numPr>
        <w:rPr>
          <w:szCs w:val="22"/>
        </w:rPr>
      </w:pPr>
      <w:r w:rsidRPr="00BF7549">
        <w:rPr>
          <w:szCs w:val="22"/>
        </w:rPr>
        <w:t xml:space="preserve">The results of the economic evaluation are summarised below. The </w:t>
      </w:r>
      <w:r w:rsidR="002B253C" w:rsidRPr="00BF7549">
        <w:rPr>
          <w:szCs w:val="22"/>
        </w:rPr>
        <w:t xml:space="preserve">re-submission sought to </w:t>
      </w:r>
      <w:r w:rsidRPr="00BF7549">
        <w:rPr>
          <w:szCs w:val="22"/>
        </w:rPr>
        <w:t xml:space="preserve">address the uncertainty regarding the incremental gain in OS by </w:t>
      </w:r>
      <w:r w:rsidR="00263253" w:rsidRPr="00BF7549">
        <w:rPr>
          <w:szCs w:val="22"/>
        </w:rPr>
        <w:t>changing</w:t>
      </w:r>
      <w:r w:rsidRPr="00BF7549">
        <w:rPr>
          <w:szCs w:val="22"/>
        </w:rPr>
        <w:t xml:space="preserve"> the </w:t>
      </w:r>
      <w:r w:rsidR="00876518" w:rsidRPr="00BF7549">
        <w:rPr>
          <w:szCs w:val="22"/>
        </w:rPr>
        <w:t xml:space="preserve">adjusted </w:t>
      </w:r>
      <w:r w:rsidRPr="00BF7549">
        <w:rPr>
          <w:szCs w:val="22"/>
        </w:rPr>
        <w:t>OS HR by 10%</w:t>
      </w:r>
      <w:r w:rsidR="00263253" w:rsidRPr="00BF7549">
        <w:rPr>
          <w:szCs w:val="22"/>
        </w:rPr>
        <w:t xml:space="preserve"> (from 0.613 to 0.68)</w:t>
      </w:r>
      <w:r w:rsidRPr="00BF7549">
        <w:rPr>
          <w:szCs w:val="22"/>
        </w:rPr>
        <w:t xml:space="preserve">. </w:t>
      </w:r>
      <w:r w:rsidR="00C06290" w:rsidRPr="00BF7549">
        <w:rPr>
          <w:szCs w:val="22"/>
        </w:rPr>
        <w:t xml:space="preserve">The ESC considered that this adjustment was arbitrary and not adequately justified by the submission. Additionally, the ESC noted that the adjusted OS HR used (0.613) was from the first data cut-off – at the latest data cut-off, the adjusted OS HR was 0.69. </w:t>
      </w:r>
      <w:r w:rsidRPr="00BF7549">
        <w:rPr>
          <w:szCs w:val="22"/>
        </w:rPr>
        <w:t>The analysis requ</w:t>
      </w:r>
      <w:r w:rsidR="00263253" w:rsidRPr="00BF7549">
        <w:rPr>
          <w:szCs w:val="22"/>
        </w:rPr>
        <w:t>ested by the PBAC with the post-</w:t>
      </w:r>
      <w:r w:rsidRPr="00BF7549">
        <w:rPr>
          <w:szCs w:val="22"/>
        </w:rPr>
        <w:t>progression utility value set to zero (</w:t>
      </w:r>
      <w:r w:rsidRPr="00BF7549">
        <w:t xml:space="preserve">so that the modelled </w:t>
      </w:r>
      <w:r w:rsidRPr="00BF7549">
        <w:lastRenderedPageBreak/>
        <w:t>gain in OS approximates the gain in PFS)</w:t>
      </w:r>
      <w:r w:rsidRPr="00BF7549">
        <w:rPr>
          <w:szCs w:val="22"/>
        </w:rPr>
        <w:t xml:space="preserve"> was not included in the re-submission. This analysis was undertaken during the evaluation. An additional analysis was undertaken during the evaluation whereby the HR for OS was adjusted so that the gain in OS was the same as the gain in PFS.</w:t>
      </w:r>
    </w:p>
    <w:p w:rsidR="009A4BEE" w:rsidRPr="00BF7549" w:rsidRDefault="009A4BEE" w:rsidP="009A4BEE">
      <w:pPr>
        <w:widowControl/>
        <w:rPr>
          <w:szCs w:val="22"/>
        </w:rPr>
      </w:pPr>
    </w:p>
    <w:p w:rsidR="009A4BEE" w:rsidRDefault="009A4BEE" w:rsidP="009A4BEE">
      <w:pPr>
        <w:keepNext/>
        <w:ind w:firstLine="720"/>
        <w:rPr>
          <w:rStyle w:val="CommentReference"/>
        </w:rPr>
      </w:pPr>
      <w:r>
        <w:rPr>
          <w:rStyle w:val="CommentReference"/>
        </w:rPr>
        <w:t xml:space="preserve">Table </w:t>
      </w:r>
      <w:r w:rsidR="004F2AFD">
        <w:rPr>
          <w:rStyle w:val="CommentReference"/>
        </w:rPr>
        <w:t>9</w:t>
      </w:r>
      <w:r>
        <w:rPr>
          <w:rStyle w:val="CommentReference"/>
        </w:rPr>
        <w:t xml:space="preserve">: </w:t>
      </w:r>
      <w:r w:rsidRPr="002C7E40">
        <w:rPr>
          <w:rStyle w:val="CommentReference"/>
        </w:rPr>
        <w:t>Incremental</w:t>
      </w:r>
      <w:r w:rsidRPr="00A97580">
        <w:rPr>
          <w:rStyle w:val="CommentReference"/>
        </w:rPr>
        <w:t xml:space="preserve"> results </w:t>
      </w:r>
      <w:r w:rsidR="00263253">
        <w:rPr>
          <w:rStyle w:val="CommentReference"/>
        </w:rPr>
        <w:t>of the economic evaluation</w:t>
      </w:r>
    </w:p>
    <w:tbl>
      <w:tblPr>
        <w:tblStyle w:val="TableGrid"/>
        <w:tblW w:w="8222" w:type="dxa"/>
        <w:tblInd w:w="737" w:type="dxa"/>
        <w:tblLayout w:type="fixed"/>
        <w:tblCellMar>
          <w:left w:w="28" w:type="dxa"/>
          <w:right w:w="28" w:type="dxa"/>
        </w:tblCellMar>
        <w:tblLook w:val="04A0" w:firstRow="1" w:lastRow="0" w:firstColumn="1" w:lastColumn="0" w:noHBand="0" w:noVBand="1"/>
        <w:tblCaption w:val="Table 9: Incremental results of the economic evaluation"/>
      </w:tblPr>
      <w:tblGrid>
        <w:gridCol w:w="986"/>
        <w:gridCol w:w="1135"/>
        <w:gridCol w:w="856"/>
        <w:gridCol w:w="1839"/>
        <w:gridCol w:w="568"/>
        <w:gridCol w:w="568"/>
        <w:gridCol w:w="709"/>
        <w:gridCol w:w="672"/>
        <w:gridCol w:w="34"/>
        <w:gridCol w:w="855"/>
      </w:tblGrid>
      <w:tr w:rsidR="009A4BEE" w:rsidRPr="002F24B0" w:rsidTr="00E74830">
        <w:trPr>
          <w:trHeight w:val="227"/>
          <w:tblHeader/>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 </w:t>
            </w:r>
          </w:p>
        </w:tc>
        <w:tc>
          <w:tcPr>
            <w:tcW w:w="1135" w:type="dxa"/>
            <w:noWrap/>
            <w:vAlign w:val="center"/>
            <w:hideMark/>
          </w:tcPr>
          <w:p w:rsidR="009A4BEE" w:rsidRPr="00F51F76" w:rsidRDefault="009A4BEE" w:rsidP="009A4BEE">
            <w:pPr>
              <w:keepNext/>
              <w:jc w:val="left"/>
              <w:rPr>
                <w:rFonts w:ascii="Arial Narrow" w:hAnsi="Arial Narrow"/>
                <w:b/>
                <w:bCs/>
                <w:sz w:val="18"/>
                <w:szCs w:val="18"/>
              </w:rPr>
            </w:pPr>
            <w:r>
              <w:rPr>
                <w:rFonts w:ascii="Arial Narrow" w:hAnsi="Arial Narrow"/>
                <w:b/>
                <w:bCs/>
                <w:sz w:val="18"/>
                <w:szCs w:val="18"/>
              </w:rPr>
              <w:t>Analysis</w:t>
            </w:r>
          </w:p>
        </w:tc>
        <w:tc>
          <w:tcPr>
            <w:tcW w:w="856" w:type="dxa"/>
            <w:noWrap/>
            <w:vAlign w:val="center"/>
            <w:hideMark/>
          </w:tcPr>
          <w:p w:rsidR="009A4BEE" w:rsidRPr="00F51F76" w:rsidRDefault="009A4BEE" w:rsidP="009A4BEE">
            <w:pPr>
              <w:keepNext/>
              <w:jc w:val="left"/>
              <w:rPr>
                <w:rFonts w:ascii="Arial Narrow" w:hAnsi="Arial Narrow"/>
                <w:b/>
                <w:bCs/>
                <w:sz w:val="18"/>
                <w:szCs w:val="18"/>
              </w:rPr>
            </w:pPr>
            <w:r w:rsidRPr="00F51F76">
              <w:rPr>
                <w:rFonts w:ascii="Arial Narrow" w:hAnsi="Arial Narrow"/>
                <w:b/>
                <w:bCs/>
                <w:sz w:val="18"/>
                <w:szCs w:val="18"/>
              </w:rPr>
              <w:t>DPMQ</w:t>
            </w:r>
          </w:p>
        </w:tc>
        <w:tc>
          <w:tcPr>
            <w:tcW w:w="1839" w:type="dxa"/>
            <w:noWrap/>
            <w:vAlign w:val="center"/>
            <w:hideMark/>
          </w:tcPr>
          <w:p w:rsidR="009A4BEE" w:rsidRDefault="009A4BEE" w:rsidP="009A4BEE">
            <w:pPr>
              <w:keepNext/>
              <w:jc w:val="left"/>
              <w:rPr>
                <w:rFonts w:ascii="Arial Narrow" w:hAnsi="Arial Narrow"/>
                <w:b/>
                <w:bCs/>
                <w:sz w:val="18"/>
                <w:szCs w:val="18"/>
              </w:rPr>
            </w:pPr>
            <w:r>
              <w:rPr>
                <w:rFonts w:ascii="Arial Narrow" w:hAnsi="Arial Narrow"/>
                <w:b/>
                <w:bCs/>
                <w:sz w:val="18"/>
                <w:szCs w:val="18"/>
              </w:rPr>
              <w:t>Model parameters:</w:t>
            </w:r>
          </w:p>
          <w:p w:rsidR="009A4BEE" w:rsidRDefault="009A4BEE" w:rsidP="009A4BEE">
            <w:pPr>
              <w:keepNext/>
              <w:jc w:val="left"/>
              <w:rPr>
                <w:rFonts w:ascii="Arial Narrow" w:hAnsi="Arial Narrow"/>
                <w:b/>
                <w:bCs/>
                <w:sz w:val="18"/>
                <w:szCs w:val="18"/>
              </w:rPr>
            </w:pPr>
            <w:r>
              <w:rPr>
                <w:rFonts w:ascii="Arial Narrow" w:hAnsi="Arial Narrow"/>
                <w:b/>
                <w:bCs/>
                <w:sz w:val="18"/>
                <w:szCs w:val="18"/>
              </w:rPr>
              <w:t>Treatment duration (months)</w:t>
            </w:r>
          </w:p>
          <w:p w:rsidR="009A4BEE" w:rsidRPr="00F51F76" w:rsidRDefault="009A4BEE" w:rsidP="009A4BEE">
            <w:pPr>
              <w:keepNext/>
              <w:jc w:val="left"/>
              <w:rPr>
                <w:rFonts w:ascii="Arial Narrow" w:hAnsi="Arial Narrow"/>
                <w:b/>
                <w:bCs/>
                <w:sz w:val="18"/>
                <w:szCs w:val="18"/>
              </w:rPr>
            </w:pPr>
            <w:r w:rsidRPr="00F51F76">
              <w:rPr>
                <w:rFonts w:ascii="Arial Narrow" w:hAnsi="Arial Narrow"/>
                <w:b/>
                <w:bCs/>
                <w:sz w:val="18"/>
                <w:szCs w:val="18"/>
              </w:rPr>
              <w:t>OS HR</w:t>
            </w:r>
          </w:p>
          <w:p w:rsidR="009A4BEE" w:rsidRPr="00F51F76" w:rsidRDefault="009A4BEE" w:rsidP="009A4BEE">
            <w:pPr>
              <w:keepNext/>
              <w:jc w:val="left"/>
              <w:rPr>
                <w:rFonts w:ascii="Arial Narrow" w:hAnsi="Arial Narrow"/>
                <w:b/>
                <w:bCs/>
                <w:sz w:val="18"/>
                <w:szCs w:val="18"/>
              </w:rPr>
            </w:pPr>
            <w:r w:rsidRPr="00F51F76">
              <w:rPr>
                <w:rFonts w:ascii="Arial Narrow" w:hAnsi="Arial Narrow"/>
                <w:b/>
                <w:bCs/>
                <w:sz w:val="18"/>
                <w:szCs w:val="18"/>
              </w:rPr>
              <w:t>Post</w:t>
            </w:r>
            <w:r w:rsidR="00263253">
              <w:rPr>
                <w:rFonts w:ascii="Arial Narrow" w:hAnsi="Arial Narrow"/>
                <w:b/>
                <w:bCs/>
                <w:sz w:val="18"/>
                <w:szCs w:val="18"/>
              </w:rPr>
              <w:t>-progression utility</w:t>
            </w:r>
          </w:p>
        </w:tc>
        <w:tc>
          <w:tcPr>
            <w:tcW w:w="568" w:type="dxa"/>
            <w:noWrap/>
            <w:vAlign w:val="center"/>
            <w:hideMark/>
          </w:tcPr>
          <w:p w:rsidR="009A4BEE" w:rsidRPr="00F51F76" w:rsidRDefault="009A4BEE" w:rsidP="007A2883">
            <w:pPr>
              <w:keepNext/>
              <w:jc w:val="center"/>
              <w:rPr>
                <w:rFonts w:ascii="Arial Narrow" w:hAnsi="Arial Narrow"/>
                <w:b/>
                <w:bCs/>
                <w:sz w:val="18"/>
                <w:szCs w:val="18"/>
              </w:rPr>
            </w:pPr>
            <w:r w:rsidRPr="00F51F76">
              <w:rPr>
                <w:rFonts w:ascii="Arial Narrow" w:hAnsi="Arial Narrow"/>
                <w:b/>
                <w:bCs/>
                <w:sz w:val="18"/>
                <w:szCs w:val="18"/>
              </w:rPr>
              <w:t>PFS</w:t>
            </w:r>
          </w:p>
        </w:tc>
        <w:tc>
          <w:tcPr>
            <w:tcW w:w="568" w:type="dxa"/>
            <w:noWrap/>
            <w:vAlign w:val="center"/>
            <w:hideMark/>
          </w:tcPr>
          <w:p w:rsidR="009A4BEE" w:rsidRPr="00F51F76" w:rsidRDefault="009A4BEE" w:rsidP="007A2883">
            <w:pPr>
              <w:keepNext/>
              <w:jc w:val="center"/>
              <w:rPr>
                <w:rFonts w:ascii="Arial Narrow" w:hAnsi="Arial Narrow"/>
                <w:b/>
                <w:bCs/>
                <w:sz w:val="18"/>
                <w:szCs w:val="18"/>
              </w:rPr>
            </w:pPr>
            <w:r w:rsidRPr="00F51F76">
              <w:rPr>
                <w:rFonts w:ascii="Arial Narrow" w:hAnsi="Arial Narrow"/>
                <w:b/>
                <w:bCs/>
                <w:sz w:val="18"/>
                <w:szCs w:val="18"/>
              </w:rPr>
              <w:t>LY</w:t>
            </w:r>
          </w:p>
        </w:tc>
        <w:tc>
          <w:tcPr>
            <w:tcW w:w="709" w:type="dxa"/>
            <w:noWrap/>
            <w:vAlign w:val="center"/>
            <w:hideMark/>
          </w:tcPr>
          <w:p w:rsidR="009A4BEE" w:rsidRPr="00F51F76" w:rsidRDefault="009A4BEE" w:rsidP="007A2883">
            <w:pPr>
              <w:keepNext/>
              <w:jc w:val="center"/>
              <w:rPr>
                <w:rFonts w:ascii="Arial Narrow" w:hAnsi="Arial Narrow"/>
                <w:b/>
                <w:bCs/>
                <w:sz w:val="18"/>
                <w:szCs w:val="18"/>
              </w:rPr>
            </w:pPr>
            <w:r w:rsidRPr="00F51F76">
              <w:rPr>
                <w:rFonts w:ascii="Arial Narrow" w:hAnsi="Arial Narrow"/>
                <w:b/>
                <w:bCs/>
                <w:sz w:val="18"/>
                <w:szCs w:val="18"/>
              </w:rPr>
              <w:t>QALY</w:t>
            </w:r>
          </w:p>
        </w:tc>
        <w:tc>
          <w:tcPr>
            <w:tcW w:w="672" w:type="dxa"/>
            <w:noWrap/>
            <w:vAlign w:val="center"/>
            <w:hideMark/>
          </w:tcPr>
          <w:p w:rsidR="009A4BEE" w:rsidRPr="00F51F76" w:rsidRDefault="009A4BEE" w:rsidP="007A2883">
            <w:pPr>
              <w:keepNext/>
              <w:jc w:val="center"/>
              <w:rPr>
                <w:rFonts w:ascii="Arial Narrow" w:hAnsi="Arial Narrow"/>
                <w:b/>
                <w:bCs/>
                <w:sz w:val="18"/>
                <w:szCs w:val="18"/>
              </w:rPr>
            </w:pPr>
            <w:r w:rsidRPr="00F51F76">
              <w:rPr>
                <w:rFonts w:ascii="Arial Narrow" w:hAnsi="Arial Narrow"/>
                <w:b/>
                <w:bCs/>
                <w:sz w:val="18"/>
                <w:szCs w:val="18"/>
              </w:rPr>
              <w:t>Cost</w:t>
            </w:r>
          </w:p>
        </w:tc>
        <w:tc>
          <w:tcPr>
            <w:tcW w:w="889" w:type="dxa"/>
            <w:gridSpan w:val="2"/>
            <w:noWrap/>
            <w:vAlign w:val="center"/>
            <w:hideMark/>
          </w:tcPr>
          <w:p w:rsidR="009A4BEE" w:rsidRPr="00F51F76" w:rsidRDefault="009A4BEE" w:rsidP="007A2883">
            <w:pPr>
              <w:keepNext/>
              <w:jc w:val="center"/>
              <w:rPr>
                <w:rFonts w:ascii="Arial Narrow" w:hAnsi="Arial Narrow"/>
                <w:b/>
                <w:bCs/>
                <w:sz w:val="18"/>
                <w:szCs w:val="18"/>
              </w:rPr>
            </w:pPr>
            <w:r w:rsidRPr="00F51F76">
              <w:rPr>
                <w:rFonts w:ascii="Arial Narrow" w:hAnsi="Arial Narrow"/>
                <w:b/>
                <w:bCs/>
                <w:sz w:val="18"/>
                <w:szCs w:val="18"/>
              </w:rPr>
              <w:t>Cost/QALY gained</w:t>
            </w:r>
          </w:p>
        </w:tc>
      </w:tr>
      <w:tr w:rsidR="009A4BEE" w:rsidRPr="002F24B0" w:rsidTr="009A4BEE">
        <w:trPr>
          <w:trHeight w:val="227"/>
        </w:trPr>
        <w:tc>
          <w:tcPr>
            <w:tcW w:w="8222" w:type="dxa"/>
            <w:gridSpan w:val="10"/>
            <w:noWrap/>
            <w:vAlign w:val="center"/>
          </w:tcPr>
          <w:p w:rsidR="009A4BEE" w:rsidRPr="008B2A4B" w:rsidRDefault="009A4BEE" w:rsidP="009A4BEE">
            <w:pPr>
              <w:keepNext/>
              <w:jc w:val="left"/>
              <w:rPr>
                <w:rFonts w:ascii="Arial Narrow" w:hAnsi="Arial Narrow"/>
                <w:b/>
                <w:sz w:val="18"/>
                <w:szCs w:val="18"/>
              </w:rPr>
            </w:pPr>
            <w:r w:rsidRPr="008B2A4B">
              <w:rPr>
                <w:rFonts w:ascii="Arial Narrow" w:hAnsi="Arial Narrow"/>
                <w:b/>
                <w:sz w:val="18"/>
                <w:szCs w:val="18"/>
              </w:rPr>
              <w:t>March 2015 re-submission</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F51F76" w:rsidRDefault="009A4BEE" w:rsidP="009A4BEE">
            <w:pPr>
              <w:keepNext/>
              <w:jc w:val="left"/>
              <w:rPr>
                <w:rFonts w:ascii="Arial Narrow" w:hAnsi="Arial Narrow"/>
                <w:sz w:val="18"/>
                <w:szCs w:val="18"/>
              </w:rPr>
            </w:pPr>
            <w:r>
              <w:rPr>
                <w:rFonts w:ascii="Arial Narrow" w:hAnsi="Arial Narrow"/>
                <w:sz w:val="18"/>
                <w:szCs w:val="18"/>
              </w:rPr>
              <w:t>Base case</w:t>
            </w:r>
          </w:p>
        </w:tc>
        <w:tc>
          <w:tcPr>
            <w:tcW w:w="856" w:type="dxa"/>
            <w:vMerge w:val="restart"/>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1839" w:type="dxa"/>
            <w:vMerge w:val="restart"/>
            <w:noWrap/>
            <w:vAlign w:val="center"/>
            <w:hideMark/>
          </w:tcPr>
          <w:p w:rsidR="009A4BEE" w:rsidRDefault="009A4BEE" w:rsidP="009A4BEE">
            <w:pPr>
              <w:keepNext/>
              <w:jc w:val="left"/>
              <w:rPr>
                <w:rFonts w:ascii="Arial Narrow" w:hAnsi="Arial Narrow"/>
                <w:sz w:val="18"/>
                <w:szCs w:val="18"/>
              </w:rPr>
            </w:pPr>
            <w:r>
              <w:rPr>
                <w:rFonts w:ascii="Arial Narrow" w:hAnsi="Arial Narrow"/>
                <w:sz w:val="18"/>
                <w:szCs w:val="18"/>
              </w:rPr>
              <w:t>Treatment duration: 17.55</w:t>
            </w:r>
          </w:p>
          <w:p w:rsidR="009A4BEE" w:rsidRPr="00F51F76" w:rsidRDefault="009A4BEE" w:rsidP="009A4BEE">
            <w:pPr>
              <w:keepNext/>
              <w:jc w:val="left"/>
              <w:rPr>
                <w:rFonts w:ascii="Arial Narrow" w:hAnsi="Arial Narrow"/>
                <w:sz w:val="18"/>
                <w:szCs w:val="18"/>
              </w:rPr>
            </w:pPr>
            <w:r>
              <w:rPr>
                <w:rFonts w:ascii="Arial Narrow" w:hAnsi="Arial Narrow"/>
                <w:sz w:val="18"/>
                <w:szCs w:val="18"/>
              </w:rPr>
              <w:t xml:space="preserve">OS HR: </w:t>
            </w:r>
            <w:r w:rsidRPr="00F51F76">
              <w:rPr>
                <w:rFonts w:ascii="Arial Narrow" w:hAnsi="Arial Narrow"/>
                <w:sz w:val="18"/>
                <w:szCs w:val="18"/>
              </w:rPr>
              <w:t>0.613</w:t>
            </w:r>
          </w:p>
          <w:p w:rsidR="009A4BEE" w:rsidRPr="00F51F76" w:rsidRDefault="009A4BEE" w:rsidP="009A4BEE">
            <w:pPr>
              <w:keepNext/>
              <w:jc w:val="left"/>
              <w:rPr>
                <w:rFonts w:ascii="Arial Narrow" w:hAnsi="Arial Narrow"/>
                <w:sz w:val="18"/>
                <w:szCs w:val="18"/>
              </w:rPr>
            </w:pPr>
            <w:r>
              <w:rPr>
                <w:rFonts w:ascii="Arial Narrow" w:hAnsi="Arial Narrow"/>
                <w:sz w:val="18"/>
                <w:szCs w:val="18"/>
              </w:rPr>
              <w:t xml:space="preserve">Utility: </w:t>
            </w:r>
            <w:r w:rsidRPr="00F51F76">
              <w:rPr>
                <w:rFonts w:ascii="Arial Narrow" w:hAnsi="Arial Narrow"/>
                <w:sz w:val="18"/>
                <w:szCs w:val="18"/>
              </w:rPr>
              <w:t>0.637</w:t>
            </w:r>
            <w:r w:rsidRPr="008B2A4B">
              <w:rPr>
                <w:rFonts w:ascii="Arial Narrow" w:hAnsi="Arial Narrow"/>
                <w:sz w:val="18"/>
                <w:szCs w:val="18"/>
                <w:vertAlign w:val="superscript"/>
              </w:rPr>
              <w:t>b</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1.10</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3.62</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2.39</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889" w:type="dxa"/>
            <w:gridSpan w:val="2"/>
            <w:vMerge w:val="restart"/>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F51F76" w:rsidRDefault="009A4BEE" w:rsidP="009A4BEE">
            <w:pPr>
              <w:keepNext/>
              <w:jc w:val="left"/>
              <w:rPr>
                <w:rFonts w:ascii="Arial Narrow" w:hAnsi="Arial Narrow"/>
                <w:sz w:val="18"/>
                <w:szCs w:val="18"/>
              </w:rPr>
            </w:pPr>
          </w:p>
        </w:tc>
        <w:tc>
          <w:tcPr>
            <w:tcW w:w="1839" w:type="dxa"/>
            <w:vMerge/>
            <w:noWrap/>
            <w:vAlign w:val="center"/>
            <w:hideMark/>
          </w:tcPr>
          <w:p w:rsidR="009A4BEE" w:rsidRPr="00F51F76" w:rsidRDefault="009A4BEE" w:rsidP="009A4BEE">
            <w:pPr>
              <w:keepNext/>
              <w:jc w:val="left"/>
              <w:rPr>
                <w:rFonts w:ascii="Arial Narrow" w:hAnsi="Arial Narrow"/>
                <w:sz w:val="18"/>
                <w:szCs w:val="18"/>
              </w:rPr>
            </w:pP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0.62</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2.67</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1.80</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$6</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F51F76" w:rsidRDefault="009A4BEE" w:rsidP="009A4BEE">
            <w:pPr>
              <w:keepNext/>
              <w:jc w:val="left"/>
              <w:rPr>
                <w:rFonts w:ascii="Arial Narrow" w:hAnsi="Arial Narrow"/>
                <w:sz w:val="18"/>
                <w:szCs w:val="18"/>
              </w:rPr>
            </w:pPr>
          </w:p>
        </w:tc>
        <w:tc>
          <w:tcPr>
            <w:tcW w:w="1839" w:type="dxa"/>
            <w:vMerge/>
            <w:noWrap/>
            <w:vAlign w:val="center"/>
            <w:hideMark/>
          </w:tcPr>
          <w:p w:rsidR="009A4BEE" w:rsidRPr="00F51F76" w:rsidRDefault="009A4BEE" w:rsidP="009A4BEE">
            <w:pPr>
              <w:keepNext/>
              <w:jc w:val="left"/>
              <w:rPr>
                <w:rFonts w:ascii="Arial Narrow" w:hAnsi="Arial Narrow"/>
                <w:sz w:val="18"/>
                <w:szCs w:val="18"/>
              </w:rPr>
            </w:pP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0.48</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0.95</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0.59</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8B2A4B" w:rsidRDefault="009A4BEE" w:rsidP="009A4BEE">
            <w:pPr>
              <w:keepNext/>
              <w:jc w:val="left"/>
              <w:rPr>
                <w:rFonts w:ascii="Arial Narrow" w:hAnsi="Arial Narrow"/>
                <w:sz w:val="18"/>
                <w:szCs w:val="18"/>
              </w:rPr>
            </w:pPr>
            <w:r w:rsidRPr="008B2A4B">
              <w:rPr>
                <w:rFonts w:ascii="Arial Narrow" w:hAnsi="Arial Narrow"/>
                <w:sz w:val="18"/>
                <w:szCs w:val="18"/>
              </w:rPr>
              <w:t>Post progression utility of 0</w:t>
            </w:r>
          </w:p>
        </w:tc>
        <w:tc>
          <w:tcPr>
            <w:tcW w:w="856" w:type="dxa"/>
            <w:vMerge w:val="restart"/>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1839" w:type="dxa"/>
            <w:vMerge w:val="restart"/>
            <w:noWrap/>
            <w:vAlign w:val="center"/>
            <w:hideMark/>
          </w:tcPr>
          <w:p w:rsidR="00A20623" w:rsidRDefault="00A20623" w:rsidP="009A4BEE">
            <w:pPr>
              <w:keepNext/>
              <w:jc w:val="left"/>
              <w:rPr>
                <w:rFonts w:ascii="Arial Narrow" w:hAnsi="Arial Narrow"/>
                <w:sz w:val="18"/>
                <w:szCs w:val="18"/>
              </w:rPr>
            </w:pPr>
            <w:r>
              <w:rPr>
                <w:rFonts w:ascii="Arial Narrow" w:hAnsi="Arial Narrow"/>
                <w:sz w:val="18"/>
                <w:szCs w:val="18"/>
              </w:rPr>
              <w:t>Treatment duration: 17.55</w:t>
            </w:r>
          </w:p>
          <w:p w:rsidR="009A4BEE" w:rsidRPr="00F51F76" w:rsidRDefault="009A4BEE" w:rsidP="009A4BEE">
            <w:pPr>
              <w:keepNext/>
              <w:jc w:val="left"/>
              <w:rPr>
                <w:rFonts w:ascii="Arial Narrow" w:hAnsi="Arial Narrow"/>
                <w:sz w:val="18"/>
                <w:szCs w:val="18"/>
              </w:rPr>
            </w:pPr>
            <w:r>
              <w:rPr>
                <w:rFonts w:ascii="Arial Narrow" w:hAnsi="Arial Narrow"/>
                <w:sz w:val="18"/>
                <w:szCs w:val="18"/>
              </w:rPr>
              <w:t xml:space="preserve">OS HR: </w:t>
            </w:r>
            <w:r w:rsidRPr="00F51F76">
              <w:rPr>
                <w:rFonts w:ascii="Arial Narrow" w:hAnsi="Arial Narrow"/>
                <w:sz w:val="18"/>
                <w:szCs w:val="18"/>
              </w:rPr>
              <w:t>0.613</w:t>
            </w:r>
          </w:p>
          <w:p w:rsidR="009A4BEE" w:rsidRPr="00F51F76" w:rsidRDefault="009A4BEE" w:rsidP="009A4BEE">
            <w:pPr>
              <w:keepNext/>
              <w:jc w:val="left"/>
              <w:rPr>
                <w:rFonts w:ascii="Arial Narrow" w:hAnsi="Arial Narrow"/>
                <w:sz w:val="18"/>
                <w:szCs w:val="18"/>
              </w:rPr>
            </w:pPr>
            <w:r>
              <w:rPr>
                <w:rFonts w:ascii="Arial Narrow" w:hAnsi="Arial Narrow"/>
                <w:sz w:val="18"/>
                <w:szCs w:val="18"/>
              </w:rPr>
              <w:t xml:space="preserve">Utility: </w:t>
            </w:r>
            <w:r w:rsidRPr="00F51F76">
              <w:rPr>
                <w:rFonts w:ascii="Arial Narrow" w:hAnsi="Arial Narrow"/>
                <w:sz w:val="18"/>
                <w:szCs w:val="18"/>
              </w:rPr>
              <w:t>0</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1.10</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0.79</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889" w:type="dxa"/>
            <w:gridSpan w:val="2"/>
            <w:vMerge w:val="restart"/>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F51F76" w:rsidRDefault="009A4BEE" w:rsidP="009A4BEE">
            <w:pPr>
              <w:keepNext/>
              <w:jc w:val="left"/>
              <w:rPr>
                <w:rFonts w:ascii="Arial Narrow" w:hAnsi="Arial Narrow"/>
                <w:sz w:val="18"/>
                <w:szCs w:val="18"/>
              </w:rPr>
            </w:pPr>
          </w:p>
        </w:tc>
        <w:tc>
          <w:tcPr>
            <w:tcW w:w="1839" w:type="dxa"/>
            <w:vMerge/>
            <w:noWrap/>
            <w:vAlign w:val="center"/>
            <w:hideMark/>
          </w:tcPr>
          <w:p w:rsidR="009A4BEE" w:rsidRPr="00F51F76" w:rsidRDefault="009A4BEE" w:rsidP="009A4BEE">
            <w:pPr>
              <w:keepNext/>
              <w:jc w:val="left"/>
              <w:rPr>
                <w:rFonts w:ascii="Arial Narrow" w:hAnsi="Arial Narrow"/>
                <w:sz w:val="18"/>
                <w:szCs w:val="18"/>
              </w:rPr>
            </w:pP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0.62</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0.50</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$6</w:t>
            </w:r>
          </w:p>
        </w:tc>
        <w:tc>
          <w:tcPr>
            <w:tcW w:w="889" w:type="dxa"/>
            <w:gridSpan w:val="2"/>
            <w:vMerge/>
            <w:noWrap/>
            <w:vAlign w:val="center"/>
            <w:hideMark/>
          </w:tcPr>
          <w:p w:rsidR="009A4BEE" w:rsidRPr="00F51F76" w:rsidRDefault="009A4BEE" w:rsidP="007A2883">
            <w:pPr>
              <w:keepNext/>
              <w:jc w:val="center"/>
              <w:rPr>
                <w:rFonts w:ascii="Arial Narrow" w:hAnsi="Arial Narrow"/>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F51F76" w:rsidRDefault="009A4BEE" w:rsidP="009A4BEE">
            <w:pPr>
              <w:keepNext/>
              <w:jc w:val="left"/>
              <w:rPr>
                <w:rFonts w:ascii="Arial Narrow" w:hAnsi="Arial Narrow"/>
                <w:sz w:val="18"/>
                <w:szCs w:val="18"/>
              </w:rPr>
            </w:pPr>
          </w:p>
        </w:tc>
        <w:tc>
          <w:tcPr>
            <w:tcW w:w="1839" w:type="dxa"/>
            <w:vMerge/>
            <w:noWrap/>
            <w:vAlign w:val="center"/>
            <w:hideMark/>
          </w:tcPr>
          <w:p w:rsidR="009A4BEE" w:rsidRPr="00F51F76" w:rsidRDefault="009A4BEE" w:rsidP="009A4BEE">
            <w:pPr>
              <w:keepNext/>
              <w:jc w:val="left"/>
              <w:rPr>
                <w:rFonts w:ascii="Arial Narrow" w:hAnsi="Arial Narrow"/>
                <w:sz w:val="18"/>
                <w:szCs w:val="18"/>
              </w:rPr>
            </w:pP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0.48</w:t>
            </w:r>
          </w:p>
        </w:tc>
        <w:tc>
          <w:tcPr>
            <w:tcW w:w="568"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0.29</w:t>
            </w:r>
          </w:p>
        </w:tc>
        <w:tc>
          <w:tcPr>
            <w:tcW w:w="672" w:type="dxa"/>
            <w:noWrap/>
            <w:vAlign w:val="center"/>
            <w:hideMark/>
          </w:tcPr>
          <w:p w:rsidR="009A4BEE" w:rsidRPr="00F51F76" w:rsidRDefault="009A4BEE" w:rsidP="007A2883">
            <w:pPr>
              <w:keepNext/>
              <w:jc w:val="center"/>
              <w:rPr>
                <w:rFonts w:ascii="Arial Narrow" w:hAnsi="Arial Narrow"/>
                <w:sz w:val="18"/>
                <w:szCs w:val="18"/>
              </w:rPr>
            </w:pPr>
            <w:r w:rsidRPr="00F51F76">
              <w:rPr>
                <w:rFonts w:ascii="Arial Narrow" w:hAnsi="Arial Narrow"/>
                <w:sz w:val="18"/>
                <w:szCs w:val="18"/>
              </w:rPr>
              <w:t>$</w:t>
            </w:r>
            <w:r w:rsidR="00EF72BF">
              <w:rPr>
                <w:rFonts w:ascii="Arial Narrow" w:hAnsi="Arial Narrow"/>
                <w:noProof/>
                <w:color w:val="000000"/>
                <w:sz w:val="18"/>
                <w:szCs w:val="18"/>
                <w:highlight w:val="black"/>
              </w:rPr>
              <w:t>''''''''''''''''''</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9A4BEE">
        <w:trPr>
          <w:trHeight w:val="227"/>
        </w:trPr>
        <w:tc>
          <w:tcPr>
            <w:tcW w:w="8222" w:type="dxa"/>
            <w:gridSpan w:val="10"/>
            <w:noWrap/>
            <w:vAlign w:val="center"/>
          </w:tcPr>
          <w:p w:rsidR="009A4BEE" w:rsidRPr="008B2A4B" w:rsidRDefault="00263253" w:rsidP="00263253">
            <w:pPr>
              <w:keepNext/>
              <w:jc w:val="left"/>
              <w:rPr>
                <w:rFonts w:ascii="Arial Narrow" w:hAnsi="Arial Narrow"/>
                <w:b/>
                <w:sz w:val="18"/>
                <w:szCs w:val="18"/>
              </w:rPr>
            </w:pPr>
            <w:r>
              <w:rPr>
                <w:rFonts w:ascii="Arial Narrow" w:hAnsi="Arial Narrow"/>
                <w:b/>
                <w:sz w:val="18"/>
                <w:szCs w:val="18"/>
              </w:rPr>
              <w:t>Listing Scenario 1 (post-</w:t>
            </w:r>
            <w:r w:rsidR="009A4BEE">
              <w:rPr>
                <w:rFonts w:ascii="Arial Narrow" w:hAnsi="Arial Narrow"/>
                <w:b/>
                <w:sz w:val="18"/>
                <w:szCs w:val="18"/>
              </w:rPr>
              <w:t xml:space="preserve">progression </w:t>
            </w:r>
            <w:r>
              <w:rPr>
                <w:rFonts w:ascii="Arial Narrow" w:hAnsi="Arial Narrow"/>
                <w:b/>
                <w:sz w:val="18"/>
                <w:szCs w:val="18"/>
              </w:rPr>
              <w:t xml:space="preserve">use of </w:t>
            </w:r>
            <w:r w:rsidR="009A4BEE">
              <w:rPr>
                <w:rFonts w:ascii="Arial Narrow" w:hAnsi="Arial Narrow"/>
                <w:b/>
                <w:sz w:val="18"/>
                <w:szCs w:val="18"/>
              </w:rPr>
              <w:t>sorafenib not allowed)</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F51F76" w:rsidRDefault="009A4BEE" w:rsidP="009A4BEE">
            <w:pPr>
              <w:keepNext/>
              <w:jc w:val="left"/>
              <w:rPr>
                <w:rFonts w:ascii="Arial Narrow" w:hAnsi="Arial Narrow"/>
                <w:sz w:val="18"/>
                <w:szCs w:val="18"/>
              </w:rPr>
            </w:pPr>
            <w:r>
              <w:rPr>
                <w:rFonts w:ascii="Arial Narrow" w:hAnsi="Arial Narrow"/>
                <w:sz w:val="18"/>
                <w:szCs w:val="18"/>
              </w:rPr>
              <w:t>Base case</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r w:rsidRPr="002F24B0">
              <w:rPr>
                <w:rFonts w:ascii="Arial Narrow" w:hAnsi="Arial Narrow"/>
                <w:i/>
                <w:sz w:val="18"/>
                <w:szCs w:val="18"/>
                <w:vertAlign w:val="superscript"/>
              </w:rPr>
              <w:t>a</w:t>
            </w:r>
          </w:p>
        </w:tc>
        <w:tc>
          <w:tcPr>
            <w:tcW w:w="1839" w:type="dxa"/>
            <w:vMerge w:val="restart"/>
            <w:noWrap/>
            <w:vAlign w:val="center"/>
            <w:hideMark/>
          </w:tcPr>
          <w:p w:rsidR="00F3237A" w:rsidRDefault="00F3237A" w:rsidP="009A4BEE">
            <w:pPr>
              <w:keepNext/>
              <w:jc w:val="left"/>
              <w:rPr>
                <w:rFonts w:ascii="Arial Narrow" w:hAnsi="Arial Narrow"/>
                <w:sz w:val="18"/>
                <w:szCs w:val="18"/>
              </w:rPr>
            </w:pPr>
            <w:r>
              <w:rPr>
                <w:rFonts w:ascii="Arial Narrow" w:hAnsi="Arial Narrow"/>
                <w:sz w:val="18"/>
                <w:szCs w:val="18"/>
              </w:rPr>
              <w:t>Treatment duration: 13.44</w:t>
            </w:r>
          </w:p>
          <w:p w:rsidR="009A4BEE" w:rsidRPr="0021610A" w:rsidRDefault="009A4BEE" w:rsidP="009A4BEE">
            <w:pPr>
              <w:keepNext/>
              <w:jc w:val="left"/>
              <w:rPr>
                <w:rFonts w:ascii="Arial Narrow" w:hAnsi="Arial Narrow"/>
                <w:sz w:val="18"/>
                <w:szCs w:val="18"/>
              </w:rPr>
            </w:pPr>
            <w:r>
              <w:rPr>
                <w:rFonts w:ascii="Arial Narrow" w:hAnsi="Arial Narrow"/>
                <w:sz w:val="18"/>
                <w:szCs w:val="18"/>
              </w:rPr>
              <w:t xml:space="preserve">OS HR: </w:t>
            </w:r>
            <w:r w:rsidRPr="0021610A">
              <w:rPr>
                <w:rFonts w:ascii="Arial Narrow" w:hAnsi="Arial Narrow"/>
                <w:sz w:val="18"/>
                <w:szCs w:val="18"/>
              </w:rPr>
              <w:t>0.680</w:t>
            </w:r>
          </w:p>
          <w:p w:rsidR="00F3237A" w:rsidRPr="00F3237A" w:rsidRDefault="009A4BEE" w:rsidP="009A4BEE">
            <w:pPr>
              <w:keepNext/>
              <w:jc w:val="left"/>
              <w:rPr>
                <w:rFonts w:ascii="Arial Narrow" w:hAnsi="Arial Narrow"/>
                <w:i/>
                <w:sz w:val="18"/>
                <w:szCs w:val="18"/>
              </w:rPr>
            </w:pPr>
            <w:r>
              <w:rPr>
                <w:rFonts w:ascii="Arial Narrow" w:hAnsi="Arial Narrow"/>
                <w:sz w:val="18"/>
                <w:szCs w:val="18"/>
              </w:rPr>
              <w:t xml:space="preserve">Utility: </w:t>
            </w:r>
            <w:r w:rsidRPr="002F24B0">
              <w:rPr>
                <w:rFonts w:ascii="Arial Narrow" w:hAnsi="Arial Narrow"/>
                <w:i/>
                <w:sz w:val="18"/>
                <w:szCs w:val="18"/>
              </w:rPr>
              <w:t>0.637</w:t>
            </w:r>
            <w:r w:rsidRPr="002F24B0">
              <w:rPr>
                <w:rFonts w:ascii="Arial Narrow" w:hAnsi="Arial Narrow"/>
                <w:i/>
                <w:sz w:val="18"/>
                <w:szCs w:val="18"/>
                <w:vertAlign w:val="superscript"/>
              </w:rPr>
              <w:t>b</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1.10</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3.62</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2.39</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0.62</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2.86</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1.92</w:t>
            </w:r>
          </w:p>
        </w:tc>
        <w:tc>
          <w:tcPr>
            <w:tcW w:w="672"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$6</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F51F76" w:rsidRDefault="009A4BEE" w:rsidP="009A4BEE">
            <w:pPr>
              <w:keepNext/>
              <w:jc w:val="left"/>
              <w:rPr>
                <w:rFonts w:ascii="Arial Narrow" w:hAnsi="Arial Narrow"/>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0.48</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0.76</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0.47</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F51F76" w:rsidRDefault="009A4BEE" w:rsidP="009A4BEE">
            <w:pPr>
              <w:keepNext/>
              <w:jc w:val="left"/>
              <w:rPr>
                <w:rFonts w:ascii="Arial Narrow" w:hAnsi="Arial Narrow"/>
                <w:i/>
                <w:sz w:val="18"/>
                <w:szCs w:val="18"/>
              </w:rPr>
            </w:pPr>
            <w:r>
              <w:rPr>
                <w:rFonts w:ascii="Arial Narrow" w:hAnsi="Arial Narrow"/>
                <w:i/>
                <w:sz w:val="18"/>
                <w:szCs w:val="18"/>
              </w:rPr>
              <w:t>Analysis requested by PBAC</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r w:rsidRPr="002F24B0">
              <w:rPr>
                <w:rFonts w:ascii="Arial Narrow" w:hAnsi="Arial Narrow"/>
                <w:i/>
                <w:sz w:val="18"/>
                <w:szCs w:val="18"/>
                <w:vertAlign w:val="superscript"/>
              </w:rPr>
              <w:t>a</w:t>
            </w:r>
          </w:p>
        </w:tc>
        <w:tc>
          <w:tcPr>
            <w:tcW w:w="1839" w:type="dxa"/>
            <w:vMerge w:val="restart"/>
            <w:noWrap/>
            <w:vAlign w:val="center"/>
            <w:hideMark/>
          </w:tcPr>
          <w:p w:rsidR="00F3237A" w:rsidRDefault="00F3237A" w:rsidP="009A4BEE">
            <w:pPr>
              <w:keepNext/>
              <w:jc w:val="left"/>
              <w:rPr>
                <w:rFonts w:ascii="Arial Narrow" w:hAnsi="Arial Narrow"/>
                <w:sz w:val="18"/>
                <w:szCs w:val="18"/>
              </w:rPr>
            </w:pPr>
            <w:r>
              <w:rPr>
                <w:rFonts w:ascii="Arial Narrow" w:hAnsi="Arial Narrow"/>
                <w:sz w:val="18"/>
                <w:szCs w:val="18"/>
              </w:rPr>
              <w:t>Treatment duration: 13.44</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OS HR: </w:t>
            </w:r>
            <w:r w:rsidRPr="002F24B0">
              <w:rPr>
                <w:rFonts w:ascii="Arial Narrow" w:hAnsi="Arial Narrow"/>
                <w:i/>
                <w:sz w:val="18"/>
                <w:szCs w:val="18"/>
              </w:rPr>
              <w:t>0.613</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Utility: </w:t>
            </w:r>
            <w:r w:rsidRPr="002F24B0">
              <w:rPr>
                <w:rFonts w:ascii="Arial Narrow" w:hAnsi="Arial Narrow"/>
                <w:i/>
                <w:sz w:val="18"/>
                <w:szCs w:val="18"/>
              </w:rPr>
              <w:t>0</w:t>
            </w: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3B771F">
              <w:rPr>
                <w:rFonts w:ascii="Arial Narrow" w:hAnsi="Arial Narrow"/>
                <w:sz w:val="18"/>
                <w:szCs w:val="18"/>
              </w:rPr>
              <w:t>1.10</w:t>
            </w: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0.79</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F51F76"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3B771F">
              <w:rPr>
                <w:rFonts w:ascii="Arial Narrow" w:hAnsi="Arial Narrow"/>
                <w:sz w:val="18"/>
                <w:szCs w:val="18"/>
              </w:rPr>
              <w:t>0.62</w:t>
            </w: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0.50</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$6</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F51F76"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3B771F">
              <w:rPr>
                <w:rFonts w:ascii="Arial Narrow" w:hAnsi="Arial Narrow"/>
                <w:sz w:val="18"/>
                <w:szCs w:val="18"/>
              </w:rPr>
              <w:t>0.48</w:t>
            </w:r>
          </w:p>
        </w:tc>
        <w:tc>
          <w:tcPr>
            <w:tcW w:w="568" w:type="dxa"/>
            <w:noWrap/>
            <w:vAlign w:val="center"/>
            <w:hideMark/>
          </w:tcPr>
          <w:p w:rsidR="009A4BEE" w:rsidRPr="003B771F" w:rsidRDefault="009A4BEE" w:rsidP="007A2883">
            <w:pPr>
              <w:keepNext/>
              <w:jc w:val="center"/>
              <w:rPr>
                <w:rFonts w:ascii="Arial Narrow" w:hAnsi="Arial Narrow"/>
                <w:sz w:val="18"/>
                <w:szCs w:val="18"/>
              </w:rPr>
            </w:pPr>
            <w:r w:rsidRPr="00F51F76">
              <w:rPr>
                <w:rFonts w:ascii="Arial Narrow" w:hAnsi="Arial Narrow"/>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0.29</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F51F76" w:rsidRDefault="009A4BEE" w:rsidP="009A4BEE">
            <w:pPr>
              <w:keepNext/>
              <w:jc w:val="left"/>
              <w:rPr>
                <w:rFonts w:ascii="Arial Narrow" w:hAnsi="Arial Narrow"/>
                <w:i/>
                <w:sz w:val="18"/>
                <w:szCs w:val="18"/>
              </w:rPr>
            </w:pPr>
            <w:r>
              <w:rPr>
                <w:rFonts w:ascii="Arial Narrow" w:hAnsi="Arial Narrow"/>
                <w:i/>
                <w:sz w:val="18"/>
                <w:szCs w:val="18"/>
              </w:rPr>
              <w:t>OS HR changed so that OS gain equals PFS gain</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$2065.77</w:t>
            </w:r>
            <w:r w:rsidRPr="002F24B0">
              <w:rPr>
                <w:rFonts w:ascii="Arial Narrow" w:hAnsi="Arial Narrow"/>
                <w:i/>
                <w:sz w:val="18"/>
                <w:szCs w:val="18"/>
                <w:vertAlign w:val="superscript"/>
              </w:rPr>
              <w:t>a</w:t>
            </w:r>
          </w:p>
        </w:tc>
        <w:tc>
          <w:tcPr>
            <w:tcW w:w="1839" w:type="dxa"/>
            <w:vMerge w:val="restart"/>
            <w:noWrap/>
            <w:vAlign w:val="center"/>
            <w:hideMark/>
          </w:tcPr>
          <w:p w:rsidR="00F3237A" w:rsidRDefault="00F3237A" w:rsidP="00F3237A">
            <w:pPr>
              <w:keepNext/>
              <w:jc w:val="left"/>
              <w:rPr>
                <w:rFonts w:ascii="Arial Narrow" w:hAnsi="Arial Narrow"/>
                <w:sz w:val="18"/>
                <w:szCs w:val="18"/>
              </w:rPr>
            </w:pPr>
            <w:r>
              <w:rPr>
                <w:rFonts w:ascii="Arial Narrow" w:hAnsi="Arial Narrow"/>
                <w:sz w:val="18"/>
                <w:szCs w:val="18"/>
              </w:rPr>
              <w:t>Treatment duration: 13.44</w:t>
            </w:r>
          </w:p>
          <w:p w:rsidR="009A4BEE" w:rsidRPr="00F3237A" w:rsidRDefault="009A4BEE" w:rsidP="009A4BEE">
            <w:pPr>
              <w:keepNext/>
              <w:jc w:val="left"/>
              <w:rPr>
                <w:rFonts w:ascii="Arial Narrow" w:hAnsi="Arial Narrow"/>
                <w:sz w:val="18"/>
                <w:szCs w:val="18"/>
              </w:rPr>
            </w:pPr>
            <w:r>
              <w:rPr>
                <w:rFonts w:ascii="Arial Narrow" w:hAnsi="Arial Narrow"/>
                <w:sz w:val="18"/>
                <w:szCs w:val="18"/>
              </w:rPr>
              <w:t xml:space="preserve">OS HR: </w:t>
            </w:r>
            <w:r w:rsidRPr="00F3237A">
              <w:rPr>
                <w:rFonts w:ascii="Arial Narrow" w:hAnsi="Arial Narrow"/>
                <w:i/>
                <w:sz w:val="18"/>
                <w:szCs w:val="18"/>
              </w:rPr>
              <w:t>0.788</w:t>
            </w:r>
            <w:r w:rsidRPr="00F3237A">
              <w:rPr>
                <w:rFonts w:ascii="Arial Narrow" w:hAnsi="Arial Narrow"/>
                <w:sz w:val="18"/>
                <w:szCs w:val="18"/>
                <w:vertAlign w:val="superscript"/>
              </w:rPr>
              <w:t>c</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Utility: </w:t>
            </w:r>
            <w:r w:rsidRPr="00F3237A">
              <w:rPr>
                <w:rFonts w:ascii="Arial Narrow" w:hAnsi="Arial Narrow"/>
                <w:sz w:val="18"/>
                <w:szCs w:val="18"/>
              </w:rPr>
              <w:t>0.637</w:t>
            </w:r>
            <w:r w:rsidRPr="00F3237A">
              <w:rPr>
                <w:rFonts w:ascii="Arial Narrow" w:hAnsi="Arial Narrow"/>
                <w:sz w:val="18"/>
                <w:szCs w:val="18"/>
                <w:vertAlign w:val="superscript"/>
              </w:rPr>
              <w:t>b</w:t>
            </w:r>
          </w:p>
        </w:tc>
        <w:tc>
          <w:tcPr>
            <w:tcW w:w="568" w:type="dxa"/>
            <w:noWrap/>
            <w:vAlign w:val="center"/>
            <w:hideMark/>
          </w:tcPr>
          <w:p w:rsidR="009A4BEE" w:rsidRPr="003B68FC" w:rsidRDefault="009A4BEE" w:rsidP="007A2883">
            <w:pPr>
              <w:keepNext/>
              <w:jc w:val="center"/>
              <w:rPr>
                <w:rFonts w:ascii="Arial Narrow" w:hAnsi="Arial Narrow"/>
                <w:sz w:val="18"/>
                <w:szCs w:val="18"/>
              </w:rPr>
            </w:pPr>
            <w:r w:rsidRPr="003B68FC">
              <w:rPr>
                <w:rFonts w:ascii="Arial Narrow" w:hAnsi="Arial Narrow"/>
                <w:sz w:val="18"/>
                <w:szCs w:val="18"/>
              </w:rPr>
              <w:t>1.10</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3.62</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2.39</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A20623">
        <w:trPr>
          <w:trHeight w:val="227"/>
        </w:trPr>
        <w:tc>
          <w:tcPr>
            <w:tcW w:w="986" w:type="dxa"/>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BSC</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3B68FC" w:rsidRDefault="009A4BEE" w:rsidP="007A2883">
            <w:pPr>
              <w:keepNext/>
              <w:jc w:val="center"/>
              <w:rPr>
                <w:rFonts w:ascii="Arial Narrow" w:hAnsi="Arial Narrow"/>
                <w:sz w:val="18"/>
                <w:szCs w:val="18"/>
              </w:rPr>
            </w:pPr>
            <w:r w:rsidRPr="003B68FC">
              <w:rPr>
                <w:rFonts w:ascii="Arial Narrow" w:hAnsi="Arial Narrow"/>
                <w:sz w:val="18"/>
                <w:szCs w:val="18"/>
              </w:rPr>
              <w:t>0.62</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3.14</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2.10</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$6</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A20623">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3B68FC" w:rsidRDefault="009A4BEE" w:rsidP="007A2883">
            <w:pPr>
              <w:keepNext/>
              <w:jc w:val="center"/>
              <w:rPr>
                <w:rFonts w:ascii="Arial Narrow" w:hAnsi="Arial Narrow"/>
                <w:sz w:val="18"/>
                <w:szCs w:val="18"/>
              </w:rPr>
            </w:pPr>
            <w:r w:rsidRPr="003B68FC">
              <w:rPr>
                <w:rFonts w:ascii="Arial Narrow" w:hAnsi="Arial Narrow"/>
                <w:sz w:val="18"/>
                <w:szCs w:val="18"/>
              </w:rPr>
              <w:t>0.48</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0.48</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0.29</w:t>
            </w:r>
          </w:p>
        </w:tc>
        <w:tc>
          <w:tcPr>
            <w:tcW w:w="672"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89" w:type="dxa"/>
            <w:gridSpan w:val="2"/>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9A4BEE">
        <w:trPr>
          <w:trHeight w:val="227"/>
        </w:trPr>
        <w:tc>
          <w:tcPr>
            <w:tcW w:w="8222" w:type="dxa"/>
            <w:gridSpan w:val="10"/>
            <w:noWrap/>
            <w:vAlign w:val="center"/>
          </w:tcPr>
          <w:p w:rsidR="009A4BEE" w:rsidRPr="008B2A4B" w:rsidRDefault="007A2883" w:rsidP="009A4BEE">
            <w:pPr>
              <w:keepNext/>
              <w:jc w:val="left"/>
              <w:rPr>
                <w:rFonts w:ascii="Arial Narrow" w:hAnsi="Arial Narrow"/>
                <w:b/>
                <w:sz w:val="18"/>
                <w:szCs w:val="18"/>
              </w:rPr>
            </w:pPr>
            <w:r>
              <w:rPr>
                <w:rFonts w:ascii="Arial Narrow" w:hAnsi="Arial Narrow"/>
                <w:b/>
                <w:sz w:val="18"/>
                <w:szCs w:val="18"/>
              </w:rPr>
              <w:t>Listing Scenario 2 (post-</w:t>
            </w:r>
            <w:r w:rsidR="009A4BEE">
              <w:rPr>
                <w:rFonts w:ascii="Arial Narrow" w:hAnsi="Arial Narrow"/>
                <w:b/>
                <w:sz w:val="18"/>
                <w:szCs w:val="18"/>
              </w:rPr>
              <w:t xml:space="preserve">progression </w:t>
            </w:r>
            <w:r>
              <w:rPr>
                <w:rFonts w:ascii="Arial Narrow" w:hAnsi="Arial Narrow"/>
                <w:b/>
                <w:sz w:val="18"/>
                <w:szCs w:val="18"/>
              </w:rPr>
              <w:t xml:space="preserve">use of </w:t>
            </w:r>
            <w:r w:rsidR="009A4BEE">
              <w:rPr>
                <w:rFonts w:ascii="Arial Narrow" w:hAnsi="Arial Narrow"/>
                <w:b/>
                <w:sz w:val="18"/>
                <w:szCs w:val="18"/>
              </w:rPr>
              <w:t>sorafenib allowed)</w:t>
            </w: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F51F76" w:rsidRDefault="009A4BEE" w:rsidP="009A4BEE">
            <w:pPr>
              <w:keepNext/>
              <w:jc w:val="left"/>
              <w:rPr>
                <w:rFonts w:ascii="Arial Narrow" w:hAnsi="Arial Narrow"/>
                <w:sz w:val="18"/>
                <w:szCs w:val="18"/>
              </w:rPr>
            </w:pPr>
            <w:r>
              <w:rPr>
                <w:rFonts w:ascii="Arial Narrow" w:hAnsi="Arial Narrow"/>
                <w:sz w:val="18"/>
                <w:szCs w:val="18"/>
              </w:rPr>
              <w:t>Base case</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r w:rsidRPr="002F24B0">
              <w:rPr>
                <w:rFonts w:ascii="Arial Narrow" w:hAnsi="Arial Narrow"/>
                <w:i/>
                <w:sz w:val="18"/>
                <w:szCs w:val="18"/>
                <w:vertAlign w:val="superscript"/>
              </w:rPr>
              <w:t>a</w:t>
            </w:r>
          </w:p>
        </w:tc>
        <w:tc>
          <w:tcPr>
            <w:tcW w:w="1839" w:type="dxa"/>
            <w:vMerge w:val="restart"/>
            <w:noWrap/>
            <w:vAlign w:val="center"/>
            <w:hideMark/>
          </w:tcPr>
          <w:p w:rsidR="009A4BEE" w:rsidRDefault="009A4BEE" w:rsidP="009A4BEE">
            <w:pPr>
              <w:keepNext/>
              <w:jc w:val="left"/>
              <w:rPr>
                <w:rFonts w:ascii="Arial Narrow" w:hAnsi="Arial Narrow"/>
                <w:sz w:val="18"/>
                <w:szCs w:val="18"/>
              </w:rPr>
            </w:pPr>
            <w:r w:rsidRPr="00AC41CB">
              <w:rPr>
                <w:rFonts w:ascii="Arial Narrow" w:hAnsi="Arial Narrow"/>
                <w:sz w:val="18"/>
                <w:szCs w:val="18"/>
              </w:rPr>
              <w:t>Treatment duration: 17.55</w:t>
            </w:r>
          </w:p>
          <w:p w:rsidR="009A4BEE" w:rsidRPr="00F51F76" w:rsidRDefault="009A4BEE" w:rsidP="009A4BEE">
            <w:pPr>
              <w:keepNext/>
              <w:jc w:val="left"/>
              <w:rPr>
                <w:rFonts w:ascii="Arial Narrow" w:hAnsi="Arial Narrow"/>
                <w:sz w:val="18"/>
                <w:szCs w:val="18"/>
              </w:rPr>
            </w:pPr>
            <w:r>
              <w:rPr>
                <w:rFonts w:ascii="Arial Narrow" w:hAnsi="Arial Narrow"/>
                <w:sz w:val="18"/>
                <w:szCs w:val="18"/>
              </w:rPr>
              <w:t xml:space="preserve">OS HR: </w:t>
            </w:r>
            <w:r w:rsidRPr="00F51F76">
              <w:rPr>
                <w:rFonts w:ascii="Arial Narrow" w:hAnsi="Arial Narrow"/>
                <w:sz w:val="18"/>
                <w:szCs w:val="18"/>
              </w:rPr>
              <w:t>0.680</w:t>
            </w:r>
          </w:p>
          <w:p w:rsidR="009A4BEE" w:rsidRPr="002F24B0" w:rsidRDefault="00F3237A" w:rsidP="009A4BEE">
            <w:pPr>
              <w:keepNext/>
              <w:jc w:val="left"/>
              <w:rPr>
                <w:rFonts w:ascii="Arial Narrow" w:hAnsi="Arial Narrow"/>
                <w:i/>
                <w:sz w:val="18"/>
                <w:szCs w:val="18"/>
              </w:rPr>
            </w:pPr>
            <w:r w:rsidRPr="00F3237A">
              <w:rPr>
                <w:rFonts w:ascii="Arial Narrow" w:hAnsi="Arial Narrow"/>
                <w:sz w:val="18"/>
                <w:szCs w:val="18"/>
              </w:rPr>
              <w:t xml:space="preserve">Utility: </w:t>
            </w:r>
            <w:r w:rsidR="009A4BEE" w:rsidRPr="002F24B0">
              <w:rPr>
                <w:rFonts w:ascii="Arial Narrow" w:hAnsi="Arial Narrow"/>
                <w:i/>
                <w:sz w:val="18"/>
                <w:szCs w:val="18"/>
              </w:rPr>
              <w:t>0.637</w:t>
            </w:r>
            <w:r w:rsidR="009A4BEE" w:rsidRPr="002F24B0">
              <w:rPr>
                <w:rFonts w:ascii="Arial Narrow" w:hAnsi="Arial Narrow"/>
                <w:i/>
                <w:sz w:val="18"/>
                <w:szCs w:val="18"/>
                <w:vertAlign w:val="superscript"/>
              </w:rPr>
              <w:t>b</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1.10</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3.62</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2.39</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0.62</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2.86</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1.92</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$6</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0.48</w:t>
            </w:r>
          </w:p>
        </w:tc>
        <w:tc>
          <w:tcPr>
            <w:tcW w:w="568"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0.76</w:t>
            </w:r>
          </w:p>
        </w:tc>
        <w:tc>
          <w:tcPr>
            <w:tcW w:w="709" w:type="dxa"/>
            <w:noWrap/>
            <w:vAlign w:val="center"/>
            <w:hideMark/>
          </w:tcPr>
          <w:p w:rsidR="009A4BEE" w:rsidRPr="0021610A" w:rsidRDefault="009A4BEE" w:rsidP="007A2883">
            <w:pPr>
              <w:keepNext/>
              <w:jc w:val="center"/>
              <w:rPr>
                <w:rFonts w:ascii="Arial Narrow" w:hAnsi="Arial Narrow"/>
                <w:sz w:val="18"/>
                <w:szCs w:val="18"/>
              </w:rPr>
            </w:pPr>
            <w:r w:rsidRPr="0021610A">
              <w:rPr>
                <w:rFonts w:ascii="Arial Narrow" w:hAnsi="Arial Narrow"/>
                <w:sz w:val="18"/>
                <w:szCs w:val="18"/>
              </w:rPr>
              <w:t>0.47</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2F24B0" w:rsidRDefault="009A4BEE" w:rsidP="009A4BEE">
            <w:pPr>
              <w:keepNext/>
              <w:jc w:val="left"/>
              <w:rPr>
                <w:rFonts w:ascii="Arial Narrow" w:hAnsi="Arial Narrow"/>
                <w:i/>
                <w:sz w:val="18"/>
                <w:szCs w:val="18"/>
              </w:rPr>
            </w:pPr>
            <w:r>
              <w:rPr>
                <w:rFonts w:ascii="Arial Narrow" w:hAnsi="Arial Narrow"/>
                <w:i/>
                <w:sz w:val="18"/>
                <w:szCs w:val="18"/>
              </w:rPr>
              <w:t>Analysis requested by PBAC</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r w:rsidRPr="002F24B0">
              <w:rPr>
                <w:rFonts w:ascii="Arial Narrow" w:hAnsi="Arial Narrow"/>
                <w:i/>
                <w:sz w:val="18"/>
                <w:szCs w:val="18"/>
                <w:vertAlign w:val="superscript"/>
              </w:rPr>
              <w:t>a</w:t>
            </w:r>
          </w:p>
        </w:tc>
        <w:tc>
          <w:tcPr>
            <w:tcW w:w="1839" w:type="dxa"/>
            <w:vMerge w:val="restart"/>
            <w:noWrap/>
            <w:vAlign w:val="center"/>
            <w:hideMark/>
          </w:tcPr>
          <w:p w:rsidR="009A4BEE" w:rsidRPr="00F3237A" w:rsidRDefault="009A4BEE" w:rsidP="009A4BEE">
            <w:pPr>
              <w:keepNext/>
              <w:jc w:val="left"/>
              <w:rPr>
                <w:rFonts w:ascii="Arial Narrow" w:hAnsi="Arial Narrow"/>
                <w:sz w:val="18"/>
                <w:szCs w:val="18"/>
              </w:rPr>
            </w:pPr>
            <w:r w:rsidRPr="00F3237A">
              <w:rPr>
                <w:rFonts w:ascii="Arial Narrow" w:hAnsi="Arial Narrow"/>
                <w:sz w:val="18"/>
                <w:szCs w:val="18"/>
              </w:rPr>
              <w:t>Treatment duration: 17.55</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OS HR: </w:t>
            </w:r>
            <w:r w:rsidRPr="002F24B0">
              <w:rPr>
                <w:rFonts w:ascii="Arial Narrow" w:hAnsi="Arial Narrow"/>
                <w:i/>
                <w:sz w:val="18"/>
                <w:szCs w:val="18"/>
              </w:rPr>
              <w:t>0.613</w:t>
            </w:r>
          </w:p>
          <w:p w:rsidR="009A4BEE" w:rsidRPr="002F24B0" w:rsidRDefault="009A4BEE" w:rsidP="009A4BEE">
            <w:pPr>
              <w:keepNext/>
              <w:jc w:val="left"/>
              <w:rPr>
                <w:rFonts w:ascii="Arial Narrow" w:hAnsi="Arial Narrow"/>
                <w:i/>
                <w:sz w:val="18"/>
                <w:szCs w:val="18"/>
              </w:rPr>
            </w:pPr>
            <w:r w:rsidRPr="00F3237A">
              <w:rPr>
                <w:rFonts w:ascii="Arial Narrow" w:hAnsi="Arial Narrow"/>
                <w:i/>
                <w:sz w:val="18"/>
                <w:szCs w:val="18"/>
              </w:rPr>
              <w:t>Utility: 0</w:t>
            </w:r>
            <w:r>
              <w:rPr>
                <w:rFonts w:ascii="Arial Narrow" w:hAnsi="Arial Narrow"/>
                <w:i/>
                <w:sz w:val="18"/>
                <w:szCs w:val="18"/>
              </w:rPr>
              <w:t>.</w:t>
            </w: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1.10</w:t>
            </w:r>
          </w:p>
        </w:tc>
        <w:tc>
          <w:tcPr>
            <w:tcW w:w="568" w:type="dxa"/>
            <w:noWrap/>
            <w:vAlign w:val="center"/>
          </w:tcPr>
          <w:p w:rsidR="009A4BEE" w:rsidRPr="002F24B0" w:rsidRDefault="009A4BEE" w:rsidP="007A2883">
            <w:pPr>
              <w:keepNext/>
              <w:jc w:val="center"/>
              <w:rPr>
                <w:rFonts w:ascii="Arial Narrow" w:hAnsi="Arial Narrow"/>
                <w:i/>
                <w:sz w:val="18"/>
                <w:szCs w:val="18"/>
              </w:rPr>
            </w:pPr>
            <w:r>
              <w:rPr>
                <w:rFonts w:ascii="Arial Narrow" w:hAnsi="Arial Narrow"/>
                <w:i/>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0.79</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0.62</w:t>
            </w:r>
          </w:p>
        </w:tc>
        <w:tc>
          <w:tcPr>
            <w:tcW w:w="568" w:type="dxa"/>
            <w:noWrap/>
            <w:vAlign w:val="center"/>
          </w:tcPr>
          <w:p w:rsidR="009A4BEE" w:rsidRPr="002F24B0" w:rsidRDefault="009A4BEE" w:rsidP="007A2883">
            <w:pPr>
              <w:keepNext/>
              <w:jc w:val="center"/>
              <w:rPr>
                <w:rFonts w:ascii="Arial Narrow" w:hAnsi="Arial Narrow"/>
                <w:i/>
                <w:sz w:val="18"/>
                <w:szCs w:val="18"/>
              </w:rPr>
            </w:pPr>
            <w:r>
              <w:rPr>
                <w:rFonts w:ascii="Arial Narrow" w:hAnsi="Arial Narrow"/>
                <w:i/>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0.50</w:t>
            </w:r>
          </w:p>
        </w:tc>
        <w:tc>
          <w:tcPr>
            <w:tcW w:w="706" w:type="dxa"/>
            <w:gridSpan w:val="2"/>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$6</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0.48</w:t>
            </w:r>
          </w:p>
        </w:tc>
        <w:tc>
          <w:tcPr>
            <w:tcW w:w="568" w:type="dxa"/>
            <w:noWrap/>
            <w:vAlign w:val="center"/>
          </w:tcPr>
          <w:p w:rsidR="009A4BEE" w:rsidRPr="002F24B0" w:rsidRDefault="009A4BEE" w:rsidP="007A2883">
            <w:pPr>
              <w:keepNext/>
              <w:jc w:val="center"/>
              <w:rPr>
                <w:rFonts w:ascii="Arial Narrow" w:hAnsi="Arial Narrow"/>
                <w:i/>
                <w:sz w:val="18"/>
                <w:szCs w:val="18"/>
              </w:rPr>
            </w:pPr>
            <w:r>
              <w:rPr>
                <w:rFonts w:ascii="Arial Narrow" w:hAnsi="Arial Narrow"/>
                <w:i/>
                <w:sz w:val="18"/>
                <w:szCs w:val="18"/>
              </w:rPr>
              <w:t>NA</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0.29</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Sorafenib</w:t>
            </w:r>
          </w:p>
        </w:tc>
        <w:tc>
          <w:tcPr>
            <w:tcW w:w="1135" w:type="dxa"/>
            <w:vMerge w:val="restart"/>
            <w:noWrap/>
            <w:vAlign w:val="center"/>
            <w:hideMark/>
          </w:tcPr>
          <w:p w:rsidR="009A4BEE" w:rsidRPr="002F24B0" w:rsidRDefault="009A4BEE" w:rsidP="009A4BEE">
            <w:pPr>
              <w:keepNext/>
              <w:jc w:val="left"/>
              <w:rPr>
                <w:rFonts w:ascii="Arial Narrow" w:hAnsi="Arial Narrow"/>
                <w:i/>
                <w:sz w:val="18"/>
                <w:szCs w:val="18"/>
              </w:rPr>
            </w:pPr>
            <w:r>
              <w:rPr>
                <w:rFonts w:ascii="Arial Narrow" w:hAnsi="Arial Narrow"/>
                <w:i/>
                <w:sz w:val="18"/>
                <w:szCs w:val="18"/>
              </w:rPr>
              <w:t>OS HR changed so that OS gain equals PFS gain</w:t>
            </w:r>
          </w:p>
        </w:tc>
        <w:tc>
          <w:tcPr>
            <w:tcW w:w="856" w:type="dxa"/>
            <w:vMerge w:val="restart"/>
            <w:noWrap/>
            <w:vAlign w:val="center"/>
            <w:hideMark/>
          </w:tcPr>
          <w:p w:rsidR="009A4BEE" w:rsidRPr="002F24B0" w:rsidRDefault="009A4BEE" w:rsidP="009A4BEE">
            <w:pPr>
              <w:keepNext/>
              <w:jc w:val="left"/>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r w:rsidRPr="002F24B0">
              <w:rPr>
                <w:rFonts w:ascii="Arial Narrow" w:hAnsi="Arial Narrow"/>
                <w:i/>
                <w:sz w:val="18"/>
                <w:szCs w:val="18"/>
                <w:vertAlign w:val="superscript"/>
              </w:rPr>
              <w:t>a</w:t>
            </w:r>
          </w:p>
        </w:tc>
        <w:tc>
          <w:tcPr>
            <w:tcW w:w="1839" w:type="dxa"/>
            <w:vMerge w:val="restart"/>
            <w:noWrap/>
            <w:vAlign w:val="center"/>
            <w:hideMark/>
          </w:tcPr>
          <w:p w:rsidR="009A4BEE" w:rsidRDefault="009A4BEE" w:rsidP="009A4BEE">
            <w:pPr>
              <w:keepNext/>
              <w:jc w:val="left"/>
              <w:rPr>
                <w:rFonts w:ascii="Arial Narrow" w:hAnsi="Arial Narrow"/>
                <w:i/>
                <w:sz w:val="18"/>
                <w:szCs w:val="18"/>
              </w:rPr>
            </w:pPr>
            <w:r w:rsidRPr="00AC41CB">
              <w:rPr>
                <w:rFonts w:ascii="Arial Narrow" w:hAnsi="Arial Narrow"/>
                <w:i/>
                <w:sz w:val="18"/>
                <w:szCs w:val="18"/>
              </w:rPr>
              <w:t>Treatment duration: 17.55</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OS HR: </w:t>
            </w:r>
            <w:r w:rsidRPr="002F24B0">
              <w:rPr>
                <w:rFonts w:ascii="Arial Narrow" w:hAnsi="Arial Narrow"/>
                <w:i/>
                <w:sz w:val="18"/>
                <w:szCs w:val="18"/>
              </w:rPr>
              <w:t>0.788</w:t>
            </w:r>
            <w:r w:rsidRPr="002F24B0">
              <w:rPr>
                <w:rFonts w:ascii="Arial Narrow" w:hAnsi="Arial Narrow"/>
                <w:i/>
                <w:sz w:val="18"/>
                <w:szCs w:val="18"/>
                <w:vertAlign w:val="superscript"/>
              </w:rPr>
              <w:t>c</w:t>
            </w:r>
          </w:p>
          <w:p w:rsidR="009A4BEE" w:rsidRPr="002F24B0" w:rsidRDefault="009A4BEE" w:rsidP="009A4BEE">
            <w:pPr>
              <w:keepNext/>
              <w:jc w:val="left"/>
              <w:rPr>
                <w:rFonts w:ascii="Arial Narrow" w:hAnsi="Arial Narrow"/>
                <w:i/>
                <w:sz w:val="18"/>
                <w:szCs w:val="18"/>
              </w:rPr>
            </w:pPr>
            <w:r>
              <w:rPr>
                <w:rFonts w:ascii="Arial Narrow" w:hAnsi="Arial Narrow"/>
                <w:sz w:val="18"/>
                <w:szCs w:val="18"/>
              </w:rPr>
              <w:t xml:space="preserve">Utility: </w:t>
            </w:r>
            <w:r w:rsidRPr="002F24B0">
              <w:rPr>
                <w:rFonts w:ascii="Arial Narrow" w:hAnsi="Arial Narrow"/>
                <w:i/>
                <w:sz w:val="18"/>
                <w:szCs w:val="18"/>
              </w:rPr>
              <w:t>0.637</w:t>
            </w:r>
            <w:r w:rsidRPr="002F24B0">
              <w:rPr>
                <w:rFonts w:ascii="Arial Narrow" w:hAnsi="Arial Narrow"/>
                <w:i/>
                <w:sz w:val="18"/>
                <w:szCs w:val="18"/>
                <w:vertAlign w:val="superscript"/>
              </w:rPr>
              <w:t>b</w:t>
            </w: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1.10</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3.62</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2.39</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val="restart"/>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BSC</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0.62</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3.14</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2.10</w:t>
            </w:r>
          </w:p>
        </w:tc>
        <w:tc>
          <w:tcPr>
            <w:tcW w:w="706" w:type="dxa"/>
            <w:gridSpan w:val="2"/>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$6</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r w:rsidR="009A4BEE" w:rsidRPr="002F24B0" w:rsidTr="00F3237A">
        <w:trPr>
          <w:trHeight w:val="227"/>
        </w:trPr>
        <w:tc>
          <w:tcPr>
            <w:tcW w:w="986" w:type="dxa"/>
            <w:noWrap/>
            <w:vAlign w:val="center"/>
            <w:hideMark/>
          </w:tcPr>
          <w:p w:rsidR="009A4BEE" w:rsidRPr="00F51F76" w:rsidRDefault="009A4BEE" w:rsidP="009A4BEE">
            <w:pPr>
              <w:keepNext/>
              <w:jc w:val="left"/>
              <w:rPr>
                <w:rFonts w:ascii="Arial Narrow" w:hAnsi="Arial Narrow"/>
                <w:sz w:val="18"/>
                <w:szCs w:val="18"/>
              </w:rPr>
            </w:pPr>
            <w:r w:rsidRPr="00F51F76">
              <w:rPr>
                <w:rFonts w:ascii="Arial Narrow" w:hAnsi="Arial Narrow"/>
                <w:sz w:val="18"/>
                <w:szCs w:val="18"/>
              </w:rPr>
              <w:t>Difference</w:t>
            </w:r>
          </w:p>
        </w:tc>
        <w:tc>
          <w:tcPr>
            <w:tcW w:w="1135" w:type="dxa"/>
            <w:vMerge/>
            <w:noWrap/>
            <w:vAlign w:val="center"/>
            <w:hideMark/>
          </w:tcPr>
          <w:p w:rsidR="009A4BEE" w:rsidRPr="002F24B0" w:rsidRDefault="009A4BEE" w:rsidP="009A4BEE">
            <w:pPr>
              <w:keepNext/>
              <w:jc w:val="left"/>
              <w:rPr>
                <w:rFonts w:ascii="Arial Narrow" w:hAnsi="Arial Narrow"/>
                <w:i/>
                <w:sz w:val="18"/>
                <w:szCs w:val="18"/>
              </w:rPr>
            </w:pPr>
          </w:p>
        </w:tc>
        <w:tc>
          <w:tcPr>
            <w:tcW w:w="856" w:type="dxa"/>
            <w:vMerge/>
            <w:noWrap/>
            <w:vAlign w:val="center"/>
            <w:hideMark/>
          </w:tcPr>
          <w:p w:rsidR="009A4BEE" w:rsidRPr="002F24B0" w:rsidRDefault="009A4BEE" w:rsidP="009A4BEE">
            <w:pPr>
              <w:keepNext/>
              <w:jc w:val="left"/>
              <w:rPr>
                <w:rFonts w:ascii="Arial Narrow" w:hAnsi="Arial Narrow"/>
                <w:i/>
                <w:sz w:val="18"/>
                <w:szCs w:val="18"/>
              </w:rPr>
            </w:pPr>
          </w:p>
        </w:tc>
        <w:tc>
          <w:tcPr>
            <w:tcW w:w="1839" w:type="dxa"/>
            <w:vMerge/>
            <w:noWrap/>
            <w:vAlign w:val="center"/>
            <w:hideMark/>
          </w:tcPr>
          <w:p w:rsidR="009A4BEE" w:rsidRPr="002F24B0" w:rsidRDefault="009A4BEE" w:rsidP="009A4BEE">
            <w:pPr>
              <w:keepNext/>
              <w:jc w:val="left"/>
              <w:rPr>
                <w:rFonts w:ascii="Arial Narrow" w:hAnsi="Arial Narrow"/>
                <w:i/>
                <w:sz w:val="18"/>
                <w:szCs w:val="18"/>
              </w:rPr>
            </w:pPr>
          </w:p>
        </w:tc>
        <w:tc>
          <w:tcPr>
            <w:tcW w:w="568" w:type="dxa"/>
            <w:noWrap/>
            <w:vAlign w:val="center"/>
            <w:hideMark/>
          </w:tcPr>
          <w:p w:rsidR="009A4BEE" w:rsidRPr="00401693" w:rsidRDefault="009A4BEE" w:rsidP="007A2883">
            <w:pPr>
              <w:keepNext/>
              <w:jc w:val="center"/>
              <w:rPr>
                <w:rFonts w:ascii="Arial Narrow" w:hAnsi="Arial Narrow"/>
                <w:sz w:val="18"/>
                <w:szCs w:val="18"/>
              </w:rPr>
            </w:pPr>
            <w:r w:rsidRPr="00401693">
              <w:rPr>
                <w:rFonts w:ascii="Arial Narrow" w:hAnsi="Arial Narrow"/>
                <w:sz w:val="18"/>
                <w:szCs w:val="18"/>
              </w:rPr>
              <w:t>0.48</w:t>
            </w:r>
          </w:p>
        </w:tc>
        <w:tc>
          <w:tcPr>
            <w:tcW w:w="568"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0.48</w:t>
            </w:r>
          </w:p>
        </w:tc>
        <w:tc>
          <w:tcPr>
            <w:tcW w:w="709" w:type="dxa"/>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0.29</w:t>
            </w:r>
          </w:p>
        </w:tc>
        <w:tc>
          <w:tcPr>
            <w:tcW w:w="706" w:type="dxa"/>
            <w:gridSpan w:val="2"/>
            <w:noWrap/>
            <w:vAlign w:val="center"/>
            <w:hideMark/>
          </w:tcPr>
          <w:p w:rsidR="009A4BEE" w:rsidRPr="002F24B0" w:rsidRDefault="009A4BEE" w:rsidP="007A2883">
            <w:pPr>
              <w:keepNext/>
              <w:jc w:val="center"/>
              <w:rPr>
                <w:rFonts w:ascii="Arial Narrow" w:hAnsi="Arial Narrow"/>
                <w:i/>
                <w:sz w:val="18"/>
                <w:szCs w:val="18"/>
              </w:rPr>
            </w:pPr>
            <w:r w:rsidRPr="002F24B0">
              <w:rPr>
                <w:rFonts w:ascii="Arial Narrow" w:hAnsi="Arial Narrow"/>
                <w:i/>
                <w:sz w:val="18"/>
                <w:szCs w:val="18"/>
              </w:rPr>
              <w:t>$</w:t>
            </w:r>
            <w:r w:rsidR="00EF72BF">
              <w:rPr>
                <w:rFonts w:ascii="Arial Narrow" w:hAnsi="Arial Narrow"/>
                <w:i/>
                <w:noProof/>
                <w:color w:val="000000"/>
                <w:sz w:val="18"/>
                <w:szCs w:val="18"/>
                <w:highlight w:val="black"/>
              </w:rPr>
              <w:t>'''''''''''''''''</w:t>
            </w:r>
          </w:p>
        </w:tc>
        <w:tc>
          <w:tcPr>
            <w:tcW w:w="855" w:type="dxa"/>
            <w:vMerge/>
            <w:noWrap/>
            <w:vAlign w:val="center"/>
            <w:hideMark/>
          </w:tcPr>
          <w:p w:rsidR="009A4BEE" w:rsidRPr="002F24B0" w:rsidRDefault="009A4BEE" w:rsidP="007A2883">
            <w:pPr>
              <w:keepNext/>
              <w:jc w:val="center"/>
              <w:rPr>
                <w:rFonts w:ascii="Arial Narrow" w:hAnsi="Arial Narrow"/>
                <w:i/>
                <w:sz w:val="18"/>
                <w:szCs w:val="18"/>
              </w:rPr>
            </w:pPr>
          </w:p>
        </w:tc>
      </w:tr>
    </w:tbl>
    <w:p w:rsidR="009A4BEE" w:rsidRPr="00D07878" w:rsidRDefault="009A4BEE" w:rsidP="009A4BEE">
      <w:pPr>
        <w:pStyle w:val="TableFooter"/>
        <w:keepNext/>
        <w:ind w:left="720"/>
      </w:pPr>
      <w:proofErr w:type="spellStart"/>
      <w:proofErr w:type="gramStart"/>
      <w:r w:rsidRPr="00D07878">
        <w:rPr>
          <w:vertAlign w:val="superscript"/>
        </w:rPr>
        <w:t>a</w:t>
      </w:r>
      <w:proofErr w:type="spellEnd"/>
      <w:proofErr w:type="gramEnd"/>
      <w:r>
        <w:rPr>
          <w:vertAlign w:val="superscript"/>
        </w:rPr>
        <w:t xml:space="preserve"> </w:t>
      </w:r>
      <w:r>
        <w:t>Updated DPMQ</w:t>
      </w:r>
    </w:p>
    <w:p w:rsidR="009A4BEE" w:rsidRDefault="009A4BEE" w:rsidP="009A4BEE">
      <w:pPr>
        <w:pStyle w:val="TableFooter"/>
        <w:keepNext/>
        <w:ind w:left="720"/>
      </w:pPr>
      <w:proofErr w:type="gramStart"/>
      <w:r w:rsidRPr="00D07878">
        <w:rPr>
          <w:vertAlign w:val="superscript"/>
        </w:rPr>
        <w:t>b</w:t>
      </w:r>
      <w:proofErr w:type="gramEnd"/>
      <w:r w:rsidR="007A2883">
        <w:t xml:space="preserve"> Post-</w:t>
      </w:r>
      <w:r>
        <w:t>progression ut</w:t>
      </w:r>
      <w:r w:rsidR="00263253">
        <w:t>ility values from March 2015 re-</w:t>
      </w:r>
      <w:r>
        <w:t>submission, spreadsheet ‘Sorafenib in DTC Section D Workbook-base case-</w:t>
      </w:r>
      <w:proofErr w:type="spellStart"/>
      <w:r>
        <w:t>FINAL_for_March</w:t>
      </w:r>
      <w:proofErr w:type="spellEnd"/>
      <w:r>
        <w:t xml:space="preserve"> 2015’</w:t>
      </w:r>
    </w:p>
    <w:p w:rsidR="009A4BEE" w:rsidRPr="00AB6E61" w:rsidRDefault="009A4BEE" w:rsidP="009A4BEE">
      <w:pPr>
        <w:pStyle w:val="TableFooter"/>
        <w:keepNext/>
        <w:ind w:left="720"/>
      </w:pPr>
      <w:proofErr w:type="gramStart"/>
      <w:r w:rsidRPr="00AB6E61">
        <w:rPr>
          <w:vertAlign w:val="superscript"/>
        </w:rPr>
        <w:t>c</w:t>
      </w:r>
      <w:proofErr w:type="gramEnd"/>
      <w:r>
        <w:rPr>
          <w:vertAlign w:val="superscript"/>
        </w:rPr>
        <w:t xml:space="preserve"> </w:t>
      </w:r>
      <w:r>
        <w:t xml:space="preserve">Calculated by setting OS gain to equal PFS gain using </w:t>
      </w:r>
      <w:r w:rsidR="007A2883">
        <w:t>“</w:t>
      </w:r>
      <w:r>
        <w:t>Goal Seek</w:t>
      </w:r>
      <w:r w:rsidR="007A2883">
        <w:t>”</w:t>
      </w:r>
      <w:r>
        <w:t xml:space="preserve"> function on HR for OS.</w:t>
      </w:r>
    </w:p>
    <w:p w:rsidR="009A4BEE" w:rsidRPr="007A2883" w:rsidRDefault="009A4BEE" w:rsidP="007A2883">
      <w:pPr>
        <w:rPr>
          <w:rStyle w:val="CommentReference"/>
          <w:rFonts w:ascii="Arial" w:hAnsi="Arial"/>
          <w:b w:val="0"/>
          <w:sz w:val="22"/>
          <w:szCs w:val="22"/>
        </w:rPr>
      </w:pPr>
    </w:p>
    <w:p w:rsidR="009A4BEE" w:rsidRPr="0084654C" w:rsidRDefault="007A2883" w:rsidP="009A4BEE">
      <w:pPr>
        <w:pStyle w:val="ListParagraph"/>
        <w:widowControl/>
        <w:numPr>
          <w:ilvl w:val="1"/>
          <w:numId w:val="6"/>
        </w:numPr>
        <w:rPr>
          <w:szCs w:val="22"/>
        </w:rPr>
      </w:pPr>
      <w:r w:rsidRPr="0084654C">
        <w:rPr>
          <w:szCs w:val="22"/>
        </w:rPr>
        <w:t>Changing</w:t>
      </w:r>
      <w:r w:rsidR="00924940" w:rsidRPr="0084654C">
        <w:rPr>
          <w:szCs w:val="22"/>
        </w:rPr>
        <w:t xml:space="preserve"> the OS HR by 10% (from 0.613 to 0.68</w:t>
      </w:r>
      <w:r w:rsidR="009A4BEE" w:rsidRPr="0084654C">
        <w:rPr>
          <w:szCs w:val="22"/>
        </w:rPr>
        <w:t xml:space="preserve">) reduced </w:t>
      </w:r>
      <w:r w:rsidR="00A7049F" w:rsidRPr="0084654C">
        <w:rPr>
          <w:szCs w:val="22"/>
        </w:rPr>
        <w:t xml:space="preserve">the </w:t>
      </w:r>
      <w:r w:rsidR="009A4BEE" w:rsidRPr="0084654C">
        <w:rPr>
          <w:szCs w:val="22"/>
        </w:rPr>
        <w:t xml:space="preserve">incremental LYGs from 0.95 years (11.4 months) to 0.76 years (9.12 months). The corresponding incremental gain in PFS was 0.48 years (5.76 months). This was the base case presented in the re-submission and the ICERs were </w:t>
      </w:r>
      <w:r w:rsidR="00067D84">
        <w:rPr>
          <w:szCs w:val="22"/>
        </w:rPr>
        <w:t xml:space="preserve">between </w:t>
      </w:r>
      <w:r w:rsidR="00067D84" w:rsidRPr="00067D84">
        <w:rPr>
          <w:i/>
          <w:szCs w:val="22"/>
        </w:rPr>
        <w:t>$45,000/QALY – $75,000/QALY</w:t>
      </w:r>
      <w:r w:rsidR="00067D84">
        <w:rPr>
          <w:szCs w:val="22"/>
        </w:rPr>
        <w:t xml:space="preserve"> </w:t>
      </w:r>
      <w:r w:rsidR="009A4BEE" w:rsidRPr="0084654C">
        <w:rPr>
          <w:szCs w:val="22"/>
        </w:rPr>
        <w:t xml:space="preserve">for Scenario 1 and </w:t>
      </w:r>
      <w:r w:rsidR="000A78C2" w:rsidRPr="00067D84">
        <w:rPr>
          <w:i/>
          <w:szCs w:val="22"/>
        </w:rPr>
        <w:t>$45,000/QALY – $75,000/QALY</w:t>
      </w:r>
      <w:r w:rsidR="000A78C2">
        <w:rPr>
          <w:i/>
          <w:szCs w:val="22"/>
        </w:rPr>
        <w:t xml:space="preserve"> </w:t>
      </w:r>
      <w:r w:rsidR="009A4BEE" w:rsidRPr="000A78C2">
        <w:rPr>
          <w:szCs w:val="22"/>
        </w:rPr>
        <w:t>for</w:t>
      </w:r>
      <w:r w:rsidR="009A4BEE" w:rsidRPr="0084654C">
        <w:rPr>
          <w:szCs w:val="22"/>
        </w:rPr>
        <w:t xml:space="preserve"> Scenario 2.</w:t>
      </w:r>
    </w:p>
    <w:p w:rsidR="009A4BEE" w:rsidRPr="007A2883" w:rsidRDefault="009A4BEE" w:rsidP="009A4BEE">
      <w:pPr>
        <w:widowControl/>
        <w:rPr>
          <w:szCs w:val="22"/>
        </w:rPr>
      </w:pPr>
    </w:p>
    <w:p w:rsidR="009A4BEE" w:rsidRPr="00D627FF" w:rsidRDefault="009A4BEE" w:rsidP="009A4BEE">
      <w:pPr>
        <w:pStyle w:val="ListParagraph"/>
        <w:widowControl/>
        <w:numPr>
          <w:ilvl w:val="1"/>
          <w:numId w:val="6"/>
        </w:numPr>
        <w:rPr>
          <w:szCs w:val="22"/>
        </w:rPr>
      </w:pPr>
      <w:r w:rsidRPr="0084654C">
        <w:t xml:space="preserve">When OS is set to equal PFS, the ICER for Scenario 1 is approximately </w:t>
      </w:r>
      <w:r w:rsidR="000A78C2" w:rsidRPr="00067D84">
        <w:rPr>
          <w:i/>
          <w:szCs w:val="22"/>
        </w:rPr>
        <w:t>$45,000/QALY – $75,000/QALY</w:t>
      </w:r>
      <w:r w:rsidR="007A2883" w:rsidRPr="0084654C">
        <w:t>,</w:t>
      </w:r>
      <w:r w:rsidRPr="0084654C">
        <w:t xml:space="preserve"> regardless of the method used. The ICER is l</w:t>
      </w:r>
      <w:r w:rsidR="007A2883" w:rsidRPr="0084654C">
        <w:t>ess</w:t>
      </w:r>
      <w:r w:rsidRPr="0084654C">
        <w:t xml:space="preserve"> than that in the March 2015 re-submission (</w:t>
      </w:r>
      <w:r w:rsidR="000A78C2" w:rsidRPr="000A78C2">
        <w:rPr>
          <w:i/>
        </w:rPr>
        <w:t>$105,000/QALY - $200,000/QALY</w:t>
      </w:r>
      <w:r w:rsidR="000A78C2">
        <w:rPr>
          <w:i/>
        </w:rPr>
        <w:t>)</w:t>
      </w:r>
      <w:r w:rsidRPr="0084654C">
        <w:t xml:space="preserve"> because the DPMQ for sorafenib was reduced from $</w:t>
      </w:r>
      <w:r w:rsidR="00EF72BF">
        <w:rPr>
          <w:noProof/>
          <w:color w:val="000000"/>
          <w:highlight w:val="black"/>
        </w:rPr>
        <w:t>'''''''''''''''''''''</w:t>
      </w:r>
      <w:r w:rsidRPr="0084654C">
        <w:t xml:space="preserve"> to $</w:t>
      </w:r>
      <w:r w:rsidR="00EF72BF">
        <w:rPr>
          <w:noProof/>
          <w:color w:val="000000"/>
          <w:highlight w:val="black"/>
        </w:rPr>
        <w:t>'''''''''''''''''''</w:t>
      </w:r>
      <w:r w:rsidRPr="0084654C">
        <w:t xml:space="preserve"> and the </w:t>
      </w:r>
      <w:r w:rsidRPr="0084654C">
        <w:lastRenderedPageBreak/>
        <w:t xml:space="preserve">treatment duration was reduced from 17.55 months to 13.44 months. When OS is set to equal PFS, the ICER for Scenario 2 is approximately </w:t>
      </w:r>
      <w:r w:rsidR="000A78C2" w:rsidRPr="000A78C2">
        <w:rPr>
          <w:i/>
        </w:rPr>
        <w:t>$75,000/QALY - $105,000/QALY</w:t>
      </w:r>
      <w:r w:rsidR="007A2883" w:rsidRPr="0084654C">
        <w:t>,</w:t>
      </w:r>
      <w:r w:rsidRPr="0084654C">
        <w:t xml:space="preserve"> regardless of the method used. The ICER is l</w:t>
      </w:r>
      <w:r w:rsidR="007A2883" w:rsidRPr="0084654C">
        <w:t>ess</w:t>
      </w:r>
      <w:r w:rsidRPr="0084654C">
        <w:t xml:space="preserve"> than that in the March 2015 re-submission (</w:t>
      </w:r>
      <w:r w:rsidR="000A78C2" w:rsidRPr="000A78C2">
        <w:rPr>
          <w:i/>
        </w:rPr>
        <w:t>$105,000/QALY - $200,000/QALY</w:t>
      </w:r>
      <w:r w:rsidR="000A78C2">
        <w:rPr>
          <w:i/>
        </w:rPr>
        <w:t>)</w:t>
      </w:r>
      <w:r w:rsidRPr="0084654C">
        <w:t xml:space="preserve"> because the DPMQ for sorafenib was reduced from $</w:t>
      </w:r>
      <w:r w:rsidR="00EF72BF">
        <w:rPr>
          <w:noProof/>
          <w:color w:val="000000"/>
          <w:highlight w:val="black"/>
        </w:rPr>
        <w:t>''''''''''''''''''</w:t>
      </w:r>
      <w:r w:rsidRPr="0084654C">
        <w:t xml:space="preserve"> to $</w:t>
      </w:r>
      <w:r w:rsidR="00EF72BF">
        <w:rPr>
          <w:noProof/>
          <w:color w:val="000000"/>
          <w:highlight w:val="black"/>
        </w:rPr>
        <w:t>''''''''''''''''''''</w:t>
      </w:r>
      <w:r w:rsidRPr="0084654C">
        <w:t>.</w:t>
      </w:r>
    </w:p>
    <w:p w:rsidR="00D627FF" w:rsidRPr="00AA4D5C" w:rsidRDefault="00D627FF" w:rsidP="00D627FF">
      <w:pPr>
        <w:rPr>
          <w:szCs w:val="22"/>
        </w:rPr>
      </w:pPr>
    </w:p>
    <w:p w:rsidR="00D627FF" w:rsidRPr="00BF7549" w:rsidRDefault="00D627FF" w:rsidP="009A4BEE">
      <w:pPr>
        <w:pStyle w:val="ListParagraph"/>
        <w:widowControl/>
        <w:numPr>
          <w:ilvl w:val="1"/>
          <w:numId w:val="6"/>
        </w:numPr>
        <w:rPr>
          <w:szCs w:val="22"/>
        </w:rPr>
      </w:pPr>
      <w:r w:rsidRPr="00BF7549">
        <w:rPr>
          <w:szCs w:val="22"/>
        </w:rPr>
        <w:t xml:space="preserve">The ESC noted that post-progression costs were included in the analysis </w:t>
      </w:r>
      <w:r w:rsidR="00E80B70" w:rsidRPr="00BF7549">
        <w:rPr>
          <w:szCs w:val="22"/>
        </w:rPr>
        <w:t>in which the</w:t>
      </w:r>
      <w:r w:rsidRPr="00BF7549">
        <w:rPr>
          <w:szCs w:val="22"/>
        </w:rPr>
        <w:t xml:space="preserve"> post-progression utility is set to </w:t>
      </w:r>
      <w:r w:rsidR="00E80B70" w:rsidRPr="00BF7549">
        <w:rPr>
          <w:szCs w:val="22"/>
        </w:rPr>
        <w:t xml:space="preserve">zero. Although the effect on the ICER was not expected to be large, the ESC considered </w:t>
      </w:r>
      <w:r w:rsidR="00AA4D5C" w:rsidRPr="00BF7549">
        <w:rPr>
          <w:szCs w:val="22"/>
        </w:rPr>
        <w:t xml:space="preserve">that </w:t>
      </w:r>
      <w:r w:rsidR="00E80B70" w:rsidRPr="00BF7549">
        <w:rPr>
          <w:szCs w:val="22"/>
        </w:rPr>
        <w:t xml:space="preserve">an additional analysis where these costs were set to zero </w:t>
      </w:r>
      <w:r w:rsidR="00AA4D5C" w:rsidRPr="00BF7549">
        <w:rPr>
          <w:szCs w:val="22"/>
        </w:rPr>
        <w:t>would</w:t>
      </w:r>
      <w:r w:rsidR="00E80B70" w:rsidRPr="00BF7549">
        <w:rPr>
          <w:szCs w:val="22"/>
        </w:rPr>
        <w:t xml:space="preserve"> be informative.</w:t>
      </w:r>
    </w:p>
    <w:p w:rsidR="009A4BEE" w:rsidRDefault="009A4BEE" w:rsidP="009A4BEE">
      <w:pPr>
        <w:widowControl/>
        <w:rPr>
          <w:szCs w:val="22"/>
        </w:rPr>
      </w:pPr>
    </w:p>
    <w:p w:rsidR="009A4BEE" w:rsidRPr="00BF7549" w:rsidRDefault="009A4BEE" w:rsidP="00F30141">
      <w:pPr>
        <w:pStyle w:val="Heading2"/>
      </w:pPr>
      <w:bookmarkStart w:id="13" w:name="_Toc430014690"/>
      <w:r w:rsidRPr="009E41B4">
        <w:rPr>
          <w:i/>
        </w:rPr>
        <w:t>Drug cost/patient/course:</w:t>
      </w:r>
      <w:r w:rsidRPr="007A2883">
        <w:rPr>
          <w:i/>
        </w:rPr>
        <w:t xml:space="preserve"> </w:t>
      </w:r>
      <w:r w:rsidRPr="00BF7549">
        <w:t>$</w:t>
      </w:r>
      <w:r w:rsidR="00EF72BF">
        <w:rPr>
          <w:noProof/>
          <w:color w:val="000000"/>
          <w:highlight w:val="black"/>
        </w:rPr>
        <w:t>''''''''''''</w:t>
      </w:r>
      <w:r w:rsidRPr="00BF7549">
        <w:t xml:space="preserve"> (Scenario 1) and $</w:t>
      </w:r>
      <w:r w:rsidR="00EF72BF">
        <w:rPr>
          <w:noProof/>
          <w:color w:val="000000"/>
          <w:highlight w:val="black"/>
        </w:rPr>
        <w:t>''''''''''''''</w:t>
      </w:r>
      <w:r w:rsidRPr="00BF7549">
        <w:t xml:space="preserve"> (Scenario 2)</w:t>
      </w:r>
      <w:bookmarkEnd w:id="13"/>
    </w:p>
    <w:p w:rsidR="009A4BEE" w:rsidRPr="00C25D9C" w:rsidRDefault="009A4BEE" w:rsidP="009A4BEE">
      <w:pPr>
        <w:widowControl/>
        <w:rPr>
          <w:szCs w:val="22"/>
        </w:rPr>
      </w:pPr>
    </w:p>
    <w:p w:rsidR="009A4BEE" w:rsidRDefault="009A4BEE" w:rsidP="00BF3D22">
      <w:pPr>
        <w:pStyle w:val="ListParagraph"/>
        <w:widowControl/>
        <w:numPr>
          <w:ilvl w:val="1"/>
          <w:numId w:val="6"/>
        </w:numPr>
        <w:rPr>
          <w:szCs w:val="22"/>
        </w:rPr>
      </w:pPr>
      <w:r w:rsidRPr="009E41B4">
        <w:rPr>
          <w:szCs w:val="22"/>
        </w:rPr>
        <w:t>Scenario 1: the re</w:t>
      </w:r>
      <w:r w:rsidR="007A2883">
        <w:rPr>
          <w:szCs w:val="22"/>
        </w:rPr>
        <w:t>-</w:t>
      </w:r>
      <w:r w:rsidRPr="009E41B4">
        <w:rPr>
          <w:szCs w:val="22"/>
        </w:rPr>
        <w:t>submission estimated the cost of sorafenib</w:t>
      </w:r>
      <w:r>
        <w:rPr>
          <w:szCs w:val="22"/>
        </w:rPr>
        <w:t xml:space="preserve"> per patient</w:t>
      </w:r>
      <w:r w:rsidRPr="009E41B4">
        <w:rPr>
          <w:szCs w:val="22"/>
        </w:rPr>
        <w:t xml:space="preserve"> ba</w:t>
      </w:r>
      <w:r>
        <w:rPr>
          <w:szCs w:val="22"/>
        </w:rPr>
        <w:t>sed on the effective DPMQ of $</w:t>
      </w:r>
      <w:r w:rsidR="00EF72BF">
        <w:rPr>
          <w:noProof/>
          <w:color w:val="000000"/>
          <w:szCs w:val="22"/>
          <w:highlight w:val="black"/>
        </w:rPr>
        <w:t>''''''''''''''''''''</w:t>
      </w:r>
      <w:r w:rsidRPr="009E41B4">
        <w:rPr>
          <w:szCs w:val="22"/>
        </w:rPr>
        <w:t xml:space="preserve"> (</w:t>
      </w:r>
      <w:r w:rsidR="00CE2784">
        <w:rPr>
          <w:szCs w:val="22"/>
        </w:rPr>
        <w:t xml:space="preserve">for </w:t>
      </w:r>
      <w:r w:rsidRPr="009E41B4">
        <w:rPr>
          <w:szCs w:val="22"/>
        </w:rPr>
        <w:t>120</w:t>
      </w:r>
      <w:r w:rsidR="007A2883">
        <w:rPr>
          <w:szCs w:val="22"/>
        </w:rPr>
        <w:t xml:space="preserve"> </w:t>
      </w:r>
      <w:r w:rsidRPr="009E41B4">
        <w:rPr>
          <w:szCs w:val="22"/>
        </w:rPr>
        <w:t>*</w:t>
      </w:r>
      <w:r w:rsidR="007A2883">
        <w:rPr>
          <w:szCs w:val="22"/>
        </w:rPr>
        <w:t xml:space="preserve"> </w:t>
      </w:r>
      <w:r w:rsidRPr="009E41B4">
        <w:rPr>
          <w:szCs w:val="22"/>
        </w:rPr>
        <w:t>200 mg tablets)</w:t>
      </w:r>
      <w:r w:rsidR="007A2883">
        <w:rPr>
          <w:szCs w:val="22"/>
        </w:rPr>
        <w:t>, a dose of 400 </w:t>
      </w:r>
      <w:r w:rsidR="00924940">
        <w:rPr>
          <w:szCs w:val="22"/>
        </w:rPr>
        <w:t>mg twice daily</w:t>
      </w:r>
      <w:r>
        <w:rPr>
          <w:szCs w:val="22"/>
        </w:rPr>
        <w:t>, an average treatment</w:t>
      </w:r>
      <w:r w:rsidRPr="009E41B4">
        <w:rPr>
          <w:szCs w:val="22"/>
        </w:rPr>
        <w:t xml:space="preserve"> duration of 1.12 years</w:t>
      </w:r>
      <w:r>
        <w:rPr>
          <w:szCs w:val="22"/>
        </w:rPr>
        <w:t xml:space="preserve"> and a </w:t>
      </w:r>
      <w:r w:rsidRPr="009E41B4">
        <w:rPr>
          <w:szCs w:val="22"/>
        </w:rPr>
        <w:t>dose intensity of 81%</w:t>
      </w:r>
      <w:r>
        <w:rPr>
          <w:szCs w:val="22"/>
        </w:rPr>
        <w:t xml:space="preserve"> ($</w:t>
      </w:r>
      <w:r w:rsidR="00EF72BF">
        <w:rPr>
          <w:noProof/>
          <w:color w:val="000000"/>
          <w:szCs w:val="22"/>
          <w:highlight w:val="black"/>
        </w:rPr>
        <w:t>'''''''''''''''''''''</w:t>
      </w:r>
      <w:r>
        <w:rPr>
          <w:szCs w:val="22"/>
        </w:rPr>
        <w:t xml:space="preserve"> * </w:t>
      </w:r>
      <w:r w:rsidR="00212996">
        <w:rPr>
          <w:szCs w:val="22"/>
        </w:rPr>
        <w:t>(</w:t>
      </w:r>
      <w:r w:rsidR="007A2883">
        <w:rPr>
          <w:szCs w:val="22"/>
        </w:rPr>
        <w:t xml:space="preserve">365/30) * </w:t>
      </w:r>
      <w:r>
        <w:rPr>
          <w:szCs w:val="22"/>
        </w:rPr>
        <w:t>1.12 * 0.81)</w:t>
      </w:r>
      <w:r w:rsidRPr="009E41B4">
        <w:rPr>
          <w:szCs w:val="22"/>
        </w:rPr>
        <w:t>.</w:t>
      </w:r>
    </w:p>
    <w:p w:rsidR="009A4BEE" w:rsidRPr="009E41B4" w:rsidRDefault="007A2883" w:rsidP="009A4BEE">
      <w:pPr>
        <w:pStyle w:val="ListParagraph"/>
        <w:rPr>
          <w:szCs w:val="22"/>
        </w:rPr>
      </w:pPr>
      <w:r>
        <w:rPr>
          <w:szCs w:val="22"/>
        </w:rPr>
        <w:t>Scenario 2: the re-</w:t>
      </w:r>
      <w:r w:rsidR="009A4BEE" w:rsidRPr="009E41B4">
        <w:rPr>
          <w:szCs w:val="22"/>
        </w:rPr>
        <w:t xml:space="preserve">submission estimated the cost of sorafenib </w:t>
      </w:r>
      <w:r w:rsidR="009A4BEE">
        <w:rPr>
          <w:szCs w:val="22"/>
        </w:rPr>
        <w:t xml:space="preserve">per patient </w:t>
      </w:r>
      <w:r w:rsidR="009A4BEE" w:rsidRPr="009E41B4">
        <w:rPr>
          <w:szCs w:val="22"/>
        </w:rPr>
        <w:t>based on the effective DPMQ of $</w:t>
      </w:r>
      <w:r w:rsidR="00EF72BF">
        <w:rPr>
          <w:noProof/>
          <w:color w:val="000000"/>
          <w:szCs w:val="22"/>
          <w:highlight w:val="black"/>
        </w:rPr>
        <w:t>'''''''''''''''''''''</w:t>
      </w:r>
      <w:r w:rsidR="009A4BEE" w:rsidRPr="009E41B4">
        <w:rPr>
          <w:szCs w:val="22"/>
        </w:rPr>
        <w:t xml:space="preserve"> (</w:t>
      </w:r>
      <w:r w:rsidR="00CE2784">
        <w:rPr>
          <w:szCs w:val="22"/>
        </w:rPr>
        <w:t xml:space="preserve">for </w:t>
      </w:r>
      <w:r w:rsidR="009A4BEE" w:rsidRPr="009E41B4">
        <w:rPr>
          <w:szCs w:val="22"/>
        </w:rPr>
        <w:t>120</w:t>
      </w:r>
      <w:r>
        <w:rPr>
          <w:szCs w:val="22"/>
        </w:rPr>
        <w:t xml:space="preserve"> </w:t>
      </w:r>
      <w:r w:rsidR="009A4BEE" w:rsidRPr="009E41B4">
        <w:rPr>
          <w:szCs w:val="22"/>
        </w:rPr>
        <w:t>*</w:t>
      </w:r>
      <w:r>
        <w:rPr>
          <w:szCs w:val="22"/>
        </w:rPr>
        <w:t xml:space="preserve"> 200 </w:t>
      </w:r>
      <w:r w:rsidR="009A4BEE" w:rsidRPr="009E41B4">
        <w:rPr>
          <w:szCs w:val="22"/>
        </w:rPr>
        <w:t>mg tablets)</w:t>
      </w:r>
      <w:r>
        <w:rPr>
          <w:szCs w:val="22"/>
        </w:rPr>
        <w:t>, a dose of 400 </w:t>
      </w:r>
      <w:r w:rsidR="009A4BEE">
        <w:rPr>
          <w:szCs w:val="22"/>
        </w:rPr>
        <w:t>mg twice daily, an average treatment</w:t>
      </w:r>
      <w:r w:rsidR="009A4BEE" w:rsidRPr="009E41B4">
        <w:rPr>
          <w:szCs w:val="22"/>
        </w:rPr>
        <w:t xml:space="preserve"> duration of 1.46 years</w:t>
      </w:r>
      <w:r w:rsidR="009A4BEE">
        <w:rPr>
          <w:szCs w:val="22"/>
        </w:rPr>
        <w:t xml:space="preserve"> and a</w:t>
      </w:r>
      <w:r w:rsidR="009A4BEE" w:rsidRPr="009E41B4">
        <w:rPr>
          <w:szCs w:val="22"/>
        </w:rPr>
        <w:t xml:space="preserve"> dose intensity of 81% </w:t>
      </w:r>
      <w:r w:rsidR="009A4BEE" w:rsidRPr="00484CA2">
        <w:rPr>
          <w:szCs w:val="22"/>
        </w:rPr>
        <w:t>($</w:t>
      </w:r>
      <w:r w:rsidR="00EF72BF">
        <w:rPr>
          <w:noProof/>
          <w:color w:val="000000"/>
          <w:szCs w:val="22"/>
          <w:highlight w:val="black"/>
        </w:rPr>
        <w:t>''''''''''''''''''''''</w:t>
      </w:r>
      <w:r w:rsidR="009A4BEE" w:rsidRPr="00484CA2">
        <w:rPr>
          <w:szCs w:val="22"/>
        </w:rPr>
        <w:t xml:space="preserve"> * </w:t>
      </w:r>
      <w:r w:rsidR="00212996">
        <w:rPr>
          <w:szCs w:val="22"/>
        </w:rPr>
        <w:t>(</w:t>
      </w:r>
      <w:r w:rsidR="009A4BEE" w:rsidRPr="00484CA2">
        <w:rPr>
          <w:szCs w:val="22"/>
        </w:rPr>
        <w:t>365/30</w:t>
      </w:r>
      <w:r w:rsidR="00212996">
        <w:rPr>
          <w:szCs w:val="22"/>
        </w:rPr>
        <w:t>)</w:t>
      </w:r>
      <w:r w:rsidR="009A4BEE" w:rsidRPr="00484CA2">
        <w:rPr>
          <w:szCs w:val="22"/>
        </w:rPr>
        <w:t xml:space="preserve"> * 1.</w:t>
      </w:r>
      <w:r w:rsidR="009A4BEE">
        <w:rPr>
          <w:szCs w:val="22"/>
        </w:rPr>
        <w:t>46 * 0.81</w:t>
      </w:r>
      <w:r w:rsidR="009A4BEE" w:rsidRPr="00484CA2">
        <w:rPr>
          <w:szCs w:val="22"/>
        </w:rPr>
        <w:t>).</w:t>
      </w:r>
    </w:p>
    <w:p w:rsidR="009A4BEE" w:rsidRPr="00882085" w:rsidRDefault="009A4BEE" w:rsidP="009A4BEE">
      <w:pPr>
        <w:rPr>
          <w:szCs w:val="22"/>
        </w:rPr>
      </w:pPr>
    </w:p>
    <w:p w:rsidR="009A4BEE" w:rsidRPr="00497F10" w:rsidRDefault="009A4BEE" w:rsidP="00F30141">
      <w:pPr>
        <w:pStyle w:val="Heading2"/>
      </w:pPr>
      <w:bookmarkStart w:id="14" w:name="_Toc430014691"/>
      <w:r w:rsidRPr="00497F10">
        <w:t>Estimated PBS usage &amp; financial implications</w:t>
      </w:r>
      <w:bookmarkEnd w:id="14"/>
    </w:p>
    <w:p w:rsidR="009A4BEE" w:rsidRPr="00882085" w:rsidRDefault="009A4BEE" w:rsidP="009A4BEE"/>
    <w:p w:rsidR="009A4BEE" w:rsidRPr="008043E2" w:rsidRDefault="001170A1" w:rsidP="009A4BEE">
      <w:pPr>
        <w:pStyle w:val="ListParagraph"/>
        <w:widowControl/>
        <w:numPr>
          <w:ilvl w:val="1"/>
          <w:numId w:val="6"/>
        </w:numPr>
        <w:rPr>
          <w:szCs w:val="22"/>
        </w:rPr>
      </w:pPr>
      <w:r>
        <w:t>This re-submission was</w:t>
      </w:r>
      <w:r w:rsidR="009A4BEE">
        <w:t xml:space="preserve"> not </w:t>
      </w:r>
      <w:r w:rsidR="007A2883">
        <w:t>considered by DUSC. The re-</w:t>
      </w:r>
      <w:r w:rsidR="009A4BEE">
        <w:t>submission’s approach for estimating the financial implications was t</w:t>
      </w:r>
      <w:r w:rsidR="007A2883">
        <w:t>he same as in the March 2015 re</w:t>
      </w:r>
      <w:r w:rsidR="009A4BEE">
        <w:t>-submission. Separate financial estimates were provided for Scenario 1 and Scenario 2. Changes from the March 2015 re-submission included the reduced effective DPMQs, longer treatment duration for Scenario 2 (1.46 years; the same treatment duration of 1.12 years was used for Scenario 1) and higher uptake rates</w:t>
      </w:r>
      <w:r w:rsidR="00212996">
        <w:t xml:space="preserve"> (100% by Year 5)</w:t>
      </w:r>
      <w:r w:rsidR="009A4BEE">
        <w:t>. The March 2015 re</w:t>
      </w:r>
      <w:r w:rsidR="007A2883">
        <w:t>-</w:t>
      </w:r>
      <w:r w:rsidR="009A4BEE">
        <w:t xml:space="preserve">submission assumed </w:t>
      </w:r>
      <w:r w:rsidR="0084654C">
        <w:t>treatment</w:t>
      </w:r>
      <w:r w:rsidR="009A4BEE">
        <w:t xml:space="preserve"> duration of 1.12 years and uptake reaching 80% by Year 5.</w:t>
      </w:r>
    </w:p>
    <w:p w:rsidR="009A4BEE" w:rsidRPr="007A2883" w:rsidRDefault="009A4BEE" w:rsidP="009A4BEE">
      <w:pPr>
        <w:widowControl/>
        <w:rPr>
          <w:szCs w:val="22"/>
        </w:rPr>
      </w:pPr>
    </w:p>
    <w:p w:rsidR="009A4BEE" w:rsidRPr="001222FC" w:rsidRDefault="009A4BEE" w:rsidP="009A4BEE">
      <w:pPr>
        <w:ind w:firstLine="709"/>
        <w:rPr>
          <w:rStyle w:val="CommentReference"/>
        </w:rPr>
      </w:pPr>
      <w:r w:rsidRPr="001222FC">
        <w:rPr>
          <w:rStyle w:val="CommentReference"/>
        </w:rPr>
        <w:t xml:space="preserve">Table </w:t>
      </w:r>
      <w:r w:rsidR="004F2AFD">
        <w:rPr>
          <w:rStyle w:val="CommentReference"/>
        </w:rPr>
        <w:t>10</w:t>
      </w:r>
      <w:r w:rsidRPr="001222FC">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7"/>
        <w:gridCol w:w="1027"/>
        <w:gridCol w:w="1126"/>
        <w:gridCol w:w="1129"/>
        <w:gridCol w:w="1267"/>
        <w:gridCol w:w="1109"/>
      </w:tblGrid>
      <w:tr w:rsidR="009A4BEE" w:rsidRPr="00E9190A" w:rsidTr="00CE2784">
        <w:trPr>
          <w:tblHeader/>
        </w:trPr>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b/>
                <w:sz w:val="20"/>
              </w:rPr>
            </w:pPr>
          </w:p>
        </w:tc>
        <w:tc>
          <w:tcPr>
            <w:tcW w:w="596" w:type="pct"/>
            <w:shd w:val="clear" w:color="auto" w:fill="auto"/>
            <w:vAlign w:val="center"/>
          </w:tcPr>
          <w:p w:rsidR="009A4BEE" w:rsidRPr="00E9190A" w:rsidRDefault="009A4BEE" w:rsidP="009A4BEE">
            <w:pPr>
              <w:ind w:right="93"/>
              <w:jc w:val="center"/>
              <w:rPr>
                <w:rFonts w:ascii="Arial Narrow" w:hAnsi="Arial Narrow"/>
                <w:b/>
                <w:sz w:val="20"/>
              </w:rPr>
            </w:pPr>
            <w:r w:rsidRPr="00E9190A">
              <w:rPr>
                <w:rFonts w:ascii="Arial Narrow" w:hAnsi="Arial Narrow"/>
                <w:b/>
                <w:sz w:val="20"/>
              </w:rPr>
              <w:t>Year 1</w:t>
            </w:r>
          </w:p>
        </w:tc>
        <w:tc>
          <w:tcPr>
            <w:tcW w:w="679" w:type="pct"/>
            <w:shd w:val="clear" w:color="auto" w:fill="auto"/>
            <w:vAlign w:val="center"/>
          </w:tcPr>
          <w:p w:rsidR="009A4BEE" w:rsidRPr="00E9190A" w:rsidRDefault="009A4BEE" w:rsidP="009A4BEE">
            <w:pPr>
              <w:ind w:right="93"/>
              <w:jc w:val="center"/>
              <w:rPr>
                <w:rFonts w:ascii="Arial Narrow" w:hAnsi="Arial Narrow"/>
                <w:b/>
                <w:sz w:val="20"/>
              </w:rPr>
            </w:pPr>
            <w:r w:rsidRPr="00E9190A">
              <w:rPr>
                <w:rFonts w:ascii="Arial Narrow" w:hAnsi="Arial Narrow"/>
                <w:b/>
                <w:sz w:val="20"/>
              </w:rPr>
              <w:t>Year 2</w:t>
            </w:r>
          </w:p>
        </w:tc>
        <w:tc>
          <w:tcPr>
            <w:tcW w:w="680" w:type="pct"/>
            <w:shd w:val="clear" w:color="auto" w:fill="auto"/>
            <w:vAlign w:val="center"/>
          </w:tcPr>
          <w:p w:rsidR="009A4BEE" w:rsidRPr="00E9190A" w:rsidRDefault="009A4BEE" w:rsidP="009A4BEE">
            <w:pPr>
              <w:ind w:right="93"/>
              <w:jc w:val="center"/>
              <w:rPr>
                <w:rFonts w:ascii="Arial Narrow" w:hAnsi="Arial Narrow"/>
                <w:b/>
                <w:sz w:val="20"/>
              </w:rPr>
            </w:pPr>
            <w:r w:rsidRPr="00E9190A">
              <w:rPr>
                <w:rFonts w:ascii="Arial Narrow" w:hAnsi="Arial Narrow"/>
                <w:b/>
                <w:sz w:val="20"/>
              </w:rPr>
              <w:t>Year 3</w:t>
            </w:r>
          </w:p>
        </w:tc>
        <w:tc>
          <w:tcPr>
            <w:tcW w:w="763" w:type="pct"/>
            <w:shd w:val="clear" w:color="auto" w:fill="auto"/>
            <w:vAlign w:val="center"/>
          </w:tcPr>
          <w:p w:rsidR="009A4BEE" w:rsidRPr="00E9190A" w:rsidRDefault="009A4BEE" w:rsidP="009A4BEE">
            <w:pPr>
              <w:ind w:right="93"/>
              <w:jc w:val="center"/>
              <w:rPr>
                <w:rFonts w:ascii="Arial Narrow" w:hAnsi="Arial Narrow"/>
                <w:b/>
                <w:sz w:val="20"/>
              </w:rPr>
            </w:pPr>
            <w:r w:rsidRPr="00E9190A">
              <w:rPr>
                <w:rFonts w:ascii="Arial Narrow" w:hAnsi="Arial Narrow"/>
                <w:b/>
                <w:sz w:val="20"/>
              </w:rPr>
              <w:t>Year 4</w:t>
            </w:r>
          </w:p>
        </w:tc>
        <w:tc>
          <w:tcPr>
            <w:tcW w:w="668" w:type="pct"/>
            <w:shd w:val="clear" w:color="auto" w:fill="auto"/>
            <w:vAlign w:val="center"/>
          </w:tcPr>
          <w:p w:rsidR="009A4BEE" w:rsidRPr="00E9190A" w:rsidRDefault="009A4BEE" w:rsidP="009A4BEE">
            <w:pPr>
              <w:ind w:right="93"/>
              <w:jc w:val="center"/>
              <w:rPr>
                <w:rFonts w:ascii="Arial Narrow" w:hAnsi="Arial Narrow"/>
                <w:b/>
                <w:sz w:val="20"/>
              </w:rPr>
            </w:pPr>
            <w:r w:rsidRPr="00E9190A">
              <w:rPr>
                <w:rFonts w:ascii="Arial Narrow" w:hAnsi="Arial Narrow"/>
                <w:b/>
                <w:sz w:val="20"/>
              </w:rPr>
              <w:t>Year 5</w:t>
            </w:r>
          </w:p>
        </w:tc>
      </w:tr>
      <w:tr w:rsidR="009A4BEE" w:rsidRPr="00E9190A" w:rsidTr="009A4BEE">
        <w:tc>
          <w:tcPr>
            <w:tcW w:w="5000" w:type="pct"/>
            <w:gridSpan w:val="6"/>
            <w:shd w:val="clear" w:color="auto" w:fill="auto"/>
            <w:vAlign w:val="center"/>
          </w:tcPr>
          <w:p w:rsidR="009A4BEE" w:rsidRPr="00E9190A" w:rsidRDefault="009A4BEE" w:rsidP="009A4BEE">
            <w:pPr>
              <w:ind w:right="93"/>
              <w:jc w:val="left"/>
              <w:rPr>
                <w:rFonts w:ascii="Arial Narrow" w:hAnsi="Arial Narrow"/>
                <w:b/>
                <w:bCs/>
                <w:sz w:val="20"/>
              </w:rPr>
            </w:pPr>
            <w:r w:rsidRPr="00E9190A">
              <w:rPr>
                <w:rFonts w:ascii="Arial Narrow" w:hAnsi="Arial Narrow"/>
                <w:b/>
                <w:bCs/>
                <w:sz w:val="20"/>
              </w:rPr>
              <w:t>Estimated extent of use</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sz w:val="20"/>
              </w:rPr>
              <w:t>Number treated – Scenario 1</w:t>
            </w:r>
            <w:r w:rsidRPr="008043E2">
              <w:rPr>
                <w:rFonts w:ascii="Arial Narrow" w:hAnsi="Arial Narrow"/>
                <w:sz w:val="20"/>
                <w:vertAlign w:val="superscript"/>
              </w:rPr>
              <w:t>a</w:t>
            </w:r>
          </w:p>
        </w:tc>
        <w:tc>
          <w:tcPr>
            <w:tcW w:w="596"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63"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68"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sz w:val="20"/>
              </w:rPr>
              <w:t>Number treated – Scenario 2</w:t>
            </w:r>
            <w:r w:rsidRPr="008043E2">
              <w:rPr>
                <w:rFonts w:ascii="Arial Narrow" w:hAnsi="Arial Narrow"/>
                <w:sz w:val="20"/>
                <w:vertAlign w:val="superscript"/>
              </w:rPr>
              <w:t>b</w:t>
            </w:r>
          </w:p>
        </w:tc>
        <w:tc>
          <w:tcPr>
            <w:tcW w:w="596" w:type="pct"/>
            <w:shd w:val="clear" w:color="auto" w:fill="auto"/>
          </w:tcPr>
          <w:p w:rsidR="009A4BEE" w:rsidRPr="00EF72BF" w:rsidRDefault="00EF72BF" w:rsidP="009A4BEE">
            <w:pPr>
              <w:ind w:right="93"/>
              <w:jc w:val="center"/>
              <w:rPr>
                <w:rFonts w:ascii="Arial Narrow" w:eastAsia="SimSun" w:hAnsi="Arial Narrow"/>
                <w:bCs/>
                <w:sz w:val="20"/>
                <w:highlight w:val="black"/>
                <w:lang w:eastAsia="en-AU"/>
              </w:rPr>
            </w:pPr>
            <w:r>
              <w:rPr>
                <w:rFonts w:ascii="Arial Narrow" w:hAnsi="Arial Narrow"/>
                <w:noProof/>
                <w:color w:val="000000"/>
                <w:sz w:val="20"/>
                <w:highlight w:val="black"/>
              </w:rPr>
              <w:t>''''''''''</w:t>
            </w:r>
          </w:p>
        </w:tc>
        <w:tc>
          <w:tcPr>
            <w:tcW w:w="679" w:type="pct"/>
            <w:shd w:val="clear" w:color="auto" w:fill="auto"/>
          </w:tcPr>
          <w:p w:rsidR="009A4BEE" w:rsidRPr="00EF72BF" w:rsidRDefault="00EF72BF" w:rsidP="009A4BEE">
            <w:pPr>
              <w:ind w:right="93"/>
              <w:jc w:val="center"/>
              <w:rPr>
                <w:rFonts w:ascii="Arial Narrow" w:eastAsia="SimSun" w:hAnsi="Arial Narrow"/>
                <w:bCs/>
                <w:sz w:val="20"/>
                <w:highlight w:val="black"/>
                <w:lang w:eastAsia="en-AU"/>
              </w:rPr>
            </w:pPr>
            <w:r>
              <w:rPr>
                <w:rFonts w:ascii="Arial Narrow" w:hAnsi="Arial Narrow"/>
                <w:noProof/>
                <w:color w:val="000000"/>
                <w:sz w:val="20"/>
                <w:highlight w:val="black"/>
              </w:rPr>
              <w:t>'''''''''</w:t>
            </w:r>
          </w:p>
        </w:tc>
        <w:tc>
          <w:tcPr>
            <w:tcW w:w="680" w:type="pct"/>
            <w:shd w:val="clear" w:color="auto" w:fill="auto"/>
          </w:tcPr>
          <w:p w:rsidR="009A4BEE" w:rsidRPr="00EF72BF" w:rsidRDefault="00EF72BF" w:rsidP="009A4BEE">
            <w:pPr>
              <w:ind w:right="93"/>
              <w:jc w:val="center"/>
              <w:rPr>
                <w:rFonts w:ascii="Arial Narrow" w:eastAsia="SimSun" w:hAnsi="Arial Narrow"/>
                <w:bCs/>
                <w:sz w:val="20"/>
                <w:highlight w:val="black"/>
                <w:lang w:eastAsia="en-AU"/>
              </w:rPr>
            </w:pPr>
            <w:r>
              <w:rPr>
                <w:rFonts w:ascii="Arial Narrow" w:hAnsi="Arial Narrow"/>
                <w:noProof/>
                <w:color w:val="000000"/>
                <w:sz w:val="20"/>
                <w:highlight w:val="black"/>
              </w:rPr>
              <w:t>''''''''''</w:t>
            </w:r>
          </w:p>
        </w:tc>
        <w:tc>
          <w:tcPr>
            <w:tcW w:w="763" w:type="pct"/>
            <w:shd w:val="clear" w:color="auto" w:fill="auto"/>
          </w:tcPr>
          <w:p w:rsidR="009A4BEE" w:rsidRPr="00EF72BF" w:rsidRDefault="00EF72BF" w:rsidP="009A4BEE">
            <w:pPr>
              <w:ind w:right="93"/>
              <w:jc w:val="center"/>
              <w:rPr>
                <w:rFonts w:ascii="Arial Narrow" w:eastAsia="SimSun" w:hAnsi="Arial Narrow"/>
                <w:bCs/>
                <w:sz w:val="20"/>
                <w:highlight w:val="black"/>
                <w:lang w:eastAsia="en-AU"/>
              </w:rPr>
            </w:pPr>
            <w:r>
              <w:rPr>
                <w:rFonts w:ascii="Arial Narrow" w:hAnsi="Arial Narrow"/>
                <w:noProof/>
                <w:color w:val="000000"/>
                <w:sz w:val="20"/>
                <w:highlight w:val="black"/>
              </w:rPr>
              <w:t>'''''''''</w:t>
            </w:r>
          </w:p>
        </w:tc>
        <w:tc>
          <w:tcPr>
            <w:tcW w:w="668" w:type="pct"/>
            <w:shd w:val="clear" w:color="auto" w:fill="auto"/>
          </w:tcPr>
          <w:p w:rsidR="009A4BEE" w:rsidRPr="00EF72BF" w:rsidRDefault="00EF72BF" w:rsidP="009A4BEE">
            <w:pPr>
              <w:ind w:right="93"/>
              <w:jc w:val="center"/>
              <w:rPr>
                <w:rFonts w:ascii="Arial Narrow" w:eastAsia="SimSun" w:hAnsi="Arial Narrow"/>
                <w:bCs/>
                <w:sz w:val="20"/>
                <w:highlight w:val="black"/>
                <w:lang w:eastAsia="en-AU"/>
              </w:rPr>
            </w:pPr>
            <w:r>
              <w:rPr>
                <w:rFonts w:ascii="Arial Narrow" w:hAnsi="Arial Narrow"/>
                <w:noProof/>
                <w:color w:val="000000"/>
                <w:sz w:val="20"/>
                <w:highlight w:val="black"/>
              </w:rPr>
              <w:t>''''''''''</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sz w:val="20"/>
              </w:rPr>
              <w:t>Number treated - March 2015</w:t>
            </w:r>
          </w:p>
        </w:tc>
        <w:tc>
          <w:tcPr>
            <w:tcW w:w="596"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63"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68" w:type="pct"/>
            <w:shd w:val="clear" w:color="auto" w:fill="auto"/>
          </w:tcPr>
          <w:p w:rsidR="009A4BEE" w:rsidRPr="00EF72BF" w:rsidRDefault="00EF72BF" w:rsidP="009A4BEE">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sz w:val="20"/>
              </w:rPr>
              <w:t>Uptake rate – Scenario 1 and 2</w:t>
            </w:r>
          </w:p>
        </w:tc>
        <w:tc>
          <w:tcPr>
            <w:tcW w:w="596" w:type="pct"/>
            <w:shd w:val="clear" w:color="auto" w:fill="auto"/>
          </w:tcPr>
          <w:p w:rsidR="009A4BEE" w:rsidRPr="00E9190A" w:rsidRDefault="009A4BEE" w:rsidP="009A4BEE">
            <w:pPr>
              <w:ind w:right="93"/>
              <w:jc w:val="center"/>
              <w:rPr>
                <w:rFonts w:ascii="Arial Narrow" w:hAnsi="Arial Narrow"/>
                <w:sz w:val="20"/>
              </w:rPr>
            </w:pPr>
            <w:r>
              <w:rPr>
                <w:rFonts w:ascii="Arial Narrow" w:hAnsi="Arial Narrow"/>
                <w:sz w:val="20"/>
              </w:rPr>
              <w:t>80%</w:t>
            </w:r>
          </w:p>
        </w:tc>
        <w:tc>
          <w:tcPr>
            <w:tcW w:w="679" w:type="pct"/>
            <w:shd w:val="clear" w:color="auto" w:fill="auto"/>
          </w:tcPr>
          <w:p w:rsidR="009A4BEE" w:rsidRPr="00E9190A" w:rsidRDefault="009A4BEE" w:rsidP="009A4BEE">
            <w:pPr>
              <w:ind w:right="93"/>
              <w:jc w:val="center"/>
              <w:rPr>
                <w:rFonts w:ascii="Arial Narrow" w:hAnsi="Arial Narrow"/>
                <w:sz w:val="20"/>
              </w:rPr>
            </w:pPr>
            <w:r>
              <w:rPr>
                <w:rFonts w:ascii="Arial Narrow" w:hAnsi="Arial Narrow"/>
                <w:sz w:val="20"/>
              </w:rPr>
              <w:t>85%</w:t>
            </w:r>
          </w:p>
        </w:tc>
        <w:tc>
          <w:tcPr>
            <w:tcW w:w="680" w:type="pct"/>
            <w:shd w:val="clear" w:color="auto" w:fill="auto"/>
          </w:tcPr>
          <w:p w:rsidR="009A4BEE" w:rsidRPr="00E9190A" w:rsidRDefault="009A4BEE" w:rsidP="009A4BEE">
            <w:pPr>
              <w:ind w:right="93"/>
              <w:jc w:val="center"/>
              <w:rPr>
                <w:rFonts w:ascii="Arial Narrow" w:hAnsi="Arial Narrow"/>
                <w:sz w:val="20"/>
              </w:rPr>
            </w:pPr>
            <w:r>
              <w:rPr>
                <w:rFonts w:ascii="Arial Narrow" w:hAnsi="Arial Narrow"/>
                <w:sz w:val="20"/>
              </w:rPr>
              <w:t>90%</w:t>
            </w:r>
          </w:p>
        </w:tc>
        <w:tc>
          <w:tcPr>
            <w:tcW w:w="763" w:type="pct"/>
            <w:shd w:val="clear" w:color="auto" w:fill="auto"/>
          </w:tcPr>
          <w:p w:rsidR="009A4BEE" w:rsidRPr="00E9190A" w:rsidRDefault="009A4BEE" w:rsidP="009A4BEE">
            <w:pPr>
              <w:ind w:right="93"/>
              <w:jc w:val="center"/>
              <w:rPr>
                <w:rFonts w:ascii="Arial Narrow" w:hAnsi="Arial Narrow"/>
                <w:sz w:val="20"/>
              </w:rPr>
            </w:pPr>
            <w:r>
              <w:rPr>
                <w:rFonts w:ascii="Arial Narrow" w:hAnsi="Arial Narrow"/>
                <w:sz w:val="20"/>
              </w:rPr>
              <w:t>95%</w:t>
            </w:r>
          </w:p>
        </w:tc>
        <w:tc>
          <w:tcPr>
            <w:tcW w:w="668" w:type="pct"/>
            <w:shd w:val="clear" w:color="auto" w:fill="auto"/>
          </w:tcPr>
          <w:p w:rsidR="009A4BEE" w:rsidRPr="00E9190A" w:rsidRDefault="009A4BEE" w:rsidP="009A4BEE">
            <w:pPr>
              <w:ind w:right="93"/>
              <w:jc w:val="center"/>
              <w:rPr>
                <w:rFonts w:ascii="Arial Narrow" w:hAnsi="Arial Narrow"/>
                <w:sz w:val="20"/>
              </w:rPr>
            </w:pPr>
            <w:r>
              <w:rPr>
                <w:rFonts w:ascii="Arial Narrow" w:hAnsi="Arial Narrow"/>
                <w:sz w:val="20"/>
              </w:rPr>
              <w:t>100%</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sz w:val="20"/>
              </w:rPr>
              <w:t>Uptake rate March 2015</w:t>
            </w:r>
          </w:p>
        </w:tc>
        <w:tc>
          <w:tcPr>
            <w:tcW w:w="596" w:type="pct"/>
            <w:shd w:val="clear" w:color="auto" w:fill="auto"/>
          </w:tcPr>
          <w:p w:rsidR="009A4BEE" w:rsidRPr="00E9190A" w:rsidRDefault="009A4BEE" w:rsidP="009A4BEE">
            <w:pPr>
              <w:ind w:right="93"/>
              <w:jc w:val="center"/>
              <w:rPr>
                <w:rFonts w:ascii="Arial Narrow" w:hAnsi="Arial Narrow"/>
                <w:sz w:val="20"/>
              </w:rPr>
            </w:pPr>
            <w:r w:rsidRPr="00E9190A">
              <w:rPr>
                <w:rFonts w:ascii="Arial Narrow" w:hAnsi="Arial Narrow"/>
                <w:sz w:val="20"/>
              </w:rPr>
              <w:t>60%</w:t>
            </w:r>
          </w:p>
        </w:tc>
        <w:tc>
          <w:tcPr>
            <w:tcW w:w="679" w:type="pct"/>
            <w:shd w:val="clear" w:color="auto" w:fill="auto"/>
          </w:tcPr>
          <w:p w:rsidR="009A4BEE" w:rsidRPr="00E9190A" w:rsidRDefault="009A4BEE" w:rsidP="009A4BEE">
            <w:pPr>
              <w:ind w:right="93"/>
              <w:jc w:val="center"/>
              <w:rPr>
                <w:rFonts w:ascii="Arial Narrow" w:hAnsi="Arial Narrow"/>
                <w:sz w:val="20"/>
              </w:rPr>
            </w:pPr>
            <w:r w:rsidRPr="00E9190A">
              <w:rPr>
                <w:rFonts w:ascii="Arial Narrow" w:hAnsi="Arial Narrow"/>
                <w:sz w:val="20"/>
              </w:rPr>
              <w:t>65%</w:t>
            </w:r>
          </w:p>
        </w:tc>
        <w:tc>
          <w:tcPr>
            <w:tcW w:w="680" w:type="pct"/>
            <w:shd w:val="clear" w:color="auto" w:fill="auto"/>
          </w:tcPr>
          <w:p w:rsidR="009A4BEE" w:rsidRPr="00E9190A" w:rsidRDefault="009A4BEE" w:rsidP="009A4BEE">
            <w:pPr>
              <w:ind w:right="93"/>
              <w:jc w:val="center"/>
              <w:rPr>
                <w:rFonts w:ascii="Arial Narrow" w:hAnsi="Arial Narrow"/>
                <w:sz w:val="20"/>
              </w:rPr>
            </w:pPr>
            <w:r w:rsidRPr="00E9190A">
              <w:rPr>
                <w:rFonts w:ascii="Arial Narrow" w:hAnsi="Arial Narrow"/>
                <w:sz w:val="20"/>
              </w:rPr>
              <w:t>70%</w:t>
            </w:r>
          </w:p>
        </w:tc>
        <w:tc>
          <w:tcPr>
            <w:tcW w:w="763" w:type="pct"/>
            <w:shd w:val="clear" w:color="auto" w:fill="auto"/>
          </w:tcPr>
          <w:p w:rsidR="009A4BEE" w:rsidRPr="00E9190A" w:rsidRDefault="009A4BEE" w:rsidP="009A4BEE">
            <w:pPr>
              <w:ind w:right="93"/>
              <w:jc w:val="center"/>
              <w:rPr>
                <w:rFonts w:ascii="Arial Narrow" w:hAnsi="Arial Narrow"/>
                <w:sz w:val="20"/>
              </w:rPr>
            </w:pPr>
            <w:r w:rsidRPr="00E9190A">
              <w:rPr>
                <w:rFonts w:ascii="Arial Narrow" w:hAnsi="Arial Narrow"/>
                <w:sz w:val="20"/>
              </w:rPr>
              <w:t>75%</w:t>
            </w:r>
          </w:p>
        </w:tc>
        <w:tc>
          <w:tcPr>
            <w:tcW w:w="668" w:type="pct"/>
            <w:shd w:val="clear" w:color="auto" w:fill="auto"/>
          </w:tcPr>
          <w:p w:rsidR="009A4BEE" w:rsidRPr="00E9190A" w:rsidRDefault="009A4BEE" w:rsidP="009A4BEE">
            <w:pPr>
              <w:ind w:right="93"/>
              <w:jc w:val="center"/>
              <w:rPr>
                <w:rFonts w:ascii="Arial Narrow" w:hAnsi="Arial Narrow"/>
                <w:sz w:val="20"/>
              </w:rPr>
            </w:pPr>
            <w:r w:rsidRPr="00E9190A">
              <w:rPr>
                <w:rFonts w:ascii="Arial Narrow" w:hAnsi="Arial Narrow"/>
                <w:sz w:val="20"/>
              </w:rPr>
              <w:t>80%</w:t>
            </w:r>
          </w:p>
        </w:tc>
      </w:tr>
      <w:tr w:rsidR="009A4BEE" w:rsidRPr="00E9190A" w:rsidTr="009A4BEE">
        <w:tc>
          <w:tcPr>
            <w:tcW w:w="5000" w:type="pct"/>
            <w:gridSpan w:val="6"/>
            <w:shd w:val="clear" w:color="auto" w:fill="auto"/>
            <w:vAlign w:val="center"/>
          </w:tcPr>
          <w:p w:rsidR="009A4BEE" w:rsidRPr="00E9190A" w:rsidRDefault="009A4BEE" w:rsidP="009A4BEE">
            <w:pPr>
              <w:ind w:right="93"/>
              <w:jc w:val="left"/>
              <w:rPr>
                <w:rFonts w:ascii="Arial Narrow" w:hAnsi="Arial Narrow"/>
                <w:b/>
                <w:sz w:val="20"/>
              </w:rPr>
            </w:pPr>
            <w:r w:rsidRPr="00E9190A">
              <w:rPr>
                <w:rFonts w:ascii="Arial Narrow" w:hAnsi="Arial Narrow"/>
                <w:b/>
                <w:sz w:val="20"/>
              </w:rPr>
              <w:t>Estimated total net cost</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b/>
                <w:i/>
                <w:sz w:val="20"/>
              </w:rPr>
            </w:pPr>
            <w:r w:rsidRPr="00E9190A">
              <w:rPr>
                <w:rFonts w:ascii="Arial Narrow" w:hAnsi="Arial Narrow"/>
                <w:b/>
                <w:bCs/>
                <w:i/>
                <w:sz w:val="20"/>
              </w:rPr>
              <w:t>Net cost PBS/RPBS – Scenario 1</w:t>
            </w:r>
          </w:p>
        </w:tc>
        <w:tc>
          <w:tcPr>
            <w:tcW w:w="596" w:type="pct"/>
            <w:shd w:val="clear" w:color="auto" w:fill="auto"/>
          </w:tcPr>
          <w:p w:rsidR="009A4BEE" w:rsidRPr="00E9190A" w:rsidRDefault="009A4BEE" w:rsidP="009A4BEE">
            <w:pPr>
              <w:ind w:right="93"/>
              <w:jc w:val="center"/>
              <w:rPr>
                <w:rFonts w:ascii="Arial Narrow" w:hAnsi="Arial Narrow"/>
                <w:bCs/>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79" w:type="pct"/>
            <w:shd w:val="clear" w:color="auto" w:fill="auto"/>
          </w:tcPr>
          <w:p w:rsidR="009A4BEE" w:rsidRPr="00E9190A" w:rsidRDefault="009A4BEE" w:rsidP="009A4BEE">
            <w:pPr>
              <w:ind w:right="93"/>
              <w:jc w:val="center"/>
              <w:rPr>
                <w:rFonts w:ascii="Arial Narrow" w:hAnsi="Arial Narrow"/>
                <w:bCs/>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80" w:type="pct"/>
            <w:shd w:val="clear" w:color="auto" w:fill="auto"/>
          </w:tcPr>
          <w:p w:rsidR="009A4BEE" w:rsidRPr="00E9190A" w:rsidRDefault="009A4BEE" w:rsidP="009A4BEE">
            <w:pPr>
              <w:ind w:right="93"/>
              <w:jc w:val="center"/>
              <w:rPr>
                <w:rFonts w:ascii="Arial Narrow" w:hAnsi="Arial Narrow"/>
                <w:bCs/>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763" w:type="pct"/>
            <w:shd w:val="clear" w:color="auto" w:fill="auto"/>
          </w:tcPr>
          <w:p w:rsidR="009A4BEE" w:rsidRPr="00E9190A" w:rsidRDefault="009A4BEE" w:rsidP="009A4BEE">
            <w:pPr>
              <w:ind w:right="93"/>
              <w:jc w:val="center"/>
              <w:rPr>
                <w:rFonts w:ascii="Arial Narrow" w:hAnsi="Arial Narrow"/>
                <w:bCs/>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68" w:type="pct"/>
            <w:shd w:val="clear" w:color="auto" w:fill="auto"/>
          </w:tcPr>
          <w:p w:rsidR="009A4BEE" w:rsidRPr="00E9190A" w:rsidRDefault="009A4BEE" w:rsidP="009A4BEE">
            <w:pPr>
              <w:ind w:right="93"/>
              <w:jc w:val="center"/>
              <w:rPr>
                <w:rFonts w:ascii="Arial Narrow" w:hAnsi="Arial Narrow"/>
                <w:bCs/>
                <w:i/>
                <w:sz w:val="20"/>
              </w:rPr>
            </w:pPr>
            <w:r w:rsidRPr="00E9190A">
              <w:rPr>
                <w:rFonts w:ascii="Arial Narrow" w:hAnsi="Arial Narrow"/>
                <w:i/>
                <w:sz w:val="20"/>
              </w:rPr>
              <w:t>$</w:t>
            </w:r>
            <w:r w:rsidR="00EF72BF">
              <w:rPr>
                <w:rFonts w:ascii="Arial Narrow" w:hAnsi="Arial Narrow"/>
                <w:i/>
                <w:noProof/>
                <w:color w:val="000000"/>
                <w:sz w:val="20"/>
                <w:highlight w:val="black"/>
              </w:rPr>
              <w:t>'''''''''''''''''''''</w:t>
            </w:r>
          </w:p>
        </w:tc>
      </w:tr>
      <w:tr w:rsidR="009A4BEE" w:rsidRPr="00E9190A" w:rsidTr="00CE2784">
        <w:tc>
          <w:tcPr>
            <w:tcW w:w="1614" w:type="pct"/>
            <w:shd w:val="clear" w:color="auto" w:fill="auto"/>
            <w:vAlign w:val="center"/>
          </w:tcPr>
          <w:p w:rsidR="009A4BEE" w:rsidRPr="00E9190A" w:rsidRDefault="009A4BEE" w:rsidP="00EF2EE0">
            <w:pPr>
              <w:tabs>
                <w:tab w:val="left" w:pos="142"/>
              </w:tabs>
              <w:ind w:right="93"/>
              <w:jc w:val="left"/>
              <w:rPr>
                <w:rFonts w:ascii="Arial Narrow" w:hAnsi="Arial Narrow"/>
                <w:b/>
                <w:bCs/>
                <w:i/>
                <w:sz w:val="20"/>
              </w:rPr>
            </w:pPr>
            <w:r w:rsidRPr="00E9190A">
              <w:rPr>
                <w:rFonts w:ascii="Arial Narrow" w:hAnsi="Arial Narrow"/>
                <w:b/>
                <w:bCs/>
                <w:i/>
                <w:sz w:val="20"/>
              </w:rPr>
              <w:t>Net cost PBS/RPBS</w:t>
            </w:r>
            <w:r w:rsidR="00EF2EE0">
              <w:rPr>
                <w:rFonts w:ascii="Arial Narrow" w:hAnsi="Arial Narrow"/>
                <w:b/>
                <w:bCs/>
                <w:i/>
                <w:sz w:val="20"/>
              </w:rPr>
              <w:t xml:space="preserve"> – </w:t>
            </w:r>
            <w:r w:rsidRPr="00E9190A">
              <w:rPr>
                <w:rFonts w:ascii="Arial Narrow" w:hAnsi="Arial Narrow"/>
                <w:b/>
                <w:bCs/>
                <w:i/>
                <w:sz w:val="20"/>
              </w:rPr>
              <w:t>Scenario 2</w:t>
            </w:r>
          </w:p>
        </w:tc>
        <w:tc>
          <w:tcPr>
            <w:tcW w:w="596" w:type="pct"/>
            <w:shd w:val="clear" w:color="auto" w:fill="auto"/>
          </w:tcPr>
          <w:p w:rsidR="009A4BEE" w:rsidRPr="00E9190A" w:rsidRDefault="009A4BEE" w:rsidP="009A4BEE">
            <w:pPr>
              <w:ind w:right="93"/>
              <w:jc w:val="center"/>
              <w:rPr>
                <w:rFonts w:ascii="Arial Narrow" w:hAnsi="Arial Narrow"/>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79" w:type="pct"/>
            <w:shd w:val="clear" w:color="auto" w:fill="auto"/>
          </w:tcPr>
          <w:p w:rsidR="009A4BEE" w:rsidRPr="00E9190A" w:rsidRDefault="009A4BEE" w:rsidP="009A4BEE">
            <w:pPr>
              <w:ind w:right="93"/>
              <w:jc w:val="center"/>
              <w:rPr>
                <w:rFonts w:ascii="Arial Narrow" w:hAnsi="Arial Narrow"/>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80" w:type="pct"/>
            <w:shd w:val="clear" w:color="auto" w:fill="auto"/>
          </w:tcPr>
          <w:p w:rsidR="009A4BEE" w:rsidRPr="00E9190A" w:rsidRDefault="009A4BEE" w:rsidP="009A4BEE">
            <w:pPr>
              <w:ind w:right="93"/>
              <w:jc w:val="center"/>
              <w:rPr>
                <w:rFonts w:ascii="Arial Narrow" w:hAnsi="Arial Narrow"/>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763" w:type="pct"/>
            <w:shd w:val="clear" w:color="auto" w:fill="auto"/>
          </w:tcPr>
          <w:p w:rsidR="009A4BEE" w:rsidRPr="00E9190A" w:rsidRDefault="009A4BEE" w:rsidP="009A4BEE">
            <w:pPr>
              <w:ind w:right="93"/>
              <w:jc w:val="center"/>
              <w:rPr>
                <w:rFonts w:ascii="Arial Narrow" w:hAnsi="Arial Narrow"/>
                <w:i/>
                <w:sz w:val="20"/>
              </w:rPr>
            </w:pPr>
            <w:r w:rsidRPr="00E9190A">
              <w:rPr>
                <w:rFonts w:ascii="Arial Narrow" w:hAnsi="Arial Narrow"/>
                <w:i/>
                <w:sz w:val="20"/>
              </w:rPr>
              <w:t>$</w:t>
            </w:r>
            <w:r w:rsidR="00EF72BF">
              <w:rPr>
                <w:rFonts w:ascii="Arial Narrow" w:hAnsi="Arial Narrow"/>
                <w:i/>
                <w:noProof/>
                <w:color w:val="000000"/>
                <w:sz w:val="20"/>
                <w:highlight w:val="black"/>
              </w:rPr>
              <w:t>'''''''''''''''''''''''</w:t>
            </w:r>
          </w:p>
        </w:tc>
        <w:tc>
          <w:tcPr>
            <w:tcW w:w="668" w:type="pct"/>
            <w:shd w:val="clear" w:color="auto" w:fill="auto"/>
          </w:tcPr>
          <w:p w:rsidR="009A4BEE" w:rsidRPr="00E9190A" w:rsidRDefault="009A4BEE" w:rsidP="009A4BEE">
            <w:pPr>
              <w:ind w:right="93"/>
              <w:jc w:val="center"/>
              <w:rPr>
                <w:rFonts w:ascii="Arial Narrow" w:hAnsi="Arial Narrow"/>
                <w:i/>
                <w:sz w:val="20"/>
              </w:rPr>
            </w:pPr>
            <w:r w:rsidRPr="00E9190A">
              <w:rPr>
                <w:rFonts w:ascii="Arial Narrow" w:hAnsi="Arial Narrow"/>
                <w:i/>
                <w:sz w:val="20"/>
              </w:rPr>
              <w:t>$</w:t>
            </w:r>
            <w:r w:rsidR="00EF72BF">
              <w:rPr>
                <w:rFonts w:ascii="Arial Narrow" w:hAnsi="Arial Narrow"/>
                <w:i/>
                <w:noProof/>
                <w:color w:val="000000"/>
                <w:sz w:val="20"/>
                <w:highlight w:val="black"/>
              </w:rPr>
              <w:t>'''''''''''''''''''''''''</w:t>
            </w:r>
          </w:p>
        </w:tc>
      </w:tr>
      <w:tr w:rsidR="009A4BEE" w:rsidRPr="00E9190A" w:rsidTr="00CE2784">
        <w:tc>
          <w:tcPr>
            <w:tcW w:w="1614" w:type="pct"/>
            <w:shd w:val="clear" w:color="auto" w:fill="auto"/>
            <w:vAlign w:val="center"/>
          </w:tcPr>
          <w:p w:rsidR="009A4BEE" w:rsidRPr="00E9190A" w:rsidRDefault="009A4BEE" w:rsidP="009A4BEE">
            <w:pPr>
              <w:tabs>
                <w:tab w:val="left" w:pos="142"/>
              </w:tabs>
              <w:ind w:right="93"/>
              <w:jc w:val="left"/>
              <w:rPr>
                <w:rFonts w:ascii="Arial Narrow" w:hAnsi="Arial Narrow"/>
                <w:sz w:val="20"/>
              </w:rPr>
            </w:pPr>
            <w:r w:rsidRPr="00E9190A">
              <w:rPr>
                <w:rFonts w:ascii="Arial Narrow" w:hAnsi="Arial Narrow"/>
                <w:bCs/>
                <w:sz w:val="20"/>
              </w:rPr>
              <w:t>Net cost PBS/</w:t>
            </w:r>
            <w:r>
              <w:rPr>
                <w:rFonts w:ascii="Arial Narrow" w:hAnsi="Arial Narrow"/>
                <w:bCs/>
                <w:sz w:val="20"/>
              </w:rPr>
              <w:t>RP</w:t>
            </w:r>
            <w:r w:rsidRPr="00E9190A">
              <w:rPr>
                <w:rFonts w:ascii="Arial Narrow" w:hAnsi="Arial Narrow"/>
                <w:bCs/>
                <w:sz w:val="20"/>
              </w:rPr>
              <w:t xml:space="preserve">BS </w:t>
            </w:r>
            <w:r w:rsidRPr="00E9190A">
              <w:rPr>
                <w:rFonts w:ascii="Arial Narrow" w:hAnsi="Arial Narrow"/>
                <w:sz w:val="20"/>
              </w:rPr>
              <w:t>March 2015</w:t>
            </w:r>
          </w:p>
        </w:tc>
        <w:tc>
          <w:tcPr>
            <w:tcW w:w="596" w:type="pct"/>
            <w:shd w:val="clear" w:color="auto" w:fill="auto"/>
          </w:tcPr>
          <w:p w:rsidR="009A4BEE" w:rsidRPr="00E9190A" w:rsidRDefault="009A4BEE" w:rsidP="009A4BEE">
            <w:pPr>
              <w:ind w:right="93"/>
              <w:jc w:val="center"/>
              <w:rPr>
                <w:rFonts w:ascii="Arial Narrow" w:hAnsi="Arial Narrow"/>
                <w:bCs/>
                <w:sz w:val="20"/>
              </w:rPr>
            </w:pPr>
            <w:r w:rsidRPr="00E9190A">
              <w:rPr>
                <w:rFonts w:ascii="Arial Narrow" w:hAnsi="Arial Narrow"/>
                <w:sz w:val="20"/>
              </w:rPr>
              <w:t>$</w:t>
            </w:r>
            <w:r w:rsidR="00EF72BF">
              <w:rPr>
                <w:rFonts w:ascii="Arial Narrow" w:hAnsi="Arial Narrow"/>
                <w:noProof/>
                <w:color w:val="000000"/>
                <w:sz w:val="20"/>
                <w:highlight w:val="black"/>
              </w:rPr>
              <w:t>'''''''''''''''''''''''''</w:t>
            </w:r>
          </w:p>
        </w:tc>
        <w:tc>
          <w:tcPr>
            <w:tcW w:w="679" w:type="pct"/>
            <w:shd w:val="clear" w:color="auto" w:fill="auto"/>
          </w:tcPr>
          <w:p w:rsidR="009A4BEE" w:rsidRPr="00E9190A" w:rsidRDefault="009A4BEE" w:rsidP="009A4BEE">
            <w:pPr>
              <w:ind w:right="93"/>
              <w:jc w:val="center"/>
              <w:rPr>
                <w:rFonts w:ascii="Arial Narrow" w:hAnsi="Arial Narrow"/>
                <w:bCs/>
                <w:sz w:val="20"/>
              </w:rPr>
            </w:pPr>
            <w:r w:rsidRPr="00E9190A">
              <w:rPr>
                <w:rFonts w:ascii="Arial Narrow" w:hAnsi="Arial Narrow"/>
                <w:sz w:val="20"/>
              </w:rPr>
              <w:t>$</w:t>
            </w:r>
            <w:r w:rsidR="00EF72BF">
              <w:rPr>
                <w:rFonts w:ascii="Arial Narrow" w:hAnsi="Arial Narrow"/>
                <w:noProof/>
                <w:color w:val="000000"/>
                <w:sz w:val="20"/>
                <w:highlight w:val="black"/>
              </w:rPr>
              <w:t>''''''''''''''''''''''</w:t>
            </w:r>
          </w:p>
        </w:tc>
        <w:tc>
          <w:tcPr>
            <w:tcW w:w="680" w:type="pct"/>
            <w:shd w:val="clear" w:color="auto" w:fill="auto"/>
          </w:tcPr>
          <w:p w:rsidR="009A4BEE" w:rsidRPr="00E9190A" w:rsidRDefault="009A4BEE" w:rsidP="009A4BEE">
            <w:pPr>
              <w:ind w:right="93"/>
              <w:jc w:val="center"/>
              <w:rPr>
                <w:rFonts w:ascii="Arial Narrow" w:hAnsi="Arial Narrow"/>
                <w:bCs/>
                <w:sz w:val="20"/>
              </w:rPr>
            </w:pPr>
            <w:r w:rsidRPr="00E9190A">
              <w:rPr>
                <w:rFonts w:ascii="Arial Narrow" w:hAnsi="Arial Narrow"/>
                <w:sz w:val="20"/>
              </w:rPr>
              <w:t>$</w:t>
            </w:r>
            <w:r w:rsidR="00EF72BF">
              <w:rPr>
                <w:rFonts w:ascii="Arial Narrow" w:hAnsi="Arial Narrow"/>
                <w:noProof/>
                <w:color w:val="000000"/>
                <w:sz w:val="20"/>
                <w:highlight w:val="black"/>
              </w:rPr>
              <w:t>''''''''''''''''''''''''</w:t>
            </w:r>
          </w:p>
        </w:tc>
        <w:tc>
          <w:tcPr>
            <w:tcW w:w="763" w:type="pct"/>
            <w:shd w:val="clear" w:color="auto" w:fill="auto"/>
          </w:tcPr>
          <w:p w:rsidR="009A4BEE" w:rsidRPr="00E9190A" w:rsidRDefault="009A4BEE" w:rsidP="009A4BEE">
            <w:pPr>
              <w:ind w:right="93"/>
              <w:jc w:val="center"/>
              <w:rPr>
                <w:rFonts w:ascii="Arial Narrow" w:hAnsi="Arial Narrow"/>
                <w:bCs/>
                <w:sz w:val="20"/>
              </w:rPr>
            </w:pPr>
            <w:r w:rsidRPr="00E9190A">
              <w:rPr>
                <w:rFonts w:ascii="Arial Narrow" w:hAnsi="Arial Narrow"/>
                <w:sz w:val="20"/>
              </w:rPr>
              <w:t>$</w:t>
            </w:r>
            <w:r w:rsidR="00EF72BF">
              <w:rPr>
                <w:rFonts w:ascii="Arial Narrow" w:hAnsi="Arial Narrow"/>
                <w:noProof/>
                <w:color w:val="000000"/>
                <w:sz w:val="20"/>
                <w:highlight w:val="black"/>
              </w:rPr>
              <w:t>''''''''''''''''''''''</w:t>
            </w:r>
          </w:p>
        </w:tc>
        <w:tc>
          <w:tcPr>
            <w:tcW w:w="668" w:type="pct"/>
            <w:shd w:val="clear" w:color="auto" w:fill="auto"/>
          </w:tcPr>
          <w:p w:rsidR="009A4BEE" w:rsidRPr="00E9190A" w:rsidRDefault="009A4BEE" w:rsidP="009A4BEE">
            <w:pPr>
              <w:ind w:right="93"/>
              <w:jc w:val="center"/>
              <w:rPr>
                <w:rFonts w:ascii="Arial Narrow" w:hAnsi="Arial Narrow"/>
                <w:bCs/>
                <w:sz w:val="20"/>
              </w:rPr>
            </w:pPr>
            <w:r w:rsidRPr="00E9190A">
              <w:rPr>
                <w:rFonts w:ascii="Arial Narrow" w:hAnsi="Arial Narrow"/>
                <w:sz w:val="20"/>
              </w:rPr>
              <w:t>$</w:t>
            </w:r>
            <w:r w:rsidR="00EF72BF">
              <w:rPr>
                <w:rFonts w:ascii="Arial Narrow" w:hAnsi="Arial Narrow"/>
                <w:noProof/>
                <w:color w:val="000000"/>
                <w:sz w:val="20"/>
                <w:highlight w:val="black"/>
              </w:rPr>
              <w:t>''''''''''''''''''''''</w:t>
            </w:r>
          </w:p>
        </w:tc>
      </w:tr>
    </w:tbl>
    <w:p w:rsidR="001937FF" w:rsidRDefault="009A4BEE" w:rsidP="009A4BEE">
      <w:pPr>
        <w:pStyle w:val="TableFooter"/>
        <w:ind w:left="720"/>
        <w:rPr>
          <w:vertAlign w:val="superscript"/>
        </w:rPr>
      </w:pPr>
      <w:proofErr w:type="gramStart"/>
      <w:r w:rsidRPr="008043E2">
        <w:rPr>
          <w:vertAlign w:val="superscript"/>
        </w:rPr>
        <w:t>a</w:t>
      </w:r>
      <w:proofErr w:type="gramEnd"/>
      <w:r>
        <w:t xml:space="preserve"> Scenario 1 patients received 11.03 packs per course of treatment</w:t>
      </w:r>
      <w:r w:rsidR="007A2883">
        <w:t>.</w:t>
      </w:r>
      <w:r w:rsidRPr="008043E2">
        <w:rPr>
          <w:vertAlign w:val="superscript"/>
        </w:rPr>
        <w:t xml:space="preserve"> </w:t>
      </w:r>
    </w:p>
    <w:p w:rsidR="009A4BEE" w:rsidRPr="008043E2" w:rsidRDefault="009A4BEE" w:rsidP="009A4BEE">
      <w:pPr>
        <w:pStyle w:val="TableFooter"/>
        <w:ind w:left="720"/>
      </w:pPr>
      <w:proofErr w:type="gramStart"/>
      <w:r w:rsidRPr="008043E2">
        <w:rPr>
          <w:vertAlign w:val="superscript"/>
        </w:rPr>
        <w:t>b</w:t>
      </w:r>
      <w:proofErr w:type="gramEnd"/>
      <w:r>
        <w:rPr>
          <w:vertAlign w:val="superscript"/>
        </w:rPr>
        <w:t xml:space="preserve"> </w:t>
      </w:r>
      <w:r w:rsidRPr="008043E2">
        <w:t xml:space="preserve">Scenario </w:t>
      </w:r>
      <w:r>
        <w:t>2</w:t>
      </w:r>
      <w:r w:rsidRPr="008043E2">
        <w:t xml:space="preserve"> patients received </w:t>
      </w:r>
      <w:r>
        <w:t>14.41</w:t>
      </w:r>
      <w:r w:rsidRPr="008043E2">
        <w:t xml:space="preserve"> packs per course of treatment</w:t>
      </w:r>
      <w:r>
        <w:t xml:space="preserve"> (9.85 in initial year and 4.56 in continuing year).</w:t>
      </w:r>
    </w:p>
    <w:p w:rsidR="009A4BEE" w:rsidRDefault="009A4BEE" w:rsidP="009A4BEE">
      <w:pPr>
        <w:pStyle w:val="TableFooter"/>
        <w:ind w:firstLine="709"/>
        <w:rPr>
          <w:szCs w:val="22"/>
        </w:rPr>
      </w:pPr>
      <w:r w:rsidRPr="00EB690C">
        <w:t xml:space="preserve">Source: </w:t>
      </w:r>
      <w:r>
        <w:t>Compiled during the evaluation</w:t>
      </w:r>
    </w:p>
    <w:p w:rsidR="009A4BEE" w:rsidRPr="00C25D9C" w:rsidRDefault="009A4BEE" w:rsidP="009A4BEE">
      <w:pPr>
        <w:widowControl/>
        <w:rPr>
          <w:szCs w:val="22"/>
        </w:rPr>
      </w:pPr>
    </w:p>
    <w:p w:rsidR="000A78C2" w:rsidRPr="000A78C2" w:rsidRDefault="000A78C2" w:rsidP="000A78C2">
      <w:pPr>
        <w:pStyle w:val="ListParagraph"/>
        <w:widowControl/>
        <w:rPr>
          <w:szCs w:val="22"/>
        </w:rPr>
      </w:pPr>
    </w:p>
    <w:p w:rsidR="000A78C2" w:rsidRDefault="000A78C2" w:rsidP="000A78C2">
      <w:pPr>
        <w:pStyle w:val="ListParagraph"/>
        <w:widowControl/>
        <w:rPr>
          <w:i/>
          <w:szCs w:val="22"/>
        </w:rPr>
      </w:pPr>
      <w:r>
        <w:rPr>
          <w:i/>
          <w:szCs w:val="22"/>
        </w:rPr>
        <w:lastRenderedPageBreak/>
        <w:t xml:space="preserve">The redacted table above shows that the number of patients treated with sorafenib in Scenario 1 </w:t>
      </w:r>
      <w:r w:rsidR="00DD1AF4">
        <w:rPr>
          <w:i/>
          <w:szCs w:val="22"/>
        </w:rPr>
        <w:t xml:space="preserve">and Scenario 2 is </w:t>
      </w:r>
      <w:r>
        <w:rPr>
          <w:i/>
          <w:szCs w:val="22"/>
        </w:rPr>
        <w:t>estimated to be less than 10,000 per year at a net cost of less than $10 million per year.</w:t>
      </w:r>
    </w:p>
    <w:p w:rsidR="000A78C2" w:rsidRPr="000A78C2" w:rsidRDefault="000A78C2" w:rsidP="000A78C2">
      <w:pPr>
        <w:pStyle w:val="ListParagraph"/>
        <w:widowControl/>
        <w:rPr>
          <w:i/>
          <w:szCs w:val="22"/>
        </w:rPr>
      </w:pPr>
      <w:r>
        <w:rPr>
          <w:i/>
          <w:szCs w:val="22"/>
        </w:rPr>
        <w:t xml:space="preserve">  </w:t>
      </w:r>
    </w:p>
    <w:p w:rsidR="009A4BEE" w:rsidRPr="0084654C" w:rsidRDefault="009A4BEE" w:rsidP="009A4BEE">
      <w:pPr>
        <w:pStyle w:val="ListParagraph"/>
        <w:widowControl/>
        <w:numPr>
          <w:ilvl w:val="1"/>
          <w:numId w:val="6"/>
        </w:numPr>
        <w:rPr>
          <w:szCs w:val="22"/>
        </w:rPr>
      </w:pPr>
      <w:r w:rsidRPr="0084654C">
        <w:t>The re</w:t>
      </w:r>
      <w:r w:rsidR="007A2883" w:rsidRPr="0084654C">
        <w:t>-</w:t>
      </w:r>
      <w:r w:rsidRPr="0084654C">
        <w:t xml:space="preserve">submission’s financial estimates were based on higher uptake rates and consequently </w:t>
      </w:r>
      <w:r w:rsidR="007A2883" w:rsidRPr="0084654C">
        <w:t>larger</w:t>
      </w:r>
      <w:r w:rsidRPr="0084654C">
        <w:t xml:space="preserve"> patient numbers than the March 2015 re</w:t>
      </w:r>
      <w:r w:rsidR="007A2883" w:rsidRPr="0084654C">
        <w:t>-</w:t>
      </w:r>
      <w:r w:rsidRPr="0084654C">
        <w:t>submission. Therefore, despite the reduction in the requested price for sorafenib, the estimated cost to the PBS/RPBS was similar (Scenario 1) or higher (Scenario 2) than in the March 2015 re</w:t>
      </w:r>
      <w:r w:rsidR="007A2883" w:rsidRPr="0084654C">
        <w:t>-</w:t>
      </w:r>
      <w:r w:rsidRPr="0084654C">
        <w:t>submission.</w:t>
      </w:r>
    </w:p>
    <w:p w:rsidR="00212996" w:rsidRPr="007A2883" w:rsidRDefault="00212996" w:rsidP="00212996">
      <w:pPr>
        <w:widowControl/>
        <w:rPr>
          <w:szCs w:val="22"/>
        </w:rPr>
      </w:pPr>
    </w:p>
    <w:p w:rsidR="009A4BEE" w:rsidRPr="0084654C" w:rsidRDefault="009A4BEE" w:rsidP="009A4BEE">
      <w:pPr>
        <w:pStyle w:val="ListParagraph"/>
        <w:widowControl/>
        <w:numPr>
          <w:ilvl w:val="1"/>
          <w:numId w:val="6"/>
        </w:numPr>
        <w:rPr>
          <w:szCs w:val="22"/>
        </w:rPr>
      </w:pPr>
      <w:r w:rsidRPr="0084654C">
        <w:rPr>
          <w:szCs w:val="22"/>
        </w:rPr>
        <w:t>Scenario</w:t>
      </w:r>
      <w:r w:rsidR="00BF3D22" w:rsidRPr="0084654C">
        <w:rPr>
          <w:szCs w:val="22"/>
        </w:rPr>
        <w:t xml:space="preserve"> </w:t>
      </w:r>
      <w:r w:rsidRPr="0084654C">
        <w:rPr>
          <w:szCs w:val="22"/>
        </w:rPr>
        <w:t xml:space="preserve">1 attributed all the costs of treatment in one year despite </w:t>
      </w:r>
      <w:r w:rsidR="0084654C" w:rsidRPr="0084654C">
        <w:rPr>
          <w:szCs w:val="22"/>
        </w:rPr>
        <w:t>treatment</w:t>
      </w:r>
      <w:r w:rsidRPr="0084654C">
        <w:rPr>
          <w:szCs w:val="22"/>
        </w:rPr>
        <w:t xml:space="preserve"> duration of 1.12 years. This overestimated the financial costs, especially in the initial years</w:t>
      </w:r>
      <w:r w:rsidR="00CE2784" w:rsidRPr="0084654C">
        <w:rPr>
          <w:szCs w:val="22"/>
        </w:rPr>
        <w:t xml:space="preserve"> of listing</w:t>
      </w:r>
      <w:r w:rsidRPr="0084654C">
        <w:rPr>
          <w:szCs w:val="22"/>
        </w:rPr>
        <w:t>. The treatment duration for Scenario 2 was 1.46 years and the cost of one year of treatment (68% of the total cost) was assigned to the initial year o</w:t>
      </w:r>
      <w:r w:rsidR="007A2883" w:rsidRPr="0084654C">
        <w:rPr>
          <w:szCs w:val="22"/>
        </w:rPr>
        <w:t xml:space="preserve">f treatment. </w:t>
      </w:r>
      <w:r w:rsidRPr="0084654C">
        <w:rPr>
          <w:szCs w:val="22"/>
        </w:rPr>
        <w:t>This overestimated the financial costs, especially in the initial years</w:t>
      </w:r>
      <w:r w:rsidR="00CE2784" w:rsidRPr="0084654C">
        <w:rPr>
          <w:szCs w:val="22"/>
        </w:rPr>
        <w:t xml:space="preserve"> of listing</w:t>
      </w:r>
      <w:r w:rsidRPr="0084654C">
        <w:rPr>
          <w:szCs w:val="22"/>
        </w:rPr>
        <w:t>.</w:t>
      </w:r>
    </w:p>
    <w:p w:rsidR="009A4BEE" w:rsidRDefault="009A4BEE" w:rsidP="009A4BEE">
      <w:pPr>
        <w:widowControl/>
        <w:rPr>
          <w:szCs w:val="22"/>
        </w:rPr>
      </w:pPr>
    </w:p>
    <w:p w:rsidR="009A4BEE" w:rsidRPr="00497F10" w:rsidRDefault="009A4BEE" w:rsidP="00F30141">
      <w:pPr>
        <w:pStyle w:val="Heading2"/>
      </w:pPr>
      <w:bookmarkStart w:id="15" w:name="_Toc430014692"/>
      <w:r w:rsidRPr="00497F10">
        <w:t>Quality Use of Medicines</w:t>
      </w:r>
      <w:bookmarkEnd w:id="15"/>
    </w:p>
    <w:p w:rsidR="009A4BEE" w:rsidRPr="00576972" w:rsidRDefault="009A4BEE" w:rsidP="009A4BEE">
      <w:pPr>
        <w:widowControl/>
        <w:rPr>
          <w:szCs w:val="22"/>
        </w:rPr>
      </w:pPr>
    </w:p>
    <w:p w:rsidR="009A4BEE" w:rsidRPr="0084654C" w:rsidRDefault="009A4BEE" w:rsidP="009A4BEE">
      <w:pPr>
        <w:pStyle w:val="ListParagraph"/>
        <w:numPr>
          <w:ilvl w:val="1"/>
          <w:numId w:val="6"/>
        </w:numPr>
        <w:rPr>
          <w:szCs w:val="22"/>
        </w:rPr>
      </w:pPr>
      <w:r w:rsidRPr="00BA759B">
        <w:rPr>
          <w:szCs w:val="22"/>
        </w:rPr>
        <w:t>The sponsor state</w:t>
      </w:r>
      <w:r>
        <w:rPr>
          <w:szCs w:val="22"/>
        </w:rPr>
        <w:t>d</w:t>
      </w:r>
      <w:r w:rsidRPr="00BA759B">
        <w:rPr>
          <w:szCs w:val="22"/>
        </w:rPr>
        <w:t xml:space="preserve"> that, should sorafenib be reimbursed on the PBS, the</w:t>
      </w:r>
      <w:r>
        <w:rPr>
          <w:szCs w:val="22"/>
        </w:rPr>
        <w:t xml:space="preserve"> compan</w:t>
      </w:r>
      <w:r w:rsidRPr="00BA759B">
        <w:rPr>
          <w:szCs w:val="22"/>
        </w:rPr>
        <w:t xml:space="preserve">y </w:t>
      </w:r>
      <w:r>
        <w:rPr>
          <w:szCs w:val="22"/>
        </w:rPr>
        <w:t>would</w:t>
      </w:r>
      <w:r w:rsidRPr="00BA759B">
        <w:rPr>
          <w:szCs w:val="22"/>
        </w:rPr>
        <w:t xml:space="preserve"> undertake activities to support patients who expe</w:t>
      </w:r>
      <w:r>
        <w:rPr>
          <w:szCs w:val="22"/>
        </w:rPr>
        <w:t>rience hand foot skin reaction</w:t>
      </w:r>
      <w:r w:rsidRPr="00BA759B">
        <w:rPr>
          <w:szCs w:val="22"/>
        </w:rPr>
        <w:t xml:space="preserve">. </w:t>
      </w:r>
      <w:r w:rsidRPr="0084654C">
        <w:rPr>
          <w:szCs w:val="22"/>
        </w:rPr>
        <w:t xml:space="preserve">This remains unchanged from the </w:t>
      </w:r>
      <w:r w:rsidR="007A2883" w:rsidRPr="0084654C">
        <w:rPr>
          <w:szCs w:val="22"/>
        </w:rPr>
        <w:t>March 2015 re-</w:t>
      </w:r>
      <w:r w:rsidRPr="0084654C">
        <w:rPr>
          <w:szCs w:val="22"/>
        </w:rPr>
        <w:t>submission.</w:t>
      </w:r>
    </w:p>
    <w:p w:rsidR="009A4BEE" w:rsidRDefault="009A4BEE" w:rsidP="009A4BEE">
      <w:pPr>
        <w:widowControl/>
        <w:rPr>
          <w:szCs w:val="22"/>
        </w:rPr>
      </w:pPr>
    </w:p>
    <w:p w:rsidR="009A4BEE" w:rsidRPr="00497F10" w:rsidRDefault="009A4BEE" w:rsidP="00F30141">
      <w:pPr>
        <w:pStyle w:val="Heading2"/>
      </w:pPr>
      <w:bookmarkStart w:id="16" w:name="_Toc430014693"/>
      <w:r w:rsidRPr="00497F10">
        <w:t>Financial Management – Risk Sharing Arrangements</w:t>
      </w:r>
      <w:bookmarkEnd w:id="16"/>
    </w:p>
    <w:p w:rsidR="009A4BEE" w:rsidRPr="00576972" w:rsidRDefault="009A4BEE" w:rsidP="009A4BEE">
      <w:pPr>
        <w:widowControl/>
        <w:rPr>
          <w:szCs w:val="22"/>
        </w:rPr>
      </w:pPr>
    </w:p>
    <w:p w:rsidR="009A4BEE" w:rsidRPr="00BF7549" w:rsidRDefault="009A4BEE" w:rsidP="009A4BEE">
      <w:pPr>
        <w:pStyle w:val="ListParagraph"/>
        <w:widowControl/>
        <w:numPr>
          <w:ilvl w:val="1"/>
          <w:numId w:val="6"/>
        </w:numPr>
        <w:rPr>
          <w:szCs w:val="22"/>
        </w:rPr>
      </w:pPr>
      <w:r w:rsidRPr="00BF7549">
        <w:t>The submission requested an effective DPMQ of $</w:t>
      </w:r>
      <w:r w:rsidR="00EF72BF">
        <w:rPr>
          <w:noProof/>
          <w:color w:val="000000"/>
          <w:highlight w:val="black"/>
        </w:rPr>
        <w:t>''''''''''''''''''''</w:t>
      </w:r>
      <w:r w:rsidRPr="00BF7549">
        <w:t xml:space="preserve"> ($</w:t>
      </w:r>
      <w:r w:rsidR="00EF72BF">
        <w:rPr>
          <w:noProof/>
          <w:color w:val="000000"/>
          <w:highlight w:val="black"/>
        </w:rPr>
        <w:t>'''''''''''''''''''</w:t>
      </w:r>
      <w:r w:rsidRPr="00BF7549">
        <w:t>) for Scenario 1 and $</w:t>
      </w:r>
      <w:r w:rsidR="00EF72BF">
        <w:rPr>
          <w:noProof/>
          <w:color w:val="000000"/>
          <w:highlight w:val="black"/>
        </w:rPr>
        <w:t>''''''''''''''''''''''</w:t>
      </w:r>
      <w:r w:rsidRPr="00BF7549">
        <w:t xml:space="preserve"> ($</w:t>
      </w:r>
      <w:r w:rsidR="00EF72BF">
        <w:rPr>
          <w:noProof/>
          <w:color w:val="000000"/>
          <w:highlight w:val="black"/>
        </w:rPr>
        <w:t>'''''''''''''''''''</w:t>
      </w:r>
      <w:r w:rsidRPr="00BF7549">
        <w:t>) for Scenario 2 compared with a published DPMQ of $</w:t>
      </w:r>
      <w:r w:rsidR="00EF72BF">
        <w:rPr>
          <w:noProof/>
          <w:color w:val="000000"/>
          <w:highlight w:val="black"/>
        </w:rPr>
        <w:t>''''''''''''''''''''</w:t>
      </w:r>
      <w:r w:rsidRPr="00BF7549">
        <w:t>. The effective DPMQ was used in the economic evaluation and financial estimates in the re-</w:t>
      </w:r>
      <w:r w:rsidR="007A2883" w:rsidRPr="00BF7549">
        <w:t>submission.</w:t>
      </w:r>
    </w:p>
    <w:p w:rsidR="009A4BEE" w:rsidRPr="007A2883" w:rsidRDefault="009A4BEE" w:rsidP="009A4BEE">
      <w:pPr>
        <w:widowControl/>
        <w:rPr>
          <w:szCs w:val="22"/>
        </w:rPr>
      </w:pPr>
    </w:p>
    <w:p w:rsidR="009A4BEE" w:rsidRPr="0042404A" w:rsidRDefault="009A4BEE" w:rsidP="009A4BEE">
      <w:pPr>
        <w:pStyle w:val="ListParagraph"/>
        <w:widowControl/>
        <w:numPr>
          <w:ilvl w:val="1"/>
          <w:numId w:val="6"/>
        </w:numPr>
        <w:rPr>
          <w:szCs w:val="22"/>
        </w:rPr>
      </w:pPr>
      <w:r>
        <w:t>The sponsor agreed to a</w:t>
      </w:r>
      <w:r w:rsidRPr="00BA759B">
        <w:t xml:space="preserve"> Risk Sharing Arrangement</w:t>
      </w:r>
      <w:r>
        <w:t xml:space="preserve"> in general, however, requested the financial cap and level of rebate be finalised following a posit</w:t>
      </w:r>
      <w:r w:rsidR="007A2883">
        <w:t>ive recommendation by the PBAC.</w:t>
      </w:r>
    </w:p>
    <w:p w:rsidR="0042404A" w:rsidRPr="00524460" w:rsidRDefault="0042404A" w:rsidP="0042404A">
      <w:pPr>
        <w:rPr>
          <w:szCs w:val="22"/>
        </w:rPr>
      </w:pPr>
    </w:p>
    <w:p w:rsidR="0042404A" w:rsidRPr="00057E2C" w:rsidRDefault="0042404A" w:rsidP="009A4BEE">
      <w:pPr>
        <w:pStyle w:val="ListParagraph"/>
        <w:widowControl/>
        <w:numPr>
          <w:ilvl w:val="1"/>
          <w:numId w:val="6"/>
        </w:numPr>
        <w:rPr>
          <w:szCs w:val="22"/>
        </w:rPr>
      </w:pPr>
      <w:r>
        <w:rPr>
          <w:szCs w:val="22"/>
        </w:rPr>
        <w:t>The PBAC considered that the financial cap should be based on the estimated patient numbers provided in the March 2015 sorafenib re-submission (</w:t>
      </w:r>
      <w:r w:rsidR="00EF72BF">
        <w:rPr>
          <w:noProof/>
          <w:color w:val="000000"/>
          <w:szCs w:val="22"/>
          <w:highlight w:val="black"/>
        </w:rPr>
        <w:t>''''''</w:t>
      </w:r>
      <w:r>
        <w:rPr>
          <w:szCs w:val="22"/>
        </w:rPr>
        <w:t xml:space="preserve"> patients in Year 1 compared with </w:t>
      </w:r>
      <w:r w:rsidR="00EF72BF">
        <w:rPr>
          <w:noProof/>
          <w:color w:val="000000"/>
          <w:szCs w:val="22"/>
          <w:highlight w:val="black"/>
        </w:rPr>
        <w:t xml:space="preserve">''''''''' </w:t>
      </w:r>
      <w:r>
        <w:rPr>
          <w:szCs w:val="22"/>
        </w:rPr>
        <w:t>patients in Year 1 in the current re-submission).</w:t>
      </w:r>
    </w:p>
    <w:p w:rsidR="00BF7549" w:rsidRDefault="00BF7549" w:rsidP="00EA7B5E"/>
    <w:p w:rsidR="00BF7549" w:rsidRDefault="00BF7549" w:rsidP="007E6C9C">
      <w:pPr>
        <w:ind w:firstLine="720"/>
        <w:rPr>
          <w:i/>
        </w:rPr>
      </w:pPr>
      <w:r w:rsidRPr="00E02FCE">
        <w:rPr>
          <w:i/>
        </w:rPr>
        <w:t xml:space="preserve">For </w:t>
      </w:r>
      <w:r w:rsidR="00153826">
        <w:rPr>
          <w:i/>
        </w:rPr>
        <w:t>m</w:t>
      </w:r>
      <w:r w:rsidRPr="00E02FCE">
        <w:rPr>
          <w:i/>
        </w:rPr>
        <w:t>ore detail on PBAC’s view, see section 7 “PBAC outcome”</w:t>
      </w:r>
      <w:r w:rsidR="00524460">
        <w:rPr>
          <w:i/>
        </w:rPr>
        <w:t>.</w:t>
      </w:r>
    </w:p>
    <w:p w:rsidR="003F4361" w:rsidRDefault="003F4361" w:rsidP="00105544">
      <w:pPr>
        <w:rPr>
          <w:i/>
        </w:rPr>
      </w:pPr>
    </w:p>
    <w:p w:rsidR="003F4361" w:rsidRDefault="003F4361" w:rsidP="00105544">
      <w:pPr>
        <w:rPr>
          <w:i/>
        </w:rPr>
      </w:pPr>
    </w:p>
    <w:p w:rsidR="00714831" w:rsidRPr="00105544" w:rsidRDefault="00714831" w:rsidP="00F30141">
      <w:pPr>
        <w:pStyle w:val="Heading1"/>
      </w:pPr>
      <w:r w:rsidRPr="00105544">
        <w:t>PBAC Outcome</w:t>
      </w:r>
    </w:p>
    <w:p w:rsidR="00714831" w:rsidRPr="00105544" w:rsidRDefault="00714831" w:rsidP="00105544">
      <w:pPr>
        <w:contextualSpacing/>
        <w:rPr>
          <w:bCs/>
          <w:szCs w:val="22"/>
          <w:lang w:val="en-GB"/>
        </w:rPr>
      </w:pPr>
    </w:p>
    <w:p w:rsidR="00714831" w:rsidRDefault="009250F9" w:rsidP="00105544">
      <w:pPr>
        <w:numPr>
          <w:ilvl w:val="1"/>
          <w:numId w:val="6"/>
        </w:numPr>
        <w:contextualSpacing/>
        <w:rPr>
          <w:bCs/>
          <w:szCs w:val="22"/>
          <w:lang w:val="en-GB"/>
        </w:rPr>
      </w:pPr>
      <w:r>
        <w:rPr>
          <w:bCs/>
          <w:szCs w:val="22"/>
          <w:lang w:val="en-GB"/>
        </w:rPr>
        <w:t xml:space="preserve">The PBAC deferred </w:t>
      </w:r>
      <w:r w:rsidR="00092BAA">
        <w:rPr>
          <w:bCs/>
          <w:szCs w:val="22"/>
          <w:lang w:val="en-GB"/>
        </w:rPr>
        <w:t xml:space="preserve">its decision on sorafenib for the treatment of locally advanced or metastatic RAI-R DTC as the </w:t>
      </w:r>
      <w:r w:rsidR="001E0A85">
        <w:rPr>
          <w:bCs/>
          <w:szCs w:val="22"/>
          <w:lang w:val="en-GB"/>
        </w:rPr>
        <w:t>re-</w:t>
      </w:r>
      <w:r w:rsidR="00092BAA">
        <w:rPr>
          <w:bCs/>
          <w:szCs w:val="22"/>
          <w:lang w:val="en-GB"/>
        </w:rPr>
        <w:t xml:space="preserve">submission had not provided a reliable estimate of the cost-effectiveness of sorafenib in this setting, and wished to see the results of its </w:t>
      </w:r>
      <w:r w:rsidR="001E0A85">
        <w:rPr>
          <w:bCs/>
          <w:szCs w:val="22"/>
          <w:lang w:val="en-GB"/>
        </w:rPr>
        <w:t xml:space="preserve">preferred </w:t>
      </w:r>
      <w:r w:rsidR="004621EC">
        <w:rPr>
          <w:bCs/>
          <w:szCs w:val="22"/>
          <w:lang w:val="en-GB"/>
        </w:rPr>
        <w:t xml:space="preserve">re-specifications for </w:t>
      </w:r>
      <w:r w:rsidR="001E0A85">
        <w:rPr>
          <w:bCs/>
          <w:szCs w:val="22"/>
          <w:lang w:val="en-GB"/>
        </w:rPr>
        <w:t xml:space="preserve">the base case of </w:t>
      </w:r>
      <w:r w:rsidR="004621EC">
        <w:rPr>
          <w:bCs/>
          <w:szCs w:val="22"/>
          <w:lang w:val="en-GB"/>
        </w:rPr>
        <w:t>the economic model</w:t>
      </w:r>
      <w:r w:rsidR="00092BAA">
        <w:rPr>
          <w:bCs/>
          <w:szCs w:val="22"/>
          <w:lang w:val="en-GB"/>
        </w:rPr>
        <w:t>.</w:t>
      </w:r>
      <w:r w:rsidR="006317A0">
        <w:rPr>
          <w:bCs/>
          <w:szCs w:val="22"/>
          <w:lang w:val="en-GB"/>
        </w:rPr>
        <w:t xml:space="preserve"> The PBAC considered, as previously, that the clinical data did not adequately demonstrate a statistically significant gain in OS and therefore the </w:t>
      </w:r>
      <w:r w:rsidR="001E0A85">
        <w:rPr>
          <w:bCs/>
          <w:szCs w:val="22"/>
          <w:lang w:val="en-GB"/>
        </w:rPr>
        <w:t xml:space="preserve">incremental </w:t>
      </w:r>
      <w:r w:rsidR="006317A0">
        <w:rPr>
          <w:bCs/>
          <w:szCs w:val="22"/>
          <w:lang w:val="en-GB"/>
        </w:rPr>
        <w:t xml:space="preserve">life-years gained of 9.12 months </w:t>
      </w:r>
      <w:r w:rsidR="001E0A85">
        <w:rPr>
          <w:bCs/>
          <w:szCs w:val="22"/>
          <w:lang w:val="en-GB"/>
        </w:rPr>
        <w:t xml:space="preserve">(0.76 years) </w:t>
      </w:r>
      <w:r w:rsidR="00A04662">
        <w:rPr>
          <w:bCs/>
          <w:szCs w:val="22"/>
          <w:lang w:val="en-GB"/>
        </w:rPr>
        <w:t>estimated by</w:t>
      </w:r>
      <w:r w:rsidR="006317A0">
        <w:rPr>
          <w:bCs/>
          <w:szCs w:val="22"/>
          <w:lang w:val="en-GB"/>
        </w:rPr>
        <w:t xml:space="preserve"> the </w:t>
      </w:r>
      <w:r w:rsidR="001E0A85">
        <w:rPr>
          <w:bCs/>
          <w:szCs w:val="22"/>
          <w:lang w:val="en-GB"/>
        </w:rPr>
        <w:t xml:space="preserve">modelled </w:t>
      </w:r>
      <w:r w:rsidR="006317A0">
        <w:rPr>
          <w:bCs/>
          <w:szCs w:val="22"/>
          <w:lang w:val="en-GB"/>
        </w:rPr>
        <w:t>economic evaluation was implausibl</w:t>
      </w:r>
      <w:r w:rsidR="00A04662">
        <w:rPr>
          <w:bCs/>
          <w:szCs w:val="22"/>
          <w:lang w:val="en-GB"/>
        </w:rPr>
        <w:t>y larg</w:t>
      </w:r>
      <w:r w:rsidR="006317A0">
        <w:rPr>
          <w:bCs/>
          <w:szCs w:val="22"/>
          <w:lang w:val="en-GB"/>
        </w:rPr>
        <w:t>e.</w:t>
      </w:r>
    </w:p>
    <w:p w:rsidR="006C4733" w:rsidRDefault="006C4733" w:rsidP="00524460">
      <w:pPr>
        <w:contextualSpacing/>
        <w:rPr>
          <w:bCs/>
          <w:szCs w:val="22"/>
          <w:lang w:val="en-GB"/>
        </w:rPr>
      </w:pPr>
    </w:p>
    <w:p w:rsidR="006C4733" w:rsidRDefault="006C4733" w:rsidP="00105544">
      <w:pPr>
        <w:numPr>
          <w:ilvl w:val="1"/>
          <w:numId w:val="6"/>
        </w:numPr>
        <w:contextualSpacing/>
        <w:rPr>
          <w:bCs/>
          <w:szCs w:val="22"/>
          <w:lang w:val="en-GB"/>
        </w:rPr>
      </w:pPr>
      <w:r>
        <w:rPr>
          <w:bCs/>
          <w:szCs w:val="22"/>
          <w:lang w:val="en-GB"/>
        </w:rPr>
        <w:lastRenderedPageBreak/>
        <w:t>The PBAC reiterated its view that there is a clinical need for an effective treatment for patients with locally advanced or metastatic RAI-R DTC who have rapid, symptomatic progression.</w:t>
      </w:r>
      <w:r w:rsidR="00E912C9">
        <w:rPr>
          <w:bCs/>
          <w:szCs w:val="22"/>
          <w:lang w:val="en-GB"/>
        </w:rPr>
        <w:t xml:space="preserve"> The PBAC noted that it would be challenging to limit use of sorafenib to this group of patients, and that the restriction would need further work to capture the appropriate eligible population.</w:t>
      </w:r>
      <w:r w:rsidR="006E30A7">
        <w:rPr>
          <w:bCs/>
          <w:szCs w:val="22"/>
          <w:lang w:val="en-GB"/>
        </w:rPr>
        <w:t xml:space="preserve"> The PBAC also noted that the restriction should define th</w:t>
      </w:r>
      <w:r w:rsidR="001E0A85">
        <w:rPr>
          <w:bCs/>
          <w:szCs w:val="22"/>
          <w:lang w:val="en-GB"/>
        </w:rPr>
        <w:t>e</w:t>
      </w:r>
      <w:r w:rsidR="006E30A7">
        <w:rPr>
          <w:bCs/>
          <w:szCs w:val="22"/>
          <w:lang w:val="en-GB"/>
        </w:rPr>
        <w:t xml:space="preserve"> subset of high risk patients aged less than 4</w:t>
      </w:r>
      <w:r w:rsidR="00524460">
        <w:rPr>
          <w:bCs/>
          <w:szCs w:val="22"/>
          <w:lang w:val="en-GB"/>
        </w:rPr>
        <w:t xml:space="preserve">5 years who should </w:t>
      </w:r>
      <w:r w:rsidR="001E0A85">
        <w:rPr>
          <w:bCs/>
          <w:szCs w:val="22"/>
          <w:lang w:val="en-GB"/>
        </w:rPr>
        <w:t xml:space="preserve">also </w:t>
      </w:r>
      <w:r w:rsidR="00524460">
        <w:rPr>
          <w:bCs/>
          <w:szCs w:val="22"/>
          <w:lang w:val="en-GB"/>
        </w:rPr>
        <w:t>be included.</w:t>
      </w:r>
    </w:p>
    <w:p w:rsidR="00EA4B47" w:rsidRPr="00524460" w:rsidRDefault="00EA4B47" w:rsidP="00EA4B47">
      <w:pPr>
        <w:rPr>
          <w:bCs/>
          <w:szCs w:val="22"/>
          <w:lang w:val="en-GB"/>
        </w:rPr>
      </w:pPr>
    </w:p>
    <w:p w:rsidR="00EA4B47" w:rsidRDefault="00EA4B47" w:rsidP="00105544">
      <w:pPr>
        <w:numPr>
          <w:ilvl w:val="1"/>
          <w:numId w:val="6"/>
        </w:numPr>
        <w:contextualSpacing/>
        <w:rPr>
          <w:bCs/>
          <w:szCs w:val="22"/>
          <w:lang w:val="en-GB"/>
        </w:rPr>
      </w:pPr>
      <w:r>
        <w:rPr>
          <w:bCs/>
          <w:szCs w:val="22"/>
          <w:lang w:val="en-GB"/>
        </w:rPr>
        <w:t xml:space="preserve">As previously, the PBAC considered that BSC </w:t>
      </w:r>
      <w:r w:rsidR="00524460">
        <w:rPr>
          <w:bCs/>
          <w:szCs w:val="22"/>
          <w:lang w:val="en-GB"/>
        </w:rPr>
        <w:t>was the appropriate comparator.</w:t>
      </w:r>
      <w:r w:rsidR="001E79B0">
        <w:rPr>
          <w:bCs/>
          <w:szCs w:val="22"/>
        </w:rPr>
        <w:t xml:space="preserve"> </w:t>
      </w:r>
      <w:r w:rsidR="001E79B0">
        <w:t xml:space="preserve">The PBAC also noted that the concurrent submission for lenvatinib in essentially the same population meant that lenvatinib was also an appropriate comparator. In this regard, the PBAC </w:t>
      </w:r>
      <w:r w:rsidR="001E79B0">
        <w:rPr>
          <w:bCs/>
          <w:szCs w:val="22"/>
          <w:lang w:val="en-GB"/>
        </w:rPr>
        <w:t xml:space="preserve">noted that the Endocrine Society of Australia </w:t>
      </w:r>
      <w:r w:rsidR="001E79B0">
        <w:rPr>
          <w:bCs/>
          <w:szCs w:val="22"/>
        </w:rPr>
        <w:t>expressed no preference between sorafenib and lenvatinib.</w:t>
      </w:r>
    </w:p>
    <w:p w:rsidR="00CA3976" w:rsidRPr="00524460" w:rsidRDefault="00CA3976" w:rsidP="00CA3976">
      <w:pPr>
        <w:rPr>
          <w:bCs/>
          <w:szCs w:val="22"/>
          <w:lang w:val="en-GB"/>
        </w:rPr>
      </w:pPr>
    </w:p>
    <w:p w:rsidR="00CA3976" w:rsidRDefault="00CA3976" w:rsidP="00105544">
      <w:pPr>
        <w:numPr>
          <w:ilvl w:val="1"/>
          <w:numId w:val="6"/>
        </w:numPr>
        <w:contextualSpacing/>
        <w:rPr>
          <w:bCs/>
          <w:szCs w:val="22"/>
          <w:lang w:val="en-GB"/>
        </w:rPr>
      </w:pPr>
      <w:r>
        <w:rPr>
          <w:bCs/>
          <w:szCs w:val="22"/>
          <w:lang w:val="en-GB"/>
        </w:rPr>
        <w:t>The PBAC reiterated its view that sorafenib is more effective than BSC in terms of PFS</w:t>
      </w:r>
      <w:r w:rsidR="003A0D12">
        <w:rPr>
          <w:bCs/>
          <w:szCs w:val="22"/>
          <w:lang w:val="en-GB"/>
        </w:rPr>
        <w:t xml:space="preserve"> and that sorafenib has </w:t>
      </w:r>
      <w:r w:rsidR="001E0A85">
        <w:rPr>
          <w:bCs/>
          <w:szCs w:val="22"/>
          <w:lang w:val="en-GB"/>
        </w:rPr>
        <w:t xml:space="preserve">a worse </w:t>
      </w:r>
      <w:r w:rsidR="00524460">
        <w:rPr>
          <w:bCs/>
          <w:szCs w:val="22"/>
          <w:lang w:val="en-GB"/>
        </w:rPr>
        <w:t xml:space="preserve">safety </w:t>
      </w:r>
      <w:r w:rsidR="001E0A85">
        <w:rPr>
          <w:bCs/>
          <w:szCs w:val="22"/>
          <w:lang w:val="en-GB"/>
        </w:rPr>
        <w:t>profile than</w:t>
      </w:r>
      <w:r w:rsidR="00524460">
        <w:rPr>
          <w:bCs/>
          <w:szCs w:val="22"/>
          <w:lang w:val="en-GB"/>
        </w:rPr>
        <w:t xml:space="preserve"> BSC.</w:t>
      </w:r>
    </w:p>
    <w:p w:rsidR="00092BAA" w:rsidRDefault="00092BAA" w:rsidP="00524460">
      <w:pPr>
        <w:contextualSpacing/>
        <w:rPr>
          <w:bCs/>
          <w:szCs w:val="22"/>
          <w:lang w:val="en-GB"/>
        </w:rPr>
      </w:pPr>
    </w:p>
    <w:p w:rsidR="00092BAA" w:rsidRDefault="00C61C92" w:rsidP="00105544">
      <w:pPr>
        <w:numPr>
          <w:ilvl w:val="1"/>
          <w:numId w:val="6"/>
        </w:numPr>
        <w:contextualSpacing/>
        <w:rPr>
          <w:bCs/>
          <w:szCs w:val="22"/>
          <w:lang w:val="en-GB"/>
        </w:rPr>
      </w:pPr>
      <w:r>
        <w:rPr>
          <w:bCs/>
          <w:szCs w:val="22"/>
          <w:lang w:val="en-GB"/>
        </w:rPr>
        <w:t>The PBAC reaffirmed its view from March 2015 that the adjusted OS results for crossover presented by the re-submission did not provide a reliable estimate of the OS</w:t>
      </w:r>
      <w:r w:rsidR="006D2471">
        <w:rPr>
          <w:bCs/>
          <w:szCs w:val="22"/>
          <w:lang w:val="en-GB"/>
        </w:rPr>
        <w:t xml:space="preserve">. </w:t>
      </w:r>
      <w:r w:rsidR="00092BAA">
        <w:rPr>
          <w:bCs/>
          <w:szCs w:val="22"/>
          <w:lang w:val="en-GB"/>
        </w:rPr>
        <w:t xml:space="preserve">The PBAC considered that the modelled </w:t>
      </w:r>
      <w:r w:rsidR="00517C49">
        <w:rPr>
          <w:bCs/>
          <w:szCs w:val="22"/>
          <w:lang w:val="en-GB"/>
        </w:rPr>
        <w:t xml:space="preserve">incremental </w:t>
      </w:r>
      <w:r w:rsidR="00092BAA">
        <w:rPr>
          <w:bCs/>
          <w:szCs w:val="22"/>
          <w:lang w:val="en-GB"/>
        </w:rPr>
        <w:t>OS gain</w:t>
      </w:r>
      <w:r w:rsidR="00517C49">
        <w:rPr>
          <w:bCs/>
          <w:szCs w:val="22"/>
          <w:lang w:val="en-GB"/>
        </w:rPr>
        <w:t xml:space="preserve"> of 9.12 months</w:t>
      </w:r>
      <w:r w:rsidR="00B6367B">
        <w:rPr>
          <w:bCs/>
          <w:szCs w:val="22"/>
          <w:lang w:val="en-GB"/>
        </w:rPr>
        <w:t xml:space="preserve"> (0.76 years)</w:t>
      </w:r>
      <w:r w:rsidR="00092BAA">
        <w:rPr>
          <w:bCs/>
          <w:szCs w:val="22"/>
          <w:lang w:val="en-GB"/>
        </w:rPr>
        <w:t xml:space="preserve"> in the re</w:t>
      </w:r>
      <w:r w:rsidR="00802827">
        <w:rPr>
          <w:bCs/>
          <w:szCs w:val="22"/>
          <w:lang w:val="en-GB"/>
        </w:rPr>
        <w:t>-</w:t>
      </w:r>
      <w:r w:rsidR="00092BAA">
        <w:rPr>
          <w:bCs/>
          <w:szCs w:val="22"/>
          <w:lang w:val="en-GB"/>
        </w:rPr>
        <w:t>submission’s econ</w:t>
      </w:r>
      <w:r w:rsidR="005548C6">
        <w:rPr>
          <w:bCs/>
          <w:szCs w:val="22"/>
          <w:lang w:val="en-GB"/>
        </w:rPr>
        <w:t>omic evaluation was implausibl</w:t>
      </w:r>
      <w:r w:rsidR="00A04662">
        <w:rPr>
          <w:bCs/>
          <w:szCs w:val="22"/>
          <w:lang w:val="en-GB"/>
        </w:rPr>
        <w:t>y larg</w:t>
      </w:r>
      <w:r w:rsidR="005548C6">
        <w:rPr>
          <w:bCs/>
          <w:szCs w:val="22"/>
          <w:lang w:val="en-GB"/>
        </w:rPr>
        <w:t>e</w:t>
      </w:r>
      <w:r w:rsidR="00B6367B">
        <w:rPr>
          <w:bCs/>
          <w:szCs w:val="22"/>
          <w:lang w:val="en-GB"/>
        </w:rPr>
        <w:t xml:space="preserve">, especially in the context of the </w:t>
      </w:r>
      <w:r w:rsidR="00890BCB">
        <w:rPr>
          <w:bCs/>
          <w:szCs w:val="22"/>
          <w:lang w:val="en-GB"/>
        </w:rPr>
        <w:t>modelled</w:t>
      </w:r>
      <w:r w:rsidR="00BD7586">
        <w:rPr>
          <w:bCs/>
          <w:szCs w:val="22"/>
          <w:lang w:val="en-GB"/>
        </w:rPr>
        <w:t xml:space="preserve"> </w:t>
      </w:r>
      <w:r w:rsidR="00B6367B">
        <w:rPr>
          <w:bCs/>
          <w:szCs w:val="22"/>
          <w:lang w:val="en-GB"/>
        </w:rPr>
        <w:t xml:space="preserve">incremental PFS </w:t>
      </w:r>
      <w:r w:rsidR="00BD7586">
        <w:rPr>
          <w:bCs/>
          <w:szCs w:val="22"/>
          <w:lang w:val="en-GB"/>
        </w:rPr>
        <w:t>g</w:t>
      </w:r>
      <w:r w:rsidR="00B6367B">
        <w:rPr>
          <w:bCs/>
          <w:szCs w:val="22"/>
          <w:lang w:val="en-GB"/>
        </w:rPr>
        <w:t>ain of 5.76 months (0.48 years)</w:t>
      </w:r>
      <w:r w:rsidR="00A45718">
        <w:rPr>
          <w:bCs/>
          <w:szCs w:val="22"/>
          <w:lang w:val="en-GB"/>
        </w:rPr>
        <w:t>. The PBAC</w:t>
      </w:r>
      <w:r w:rsidR="005548C6">
        <w:rPr>
          <w:bCs/>
          <w:szCs w:val="22"/>
          <w:lang w:val="en-GB"/>
        </w:rPr>
        <w:t xml:space="preserve"> recall</w:t>
      </w:r>
      <w:r w:rsidR="00A45718">
        <w:rPr>
          <w:bCs/>
          <w:szCs w:val="22"/>
          <w:lang w:val="en-GB"/>
        </w:rPr>
        <w:t>ed</w:t>
      </w:r>
      <w:r w:rsidR="005548C6">
        <w:rPr>
          <w:bCs/>
          <w:szCs w:val="22"/>
          <w:lang w:val="en-GB"/>
        </w:rPr>
        <w:t xml:space="preserve"> that </w:t>
      </w:r>
      <w:r w:rsidR="00A45718">
        <w:rPr>
          <w:bCs/>
          <w:szCs w:val="22"/>
          <w:lang w:val="en-GB"/>
        </w:rPr>
        <w:t>it</w:t>
      </w:r>
      <w:r w:rsidR="005548C6">
        <w:rPr>
          <w:bCs/>
          <w:szCs w:val="22"/>
          <w:lang w:val="en-GB"/>
        </w:rPr>
        <w:t xml:space="preserve"> ha</w:t>
      </w:r>
      <w:r w:rsidR="00A45718">
        <w:rPr>
          <w:bCs/>
          <w:szCs w:val="22"/>
          <w:lang w:val="en-GB"/>
        </w:rPr>
        <w:t>d</w:t>
      </w:r>
      <w:r w:rsidR="005548C6">
        <w:rPr>
          <w:bCs/>
          <w:szCs w:val="22"/>
          <w:lang w:val="en-GB"/>
        </w:rPr>
        <w:t xml:space="preserve"> previously proposed </w:t>
      </w:r>
      <w:r w:rsidR="002D404B">
        <w:rPr>
          <w:bCs/>
          <w:szCs w:val="22"/>
          <w:lang w:val="en-GB"/>
        </w:rPr>
        <w:t>a</w:t>
      </w:r>
      <w:r w:rsidR="00802827">
        <w:rPr>
          <w:bCs/>
          <w:szCs w:val="22"/>
          <w:lang w:val="en-GB"/>
        </w:rPr>
        <w:t xml:space="preserve"> pragmatic </w:t>
      </w:r>
      <w:r w:rsidR="00A61B56">
        <w:rPr>
          <w:bCs/>
          <w:szCs w:val="22"/>
          <w:lang w:val="en-GB"/>
        </w:rPr>
        <w:t>way</w:t>
      </w:r>
      <w:r w:rsidR="00802827">
        <w:rPr>
          <w:bCs/>
          <w:szCs w:val="22"/>
          <w:lang w:val="en-GB"/>
        </w:rPr>
        <w:t xml:space="preserve"> </w:t>
      </w:r>
      <w:r w:rsidR="002D404B">
        <w:rPr>
          <w:bCs/>
          <w:szCs w:val="22"/>
          <w:lang w:val="en-GB"/>
        </w:rPr>
        <w:t>forward</w:t>
      </w:r>
      <w:r w:rsidR="00BD7586">
        <w:rPr>
          <w:bCs/>
          <w:szCs w:val="22"/>
          <w:lang w:val="en-GB"/>
        </w:rPr>
        <w:t xml:space="preserve"> to value the accepted and clinically meaningful gain in PFS</w:t>
      </w:r>
      <w:r w:rsidR="002D404B">
        <w:rPr>
          <w:bCs/>
          <w:szCs w:val="22"/>
          <w:lang w:val="en-GB"/>
        </w:rPr>
        <w:t xml:space="preserve">, </w:t>
      </w:r>
      <w:r w:rsidR="00A61B56">
        <w:rPr>
          <w:bCs/>
          <w:szCs w:val="22"/>
          <w:lang w:val="en-GB"/>
        </w:rPr>
        <w:t>where</w:t>
      </w:r>
      <w:r w:rsidR="005548C6">
        <w:rPr>
          <w:bCs/>
          <w:szCs w:val="22"/>
          <w:lang w:val="en-GB"/>
        </w:rPr>
        <w:t xml:space="preserve"> the trial-based 5</w:t>
      </w:r>
      <w:r w:rsidR="00890BCB">
        <w:rPr>
          <w:bCs/>
          <w:szCs w:val="22"/>
          <w:lang w:val="en-GB"/>
        </w:rPr>
        <w:t>-</w:t>
      </w:r>
      <w:r w:rsidR="005548C6">
        <w:rPr>
          <w:bCs/>
          <w:szCs w:val="22"/>
          <w:lang w:val="en-GB"/>
        </w:rPr>
        <w:t>month gain in median PFS translate</w:t>
      </w:r>
      <w:r w:rsidR="00A61B56">
        <w:rPr>
          <w:bCs/>
          <w:szCs w:val="22"/>
          <w:lang w:val="en-GB"/>
        </w:rPr>
        <w:t>d</w:t>
      </w:r>
      <w:r w:rsidR="005548C6">
        <w:rPr>
          <w:bCs/>
          <w:szCs w:val="22"/>
          <w:lang w:val="en-GB"/>
        </w:rPr>
        <w:t xml:space="preserve"> in</w:t>
      </w:r>
      <w:r w:rsidR="00716FA8">
        <w:rPr>
          <w:bCs/>
          <w:szCs w:val="22"/>
          <w:lang w:val="en-GB"/>
        </w:rPr>
        <w:t>t</w:t>
      </w:r>
      <w:r w:rsidR="005548C6">
        <w:rPr>
          <w:bCs/>
          <w:szCs w:val="22"/>
          <w:lang w:val="en-GB"/>
        </w:rPr>
        <w:t xml:space="preserve">o an </w:t>
      </w:r>
      <w:r w:rsidR="00BD7586">
        <w:rPr>
          <w:bCs/>
          <w:szCs w:val="22"/>
          <w:lang w:val="en-GB"/>
        </w:rPr>
        <w:t xml:space="preserve">gain in </w:t>
      </w:r>
      <w:r w:rsidR="00B6367B">
        <w:rPr>
          <w:bCs/>
          <w:szCs w:val="22"/>
          <w:lang w:val="en-GB"/>
        </w:rPr>
        <w:t xml:space="preserve">median </w:t>
      </w:r>
      <w:r w:rsidR="005548C6">
        <w:rPr>
          <w:bCs/>
          <w:szCs w:val="22"/>
          <w:lang w:val="en-GB"/>
        </w:rPr>
        <w:t>OS</w:t>
      </w:r>
      <w:r w:rsidR="00B6367B">
        <w:rPr>
          <w:bCs/>
          <w:szCs w:val="22"/>
          <w:lang w:val="en-GB"/>
        </w:rPr>
        <w:t xml:space="preserve"> of the same duration</w:t>
      </w:r>
      <w:r w:rsidR="001E0A85">
        <w:rPr>
          <w:bCs/>
          <w:szCs w:val="22"/>
          <w:lang w:val="en-GB"/>
        </w:rPr>
        <w:t>, however the re-</w:t>
      </w:r>
      <w:r w:rsidR="00A61B56">
        <w:rPr>
          <w:bCs/>
          <w:szCs w:val="22"/>
          <w:lang w:val="en-GB"/>
        </w:rPr>
        <w:t>submission had not</w:t>
      </w:r>
      <w:r w:rsidR="00CF6355">
        <w:rPr>
          <w:bCs/>
          <w:szCs w:val="22"/>
          <w:lang w:val="en-GB"/>
        </w:rPr>
        <w:t xml:space="preserve"> presented this either </w:t>
      </w:r>
      <w:r w:rsidR="00A04662">
        <w:rPr>
          <w:bCs/>
          <w:szCs w:val="22"/>
          <w:lang w:val="en-GB"/>
        </w:rPr>
        <w:t xml:space="preserve">as </w:t>
      </w:r>
      <w:r w:rsidR="00CF6355">
        <w:rPr>
          <w:bCs/>
          <w:szCs w:val="22"/>
          <w:lang w:val="en-GB"/>
        </w:rPr>
        <w:t>its base case or as a sensitivity analysis.</w:t>
      </w:r>
    </w:p>
    <w:p w:rsidR="00092BAA" w:rsidRPr="00524460" w:rsidRDefault="00092BAA" w:rsidP="00092BAA">
      <w:pPr>
        <w:rPr>
          <w:bCs/>
          <w:szCs w:val="22"/>
          <w:lang w:val="en-GB"/>
        </w:rPr>
      </w:pPr>
    </w:p>
    <w:p w:rsidR="00092BAA" w:rsidRDefault="00BE7A8B" w:rsidP="00105544">
      <w:pPr>
        <w:numPr>
          <w:ilvl w:val="1"/>
          <w:numId w:val="6"/>
        </w:numPr>
        <w:contextualSpacing/>
        <w:rPr>
          <w:bCs/>
          <w:szCs w:val="22"/>
          <w:lang w:val="en-GB"/>
        </w:rPr>
      </w:pPr>
      <w:r>
        <w:rPr>
          <w:bCs/>
          <w:szCs w:val="22"/>
          <w:lang w:val="en-GB"/>
        </w:rPr>
        <w:t>The PBAC noted</w:t>
      </w:r>
      <w:r w:rsidR="00DB1325">
        <w:rPr>
          <w:bCs/>
          <w:szCs w:val="22"/>
          <w:lang w:val="en-GB"/>
        </w:rPr>
        <w:t xml:space="preserve"> advice from the Endocrine Society of Australia that patients should be able to continue therapy as long as there is thought to be clinical benefit. The PBAC thus considered</w:t>
      </w:r>
      <w:r>
        <w:rPr>
          <w:bCs/>
          <w:szCs w:val="22"/>
          <w:lang w:val="en-GB"/>
        </w:rPr>
        <w:t xml:space="preserve"> that the preferred </w:t>
      </w:r>
      <w:r w:rsidR="000C635C">
        <w:rPr>
          <w:bCs/>
          <w:szCs w:val="22"/>
          <w:lang w:val="en-GB"/>
        </w:rPr>
        <w:t xml:space="preserve">listing of sorafenib would be as per Scenario 2, where use beyond progression is </w:t>
      </w:r>
      <w:r w:rsidR="006F0AC7">
        <w:rPr>
          <w:bCs/>
          <w:szCs w:val="22"/>
          <w:lang w:val="en-GB"/>
        </w:rPr>
        <w:t>permitt</w:t>
      </w:r>
      <w:r w:rsidR="000C635C">
        <w:rPr>
          <w:bCs/>
          <w:szCs w:val="22"/>
          <w:lang w:val="en-GB"/>
        </w:rPr>
        <w:t xml:space="preserve">ed. The PBAC noted that the </w:t>
      </w:r>
      <w:r>
        <w:rPr>
          <w:bCs/>
          <w:szCs w:val="22"/>
          <w:lang w:val="en-GB"/>
        </w:rPr>
        <w:t xml:space="preserve">ICER for Scenario </w:t>
      </w:r>
      <w:r w:rsidR="000C635C">
        <w:rPr>
          <w:bCs/>
          <w:szCs w:val="22"/>
          <w:lang w:val="en-GB"/>
        </w:rPr>
        <w:t xml:space="preserve">2 </w:t>
      </w:r>
      <w:r>
        <w:rPr>
          <w:bCs/>
          <w:szCs w:val="22"/>
          <w:lang w:val="en-GB"/>
        </w:rPr>
        <w:t>presented in this re-submission</w:t>
      </w:r>
      <w:r w:rsidR="000C635C">
        <w:rPr>
          <w:bCs/>
          <w:szCs w:val="22"/>
          <w:lang w:val="en-GB"/>
        </w:rPr>
        <w:t xml:space="preserve"> was </w:t>
      </w:r>
      <w:r w:rsidR="00E7794E" w:rsidRPr="00067D84">
        <w:rPr>
          <w:i/>
          <w:szCs w:val="22"/>
        </w:rPr>
        <w:t>$45,000/QALY – $75,000/QALY</w:t>
      </w:r>
      <w:r w:rsidR="000C635C">
        <w:rPr>
          <w:bCs/>
          <w:szCs w:val="22"/>
          <w:lang w:val="en-GB"/>
        </w:rPr>
        <w:t xml:space="preserve">, however this </w:t>
      </w:r>
      <w:r w:rsidR="006F0AC7">
        <w:rPr>
          <w:bCs/>
          <w:szCs w:val="22"/>
          <w:lang w:val="en-GB"/>
        </w:rPr>
        <w:t xml:space="preserve">base case </w:t>
      </w:r>
      <w:r w:rsidR="00E97FEA">
        <w:rPr>
          <w:bCs/>
          <w:szCs w:val="22"/>
          <w:lang w:val="en-GB"/>
        </w:rPr>
        <w:t xml:space="preserve">was not considered reliable and </w:t>
      </w:r>
      <w:r w:rsidR="006F0AC7">
        <w:rPr>
          <w:bCs/>
          <w:szCs w:val="22"/>
          <w:lang w:val="en-GB"/>
        </w:rPr>
        <w:t xml:space="preserve">did not use the sensitivity analysis </w:t>
      </w:r>
      <w:r w:rsidR="000C635C">
        <w:rPr>
          <w:bCs/>
          <w:szCs w:val="22"/>
          <w:lang w:val="en-GB"/>
        </w:rPr>
        <w:t>as requested by the PBAC in March</w:t>
      </w:r>
      <w:r w:rsidR="002432FF">
        <w:rPr>
          <w:bCs/>
          <w:szCs w:val="22"/>
          <w:lang w:val="en-GB"/>
        </w:rPr>
        <w:t> 2015</w:t>
      </w:r>
      <w:r w:rsidR="000C635C">
        <w:rPr>
          <w:bCs/>
          <w:szCs w:val="22"/>
          <w:lang w:val="en-GB"/>
        </w:rPr>
        <w:t>,</w:t>
      </w:r>
      <w:r w:rsidR="006F0AC7">
        <w:rPr>
          <w:bCs/>
          <w:szCs w:val="22"/>
          <w:lang w:val="en-GB"/>
        </w:rPr>
        <w:t xml:space="preserve"> in which the gain in OS was of the same magnitude as the gai</w:t>
      </w:r>
      <w:r w:rsidR="00524460">
        <w:rPr>
          <w:bCs/>
          <w:szCs w:val="22"/>
          <w:lang w:val="en-GB"/>
        </w:rPr>
        <w:t>n in PFS observed in the trial.</w:t>
      </w:r>
    </w:p>
    <w:p w:rsidR="0090170A" w:rsidRPr="00524460" w:rsidRDefault="0090170A" w:rsidP="0090170A">
      <w:pPr>
        <w:rPr>
          <w:bCs/>
          <w:szCs w:val="22"/>
          <w:lang w:val="en-GB"/>
        </w:rPr>
      </w:pPr>
    </w:p>
    <w:p w:rsidR="0090170A" w:rsidRDefault="000704C9" w:rsidP="00C2366F">
      <w:pPr>
        <w:numPr>
          <w:ilvl w:val="1"/>
          <w:numId w:val="6"/>
        </w:numPr>
        <w:contextualSpacing/>
        <w:rPr>
          <w:bCs/>
          <w:szCs w:val="22"/>
          <w:lang w:val="en-GB"/>
        </w:rPr>
      </w:pPr>
      <w:r>
        <w:rPr>
          <w:bCs/>
          <w:szCs w:val="22"/>
          <w:lang w:val="en-GB"/>
        </w:rPr>
        <w:t xml:space="preserve">The PBAC did not consider that sorafenib was cost-effective at </w:t>
      </w:r>
      <w:r w:rsidR="00A04662">
        <w:rPr>
          <w:bCs/>
          <w:szCs w:val="22"/>
          <w:lang w:val="en-GB"/>
        </w:rPr>
        <w:t>ei</w:t>
      </w:r>
      <w:r>
        <w:rPr>
          <w:bCs/>
          <w:szCs w:val="22"/>
          <w:lang w:val="en-GB"/>
        </w:rPr>
        <w:t>the</w:t>
      </w:r>
      <w:r w:rsidR="00A04662">
        <w:rPr>
          <w:bCs/>
          <w:szCs w:val="22"/>
          <w:lang w:val="en-GB"/>
        </w:rPr>
        <w:t>r</w:t>
      </w:r>
      <w:r>
        <w:rPr>
          <w:bCs/>
          <w:szCs w:val="22"/>
          <w:lang w:val="en-GB"/>
        </w:rPr>
        <w:t xml:space="preserve"> price proposed in the re-submission</w:t>
      </w:r>
      <w:r w:rsidR="00A04662">
        <w:rPr>
          <w:bCs/>
          <w:szCs w:val="22"/>
          <w:lang w:val="en-GB"/>
        </w:rPr>
        <w:t xml:space="preserve"> for either listing scenario</w:t>
      </w:r>
      <w:r w:rsidR="005A0689">
        <w:rPr>
          <w:bCs/>
          <w:szCs w:val="22"/>
          <w:lang w:val="en-GB"/>
        </w:rPr>
        <w:t>, noting that the more relevant model was for Scenario 2</w:t>
      </w:r>
      <w:r w:rsidR="00D21CC9">
        <w:rPr>
          <w:bCs/>
          <w:szCs w:val="22"/>
          <w:lang w:val="en-GB"/>
        </w:rPr>
        <w:t>,</w:t>
      </w:r>
      <w:r w:rsidR="005A0689">
        <w:rPr>
          <w:bCs/>
          <w:szCs w:val="22"/>
          <w:lang w:val="en-GB"/>
        </w:rPr>
        <w:t xml:space="preserve"> and that the treatment duration in this scenario was based on the trial</w:t>
      </w:r>
      <w:r>
        <w:rPr>
          <w:bCs/>
          <w:szCs w:val="22"/>
          <w:lang w:val="en-GB"/>
        </w:rPr>
        <w:t xml:space="preserve">. </w:t>
      </w:r>
      <w:r w:rsidR="0090170A" w:rsidRPr="0090170A">
        <w:rPr>
          <w:bCs/>
          <w:szCs w:val="22"/>
          <w:lang w:val="en-GB"/>
        </w:rPr>
        <w:t xml:space="preserve">The PBAC </w:t>
      </w:r>
      <w:r w:rsidR="009A5883">
        <w:rPr>
          <w:bCs/>
          <w:szCs w:val="22"/>
          <w:lang w:val="en-GB"/>
        </w:rPr>
        <w:t>r</w:t>
      </w:r>
      <w:r w:rsidR="00C2366F">
        <w:rPr>
          <w:bCs/>
          <w:szCs w:val="22"/>
          <w:lang w:val="en-GB"/>
        </w:rPr>
        <w:t>e</w:t>
      </w:r>
      <w:r w:rsidR="009A5883">
        <w:rPr>
          <w:bCs/>
          <w:szCs w:val="22"/>
          <w:lang w:val="en-GB"/>
        </w:rPr>
        <w:t>called</w:t>
      </w:r>
      <w:r w:rsidR="00C2366F">
        <w:rPr>
          <w:bCs/>
          <w:szCs w:val="22"/>
          <w:lang w:val="en-GB"/>
        </w:rPr>
        <w:t xml:space="preserve"> that a</w:t>
      </w:r>
      <w:r w:rsidR="009A5883">
        <w:rPr>
          <w:bCs/>
          <w:szCs w:val="22"/>
          <w:lang w:val="en-GB"/>
        </w:rPr>
        <w:t>n</w:t>
      </w:r>
      <w:r w:rsidR="00C2366F">
        <w:rPr>
          <w:bCs/>
          <w:szCs w:val="22"/>
          <w:lang w:val="en-GB"/>
        </w:rPr>
        <w:t xml:space="preserve"> </w:t>
      </w:r>
      <w:r w:rsidR="00C2366F" w:rsidRPr="0090170A">
        <w:rPr>
          <w:bCs/>
          <w:szCs w:val="22"/>
          <w:lang w:val="en-GB"/>
        </w:rPr>
        <w:t>ICER threshold of $</w:t>
      </w:r>
      <w:r w:rsidR="00EF72BF">
        <w:rPr>
          <w:bCs/>
          <w:noProof/>
          <w:color w:val="000000"/>
          <w:szCs w:val="22"/>
          <w:highlight w:val="black"/>
          <w:lang w:val="en-GB"/>
        </w:rPr>
        <w:t>'''''''''''''''''</w:t>
      </w:r>
      <w:r w:rsidR="00C2366F" w:rsidRPr="0090170A">
        <w:rPr>
          <w:bCs/>
          <w:szCs w:val="22"/>
          <w:lang w:val="en-GB"/>
        </w:rPr>
        <w:t xml:space="preserve">/QALY </w:t>
      </w:r>
      <w:r w:rsidR="00C2366F">
        <w:rPr>
          <w:bCs/>
          <w:szCs w:val="22"/>
          <w:lang w:val="en-GB"/>
        </w:rPr>
        <w:t xml:space="preserve">had been set at the </w:t>
      </w:r>
      <w:r w:rsidR="00C2366F" w:rsidRPr="0090170A">
        <w:rPr>
          <w:bCs/>
          <w:szCs w:val="22"/>
          <w:lang w:val="en-GB"/>
        </w:rPr>
        <w:t>March 2015</w:t>
      </w:r>
      <w:r w:rsidR="00C2366F">
        <w:rPr>
          <w:bCs/>
          <w:szCs w:val="22"/>
          <w:lang w:val="en-GB"/>
        </w:rPr>
        <w:t xml:space="preserve"> PBAC meeting</w:t>
      </w:r>
      <w:r w:rsidR="00B21753">
        <w:rPr>
          <w:bCs/>
          <w:szCs w:val="22"/>
          <w:lang w:val="en-GB"/>
        </w:rPr>
        <w:t xml:space="preserve"> in the context of uncertainty in the extent of incremental overall survival</w:t>
      </w:r>
      <w:r w:rsidR="00C2366F">
        <w:rPr>
          <w:bCs/>
          <w:szCs w:val="22"/>
          <w:lang w:val="en-GB"/>
        </w:rPr>
        <w:t>, and n</w:t>
      </w:r>
      <w:r w:rsidR="005A0689">
        <w:rPr>
          <w:bCs/>
          <w:szCs w:val="22"/>
          <w:lang w:val="en-GB"/>
        </w:rPr>
        <w:t>ot</w:t>
      </w:r>
      <w:r w:rsidR="009A5883">
        <w:rPr>
          <w:bCs/>
          <w:szCs w:val="22"/>
          <w:lang w:val="en-GB"/>
        </w:rPr>
        <w:t>ed</w:t>
      </w:r>
      <w:r w:rsidR="005A0689">
        <w:rPr>
          <w:bCs/>
          <w:szCs w:val="22"/>
          <w:lang w:val="en-GB"/>
        </w:rPr>
        <w:t xml:space="preserve"> that the evaluation of the re-submission had estimated a</w:t>
      </w:r>
      <w:r w:rsidR="00C2366F">
        <w:rPr>
          <w:bCs/>
          <w:szCs w:val="22"/>
          <w:lang w:val="en-GB"/>
        </w:rPr>
        <w:t>n incremental</w:t>
      </w:r>
      <w:r w:rsidR="005A0689">
        <w:rPr>
          <w:bCs/>
          <w:szCs w:val="22"/>
          <w:lang w:val="en-GB"/>
        </w:rPr>
        <w:t xml:space="preserve"> QALY gain of 0.29 </w:t>
      </w:r>
      <w:r w:rsidR="0090170A" w:rsidRPr="0090170A">
        <w:rPr>
          <w:bCs/>
          <w:szCs w:val="22"/>
          <w:lang w:val="en-GB"/>
        </w:rPr>
        <w:t xml:space="preserve">by setting the incremental </w:t>
      </w:r>
      <w:r w:rsidR="009D0B3D">
        <w:rPr>
          <w:bCs/>
          <w:szCs w:val="22"/>
          <w:lang w:val="en-GB"/>
        </w:rPr>
        <w:t>overall</w:t>
      </w:r>
      <w:r w:rsidR="0090170A" w:rsidRPr="0090170A">
        <w:rPr>
          <w:bCs/>
          <w:szCs w:val="22"/>
          <w:lang w:val="en-GB"/>
        </w:rPr>
        <w:t xml:space="preserve"> survival gain </w:t>
      </w:r>
      <w:r w:rsidR="00C2366F">
        <w:rPr>
          <w:bCs/>
          <w:szCs w:val="22"/>
          <w:lang w:val="en-GB"/>
        </w:rPr>
        <w:t>a</w:t>
      </w:r>
      <w:r w:rsidR="0090170A" w:rsidRPr="0090170A">
        <w:rPr>
          <w:bCs/>
          <w:szCs w:val="22"/>
          <w:lang w:val="en-GB"/>
        </w:rPr>
        <w:t xml:space="preserve">s the same as the </w:t>
      </w:r>
      <w:r w:rsidR="00B21753">
        <w:rPr>
          <w:bCs/>
          <w:szCs w:val="22"/>
          <w:lang w:val="en-GB"/>
        </w:rPr>
        <w:t xml:space="preserve">more confidently estimated </w:t>
      </w:r>
      <w:r w:rsidR="0090170A" w:rsidRPr="0090170A">
        <w:rPr>
          <w:bCs/>
          <w:szCs w:val="22"/>
          <w:lang w:val="en-GB"/>
        </w:rPr>
        <w:t>incr</w:t>
      </w:r>
      <w:r w:rsidR="00A04662">
        <w:rPr>
          <w:bCs/>
          <w:szCs w:val="22"/>
          <w:lang w:val="en-GB"/>
        </w:rPr>
        <w:t xml:space="preserve">emental </w:t>
      </w:r>
      <w:r w:rsidR="009D0B3D">
        <w:rPr>
          <w:bCs/>
          <w:szCs w:val="22"/>
          <w:lang w:val="en-GB"/>
        </w:rPr>
        <w:t>progression-free</w:t>
      </w:r>
      <w:r w:rsidR="00A04662">
        <w:rPr>
          <w:bCs/>
          <w:szCs w:val="22"/>
          <w:lang w:val="en-GB"/>
        </w:rPr>
        <w:t xml:space="preserve"> survival gain</w:t>
      </w:r>
      <w:r w:rsidR="009A5883">
        <w:rPr>
          <w:bCs/>
          <w:szCs w:val="22"/>
          <w:lang w:val="en-GB"/>
        </w:rPr>
        <w:t>.</w:t>
      </w:r>
      <w:r w:rsidR="0090170A" w:rsidRPr="0090170A">
        <w:rPr>
          <w:bCs/>
          <w:szCs w:val="22"/>
          <w:lang w:val="en-GB"/>
        </w:rPr>
        <w:t xml:space="preserve"> </w:t>
      </w:r>
      <w:r w:rsidR="009A5883">
        <w:rPr>
          <w:bCs/>
          <w:szCs w:val="22"/>
          <w:lang w:val="en-GB"/>
        </w:rPr>
        <w:t>T</w:t>
      </w:r>
      <w:r w:rsidR="0090170A" w:rsidRPr="0090170A">
        <w:rPr>
          <w:bCs/>
          <w:szCs w:val="22"/>
          <w:lang w:val="en-GB"/>
        </w:rPr>
        <w:t xml:space="preserve">he Committee </w:t>
      </w:r>
      <w:r w:rsidR="009A5883">
        <w:rPr>
          <w:bCs/>
          <w:szCs w:val="22"/>
          <w:lang w:val="en-GB"/>
        </w:rPr>
        <w:t>proposed that a pragmatic approach could consider the base case of the modelled economic evaluation be re-specified to have an incremental QALY denominator in the ICER of 0.2, and thus to identify a price of sorafenib such that the ICER is less than $</w:t>
      </w:r>
      <w:r w:rsidR="00EF72BF">
        <w:rPr>
          <w:bCs/>
          <w:noProof/>
          <w:color w:val="000000"/>
          <w:szCs w:val="22"/>
          <w:highlight w:val="black"/>
          <w:lang w:val="en-GB"/>
        </w:rPr>
        <w:t>'''''''''''''''</w:t>
      </w:r>
      <w:r w:rsidR="009A5883">
        <w:rPr>
          <w:bCs/>
          <w:szCs w:val="22"/>
          <w:lang w:val="en-GB"/>
        </w:rPr>
        <w:t>/QALY. T</w:t>
      </w:r>
      <w:r w:rsidR="00C2366F">
        <w:rPr>
          <w:bCs/>
          <w:szCs w:val="22"/>
          <w:lang w:val="en-GB"/>
        </w:rPr>
        <w:t xml:space="preserve">he two proposed approaches </w:t>
      </w:r>
      <w:r w:rsidR="00A936D9">
        <w:rPr>
          <w:bCs/>
          <w:szCs w:val="22"/>
          <w:lang w:val="en-GB"/>
        </w:rPr>
        <w:t xml:space="preserve">to justifying a cost-effective price </w:t>
      </w:r>
      <w:r w:rsidR="00C2366F">
        <w:rPr>
          <w:bCs/>
          <w:szCs w:val="22"/>
          <w:lang w:val="en-GB"/>
        </w:rPr>
        <w:t xml:space="preserve">were broadly consistent because there can </w:t>
      </w:r>
      <w:r w:rsidR="0090170A" w:rsidRPr="0090170A">
        <w:rPr>
          <w:bCs/>
          <w:szCs w:val="22"/>
          <w:lang w:val="en-GB"/>
        </w:rPr>
        <w:t>be more confiden</w:t>
      </w:r>
      <w:r w:rsidR="00C2366F">
        <w:rPr>
          <w:bCs/>
          <w:szCs w:val="22"/>
          <w:lang w:val="en-GB"/>
        </w:rPr>
        <w:t>ce</w:t>
      </w:r>
      <w:r w:rsidR="0090170A" w:rsidRPr="0090170A">
        <w:rPr>
          <w:bCs/>
          <w:szCs w:val="22"/>
          <w:lang w:val="en-GB"/>
        </w:rPr>
        <w:t xml:space="preserve"> that at least the smaller incremental QALY would be realised </w:t>
      </w:r>
      <w:r w:rsidR="0090170A" w:rsidRPr="0090170A">
        <w:rPr>
          <w:bCs/>
          <w:szCs w:val="22"/>
          <w:lang w:val="en-GB"/>
        </w:rPr>
        <w:lastRenderedPageBreak/>
        <w:t>in practice.</w:t>
      </w:r>
    </w:p>
    <w:p w:rsidR="000704C9" w:rsidRPr="00524460" w:rsidRDefault="000704C9" w:rsidP="000704C9">
      <w:pPr>
        <w:rPr>
          <w:bCs/>
          <w:szCs w:val="22"/>
          <w:lang w:val="en-GB"/>
        </w:rPr>
      </w:pPr>
    </w:p>
    <w:p w:rsidR="000704C9" w:rsidRDefault="000704C9" w:rsidP="000704C9">
      <w:pPr>
        <w:numPr>
          <w:ilvl w:val="1"/>
          <w:numId w:val="6"/>
        </w:numPr>
        <w:contextualSpacing/>
        <w:rPr>
          <w:bCs/>
          <w:szCs w:val="22"/>
          <w:lang w:val="en-GB"/>
        </w:rPr>
      </w:pPr>
      <w:r w:rsidRPr="000704C9">
        <w:rPr>
          <w:bCs/>
          <w:szCs w:val="22"/>
          <w:lang w:val="en-GB"/>
        </w:rPr>
        <w:t xml:space="preserve">The PBAC considered that a major </w:t>
      </w:r>
      <w:r w:rsidR="00251CA8">
        <w:rPr>
          <w:bCs/>
          <w:szCs w:val="22"/>
          <w:lang w:val="en-GB"/>
        </w:rPr>
        <w:t>re</w:t>
      </w:r>
      <w:r w:rsidRPr="000704C9">
        <w:rPr>
          <w:bCs/>
          <w:szCs w:val="22"/>
          <w:lang w:val="en-GB"/>
        </w:rPr>
        <w:t xml:space="preserve">submission would be required should the sponsor </w:t>
      </w:r>
      <w:r w:rsidR="00890BCB">
        <w:rPr>
          <w:bCs/>
          <w:szCs w:val="22"/>
          <w:lang w:val="en-GB"/>
        </w:rPr>
        <w:t xml:space="preserve">not </w:t>
      </w:r>
      <w:r w:rsidRPr="000704C9">
        <w:rPr>
          <w:bCs/>
          <w:szCs w:val="22"/>
          <w:lang w:val="en-GB"/>
        </w:rPr>
        <w:t xml:space="preserve">wish to </w:t>
      </w:r>
      <w:r w:rsidR="00890BCB">
        <w:rPr>
          <w:bCs/>
          <w:szCs w:val="22"/>
          <w:lang w:val="en-GB"/>
        </w:rPr>
        <w:t xml:space="preserve">accept either of </w:t>
      </w:r>
      <w:r w:rsidR="00A04662">
        <w:rPr>
          <w:bCs/>
          <w:szCs w:val="22"/>
          <w:lang w:val="en-GB"/>
        </w:rPr>
        <w:t xml:space="preserve">the proposed </w:t>
      </w:r>
      <w:r w:rsidRPr="000704C9">
        <w:rPr>
          <w:bCs/>
          <w:szCs w:val="22"/>
          <w:lang w:val="en-GB"/>
        </w:rPr>
        <w:t>re-s</w:t>
      </w:r>
      <w:r w:rsidR="00524460">
        <w:rPr>
          <w:bCs/>
          <w:szCs w:val="22"/>
          <w:lang w:val="en-GB"/>
        </w:rPr>
        <w:t>pecif</w:t>
      </w:r>
      <w:r w:rsidR="00A04662">
        <w:rPr>
          <w:bCs/>
          <w:szCs w:val="22"/>
          <w:lang w:val="en-GB"/>
        </w:rPr>
        <w:t>ications of the base case of</w:t>
      </w:r>
      <w:r w:rsidR="00524460">
        <w:rPr>
          <w:bCs/>
          <w:szCs w:val="22"/>
          <w:lang w:val="en-GB"/>
        </w:rPr>
        <w:t xml:space="preserve"> the </w:t>
      </w:r>
      <w:r w:rsidR="00A04662">
        <w:rPr>
          <w:bCs/>
          <w:szCs w:val="22"/>
          <w:lang w:val="en-GB"/>
        </w:rPr>
        <w:t xml:space="preserve">modelled </w:t>
      </w:r>
      <w:r w:rsidR="00524460">
        <w:rPr>
          <w:bCs/>
          <w:szCs w:val="22"/>
          <w:lang w:val="en-GB"/>
        </w:rPr>
        <w:t>economic evaluation.</w:t>
      </w:r>
    </w:p>
    <w:p w:rsidR="005E0C10" w:rsidRPr="00524460" w:rsidRDefault="005E0C10" w:rsidP="005E0C10">
      <w:pPr>
        <w:rPr>
          <w:bCs/>
          <w:szCs w:val="22"/>
          <w:lang w:val="en-GB"/>
        </w:rPr>
      </w:pPr>
    </w:p>
    <w:p w:rsidR="005E0C10" w:rsidRPr="00105544" w:rsidRDefault="005E0C10" w:rsidP="00105544">
      <w:pPr>
        <w:numPr>
          <w:ilvl w:val="1"/>
          <w:numId w:val="6"/>
        </w:numPr>
        <w:contextualSpacing/>
        <w:rPr>
          <w:bCs/>
          <w:szCs w:val="22"/>
          <w:lang w:val="en-GB"/>
        </w:rPr>
      </w:pPr>
      <w:r>
        <w:rPr>
          <w:bCs/>
          <w:szCs w:val="22"/>
          <w:lang w:val="en-GB"/>
        </w:rPr>
        <w:t xml:space="preserve">The PBAC noted that the re-submission provided revised estimates of </w:t>
      </w:r>
      <w:proofErr w:type="gramStart"/>
      <w:r>
        <w:rPr>
          <w:bCs/>
          <w:szCs w:val="22"/>
          <w:lang w:val="en-GB"/>
        </w:rPr>
        <w:t>utilisation,</w:t>
      </w:r>
      <w:proofErr w:type="gramEnd"/>
      <w:r>
        <w:rPr>
          <w:bCs/>
          <w:szCs w:val="22"/>
          <w:lang w:val="en-GB"/>
        </w:rPr>
        <w:t xml:space="preserve"> however the PBAC </w:t>
      </w:r>
      <w:r w:rsidR="001E72AC">
        <w:rPr>
          <w:bCs/>
          <w:szCs w:val="22"/>
          <w:lang w:val="en-GB"/>
        </w:rPr>
        <w:t>advised</w:t>
      </w:r>
      <w:r>
        <w:rPr>
          <w:bCs/>
          <w:szCs w:val="22"/>
          <w:lang w:val="en-GB"/>
        </w:rPr>
        <w:t xml:space="preserve"> its preference for the estimated numbers from the March 2015 re-submission which were consider</w:t>
      </w:r>
      <w:r w:rsidR="00524460">
        <w:rPr>
          <w:bCs/>
          <w:szCs w:val="22"/>
          <w:lang w:val="en-GB"/>
        </w:rPr>
        <w:t>ed a more reasonable estimate.</w:t>
      </w:r>
    </w:p>
    <w:p w:rsidR="00714831" w:rsidRPr="00105544" w:rsidRDefault="00714831" w:rsidP="009250F9">
      <w:pPr>
        <w:rPr>
          <w:szCs w:val="22"/>
          <w:lang w:val="en-GB"/>
        </w:rPr>
      </w:pPr>
    </w:p>
    <w:p w:rsidR="00714831" w:rsidRPr="00105544" w:rsidRDefault="00714831" w:rsidP="009250F9">
      <w:pPr>
        <w:rPr>
          <w:bCs/>
          <w:szCs w:val="22"/>
          <w:lang w:val="en-GB"/>
        </w:rPr>
      </w:pPr>
    </w:p>
    <w:p w:rsidR="00714831" w:rsidRPr="00F30141" w:rsidRDefault="00714831" w:rsidP="00F30141">
      <w:pPr>
        <w:pStyle w:val="Heading2"/>
      </w:pPr>
      <w:r w:rsidRPr="00F30141">
        <w:t>Outcome:</w:t>
      </w:r>
    </w:p>
    <w:p w:rsidR="00714831" w:rsidRDefault="009250F9" w:rsidP="009250F9">
      <w:pPr>
        <w:rPr>
          <w:bCs/>
          <w:szCs w:val="22"/>
          <w:lang w:val="en-GB"/>
        </w:rPr>
      </w:pPr>
      <w:r w:rsidRPr="00AF1F3F">
        <w:rPr>
          <w:bCs/>
          <w:szCs w:val="22"/>
          <w:lang w:val="en-GB"/>
        </w:rPr>
        <w:t>Deferred</w:t>
      </w:r>
    </w:p>
    <w:p w:rsidR="006A0921" w:rsidRDefault="006A0921" w:rsidP="009250F9">
      <w:pPr>
        <w:rPr>
          <w:bCs/>
          <w:szCs w:val="22"/>
          <w:lang w:val="en-GB"/>
        </w:rPr>
      </w:pPr>
    </w:p>
    <w:p w:rsidR="006A0921" w:rsidRDefault="006A0921" w:rsidP="00F30141">
      <w:pPr>
        <w:pStyle w:val="Heading1"/>
        <w:rPr>
          <w:rFonts w:eastAsia="SimSun"/>
        </w:rPr>
      </w:pPr>
      <w:r>
        <w:rPr>
          <w:rFonts w:eastAsia="SimSun"/>
        </w:rPr>
        <w:t>Context for Decision</w:t>
      </w:r>
    </w:p>
    <w:p w:rsidR="006A0921" w:rsidRDefault="006A0921" w:rsidP="006A0921">
      <w:pPr>
        <w:ind w:left="720"/>
        <w:contextualSpacing/>
        <w:rPr>
          <w:b/>
        </w:rPr>
      </w:pPr>
    </w:p>
    <w:p w:rsidR="006A0921" w:rsidRDefault="006A0921" w:rsidP="006A0921">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A0921" w:rsidRDefault="006A0921" w:rsidP="006A0921"/>
    <w:p w:rsidR="006A0921" w:rsidRDefault="006A0921" w:rsidP="00F30141">
      <w:pPr>
        <w:pStyle w:val="Heading1"/>
        <w:rPr>
          <w:rFonts w:eastAsia="SimSun"/>
        </w:rPr>
      </w:pPr>
      <w:r>
        <w:rPr>
          <w:rFonts w:eastAsia="SimSun"/>
        </w:rPr>
        <w:t>Sponsor’s Comment</w:t>
      </w:r>
    </w:p>
    <w:p w:rsidR="00F30141" w:rsidRPr="00F30141" w:rsidRDefault="00F30141" w:rsidP="00F30141">
      <w:pPr>
        <w:rPr>
          <w:rFonts w:eastAsia="SimSun"/>
        </w:rPr>
      </w:pPr>
    </w:p>
    <w:p w:rsidR="006A0921" w:rsidRPr="00E74830" w:rsidRDefault="00F30141" w:rsidP="00E74830">
      <w:pPr>
        <w:ind w:firstLine="709"/>
        <w:rPr>
          <w:bCs/>
          <w:szCs w:val="22"/>
        </w:rPr>
      </w:pPr>
      <w:r w:rsidRPr="00F30141">
        <w:rPr>
          <w:bCs/>
          <w:szCs w:val="22"/>
        </w:rPr>
        <w:t>The sponsor had no comment.</w:t>
      </w:r>
      <w:bookmarkStart w:id="17" w:name="_GoBack"/>
      <w:bookmarkEnd w:id="17"/>
    </w:p>
    <w:sectPr w:rsidR="006A0921" w:rsidRPr="00E74830" w:rsidSect="00BF3D2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BF" w:rsidRDefault="00EF72BF" w:rsidP="00124A51">
      <w:r>
        <w:separator/>
      </w:r>
    </w:p>
  </w:endnote>
  <w:endnote w:type="continuationSeparator" w:id="0">
    <w:p w:rsidR="00EF72BF" w:rsidRDefault="00EF72B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F" w:rsidRDefault="00EF7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45563"/>
      <w:docPartObj>
        <w:docPartGallery w:val="Page Numbers (Bottom of Page)"/>
        <w:docPartUnique/>
      </w:docPartObj>
    </w:sdtPr>
    <w:sdtEndPr>
      <w:rPr>
        <w:noProof/>
      </w:rPr>
    </w:sdtEndPr>
    <w:sdtContent>
      <w:p w:rsidR="000A78C2" w:rsidRDefault="000A78C2">
        <w:pPr>
          <w:pStyle w:val="Footer"/>
          <w:jc w:val="center"/>
        </w:pPr>
      </w:p>
      <w:p w:rsidR="000A78C2" w:rsidRDefault="000A78C2" w:rsidP="006A4FE5">
        <w:pPr>
          <w:pStyle w:val="Footer"/>
          <w:jc w:val="center"/>
        </w:pPr>
        <w:r>
          <w:fldChar w:fldCharType="begin"/>
        </w:r>
        <w:r>
          <w:instrText xml:space="preserve"> PAGE   \* MERGEFORMAT </w:instrText>
        </w:r>
        <w:r>
          <w:fldChar w:fldCharType="separate"/>
        </w:r>
        <w:r w:rsidR="0013606D">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F" w:rsidRDefault="00EF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BF" w:rsidRDefault="00EF72BF" w:rsidP="00124A51">
      <w:r>
        <w:separator/>
      </w:r>
    </w:p>
  </w:footnote>
  <w:footnote w:type="continuationSeparator" w:id="0">
    <w:p w:rsidR="00EF72BF" w:rsidRDefault="00EF72B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F" w:rsidRDefault="00EF7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C2" w:rsidRPr="00DF217D" w:rsidRDefault="000A78C2" w:rsidP="006A0921">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0A78C2" w:rsidRPr="00AD01C8" w:rsidRDefault="000A78C2" w:rsidP="00AD01C8">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F" w:rsidRDefault="00EF7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DDE"/>
    <w:multiLevelType w:val="hybridMultilevel"/>
    <w:tmpl w:val="D2DE3A82"/>
    <w:lvl w:ilvl="0" w:tplc="00447E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5914505"/>
    <w:multiLevelType w:val="hybridMultilevel"/>
    <w:tmpl w:val="24C8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06640A"/>
    <w:multiLevelType w:val="hybridMultilevel"/>
    <w:tmpl w:val="5560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DA1E84"/>
    <w:multiLevelType w:val="hybridMultilevel"/>
    <w:tmpl w:val="1F5C65B4"/>
    <w:lvl w:ilvl="0" w:tplc="0C09000F">
      <w:start w:val="1"/>
      <w:numFmt w:val="decimal"/>
      <w:lvlText w:val="%1."/>
      <w:lvlJc w:val="left"/>
      <w:pPr>
        <w:ind w:left="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C87B3A"/>
    <w:multiLevelType w:val="hybridMultilevel"/>
    <w:tmpl w:val="4C688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A77970"/>
    <w:multiLevelType w:val="hybridMultilevel"/>
    <w:tmpl w:val="8C369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592F29"/>
    <w:multiLevelType w:val="hybridMultilevel"/>
    <w:tmpl w:val="AC607044"/>
    <w:lvl w:ilvl="0" w:tplc="04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C82271"/>
    <w:multiLevelType w:val="hybridMultilevel"/>
    <w:tmpl w:val="0FD6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8214583"/>
    <w:multiLevelType w:val="hybridMultilevel"/>
    <w:tmpl w:val="5AD056B4"/>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1">
    <w:nsid w:val="29586075"/>
    <w:multiLevelType w:val="hybridMultilevel"/>
    <w:tmpl w:val="FD5C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D366E8"/>
    <w:multiLevelType w:val="hybridMultilevel"/>
    <w:tmpl w:val="20525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4C5691"/>
    <w:multiLevelType w:val="hybridMultilevel"/>
    <w:tmpl w:val="8E56EFD2"/>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9B348EE"/>
    <w:multiLevelType w:val="hybridMultilevel"/>
    <w:tmpl w:val="6EBA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7C714B"/>
    <w:multiLevelType w:val="hybridMultilevel"/>
    <w:tmpl w:val="AA10C81A"/>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7C34E2"/>
    <w:multiLevelType w:val="hybridMultilevel"/>
    <w:tmpl w:val="166C8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3E156E50"/>
    <w:multiLevelType w:val="hybridMultilevel"/>
    <w:tmpl w:val="95DC8C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010572A"/>
    <w:multiLevelType w:val="hybridMultilevel"/>
    <w:tmpl w:val="689807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24E5E6D"/>
    <w:multiLevelType w:val="hybridMultilevel"/>
    <w:tmpl w:val="DFCAD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693BC7"/>
    <w:multiLevelType w:val="hybridMultilevel"/>
    <w:tmpl w:val="75DACB3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07C600D"/>
    <w:multiLevelType w:val="hybridMultilevel"/>
    <w:tmpl w:val="1EA4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C73532"/>
    <w:multiLevelType w:val="hybridMultilevel"/>
    <w:tmpl w:val="C1FA4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0F">
      <w:start w:val="1"/>
      <w:numFmt w:val="decimal"/>
      <w:lvlText w:val="%9."/>
      <w:lvlJc w:val="left"/>
      <w:pPr>
        <w:ind w:left="6480" w:hanging="180"/>
      </w:pPr>
    </w:lvl>
  </w:abstractNum>
  <w:abstractNum w:abstractNumId="26">
    <w:nsid w:val="5C0F6FBA"/>
    <w:multiLevelType w:val="hybridMultilevel"/>
    <w:tmpl w:val="DF8A378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FF35C0"/>
    <w:multiLevelType w:val="hybridMultilevel"/>
    <w:tmpl w:val="1F5C65B4"/>
    <w:lvl w:ilvl="0" w:tplc="0C09000F">
      <w:start w:val="1"/>
      <w:numFmt w:val="decimal"/>
      <w:lvlText w:val="%1."/>
      <w:lvlJc w:val="left"/>
      <w:pPr>
        <w:ind w:left="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AF628B"/>
    <w:multiLevelType w:val="hybridMultilevel"/>
    <w:tmpl w:val="8B886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9732CE6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3F11D6"/>
    <w:multiLevelType w:val="hybridMultilevel"/>
    <w:tmpl w:val="6CE0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E62D81"/>
    <w:multiLevelType w:val="hybridMultilevel"/>
    <w:tmpl w:val="C3564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0"/>
  </w:num>
  <w:num w:numId="4">
    <w:abstractNumId w:val="17"/>
  </w:num>
  <w:num w:numId="5">
    <w:abstractNumId w:val="1"/>
  </w:num>
  <w:num w:numId="6">
    <w:abstractNumId w:val="30"/>
  </w:num>
  <w:num w:numId="7">
    <w:abstractNumId w:val="24"/>
  </w:num>
  <w:num w:numId="8">
    <w:abstractNumId w:val="1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num>
  <w:num w:numId="12">
    <w:abstractNumId w:val="15"/>
  </w:num>
  <w:num w:numId="13">
    <w:abstractNumId w:val="11"/>
  </w:num>
  <w:num w:numId="14">
    <w:abstractNumId w:val="2"/>
  </w:num>
  <w:num w:numId="15">
    <w:abstractNumId w:val="16"/>
  </w:num>
  <w:num w:numId="16">
    <w:abstractNumId w:val="28"/>
  </w:num>
  <w:num w:numId="17">
    <w:abstractNumId w:val="4"/>
  </w:num>
  <w:num w:numId="18">
    <w:abstractNumId w:val="13"/>
  </w:num>
  <w:num w:numId="19">
    <w:abstractNumId w:val="6"/>
  </w:num>
  <w:num w:numId="20">
    <w:abstractNumId w:val="3"/>
  </w:num>
  <w:num w:numId="21">
    <w:abstractNumId w:val="5"/>
  </w:num>
  <w:num w:numId="22">
    <w:abstractNumId w:val="8"/>
  </w:num>
  <w:num w:numId="23">
    <w:abstractNumId w:val="7"/>
  </w:num>
  <w:num w:numId="24">
    <w:abstractNumId w:val="20"/>
  </w:num>
  <w:num w:numId="25">
    <w:abstractNumId w:val="9"/>
  </w:num>
  <w:num w:numId="26">
    <w:abstractNumId w:val="22"/>
  </w:num>
  <w:num w:numId="27">
    <w:abstractNumId w:val="14"/>
  </w:num>
  <w:num w:numId="28">
    <w:abstractNumId w:val="19"/>
  </w:num>
  <w:num w:numId="29">
    <w:abstractNumId w:val="26"/>
  </w:num>
  <w:num w:numId="30">
    <w:abstractNumId w:val="32"/>
  </w:num>
  <w:num w:numId="31">
    <w:abstractNumId w:val="29"/>
  </w:num>
  <w:num w:numId="32">
    <w:abstractNumId w:val="0"/>
  </w:num>
  <w:num w:numId="33">
    <w:abstractNumId w:val="23"/>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65E"/>
    <w:rsid w:val="000023A4"/>
    <w:rsid w:val="00002D69"/>
    <w:rsid w:val="00007CA0"/>
    <w:rsid w:val="00013247"/>
    <w:rsid w:val="00015886"/>
    <w:rsid w:val="000162EF"/>
    <w:rsid w:val="00016395"/>
    <w:rsid w:val="000163DB"/>
    <w:rsid w:val="000207ED"/>
    <w:rsid w:val="00021BEA"/>
    <w:rsid w:val="0002225F"/>
    <w:rsid w:val="00023379"/>
    <w:rsid w:val="000236A3"/>
    <w:rsid w:val="00023763"/>
    <w:rsid w:val="00024711"/>
    <w:rsid w:val="00026540"/>
    <w:rsid w:val="00040895"/>
    <w:rsid w:val="0004231D"/>
    <w:rsid w:val="00043C37"/>
    <w:rsid w:val="000503CF"/>
    <w:rsid w:val="000507A9"/>
    <w:rsid w:val="00050939"/>
    <w:rsid w:val="000546D7"/>
    <w:rsid w:val="00057247"/>
    <w:rsid w:val="000621AF"/>
    <w:rsid w:val="00062E5D"/>
    <w:rsid w:val="00066B5E"/>
    <w:rsid w:val="00067808"/>
    <w:rsid w:val="00067D84"/>
    <w:rsid w:val="000704C9"/>
    <w:rsid w:val="000710CD"/>
    <w:rsid w:val="00071248"/>
    <w:rsid w:val="000720B9"/>
    <w:rsid w:val="00072C99"/>
    <w:rsid w:val="0007447D"/>
    <w:rsid w:val="000812CA"/>
    <w:rsid w:val="00081563"/>
    <w:rsid w:val="000819B9"/>
    <w:rsid w:val="0008418A"/>
    <w:rsid w:val="0008644D"/>
    <w:rsid w:val="00086869"/>
    <w:rsid w:val="00090C7E"/>
    <w:rsid w:val="00092BAA"/>
    <w:rsid w:val="00093AC4"/>
    <w:rsid w:val="00093EAB"/>
    <w:rsid w:val="00094E3E"/>
    <w:rsid w:val="00095B84"/>
    <w:rsid w:val="0009622F"/>
    <w:rsid w:val="00096694"/>
    <w:rsid w:val="0009794D"/>
    <w:rsid w:val="000A276F"/>
    <w:rsid w:val="000A4E67"/>
    <w:rsid w:val="000A6A80"/>
    <w:rsid w:val="000A78C2"/>
    <w:rsid w:val="000B2823"/>
    <w:rsid w:val="000B3C83"/>
    <w:rsid w:val="000B5317"/>
    <w:rsid w:val="000B7E4B"/>
    <w:rsid w:val="000C0A82"/>
    <w:rsid w:val="000C5BDD"/>
    <w:rsid w:val="000C60F3"/>
    <w:rsid w:val="000C635C"/>
    <w:rsid w:val="000C757A"/>
    <w:rsid w:val="000C7642"/>
    <w:rsid w:val="000D084C"/>
    <w:rsid w:val="000D1BFC"/>
    <w:rsid w:val="000D2288"/>
    <w:rsid w:val="000E7F3B"/>
    <w:rsid w:val="000F05F8"/>
    <w:rsid w:val="000F0B2A"/>
    <w:rsid w:val="000F461D"/>
    <w:rsid w:val="000F58A3"/>
    <w:rsid w:val="000F6C75"/>
    <w:rsid w:val="00100F8A"/>
    <w:rsid w:val="00103497"/>
    <w:rsid w:val="00105544"/>
    <w:rsid w:val="0011032E"/>
    <w:rsid w:val="00112F96"/>
    <w:rsid w:val="00114368"/>
    <w:rsid w:val="001170A1"/>
    <w:rsid w:val="001177CC"/>
    <w:rsid w:val="001209C0"/>
    <w:rsid w:val="00121799"/>
    <w:rsid w:val="001222FC"/>
    <w:rsid w:val="00124A51"/>
    <w:rsid w:val="001255B3"/>
    <w:rsid w:val="0012617A"/>
    <w:rsid w:val="00126621"/>
    <w:rsid w:val="001301E9"/>
    <w:rsid w:val="00131DCB"/>
    <w:rsid w:val="0013606D"/>
    <w:rsid w:val="001372B5"/>
    <w:rsid w:val="001374FE"/>
    <w:rsid w:val="00137645"/>
    <w:rsid w:val="0014015A"/>
    <w:rsid w:val="00140E99"/>
    <w:rsid w:val="00142FAF"/>
    <w:rsid w:val="0014390D"/>
    <w:rsid w:val="001454A1"/>
    <w:rsid w:val="001456B0"/>
    <w:rsid w:val="00152F61"/>
    <w:rsid w:val="00153826"/>
    <w:rsid w:val="00157130"/>
    <w:rsid w:val="00157230"/>
    <w:rsid w:val="00157DFE"/>
    <w:rsid w:val="00160ADE"/>
    <w:rsid w:val="001611C3"/>
    <w:rsid w:val="00162913"/>
    <w:rsid w:val="00163EFF"/>
    <w:rsid w:val="001642EF"/>
    <w:rsid w:val="00164800"/>
    <w:rsid w:val="001651D1"/>
    <w:rsid w:val="00165B0A"/>
    <w:rsid w:val="001661FB"/>
    <w:rsid w:val="00170514"/>
    <w:rsid w:val="001772BF"/>
    <w:rsid w:val="001937FF"/>
    <w:rsid w:val="001943EE"/>
    <w:rsid w:val="00195222"/>
    <w:rsid w:val="001971A6"/>
    <w:rsid w:val="001975D8"/>
    <w:rsid w:val="001A20D2"/>
    <w:rsid w:val="001A2201"/>
    <w:rsid w:val="001A2820"/>
    <w:rsid w:val="001A32A6"/>
    <w:rsid w:val="001B2D68"/>
    <w:rsid w:val="001B2FDD"/>
    <w:rsid w:val="001B3443"/>
    <w:rsid w:val="001B387E"/>
    <w:rsid w:val="001B4DD0"/>
    <w:rsid w:val="001B6188"/>
    <w:rsid w:val="001C0AFC"/>
    <w:rsid w:val="001C1030"/>
    <w:rsid w:val="001C2FF4"/>
    <w:rsid w:val="001C3361"/>
    <w:rsid w:val="001C4229"/>
    <w:rsid w:val="001C51D2"/>
    <w:rsid w:val="001C6185"/>
    <w:rsid w:val="001C6C76"/>
    <w:rsid w:val="001C6E66"/>
    <w:rsid w:val="001D112E"/>
    <w:rsid w:val="001D43FD"/>
    <w:rsid w:val="001D654B"/>
    <w:rsid w:val="001D760E"/>
    <w:rsid w:val="001D7B13"/>
    <w:rsid w:val="001E0A85"/>
    <w:rsid w:val="001E238E"/>
    <w:rsid w:val="001E2782"/>
    <w:rsid w:val="001E52EB"/>
    <w:rsid w:val="001E672B"/>
    <w:rsid w:val="001E72AC"/>
    <w:rsid w:val="001E740C"/>
    <w:rsid w:val="001E79B0"/>
    <w:rsid w:val="001F0D37"/>
    <w:rsid w:val="001F1235"/>
    <w:rsid w:val="001F1CB3"/>
    <w:rsid w:val="001F3975"/>
    <w:rsid w:val="001F7361"/>
    <w:rsid w:val="002025FE"/>
    <w:rsid w:val="002105C1"/>
    <w:rsid w:val="00210F9B"/>
    <w:rsid w:val="00212996"/>
    <w:rsid w:val="002154D7"/>
    <w:rsid w:val="00215F25"/>
    <w:rsid w:val="00217015"/>
    <w:rsid w:val="00217E80"/>
    <w:rsid w:val="00223B49"/>
    <w:rsid w:val="00224DD4"/>
    <w:rsid w:val="002263B6"/>
    <w:rsid w:val="00227A22"/>
    <w:rsid w:val="002309CC"/>
    <w:rsid w:val="00230D38"/>
    <w:rsid w:val="00241B0E"/>
    <w:rsid w:val="002432FF"/>
    <w:rsid w:val="002433AA"/>
    <w:rsid w:val="00244556"/>
    <w:rsid w:val="00251B00"/>
    <w:rsid w:val="00251CA8"/>
    <w:rsid w:val="0025534B"/>
    <w:rsid w:val="00255BB7"/>
    <w:rsid w:val="002570C5"/>
    <w:rsid w:val="002622D0"/>
    <w:rsid w:val="00262A87"/>
    <w:rsid w:val="00263253"/>
    <w:rsid w:val="00273211"/>
    <w:rsid w:val="0027458C"/>
    <w:rsid w:val="002753CB"/>
    <w:rsid w:val="00275C5A"/>
    <w:rsid w:val="00277DBE"/>
    <w:rsid w:val="00282531"/>
    <w:rsid w:val="00286681"/>
    <w:rsid w:val="002A0FFA"/>
    <w:rsid w:val="002A14AB"/>
    <w:rsid w:val="002B1C1F"/>
    <w:rsid w:val="002B253C"/>
    <w:rsid w:val="002B2685"/>
    <w:rsid w:val="002B432F"/>
    <w:rsid w:val="002B6234"/>
    <w:rsid w:val="002B6CCE"/>
    <w:rsid w:val="002B74CA"/>
    <w:rsid w:val="002B7885"/>
    <w:rsid w:val="002C27C1"/>
    <w:rsid w:val="002C2C5A"/>
    <w:rsid w:val="002C59F6"/>
    <w:rsid w:val="002C7157"/>
    <w:rsid w:val="002C74C3"/>
    <w:rsid w:val="002C7E40"/>
    <w:rsid w:val="002D035F"/>
    <w:rsid w:val="002D3347"/>
    <w:rsid w:val="002D36E0"/>
    <w:rsid w:val="002D404B"/>
    <w:rsid w:val="002E18C6"/>
    <w:rsid w:val="002E6CE7"/>
    <w:rsid w:val="002F0498"/>
    <w:rsid w:val="002F0608"/>
    <w:rsid w:val="002F1819"/>
    <w:rsid w:val="002F24B0"/>
    <w:rsid w:val="002F34D1"/>
    <w:rsid w:val="00301017"/>
    <w:rsid w:val="00301D1F"/>
    <w:rsid w:val="003043A7"/>
    <w:rsid w:val="00305ED3"/>
    <w:rsid w:val="00306629"/>
    <w:rsid w:val="003066AF"/>
    <w:rsid w:val="00307332"/>
    <w:rsid w:val="0030786C"/>
    <w:rsid w:val="0031031A"/>
    <w:rsid w:val="00313526"/>
    <w:rsid w:val="00314300"/>
    <w:rsid w:val="00315498"/>
    <w:rsid w:val="003247A8"/>
    <w:rsid w:val="003258D2"/>
    <w:rsid w:val="0032687B"/>
    <w:rsid w:val="00327CED"/>
    <w:rsid w:val="003309FB"/>
    <w:rsid w:val="00333507"/>
    <w:rsid w:val="00334DDA"/>
    <w:rsid w:val="003350B5"/>
    <w:rsid w:val="003350E2"/>
    <w:rsid w:val="003366C9"/>
    <w:rsid w:val="00337A9F"/>
    <w:rsid w:val="00340CCB"/>
    <w:rsid w:val="003416A6"/>
    <w:rsid w:val="00347C21"/>
    <w:rsid w:val="003536F2"/>
    <w:rsid w:val="00355E11"/>
    <w:rsid w:val="0035620E"/>
    <w:rsid w:val="00356850"/>
    <w:rsid w:val="00357763"/>
    <w:rsid w:val="003654F2"/>
    <w:rsid w:val="003719DA"/>
    <w:rsid w:val="00372C62"/>
    <w:rsid w:val="0037318F"/>
    <w:rsid w:val="00382EDE"/>
    <w:rsid w:val="0038365C"/>
    <w:rsid w:val="003837C9"/>
    <w:rsid w:val="00383B40"/>
    <w:rsid w:val="0038489E"/>
    <w:rsid w:val="003870FA"/>
    <w:rsid w:val="00391505"/>
    <w:rsid w:val="00392D13"/>
    <w:rsid w:val="00393F75"/>
    <w:rsid w:val="003967F6"/>
    <w:rsid w:val="00396CE3"/>
    <w:rsid w:val="00396FD0"/>
    <w:rsid w:val="003A0CB8"/>
    <w:rsid w:val="003A0D12"/>
    <w:rsid w:val="003A1A7A"/>
    <w:rsid w:val="003A2272"/>
    <w:rsid w:val="003A2C74"/>
    <w:rsid w:val="003A5874"/>
    <w:rsid w:val="003B06A3"/>
    <w:rsid w:val="003B34F5"/>
    <w:rsid w:val="003B6AAD"/>
    <w:rsid w:val="003B6C5E"/>
    <w:rsid w:val="003C1307"/>
    <w:rsid w:val="003C5F45"/>
    <w:rsid w:val="003D1828"/>
    <w:rsid w:val="003D2422"/>
    <w:rsid w:val="003D34D8"/>
    <w:rsid w:val="003D379B"/>
    <w:rsid w:val="003D4221"/>
    <w:rsid w:val="003D5FA8"/>
    <w:rsid w:val="003E4A89"/>
    <w:rsid w:val="003E4A94"/>
    <w:rsid w:val="003F2ADA"/>
    <w:rsid w:val="003F4156"/>
    <w:rsid w:val="003F4361"/>
    <w:rsid w:val="003F6965"/>
    <w:rsid w:val="003F6D1A"/>
    <w:rsid w:val="003F6E24"/>
    <w:rsid w:val="004008E8"/>
    <w:rsid w:val="00405179"/>
    <w:rsid w:val="004102AF"/>
    <w:rsid w:val="00410678"/>
    <w:rsid w:val="00410EC7"/>
    <w:rsid w:val="00411C72"/>
    <w:rsid w:val="00414476"/>
    <w:rsid w:val="00415239"/>
    <w:rsid w:val="00420B9F"/>
    <w:rsid w:val="0042404A"/>
    <w:rsid w:val="00425CB2"/>
    <w:rsid w:val="00427916"/>
    <w:rsid w:val="00430A44"/>
    <w:rsid w:val="004319F8"/>
    <w:rsid w:val="004443A7"/>
    <w:rsid w:val="004455C8"/>
    <w:rsid w:val="00445E0C"/>
    <w:rsid w:val="004464EB"/>
    <w:rsid w:val="00452757"/>
    <w:rsid w:val="004542F4"/>
    <w:rsid w:val="00455D45"/>
    <w:rsid w:val="0045695A"/>
    <w:rsid w:val="00462122"/>
    <w:rsid w:val="004621A6"/>
    <w:rsid w:val="004621EC"/>
    <w:rsid w:val="00462440"/>
    <w:rsid w:val="0046340F"/>
    <w:rsid w:val="00464595"/>
    <w:rsid w:val="00466C1F"/>
    <w:rsid w:val="00470A21"/>
    <w:rsid w:val="004711E7"/>
    <w:rsid w:val="00472359"/>
    <w:rsid w:val="0047456A"/>
    <w:rsid w:val="00474A86"/>
    <w:rsid w:val="004867E2"/>
    <w:rsid w:val="00487945"/>
    <w:rsid w:val="00491B3A"/>
    <w:rsid w:val="00493575"/>
    <w:rsid w:val="00496904"/>
    <w:rsid w:val="0049760A"/>
    <w:rsid w:val="00497F10"/>
    <w:rsid w:val="004A0DA1"/>
    <w:rsid w:val="004A3833"/>
    <w:rsid w:val="004A3892"/>
    <w:rsid w:val="004A6597"/>
    <w:rsid w:val="004A7338"/>
    <w:rsid w:val="004A7A5C"/>
    <w:rsid w:val="004B2F18"/>
    <w:rsid w:val="004B3DDB"/>
    <w:rsid w:val="004B44FD"/>
    <w:rsid w:val="004B5CFC"/>
    <w:rsid w:val="004C32CB"/>
    <w:rsid w:val="004C487A"/>
    <w:rsid w:val="004C4AED"/>
    <w:rsid w:val="004C554F"/>
    <w:rsid w:val="004C557A"/>
    <w:rsid w:val="004C6346"/>
    <w:rsid w:val="004D5FA3"/>
    <w:rsid w:val="004E0EB8"/>
    <w:rsid w:val="004E1C92"/>
    <w:rsid w:val="004E2ADC"/>
    <w:rsid w:val="004E4A2E"/>
    <w:rsid w:val="004E789E"/>
    <w:rsid w:val="004F1D02"/>
    <w:rsid w:val="004F2679"/>
    <w:rsid w:val="004F2AFD"/>
    <w:rsid w:val="004F3786"/>
    <w:rsid w:val="004F4EAA"/>
    <w:rsid w:val="004F6997"/>
    <w:rsid w:val="00506431"/>
    <w:rsid w:val="00506E16"/>
    <w:rsid w:val="005074FC"/>
    <w:rsid w:val="0050756F"/>
    <w:rsid w:val="00510BFE"/>
    <w:rsid w:val="005152B5"/>
    <w:rsid w:val="0051602A"/>
    <w:rsid w:val="00517C49"/>
    <w:rsid w:val="00521319"/>
    <w:rsid w:val="00521B90"/>
    <w:rsid w:val="00521CD6"/>
    <w:rsid w:val="00523C28"/>
    <w:rsid w:val="00524460"/>
    <w:rsid w:val="0053240D"/>
    <w:rsid w:val="0053649D"/>
    <w:rsid w:val="00537626"/>
    <w:rsid w:val="005531BD"/>
    <w:rsid w:val="005548C6"/>
    <w:rsid w:val="00555109"/>
    <w:rsid w:val="00556DAC"/>
    <w:rsid w:val="00561856"/>
    <w:rsid w:val="0056276A"/>
    <w:rsid w:val="005628C6"/>
    <w:rsid w:val="005666DD"/>
    <w:rsid w:val="0056696F"/>
    <w:rsid w:val="0057277C"/>
    <w:rsid w:val="00572C83"/>
    <w:rsid w:val="00574266"/>
    <w:rsid w:val="00576972"/>
    <w:rsid w:val="00577717"/>
    <w:rsid w:val="005801E9"/>
    <w:rsid w:val="00580D46"/>
    <w:rsid w:val="0058113B"/>
    <w:rsid w:val="00583699"/>
    <w:rsid w:val="00583847"/>
    <w:rsid w:val="00584984"/>
    <w:rsid w:val="005854DD"/>
    <w:rsid w:val="00597084"/>
    <w:rsid w:val="005976A2"/>
    <w:rsid w:val="005A0689"/>
    <w:rsid w:val="005A4124"/>
    <w:rsid w:val="005B0877"/>
    <w:rsid w:val="005B5857"/>
    <w:rsid w:val="005B5F74"/>
    <w:rsid w:val="005B7087"/>
    <w:rsid w:val="005B7986"/>
    <w:rsid w:val="005C1B83"/>
    <w:rsid w:val="005C1F27"/>
    <w:rsid w:val="005C21AA"/>
    <w:rsid w:val="005C346B"/>
    <w:rsid w:val="005D18AD"/>
    <w:rsid w:val="005D1C9A"/>
    <w:rsid w:val="005D3557"/>
    <w:rsid w:val="005D54E5"/>
    <w:rsid w:val="005D646C"/>
    <w:rsid w:val="005D7E3E"/>
    <w:rsid w:val="005E0C10"/>
    <w:rsid w:val="005E3507"/>
    <w:rsid w:val="005F2706"/>
    <w:rsid w:val="005F6A8F"/>
    <w:rsid w:val="00600A3A"/>
    <w:rsid w:val="00607669"/>
    <w:rsid w:val="00607670"/>
    <w:rsid w:val="00612F97"/>
    <w:rsid w:val="00613DDE"/>
    <w:rsid w:val="00615C45"/>
    <w:rsid w:val="00615DB9"/>
    <w:rsid w:val="00616802"/>
    <w:rsid w:val="00617E12"/>
    <w:rsid w:val="00621477"/>
    <w:rsid w:val="006317A0"/>
    <w:rsid w:val="00631D6B"/>
    <w:rsid w:val="0063479F"/>
    <w:rsid w:val="006352E1"/>
    <w:rsid w:val="006364A1"/>
    <w:rsid w:val="00636C75"/>
    <w:rsid w:val="00637BFD"/>
    <w:rsid w:val="00641C70"/>
    <w:rsid w:val="00642ECA"/>
    <w:rsid w:val="00642FB6"/>
    <w:rsid w:val="00644364"/>
    <w:rsid w:val="00645AC3"/>
    <w:rsid w:val="006471CC"/>
    <w:rsid w:val="00647638"/>
    <w:rsid w:val="0065079F"/>
    <w:rsid w:val="00661673"/>
    <w:rsid w:val="006717F3"/>
    <w:rsid w:val="00674E42"/>
    <w:rsid w:val="00675FC3"/>
    <w:rsid w:val="00675FE7"/>
    <w:rsid w:val="0067632B"/>
    <w:rsid w:val="00682112"/>
    <w:rsid w:val="006864BE"/>
    <w:rsid w:val="006905E6"/>
    <w:rsid w:val="006949CC"/>
    <w:rsid w:val="00694F44"/>
    <w:rsid w:val="006A00BB"/>
    <w:rsid w:val="006A0921"/>
    <w:rsid w:val="006A4FE5"/>
    <w:rsid w:val="006B1595"/>
    <w:rsid w:val="006C2A8E"/>
    <w:rsid w:val="006C4254"/>
    <w:rsid w:val="006C4733"/>
    <w:rsid w:val="006C5440"/>
    <w:rsid w:val="006C5913"/>
    <w:rsid w:val="006D0B5A"/>
    <w:rsid w:val="006D2471"/>
    <w:rsid w:val="006D3C7D"/>
    <w:rsid w:val="006D5E98"/>
    <w:rsid w:val="006D67AD"/>
    <w:rsid w:val="006E12DA"/>
    <w:rsid w:val="006E30A7"/>
    <w:rsid w:val="006E53AE"/>
    <w:rsid w:val="006F0AC7"/>
    <w:rsid w:val="006F63A5"/>
    <w:rsid w:val="0070276E"/>
    <w:rsid w:val="00702CAE"/>
    <w:rsid w:val="00705BF3"/>
    <w:rsid w:val="00711A36"/>
    <w:rsid w:val="0071419D"/>
    <w:rsid w:val="00714831"/>
    <w:rsid w:val="00716C84"/>
    <w:rsid w:val="00716D59"/>
    <w:rsid w:val="00716FA8"/>
    <w:rsid w:val="007172AD"/>
    <w:rsid w:val="0072286E"/>
    <w:rsid w:val="007265FB"/>
    <w:rsid w:val="00733C4C"/>
    <w:rsid w:val="00734DE1"/>
    <w:rsid w:val="00735328"/>
    <w:rsid w:val="00736469"/>
    <w:rsid w:val="0073685B"/>
    <w:rsid w:val="007422A3"/>
    <w:rsid w:val="007434BF"/>
    <w:rsid w:val="007474AD"/>
    <w:rsid w:val="00750B03"/>
    <w:rsid w:val="007544BE"/>
    <w:rsid w:val="00755688"/>
    <w:rsid w:val="00756330"/>
    <w:rsid w:val="00764E75"/>
    <w:rsid w:val="00771EAE"/>
    <w:rsid w:val="0078694C"/>
    <w:rsid w:val="0078755B"/>
    <w:rsid w:val="00790A76"/>
    <w:rsid w:val="007914B7"/>
    <w:rsid w:val="007A1191"/>
    <w:rsid w:val="007A2883"/>
    <w:rsid w:val="007A30D5"/>
    <w:rsid w:val="007A3FE5"/>
    <w:rsid w:val="007A5F4A"/>
    <w:rsid w:val="007B1A42"/>
    <w:rsid w:val="007B251D"/>
    <w:rsid w:val="007B77D1"/>
    <w:rsid w:val="007C01B5"/>
    <w:rsid w:val="007C1D14"/>
    <w:rsid w:val="007C212C"/>
    <w:rsid w:val="007C48E3"/>
    <w:rsid w:val="007C4D78"/>
    <w:rsid w:val="007D0B38"/>
    <w:rsid w:val="007D1E69"/>
    <w:rsid w:val="007D56C8"/>
    <w:rsid w:val="007E154D"/>
    <w:rsid w:val="007E578B"/>
    <w:rsid w:val="007E6C9C"/>
    <w:rsid w:val="007E7E0A"/>
    <w:rsid w:val="007F1017"/>
    <w:rsid w:val="007F4A3F"/>
    <w:rsid w:val="007F5C7B"/>
    <w:rsid w:val="007F62CA"/>
    <w:rsid w:val="007F647E"/>
    <w:rsid w:val="00800BC6"/>
    <w:rsid w:val="00800CC7"/>
    <w:rsid w:val="00801B9C"/>
    <w:rsid w:val="0080218B"/>
    <w:rsid w:val="00802827"/>
    <w:rsid w:val="00805142"/>
    <w:rsid w:val="00806B5B"/>
    <w:rsid w:val="00806DAC"/>
    <w:rsid w:val="00807880"/>
    <w:rsid w:val="00807A8B"/>
    <w:rsid w:val="00807C03"/>
    <w:rsid w:val="00812149"/>
    <w:rsid w:val="008166EF"/>
    <w:rsid w:val="0082011E"/>
    <w:rsid w:val="00821CE0"/>
    <w:rsid w:val="008232B8"/>
    <w:rsid w:val="008242B1"/>
    <w:rsid w:val="008264EB"/>
    <w:rsid w:val="00827438"/>
    <w:rsid w:val="008307AD"/>
    <w:rsid w:val="008403D4"/>
    <w:rsid w:val="00840CA2"/>
    <w:rsid w:val="00842FE9"/>
    <w:rsid w:val="0084444E"/>
    <w:rsid w:val="008460E4"/>
    <w:rsid w:val="0084654C"/>
    <w:rsid w:val="00846DFC"/>
    <w:rsid w:val="00847748"/>
    <w:rsid w:val="00850B1C"/>
    <w:rsid w:val="00850EEB"/>
    <w:rsid w:val="00853E3D"/>
    <w:rsid w:val="00855597"/>
    <w:rsid w:val="00855922"/>
    <w:rsid w:val="00856E9A"/>
    <w:rsid w:val="00856F74"/>
    <w:rsid w:val="008570D9"/>
    <w:rsid w:val="00863F47"/>
    <w:rsid w:val="00864911"/>
    <w:rsid w:val="00865F0D"/>
    <w:rsid w:val="00866F45"/>
    <w:rsid w:val="00867321"/>
    <w:rsid w:val="00870AFA"/>
    <w:rsid w:val="00876518"/>
    <w:rsid w:val="0087759E"/>
    <w:rsid w:val="00882201"/>
    <w:rsid w:val="00882410"/>
    <w:rsid w:val="00882874"/>
    <w:rsid w:val="00883787"/>
    <w:rsid w:val="0088406D"/>
    <w:rsid w:val="008907AF"/>
    <w:rsid w:val="00890BCB"/>
    <w:rsid w:val="008944A4"/>
    <w:rsid w:val="008947CF"/>
    <w:rsid w:val="008963A5"/>
    <w:rsid w:val="008A0C3B"/>
    <w:rsid w:val="008A3C3E"/>
    <w:rsid w:val="008A5F59"/>
    <w:rsid w:val="008A6700"/>
    <w:rsid w:val="008A7131"/>
    <w:rsid w:val="008A79DE"/>
    <w:rsid w:val="008B3BD7"/>
    <w:rsid w:val="008B7D7E"/>
    <w:rsid w:val="008C28C3"/>
    <w:rsid w:val="008C30D3"/>
    <w:rsid w:val="008C5D28"/>
    <w:rsid w:val="008C7ECB"/>
    <w:rsid w:val="008D4AFE"/>
    <w:rsid w:val="008D7F1C"/>
    <w:rsid w:val="008E1B8B"/>
    <w:rsid w:val="008E1B9E"/>
    <w:rsid w:val="008E49BD"/>
    <w:rsid w:val="008E6130"/>
    <w:rsid w:val="008F0425"/>
    <w:rsid w:val="008F4642"/>
    <w:rsid w:val="008F48EB"/>
    <w:rsid w:val="008F4F0B"/>
    <w:rsid w:val="008F600C"/>
    <w:rsid w:val="0090170A"/>
    <w:rsid w:val="009040A1"/>
    <w:rsid w:val="009046EC"/>
    <w:rsid w:val="00905458"/>
    <w:rsid w:val="009062A5"/>
    <w:rsid w:val="009067FF"/>
    <w:rsid w:val="0090695E"/>
    <w:rsid w:val="00911272"/>
    <w:rsid w:val="00914B9B"/>
    <w:rsid w:val="009163B8"/>
    <w:rsid w:val="009227AF"/>
    <w:rsid w:val="00924940"/>
    <w:rsid w:val="00924DE7"/>
    <w:rsid w:val="009250F9"/>
    <w:rsid w:val="00933746"/>
    <w:rsid w:val="0094115E"/>
    <w:rsid w:val="00944B62"/>
    <w:rsid w:val="00944D8F"/>
    <w:rsid w:val="00950D95"/>
    <w:rsid w:val="00955138"/>
    <w:rsid w:val="00961AF9"/>
    <w:rsid w:val="009628C1"/>
    <w:rsid w:val="009628F8"/>
    <w:rsid w:val="00962CB9"/>
    <w:rsid w:val="00964312"/>
    <w:rsid w:val="00967623"/>
    <w:rsid w:val="00967A60"/>
    <w:rsid w:val="00970C81"/>
    <w:rsid w:val="00976424"/>
    <w:rsid w:val="00976C88"/>
    <w:rsid w:val="0098002F"/>
    <w:rsid w:val="00981948"/>
    <w:rsid w:val="0098217A"/>
    <w:rsid w:val="00982A46"/>
    <w:rsid w:val="00983E57"/>
    <w:rsid w:val="0098415A"/>
    <w:rsid w:val="00987AA3"/>
    <w:rsid w:val="00987E36"/>
    <w:rsid w:val="00990098"/>
    <w:rsid w:val="00992E5F"/>
    <w:rsid w:val="009962EA"/>
    <w:rsid w:val="0099697E"/>
    <w:rsid w:val="00996B1A"/>
    <w:rsid w:val="009A4BEE"/>
    <w:rsid w:val="009A5883"/>
    <w:rsid w:val="009A6406"/>
    <w:rsid w:val="009B3E26"/>
    <w:rsid w:val="009B65A0"/>
    <w:rsid w:val="009C0347"/>
    <w:rsid w:val="009C69D7"/>
    <w:rsid w:val="009D0B3D"/>
    <w:rsid w:val="009D283E"/>
    <w:rsid w:val="009D450B"/>
    <w:rsid w:val="009D5B91"/>
    <w:rsid w:val="009E3C3A"/>
    <w:rsid w:val="009E4C07"/>
    <w:rsid w:val="009F11CA"/>
    <w:rsid w:val="009F72C0"/>
    <w:rsid w:val="009F73AE"/>
    <w:rsid w:val="00A004C0"/>
    <w:rsid w:val="00A01E2C"/>
    <w:rsid w:val="00A02F69"/>
    <w:rsid w:val="00A03D43"/>
    <w:rsid w:val="00A04380"/>
    <w:rsid w:val="00A04662"/>
    <w:rsid w:val="00A05DDF"/>
    <w:rsid w:val="00A06CFE"/>
    <w:rsid w:val="00A13948"/>
    <w:rsid w:val="00A20623"/>
    <w:rsid w:val="00A268E3"/>
    <w:rsid w:val="00A27AEC"/>
    <w:rsid w:val="00A35D16"/>
    <w:rsid w:val="00A364A7"/>
    <w:rsid w:val="00A40AB8"/>
    <w:rsid w:val="00A43C59"/>
    <w:rsid w:val="00A44CAF"/>
    <w:rsid w:val="00A45718"/>
    <w:rsid w:val="00A46E1A"/>
    <w:rsid w:val="00A50ECD"/>
    <w:rsid w:val="00A52729"/>
    <w:rsid w:val="00A53675"/>
    <w:rsid w:val="00A53FC6"/>
    <w:rsid w:val="00A55C43"/>
    <w:rsid w:val="00A56B6A"/>
    <w:rsid w:val="00A578DC"/>
    <w:rsid w:val="00A602DD"/>
    <w:rsid w:val="00A61B56"/>
    <w:rsid w:val="00A6405E"/>
    <w:rsid w:val="00A64C18"/>
    <w:rsid w:val="00A6725B"/>
    <w:rsid w:val="00A7049F"/>
    <w:rsid w:val="00A71F9A"/>
    <w:rsid w:val="00A736D5"/>
    <w:rsid w:val="00A7438D"/>
    <w:rsid w:val="00A748E8"/>
    <w:rsid w:val="00A767C7"/>
    <w:rsid w:val="00A77078"/>
    <w:rsid w:val="00A77397"/>
    <w:rsid w:val="00A81A48"/>
    <w:rsid w:val="00A8253F"/>
    <w:rsid w:val="00A850C1"/>
    <w:rsid w:val="00A86E8B"/>
    <w:rsid w:val="00A93072"/>
    <w:rsid w:val="00A936D9"/>
    <w:rsid w:val="00A93C03"/>
    <w:rsid w:val="00A97580"/>
    <w:rsid w:val="00AA0A07"/>
    <w:rsid w:val="00AA4D5C"/>
    <w:rsid w:val="00AA6194"/>
    <w:rsid w:val="00AB042A"/>
    <w:rsid w:val="00AB19A9"/>
    <w:rsid w:val="00AB3430"/>
    <w:rsid w:val="00AB39B2"/>
    <w:rsid w:val="00AB6E61"/>
    <w:rsid w:val="00AB7CFA"/>
    <w:rsid w:val="00AD01C8"/>
    <w:rsid w:val="00AD0941"/>
    <w:rsid w:val="00AD3FF4"/>
    <w:rsid w:val="00AE0EBD"/>
    <w:rsid w:val="00AE2252"/>
    <w:rsid w:val="00AE7DDC"/>
    <w:rsid w:val="00AF003E"/>
    <w:rsid w:val="00AF1F3F"/>
    <w:rsid w:val="00AF3480"/>
    <w:rsid w:val="00B03273"/>
    <w:rsid w:val="00B03B64"/>
    <w:rsid w:val="00B05B16"/>
    <w:rsid w:val="00B07253"/>
    <w:rsid w:val="00B1198C"/>
    <w:rsid w:val="00B11F33"/>
    <w:rsid w:val="00B12A18"/>
    <w:rsid w:val="00B1743B"/>
    <w:rsid w:val="00B21753"/>
    <w:rsid w:val="00B2362A"/>
    <w:rsid w:val="00B24776"/>
    <w:rsid w:val="00B249F6"/>
    <w:rsid w:val="00B27921"/>
    <w:rsid w:val="00B35365"/>
    <w:rsid w:val="00B42851"/>
    <w:rsid w:val="00B44CB0"/>
    <w:rsid w:val="00B4737C"/>
    <w:rsid w:val="00B52499"/>
    <w:rsid w:val="00B5305E"/>
    <w:rsid w:val="00B54B5B"/>
    <w:rsid w:val="00B5562E"/>
    <w:rsid w:val="00B57000"/>
    <w:rsid w:val="00B57073"/>
    <w:rsid w:val="00B608CF"/>
    <w:rsid w:val="00B60939"/>
    <w:rsid w:val="00B60AFD"/>
    <w:rsid w:val="00B626C3"/>
    <w:rsid w:val="00B62715"/>
    <w:rsid w:val="00B62A99"/>
    <w:rsid w:val="00B6367B"/>
    <w:rsid w:val="00B732F8"/>
    <w:rsid w:val="00B760E2"/>
    <w:rsid w:val="00B77A3A"/>
    <w:rsid w:val="00B818A4"/>
    <w:rsid w:val="00B856AA"/>
    <w:rsid w:val="00B8649C"/>
    <w:rsid w:val="00B90FE1"/>
    <w:rsid w:val="00B92D0B"/>
    <w:rsid w:val="00B931EB"/>
    <w:rsid w:val="00B94945"/>
    <w:rsid w:val="00B95962"/>
    <w:rsid w:val="00B95DB1"/>
    <w:rsid w:val="00B96CB6"/>
    <w:rsid w:val="00B973E2"/>
    <w:rsid w:val="00B97BBF"/>
    <w:rsid w:val="00BA677A"/>
    <w:rsid w:val="00BA72CD"/>
    <w:rsid w:val="00BA74F1"/>
    <w:rsid w:val="00BA759B"/>
    <w:rsid w:val="00BB2599"/>
    <w:rsid w:val="00BB2D7E"/>
    <w:rsid w:val="00BB4417"/>
    <w:rsid w:val="00BB51A0"/>
    <w:rsid w:val="00BB6833"/>
    <w:rsid w:val="00BC192A"/>
    <w:rsid w:val="00BC48AD"/>
    <w:rsid w:val="00BC4E71"/>
    <w:rsid w:val="00BC6199"/>
    <w:rsid w:val="00BD0730"/>
    <w:rsid w:val="00BD12DF"/>
    <w:rsid w:val="00BD2456"/>
    <w:rsid w:val="00BD4B64"/>
    <w:rsid w:val="00BD7586"/>
    <w:rsid w:val="00BE2180"/>
    <w:rsid w:val="00BE4275"/>
    <w:rsid w:val="00BE7A8B"/>
    <w:rsid w:val="00BF0BA2"/>
    <w:rsid w:val="00BF1E9F"/>
    <w:rsid w:val="00BF2004"/>
    <w:rsid w:val="00BF23ED"/>
    <w:rsid w:val="00BF2433"/>
    <w:rsid w:val="00BF371A"/>
    <w:rsid w:val="00BF3D22"/>
    <w:rsid w:val="00BF61C9"/>
    <w:rsid w:val="00BF7473"/>
    <w:rsid w:val="00BF7549"/>
    <w:rsid w:val="00C02274"/>
    <w:rsid w:val="00C06290"/>
    <w:rsid w:val="00C111B6"/>
    <w:rsid w:val="00C16BAA"/>
    <w:rsid w:val="00C20A5B"/>
    <w:rsid w:val="00C2366F"/>
    <w:rsid w:val="00C24C20"/>
    <w:rsid w:val="00C25418"/>
    <w:rsid w:val="00C25D9C"/>
    <w:rsid w:val="00C31649"/>
    <w:rsid w:val="00C3209C"/>
    <w:rsid w:val="00C34525"/>
    <w:rsid w:val="00C36EEB"/>
    <w:rsid w:val="00C40385"/>
    <w:rsid w:val="00C448C5"/>
    <w:rsid w:val="00C50C40"/>
    <w:rsid w:val="00C51B3E"/>
    <w:rsid w:val="00C559C2"/>
    <w:rsid w:val="00C61C92"/>
    <w:rsid w:val="00C62729"/>
    <w:rsid w:val="00C64BAF"/>
    <w:rsid w:val="00C65576"/>
    <w:rsid w:val="00C66165"/>
    <w:rsid w:val="00C8213F"/>
    <w:rsid w:val="00C84E7B"/>
    <w:rsid w:val="00C8797A"/>
    <w:rsid w:val="00C91CFF"/>
    <w:rsid w:val="00C93171"/>
    <w:rsid w:val="00C938CF"/>
    <w:rsid w:val="00C96D26"/>
    <w:rsid w:val="00CA3976"/>
    <w:rsid w:val="00CA4DF7"/>
    <w:rsid w:val="00CA5245"/>
    <w:rsid w:val="00CA7B09"/>
    <w:rsid w:val="00CB0834"/>
    <w:rsid w:val="00CB23B4"/>
    <w:rsid w:val="00CB3E0F"/>
    <w:rsid w:val="00CB5B1A"/>
    <w:rsid w:val="00CC238E"/>
    <w:rsid w:val="00CC2C15"/>
    <w:rsid w:val="00CC4B5B"/>
    <w:rsid w:val="00CD0889"/>
    <w:rsid w:val="00CD20FE"/>
    <w:rsid w:val="00CD6ADC"/>
    <w:rsid w:val="00CE1C78"/>
    <w:rsid w:val="00CE2784"/>
    <w:rsid w:val="00CE6274"/>
    <w:rsid w:val="00CE7B59"/>
    <w:rsid w:val="00CF456B"/>
    <w:rsid w:val="00CF5A22"/>
    <w:rsid w:val="00CF6355"/>
    <w:rsid w:val="00D00906"/>
    <w:rsid w:val="00D0262E"/>
    <w:rsid w:val="00D03003"/>
    <w:rsid w:val="00D04C42"/>
    <w:rsid w:val="00D0609A"/>
    <w:rsid w:val="00D06FD4"/>
    <w:rsid w:val="00D07878"/>
    <w:rsid w:val="00D07DA1"/>
    <w:rsid w:val="00D110BD"/>
    <w:rsid w:val="00D12AF5"/>
    <w:rsid w:val="00D17D6C"/>
    <w:rsid w:val="00D21A1B"/>
    <w:rsid w:val="00D21CC9"/>
    <w:rsid w:val="00D22B52"/>
    <w:rsid w:val="00D27912"/>
    <w:rsid w:val="00D30803"/>
    <w:rsid w:val="00D34B8E"/>
    <w:rsid w:val="00D37637"/>
    <w:rsid w:val="00D45976"/>
    <w:rsid w:val="00D472A8"/>
    <w:rsid w:val="00D51009"/>
    <w:rsid w:val="00D55EA0"/>
    <w:rsid w:val="00D56D91"/>
    <w:rsid w:val="00D627FF"/>
    <w:rsid w:val="00D64819"/>
    <w:rsid w:val="00D6576C"/>
    <w:rsid w:val="00D735F0"/>
    <w:rsid w:val="00D76A44"/>
    <w:rsid w:val="00D77381"/>
    <w:rsid w:val="00D83C53"/>
    <w:rsid w:val="00D847E8"/>
    <w:rsid w:val="00D85D3F"/>
    <w:rsid w:val="00D93753"/>
    <w:rsid w:val="00D97098"/>
    <w:rsid w:val="00DA77A5"/>
    <w:rsid w:val="00DA7E42"/>
    <w:rsid w:val="00DB0E68"/>
    <w:rsid w:val="00DB1325"/>
    <w:rsid w:val="00DB1443"/>
    <w:rsid w:val="00DB3739"/>
    <w:rsid w:val="00DB6C83"/>
    <w:rsid w:val="00DC5501"/>
    <w:rsid w:val="00DC559D"/>
    <w:rsid w:val="00DC642F"/>
    <w:rsid w:val="00DD19B3"/>
    <w:rsid w:val="00DD1AF4"/>
    <w:rsid w:val="00DD2072"/>
    <w:rsid w:val="00DD3F28"/>
    <w:rsid w:val="00DD3F53"/>
    <w:rsid w:val="00DD4537"/>
    <w:rsid w:val="00DD4E15"/>
    <w:rsid w:val="00DD5B77"/>
    <w:rsid w:val="00DD7283"/>
    <w:rsid w:val="00DE4FCB"/>
    <w:rsid w:val="00DE5DA6"/>
    <w:rsid w:val="00DF0A2A"/>
    <w:rsid w:val="00DF113F"/>
    <w:rsid w:val="00DF1F49"/>
    <w:rsid w:val="00DF6F7F"/>
    <w:rsid w:val="00DF7F65"/>
    <w:rsid w:val="00E00C39"/>
    <w:rsid w:val="00E02FCE"/>
    <w:rsid w:val="00E034DC"/>
    <w:rsid w:val="00E03C7B"/>
    <w:rsid w:val="00E10149"/>
    <w:rsid w:val="00E16372"/>
    <w:rsid w:val="00E172B0"/>
    <w:rsid w:val="00E20ED6"/>
    <w:rsid w:val="00E21339"/>
    <w:rsid w:val="00E21358"/>
    <w:rsid w:val="00E2249B"/>
    <w:rsid w:val="00E22FD0"/>
    <w:rsid w:val="00E2456D"/>
    <w:rsid w:val="00E26FDB"/>
    <w:rsid w:val="00E2771E"/>
    <w:rsid w:val="00E358A3"/>
    <w:rsid w:val="00E37569"/>
    <w:rsid w:val="00E40D17"/>
    <w:rsid w:val="00E41E30"/>
    <w:rsid w:val="00E43989"/>
    <w:rsid w:val="00E4669A"/>
    <w:rsid w:val="00E469F4"/>
    <w:rsid w:val="00E4777F"/>
    <w:rsid w:val="00E47B2C"/>
    <w:rsid w:val="00E55424"/>
    <w:rsid w:val="00E566D2"/>
    <w:rsid w:val="00E63FA3"/>
    <w:rsid w:val="00E64F15"/>
    <w:rsid w:val="00E65E79"/>
    <w:rsid w:val="00E67416"/>
    <w:rsid w:val="00E70B65"/>
    <w:rsid w:val="00E718B6"/>
    <w:rsid w:val="00E7312E"/>
    <w:rsid w:val="00E73581"/>
    <w:rsid w:val="00E737DD"/>
    <w:rsid w:val="00E74830"/>
    <w:rsid w:val="00E7794E"/>
    <w:rsid w:val="00E80B70"/>
    <w:rsid w:val="00E83BDF"/>
    <w:rsid w:val="00E841E4"/>
    <w:rsid w:val="00E84501"/>
    <w:rsid w:val="00E8605A"/>
    <w:rsid w:val="00E912C9"/>
    <w:rsid w:val="00E9214D"/>
    <w:rsid w:val="00E970F1"/>
    <w:rsid w:val="00E97FEA"/>
    <w:rsid w:val="00EA09DA"/>
    <w:rsid w:val="00EA2091"/>
    <w:rsid w:val="00EA2D56"/>
    <w:rsid w:val="00EA3864"/>
    <w:rsid w:val="00EA4B47"/>
    <w:rsid w:val="00EA6BBD"/>
    <w:rsid w:val="00EA7B5E"/>
    <w:rsid w:val="00EB0EEB"/>
    <w:rsid w:val="00EB55A2"/>
    <w:rsid w:val="00EC00C9"/>
    <w:rsid w:val="00EC1414"/>
    <w:rsid w:val="00EC6F98"/>
    <w:rsid w:val="00ED2642"/>
    <w:rsid w:val="00ED408F"/>
    <w:rsid w:val="00ED5C93"/>
    <w:rsid w:val="00ED672F"/>
    <w:rsid w:val="00ED7FC4"/>
    <w:rsid w:val="00EE07D3"/>
    <w:rsid w:val="00EE1724"/>
    <w:rsid w:val="00EE253F"/>
    <w:rsid w:val="00EF20DB"/>
    <w:rsid w:val="00EF2EE0"/>
    <w:rsid w:val="00EF3F66"/>
    <w:rsid w:val="00EF54A7"/>
    <w:rsid w:val="00EF72BF"/>
    <w:rsid w:val="00EF78CB"/>
    <w:rsid w:val="00F00F96"/>
    <w:rsid w:val="00F058C9"/>
    <w:rsid w:val="00F067A2"/>
    <w:rsid w:val="00F1422F"/>
    <w:rsid w:val="00F20C94"/>
    <w:rsid w:val="00F21CA1"/>
    <w:rsid w:val="00F24837"/>
    <w:rsid w:val="00F2575F"/>
    <w:rsid w:val="00F273D0"/>
    <w:rsid w:val="00F27458"/>
    <w:rsid w:val="00F275B7"/>
    <w:rsid w:val="00F30141"/>
    <w:rsid w:val="00F31AB0"/>
    <w:rsid w:val="00F322BB"/>
    <w:rsid w:val="00F3237A"/>
    <w:rsid w:val="00F338FF"/>
    <w:rsid w:val="00F33DE9"/>
    <w:rsid w:val="00F34470"/>
    <w:rsid w:val="00F3619A"/>
    <w:rsid w:val="00F42C00"/>
    <w:rsid w:val="00F46CB6"/>
    <w:rsid w:val="00F47B74"/>
    <w:rsid w:val="00F55E73"/>
    <w:rsid w:val="00F563FC"/>
    <w:rsid w:val="00F60DB5"/>
    <w:rsid w:val="00F6167C"/>
    <w:rsid w:val="00F65CC6"/>
    <w:rsid w:val="00F665F1"/>
    <w:rsid w:val="00F71ED3"/>
    <w:rsid w:val="00F76E40"/>
    <w:rsid w:val="00F80DB7"/>
    <w:rsid w:val="00F80E5D"/>
    <w:rsid w:val="00F81482"/>
    <w:rsid w:val="00F82661"/>
    <w:rsid w:val="00F83E42"/>
    <w:rsid w:val="00F8515F"/>
    <w:rsid w:val="00F851CE"/>
    <w:rsid w:val="00F950F3"/>
    <w:rsid w:val="00F97A78"/>
    <w:rsid w:val="00FA04DE"/>
    <w:rsid w:val="00FA14CB"/>
    <w:rsid w:val="00FA15DB"/>
    <w:rsid w:val="00FA3457"/>
    <w:rsid w:val="00FA74D8"/>
    <w:rsid w:val="00FB2A1B"/>
    <w:rsid w:val="00FB2FCB"/>
    <w:rsid w:val="00FB300F"/>
    <w:rsid w:val="00FB361D"/>
    <w:rsid w:val="00FB5614"/>
    <w:rsid w:val="00FC1074"/>
    <w:rsid w:val="00FC1884"/>
    <w:rsid w:val="00FC5E79"/>
    <w:rsid w:val="00FC5E9F"/>
    <w:rsid w:val="00FD2100"/>
    <w:rsid w:val="00FD2C1F"/>
    <w:rsid w:val="00FD446D"/>
    <w:rsid w:val="00FD5CB5"/>
    <w:rsid w:val="00FE1EB2"/>
    <w:rsid w:val="00FE2FDA"/>
    <w:rsid w:val="00FE70B2"/>
    <w:rsid w:val="00FF024A"/>
    <w:rsid w:val="00FF035A"/>
    <w:rsid w:val="00FF03E9"/>
    <w:rsid w:val="00FF090D"/>
    <w:rsid w:val="00FF3B68"/>
    <w:rsid w:val="00FF3DCF"/>
    <w:rsid w:val="00FF5AA3"/>
    <w:rsid w:val="00FF62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2685"/>
    <w:pPr>
      <w:widowControl w:val="0"/>
      <w:jc w:val="both"/>
    </w:pPr>
    <w:rPr>
      <w:rFonts w:ascii="Arial" w:hAnsi="Arial" w:cs="Arial"/>
      <w:snapToGrid w:val="0"/>
      <w:sz w:val="22"/>
      <w:lang w:eastAsia="en-US"/>
    </w:rPr>
  </w:style>
  <w:style w:type="paragraph" w:styleId="Heading1">
    <w:name w:val="heading 1"/>
    <w:basedOn w:val="PBACheading1"/>
    <w:next w:val="Normal"/>
    <w:qFormat/>
    <w:rsid w:val="00F30141"/>
    <w:pPr>
      <w:outlineLvl w:val="0"/>
    </w:pPr>
    <w:rPr>
      <w:b/>
    </w:rPr>
  </w:style>
  <w:style w:type="paragraph" w:styleId="Heading2">
    <w:name w:val="heading 2"/>
    <w:basedOn w:val="Normal"/>
    <w:next w:val="Normal"/>
    <w:link w:val="Heading2Char"/>
    <w:qFormat/>
    <w:rsid w:val="00F30141"/>
    <w:pPr>
      <w:outlineLvl w:val="1"/>
    </w:pPr>
    <w:rPr>
      <w:b/>
      <w:bCs/>
      <w:szCs w:val="22"/>
      <w:lang w:val="en-G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F30141"/>
    <w:rPr>
      <w:rFonts w:ascii="Arial" w:hAnsi="Arial" w:cs="Arial"/>
      <w:b/>
      <w:bCs/>
      <w:snapToGrid w:val="0"/>
      <w:sz w:val="22"/>
      <w:szCs w:val="22"/>
      <w:lang w:val="en-GB"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F30141"/>
    <w:rPr>
      <w:sz w:val="28"/>
    </w:rPr>
  </w:style>
  <w:style w:type="character" w:customStyle="1" w:styleId="TitleChar">
    <w:name w:val="Title Char"/>
    <w:basedOn w:val="DefaultParagraphFont"/>
    <w:link w:val="Title"/>
    <w:rsid w:val="00F3014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6"/>
      </w:numPr>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5074FC"/>
    <w:rPr>
      <w:sz w:val="20"/>
    </w:rPr>
  </w:style>
  <w:style w:type="character" w:customStyle="1" w:styleId="FootnoteTextChar">
    <w:name w:val="Footnote Text Char"/>
    <w:basedOn w:val="DefaultParagraphFont"/>
    <w:link w:val="FootnoteText"/>
    <w:semiHidden/>
    <w:rsid w:val="005074FC"/>
    <w:rPr>
      <w:rFonts w:ascii="Arial" w:hAnsi="Arial" w:cs="Arial"/>
      <w:snapToGrid w:val="0"/>
      <w:lang w:eastAsia="en-US"/>
    </w:rPr>
  </w:style>
  <w:style w:type="character" w:styleId="FootnoteReference">
    <w:name w:val="footnote reference"/>
    <w:uiPriority w:val="99"/>
    <w:rsid w:val="005074FC"/>
    <w:rPr>
      <w:vertAlign w:val="superscript"/>
    </w:rPr>
  </w:style>
  <w:style w:type="character" w:customStyle="1" w:styleId="CommentTextChar2">
    <w:name w:val="Comment Text Char2"/>
    <w:semiHidden/>
    <w:rsid w:val="00ED2642"/>
    <w:rPr>
      <w:rFonts w:ascii="Arial" w:hAnsi="Arial"/>
      <w:lang w:val="en-AU" w:eastAsia="en-US" w:bidi="ar-SA"/>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E672B"/>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1E672B"/>
    <w:pPr>
      <w:autoSpaceDE w:val="0"/>
      <w:autoSpaceDN w:val="0"/>
      <w:adjustRightInd w:val="0"/>
    </w:pPr>
    <w:rPr>
      <w:rFonts w:ascii="Arial" w:hAnsi="Arial" w:cs="Arial"/>
      <w:color w:val="000000"/>
      <w:sz w:val="24"/>
      <w:szCs w:val="24"/>
    </w:rPr>
  </w:style>
  <w:style w:type="paragraph" w:customStyle="1" w:styleId="PBACHeading10">
    <w:name w:val="PBAC Heading 1"/>
    <w:qFormat/>
    <w:rsid w:val="00714831"/>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6A0921"/>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2685"/>
    <w:pPr>
      <w:widowControl w:val="0"/>
      <w:jc w:val="both"/>
    </w:pPr>
    <w:rPr>
      <w:rFonts w:ascii="Arial" w:hAnsi="Arial" w:cs="Arial"/>
      <w:snapToGrid w:val="0"/>
      <w:sz w:val="22"/>
      <w:lang w:eastAsia="en-US"/>
    </w:rPr>
  </w:style>
  <w:style w:type="paragraph" w:styleId="Heading1">
    <w:name w:val="heading 1"/>
    <w:basedOn w:val="PBACheading1"/>
    <w:next w:val="Normal"/>
    <w:qFormat/>
    <w:rsid w:val="00F30141"/>
    <w:pPr>
      <w:outlineLvl w:val="0"/>
    </w:pPr>
    <w:rPr>
      <w:b/>
    </w:rPr>
  </w:style>
  <w:style w:type="paragraph" w:styleId="Heading2">
    <w:name w:val="heading 2"/>
    <w:basedOn w:val="Normal"/>
    <w:next w:val="Normal"/>
    <w:link w:val="Heading2Char"/>
    <w:qFormat/>
    <w:rsid w:val="00F30141"/>
    <w:pPr>
      <w:outlineLvl w:val="1"/>
    </w:pPr>
    <w:rPr>
      <w:b/>
      <w:bCs/>
      <w:szCs w:val="22"/>
      <w:lang w:val="en-G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F30141"/>
    <w:rPr>
      <w:rFonts w:ascii="Arial" w:hAnsi="Arial" w:cs="Arial"/>
      <w:b/>
      <w:bCs/>
      <w:snapToGrid w:val="0"/>
      <w:sz w:val="22"/>
      <w:szCs w:val="22"/>
      <w:lang w:val="en-GB"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F30141"/>
    <w:rPr>
      <w:sz w:val="28"/>
    </w:rPr>
  </w:style>
  <w:style w:type="character" w:customStyle="1" w:styleId="TitleChar">
    <w:name w:val="Title Char"/>
    <w:basedOn w:val="DefaultParagraphFont"/>
    <w:link w:val="Title"/>
    <w:rsid w:val="00F3014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6"/>
      </w:numPr>
    </w:pPr>
    <w:rPr>
      <w:rFonts w:ascii="Arial" w:hAnsi="Arial" w:cs="Arial"/>
      <w:snapToGrid w:val="0"/>
      <w:sz w:val="22"/>
      <w:szCs w:val="22"/>
      <w:lang w:eastAsia="en-US"/>
    </w:rPr>
  </w:style>
  <w:style w:type="paragraph" w:styleId="FootnoteText">
    <w:name w:val="footnote text"/>
    <w:basedOn w:val="Normal"/>
    <w:link w:val="FootnoteTextChar"/>
    <w:semiHidden/>
    <w:unhideWhenUsed/>
    <w:rsid w:val="005074FC"/>
    <w:rPr>
      <w:sz w:val="20"/>
    </w:rPr>
  </w:style>
  <w:style w:type="character" w:customStyle="1" w:styleId="FootnoteTextChar">
    <w:name w:val="Footnote Text Char"/>
    <w:basedOn w:val="DefaultParagraphFont"/>
    <w:link w:val="FootnoteText"/>
    <w:semiHidden/>
    <w:rsid w:val="005074FC"/>
    <w:rPr>
      <w:rFonts w:ascii="Arial" w:hAnsi="Arial" w:cs="Arial"/>
      <w:snapToGrid w:val="0"/>
      <w:lang w:eastAsia="en-US"/>
    </w:rPr>
  </w:style>
  <w:style w:type="character" w:styleId="FootnoteReference">
    <w:name w:val="footnote reference"/>
    <w:uiPriority w:val="99"/>
    <w:rsid w:val="005074FC"/>
    <w:rPr>
      <w:vertAlign w:val="superscript"/>
    </w:rPr>
  </w:style>
  <w:style w:type="character" w:customStyle="1" w:styleId="CommentTextChar2">
    <w:name w:val="Comment Text Char2"/>
    <w:semiHidden/>
    <w:rsid w:val="00ED2642"/>
    <w:rPr>
      <w:rFonts w:ascii="Arial" w:hAnsi="Arial"/>
      <w:lang w:val="en-AU" w:eastAsia="en-US" w:bidi="ar-SA"/>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E672B"/>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1E672B"/>
    <w:pPr>
      <w:autoSpaceDE w:val="0"/>
      <w:autoSpaceDN w:val="0"/>
      <w:adjustRightInd w:val="0"/>
    </w:pPr>
    <w:rPr>
      <w:rFonts w:ascii="Arial" w:hAnsi="Arial" w:cs="Arial"/>
      <w:color w:val="000000"/>
      <w:sz w:val="24"/>
      <w:szCs w:val="24"/>
    </w:rPr>
  </w:style>
  <w:style w:type="paragraph" w:customStyle="1" w:styleId="PBACHeading10">
    <w:name w:val="PBAC Heading 1"/>
    <w:qFormat/>
    <w:rsid w:val="00714831"/>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6A0921"/>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440">
      <w:bodyDiv w:val="1"/>
      <w:marLeft w:val="0"/>
      <w:marRight w:val="0"/>
      <w:marTop w:val="0"/>
      <w:marBottom w:val="0"/>
      <w:divBdr>
        <w:top w:val="none" w:sz="0" w:space="0" w:color="auto"/>
        <w:left w:val="none" w:sz="0" w:space="0" w:color="auto"/>
        <w:bottom w:val="none" w:sz="0" w:space="0" w:color="auto"/>
        <w:right w:val="none" w:sz="0" w:space="0" w:color="auto"/>
      </w:divBdr>
    </w:div>
    <w:div w:id="399407131">
      <w:bodyDiv w:val="1"/>
      <w:marLeft w:val="0"/>
      <w:marRight w:val="0"/>
      <w:marTop w:val="0"/>
      <w:marBottom w:val="0"/>
      <w:divBdr>
        <w:top w:val="none" w:sz="0" w:space="0" w:color="auto"/>
        <w:left w:val="none" w:sz="0" w:space="0" w:color="auto"/>
        <w:bottom w:val="none" w:sz="0" w:space="0" w:color="auto"/>
        <w:right w:val="none" w:sz="0" w:space="0" w:color="auto"/>
      </w:divBdr>
    </w:div>
    <w:div w:id="576280800">
      <w:bodyDiv w:val="1"/>
      <w:marLeft w:val="0"/>
      <w:marRight w:val="0"/>
      <w:marTop w:val="0"/>
      <w:marBottom w:val="0"/>
      <w:divBdr>
        <w:top w:val="none" w:sz="0" w:space="0" w:color="auto"/>
        <w:left w:val="none" w:sz="0" w:space="0" w:color="auto"/>
        <w:bottom w:val="none" w:sz="0" w:space="0" w:color="auto"/>
        <w:right w:val="none" w:sz="0" w:space="0" w:color="auto"/>
      </w:divBdr>
    </w:div>
    <w:div w:id="1071076262">
      <w:bodyDiv w:val="1"/>
      <w:marLeft w:val="0"/>
      <w:marRight w:val="0"/>
      <w:marTop w:val="0"/>
      <w:marBottom w:val="0"/>
      <w:divBdr>
        <w:top w:val="none" w:sz="0" w:space="0" w:color="auto"/>
        <w:left w:val="none" w:sz="0" w:space="0" w:color="auto"/>
        <w:bottom w:val="none" w:sz="0" w:space="0" w:color="auto"/>
        <w:right w:val="none" w:sz="0" w:space="0" w:color="auto"/>
      </w:divBdr>
    </w:div>
    <w:div w:id="1146436570">
      <w:bodyDiv w:val="1"/>
      <w:marLeft w:val="0"/>
      <w:marRight w:val="0"/>
      <w:marTop w:val="0"/>
      <w:marBottom w:val="0"/>
      <w:divBdr>
        <w:top w:val="none" w:sz="0" w:space="0" w:color="auto"/>
        <w:left w:val="none" w:sz="0" w:space="0" w:color="auto"/>
        <w:bottom w:val="none" w:sz="0" w:space="0" w:color="auto"/>
        <w:right w:val="none" w:sz="0" w:space="0" w:color="auto"/>
      </w:divBdr>
    </w:div>
    <w:div w:id="1368988458">
      <w:bodyDiv w:val="1"/>
      <w:marLeft w:val="0"/>
      <w:marRight w:val="0"/>
      <w:marTop w:val="0"/>
      <w:marBottom w:val="0"/>
      <w:divBdr>
        <w:top w:val="none" w:sz="0" w:space="0" w:color="auto"/>
        <w:left w:val="none" w:sz="0" w:space="0" w:color="auto"/>
        <w:bottom w:val="none" w:sz="0" w:space="0" w:color="auto"/>
        <w:right w:val="none" w:sz="0" w:space="0" w:color="auto"/>
      </w:divBdr>
    </w:div>
    <w:div w:id="1689212618">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1994482282">
      <w:bodyDiv w:val="1"/>
      <w:marLeft w:val="0"/>
      <w:marRight w:val="0"/>
      <w:marTop w:val="0"/>
      <w:marBottom w:val="0"/>
      <w:divBdr>
        <w:top w:val="none" w:sz="0" w:space="0" w:color="auto"/>
        <w:left w:val="none" w:sz="0" w:space="0" w:color="auto"/>
        <w:bottom w:val="none" w:sz="0" w:space="0" w:color="auto"/>
        <w:right w:val="none" w:sz="0" w:space="0" w:color="auto"/>
      </w:divBdr>
    </w:div>
    <w:div w:id="20961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5798</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2016-02-25T05:41:00Z</dcterms:created>
  <dcterms:modified xsi:type="dcterms:W3CDTF">2016-02-26T04:19:00Z</dcterms:modified>
</cp:coreProperties>
</file>