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94376B" w:rsidP="002B027D">
      <w:pPr>
        <w:pStyle w:val="PSDTitle"/>
      </w:pPr>
      <w:bookmarkStart w:id="0" w:name="_GoBack"/>
      <w:bookmarkEnd w:id="0"/>
      <w:r>
        <w:t>4.09</w:t>
      </w:r>
      <w:r w:rsidR="007C0F57" w:rsidRPr="006D6EC7">
        <w:tab/>
      </w:r>
      <w:r w:rsidR="00853571" w:rsidRPr="00853571">
        <w:t>TESTOSTERONE</w:t>
      </w:r>
    </w:p>
    <w:p w:rsidR="00D3280C" w:rsidRPr="006D6EC7" w:rsidRDefault="000F6186" w:rsidP="00C27B58">
      <w:pPr>
        <w:ind w:left="720"/>
        <w:rPr>
          <w:rFonts w:ascii="Arial" w:hAnsi="Arial"/>
          <w:b/>
          <w:sz w:val="28"/>
          <w:szCs w:val="28"/>
        </w:rPr>
      </w:pPr>
      <w:r>
        <w:rPr>
          <w:rFonts w:ascii="Arial" w:hAnsi="Arial"/>
          <w:b/>
          <w:sz w:val="28"/>
          <w:szCs w:val="28"/>
        </w:rPr>
        <w:t>National LGBTI Health Alliance</w:t>
      </w:r>
    </w:p>
    <w:p w:rsidR="00CE10C4" w:rsidRDefault="00CE10C4" w:rsidP="00C27B58">
      <w:pPr>
        <w:pStyle w:val="NoSpacing"/>
      </w:pPr>
    </w:p>
    <w:p w:rsidR="00646483" w:rsidRDefault="00646483" w:rsidP="00C27B58">
      <w:pPr>
        <w:pStyle w:val="NoSpacing"/>
      </w:pPr>
    </w:p>
    <w:p w:rsidR="00CE10C4" w:rsidRPr="00882085" w:rsidRDefault="00CE10C4" w:rsidP="002B027D">
      <w:pPr>
        <w:pStyle w:val="PSD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2B027D" w:rsidRPr="00302DFB" w:rsidRDefault="00EF44A0" w:rsidP="00302DFB">
      <w:pPr>
        <w:pStyle w:val="ListParagraph"/>
        <w:numPr>
          <w:ilvl w:val="1"/>
          <w:numId w:val="25"/>
        </w:numPr>
        <w:jc w:val="both"/>
        <w:rPr>
          <w:rFonts w:ascii="Arial" w:hAnsi="Arial"/>
          <w:sz w:val="22"/>
          <w:szCs w:val="22"/>
        </w:rPr>
      </w:pPr>
      <w:r>
        <w:rPr>
          <w:rFonts w:ascii="Arial" w:hAnsi="Arial"/>
          <w:sz w:val="22"/>
          <w:szCs w:val="22"/>
        </w:rPr>
        <w:t xml:space="preserve">The </w:t>
      </w:r>
      <w:r w:rsidR="00306328">
        <w:rPr>
          <w:rFonts w:ascii="Arial" w:hAnsi="Arial"/>
          <w:sz w:val="22"/>
          <w:szCs w:val="22"/>
        </w:rPr>
        <w:t xml:space="preserve">PBAC considered the outcomes of a stakeholder meeting with the National LGBTI Health Alliance (the Alliance) held on 18 September 2015.  The Alliance had made a </w:t>
      </w:r>
      <w:r>
        <w:rPr>
          <w:rFonts w:ascii="Arial" w:hAnsi="Arial"/>
          <w:sz w:val="22"/>
          <w:szCs w:val="22"/>
        </w:rPr>
        <w:t xml:space="preserve">minor submission </w:t>
      </w:r>
      <w:r w:rsidR="00306328">
        <w:rPr>
          <w:rFonts w:ascii="Arial" w:hAnsi="Arial"/>
          <w:sz w:val="22"/>
          <w:szCs w:val="22"/>
        </w:rPr>
        <w:t xml:space="preserve">to the </w:t>
      </w:r>
      <w:r w:rsidR="00853571">
        <w:rPr>
          <w:rFonts w:ascii="Arial" w:hAnsi="Arial"/>
          <w:sz w:val="22"/>
          <w:szCs w:val="22"/>
        </w:rPr>
        <w:t xml:space="preserve">requested </w:t>
      </w:r>
      <w:r w:rsidR="00DF53DD">
        <w:rPr>
          <w:rFonts w:ascii="Arial" w:hAnsi="Arial"/>
          <w:sz w:val="22"/>
          <w:szCs w:val="22"/>
        </w:rPr>
        <w:t>c</w:t>
      </w:r>
      <w:r w:rsidR="00853571">
        <w:rPr>
          <w:rFonts w:ascii="Arial" w:hAnsi="Arial"/>
          <w:sz w:val="22"/>
          <w:szCs w:val="22"/>
        </w:rPr>
        <w:t xml:space="preserve">hanges to the </w:t>
      </w:r>
      <w:r w:rsidR="00542FD1">
        <w:rPr>
          <w:rFonts w:ascii="Arial" w:hAnsi="Arial"/>
          <w:sz w:val="22"/>
          <w:szCs w:val="22"/>
        </w:rPr>
        <w:t xml:space="preserve">restrictions that </w:t>
      </w:r>
      <w:proofErr w:type="gramStart"/>
      <w:r w:rsidR="00542FD1">
        <w:rPr>
          <w:rFonts w:ascii="Arial" w:hAnsi="Arial"/>
          <w:sz w:val="22"/>
          <w:szCs w:val="22"/>
        </w:rPr>
        <w:t>are applied</w:t>
      </w:r>
      <w:proofErr w:type="gramEnd"/>
      <w:r w:rsidR="00542FD1">
        <w:rPr>
          <w:rFonts w:ascii="Arial" w:hAnsi="Arial"/>
          <w:sz w:val="22"/>
          <w:szCs w:val="22"/>
        </w:rPr>
        <w:t xml:space="preserve"> to </w:t>
      </w:r>
      <w:r w:rsidR="00853571">
        <w:rPr>
          <w:rFonts w:ascii="Arial" w:hAnsi="Arial"/>
          <w:sz w:val="22"/>
          <w:szCs w:val="22"/>
        </w:rPr>
        <w:t>testosterone for the treatment of androgen deficiency</w:t>
      </w:r>
      <w:r w:rsidR="00DF53DD">
        <w:rPr>
          <w:rFonts w:ascii="Arial" w:hAnsi="Arial"/>
          <w:sz w:val="22"/>
          <w:szCs w:val="22"/>
        </w:rPr>
        <w:t xml:space="preserve"> to enable access by transgender and intersex patients.</w:t>
      </w:r>
      <w:r w:rsidR="00306328">
        <w:rPr>
          <w:rFonts w:ascii="Arial" w:hAnsi="Arial"/>
          <w:sz w:val="22"/>
          <w:szCs w:val="22"/>
        </w:rPr>
        <w:t xml:space="preserve">  </w:t>
      </w:r>
      <w:r w:rsidR="00306328" w:rsidRPr="00306328">
        <w:rPr>
          <w:rFonts w:ascii="Arial" w:hAnsi="Arial"/>
          <w:bCs/>
          <w:sz w:val="22"/>
          <w:szCs w:val="22"/>
        </w:rPr>
        <w:t>The purpose of this meeting was to determine an appropriate restriction arrangement for testosterone for transgender (</w:t>
      </w:r>
      <w:proofErr w:type="gramStart"/>
      <w:r w:rsidR="00306328" w:rsidRPr="00306328">
        <w:rPr>
          <w:rFonts w:ascii="Arial" w:hAnsi="Arial"/>
          <w:bCs/>
          <w:sz w:val="22"/>
          <w:szCs w:val="22"/>
        </w:rPr>
        <w:t>trans</w:t>
      </w:r>
      <w:proofErr w:type="gramEnd"/>
      <w:r w:rsidR="00306328" w:rsidRPr="00306328">
        <w:rPr>
          <w:rFonts w:ascii="Arial" w:hAnsi="Arial"/>
          <w:bCs/>
          <w:sz w:val="22"/>
          <w:szCs w:val="22"/>
        </w:rPr>
        <w:t xml:space="preserve">) and intersex populations. </w:t>
      </w:r>
    </w:p>
    <w:p w:rsidR="00302DFB" w:rsidRPr="00302DFB" w:rsidRDefault="00302DFB" w:rsidP="00302DFB">
      <w:pPr>
        <w:pStyle w:val="ListParagraph"/>
        <w:spacing w:line="480" w:lineRule="auto"/>
        <w:jc w:val="both"/>
        <w:rPr>
          <w:rFonts w:ascii="Arial" w:hAnsi="Arial"/>
          <w:sz w:val="22"/>
          <w:szCs w:val="22"/>
        </w:rPr>
      </w:pPr>
    </w:p>
    <w:p w:rsidR="00614159" w:rsidRPr="00882085" w:rsidRDefault="006A12A5" w:rsidP="002B027D">
      <w:pPr>
        <w:pStyle w:val="PSDheading1"/>
      </w:pPr>
      <w:r w:rsidRPr="00882085">
        <w:t>Requested listing</w:t>
      </w:r>
    </w:p>
    <w:p w:rsidR="006A12A5" w:rsidRPr="00882085" w:rsidRDefault="006A12A5" w:rsidP="00882085">
      <w:pPr>
        <w:jc w:val="both"/>
        <w:rPr>
          <w:rFonts w:ascii="Arial" w:hAnsi="Arial"/>
          <w:b/>
          <w:sz w:val="22"/>
          <w:szCs w:val="22"/>
        </w:rPr>
      </w:pPr>
    </w:p>
    <w:p w:rsidR="00646483" w:rsidRDefault="00BB4DB8">
      <w:pPr>
        <w:pStyle w:val="ListParagraph"/>
        <w:numPr>
          <w:ilvl w:val="1"/>
          <w:numId w:val="25"/>
        </w:numPr>
        <w:jc w:val="both"/>
        <w:rPr>
          <w:rFonts w:ascii="Arial" w:hAnsi="Arial"/>
          <w:sz w:val="22"/>
          <w:szCs w:val="22"/>
        </w:rPr>
      </w:pPr>
      <w:r w:rsidRPr="00BB4DB8">
        <w:rPr>
          <w:rFonts w:ascii="Arial" w:hAnsi="Arial"/>
          <w:sz w:val="22"/>
          <w:szCs w:val="22"/>
        </w:rPr>
        <w:t xml:space="preserve">The submission requested changes to the revised restrictions </w:t>
      </w:r>
      <w:r w:rsidR="00646483">
        <w:rPr>
          <w:rFonts w:ascii="Arial" w:hAnsi="Arial"/>
          <w:sz w:val="22"/>
          <w:szCs w:val="22"/>
        </w:rPr>
        <w:t xml:space="preserve">for </w:t>
      </w:r>
      <w:proofErr w:type="gramStart"/>
      <w:r w:rsidR="00646483" w:rsidRPr="00A03363">
        <w:rPr>
          <w:rFonts w:ascii="Arial" w:hAnsi="Arial"/>
          <w:sz w:val="22"/>
          <w:szCs w:val="22"/>
        </w:rPr>
        <w:t xml:space="preserve">testosterone </w:t>
      </w:r>
      <w:r w:rsidRPr="00BB4DB8">
        <w:rPr>
          <w:rFonts w:ascii="Arial" w:hAnsi="Arial"/>
          <w:sz w:val="22"/>
          <w:szCs w:val="22"/>
        </w:rPr>
        <w:t>which</w:t>
      </w:r>
      <w:proofErr w:type="gramEnd"/>
      <w:r w:rsidRPr="00BB4DB8">
        <w:rPr>
          <w:rFonts w:ascii="Arial" w:hAnsi="Arial"/>
          <w:sz w:val="22"/>
          <w:szCs w:val="22"/>
        </w:rPr>
        <w:t xml:space="preserve"> came into effect </w:t>
      </w:r>
      <w:r w:rsidR="00646483">
        <w:rPr>
          <w:rFonts w:ascii="Arial" w:hAnsi="Arial"/>
          <w:sz w:val="22"/>
          <w:szCs w:val="22"/>
        </w:rPr>
        <w:t>on</w:t>
      </w:r>
      <w:r w:rsidRPr="00BB4DB8">
        <w:rPr>
          <w:rFonts w:ascii="Arial" w:hAnsi="Arial"/>
          <w:sz w:val="22"/>
          <w:szCs w:val="22"/>
        </w:rPr>
        <w:t xml:space="preserve"> 1 April 2015</w:t>
      </w:r>
      <w:r>
        <w:rPr>
          <w:rFonts w:ascii="Arial" w:hAnsi="Arial"/>
          <w:sz w:val="22"/>
          <w:szCs w:val="22"/>
        </w:rPr>
        <w:t>.</w:t>
      </w:r>
      <w:r w:rsidDel="00BB4DB8">
        <w:rPr>
          <w:rFonts w:ascii="Arial" w:hAnsi="Arial"/>
          <w:sz w:val="22"/>
          <w:szCs w:val="22"/>
        </w:rPr>
        <w:t xml:space="preserve"> </w:t>
      </w:r>
    </w:p>
    <w:p w:rsidR="00BB4DB8" w:rsidRPr="00646483" w:rsidRDefault="00BB4DB8" w:rsidP="004C4781">
      <w:pPr>
        <w:pStyle w:val="ListParagraph"/>
        <w:jc w:val="both"/>
        <w:rPr>
          <w:rFonts w:ascii="Arial" w:hAnsi="Arial"/>
          <w:sz w:val="22"/>
          <w:szCs w:val="22"/>
        </w:rPr>
      </w:pPr>
    </w:p>
    <w:p w:rsidR="00BB4DB8" w:rsidRPr="00DF53DD" w:rsidRDefault="00BB4DB8" w:rsidP="00BB4DB8">
      <w:pPr>
        <w:pStyle w:val="ListParagraph"/>
        <w:numPr>
          <w:ilvl w:val="1"/>
          <w:numId w:val="25"/>
        </w:numPr>
        <w:jc w:val="both"/>
        <w:rPr>
          <w:rFonts w:ascii="Arial" w:hAnsi="Arial"/>
          <w:b/>
          <w:sz w:val="22"/>
          <w:szCs w:val="22"/>
        </w:rPr>
      </w:pPr>
      <w:r>
        <w:rPr>
          <w:rFonts w:ascii="Arial" w:hAnsi="Arial"/>
          <w:sz w:val="22"/>
          <w:szCs w:val="22"/>
        </w:rPr>
        <w:t>The submission requested restoring the ability of General Practitioners (GP) to prescribe testosterone without consultation with a specialist when treating androgen deficiency in patients:</w:t>
      </w:r>
    </w:p>
    <w:p w:rsidR="00BB4DB8" w:rsidRPr="003F3DAC" w:rsidRDefault="00BB4DB8" w:rsidP="00BB4DB8">
      <w:pPr>
        <w:pStyle w:val="ListParagraph"/>
        <w:numPr>
          <w:ilvl w:val="0"/>
          <w:numId w:val="45"/>
        </w:numPr>
        <w:ind w:left="1134" w:hanging="425"/>
        <w:jc w:val="both"/>
        <w:rPr>
          <w:rFonts w:ascii="Arial" w:hAnsi="Arial"/>
          <w:sz w:val="22"/>
          <w:szCs w:val="22"/>
        </w:rPr>
      </w:pPr>
      <w:r>
        <w:rPr>
          <w:rFonts w:ascii="Arial" w:hAnsi="Arial"/>
          <w:sz w:val="22"/>
          <w:szCs w:val="22"/>
        </w:rPr>
        <w:t xml:space="preserve">who cannot produce testosterone within the normal male range due to absent or non-functioning testes (including trans patients and patients with intersex characteristics </w:t>
      </w:r>
      <w:r w:rsidRPr="003F3DAC">
        <w:rPr>
          <w:rFonts w:ascii="Arial" w:hAnsi="Arial"/>
          <w:sz w:val="22"/>
          <w:szCs w:val="22"/>
        </w:rPr>
        <w:t>with</w:t>
      </w:r>
      <w:r>
        <w:rPr>
          <w:rFonts w:ascii="Arial" w:hAnsi="Arial"/>
          <w:sz w:val="22"/>
          <w:szCs w:val="22"/>
        </w:rPr>
        <w:t xml:space="preserve"> </w:t>
      </w:r>
      <w:r w:rsidRPr="003F3DAC">
        <w:rPr>
          <w:rFonts w:ascii="Arial" w:hAnsi="Arial"/>
          <w:sz w:val="22"/>
          <w:szCs w:val="22"/>
        </w:rPr>
        <w:t>a</w:t>
      </w:r>
      <w:r>
        <w:rPr>
          <w:rFonts w:ascii="Arial" w:hAnsi="Arial"/>
          <w:sz w:val="22"/>
          <w:szCs w:val="22"/>
        </w:rPr>
        <w:t xml:space="preserve"> </w:t>
      </w:r>
      <w:r w:rsidRPr="003F3DAC">
        <w:rPr>
          <w:rFonts w:ascii="Arial" w:hAnsi="Arial"/>
          <w:sz w:val="22"/>
          <w:szCs w:val="22"/>
        </w:rPr>
        <w:t>current</w:t>
      </w:r>
      <w:r>
        <w:rPr>
          <w:rFonts w:ascii="Arial" w:hAnsi="Arial"/>
          <w:sz w:val="22"/>
          <w:szCs w:val="22"/>
        </w:rPr>
        <w:t xml:space="preserve"> </w:t>
      </w:r>
      <w:r w:rsidRPr="003F3DAC">
        <w:rPr>
          <w:rFonts w:ascii="Arial" w:hAnsi="Arial"/>
          <w:sz w:val="22"/>
          <w:szCs w:val="22"/>
        </w:rPr>
        <w:t>testosterone</w:t>
      </w:r>
      <w:r>
        <w:rPr>
          <w:rFonts w:ascii="Arial" w:hAnsi="Arial"/>
          <w:sz w:val="22"/>
          <w:szCs w:val="22"/>
        </w:rPr>
        <w:t xml:space="preserve"> </w:t>
      </w:r>
      <w:r w:rsidRPr="003F3DAC">
        <w:rPr>
          <w:rFonts w:ascii="Arial" w:hAnsi="Arial"/>
          <w:sz w:val="22"/>
          <w:szCs w:val="22"/>
        </w:rPr>
        <w:t>prescription</w:t>
      </w:r>
      <w:r>
        <w:rPr>
          <w:rFonts w:ascii="Arial" w:hAnsi="Arial"/>
          <w:sz w:val="22"/>
          <w:szCs w:val="22"/>
        </w:rPr>
        <w:t xml:space="preserve"> </w:t>
      </w:r>
      <w:r w:rsidRPr="003F3DAC">
        <w:rPr>
          <w:rFonts w:ascii="Arial" w:hAnsi="Arial"/>
          <w:sz w:val="22"/>
          <w:szCs w:val="22"/>
        </w:rPr>
        <w:t>who</w:t>
      </w:r>
      <w:r>
        <w:rPr>
          <w:rFonts w:ascii="Arial" w:hAnsi="Arial"/>
          <w:sz w:val="22"/>
          <w:szCs w:val="22"/>
        </w:rPr>
        <w:t xml:space="preserve"> </w:t>
      </w:r>
      <w:r w:rsidRPr="003F3DAC">
        <w:rPr>
          <w:rFonts w:ascii="Arial" w:hAnsi="Arial"/>
          <w:sz w:val="22"/>
          <w:szCs w:val="22"/>
        </w:rPr>
        <w:t>are</w:t>
      </w:r>
      <w:r>
        <w:rPr>
          <w:rFonts w:ascii="Arial" w:hAnsi="Arial"/>
          <w:sz w:val="22"/>
          <w:szCs w:val="22"/>
        </w:rPr>
        <w:t xml:space="preserve"> </w:t>
      </w:r>
      <w:r w:rsidRPr="003F3DAC">
        <w:rPr>
          <w:rFonts w:ascii="Arial" w:hAnsi="Arial"/>
          <w:sz w:val="22"/>
          <w:szCs w:val="22"/>
        </w:rPr>
        <w:t>thus</w:t>
      </w:r>
      <w:r>
        <w:rPr>
          <w:rFonts w:ascii="Arial" w:hAnsi="Arial"/>
          <w:sz w:val="22"/>
          <w:szCs w:val="22"/>
        </w:rPr>
        <w:t xml:space="preserve"> </w:t>
      </w:r>
      <w:r w:rsidRPr="003F3DAC">
        <w:rPr>
          <w:rFonts w:ascii="Arial" w:hAnsi="Arial"/>
          <w:sz w:val="22"/>
          <w:szCs w:val="22"/>
        </w:rPr>
        <w:t>unable</w:t>
      </w:r>
      <w:r>
        <w:rPr>
          <w:rFonts w:ascii="Arial" w:hAnsi="Arial"/>
          <w:sz w:val="22"/>
          <w:szCs w:val="22"/>
        </w:rPr>
        <w:t xml:space="preserve"> </w:t>
      </w:r>
      <w:r w:rsidRPr="003F3DAC">
        <w:rPr>
          <w:rFonts w:ascii="Arial" w:hAnsi="Arial"/>
          <w:sz w:val="22"/>
          <w:szCs w:val="22"/>
        </w:rPr>
        <w:t>to</w:t>
      </w:r>
      <w:r>
        <w:rPr>
          <w:rFonts w:ascii="Arial" w:hAnsi="Arial"/>
          <w:sz w:val="22"/>
          <w:szCs w:val="22"/>
        </w:rPr>
        <w:t xml:space="preserve"> </w:t>
      </w:r>
      <w:r w:rsidRPr="003F3DAC">
        <w:rPr>
          <w:rFonts w:ascii="Arial" w:hAnsi="Arial"/>
          <w:sz w:val="22"/>
          <w:szCs w:val="22"/>
        </w:rPr>
        <w:t>document</w:t>
      </w:r>
      <w:r>
        <w:rPr>
          <w:rFonts w:ascii="Arial" w:hAnsi="Arial"/>
          <w:sz w:val="22"/>
          <w:szCs w:val="22"/>
        </w:rPr>
        <w:t xml:space="preserve"> </w:t>
      </w:r>
      <w:r w:rsidRPr="003F3DAC">
        <w:rPr>
          <w:rFonts w:ascii="Arial" w:hAnsi="Arial"/>
          <w:sz w:val="22"/>
          <w:szCs w:val="22"/>
        </w:rPr>
        <w:t>low</w:t>
      </w:r>
      <w:r>
        <w:rPr>
          <w:rFonts w:ascii="Arial" w:hAnsi="Arial"/>
          <w:sz w:val="22"/>
          <w:szCs w:val="22"/>
        </w:rPr>
        <w:t xml:space="preserve"> </w:t>
      </w:r>
      <w:r w:rsidRPr="003F3DAC">
        <w:rPr>
          <w:rFonts w:ascii="Arial" w:hAnsi="Arial"/>
          <w:sz w:val="22"/>
          <w:szCs w:val="22"/>
        </w:rPr>
        <w:t>testosterone</w:t>
      </w:r>
      <w:r>
        <w:rPr>
          <w:rFonts w:ascii="Arial" w:hAnsi="Arial"/>
          <w:sz w:val="22"/>
          <w:szCs w:val="22"/>
        </w:rPr>
        <w:t xml:space="preserve"> </w:t>
      </w:r>
      <w:r w:rsidRPr="003F3DAC">
        <w:rPr>
          <w:rFonts w:ascii="Arial" w:hAnsi="Arial"/>
          <w:sz w:val="22"/>
          <w:szCs w:val="22"/>
        </w:rPr>
        <w:t>despite</w:t>
      </w:r>
      <w:r>
        <w:rPr>
          <w:rFonts w:ascii="Arial" w:hAnsi="Arial"/>
          <w:sz w:val="22"/>
          <w:szCs w:val="22"/>
        </w:rPr>
        <w:t xml:space="preserve"> </w:t>
      </w:r>
      <w:r w:rsidRPr="003F3DAC">
        <w:rPr>
          <w:rFonts w:ascii="Arial" w:hAnsi="Arial"/>
          <w:sz w:val="22"/>
          <w:szCs w:val="22"/>
        </w:rPr>
        <w:t>requiring</w:t>
      </w:r>
      <w:r>
        <w:rPr>
          <w:rFonts w:ascii="Arial" w:hAnsi="Arial"/>
          <w:sz w:val="22"/>
          <w:szCs w:val="22"/>
        </w:rPr>
        <w:t xml:space="preserve"> </w:t>
      </w:r>
      <w:r w:rsidRPr="003F3DAC">
        <w:rPr>
          <w:rFonts w:ascii="Arial" w:hAnsi="Arial"/>
          <w:sz w:val="22"/>
          <w:szCs w:val="22"/>
        </w:rPr>
        <w:t>ongoing,</w:t>
      </w:r>
      <w:r>
        <w:rPr>
          <w:rFonts w:ascii="Arial" w:hAnsi="Arial"/>
          <w:sz w:val="22"/>
          <w:szCs w:val="22"/>
        </w:rPr>
        <w:t xml:space="preserve"> </w:t>
      </w:r>
      <w:r w:rsidRPr="003F3DAC">
        <w:rPr>
          <w:rFonts w:ascii="Arial" w:hAnsi="Arial"/>
          <w:sz w:val="22"/>
          <w:szCs w:val="22"/>
        </w:rPr>
        <w:t>lifelong</w:t>
      </w:r>
      <w:r>
        <w:rPr>
          <w:rFonts w:ascii="Arial" w:hAnsi="Arial"/>
          <w:sz w:val="22"/>
          <w:szCs w:val="22"/>
        </w:rPr>
        <w:t xml:space="preserve"> </w:t>
      </w:r>
      <w:r w:rsidRPr="003F3DAC">
        <w:rPr>
          <w:rFonts w:ascii="Arial" w:hAnsi="Arial"/>
          <w:sz w:val="22"/>
          <w:szCs w:val="22"/>
        </w:rPr>
        <w:t>administration</w:t>
      </w:r>
      <w:r>
        <w:rPr>
          <w:rFonts w:ascii="Arial" w:hAnsi="Arial"/>
          <w:sz w:val="22"/>
          <w:szCs w:val="22"/>
        </w:rPr>
        <w:t xml:space="preserve"> </w:t>
      </w:r>
      <w:r w:rsidRPr="003F3DAC">
        <w:rPr>
          <w:rFonts w:ascii="Arial" w:hAnsi="Arial"/>
          <w:sz w:val="22"/>
          <w:szCs w:val="22"/>
        </w:rPr>
        <w:t>of</w:t>
      </w:r>
      <w:r>
        <w:rPr>
          <w:rFonts w:ascii="Arial" w:hAnsi="Arial"/>
          <w:sz w:val="22"/>
          <w:szCs w:val="22"/>
        </w:rPr>
        <w:t xml:space="preserve"> </w:t>
      </w:r>
      <w:r w:rsidRPr="003F3DAC">
        <w:rPr>
          <w:rFonts w:ascii="Arial" w:hAnsi="Arial"/>
          <w:sz w:val="22"/>
          <w:szCs w:val="22"/>
        </w:rPr>
        <w:t>testosterone ;</w:t>
      </w:r>
    </w:p>
    <w:p w:rsidR="00BB4DB8" w:rsidRPr="00DF53DD" w:rsidRDefault="00BB4DB8" w:rsidP="00BB4DB8">
      <w:pPr>
        <w:pStyle w:val="ListParagraph"/>
        <w:numPr>
          <w:ilvl w:val="0"/>
          <w:numId w:val="45"/>
        </w:numPr>
        <w:ind w:left="1134" w:hanging="425"/>
        <w:jc w:val="both"/>
        <w:rPr>
          <w:rFonts w:ascii="Arial" w:hAnsi="Arial"/>
          <w:b/>
          <w:sz w:val="22"/>
          <w:szCs w:val="22"/>
        </w:rPr>
      </w:pPr>
      <w:r>
        <w:rPr>
          <w:rFonts w:ascii="Arial" w:hAnsi="Arial"/>
          <w:sz w:val="22"/>
          <w:szCs w:val="22"/>
        </w:rPr>
        <w:t xml:space="preserve">undergoing gender affirmation; and  </w:t>
      </w:r>
    </w:p>
    <w:p w:rsidR="00BB4DB8" w:rsidRPr="002223CA" w:rsidRDefault="00BB4DB8" w:rsidP="00BB4DB8">
      <w:pPr>
        <w:pStyle w:val="ListParagraph"/>
        <w:numPr>
          <w:ilvl w:val="0"/>
          <w:numId w:val="45"/>
        </w:numPr>
        <w:ind w:left="1134" w:hanging="425"/>
        <w:jc w:val="both"/>
        <w:rPr>
          <w:rFonts w:ascii="Arial" w:hAnsi="Arial"/>
          <w:b/>
          <w:sz w:val="22"/>
          <w:szCs w:val="22"/>
        </w:rPr>
      </w:pPr>
      <w:proofErr w:type="gramStart"/>
      <w:r w:rsidRPr="00DB3E0F">
        <w:rPr>
          <w:rFonts w:ascii="Arial" w:hAnsi="Arial"/>
          <w:sz w:val="22"/>
          <w:szCs w:val="22"/>
        </w:rPr>
        <w:t>with</w:t>
      </w:r>
      <w:proofErr w:type="gramEnd"/>
      <w:r w:rsidRPr="00DB3E0F">
        <w:rPr>
          <w:rFonts w:ascii="Arial" w:hAnsi="Arial"/>
          <w:sz w:val="22"/>
          <w:szCs w:val="22"/>
        </w:rPr>
        <w:t xml:space="preserve"> intersex characteristics who give informed consent on their own behalf</w:t>
      </w:r>
      <w:r>
        <w:rPr>
          <w:rFonts w:ascii="Arial" w:hAnsi="Arial"/>
          <w:sz w:val="22"/>
          <w:szCs w:val="22"/>
        </w:rPr>
        <w:t xml:space="preserve"> (excluding involuntary and coerced treatment of patients with intersex variations).</w:t>
      </w:r>
    </w:p>
    <w:p w:rsidR="00BB4DB8" w:rsidRPr="002223CA" w:rsidRDefault="00BB4DB8" w:rsidP="00BB4DB8">
      <w:pPr>
        <w:jc w:val="both"/>
        <w:rPr>
          <w:rFonts w:ascii="Arial" w:hAnsi="Arial"/>
          <w:b/>
          <w:sz w:val="22"/>
          <w:szCs w:val="22"/>
        </w:rPr>
      </w:pPr>
    </w:p>
    <w:p w:rsidR="00BB4DB8" w:rsidRPr="002223CA" w:rsidRDefault="00BB4DB8" w:rsidP="00BB4DB8">
      <w:pPr>
        <w:pStyle w:val="ListParagraph"/>
        <w:numPr>
          <w:ilvl w:val="1"/>
          <w:numId w:val="25"/>
        </w:numPr>
        <w:jc w:val="both"/>
        <w:rPr>
          <w:rFonts w:ascii="Arial" w:hAnsi="Arial"/>
          <w:sz w:val="22"/>
          <w:szCs w:val="22"/>
        </w:rPr>
      </w:pPr>
      <w:r>
        <w:rPr>
          <w:rFonts w:ascii="Arial" w:hAnsi="Arial"/>
          <w:sz w:val="22"/>
          <w:szCs w:val="22"/>
        </w:rPr>
        <w:t xml:space="preserve">The submission requested that </w:t>
      </w:r>
      <w:r w:rsidRPr="002223CA">
        <w:rPr>
          <w:rFonts w:ascii="Arial" w:hAnsi="Arial"/>
          <w:sz w:val="22"/>
          <w:szCs w:val="22"/>
        </w:rPr>
        <w:t>GP consultation with a (non</w:t>
      </w:r>
      <w:r>
        <w:rPr>
          <w:rFonts w:ascii="Arial" w:hAnsi="Arial"/>
          <w:sz w:val="22"/>
          <w:szCs w:val="22"/>
        </w:rPr>
        <w:t>-</w:t>
      </w:r>
      <w:r w:rsidRPr="002223CA">
        <w:rPr>
          <w:rFonts w:ascii="Arial" w:hAnsi="Arial"/>
          <w:sz w:val="22"/>
          <w:szCs w:val="22"/>
        </w:rPr>
        <w:t>GP) specialist for populations a, b, and c (above) should only be required where BOTH of the following two criteria are met:</w:t>
      </w:r>
    </w:p>
    <w:p w:rsidR="00BB4DB8" w:rsidRPr="002223CA" w:rsidRDefault="00BB4DB8" w:rsidP="00BB4DB8">
      <w:pPr>
        <w:pStyle w:val="ListParagraph"/>
        <w:numPr>
          <w:ilvl w:val="0"/>
          <w:numId w:val="49"/>
        </w:numPr>
        <w:ind w:left="1134" w:hanging="425"/>
        <w:jc w:val="both"/>
        <w:rPr>
          <w:rFonts w:ascii="Arial" w:hAnsi="Arial"/>
          <w:sz w:val="22"/>
          <w:szCs w:val="22"/>
        </w:rPr>
      </w:pPr>
      <w:r w:rsidRPr="002223CA">
        <w:rPr>
          <w:rFonts w:ascii="Arial" w:hAnsi="Arial"/>
          <w:sz w:val="22"/>
          <w:szCs w:val="22"/>
        </w:rPr>
        <w:t>routine monitoring or indicated assessment identifies a medical need beyond the individual</w:t>
      </w:r>
      <w:r>
        <w:rPr>
          <w:rFonts w:ascii="Arial" w:hAnsi="Arial"/>
          <w:sz w:val="22"/>
          <w:szCs w:val="22"/>
        </w:rPr>
        <w:t xml:space="preserve"> </w:t>
      </w:r>
      <w:r w:rsidRPr="002223CA">
        <w:rPr>
          <w:rFonts w:ascii="Arial" w:hAnsi="Arial"/>
          <w:sz w:val="22"/>
          <w:szCs w:val="22"/>
        </w:rPr>
        <w:t>GPs scope of practice and experience, as determined on a case-by-case basis; and</w:t>
      </w:r>
    </w:p>
    <w:p w:rsidR="00BB4DB8" w:rsidRPr="002223CA" w:rsidRDefault="00BB4DB8" w:rsidP="00BB4DB8">
      <w:pPr>
        <w:pStyle w:val="ListParagraph"/>
        <w:numPr>
          <w:ilvl w:val="0"/>
          <w:numId w:val="49"/>
        </w:numPr>
        <w:ind w:left="1134" w:hanging="425"/>
        <w:jc w:val="both"/>
        <w:rPr>
          <w:rFonts w:ascii="Arial" w:hAnsi="Arial"/>
          <w:sz w:val="22"/>
          <w:szCs w:val="22"/>
        </w:rPr>
      </w:pPr>
      <w:proofErr w:type="gramStart"/>
      <w:r w:rsidRPr="002223CA">
        <w:rPr>
          <w:rFonts w:ascii="Arial" w:hAnsi="Arial"/>
          <w:sz w:val="22"/>
          <w:szCs w:val="22"/>
        </w:rPr>
        <w:t>the</w:t>
      </w:r>
      <w:proofErr w:type="gramEnd"/>
      <w:r w:rsidRPr="002223CA">
        <w:rPr>
          <w:rFonts w:ascii="Arial" w:hAnsi="Arial"/>
          <w:sz w:val="22"/>
          <w:szCs w:val="22"/>
        </w:rPr>
        <w:t xml:space="preserve"> consultation is with a specialist endocrinologist with specific expertise in testosterone therapy for the specific patient population (e.g., an endocrinologist with specific expertise in testosterone therapy for trans men will be consulted in the case of a trans man patient).</w:t>
      </w:r>
    </w:p>
    <w:p w:rsidR="00BB4DB8" w:rsidRDefault="00BB4DB8" w:rsidP="00BB4DB8">
      <w:pPr>
        <w:pStyle w:val="NoSpacing"/>
      </w:pPr>
    </w:p>
    <w:p w:rsidR="00BB4DB8" w:rsidRDefault="00BB4DB8" w:rsidP="00BB4DB8">
      <w:pPr>
        <w:pStyle w:val="ListParagraph"/>
        <w:numPr>
          <w:ilvl w:val="1"/>
          <w:numId w:val="25"/>
        </w:numPr>
        <w:jc w:val="both"/>
        <w:rPr>
          <w:rFonts w:ascii="Arial" w:hAnsi="Arial"/>
          <w:sz w:val="22"/>
          <w:szCs w:val="22"/>
        </w:rPr>
      </w:pPr>
      <w:r w:rsidRPr="002223CA">
        <w:rPr>
          <w:rFonts w:ascii="Arial" w:hAnsi="Arial"/>
          <w:sz w:val="22"/>
          <w:szCs w:val="22"/>
        </w:rPr>
        <w:t xml:space="preserve">In addition, the </w:t>
      </w:r>
      <w:r>
        <w:rPr>
          <w:rFonts w:ascii="Arial" w:hAnsi="Arial"/>
          <w:sz w:val="22"/>
          <w:szCs w:val="22"/>
        </w:rPr>
        <w:t>submission requested changes to the restriction to comply with federal anti-discrimination legislation:</w:t>
      </w:r>
    </w:p>
    <w:p w:rsidR="00BB4DB8" w:rsidRDefault="00BB4DB8" w:rsidP="004C4781">
      <w:pPr>
        <w:pStyle w:val="ListParagraph"/>
        <w:numPr>
          <w:ilvl w:val="0"/>
          <w:numId w:val="51"/>
        </w:numPr>
        <w:ind w:left="1134" w:hanging="425"/>
        <w:jc w:val="both"/>
        <w:rPr>
          <w:rFonts w:ascii="Arial" w:hAnsi="Arial"/>
          <w:sz w:val="22"/>
          <w:szCs w:val="22"/>
        </w:rPr>
      </w:pPr>
      <w:r>
        <w:rPr>
          <w:rFonts w:ascii="Arial" w:hAnsi="Arial"/>
          <w:sz w:val="22"/>
          <w:szCs w:val="22"/>
        </w:rPr>
        <w:t>the removal of the requirement for patients prescribed testosterone to be “male”;</w:t>
      </w:r>
    </w:p>
    <w:p w:rsidR="00646483" w:rsidRDefault="00BB4DB8" w:rsidP="004C4781">
      <w:pPr>
        <w:pStyle w:val="ListParagraph"/>
        <w:numPr>
          <w:ilvl w:val="0"/>
          <w:numId w:val="51"/>
        </w:numPr>
        <w:ind w:left="1134" w:hanging="425"/>
        <w:jc w:val="both"/>
        <w:rPr>
          <w:rFonts w:ascii="Arial" w:hAnsi="Arial"/>
          <w:sz w:val="22"/>
          <w:szCs w:val="22"/>
        </w:rPr>
      </w:pPr>
      <w:r>
        <w:rPr>
          <w:rFonts w:ascii="Arial" w:hAnsi="Arial"/>
          <w:sz w:val="22"/>
          <w:szCs w:val="22"/>
        </w:rPr>
        <w:t xml:space="preserve">restrict testosterone prescribing on the PBS by endocrinologists, urologists, and sexual health </w:t>
      </w:r>
      <w:r w:rsidRPr="00DB3E0F">
        <w:rPr>
          <w:rFonts w:ascii="Arial" w:hAnsi="Arial"/>
          <w:sz w:val="22"/>
          <w:szCs w:val="22"/>
        </w:rPr>
        <w:t>physicians for patients with intersex characteristics to only those who have given informed consent on their own behalf, inclu</w:t>
      </w:r>
      <w:r>
        <w:rPr>
          <w:rFonts w:ascii="Arial" w:hAnsi="Arial"/>
          <w:sz w:val="22"/>
          <w:szCs w:val="22"/>
        </w:rPr>
        <w:t xml:space="preserve">ding paediatric puberty induction and </w:t>
      </w:r>
      <w:proofErr w:type="spellStart"/>
      <w:r>
        <w:rPr>
          <w:rFonts w:ascii="Arial" w:hAnsi="Arial"/>
          <w:sz w:val="22"/>
          <w:szCs w:val="22"/>
        </w:rPr>
        <w:t>micropenis</w:t>
      </w:r>
      <w:proofErr w:type="spellEnd"/>
      <w:r>
        <w:rPr>
          <w:rFonts w:ascii="Arial" w:hAnsi="Arial"/>
          <w:sz w:val="22"/>
          <w:szCs w:val="22"/>
        </w:rPr>
        <w:t>; and</w:t>
      </w:r>
    </w:p>
    <w:p w:rsidR="00BB4DB8" w:rsidRPr="004C4781" w:rsidRDefault="00BB4DB8" w:rsidP="004C4781">
      <w:pPr>
        <w:pStyle w:val="ListParagraph"/>
        <w:numPr>
          <w:ilvl w:val="0"/>
          <w:numId w:val="51"/>
        </w:numPr>
        <w:ind w:left="1134" w:hanging="425"/>
        <w:jc w:val="both"/>
        <w:rPr>
          <w:rFonts w:ascii="Arial" w:hAnsi="Arial"/>
          <w:sz w:val="22"/>
          <w:szCs w:val="22"/>
        </w:rPr>
      </w:pPr>
      <w:proofErr w:type="gramStart"/>
      <w:r w:rsidRPr="004C4781">
        <w:rPr>
          <w:rFonts w:ascii="Arial" w:hAnsi="Arial"/>
          <w:sz w:val="22"/>
          <w:szCs w:val="22"/>
        </w:rPr>
        <w:lastRenderedPageBreak/>
        <w:t>permit</w:t>
      </w:r>
      <w:proofErr w:type="gramEnd"/>
      <w:r w:rsidRPr="004C4781">
        <w:rPr>
          <w:rFonts w:ascii="Arial" w:hAnsi="Arial"/>
          <w:sz w:val="22"/>
          <w:szCs w:val="22"/>
        </w:rPr>
        <w:t xml:space="preserve"> testosterone prescribing on the PBS for puberty induction and </w:t>
      </w:r>
      <w:proofErr w:type="spellStart"/>
      <w:r w:rsidRPr="004C4781">
        <w:rPr>
          <w:rFonts w:ascii="Arial" w:hAnsi="Arial"/>
          <w:sz w:val="22"/>
          <w:szCs w:val="22"/>
        </w:rPr>
        <w:t>micropenis</w:t>
      </w:r>
      <w:proofErr w:type="spellEnd"/>
      <w:r w:rsidRPr="004C4781">
        <w:rPr>
          <w:rFonts w:ascii="Arial" w:hAnsi="Arial"/>
          <w:sz w:val="22"/>
          <w:szCs w:val="22"/>
        </w:rPr>
        <w:t xml:space="preserve"> for patients with intersex variations who are over 18 years of age and can give informed consent on their own behalf.</w:t>
      </w:r>
    </w:p>
    <w:p w:rsidR="00BB4DB8" w:rsidRDefault="00BB4DB8" w:rsidP="004C4781">
      <w:pPr>
        <w:pStyle w:val="ListParagraph"/>
        <w:jc w:val="both"/>
        <w:rPr>
          <w:rFonts w:ascii="Arial" w:hAnsi="Arial"/>
          <w:sz w:val="22"/>
          <w:szCs w:val="22"/>
        </w:rPr>
      </w:pPr>
    </w:p>
    <w:p w:rsidR="00BB7EC3" w:rsidRPr="00882085" w:rsidRDefault="00BB7EC3" w:rsidP="00882085">
      <w:pPr>
        <w:jc w:val="both"/>
        <w:rPr>
          <w:rFonts w:ascii="Arial" w:hAnsi="Arial"/>
          <w:b/>
          <w:sz w:val="22"/>
          <w:szCs w:val="22"/>
        </w:rPr>
      </w:pPr>
    </w:p>
    <w:p w:rsidR="00CE10C4" w:rsidRPr="00882085" w:rsidRDefault="00CE10C4" w:rsidP="002B027D">
      <w:pPr>
        <w:pStyle w:val="PSDheading1"/>
      </w:pPr>
      <w:r w:rsidRPr="00882085">
        <w:t>Background</w:t>
      </w:r>
    </w:p>
    <w:p w:rsidR="000F6186" w:rsidRPr="00614432" w:rsidRDefault="000F6186" w:rsidP="00614432">
      <w:pPr>
        <w:jc w:val="both"/>
        <w:rPr>
          <w:rFonts w:ascii="Arial" w:hAnsi="Arial"/>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At its October 2012 meeting, the Drug Utilisation Sub-Committee (DUSC) reviewed the utilisation of PBS listed testosterone. The analysis highlighted that utilisation of testosterone had doubled over the previous five years, that there was a trend towards more general practitioners (GPs) initiating therapy, and that there may have been some use of testosterone that was not within the PBS restriction. </w:t>
      </w:r>
    </w:p>
    <w:p w:rsidR="00766FB8" w:rsidRPr="00766FB8" w:rsidRDefault="00766FB8" w:rsidP="00766FB8">
      <w:pPr>
        <w:pStyle w:val="ListParagraph"/>
        <w:jc w:val="both"/>
        <w:rPr>
          <w:rFonts w:ascii="Arial" w:hAnsi="Arial"/>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In its August 2013 consideration of the DUSC analysis report, the PBAC noted that though the proportion of GPs writing the first testosterone prescription for a patient increased only slightly (62% in 2005 to 68% in 2011), almost all of the growth in new patients treated was due to initiations by GPs(84%), rather than by specialists. </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In July 2014, the PBAC made recommendations regarding the PBS restrictions for testosterone products, including: </w:t>
      </w:r>
    </w:p>
    <w:p w:rsidR="00766FB8" w:rsidRPr="00766FB8" w:rsidRDefault="00766FB8" w:rsidP="00614432">
      <w:pPr>
        <w:pStyle w:val="ListParagraph"/>
        <w:numPr>
          <w:ilvl w:val="0"/>
          <w:numId w:val="57"/>
        </w:numPr>
        <w:ind w:left="993" w:hanging="284"/>
        <w:jc w:val="both"/>
        <w:rPr>
          <w:rFonts w:ascii="Arial" w:hAnsi="Arial"/>
          <w:bCs/>
          <w:sz w:val="22"/>
          <w:szCs w:val="22"/>
        </w:rPr>
      </w:pPr>
      <w:r w:rsidRPr="00766FB8">
        <w:rPr>
          <w:rFonts w:ascii="Arial" w:hAnsi="Arial"/>
          <w:bCs/>
          <w:sz w:val="22"/>
          <w:szCs w:val="22"/>
        </w:rPr>
        <w:t xml:space="preserve">Patients prescribed testosterone must be treated by one of the following specialists; </w:t>
      </w:r>
    </w:p>
    <w:p w:rsidR="00766FB8" w:rsidRPr="00766FB8" w:rsidRDefault="00766FB8" w:rsidP="00614432">
      <w:pPr>
        <w:pStyle w:val="ListParagraph"/>
        <w:numPr>
          <w:ilvl w:val="1"/>
          <w:numId w:val="57"/>
        </w:numPr>
        <w:ind w:left="1276" w:hanging="283"/>
        <w:jc w:val="both"/>
        <w:rPr>
          <w:rFonts w:ascii="Arial" w:hAnsi="Arial"/>
          <w:bCs/>
          <w:sz w:val="22"/>
          <w:szCs w:val="22"/>
        </w:rPr>
      </w:pPr>
      <w:r w:rsidRPr="00766FB8">
        <w:rPr>
          <w:rFonts w:ascii="Arial" w:hAnsi="Arial"/>
          <w:bCs/>
          <w:sz w:val="22"/>
          <w:szCs w:val="22"/>
        </w:rPr>
        <w:t xml:space="preserve">paediatric endocrinologist, specialist paediatrician, specialist general paediatrician specialist endocrinologist, specialist urologist; or </w:t>
      </w:r>
    </w:p>
    <w:p w:rsidR="00766FB8" w:rsidRPr="00766FB8" w:rsidRDefault="00766FB8" w:rsidP="00614432">
      <w:pPr>
        <w:pStyle w:val="ListParagraph"/>
        <w:numPr>
          <w:ilvl w:val="0"/>
          <w:numId w:val="57"/>
        </w:numPr>
        <w:ind w:left="993" w:hanging="284"/>
        <w:jc w:val="both"/>
        <w:rPr>
          <w:rFonts w:ascii="Arial" w:hAnsi="Arial"/>
          <w:bCs/>
          <w:sz w:val="22"/>
          <w:szCs w:val="22"/>
        </w:rPr>
      </w:pPr>
      <w:r w:rsidRPr="00766FB8">
        <w:rPr>
          <w:rFonts w:ascii="Arial" w:hAnsi="Arial"/>
          <w:bCs/>
          <w:sz w:val="22"/>
          <w:szCs w:val="22"/>
        </w:rPr>
        <w:t xml:space="preserve">Patients must be treated by a GP in consultation with one of the above specialists; or </w:t>
      </w:r>
    </w:p>
    <w:p w:rsidR="00766FB8" w:rsidRPr="00766FB8" w:rsidRDefault="00766FB8" w:rsidP="00614432">
      <w:pPr>
        <w:pStyle w:val="ListParagraph"/>
        <w:numPr>
          <w:ilvl w:val="0"/>
          <w:numId w:val="57"/>
        </w:numPr>
        <w:ind w:left="993" w:hanging="284"/>
        <w:jc w:val="both"/>
        <w:rPr>
          <w:rFonts w:ascii="Arial" w:hAnsi="Arial"/>
          <w:bCs/>
          <w:sz w:val="22"/>
          <w:szCs w:val="22"/>
        </w:rPr>
      </w:pPr>
      <w:r w:rsidRPr="00766FB8">
        <w:rPr>
          <w:rFonts w:ascii="Arial" w:hAnsi="Arial"/>
          <w:bCs/>
          <w:sz w:val="22"/>
          <w:szCs w:val="22"/>
        </w:rPr>
        <w:t xml:space="preserve">Patients must have an appointment to </w:t>
      </w:r>
      <w:proofErr w:type="gramStart"/>
      <w:r w:rsidRPr="00766FB8">
        <w:rPr>
          <w:rFonts w:ascii="Arial" w:hAnsi="Arial"/>
          <w:bCs/>
          <w:sz w:val="22"/>
          <w:szCs w:val="22"/>
        </w:rPr>
        <w:t>be assessed</w:t>
      </w:r>
      <w:proofErr w:type="gramEnd"/>
      <w:r w:rsidRPr="00766FB8">
        <w:rPr>
          <w:rFonts w:ascii="Arial" w:hAnsi="Arial"/>
          <w:bCs/>
          <w:sz w:val="22"/>
          <w:szCs w:val="22"/>
        </w:rPr>
        <w:t xml:space="preserve"> by one of the aforementioned specialists. </w:t>
      </w:r>
    </w:p>
    <w:p w:rsidR="00766FB8" w:rsidRDefault="00766FB8" w:rsidP="00766FB8">
      <w:pPr>
        <w:pStyle w:val="ListParagraph"/>
        <w:jc w:val="bot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The revised restrictions recommended by the PBAC </w:t>
      </w:r>
      <w:proofErr w:type="gramStart"/>
      <w:r w:rsidRPr="00766FB8">
        <w:rPr>
          <w:rFonts w:ascii="Arial" w:hAnsi="Arial"/>
          <w:bCs/>
          <w:sz w:val="22"/>
          <w:szCs w:val="22"/>
        </w:rPr>
        <w:t>were implemented</w:t>
      </w:r>
      <w:proofErr w:type="gramEnd"/>
      <w:r w:rsidRPr="00766FB8">
        <w:rPr>
          <w:rFonts w:ascii="Arial" w:hAnsi="Arial"/>
          <w:bCs/>
          <w:sz w:val="22"/>
          <w:szCs w:val="22"/>
        </w:rPr>
        <w:t xml:space="preserve"> on 1 April 2015. </w:t>
      </w:r>
    </w:p>
    <w:p w:rsidR="00766FB8" w:rsidRPr="00766FB8" w:rsidRDefault="00766FB8" w:rsidP="00766FB8">
      <w:pPr>
        <w:pStyle w:val="ListParagraph"/>
        <w:jc w:val="both"/>
        <w:rPr>
          <w:rFonts w:ascii="Arial" w:hAnsi="Arial"/>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In July 2015, the PBAC considered a minor submission from the National LGBTI Health Alliance (the Alliance) that requested changes to the newly revised PBS restrictions. The submission requested that the ability of GPs to prescribe testosterone without consultation with a specialist be restored when treating androgen deficiency in the following populations:</w:t>
      </w:r>
    </w:p>
    <w:p w:rsidR="00766FB8" w:rsidRPr="00766FB8" w:rsidRDefault="00766FB8" w:rsidP="00614432">
      <w:pPr>
        <w:pStyle w:val="ListParagraph"/>
        <w:numPr>
          <w:ilvl w:val="0"/>
          <w:numId w:val="57"/>
        </w:numPr>
        <w:ind w:left="993" w:hanging="284"/>
        <w:jc w:val="both"/>
        <w:rPr>
          <w:rFonts w:ascii="Arial" w:hAnsi="Arial"/>
          <w:bCs/>
          <w:sz w:val="22"/>
          <w:szCs w:val="22"/>
        </w:rPr>
      </w:pPr>
      <w:r w:rsidRPr="00766FB8">
        <w:rPr>
          <w:rFonts w:ascii="Arial" w:hAnsi="Arial"/>
          <w:bCs/>
          <w:sz w:val="22"/>
          <w:szCs w:val="22"/>
        </w:rPr>
        <w:t>Patients who cannot produce testosterone within the normal male range due to absent or non-functioning testes;</w:t>
      </w:r>
    </w:p>
    <w:p w:rsidR="00766FB8" w:rsidRPr="00766FB8" w:rsidRDefault="00766FB8" w:rsidP="00614432">
      <w:pPr>
        <w:pStyle w:val="ListParagraph"/>
        <w:numPr>
          <w:ilvl w:val="0"/>
          <w:numId w:val="57"/>
        </w:numPr>
        <w:ind w:left="993" w:hanging="284"/>
        <w:jc w:val="both"/>
        <w:rPr>
          <w:rFonts w:ascii="Arial" w:hAnsi="Arial"/>
          <w:bCs/>
          <w:sz w:val="22"/>
          <w:szCs w:val="22"/>
        </w:rPr>
      </w:pPr>
      <w:r w:rsidRPr="00766FB8">
        <w:rPr>
          <w:rFonts w:ascii="Arial" w:hAnsi="Arial"/>
          <w:bCs/>
          <w:sz w:val="22"/>
          <w:szCs w:val="22"/>
        </w:rPr>
        <w:t xml:space="preserve">Patients undergoing gender affirmation; and </w:t>
      </w:r>
    </w:p>
    <w:p w:rsidR="00766FB8" w:rsidRPr="00766FB8" w:rsidRDefault="00766FB8" w:rsidP="00614432">
      <w:pPr>
        <w:pStyle w:val="ListParagraph"/>
        <w:numPr>
          <w:ilvl w:val="0"/>
          <w:numId w:val="57"/>
        </w:numPr>
        <w:ind w:left="993" w:hanging="284"/>
        <w:jc w:val="both"/>
        <w:rPr>
          <w:rFonts w:ascii="Arial" w:hAnsi="Arial"/>
          <w:bCs/>
          <w:sz w:val="22"/>
          <w:szCs w:val="22"/>
        </w:rPr>
      </w:pPr>
      <w:r w:rsidRPr="00766FB8">
        <w:rPr>
          <w:rFonts w:ascii="Arial" w:hAnsi="Arial"/>
          <w:bCs/>
          <w:sz w:val="22"/>
          <w:szCs w:val="22"/>
        </w:rPr>
        <w:t xml:space="preserve">Patients with intersex characteristics who give informed consent on their own behalf. </w:t>
      </w:r>
    </w:p>
    <w:p w:rsidR="00766FB8" w:rsidRPr="00766FB8" w:rsidRDefault="00766FB8" w:rsidP="00766FB8">
      <w:pPr>
        <w:jc w:val="both"/>
        <w:rPr>
          <w:rFonts w:ascii="Arial" w:hAnsi="Arial"/>
          <w:bCs/>
          <w:sz w:val="22"/>
          <w:szCs w:val="22"/>
        </w:rPr>
      </w:pPr>
    </w:p>
    <w:p w:rsidR="00D37F3A" w:rsidRPr="00D37F3A" w:rsidRDefault="00766FB8" w:rsidP="00D37F3A">
      <w:pPr>
        <w:pStyle w:val="ListParagraph"/>
        <w:numPr>
          <w:ilvl w:val="1"/>
          <w:numId w:val="25"/>
        </w:numPr>
        <w:jc w:val="both"/>
        <w:rPr>
          <w:rFonts w:ascii="Arial" w:hAnsi="Arial"/>
          <w:sz w:val="22"/>
          <w:szCs w:val="22"/>
        </w:rPr>
      </w:pPr>
      <w:r w:rsidRPr="00766FB8">
        <w:rPr>
          <w:rFonts w:ascii="Arial" w:hAnsi="Arial"/>
          <w:bCs/>
          <w:sz w:val="22"/>
          <w:szCs w:val="22"/>
        </w:rPr>
        <w:t>The submission also noted that the gender specific population criterion  “the patient must be male” was contrary to the intent of amendments to the Sex Discrimination Act 1984, and requested</w:t>
      </w:r>
      <w:r w:rsidR="00D37F3A">
        <w:rPr>
          <w:rFonts w:ascii="Arial" w:hAnsi="Arial"/>
          <w:bCs/>
          <w:sz w:val="22"/>
          <w:szCs w:val="22"/>
        </w:rPr>
        <w:t xml:space="preserve"> that the criteria be removed.</w:t>
      </w:r>
    </w:p>
    <w:p w:rsidR="00D37F3A" w:rsidRPr="00D37F3A" w:rsidRDefault="00D37F3A" w:rsidP="00D37F3A">
      <w:pPr>
        <w:pStyle w:val="ListParagraph"/>
        <w:jc w:val="both"/>
        <w:rPr>
          <w:rFonts w:ascii="Arial" w:hAnsi="Arial"/>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Due to the complex nature of the submission, the PBAC recommended holding a stakeholder meeting with the Alliance to determine an appropriate restriction arrangement for testosterone for </w:t>
      </w:r>
      <w:proofErr w:type="gramStart"/>
      <w:r w:rsidRPr="00766FB8">
        <w:rPr>
          <w:rFonts w:ascii="Arial" w:hAnsi="Arial"/>
          <w:bCs/>
          <w:sz w:val="22"/>
          <w:szCs w:val="22"/>
        </w:rPr>
        <w:t>trans</w:t>
      </w:r>
      <w:proofErr w:type="gramEnd"/>
      <w:r w:rsidRPr="00766FB8">
        <w:rPr>
          <w:rFonts w:ascii="Arial" w:hAnsi="Arial"/>
          <w:bCs/>
          <w:sz w:val="22"/>
          <w:szCs w:val="22"/>
        </w:rPr>
        <w:t xml:space="preserve"> and intersex populations.</w:t>
      </w:r>
    </w:p>
    <w:p w:rsidR="004D62C7" w:rsidRPr="00882085" w:rsidRDefault="004D62C7" w:rsidP="00302DFB">
      <w:pPr>
        <w:pStyle w:val="ListParagraph"/>
        <w:spacing w:line="480" w:lineRule="auto"/>
        <w:jc w:val="both"/>
        <w:rPr>
          <w:rFonts w:ascii="Arial" w:hAnsi="Arial"/>
          <w:sz w:val="22"/>
          <w:szCs w:val="22"/>
        </w:rPr>
      </w:pPr>
    </w:p>
    <w:p w:rsidR="00B641AB" w:rsidRDefault="00B641AB" w:rsidP="00B641AB">
      <w:pPr>
        <w:pStyle w:val="ListParagraph"/>
        <w:jc w:val="both"/>
        <w:rPr>
          <w:rFonts w:ascii="Arial" w:hAnsi="Arial"/>
          <w:sz w:val="22"/>
          <w:szCs w:val="22"/>
        </w:rPr>
      </w:pPr>
    </w:p>
    <w:p w:rsidR="00B641AB" w:rsidRPr="00B641AB" w:rsidRDefault="00766FB8" w:rsidP="002B027D">
      <w:pPr>
        <w:pStyle w:val="PSDheading1"/>
      </w:pPr>
      <w:r>
        <w:t>Stakeholder meeting</w:t>
      </w:r>
    </w:p>
    <w:p w:rsidR="00B641AB" w:rsidRPr="00B641AB" w:rsidRDefault="00B641AB" w:rsidP="00B641AB">
      <w:pPr>
        <w:pStyle w:val="ListParagraph"/>
        <w:jc w:val="both"/>
        <w:rPr>
          <w:rFonts w:ascii="Arial" w:hAnsi="Arial"/>
          <w:sz w:val="22"/>
          <w:szCs w:val="22"/>
        </w:rPr>
      </w:pPr>
    </w:p>
    <w:p w:rsidR="00766FB8" w:rsidRDefault="00053357" w:rsidP="00766FB8">
      <w:pPr>
        <w:pStyle w:val="ListParagraph"/>
        <w:numPr>
          <w:ilvl w:val="1"/>
          <w:numId w:val="25"/>
        </w:numPr>
        <w:jc w:val="both"/>
        <w:rPr>
          <w:rFonts w:ascii="Arial" w:hAnsi="Arial"/>
          <w:sz w:val="22"/>
          <w:szCs w:val="22"/>
        </w:rPr>
      </w:pPr>
      <w:r w:rsidRPr="00766FB8">
        <w:rPr>
          <w:rFonts w:ascii="Arial" w:hAnsi="Arial"/>
          <w:sz w:val="22"/>
          <w:szCs w:val="22"/>
        </w:rPr>
        <w:t xml:space="preserve">The changes requested by the LGBTI Alliance </w:t>
      </w:r>
      <w:proofErr w:type="gramStart"/>
      <w:r w:rsidRPr="00766FB8">
        <w:rPr>
          <w:rFonts w:ascii="Arial" w:hAnsi="Arial"/>
          <w:sz w:val="22"/>
          <w:szCs w:val="22"/>
        </w:rPr>
        <w:t>are intended</w:t>
      </w:r>
      <w:proofErr w:type="gramEnd"/>
      <w:r w:rsidRPr="00766FB8">
        <w:rPr>
          <w:rFonts w:ascii="Arial" w:hAnsi="Arial"/>
          <w:sz w:val="22"/>
          <w:szCs w:val="22"/>
        </w:rPr>
        <w:t xml:space="preserve"> to ensure initial and continuing access to testosterone on the </w:t>
      </w:r>
      <w:r w:rsidR="0018738F" w:rsidRPr="00766FB8">
        <w:rPr>
          <w:rFonts w:ascii="Arial" w:hAnsi="Arial"/>
          <w:sz w:val="22"/>
          <w:szCs w:val="22"/>
        </w:rPr>
        <w:t xml:space="preserve">PBS for consenting intersex and </w:t>
      </w:r>
      <w:r w:rsidRPr="00766FB8">
        <w:rPr>
          <w:rFonts w:ascii="Arial" w:hAnsi="Arial"/>
          <w:sz w:val="22"/>
          <w:szCs w:val="22"/>
        </w:rPr>
        <w:t xml:space="preserve">transgender patients within a primary care setting. </w:t>
      </w:r>
    </w:p>
    <w:p w:rsidR="00766FB8" w:rsidRDefault="00766FB8" w:rsidP="00766FB8">
      <w:pPr>
        <w:pStyle w:val="ListParagraph"/>
        <w:jc w:val="both"/>
        <w:rPr>
          <w:rFonts w:ascii="Arial" w:hAnsi="Arial"/>
          <w:sz w:val="22"/>
          <w:szCs w:val="22"/>
        </w:rPr>
      </w:pPr>
    </w:p>
    <w:p w:rsidR="00766FB8" w:rsidRPr="00766FB8" w:rsidRDefault="00766FB8" w:rsidP="00766FB8">
      <w:pPr>
        <w:pStyle w:val="ListParagraph"/>
        <w:numPr>
          <w:ilvl w:val="1"/>
          <w:numId w:val="25"/>
        </w:numPr>
        <w:jc w:val="both"/>
        <w:rPr>
          <w:rFonts w:ascii="Arial" w:hAnsi="Arial"/>
          <w:sz w:val="22"/>
          <w:szCs w:val="22"/>
        </w:rPr>
      </w:pPr>
      <w:r>
        <w:rPr>
          <w:rFonts w:ascii="Arial" w:hAnsi="Arial"/>
          <w:bCs/>
          <w:sz w:val="22"/>
          <w:szCs w:val="22"/>
        </w:rPr>
        <w:t>Regarding current practice, t</w:t>
      </w:r>
      <w:r w:rsidRPr="00766FB8">
        <w:rPr>
          <w:rFonts w:ascii="Arial" w:hAnsi="Arial"/>
          <w:bCs/>
          <w:sz w:val="22"/>
          <w:szCs w:val="22"/>
        </w:rPr>
        <w:t xml:space="preserve">he Alliance explained that transgender and intersex populations utilise PBS listed testosterone to aid in either gender affirmation or gender reparation; this treatment is primarily initiated and maintained via GPs, and generally requires lifelong administration of testosterone.  The alliance further outlined that non-binary patients (individuals who do not identify as male or female) use testosterone intermittently, where they move in and out of treatment as necessary to achieve a preferred muscular aesthetic. The Alliance posited that in clinical </w:t>
      </w:r>
      <w:proofErr w:type="gramStart"/>
      <w:r w:rsidRPr="00766FB8">
        <w:rPr>
          <w:rFonts w:ascii="Arial" w:hAnsi="Arial"/>
          <w:bCs/>
          <w:sz w:val="22"/>
          <w:szCs w:val="22"/>
        </w:rPr>
        <w:t>settings</w:t>
      </w:r>
      <w:proofErr w:type="gramEnd"/>
      <w:r w:rsidRPr="00766FB8">
        <w:rPr>
          <w:rFonts w:ascii="Arial" w:hAnsi="Arial"/>
          <w:bCs/>
          <w:sz w:val="22"/>
          <w:szCs w:val="22"/>
        </w:rPr>
        <w:t xml:space="preserve"> there is insufficient awareness around the appropriate treatment of non-binary population and, as a result, some patients are declined treatment. </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The Alliance explained that GPs initiate testosterone treatment after the patient has undergone a psychiatric assessment with a psychiatrist or clinical psychologist; this assessment can range from 3-6 visits. In most instances there is no inclusion of specialists in the initiation of treatment; this is similar to international practice where GPs are the primary carers of </w:t>
      </w:r>
      <w:proofErr w:type="gramStart"/>
      <w:r w:rsidRPr="00766FB8">
        <w:rPr>
          <w:rFonts w:ascii="Arial" w:hAnsi="Arial"/>
          <w:bCs/>
          <w:sz w:val="22"/>
          <w:szCs w:val="22"/>
        </w:rPr>
        <w:t>trans</w:t>
      </w:r>
      <w:proofErr w:type="gramEnd"/>
      <w:r w:rsidRPr="00766FB8">
        <w:rPr>
          <w:rFonts w:ascii="Arial" w:hAnsi="Arial"/>
          <w:bCs/>
          <w:sz w:val="22"/>
          <w:szCs w:val="22"/>
        </w:rPr>
        <w:t xml:space="preserve"> and intersex patients, and guidelines for the appropriate clinical management of these patients are accessible online.</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The Alliance highlighted that in Victoria there is a shared care arrangement between GPs and specialists particularly in Monash and Royal Children’s </w:t>
      </w:r>
      <w:proofErr w:type="gramStart"/>
      <w:r w:rsidRPr="00766FB8">
        <w:rPr>
          <w:rFonts w:ascii="Arial" w:hAnsi="Arial"/>
          <w:bCs/>
          <w:sz w:val="22"/>
          <w:szCs w:val="22"/>
        </w:rPr>
        <w:t>Hospital which</w:t>
      </w:r>
      <w:proofErr w:type="gramEnd"/>
      <w:r w:rsidRPr="00766FB8">
        <w:rPr>
          <w:rFonts w:ascii="Arial" w:hAnsi="Arial"/>
          <w:bCs/>
          <w:sz w:val="22"/>
          <w:szCs w:val="22"/>
        </w:rPr>
        <w:t xml:space="preserve"> has shown to be effective.</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With regard to the prevalence of GPs initiating testosterone treatment for </w:t>
      </w:r>
      <w:proofErr w:type="gramStart"/>
      <w:r w:rsidRPr="00766FB8">
        <w:rPr>
          <w:rFonts w:ascii="Arial" w:hAnsi="Arial"/>
          <w:bCs/>
          <w:sz w:val="22"/>
          <w:szCs w:val="22"/>
        </w:rPr>
        <w:t>trans</w:t>
      </w:r>
      <w:proofErr w:type="gramEnd"/>
      <w:r w:rsidRPr="00766FB8">
        <w:rPr>
          <w:rFonts w:ascii="Arial" w:hAnsi="Arial"/>
          <w:bCs/>
          <w:sz w:val="22"/>
          <w:szCs w:val="22"/>
        </w:rPr>
        <w:t xml:space="preserve"> and intersex patients, the Alliance noted that the 2012 DUSC analysis may not have captured an increase due to the assumption that care of trans and intersex patients was undertaken by specialists.</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The Alliance outlined their main concern with the revised restrictions was that prescribing had to be initiated at a specialist level. Intersex and transgender patients are reluctant to consult specialists and are more comfortable in the care of general practitioners.  The Alliance noted that restricting prescribing to specialists will reduce the accessibility of testosterone for these patients, particularly in rural and regional areas, and that restricted access to hormone treatment has the potential to result in adverse mental health outcomes for transgender and intersex patients.</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The Alliance also explained that due to the increasing population of transgender and intersex individuals, there is an increasing demand for hormone treatment and waiting times for specialists can be significant. It was the Alliance’s position that this </w:t>
      </w:r>
      <w:proofErr w:type="gramStart"/>
      <w:r w:rsidRPr="00766FB8">
        <w:rPr>
          <w:rFonts w:ascii="Arial" w:hAnsi="Arial"/>
          <w:bCs/>
          <w:sz w:val="22"/>
          <w:szCs w:val="22"/>
        </w:rPr>
        <w:t>impacts</w:t>
      </w:r>
      <w:proofErr w:type="gramEnd"/>
      <w:r w:rsidRPr="00766FB8">
        <w:rPr>
          <w:rFonts w:ascii="Arial" w:hAnsi="Arial"/>
          <w:bCs/>
          <w:sz w:val="22"/>
          <w:szCs w:val="22"/>
        </w:rPr>
        <w:t xml:space="preserve"> both patients and the hospital system, as gender clinics are currently overwhelmed with patient appointments and consultations. The Alliance considered that allowing trained GPs to prescribe testosterone would reduce this burden. </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The Alliance also explained that in restriction wording they would not like gender dysphoria to be </w:t>
      </w:r>
      <w:proofErr w:type="gramStart"/>
      <w:r w:rsidRPr="00766FB8">
        <w:rPr>
          <w:rFonts w:ascii="Arial" w:hAnsi="Arial"/>
          <w:bCs/>
          <w:sz w:val="22"/>
          <w:szCs w:val="22"/>
        </w:rPr>
        <w:t>used</w:t>
      </w:r>
      <w:proofErr w:type="gramEnd"/>
      <w:r w:rsidRPr="00766FB8">
        <w:rPr>
          <w:rFonts w:ascii="Arial" w:hAnsi="Arial"/>
          <w:bCs/>
          <w:sz w:val="22"/>
          <w:szCs w:val="22"/>
        </w:rPr>
        <w:t xml:space="preserve"> as it does not represent the patient population correctly. </w:t>
      </w:r>
      <w:r w:rsidRPr="00766FB8">
        <w:rPr>
          <w:rFonts w:ascii="Arial" w:hAnsi="Arial"/>
          <w:bCs/>
          <w:sz w:val="22"/>
          <w:szCs w:val="22"/>
        </w:rPr>
        <w:lastRenderedPageBreak/>
        <w:t>Gender affirmation and reparation more correctly explain the conditions under which the population utilise the hormone.</w:t>
      </w:r>
    </w:p>
    <w:p w:rsidR="00766FB8" w:rsidRPr="00766FB8" w:rsidRDefault="00766FB8" w:rsidP="00766FB8">
      <w:pPr>
        <w:pStyle w:val="ListParagraph"/>
        <w:rPr>
          <w:rFonts w:ascii="Arial" w:hAnsi="Arial"/>
          <w:bCs/>
          <w:sz w:val="22"/>
          <w:szCs w:val="22"/>
        </w:rPr>
      </w:pPr>
    </w:p>
    <w:p w:rsidR="00766FB8" w:rsidRPr="00D37F3A"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PBAC representatives noted the concerns of the Alliance, and explained that the restrictions </w:t>
      </w:r>
      <w:proofErr w:type="gramStart"/>
      <w:r w:rsidRPr="00766FB8">
        <w:rPr>
          <w:rFonts w:ascii="Arial" w:hAnsi="Arial"/>
          <w:bCs/>
          <w:sz w:val="22"/>
          <w:szCs w:val="22"/>
        </w:rPr>
        <w:t>were revised</w:t>
      </w:r>
      <w:proofErr w:type="gramEnd"/>
      <w:r w:rsidRPr="00766FB8">
        <w:rPr>
          <w:rFonts w:ascii="Arial" w:hAnsi="Arial"/>
          <w:bCs/>
          <w:sz w:val="22"/>
          <w:szCs w:val="22"/>
        </w:rPr>
        <w:t xml:space="preserve"> to reduce the safety issues associated with the misuse of testosterone. While the effect of impeded testosterone access for transgender and intersex populations was inadvertent, the PBAC retained its safety concerns that led to the recommendat</w:t>
      </w:r>
      <w:r w:rsidR="00D37F3A">
        <w:rPr>
          <w:rFonts w:ascii="Arial" w:hAnsi="Arial"/>
          <w:bCs/>
          <w:sz w:val="22"/>
          <w:szCs w:val="22"/>
        </w:rPr>
        <w:t>ion to amend the restrictions.</w:t>
      </w:r>
    </w:p>
    <w:p w:rsidR="00D37F3A" w:rsidRPr="00D37F3A" w:rsidRDefault="00D37F3A" w:rsidP="00D37F3A">
      <w:pPr>
        <w:jc w:val="both"/>
        <w:rPr>
          <w:rFonts w:ascii="Arial" w:hAnsi="Arial"/>
          <w:sz w:val="22"/>
          <w:szCs w:val="22"/>
        </w:rPr>
      </w:pPr>
    </w:p>
    <w:p w:rsidR="00766FB8" w:rsidRPr="00766FB8" w:rsidRDefault="00766FB8" w:rsidP="00766FB8">
      <w:pPr>
        <w:pStyle w:val="ListParagraph"/>
        <w:numPr>
          <w:ilvl w:val="1"/>
          <w:numId w:val="25"/>
        </w:numPr>
        <w:jc w:val="both"/>
        <w:rPr>
          <w:rFonts w:ascii="Arial" w:hAnsi="Arial"/>
          <w:sz w:val="22"/>
          <w:szCs w:val="22"/>
        </w:rPr>
      </w:pPr>
      <w:r w:rsidRPr="00766FB8">
        <w:rPr>
          <w:rFonts w:ascii="Arial" w:hAnsi="Arial"/>
          <w:bCs/>
          <w:sz w:val="22"/>
          <w:szCs w:val="22"/>
        </w:rPr>
        <w:t xml:space="preserve">The PBAC representatives also advised that the current restriction wording for testosterone </w:t>
      </w:r>
      <w:proofErr w:type="gramStart"/>
      <w:r w:rsidRPr="00766FB8">
        <w:rPr>
          <w:rFonts w:ascii="Arial" w:hAnsi="Arial"/>
          <w:bCs/>
          <w:sz w:val="22"/>
          <w:szCs w:val="22"/>
        </w:rPr>
        <w:t>will</w:t>
      </w:r>
      <w:proofErr w:type="gramEnd"/>
      <w:r w:rsidRPr="00766FB8">
        <w:rPr>
          <w:rFonts w:ascii="Arial" w:hAnsi="Arial"/>
          <w:bCs/>
          <w:sz w:val="22"/>
          <w:szCs w:val="22"/>
        </w:rPr>
        <w:t xml:space="preserve"> be revised, with the removal of the criterion that ‘the patient must be male’. The PBAC considered this clinical criterion was an unintentional barrier to some transgender and intersex individuals. </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proofErr w:type="gramStart"/>
      <w:r w:rsidRPr="00766FB8">
        <w:rPr>
          <w:rFonts w:ascii="Arial" w:hAnsi="Arial"/>
          <w:bCs/>
          <w:sz w:val="22"/>
          <w:szCs w:val="22"/>
        </w:rPr>
        <w:t>Regarding potential ways forward, the Alliance noted that there is limited information about transgender and intersex patients available in Australia for treating clinicians, and advised that ANZPATH (Australian and New Zealand Professional Association for Transgender Health) are currently developing guidelines and an online training module that will provide Australian clinicians information about appropriate treatment of trans and intersex patients .These are being modelled on overseas programmes such as the UCSF guidelines in primary care.</w:t>
      </w:r>
      <w:proofErr w:type="gramEnd"/>
      <w:r w:rsidRPr="00766FB8">
        <w:rPr>
          <w:rFonts w:ascii="Arial" w:hAnsi="Arial"/>
          <w:bCs/>
          <w:sz w:val="22"/>
          <w:szCs w:val="22"/>
        </w:rPr>
        <w:t xml:space="preserve"> It was discussed that these online modules could be used to implement accreditation to designated </w:t>
      </w:r>
      <w:proofErr w:type="gramStart"/>
      <w:r w:rsidRPr="00766FB8">
        <w:rPr>
          <w:rFonts w:ascii="Arial" w:hAnsi="Arial"/>
          <w:bCs/>
          <w:sz w:val="22"/>
          <w:szCs w:val="22"/>
        </w:rPr>
        <w:t>GPs which</w:t>
      </w:r>
      <w:proofErr w:type="gramEnd"/>
      <w:r w:rsidRPr="00766FB8">
        <w:rPr>
          <w:rFonts w:ascii="Arial" w:hAnsi="Arial"/>
          <w:bCs/>
          <w:sz w:val="22"/>
          <w:szCs w:val="22"/>
        </w:rPr>
        <w:t xml:space="preserve"> would give them specialist prescribing rights, a notion currently in practice for GP’s treating HIV patients. It </w:t>
      </w:r>
      <w:proofErr w:type="gramStart"/>
      <w:r w:rsidRPr="00766FB8">
        <w:rPr>
          <w:rFonts w:ascii="Arial" w:hAnsi="Arial"/>
          <w:bCs/>
          <w:sz w:val="22"/>
          <w:szCs w:val="22"/>
        </w:rPr>
        <w:t>was also noted</w:t>
      </w:r>
      <w:proofErr w:type="gramEnd"/>
      <w:r w:rsidRPr="00766FB8">
        <w:rPr>
          <w:rFonts w:ascii="Arial" w:hAnsi="Arial"/>
          <w:bCs/>
          <w:sz w:val="22"/>
          <w:szCs w:val="22"/>
        </w:rPr>
        <w:t xml:space="preserve"> by the Alliance that these training programmes would need to include information on non-binary patients and their appropriate treatment. The Alliance considered that if an accreditation programme is implemented, shared care between rural GPs and accredited GPs would allow easier access for those living in remote regions. </w:t>
      </w:r>
    </w:p>
    <w:p w:rsidR="00766FB8" w:rsidRPr="00766FB8" w:rsidRDefault="00766FB8" w:rsidP="00766FB8">
      <w:pPr>
        <w:pStyle w:val="ListParagraph"/>
        <w:rPr>
          <w:rFonts w:ascii="Arial" w:hAnsi="Arial"/>
          <w:bCs/>
          <w:sz w:val="22"/>
          <w:szCs w:val="22"/>
        </w:rPr>
      </w:pPr>
    </w:p>
    <w:p w:rsidR="00766FB8" w:rsidRPr="00766FB8" w:rsidRDefault="00766FB8" w:rsidP="00766FB8">
      <w:pPr>
        <w:pStyle w:val="ListParagraph"/>
        <w:numPr>
          <w:ilvl w:val="1"/>
          <w:numId w:val="25"/>
        </w:numPr>
        <w:jc w:val="both"/>
        <w:rPr>
          <w:rFonts w:ascii="Arial" w:hAnsi="Arial"/>
          <w:sz w:val="22"/>
          <w:szCs w:val="22"/>
        </w:rPr>
      </w:pPr>
      <w:proofErr w:type="gramStart"/>
      <w:r w:rsidRPr="00766FB8">
        <w:rPr>
          <w:rFonts w:ascii="Arial" w:hAnsi="Arial"/>
          <w:bCs/>
          <w:sz w:val="22"/>
          <w:szCs w:val="22"/>
        </w:rPr>
        <w:t>The grandfathering of transgender and intersex patients across to the restrictions currently in place for testosterone maintenance was also discussed as a potential way to allow for continuity of care, however it was highlighted that this was not conventional practice for other restriction changes, and could be perceived as biased in that grandfathering was not permitted in the 1 April 2015 amendments.</w:t>
      </w:r>
      <w:proofErr w:type="gramEnd"/>
    </w:p>
    <w:p w:rsidR="004C4D8A" w:rsidRDefault="004C4D8A" w:rsidP="00302DFB">
      <w:pPr>
        <w:pStyle w:val="ListParagraph"/>
        <w:spacing w:line="480" w:lineRule="auto"/>
        <w:jc w:val="both"/>
        <w:rPr>
          <w:rFonts w:ascii="Arial" w:hAnsi="Arial"/>
          <w:sz w:val="22"/>
          <w:szCs w:val="22"/>
        </w:rPr>
      </w:pPr>
    </w:p>
    <w:p w:rsidR="00053357" w:rsidRDefault="00766FB8" w:rsidP="002B027D">
      <w:pPr>
        <w:pStyle w:val="PSDheading1"/>
      </w:pPr>
      <w:r>
        <w:t>PBAC discussion</w:t>
      </w:r>
    </w:p>
    <w:p w:rsidR="00053357" w:rsidRDefault="00053357" w:rsidP="00245DA6">
      <w:pPr>
        <w:pStyle w:val="ListParagraph"/>
        <w:jc w:val="both"/>
        <w:rPr>
          <w:rFonts w:ascii="Arial" w:hAnsi="Arial"/>
          <w:b/>
          <w:sz w:val="22"/>
          <w:szCs w:val="22"/>
        </w:rPr>
      </w:pPr>
    </w:p>
    <w:p w:rsidR="00C250A8" w:rsidRDefault="00C250A8" w:rsidP="00245DA6">
      <w:pPr>
        <w:pStyle w:val="ListParagraph"/>
        <w:numPr>
          <w:ilvl w:val="1"/>
          <w:numId w:val="25"/>
        </w:numPr>
        <w:jc w:val="both"/>
        <w:rPr>
          <w:rFonts w:ascii="Arial" w:hAnsi="Arial"/>
          <w:sz w:val="22"/>
          <w:szCs w:val="22"/>
        </w:rPr>
      </w:pPr>
      <w:r>
        <w:rPr>
          <w:rFonts w:ascii="Arial" w:hAnsi="Arial"/>
          <w:sz w:val="22"/>
          <w:szCs w:val="22"/>
        </w:rPr>
        <w:t>The PBAC noted the issues faced by intersex and transgender patients seeking to access testosterone on the PBS.  The Committee considered that it</w:t>
      </w:r>
      <w:r w:rsidR="00A94DD4">
        <w:rPr>
          <w:rFonts w:ascii="Arial" w:hAnsi="Arial"/>
          <w:sz w:val="22"/>
          <w:szCs w:val="22"/>
        </w:rPr>
        <w:t xml:space="preserve"> is</w:t>
      </w:r>
      <w:r>
        <w:rPr>
          <w:rFonts w:ascii="Arial" w:hAnsi="Arial"/>
          <w:sz w:val="22"/>
          <w:szCs w:val="22"/>
        </w:rPr>
        <w:t xml:space="preserve"> important to identify a means to balance facilitated access for this vulnerable patient group with the safety concerns that had driven the 1 April 2015 amendments. </w:t>
      </w:r>
    </w:p>
    <w:p w:rsidR="00C250A8" w:rsidRDefault="00C250A8" w:rsidP="00C250A8">
      <w:pPr>
        <w:pStyle w:val="ListParagraph"/>
        <w:jc w:val="both"/>
        <w:rPr>
          <w:rFonts w:ascii="Arial" w:hAnsi="Arial"/>
          <w:sz w:val="22"/>
          <w:szCs w:val="22"/>
        </w:rPr>
      </w:pPr>
    </w:p>
    <w:p w:rsidR="00C250A8" w:rsidRDefault="00C250A8" w:rsidP="00245DA6">
      <w:pPr>
        <w:pStyle w:val="ListParagraph"/>
        <w:numPr>
          <w:ilvl w:val="1"/>
          <w:numId w:val="25"/>
        </w:numPr>
        <w:jc w:val="both"/>
        <w:rPr>
          <w:rFonts w:ascii="Arial" w:hAnsi="Arial"/>
          <w:sz w:val="22"/>
          <w:szCs w:val="22"/>
        </w:rPr>
      </w:pPr>
      <w:r>
        <w:rPr>
          <w:rFonts w:ascii="Arial" w:hAnsi="Arial"/>
          <w:sz w:val="22"/>
          <w:szCs w:val="22"/>
        </w:rPr>
        <w:t xml:space="preserve">The PBAC noted the ongoing development of guidelines for treatment of intersex and transgender patients, as well as training for clinicians in primary healthcare settings.  The PBAC considered that these resources could be useful once </w:t>
      </w:r>
      <w:proofErr w:type="gramStart"/>
      <w:r>
        <w:rPr>
          <w:rFonts w:ascii="Arial" w:hAnsi="Arial"/>
          <w:sz w:val="22"/>
          <w:szCs w:val="22"/>
        </w:rPr>
        <w:t>deployed</w:t>
      </w:r>
      <w:proofErr w:type="gramEnd"/>
      <w:r w:rsidR="0093666E">
        <w:rPr>
          <w:rFonts w:ascii="Arial" w:hAnsi="Arial"/>
          <w:sz w:val="22"/>
          <w:szCs w:val="22"/>
        </w:rPr>
        <w:t>, and may help to identify GPs who have undertaken appropriate training for the purposes of PBS prescribing</w:t>
      </w:r>
      <w:r>
        <w:rPr>
          <w:rFonts w:ascii="Arial" w:hAnsi="Arial"/>
          <w:sz w:val="22"/>
          <w:szCs w:val="22"/>
        </w:rPr>
        <w:t>.</w:t>
      </w:r>
    </w:p>
    <w:p w:rsidR="00C250A8" w:rsidRPr="00C250A8" w:rsidRDefault="00C250A8" w:rsidP="00C250A8">
      <w:pPr>
        <w:pStyle w:val="ListParagraph"/>
        <w:rPr>
          <w:rFonts w:ascii="Arial" w:hAnsi="Arial"/>
          <w:sz w:val="22"/>
          <w:szCs w:val="22"/>
        </w:rPr>
      </w:pPr>
    </w:p>
    <w:p w:rsidR="00053357" w:rsidRDefault="00C250A8" w:rsidP="00245DA6">
      <w:pPr>
        <w:pStyle w:val="ListParagraph"/>
        <w:numPr>
          <w:ilvl w:val="1"/>
          <w:numId w:val="25"/>
        </w:numPr>
        <w:jc w:val="both"/>
        <w:rPr>
          <w:rFonts w:ascii="Arial" w:hAnsi="Arial"/>
          <w:sz w:val="22"/>
          <w:szCs w:val="22"/>
        </w:rPr>
      </w:pPr>
      <w:r>
        <w:rPr>
          <w:rFonts w:ascii="Arial" w:hAnsi="Arial"/>
          <w:sz w:val="22"/>
          <w:szCs w:val="22"/>
        </w:rPr>
        <w:t xml:space="preserve">The PBAC recalled that grandfathering arrangements had </w:t>
      </w:r>
      <w:r w:rsidR="0093666E">
        <w:rPr>
          <w:rFonts w:ascii="Arial" w:hAnsi="Arial"/>
          <w:sz w:val="22"/>
          <w:szCs w:val="22"/>
        </w:rPr>
        <w:t xml:space="preserve">intentionally not </w:t>
      </w:r>
      <w:r>
        <w:rPr>
          <w:rFonts w:ascii="Arial" w:hAnsi="Arial"/>
          <w:sz w:val="22"/>
          <w:szCs w:val="22"/>
        </w:rPr>
        <w:t xml:space="preserve">been included in the 1 April 2015 restriction changes, arising as they had from concerns </w:t>
      </w:r>
      <w:r w:rsidR="0093666E">
        <w:rPr>
          <w:rFonts w:ascii="Arial" w:hAnsi="Arial"/>
          <w:sz w:val="22"/>
          <w:szCs w:val="22"/>
        </w:rPr>
        <w:t>of</w:t>
      </w:r>
      <w:r>
        <w:rPr>
          <w:rFonts w:ascii="Arial" w:hAnsi="Arial"/>
          <w:sz w:val="22"/>
          <w:szCs w:val="22"/>
        </w:rPr>
        <w:t xml:space="preserve"> </w:t>
      </w:r>
      <w:r>
        <w:rPr>
          <w:rFonts w:ascii="Arial" w:hAnsi="Arial"/>
          <w:sz w:val="22"/>
          <w:szCs w:val="22"/>
        </w:rPr>
        <w:lastRenderedPageBreak/>
        <w:t>inappropriate utilisation</w:t>
      </w:r>
      <w:r w:rsidR="00053357">
        <w:rPr>
          <w:rFonts w:ascii="Arial" w:hAnsi="Arial"/>
          <w:sz w:val="22"/>
          <w:szCs w:val="22"/>
        </w:rPr>
        <w:t>.</w:t>
      </w:r>
      <w:r>
        <w:rPr>
          <w:rFonts w:ascii="Arial" w:hAnsi="Arial"/>
          <w:sz w:val="22"/>
          <w:szCs w:val="22"/>
        </w:rPr>
        <w:t xml:space="preserve">  The PBAC </w:t>
      </w:r>
      <w:r w:rsidR="0093666E">
        <w:rPr>
          <w:rFonts w:ascii="Arial" w:hAnsi="Arial"/>
          <w:sz w:val="22"/>
          <w:szCs w:val="22"/>
        </w:rPr>
        <w:t xml:space="preserve">considered it important </w:t>
      </w:r>
      <w:r>
        <w:rPr>
          <w:rFonts w:ascii="Arial" w:hAnsi="Arial"/>
          <w:sz w:val="22"/>
          <w:szCs w:val="22"/>
        </w:rPr>
        <w:t xml:space="preserve">that </w:t>
      </w:r>
      <w:r w:rsidR="0093666E">
        <w:rPr>
          <w:rFonts w:ascii="Arial" w:hAnsi="Arial"/>
          <w:sz w:val="22"/>
          <w:szCs w:val="22"/>
        </w:rPr>
        <w:t>further restrictions changes be equitable for all patients requiring appropriate treatment with PBS-subsidised testosterone.  The PBAC therefore considered that a grandfather restriction for intersex and transgender patients was not a feasible approach.</w:t>
      </w:r>
    </w:p>
    <w:p w:rsidR="0093666E" w:rsidRPr="0093666E" w:rsidRDefault="0093666E" w:rsidP="0093666E">
      <w:pPr>
        <w:jc w:val="both"/>
        <w:rPr>
          <w:rFonts w:ascii="Arial" w:hAnsi="Arial"/>
          <w:sz w:val="22"/>
          <w:szCs w:val="22"/>
        </w:rPr>
      </w:pPr>
    </w:p>
    <w:p w:rsidR="00053357" w:rsidRDefault="00053357" w:rsidP="00245DA6">
      <w:pPr>
        <w:pStyle w:val="ListParagraph"/>
        <w:jc w:val="both"/>
        <w:rPr>
          <w:rFonts w:ascii="Arial" w:hAnsi="Arial"/>
          <w:b/>
          <w:sz w:val="22"/>
          <w:szCs w:val="22"/>
        </w:rPr>
      </w:pPr>
    </w:p>
    <w:p w:rsidR="009278C3" w:rsidRPr="004C4D8A" w:rsidRDefault="00766FB8" w:rsidP="002B027D">
      <w:pPr>
        <w:pStyle w:val="PSDheading1"/>
      </w:pPr>
      <w:r>
        <w:t>PBAC outcome</w:t>
      </w:r>
    </w:p>
    <w:p w:rsidR="00CE10C4" w:rsidRPr="00882085" w:rsidRDefault="00CE10C4" w:rsidP="00882085">
      <w:pPr>
        <w:jc w:val="both"/>
        <w:rPr>
          <w:rFonts w:ascii="Arial" w:hAnsi="Arial"/>
          <w:sz w:val="22"/>
          <w:szCs w:val="22"/>
        </w:rPr>
      </w:pPr>
    </w:p>
    <w:p w:rsidR="006A12A5" w:rsidRPr="00882085" w:rsidRDefault="0093666E" w:rsidP="00826F6D">
      <w:pPr>
        <w:pStyle w:val="ListParagraph"/>
        <w:numPr>
          <w:ilvl w:val="1"/>
          <w:numId w:val="25"/>
        </w:numPr>
        <w:jc w:val="both"/>
        <w:rPr>
          <w:rFonts w:ascii="Arial" w:hAnsi="Arial"/>
          <w:sz w:val="22"/>
          <w:szCs w:val="22"/>
        </w:rPr>
      </w:pPr>
      <w:r>
        <w:rPr>
          <w:rFonts w:ascii="Arial" w:hAnsi="Arial"/>
          <w:sz w:val="22"/>
          <w:szCs w:val="22"/>
        </w:rPr>
        <w:t>The PBAC requested that the Department continue to work on amendments to PBS restrictions for testosterone products to facilitate access for intersex and transgender patients</w:t>
      </w:r>
      <w:r w:rsidR="003E2F6D">
        <w:rPr>
          <w:rFonts w:ascii="Arial" w:hAnsi="Arial"/>
          <w:sz w:val="22"/>
          <w:szCs w:val="22"/>
        </w:rPr>
        <w:t>.</w:t>
      </w:r>
    </w:p>
    <w:p w:rsidR="00C35996" w:rsidRPr="00882085" w:rsidRDefault="00C35996" w:rsidP="00882085">
      <w:pPr>
        <w:pStyle w:val="ListParagraph"/>
        <w:jc w:val="both"/>
        <w:rPr>
          <w:rFonts w:ascii="Arial" w:hAnsi="Arial"/>
          <w:sz w:val="22"/>
          <w:szCs w:val="22"/>
        </w:rPr>
      </w:pPr>
    </w:p>
    <w:sectPr w:rsidR="00C35996" w:rsidRPr="00882085"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23" w:rsidRDefault="00165E23">
      <w:r>
        <w:separator/>
      </w:r>
    </w:p>
    <w:p w:rsidR="00165E23" w:rsidRDefault="00165E23"/>
  </w:endnote>
  <w:endnote w:type="continuationSeparator" w:id="0">
    <w:p w:rsidR="00165E23" w:rsidRDefault="00165E23">
      <w:r>
        <w:continuationSeparator/>
      </w:r>
    </w:p>
    <w:p w:rsidR="00165E23" w:rsidRDefault="0016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24F02" w:rsidTr="005A3173">
      <w:trPr>
        <w:trHeight w:val="151"/>
      </w:trPr>
      <w:tc>
        <w:tcPr>
          <w:tcW w:w="2250" w:type="pct"/>
          <w:tcBorders>
            <w:top w:val="nil"/>
            <w:left w:val="nil"/>
            <w:bottom w:val="single" w:sz="4" w:space="0" w:color="4F81BD"/>
            <w:right w:val="nil"/>
          </w:tcBorders>
        </w:tcPr>
        <w:p w:rsidR="00F24F02" w:rsidRPr="005A3173" w:rsidRDefault="00F24F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4F02" w:rsidRPr="005A3173" w:rsidRDefault="00F24F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4F02" w:rsidRPr="005A3173" w:rsidRDefault="00F24F02" w:rsidP="005A3173">
          <w:pPr>
            <w:pStyle w:val="Header"/>
            <w:spacing w:line="276" w:lineRule="auto"/>
            <w:rPr>
              <w:rFonts w:ascii="Calibri" w:eastAsia="MS Gothic" w:hAnsi="Calibri"/>
              <w:b/>
              <w:bCs/>
              <w:color w:val="4F81BD"/>
            </w:rPr>
          </w:pPr>
        </w:p>
      </w:tc>
    </w:tr>
    <w:tr w:rsidR="00F24F02" w:rsidTr="005A3173">
      <w:trPr>
        <w:trHeight w:val="150"/>
      </w:trPr>
      <w:tc>
        <w:tcPr>
          <w:tcW w:w="2250" w:type="pct"/>
          <w:tcBorders>
            <w:top w:val="single" w:sz="4" w:space="0" w:color="4F81BD"/>
            <w:left w:val="nil"/>
            <w:bottom w:val="nil"/>
            <w:right w:val="nil"/>
          </w:tcBorders>
        </w:tcPr>
        <w:p w:rsidR="00F24F02" w:rsidRPr="005A3173" w:rsidRDefault="00F24F02" w:rsidP="005A3173">
          <w:pPr>
            <w:pStyle w:val="Header"/>
            <w:spacing w:line="276" w:lineRule="auto"/>
            <w:rPr>
              <w:rFonts w:ascii="Calibri" w:eastAsia="MS Gothic" w:hAnsi="Calibri"/>
              <w:b/>
              <w:bCs/>
              <w:color w:val="4F81BD"/>
            </w:rPr>
          </w:pPr>
        </w:p>
      </w:tc>
      <w:tc>
        <w:tcPr>
          <w:tcW w:w="0" w:type="auto"/>
          <w:vMerge/>
          <w:vAlign w:val="center"/>
          <w:hideMark/>
        </w:tcPr>
        <w:p w:rsidR="00F24F02" w:rsidRPr="005A3173" w:rsidRDefault="00F24F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4F02" w:rsidRPr="005A3173" w:rsidRDefault="00F24F02" w:rsidP="005A3173">
          <w:pPr>
            <w:pStyle w:val="Header"/>
            <w:spacing w:line="276" w:lineRule="auto"/>
            <w:rPr>
              <w:rFonts w:ascii="Calibri" w:eastAsia="MS Gothic" w:hAnsi="Calibri"/>
              <w:b/>
              <w:bCs/>
              <w:color w:val="4F81BD"/>
            </w:rPr>
          </w:pPr>
        </w:p>
      </w:tc>
    </w:tr>
  </w:tbl>
  <w:p w:rsidR="00F24F02" w:rsidRDefault="00F24F0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F48">
      <w:rPr>
        <w:rStyle w:val="PageNumber"/>
        <w:noProof/>
      </w:rPr>
      <w:t>5</w:t>
    </w:r>
    <w:r>
      <w:rPr>
        <w:rStyle w:val="PageNumber"/>
      </w:rPr>
      <w:fldChar w:fldCharType="end"/>
    </w:r>
  </w:p>
  <w:p w:rsidR="00F24F02" w:rsidRDefault="00F24F02">
    <w:pPr>
      <w:pStyle w:val="Footer"/>
    </w:pPr>
  </w:p>
  <w:p w:rsidR="00F24F02" w:rsidRDefault="00F24F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702957"/>
      <w:docPartObj>
        <w:docPartGallery w:val="Page Numbers (Bottom of Page)"/>
        <w:docPartUnique/>
      </w:docPartObj>
    </w:sdtPr>
    <w:sdtEndPr>
      <w:rPr>
        <w:rFonts w:ascii="Arial" w:hAnsi="Arial" w:cs="Arial"/>
        <w:noProof/>
        <w:sz w:val="22"/>
        <w:szCs w:val="22"/>
      </w:rPr>
    </w:sdtEndPr>
    <w:sdtContent>
      <w:p w:rsidR="00614432" w:rsidRPr="00614432" w:rsidRDefault="00614432">
        <w:pPr>
          <w:pStyle w:val="Footer"/>
          <w:jc w:val="center"/>
          <w:rPr>
            <w:rFonts w:ascii="Arial" w:hAnsi="Arial" w:cs="Arial"/>
            <w:sz w:val="22"/>
            <w:szCs w:val="22"/>
          </w:rPr>
        </w:pPr>
        <w:r w:rsidRPr="00614432">
          <w:rPr>
            <w:rFonts w:ascii="Arial" w:hAnsi="Arial" w:cs="Arial"/>
            <w:sz w:val="22"/>
            <w:szCs w:val="22"/>
          </w:rPr>
          <w:fldChar w:fldCharType="begin"/>
        </w:r>
        <w:r w:rsidRPr="00614432">
          <w:rPr>
            <w:rFonts w:ascii="Arial" w:hAnsi="Arial" w:cs="Arial"/>
            <w:sz w:val="22"/>
            <w:szCs w:val="22"/>
          </w:rPr>
          <w:instrText xml:space="preserve"> PAGE   \* MERGEFORMAT </w:instrText>
        </w:r>
        <w:r w:rsidRPr="00614432">
          <w:rPr>
            <w:rFonts w:ascii="Arial" w:hAnsi="Arial" w:cs="Arial"/>
            <w:sz w:val="22"/>
            <w:szCs w:val="22"/>
          </w:rPr>
          <w:fldChar w:fldCharType="separate"/>
        </w:r>
        <w:r w:rsidR="0094673A">
          <w:rPr>
            <w:rFonts w:ascii="Arial" w:hAnsi="Arial" w:cs="Arial"/>
            <w:noProof/>
            <w:sz w:val="22"/>
            <w:szCs w:val="22"/>
          </w:rPr>
          <w:t>1</w:t>
        </w:r>
        <w:r w:rsidRPr="00614432">
          <w:rPr>
            <w:rFonts w:ascii="Arial" w:hAnsi="Arial" w:cs="Arial"/>
            <w:noProof/>
            <w:sz w:val="22"/>
            <w:szCs w:val="22"/>
          </w:rPr>
          <w:fldChar w:fldCharType="end"/>
        </w:r>
      </w:p>
    </w:sdtContent>
  </w:sdt>
  <w:p w:rsidR="00F24F02" w:rsidRDefault="00F24F02"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24F02" w:rsidTr="005A3173">
      <w:trPr>
        <w:trHeight w:val="151"/>
      </w:trPr>
      <w:tc>
        <w:tcPr>
          <w:tcW w:w="2250" w:type="pct"/>
          <w:tcBorders>
            <w:top w:val="nil"/>
            <w:left w:val="nil"/>
            <w:bottom w:val="single" w:sz="4" w:space="0" w:color="4F81BD"/>
            <w:right w:val="nil"/>
          </w:tcBorders>
        </w:tcPr>
        <w:p w:rsidR="00F24F02" w:rsidRPr="005A3173" w:rsidRDefault="00F24F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4F02" w:rsidRPr="005A3173" w:rsidRDefault="00F24F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4F02" w:rsidRPr="005A3173" w:rsidRDefault="00F24F02" w:rsidP="005A3173">
          <w:pPr>
            <w:pStyle w:val="Header"/>
            <w:spacing w:line="276" w:lineRule="auto"/>
            <w:rPr>
              <w:rFonts w:ascii="Calibri" w:eastAsia="MS Gothic" w:hAnsi="Calibri"/>
              <w:b/>
              <w:bCs/>
              <w:color w:val="4F81BD"/>
            </w:rPr>
          </w:pPr>
        </w:p>
      </w:tc>
    </w:tr>
    <w:tr w:rsidR="00F24F02" w:rsidTr="005A3173">
      <w:trPr>
        <w:trHeight w:val="150"/>
      </w:trPr>
      <w:tc>
        <w:tcPr>
          <w:tcW w:w="2250" w:type="pct"/>
          <w:tcBorders>
            <w:top w:val="single" w:sz="4" w:space="0" w:color="4F81BD"/>
            <w:left w:val="nil"/>
            <w:bottom w:val="nil"/>
            <w:right w:val="nil"/>
          </w:tcBorders>
        </w:tcPr>
        <w:p w:rsidR="00F24F02" w:rsidRPr="005A3173" w:rsidRDefault="00F24F02" w:rsidP="005A3173">
          <w:pPr>
            <w:pStyle w:val="Header"/>
            <w:spacing w:line="276" w:lineRule="auto"/>
            <w:rPr>
              <w:rFonts w:ascii="Calibri" w:eastAsia="MS Gothic" w:hAnsi="Calibri"/>
              <w:b/>
              <w:bCs/>
              <w:color w:val="4F81BD"/>
            </w:rPr>
          </w:pPr>
        </w:p>
      </w:tc>
      <w:tc>
        <w:tcPr>
          <w:tcW w:w="0" w:type="auto"/>
          <w:vMerge/>
          <w:vAlign w:val="center"/>
          <w:hideMark/>
        </w:tcPr>
        <w:p w:rsidR="00F24F02" w:rsidRPr="005A3173" w:rsidRDefault="00F24F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4F02" w:rsidRPr="005A3173" w:rsidRDefault="00F24F0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24F02" w:rsidTr="005A3173">
      <w:trPr>
        <w:trHeight w:val="151"/>
      </w:trPr>
      <w:tc>
        <w:tcPr>
          <w:tcW w:w="2250" w:type="pct"/>
          <w:tcBorders>
            <w:top w:val="nil"/>
            <w:left w:val="nil"/>
            <w:bottom w:val="single" w:sz="4" w:space="0" w:color="4F81BD"/>
            <w:right w:val="nil"/>
          </w:tcBorders>
        </w:tcPr>
        <w:p w:rsidR="00F24F02" w:rsidRPr="005A3173" w:rsidRDefault="00F24F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4F02" w:rsidRPr="005A3173" w:rsidRDefault="00F24F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4F02" w:rsidRPr="005A3173" w:rsidRDefault="00F24F02" w:rsidP="005A3173">
          <w:pPr>
            <w:pStyle w:val="Header"/>
            <w:spacing w:line="276" w:lineRule="auto"/>
            <w:rPr>
              <w:rFonts w:ascii="Calibri" w:eastAsia="MS Gothic" w:hAnsi="Calibri"/>
              <w:b/>
              <w:bCs/>
              <w:color w:val="4F81BD"/>
            </w:rPr>
          </w:pPr>
        </w:p>
      </w:tc>
    </w:tr>
    <w:tr w:rsidR="00F24F02" w:rsidTr="005A3173">
      <w:trPr>
        <w:trHeight w:val="150"/>
      </w:trPr>
      <w:tc>
        <w:tcPr>
          <w:tcW w:w="2250" w:type="pct"/>
          <w:tcBorders>
            <w:top w:val="single" w:sz="4" w:space="0" w:color="4F81BD"/>
            <w:left w:val="nil"/>
            <w:bottom w:val="nil"/>
            <w:right w:val="nil"/>
          </w:tcBorders>
        </w:tcPr>
        <w:p w:rsidR="00F24F02" w:rsidRPr="005A3173" w:rsidRDefault="00F24F02" w:rsidP="005A3173">
          <w:pPr>
            <w:pStyle w:val="Header"/>
            <w:spacing w:line="276" w:lineRule="auto"/>
            <w:rPr>
              <w:rFonts w:ascii="Calibri" w:eastAsia="MS Gothic" w:hAnsi="Calibri"/>
              <w:b/>
              <w:bCs/>
              <w:color w:val="4F81BD"/>
            </w:rPr>
          </w:pPr>
        </w:p>
      </w:tc>
      <w:tc>
        <w:tcPr>
          <w:tcW w:w="0" w:type="auto"/>
          <w:vMerge/>
          <w:vAlign w:val="center"/>
          <w:hideMark/>
        </w:tcPr>
        <w:p w:rsidR="00F24F02" w:rsidRPr="005A3173" w:rsidRDefault="00F24F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4F02" w:rsidRPr="005A3173" w:rsidRDefault="00F24F02" w:rsidP="005A3173">
          <w:pPr>
            <w:pStyle w:val="Header"/>
            <w:spacing w:line="276" w:lineRule="auto"/>
            <w:rPr>
              <w:rFonts w:ascii="Calibri" w:eastAsia="MS Gothic" w:hAnsi="Calibri"/>
              <w:b/>
              <w:bCs/>
              <w:color w:val="4F81BD"/>
            </w:rPr>
          </w:pPr>
        </w:p>
      </w:tc>
    </w:tr>
  </w:tbl>
  <w:p w:rsidR="00F24F02" w:rsidRPr="007C0F57" w:rsidRDefault="00F24F0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0C7F48">
      <w:rPr>
        <w:rStyle w:val="PageNumber"/>
        <w:noProof/>
      </w:rPr>
      <w:t>5</w:t>
    </w:r>
    <w:r>
      <w:rPr>
        <w:rStyle w:val="PageNumber"/>
      </w:rPr>
      <w:fldChar w:fldCharType="end"/>
    </w:r>
    <w:r w:rsidRPr="007C0F57">
      <w:rPr>
        <w:b/>
        <w:i/>
        <w:sz w:val="20"/>
        <w:szCs w:val="20"/>
      </w:rPr>
      <w:t>BAC Meeting</w:t>
    </w:r>
  </w:p>
  <w:p w:rsidR="00F24F02" w:rsidRPr="007C0F57" w:rsidRDefault="00F24F02" w:rsidP="007C0F57">
    <w:pPr>
      <w:pStyle w:val="Footer"/>
      <w:jc w:val="center"/>
      <w:rPr>
        <w:b/>
        <w:i/>
        <w:sz w:val="20"/>
        <w:szCs w:val="20"/>
      </w:rPr>
    </w:pPr>
    <w:r w:rsidRPr="007C0F57">
      <w:rPr>
        <w:b/>
        <w:i/>
        <w:sz w:val="20"/>
        <w:szCs w:val="20"/>
      </w:rPr>
      <w:t>Commercial-in-Confidence</w:t>
    </w:r>
  </w:p>
  <w:p w:rsidR="00F24F02" w:rsidRDefault="00F24F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23" w:rsidRDefault="00165E23">
      <w:r>
        <w:separator/>
      </w:r>
    </w:p>
    <w:p w:rsidR="00165E23" w:rsidRDefault="00165E23"/>
  </w:footnote>
  <w:footnote w:type="continuationSeparator" w:id="0">
    <w:p w:rsidR="00165E23" w:rsidRDefault="00165E23">
      <w:r>
        <w:continuationSeparator/>
      </w:r>
    </w:p>
    <w:p w:rsidR="00165E23" w:rsidRDefault="00165E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24F02" w:rsidRPr="008E0D90" w:rsidTr="00A06225">
      <w:trPr>
        <w:trHeight w:val="151"/>
      </w:trPr>
      <w:tc>
        <w:tcPr>
          <w:tcW w:w="2389" w:type="pct"/>
          <w:tcBorders>
            <w:top w:val="nil"/>
            <w:left w:val="nil"/>
            <w:bottom w:val="single" w:sz="4" w:space="0" w:color="4F81BD"/>
            <w:right w:val="nil"/>
          </w:tcBorders>
        </w:tcPr>
        <w:p w:rsidR="00F24F02" w:rsidRPr="00A06225" w:rsidRDefault="00F24F02">
          <w:pPr>
            <w:pStyle w:val="Header"/>
            <w:spacing w:line="276" w:lineRule="auto"/>
            <w:rPr>
              <w:rFonts w:ascii="Cambria" w:eastAsia="MS Gothic" w:hAnsi="Cambria"/>
              <w:b/>
              <w:bCs/>
              <w:color w:val="4F81BD"/>
            </w:rPr>
          </w:pPr>
        </w:p>
      </w:tc>
      <w:tc>
        <w:tcPr>
          <w:tcW w:w="333" w:type="pct"/>
          <w:vMerge w:val="restart"/>
          <w:noWrap/>
          <w:vAlign w:val="center"/>
          <w:hideMark/>
        </w:tcPr>
        <w:p w:rsidR="00F24F02" w:rsidRPr="00A06225" w:rsidRDefault="00F24F0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24F02" w:rsidRPr="00A06225" w:rsidRDefault="00F24F02">
          <w:pPr>
            <w:pStyle w:val="Header"/>
            <w:spacing w:line="276" w:lineRule="auto"/>
            <w:rPr>
              <w:rFonts w:ascii="Cambria" w:eastAsia="MS Gothic" w:hAnsi="Cambria"/>
              <w:b/>
              <w:bCs/>
              <w:color w:val="4F81BD"/>
            </w:rPr>
          </w:pPr>
        </w:p>
      </w:tc>
    </w:tr>
    <w:tr w:rsidR="00F24F02" w:rsidRPr="008E0D90" w:rsidTr="00A06225">
      <w:trPr>
        <w:trHeight w:val="150"/>
      </w:trPr>
      <w:tc>
        <w:tcPr>
          <w:tcW w:w="2389" w:type="pct"/>
          <w:tcBorders>
            <w:top w:val="single" w:sz="4" w:space="0" w:color="4F81BD"/>
            <w:left w:val="nil"/>
            <w:bottom w:val="nil"/>
            <w:right w:val="nil"/>
          </w:tcBorders>
        </w:tcPr>
        <w:p w:rsidR="00F24F02" w:rsidRPr="00A06225" w:rsidRDefault="00F24F02">
          <w:pPr>
            <w:pStyle w:val="Header"/>
            <w:spacing w:line="276" w:lineRule="auto"/>
            <w:rPr>
              <w:rFonts w:ascii="Cambria" w:eastAsia="MS Gothic" w:hAnsi="Cambria"/>
              <w:b/>
              <w:bCs/>
              <w:color w:val="4F81BD"/>
            </w:rPr>
          </w:pPr>
        </w:p>
      </w:tc>
      <w:tc>
        <w:tcPr>
          <w:tcW w:w="0" w:type="auto"/>
          <w:vMerge/>
          <w:vAlign w:val="center"/>
          <w:hideMark/>
        </w:tcPr>
        <w:p w:rsidR="00F24F02" w:rsidRPr="00A06225" w:rsidRDefault="00F24F02">
          <w:pPr>
            <w:rPr>
              <w:rFonts w:ascii="Cambria" w:hAnsi="Cambria"/>
              <w:color w:val="4F81BD"/>
              <w:sz w:val="22"/>
              <w:szCs w:val="22"/>
            </w:rPr>
          </w:pPr>
        </w:p>
      </w:tc>
      <w:tc>
        <w:tcPr>
          <w:tcW w:w="2278" w:type="pct"/>
          <w:tcBorders>
            <w:top w:val="single" w:sz="4" w:space="0" w:color="4F81BD"/>
            <w:left w:val="nil"/>
            <w:bottom w:val="nil"/>
            <w:right w:val="nil"/>
          </w:tcBorders>
        </w:tcPr>
        <w:p w:rsidR="00F24F02" w:rsidRPr="00A06225" w:rsidRDefault="00F24F02">
          <w:pPr>
            <w:pStyle w:val="Header"/>
            <w:spacing w:line="276" w:lineRule="auto"/>
            <w:rPr>
              <w:rFonts w:ascii="Cambria" w:eastAsia="MS Gothic" w:hAnsi="Cambria"/>
              <w:b/>
              <w:bCs/>
              <w:color w:val="4F81BD"/>
            </w:rPr>
          </w:pPr>
        </w:p>
      </w:tc>
    </w:tr>
  </w:tbl>
  <w:p w:rsidR="00F24F02" w:rsidRDefault="00F24F02">
    <w:pPr>
      <w:pStyle w:val="Header"/>
    </w:pPr>
  </w:p>
  <w:p w:rsidR="00F24F02" w:rsidRDefault="00F24F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28" w:rsidRPr="00DF217D" w:rsidRDefault="002B027D" w:rsidP="0030632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306328" w:rsidRPr="00DF217D">
      <w:rPr>
        <w:rFonts w:ascii="Arial" w:hAnsi="Arial" w:cs="Arial"/>
        <w:i/>
        <w:color w:val="808080"/>
        <w:sz w:val="22"/>
      </w:rPr>
      <w:t xml:space="preserve">– </w:t>
    </w:r>
    <w:r w:rsidR="00306328">
      <w:rPr>
        <w:rFonts w:ascii="Arial" w:hAnsi="Arial" w:cs="Arial"/>
        <w:i/>
        <w:color w:val="808080"/>
        <w:sz w:val="22"/>
      </w:rPr>
      <w:t xml:space="preserve">November 2015 </w:t>
    </w:r>
    <w:r w:rsidR="00306328" w:rsidRPr="00DF217D">
      <w:rPr>
        <w:rFonts w:ascii="Arial" w:hAnsi="Arial" w:cs="Arial"/>
        <w:i/>
        <w:color w:val="808080"/>
        <w:sz w:val="22"/>
      </w:rPr>
      <w:t>PBAC</w:t>
    </w:r>
    <w:r w:rsidR="00306328">
      <w:rPr>
        <w:rFonts w:ascii="Arial" w:hAnsi="Arial" w:cs="Arial"/>
        <w:i/>
        <w:color w:val="808080"/>
        <w:sz w:val="22"/>
      </w:rPr>
      <w:t xml:space="preserve"> </w:t>
    </w:r>
    <w:r w:rsidR="00306328" w:rsidRPr="00DF217D">
      <w:rPr>
        <w:rFonts w:ascii="Arial" w:hAnsi="Arial" w:cs="Arial"/>
        <w:i/>
        <w:color w:val="808080"/>
        <w:sz w:val="22"/>
      </w:rPr>
      <w:t>Meeting</w:t>
    </w:r>
  </w:p>
  <w:p w:rsidR="00306328" w:rsidRDefault="00306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9BA"/>
    <w:multiLevelType w:val="hybridMultilevel"/>
    <w:tmpl w:val="10F002FA"/>
    <w:lvl w:ilvl="0" w:tplc="33C8048E">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6FC2325"/>
    <w:multiLevelType w:val="hybridMultilevel"/>
    <w:tmpl w:val="10F002FA"/>
    <w:lvl w:ilvl="0" w:tplc="33C8048E">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047E83"/>
    <w:multiLevelType w:val="hybridMultilevel"/>
    <w:tmpl w:val="10F002FA"/>
    <w:lvl w:ilvl="0" w:tplc="33C8048E">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9A0500"/>
    <w:multiLevelType w:val="hybridMultilevel"/>
    <w:tmpl w:val="B920B882"/>
    <w:lvl w:ilvl="0" w:tplc="7D3E3D1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1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1">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nsid w:val="163061C4"/>
    <w:multiLevelType w:val="hybridMultilevel"/>
    <w:tmpl w:val="DA0CA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4">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7">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23331BF7"/>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7EE0950"/>
    <w:multiLevelType w:val="hybridMultilevel"/>
    <w:tmpl w:val="AC7EEB62"/>
    <w:lvl w:ilvl="0" w:tplc="0EF635AE">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4">
    <w:nsid w:val="35AF411A"/>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7">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8">
    <w:nsid w:val="3E0456BF"/>
    <w:multiLevelType w:val="hybridMultilevel"/>
    <w:tmpl w:val="5C4E9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3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4FCC15EB"/>
    <w:multiLevelType w:val="hybridMultilevel"/>
    <w:tmpl w:val="A9325130"/>
    <w:lvl w:ilvl="0" w:tplc="0C090005">
      <w:start w:val="1"/>
      <w:numFmt w:val="bullet"/>
      <w:lvlText w:val=""/>
      <w:lvlJc w:val="left"/>
      <w:pPr>
        <w:ind w:left="1921" w:hanging="360"/>
      </w:pPr>
      <w:rPr>
        <w:rFonts w:ascii="Wingdings" w:hAnsi="Wingdings" w:hint="default"/>
      </w:rPr>
    </w:lvl>
    <w:lvl w:ilvl="1" w:tplc="0C090003" w:tentative="1">
      <w:start w:val="1"/>
      <w:numFmt w:val="bullet"/>
      <w:lvlText w:val="o"/>
      <w:lvlJc w:val="left"/>
      <w:pPr>
        <w:ind w:left="4004" w:hanging="360"/>
      </w:pPr>
      <w:rPr>
        <w:rFonts w:ascii="Courier New" w:hAnsi="Courier New" w:cs="Courier New" w:hint="default"/>
      </w:rPr>
    </w:lvl>
    <w:lvl w:ilvl="2" w:tplc="0C090005" w:tentative="1">
      <w:start w:val="1"/>
      <w:numFmt w:val="bullet"/>
      <w:lvlText w:val=""/>
      <w:lvlJc w:val="left"/>
      <w:pPr>
        <w:ind w:left="4724" w:hanging="360"/>
      </w:pPr>
      <w:rPr>
        <w:rFonts w:ascii="Wingdings" w:hAnsi="Wingdings" w:hint="default"/>
      </w:rPr>
    </w:lvl>
    <w:lvl w:ilvl="3" w:tplc="0C090001" w:tentative="1">
      <w:start w:val="1"/>
      <w:numFmt w:val="bullet"/>
      <w:lvlText w:val=""/>
      <w:lvlJc w:val="left"/>
      <w:pPr>
        <w:ind w:left="5444" w:hanging="360"/>
      </w:pPr>
      <w:rPr>
        <w:rFonts w:ascii="Symbol" w:hAnsi="Symbol" w:hint="default"/>
      </w:rPr>
    </w:lvl>
    <w:lvl w:ilvl="4" w:tplc="0C090003" w:tentative="1">
      <w:start w:val="1"/>
      <w:numFmt w:val="bullet"/>
      <w:lvlText w:val="o"/>
      <w:lvlJc w:val="left"/>
      <w:pPr>
        <w:ind w:left="6164" w:hanging="360"/>
      </w:pPr>
      <w:rPr>
        <w:rFonts w:ascii="Courier New" w:hAnsi="Courier New" w:cs="Courier New" w:hint="default"/>
      </w:rPr>
    </w:lvl>
    <w:lvl w:ilvl="5" w:tplc="0C090005" w:tentative="1">
      <w:start w:val="1"/>
      <w:numFmt w:val="bullet"/>
      <w:lvlText w:val=""/>
      <w:lvlJc w:val="left"/>
      <w:pPr>
        <w:ind w:left="6884" w:hanging="360"/>
      </w:pPr>
      <w:rPr>
        <w:rFonts w:ascii="Wingdings" w:hAnsi="Wingdings" w:hint="default"/>
      </w:rPr>
    </w:lvl>
    <w:lvl w:ilvl="6" w:tplc="0C090001" w:tentative="1">
      <w:start w:val="1"/>
      <w:numFmt w:val="bullet"/>
      <w:lvlText w:val=""/>
      <w:lvlJc w:val="left"/>
      <w:pPr>
        <w:ind w:left="7604" w:hanging="360"/>
      </w:pPr>
      <w:rPr>
        <w:rFonts w:ascii="Symbol" w:hAnsi="Symbol" w:hint="default"/>
      </w:rPr>
    </w:lvl>
    <w:lvl w:ilvl="7" w:tplc="0C090003" w:tentative="1">
      <w:start w:val="1"/>
      <w:numFmt w:val="bullet"/>
      <w:lvlText w:val="o"/>
      <w:lvlJc w:val="left"/>
      <w:pPr>
        <w:ind w:left="8324" w:hanging="360"/>
      </w:pPr>
      <w:rPr>
        <w:rFonts w:ascii="Courier New" w:hAnsi="Courier New" w:cs="Courier New" w:hint="default"/>
      </w:rPr>
    </w:lvl>
    <w:lvl w:ilvl="8" w:tplc="0C090005" w:tentative="1">
      <w:start w:val="1"/>
      <w:numFmt w:val="bullet"/>
      <w:lvlText w:val=""/>
      <w:lvlJc w:val="left"/>
      <w:pPr>
        <w:ind w:left="9044" w:hanging="360"/>
      </w:pPr>
      <w:rPr>
        <w:rFonts w:ascii="Wingdings" w:hAnsi="Wingdings" w:hint="default"/>
      </w:rPr>
    </w:lvl>
  </w:abstractNum>
  <w:abstractNum w:abstractNumId="3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1E7215"/>
    <w:multiLevelType w:val="hybridMultilevel"/>
    <w:tmpl w:val="D8A6CFD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1">
    <w:nsid w:val="62291859"/>
    <w:multiLevelType w:val="hybridMultilevel"/>
    <w:tmpl w:val="B4F22080"/>
    <w:lvl w:ilvl="0" w:tplc="39EC9AC8">
      <w:start w:val="1"/>
      <w:numFmt w:val="lowerLetter"/>
      <w:lvlText w:val="%1)"/>
      <w:lvlJc w:val="left"/>
      <w:pPr>
        <w:ind w:left="1440" w:hanging="360"/>
      </w:pPr>
      <w:rPr>
        <w:rFonts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5">
    <w:nsid w:val="6BA315B7"/>
    <w:multiLevelType w:val="hybridMultilevel"/>
    <w:tmpl w:val="601A32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6C2467E0"/>
    <w:multiLevelType w:val="hybridMultilevel"/>
    <w:tmpl w:val="9508B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2">
    <w:nsid w:val="784D033C"/>
    <w:multiLevelType w:val="multilevel"/>
    <w:tmpl w:val="88EEB0BA"/>
    <w:lvl w:ilvl="0">
      <w:start w:val="1"/>
      <w:numFmt w:val="decimal"/>
      <w:pStyle w:val="PSD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5"/>
  </w:num>
  <w:num w:numId="2">
    <w:abstractNumId w:val="48"/>
  </w:num>
  <w:num w:numId="3">
    <w:abstractNumId w:val="29"/>
  </w:num>
  <w:num w:numId="4">
    <w:abstractNumId w:val="1"/>
  </w:num>
  <w:num w:numId="5">
    <w:abstractNumId w:val="10"/>
  </w:num>
  <w:num w:numId="6">
    <w:abstractNumId w:val="27"/>
  </w:num>
  <w:num w:numId="7">
    <w:abstractNumId w:val="23"/>
  </w:num>
  <w:num w:numId="8">
    <w:abstractNumId w:val="9"/>
  </w:num>
  <w:num w:numId="9">
    <w:abstractNumId w:val="13"/>
  </w:num>
  <w:num w:numId="10">
    <w:abstractNumId w:val="4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9"/>
  </w:num>
  <w:num w:numId="15">
    <w:abstractNumId w:val="37"/>
  </w:num>
  <w:num w:numId="16">
    <w:abstractNumId w:val="32"/>
  </w:num>
  <w:num w:numId="17">
    <w:abstractNumId w:val="51"/>
  </w:num>
  <w:num w:numId="18">
    <w:abstractNumId w:val="18"/>
  </w:num>
  <w:num w:numId="19">
    <w:abstractNumId w:val="26"/>
  </w:num>
  <w:num w:numId="20">
    <w:abstractNumId w:val="7"/>
  </w:num>
  <w:num w:numId="21">
    <w:abstractNumId w:val="42"/>
  </w:num>
  <w:num w:numId="22">
    <w:abstractNumId w:val="47"/>
  </w:num>
  <w:num w:numId="23">
    <w:abstractNumId w:val="53"/>
  </w:num>
  <w:num w:numId="24">
    <w:abstractNumId w:val="22"/>
  </w:num>
  <w:num w:numId="25">
    <w:abstractNumId w:val="52"/>
  </w:num>
  <w:num w:numId="26">
    <w:abstractNumId w:val="38"/>
  </w:num>
  <w:num w:numId="27">
    <w:abstractNumId w:val="17"/>
  </w:num>
  <w:num w:numId="28">
    <w:abstractNumId w:val="11"/>
  </w:num>
  <w:num w:numId="29">
    <w:abstractNumId w:val="35"/>
  </w:num>
  <w:num w:numId="30">
    <w:abstractNumId w:val="6"/>
  </w:num>
  <w:num w:numId="31">
    <w:abstractNumId w:val="36"/>
  </w:num>
  <w:num w:numId="32">
    <w:abstractNumId w:val="50"/>
  </w:num>
  <w:num w:numId="33">
    <w:abstractNumId w:val="34"/>
  </w:num>
  <w:num w:numId="34">
    <w:abstractNumId w:val="54"/>
  </w:num>
  <w:num w:numId="35">
    <w:abstractNumId w:val="16"/>
  </w:num>
  <w:num w:numId="36">
    <w:abstractNumId w:val="31"/>
  </w:num>
  <w:num w:numId="37">
    <w:abstractNumId w:val="39"/>
  </w:num>
  <w:num w:numId="38">
    <w:abstractNumId w:val="14"/>
  </w:num>
  <w:num w:numId="39">
    <w:abstractNumId w:val="25"/>
  </w:num>
  <w:num w:numId="40">
    <w:abstractNumId w:val="2"/>
  </w:num>
  <w:num w:numId="41">
    <w:abstractNumId w:val="21"/>
  </w:num>
  <w:num w:numId="42">
    <w:abstractNumId w:val="43"/>
  </w:num>
  <w:num w:numId="43">
    <w:abstractNumId w:val="5"/>
  </w:num>
  <w:num w:numId="44">
    <w:abstractNumId w:val="45"/>
  </w:num>
  <w:num w:numId="45">
    <w:abstractNumId w:val="41"/>
  </w:num>
  <w:num w:numId="46">
    <w:abstractNumId w:val="19"/>
  </w:num>
  <w:num w:numId="47">
    <w:abstractNumId w:val="24"/>
  </w:num>
  <w:num w:numId="48">
    <w:abstractNumId w:val="46"/>
  </w:num>
  <w:num w:numId="49">
    <w:abstractNumId w:val="3"/>
  </w:num>
  <w:num w:numId="50">
    <w:abstractNumId w:val="4"/>
  </w:num>
  <w:num w:numId="51">
    <w:abstractNumId w:val="0"/>
  </w:num>
  <w:num w:numId="52">
    <w:abstractNumId w:val="28"/>
  </w:num>
  <w:num w:numId="53">
    <w:abstractNumId w:val="33"/>
  </w:num>
  <w:num w:numId="54">
    <w:abstractNumId w:val="40"/>
  </w:num>
  <w:num w:numId="55">
    <w:abstractNumId w:val="8"/>
  </w:num>
  <w:num w:numId="56">
    <w:abstractNumId w:val="12"/>
  </w:num>
  <w:num w:numId="5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57F"/>
    <w:rsid w:val="0002464A"/>
    <w:rsid w:val="0003106B"/>
    <w:rsid w:val="00037301"/>
    <w:rsid w:val="00041E5D"/>
    <w:rsid w:val="000421A1"/>
    <w:rsid w:val="0004240E"/>
    <w:rsid w:val="00045E26"/>
    <w:rsid w:val="000514B5"/>
    <w:rsid w:val="00053357"/>
    <w:rsid w:val="00060E64"/>
    <w:rsid w:val="00066755"/>
    <w:rsid w:val="000824B8"/>
    <w:rsid w:val="000969AD"/>
    <w:rsid w:val="000B558D"/>
    <w:rsid w:val="000C6996"/>
    <w:rsid w:val="000C7F48"/>
    <w:rsid w:val="000D23BA"/>
    <w:rsid w:val="000D60A8"/>
    <w:rsid w:val="000E1BDC"/>
    <w:rsid w:val="000E681E"/>
    <w:rsid w:val="000F4E6A"/>
    <w:rsid w:val="000F6186"/>
    <w:rsid w:val="001005D6"/>
    <w:rsid w:val="001107BF"/>
    <w:rsid w:val="001142CD"/>
    <w:rsid w:val="0012417C"/>
    <w:rsid w:val="00124963"/>
    <w:rsid w:val="00142395"/>
    <w:rsid w:val="00142714"/>
    <w:rsid w:val="001452ED"/>
    <w:rsid w:val="00165E23"/>
    <w:rsid w:val="001830CE"/>
    <w:rsid w:val="0018738F"/>
    <w:rsid w:val="00196307"/>
    <w:rsid w:val="001A6354"/>
    <w:rsid w:val="001B017F"/>
    <w:rsid w:val="001B5129"/>
    <w:rsid w:val="001C1195"/>
    <w:rsid w:val="001C167C"/>
    <w:rsid w:val="001C34E7"/>
    <w:rsid w:val="001F085A"/>
    <w:rsid w:val="00212514"/>
    <w:rsid w:val="00213CFB"/>
    <w:rsid w:val="002152A0"/>
    <w:rsid w:val="00245DA6"/>
    <w:rsid w:val="00247CF9"/>
    <w:rsid w:val="00271BA1"/>
    <w:rsid w:val="00277505"/>
    <w:rsid w:val="0029458F"/>
    <w:rsid w:val="002A104C"/>
    <w:rsid w:val="002A4960"/>
    <w:rsid w:val="002B027D"/>
    <w:rsid w:val="002B1AE6"/>
    <w:rsid w:val="002B30F8"/>
    <w:rsid w:val="002C212F"/>
    <w:rsid w:val="002D2FCE"/>
    <w:rsid w:val="002E3153"/>
    <w:rsid w:val="002E72CA"/>
    <w:rsid w:val="00302DFB"/>
    <w:rsid w:val="00306328"/>
    <w:rsid w:val="003070F8"/>
    <w:rsid w:val="00326E79"/>
    <w:rsid w:val="003350DD"/>
    <w:rsid w:val="003367EF"/>
    <w:rsid w:val="00341AE4"/>
    <w:rsid w:val="00357EC6"/>
    <w:rsid w:val="0038002D"/>
    <w:rsid w:val="003872CF"/>
    <w:rsid w:val="0039719C"/>
    <w:rsid w:val="0039782C"/>
    <w:rsid w:val="003A1B5A"/>
    <w:rsid w:val="003A53C0"/>
    <w:rsid w:val="003A5B4A"/>
    <w:rsid w:val="003B23C5"/>
    <w:rsid w:val="003B2A75"/>
    <w:rsid w:val="003B4C6C"/>
    <w:rsid w:val="003B76C0"/>
    <w:rsid w:val="003D4AC4"/>
    <w:rsid w:val="003D5EAA"/>
    <w:rsid w:val="003D63B7"/>
    <w:rsid w:val="003E2F6D"/>
    <w:rsid w:val="003E468B"/>
    <w:rsid w:val="003F3DAC"/>
    <w:rsid w:val="003F5C8C"/>
    <w:rsid w:val="004465BD"/>
    <w:rsid w:val="00457DDB"/>
    <w:rsid w:val="00466ADA"/>
    <w:rsid w:val="00476245"/>
    <w:rsid w:val="00485940"/>
    <w:rsid w:val="004A5A85"/>
    <w:rsid w:val="004B5640"/>
    <w:rsid w:val="004C0E70"/>
    <w:rsid w:val="004C1BD7"/>
    <w:rsid w:val="004C4781"/>
    <w:rsid w:val="004C4D8A"/>
    <w:rsid w:val="004C691D"/>
    <w:rsid w:val="004D62C7"/>
    <w:rsid w:val="004E692D"/>
    <w:rsid w:val="00501554"/>
    <w:rsid w:val="00504CAE"/>
    <w:rsid w:val="00514CD7"/>
    <w:rsid w:val="0052457D"/>
    <w:rsid w:val="005319B2"/>
    <w:rsid w:val="00532C74"/>
    <w:rsid w:val="00534E2E"/>
    <w:rsid w:val="00542FD1"/>
    <w:rsid w:val="00544552"/>
    <w:rsid w:val="00557A77"/>
    <w:rsid w:val="00581932"/>
    <w:rsid w:val="005963BB"/>
    <w:rsid w:val="005A3173"/>
    <w:rsid w:val="005A3223"/>
    <w:rsid w:val="005A3DA3"/>
    <w:rsid w:val="005A52C4"/>
    <w:rsid w:val="005C35BB"/>
    <w:rsid w:val="005D03AB"/>
    <w:rsid w:val="005D5017"/>
    <w:rsid w:val="00601A91"/>
    <w:rsid w:val="00602BA3"/>
    <w:rsid w:val="00612C8C"/>
    <w:rsid w:val="00612FDF"/>
    <w:rsid w:val="00614159"/>
    <w:rsid w:val="00614432"/>
    <w:rsid w:val="00617C00"/>
    <w:rsid w:val="006263BF"/>
    <w:rsid w:val="0062748A"/>
    <w:rsid w:val="00630A2C"/>
    <w:rsid w:val="00646483"/>
    <w:rsid w:val="00651169"/>
    <w:rsid w:val="00653D69"/>
    <w:rsid w:val="00660B49"/>
    <w:rsid w:val="00670A76"/>
    <w:rsid w:val="006711AA"/>
    <w:rsid w:val="00672B57"/>
    <w:rsid w:val="00675622"/>
    <w:rsid w:val="006906DB"/>
    <w:rsid w:val="006A12A5"/>
    <w:rsid w:val="006A65FC"/>
    <w:rsid w:val="006A6913"/>
    <w:rsid w:val="006B0D94"/>
    <w:rsid w:val="006B485D"/>
    <w:rsid w:val="006C708E"/>
    <w:rsid w:val="006D6EC7"/>
    <w:rsid w:val="006F5125"/>
    <w:rsid w:val="007174BB"/>
    <w:rsid w:val="007461AA"/>
    <w:rsid w:val="00753BEC"/>
    <w:rsid w:val="007628A1"/>
    <w:rsid w:val="0076420C"/>
    <w:rsid w:val="00766FB8"/>
    <w:rsid w:val="00773178"/>
    <w:rsid w:val="007753C2"/>
    <w:rsid w:val="00781848"/>
    <w:rsid w:val="007838B8"/>
    <w:rsid w:val="00784B0B"/>
    <w:rsid w:val="007C0F57"/>
    <w:rsid w:val="007C40B6"/>
    <w:rsid w:val="007C729F"/>
    <w:rsid w:val="007E1D28"/>
    <w:rsid w:val="007F2641"/>
    <w:rsid w:val="007F7C36"/>
    <w:rsid w:val="00806796"/>
    <w:rsid w:val="00826F6D"/>
    <w:rsid w:val="00853571"/>
    <w:rsid w:val="00856DDD"/>
    <w:rsid w:val="00863E68"/>
    <w:rsid w:val="008816B0"/>
    <w:rsid w:val="00882085"/>
    <w:rsid w:val="00883188"/>
    <w:rsid w:val="00897D58"/>
    <w:rsid w:val="008A1956"/>
    <w:rsid w:val="008A4937"/>
    <w:rsid w:val="008B2422"/>
    <w:rsid w:val="008D3C82"/>
    <w:rsid w:val="008D447E"/>
    <w:rsid w:val="008D7A41"/>
    <w:rsid w:val="008E3680"/>
    <w:rsid w:val="008E5870"/>
    <w:rsid w:val="008F1434"/>
    <w:rsid w:val="008F7355"/>
    <w:rsid w:val="009031CA"/>
    <w:rsid w:val="00904132"/>
    <w:rsid w:val="009067B7"/>
    <w:rsid w:val="00916B32"/>
    <w:rsid w:val="009278C3"/>
    <w:rsid w:val="00930937"/>
    <w:rsid w:val="00933E6C"/>
    <w:rsid w:val="00935CF0"/>
    <w:rsid w:val="0093666E"/>
    <w:rsid w:val="00942160"/>
    <w:rsid w:val="0094376B"/>
    <w:rsid w:val="0094673A"/>
    <w:rsid w:val="009602C5"/>
    <w:rsid w:val="00974C21"/>
    <w:rsid w:val="009B0F67"/>
    <w:rsid w:val="009C57DC"/>
    <w:rsid w:val="009C703C"/>
    <w:rsid w:val="009D3CAA"/>
    <w:rsid w:val="009E4077"/>
    <w:rsid w:val="009F4E46"/>
    <w:rsid w:val="009F5B65"/>
    <w:rsid w:val="009F5F2E"/>
    <w:rsid w:val="00A06225"/>
    <w:rsid w:val="00A128E6"/>
    <w:rsid w:val="00A16AF7"/>
    <w:rsid w:val="00A37C8D"/>
    <w:rsid w:val="00A5273B"/>
    <w:rsid w:val="00A53A9D"/>
    <w:rsid w:val="00A55FEE"/>
    <w:rsid w:val="00A56453"/>
    <w:rsid w:val="00A62C1A"/>
    <w:rsid w:val="00A6426D"/>
    <w:rsid w:val="00A661DD"/>
    <w:rsid w:val="00A70622"/>
    <w:rsid w:val="00A70977"/>
    <w:rsid w:val="00A8390C"/>
    <w:rsid w:val="00A928BD"/>
    <w:rsid w:val="00A94DD4"/>
    <w:rsid w:val="00AA4D1C"/>
    <w:rsid w:val="00AC5206"/>
    <w:rsid w:val="00AE11A5"/>
    <w:rsid w:val="00AE13E2"/>
    <w:rsid w:val="00AE18F4"/>
    <w:rsid w:val="00AE1ADB"/>
    <w:rsid w:val="00AF68CC"/>
    <w:rsid w:val="00B037C7"/>
    <w:rsid w:val="00B205AA"/>
    <w:rsid w:val="00B22E84"/>
    <w:rsid w:val="00B25F75"/>
    <w:rsid w:val="00B328A0"/>
    <w:rsid w:val="00B43E90"/>
    <w:rsid w:val="00B56118"/>
    <w:rsid w:val="00B641AB"/>
    <w:rsid w:val="00B6773F"/>
    <w:rsid w:val="00B801BA"/>
    <w:rsid w:val="00B9364C"/>
    <w:rsid w:val="00B93792"/>
    <w:rsid w:val="00BB4DB8"/>
    <w:rsid w:val="00BB69F5"/>
    <w:rsid w:val="00BB7EC3"/>
    <w:rsid w:val="00BC4B9A"/>
    <w:rsid w:val="00BD76B2"/>
    <w:rsid w:val="00BD784C"/>
    <w:rsid w:val="00BF3664"/>
    <w:rsid w:val="00BF4CB6"/>
    <w:rsid w:val="00BF77DF"/>
    <w:rsid w:val="00C00BDE"/>
    <w:rsid w:val="00C00DA7"/>
    <w:rsid w:val="00C12768"/>
    <w:rsid w:val="00C250A8"/>
    <w:rsid w:val="00C27B58"/>
    <w:rsid w:val="00C35996"/>
    <w:rsid w:val="00C5342C"/>
    <w:rsid w:val="00C6256A"/>
    <w:rsid w:val="00C711C2"/>
    <w:rsid w:val="00C91449"/>
    <w:rsid w:val="00C92D10"/>
    <w:rsid w:val="00CE10C4"/>
    <w:rsid w:val="00CE27B5"/>
    <w:rsid w:val="00D0321E"/>
    <w:rsid w:val="00D05908"/>
    <w:rsid w:val="00D1455A"/>
    <w:rsid w:val="00D3280C"/>
    <w:rsid w:val="00D3406A"/>
    <w:rsid w:val="00D37F3A"/>
    <w:rsid w:val="00D469B2"/>
    <w:rsid w:val="00D741EB"/>
    <w:rsid w:val="00D84934"/>
    <w:rsid w:val="00D91271"/>
    <w:rsid w:val="00D960CB"/>
    <w:rsid w:val="00DA2CB5"/>
    <w:rsid w:val="00DA4BAC"/>
    <w:rsid w:val="00DA7B0B"/>
    <w:rsid w:val="00DB3E0F"/>
    <w:rsid w:val="00DC7FAC"/>
    <w:rsid w:val="00DE6D27"/>
    <w:rsid w:val="00DF217D"/>
    <w:rsid w:val="00DF26A7"/>
    <w:rsid w:val="00DF53DD"/>
    <w:rsid w:val="00E0617D"/>
    <w:rsid w:val="00E164B3"/>
    <w:rsid w:val="00E16910"/>
    <w:rsid w:val="00E27000"/>
    <w:rsid w:val="00E4615E"/>
    <w:rsid w:val="00E65E54"/>
    <w:rsid w:val="00E71825"/>
    <w:rsid w:val="00E75057"/>
    <w:rsid w:val="00E80155"/>
    <w:rsid w:val="00E848C0"/>
    <w:rsid w:val="00E91B96"/>
    <w:rsid w:val="00E941A1"/>
    <w:rsid w:val="00E95CE3"/>
    <w:rsid w:val="00EA2825"/>
    <w:rsid w:val="00EB5088"/>
    <w:rsid w:val="00ED1644"/>
    <w:rsid w:val="00ED38E6"/>
    <w:rsid w:val="00EE107F"/>
    <w:rsid w:val="00EE27C8"/>
    <w:rsid w:val="00EF2A4E"/>
    <w:rsid w:val="00EF44A0"/>
    <w:rsid w:val="00EF4FED"/>
    <w:rsid w:val="00F050BD"/>
    <w:rsid w:val="00F05657"/>
    <w:rsid w:val="00F2174A"/>
    <w:rsid w:val="00F24F02"/>
    <w:rsid w:val="00F25578"/>
    <w:rsid w:val="00F258E5"/>
    <w:rsid w:val="00F300BC"/>
    <w:rsid w:val="00F3334E"/>
    <w:rsid w:val="00F50EC4"/>
    <w:rsid w:val="00F53BE9"/>
    <w:rsid w:val="00F57A6D"/>
    <w:rsid w:val="00F638CC"/>
    <w:rsid w:val="00F64CC1"/>
    <w:rsid w:val="00F8247A"/>
    <w:rsid w:val="00F863EC"/>
    <w:rsid w:val="00F9629A"/>
    <w:rsid w:val="00FA5883"/>
    <w:rsid w:val="00FA6055"/>
    <w:rsid w:val="00FB322F"/>
    <w:rsid w:val="00FB442F"/>
    <w:rsid w:val="00FC1929"/>
    <w:rsid w:val="00FC5B46"/>
    <w:rsid w:val="00FE1B80"/>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02DFB"/>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9031CA"/>
    <w:pPr>
      <w:ind w:left="720" w:hanging="720"/>
    </w:pPr>
    <w:rPr>
      <w:rFonts w:ascii="Arial" w:hAnsi="Arial" w:cs="Arial"/>
      <w:b/>
      <w:snapToGrid w:val="0"/>
      <w:sz w:val="22"/>
      <w:szCs w:val="22"/>
      <w:lang w:eastAsia="en-US"/>
    </w:rPr>
  </w:style>
  <w:style w:type="paragraph" w:customStyle="1" w:styleId="PSDTitle">
    <w:name w:val="PSD Title"/>
    <w:basedOn w:val="Normal"/>
    <w:qFormat/>
    <w:rsid w:val="002B027D"/>
    <w:rPr>
      <w:rFonts w:ascii="Arial" w:hAnsi="Arial"/>
      <w:b/>
      <w:sz w:val="28"/>
      <w:szCs w:val="28"/>
    </w:rPr>
  </w:style>
  <w:style w:type="paragraph" w:customStyle="1" w:styleId="PSDheading1">
    <w:name w:val="PSD heading 1"/>
    <w:basedOn w:val="ListParagraph"/>
    <w:qFormat/>
    <w:rsid w:val="002B027D"/>
    <w:pPr>
      <w:numPr>
        <w:numId w:val="25"/>
      </w:numPr>
      <w:jc w:val="both"/>
    </w:pPr>
    <w:rPr>
      <w:rFonts w:ascii="Arial" w:hAnsi="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02DFB"/>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9031CA"/>
    <w:pPr>
      <w:ind w:left="720" w:hanging="720"/>
    </w:pPr>
    <w:rPr>
      <w:rFonts w:ascii="Arial" w:hAnsi="Arial" w:cs="Arial"/>
      <w:b/>
      <w:snapToGrid w:val="0"/>
      <w:sz w:val="22"/>
      <w:szCs w:val="22"/>
      <w:lang w:eastAsia="en-US"/>
    </w:rPr>
  </w:style>
  <w:style w:type="paragraph" w:customStyle="1" w:styleId="PSDTitle">
    <w:name w:val="PSD Title"/>
    <w:basedOn w:val="Normal"/>
    <w:qFormat/>
    <w:rsid w:val="002B027D"/>
    <w:rPr>
      <w:rFonts w:ascii="Arial" w:hAnsi="Arial"/>
      <w:b/>
      <w:sz w:val="28"/>
      <w:szCs w:val="28"/>
    </w:rPr>
  </w:style>
  <w:style w:type="paragraph" w:customStyle="1" w:styleId="PSDheading1">
    <w:name w:val="PSD heading 1"/>
    <w:basedOn w:val="ListParagraph"/>
    <w:qFormat/>
    <w:rsid w:val="002B027D"/>
    <w:pPr>
      <w:numPr>
        <w:numId w:val="25"/>
      </w:numPr>
      <w:jc w:val="both"/>
    </w:pPr>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EC47-61CB-48EC-B45A-618AA0FC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1BDD3705.dotm</Template>
  <TotalTime>23</TotalTime>
  <Pages>5</Pages>
  <Words>1780</Words>
  <Characters>10253</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Mimiel</dc:creator>
  <cp:lastModifiedBy>Gonzales Mimiel</cp:lastModifiedBy>
  <cp:revision>10</cp:revision>
  <cp:lastPrinted>2016-02-29T01:28:00Z</cp:lastPrinted>
  <dcterms:created xsi:type="dcterms:W3CDTF">2016-02-04T04:58:00Z</dcterms:created>
  <dcterms:modified xsi:type="dcterms:W3CDTF">2016-02-29T01:28:00Z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