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D3B" w:rsidRPr="001B4E17" w:rsidRDefault="000948D4" w:rsidP="001B4E17">
      <w:pPr>
        <w:pStyle w:val="Title"/>
      </w:pPr>
      <w:bookmarkStart w:id="0" w:name="_Toc428304023"/>
      <w:bookmarkStart w:id="1" w:name="_Toc429659181"/>
      <w:r w:rsidRPr="0030604A">
        <w:t>7.06</w:t>
      </w:r>
      <w:r w:rsidR="00790D3B" w:rsidRPr="0030604A">
        <w:tab/>
      </w:r>
      <w:r w:rsidR="00790D3B" w:rsidRPr="001B4E17">
        <w:t>VINFLUNINE</w:t>
      </w:r>
    </w:p>
    <w:p w:rsidR="00790D3B" w:rsidRPr="001B4E17" w:rsidRDefault="00442B62" w:rsidP="001B4E17">
      <w:pPr>
        <w:pStyle w:val="Title"/>
        <w:ind w:hanging="11"/>
      </w:pPr>
      <w:proofErr w:type="gramStart"/>
      <w:r w:rsidRPr="001B4E17">
        <w:t>solution</w:t>
      </w:r>
      <w:proofErr w:type="gramEnd"/>
      <w:r w:rsidRPr="001B4E17">
        <w:t xml:space="preserve"> concentration for IV infusion, 50 mg in 2 mL and </w:t>
      </w:r>
      <w:r w:rsidR="00790D3B" w:rsidRPr="001B4E17">
        <w:t xml:space="preserve">250mg in 10 mL (as </w:t>
      </w:r>
      <w:proofErr w:type="spellStart"/>
      <w:r w:rsidR="00790D3B" w:rsidRPr="001B4E17">
        <w:t>ditartrate</w:t>
      </w:r>
      <w:proofErr w:type="spellEnd"/>
      <w:r w:rsidR="00790D3B" w:rsidRPr="001B4E17">
        <w:t>)</w:t>
      </w:r>
      <w:r w:rsidRPr="001B4E17">
        <w:t xml:space="preserve"> </w:t>
      </w:r>
    </w:p>
    <w:p w:rsidR="00442B62" w:rsidRPr="001B4E17" w:rsidRDefault="00442B62" w:rsidP="001B4E17">
      <w:pPr>
        <w:pStyle w:val="Title"/>
        <w:ind w:hanging="11"/>
      </w:pPr>
      <w:proofErr w:type="spellStart"/>
      <w:proofErr w:type="gramStart"/>
      <w:r w:rsidRPr="001B4E17">
        <w:t>J</w:t>
      </w:r>
      <w:r w:rsidR="000948D4" w:rsidRPr="001B4E17">
        <w:t>avlor</w:t>
      </w:r>
      <w:proofErr w:type="spellEnd"/>
      <w:r w:rsidR="00790D3B" w:rsidRPr="001B4E17">
        <w:t>®</w:t>
      </w:r>
      <w:r w:rsidR="00483641" w:rsidRPr="001B4E17">
        <w:t xml:space="preserve">, </w:t>
      </w:r>
      <w:r w:rsidRPr="001B4E17">
        <w:t>Pierre Fabre Medicament Australia.</w:t>
      </w:r>
      <w:bookmarkEnd w:id="0"/>
      <w:bookmarkEnd w:id="1"/>
      <w:proofErr w:type="gramEnd"/>
    </w:p>
    <w:p w:rsidR="00442B62" w:rsidRPr="00903BD7" w:rsidRDefault="00442B62" w:rsidP="00B13D9E">
      <w:pPr>
        <w:pStyle w:val="Heading1"/>
      </w:pPr>
      <w:bookmarkStart w:id="2" w:name="_Toc428304025"/>
      <w:bookmarkStart w:id="3" w:name="_Toc429659183"/>
      <w:r w:rsidRPr="00903BD7">
        <w:t>Purpose of Application</w:t>
      </w:r>
      <w:bookmarkEnd w:id="2"/>
      <w:bookmarkEnd w:id="3"/>
    </w:p>
    <w:p w:rsidR="002215EA" w:rsidRDefault="00442B62" w:rsidP="00513168">
      <w:pPr>
        <w:widowControl/>
        <w:numPr>
          <w:ilvl w:val="1"/>
          <w:numId w:val="2"/>
        </w:numPr>
        <w:contextualSpacing/>
      </w:pPr>
      <w:r w:rsidRPr="00DE6EBD">
        <w:t>The re-submission requested listing under the Efficient Funding of Chemotherapy program for vinflunine for treatment of adult patients with advanced or metastatic transitional cell carcinoma of the urothelial tract (TCCU) after failure of a prior platinum-containing regimen. The first submission</w:t>
      </w:r>
      <w:r w:rsidR="00513168">
        <w:t xml:space="preserve"> was reviewed in November 2011.</w:t>
      </w:r>
    </w:p>
    <w:p w:rsidR="00442B62" w:rsidRPr="00DE6EBD" w:rsidRDefault="00442B62" w:rsidP="00B13D9E">
      <w:pPr>
        <w:pStyle w:val="Heading1"/>
      </w:pPr>
      <w:bookmarkStart w:id="4" w:name="_Toc428304026"/>
      <w:bookmarkStart w:id="5" w:name="_Toc429659184"/>
      <w:r w:rsidRPr="00DE6EBD">
        <w:t>Requested listing</w:t>
      </w:r>
      <w:bookmarkEnd w:id="4"/>
      <w:bookmarkEnd w:id="5"/>
    </w:p>
    <w:p w:rsidR="00442B62" w:rsidRPr="00DE6EBD" w:rsidRDefault="00442B62" w:rsidP="00422A51">
      <w:pPr>
        <w:widowControl/>
        <w:numPr>
          <w:ilvl w:val="1"/>
          <w:numId w:val="2"/>
        </w:numPr>
        <w:contextualSpacing/>
      </w:pPr>
      <w:r w:rsidRPr="00DE6EBD">
        <w:t>The requested listing was:</w:t>
      </w:r>
    </w:p>
    <w:p w:rsidR="002E1C8E" w:rsidRDefault="002E1C8E" w:rsidP="00442B62">
      <w:pPr>
        <w:ind w:firstLine="720"/>
        <w:rPr>
          <w:rFonts w:ascii="Arial Narrow" w:hAnsi="Arial Narrow"/>
          <w:sz w:val="18"/>
          <w:szCs w:val="18"/>
        </w:rPr>
      </w:pPr>
    </w:p>
    <w:tbl>
      <w:tblPr>
        <w:tblW w:w="9214" w:type="dxa"/>
        <w:tblInd w:w="108" w:type="dxa"/>
        <w:tblLayout w:type="fixed"/>
        <w:tblLook w:val="0000" w:firstRow="0" w:lastRow="0" w:firstColumn="0" w:lastColumn="0" w:noHBand="0" w:noVBand="0"/>
      </w:tblPr>
      <w:tblGrid>
        <w:gridCol w:w="2835"/>
        <w:gridCol w:w="426"/>
        <w:gridCol w:w="567"/>
        <w:gridCol w:w="850"/>
        <w:gridCol w:w="1701"/>
        <w:gridCol w:w="1559"/>
        <w:gridCol w:w="1276"/>
      </w:tblGrid>
      <w:tr w:rsidR="002E1C8E" w:rsidRPr="008F6EE9" w:rsidTr="00AD4734">
        <w:trPr>
          <w:cantSplit/>
          <w:trHeight w:val="471"/>
        </w:trPr>
        <w:tc>
          <w:tcPr>
            <w:tcW w:w="3261" w:type="dxa"/>
            <w:gridSpan w:val="2"/>
            <w:tcBorders>
              <w:bottom w:val="single" w:sz="4" w:space="0" w:color="auto"/>
            </w:tcBorders>
          </w:tcPr>
          <w:p w:rsidR="002E1C8E" w:rsidRPr="008F6EE9" w:rsidRDefault="002E1C8E" w:rsidP="00AD4734">
            <w:pPr>
              <w:keepNext/>
              <w:widowControl/>
              <w:ind w:left="-108"/>
              <w:rPr>
                <w:rFonts w:ascii="Arial Narrow" w:hAnsi="Arial Narrow"/>
                <w:snapToGrid/>
                <w:sz w:val="20"/>
                <w:lang w:eastAsia="en-AU"/>
              </w:rPr>
            </w:pPr>
            <w:r w:rsidRPr="008F6EE9">
              <w:rPr>
                <w:rFonts w:ascii="Arial Narrow" w:hAnsi="Arial Narrow"/>
                <w:snapToGrid/>
                <w:sz w:val="20"/>
                <w:lang w:eastAsia="en-AU"/>
              </w:rPr>
              <w:t>Name, Restriction,</w:t>
            </w:r>
          </w:p>
          <w:p w:rsidR="002E1C8E" w:rsidRPr="008F6EE9" w:rsidRDefault="002E1C8E" w:rsidP="00AD4734">
            <w:pPr>
              <w:keepNext/>
              <w:widowControl/>
              <w:ind w:left="-108"/>
              <w:rPr>
                <w:rFonts w:ascii="Arial Narrow" w:hAnsi="Arial Narrow"/>
                <w:snapToGrid/>
                <w:sz w:val="20"/>
                <w:lang w:eastAsia="en-AU"/>
              </w:rPr>
            </w:pPr>
            <w:r w:rsidRPr="008F6EE9">
              <w:rPr>
                <w:rFonts w:ascii="Arial Narrow" w:hAnsi="Arial Narrow"/>
                <w:snapToGrid/>
                <w:sz w:val="20"/>
                <w:lang w:eastAsia="en-AU"/>
              </w:rPr>
              <w:t>Manner of administration and form</w:t>
            </w:r>
          </w:p>
        </w:tc>
        <w:tc>
          <w:tcPr>
            <w:tcW w:w="567" w:type="dxa"/>
            <w:tcBorders>
              <w:bottom w:val="single" w:sz="4" w:space="0" w:color="auto"/>
            </w:tcBorders>
          </w:tcPr>
          <w:p w:rsidR="002E1C8E" w:rsidRPr="008F6EE9" w:rsidRDefault="002E1C8E" w:rsidP="00AD4734">
            <w:pPr>
              <w:keepNext/>
              <w:widowControl/>
              <w:ind w:left="-108"/>
              <w:rPr>
                <w:rFonts w:ascii="Arial Narrow" w:hAnsi="Arial Narrow"/>
                <w:snapToGrid/>
                <w:sz w:val="20"/>
                <w:lang w:eastAsia="en-AU"/>
              </w:rPr>
            </w:pPr>
            <w:r w:rsidRPr="008F6EE9">
              <w:rPr>
                <w:rFonts w:ascii="Arial Narrow" w:hAnsi="Arial Narrow"/>
                <w:snapToGrid/>
                <w:sz w:val="20"/>
                <w:lang w:eastAsia="en-AU"/>
              </w:rPr>
              <w:t>Max.</w:t>
            </w:r>
          </w:p>
          <w:p w:rsidR="002E1C8E" w:rsidRPr="008F6EE9" w:rsidRDefault="002E1C8E" w:rsidP="00AD4734">
            <w:pPr>
              <w:keepNext/>
              <w:widowControl/>
              <w:ind w:left="-108"/>
              <w:rPr>
                <w:rFonts w:ascii="Arial Narrow" w:hAnsi="Arial Narrow"/>
                <w:snapToGrid/>
                <w:sz w:val="20"/>
                <w:lang w:eastAsia="en-AU"/>
              </w:rPr>
            </w:pPr>
            <w:r w:rsidRPr="008F6EE9">
              <w:rPr>
                <w:rFonts w:ascii="Arial Narrow" w:hAnsi="Arial Narrow"/>
                <w:snapToGrid/>
                <w:sz w:val="20"/>
                <w:lang w:eastAsia="en-AU"/>
              </w:rPr>
              <w:t>Amt.</w:t>
            </w:r>
          </w:p>
        </w:tc>
        <w:tc>
          <w:tcPr>
            <w:tcW w:w="850" w:type="dxa"/>
            <w:tcBorders>
              <w:bottom w:val="single" w:sz="4" w:space="0" w:color="auto"/>
            </w:tcBorders>
          </w:tcPr>
          <w:p w:rsidR="002E1C8E" w:rsidRPr="008F6EE9" w:rsidRDefault="002E1C8E" w:rsidP="00AD4734">
            <w:pPr>
              <w:keepNext/>
              <w:widowControl/>
              <w:ind w:left="-108"/>
              <w:rPr>
                <w:rFonts w:ascii="Arial Narrow" w:hAnsi="Arial Narrow"/>
                <w:snapToGrid/>
                <w:sz w:val="20"/>
                <w:lang w:eastAsia="en-AU"/>
              </w:rPr>
            </w:pPr>
            <w:r w:rsidRPr="008F6EE9">
              <w:rPr>
                <w:rFonts w:ascii="Arial Narrow" w:hAnsi="Arial Narrow"/>
                <w:snapToGrid/>
                <w:sz w:val="20"/>
                <w:lang w:eastAsia="en-AU"/>
              </w:rPr>
              <w:t>№.of</w:t>
            </w:r>
          </w:p>
          <w:p w:rsidR="002E1C8E" w:rsidRPr="008F6EE9" w:rsidRDefault="002E1C8E" w:rsidP="00AD4734">
            <w:pPr>
              <w:keepNext/>
              <w:widowControl/>
              <w:ind w:left="-108"/>
              <w:rPr>
                <w:rFonts w:ascii="Arial Narrow" w:hAnsi="Arial Narrow"/>
                <w:snapToGrid/>
                <w:sz w:val="20"/>
                <w:lang w:eastAsia="en-AU"/>
              </w:rPr>
            </w:pPr>
            <w:r w:rsidRPr="008F6EE9">
              <w:rPr>
                <w:rFonts w:ascii="Arial Narrow" w:hAnsi="Arial Narrow"/>
                <w:snapToGrid/>
                <w:sz w:val="20"/>
                <w:lang w:eastAsia="en-AU"/>
              </w:rPr>
              <w:t>Rpts</w:t>
            </w:r>
          </w:p>
        </w:tc>
        <w:tc>
          <w:tcPr>
            <w:tcW w:w="1701" w:type="dxa"/>
            <w:tcBorders>
              <w:bottom w:val="single" w:sz="4" w:space="0" w:color="auto"/>
            </w:tcBorders>
          </w:tcPr>
          <w:p w:rsidR="002E1C8E" w:rsidRPr="008F6EE9" w:rsidRDefault="002E1C8E" w:rsidP="00AD4734">
            <w:pPr>
              <w:keepNext/>
              <w:widowControl/>
              <w:ind w:left="-108"/>
              <w:rPr>
                <w:rFonts w:ascii="Arial Narrow" w:hAnsi="Arial Narrow"/>
                <w:snapToGrid/>
                <w:sz w:val="20"/>
                <w:lang w:eastAsia="en-AU"/>
              </w:rPr>
            </w:pPr>
            <w:r w:rsidRPr="008F6EE9">
              <w:rPr>
                <w:rFonts w:ascii="Arial Narrow" w:hAnsi="Arial Narrow"/>
                <w:snapToGrid/>
                <w:sz w:val="20"/>
                <w:lang w:eastAsia="en-AU"/>
              </w:rPr>
              <w:t>Dispensed Price for Max. Amt</w:t>
            </w:r>
          </w:p>
        </w:tc>
        <w:tc>
          <w:tcPr>
            <w:tcW w:w="2835" w:type="dxa"/>
            <w:gridSpan w:val="2"/>
            <w:tcBorders>
              <w:bottom w:val="single" w:sz="4" w:space="0" w:color="auto"/>
            </w:tcBorders>
          </w:tcPr>
          <w:p w:rsidR="002E1C8E" w:rsidRPr="008F6EE9" w:rsidRDefault="002E1C8E" w:rsidP="00AD4734">
            <w:pPr>
              <w:keepNext/>
              <w:widowControl/>
              <w:rPr>
                <w:rFonts w:ascii="Arial Narrow" w:hAnsi="Arial Narrow"/>
                <w:snapToGrid/>
                <w:sz w:val="20"/>
                <w:lang w:val="fr-FR" w:eastAsia="en-AU"/>
              </w:rPr>
            </w:pPr>
            <w:r w:rsidRPr="008F6EE9">
              <w:rPr>
                <w:rFonts w:ascii="Arial Narrow" w:hAnsi="Arial Narrow"/>
                <w:snapToGrid/>
                <w:sz w:val="20"/>
                <w:lang w:eastAsia="en-AU"/>
              </w:rPr>
              <w:t>Proprietary Name and Manufacturer</w:t>
            </w:r>
          </w:p>
        </w:tc>
      </w:tr>
      <w:tr w:rsidR="002E1C8E" w:rsidRPr="008F6EE9" w:rsidTr="00AD4734">
        <w:trPr>
          <w:cantSplit/>
          <w:trHeight w:val="577"/>
        </w:trPr>
        <w:tc>
          <w:tcPr>
            <w:tcW w:w="3261" w:type="dxa"/>
            <w:gridSpan w:val="2"/>
          </w:tcPr>
          <w:p w:rsidR="002E1C8E" w:rsidRPr="008F6EE9" w:rsidRDefault="002E1C8E" w:rsidP="00AD4734">
            <w:pPr>
              <w:keepNext/>
              <w:widowControl/>
              <w:ind w:left="-108"/>
              <w:rPr>
                <w:rFonts w:ascii="Arial Narrow" w:hAnsi="Arial Narrow"/>
                <w:snapToGrid/>
                <w:sz w:val="20"/>
                <w:lang w:eastAsia="en-AU"/>
              </w:rPr>
            </w:pPr>
            <w:r w:rsidRPr="008F6EE9">
              <w:rPr>
                <w:rFonts w:ascii="Arial Narrow" w:hAnsi="Arial Narrow"/>
                <w:smallCaps/>
                <w:snapToGrid/>
                <w:sz w:val="20"/>
                <w:lang w:eastAsia="en-AU"/>
              </w:rPr>
              <w:t>VINFLUNINE DITARTRATE</w:t>
            </w:r>
          </w:p>
          <w:p w:rsidR="002E1C8E" w:rsidRPr="008F6EE9" w:rsidRDefault="002E1C8E" w:rsidP="00AD4734">
            <w:pPr>
              <w:keepNext/>
              <w:keepLines/>
              <w:widowControl/>
              <w:spacing w:before="20" w:after="80"/>
              <w:jc w:val="left"/>
              <w:rPr>
                <w:rFonts w:cs="Times New Roman"/>
                <w:snapToGrid/>
                <w:sz w:val="18"/>
                <w:lang w:eastAsia="en-AU"/>
              </w:rPr>
            </w:pPr>
            <w:r w:rsidRPr="008F6EE9">
              <w:rPr>
                <w:rFonts w:cs="Times New Roman"/>
                <w:snapToGrid/>
                <w:sz w:val="18"/>
                <w:lang w:eastAsia="en-AU"/>
              </w:rPr>
              <w:t>50mg/2 mL</w:t>
            </w:r>
          </w:p>
          <w:p w:rsidR="002E1C8E" w:rsidRPr="008F6EE9" w:rsidRDefault="002E1C8E" w:rsidP="00AD4734">
            <w:pPr>
              <w:keepNext/>
              <w:keepLines/>
              <w:widowControl/>
              <w:spacing w:before="20" w:after="80"/>
              <w:jc w:val="left"/>
              <w:rPr>
                <w:rFonts w:cs="Times New Roman"/>
                <w:snapToGrid/>
                <w:sz w:val="18"/>
                <w:lang w:eastAsia="en-AU"/>
              </w:rPr>
            </w:pPr>
            <w:r w:rsidRPr="008F6EE9">
              <w:rPr>
                <w:rFonts w:cs="Times New Roman"/>
                <w:snapToGrid/>
                <w:sz w:val="18"/>
                <w:lang w:eastAsia="en-AU"/>
              </w:rPr>
              <w:t>250mg/10 mL</w:t>
            </w:r>
          </w:p>
          <w:p w:rsidR="002E1C8E" w:rsidRPr="008F6EE9" w:rsidRDefault="002E1C8E" w:rsidP="00AD4734">
            <w:pPr>
              <w:keepNext/>
              <w:widowControl/>
              <w:ind w:left="-108"/>
              <w:rPr>
                <w:rFonts w:ascii="Arial Narrow" w:hAnsi="Arial Narrow"/>
                <w:snapToGrid/>
                <w:sz w:val="20"/>
                <w:lang w:eastAsia="en-AU"/>
              </w:rPr>
            </w:pPr>
          </w:p>
        </w:tc>
        <w:tc>
          <w:tcPr>
            <w:tcW w:w="567" w:type="dxa"/>
          </w:tcPr>
          <w:p w:rsidR="002E1C8E" w:rsidRPr="008F6EE9" w:rsidRDefault="002E1C8E" w:rsidP="00AD4734">
            <w:pPr>
              <w:keepNext/>
              <w:widowControl/>
              <w:ind w:left="-108"/>
              <w:rPr>
                <w:rFonts w:ascii="Arial Narrow" w:hAnsi="Arial Narrow"/>
                <w:snapToGrid/>
                <w:sz w:val="20"/>
                <w:lang w:eastAsia="en-AU"/>
              </w:rPr>
            </w:pPr>
          </w:p>
          <w:p w:rsidR="002E1C8E" w:rsidRPr="008F6EE9" w:rsidRDefault="002E1C8E" w:rsidP="00AD4734">
            <w:pPr>
              <w:keepNext/>
              <w:widowControl/>
              <w:ind w:left="-108"/>
              <w:rPr>
                <w:rFonts w:ascii="Arial Narrow" w:hAnsi="Arial Narrow"/>
                <w:snapToGrid/>
                <w:sz w:val="20"/>
                <w:lang w:eastAsia="en-AU"/>
              </w:rPr>
            </w:pPr>
            <w:r w:rsidRPr="008F6EE9">
              <w:rPr>
                <w:rFonts w:ascii="Arial Narrow" w:hAnsi="Arial Narrow"/>
                <w:snapToGrid/>
                <w:sz w:val="20"/>
                <w:lang w:eastAsia="en-AU"/>
              </w:rPr>
              <w:t>700</w:t>
            </w:r>
          </w:p>
        </w:tc>
        <w:tc>
          <w:tcPr>
            <w:tcW w:w="850" w:type="dxa"/>
          </w:tcPr>
          <w:p w:rsidR="002E1C8E" w:rsidRPr="008F6EE9" w:rsidRDefault="002E1C8E" w:rsidP="00AD4734">
            <w:pPr>
              <w:keepNext/>
              <w:widowControl/>
              <w:ind w:left="-108"/>
              <w:rPr>
                <w:rFonts w:ascii="Arial Narrow" w:hAnsi="Arial Narrow"/>
                <w:snapToGrid/>
                <w:sz w:val="20"/>
                <w:lang w:eastAsia="en-AU"/>
              </w:rPr>
            </w:pPr>
          </w:p>
          <w:p w:rsidR="002E1C8E" w:rsidRPr="008F6EE9" w:rsidRDefault="002E1C8E" w:rsidP="00AD4734">
            <w:pPr>
              <w:keepNext/>
              <w:widowControl/>
              <w:ind w:left="-108"/>
              <w:rPr>
                <w:rFonts w:ascii="Arial Narrow" w:hAnsi="Arial Narrow"/>
                <w:strike/>
                <w:snapToGrid/>
                <w:sz w:val="20"/>
                <w:lang w:eastAsia="en-AU"/>
              </w:rPr>
            </w:pPr>
            <w:r w:rsidRPr="008F6EE9">
              <w:rPr>
                <w:rFonts w:ascii="Arial Narrow" w:hAnsi="Arial Narrow"/>
                <w:strike/>
                <w:snapToGrid/>
                <w:sz w:val="20"/>
                <w:lang w:eastAsia="en-AU"/>
              </w:rPr>
              <w:t xml:space="preserve">4 </w:t>
            </w:r>
            <w:r w:rsidRPr="008F6EE9">
              <w:rPr>
                <w:rFonts w:ascii="Arial Narrow" w:hAnsi="Arial Narrow"/>
                <w:snapToGrid/>
                <w:sz w:val="20"/>
                <w:lang w:eastAsia="en-AU"/>
              </w:rPr>
              <w:t xml:space="preserve"> 2 or 3</w:t>
            </w:r>
          </w:p>
        </w:tc>
        <w:tc>
          <w:tcPr>
            <w:tcW w:w="1701" w:type="dxa"/>
          </w:tcPr>
          <w:p w:rsidR="002E1C8E" w:rsidRPr="008F6EE9" w:rsidRDefault="002E1C8E" w:rsidP="00AD4734">
            <w:pPr>
              <w:keepNext/>
              <w:widowControl/>
              <w:ind w:left="-108"/>
              <w:rPr>
                <w:rFonts w:ascii="Arial Narrow" w:hAnsi="Arial Narrow"/>
                <w:snapToGrid/>
                <w:sz w:val="20"/>
                <w:lang w:eastAsia="en-AU"/>
              </w:rPr>
            </w:pPr>
          </w:p>
          <w:p w:rsidR="002E1C8E" w:rsidRPr="008F6EE9" w:rsidRDefault="002E1C8E" w:rsidP="00AD4734">
            <w:pPr>
              <w:keepNext/>
              <w:widowControl/>
              <w:ind w:left="-108"/>
              <w:rPr>
                <w:rFonts w:ascii="Arial Narrow" w:hAnsi="Arial Narrow"/>
                <w:snapToGrid/>
                <w:sz w:val="20"/>
                <w:lang w:eastAsia="en-AU"/>
              </w:rPr>
            </w:pPr>
          </w:p>
        </w:tc>
        <w:tc>
          <w:tcPr>
            <w:tcW w:w="1559" w:type="dxa"/>
          </w:tcPr>
          <w:p w:rsidR="002E1C8E" w:rsidRPr="008F6EE9" w:rsidRDefault="002E1C8E" w:rsidP="00AD4734">
            <w:pPr>
              <w:keepNext/>
              <w:widowControl/>
              <w:rPr>
                <w:rFonts w:ascii="Arial Narrow" w:hAnsi="Arial Narrow"/>
                <w:snapToGrid/>
                <w:sz w:val="20"/>
                <w:lang w:eastAsia="en-AU"/>
              </w:rPr>
            </w:pPr>
            <w:r w:rsidRPr="008F6EE9">
              <w:rPr>
                <w:rFonts w:ascii="Arial Narrow" w:hAnsi="Arial Narrow"/>
                <w:snapToGrid/>
                <w:sz w:val="20"/>
                <w:lang w:eastAsia="en-AU"/>
              </w:rPr>
              <w:t>Javlor</w:t>
            </w:r>
          </w:p>
        </w:tc>
        <w:tc>
          <w:tcPr>
            <w:tcW w:w="1276" w:type="dxa"/>
          </w:tcPr>
          <w:p w:rsidR="002E1C8E" w:rsidRPr="008F6EE9" w:rsidRDefault="002E1C8E" w:rsidP="00AD4734">
            <w:pPr>
              <w:keepNext/>
              <w:widowControl/>
              <w:rPr>
                <w:rFonts w:ascii="Arial Narrow" w:hAnsi="Arial Narrow"/>
                <w:snapToGrid/>
                <w:sz w:val="20"/>
                <w:lang w:eastAsia="en-AU"/>
              </w:rPr>
            </w:pPr>
            <w:r w:rsidRPr="008F6EE9">
              <w:rPr>
                <w:rFonts w:ascii="Arial Narrow" w:hAnsi="Arial Narrow"/>
                <w:snapToGrid/>
                <w:sz w:val="20"/>
                <w:lang w:eastAsia="en-AU"/>
              </w:rPr>
              <w:t>Pierre Fabre</w:t>
            </w:r>
          </w:p>
        </w:tc>
      </w:tr>
      <w:tr w:rsidR="002E1C8E" w:rsidRPr="008F6EE9" w:rsidTr="00AD4734">
        <w:trPr>
          <w:cantSplit/>
          <w:trHeight w:val="360"/>
        </w:trPr>
        <w:tc>
          <w:tcPr>
            <w:tcW w:w="9214" w:type="dxa"/>
            <w:gridSpan w:val="7"/>
            <w:tcBorders>
              <w:bottom w:val="single" w:sz="4" w:space="0" w:color="auto"/>
            </w:tcBorders>
          </w:tcPr>
          <w:p w:rsidR="002E1C8E" w:rsidRPr="008F6EE9" w:rsidRDefault="002E1C8E" w:rsidP="00AD4734">
            <w:pPr>
              <w:widowControl/>
              <w:rPr>
                <w:rFonts w:ascii="Arial Narrow" w:hAnsi="Arial Narrow"/>
                <w:snapToGrid/>
                <w:sz w:val="20"/>
                <w:lang w:eastAsia="en-AU"/>
              </w:rPr>
            </w:pPr>
          </w:p>
        </w:tc>
      </w:tr>
      <w:tr w:rsidR="002E1C8E" w:rsidRPr="008F6EE9" w:rsidTr="00AD4734">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1C8E" w:rsidRPr="008F6EE9" w:rsidRDefault="002E1C8E" w:rsidP="00AD4734">
            <w:pPr>
              <w:widowControl/>
              <w:rPr>
                <w:rFonts w:ascii="Arial Narrow" w:hAnsi="Arial Narrow"/>
                <w:b/>
                <w:snapToGrid/>
                <w:sz w:val="20"/>
                <w:lang w:eastAsia="en-AU"/>
              </w:rPr>
            </w:pPr>
            <w:r w:rsidRPr="008F6EE9">
              <w:rPr>
                <w:rFonts w:ascii="Arial Narrow" w:hAnsi="Arial Narrow"/>
                <w:b/>
                <w:snapToGrid/>
                <w:sz w:val="20"/>
                <w:lang w:eastAsia="en-AU"/>
              </w:rPr>
              <w:t xml:space="preserve">Category / </w:t>
            </w:r>
          </w:p>
          <w:p w:rsidR="002E1C8E" w:rsidRPr="008F6EE9" w:rsidRDefault="002E1C8E" w:rsidP="00AD4734">
            <w:pPr>
              <w:widowControl/>
              <w:rPr>
                <w:rFonts w:ascii="Arial Narrow" w:hAnsi="Arial Narrow"/>
                <w:b/>
                <w:snapToGrid/>
                <w:sz w:val="20"/>
                <w:lang w:eastAsia="en-AU"/>
              </w:rPr>
            </w:pPr>
            <w:r w:rsidRPr="008F6EE9">
              <w:rPr>
                <w:rFonts w:ascii="Arial Narrow" w:hAnsi="Arial Narrow"/>
                <w:b/>
                <w:snapToGrid/>
                <w:sz w:val="20"/>
                <w:lang w:eastAsia="en-AU"/>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2E1C8E" w:rsidRPr="008F6EE9" w:rsidRDefault="002E1C8E" w:rsidP="00AD4734">
            <w:pPr>
              <w:widowControl/>
              <w:jc w:val="left"/>
              <w:rPr>
                <w:rFonts w:ascii="Arial Narrow" w:hAnsi="Arial Narrow"/>
                <w:snapToGrid/>
                <w:sz w:val="20"/>
                <w:lang w:eastAsia="en-AU"/>
              </w:rPr>
            </w:pPr>
            <w:r w:rsidRPr="008F6EE9">
              <w:rPr>
                <w:rFonts w:ascii="Arial Narrow" w:hAnsi="Arial Narrow"/>
                <w:snapToGrid/>
                <w:sz w:val="20"/>
                <w:lang w:eastAsia="en-AU"/>
              </w:rPr>
              <w:t>Chemotherapy  (Public/Private</w:t>
            </w:r>
            <w:r w:rsidR="0091433C">
              <w:rPr>
                <w:rFonts w:ascii="Arial Narrow" w:hAnsi="Arial Narrow"/>
                <w:snapToGrid/>
                <w:sz w:val="20"/>
                <w:lang w:eastAsia="en-AU"/>
              </w:rPr>
              <w:t>)</w:t>
            </w:r>
          </w:p>
        </w:tc>
      </w:tr>
      <w:tr w:rsidR="002E1C8E" w:rsidRPr="008F6EE9" w:rsidTr="00AD4734">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1C8E" w:rsidRPr="008F6EE9" w:rsidRDefault="002E1C8E" w:rsidP="00AD4734">
            <w:pPr>
              <w:widowControl/>
              <w:rPr>
                <w:rFonts w:ascii="Arial Narrow" w:hAnsi="Arial Narrow"/>
                <w:b/>
                <w:snapToGrid/>
                <w:sz w:val="20"/>
                <w:lang w:eastAsia="en-AU"/>
              </w:rPr>
            </w:pPr>
            <w:r w:rsidRPr="008F6EE9">
              <w:rPr>
                <w:rFonts w:ascii="Arial Narrow" w:hAnsi="Arial Narrow"/>
                <w:b/>
                <w:snapToGrid/>
                <w:sz w:val="20"/>
                <w:lang w:eastAsia="en-AU"/>
              </w:rPr>
              <w:t>Prescriber type:</w:t>
            </w:r>
          </w:p>
          <w:p w:rsidR="002E1C8E" w:rsidRPr="008F6EE9" w:rsidRDefault="002E1C8E" w:rsidP="00AD4734">
            <w:pPr>
              <w:widowControl/>
              <w:rPr>
                <w:rFonts w:ascii="Arial Narrow" w:hAnsi="Arial Narrow"/>
                <w:b/>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2E1C8E" w:rsidRPr="008F6EE9" w:rsidRDefault="002E1C8E" w:rsidP="00AD4734">
            <w:pPr>
              <w:widowControl/>
              <w:jc w:val="left"/>
              <w:rPr>
                <w:rFonts w:ascii="Arial Narrow" w:hAnsi="Arial Narrow"/>
                <w:snapToGrid/>
                <w:sz w:val="20"/>
                <w:lang w:eastAsia="en-AU"/>
              </w:rPr>
            </w:pPr>
            <w:r w:rsidRPr="008F6EE9">
              <w:rPr>
                <w:rFonts w:ascii="Arial Narrow" w:hAnsi="Arial Narrow"/>
                <w:snapToGrid/>
                <w:sz w:val="20"/>
                <w:lang w:eastAsia="en-AU"/>
              </w:rPr>
              <w:fldChar w:fldCharType="begin">
                <w:ffData>
                  <w:name w:val="Check1"/>
                  <w:enabled/>
                  <w:calcOnExit w:val="0"/>
                  <w:checkBox>
                    <w:sizeAuto/>
                    <w:default w:val="0"/>
                  </w:checkBox>
                </w:ffData>
              </w:fldChar>
            </w:r>
            <w:r w:rsidRPr="008F6EE9">
              <w:rPr>
                <w:rFonts w:ascii="Arial Narrow" w:hAnsi="Arial Narrow"/>
                <w:snapToGrid/>
                <w:sz w:val="20"/>
                <w:lang w:eastAsia="en-AU"/>
              </w:rPr>
              <w:instrText xml:space="preserve"> FORMCHECKBOX </w:instrText>
            </w:r>
            <w:r w:rsidR="00AE3CA7">
              <w:rPr>
                <w:rFonts w:ascii="Arial Narrow" w:hAnsi="Arial Narrow"/>
                <w:snapToGrid/>
                <w:sz w:val="20"/>
                <w:lang w:eastAsia="en-AU"/>
              </w:rPr>
            </w:r>
            <w:r w:rsidR="00AE3CA7">
              <w:rPr>
                <w:rFonts w:ascii="Arial Narrow" w:hAnsi="Arial Narrow"/>
                <w:snapToGrid/>
                <w:sz w:val="20"/>
                <w:lang w:eastAsia="en-AU"/>
              </w:rPr>
              <w:fldChar w:fldCharType="separate"/>
            </w:r>
            <w:r w:rsidRPr="008F6EE9">
              <w:rPr>
                <w:rFonts w:ascii="Arial Narrow" w:hAnsi="Arial Narrow"/>
                <w:snapToGrid/>
                <w:sz w:val="20"/>
                <w:lang w:eastAsia="en-AU"/>
              </w:rPr>
              <w:fldChar w:fldCharType="end"/>
            </w:r>
            <w:r w:rsidRPr="008F6EE9">
              <w:rPr>
                <w:rFonts w:ascii="Arial Narrow" w:hAnsi="Arial Narrow"/>
                <w:snapToGrid/>
                <w:sz w:val="20"/>
                <w:lang w:eastAsia="en-AU"/>
              </w:rPr>
              <w:t xml:space="preserve">Dental  </w:t>
            </w:r>
            <w:r w:rsidRPr="008F6EE9">
              <w:rPr>
                <w:rFonts w:ascii="Arial Narrow" w:hAnsi="Arial Narrow"/>
                <w:snapToGrid/>
                <w:sz w:val="20"/>
                <w:lang w:eastAsia="en-AU"/>
              </w:rPr>
              <w:fldChar w:fldCharType="begin">
                <w:ffData>
                  <w:name w:val=""/>
                  <w:enabled/>
                  <w:calcOnExit w:val="0"/>
                  <w:checkBox>
                    <w:sizeAuto/>
                    <w:default w:val="1"/>
                  </w:checkBox>
                </w:ffData>
              </w:fldChar>
            </w:r>
            <w:r w:rsidRPr="008F6EE9">
              <w:rPr>
                <w:rFonts w:ascii="Arial Narrow" w:hAnsi="Arial Narrow"/>
                <w:snapToGrid/>
                <w:sz w:val="20"/>
                <w:lang w:eastAsia="en-AU"/>
              </w:rPr>
              <w:instrText xml:space="preserve"> FORMCHECKBOX </w:instrText>
            </w:r>
            <w:r w:rsidR="00AE3CA7">
              <w:rPr>
                <w:rFonts w:ascii="Arial Narrow" w:hAnsi="Arial Narrow"/>
                <w:snapToGrid/>
                <w:sz w:val="20"/>
                <w:lang w:eastAsia="en-AU"/>
              </w:rPr>
            </w:r>
            <w:r w:rsidR="00AE3CA7">
              <w:rPr>
                <w:rFonts w:ascii="Arial Narrow" w:hAnsi="Arial Narrow"/>
                <w:snapToGrid/>
                <w:sz w:val="20"/>
                <w:lang w:eastAsia="en-AU"/>
              </w:rPr>
              <w:fldChar w:fldCharType="separate"/>
            </w:r>
            <w:r w:rsidRPr="008F6EE9">
              <w:rPr>
                <w:rFonts w:ascii="Arial Narrow" w:hAnsi="Arial Narrow"/>
                <w:snapToGrid/>
                <w:sz w:val="20"/>
                <w:lang w:eastAsia="en-AU"/>
              </w:rPr>
              <w:fldChar w:fldCharType="end"/>
            </w:r>
            <w:r w:rsidRPr="008F6EE9">
              <w:rPr>
                <w:rFonts w:ascii="Arial Narrow" w:hAnsi="Arial Narrow"/>
                <w:snapToGrid/>
                <w:sz w:val="20"/>
                <w:lang w:eastAsia="en-AU"/>
              </w:rPr>
              <w:t xml:space="preserve">Medical Practitioners  </w:t>
            </w:r>
            <w:r w:rsidRPr="008F6EE9">
              <w:rPr>
                <w:rFonts w:ascii="Arial Narrow" w:hAnsi="Arial Narrow"/>
                <w:snapToGrid/>
                <w:sz w:val="20"/>
                <w:lang w:eastAsia="en-AU"/>
              </w:rPr>
              <w:fldChar w:fldCharType="begin">
                <w:ffData>
                  <w:name w:val="Check3"/>
                  <w:enabled/>
                  <w:calcOnExit w:val="0"/>
                  <w:checkBox>
                    <w:sizeAuto/>
                    <w:default w:val="0"/>
                  </w:checkBox>
                </w:ffData>
              </w:fldChar>
            </w:r>
            <w:r w:rsidRPr="008F6EE9">
              <w:rPr>
                <w:rFonts w:ascii="Arial Narrow" w:hAnsi="Arial Narrow"/>
                <w:snapToGrid/>
                <w:sz w:val="20"/>
                <w:lang w:eastAsia="en-AU"/>
              </w:rPr>
              <w:instrText xml:space="preserve"> FORMCHECKBOX </w:instrText>
            </w:r>
            <w:r w:rsidR="00AE3CA7">
              <w:rPr>
                <w:rFonts w:ascii="Arial Narrow" w:hAnsi="Arial Narrow"/>
                <w:snapToGrid/>
                <w:sz w:val="20"/>
                <w:lang w:eastAsia="en-AU"/>
              </w:rPr>
            </w:r>
            <w:r w:rsidR="00AE3CA7">
              <w:rPr>
                <w:rFonts w:ascii="Arial Narrow" w:hAnsi="Arial Narrow"/>
                <w:snapToGrid/>
                <w:sz w:val="20"/>
                <w:lang w:eastAsia="en-AU"/>
              </w:rPr>
              <w:fldChar w:fldCharType="separate"/>
            </w:r>
            <w:r w:rsidRPr="008F6EE9">
              <w:rPr>
                <w:rFonts w:ascii="Arial Narrow" w:hAnsi="Arial Narrow"/>
                <w:snapToGrid/>
                <w:sz w:val="20"/>
                <w:lang w:eastAsia="en-AU"/>
              </w:rPr>
              <w:fldChar w:fldCharType="end"/>
            </w:r>
            <w:r w:rsidRPr="008F6EE9">
              <w:rPr>
                <w:rFonts w:ascii="Arial Narrow" w:hAnsi="Arial Narrow"/>
                <w:snapToGrid/>
                <w:sz w:val="20"/>
                <w:lang w:eastAsia="en-AU"/>
              </w:rPr>
              <w:t xml:space="preserve">Nurse practitioners  </w:t>
            </w:r>
            <w:r w:rsidRPr="008F6EE9">
              <w:rPr>
                <w:rFonts w:ascii="Arial Narrow" w:hAnsi="Arial Narrow"/>
                <w:snapToGrid/>
                <w:sz w:val="20"/>
                <w:lang w:eastAsia="en-AU"/>
              </w:rPr>
              <w:fldChar w:fldCharType="begin">
                <w:ffData>
                  <w:name w:val=""/>
                  <w:enabled/>
                  <w:calcOnExit w:val="0"/>
                  <w:checkBox>
                    <w:sizeAuto/>
                    <w:default w:val="0"/>
                  </w:checkBox>
                </w:ffData>
              </w:fldChar>
            </w:r>
            <w:r w:rsidRPr="008F6EE9">
              <w:rPr>
                <w:rFonts w:ascii="Arial Narrow" w:hAnsi="Arial Narrow"/>
                <w:snapToGrid/>
                <w:sz w:val="20"/>
                <w:lang w:eastAsia="en-AU"/>
              </w:rPr>
              <w:instrText xml:space="preserve"> FORMCHECKBOX </w:instrText>
            </w:r>
            <w:r w:rsidR="00AE3CA7">
              <w:rPr>
                <w:rFonts w:ascii="Arial Narrow" w:hAnsi="Arial Narrow"/>
                <w:snapToGrid/>
                <w:sz w:val="20"/>
                <w:lang w:eastAsia="en-AU"/>
              </w:rPr>
            </w:r>
            <w:r w:rsidR="00AE3CA7">
              <w:rPr>
                <w:rFonts w:ascii="Arial Narrow" w:hAnsi="Arial Narrow"/>
                <w:snapToGrid/>
                <w:sz w:val="20"/>
                <w:lang w:eastAsia="en-AU"/>
              </w:rPr>
              <w:fldChar w:fldCharType="separate"/>
            </w:r>
            <w:r w:rsidRPr="008F6EE9">
              <w:rPr>
                <w:rFonts w:ascii="Arial Narrow" w:hAnsi="Arial Narrow"/>
                <w:snapToGrid/>
                <w:sz w:val="20"/>
                <w:lang w:eastAsia="en-AU"/>
              </w:rPr>
              <w:fldChar w:fldCharType="end"/>
            </w:r>
            <w:r w:rsidRPr="008F6EE9">
              <w:rPr>
                <w:rFonts w:ascii="Arial Narrow" w:hAnsi="Arial Narrow"/>
                <w:snapToGrid/>
                <w:sz w:val="20"/>
                <w:lang w:eastAsia="en-AU"/>
              </w:rPr>
              <w:t>Optometrists</w:t>
            </w:r>
          </w:p>
          <w:p w:rsidR="002E1C8E" w:rsidRPr="008F6EE9" w:rsidRDefault="002E1C8E" w:rsidP="00AD4734">
            <w:pPr>
              <w:widowControl/>
              <w:jc w:val="left"/>
              <w:rPr>
                <w:rFonts w:ascii="Arial Narrow" w:hAnsi="Arial Narrow"/>
                <w:snapToGrid/>
                <w:sz w:val="20"/>
                <w:lang w:eastAsia="en-AU"/>
              </w:rPr>
            </w:pPr>
            <w:r w:rsidRPr="008F6EE9">
              <w:rPr>
                <w:rFonts w:ascii="Arial Narrow" w:hAnsi="Arial Narrow"/>
                <w:snapToGrid/>
                <w:sz w:val="20"/>
                <w:lang w:eastAsia="en-AU"/>
              </w:rPr>
              <w:fldChar w:fldCharType="begin">
                <w:ffData>
                  <w:name w:val="Check5"/>
                  <w:enabled/>
                  <w:calcOnExit w:val="0"/>
                  <w:checkBox>
                    <w:sizeAuto/>
                    <w:default w:val="0"/>
                  </w:checkBox>
                </w:ffData>
              </w:fldChar>
            </w:r>
            <w:r w:rsidRPr="008F6EE9">
              <w:rPr>
                <w:rFonts w:ascii="Arial Narrow" w:hAnsi="Arial Narrow"/>
                <w:snapToGrid/>
                <w:sz w:val="20"/>
                <w:lang w:eastAsia="en-AU"/>
              </w:rPr>
              <w:instrText xml:space="preserve"> FORMCHECKBOX </w:instrText>
            </w:r>
            <w:r w:rsidR="00AE3CA7">
              <w:rPr>
                <w:rFonts w:ascii="Arial Narrow" w:hAnsi="Arial Narrow"/>
                <w:snapToGrid/>
                <w:sz w:val="20"/>
                <w:lang w:eastAsia="en-AU"/>
              </w:rPr>
            </w:r>
            <w:r w:rsidR="00AE3CA7">
              <w:rPr>
                <w:rFonts w:ascii="Arial Narrow" w:hAnsi="Arial Narrow"/>
                <w:snapToGrid/>
                <w:sz w:val="20"/>
                <w:lang w:eastAsia="en-AU"/>
              </w:rPr>
              <w:fldChar w:fldCharType="separate"/>
            </w:r>
            <w:r w:rsidRPr="008F6EE9">
              <w:rPr>
                <w:rFonts w:ascii="Arial Narrow" w:hAnsi="Arial Narrow"/>
                <w:snapToGrid/>
                <w:sz w:val="20"/>
                <w:lang w:eastAsia="en-AU"/>
              </w:rPr>
              <w:fldChar w:fldCharType="end"/>
            </w:r>
            <w:r w:rsidRPr="008F6EE9">
              <w:rPr>
                <w:rFonts w:ascii="Arial Narrow" w:hAnsi="Arial Narrow"/>
                <w:snapToGrid/>
                <w:sz w:val="20"/>
                <w:lang w:eastAsia="en-AU"/>
              </w:rPr>
              <w:t>Midwives</w:t>
            </w:r>
          </w:p>
        </w:tc>
      </w:tr>
      <w:tr w:rsidR="002E1C8E" w:rsidRPr="008F6EE9" w:rsidTr="00AD4734">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1C8E" w:rsidRPr="008F6EE9" w:rsidRDefault="002E1C8E" w:rsidP="00AD4734">
            <w:pPr>
              <w:widowControl/>
              <w:rPr>
                <w:rFonts w:ascii="Arial Narrow" w:hAnsi="Arial Narrow"/>
                <w:b/>
                <w:snapToGrid/>
                <w:sz w:val="20"/>
                <w:lang w:eastAsia="en-AU"/>
              </w:rPr>
            </w:pPr>
            <w:r w:rsidRPr="008F6EE9">
              <w:rPr>
                <w:rFonts w:ascii="Arial Narrow" w:hAnsi="Arial Narrow"/>
                <w:b/>
                <w:snapToGrid/>
                <w:sz w:val="20"/>
                <w:lang w:eastAsia="en-AU"/>
              </w:rPr>
              <w:t>Episodicity:</w:t>
            </w:r>
          </w:p>
        </w:tc>
        <w:tc>
          <w:tcPr>
            <w:tcW w:w="6379" w:type="dxa"/>
            <w:gridSpan w:val="6"/>
            <w:tcBorders>
              <w:top w:val="single" w:sz="4" w:space="0" w:color="auto"/>
              <w:left w:val="single" w:sz="4" w:space="0" w:color="auto"/>
              <w:bottom w:val="single" w:sz="4" w:space="0" w:color="auto"/>
              <w:right w:val="single" w:sz="4" w:space="0" w:color="auto"/>
            </w:tcBorders>
          </w:tcPr>
          <w:p w:rsidR="002E1C8E" w:rsidRPr="008F6EE9" w:rsidRDefault="002E1C8E" w:rsidP="00AD4734">
            <w:pPr>
              <w:widowControl/>
              <w:jc w:val="left"/>
              <w:rPr>
                <w:rFonts w:ascii="Arial Narrow" w:hAnsi="Arial Narrow"/>
                <w:snapToGrid/>
                <w:sz w:val="20"/>
                <w:lang w:eastAsia="en-AU"/>
              </w:rPr>
            </w:pPr>
          </w:p>
        </w:tc>
      </w:tr>
      <w:tr w:rsidR="002E1C8E" w:rsidRPr="008F6EE9" w:rsidTr="00AD4734">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1C8E" w:rsidRPr="008F6EE9" w:rsidRDefault="002E1C8E" w:rsidP="00AD4734">
            <w:pPr>
              <w:widowControl/>
              <w:rPr>
                <w:rFonts w:ascii="Arial Narrow" w:hAnsi="Arial Narrow"/>
                <w:b/>
                <w:snapToGrid/>
                <w:sz w:val="20"/>
                <w:lang w:eastAsia="en-AU"/>
              </w:rPr>
            </w:pPr>
            <w:r w:rsidRPr="008F6EE9">
              <w:rPr>
                <w:rFonts w:ascii="Arial Narrow" w:hAnsi="Arial Narrow"/>
                <w:b/>
                <w:snapToGrid/>
                <w:sz w:val="20"/>
                <w:lang w:eastAsia="en-AU"/>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2E1C8E" w:rsidRPr="008F6EE9" w:rsidRDefault="002E1C8E" w:rsidP="00AD4734">
            <w:pPr>
              <w:widowControl/>
              <w:jc w:val="left"/>
              <w:rPr>
                <w:rFonts w:ascii="Arial Narrow" w:hAnsi="Arial Narrow"/>
                <w:snapToGrid/>
                <w:sz w:val="20"/>
                <w:lang w:eastAsia="en-AU"/>
              </w:rPr>
            </w:pPr>
            <w:r w:rsidRPr="008F6EE9">
              <w:rPr>
                <w:rFonts w:ascii="Arial Narrow" w:hAnsi="Arial Narrow"/>
                <w:snapToGrid/>
                <w:sz w:val="20"/>
                <w:lang w:eastAsia="en-AU"/>
              </w:rPr>
              <w:t>Locally advanced or metastatic</w:t>
            </w:r>
          </w:p>
        </w:tc>
      </w:tr>
      <w:tr w:rsidR="002E1C8E" w:rsidRPr="008F6EE9" w:rsidTr="00AD4734">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1C8E" w:rsidRPr="008F6EE9" w:rsidRDefault="002E1C8E" w:rsidP="00AD4734">
            <w:pPr>
              <w:widowControl/>
              <w:rPr>
                <w:rFonts w:ascii="Arial Narrow" w:hAnsi="Arial Narrow"/>
                <w:b/>
                <w:snapToGrid/>
                <w:sz w:val="20"/>
                <w:lang w:eastAsia="en-AU"/>
              </w:rPr>
            </w:pPr>
            <w:r w:rsidRPr="008F6EE9">
              <w:rPr>
                <w:rFonts w:ascii="Arial Narrow" w:hAnsi="Arial Narrow"/>
                <w:b/>
                <w:snapToGrid/>
                <w:sz w:val="20"/>
                <w:lang w:eastAsia="en-AU"/>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2E1C8E" w:rsidRPr="008F6EE9" w:rsidRDefault="002E1C8E" w:rsidP="00AD4734">
            <w:pPr>
              <w:widowControl/>
              <w:jc w:val="left"/>
              <w:rPr>
                <w:rFonts w:ascii="Arial Narrow" w:hAnsi="Arial Narrow"/>
                <w:snapToGrid/>
                <w:sz w:val="20"/>
                <w:lang w:eastAsia="en-AU"/>
              </w:rPr>
            </w:pPr>
            <w:r w:rsidRPr="008F6EE9">
              <w:rPr>
                <w:rFonts w:ascii="Arial Narrow" w:hAnsi="Arial Narrow"/>
                <w:snapToGrid/>
                <w:sz w:val="20"/>
                <w:lang w:eastAsia="en-AU"/>
              </w:rPr>
              <w:t>Transitional cell carcinoma of the urothelial tract</w:t>
            </w:r>
          </w:p>
        </w:tc>
      </w:tr>
      <w:tr w:rsidR="002E1C8E" w:rsidRPr="008F6EE9" w:rsidTr="00AD4734">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1C8E" w:rsidRPr="008F6EE9" w:rsidRDefault="002E1C8E" w:rsidP="00AD4734">
            <w:pPr>
              <w:widowControl/>
              <w:rPr>
                <w:rFonts w:ascii="Arial Narrow" w:hAnsi="Arial Narrow"/>
                <w:b/>
                <w:snapToGrid/>
                <w:sz w:val="20"/>
                <w:lang w:eastAsia="en-AU"/>
              </w:rPr>
            </w:pPr>
            <w:r w:rsidRPr="008F6EE9">
              <w:rPr>
                <w:rFonts w:ascii="Arial Narrow" w:hAnsi="Arial Narrow"/>
                <w:b/>
                <w:snapToGrid/>
                <w:sz w:val="20"/>
                <w:lang w:eastAsia="en-AU"/>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2E1C8E" w:rsidRPr="008F6EE9" w:rsidRDefault="002E1C8E" w:rsidP="00AD4734">
            <w:pPr>
              <w:widowControl/>
              <w:jc w:val="left"/>
              <w:rPr>
                <w:rFonts w:ascii="Arial Narrow" w:hAnsi="Arial Narrow"/>
                <w:snapToGrid/>
                <w:sz w:val="20"/>
                <w:lang w:eastAsia="en-AU"/>
              </w:rPr>
            </w:pPr>
            <w:r w:rsidRPr="008F6EE9">
              <w:rPr>
                <w:rFonts w:ascii="Arial Narrow" w:hAnsi="Arial Narrow"/>
                <w:snapToGrid/>
                <w:sz w:val="20"/>
                <w:lang w:eastAsia="en-AU"/>
              </w:rPr>
              <w:t>Locally advanced or metastatic transitional cell carcinoma of the urothelial tract</w:t>
            </w:r>
          </w:p>
        </w:tc>
      </w:tr>
      <w:tr w:rsidR="002E1C8E" w:rsidRPr="008F6EE9" w:rsidTr="00AD4734">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1C8E" w:rsidRPr="008F6EE9" w:rsidRDefault="002E1C8E" w:rsidP="00AD4734">
            <w:pPr>
              <w:widowControl/>
              <w:rPr>
                <w:rFonts w:ascii="Arial Narrow" w:hAnsi="Arial Narrow"/>
                <w:b/>
                <w:snapToGrid/>
                <w:sz w:val="20"/>
                <w:lang w:eastAsia="en-AU"/>
              </w:rPr>
            </w:pPr>
            <w:r w:rsidRPr="008F6EE9">
              <w:rPr>
                <w:rFonts w:ascii="Arial Narrow" w:hAnsi="Arial Narrow"/>
                <w:b/>
                <w:snapToGrid/>
                <w:sz w:val="20"/>
                <w:lang w:eastAsia="en-AU"/>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2E1C8E" w:rsidRPr="008F6EE9" w:rsidRDefault="002E1C8E" w:rsidP="00AD4734">
            <w:pPr>
              <w:widowControl/>
              <w:jc w:val="left"/>
              <w:rPr>
                <w:rFonts w:ascii="Arial Narrow" w:hAnsi="Arial Narrow"/>
                <w:snapToGrid/>
                <w:sz w:val="20"/>
                <w:lang w:eastAsia="en-AU"/>
              </w:rPr>
            </w:pPr>
          </w:p>
        </w:tc>
      </w:tr>
      <w:tr w:rsidR="002E1C8E" w:rsidRPr="008F6EE9" w:rsidTr="00AD4734">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1C8E" w:rsidRPr="008F6EE9" w:rsidRDefault="002E1C8E" w:rsidP="00AD4734">
            <w:pPr>
              <w:widowControl/>
              <w:rPr>
                <w:rFonts w:ascii="Arial Narrow" w:hAnsi="Arial Narrow"/>
                <w:b/>
                <w:snapToGrid/>
                <w:sz w:val="20"/>
                <w:lang w:eastAsia="en-AU"/>
              </w:rPr>
            </w:pPr>
            <w:r w:rsidRPr="008F6EE9">
              <w:rPr>
                <w:rFonts w:ascii="Arial Narrow" w:hAnsi="Arial Narrow"/>
                <w:b/>
                <w:snapToGrid/>
                <w:sz w:val="20"/>
                <w:lang w:eastAsia="en-AU"/>
              </w:rPr>
              <w:t>Restriction Level / Method:</w:t>
            </w:r>
          </w:p>
          <w:p w:rsidR="002E1C8E" w:rsidRPr="008F6EE9" w:rsidRDefault="002E1C8E" w:rsidP="00AD4734">
            <w:pPr>
              <w:widowControl/>
              <w:jc w:val="left"/>
              <w:rPr>
                <w:rFonts w:ascii="Arial Narrow" w:hAnsi="Arial Narrow"/>
                <w:i/>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2E1C8E" w:rsidRPr="008F6EE9" w:rsidRDefault="002E1C8E" w:rsidP="00AD4734">
            <w:pPr>
              <w:widowControl/>
              <w:jc w:val="left"/>
              <w:rPr>
                <w:rFonts w:ascii="Arial Narrow" w:hAnsi="Arial Narrow"/>
                <w:snapToGrid/>
                <w:sz w:val="20"/>
                <w:lang w:eastAsia="en-AU"/>
              </w:rPr>
            </w:pPr>
            <w:r w:rsidRPr="008F6EE9">
              <w:rPr>
                <w:rFonts w:ascii="Arial Narrow" w:hAnsi="Arial Narrow"/>
                <w:snapToGrid/>
                <w:sz w:val="20"/>
                <w:lang w:eastAsia="en-AU"/>
              </w:rPr>
              <w:fldChar w:fldCharType="begin">
                <w:ffData>
                  <w:name w:val="Check1"/>
                  <w:enabled/>
                  <w:calcOnExit w:val="0"/>
                  <w:checkBox>
                    <w:sizeAuto/>
                    <w:default w:val="0"/>
                  </w:checkBox>
                </w:ffData>
              </w:fldChar>
            </w:r>
            <w:r w:rsidRPr="008F6EE9">
              <w:rPr>
                <w:rFonts w:ascii="Arial Narrow" w:hAnsi="Arial Narrow"/>
                <w:snapToGrid/>
                <w:sz w:val="20"/>
                <w:lang w:eastAsia="en-AU"/>
              </w:rPr>
              <w:instrText xml:space="preserve"> FORMCHECKBOX </w:instrText>
            </w:r>
            <w:r w:rsidR="00AE3CA7">
              <w:rPr>
                <w:rFonts w:ascii="Arial Narrow" w:hAnsi="Arial Narrow"/>
                <w:snapToGrid/>
                <w:sz w:val="20"/>
                <w:lang w:eastAsia="en-AU"/>
              </w:rPr>
            </w:r>
            <w:r w:rsidR="00AE3CA7">
              <w:rPr>
                <w:rFonts w:ascii="Arial Narrow" w:hAnsi="Arial Narrow"/>
                <w:snapToGrid/>
                <w:sz w:val="20"/>
                <w:lang w:eastAsia="en-AU"/>
              </w:rPr>
              <w:fldChar w:fldCharType="separate"/>
            </w:r>
            <w:r w:rsidRPr="008F6EE9">
              <w:rPr>
                <w:rFonts w:ascii="Arial Narrow" w:hAnsi="Arial Narrow"/>
                <w:snapToGrid/>
                <w:sz w:val="20"/>
                <w:lang w:eastAsia="en-AU"/>
              </w:rPr>
              <w:fldChar w:fldCharType="end"/>
            </w:r>
            <w:r w:rsidRPr="008F6EE9">
              <w:rPr>
                <w:rFonts w:ascii="Arial Narrow" w:hAnsi="Arial Narrow"/>
                <w:snapToGrid/>
                <w:sz w:val="20"/>
                <w:lang w:eastAsia="en-AU"/>
              </w:rPr>
              <w:t>Restricted benefit</w:t>
            </w:r>
          </w:p>
          <w:p w:rsidR="002E1C8E" w:rsidRPr="008F6EE9" w:rsidRDefault="002E1C8E" w:rsidP="00AD4734">
            <w:pPr>
              <w:widowControl/>
              <w:jc w:val="left"/>
              <w:rPr>
                <w:rFonts w:ascii="Arial Narrow" w:hAnsi="Arial Narrow"/>
                <w:snapToGrid/>
                <w:sz w:val="20"/>
                <w:lang w:eastAsia="en-AU"/>
              </w:rPr>
            </w:pPr>
            <w:r w:rsidRPr="008F6EE9">
              <w:rPr>
                <w:rFonts w:ascii="Arial Narrow" w:hAnsi="Arial Narrow"/>
                <w:snapToGrid/>
                <w:sz w:val="20"/>
                <w:lang w:eastAsia="en-AU"/>
              </w:rPr>
              <w:fldChar w:fldCharType="begin">
                <w:ffData>
                  <w:name w:val=""/>
                  <w:enabled/>
                  <w:calcOnExit w:val="0"/>
                  <w:checkBox>
                    <w:sizeAuto/>
                    <w:default w:val="0"/>
                  </w:checkBox>
                </w:ffData>
              </w:fldChar>
            </w:r>
            <w:r w:rsidRPr="008F6EE9">
              <w:rPr>
                <w:rFonts w:ascii="Arial Narrow" w:hAnsi="Arial Narrow"/>
                <w:snapToGrid/>
                <w:sz w:val="20"/>
                <w:lang w:eastAsia="en-AU"/>
              </w:rPr>
              <w:instrText xml:space="preserve"> FORMCHECKBOX </w:instrText>
            </w:r>
            <w:r w:rsidR="00AE3CA7">
              <w:rPr>
                <w:rFonts w:ascii="Arial Narrow" w:hAnsi="Arial Narrow"/>
                <w:snapToGrid/>
                <w:sz w:val="20"/>
                <w:lang w:eastAsia="en-AU"/>
              </w:rPr>
            </w:r>
            <w:r w:rsidR="00AE3CA7">
              <w:rPr>
                <w:rFonts w:ascii="Arial Narrow" w:hAnsi="Arial Narrow"/>
                <w:snapToGrid/>
                <w:sz w:val="20"/>
                <w:lang w:eastAsia="en-AU"/>
              </w:rPr>
              <w:fldChar w:fldCharType="separate"/>
            </w:r>
            <w:r w:rsidRPr="008F6EE9">
              <w:rPr>
                <w:rFonts w:ascii="Arial Narrow" w:hAnsi="Arial Narrow"/>
                <w:snapToGrid/>
                <w:sz w:val="20"/>
                <w:lang w:eastAsia="en-AU"/>
              </w:rPr>
              <w:fldChar w:fldCharType="end"/>
            </w:r>
            <w:r w:rsidRPr="008F6EE9">
              <w:rPr>
                <w:rFonts w:ascii="Arial Narrow" w:hAnsi="Arial Narrow"/>
                <w:snapToGrid/>
                <w:sz w:val="20"/>
                <w:lang w:eastAsia="en-AU"/>
              </w:rPr>
              <w:t>Authority Required - In Writing</w:t>
            </w:r>
          </w:p>
          <w:p w:rsidR="002E1C8E" w:rsidRPr="008F6EE9" w:rsidRDefault="002E1C8E" w:rsidP="00AD4734">
            <w:pPr>
              <w:widowControl/>
              <w:jc w:val="left"/>
              <w:rPr>
                <w:rFonts w:ascii="Arial Narrow" w:hAnsi="Arial Narrow"/>
                <w:snapToGrid/>
                <w:sz w:val="20"/>
                <w:lang w:eastAsia="en-AU"/>
              </w:rPr>
            </w:pPr>
            <w:r w:rsidRPr="008F6EE9">
              <w:rPr>
                <w:rFonts w:ascii="Arial Narrow" w:hAnsi="Arial Narrow"/>
                <w:snapToGrid/>
                <w:sz w:val="20"/>
                <w:lang w:eastAsia="en-AU"/>
              </w:rPr>
              <w:fldChar w:fldCharType="begin">
                <w:ffData>
                  <w:name w:val="Check3"/>
                  <w:enabled/>
                  <w:calcOnExit w:val="0"/>
                  <w:checkBox>
                    <w:sizeAuto/>
                    <w:default w:val="0"/>
                  </w:checkBox>
                </w:ffData>
              </w:fldChar>
            </w:r>
            <w:r w:rsidRPr="008F6EE9">
              <w:rPr>
                <w:rFonts w:ascii="Arial Narrow" w:hAnsi="Arial Narrow"/>
                <w:snapToGrid/>
                <w:sz w:val="20"/>
                <w:lang w:eastAsia="en-AU"/>
              </w:rPr>
              <w:instrText xml:space="preserve"> FORMCHECKBOX </w:instrText>
            </w:r>
            <w:r w:rsidR="00AE3CA7">
              <w:rPr>
                <w:rFonts w:ascii="Arial Narrow" w:hAnsi="Arial Narrow"/>
                <w:snapToGrid/>
                <w:sz w:val="20"/>
                <w:lang w:eastAsia="en-AU"/>
              </w:rPr>
            </w:r>
            <w:r w:rsidR="00AE3CA7">
              <w:rPr>
                <w:rFonts w:ascii="Arial Narrow" w:hAnsi="Arial Narrow"/>
                <w:snapToGrid/>
                <w:sz w:val="20"/>
                <w:lang w:eastAsia="en-AU"/>
              </w:rPr>
              <w:fldChar w:fldCharType="separate"/>
            </w:r>
            <w:r w:rsidRPr="008F6EE9">
              <w:rPr>
                <w:rFonts w:ascii="Arial Narrow" w:hAnsi="Arial Narrow"/>
                <w:snapToGrid/>
                <w:sz w:val="20"/>
                <w:lang w:eastAsia="en-AU"/>
              </w:rPr>
              <w:fldChar w:fldCharType="end"/>
            </w:r>
            <w:r w:rsidRPr="008F6EE9">
              <w:rPr>
                <w:rFonts w:ascii="Arial Narrow" w:hAnsi="Arial Narrow"/>
                <w:snapToGrid/>
                <w:sz w:val="20"/>
                <w:lang w:eastAsia="en-AU"/>
              </w:rPr>
              <w:t>Authority Required - Telephone</w:t>
            </w:r>
          </w:p>
          <w:p w:rsidR="002E1C8E" w:rsidRPr="008F6EE9" w:rsidRDefault="002E1C8E" w:rsidP="00AD4734">
            <w:pPr>
              <w:widowControl/>
              <w:jc w:val="left"/>
              <w:rPr>
                <w:rFonts w:ascii="Arial Narrow" w:hAnsi="Arial Narrow"/>
                <w:snapToGrid/>
                <w:sz w:val="20"/>
                <w:lang w:eastAsia="en-AU"/>
              </w:rPr>
            </w:pPr>
            <w:r w:rsidRPr="008F6EE9">
              <w:rPr>
                <w:rFonts w:ascii="Arial Narrow" w:hAnsi="Arial Narrow"/>
                <w:snapToGrid/>
                <w:sz w:val="20"/>
                <w:lang w:eastAsia="en-AU"/>
              </w:rPr>
              <w:fldChar w:fldCharType="begin">
                <w:ffData>
                  <w:name w:val=""/>
                  <w:enabled/>
                  <w:calcOnExit w:val="0"/>
                  <w:checkBox>
                    <w:sizeAuto/>
                    <w:default w:val="0"/>
                  </w:checkBox>
                </w:ffData>
              </w:fldChar>
            </w:r>
            <w:r w:rsidRPr="008F6EE9">
              <w:rPr>
                <w:rFonts w:ascii="Arial Narrow" w:hAnsi="Arial Narrow"/>
                <w:snapToGrid/>
                <w:sz w:val="20"/>
                <w:lang w:eastAsia="en-AU"/>
              </w:rPr>
              <w:instrText xml:space="preserve"> FORMCHECKBOX </w:instrText>
            </w:r>
            <w:r w:rsidR="00AE3CA7">
              <w:rPr>
                <w:rFonts w:ascii="Arial Narrow" w:hAnsi="Arial Narrow"/>
                <w:snapToGrid/>
                <w:sz w:val="20"/>
                <w:lang w:eastAsia="en-AU"/>
              </w:rPr>
            </w:r>
            <w:r w:rsidR="00AE3CA7">
              <w:rPr>
                <w:rFonts w:ascii="Arial Narrow" w:hAnsi="Arial Narrow"/>
                <w:snapToGrid/>
                <w:sz w:val="20"/>
                <w:lang w:eastAsia="en-AU"/>
              </w:rPr>
              <w:fldChar w:fldCharType="separate"/>
            </w:r>
            <w:r w:rsidRPr="008F6EE9">
              <w:rPr>
                <w:rFonts w:ascii="Arial Narrow" w:hAnsi="Arial Narrow"/>
                <w:snapToGrid/>
                <w:sz w:val="20"/>
                <w:lang w:eastAsia="en-AU"/>
              </w:rPr>
              <w:fldChar w:fldCharType="end"/>
            </w:r>
            <w:r w:rsidRPr="008F6EE9">
              <w:rPr>
                <w:rFonts w:ascii="Arial Narrow" w:hAnsi="Arial Narrow"/>
                <w:snapToGrid/>
                <w:sz w:val="20"/>
                <w:lang w:eastAsia="en-AU"/>
              </w:rPr>
              <w:t>Authority Required – Emergency</w:t>
            </w:r>
          </w:p>
          <w:p w:rsidR="002E1C8E" w:rsidRPr="008F6EE9" w:rsidRDefault="002E1C8E" w:rsidP="00AD4734">
            <w:pPr>
              <w:widowControl/>
              <w:jc w:val="left"/>
              <w:rPr>
                <w:rFonts w:ascii="Arial Narrow" w:hAnsi="Arial Narrow"/>
                <w:snapToGrid/>
                <w:sz w:val="20"/>
                <w:lang w:eastAsia="en-AU"/>
              </w:rPr>
            </w:pPr>
            <w:r w:rsidRPr="008F6EE9">
              <w:rPr>
                <w:rFonts w:ascii="Arial Narrow" w:hAnsi="Arial Narrow"/>
                <w:snapToGrid/>
                <w:sz w:val="20"/>
                <w:lang w:eastAsia="en-AU"/>
              </w:rPr>
              <w:fldChar w:fldCharType="begin">
                <w:ffData>
                  <w:name w:val="Check5"/>
                  <w:enabled/>
                  <w:calcOnExit w:val="0"/>
                  <w:checkBox>
                    <w:sizeAuto/>
                    <w:default w:val="0"/>
                  </w:checkBox>
                </w:ffData>
              </w:fldChar>
            </w:r>
            <w:r w:rsidRPr="008F6EE9">
              <w:rPr>
                <w:rFonts w:ascii="Arial Narrow" w:hAnsi="Arial Narrow"/>
                <w:snapToGrid/>
                <w:sz w:val="20"/>
                <w:lang w:eastAsia="en-AU"/>
              </w:rPr>
              <w:instrText xml:space="preserve"> FORMCHECKBOX </w:instrText>
            </w:r>
            <w:r w:rsidR="00AE3CA7">
              <w:rPr>
                <w:rFonts w:ascii="Arial Narrow" w:hAnsi="Arial Narrow"/>
                <w:snapToGrid/>
                <w:sz w:val="20"/>
                <w:lang w:eastAsia="en-AU"/>
              </w:rPr>
            </w:r>
            <w:r w:rsidR="00AE3CA7">
              <w:rPr>
                <w:rFonts w:ascii="Arial Narrow" w:hAnsi="Arial Narrow"/>
                <w:snapToGrid/>
                <w:sz w:val="20"/>
                <w:lang w:eastAsia="en-AU"/>
              </w:rPr>
              <w:fldChar w:fldCharType="separate"/>
            </w:r>
            <w:r w:rsidRPr="008F6EE9">
              <w:rPr>
                <w:rFonts w:ascii="Arial Narrow" w:hAnsi="Arial Narrow"/>
                <w:snapToGrid/>
                <w:sz w:val="20"/>
                <w:lang w:eastAsia="en-AU"/>
              </w:rPr>
              <w:fldChar w:fldCharType="end"/>
            </w:r>
            <w:r w:rsidRPr="008F6EE9">
              <w:rPr>
                <w:rFonts w:ascii="Arial Narrow" w:hAnsi="Arial Narrow"/>
                <w:snapToGrid/>
                <w:sz w:val="20"/>
                <w:lang w:eastAsia="en-AU"/>
              </w:rPr>
              <w:t>Authority Required - Electronic</w:t>
            </w:r>
          </w:p>
          <w:p w:rsidR="002E1C8E" w:rsidRPr="008F6EE9" w:rsidRDefault="002E1C8E" w:rsidP="00AD4734">
            <w:pPr>
              <w:widowControl/>
              <w:jc w:val="left"/>
              <w:rPr>
                <w:rFonts w:ascii="Arial Narrow" w:hAnsi="Arial Narrow"/>
                <w:snapToGrid/>
                <w:sz w:val="20"/>
                <w:lang w:eastAsia="en-AU"/>
              </w:rPr>
            </w:pPr>
            <w:r w:rsidRPr="008F6EE9">
              <w:rPr>
                <w:rFonts w:ascii="Arial Narrow" w:hAnsi="Arial Narrow"/>
                <w:snapToGrid/>
                <w:sz w:val="20"/>
                <w:lang w:eastAsia="en-AU"/>
              </w:rPr>
              <w:fldChar w:fldCharType="begin">
                <w:ffData>
                  <w:name w:val="Check5"/>
                  <w:enabled/>
                  <w:calcOnExit w:val="0"/>
                  <w:checkBox>
                    <w:sizeAuto/>
                    <w:default w:val="1"/>
                  </w:checkBox>
                </w:ffData>
              </w:fldChar>
            </w:r>
            <w:bookmarkStart w:id="6" w:name="Check5"/>
            <w:r w:rsidRPr="008F6EE9">
              <w:rPr>
                <w:rFonts w:ascii="Arial Narrow" w:hAnsi="Arial Narrow"/>
                <w:snapToGrid/>
                <w:sz w:val="20"/>
                <w:lang w:eastAsia="en-AU"/>
              </w:rPr>
              <w:instrText xml:space="preserve"> FORMCHECKBOX </w:instrText>
            </w:r>
            <w:r w:rsidR="00AE3CA7">
              <w:rPr>
                <w:rFonts w:ascii="Arial Narrow" w:hAnsi="Arial Narrow"/>
                <w:snapToGrid/>
                <w:sz w:val="20"/>
                <w:lang w:eastAsia="en-AU"/>
              </w:rPr>
            </w:r>
            <w:r w:rsidR="00AE3CA7">
              <w:rPr>
                <w:rFonts w:ascii="Arial Narrow" w:hAnsi="Arial Narrow"/>
                <w:snapToGrid/>
                <w:sz w:val="20"/>
                <w:lang w:eastAsia="en-AU"/>
              </w:rPr>
              <w:fldChar w:fldCharType="separate"/>
            </w:r>
            <w:r w:rsidRPr="008F6EE9">
              <w:rPr>
                <w:rFonts w:ascii="Arial Narrow" w:hAnsi="Arial Narrow"/>
                <w:snapToGrid/>
                <w:sz w:val="20"/>
                <w:lang w:eastAsia="en-AU"/>
              </w:rPr>
              <w:fldChar w:fldCharType="end"/>
            </w:r>
            <w:bookmarkEnd w:id="6"/>
            <w:r w:rsidRPr="008F6EE9">
              <w:rPr>
                <w:rFonts w:ascii="Arial Narrow" w:hAnsi="Arial Narrow"/>
                <w:snapToGrid/>
                <w:sz w:val="20"/>
                <w:lang w:eastAsia="en-AU"/>
              </w:rPr>
              <w:t>Streamlined</w:t>
            </w:r>
          </w:p>
        </w:tc>
      </w:tr>
      <w:tr w:rsidR="002E1C8E" w:rsidRPr="008F6EE9" w:rsidTr="00AD4734">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1C8E" w:rsidRPr="008F6EE9" w:rsidRDefault="002E1C8E" w:rsidP="00AD4734">
            <w:pPr>
              <w:widowControl/>
              <w:rPr>
                <w:rFonts w:ascii="Arial Narrow" w:hAnsi="Arial Narrow"/>
                <w:b/>
                <w:snapToGrid/>
                <w:sz w:val="20"/>
                <w:lang w:eastAsia="en-AU"/>
              </w:rPr>
            </w:pPr>
            <w:r w:rsidRPr="008F6EE9">
              <w:rPr>
                <w:rFonts w:ascii="Arial Narrow" w:hAnsi="Arial Narrow"/>
                <w:b/>
                <w:snapToGrid/>
                <w:sz w:val="20"/>
                <w:lang w:eastAsia="en-AU"/>
              </w:rPr>
              <w:lastRenderedPageBreak/>
              <w:t>Clinical criteria:</w:t>
            </w:r>
          </w:p>
          <w:p w:rsidR="002E1C8E" w:rsidRPr="008F6EE9" w:rsidRDefault="002E1C8E" w:rsidP="00AD4734">
            <w:pPr>
              <w:widowControl/>
              <w:rPr>
                <w:rFonts w:ascii="Arial Narrow" w:hAnsi="Arial Narrow"/>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2E1C8E" w:rsidRPr="002E1C8E" w:rsidRDefault="002E1C8E" w:rsidP="00AD4734">
            <w:pPr>
              <w:widowControl/>
              <w:jc w:val="left"/>
              <w:rPr>
                <w:rFonts w:ascii="Arial Narrow" w:hAnsi="Arial Narrow"/>
                <w:strike/>
                <w:snapToGrid/>
                <w:sz w:val="20"/>
                <w:lang w:eastAsia="en-AU"/>
              </w:rPr>
            </w:pPr>
            <w:r w:rsidRPr="008F6EE9">
              <w:rPr>
                <w:rFonts w:ascii="Arial Narrow" w:hAnsi="Arial Narrow"/>
                <w:strike/>
                <w:snapToGrid/>
                <w:sz w:val="20"/>
                <w:lang w:eastAsia="en-AU"/>
              </w:rPr>
              <w:t xml:space="preserve">Patient must have disease progression following treatment with a platinum-containing regimen for </w:t>
            </w:r>
            <w:r w:rsidRPr="002E1C8E">
              <w:rPr>
                <w:rFonts w:ascii="Arial Narrow" w:hAnsi="Arial Narrow"/>
                <w:strike/>
                <w:snapToGrid/>
                <w:sz w:val="20"/>
                <w:lang w:eastAsia="en-AU"/>
              </w:rPr>
              <w:t>advanced or metastatic disease</w:t>
            </w:r>
          </w:p>
          <w:p w:rsidR="002E1C8E" w:rsidRPr="002E1C8E" w:rsidRDefault="002E1C8E" w:rsidP="00AD4734">
            <w:pPr>
              <w:widowControl/>
              <w:jc w:val="left"/>
              <w:rPr>
                <w:rFonts w:ascii="Arial Narrow" w:hAnsi="Arial Narrow"/>
                <w:snapToGrid/>
                <w:sz w:val="20"/>
                <w:lang w:eastAsia="en-AU"/>
              </w:rPr>
            </w:pPr>
          </w:p>
          <w:p w:rsidR="002E1C8E" w:rsidRPr="002E1C8E" w:rsidRDefault="002E1C8E" w:rsidP="00AD4734">
            <w:pPr>
              <w:widowControl/>
              <w:jc w:val="left"/>
              <w:rPr>
                <w:rFonts w:ascii="Arial Narrow" w:hAnsi="Arial Narrow"/>
                <w:i/>
                <w:snapToGrid/>
                <w:sz w:val="20"/>
                <w:lang w:eastAsia="en-AU"/>
              </w:rPr>
            </w:pPr>
            <w:r w:rsidRPr="002E1C8E">
              <w:rPr>
                <w:rFonts w:ascii="Arial Narrow" w:hAnsi="Arial Narrow" w:cs="Times New Roman"/>
                <w:i/>
                <w:snapToGrid/>
                <w:sz w:val="20"/>
                <w:lang w:eastAsia="en-AU"/>
              </w:rPr>
              <w:t xml:space="preserve">Patient must have failed a platinum-containing regimen </w:t>
            </w:r>
            <w:r w:rsidRPr="002E1C8E">
              <w:rPr>
                <w:rFonts w:ascii="Arial Narrow" w:hAnsi="Arial Narrow"/>
                <w:i/>
                <w:snapToGrid/>
                <w:sz w:val="20"/>
                <w:lang w:eastAsia="en-AU"/>
              </w:rPr>
              <w:t>for this condition</w:t>
            </w:r>
          </w:p>
          <w:p w:rsidR="002E1C8E" w:rsidRPr="002E1C8E" w:rsidRDefault="002E1C8E" w:rsidP="00AD4734">
            <w:pPr>
              <w:widowControl/>
              <w:rPr>
                <w:rFonts w:ascii="Arial Narrow" w:hAnsi="Arial Narrow"/>
                <w:snapToGrid/>
                <w:sz w:val="20"/>
                <w:lang w:eastAsia="en-AU"/>
              </w:rPr>
            </w:pPr>
            <w:r w:rsidRPr="002E1C8E">
              <w:rPr>
                <w:rFonts w:ascii="Arial Narrow" w:hAnsi="Arial Narrow"/>
                <w:snapToGrid/>
                <w:sz w:val="20"/>
                <w:lang w:eastAsia="en-AU"/>
              </w:rPr>
              <w:t xml:space="preserve">AND </w:t>
            </w:r>
          </w:p>
          <w:p w:rsidR="002E1C8E" w:rsidRPr="002E1C8E" w:rsidRDefault="002E1C8E" w:rsidP="00AD4734">
            <w:pPr>
              <w:widowControl/>
              <w:rPr>
                <w:rFonts w:ascii="Arial Narrow" w:hAnsi="Arial Narrow"/>
                <w:snapToGrid/>
                <w:sz w:val="20"/>
                <w:lang w:eastAsia="en-AU"/>
              </w:rPr>
            </w:pPr>
            <w:r w:rsidRPr="002E1C8E">
              <w:rPr>
                <w:rFonts w:ascii="Arial Narrow" w:hAnsi="Arial Narrow"/>
                <w:snapToGrid/>
                <w:sz w:val="20"/>
                <w:lang w:eastAsia="en-AU"/>
              </w:rPr>
              <w:t>Patient must not have received neoadjuvant or adjuvant chemotherapy</w:t>
            </w:r>
          </w:p>
          <w:p w:rsidR="002E1C8E" w:rsidRPr="002E1C8E" w:rsidRDefault="002E1C8E" w:rsidP="00AD4734">
            <w:pPr>
              <w:widowControl/>
              <w:rPr>
                <w:rFonts w:ascii="Arial Narrow" w:hAnsi="Arial Narrow"/>
                <w:snapToGrid/>
                <w:sz w:val="20"/>
                <w:lang w:eastAsia="en-AU"/>
              </w:rPr>
            </w:pPr>
            <w:r w:rsidRPr="002E1C8E">
              <w:rPr>
                <w:rFonts w:ascii="Arial Narrow" w:hAnsi="Arial Narrow"/>
                <w:snapToGrid/>
                <w:sz w:val="20"/>
                <w:lang w:eastAsia="en-AU"/>
              </w:rPr>
              <w:t>AND</w:t>
            </w:r>
          </w:p>
          <w:p w:rsidR="002E1C8E" w:rsidRPr="008F6EE9" w:rsidRDefault="002E1C8E" w:rsidP="00AD4734">
            <w:pPr>
              <w:widowControl/>
              <w:rPr>
                <w:rFonts w:ascii="Arial Narrow" w:hAnsi="Arial Narrow"/>
                <w:snapToGrid/>
                <w:sz w:val="20"/>
                <w:lang w:eastAsia="en-AU"/>
              </w:rPr>
            </w:pPr>
            <w:r w:rsidRPr="002E1C8E">
              <w:rPr>
                <w:rFonts w:ascii="Arial Narrow" w:hAnsi="Arial Narrow"/>
                <w:snapToGrid/>
                <w:sz w:val="20"/>
                <w:lang w:eastAsia="en-AU"/>
              </w:rPr>
              <w:t>Patient must have</w:t>
            </w:r>
            <w:r w:rsidRPr="002E1C8E">
              <w:rPr>
                <w:rFonts w:ascii="Arial Narrow" w:hAnsi="Arial Narrow"/>
                <w:snapToGrid/>
                <w:sz w:val="20"/>
                <w:lang w:eastAsia="en-AU"/>
              </w:rPr>
              <w:tab/>
              <w:t>a World</w:t>
            </w:r>
            <w:r w:rsidRPr="008F6EE9">
              <w:rPr>
                <w:rFonts w:ascii="Arial Narrow" w:hAnsi="Arial Narrow"/>
                <w:snapToGrid/>
                <w:sz w:val="20"/>
                <w:lang w:eastAsia="en-AU"/>
              </w:rPr>
              <w:t xml:space="preserve"> Health Organisation (WHO) Eastern Cooperative Oncology Group (ECOG) performance status score of 1 or less. </w:t>
            </w:r>
          </w:p>
          <w:p w:rsidR="002E1C8E" w:rsidRPr="008F6EE9" w:rsidRDefault="002E1C8E" w:rsidP="00AD4734">
            <w:pPr>
              <w:widowControl/>
              <w:rPr>
                <w:rFonts w:ascii="Arial Narrow" w:hAnsi="Arial Narrow"/>
                <w:snapToGrid/>
                <w:sz w:val="20"/>
                <w:lang w:eastAsia="en-AU"/>
              </w:rPr>
            </w:pPr>
            <w:r w:rsidRPr="008F6EE9">
              <w:rPr>
                <w:rFonts w:ascii="Arial Narrow" w:hAnsi="Arial Narrow"/>
                <w:snapToGrid/>
                <w:sz w:val="20"/>
                <w:lang w:eastAsia="en-AU"/>
              </w:rPr>
              <w:t xml:space="preserve">AND </w:t>
            </w:r>
          </w:p>
          <w:p w:rsidR="002E1C8E" w:rsidRPr="008F6EE9" w:rsidRDefault="002E1C8E" w:rsidP="00AD4734">
            <w:pPr>
              <w:widowControl/>
              <w:rPr>
                <w:rFonts w:ascii="Arial Narrow" w:hAnsi="Arial Narrow"/>
                <w:i/>
                <w:snapToGrid/>
                <w:sz w:val="20"/>
                <w:lang w:eastAsia="en-AU"/>
              </w:rPr>
            </w:pPr>
            <w:r w:rsidRPr="008F6EE9">
              <w:rPr>
                <w:rFonts w:ascii="Arial Narrow" w:hAnsi="Arial Narrow"/>
                <w:i/>
                <w:snapToGrid/>
                <w:sz w:val="20"/>
                <w:lang w:eastAsia="en-AU"/>
              </w:rPr>
              <w:t>Treatment must be discontinued in patients who experience disease progression while on treatment.</w:t>
            </w:r>
          </w:p>
        </w:tc>
      </w:tr>
      <w:tr w:rsidR="002E1C8E" w:rsidRPr="008F6EE9" w:rsidTr="00AD4734">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1C8E" w:rsidRPr="008F6EE9" w:rsidRDefault="002E1C8E" w:rsidP="00AD4734">
            <w:pPr>
              <w:widowControl/>
              <w:rPr>
                <w:rFonts w:ascii="Arial Narrow" w:hAnsi="Arial Narrow"/>
                <w:b/>
                <w:snapToGrid/>
                <w:sz w:val="20"/>
                <w:lang w:eastAsia="en-AU"/>
              </w:rPr>
            </w:pPr>
            <w:r w:rsidRPr="008F6EE9">
              <w:rPr>
                <w:rFonts w:ascii="Arial Narrow" w:hAnsi="Arial Narrow"/>
                <w:b/>
                <w:snapToGrid/>
                <w:sz w:val="20"/>
                <w:lang w:eastAsia="en-AU"/>
              </w:rPr>
              <w:t>Population criteria:</w:t>
            </w:r>
          </w:p>
        </w:tc>
        <w:tc>
          <w:tcPr>
            <w:tcW w:w="6379" w:type="dxa"/>
            <w:gridSpan w:val="6"/>
            <w:tcBorders>
              <w:top w:val="single" w:sz="4" w:space="0" w:color="auto"/>
              <w:left w:val="single" w:sz="4" w:space="0" w:color="auto"/>
              <w:bottom w:val="single" w:sz="4" w:space="0" w:color="auto"/>
              <w:right w:val="single" w:sz="4" w:space="0" w:color="auto"/>
            </w:tcBorders>
          </w:tcPr>
          <w:p w:rsidR="002E1C8E" w:rsidRPr="008F6EE9" w:rsidRDefault="002E1C8E" w:rsidP="00AD4734">
            <w:pPr>
              <w:widowControl/>
              <w:jc w:val="left"/>
              <w:rPr>
                <w:rFonts w:ascii="Arial Narrow" w:hAnsi="Arial Narrow"/>
                <w:strike/>
                <w:snapToGrid/>
                <w:sz w:val="20"/>
                <w:lang w:eastAsia="en-AU"/>
              </w:rPr>
            </w:pPr>
            <w:r w:rsidRPr="008F6EE9">
              <w:rPr>
                <w:rFonts w:ascii="Arial Narrow" w:hAnsi="Arial Narrow"/>
                <w:strike/>
                <w:snapToGrid/>
                <w:sz w:val="20"/>
                <w:lang w:eastAsia="en-AU"/>
              </w:rPr>
              <w:t>adults</w:t>
            </w:r>
          </w:p>
        </w:tc>
      </w:tr>
      <w:tr w:rsidR="002E1C8E" w:rsidRPr="008F6EE9" w:rsidTr="00AD4734">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1C8E" w:rsidRPr="008F6EE9" w:rsidRDefault="002E1C8E" w:rsidP="00AD4734">
            <w:pPr>
              <w:widowControl/>
              <w:rPr>
                <w:rFonts w:ascii="Arial Narrow" w:hAnsi="Arial Narrow"/>
                <w:b/>
                <w:snapToGrid/>
                <w:sz w:val="20"/>
                <w:lang w:eastAsia="en-AU"/>
              </w:rPr>
            </w:pPr>
            <w:r w:rsidRPr="008F6EE9">
              <w:rPr>
                <w:rFonts w:ascii="Arial Narrow" w:hAnsi="Arial Narrow"/>
                <w:b/>
                <w:snapToGrid/>
                <w:sz w:val="20"/>
                <w:lang w:eastAsia="en-AU"/>
              </w:rPr>
              <w:t>Prescriber Instructions</w:t>
            </w:r>
          </w:p>
          <w:p w:rsidR="002E1C8E" w:rsidRPr="008F6EE9" w:rsidRDefault="002E1C8E" w:rsidP="00AD4734">
            <w:pPr>
              <w:widowControl/>
              <w:rPr>
                <w:rFonts w:ascii="Arial Narrow" w:hAnsi="Arial Narrow"/>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2E1C8E" w:rsidRPr="008F6EE9" w:rsidRDefault="002E1C8E" w:rsidP="00AD4734">
            <w:pPr>
              <w:widowControl/>
              <w:jc w:val="left"/>
              <w:rPr>
                <w:rFonts w:ascii="Arial Narrow" w:hAnsi="Arial Narrow"/>
                <w:snapToGrid/>
                <w:sz w:val="20"/>
                <w:lang w:eastAsia="en-AU"/>
              </w:rPr>
            </w:pPr>
          </w:p>
        </w:tc>
      </w:tr>
      <w:tr w:rsidR="002E1C8E" w:rsidRPr="008F6EE9" w:rsidTr="00AD4734">
        <w:trPr>
          <w:cantSplit/>
          <w:trHeight w:val="360"/>
        </w:trPr>
        <w:tc>
          <w:tcPr>
            <w:tcW w:w="2835" w:type="dxa"/>
            <w:tcBorders>
              <w:top w:val="single" w:sz="4" w:space="0" w:color="auto"/>
              <w:left w:val="single" w:sz="4" w:space="0" w:color="auto"/>
              <w:bottom w:val="single" w:sz="4" w:space="0" w:color="auto"/>
              <w:right w:val="single" w:sz="4" w:space="0" w:color="auto"/>
            </w:tcBorders>
          </w:tcPr>
          <w:p w:rsidR="002E1C8E" w:rsidRPr="008F6EE9" w:rsidRDefault="002E1C8E" w:rsidP="00AD4734">
            <w:pPr>
              <w:widowControl/>
              <w:rPr>
                <w:rFonts w:ascii="Arial Narrow" w:hAnsi="Arial Narrow"/>
                <w:b/>
                <w:snapToGrid/>
                <w:sz w:val="20"/>
                <w:lang w:eastAsia="en-AU"/>
              </w:rPr>
            </w:pPr>
            <w:r w:rsidRPr="008F6EE9">
              <w:rPr>
                <w:rFonts w:ascii="Arial Narrow" w:hAnsi="Arial Narrow"/>
                <w:b/>
                <w:snapToGrid/>
                <w:sz w:val="20"/>
                <w:lang w:eastAsia="en-AU"/>
              </w:rPr>
              <w:t>Administrative Advice</w:t>
            </w:r>
          </w:p>
          <w:p w:rsidR="002E1C8E" w:rsidRPr="008F6EE9" w:rsidRDefault="002E1C8E" w:rsidP="00AD4734">
            <w:pPr>
              <w:widowControl/>
              <w:rPr>
                <w:rFonts w:ascii="Arial Narrow" w:hAnsi="Arial Narrow"/>
                <w:i/>
                <w:snapToGrid/>
                <w:sz w:val="20"/>
                <w:lang w:eastAsia="en-AU"/>
              </w:rPr>
            </w:pPr>
          </w:p>
          <w:p w:rsidR="002E1C8E" w:rsidRPr="008F6EE9" w:rsidRDefault="002E1C8E" w:rsidP="00AD4734">
            <w:pPr>
              <w:widowControl/>
              <w:rPr>
                <w:rFonts w:ascii="Arial Narrow" w:hAnsi="Arial Narrow"/>
                <w:i/>
                <w:snapToGrid/>
                <w:sz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2E1C8E" w:rsidRPr="008F6EE9" w:rsidRDefault="002E1C8E" w:rsidP="00AD4734">
            <w:pPr>
              <w:widowControl/>
              <w:spacing w:before="40" w:after="40"/>
              <w:jc w:val="left"/>
              <w:rPr>
                <w:rFonts w:ascii="Arial Narrow" w:hAnsi="Arial Narrow" w:cs="Times New Roman"/>
                <w:b/>
                <w:i/>
                <w:snapToGrid/>
                <w:color w:val="000000"/>
                <w:sz w:val="20"/>
                <w:lang w:eastAsia="en-AU"/>
              </w:rPr>
            </w:pPr>
            <w:r w:rsidRPr="008F6EE9">
              <w:rPr>
                <w:rFonts w:ascii="Arial Narrow" w:hAnsi="Arial Narrow" w:cs="Times New Roman"/>
                <w:b/>
                <w:i/>
                <w:snapToGrid/>
                <w:color w:val="000000"/>
                <w:sz w:val="20"/>
                <w:lang w:eastAsia="en-AU"/>
              </w:rPr>
              <w:t>Note</w:t>
            </w:r>
          </w:p>
          <w:p w:rsidR="002E1C8E" w:rsidRPr="008F6EE9" w:rsidRDefault="002E1C8E" w:rsidP="00AD4734">
            <w:pPr>
              <w:widowControl/>
              <w:spacing w:before="40" w:after="40"/>
              <w:jc w:val="left"/>
              <w:rPr>
                <w:rFonts w:ascii="Arial Narrow" w:hAnsi="Arial Narrow" w:cs="Times New Roman"/>
                <w:i/>
                <w:snapToGrid/>
                <w:color w:val="000000"/>
                <w:sz w:val="20"/>
                <w:lang w:eastAsia="en-AU"/>
              </w:rPr>
            </w:pPr>
            <w:r w:rsidRPr="008F6EE9">
              <w:rPr>
                <w:rFonts w:ascii="Arial Narrow" w:hAnsi="Arial Narrow" w:cs="Times New Roman"/>
                <w:i/>
                <w:snapToGrid/>
                <w:color w:val="000000"/>
                <w:sz w:val="20"/>
                <w:lang w:eastAsia="en-AU"/>
              </w:rPr>
              <w:t>No increase in the maximum number of repeats may be authorised.</w:t>
            </w:r>
          </w:p>
          <w:p w:rsidR="002E1C8E" w:rsidRPr="008F6EE9" w:rsidRDefault="002E1C8E" w:rsidP="00AD4734">
            <w:pPr>
              <w:widowControl/>
              <w:spacing w:before="40" w:after="40"/>
              <w:jc w:val="left"/>
              <w:rPr>
                <w:rFonts w:ascii="Arial Narrow" w:hAnsi="Arial Narrow" w:cs="Times New Roman"/>
                <w:b/>
                <w:i/>
                <w:snapToGrid/>
                <w:color w:val="000000"/>
                <w:sz w:val="20"/>
                <w:lang w:eastAsia="en-AU"/>
              </w:rPr>
            </w:pPr>
            <w:r w:rsidRPr="008F6EE9">
              <w:rPr>
                <w:rFonts w:ascii="Arial Narrow" w:hAnsi="Arial Narrow" w:cs="Times New Roman"/>
                <w:b/>
                <w:i/>
                <w:snapToGrid/>
                <w:color w:val="000000"/>
                <w:sz w:val="20"/>
                <w:lang w:eastAsia="en-AU"/>
              </w:rPr>
              <w:t>Note</w:t>
            </w:r>
          </w:p>
          <w:p w:rsidR="002E1C8E" w:rsidRPr="008F6EE9" w:rsidRDefault="002E1C8E" w:rsidP="00AD4734">
            <w:pPr>
              <w:widowControl/>
              <w:spacing w:before="40" w:after="40"/>
              <w:jc w:val="left"/>
              <w:rPr>
                <w:rFonts w:ascii="Arial Narrow" w:hAnsi="Arial Narrow" w:cs="Times New Roman"/>
                <w:i/>
                <w:snapToGrid/>
                <w:color w:val="000000"/>
                <w:sz w:val="20"/>
                <w:lang w:eastAsia="en-AU"/>
              </w:rPr>
            </w:pPr>
            <w:r w:rsidRPr="008F6EE9">
              <w:rPr>
                <w:rFonts w:ascii="Arial Narrow" w:hAnsi="Arial Narrow" w:cs="Times New Roman"/>
                <w:i/>
                <w:snapToGrid/>
                <w:color w:val="000000"/>
                <w:sz w:val="20"/>
                <w:lang w:eastAsia="en-AU"/>
              </w:rPr>
              <w:t>No increase in the maximum quantity or number of units may be authorised.</w:t>
            </w:r>
          </w:p>
          <w:p w:rsidR="002E1C8E" w:rsidRPr="008F6EE9" w:rsidRDefault="002E1C8E" w:rsidP="00AD4734">
            <w:pPr>
              <w:widowControl/>
              <w:spacing w:before="40" w:after="40"/>
              <w:jc w:val="left"/>
              <w:rPr>
                <w:rFonts w:ascii="Arial Narrow" w:hAnsi="Arial Narrow" w:cs="Times New Roman"/>
                <w:b/>
                <w:i/>
                <w:snapToGrid/>
                <w:color w:val="000000"/>
                <w:sz w:val="20"/>
                <w:lang w:eastAsia="en-AU"/>
              </w:rPr>
            </w:pPr>
            <w:r w:rsidRPr="008F6EE9">
              <w:rPr>
                <w:rFonts w:ascii="Arial Narrow" w:hAnsi="Arial Narrow" w:cs="Times New Roman"/>
                <w:b/>
                <w:i/>
                <w:snapToGrid/>
                <w:color w:val="000000"/>
                <w:sz w:val="20"/>
                <w:lang w:eastAsia="en-AU"/>
              </w:rPr>
              <w:t>Note</w:t>
            </w:r>
          </w:p>
          <w:p w:rsidR="002E1C8E" w:rsidRPr="008F6EE9" w:rsidRDefault="002E1C8E" w:rsidP="00AD4734">
            <w:pPr>
              <w:widowControl/>
              <w:jc w:val="left"/>
              <w:rPr>
                <w:rFonts w:ascii="Arial Narrow" w:hAnsi="Arial Narrow"/>
                <w:snapToGrid/>
                <w:sz w:val="20"/>
                <w:lang w:eastAsia="en-AU"/>
              </w:rPr>
            </w:pPr>
            <w:r w:rsidRPr="008F6EE9">
              <w:rPr>
                <w:rFonts w:ascii="Arial Narrow" w:hAnsi="Arial Narrow" w:cs="Times New Roman"/>
                <w:i/>
                <w:snapToGrid/>
                <w:color w:val="000000"/>
                <w:sz w:val="20"/>
                <w:lang w:eastAsia="en-AU"/>
              </w:rPr>
              <w:t>Special Pricing Arrangements apply.</w:t>
            </w:r>
          </w:p>
        </w:tc>
      </w:tr>
    </w:tbl>
    <w:p w:rsidR="002E1C8E" w:rsidRPr="00DE6EBD" w:rsidRDefault="002E1C8E" w:rsidP="00B13D9E">
      <w:pPr>
        <w:spacing w:before="240"/>
        <w:ind w:firstLine="720"/>
        <w:rPr>
          <w:rFonts w:ascii="Arial Narrow" w:hAnsi="Arial Narrow"/>
          <w:sz w:val="18"/>
          <w:szCs w:val="18"/>
        </w:rPr>
      </w:pPr>
    </w:p>
    <w:p w:rsidR="00442B62" w:rsidRPr="00DE6EBD" w:rsidRDefault="00442B62" w:rsidP="00422A51">
      <w:pPr>
        <w:widowControl/>
        <w:numPr>
          <w:ilvl w:val="1"/>
          <w:numId w:val="3"/>
        </w:numPr>
        <w:contextualSpacing/>
        <w:rPr>
          <w:szCs w:val="22"/>
        </w:rPr>
      </w:pPr>
      <w:r w:rsidRPr="00DE6EBD">
        <w:t>The clinical criteria of a WHO/ECOG performance status (PS) of ≤ 1 was not included in the November 2011 submission but was agreed to by the Sponsor in its Pre-Sub-Committee Response. The clinical trial (Study 302) restricted inclusion to patients with an ECOG/WHO performance status of ≤ 1.</w:t>
      </w:r>
    </w:p>
    <w:p w:rsidR="00442B62" w:rsidRPr="00DE6EBD" w:rsidRDefault="00442B62" w:rsidP="00442B62">
      <w:pPr>
        <w:ind w:left="720"/>
        <w:contextualSpacing/>
        <w:rPr>
          <w:szCs w:val="22"/>
        </w:rPr>
      </w:pPr>
    </w:p>
    <w:p w:rsidR="00442B62" w:rsidRPr="00DE6EBD" w:rsidRDefault="00442B62" w:rsidP="00422A51">
      <w:pPr>
        <w:widowControl/>
        <w:numPr>
          <w:ilvl w:val="1"/>
          <w:numId w:val="3"/>
        </w:numPr>
        <w:contextualSpacing/>
        <w:rPr>
          <w:szCs w:val="22"/>
        </w:rPr>
      </w:pPr>
      <w:r w:rsidRPr="00DE6EBD">
        <w:rPr>
          <w:szCs w:val="22"/>
        </w:rPr>
        <w:t xml:space="preserve">The clinical criterion that patients must not have received neoadjuvant or adjuvant chemotherapy is in response to the PBAC’s previous concern that Study 302 excluded these patients. </w:t>
      </w:r>
      <w:r w:rsidR="00AF520D" w:rsidRPr="00DE6EBD">
        <w:rPr>
          <w:szCs w:val="22"/>
        </w:rPr>
        <w:t>Neoadjuvant/adjuvant chemotherapy is recommended for the treatment of localised muscle-invasive tumours</w:t>
      </w:r>
      <w:r w:rsidRPr="00DE6EBD">
        <w:rPr>
          <w:szCs w:val="22"/>
        </w:rPr>
        <w:t>. Th</w:t>
      </w:r>
      <w:r w:rsidRPr="00DE6EBD">
        <w:t>is criterion is likely to exclude a substantial proportion of otherwise eligible patients, and the exclusion would apply even if the patient has received a line of therapy for their recurrent metastatic disease.</w:t>
      </w:r>
      <w:r w:rsidRPr="00DE6EBD">
        <w:rPr>
          <w:szCs w:val="22"/>
        </w:rPr>
        <w:t xml:space="preserve"> </w:t>
      </w:r>
      <w:r w:rsidRPr="00DE6EBD">
        <w:t>Despite criteria excluding these patients from participating in Study 302, 10 patients who had received prior neoadjuvant/adjuvant therapy were enrolled. Similarly there is the potential for use in these patients through the PBS despite the proposed PBS criterion precluding them.</w:t>
      </w:r>
      <w:r w:rsidR="00DD0671" w:rsidRPr="00DE6EBD">
        <w:t xml:space="preserve"> The PSCR (p4) notes that the sponsor is willing to discuss the wording of the proposed listing.</w:t>
      </w:r>
    </w:p>
    <w:p w:rsidR="00442B62" w:rsidRPr="00DE6EBD" w:rsidRDefault="00442B62" w:rsidP="00442B62">
      <w:pPr>
        <w:ind w:left="720"/>
        <w:contextualSpacing/>
        <w:rPr>
          <w:szCs w:val="22"/>
        </w:rPr>
      </w:pPr>
    </w:p>
    <w:p w:rsidR="00442B62" w:rsidRPr="003C3727" w:rsidRDefault="00442B62" w:rsidP="00422A51">
      <w:pPr>
        <w:widowControl/>
        <w:numPr>
          <w:ilvl w:val="1"/>
          <w:numId w:val="3"/>
        </w:numPr>
        <w:contextualSpacing/>
        <w:rPr>
          <w:szCs w:val="22"/>
        </w:rPr>
      </w:pPr>
      <w:r w:rsidRPr="00DE6EBD">
        <w:rPr>
          <w:szCs w:val="22"/>
        </w:rPr>
        <w:t xml:space="preserve">Listing was </w:t>
      </w:r>
      <w:r w:rsidRPr="003C3727">
        <w:rPr>
          <w:szCs w:val="22"/>
        </w:rPr>
        <w:t xml:space="preserve">sought on the basis that </w:t>
      </w:r>
      <w:r w:rsidR="004954E9" w:rsidRPr="003C3727">
        <w:rPr>
          <w:szCs w:val="22"/>
        </w:rPr>
        <w:t>vinflunine is cost-effective</w:t>
      </w:r>
      <w:r w:rsidRPr="003C3727">
        <w:rPr>
          <w:szCs w:val="22"/>
        </w:rPr>
        <w:t xml:space="preserve"> compared with best supportive care (BSC).</w:t>
      </w:r>
    </w:p>
    <w:p w:rsidR="00442B62" w:rsidRPr="003C3727" w:rsidRDefault="00442B62" w:rsidP="00442B62"/>
    <w:p w:rsidR="00973405" w:rsidRPr="009D1A40" w:rsidRDefault="00973405" w:rsidP="003C3727">
      <w:pPr>
        <w:pStyle w:val="ListParagraph"/>
        <w:ind w:left="709"/>
        <w:rPr>
          <w:i/>
          <w:szCs w:val="22"/>
        </w:rPr>
      </w:pPr>
      <w:r w:rsidRPr="009D1A40">
        <w:rPr>
          <w:i/>
          <w:szCs w:val="22"/>
        </w:rPr>
        <w:t>For more detail on PBAC’s view, see section 7 “PBAC outcome”</w:t>
      </w:r>
      <w:r w:rsidR="009D1A40">
        <w:rPr>
          <w:i/>
          <w:szCs w:val="22"/>
        </w:rPr>
        <w:t>.</w:t>
      </w:r>
    </w:p>
    <w:p w:rsidR="00973405" w:rsidRPr="00DE6EBD" w:rsidRDefault="00973405">
      <w:pPr>
        <w:widowControl/>
        <w:jc w:val="left"/>
      </w:pPr>
      <w:r w:rsidRPr="00DE6EBD">
        <w:br w:type="page"/>
      </w:r>
    </w:p>
    <w:p w:rsidR="00442B62" w:rsidRPr="00DE6EBD" w:rsidRDefault="00442B62" w:rsidP="00B13D9E">
      <w:pPr>
        <w:pStyle w:val="Heading1"/>
      </w:pPr>
      <w:bookmarkStart w:id="7" w:name="_Toc428304027"/>
      <w:bookmarkStart w:id="8" w:name="_Toc429659185"/>
      <w:r w:rsidRPr="00DE6EBD">
        <w:lastRenderedPageBreak/>
        <w:t>Background</w:t>
      </w:r>
      <w:bookmarkEnd w:id="7"/>
      <w:bookmarkEnd w:id="8"/>
    </w:p>
    <w:p w:rsidR="00442B62" w:rsidRPr="00DE6EBD" w:rsidRDefault="00071695" w:rsidP="00422A51">
      <w:pPr>
        <w:widowControl/>
        <w:numPr>
          <w:ilvl w:val="1"/>
          <w:numId w:val="2"/>
        </w:numPr>
        <w:contextualSpacing/>
        <w:rPr>
          <w:szCs w:val="22"/>
        </w:rPr>
      </w:pPr>
      <w:r w:rsidRPr="00DE6EBD">
        <w:rPr>
          <w:b/>
          <w:szCs w:val="22"/>
        </w:rPr>
        <w:t>TGA status:</w:t>
      </w:r>
      <w:r w:rsidRPr="00DE6EBD">
        <w:rPr>
          <w:szCs w:val="22"/>
        </w:rPr>
        <w:t xml:space="preserve"> </w:t>
      </w:r>
      <w:r w:rsidR="00442B62" w:rsidRPr="00DE6EBD">
        <w:rPr>
          <w:szCs w:val="22"/>
        </w:rPr>
        <w:t xml:space="preserve">Vinflunine was registered by the TGA on 22 February 2011 for the </w:t>
      </w:r>
      <w:r w:rsidR="00442B62" w:rsidRPr="00DE6EBD">
        <w:t xml:space="preserve">treatment of adult patients with advanced or metastatic transitional cell carcinoma of the urothelial tract (TCCU) after failure of a prior platinum-containing regimen. </w:t>
      </w:r>
    </w:p>
    <w:p w:rsidR="00442B62" w:rsidRPr="00DE6EBD" w:rsidRDefault="00442B62" w:rsidP="00442B62"/>
    <w:p w:rsidR="00442B62" w:rsidRPr="00DE6EBD" w:rsidRDefault="00442B62" w:rsidP="00422A51">
      <w:pPr>
        <w:widowControl/>
        <w:numPr>
          <w:ilvl w:val="1"/>
          <w:numId w:val="2"/>
        </w:numPr>
        <w:contextualSpacing/>
        <w:rPr>
          <w:szCs w:val="22"/>
        </w:rPr>
      </w:pPr>
      <w:r w:rsidRPr="00DE6EBD">
        <w:rPr>
          <w:szCs w:val="22"/>
        </w:rPr>
        <w:t xml:space="preserve">Vinflunine was previously considered by PBAC in November 2011. </w:t>
      </w:r>
    </w:p>
    <w:p w:rsidR="00442B62" w:rsidRPr="00DE6EBD" w:rsidRDefault="00442B62" w:rsidP="00442B62"/>
    <w:p w:rsidR="00442B62" w:rsidRDefault="00442B62" w:rsidP="00513168">
      <w:pPr>
        <w:widowControl/>
        <w:numPr>
          <w:ilvl w:val="1"/>
          <w:numId w:val="2"/>
        </w:numPr>
        <w:contextualSpacing/>
      </w:pPr>
      <w:r w:rsidRPr="00DE6EBD">
        <w:t>A summary of the key differences between the re-submission and November 2011 submission is presented in Table 1.</w:t>
      </w:r>
    </w:p>
    <w:p w:rsidR="008F40DC" w:rsidRPr="00DE6EBD" w:rsidRDefault="008F40DC" w:rsidP="008F40DC">
      <w:pPr>
        <w:widowControl/>
        <w:contextualSpacing/>
      </w:pPr>
    </w:p>
    <w:p w:rsidR="00442B62" w:rsidRPr="00DE6EBD" w:rsidRDefault="00442B62" w:rsidP="00442B62">
      <w:pPr>
        <w:keepNext/>
        <w:ind w:firstLine="720"/>
        <w:rPr>
          <w:rFonts w:ascii="Arial Narrow" w:hAnsi="Arial Narrow"/>
          <w:b/>
          <w:sz w:val="20"/>
          <w:szCs w:val="16"/>
        </w:rPr>
      </w:pPr>
      <w:r w:rsidRPr="00DE6EBD">
        <w:rPr>
          <w:rFonts w:ascii="Arial Narrow" w:hAnsi="Arial Narrow"/>
          <w:b/>
          <w:sz w:val="20"/>
          <w:szCs w:val="16"/>
        </w:rPr>
        <w:t>Table 1: Summary of the previous submission and current re-submission</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92"/>
        <w:gridCol w:w="4678"/>
        <w:gridCol w:w="2693"/>
      </w:tblGrid>
      <w:tr w:rsidR="00442B62" w:rsidRPr="00DE6EBD" w:rsidTr="008A08B8">
        <w:trPr>
          <w:cantSplit/>
          <w:trHeight w:val="220"/>
          <w:tblHeader/>
        </w:trPr>
        <w:tc>
          <w:tcPr>
            <w:tcW w:w="992" w:type="dxa"/>
            <w:tcBorders>
              <w:top w:val="single" w:sz="4" w:space="0" w:color="auto"/>
              <w:left w:val="single" w:sz="4" w:space="0" w:color="auto"/>
              <w:bottom w:val="single" w:sz="4" w:space="0" w:color="auto"/>
              <w:right w:val="single" w:sz="4" w:space="0" w:color="auto"/>
            </w:tcBorders>
          </w:tcPr>
          <w:p w:rsidR="00442B62" w:rsidRPr="00DE6EBD" w:rsidRDefault="00442B62" w:rsidP="00442B62">
            <w:pPr>
              <w:snapToGrid w:val="0"/>
              <w:jc w:val="left"/>
              <w:rPr>
                <w:rFonts w:ascii="Arial Narrow" w:hAnsi="Arial Narrow"/>
                <w:sz w:val="19"/>
                <w:szCs w:val="19"/>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442B62" w:rsidRPr="00DE6EBD" w:rsidRDefault="00442B62" w:rsidP="00442B62">
            <w:pPr>
              <w:snapToGrid w:val="0"/>
              <w:jc w:val="center"/>
              <w:rPr>
                <w:rFonts w:ascii="Arial Narrow" w:hAnsi="Arial Narrow"/>
                <w:b/>
                <w:sz w:val="19"/>
                <w:szCs w:val="19"/>
              </w:rPr>
            </w:pPr>
            <w:r w:rsidRPr="00DE6EBD">
              <w:rPr>
                <w:rFonts w:ascii="Arial Narrow" w:hAnsi="Arial Narrow"/>
                <w:b/>
                <w:sz w:val="19"/>
                <w:szCs w:val="19"/>
              </w:rPr>
              <w:t>Vinflunine, November 2011</w:t>
            </w:r>
          </w:p>
        </w:tc>
        <w:tc>
          <w:tcPr>
            <w:tcW w:w="2693" w:type="dxa"/>
            <w:tcBorders>
              <w:top w:val="single" w:sz="4" w:space="0" w:color="auto"/>
              <w:left w:val="single" w:sz="4" w:space="0" w:color="auto"/>
              <w:bottom w:val="single" w:sz="4" w:space="0" w:color="auto"/>
              <w:right w:val="single" w:sz="4" w:space="0" w:color="auto"/>
            </w:tcBorders>
            <w:vAlign w:val="center"/>
            <w:hideMark/>
          </w:tcPr>
          <w:p w:rsidR="00442B62" w:rsidRPr="00DE6EBD" w:rsidRDefault="00442B62" w:rsidP="00442B62">
            <w:pPr>
              <w:snapToGrid w:val="0"/>
              <w:jc w:val="center"/>
              <w:rPr>
                <w:rFonts w:ascii="Arial Narrow" w:hAnsi="Arial Narrow"/>
                <w:b/>
                <w:sz w:val="19"/>
                <w:szCs w:val="19"/>
              </w:rPr>
            </w:pPr>
            <w:r w:rsidRPr="00DE6EBD">
              <w:rPr>
                <w:rFonts w:ascii="Arial Narrow" w:hAnsi="Arial Narrow"/>
                <w:b/>
                <w:sz w:val="19"/>
                <w:szCs w:val="19"/>
              </w:rPr>
              <w:t>Current re-submission</w:t>
            </w:r>
          </w:p>
        </w:tc>
      </w:tr>
      <w:tr w:rsidR="00442B62" w:rsidRPr="00DE6EBD" w:rsidTr="008A08B8">
        <w:trPr>
          <w:cantSplit/>
          <w:trHeight w:val="794"/>
        </w:trPr>
        <w:tc>
          <w:tcPr>
            <w:tcW w:w="992" w:type="dxa"/>
            <w:tcBorders>
              <w:top w:val="single" w:sz="4" w:space="0" w:color="auto"/>
              <w:left w:val="single" w:sz="4" w:space="0" w:color="auto"/>
              <w:bottom w:val="single" w:sz="4" w:space="0" w:color="auto"/>
              <w:right w:val="single" w:sz="4" w:space="0" w:color="auto"/>
            </w:tcBorders>
            <w:hideMark/>
          </w:tcPr>
          <w:p w:rsidR="00442B62" w:rsidRPr="00DE6EBD" w:rsidRDefault="00442B62" w:rsidP="00442B62">
            <w:pPr>
              <w:snapToGrid w:val="0"/>
              <w:jc w:val="left"/>
              <w:rPr>
                <w:rFonts w:ascii="Arial Narrow" w:hAnsi="Arial Narrow"/>
                <w:sz w:val="19"/>
                <w:szCs w:val="19"/>
              </w:rPr>
            </w:pPr>
            <w:r w:rsidRPr="00DE6EBD">
              <w:rPr>
                <w:rFonts w:ascii="Arial Narrow" w:hAnsi="Arial Narrow"/>
                <w:sz w:val="19"/>
                <w:szCs w:val="19"/>
              </w:rPr>
              <w:t>Requested PBS listing</w:t>
            </w:r>
          </w:p>
        </w:tc>
        <w:tc>
          <w:tcPr>
            <w:tcW w:w="4678" w:type="dxa"/>
            <w:tcBorders>
              <w:top w:val="single" w:sz="4" w:space="0" w:color="auto"/>
              <w:left w:val="single" w:sz="4" w:space="0" w:color="auto"/>
              <w:bottom w:val="single" w:sz="4" w:space="0" w:color="auto"/>
              <w:right w:val="single" w:sz="4" w:space="0" w:color="auto"/>
            </w:tcBorders>
            <w:hideMark/>
          </w:tcPr>
          <w:p w:rsidR="00442B62" w:rsidRPr="00DE6EBD" w:rsidRDefault="00442B62" w:rsidP="00442B62">
            <w:pPr>
              <w:rPr>
                <w:rFonts w:ascii="Arial Narrow" w:hAnsi="Arial Narrow"/>
                <w:sz w:val="19"/>
                <w:szCs w:val="19"/>
              </w:rPr>
            </w:pPr>
            <w:r w:rsidRPr="00DE6EBD">
              <w:rPr>
                <w:rFonts w:ascii="Arial Narrow" w:hAnsi="Arial Narrow"/>
                <w:sz w:val="19"/>
                <w:szCs w:val="19"/>
              </w:rPr>
              <w:t xml:space="preserve">Treatment of an adult patient with advanced or metastatic TCCU after failure of a prior platinum-containing regimen.  </w:t>
            </w:r>
          </w:p>
          <w:p w:rsidR="00442B62" w:rsidRPr="00DE6EBD" w:rsidRDefault="00442B62" w:rsidP="00442B62">
            <w:pPr>
              <w:snapToGrid w:val="0"/>
              <w:jc w:val="left"/>
              <w:rPr>
                <w:rFonts w:ascii="Arial Narrow" w:hAnsi="Arial Narrow"/>
                <w:sz w:val="19"/>
                <w:szCs w:val="19"/>
              </w:rPr>
            </w:pPr>
            <w:r w:rsidRPr="00DE6EBD">
              <w:rPr>
                <w:rFonts w:ascii="Arial Narrow" w:hAnsi="Arial Narrow"/>
                <w:b/>
                <w:sz w:val="19"/>
                <w:szCs w:val="19"/>
              </w:rPr>
              <w:t xml:space="preserve">PBAC Comment: </w:t>
            </w:r>
            <w:r w:rsidRPr="00DE6EBD">
              <w:rPr>
                <w:rFonts w:ascii="Arial Narrow" w:hAnsi="Arial Narrow"/>
                <w:color w:val="0000FF"/>
                <w:sz w:val="19"/>
                <w:szCs w:val="19"/>
              </w:rPr>
              <w:t xml:space="preserve"> </w:t>
            </w:r>
            <w:r w:rsidRPr="00DE6EBD">
              <w:rPr>
                <w:rFonts w:ascii="Arial Narrow" w:hAnsi="Arial Narrow"/>
                <w:sz w:val="19"/>
                <w:szCs w:val="19"/>
              </w:rPr>
              <w:t>Patients who had received neoadjuvant/ adjuvant treatment were excluded from the trial, but would meet the restriction (section 12, p5, November 2011, PBAC PSD).</w:t>
            </w:r>
          </w:p>
        </w:tc>
        <w:tc>
          <w:tcPr>
            <w:tcW w:w="2693" w:type="dxa"/>
            <w:tcBorders>
              <w:top w:val="single" w:sz="4" w:space="0" w:color="auto"/>
              <w:left w:val="single" w:sz="4" w:space="0" w:color="auto"/>
              <w:bottom w:val="single" w:sz="4" w:space="0" w:color="auto"/>
              <w:right w:val="single" w:sz="4" w:space="0" w:color="auto"/>
            </w:tcBorders>
            <w:hideMark/>
          </w:tcPr>
          <w:p w:rsidR="00442B62" w:rsidRPr="00DE6EBD" w:rsidRDefault="00442B62" w:rsidP="00442B62">
            <w:pPr>
              <w:jc w:val="left"/>
              <w:rPr>
                <w:rFonts w:ascii="Arial Narrow" w:hAnsi="Arial Narrow"/>
                <w:sz w:val="19"/>
                <w:szCs w:val="19"/>
              </w:rPr>
            </w:pPr>
            <w:r w:rsidRPr="00DE6EBD">
              <w:rPr>
                <w:rFonts w:ascii="Arial Narrow" w:hAnsi="Arial Narrow"/>
                <w:sz w:val="19"/>
                <w:szCs w:val="19"/>
              </w:rPr>
              <w:t>Proposed listing includes criteria that patients must not have received neoad</w:t>
            </w:r>
            <w:r w:rsidR="004954E9" w:rsidRPr="00DE6EBD">
              <w:rPr>
                <w:rFonts w:ascii="Arial Narrow" w:hAnsi="Arial Narrow"/>
                <w:sz w:val="19"/>
                <w:szCs w:val="19"/>
              </w:rPr>
              <w:t>juvant or adjuvant chemotherapy, and restricts to ECOG PS  ≤ 1.</w:t>
            </w:r>
          </w:p>
        </w:tc>
      </w:tr>
      <w:tr w:rsidR="00442B62" w:rsidRPr="00DE6EBD" w:rsidTr="008A08B8">
        <w:trPr>
          <w:cantSplit/>
          <w:trHeight w:val="422"/>
        </w:trPr>
        <w:tc>
          <w:tcPr>
            <w:tcW w:w="992" w:type="dxa"/>
            <w:tcBorders>
              <w:top w:val="single" w:sz="4" w:space="0" w:color="auto"/>
              <w:left w:val="single" w:sz="4" w:space="0" w:color="auto"/>
              <w:bottom w:val="single" w:sz="4" w:space="0" w:color="auto"/>
              <w:right w:val="single" w:sz="4" w:space="0" w:color="auto"/>
            </w:tcBorders>
            <w:hideMark/>
          </w:tcPr>
          <w:p w:rsidR="00442B62" w:rsidRPr="00DE6EBD" w:rsidRDefault="00442B62" w:rsidP="00442B62">
            <w:pPr>
              <w:snapToGrid w:val="0"/>
              <w:jc w:val="left"/>
              <w:rPr>
                <w:rFonts w:ascii="Arial Narrow" w:hAnsi="Arial Narrow"/>
                <w:sz w:val="19"/>
                <w:szCs w:val="19"/>
              </w:rPr>
            </w:pPr>
            <w:r w:rsidRPr="00DE6EBD">
              <w:rPr>
                <w:rFonts w:ascii="Arial Narrow" w:hAnsi="Arial Narrow"/>
                <w:sz w:val="19"/>
                <w:szCs w:val="19"/>
              </w:rPr>
              <w:t>Requested price</w:t>
            </w:r>
          </w:p>
        </w:tc>
        <w:tc>
          <w:tcPr>
            <w:tcW w:w="4678" w:type="dxa"/>
            <w:tcBorders>
              <w:top w:val="single" w:sz="4" w:space="0" w:color="auto"/>
              <w:left w:val="single" w:sz="4" w:space="0" w:color="auto"/>
              <w:bottom w:val="single" w:sz="4" w:space="0" w:color="auto"/>
              <w:right w:val="single" w:sz="4" w:space="0" w:color="auto"/>
            </w:tcBorders>
            <w:hideMark/>
          </w:tcPr>
          <w:p w:rsidR="00442B62" w:rsidRPr="00DE6EBD" w:rsidRDefault="00442B62" w:rsidP="00442B62">
            <w:pPr>
              <w:keepNext/>
              <w:snapToGrid w:val="0"/>
              <w:jc w:val="left"/>
              <w:rPr>
                <w:rFonts w:ascii="Arial Narrow" w:hAnsi="Arial Narrow"/>
                <w:sz w:val="19"/>
                <w:szCs w:val="19"/>
              </w:rPr>
            </w:pPr>
            <w:r w:rsidRPr="00DE6EBD">
              <w:rPr>
                <w:rFonts w:ascii="Arial Narrow" w:hAnsi="Arial Narrow"/>
                <w:sz w:val="19"/>
                <w:szCs w:val="19"/>
              </w:rPr>
              <w:t>Effective ex-man prices: $</w:t>
            </w:r>
            <w:r w:rsidR="001B4E17">
              <w:rPr>
                <w:rFonts w:ascii="Arial Narrow" w:hAnsi="Arial Narrow"/>
                <w:noProof/>
                <w:color w:val="000000"/>
                <w:sz w:val="19"/>
                <w:szCs w:val="19"/>
                <w:highlight w:val="black"/>
              </w:rPr>
              <w:t>''''''''</w:t>
            </w:r>
            <w:r w:rsidRPr="00DE6EBD">
              <w:rPr>
                <w:rFonts w:ascii="Arial Narrow" w:hAnsi="Arial Narrow"/>
                <w:sz w:val="19"/>
                <w:szCs w:val="19"/>
              </w:rPr>
              <w:t xml:space="preserve"> per 50 mg vial; $</w:t>
            </w:r>
            <w:r w:rsidR="001B4E17">
              <w:rPr>
                <w:rFonts w:ascii="Arial Narrow" w:hAnsi="Arial Narrow"/>
                <w:noProof/>
                <w:color w:val="000000"/>
                <w:sz w:val="19"/>
                <w:szCs w:val="19"/>
                <w:highlight w:val="black"/>
              </w:rPr>
              <w:t>'''''''''''''</w:t>
            </w:r>
            <w:r w:rsidRPr="00DE6EBD">
              <w:rPr>
                <w:rFonts w:ascii="Arial Narrow" w:hAnsi="Arial Narrow"/>
                <w:sz w:val="19"/>
                <w:szCs w:val="19"/>
              </w:rPr>
              <w:t xml:space="preserve"> per 250 mg vial; RSA proposed with a funding cap of 3 cycles per patient. A </w:t>
            </w:r>
            <w:r w:rsidR="001B4E17">
              <w:rPr>
                <w:rFonts w:ascii="Arial Narrow" w:hAnsi="Arial Narrow"/>
                <w:noProof/>
                <w:color w:val="000000"/>
                <w:sz w:val="19"/>
                <w:szCs w:val="19"/>
                <w:highlight w:val="black"/>
              </w:rPr>
              <w:t>''''''''</w:t>
            </w:r>
            <w:r w:rsidRPr="00DE6EBD">
              <w:rPr>
                <w:rFonts w:ascii="Arial Narrow" w:hAnsi="Arial Narrow"/>
                <w:sz w:val="19"/>
                <w:szCs w:val="19"/>
              </w:rPr>
              <w:t>% price reduction was offered in the Pre-PBAC Response.</w:t>
            </w:r>
          </w:p>
        </w:tc>
        <w:tc>
          <w:tcPr>
            <w:tcW w:w="2693" w:type="dxa"/>
            <w:tcBorders>
              <w:top w:val="single" w:sz="4" w:space="0" w:color="auto"/>
              <w:left w:val="single" w:sz="4" w:space="0" w:color="auto"/>
              <w:bottom w:val="single" w:sz="4" w:space="0" w:color="auto"/>
              <w:right w:val="single" w:sz="4" w:space="0" w:color="auto"/>
            </w:tcBorders>
            <w:hideMark/>
          </w:tcPr>
          <w:p w:rsidR="00442B62" w:rsidRPr="00DE6EBD" w:rsidRDefault="00442B62" w:rsidP="00442B62">
            <w:pPr>
              <w:snapToGrid w:val="0"/>
              <w:jc w:val="left"/>
              <w:rPr>
                <w:rFonts w:ascii="Arial Narrow" w:hAnsi="Arial Narrow"/>
                <w:sz w:val="19"/>
                <w:szCs w:val="19"/>
              </w:rPr>
            </w:pPr>
            <w:r w:rsidRPr="00DE6EBD">
              <w:rPr>
                <w:rFonts w:ascii="Arial Narrow" w:hAnsi="Arial Narrow"/>
                <w:sz w:val="19"/>
                <w:szCs w:val="19"/>
              </w:rPr>
              <w:t>Effective ex-man prices: $</w:t>
            </w:r>
            <w:r w:rsidR="001B4E17">
              <w:rPr>
                <w:rFonts w:ascii="Arial Narrow" w:hAnsi="Arial Narrow"/>
                <w:noProof/>
                <w:color w:val="000000"/>
                <w:sz w:val="19"/>
                <w:szCs w:val="19"/>
                <w:highlight w:val="black"/>
              </w:rPr>
              <w:t>''''''''</w:t>
            </w:r>
            <w:r w:rsidRPr="00DE6EBD">
              <w:rPr>
                <w:rFonts w:ascii="Arial Narrow" w:hAnsi="Arial Narrow"/>
                <w:sz w:val="19"/>
                <w:szCs w:val="19"/>
              </w:rPr>
              <w:t xml:space="preserve"> per 50 mg vial; $</w:t>
            </w:r>
            <w:r w:rsidR="001B4E17">
              <w:rPr>
                <w:rFonts w:ascii="Arial Narrow" w:hAnsi="Arial Narrow"/>
                <w:noProof/>
                <w:color w:val="000000"/>
                <w:sz w:val="19"/>
                <w:szCs w:val="19"/>
                <w:highlight w:val="black"/>
              </w:rPr>
              <w:t>'''''''''</w:t>
            </w:r>
            <w:r w:rsidRPr="00DE6EBD">
              <w:rPr>
                <w:rFonts w:ascii="Arial Narrow" w:hAnsi="Arial Narrow"/>
                <w:sz w:val="19"/>
                <w:szCs w:val="19"/>
              </w:rPr>
              <w:t xml:space="preserve"> per x 250 mg vial. No RSA.</w:t>
            </w:r>
          </w:p>
        </w:tc>
      </w:tr>
      <w:tr w:rsidR="00442B62" w:rsidRPr="00DE6EBD" w:rsidTr="008A08B8">
        <w:trPr>
          <w:cantSplit/>
          <w:trHeight w:val="642"/>
        </w:trPr>
        <w:tc>
          <w:tcPr>
            <w:tcW w:w="992" w:type="dxa"/>
            <w:tcBorders>
              <w:top w:val="single" w:sz="4" w:space="0" w:color="auto"/>
              <w:left w:val="single" w:sz="4" w:space="0" w:color="auto"/>
              <w:bottom w:val="single" w:sz="4" w:space="0" w:color="auto"/>
              <w:right w:val="single" w:sz="4" w:space="0" w:color="auto"/>
            </w:tcBorders>
            <w:hideMark/>
          </w:tcPr>
          <w:p w:rsidR="00442B62" w:rsidRPr="00DE6EBD" w:rsidRDefault="00442B62" w:rsidP="00442B62">
            <w:pPr>
              <w:snapToGrid w:val="0"/>
              <w:jc w:val="left"/>
              <w:rPr>
                <w:rFonts w:ascii="Arial Narrow" w:hAnsi="Arial Narrow"/>
                <w:sz w:val="19"/>
                <w:szCs w:val="19"/>
              </w:rPr>
            </w:pPr>
            <w:r w:rsidRPr="00DE6EBD">
              <w:rPr>
                <w:rFonts w:ascii="Arial Narrow" w:hAnsi="Arial Narrow"/>
                <w:sz w:val="19"/>
                <w:szCs w:val="19"/>
              </w:rPr>
              <w:t>Main comparator</w:t>
            </w:r>
          </w:p>
        </w:tc>
        <w:tc>
          <w:tcPr>
            <w:tcW w:w="4678" w:type="dxa"/>
            <w:tcBorders>
              <w:top w:val="single" w:sz="4" w:space="0" w:color="auto"/>
              <w:left w:val="single" w:sz="4" w:space="0" w:color="auto"/>
              <w:bottom w:val="single" w:sz="4" w:space="0" w:color="auto"/>
              <w:right w:val="single" w:sz="4" w:space="0" w:color="auto"/>
            </w:tcBorders>
            <w:hideMark/>
          </w:tcPr>
          <w:p w:rsidR="00442B62" w:rsidRPr="00DE6EBD" w:rsidRDefault="00442B62" w:rsidP="00442B62">
            <w:pPr>
              <w:jc w:val="left"/>
              <w:rPr>
                <w:rFonts w:ascii="Arial Narrow" w:hAnsi="Arial Narrow"/>
                <w:sz w:val="19"/>
                <w:szCs w:val="19"/>
              </w:rPr>
            </w:pPr>
            <w:r w:rsidRPr="00DE6EBD">
              <w:rPr>
                <w:rFonts w:ascii="Arial Narrow" w:hAnsi="Arial Narrow"/>
                <w:sz w:val="19"/>
                <w:szCs w:val="19"/>
              </w:rPr>
              <w:t>BSC</w:t>
            </w:r>
          </w:p>
          <w:p w:rsidR="00442B62" w:rsidRPr="00DE6EBD" w:rsidRDefault="00442B62" w:rsidP="00442B62">
            <w:pPr>
              <w:jc w:val="left"/>
              <w:rPr>
                <w:rFonts w:ascii="Arial Narrow" w:hAnsi="Arial Narrow"/>
                <w:sz w:val="19"/>
                <w:szCs w:val="19"/>
              </w:rPr>
            </w:pPr>
            <w:r w:rsidRPr="00DE6EBD">
              <w:rPr>
                <w:rFonts w:ascii="Arial Narrow" w:hAnsi="Arial Narrow"/>
                <w:b/>
                <w:sz w:val="19"/>
                <w:szCs w:val="19"/>
              </w:rPr>
              <w:t>PBAC Comment:</w:t>
            </w:r>
            <w:r w:rsidRPr="00DE6EBD">
              <w:rPr>
                <w:rFonts w:ascii="Arial Narrow" w:hAnsi="Arial Narrow"/>
                <w:sz w:val="19"/>
                <w:szCs w:val="19"/>
              </w:rPr>
              <w:t xml:space="preserve"> BSC is not relevant in Australian clinical practice as vinflunine will likely replace or defer other drugs (section 6, p2, November 2011, PBAC PSD, item 5.3).</w:t>
            </w:r>
          </w:p>
        </w:tc>
        <w:tc>
          <w:tcPr>
            <w:tcW w:w="2693" w:type="dxa"/>
            <w:tcBorders>
              <w:top w:val="single" w:sz="4" w:space="0" w:color="auto"/>
              <w:left w:val="single" w:sz="4" w:space="0" w:color="auto"/>
              <w:bottom w:val="single" w:sz="4" w:space="0" w:color="auto"/>
              <w:right w:val="single" w:sz="4" w:space="0" w:color="auto"/>
            </w:tcBorders>
            <w:hideMark/>
          </w:tcPr>
          <w:p w:rsidR="00442B62" w:rsidRPr="00DE6EBD" w:rsidRDefault="00442B62" w:rsidP="00422A51">
            <w:pPr>
              <w:numPr>
                <w:ilvl w:val="0"/>
                <w:numId w:val="5"/>
              </w:numPr>
              <w:snapToGrid w:val="0"/>
              <w:ind w:left="114" w:hanging="114"/>
              <w:contextualSpacing/>
              <w:jc w:val="left"/>
              <w:rPr>
                <w:rFonts w:ascii="Arial Narrow" w:hAnsi="Arial Narrow"/>
                <w:sz w:val="19"/>
                <w:szCs w:val="19"/>
              </w:rPr>
            </w:pPr>
            <w:r w:rsidRPr="00DE6EBD">
              <w:rPr>
                <w:rFonts w:ascii="Arial Narrow" w:hAnsi="Arial Narrow"/>
                <w:sz w:val="19"/>
                <w:szCs w:val="19"/>
              </w:rPr>
              <w:t>BSC</w:t>
            </w:r>
          </w:p>
          <w:p w:rsidR="00442B62" w:rsidRPr="00DE6EBD" w:rsidRDefault="00442B62" w:rsidP="00422A51">
            <w:pPr>
              <w:numPr>
                <w:ilvl w:val="0"/>
                <w:numId w:val="5"/>
              </w:numPr>
              <w:snapToGrid w:val="0"/>
              <w:ind w:left="114" w:hanging="114"/>
              <w:contextualSpacing/>
              <w:jc w:val="left"/>
              <w:rPr>
                <w:rFonts w:ascii="Arial Narrow" w:hAnsi="Arial Narrow"/>
                <w:sz w:val="19"/>
                <w:szCs w:val="19"/>
              </w:rPr>
            </w:pPr>
            <w:r w:rsidRPr="00DE6EBD">
              <w:rPr>
                <w:rFonts w:ascii="Arial Narrow" w:hAnsi="Arial Narrow"/>
                <w:sz w:val="19"/>
                <w:szCs w:val="19"/>
              </w:rPr>
              <w:t>Active chemotherapy (estimated to be used in 75-80% of patients)</w:t>
            </w:r>
          </w:p>
        </w:tc>
      </w:tr>
      <w:tr w:rsidR="00442B62" w:rsidRPr="00DE6EBD" w:rsidTr="008A08B8">
        <w:trPr>
          <w:cantSplit/>
          <w:trHeight w:val="860"/>
        </w:trPr>
        <w:tc>
          <w:tcPr>
            <w:tcW w:w="992" w:type="dxa"/>
            <w:tcBorders>
              <w:top w:val="single" w:sz="4" w:space="0" w:color="auto"/>
              <w:left w:val="single" w:sz="4" w:space="0" w:color="auto"/>
              <w:bottom w:val="single" w:sz="4" w:space="0" w:color="auto"/>
              <w:right w:val="single" w:sz="4" w:space="0" w:color="auto"/>
            </w:tcBorders>
            <w:hideMark/>
          </w:tcPr>
          <w:p w:rsidR="00442B62" w:rsidRPr="00DE6EBD" w:rsidRDefault="00442B62" w:rsidP="00442B62">
            <w:pPr>
              <w:snapToGrid w:val="0"/>
              <w:jc w:val="left"/>
              <w:rPr>
                <w:rFonts w:ascii="Arial Narrow" w:hAnsi="Arial Narrow"/>
                <w:sz w:val="19"/>
                <w:szCs w:val="19"/>
              </w:rPr>
            </w:pPr>
            <w:r w:rsidRPr="00DE6EBD">
              <w:rPr>
                <w:rFonts w:ascii="Arial Narrow" w:hAnsi="Arial Narrow"/>
                <w:sz w:val="19"/>
                <w:szCs w:val="19"/>
              </w:rPr>
              <w:t>Clinical evidence</w:t>
            </w:r>
          </w:p>
        </w:tc>
        <w:tc>
          <w:tcPr>
            <w:tcW w:w="4678" w:type="dxa"/>
            <w:tcBorders>
              <w:top w:val="single" w:sz="4" w:space="0" w:color="auto"/>
              <w:left w:val="single" w:sz="4" w:space="0" w:color="auto"/>
              <w:bottom w:val="single" w:sz="4" w:space="0" w:color="auto"/>
              <w:right w:val="single" w:sz="4" w:space="0" w:color="auto"/>
            </w:tcBorders>
            <w:hideMark/>
          </w:tcPr>
          <w:p w:rsidR="00442B62" w:rsidRPr="00DE6EBD" w:rsidRDefault="00442B62" w:rsidP="00442B62">
            <w:pPr>
              <w:jc w:val="left"/>
              <w:rPr>
                <w:rFonts w:ascii="Arial Narrow" w:hAnsi="Arial Narrow"/>
                <w:sz w:val="19"/>
                <w:szCs w:val="19"/>
              </w:rPr>
            </w:pPr>
            <w:r w:rsidRPr="00DE6EBD">
              <w:rPr>
                <w:rFonts w:ascii="Arial Narrow" w:hAnsi="Arial Narrow"/>
                <w:sz w:val="19"/>
                <w:szCs w:val="19"/>
              </w:rPr>
              <w:t>Study 302: RCT comparing vinflunine + BSC and BSC (N=370).</w:t>
            </w:r>
          </w:p>
          <w:p w:rsidR="00442B62" w:rsidRPr="00DE6EBD" w:rsidRDefault="00442B62" w:rsidP="00442B62">
            <w:pPr>
              <w:snapToGrid w:val="0"/>
              <w:jc w:val="left"/>
              <w:rPr>
                <w:rFonts w:ascii="Arial Narrow" w:hAnsi="Arial Narrow"/>
                <w:sz w:val="19"/>
                <w:szCs w:val="19"/>
              </w:rPr>
            </w:pPr>
            <w:r w:rsidRPr="00DE6EBD">
              <w:rPr>
                <w:rFonts w:ascii="Arial Narrow" w:hAnsi="Arial Narrow"/>
                <w:b/>
                <w:sz w:val="19"/>
                <w:szCs w:val="19"/>
              </w:rPr>
              <w:t>PBAC Comment:</w:t>
            </w:r>
            <w:r w:rsidRPr="00DE6EBD">
              <w:rPr>
                <w:rFonts w:ascii="Arial Narrow" w:hAnsi="Arial Narrow"/>
                <w:sz w:val="19"/>
                <w:szCs w:val="19"/>
              </w:rPr>
              <w:t xml:space="preserve"> None</w:t>
            </w:r>
          </w:p>
        </w:tc>
        <w:tc>
          <w:tcPr>
            <w:tcW w:w="2693" w:type="dxa"/>
            <w:tcBorders>
              <w:top w:val="single" w:sz="4" w:space="0" w:color="auto"/>
              <w:left w:val="single" w:sz="4" w:space="0" w:color="auto"/>
              <w:bottom w:val="single" w:sz="4" w:space="0" w:color="auto"/>
              <w:right w:val="single" w:sz="4" w:space="0" w:color="auto"/>
            </w:tcBorders>
            <w:hideMark/>
          </w:tcPr>
          <w:p w:rsidR="00442B62" w:rsidRPr="00DE6EBD" w:rsidRDefault="00442B62" w:rsidP="00422A51">
            <w:pPr>
              <w:numPr>
                <w:ilvl w:val="0"/>
                <w:numId w:val="5"/>
              </w:numPr>
              <w:snapToGrid w:val="0"/>
              <w:ind w:left="114" w:hanging="114"/>
              <w:contextualSpacing/>
              <w:jc w:val="left"/>
              <w:rPr>
                <w:rFonts w:ascii="Arial Narrow" w:hAnsi="Arial Narrow"/>
                <w:sz w:val="19"/>
                <w:szCs w:val="19"/>
              </w:rPr>
            </w:pPr>
            <w:r w:rsidRPr="00DE6EBD">
              <w:rPr>
                <w:rFonts w:ascii="Arial Narrow" w:hAnsi="Arial Narrow"/>
                <w:sz w:val="19"/>
                <w:szCs w:val="19"/>
              </w:rPr>
              <w:t>Study 302</w:t>
            </w:r>
          </w:p>
          <w:p w:rsidR="00442B62" w:rsidRPr="00DE6EBD" w:rsidRDefault="00442B62" w:rsidP="00422A51">
            <w:pPr>
              <w:numPr>
                <w:ilvl w:val="0"/>
                <w:numId w:val="5"/>
              </w:numPr>
              <w:snapToGrid w:val="0"/>
              <w:ind w:left="114" w:hanging="114"/>
              <w:contextualSpacing/>
              <w:jc w:val="left"/>
              <w:rPr>
                <w:rFonts w:ascii="Arial Narrow" w:hAnsi="Arial Narrow"/>
                <w:sz w:val="19"/>
                <w:szCs w:val="19"/>
              </w:rPr>
            </w:pPr>
            <w:r w:rsidRPr="00DE6EBD">
              <w:rPr>
                <w:rFonts w:ascii="Arial Narrow" w:hAnsi="Arial Narrow"/>
                <w:sz w:val="19"/>
                <w:szCs w:val="19"/>
              </w:rPr>
              <w:t>20 non-comparative studies assessing active chemotherapy in the proposed patient population</w:t>
            </w:r>
          </w:p>
          <w:p w:rsidR="00442B62" w:rsidRPr="00DE6EBD" w:rsidRDefault="00442B62" w:rsidP="00422A51">
            <w:pPr>
              <w:numPr>
                <w:ilvl w:val="0"/>
                <w:numId w:val="5"/>
              </w:numPr>
              <w:snapToGrid w:val="0"/>
              <w:ind w:left="114" w:hanging="114"/>
              <w:contextualSpacing/>
              <w:jc w:val="left"/>
              <w:rPr>
                <w:rFonts w:ascii="Arial Narrow" w:hAnsi="Arial Narrow"/>
                <w:bCs/>
                <w:sz w:val="19"/>
                <w:szCs w:val="19"/>
              </w:rPr>
            </w:pPr>
            <w:r w:rsidRPr="00DE6EBD">
              <w:rPr>
                <w:rFonts w:ascii="Arial Narrow" w:hAnsi="Arial Narrow"/>
                <w:bCs/>
                <w:sz w:val="19"/>
                <w:szCs w:val="19"/>
              </w:rPr>
              <w:t xml:space="preserve">3 </w:t>
            </w:r>
            <w:r w:rsidRPr="00DE6EBD">
              <w:rPr>
                <w:rFonts w:ascii="Arial Narrow" w:hAnsi="Arial Narrow"/>
                <w:sz w:val="19"/>
                <w:szCs w:val="19"/>
              </w:rPr>
              <w:t>vinflunine</w:t>
            </w:r>
            <w:r w:rsidRPr="00DE6EBD">
              <w:rPr>
                <w:rFonts w:ascii="Arial Narrow" w:hAnsi="Arial Narrow"/>
                <w:bCs/>
                <w:sz w:val="19"/>
                <w:szCs w:val="19"/>
              </w:rPr>
              <w:t xml:space="preserve"> observational studies</w:t>
            </w:r>
          </w:p>
        </w:tc>
      </w:tr>
      <w:tr w:rsidR="00442B62" w:rsidRPr="00DE6EBD" w:rsidTr="008A08B8">
        <w:trPr>
          <w:cantSplit/>
          <w:trHeight w:val="860"/>
        </w:trPr>
        <w:tc>
          <w:tcPr>
            <w:tcW w:w="992" w:type="dxa"/>
            <w:tcBorders>
              <w:top w:val="single" w:sz="4" w:space="0" w:color="auto"/>
              <w:left w:val="single" w:sz="4" w:space="0" w:color="auto"/>
              <w:bottom w:val="single" w:sz="4" w:space="0" w:color="auto"/>
              <w:right w:val="single" w:sz="4" w:space="0" w:color="auto"/>
            </w:tcBorders>
            <w:hideMark/>
          </w:tcPr>
          <w:p w:rsidR="00442B62" w:rsidRPr="00DE6EBD" w:rsidRDefault="00442B62" w:rsidP="00442B62">
            <w:pPr>
              <w:snapToGrid w:val="0"/>
              <w:jc w:val="left"/>
              <w:rPr>
                <w:rFonts w:ascii="Arial Narrow" w:hAnsi="Arial Narrow"/>
                <w:sz w:val="19"/>
                <w:szCs w:val="19"/>
              </w:rPr>
            </w:pPr>
            <w:r w:rsidRPr="00DE6EBD">
              <w:rPr>
                <w:rFonts w:ascii="Arial Narrow" w:hAnsi="Arial Narrow"/>
                <w:sz w:val="19"/>
                <w:szCs w:val="19"/>
              </w:rPr>
              <w:t>Clinical claim</w:t>
            </w:r>
          </w:p>
        </w:tc>
        <w:tc>
          <w:tcPr>
            <w:tcW w:w="4678" w:type="dxa"/>
            <w:tcBorders>
              <w:top w:val="single" w:sz="4" w:space="0" w:color="auto"/>
              <w:left w:val="single" w:sz="4" w:space="0" w:color="auto"/>
              <w:bottom w:val="single" w:sz="4" w:space="0" w:color="auto"/>
              <w:right w:val="single" w:sz="4" w:space="0" w:color="auto"/>
            </w:tcBorders>
            <w:hideMark/>
          </w:tcPr>
          <w:p w:rsidR="00442B62" w:rsidRPr="00DE6EBD" w:rsidRDefault="00442B62" w:rsidP="00442B62">
            <w:pPr>
              <w:jc w:val="left"/>
              <w:rPr>
                <w:rFonts w:ascii="Arial Narrow" w:hAnsi="Arial Narrow"/>
                <w:b/>
                <w:sz w:val="19"/>
                <w:szCs w:val="19"/>
              </w:rPr>
            </w:pPr>
            <w:r w:rsidRPr="00DE6EBD">
              <w:rPr>
                <w:rFonts w:ascii="Arial Narrow" w:hAnsi="Arial Narrow"/>
                <w:sz w:val="19"/>
                <w:szCs w:val="19"/>
              </w:rPr>
              <w:t xml:space="preserve">Vinflunine is superior in terms of comparative effectiveness and inferior in terms of comparative safety over BSC. </w:t>
            </w:r>
          </w:p>
          <w:p w:rsidR="00442B62" w:rsidRPr="00DE6EBD" w:rsidRDefault="00442B62" w:rsidP="00442B62">
            <w:pPr>
              <w:snapToGrid w:val="0"/>
              <w:jc w:val="left"/>
              <w:rPr>
                <w:rFonts w:ascii="Arial Narrow" w:hAnsi="Arial Narrow"/>
                <w:sz w:val="19"/>
                <w:szCs w:val="19"/>
              </w:rPr>
            </w:pPr>
            <w:r w:rsidRPr="00DE6EBD">
              <w:rPr>
                <w:rFonts w:ascii="Arial Narrow" w:hAnsi="Arial Narrow"/>
                <w:b/>
                <w:sz w:val="19"/>
                <w:szCs w:val="19"/>
              </w:rPr>
              <w:t>PBAC Comment:</w:t>
            </w:r>
            <w:r w:rsidRPr="00DE6EBD">
              <w:rPr>
                <w:rFonts w:ascii="Arial Narrow" w:hAnsi="Arial Narrow"/>
                <w:sz w:val="19"/>
                <w:szCs w:val="19"/>
              </w:rPr>
              <w:t xml:space="preserve"> Vinflunine may be superior in terms of comparative efficacy although the magnitude of the OS gain is uncertain (&lt; 3 months) and is at the expense of significant toxicity. Vinflunine is inferior in terms of comparative safety (section 12, p6, November 2011, PBAC PSD, item 5.3).</w:t>
            </w:r>
          </w:p>
        </w:tc>
        <w:tc>
          <w:tcPr>
            <w:tcW w:w="2693" w:type="dxa"/>
            <w:tcBorders>
              <w:top w:val="single" w:sz="4" w:space="0" w:color="auto"/>
              <w:left w:val="single" w:sz="4" w:space="0" w:color="auto"/>
              <w:bottom w:val="single" w:sz="4" w:space="0" w:color="auto"/>
              <w:right w:val="single" w:sz="4" w:space="0" w:color="auto"/>
            </w:tcBorders>
            <w:hideMark/>
          </w:tcPr>
          <w:p w:rsidR="00442B62" w:rsidRPr="00DE6EBD" w:rsidRDefault="00442B62" w:rsidP="00442B62">
            <w:pPr>
              <w:jc w:val="left"/>
              <w:rPr>
                <w:rFonts w:ascii="Arial Narrow" w:hAnsi="Arial Narrow"/>
                <w:sz w:val="19"/>
                <w:szCs w:val="19"/>
              </w:rPr>
            </w:pPr>
            <w:r w:rsidRPr="00DE6EBD">
              <w:rPr>
                <w:rFonts w:ascii="Arial Narrow" w:hAnsi="Arial Narrow"/>
                <w:sz w:val="19"/>
                <w:szCs w:val="19"/>
              </w:rPr>
              <w:t>BSC: Same as for 2011 submission.</w:t>
            </w:r>
          </w:p>
          <w:p w:rsidR="00442B62" w:rsidRPr="00DE6EBD" w:rsidRDefault="00442B62" w:rsidP="00442B62">
            <w:pPr>
              <w:snapToGrid w:val="0"/>
              <w:jc w:val="left"/>
              <w:rPr>
                <w:rFonts w:ascii="Arial Narrow" w:hAnsi="Arial Narrow"/>
                <w:sz w:val="19"/>
                <w:szCs w:val="19"/>
              </w:rPr>
            </w:pPr>
            <w:r w:rsidRPr="00DE6EBD">
              <w:rPr>
                <w:rFonts w:ascii="Arial Narrow" w:hAnsi="Arial Narrow"/>
                <w:sz w:val="19"/>
                <w:szCs w:val="19"/>
              </w:rPr>
              <w:t>Active chemotherapy: Vinflunine is superior in terms of comparative effectiveness and similar in terms of comparative safety over active chemotherapy.</w:t>
            </w:r>
            <w:r w:rsidRPr="00DE6EBD">
              <w:rPr>
                <w:rFonts w:ascii="Arial Narrow" w:hAnsi="Arial Narrow"/>
                <w:color w:val="0000FF"/>
                <w:sz w:val="19"/>
                <w:szCs w:val="19"/>
              </w:rPr>
              <w:t xml:space="preserve"> </w:t>
            </w:r>
          </w:p>
        </w:tc>
      </w:tr>
      <w:tr w:rsidR="00442B62" w:rsidRPr="00DE6EBD" w:rsidTr="008A08B8">
        <w:trPr>
          <w:cantSplit/>
          <w:trHeight w:val="242"/>
        </w:trPr>
        <w:tc>
          <w:tcPr>
            <w:tcW w:w="992" w:type="dxa"/>
            <w:tcBorders>
              <w:top w:val="single" w:sz="4" w:space="0" w:color="auto"/>
              <w:left w:val="single" w:sz="4" w:space="0" w:color="auto"/>
              <w:bottom w:val="single" w:sz="4" w:space="0" w:color="auto"/>
              <w:right w:val="single" w:sz="4" w:space="0" w:color="auto"/>
            </w:tcBorders>
            <w:hideMark/>
          </w:tcPr>
          <w:p w:rsidR="00442B62" w:rsidRPr="00DE6EBD" w:rsidRDefault="00442B62" w:rsidP="00442B62">
            <w:pPr>
              <w:snapToGrid w:val="0"/>
              <w:jc w:val="left"/>
              <w:rPr>
                <w:rFonts w:ascii="Arial Narrow" w:hAnsi="Arial Narrow"/>
                <w:sz w:val="19"/>
                <w:szCs w:val="19"/>
              </w:rPr>
            </w:pPr>
            <w:r w:rsidRPr="00DE6EBD">
              <w:rPr>
                <w:rFonts w:ascii="Arial Narrow" w:hAnsi="Arial Narrow"/>
                <w:sz w:val="19"/>
                <w:szCs w:val="19"/>
              </w:rPr>
              <w:t>Economic evaluation</w:t>
            </w:r>
          </w:p>
        </w:tc>
        <w:tc>
          <w:tcPr>
            <w:tcW w:w="4678" w:type="dxa"/>
            <w:tcBorders>
              <w:top w:val="single" w:sz="4" w:space="0" w:color="auto"/>
              <w:left w:val="single" w:sz="4" w:space="0" w:color="auto"/>
              <w:bottom w:val="single" w:sz="4" w:space="0" w:color="auto"/>
              <w:right w:val="single" w:sz="4" w:space="0" w:color="auto"/>
            </w:tcBorders>
            <w:hideMark/>
          </w:tcPr>
          <w:p w:rsidR="00442B62" w:rsidRPr="00DE6EBD" w:rsidRDefault="00442B62" w:rsidP="00442B62">
            <w:pPr>
              <w:jc w:val="left"/>
              <w:rPr>
                <w:rFonts w:ascii="Arial Narrow" w:hAnsi="Arial Narrow"/>
                <w:b/>
                <w:sz w:val="19"/>
                <w:szCs w:val="19"/>
              </w:rPr>
            </w:pPr>
            <w:r w:rsidRPr="00DE6EBD">
              <w:rPr>
                <w:rFonts w:ascii="Arial Narrow" w:hAnsi="Arial Narrow"/>
                <w:sz w:val="19"/>
                <w:szCs w:val="19"/>
              </w:rPr>
              <w:t>Cost/QALY: $</w:t>
            </w:r>
            <w:r w:rsidR="001B4E17">
              <w:rPr>
                <w:rFonts w:ascii="Arial Narrow" w:hAnsi="Arial Narrow"/>
                <w:noProof/>
                <w:color w:val="000000"/>
                <w:sz w:val="19"/>
                <w:szCs w:val="19"/>
                <w:highlight w:val="black"/>
              </w:rPr>
              <w:t>'''''''''''''''''</w:t>
            </w:r>
            <w:r w:rsidRPr="00DE6EBD">
              <w:rPr>
                <w:rFonts w:ascii="Arial Narrow" w:hAnsi="Arial Narrow"/>
                <w:b/>
                <w:sz w:val="19"/>
                <w:szCs w:val="19"/>
              </w:rPr>
              <w:t xml:space="preserve"> </w:t>
            </w:r>
          </w:p>
          <w:p w:rsidR="00442B62" w:rsidRPr="00DE6EBD" w:rsidRDefault="00442B62" w:rsidP="00442B62">
            <w:pPr>
              <w:snapToGrid w:val="0"/>
              <w:jc w:val="left"/>
              <w:rPr>
                <w:rFonts w:ascii="Arial Narrow" w:hAnsi="Arial Narrow"/>
                <w:sz w:val="19"/>
                <w:szCs w:val="19"/>
              </w:rPr>
            </w:pPr>
            <w:r w:rsidRPr="00DE6EBD">
              <w:rPr>
                <w:rFonts w:ascii="Arial Narrow" w:hAnsi="Arial Narrow"/>
                <w:b/>
                <w:sz w:val="19"/>
                <w:szCs w:val="19"/>
              </w:rPr>
              <w:t>PBAC Comment:</w:t>
            </w:r>
            <w:r w:rsidRPr="00DE6EBD">
              <w:rPr>
                <w:rFonts w:ascii="Arial Narrow" w:hAnsi="Arial Narrow"/>
                <w:sz w:val="19"/>
                <w:szCs w:val="19"/>
              </w:rPr>
              <w:t xml:space="preserve"> The results are highly uncertain as they are based on the mITT rather than the ITT population. The ICER does not reflect the cost effectiveness of vinflunine relative to second line treatments. It is likely that the ICER is an underestimate (section 12, p6, November 2011, PBAC PSD, item 5.3).</w:t>
            </w:r>
          </w:p>
        </w:tc>
        <w:tc>
          <w:tcPr>
            <w:tcW w:w="2693" w:type="dxa"/>
            <w:tcBorders>
              <w:top w:val="single" w:sz="4" w:space="0" w:color="auto"/>
              <w:left w:val="single" w:sz="4" w:space="0" w:color="auto"/>
              <w:bottom w:val="single" w:sz="4" w:space="0" w:color="auto"/>
              <w:right w:val="single" w:sz="4" w:space="0" w:color="auto"/>
            </w:tcBorders>
          </w:tcPr>
          <w:p w:rsidR="00442B62" w:rsidRPr="00DE6EBD" w:rsidRDefault="00442B62" w:rsidP="00442B62">
            <w:pPr>
              <w:jc w:val="left"/>
              <w:rPr>
                <w:rFonts w:ascii="Arial Narrow" w:hAnsi="Arial Narrow"/>
                <w:sz w:val="19"/>
                <w:szCs w:val="19"/>
              </w:rPr>
            </w:pPr>
            <w:r w:rsidRPr="00DE6EBD">
              <w:rPr>
                <w:rFonts w:ascii="Arial Narrow" w:hAnsi="Arial Narrow"/>
                <w:sz w:val="19"/>
                <w:szCs w:val="19"/>
              </w:rPr>
              <w:t>Cost/QALY: $</w:t>
            </w:r>
            <w:r w:rsidR="001B4E17">
              <w:rPr>
                <w:rFonts w:ascii="Arial Narrow" w:hAnsi="Arial Narrow"/>
                <w:noProof/>
                <w:color w:val="000000"/>
                <w:sz w:val="19"/>
                <w:szCs w:val="19"/>
                <w:highlight w:val="black"/>
              </w:rPr>
              <w:t>'''''''''''''''</w:t>
            </w:r>
            <w:r w:rsidRPr="00DE6EBD">
              <w:rPr>
                <w:rFonts w:ascii="Arial Narrow" w:hAnsi="Arial Narrow"/>
                <w:sz w:val="19"/>
                <w:szCs w:val="19"/>
              </w:rPr>
              <w:t xml:space="preserve"> vs BSC (</w:t>
            </w:r>
            <w:proofErr w:type="spellStart"/>
            <w:r w:rsidRPr="00DE6EBD">
              <w:rPr>
                <w:rFonts w:ascii="Arial Narrow" w:hAnsi="Arial Narrow"/>
                <w:sz w:val="19"/>
                <w:szCs w:val="19"/>
              </w:rPr>
              <w:t>mITT</w:t>
            </w:r>
            <w:proofErr w:type="spellEnd"/>
            <w:r w:rsidRPr="00DE6EBD">
              <w:rPr>
                <w:rFonts w:ascii="Arial Narrow" w:hAnsi="Arial Narrow"/>
                <w:sz w:val="19"/>
                <w:szCs w:val="19"/>
              </w:rPr>
              <w:t xml:space="preserve"> population). Sensitivity analysis for ITT population: cost/QALY $</w:t>
            </w:r>
            <w:r w:rsidR="001B4E17">
              <w:rPr>
                <w:rFonts w:ascii="Arial Narrow" w:hAnsi="Arial Narrow"/>
                <w:noProof/>
                <w:color w:val="000000"/>
                <w:sz w:val="19"/>
                <w:szCs w:val="19"/>
                <w:highlight w:val="black"/>
              </w:rPr>
              <w:t>'''''''''''''''''''</w:t>
            </w:r>
          </w:p>
          <w:p w:rsidR="00442B62" w:rsidRPr="00DE6EBD" w:rsidRDefault="00442B62" w:rsidP="002A4CF8">
            <w:pPr>
              <w:jc w:val="left"/>
              <w:rPr>
                <w:rFonts w:ascii="Arial Narrow" w:hAnsi="Arial Narrow"/>
                <w:sz w:val="19"/>
                <w:szCs w:val="19"/>
              </w:rPr>
            </w:pPr>
            <w:r w:rsidRPr="00DE6EBD">
              <w:rPr>
                <w:rFonts w:ascii="Arial Narrow" w:hAnsi="Arial Narrow"/>
                <w:sz w:val="19"/>
                <w:szCs w:val="19"/>
              </w:rPr>
              <w:t xml:space="preserve">Sensitivity analysis for vinflunine vs active </w:t>
            </w:r>
            <w:r w:rsidR="002A4CF8" w:rsidRPr="00DE6EBD">
              <w:rPr>
                <w:rFonts w:ascii="Arial Narrow" w:hAnsi="Arial Narrow"/>
                <w:sz w:val="19"/>
                <w:szCs w:val="19"/>
              </w:rPr>
              <w:t>chemotherapy: cost/QALY $</w:t>
            </w:r>
            <w:r w:rsidR="001B4E17">
              <w:rPr>
                <w:rFonts w:ascii="Arial Narrow" w:hAnsi="Arial Narrow"/>
                <w:noProof/>
                <w:color w:val="000000"/>
                <w:sz w:val="19"/>
                <w:szCs w:val="19"/>
                <w:highlight w:val="black"/>
              </w:rPr>
              <w:t>'''''''''''''''</w:t>
            </w:r>
            <w:r w:rsidR="002A4CF8" w:rsidRPr="00DE6EBD">
              <w:rPr>
                <w:rFonts w:ascii="Arial Narrow" w:hAnsi="Arial Narrow"/>
                <w:sz w:val="19"/>
                <w:szCs w:val="19"/>
              </w:rPr>
              <w:t xml:space="preserve">. The ESC noted this sensitivity analysis. While </w:t>
            </w:r>
            <w:r w:rsidR="00D00317" w:rsidRPr="00DE6EBD">
              <w:rPr>
                <w:rFonts w:ascii="Arial Narrow" w:hAnsi="Arial Narrow"/>
                <w:sz w:val="19"/>
                <w:szCs w:val="19"/>
              </w:rPr>
              <w:t>it is</w:t>
            </w:r>
            <w:r w:rsidR="002A4CF8" w:rsidRPr="00DE6EBD">
              <w:rPr>
                <w:rFonts w:ascii="Arial Narrow" w:hAnsi="Arial Narrow"/>
                <w:sz w:val="19"/>
                <w:szCs w:val="19"/>
              </w:rPr>
              <w:t xml:space="preserve"> correct to compare Vinflunine relative to active chemotherapy, the ESC considered that there was inadequate amount of data to give </w:t>
            </w:r>
            <w:r w:rsidR="00D00317" w:rsidRPr="00DE6EBD">
              <w:rPr>
                <w:rFonts w:ascii="Arial Narrow" w:hAnsi="Arial Narrow"/>
                <w:sz w:val="19"/>
                <w:szCs w:val="19"/>
              </w:rPr>
              <w:t>an informative</w:t>
            </w:r>
            <w:r w:rsidR="002A4CF8" w:rsidRPr="00DE6EBD">
              <w:rPr>
                <w:rFonts w:ascii="Arial Narrow" w:hAnsi="Arial Narrow"/>
                <w:sz w:val="19"/>
                <w:szCs w:val="19"/>
              </w:rPr>
              <w:t xml:space="preserve"> assessment of the cost-effectiveness compared to active chemotherapy. </w:t>
            </w:r>
          </w:p>
        </w:tc>
      </w:tr>
      <w:tr w:rsidR="00442B62" w:rsidRPr="00DE6EBD" w:rsidTr="008A08B8">
        <w:trPr>
          <w:cantSplit/>
          <w:trHeight w:val="438"/>
        </w:trPr>
        <w:tc>
          <w:tcPr>
            <w:tcW w:w="992" w:type="dxa"/>
            <w:tcBorders>
              <w:top w:val="single" w:sz="4" w:space="0" w:color="auto"/>
              <w:left w:val="single" w:sz="4" w:space="0" w:color="auto"/>
              <w:bottom w:val="single" w:sz="4" w:space="0" w:color="auto"/>
              <w:right w:val="single" w:sz="4" w:space="0" w:color="auto"/>
            </w:tcBorders>
            <w:hideMark/>
          </w:tcPr>
          <w:p w:rsidR="00442B62" w:rsidRPr="00DE6EBD" w:rsidRDefault="00442B62" w:rsidP="00442B62">
            <w:pPr>
              <w:snapToGrid w:val="0"/>
              <w:jc w:val="left"/>
              <w:rPr>
                <w:rFonts w:ascii="Arial Narrow" w:hAnsi="Arial Narrow"/>
                <w:sz w:val="19"/>
                <w:szCs w:val="19"/>
              </w:rPr>
            </w:pPr>
            <w:r w:rsidRPr="00DE6EBD">
              <w:rPr>
                <w:rFonts w:ascii="Arial Narrow" w:hAnsi="Arial Narrow"/>
                <w:sz w:val="19"/>
                <w:szCs w:val="19"/>
              </w:rPr>
              <w:br w:type="page"/>
              <w:t>PBAC decision</w:t>
            </w:r>
          </w:p>
        </w:tc>
        <w:tc>
          <w:tcPr>
            <w:tcW w:w="4678" w:type="dxa"/>
            <w:tcBorders>
              <w:top w:val="single" w:sz="4" w:space="0" w:color="auto"/>
              <w:left w:val="single" w:sz="4" w:space="0" w:color="auto"/>
              <w:bottom w:val="single" w:sz="4" w:space="0" w:color="auto"/>
              <w:right w:val="single" w:sz="4" w:space="0" w:color="auto"/>
            </w:tcBorders>
            <w:hideMark/>
          </w:tcPr>
          <w:p w:rsidR="00442B62" w:rsidRPr="00DE6EBD" w:rsidRDefault="00442B62" w:rsidP="00442B62">
            <w:pPr>
              <w:snapToGrid w:val="0"/>
              <w:jc w:val="left"/>
              <w:rPr>
                <w:rFonts w:ascii="Arial Narrow" w:hAnsi="Arial Narrow"/>
                <w:sz w:val="19"/>
                <w:szCs w:val="19"/>
              </w:rPr>
            </w:pPr>
            <w:r w:rsidRPr="00DE6EBD">
              <w:rPr>
                <w:rFonts w:ascii="Arial Narrow" w:hAnsi="Arial Narrow"/>
                <w:sz w:val="19"/>
                <w:szCs w:val="19"/>
              </w:rPr>
              <w:t>Reject on the basis of uncertainty about the clinical benefit and a high and highly uncertain incremental cost-effectiveness ratio (section 12, p6, November 2011, PBAC PSD, item 5.3).</w:t>
            </w:r>
          </w:p>
        </w:tc>
        <w:tc>
          <w:tcPr>
            <w:tcW w:w="2693" w:type="dxa"/>
            <w:tcBorders>
              <w:top w:val="single" w:sz="4" w:space="0" w:color="auto"/>
              <w:left w:val="single" w:sz="4" w:space="0" w:color="auto"/>
              <w:bottom w:val="single" w:sz="4" w:space="0" w:color="auto"/>
              <w:right w:val="single" w:sz="4" w:space="0" w:color="auto"/>
            </w:tcBorders>
            <w:hideMark/>
          </w:tcPr>
          <w:p w:rsidR="00442B62" w:rsidRPr="00DE6EBD" w:rsidRDefault="00442B62" w:rsidP="00442B62">
            <w:pPr>
              <w:snapToGrid w:val="0"/>
              <w:jc w:val="left"/>
              <w:rPr>
                <w:rFonts w:ascii="Arial Narrow" w:hAnsi="Arial Narrow"/>
                <w:sz w:val="19"/>
                <w:szCs w:val="19"/>
              </w:rPr>
            </w:pPr>
            <w:r w:rsidRPr="00DE6EBD">
              <w:rPr>
                <w:rFonts w:ascii="Arial Narrow" w:hAnsi="Arial Narrow"/>
                <w:sz w:val="19"/>
                <w:szCs w:val="19"/>
              </w:rPr>
              <w:t>-</w:t>
            </w:r>
          </w:p>
        </w:tc>
      </w:tr>
    </w:tbl>
    <w:p w:rsidR="00FC56A6" w:rsidRDefault="00442B62" w:rsidP="00513168">
      <w:pPr>
        <w:ind w:left="720"/>
        <w:rPr>
          <w:rFonts w:ascii="Arial Narrow" w:hAnsi="Arial Narrow"/>
          <w:sz w:val="18"/>
        </w:rPr>
      </w:pPr>
      <w:r w:rsidRPr="00DE6EBD">
        <w:rPr>
          <w:rFonts w:ascii="Arial Narrow" w:hAnsi="Arial Narrow"/>
          <w:sz w:val="18"/>
        </w:rPr>
        <w:t xml:space="preserve">Source: Compiled during the evaluation. </w:t>
      </w:r>
      <w:r w:rsidR="00D86EC7" w:rsidRPr="00DE6EBD">
        <w:rPr>
          <w:rFonts w:ascii="Arial Narrow" w:hAnsi="Arial Narrow"/>
          <w:sz w:val="18"/>
        </w:rPr>
        <w:t>The patient population was</w:t>
      </w:r>
      <w:r w:rsidRPr="00DE6EBD">
        <w:rPr>
          <w:rFonts w:ascii="Arial Narrow" w:hAnsi="Arial Narrow"/>
          <w:sz w:val="18"/>
        </w:rPr>
        <w:t xml:space="preserve"> referred to as the ‘eligible’ population in the November 2011 submission.</w:t>
      </w:r>
    </w:p>
    <w:p w:rsidR="00442B62" w:rsidRPr="00DE6EBD" w:rsidRDefault="00442B62" w:rsidP="00B13D9E">
      <w:pPr>
        <w:pStyle w:val="Heading1"/>
      </w:pPr>
      <w:bookmarkStart w:id="9" w:name="_Toc428304028"/>
      <w:bookmarkStart w:id="10" w:name="_Toc429659186"/>
      <w:r w:rsidRPr="00DE6EBD">
        <w:lastRenderedPageBreak/>
        <w:t>Clinical place for the proposed therapy</w:t>
      </w:r>
      <w:bookmarkEnd w:id="9"/>
      <w:bookmarkEnd w:id="10"/>
    </w:p>
    <w:p w:rsidR="00EF3A86" w:rsidRDefault="00EF55D6" w:rsidP="00EF3A86">
      <w:pPr>
        <w:widowControl/>
        <w:numPr>
          <w:ilvl w:val="1"/>
          <w:numId w:val="2"/>
        </w:numPr>
        <w:contextualSpacing/>
      </w:pPr>
      <w:r w:rsidRPr="00DE6EBD">
        <w:t xml:space="preserve">Cancer of the urothelium, known as transitional cell carcinoma of the urothelial tract or TCCU, represents greater than 90% of diagnosed bladder cancers, with the next most common being squamous cell carcinoma (5%) and adenocarcinoma and small cell carcinoma.  Urothelial tract tumours also include tumours of the renal pelvis, ureters and urethra.  In metastatic TCCU, cancer may spread to nearby organs, lymph nodes, bone, lung and liver among other organs. Untreated, metastatic TCCU is associated with a short median survival, rarely exceeding 3 to 6 months. Clinical management of advanced or metastatic TCCU typically involves surgery, chemotherapy, radiotherapy and best supportive care. First-line chemotherapy usually involves a platinum-based compound in combination with gemcitabine or as part of the MVAC regimen. </w:t>
      </w:r>
    </w:p>
    <w:p w:rsidR="00EF3A86" w:rsidRDefault="00EF3A86" w:rsidP="00EF3A86">
      <w:pPr>
        <w:widowControl/>
        <w:ind w:left="720"/>
        <w:contextualSpacing/>
      </w:pPr>
    </w:p>
    <w:p w:rsidR="00EF55D6" w:rsidRDefault="00442B62" w:rsidP="00EF3A86">
      <w:pPr>
        <w:widowControl/>
        <w:numPr>
          <w:ilvl w:val="1"/>
          <w:numId w:val="2"/>
        </w:numPr>
        <w:contextualSpacing/>
      </w:pPr>
      <w:r w:rsidRPr="00DE6EBD">
        <w:t>The re-submission proposed vinflunine as a treatment option for patients with advanced or metastatic TCCU who have failed treatment with chemotherapy regimens</w:t>
      </w:r>
      <w:r w:rsidR="00EF55D6" w:rsidRPr="00DE6EBD">
        <w:t xml:space="preserve"> containing a platinum compound, as outlined in the figure below.</w:t>
      </w:r>
    </w:p>
    <w:p w:rsidR="00BF3C19" w:rsidRDefault="00BF3C19" w:rsidP="00BF3C19">
      <w:pPr>
        <w:pStyle w:val="ListParagraph"/>
      </w:pPr>
    </w:p>
    <w:p w:rsidR="00EF55D6" w:rsidRPr="00DE6EBD" w:rsidRDefault="009800DD" w:rsidP="002215EA">
      <w:pPr>
        <w:keepNext/>
        <w:keepLines/>
        <w:ind w:left="720"/>
        <w:contextualSpacing/>
        <w:rPr>
          <w:rFonts w:ascii="Arial Narrow" w:hAnsi="Arial Narrow"/>
          <w:b/>
          <w:sz w:val="20"/>
        </w:rPr>
      </w:pPr>
      <w:r w:rsidRPr="00DE6EBD">
        <w:rPr>
          <w:rFonts w:ascii="Arial Narrow" w:hAnsi="Arial Narrow"/>
          <w:b/>
          <w:sz w:val="20"/>
        </w:rPr>
        <w:lastRenderedPageBreak/>
        <w:t>Figure 1:</w:t>
      </w:r>
      <w:r w:rsidR="00EF55D6" w:rsidRPr="00DE6EBD">
        <w:rPr>
          <w:rFonts w:ascii="Arial Narrow" w:hAnsi="Arial Narrow"/>
          <w:b/>
          <w:sz w:val="20"/>
        </w:rPr>
        <w:tab/>
      </w:r>
      <w:r w:rsidR="002215EA" w:rsidRPr="00DE6EBD">
        <w:rPr>
          <w:rFonts w:ascii="Arial Narrow" w:hAnsi="Arial Narrow"/>
          <w:b/>
          <w:sz w:val="20"/>
        </w:rPr>
        <w:t xml:space="preserve"> </w:t>
      </w:r>
      <w:r w:rsidR="00EF55D6" w:rsidRPr="00DE6EBD">
        <w:rPr>
          <w:rFonts w:ascii="Arial Narrow" w:hAnsi="Arial Narrow"/>
          <w:b/>
          <w:sz w:val="20"/>
        </w:rPr>
        <w:t>Recommended treatment options for progression/failure with first-line platinum-containing chemotherapy regimens for the treatment of advanced or metastatic bladder cancer</w:t>
      </w:r>
    </w:p>
    <w:p w:rsidR="00EF55D6" w:rsidRPr="00DE6EBD" w:rsidRDefault="00EF55D6" w:rsidP="009800DD">
      <w:pPr>
        <w:pStyle w:val="ListParagraph"/>
        <w:keepNext/>
        <w:keepLines/>
        <w:rPr>
          <w:szCs w:val="22"/>
        </w:rPr>
      </w:pPr>
    </w:p>
    <w:p w:rsidR="00EF55D6" w:rsidRPr="00DE6EBD" w:rsidRDefault="00EF55D6" w:rsidP="002215EA">
      <w:pPr>
        <w:pStyle w:val="TableText1"/>
        <w:jc w:val="center"/>
      </w:pPr>
      <w:r w:rsidRPr="00DE6EBD">
        <w:rPr>
          <w:noProof/>
        </w:rPr>
        <w:drawing>
          <wp:inline distT="0" distB="0" distL="0" distR="0" wp14:anchorId="5DF2A50E" wp14:editId="40B2ED5E">
            <wp:extent cx="5600700" cy="3843416"/>
            <wp:effectExtent l="0" t="0" r="0" b="5080"/>
            <wp:docPr id="53" name="Picture 53" title=" Figure 3 of the re-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cstate="print"/>
                    <a:srcRect t="51554"/>
                    <a:stretch>
                      <a:fillRect/>
                    </a:stretch>
                  </pic:blipFill>
                  <pic:spPr bwMode="auto">
                    <a:xfrm>
                      <a:off x="0" y="0"/>
                      <a:ext cx="5600700" cy="3843416"/>
                    </a:xfrm>
                    <a:prstGeom prst="rect">
                      <a:avLst/>
                    </a:prstGeom>
                    <a:noFill/>
                    <a:ln w="9525">
                      <a:noFill/>
                      <a:miter lim="800000"/>
                      <a:headEnd/>
                      <a:tailEnd/>
                    </a:ln>
                  </pic:spPr>
                </pic:pic>
              </a:graphicData>
            </a:graphic>
          </wp:inline>
        </w:drawing>
      </w:r>
    </w:p>
    <w:p w:rsidR="00EF55D6" w:rsidRPr="00DE6EBD" w:rsidRDefault="00EF55D6" w:rsidP="002215EA">
      <w:pPr>
        <w:pStyle w:val="TableNotes1"/>
        <w:ind w:left="720"/>
        <w:rPr>
          <w:rFonts w:ascii="Arial Narrow" w:eastAsiaTheme="minorEastAsia" w:hAnsi="Arial Narrow"/>
          <w:sz w:val="18"/>
          <w:lang w:val="en-AU" w:eastAsia="ja-JP"/>
        </w:rPr>
      </w:pPr>
      <w:r w:rsidRPr="00DE6EBD">
        <w:rPr>
          <w:rFonts w:ascii="Arial Narrow" w:eastAsiaTheme="minorEastAsia" w:hAnsi="Arial Narrow"/>
          <w:sz w:val="18"/>
          <w:lang w:eastAsia="ja-JP"/>
        </w:rPr>
        <w:t xml:space="preserve">Source: Figure 3 of the re-submission, p34. </w:t>
      </w:r>
      <w:r w:rsidRPr="00DE6EBD">
        <w:rPr>
          <w:rFonts w:ascii="Arial Narrow" w:eastAsiaTheme="minorEastAsia" w:hAnsi="Arial Narrow"/>
          <w:sz w:val="18"/>
          <w:lang w:val="en-AU" w:eastAsia="ja-JP"/>
        </w:rPr>
        <w:t>Abbreviations: PS, performance status; MVAC, methotrexate, vinblastine, adriamycin (doxorubicin) and cisplatin; GC, gemcitabine and cisplatin; HD, high-dose; PCG, paclitaxel, cisplatin and gemcitabine.</w:t>
      </w:r>
    </w:p>
    <w:p w:rsidR="00EF55D6" w:rsidRPr="00DE6EBD" w:rsidRDefault="00EF55D6" w:rsidP="002215EA">
      <w:pPr>
        <w:pStyle w:val="TableNotes1"/>
        <w:ind w:firstLine="720"/>
        <w:rPr>
          <w:rFonts w:ascii="Arial Narrow" w:eastAsiaTheme="minorEastAsia" w:hAnsi="Arial Narrow"/>
          <w:sz w:val="18"/>
          <w:lang w:val="en-AU" w:eastAsia="ja-JP"/>
        </w:rPr>
      </w:pPr>
      <w:r w:rsidRPr="00DE6EBD">
        <w:rPr>
          <w:rFonts w:ascii="Arial Narrow" w:hAnsi="Arial Narrow"/>
          <w:sz w:val="18"/>
          <w:lang w:val="en-AU"/>
        </w:rPr>
        <w:t>Source: Adapted from Figure 3 of Bellmunt et al 2014 for the European Society for Medical Oncology</w:t>
      </w:r>
    </w:p>
    <w:p w:rsidR="00973405" w:rsidRPr="00DE6EBD" w:rsidRDefault="00EF55D6" w:rsidP="002215EA">
      <w:pPr>
        <w:pStyle w:val="TableNotes1"/>
        <w:ind w:left="720"/>
        <w:rPr>
          <w:rFonts w:ascii="Arial Narrow" w:eastAsiaTheme="minorEastAsia" w:hAnsi="Arial Narrow"/>
          <w:sz w:val="18"/>
          <w:lang w:val="en-AU" w:eastAsia="ja-JP"/>
        </w:rPr>
      </w:pPr>
      <w:r w:rsidRPr="00DE6EBD">
        <w:rPr>
          <w:rFonts w:ascii="Arial Narrow" w:eastAsiaTheme="minorEastAsia" w:hAnsi="Arial Narrow"/>
          <w:sz w:val="18"/>
          <w:lang w:val="en-AU" w:eastAsia="ja-JP"/>
        </w:rPr>
        <w:t>Note: While not included in the figure above (likely reflecting its use in the first-line setting), gemcitabine appears to be widely used and indicated as a potential treatment option in Australia (as also confirmed by the local expert survey; see Attachment A of the submission). It</w:t>
      </w:r>
      <w:r w:rsidR="002215EA" w:rsidRPr="00DE6EBD">
        <w:rPr>
          <w:rFonts w:ascii="Arial Narrow" w:eastAsiaTheme="minorEastAsia" w:hAnsi="Arial Narrow"/>
          <w:sz w:val="18"/>
          <w:lang w:val="en-AU" w:eastAsia="ja-JP"/>
        </w:rPr>
        <w:t>s</w:t>
      </w:r>
      <w:r w:rsidRPr="00DE6EBD">
        <w:rPr>
          <w:rFonts w:ascii="Arial Narrow" w:eastAsiaTheme="minorEastAsia" w:hAnsi="Arial Narrow"/>
          <w:sz w:val="18"/>
          <w:lang w:val="en-AU" w:eastAsia="ja-JP"/>
        </w:rPr>
        <w:t xml:space="preserve"> use is also recommended by other treatment guidelines reviewed in the submission (in Section A.5 of the Commentary).</w:t>
      </w:r>
    </w:p>
    <w:p w:rsidR="00442B62" w:rsidRPr="00DE6EBD" w:rsidRDefault="00442B62" w:rsidP="00B13D9E">
      <w:pPr>
        <w:pStyle w:val="Heading1"/>
      </w:pPr>
      <w:bookmarkStart w:id="11" w:name="_Toc428304029"/>
      <w:bookmarkStart w:id="12" w:name="_Toc429659187"/>
      <w:r w:rsidRPr="00DE6EBD">
        <w:t>Comparator</w:t>
      </w:r>
      <w:bookmarkEnd w:id="11"/>
      <w:bookmarkEnd w:id="12"/>
    </w:p>
    <w:p w:rsidR="00442B62" w:rsidRPr="00DE6EBD" w:rsidRDefault="00442B62" w:rsidP="00422A51">
      <w:pPr>
        <w:widowControl/>
        <w:numPr>
          <w:ilvl w:val="1"/>
          <w:numId w:val="2"/>
        </w:numPr>
        <w:contextualSpacing/>
        <w:rPr>
          <w:szCs w:val="22"/>
        </w:rPr>
      </w:pPr>
      <w:r w:rsidRPr="00DE6EBD">
        <w:t xml:space="preserve">The re-submission presented two comparators: </w:t>
      </w:r>
    </w:p>
    <w:p w:rsidR="00442B62" w:rsidRPr="00DE6EBD" w:rsidRDefault="00442B62" w:rsidP="00422A51">
      <w:pPr>
        <w:widowControl/>
        <w:numPr>
          <w:ilvl w:val="0"/>
          <w:numId w:val="5"/>
        </w:numPr>
        <w:ind w:left="993" w:hanging="284"/>
        <w:contextualSpacing/>
        <w:rPr>
          <w:szCs w:val="22"/>
        </w:rPr>
      </w:pPr>
      <w:r w:rsidRPr="00DE6EBD">
        <w:t>BSC; it was previously considered by PBAC to be an appropriate comparator to determine efficacy of vinflunine, but not relevant in Australian clinical practice.</w:t>
      </w:r>
    </w:p>
    <w:p w:rsidR="00442B62" w:rsidRPr="00DE6EBD" w:rsidRDefault="00442B62" w:rsidP="00422A51">
      <w:pPr>
        <w:widowControl/>
        <w:numPr>
          <w:ilvl w:val="0"/>
          <w:numId w:val="5"/>
        </w:numPr>
        <w:ind w:left="993" w:hanging="284"/>
        <w:contextualSpacing/>
      </w:pPr>
      <w:r w:rsidRPr="00DE6EBD">
        <w:t>‘Active chemotherapy’ defined as ‘the set of replaced interventions in an Australian clinical setting’.</w:t>
      </w:r>
    </w:p>
    <w:p w:rsidR="00442B62" w:rsidRPr="00DE6EBD" w:rsidRDefault="00442B62" w:rsidP="00442B62">
      <w:pPr>
        <w:widowControl/>
      </w:pPr>
    </w:p>
    <w:p w:rsidR="00442B62" w:rsidRPr="00DE6EBD" w:rsidRDefault="00442B62" w:rsidP="00422A51">
      <w:pPr>
        <w:numPr>
          <w:ilvl w:val="0"/>
          <w:numId w:val="7"/>
        </w:numPr>
        <w:contextualSpacing/>
      </w:pPr>
      <w:r w:rsidRPr="00DE6EBD">
        <w:t xml:space="preserve">The re-submission acknowledged that active chemotherapy is the treatment most likely to be replaced in clinical practice should vinflunine be included on the PBS, and therefore should be the main comparator (re-submission p2). For the financial forecasts it was assumed that vinflunine would replace chemotherapy in 80% of patients and BSC in 20% of patients. The re-submission considered, because the cost effectiveness of these active chemotherapy agents in the treatment of TCCU is </w:t>
      </w:r>
      <w:r w:rsidRPr="00DE6EBD">
        <w:lastRenderedPageBreak/>
        <w:t>unknown, and because it is not possible with the available evidence to assess their cost-effectiveness, that the cost-effectiveness of vinflunine can only be established based on a comparison with BSC.</w:t>
      </w:r>
      <w:r w:rsidR="009800DD" w:rsidRPr="00DE6EBD">
        <w:t xml:space="preserve"> The Pre-Sub-Committee-Response (PSCR, p1) argues that in the absence of evidence for the efficacy of chemotherapy agents, the comparison of vinflunine versus BSC is the most relevant for PBAC decision making. The ESC considered that comparisons against both active chemotherapy and BSC were relevant.</w:t>
      </w:r>
    </w:p>
    <w:p w:rsidR="00FC56A6" w:rsidRPr="00DE6EBD" w:rsidRDefault="00FC56A6" w:rsidP="00ED05A1">
      <w:pPr>
        <w:widowControl/>
        <w:contextualSpacing/>
      </w:pPr>
    </w:p>
    <w:p w:rsidR="00973405" w:rsidRPr="009D1A40" w:rsidRDefault="00973405" w:rsidP="00CF1016">
      <w:pPr>
        <w:pStyle w:val="ListParagraph"/>
        <w:ind w:left="709"/>
        <w:rPr>
          <w:i/>
          <w:szCs w:val="22"/>
        </w:rPr>
      </w:pPr>
      <w:r w:rsidRPr="009D1A40">
        <w:rPr>
          <w:i/>
          <w:szCs w:val="22"/>
        </w:rPr>
        <w:t>For more detail on PBAC’s view, see section 7 “PBAC outcome”</w:t>
      </w:r>
      <w:r w:rsidR="009D1A40">
        <w:rPr>
          <w:i/>
          <w:szCs w:val="22"/>
        </w:rPr>
        <w:t>.</w:t>
      </w:r>
    </w:p>
    <w:p w:rsidR="00442B62" w:rsidRPr="003C3727" w:rsidRDefault="00442B62" w:rsidP="00B13D9E">
      <w:pPr>
        <w:pStyle w:val="Heading1"/>
      </w:pPr>
      <w:bookmarkStart w:id="13" w:name="_Toc428304030"/>
      <w:bookmarkStart w:id="14" w:name="_Toc429659188"/>
      <w:r w:rsidRPr="003C3727">
        <w:t>Consideration of the evidence</w:t>
      </w:r>
      <w:bookmarkEnd w:id="13"/>
      <w:bookmarkEnd w:id="14"/>
    </w:p>
    <w:p w:rsidR="00973405" w:rsidRPr="00DE6EBD" w:rsidRDefault="00973405" w:rsidP="00B13D9E">
      <w:pPr>
        <w:pStyle w:val="Heading2"/>
      </w:pPr>
      <w:bookmarkStart w:id="15" w:name="_Toc428304031"/>
      <w:r w:rsidRPr="003C3727">
        <w:t>Sponsor hearing</w:t>
      </w:r>
    </w:p>
    <w:p w:rsidR="00973405" w:rsidRPr="00ED05A1" w:rsidRDefault="00973405" w:rsidP="00CF1016">
      <w:pPr>
        <w:numPr>
          <w:ilvl w:val="1"/>
          <w:numId w:val="2"/>
        </w:numPr>
        <w:contextualSpacing/>
        <w:rPr>
          <w:bCs/>
          <w:szCs w:val="22"/>
        </w:rPr>
      </w:pPr>
      <w:r w:rsidRPr="00DE6EBD">
        <w:rPr>
          <w:bCs/>
          <w:szCs w:val="22"/>
        </w:rPr>
        <w:t>The</w:t>
      </w:r>
      <w:r w:rsidR="005A6EC4" w:rsidRPr="00DE6EBD">
        <w:rPr>
          <w:bCs/>
          <w:szCs w:val="22"/>
        </w:rPr>
        <w:t>re was no hearing for this item</w:t>
      </w:r>
      <w:r w:rsidRPr="00DE6EBD">
        <w:rPr>
          <w:bCs/>
          <w:szCs w:val="22"/>
        </w:rPr>
        <w:t>.</w:t>
      </w:r>
    </w:p>
    <w:p w:rsidR="00973405" w:rsidRPr="00DE6EBD" w:rsidRDefault="00973405" w:rsidP="00B13D9E">
      <w:pPr>
        <w:pStyle w:val="Heading2"/>
      </w:pPr>
      <w:r w:rsidRPr="00DE6EBD">
        <w:t>Consumer comments</w:t>
      </w:r>
    </w:p>
    <w:p w:rsidR="00973405" w:rsidRPr="00DE6EBD" w:rsidRDefault="00973405" w:rsidP="00422A51">
      <w:pPr>
        <w:numPr>
          <w:ilvl w:val="1"/>
          <w:numId w:val="2"/>
        </w:numPr>
        <w:contextualSpacing/>
        <w:rPr>
          <w:bCs/>
          <w:szCs w:val="22"/>
        </w:rPr>
      </w:pPr>
      <w:r w:rsidRPr="00DE6EBD">
        <w:rPr>
          <w:bCs/>
          <w:szCs w:val="22"/>
        </w:rPr>
        <w:t>The PBAC noted that no consumer comme</w:t>
      </w:r>
      <w:r w:rsidR="005A6EC4" w:rsidRPr="00DE6EBD">
        <w:rPr>
          <w:bCs/>
          <w:szCs w:val="22"/>
        </w:rPr>
        <w:t>nts were received for this item</w:t>
      </w:r>
      <w:r w:rsidRPr="00DE6EBD">
        <w:rPr>
          <w:bCs/>
          <w:szCs w:val="22"/>
        </w:rPr>
        <w:t>.</w:t>
      </w:r>
    </w:p>
    <w:p w:rsidR="00442B62" w:rsidRPr="00DE6EBD" w:rsidRDefault="00442B62" w:rsidP="00B13D9E">
      <w:pPr>
        <w:pStyle w:val="Heading2"/>
      </w:pPr>
      <w:r w:rsidRPr="00DE6EBD">
        <w:t>Clinical trials</w:t>
      </w:r>
      <w:bookmarkEnd w:id="15"/>
    </w:p>
    <w:p w:rsidR="00442B62" w:rsidRPr="00DE6EBD" w:rsidRDefault="00442B62" w:rsidP="00422A51">
      <w:pPr>
        <w:widowControl/>
        <w:numPr>
          <w:ilvl w:val="1"/>
          <w:numId w:val="2"/>
        </w:numPr>
        <w:contextualSpacing/>
        <w:rPr>
          <w:szCs w:val="22"/>
        </w:rPr>
      </w:pPr>
      <w:r w:rsidRPr="00DE6EBD">
        <w:t>The key clinical evidence (Study 302) presented in the re-submission was a head-to-head trial comparing vinflunine + BSC with BSC (n=370). This trial was presented in the previous submission.</w:t>
      </w:r>
    </w:p>
    <w:p w:rsidR="00442B62" w:rsidRPr="00DE6EBD" w:rsidRDefault="00442B62" w:rsidP="00442B62">
      <w:pPr>
        <w:widowControl/>
        <w:ind w:left="720"/>
        <w:contextualSpacing/>
      </w:pPr>
    </w:p>
    <w:p w:rsidR="00442B62" w:rsidRPr="00DE6EBD" w:rsidRDefault="00442B62" w:rsidP="00422A51">
      <w:pPr>
        <w:widowControl/>
        <w:numPr>
          <w:ilvl w:val="1"/>
          <w:numId w:val="2"/>
        </w:numPr>
        <w:contextualSpacing/>
      </w:pPr>
      <w:r w:rsidRPr="00DE6EBD">
        <w:t>Additional clinical evidence presented in the resubmission:</w:t>
      </w:r>
    </w:p>
    <w:p w:rsidR="00442B62" w:rsidRPr="00DE6EBD" w:rsidRDefault="00442B62" w:rsidP="00422A51">
      <w:pPr>
        <w:widowControl/>
        <w:numPr>
          <w:ilvl w:val="0"/>
          <w:numId w:val="5"/>
        </w:numPr>
        <w:ind w:left="993" w:hanging="284"/>
        <w:contextualSpacing/>
      </w:pPr>
      <w:r w:rsidRPr="00DE6EBD">
        <w:t>20 single arm studies assessing active chemotherapy in patients with TCCU who have failed prior platinum-based chemotherapy in an advanced/metastatic setting. These studies assessed gemcitabine monotherapy (3 studies), gemcitabine combination (6 studies), taxane-based regimens (7 studies) and MVAC</w:t>
      </w:r>
      <w:r w:rsidR="00643901" w:rsidRPr="00DE6EBD">
        <w:t xml:space="preserve"> (methotrexate / vinblastine / </w:t>
      </w:r>
      <w:r w:rsidR="00D56045" w:rsidRPr="00DE6EBD">
        <w:t>adriamycin /</w:t>
      </w:r>
      <w:r w:rsidR="00643901" w:rsidRPr="00DE6EBD">
        <w:t xml:space="preserve"> cisplatin</w:t>
      </w:r>
      <w:r w:rsidR="00D56045" w:rsidRPr="00DE6EBD">
        <w:t>) or</w:t>
      </w:r>
      <w:r w:rsidRPr="00DE6EBD">
        <w:t xml:space="preserve"> modified MVAC (4 studies).</w:t>
      </w:r>
    </w:p>
    <w:p w:rsidR="00442B62" w:rsidRPr="00DE6EBD" w:rsidRDefault="00442B62" w:rsidP="00422A51">
      <w:pPr>
        <w:widowControl/>
        <w:numPr>
          <w:ilvl w:val="0"/>
          <w:numId w:val="5"/>
        </w:numPr>
        <w:ind w:left="993" w:hanging="284"/>
        <w:contextualSpacing/>
      </w:pPr>
      <w:r w:rsidRPr="00DE6EBD">
        <w:t xml:space="preserve">3 vinflunine observational </w:t>
      </w:r>
      <w:r w:rsidR="00643901" w:rsidRPr="00DE6EBD">
        <w:t xml:space="preserve">single arm </w:t>
      </w:r>
      <w:r w:rsidRPr="00DE6EBD">
        <w:t>studies.</w:t>
      </w:r>
    </w:p>
    <w:p w:rsidR="00442B62" w:rsidRPr="00DE6EBD" w:rsidRDefault="00442B62" w:rsidP="00442B62">
      <w:pPr>
        <w:widowControl/>
        <w:ind w:left="720"/>
        <w:contextualSpacing/>
        <w:rPr>
          <w:szCs w:val="22"/>
        </w:rPr>
      </w:pPr>
    </w:p>
    <w:p w:rsidR="00442B62" w:rsidRPr="00DE6EBD" w:rsidRDefault="00442B62" w:rsidP="00422A51">
      <w:pPr>
        <w:widowControl/>
        <w:numPr>
          <w:ilvl w:val="1"/>
          <w:numId w:val="2"/>
        </w:numPr>
        <w:contextualSpacing/>
        <w:rPr>
          <w:szCs w:val="22"/>
        </w:rPr>
      </w:pPr>
      <w:r w:rsidRPr="00DE6EBD">
        <w:rPr>
          <w:szCs w:val="22"/>
        </w:rPr>
        <w:t>Details of the key trial presented in the re-submission are provided in the table below.</w:t>
      </w:r>
    </w:p>
    <w:p w:rsidR="00442B62" w:rsidRPr="00DE6EBD" w:rsidRDefault="00442B62" w:rsidP="00442B62">
      <w:pPr>
        <w:widowControl/>
        <w:ind w:left="720"/>
        <w:contextualSpacing/>
        <w:rPr>
          <w:szCs w:val="22"/>
        </w:rPr>
      </w:pPr>
    </w:p>
    <w:p w:rsidR="00442B62" w:rsidRPr="00DE6EBD" w:rsidRDefault="00442B62" w:rsidP="00442B62">
      <w:pPr>
        <w:keepNext/>
        <w:ind w:firstLine="720"/>
        <w:rPr>
          <w:rFonts w:ascii="Arial Narrow" w:hAnsi="Arial Narrow"/>
          <w:b/>
          <w:sz w:val="20"/>
          <w:szCs w:val="16"/>
        </w:rPr>
      </w:pPr>
      <w:r w:rsidRPr="00DE6EBD">
        <w:rPr>
          <w:rFonts w:ascii="Arial Narrow" w:hAnsi="Arial Narrow"/>
          <w:b/>
          <w:sz w:val="20"/>
          <w:szCs w:val="16"/>
        </w:rPr>
        <w:lastRenderedPageBreak/>
        <w:t>Table 2: Trials and associated reports presented in the re-submission</w:t>
      </w:r>
    </w:p>
    <w:tbl>
      <w:tblPr>
        <w:tblW w:w="4524"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245"/>
        <w:gridCol w:w="2408"/>
      </w:tblGrid>
      <w:tr w:rsidR="00442B62" w:rsidRPr="00DE6EBD" w:rsidTr="008A08B8">
        <w:trPr>
          <w:cantSplit/>
          <w:tblHeader/>
        </w:trPr>
        <w:tc>
          <w:tcPr>
            <w:tcW w:w="424" w:type="pct"/>
            <w:tcBorders>
              <w:bottom w:val="single" w:sz="4" w:space="0" w:color="auto"/>
            </w:tcBorders>
          </w:tcPr>
          <w:p w:rsidR="00442B62" w:rsidRPr="00DE6EBD" w:rsidRDefault="00442B62" w:rsidP="00442B62">
            <w:pPr>
              <w:keepNext/>
              <w:widowControl/>
              <w:spacing w:before="20" w:after="80"/>
              <w:jc w:val="left"/>
              <w:rPr>
                <w:rFonts w:ascii="Arial Narrow" w:hAnsi="Arial Narrow" w:cs="Times New Roman"/>
                <w:b/>
                <w:bCs/>
                <w:snapToGrid/>
                <w:sz w:val="20"/>
                <w:lang w:eastAsia="en-AU"/>
              </w:rPr>
            </w:pPr>
            <w:r w:rsidRPr="00DE6EBD">
              <w:rPr>
                <w:rFonts w:ascii="Arial Narrow" w:hAnsi="Arial Narrow" w:cs="Times New Roman"/>
                <w:b/>
                <w:bCs/>
                <w:snapToGrid/>
                <w:sz w:val="20"/>
                <w:lang w:eastAsia="en-AU"/>
              </w:rPr>
              <w:t>Trial</w:t>
            </w:r>
          </w:p>
        </w:tc>
        <w:tc>
          <w:tcPr>
            <w:tcW w:w="3136" w:type="pct"/>
            <w:tcBorders>
              <w:bottom w:val="single" w:sz="4" w:space="0" w:color="auto"/>
            </w:tcBorders>
          </w:tcPr>
          <w:p w:rsidR="00442B62" w:rsidRPr="00DE6EBD" w:rsidRDefault="00442B62" w:rsidP="00442B62">
            <w:pPr>
              <w:keepNext/>
              <w:widowControl/>
              <w:spacing w:before="20" w:after="80"/>
              <w:jc w:val="left"/>
              <w:rPr>
                <w:rFonts w:ascii="Arial Narrow" w:hAnsi="Arial Narrow" w:cs="Times New Roman"/>
                <w:b/>
                <w:bCs/>
                <w:snapToGrid/>
                <w:sz w:val="20"/>
                <w:lang w:eastAsia="en-AU"/>
              </w:rPr>
            </w:pPr>
            <w:r w:rsidRPr="00DE6EBD">
              <w:rPr>
                <w:rFonts w:ascii="Arial Narrow" w:hAnsi="Arial Narrow" w:cs="Times New Roman"/>
                <w:b/>
                <w:bCs/>
                <w:snapToGrid/>
                <w:sz w:val="20"/>
                <w:lang w:eastAsia="en-AU"/>
              </w:rPr>
              <w:t>Reports</w:t>
            </w:r>
          </w:p>
        </w:tc>
        <w:tc>
          <w:tcPr>
            <w:tcW w:w="1440" w:type="pct"/>
            <w:tcBorders>
              <w:bottom w:val="single" w:sz="4" w:space="0" w:color="auto"/>
            </w:tcBorders>
          </w:tcPr>
          <w:p w:rsidR="00442B62" w:rsidRPr="00DE6EBD" w:rsidRDefault="00442B62" w:rsidP="00442B62">
            <w:pPr>
              <w:keepNext/>
              <w:widowControl/>
              <w:spacing w:before="20" w:after="80"/>
              <w:jc w:val="left"/>
              <w:rPr>
                <w:rFonts w:ascii="Arial Narrow" w:hAnsi="Arial Narrow" w:cs="Times New Roman"/>
                <w:b/>
                <w:bCs/>
                <w:snapToGrid/>
                <w:sz w:val="20"/>
                <w:lang w:eastAsia="en-AU"/>
              </w:rPr>
            </w:pPr>
            <w:r w:rsidRPr="00DE6EBD">
              <w:rPr>
                <w:rFonts w:ascii="Arial Narrow" w:hAnsi="Arial Narrow" w:cs="Times New Roman"/>
                <w:b/>
                <w:bCs/>
                <w:snapToGrid/>
                <w:sz w:val="20"/>
                <w:lang w:eastAsia="en-AU"/>
              </w:rPr>
              <w:t>Publication citation</w:t>
            </w:r>
          </w:p>
        </w:tc>
      </w:tr>
      <w:tr w:rsidR="00442B62" w:rsidRPr="00DE6EBD" w:rsidTr="008A08B8">
        <w:trPr>
          <w:cantSplit/>
        </w:trPr>
        <w:tc>
          <w:tcPr>
            <w:tcW w:w="5000" w:type="pct"/>
            <w:gridSpan w:val="3"/>
          </w:tcPr>
          <w:p w:rsidR="00442B62" w:rsidRPr="00DE6EBD" w:rsidRDefault="00442B62" w:rsidP="00442B62">
            <w:pPr>
              <w:keepNext/>
              <w:widowControl/>
              <w:jc w:val="left"/>
              <w:rPr>
                <w:rFonts w:ascii="Arial Narrow" w:hAnsi="Arial Narrow" w:cs="Times New Roman"/>
                <w:snapToGrid/>
                <w:sz w:val="20"/>
              </w:rPr>
            </w:pPr>
            <w:r w:rsidRPr="00DE6EBD">
              <w:rPr>
                <w:rFonts w:ascii="Arial Narrow" w:hAnsi="Arial Narrow" w:cs="Times New Roman"/>
                <w:snapToGrid/>
                <w:sz w:val="20"/>
              </w:rPr>
              <w:t>Included study</w:t>
            </w:r>
          </w:p>
        </w:tc>
      </w:tr>
      <w:tr w:rsidR="00442B62" w:rsidRPr="00DE6EBD" w:rsidTr="008A08B8">
        <w:trPr>
          <w:cantSplit/>
          <w:trHeight w:val="6854"/>
        </w:trPr>
        <w:tc>
          <w:tcPr>
            <w:tcW w:w="424" w:type="pct"/>
            <w:tcBorders>
              <w:top w:val="single" w:sz="4" w:space="0" w:color="auto"/>
            </w:tcBorders>
          </w:tcPr>
          <w:p w:rsidR="00442B62" w:rsidRPr="00DE6EBD" w:rsidRDefault="00442B62" w:rsidP="00442B62">
            <w:pPr>
              <w:keepNext/>
              <w:widowControl/>
              <w:jc w:val="left"/>
              <w:rPr>
                <w:rFonts w:ascii="Arial Narrow" w:hAnsi="Arial Narrow" w:cs="Times New Roman"/>
                <w:snapToGrid/>
                <w:sz w:val="20"/>
              </w:rPr>
            </w:pPr>
            <w:r w:rsidRPr="00DE6EBD">
              <w:rPr>
                <w:rFonts w:ascii="Arial Narrow" w:hAnsi="Arial Narrow" w:cs="Times New Roman"/>
                <w:snapToGrid/>
                <w:sz w:val="20"/>
              </w:rPr>
              <w:t>Study 302</w:t>
            </w:r>
          </w:p>
        </w:tc>
        <w:tc>
          <w:tcPr>
            <w:tcW w:w="3136" w:type="pct"/>
            <w:tcBorders>
              <w:top w:val="single" w:sz="4" w:space="0" w:color="auto"/>
            </w:tcBorders>
          </w:tcPr>
          <w:p w:rsidR="00442B62" w:rsidRPr="00DE6EBD" w:rsidRDefault="00442B62" w:rsidP="00442B62">
            <w:pPr>
              <w:keepNext/>
              <w:widowControl/>
              <w:jc w:val="left"/>
              <w:rPr>
                <w:rFonts w:ascii="Arial Narrow" w:hAnsi="Arial Narrow" w:cs="Times New Roman"/>
                <w:snapToGrid/>
                <w:sz w:val="20"/>
                <w:u w:val="single"/>
              </w:rPr>
            </w:pPr>
            <w:r w:rsidRPr="00DE6EBD">
              <w:rPr>
                <w:rFonts w:ascii="Arial Narrow" w:hAnsi="Arial Narrow" w:cs="Times New Roman"/>
                <w:snapToGrid/>
                <w:sz w:val="20"/>
                <w:u w:val="single"/>
              </w:rPr>
              <w:t>Study reports</w:t>
            </w:r>
          </w:p>
          <w:p w:rsidR="00442B62" w:rsidRPr="00DE6EBD" w:rsidRDefault="00442B62" w:rsidP="00442B62">
            <w:pPr>
              <w:keepNext/>
              <w:widowControl/>
              <w:jc w:val="left"/>
              <w:rPr>
                <w:rFonts w:ascii="Arial Narrow" w:hAnsi="Arial Narrow" w:cs="Times New Roman"/>
                <w:snapToGrid/>
                <w:sz w:val="20"/>
              </w:rPr>
            </w:pPr>
            <w:r w:rsidRPr="00DE6EBD">
              <w:rPr>
                <w:rFonts w:ascii="Arial Narrow" w:hAnsi="Arial Narrow" w:cs="Times New Roman"/>
                <w:snapToGrid/>
                <w:sz w:val="20"/>
              </w:rPr>
              <w:t xml:space="preserve">Prospective, Randomised phase III Trial of IV Vinflunine plus Best Supportive Care as Second-Line Therapy versus Best Supportive Care after a Platinum-containing Regimen, in Patients with Advanced Transitional Cell Carcinoma of Urothelial Tract: Final Report. </w:t>
            </w:r>
          </w:p>
          <w:p w:rsidR="00442B62" w:rsidRPr="00DE6EBD" w:rsidRDefault="00442B62" w:rsidP="00442B62">
            <w:pPr>
              <w:keepNext/>
              <w:widowControl/>
              <w:jc w:val="left"/>
              <w:rPr>
                <w:rFonts w:ascii="Arial Narrow" w:hAnsi="Arial Narrow" w:cs="Times New Roman"/>
                <w:snapToGrid/>
                <w:sz w:val="20"/>
                <w:u w:val="single"/>
              </w:rPr>
            </w:pPr>
          </w:p>
          <w:p w:rsidR="00442B62" w:rsidRPr="00DE6EBD" w:rsidRDefault="00442B62" w:rsidP="00442B62">
            <w:pPr>
              <w:keepNext/>
              <w:widowControl/>
              <w:jc w:val="left"/>
              <w:rPr>
                <w:rFonts w:ascii="Arial Narrow" w:hAnsi="Arial Narrow" w:cs="Times New Roman"/>
                <w:snapToGrid/>
                <w:sz w:val="20"/>
                <w:u w:val="single"/>
              </w:rPr>
            </w:pPr>
            <w:r w:rsidRPr="00DE6EBD">
              <w:rPr>
                <w:rFonts w:ascii="Arial Narrow" w:hAnsi="Arial Narrow" w:cs="Times New Roman"/>
                <w:snapToGrid/>
                <w:sz w:val="20"/>
                <w:u w:val="single"/>
              </w:rPr>
              <w:t>Publications</w:t>
            </w:r>
          </w:p>
          <w:p w:rsidR="00442B62" w:rsidRPr="00DE6EBD" w:rsidRDefault="00442B62" w:rsidP="00442B62">
            <w:pPr>
              <w:keepNext/>
              <w:widowControl/>
              <w:jc w:val="left"/>
              <w:rPr>
                <w:rFonts w:ascii="Arial Narrow" w:hAnsi="Arial Narrow" w:cs="Times New Roman"/>
                <w:snapToGrid/>
                <w:sz w:val="20"/>
              </w:rPr>
            </w:pPr>
            <w:r w:rsidRPr="00DE6EBD">
              <w:rPr>
                <w:rFonts w:ascii="Arial Narrow" w:hAnsi="Arial Narrow" w:cs="Times New Roman"/>
                <w:snapToGrid/>
                <w:sz w:val="20"/>
              </w:rPr>
              <w:t>Bellmunt, J., Theodore, C., et al. "Phase III trial of vinflunine plus best supportive care compared with best supportive care alone after a platinum-containing regimen in patients with advanced transitional cell carcinoma of the urothelial tract." (November 2006 analysis)</w:t>
            </w:r>
          </w:p>
          <w:p w:rsidR="00442B62" w:rsidRPr="00DE6EBD" w:rsidRDefault="00442B62" w:rsidP="00442B62">
            <w:pPr>
              <w:keepNext/>
              <w:widowControl/>
              <w:jc w:val="left"/>
              <w:rPr>
                <w:rFonts w:ascii="Arial Narrow" w:hAnsi="Arial Narrow" w:cs="Times New Roman"/>
                <w:snapToGrid/>
                <w:sz w:val="20"/>
              </w:rPr>
            </w:pPr>
          </w:p>
          <w:p w:rsidR="00442B62" w:rsidRPr="00DE6EBD" w:rsidRDefault="00442B62" w:rsidP="00442B62">
            <w:pPr>
              <w:keepNext/>
              <w:widowControl/>
              <w:jc w:val="left"/>
              <w:rPr>
                <w:rFonts w:ascii="Arial Narrow" w:hAnsi="Arial Narrow" w:cs="Times New Roman"/>
                <w:snapToGrid/>
                <w:sz w:val="20"/>
                <w:vertAlign w:val="superscript"/>
              </w:rPr>
            </w:pPr>
            <w:r w:rsidRPr="00DE6EBD">
              <w:rPr>
                <w:rFonts w:ascii="Arial Narrow" w:hAnsi="Arial Narrow" w:cs="Times New Roman"/>
                <w:snapToGrid/>
                <w:sz w:val="20"/>
              </w:rPr>
              <w:t>Bellmunt, J., et al. "Long-term survival results of a randomised phase III trial of vinflunine plus best supportive care versus best supportive care alone in advanced urothelial carcinoma patients after failure of platinum-based chemotherapy." (November 2008 analysis)</w:t>
            </w:r>
          </w:p>
          <w:p w:rsidR="00442B62" w:rsidRPr="00DE6EBD" w:rsidRDefault="00442B62" w:rsidP="00442B62">
            <w:pPr>
              <w:keepNext/>
              <w:widowControl/>
              <w:jc w:val="left"/>
              <w:rPr>
                <w:rFonts w:ascii="Arial Narrow" w:hAnsi="Arial Narrow" w:cs="Times New Roman"/>
                <w:snapToGrid/>
                <w:sz w:val="20"/>
              </w:rPr>
            </w:pPr>
          </w:p>
          <w:p w:rsidR="00442B62" w:rsidRPr="00DE6EBD" w:rsidRDefault="00442B62" w:rsidP="00442B62">
            <w:pPr>
              <w:keepNext/>
              <w:widowControl/>
              <w:jc w:val="left"/>
              <w:rPr>
                <w:rFonts w:ascii="Arial Narrow" w:hAnsi="Arial Narrow" w:cs="Times New Roman"/>
                <w:snapToGrid/>
                <w:sz w:val="20"/>
              </w:rPr>
            </w:pPr>
            <w:proofErr w:type="spellStart"/>
            <w:r w:rsidRPr="00DE6EBD">
              <w:rPr>
                <w:rFonts w:ascii="Arial Narrow" w:hAnsi="Arial Narrow" w:cs="Times New Roman"/>
                <w:snapToGrid/>
                <w:sz w:val="20"/>
              </w:rPr>
              <w:t>Bellmunt</w:t>
            </w:r>
            <w:proofErr w:type="spellEnd"/>
            <w:r w:rsidRPr="00DE6EBD">
              <w:rPr>
                <w:rFonts w:ascii="Arial Narrow" w:hAnsi="Arial Narrow" w:cs="Times New Roman"/>
                <w:snapToGrid/>
                <w:sz w:val="20"/>
              </w:rPr>
              <w:t xml:space="preserve"> </w:t>
            </w:r>
            <w:proofErr w:type="spellStart"/>
            <w:r w:rsidRPr="00DE6EBD">
              <w:rPr>
                <w:rFonts w:ascii="Arial Narrow" w:hAnsi="Arial Narrow" w:cs="Times New Roman"/>
                <w:snapToGrid/>
                <w:sz w:val="20"/>
              </w:rPr>
              <w:t>Molins</w:t>
            </w:r>
            <w:proofErr w:type="spellEnd"/>
            <w:r w:rsidRPr="00DE6EBD">
              <w:rPr>
                <w:rFonts w:ascii="Arial Narrow" w:hAnsi="Arial Narrow" w:cs="Times New Roman"/>
                <w:snapToGrid/>
                <w:sz w:val="20"/>
              </w:rPr>
              <w:t xml:space="preserve">, J., et al. "Randomised phase III trial of </w:t>
            </w:r>
            <w:proofErr w:type="spellStart"/>
            <w:r w:rsidRPr="00DE6EBD">
              <w:rPr>
                <w:rFonts w:ascii="Arial Narrow" w:hAnsi="Arial Narrow" w:cs="Times New Roman"/>
                <w:snapToGrid/>
                <w:sz w:val="20"/>
              </w:rPr>
              <w:t>vinflunine</w:t>
            </w:r>
            <w:proofErr w:type="spellEnd"/>
            <w:r w:rsidRPr="00DE6EBD">
              <w:rPr>
                <w:rFonts w:ascii="Arial Narrow" w:hAnsi="Arial Narrow" w:cs="Times New Roman"/>
                <w:snapToGrid/>
                <w:sz w:val="20"/>
              </w:rPr>
              <w:t xml:space="preserve"> (V) plus best supportive care (B) vs B alone as 2nd line therapy after a platinum-containing regimen in advanced transitional cell carcinoma of the </w:t>
            </w:r>
            <w:proofErr w:type="spellStart"/>
            <w:r w:rsidRPr="00DE6EBD">
              <w:rPr>
                <w:rFonts w:ascii="Arial Narrow" w:hAnsi="Arial Narrow" w:cs="Times New Roman"/>
                <w:snapToGrid/>
                <w:sz w:val="20"/>
              </w:rPr>
              <w:t>urothelium</w:t>
            </w:r>
            <w:proofErr w:type="spellEnd"/>
            <w:r w:rsidRPr="00DE6EBD">
              <w:rPr>
                <w:rFonts w:ascii="Arial Narrow" w:hAnsi="Arial Narrow" w:cs="Times New Roman"/>
                <w:snapToGrid/>
                <w:sz w:val="20"/>
              </w:rPr>
              <w:t xml:space="preserve"> (TCCU)." </w:t>
            </w:r>
          </w:p>
          <w:p w:rsidR="00442B62" w:rsidRPr="00DE6EBD" w:rsidRDefault="00442B62" w:rsidP="00442B62">
            <w:pPr>
              <w:keepNext/>
              <w:widowControl/>
              <w:jc w:val="left"/>
              <w:rPr>
                <w:rFonts w:ascii="Arial Narrow" w:hAnsi="Arial Narrow" w:cs="Times New Roman"/>
                <w:snapToGrid/>
                <w:sz w:val="20"/>
              </w:rPr>
            </w:pPr>
          </w:p>
          <w:p w:rsidR="00442B62" w:rsidRPr="00DE6EBD" w:rsidRDefault="00442B62" w:rsidP="00442B62">
            <w:pPr>
              <w:keepNext/>
              <w:widowControl/>
              <w:jc w:val="left"/>
              <w:rPr>
                <w:rFonts w:ascii="Arial Narrow" w:hAnsi="Arial Narrow" w:cs="Times New Roman"/>
                <w:snapToGrid/>
                <w:sz w:val="20"/>
              </w:rPr>
            </w:pPr>
            <w:proofErr w:type="spellStart"/>
            <w:r w:rsidRPr="00DE6EBD">
              <w:rPr>
                <w:rFonts w:ascii="Arial Narrow" w:hAnsi="Arial Narrow" w:cs="Times New Roman"/>
                <w:snapToGrid/>
                <w:sz w:val="20"/>
              </w:rPr>
              <w:t>Bellmunt</w:t>
            </w:r>
            <w:proofErr w:type="spellEnd"/>
            <w:r w:rsidRPr="00DE6EBD">
              <w:rPr>
                <w:rFonts w:ascii="Arial Narrow" w:hAnsi="Arial Narrow" w:cs="Times New Roman"/>
                <w:snapToGrid/>
                <w:sz w:val="20"/>
              </w:rPr>
              <w:t xml:space="preserve">, J., </w:t>
            </w:r>
            <w:proofErr w:type="spellStart"/>
            <w:r w:rsidRPr="00DE6EBD">
              <w:rPr>
                <w:rFonts w:ascii="Arial Narrow" w:hAnsi="Arial Narrow" w:cs="Times New Roman"/>
                <w:snapToGrid/>
                <w:sz w:val="20"/>
              </w:rPr>
              <w:t>Choueiri</w:t>
            </w:r>
            <w:proofErr w:type="spellEnd"/>
            <w:r w:rsidRPr="00DE6EBD">
              <w:rPr>
                <w:rFonts w:ascii="Arial Narrow" w:hAnsi="Arial Narrow" w:cs="Times New Roman"/>
                <w:snapToGrid/>
                <w:sz w:val="20"/>
              </w:rPr>
              <w:t xml:space="preserve">, T. K., et </w:t>
            </w:r>
            <w:bookmarkStart w:id="16" w:name="_GoBack"/>
            <w:bookmarkEnd w:id="16"/>
            <w:r w:rsidRPr="00DE6EBD">
              <w:rPr>
                <w:rFonts w:ascii="Arial Narrow" w:hAnsi="Arial Narrow" w:cs="Times New Roman"/>
                <w:snapToGrid/>
                <w:sz w:val="20"/>
              </w:rPr>
              <w:t xml:space="preserve">al. "Prognostic factors in patients with advanced transitional cell carcinoma of the </w:t>
            </w:r>
            <w:proofErr w:type="spellStart"/>
            <w:r w:rsidRPr="00DE6EBD">
              <w:rPr>
                <w:rFonts w:ascii="Arial Narrow" w:hAnsi="Arial Narrow" w:cs="Times New Roman"/>
                <w:snapToGrid/>
                <w:sz w:val="20"/>
              </w:rPr>
              <w:t>urothelial</w:t>
            </w:r>
            <w:proofErr w:type="spellEnd"/>
            <w:r w:rsidRPr="00DE6EBD">
              <w:rPr>
                <w:rFonts w:ascii="Arial Narrow" w:hAnsi="Arial Narrow" w:cs="Times New Roman"/>
                <w:snapToGrid/>
                <w:sz w:val="20"/>
              </w:rPr>
              <w:t xml:space="preserve"> tract experiencing treatment failure with platinum-containing regimens." </w:t>
            </w:r>
          </w:p>
          <w:p w:rsidR="00442B62" w:rsidRPr="00DE6EBD" w:rsidRDefault="00442B62" w:rsidP="00442B62">
            <w:pPr>
              <w:keepNext/>
              <w:widowControl/>
              <w:jc w:val="left"/>
              <w:rPr>
                <w:rFonts w:ascii="Arial Narrow" w:hAnsi="Arial Narrow" w:cs="Times New Roman"/>
                <w:snapToGrid/>
                <w:sz w:val="20"/>
              </w:rPr>
            </w:pPr>
          </w:p>
          <w:p w:rsidR="00442B62" w:rsidRPr="00DE6EBD" w:rsidRDefault="00442B62" w:rsidP="00442B62">
            <w:pPr>
              <w:keepNext/>
              <w:widowControl/>
              <w:jc w:val="left"/>
              <w:rPr>
                <w:rFonts w:ascii="Arial Narrow" w:hAnsi="Arial Narrow" w:cs="Times New Roman"/>
                <w:snapToGrid/>
                <w:sz w:val="20"/>
              </w:rPr>
            </w:pPr>
            <w:r w:rsidRPr="00DE6EBD">
              <w:rPr>
                <w:rFonts w:ascii="Arial Narrow" w:hAnsi="Arial Narrow" w:cs="Times New Roman"/>
                <w:snapToGrid/>
                <w:sz w:val="20"/>
              </w:rPr>
              <w:t xml:space="preserve">Von Der </w:t>
            </w:r>
            <w:proofErr w:type="spellStart"/>
            <w:r w:rsidRPr="00DE6EBD">
              <w:rPr>
                <w:rFonts w:ascii="Arial Narrow" w:hAnsi="Arial Narrow" w:cs="Times New Roman"/>
                <w:snapToGrid/>
                <w:sz w:val="20"/>
              </w:rPr>
              <w:t>Maase</w:t>
            </w:r>
            <w:proofErr w:type="spellEnd"/>
            <w:r w:rsidRPr="00DE6EBD">
              <w:rPr>
                <w:rFonts w:ascii="Arial Narrow" w:hAnsi="Arial Narrow" w:cs="Times New Roman"/>
                <w:snapToGrid/>
                <w:sz w:val="20"/>
              </w:rPr>
              <w:t xml:space="preserve">, H., James, N., et al. "Multicentre phase III trial comparing </w:t>
            </w:r>
            <w:proofErr w:type="spellStart"/>
            <w:r w:rsidRPr="00DE6EBD">
              <w:rPr>
                <w:rFonts w:ascii="Arial Narrow" w:hAnsi="Arial Narrow" w:cs="Times New Roman"/>
                <w:snapToGrid/>
                <w:sz w:val="20"/>
              </w:rPr>
              <w:t>vinflunine</w:t>
            </w:r>
            <w:proofErr w:type="spellEnd"/>
            <w:r w:rsidRPr="00DE6EBD">
              <w:rPr>
                <w:rFonts w:ascii="Arial Narrow" w:hAnsi="Arial Narrow" w:cs="Times New Roman"/>
                <w:snapToGrid/>
                <w:sz w:val="20"/>
              </w:rPr>
              <w:t xml:space="preserve"> (V) plus best supportive care (BSC) vs BSC alone as 2nd line therapy after a platinum-containing regimen, in advanced transitional cell carcinoma of the </w:t>
            </w:r>
            <w:proofErr w:type="spellStart"/>
            <w:r w:rsidRPr="00DE6EBD">
              <w:rPr>
                <w:rFonts w:ascii="Arial Narrow" w:hAnsi="Arial Narrow" w:cs="Times New Roman"/>
                <w:snapToGrid/>
                <w:sz w:val="20"/>
              </w:rPr>
              <w:t>urothelium</w:t>
            </w:r>
            <w:proofErr w:type="spellEnd"/>
            <w:r w:rsidRPr="00DE6EBD">
              <w:rPr>
                <w:rFonts w:ascii="Arial Narrow" w:hAnsi="Arial Narrow" w:cs="Times New Roman"/>
                <w:snapToGrid/>
                <w:sz w:val="20"/>
              </w:rPr>
              <w:t xml:space="preserve"> (TCCU)." </w:t>
            </w:r>
          </w:p>
          <w:p w:rsidR="00442B62" w:rsidRPr="00DE6EBD" w:rsidRDefault="00442B62" w:rsidP="00442B62">
            <w:pPr>
              <w:keepNext/>
              <w:widowControl/>
              <w:jc w:val="left"/>
              <w:rPr>
                <w:rFonts w:ascii="Arial Narrow" w:hAnsi="Arial Narrow" w:cs="Times New Roman"/>
                <w:snapToGrid/>
                <w:sz w:val="20"/>
              </w:rPr>
            </w:pPr>
          </w:p>
          <w:p w:rsidR="00442B62" w:rsidRPr="00DE6EBD" w:rsidRDefault="00442B62" w:rsidP="00442B62">
            <w:pPr>
              <w:keepNext/>
              <w:widowControl/>
              <w:jc w:val="left"/>
              <w:rPr>
                <w:rFonts w:ascii="Arial Narrow" w:hAnsi="Arial Narrow" w:cs="Times New Roman"/>
                <w:snapToGrid/>
                <w:sz w:val="20"/>
              </w:rPr>
            </w:pPr>
            <w:proofErr w:type="spellStart"/>
            <w:r w:rsidRPr="00DE6EBD">
              <w:rPr>
                <w:rFonts w:ascii="Arial Narrow" w:hAnsi="Arial Narrow" w:cs="Times New Roman"/>
                <w:snapToGrid/>
                <w:sz w:val="20"/>
              </w:rPr>
              <w:t>Harshman</w:t>
            </w:r>
            <w:proofErr w:type="spellEnd"/>
            <w:r w:rsidRPr="00DE6EBD">
              <w:rPr>
                <w:rFonts w:ascii="Arial Narrow" w:hAnsi="Arial Narrow" w:cs="Times New Roman"/>
                <w:snapToGrid/>
                <w:sz w:val="20"/>
              </w:rPr>
              <w:t xml:space="preserve">, L. C., et al. "The impact of prior platinum therapy on survival in patients with metastatic </w:t>
            </w:r>
            <w:proofErr w:type="spellStart"/>
            <w:r w:rsidRPr="00DE6EBD">
              <w:rPr>
                <w:rFonts w:ascii="Arial Narrow" w:hAnsi="Arial Narrow" w:cs="Times New Roman"/>
                <w:snapToGrid/>
                <w:sz w:val="20"/>
              </w:rPr>
              <w:t>urothelial</w:t>
            </w:r>
            <w:proofErr w:type="spellEnd"/>
            <w:r w:rsidRPr="00DE6EBD">
              <w:rPr>
                <w:rFonts w:ascii="Arial Narrow" w:hAnsi="Arial Narrow" w:cs="Times New Roman"/>
                <w:snapToGrid/>
                <w:sz w:val="20"/>
              </w:rPr>
              <w:t xml:space="preserve"> cancer receiving </w:t>
            </w:r>
            <w:proofErr w:type="spellStart"/>
            <w:r w:rsidRPr="00DE6EBD">
              <w:rPr>
                <w:rFonts w:ascii="Arial Narrow" w:hAnsi="Arial Narrow" w:cs="Times New Roman"/>
                <w:snapToGrid/>
                <w:sz w:val="20"/>
              </w:rPr>
              <w:t>vinflunine</w:t>
            </w:r>
            <w:proofErr w:type="spellEnd"/>
            <w:r w:rsidRPr="00DE6EBD">
              <w:rPr>
                <w:rFonts w:ascii="Arial Narrow" w:hAnsi="Arial Narrow" w:cs="Times New Roman"/>
                <w:snapToGrid/>
                <w:sz w:val="20"/>
              </w:rPr>
              <w:t>." </w:t>
            </w:r>
          </w:p>
        </w:tc>
        <w:tc>
          <w:tcPr>
            <w:tcW w:w="1440" w:type="pct"/>
            <w:tcBorders>
              <w:top w:val="single" w:sz="4" w:space="0" w:color="auto"/>
            </w:tcBorders>
          </w:tcPr>
          <w:p w:rsidR="00EF3A86" w:rsidRDefault="00442B62" w:rsidP="00442B62">
            <w:pPr>
              <w:keepNext/>
              <w:widowControl/>
              <w:jc w:val="left"/>
              <w:rPr>
                <w:rFonts w:ascii="Arial Narrow" w:hAnsi="Arial Narrow" w:cs="Times New Roman"/>
                <w:snapToGrid/>
                <w:sz w:val="20"/>
              </w:rPr>
            </w:pPr>
            <w:r w:rsidRPr="00DE6EBD">
              <w:rPr>
                <w:rFonts w:ascii="Arial Narrow" w:hAnsi="Arial Narrow" w:cs="Times New Roman"/>
                <w:snapToGrid/>
                <w:sz w:val="20"/>
              </w:rPr>
              <w:t>December 2</w:t>
            </w:r>
            <w:r w:rsidR="00EF3A86">
              <w:rPr>
                <w:rFonts w:ascii="Arial Narrow" w:hAnsi="Arial Narrow" w:cs="Times New Roman"/>
                <w:snapToGrid/>
                <w:sz w:val="20"/>
              </w:rPr>
              <w:t>007 (November 2006 analysis) CSR</w:t>
            </w:r>
            <w:r w:rsidR="00EF3A86">
              <w:rPr>
                <w:rFonts w:ascii="Arial Narrow" w:hAnsi="Arial Narrow" w:cs="Times New Roman"/>
                <w:snapToGrid/>
                <w:sz w:val="20"/>
              </w:rPr>
              <w:br/>
            </w:r>
            <w:r w:rsidR="00EF3A86">
              <w:rPr>
                <w:rFonts w:ascii="Arial Narrow" w:hAnsi="Arial Narrow" w:cs="Times New Roman"/>
                <w:snapToGrid/>
                <w:sz w:val="20"/>
              </w:rPr>
              <w:br/>
            </w:r>
            <w:r w:rsidR="00EF3A86">
              <w:rPr>
                <w:rFonts w:ascii="Arial Narrow" w:hAnsi="Arial Narrow" w:cs="Times New Roman"/>
                <w:snapToGrid/>
                <w:sz w:val="20"/>
              </w:rPr>
              <w:br/>
            </w:r>
            <w:r w:rsidR="00EF3A86">
              <w:rPr>
                <w:rFonts w:ascii="Arial Narrow" w:hAnsi="Arial Narrow" w:cs="Times New Roman"/>
                <w:snapToGrid/>
                <w:sz w:val="20"/>
              </w:rPr>
              <w:br/>
            </w:r>
            <w:r w:rsidR="00EF3A86">
              <w:rPr>
                <w:rFonts w:ascii="Arial Narrow" w:hAnsi="Arial Narrow" w:cs="Times New Roman"/>
                <w:snapToGrid/>
                <w:sz w:val="20"/>
              </w:rPr>
              <w:br/>
            </w:r>
          </w:p>
          <w:p w:rsidR="00442B62" w:rsidRPr="00DE6EBD" w:rsidRDefault="00442B62" w:rsidP="00442B62">
            <w:pPr>
              <w:keepNext/>
              <w:widowControl/>
              <w:jc w:val="left"/>
              <w:rPr>
                <w:rFonts w:ascii="Arial Narrow" w:hAnsi="Arial Narrow" w:cs="Times New Roman"/>
                <w:snapToGrid/>
                <w:sz w:val="20"/>
              </w:rPr>
            </w:pPr>
            <w:r w:rsidRPr="00DE6EBD">
              <w:rPr>
                <w:rFonts w:ascii="Arial Narrow" w:hAnsi="Arial Narrow" w:cs="Times New Roman"/>
                <w:snapToGrid/>
                <w:sz w:val="20"/>
              </w:rPr>
              <w:t>Journal of Clinical Oncology (2009) 27(27): 4454-4461</w:t>
            </w:r>
          </w:p>
          <w:p w:rsidR="00442B62" w:rsidRPr="00DE6EBD" w:rsidRDefault="00442B62" w:rsidP="00442B62">
            <w:pPr>
              <w:keepNext/>
              <w:widowControl/>
              <w:jc w:val="left"/>
              <w:rPr>
                <w:rFonts w:ascii="Arial Narrow" w:hAnsi="Arial Narrow" w:cs="Times New Roman"/>
                <w:snapToGrid/>
                <w:sz w:val="20"/>
              </w:rPr>
            </w:pPr>
          </w:p>
          <w:p w:rsidR="00442B62" w:rsidRPr="00DE6EBD" w:rsidRDefault="00442B62" w:rsidP="00442B62">
            <w:pPr>
              <w:keepNext/>
              <w:widowControl/>
              <w:jc w:val="left"/>
              <w:rPr>
                <w:rFonts w:ascii="Arial Narrow" w:hAnsi="Arial Narrow" w:cs="Times New Roman"/>
                <w:snapToGrid/>
                <w:sz w:val="20"/>
              </w:rPr>
            </w:pPr>
          </w:p>
          <w:p w:rsidR="00442B62" w:rsidRPr="00DE6EBD" w:rsidRDefault="00442B62" w:rsidP="00442B62">
            <w:pPr>
              <w:keepNext/>
              <w:widowControl/>
              <w:jc w:val="left"/>
              <w:rPr>
                <w:rFonts w:ascii="Arial Narrow" w:hAnsi="Arial Narrow" w:cs="Times New Roman"/>
                <w:snapToGrid/>
                <w:sz w:val="20"/>
              </w:rPr>
            </w:pPr>
          </w:p>
          <w:p w:rsidR="00442B62" w:rsidRPr="00DE6EBD" w:rsidRDefault="00442B62" w:rsidP="00442B62">
            <w:pPr>
              <w:keepNext/>
              <w:widowControl/>
              <w:jc w:val="left"/>
              <w:rPr>
                <w:rFonts w:ascii="Arial Narrow" w:hAnsi="Arial Narrow" w:cs="Times New Roman"/>
                <w:snapToGrid/>
                <w:sz w:val="20"/>
              </w:rPr>
            </w:pPr>
            <w:r w:rsidRPr="00DE6EBD">
              <w:rPr>
                <w:rFonts w:ascii="Arial Narrow" w:hAnsi="Arial Narrow" w:cs="Times New Roman"/>
                <w:snapToGrid/>
                <w:sz w:val="20"/>
              </w:rPr>
              <w:t>Annals of oncology (2013)</w:t>
            </w:r>
          </w:p>
          <w:p w:rsidR="00442B62" w:rsidRPr="00DE6EBD" w:rsidRDefault="00442B62" w:rsidP="00442B62">
            <w:pPr>
              <w:keepNext/>
              <w:widowControl/>
              <w:jc w:val="left"/>
              <w:rPr>
                <w:rFonts w:ascii="Arial Narrow" w:hAnsi="Arial Narrow" w:cs="Times New Roman"/>
                <w:snapToGrid/>
                <w:sz w:val="20"/>
              </w:rPr>
            </w:pPr>
            <w:r w:rsidRPr="00DE6EBD">
              <w:rPr>
                <w:rFonts w:ascii="Arial Narrow" w:hAnsi="Arial Narrow" w:cs="Times New Roman"/>
                <w:snapToGrid/>
                <w:sz w:val="20"/>
              </w:rPr>
              <w:t xml:space="preserve">24.6 (2013): 1466-1472 </w:t>
            </w:r>
            <w:r w:rsidRPr="00DE6EBD">
              <w:rPr>
                <w:rFonts w:ascii="Arial Narrow" w:hAnsi="Arial Narrow" w:cs="Times New Roman"/>
                <w:snapToGrid/>
                <w:sz w:val="20"/>
                <w:vertAlign w:val="superscript"/>
              </w:rPr>
              <w:t>a</w:t>
            </w:r>
          </w:p>
          <w:p w:rsidR="00442B62" w:rsidRPr="00DE6EBD" w:rsidRDefault="00442B62" w:rsidP="00442B62">
            <w:pPr>
              <w:keepNext/>
              <w:widowControl/>
              <w:jc w:val="left"/>
              <w:rPr>
                <w:rFonts w:ascii="Arial Narrow" w:hAnsi="Arial Narrow" w:cs="Times New Roman"/>
                <w:snapToGrid/>
                <w:sz w:val="20"/>
              </w:rPr>
            </w:pPr>
          </w:p>
          <w:p w:rsidR="00442B62" w:rsidRPr="00DE6EBD" w:rsidRDefault="00442B62" w:rsidP="00442B62">
            <w:pPr>
              <w:keepNext/>
              <w:widowControl/>
              <w:jc w:val="left"/>
              <w:rPr>
                <w:rFonts w:ascii="Arial Narrow" w:hAnsi="Arial Narrow" w:cs="Times New Roman"/>
                <w:snapToGrid/>
                <w:sz w:val="20"/>
              </w:rPr>
            </w:pPr>
          </w:p>
          <w:p w:rsidR="00442B62" w:rsidRPr="00DE6EBD" w:rsidRDefault="00442B62" w:rsidP="00442B62">
            <w:pPr>
              <w:keepNext/>
              <w:widowControl/>
              <w:jc w:val="left"/>
              <w:rPr>
                <w:rFonts w:ascii="Arial Narrow" w:hAnsi="Arial Narrow" w:cs="Times New Roman"/>
                <w:snapToGrid/>
                <w:sz w:val="20"/>
              </w:rPr>
            </w:pPr>
          </w:p>
          <w:p w:rsidR="00442B62" w:rsidRPr="00DE6EBD" w:rsidRDefault="00442B62" w:rsidP="00442B62">
            <w:pPr>
              <w:keepNext/>
              <w:widowControl/>
              <w:jc w:val="left"/>
              <w:rPr>
                <w:rFonts w:ascii="Arial Narrow" w:hAnsi="Arial Narrow" w:cs="Times New Roman"/>
                <w:snapToGrid/>
                <w:sz w:val="20"/>
              </w:rPr>
            </w:pPr>
            <w:r w:rsidRPr="00DE6EBD">
              <w:rPr>
                <w:rFonts w:ascii="Arial Narrow" w:hAnsi="Arial Narrow" w:cs="Times New Roman"/>
                <w:snapToGrid/>
                <w:sz w:val="20"/>
              </w:rPr>
              <w:t>ASCO Annual Meeting Proceedings (2008)</w:t>
            </w:r>
          </w:p>
          <w:p w:rsidR="00442B62" w:rsidRPr="00DE6EBD" w:rsidRDefault="00442B62" w:rsidP="00442B62">
            <w:pPr>
              <w:keepNext/>
              <w:widowControl/>
              <w:jc w:val="left"/>
              <w:rPr>
                <w:rFonts w:ascii="Arial Narrow" w:hAnsi="Arial Narrow" w:cs="Times New Roman"/>
                <w:snapToGrid/>
                <w:sz w:val="20"/>
              </w:rPr>
            </w:pPr>
            <w:r w:rsidRPr="00DE6EBD">
              <w:rPr>
                <w:rFonts w:ascii="Arial Narrow" w:hAnsi="Arial Narrow" w:cs="Times New Roman"/>
                <w:snapToGrid/>
                <w:sz w:val="20"/>
              </w:rPr>
              <w:t xml:space="preserve">Vol. 26. No. 15_suppl </w:t>
            </w:r>
          </w:p>
          <w:p w:rsidR="00442B62" w:rsidRPr="00DE6EBD" w:rsidRDefault="00442B62" w:rsidP="00442B62">
            <w:pPr>
              <w:keepNext/>
              <w:widowControl/>
              <w:jc w:val="left"/>
              <w:rPr>
                <w:rFonts w:ascii="Arial Narrow" w:hAnsi="Arial Narrow" w:cs="Times New Roman"/>
                <w:snapToGrid/>
                <w:sz w:val="20"/>
              </w:rPr>
            </w:pPr>
          </w:p>
          <w:p w:rsidR="00442B62" w:rsidRPr="00DE6EBD" w:rsidRDefault="00442B62" w:rsidP="00442B62">
            <w:pPr>
              <w:keepNext/>
              <w:widowControl/>
              <w:jc w:val="left"/>
              <w:rPr>
                <w:rFonts w:ascii="Arial Narrow" w:hAnsi="Arial Narrow" w:cs="Times New Roman"/>
                <w:snapToGrid/>
                <w:sz w:val="20"/>
              </w:rPr>
            </w:pPr>
          </w:p>
          <w:p w:rsidR="00442B62" w:rsidRPr="00DE6EBD" w:rsidRDefault="00442B62" w:rsidP="00442B62">
            <w:pPr>
              <w:keepNext/>
              <w:widowControl/>
              <w:jc w:val="left"/>
              <w:rPr>
                <w:rFonts w:ascii="Arial Narrow" w:hAnsi="Arial Narrow" w:cs="Times New Roman"/>
                <w:snapToGrid/>
                <w:sz w:val="20"/>
              </w:rPr>
            </w:pPr>
            <w:r w:rsidRPr="00DE6EBD">
              <w:rPr>
                <w:rFonts w:ascii="Arial Narrow" w:hAnsi="Arial Narrow" w:cs="Times New Roman"/>
                <w:snapToGrid/>
                <w:sz w:val="20"/>
              </w:rPr>
              <w:t>Journal of Clinical Oncology (2010) 28(11): 1850-1855</w:t>
            </w:r>
          </w:p>
          <w:p w:rsidR="00442B62" w:rsidRPr="00DE6EBD" w:rsidRDefault="00442B62" w:rsidP="00442B62">
            <w:pPr>
              <w:keepNext/>
              <w:widowControl/>
              <w:jc w:val="left"/>
              <w:rPr>
                <w:rFonts w:ascii="Arial Narrow" w:hAnsi="Arial Narrow" w:cs="Times New Roman"/>
                <w:snapToGrid/>
                <w:sz w:val="20"/>
              </w:rPr>
            </w:pPr>
          </w:p>
          <w:p w:rsidR="00442B62" w:rsidRPr="00DE6EBD" w:rsidRDefault="00442B62" w:rsidP="00442B62">
            <w:pPr>
              <w:keepNext/>
              <w:widowControl/>
              <w:jc w:val="left"/>
              <w:rPr>
                <w:rFonts w:ascii="Arial Narrow" w:hAnsi="Arial Narrow" w:cs="Times New Roman"/>
                <w:snapToGrid/>
                <w:sz w:val="20"/>
              </w:rPr>
            </w:pPr>
          </w:p>
          <w:p w:rsidR="00442B62" w:rsidRPr="00DE6EBD" w:rsidRDefault="00442B62" w:rsidP="00442B62">
            <w:pPr>
              <w:keepNext/>
              <w:widowControl/>
              <w:jc w:val="left"/>
              <w:rPr>
                <w:rFonts w:ascii="Arial Narrow" w:hAnsi="Arial Narrow" w:cs="Times New Roman"/>
                <w:snapToGrid/>
                <w:sz w:val="20"/>
              </w:rPr>
            </w:pPr>
            <w:r w:rsidRPr="00DE6EBD">
              <w:rPr>
                <w:rFonts w:ascii="Arial Narrow" w:hAnsi="Arial Narrow" w:cs="Times New Roman"/>
                <w:snapToGrid/>
                <w:sz w:val="20"/>
              </w:rPr>
              <w:t>Annals of Oncology (2008) 19(S8): viii202</w:t>
            </w:r>
          </w:p>
          <w:p w:rsidR="00442B62" w:rsidRPr="00DE6EBD" w:rsidRDefault="00442B62" w:rsidP="00442B62">
            <w:pPr>
              <w:keepNext/>
              <w:widowControl/>
              <w:jc w:val="left"/>
              <w:rPr>
                <w:rFonts w:ascii="Arial Narrow" w:hAnsi="Arial Narrow" w:cs="Times New Roman"/>
                <w:snapToGrid/>
                <w:sz w:val="20"/>
              </w:rPr>
            </w:pPr>
          </w:p>
          <w:p w:rsidR="00442B62" w:rsidRPr="00DE6EBD" w:rsidRDefault="00442B62" w:rsidP="00442B62">
            <w:pPr>
              <w:keepNext/>
              <w:widowControl/>
              <w:jc w:val="left"/>
              <w:rPr>
                <w:rFonts w:ascii="Arial Narrow" w:hAnsi="Arial Narrow" w:cs="Times New Roman"/>
                <w:snapToGrid/>
                <w:sz w:val="20"/>
              </w:rPr>
            </w:pPr>
          </w:p>
          <w:p w:rsidR="00442B62" w:rsidRPr="00DE6EBD" w:rsidRDefault="00442B62" w:rsidP="00442B62">
            <w:pPr>
              <w:keepNext/>
              <w:widowControl/>
              <w:jc w:val="left"/>
              <w:rPr>
                <w:rFonts w:ascii="Arial Narrow" w:hAnsi="Arial Narrow" w:cs="Times New Roman"/>
                <w:snapToGrid/>
                <w:sz w:val="20"/>
              </w:rPr>
            </w:pPr>
          </w:p>
          <w:p w:rsidR="00442B62" w:rsidRPr="00DE6EBD" w:rsidRDefault="00442B62" w:rsidP="00442B62">
            <w:pPr>
              <w:keepNext/>
              <w:widowControl/>
              <w:jc w:val="left"/>
              <w:rPr>
                <w:rFonts w:ascii="Arial Narrow" w:hAnsi="Arial Narrow" w:cs="Times New Roman"/>
                <w:snapToGrid/>
                <w:sz w:val="20"/>
              </w:rPr>
            </w:pPr>
            <w:r w:rsidRPr="00DE6EBD">
              <w:rPr>
                <w:rFonts w:ascii="Arial Narrow" w:hAnsi="Arial Narrow" w:cs="Times New Roman"/>
                <w:snapToGrid/>
                <w:sz w:val="20"/>
              </w:rPr>
              <w:t>British journal of cancer (2013) </w:t>
            </w:r>
          </w:p>
          <w:p w:rsidR="00442B62" w:rsidRPr="00DE6EBD" w:rsidRDefault="00442B62" w:rsidP="00442B62">
            <w:pPr>
              <w:keepNext/>
              <w:widowControl/>
              <w:jc w:val="left"/>
              <w:rPr>
                <w:rFonts w:ascii="Arial Narrow" w:hAnsi="Arial Narrow" w:cs="Times New Roman"/>
                <w:snapToGrid/>
                <w:sz w:val="20"/>
              </w:rPr>
            </w:pPr>
            <w:r w:rsidRPr="00DE6EBD">
              <w:rPr>
                <w:rFonts w:ascii="Arial Narrow" w:hAnsi="Arial Narrow" w:cs="Times New Roman"/>
                <w:snapToGrid/>
                <w:sz w:val="20"/>
              </w:rPr>
              <w:t>109.10: 2548-2553</w:t>
            </w:r>
            <w:r w:rsidRPr="00DE6EBD">
              <w:rPr>
                <w:rFonts w:ascii="Arial Narrow" w:hAnsi="Arial Narrow" w:cs="Times New Roman"/>
                <w:snapToGrid/>
                <w:sz w:val="20"/>
                <w:vertAlign w:val="superscript"/>
              </w:rPr>
              <w:t>a</w:t>
            </w:r>
          </w:p>
        </w:tc>
      </w:tr>
    </w:tbl>
    <w:p w:rsidR="00442B62" w:rsidRPr="00DE6EBD" w:rsidRDefault="00442B62" w:rsidP="00442B62">
      <w:pPr>
        <w:widowControl/>
        <w:ind w:firstLine="720"/>
        <w:contextualSpacing/>
        <w:jc w:val="left"/>
        <w:rPr>
          <w:rFonts w:ascii="Arial Narrow" w:eastAsia="SimSun" w:hAnsi="Arial Narrow" w:cs="Times New Roman"/>
          <w:snapToGrid/>
          <w:sz w:val="18"/>
          <w:szCs w:val="18"/>
          <w:lang w:eastAsia="zh-CN"/>
        </w:rPr>
      </w:pPr>
      <w:r w:rsidRPr="00DE6EBD">
        <w:rPr>
          <w:rFonts w:ascii="Arial Narrow" w:eastAsia="SimSun" w:hAnsi="Arial Narrow" w:cs="Times New Roman"/>
          <w:snapToGrid/>
          <w:sz w:val="18"/>
          <w:szCs w:val="18"/>
          <w:lang w:eastAsia="zh-CN"/>
        </w:rPr>
        <w:t xml:space="preserve">Source: Table 19, p63 of the re-submission. Note: </w:t>
      </w:r>
      <w:proofErr w:type="gramStart"/>
      <w:r w:rsidRPr="00DE6EBD">
        <w:rPr>
          <w:rFonts w:ascii="Arial Narrow" w:eastAsia="SimSun" w:hAnsi="Arial Narrow" w:cs="Times New Roman"/>
          <w:snapToGrid/>
          <w:sz w:val="18"/>
          <w:szCs w:val="18"/>
          <w:vertAlign w:val="superscript"/>
          <w:lang w:eastAsia="zh-CN"/>
        </w:rPr>
        <w:t>a</w:t>
      </w:r>
      <w:r w:rsidRPr="00DE6EBD">
        <w:rPr>
          <w:rFonts w:ascii="Arial Narrow" w:eastAsia="SimSun" w:hAnsi="Arial Narrow" w:cs="Times New Roman"/>
          <w:snapToGrid/>
          <w:sz w:val="18"/>
          <w:szCs w:val="18"/>
          <w:lang w:eastAsia="zh-CN"/>
        </w:rPr>
        <w:t xml:space="preserve"> new publications</w:t>
      </w:r>
      <w:proofErr w:type="gramEnd"/>
      <w:r w:rsidRPr="00DE6EBD">
        <w:rPr>
          <w:rFonts w:ascii="Arial Narrow" w:eastAsia="SimSun" w:hAnsi="Arial Narrow" w:cs="Times New Roman"/>
          <w:snapToGrid/>
          <w:sz w:val="18"/>
          <w:szCs w:val="18"/>
          <w:lang w:eastAsia="zh-CN"/>
        </w:rPr>
        <w:t xml:space="preserve"> since the November 2011 submission.</w:t>
      </w:r>
    </w:p>
    <w:p w:rsidR="00442B62" w:rsidRPr="00DE6EBD" w:rsidRDefault="00442B62" w:rsidP="00442B62">
      <w:pPr>
        <w:widowControl/>
        <w:rPr>
          <w:szCs w:val="22"/>
        </w:rPr>
      </w:pPr>
    </w:p>
    <w:p w:rsidR="00442B62" w:rsidRPr="00DE6EBD" w:rsidRDefault="00442B62" w:rsidP="00422A51">
      <w:pPr>
        <w:widowControl/>
        <w:numPr>
          <w:ilvl w:val="1"/>
          <w:numId w:val="2"/>
        </w:numPr>
        <w:contextualSpacing/>
        <w:rPr>
          <w:szCs w:val="22"/>
        </w:rPr>
      </w:pPr>
      <w:r w:rsidRPr="00DE6EBD">
        <w:rPr>
          <w:szCs w:val="22"/>
        </w:rPr>
        <w:t>The key features of the direct randomised trial are summarised in the table below.</w:t>
      </w:r>
    </w:p>
    <w:p w:rsidR="00442B62" w:rsidRPr="00DE6EBD" w:rsidRDefault="00442B62" w:rsidP="00442B62">
      <w:pPr>
        <w:widowControl/>
        <w:rPr>
          <w:szCs w:val="22"/>
        </w:rPr>
      </w:pPr>
    </w:p>
    <w:p w:rsidR="00442B62" w:rsidRPr="00DE6EBD" w:rsidRDefault="00442B62" w:rsidP="00442B62">
      <w:pPr>
        <w:ind w:firstLine="720"/>
        <w:rPr>
          <w:rFonts w:ascii="Arial Narrow" w:hAnsi="Arial Narrow"/>
          <w:b/>
          <w:sz w:val="20"/>
          <w:szCs w:val="16"/>
        </w:rPr>
      </w:pPr>
      <w:r w:rsidRPr="00DE6EBD">
        <w:rPr>
          <w:rFonts w:ascii="Arial Narrow" w:hAnsi="Arial Narrow"/>
          <w:b/>
          <w:sz w:val="20"/>
          <w:szCs w:val="16"/>
        </w:rPr>
        <w:t>Table 3: Key features of the included evidence</w:t>
      </w:r>
    </w:p>
    <w:tbl>
      <w:tblPr>
        <w:tblW w:w="4660"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0"/>
        <w:gridCol w:w="422"/>
        <w:gridCol w:w="1989"/>
        <w:gridCol w:w="704"/>
        <w:gridCol w:w="2697"/>
        <w:gridCol w:w="994"/>
        <w:gridCol w:w="1088"/>
      </w:tblGrid>
      <w:tr w:rsidR="00442B62" w:rsidRPr="00DE6EBD" w:rsidTr="00643901">
        <w:tc>
          <w:tcPr>
            <w:tcW w:w="337" w:type="pct"/>
            <w:shd w:val="clear" w:color="auto" w:fill="auto"/>
            <w:vAlign w:val="center"/>
          </w:tcPr>
          <w:p w:rsidR="00442B62" w:rsidRPr="00DE6EBD" w:rsidRDefault="00442B62" w:rsidP="00442B62">
            <w:pPr>
              <w:jc w:val="left"/>
              <w:rPr>
                <w:rFonts w:ascii="Arial Narrow" w:hAnsi="Arial Narrow"/>
                <w:b/>
                <w:sz w:val="20"/>
              </w:rPr>
            </w:pPr>
            <w:r w:rsidRPr="00DE6EBD">
              <w:rPr>
                <w:rFonts w:ascii="Arial Narrow" w:hAnsi="Arial Narrow"/>
                <w:b/>
                <w:sz w:val="20"/>
              </w:rPr>
              <w:t>Trial</w:t>
            </w:r>
          </w:p>
        </w:tc>
        <w:tc>
          <w:tcPr>
            <w:tcW w:w="249" w:type="pct"/>
            <w:shd w:val="clear" w:color="auto" w:fill="auto"/>
            <w:vAlign w:val="center"/>
          </w:tcPr>
          <w:p w:rsidR="00442B62" w:rsidRPr="00DE6EBD" w:rsidRDefault="00442B62" w:rsidP="00442B62">
            <w:pPr>
              <w:jc w:val="center"/>
              <w:rPr>
                <w:rFonts w:ascii="Arial Narrow" w:hAnsi="Arial Narrow"/>
                <w:b/>
                <w:sz w:val="20"/>
              </w:rPr>
            </w:pPr>
            <w:r w:rsidRPr="00DE6EBD">
              <w:rPr>
                <w:rFonts w:ascii="Arial Narrow" w:hAnsi="Arial Narrow"/>
                <w:b/>
                <w:sz w:val="20"/>
              </w:rPr>
              <w:t>N</w:t>
            </w:r>
          </w:p>
        </w:tc>
        <w:tc>
          <w:tcPr>
            <w:tcW w:w="1175" w:type="pct"/>
            <w:shd w:val="clear" w:color="auto" w:fill="auto"/>
            <w:vAlign w:val="center"/>
          </w:tcPr>
          <w:p w:rsidR="00442B62" w:rsidRPr="00DE6EBD" w:rsidRDefault="00442B62" w:rsidP="00442B62">
            <w:pPr>
              <w:jc w:val="center"/>
              <w:rPr>
                <w:rFonts w:ascii="Arial Narrow" w:hAnsi="Arial Narrow"/>
                <w:b/>
                <w:sz w:val="20"/>
              </w:rPr>
            </w:pPr>
            <w:r w:rsidRPr="00DE6EBD">
              <w:rPr>
                <w:rFonts w:ascii="Arial Narrow" w:hAnsi="Arial Narrow"/>
                <w:b/>
                <w:sz w:val="20"/>
              </w:rPr>
              <w:t>Design/ duration</w:t>
            </w:r>
          </w:p>
        </w:tc>
        <w:tc>
          <w:tcPr>
            <w:tcW w:w="416" w:type="pct"/>
            <w:shd w:val="clear" w:color="auto" w:fill="auto"/>
            <w:vAlign w:val="center"/>
          </w:tcPr>
          <w:p w:rsidR="00442B62" w:rsidRPr="00DE6EBD" w:rsidRDefault="00442B62" w:rsidP="00442B62">
            <w:pPr>
              <w:jc w:val="center"/>
              <w:rPr>
                <w:rFonts w:ascii="Arial Narrow" w:hAnsi="Arial Narrow"/>
                <w:b/>
                <w:sz w:val="20"/>
              </w:rPr>
            </w:pPr>
            <w:r w:rsidRPr="00DE6EBD">
              <w:rPr>
                <w:rFonts w:ascii="Arial Narrow" w:hAnsi="Arial Narrow"/>
                <w:b/>
                <w:sz w:val="20"/>
              </w:rPr>
              <w:t>Risk of bias</w:t>
            </w:r>
          </w:p>
        </w:tc>
        <w:tc>
          <w:tcPr>
            <w:tcW w:w="1593" w:type="pct"/>
            <w:shd w:val="clear" w:color="auto" w:fill="auto"/>
            <w:vAlign w:val="center"/>
          </w:tcPr>
          <w:p w:rsidR="00442B62" w:rsidRPr="00DE6EBD" w:rsidRDefault="00442B62" w:rsidP="00442B62">
            <w:pPr>
              <w:jc w:val="center"/>
              <w:rPr>
                <w:rFonts w:ascii="Arial Narrow" w:hAnsi="Arial Narrow"/>
                <w:b/>
                <w:sz w:val="20"/>
              </w:rPr>
            </w:pPr>
            <w:r w:rsidRPr="00DE6EBD">
              <w:rPr>
                <w:rFonts w:ascii="Arial Narrow" w:hAnsi="Arial Narrow"/>
                <w:b/>
                <w:sz w:val="20"/>
              </w:rPr>
              <w:t>Patient population</w:t>
            </w:r>
          </w:p>
        </w:tc>
        <w:tc>
          <w:tcPr>
            <w:tcW w:w="587" w:type="pct"/>
            <w:shd w:val="clear" w:color="auto" w:fill="auto"/>
            <w:vAlign w:val="center"/>
          </w:tcPr>
          <w:p w:rsidR="00442B62" w:rsidRPr="00DE6EBD" w:rsidRDefault="00442B62" w:rsidP="00442B62">
            <w:pPr>
              <w:jc w:val="center"/>
              <w:rPr>
                <w:rFonts w:ascii="Arial Narrow" w:hAnsi="Arial Narrow"/>
                <w:b/>
                <w:sz w:val="20"/>
              </w:rPr>
            </w:pPr>
            <w:r w:rsidRPr="00DE6EBD">
              <w:rPr>
                <w:rFonts w:ascii="Arial Narrow" w:hAnsi="Arial Narrow"/>
                <w:b/>
                <w:sz w:val="20"/>
              </w:rPr>
              <w:t>Outcomes</w:t>
            </w:r>
          </w:p>
        </w:tc>
        <w:tc>
          <w:tcPr>
            <w:tcW w:w="643" w:type="pct"/>
            <w:shd w:val="clear" w:color="auto" w:fill="auto"/>
            <w:vAlign w:val="center"/>
          </w:tcPr>
          <w:p w:rsidR="00442B62" w:rsidRPr="00DE6EBD" w:rsidRDefault="00442B62" w:rsidP="00442B62">
            <w:pPr>
              <w:jc w:val="center"/>
              <w:rPr>
                <w:rFonts w:ascii="Arial Narrow" w:hAnsi="Arial Narrow"/>
                <w:b/>
                <w:sz w:val="20"/>
              </w:rPr>
            </w:pPr>
            <w:r w:rsidRPr="00DE6EBD">
              <w:rPr>
                <w:rFonts w:ascii="Arial Narrow" w:hAnsi="Arial Narrow"/>
                <w:b/>
                <w:sz w:val="20"/>
              </w:rPr>
              <w:t>Use in modelled evaluation</w:t>
            </w:r>
          </w:p>
        </w:tc>
      </w:tr>
      <w:tr w:rsidR="00442B62" w:rsidRPr="00DE6EBD" w:rsidTr="008A08B8">
        <w:tc>
          <w:tcPr>
            <w:tcW w:w="5000" w:type="pct"/>
            <w:gridSpan w:val="7"/>
            <w:shd w:val="clear" w:color="auto" w:fill="auto"/>
            <w:vAlign w:val="center"/>
          </w:tcPr>
          <w:p w:rsidR="00442B62" w:rsidRPr="00DE6EBD" w:rsidRDefault="00442B62" w:rsidP="00442B62">
            <w:pPr>
              <w:jc w:val="left"/>
              <w:rPr>
                <w:rFonts w:ascii="Arial Narrow" w:hAnsi="Arial Narrow"/>
                <w:b/>
                <w:sz w:val="20"/>
              </w:rPr>
            </w:pPr>
            <w:proofErr w:type="spellStart"/>
            <w:r w:rsidRPr="00DE6EBD">
              <w:rPr>
                <w:rFonts w:ascii="Arial Narrow" w:hAnsi="Arial Narrow"/>
                <w:b/>
                <w:sz w:val="20"/>
              </w:rPr>
              <w:t>Vinflunine</w:t>
            </w:r>
            <w:proofErr w:type="spellEnd"/>
            <w:r w:rsidRPr="00DE6EBD">
              <w:rPr>
                <w:rFonts w:ascii="Arial Narrow" w:hAnsi="Arial Narrow"/>
                <w:b/>
                <w:sz w:val="20"/>
              </w:rPr>
              <w:t xml:space="preserve"> + BSC vs BSC</w:t>
            </w:r>
          </w:p>
        </w:tc>
      </w:tr>
      <w:tr w:rsidR="00442B62" w:rsidRPr="00DE6EBD" w:rsidTr="00643901">
        <w:tc>
          <w:tcPr>
            <w:tcW w:w="337" w:type="pct"/>
            <w:shd w:val="clear" w:color="auto" w:fill="auto"/>
            <w:vAlign w:val="center"/>
          </w:tcPr>
          <w:p w:rsidR="00442B62" w:rsidRPr="00DE6EBD" w:rsidRDefault="00442B62" w:rsidP="00442B62">
            <w:pPr>
              <w:jc w:val="left"/>
              <w:rPr>
                <w:rFonts w:ascii="Arial Narrow" w:hAnsi="Arial Narrow"/>
                <w:sz w:val="20"/>
              </w:rPr>
            </w:pPr>
            <w:r w:rsidRPr="00DE6EBD">
              <w:rPr>
                <w:rFonts w:ascii="Arial Narrow" w:hAnsi="Arial Narrow"/>
                <w:sz w:val="20"/>
              </w:rPr>
              <w:t>Study 302</w:t>
            </w:r>
          </w:p>
        </w:tc>
        <w:tc>
          <w:tcPr>
            <w:tcW w:w="249" w:type="pct"/>
            <w:shd w:val="clear" w:color="auto" w:fill="auto"/>
            <w:vAlign w:val="center"/>
          </w:tcPr>
          <w:p w:rsidR="00442B62" w:rsidRPr="00DE6EBD" w:rsidRDefault="00442B62" w:rsidP="00442B62">
            <w:pPr>
              <w:jc w:val="center"/>
              <w:rPr>
                <w:rFonts w:ascii="Arial Narrow" w:hAnsi="Arial Narrow"/>
                <w:sz w:val="20"/>
              </w:rPr>
            </w:pPr>
            <w:r w:rsidRPr="00DE6EBD">
              <w:rPr>
                <w:rFonts w:ascii="Arial Narrow" w:hAnsi="Arial Narrow"/>
                <w:sz w:val="20"/>
              </w:rPr>
              <w:t>370</w:t>
            </w:r>
          </w:p>
        </w:tc>
        <w:tc>
          <w:tcPr>
            <w:tcW w:w="1175" w:type="pct"/>
            <w:shd w:val="clear" w:color="auto" w:fill="auto"/>
            <w:vAlign w:val="center"/>
          </w:tcPr>
          <w:p w:rsidR="00442B62" w:rsidRPr="00DE6EBD" w:rsidRDefault="00442B62" w:rsidP="00442B62">
            <w:pPr>
              <w:jc w:val="center"/>
              <w:rPr>
                <w:rFonts w:ascii="Arial Narrow" w:hAnsi="Arial Narrow"/>
                <w:sz w:val="20"/>
              </w:rPr>
            </w:pPr>
            <w:r w:rsidRPr="00DE6EBD">
              <w:rPr>
                <w:rFonts w:ascii="Arial Narrow" w:hAnsi="Arial Narrow"/>
                <w:sz w:val="20"/>
              </w:rPr>
              <w:t>R, OL, MC,</w:t>
            </w:r>
          </w:p>
          <w:p w:rsidR="00442B62" w:rsidRPr="00DE6EBD" w:rsidRDefault="00643901" w:rsidP="00643901">
            <w:pPr>
              <w:jc w:val="center"/>
              <w:rPr>
                <w:rFonts w:ascii="Arial Narrow" w:hAnsi="Arial Narrow"/>
                <w:sz w:val="20"/>
              </w:rPr>
            </w:pPr>
            <w:r w:rsidRPr="00DE6EBD">
              <w:rPr>
                <w:rFonts w:ascii="Arial Narrow" w:hAnsi="Arial Narrow"/>
                <w:sz w:val="20"/>
              </w:rPr>
              <w:t>Median f</w:t>
            </w:r>
            <w:r w:rsidR="00442B62" w:rsidRPr="00DE6EBD">
              <w:rPr>
                <w:rFonts w:ascii="Arial Narrow" w:hAnsi="Arial Narrow"/>
                <w:sz w:val="20"/>
              </w:rPr>
              <w:t xml:space="preserve">ollow- up: </w:t>
            </w:r>
            <w:proofErr w:type="spellStart"/>
            <w:r w:rsidR="00442B62" w:rsidRPr="00DE6EBD">
              <w:rPr>
                <w:rFonts w:ascii="Arial Narrow" w:hAnsi="Arial Narrow"/>
                <w:sz w:val="20"/>
              </w:rPr>
              <w:t>vinflunine</w:t>
            </w:r>
            <w:proofErr w:type="spellEnd"/>
            <w:r w:rsidR="00442B62" w:rsidRPr="00DE6EBD">
              <w:rPr>
                <w:rFonts w:ascii="Arial Narrow" w:hAnsi="Arial Narrow"/>
                <w:sz w:val="20"/>
              </w:rPr>
              <w:t xml:space="preserve"> + BSC = 42 months; BSC = 45 months</w:t>
            </w:r>
          </w:p>
        </w:tc>
        <w:tc>
          <w:tcPr>
            <w:tcW w:w="416" w:type="pct"/>
            <w:shd w:val="clear" w:color="auto" w:fill="auto"/>
            <w:vAlign w:val="center"/>
          </w:tcPr>
          <w:p w:rsidR="00442B62" w:rsidRPr="00DE6EBD" w:rsidRDefault="00442B62" w:rsidP="00442B62">
            <w:pPr>
              <w:jc w:val="center"/>
              <w:rPr>
                <w:rFonts w:ascii="Arial Narrow" w:hAnsi="Arial Narrow"/>
                <w:sz w:val="20"/>
              </w:rPr>
            </w:pPr>
            <w:r w:rsidRPr="00DE6EBD">
              <w:rPr>
                <w:rFonts w:ascii="Arial Narrow" w:hAnsi="Arial Narrow"/>
                <w:sz w:val="20"/>
              </w:rPr>
              <w:t>Low</w:t>
            </w:r>
          </w:p>
        </w:tc>
        <w:tc>
          <w:tcPr>
            <w:tcW w:w="1593" w:type="pct"/>
            <w:shd w:val="clear" w:color="auto" w:fill="auto"/>
            <w:vAlign w:val="center"/>
          </w:tcPr>
          <w:p w:rsidR="00442B62" w:rsidRPr="00DE6EBD" w:rsidRDefault="00442B62" w:rsidP="00442B62">
            <w:pPr>
              <w:jc w:val="center"/>
              <w:rPr>
                <w:rFonts w:ascii="Arial Narrow" w:hAnsi="Arial Narrow"/>
                <w:sz w:val="20"/>
              </w:rPr>
            </w:pPr>
            <w:r w:rsidRPr="00DE6EBD">
              <w:rPr>
                <w:rFonts w:ascii="Arial Narrow" w:hAnsi="Arial Narrow"/>
                <w:sz w:val="20"/>
              </w:rPr>
              <w:t>Failed platinum based chemotherapy (first-line); PS 0 or 1; not received adjuvant/</w:t>
            </w:r>
            <w:proofErr w:type="spellStart"/>
            <w:r w:rsidRPr="00DE6EBD">
              <w:rPr>
                <w:rFonts w:ascii="Arial Narrow" w:hAnsi="Arial Narrow"/>
                <w:sz w:val="20"/>
              </w:rPr>
              <w:t>neoadjuvant</w:t>
            </w:r>
            <w:proofErr w:type="spellEnd"/>
            <w:r w:rsidRPr="00DE6EBD">
              <w:rPr>
                <w:rFonts w:ascii="Arial Narrow" w:hAnsi="Arial Narrow"/>
                <w:sz w:val="20"/>
              </w:rPr>
              <w:t xml:space="preserve"> chemotherapy treatment.</w:t>
            </w:r>
          </w:p>
        </w:tc>
        <w:tc>
          <w:tcPr>
            <w:tcW w:w="587" w:type="pct"/>
            <w:shd w:val="clear" w:color="auto" w:fill="auto"/>
            <w:vAlign w:val="center"/>
          </w:tcPr>
          <w:p w:rsidR="00442B62" w:rsidRPr="00DE6EBD" w:rsidRDefault="00442B62" w:rsidP="00442B62">
            <w:pPr>
              <w:jc w:val="center"/>
              <w:rPr>
                <w:rFonts w:ascii="Arial Narrow" w:hAnsi="Arial Narrow"/>
                <w:sz w:val="20"/>
              </w:rPr>
            </w:pPr>
            <w:r w:rsidRPr="00DE6EBD">
              <w:rPr>
                <w:rFonts w:ascii="Arial Narrow" w:hAnsi="Arial Narrow"/>
                <w:sz w:val="20"/>
              </w:rPr>
              <w:t xml:space="preserve">OS, PFS, EORTC QLQ-C30 </w:t>
            </w:r>
          </w:p>
        </w:tc>
        <w:tc>
          <w:tcPr>
            <w:tcW w:w="643" w:type="pct"/>
            <w:shd w:val="clear" w:color="auto" w:fill="auto"/>
            <w:vAlign w:val="center"/>
          </w:tcPr>
          <w:p w:rsidR="00442B62" w:rsidRPr="00DE6EBD" w:rsidRDefault="00442B62" w:rsidP="00442B62">
            <w:pPr>
              <w:jc w:val="center"/>
              <w:rPr>
                <w:rFonts w:ascii="Arial Narrow" w:hAnsi="Arial Narrow"/>
                <w:sz w:val="20"/>
              </w:rPr>
            </w:pPr>
            <w:r w:rsidRPr="00DE6EBD">
              <w:rPr>
                <w:rFonts w:ascii="Arial Narrow" w:hAnsi="Arial Narrow"/>
                <w:sz w:val="20"/>
              </w:rPr>
              <w:t>Used</w:t>
            </w:r>
          </w:p>
        </w:tc>
      </w:tr>
    </w:tbl>
    <w:p w:rsidR="00442B62" w:rsidRPr="00DE6EBD" w:rsidRDefault="00442B62" w:rsidP="00442B62">
      <w:pPr>
        <w:ind w:left="720"/>
        <w:rPr>
          <w:rFonts w:ascii="Arial Narrow" w:hAnsi="Arial Narrow"/>
          <w:sz w:val="18"/>
        </w:rPr>
      </w:pPr>
      <w:r w:rsidRPr="00DE6EBD">
        <w:rPr>
          <w:rFonts w:ascii="Arial Narrow" w:hAnsi="Arial Narrow"/>
          <w:sz w:val="18"/>
        </w:rPr>
        <w:t>DB, double blind; MC, multi-centre; OL, open label; OS, overall survival; PFS, progression-free survival; R, randomised; QoL, quality of life. Source: compiled during the evaluation</w:t>
      </w:r>
    </w:p>
    <w:p w:rsidR="001F483B" w:rsidRPr="00DE6EBD" w:rsidRDefault="001F483B" w:rsidP="00442B62"/>
    <w:p w:rsidR="00442B62" w:rsidRPr="00DE6EBD" w:rsidRDefault="00442B62" w:rsidP="00B13D9E">
      <w:pPr>
        <w:pStyle w:val="Heading2"/>
      </w:pPr>
      <w:bookmarkStart w:id="17" w:name="_Toc428304032"/>
      <w:r w:rsidRPr="00DE6EBD">
        <w:lastRenderedPageBreak/>
        <w:t>Comparative effectiveness</w:t>
      </w:r>
      <w:bookmarkEnd w:id="17"/>
    </w:p>
    <w:p w:rsidR="00442B62" w:rsidRPr="00DE6EBD" w:rsidRDefault="00442B62" w:rsidP="00422A51">
      <w:pPr>
        <w:widowControl/>
        <w:numPr>
          <w:ilvl w:val="1"/>
          <w:numId w:val="2"/>
        </w:numPr>
        <w:contextualSpacing/>
        <w:rPr>
          <w:szCs w:val="22"/>
        </w:rPr>
      </w:pPr>
      <w:r w:rsidRPr="00DE6EBD">
        <w:rPr>
          <w:szCs w:val="22"/>
        </w:rPr>
        <w:t xml:space="preserve">OS results from Study 302 are summarised in Table 4 </w:t>
      </w:r>
      <w:r w:rsidR="009800DD" w:rsidRPr="00DE6EBD">
        <w:rPr>
          <w:szCs w:val="22"/>
        </w:rPr>
        <w:t xml:space="preserve">and the accompanying figures </w:t>
      </w:r>
      <w:r w:rsidRPr="00DE6EBD">
        <w:rPr>
          <w:szCs w:val="22"/>
        </w:rPr>
        <w:t xml:space="preserve">for the ITT and </w:t>
      </w:r>
      <w:proofErr w:type="spellStart"/>
      <w:r w:rsidRPr="00DE6EBD">
        <w:rPr>
          <w:szCs w:val="22"/>
        </w:rPr>
        <w:t>mITT</w:t>
      </w:r>
      <w:proofErr w:type="spellEnd"/>
      <w:r w:rsidRPr="00DE6EBD">
        <w:rPr>
          <w:szCs w:val="22"/>
        </w:rPr>
        <w:t xml:space="preserve"> populations</w:t>
      </w:r>
      <w:r w:rsidRPr="00DE6EBD">
        <w:t xml:space="preserve">. </w:t>
      </w:r>
    </w:p>
    <w:p w:rsidR="00442B62" w:rsidRPr="00DE6EBD" w:rsidRDefault="00442B62" w:rsidP="00442B62">
      <w:pPr>
        <w:widowControl/>
        <w:ind w:left="709"/>
        <w:contextualSpacing/>
        <w:rPr>
          <w:szCs w:val="22"/>
        </w:rPr>
      </w:pPr>
    </w:p>
    <w:p w:rsidR="00442B62" w:rsidRPr="00DE6EBD" w:rsidRDefault="00442B62" w:rsidP="00442B62">
      <w:pPr>
        <w:keepNext/>
        <w:ind w:firstLine="720"/>
        <w:rPr>
          <w:rFonts w:ascii="Arial Narrow" w:hAnsi="Arial Narrow"/>
          <w:b/>
          <w:sz w:val="20"/>
          <w:szCs w:val="16"/>
        </w:rPr>
      </w:pPr>
      <w:r w:rsidRPr="00DE6EBD">
        <w:rPr>
          <w:rFonts w:ascii="Arial Narrow" w:hAnsi="Arial Narrow"/>
          <w:b/>
          <w:sz w:val="20"/>
          <w:szCs w:val="16"/>
        </w:rPr>
        <w:t>Table 4: Results of OS in the direct randomised trial</w:t>
      </w:r>
    </w:p>
    <w:tbl>
      <w:tblPr>
        <w:tblW w:w="828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330"/>
        <w:gridCol w:w="1488"/>
        <w:gridCol w:w="1488"/>
        <w:gridCol w:w="1488"/>
        <w:gridCol w:w="1489"/>
      </w:tblGrid>
      <w:tr w:rsidR="00442B62" w:rsidRPr="00DE6EBD" w:rsidTr="008A08B8">
        <w:tc>
          <w:tcPr>
            <w:tcW w:w="2330" w:type="dxa"/>
            <w:vMerge w:val="restart"/>
          </w:tcPr>
          <w:p w:rsidR="00442B62" w:rsidRPr="00DE6EBD" w:rsidRDefault="00442B62" w:rsidP="00442B62">
            <w:pPr>
              <w:keepNext/>
              <w:jc w:val="left"/>
              <w:rPr>
                <w:rFonts w:ascii="Arial Narrow" w:eastAsia="SimSun" w:hAnsi="Arial Narrow"/>
                <w:snapToGrid/>
                <w:sz w:val="20"/>
                <w:lang w:eastAsia="zh-CN"/>
              </w:rPr>
            </w:pPr>
          </w:p>
        </w:tc>
        <w:tc>
          <w:tcPr>
            <w:tcW w:w="2976" w:type="dxa"/>
            <w:gridSpan w:val="2"/>
          </w:tcPr>
          <w:p w:rsidR="00442B62" w:rsidRPr="00DE6EBD" w:rsidRDefault="00442B62" w:rsidP="00442B62">
            <w:pPr>
              <w:keepNext/>
              <w:jc w:val="center"/>
              <w:rPr>
                <w:rFonts w:ascii="Arial Narrow" w:eastAsia="SimSun" w:hAnsi="Arial Narrow"/>
                <w:b/>
                <w:snapToGrid/>
                <w:sz w:val="20"/>
                <w:lang w:eastAsia="zh-CN"/>
              </w:rPr>
            </w:pPr>
            <w:r w:rsidRPr="00DE6EBD">
              <w:rPr>
                <w:rFonts w:ascii="Arial Narrow" w:eastAsia="SimSun" w:hAnsi="Arial Narrow"/>
                <w:b/>
                <w:snapToGrid/>
                <w:sz w:val="20"/>
                <w:lang w:eastAsia="zh-CN"/>
              </w:rPr>
              <w:t>ITT</w:t>
            </w:r>
          </w:p>
        </w:tc>
        <w:tc>
          <w:tcPr>
            <w:tcW w:w="2977" w:type="dxa"/>
            <w:gridSpan w:val="2"/>
          </w:tcPr>
          <w:p w:rsidR="00442B62" w:rsidRPr="00DE6EBD" w:rsidRDefault="00442B62" w:rsidP="00442B62">
            <w:pPr>
              <w:keepNext/>
              <w:jc w:val="center"/>
              <w:rPr>
                <w:rFonts w:ascii="Arial Narrow" w:eastAsia="SimSun" w:hAnsi="Arial Narrow"/>
                <w:b/>
                <w:snapToGrid/>
                <w:sz w:val="20"/>
                <w:lang w:eastAsia="zh-CN"/>
              </w:rPr>
            </w:pPr>
            <w:r w:rsidRPr="00DE6EBD">
              <w:rPr>
                <w:rFonts w:ascii="Arial Narrow" w:eastAsia="SimSun" w:hAnsi="Arial Narrow"/>
                <w:b/>
                <w:snapToGrid/>
                <w:sz w:val="20"/>
                <w:lang w:eastAsia="zh-CN"/>
              </w:rPr>
              <w:t>Modified ITT</w:t>
            </w:r>
          </w:p>
        </w:tc>
      </w:tr>
      <w:tr w:rsidR="00442B62" w:rsidRPr="00DE6EBD" w:rsidTr="008A08B8">
        <w:trPr>
          <w:trHeight w:val="58"/>
        </w:trPr>
        <w:tc>
          <w:tcPr>
            <w:tcW w:w="2330" w:type="dxa"/>
            <w:vMerge/>
            <w:shd w:val="clear" w:color="auto" w:fill="E6E6E6"/>
          </w:tcPr>
          <w:p w:rsidR="00442B62" w:rsidRPr="00DE6EBD" w:rsidRDefault="00442B62" w:rsidP="00442B62">
            <w:pPr>
              <w:keepNext/>
              <w:jc w:val="left"/>
              <w:rPr>
                <w:rFonts w:ascii="Arial Narrow" w:eastAsia="SimSun" w:hAnsi="Arial Narrow"/>
                <w:snapToGrid/>
                <w:sz w:val="20"/>
                <w:lang w:eastAsia="zh-CN"/>
              </w:rPr>
            </w:pPr>
          </w:p>
        </w:tc>
        <w:tc>
          <w:tcPr>
            <w:tcW w:w="1488" w:type="dxa"/>
            <w:tcBorders>
              <w:bottom w:val="nil"/>
            </w:tcBorders>
          </w:tcPr>
          <w:p w:rsidR="00442B62" w:rsidRPr="00DE6EBD" w:rsidRDefault="00442B62" w:rsidP="00442B62">
            <w:pPr>
              <w:keepNext/>
              <w:jc w:val="center"/>
              <w:rPr>
                <w:rFonts w:ascii="Arial Narrow" w:eastAsia="SimSun" w:hAnsi="Arial Narrow"/>
                <w:b/>
                <w:snapToGrid/>
                <w:sz w:val="20"/>
                <w:lang w:eastAsia="zh-CN"/>
              </w:rPr>
            </w:pPr>
            <w:r w:rsidRPr="00DE6EBD">
              <w:rPr>
                <w:rFonts w:ascii="Arial Narrow" w:eastAsia="SimSun" w:hAnsi="Arial Narrow"/>
                <w:b/>
                <w:snapToGrid/>
                <w:sz w:val="20"/>
                <w:lang w:eastAsia="zh-CN"/>
              </w:rPr>
              <w:t>VFL + BSC</w:t>
            </w:r>
          </w:p>
        </w:tc>
        <w:tc>
          <w:tcPr>
            <w:tcW w:w="1488" w:type="dxa"/>
            <w:tcBorders>
              <w:bottom w:val="nil"/>
            </w:tcBorders>
          </w:tcPr>
          <w:p w:rsidR="00442B62" w:rsidRPr="00DE6EBD" w:rsidRDefault="00442B62" w:rsidP="00442B62">
            <w:pPr>
              <w:keepNext/>
              <w:jc w:val="center"/>
              <w:rPr>
                <w:rFonts w:ascii="Arial Narrow" w:eastAsia="SimSun" w:hAnsi="Arial Narrow"/>
                <w:b/>
                <w:snapToGrid/>
                <w:sz w:val="20"/>
                <w:lang w:eastAsia="zh-CN"/>
              </w:rPr>
            </w:pPr>
            <w:r w:rsidRPr="00DE6EBD">
              <w:rPr>
                <w:rFonts w:ascii="Arial Narrow" w:eastAsia="SimSun" w:hAnsi="Arial Narrow"/>
                <w:b/>
                <w:snapToGrid/>
                <w:sz w:val="20"/>
                <w:lang w:eastAsia="zh-CN"/>
              </w:rPr>
              <w:t>BSC</w:t>
            </w:r>
          </w:p>
        </w:tc>
        <w:tc>
          <w:tcPr>
            <w:tcW w:w="1488" w:type="dxa"/>
            <w:tcBorders>
              <w:bottom w:val="nil"/>
            </w:tcBorders>
          </w:tcPr>
          <w:p w:rsidR="00442B62" w:rsidRPr="00DE6EBD" w:rsidRDefault="00442B62" w:rsidP="00442B62">
            <w:pPr>
              <w:keepNext/>
              <w:jc w:val="center"/>
              <w:rPr>
                <w:rFonts w:ascii="Arial Narrow" w:eastAsia="SimSun" w:hAnsi="Arial Narrow"/>
                <w:b/>
                <w:snapToGrid/>
                <w:sz w:val="20"/>
                <w:lang w:eastAsia="zh-CN"/>
              </w:rPr>
            </w:pPr>
            <w:r w:rsidRPr="00DE6EBD">
              <w:rPr>
                <w:rFonts w:ascii="Arial Narrow" w:eastAsia="SimSun" w:hAnsi="Arial Narrow"/>
                <w:b/>
                <w:snapToGrid/>
                <w:sz w:val="20"/>
                <w:lang w:eastAsia="zh-CN"/>
              </w:rPr>
              <w:t>VFL + BSC</w:t>
            </w:r>
          </w:p>
        </w:tc>
        <w:tc>
          <w:tcPr>
            <w:tcW w:w="1489" w:type="dxa"/>
            <w:tcBorders>
              <w:bottom w:val="nil"/>
            </w:tcBorders>
          </w:tcPr>
          <w:p w:rsidR="00442B62" w:rsidRPr="00DE6EBD" w:rsidRDefault="00442B62" w:rsidP="00442B62">
            <w:pPr>
              <w:keepNext/>
              <w:jc w:val="center"/>
              <w:rPr>
                <w:rFonts w:ascii="Arial Narrow" w:eastAsia="SimSun" w:hAnsi="Arial Narrow"/>
                <w:b/>
                <w:snapToGrid/>
                <w:sz w:val="20"/>
                <w:lang w:eastAsia="zh-CN"/>
              </w:rPr>
            </w:pPr>
            <w:r w:rsidRPr="00DE6EBD">
              <w:rPr>
                <w:rFonts w:ascii="Arial Narrow" w:eastAsia="SimSun" w:hAnsi="Arial Narrow"/>
                <w:b/>
                <w:snapToGrid/>
                <w:sz w:val="20"/>
                <w:lang w:eastAsia="zh-CN"/>
              </w:rPr>
              <w:t>BSC</w:t>
            </w:r>
          </w:p>
        </w:tc>
      </w:tr>
      <w:tr w:rsidR="00442B62" w:rsidRPr="00DE6EBD" w:rsidTr="008A08B8">
        <w:tc>
          <w:tcPr>
            <w:tcW w:w="2330" w:type="dxa"/>
            <w:vMerge/>
            <w:shd w:val="clear" w:color="auto" w:fill="E6E6E6"/>
          </w:tcPr>
          <w:p w:rsidR="00442B62" w:rsidRPr="00DE6EBD" w:rsidRDefault="00442B62" w:rsidP="00442B62">
            <w:pPr>
              <w:keepNext/>
              <w:jc w:val="left"/>
              <w:rPr>
                <w:rFonts w:ascii="Arial Narrow" w:eastAsia="SimSun" w:hAnsi="Arial Narrow"/>
                <w:snapToGrid/>
                <w:sz w:val="20"/>
                <w:lang w:eastAsia="zh-CN"/>
              </w:rPr>
            </w:pPr>
          </w:p>
        </w:tc>
        <w:tc>
          <w:tcPr>
            <w:tcW w:w="1488" w:type="dxa"/>
            <w:tcBorders>
              <w:top w:val="nil"/>
            </w:tcBorders>
          </w:tcPr>
          <w:p w:rsidR="00442B62" w:rsidRPr="00DE6EBD" w:rsidRDefault="00442B62" w:rsidP="00442B62">
            <w:pPr>
              <w:keepNext/>
              <w:jc w:val="center"/>
              <w:rPr>
                <w:rFonts w:ascii="Arial Narrow" w:eastAsia="SimSun" w:hAnsi="Arial Narrow"/>
                <w:b/>
                <w:snapToGrid/>
                <w:sz w:val="20"/>
                <w:lang w:eastAsia="zh-CN"/>
              </w:rPr>
            </w:pPr>
            <w:r w:rsidRPr="00DE6EBD">
              <w:rPr>
                <w:rFonts w:ascii="Arial Narrow" w:eastAsia="SimSun" w:hAnsi="Arial Narrow"/>
                <w:b/>
                <w:snapToGrid/>
                <w:sz w:val="20"/>
                <w:lang w:eastAsia="zh-CN"/>
              </w:rPr>
              <w:t>N=253</w:t>
            </w:r>
          </w:p>
        </w:tc>
        <w:tc>
          <w:tcPr>
            <w:tcW w:w="1488" w:type="dxa"/>
            <w:tcBorders>
              <w:top w:val="nil"/>
            </w:tcBorders>
          </w:tcPr>
          <w:p w:rsidR="00442B62" w:rsidRPr="00DE6EBD" w:rsidRDefault="00442B62" w:rsidP="00442B62">
            <w:pPr>
              <w:keepNext/>
              <w:jc w:val="center"/>
              <w:rPr>
                <w:rFonts w:ascii="Arial Narrow" w:eastAsia="SimSun" w:hAnsi="Arial Narrow"/>
                <w:b/>
                <w:snapToGrid/>
                <w:sz w:val="20"/>
                <w:lang w:eastAsia="zh-CN"/>
              </w:rPr>
            </w:pPr>
            <w:r w:rsidRPr="00DE6EBD">
              <w:rPr>
                <w:rFonts w:ascii="Arial Narrow" w:eastAsia="SimSun" w:hAnsi="Arial Narrow"/>
                <w:b/>
                <w:snapToGrid/>
                <w:sz w:val="20"/>
                <w:lang w:eastAsia="zh-CN"/>
              </w:rPr>
              <w:t>N=117</w:t>
            </w:r>
          </w:p>
        </w:tc>
        <w:tc>
          <w:tcPr>
            <w:tcW w:w="1488" w:type="dxa"/>
            <w:tcBorders>
              <w:top w:val="nil"/>
            </w:tcBorders>
          </w:tcPr>
          <w:p w:rsidR="00442B62" w:rsidRPr="00DE6EBD" w:rsidRDefault="00442B62" w:rsidP="00442B62">
            <w:pPr>
              <w:keepNext/>
              <w:jc w:val="center"/>
              <w:rPr>
                <w:rFonts w:ascii="Arial Narrow" w:eastAsia="SimSun" w:hAnsi="Arial Narrow"/>
                <w:b/>
                <w:snapToGrid/>
                <w:sz w:val="20"/>
                <w:lang w:eastAsia="zh-CN"/>
              </w:rPr>
            </w:pPr>
            <w:r w:rsidRPr="00DE6EBD">
              <w:rPr>
                <w:rFonts w:ascii="Arial Narrow" w:eastAsia="SimSun" w:hAnsi="Arial Narrow"/>
                <w:b/>
                <w:snapToGrid/>
                <w:sz w:val="20"/>
                <w:lang w:eastAsia="zh-CN"/>
              </w:rPr>
              <w:t>N=249</w:t>
            </w:r>
          </w:p>
        </w:tc>
        <w:tc>
          <w:tcPr>
            <w:tcW w:w="1489" w:type="dxa"/>
            <w:tcBorders>
              <w:top w:val="nil"/>
            </w:tcBorders>
          </w:tcPr>
          <w:p w:rsidR="00442B62" w:rsidRPr="00DE6EBD" w:rsidRDefault="00442B62" w:rsidP="00442B62">
            <w:pPr>
              <w:keepNext/>
              <w:jc w:val="center"/>
              <w:rPr>
                <w:rFonts w:ascii="Arial Narrow" w:eastAsia="SimSun" w:hAnsi="Arial Narrow"/>
                <w:b/>
                <w:snapToGrid/>
                <w:sz w:val="20"/>
                <w:lang w:eastAsia="zh-CN"/>
              </w:rPr>
            </w:pPr>
            <w:r w:rsidRPr="00DE6EBD">
              <w:rPr>
                <w:rFonts w:ascii="Arial Narrow" w:eastAsia="SimSun" w:hAnsi="Arial Narrow"/>
                <w:b/>
                <w:snapToGrid/>
                <w:sz w:val="20"/>
                <w:lang w:eastAsia="zh-CN"/>
              </w:rPr>
              <w:t>N=108</w:t>
            </w:r>
          </w:p>
        </w:tc>
      </w:tr>
      <w:tr w:rsidR="00442B62" w:rsidRPr="00DE6EBD" w:rsidTr="008A08B8">
        <w:tc>
          <w:tcPr>
            <w:tcW w:w="8283" w:type="dxa"/>
            <w:gridSpan w:val="5"/>
          </w:tcPr>
          <w:p w:rsidR="00442B62" w:rsidRPr="00DE6EBD" w:rsidRDefault="00442B62" w:rsidP="00442B62">
            <w:pPr>
              <w:keepNext/>
              <w:jc w:val="left"/>
              <w:rPr>
                <w:rFonts w:ascii="Arial Narrow" w:eastAsia="SimSun" w:hAnsi="Arial Narrow"/>
                <w:snapToGrid/>
                <w:sz w:val="20"/>
                <w:lang w:eastAsia="zh-CN"/>
              </w:rPr>
            </w:pPr>
            <w:r w:rsidRPr="00DE6EBD">
              <w:rPr>
                <w:rFonts w:ascii="Arial Narrow" w:eastAsia="SimSun" w:hAnsi="Arial Narrow"/>
                <w:b/>
                <w:snapToGrid/>
                <w:sz w:val="20"/>
                <w:lang w:eastAsia="zh-CN"/>
              </w:rPr>
              <w:t>OS analysis (Cut-off 30 Nov 2008)</w:t>
            </w:r>
          </w:p>
        </w:tc>
      </w:tr>
      <w:tr w:rsidR="00442B62" w:rsidRPr="00DE6EBD" w:rsidTr="008A08B8">
        <w:tc>
          <w:tcPr>
            <w:tcW w:w="2330" w:type="dxa"/>
          </w:tcPr>
          <w:p w:rsidR="00442B62" w:rsidRPr="00DE6EBD" w:rsidRDefault="00442B62" w:rsidP="00442B62">
            <w:pPr>
              <w:keepNext/>
              <w:jc w:val="left"/>
              <w:rPr>
                <w:rFonts w:ascii="Arial Narrow" w:eastAsia="SimSun" w:hAnsi="Arial Narrow"/>
                <w:snapToGrid/>
                <w:sz w:val="20"/>
                <w:lang w:eastAsia="zh-CN"/>
              </w:rPr>
            </w:pPr>
            <w:r w:rsidRPr="00DE6EBD">
              <w:rPr>
                <w:rFonts w:ascii="Arial Narrow" w:eastAsia="SimSun" w:hAnsi="Arial Narrow"/>
                <w:snapToGrid/>
                <w:sz w:val="20"/>
                <w:lang w:eastAsia="zh-CN"/>
              </w:rPr>
              <w:t>No. of events</w:t>
            </w:r>
          </w:p>
        </w:tc>
        <w:tc>
          <w:tcPr>
            <w:tcW w:w="1488" w:type="dxa"/>
          </w:tcPr>
          <w:p w:rsidR="00442B62" w:rsidRPr="00DE6EBD" w:rsidRDefault="00442B62" w:rsidP="00442B62">
            <w:pPr>
              <w:keepNext/>
              <w:jc w:val="center"/>
              <w:rPr>
                <w:rFonts w:ascii="Arial Narrow" w:eastAsia="SimSun" w:hAnsi="Arial Narrow"/>
                <w:snapToGrid/>
                <w:sz w:val="20"/>
                <w:lang w:eastAsia="zh-CN"/>
              </w:rPr>
            </w:pPr>
            <w:r w:rsidRPr="00DE6EBD">
              <w:rPr>
                <w:rFonts w:ascii="Arial Narrow" w:eastAsia="SimSun" w:hAnsi="Arial Narrow"/>
                <w:snapToGrid/>
                <w:sz w:val="20"/>
                <w:lang w:eastAsia="zh-CN"/>
              </w:rPr>
              <w:t>237</w:t>
            </w:r>
          </w:p>
        </w:tc>
        <w:tc>
          <w:tcPr>
            <w:tcW w:w="1488" w:type="dxa"/>
          </w:tcPr>
          <w:p w:rsidR="00442B62" w:rsidRPr="00DE6EBD" w:rsidRDefault="00442B62" w:rsidP="00442B62">
            <w:pPr>
              <w:keepNext/>
              <w:jc w:val="center"/>
              <w:rPr>
                <w:rFonts w:ascii="Arial Narrow" w:eastAsia="SimSun" w:hAnsi="Arial Narrow"/>
                <w:snapToGrid/>
                <w:sz w:val="20"/>
                <w:lang w:eastAsia="zh-CN"/>
              </w:rPr>
            </w:pPr>
            <w:r w:rsidRPr="00DE6EBD">
              <w:rPr>
                <w:rFonts w:ascii="Arial Narrow" w:eastAsia="SimSun" w:hAnsi="Arial Narrow"/>
                <w:snapToGrid/>
                <w:sz w:val="20"/>
                <w:lang w:eastAsia="zh-CN"/>
              </w:rPr>
              <w:t>115</w:t>
            </w:r>
          </w:p>
        </w:tc>
        <w:tc>
          <w:tcPr>
            <w:tcW w:w="1488" w:type="dxa"/>
          </w:tcPr>
          <w:p w:rsidR="00442B62" w:rsidRPr="00DE6EBD" w:rsidRDefault="00442B62" w:rsidP="00442B62">
            <w:pPr>
              <w:keepNext/>
              <w:jc w:val="center"/>
              <w:rPr>
                <w:rFonts w:ascii="Arial Narrow" w:eastAsia="SimSun" w:hAnsi="Arial Narrow"/>
                <w:snapToGrid/>
                <w:sz w:val="20"/>
                <w:lang w:eastAsia="zh-CN"/>
              </w:rPr>
            </w:pPr>
            <w:r w:rsidRPr="00DE6EBD">
              <w:rPr>
                <w:rFonts w:ascii="Arial Narrow" w:eastAsia="SimSun" w:hAnsi="Arial Narrow"/>
                <w:snapToGrid/>
                <w:sz w:val="20"/>
                <w:lang w:eastAsia="zh-CN"/>
              </w:rPr>
              <w:t>234</w:t>
            </w:r>
          </w:p>
        </w:tc>
        <w:tc>
          <w:tcPr>
            <w:tcW w:w="1489" w:type="dxa"/>
          </w:tcPr>
          <w:p w:rsidR="00442B62" w:rsidRPr="00DE6EBD" w:rsidRDefault="00442B62" w:rsidP="00442B62">
            <w:pPr>
              <w:keepNext/>
              <w:jc w:val="center"/>
              <w:rPr>
                <w:rFonts w:ascii="Arial Narrow" w:eastAsia="SimSun" w:hAnsi="Arial Narrow"/>
                <w:snapToGrid/>
                <w:sz w:val="20"/>
                <w:lang w:eastAsia="zh-CN"/>
              </w:rPr>
            </w:pPr>
            <w:r w:rsidRPr="00DE6EBD">
              <w:rPr>
                <w:rFonts w:ascii="Arial Narrow" w:eastAsia="SimSun" w:hAnsi="Arial Narrow"/>
                <w:snapToGrid/>
                <w:sz w:val="20"/>
                <w:lang w:eastAsia="zh-CN"/>
              </w:rPr>
              <w:t>108</w:t>
            </w:r>
          </w:p>
        </w:tc>
      </w:tr>
      <w:tr w:rsidR="00442B62" w:rsidRPr="00DE6EBD" w:rsidTr="008A08B8">
        <w:tc>
          <w:tcPr>
            <w:tcW w:w="2330" w:type="dxa"/>
          </w:tcPr>
          <w:p w:rsidR="00442B62" w:rsidRPr="00DE6EBD" w:rsidRDefault="00442B62" w:rsidP="00442B62">
            <w:pPr>
              <w:keepNext/>
              <w:jc w:val="left"/>
              <w:rPr>
                <w:rFonts w:ascii="Arial Narrow" w:eastAsia="SimSun" w:hAnsi="Arial Narrow"/>
                <w:snapToGrid/>
                <w:sz w:val="20"/>
                <w:lang w:eastAsia="zh-CN"/>
              </w:rPr>
            </w:pPr>
            <w:r w:rsidRPr="00DE6EBD">
              <w:rPr>
                <w:rFonts w:ascii="Arial Narrow" w:eastAsia="SimSun" w:hAnsi="Arial Narrow"/>
                <w:snapToGrid/>
                <w:sz w:val="20"/>
                <w:lang w:eastAsia="zh-CN"/>
              </w:rPr>
              <w:t>No. censored (%)</w:t>
            </w:r>
          </w:p>
        </w:tc>
        <w:tc>
          <w:tcPr>
            <w:tcW w:w="1488" w:type="dxa"/>
          </w:tcPr>
          <w:p w:rsidR="00442B62" w:rsidRPr="00DE6EBD" w:rsidRDefault="00442B62" w:rsidP="00442B62">
            <w:pPr>
              <w:keepNext/>
              <w:jc w:val="center"/>
              <w:rPr>
                <w:rFonts w:ascii="Arial Narrow" w:eastAsia="SimSun" w:hAnsi="Arial Narrow"/>
                <w:snapToGrid/>
                <w:sz w:val="20"/>
                <w:lang w:eastAsia="zh-CN"/>
              </w:rPr>
            </w:pPr>
            <w:r w:rsidRPr="00DE6EBD">
              <w:rPr>
                <w:rFonts w:ascii="Arial Narrow" w:eastAsia="SimSun" w:hAnsi="Arial Narrow"/>
                <w:snapToGrid/>
                <w:sz w:val="20"/>
                <w:lang w:eastAsia="zh-CN"/>
              </w:rPr>
              <w:t>16 (6.3)</w:t>
            </w:r>
          </w:p>
        </w:tc>
        <w:tc>
          <w:tcPr>
            <w:tcW w:w="1488" w:type="dxa"/>
          </w:tcPr>
          <w:p w:rsidR="00442B62" w:rsidRPr="00DE6EBD" w:rsidRDefault="00442B62" w:rsidP="00442B62">
            <w:pPr>
              <w:keepNext/>
              <w:jc w:val="center"/>
              <w:rPr>
                <w:rFonts w:ascii="Arial Narrow" w:eastAsia="SimSun" w:hAnsi="Arial Narrow"/>
                <w:snapToGrid/>
                <w:sz w:val="20"/>
                <w:lang w:eastAsia="zh-CN"/>
              </w:rPr>
            </w:pPr>
            <w:r w:rsidRPr="00DE6EBD">
              <w:rPr>
                <w:rFonts w:ascii="Arial Narrow" w:eastAsia="SimSun" w:hAnsi="Arial Narrow"/>
                <w:snapToGrid/>
                <w:sz w:val="20"/>
                <w:lang w:eastAsia="zh-CN"/>
              </w:rPr>
              <w:t>2 (1.7)</w:t>
            </w:r>
          </w:p>
        </w:tc>
        <w:tc>
          <w:tcPr>
            <w:tcW w:w="1488" w:type="dxa"/>
          </w:tcPr>
          <w:p w:rsidR="00442B62" w:rsidRPr="00DE6EBD" w:rsidRDefault="00442B62" w:rsidP="00442B62">
            <w:pPr>
              <w:keepNext/>
              <w:jc w:val="center"/>
              <w:rPr>
                <w:rFonts w:ascii="Arial Narrow" w:eastAsia="SimSun" w:hAnsi="Arial Narrow"/>
                <w:snapToGrid/>
                <w:sz w:val="20"/>
                <w:lang w:eastAsia="zh-CN"/>
              </w:rPr>
            </w:pPr>
            <w:r w:rsidRPr="00DE6EBD">
              <w:rPr>
                <w:rFonts w:ascii="Arial Narrow" w:eastAsia="SimSun" w:hAnsi="Arial Narrow"/>
                <w:snapToGrid/>
                <w:sz w:val="20"/>
                <w:lang w:eastAsia="zh-CN"/>
              </w:rPr>
              <w:t>15 (6.0)</w:t>
            </w:r>
          </w:p>
        </w:tc>
        <w:tc>
          <w:tcPr>
            <w:tcW w:w="1489" w:type="dxa"/>
          </w:tcPr>
          <w:p w:rsidR="00442B62" w:rsidRPr="00DE6EBD" w:rsidRDefault="00442B62" w:rsidP="00442B62">
            <w:pPr>
              <w:keepNext/>
              <w:jc w:val="center"/>
              <w:rPr>
                <w:rFonts w:ascii="Arial Narrow" w:eastAsia="SimSun" w:hAnsi="Arial Narrow"/>
                <w:snapToGrid/>
                <w:sz w:val="20"/>
                <w:lang w:eastAsia="zh-CN"/>
              </w:rPr>
            </w:pPr>
            <w:r w:rsidRPr="00DE6EBD">
              <w:rPr>
                <w:rFonts w:ascii="Arial Narrow" w:eastAsia="SimSun" w:hAnsi="Arial Narrow"/>
                <w:snapToGrid/>
                <w:sz w:val="20"/>
                <w:lang w:eastAsia="zh-CN"/>
              </w:rPr>
              <w:t>0</w:t>
            </w:r>
          </w:p>
        </w:tc>
      </w:tr>
      <w:tr w:rsidR="00442B62" w:rsidRPr="00DE6EBD" w:rsidTr="008A08B8">
        <w:tc>
          <w:tcPr>
            <w:tcW w:w="2330" w:type="dxa"/>
          </w:tcPr>
          <w:p w:rsidR="00442B62" w:rsidRPr="00DE6EBD" w:rsidRDefault="00442B62" w:rsidP="00442B62">
            <w:pPr>
              <w:keepNext/>
              <w:jc w:val="left"/>
              <w:rPr>
                <w:rFonts w:ascii="Arial Narrow" w:eastAsia="SimSun" w:hAnsi="Arial Narrow"/>
                <w:snapToGrid/>
                <w:sz w:val="20"/>
                <w:lang w:eastAsia="zh-CN"/>
              </w:rPr>
            </w:pPr>
            <w:r w:rsidRPr="00DE6EBD">
              <w:rPr>
                <w:rFonts w:ascii="Arial Narrow" w:eastAsia="SimSun" w:hAnsi="Arial Narrow"/>
                <w:snapToGrid/>
                <w:sz w:val="20"/>
                <w:lang w:eastAsia="zh-CN"/>
              </w:rPr>
              <w:t>Median (95% CI) (months)</w:t>
            </w:r>
          </w:p>
        </w:tc>
        <w:tc>
          <w:tcPr>
            <w:tcW w:w="1488" w:type="dxa"/>
          </w:tcPr>
          <w:p w:rsidR="00442B62" w:rsidRPr="00DE6EBD" w:rsidRDefault="00442B62" w:rsidP="00442B62">
            <w:pPr>
              <w:keepNext/>
              <w:jc w:val="center"/>
              <w:rPr>
                <w:rFonts w:ascii="Arial Narrow" w:eastAsia="SimSun" w:hAnsi="Arial Narrow"/>
                <w:snapToGrid/>
                <w:sz w:val="20"/>
                <w:lang w:eastAsia="zh-CN"/>
              </w:rPr>
            </w:pPr>
            <w:r w:rsidRPr="00DE6EBD">
              <w:rPr>
                <w:rFonts w:ascii="Arial Narrow" w:eastAsia="SimSun" w:hAnsi="Arial Narrow"/>
                <w:snapToGrid/>
                <w:sz w:val="20"/>
                <w:lang w:eastAsia="zh-CN"/>
              </w:rPr>
              <w:t>6.9 (5.7, 8.0)</w:t>
            </w:r>
          </w:p>
        </w:tc>
        <w:tc>
          <w:tcPr>
            <w:tcW w:w="1488" w:type="dxa"/>
          </w:tcPr>
          <w:p w:rsidR="00442B62" w:rsidRPr="00DE6EBD" w:rsidRDefault="00442B62" w:rsidP="00442B62">
            <w:pPr>
              <w:keepNext/>
              <w:jc w:val="center"/>
              <w:rPr>
                <w:rFonts w:ascii="Arial Narrow" w:eastAsia="SimSun" w:hAnsi="Arial Narrow"/>
                <w:snapToGrid/>
                <w:sz w:val="20"/>
                <w:lang w:eastAsia="zh-CN"/>
              </w:rPr>
            </w:pPr>
            <w:r w:rsidRPr="00DE6EBD">
              <w:rPr>
                <w:rFonts w:ascii="Arial Narrow" w:eastAsia="SimSun" w:hAnsi="Arial Narrow"/>
                <w:snapToGrid/>
                <w:sz w:val="20"/>
                <w:lang w:eastAsia="zh-CN"/>
              </w:rPr>
              <w:t>4.6 (4.1, 6.6)</w:t>
            </w:r>
          </w:p>
        </w:tc>
        <w:tc>
          <w:tcPr>
            <w:tcW w:w="1488" w:type="dxa"/>
          </w:tcPr>
          <w:p w:rsidR="00442B62" w:rsidRPr="00DE6EBD" w:rsidRDefault="00442B62" w:rsidP="00442B62">
            <w:pPr>
              <w:keepNext/>
              <w:jc w:val="center"/>
              <w:rPr>
                <w:rFonts w:ascii="Arial Narrow" w:eastAsia="SimSun" w:hAnsi="Arial Narrow"/>
                <w:snapToGrid/>
                <w:sz w:val="20"/>
                <w:lang w:eastAsia="zh-CN"/>
              </w:rPr>
            </w:pPr>
            <w:r w:rsidRPr="00DE6EBD">
              <w:rPr>
                <w:rFonts w:ascii="Arial Narrow" w:eastAsia="SimSun" w:hAnsi="Arial Narrow"/>
                <w:snapToGrid/>
                <w:sz w:val="20"/>
                <w:lang w:eastAsia="zh-CN"/>
              </w:rPr>
              <w:t>6.9 (5.7, 8.0)</w:t>
            </w:r>
          </w:p>
        </w:tc>
        <w:tc>
          <w:tcPr>
            <w:tcW w:w="1489" w:type="dxa"/>
          </w:tcPr>
          <w:p w:rsidR="00442B62" w:rsidRPr="00DE6EBD" w:rsidRDefault="00442B62" w:rsidP="00442B62">
            <w:pPr>
              <w:keepNext/>
              <w:jc w:val="center"/>
              <w:rPr>
                <w:rFonts w:ascii="Arial Narrow" w:eastAsia="SimSun" w:hAnsi="Arial Narrow"/>
                <w:snapToGrid/>
                <w:sz w:val="20"/>
                <w:lang w:eastAsia="zh-CN"/>
              </w:rPr>
            </w:pPr>
            <w:r w:rsidRPr="00DE6EBD">
              <w:rPr>
                <w:rFonts w:ascii="Arial Narrow" w:eastAsia="SimSun" w:hAnsi="Arial Narrow"/>
                <w:snapToGrid/>
                <w:sz w:val="20"/>
                <w:lang w:eastAsia="zh-CN"/>
              </w:rPr>
              <w:t>4.3 (3.8, 5.4)</w:t>
            </w:r>
          </w:p>
        </w:tc>
      </w:tr>
      <w:tr w:rsidR="00442B62" w:rsidRPr="00DE6EBD" w:rsidTr="008A08B8">
        <w:tc>
          <w:tcPr>
            <w:tcW w:w="2330" w:type="dxa"/>
          </w:tcPr>
          <w:p w:rsidR="00442B62" w:rsidRPr="00DE6EBD" w:rsidRDefault="00442B62" w:rsidP="00442B62">
            <w:pPr>
              <w:keepNext/>
              <w:jc w:val="left"/>
              <w:rPr>
                <w:rFonts w:ascii="Arial Narrow" w:eastAsia="SimSun" w:hAnsi="Arial Narrow"/>
                <w:snapToGrid/>
                <w:sz w:val="20"/>
                <w:lang w:eastAsia="zh-CN"/>
              </w:rPr>
            </w:pPr>
            <w:r w:rsidRPr="00DE6EBD">
              <w:rPr>
                <w:rFonts w:ascii="Arial Narrow" w:eastAsia="SimSun" w:hAnsi="Arial Narrow"/>
                <w:snapToGrid/>
                <w:sz w:val="20"/>
                <w:lang w:eastAsia="zh-CN"/>
              </w:rPr>
              <w:t>HR (95% CI)</w:t>
            </w:r>
          </w:p>
        </w:tc>
        <w:tc>
          <w:tcPr>
            <w:tcW w:w="2976" w:type="dxa"/>
            <w:gridSpan w:val="2"/>
          </w:tcPr>
          <w:p w:rsidR="00442B62" w:rsidRPr="00DE6EBD" w:rsidRDefault="00442B62" w:rsidP="00442B62">
            <w:pPr>
              <w:keepNext/>
              <w:jc w:val="center"/>
              <w:rPr>
                <w:rFonts w:ascii="Arial Narrow" w:eastAsia="SimSun" w:hAnsi="Arial Narrow"/>
                <w:snapToGrid/>
                <w:sz w:val="20"/>
                <w:lang w:eastAsia="zh-CN"/>
              </w:rPr>
            </w:pPr>
            <w:r w:rsidRPr="00DE6EBD">
              <w:rPr>
                <w:rFonts w:ascii="Arial Narrow" w:eastAsia="SimSun" w:hAnsi="Arial Narrow"/>
                <w:snapToGrid/>
                <w:sz w:val="20"/>
                <w:lang w:eastAsia="zh-CN"/>
              </w:rPr>
              <w:t>0.88 (0.70, 1.10)</w:t>
            </w:r>
          </w:p>
        </w:tc>
        <w:tc>
          <w:tcPr>
            <w:tcW w:w="2977" w:type="dxa"/>
            <w:gridSpan w:val="2"/>
          </w:tcPr>
          <w:p w:rsidR="00442B62" w:rsidRPr="00DE6EBD" w:rsidRDefault="00442B62" w:rsidP="00442B62">
            <w:pPr>
              <w:keepNext/>
              <w:jc w:val="center"/>
              <w:rPr>
                <w:rFonts w:ascii="Arial Narrow" w:eastAsia="SimSun" w:hAnsi="Arial Narrow"/>
                <w:b/>
                <w:snapToGrid/>
                <w:sz w:val="20"/>
                <w:lang w:eastAsia="zh-CN"/>
              </w:rPr>
            </w:pPr>
            <w:r w:rsidRPr="00DE6EBD">
              <w:rPr>
                <w:rFonts w:ascii="Arial Narrow" w:eastAsia="SimSun" w:hAnsi="Arial Narrow"/>
                <w:b/>
                <w:snapToGrid/>
                <w:sz w:val="20"/>
                <w:lang w:eastAsia="zh-CN"/>
              </w:rPr>
              <w:t>0.78 (0.61, 0.96)</w:t>
            </w:r>
          </w:p>
        </w:tc>
      </w:tr>
      <w:tr w:rsidR="00442B62" w:rsidRPr="00DE6EBD" w:rsidTr="008A08B8">
        <w:tc>
          <w:tcPr>
            <w:tcW w:w="2330" w:type="dxa"/>
          </w:tcPr>
          <w:p w:rsidR="00442B62" w:rsidRPr="00DE6EBD" w:rsidRDefault="00442B62" w:rsidP="00442B62">
            <w:pPr>
              <w:keepNext/>
              <w:jc w:val="left"/>
              <w:rPr>
                <w:rFonts w:ascii="Arial Narrow" w:eastAsia="SimSun" w:hAnsi="Arial Narrow"/>
                <w:snapToGrid/>
                <w:sz w:val="20"/>
                <w:lang w:eastAsia="zh-CN"/>
              </w:rPr>
            </w:pPr>
            <w:r w:rsidRPr="00DE6EBD">
              <w:rPr>
                <w:rFonts w:ascii="Arial Narrow" w:eastAsia="SimSun" w:hAnsi="Arial Narrow"/>
                <w:snapToGrid/>
                <w:sz w:val="20"/>
                <w:lang w:eastAsia="zh-CN"/>
              </w:rPr>
              <w:t>p value</w:t>
            </w:r>
          </w:p>
        </w:tc>
        <w:tc>
          <w:tcPr>
            <w:tcW w:w="2976" w:type="dxa"/>
            <w:gridSpan w:val="2"/>
          </w:tcPr>
          <w:p w:rsidR="00442B62" w:rsidRPr="00DE6EBD" w:rsidRDefault="00442B62" w:rsidP="00442B62">
            <w:pPr>
              <w:keepNext/>
              <w:jc w:val="center"/>
              <w:rPr>
                <w:rFonts w:ascii="Arial Narrow" w:eastAsia="SimSun" w:hAnsi="Arial Narrow"/>
                <w:snapToGrid/>
                <w:sz w:val="20"/>
                <w:lang w:eastAsia="zh-CN"/>
              </w:rPr>
            </w:pPr>
            <w:r w:rsidRPr="00DE6EBD">
              <w:rPr>
                <w:rFonts w:ascii="Arial Narrow" w:eastAsia="SimSun" w:hAnsi="Arial Narrow"/>
                <w:snapToGrid/>
                <w:sz w:val="20"/>
                <w:lang w:eastAsia="zh-CN"/>
              </w:rPr>
              <w:t>0.2613</w:t>
            </w:r>
          </w:p>
        </w:tc>
        <w:tc>
          <w:tcPr>
            <w:tcW w:w="2977" w:type="dxa"/>
            <w:gridSpan w:val="2"/>
          </w:tcPr>
          <w:p w:rsidR="00442B62" w:rsidRPr="00DE6EBD" w:rsidRDefault="00442B62" w:rsidP="00442B62">
            <w:pPr>
              <w:keepNext/>
              <w:jc w:val="center"/>
              <w:rPr>
                <w:rFonts w:ascii="Arial Narrow" w:eastAsia="SimSun" w:hAnsi="Arial Narrow"/>
                <w:snapToGrid/>
                <w:sz w:val="20"/>
                <w:lang w:eastAsia="zh-CN"/>
              </w:rPr>
            </w:pPr>
            <w:r w:rsidRPr="00DE6EBD">
              <w:rPr>
                <w:rFonts w:ascii="Arial Narrow" w:eastAsia="SimSun" w:hAnsi="Arial Narrow"/>
                <w:snapToGrid/>
                <w:sz w:val="20"/>
                <w:lang w:eastAsia="zh-CN"/>
              </w:rPr>
              <w:t>0.0227</w:t>
            </w:r>
          </w:p>
        </w:tc>
      </w:tr>
    </w:tbl>
    <w:p w:rsidR="00442B62" w:rsidRPr="00DE6EBD" w:rsidRDefault="00442B62" w:rsidP="00442B62">
      <w:pPr>
        <w:keepNext/>
        <w:widowControl/>
        <w:ind w:right="-614" w:firstLine="851"/>
        <w:jc w:val="left"/>
        <w:rPr>
          <w:rFonts w:ascii="Arial Narrow" w:eastAsia="SimSun" w:hAnsi="Arial Narrow"/>
          <w:snapToGrid/>
          <w:sz w:val="18"/>
          <w:szCs w:val="18"/>
          <w:lang w:eastAsia="zh-CN"/>
        </w:rPr>
      </w:pPr>
      <w:r w:rsidRPr="00DE6EBD">
        <w:rPr>
          <w:rFonts w:ascii="Arial Narrow" w:eastAsia="SimSun" w:hAnsi="Arial Narrow"/>
          <w:snapToGrid/>
          <w:sz w:val="18"/>
          <w:szCs w:val="18"/>
          <w:lang w:eastAsia="zh-CN"/>
        </w:rPr>
        <w:t xml:space="preserve">Abbreviations: VFL, </w:t>
      </w:r>
      <w:proofErr w:type="spellStart"/>
      <w:r w:rsidRPr="00DE6EBD">
        <w:rPr>
          <w:rFonts w:ascii="Arial Narrow" w:eastAsia="SimSun" w:hAnsi="Arial Narrow"/>
          <w:snapToGrid/>
          <w:sz w:val="18"/>
          <w:szCs w:val="18"/>
          <w:lang w:eastAsia="zh-CN"/>
        </w:rPr>
        <w:t>vinflunine</w:t>
      </w:r>
      <w:proofErr w:type="spellEnd"/>
      <w:r w:rsidRPr="00DE6EBD">
        <w:rPr>
          <w:rFonts w:ascii="Arial Narrow" w:eastAsia="SimSun" w:hAnsi="Arial Narrow"/>
          <w:snapToGrid/>
          <w:sz w:val="18"/>
          <w:szCs w:val="18"/>
          <w:lang w:eastAsia="zh-CN"/>
        </w:rPr>
        <w:t xml:space="preserve">; BSC, best supportive care; HR, hazard ratio; CI, confidence interval. </w:t>
      </w:r>
    </w:p>
    <w:p w:rsidR="00442B62" w:rsidRPr="00DE6EBD" w:rsidRDefault="00442B62" w:rsidP="00442B62">
      <w:pPr>
        <w:keepNext/>
        <w:widowControl/>
        <w:ind w:right="-614" w:firstLine="851"/>
        <w:jc w:val="left"/>
        <w:rPr>
          <w:rFonts w:ascii="Arial Narrow" w:eastAsia="SimSun" w:hAnsi="Arial Narrow"/>
          <w:snapToGrid/>
          <w:sz w:val="18"/>
          <w:szCs w:val="18"/>
          <w:lang w:eastAsia="zh-CN"/>
        </w:rPr>
      </w:pPr>
      <w:r w:rsidRPr="00DE6EBD">
        <w:rPr>
          <w:rFonts w:ascii="Arial Narrow" w:eastAsia="SimSun" w:hAnsi="Arial Narrow"/>
          <w:snapToGrid/>
          <w:sz w:val="18"/>
          <w:szCs w:val="18"/>
          <w:lang w:eastAsia="zh-CN"/>
        </w:rPr>
        <w:t xml:space="preserve">Source: Table 37, p97 of the re-submission. Statistically significant HR values noted in </w:t>
      </w:r>
      <w:r w:rsidRPr="00DE6EBD">
        <w:rPr>
          <w:rFonts w:ascii="Arial Narrow" w:eastAsia="SimSun" w:hAnsi="Arial Narrow"/>
          <w:b/>
          <w:snapToGrid/>
          <w:sz w:val="18"/>
          <w:szCs w:val="18"/>
          <w:lang w:eastAsia="zh-CN"/>
        </w:rPr>
        <w:t>bold</w:t>
      </w:r>
      <w:r w:rsidRPr="00DE6EBD">
        <w:rPr>
          <w:rFonts w:ascii="Arial Narrow" w:eastAsia="SimSun" w:hAnsi="Arial Narrow"/>
          <w:snapToGrid/>
          <w:sz w:val="18"/>
          <w:szCs w:val="18"/>
          <w:lang w:eastAsia="zh-CN"/>
        </w:rPr>
        <w:t>.</w:t>
      </w:r>
    </w:p>
    <w:p w:rsidR="009800DD" w:rsidRPr="00DE6EBD" w:rsidRDefault="009800DD" w:rsidP="00442B62">
      <w:pPr>
        <w:keepNext/>
        <w:widowControl/>
        <w:ind w:right="-614" w:firstLine="851"/>
        <w:jc w:val="left"/>
        <w:rPr>
          <w:rFonts w:ascii="Arial Narrow" w:eastAsia="SimSun" w:hAnsi="Arial Narrow"/>
          <w:snapToGrid/>
          <w:sz w:val="18"/>
          <w:szCs w:val="18"/>
          <w:lang w:eastAsia="zh-CN"/>
        </w:rPr>
      </w:pPr>
    </w:p>
    <w:p w:rsidR="009800DD" w:rsidRPr="00DE6EBD" w:rsidRDefault="009800DD" w:rsidP="00442B62">
      <w:pPr>
        <w:keepNext/>
        <w:widowControl/>
        <w:ind w:right="-614" w:firstLine="851"/>
        <w:jc w:val="left"/>
        <w:rPr>
          <w:rFonts w:ascii="Arial Narrow" w:eastAsia="SimSun" w:hAnsi="Arial Narrow"/>
          <w:snapToGrid/>
          <w:sz w:val="18"/>
          <w:szCs w:val="18"/>
          <w:lang w:eastAsia="zh-CN"/>
        </w:rPr>
      </w:pPr>
    </w:p>
    <w:p w:rsidR="009800DD" w:rsidRPr="00DE6EBD" w:rsidRDefault="009800DD" w:rsidP="001F483B">
      <w:pPr>
        <w:keepNext/>
        <w:ind w:firstLine="720"/>
        <w:rPr>
          <w:rFonts w:ascii="Arial Narrow" w:hAnsi="Arial Narrow"/>
          <w:b/>
          <w:sz w:val="20"/>
        </w:rPr>
      </w:pPr>
      <w:r w:rsidRPr="00DE6EBD">
        <w:rPr>
          <w:rFonts w:ascii="Arial Narrow" w:hAnsi="Arial Narrow"/>
          <w:b/>
          <w:sz w:val="20"/>
        </w:rPr>
        <w:t>Figure 2   Kaplan Meier curve of overall survival at November 2008 cut-off (ITT Population)</w:t>
      </w:r>
    </w:p>
    <w:p w:rsidR="009800DD" w:rsidRPr="00DE6EBD" w:rsidRDefault="009800DD" w:rsidP="001F483B">
      <w:pPr>
        <w:pStyle w:val="BodyText"/>
        <w:ind w:left="709"/>
      </w:pPr>
      <w:r w:rsidRPr="00DE6EBD">
        <w:rPr>
          <w:noProof/>
          <w:snapToGrid/>
          <w:lang w:eastAsia="en-AU"/>
        </w:rPr>
        <w:drawing>
          <wp:inline distT="0" distB="0" distL="0" distR="0" wp14:anchorId="020F61F9" wp14:editId="232E3E8A">
            <wp:extent cx="4235986" cy="2579169"/>
            <wp:effectExtent l="0" t="0" r="0" b="0"/>
            <wp:docPr id="3" name="Picture 61" title="Kaplan Meier curve of overall survival at November 2008 cut-off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cstate="print"/>
                    <a:srcRect/>
                    <a:stretch>
                      <a:fillRect/>
                    </a:stretch>
                  </pic:blipFill>
                  <pic:spPr bwMode="auto">
                    <a:xfrm>
                      <a:off x="0" y="0"/>
                      <a:ext cx="4235986" cy="2579169"/>
                    </a:xfrm>
                    <a:prstGeom prst="rect">
                      <a:avLst/>
                    </a:prstGeom>
                    <a:noFill/>
                    <a:ln w="9525">
                      <a:noFill/>
                      <a:miter lim="800000"/>
                      <a:headEnd/>
                      <a:tailEnd/>
                    </a:ln>
                  </pic:spPr>
                </pic:pic>
              </a:graphicData>
            </a:graphic>
          </wp:inline>
        </w:drawing>
      </w:r>
    </w:p>
    <w:p w:rsidR="009800DD" w:rsidRPr="00DE6EBD" w:rsidRDefault="009800DD" w:rsidP="001F483B">
      <w:pPr>
        <w:pStyle w:val="BodyText"/>
        <w:ind w:firstLine="709"/>
      </w:pPr>
      <w:r w:rsidRPr="00DE6EBD">
        <w:rPr>
          <w:noProof/>
          <w:snapToGrid/>
          <w:lang w:eastAsia="en-AU"/>
        </w:rPr>
        <w:drawing>
          <wp:inline distT="0" distB="0" distL="0" distR="0" wp14:anchorId="4021E6A3" wp14:editId="6F99D606">
            <wp:extent cx="3152775" cy="314325"/>
            <wp:effectExtent l="0" t="0" r="9525" b="9525"/>
            <wp:docPr id="4" name="Picture 62"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cstate="print"/>
                    <a:srcRect/>
                    <a:stretch>
                      <a:fillRect/>
                    </a:stretch>
                  </pic:blipFill>
                  <pic:spPr bwMode="auto">
                    <a:xfrm>
                      <a:off x="0" y="0"/>
                      <a:ext cx="3152775" cy="314325"/>
                    </a:xfrm>
                    <a:prstGeom prst="rect">
                      <a:avLst/>
                    </a:prstGeom>
                    <a:noFill/>
                    <a:ln w="9525">
                      <a:noFill/>
                      <a:miter lim="800000"/>
                      <a:headEnd/>
                      <a:tailEnd/>
                    </a:ln>
                  </pic:spPr>
                </pic:pic>
              </a:graphicData>
            </a:graphic>
          </wp:inline>
        </w:drawing>
      </w:r>
    </w:p>
    <w:p w:rsidR="009800DD" w:rsidRPr="00DE6EBD" w:rsidRDefault="009800DD" w:rsidP="001F483B">
      <w:pPr>
        <w:ind w:firstLine="709"/>
        <w:rPr>
          <w:rFonts w:ascii="Arial Narrow" w:hAnsi="Arial Narrow"/>
          <w:sz w:val="18"/>
          <w:szCs w:val="18"/>
        </w:rPr>
      </w:pPr>
      <w:r w:rsidRPr="00DE6EBD">
        <w:rPr>
          <w:rFonts w:ascii="Arial Narrow" w:hAnsi="Arial Narrow"/>
          <w:sz w:val="18"/>
          <w:szCs w:val="18"/>
        </w:rPr>
        <w:t>Source: Figure B6.1 of the Commentary. Figure 8 of the re-submission, p97, of the re-submission</w:t>
      </w:r>
    </w:p>
    <w:p w:rsidR="009800DD" w:rsidRPr="00DE6EBD" w:rsidRDefault="009800DD" w:rsidP="009800DD"/>
    <w:p w:rsidR="009800DD" w:rsidRPr="00DE6EBD" w:rsidRDefault="009800DD" w:rsidP="00442B62">
      <w:pPr>
        <w:keepNext/>
        <w:widowControl/>
        <w:ind w:right="-614" w:firstLine="851"/>
        <w:jc w:val="left"/>
        <w:rPr>
          <w:rFonts w:ascii="Arial Narrow" w:eastAsia="SimSun" w:hAnsi="Arial Narrow"/>
          <w:snapToGrid/>
          <w:sz w:val="18"/>
          <w:szCs w:val="18"/>
          <w:lang w:eastAsia="zh-CN"/>
        </w:rPr>
      </w:pPr>
    </w:p>
    <w:p w:rsidR="009800DD" w:rsidRPr="00DE6EBD" w:rsidRDefault="009800DD" w:rsidP="001F483B">
      <w:pPr>
        <w:keepNext/>
        <w:ind w:firstLine="709"/>
        <w:rPr>
          <w:rFonts w:ascii="Arial Narrow" w:hAnsi="Arial Narrow"/>
          <w:b/>
          <w:sz w:val="20"/>
        </w:rPr>
      </w:pPr>
      <w:r w:rsidRPr="00DE6EBD">
        <w:rPr>
          <w:rFonts w:ascii="Arial Narrow" w:hAnsi="Arial Narrow"/>
          <w:b/>
          <w:sz w:val="20"/>
        </w:rPr>
        <w:t>Figure 3   Kaplan Meier curve of overall survival at November 2008 cut-off (modified ITT Population)</w:t>
      </w:r>
    </w:p>
    <w:p w:rsidR="009800DD" w:rsidRPr="00DE6EBD" w:rsidRDefault="009800DD" w:rsidP="001F483B">
      <w:pPr>
        <w:pStyle w:val="TableNotes"/>
        <w:ind w:left="709"/>
      </w:pPr>
      <w:r w:rsidRPr="00DE6EBD">
        <w:rPr>
          <w:noProof/>
          <w:lang w:eastAsia="en-AU"/>
        </w:rPr>
        <w:drawing>
          <wp:inline distT="0" distB="0" distL="0" distR="0" wp14:anchorId="7BB4AA13" wp14:editId="5CED8B85">
            <wp:extent cx="4147851" cy="2638775"/>
            <wp:effectExtent l="0" t="0" r="5080" b="9525"/>
            <wp:docPr id="6" name="Picture 68" title="Kaplan Meier curve of overall survival at November 2008 cut-off (modified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cstate="print"/>
                    <a:srcRect/>
                    <a:stretch>
                      <a:fillRect/>
                    </a:stretch>
                  </pic:blipFill>
                  <pic:spPr bwMode="auto">
                    <a:xfrm>
                      <a:off x="0" y="0"/>
                      <a:ext cx="4147851" cy="2638775"/>
                    </a:xfrm>
                    <a:prstGeom prst="rect">
                      <a:avLst/>
                    </a:prstGeom>
                    <a:noFill/>
                    <a:ln w="9525">
                      <a:noFill/>
                      <a:miter lim="800000"/>
                      <a:headEnd/>
                      <a:tailEnd/>
                    </a:ln>
                  </pic:spPr>
                </pic:pic>
              </a:graphicData>
            </a:graphic>
          </wp:inline>
        </w:drawing>
      </w:r>
      <w:r w:rsidRPr="00DE6EBD">
        <w:rPr>
          <w:noProof/>
          <w:lang w:eastAsia="en-AU"/>
        </w:rPr>
        <w:drawing>
          <wp:inline distT="0" distB="0" distL="0" distR="0" wp14:anchorId="200E4775" wp14:editId="5ED81AAF">
            <wp:extent cx="2619375" cy="276225"/>
            <wp:effectExtent l="0" t="0" r="9525" b="9525"/>
            <wp:docPr id="7" name="Picture 69"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 cstate="print"/>
                    <a:srcRect/>
                    <a:stretch>
                      <a:fillRect/>
                    </a:stretch>
                  </pic:blipFill>
                  <pic:spPr bwMode="auto">
                    <a:xfrm>
                      <a:off x="0" y="0"/>
                      <a:ext cx="2619375" cy="276225"/>
                    </a:xfrm>
                    <a:prstGeom prst="rect">
                      <a:avLst/>
                    </a:prstGeom>
                    <a:noFill/>
                    <a:ln w="9525">
                      <a:noFill/>
                      <a:miter lim="800000"/>
                      <a:headEnd/>
                      <a:tailEnd/>
                    </a:ln>
                  </pic:spPr>
                </pic:pic>
              </a:graphicData>
            </a:graphic>
          </wp:inline>
        </w:drawing>
      </w:r>
    </w:p>
    <w:p w:rsidR="009800DD" w:rsidRPr="00DE6EBD" w:rsidRDefault="009800DD" w:rsidP="001F483B">
      <w:pPr>
        <w:ind w:firstLine="709"/>
        <w:rPr>
          <w:rFonts w:ascii="Arial Narrow" w:hAnsi="Arial Narrow"/>
          <w:sz w:val="18"/>
          <w:szCs w:val="18"/>
        </w:rPr>
      </w:pPr>
      <w:r w:rsidRPr="00DE6EBD">
        <w:rPr>
          <w:rFonts w:ascii="Arial Narrow" w:hAnsi="Arial Narrow"/>
          <w:sz w:val="18"/>
          <w:szCs w:val="18"/>
        </w:rPr>
        <w:t xml:space="preserve">Source: </w:t>
      </w:r>
      <w:r w:rsidR="0051661E" w:rsidRPr="00DE6EBD">
        <w:rPr>
          <w:rFonts w:ascii="Arial Narrow" w:hAnsi="Arial Narrow"/>
          <w:sz w:val="18"/>
          <w:szCs w:val="18"/>
        </w:rPr>
        <w:t xml:space="preserve">Figure B.6.2 of the Commentary. </w:t>
      </w:r>
      <w:r w:rsidRPr="00DE6EBD">
        <w:rPr>
          <w:rFonts w:ascii="Arial Narrow" w:hAnsi="Arial Narrow"/>
          <w:sz w:val="18"/>
          <w:szCs w:val="18"/>
        </w:rPr>
        <w:t>Figure 7 of the re-submission, p98 of the re-submission</w:t>
      </w:r>
    </w:p>
    <w:p w:rsidR="00442B62" w:rsidRPr="00DE6EBD" w:rsidRDefault="00442B62" w:rsidP="009A72CD">
      <w:pPr>
        <w:rPr>
          <w:rFonts w:ascii="Arial Narrow" w:hAnsi="Arial Narrow"/>
          <w:sz w:val="20"/>
          <w:szCs w:val="16"/>
        </w:rPr>
      </w:pPr>
    </w:p>
    <w:p w:rsidR="00442B62" w:rsidRPr="00DE6EBD" w:rsidRDefault="00442B62" w:rsidP="00422A51">
      <w:pPr>
        <w:widowControl/>
        <w:numPr>
          <w:ilvl w:val="1"/>
          <w:numId w:val="2"/>
        </w:numPr>
        <w:contextualSpacing/>
      </w:pPr>
      <w:r w:rsidRPr="00DE6EBD">
        <w:t xml:space="preserve">The </w:t>
      </w:r>
      <w:proofErr w:type="spellStart"/>
      <w:r w:rsidRPr="00DE6EBD">
        <w:t>mITT</w:t>
      </w:r>
      <w:proofErr w:type="spellEnd"/>
      <w:r w:rsidRPr="00DE6EBD">
        <w:t xml:space="preserve"> population excluded 13 patients (4 [1.6%] from the </w:t>
      </w:r>
      <w:proofErr w:type="spellStart"/>
      <w:r w:rsidRPr="00DE6EBD">
        <w:t>vinflunine</w:t>
      </w:r>
      <w:proofErr w:type="spellEnd"/>
      <w:r w:rsidRPr="00DE6EBD">
        <w:t xml:space="preserve"> + BSC arm and 9 [7.7%] from the BSC arm) post-randomisation who did not meet the key trial inclusion and exclusion criteria. The re-submission considered the </w:t>
      </w:r>
      <w:proofErr w:type="spellStart"/>
      <w:r w:rsidRPr="00DE6EBD">
        <w:t>mITT</w:t>
      </w:r>
      <w:proofErr w:type="spellEnd"/>
      <w:r w:rsidRPr="00DE6EBD">
        <w:t xml:space="preserve"> population is the most relevant population (and hence is used in the economic evaluation) because the 13 excluded patients would not be eligible under the proposed PBS listing. Excluding the 13 patients reduced the OS for the BSC arm relative to that for the </w:t>
      </w:r>
      <w:proofErr w:type="spellStart"/>
      <w:r w:rsidRPr="00DE6EBD">
        <w:t>vinflunine</w:t>
      </w:r>
      <w:proofErr w:type="spellEnd"/>
      <w:r w:rsidRPr="00DE6EBD">
        <w:t xml:space="preserve"> + BSC arm because</w:t>
      </w:r>
      <w:r w:rsidR="00964BE8" w:rsidRPr="00DE6EBD">
        <w:t xml:space="preserve"> </w:t>
      </w:r>
      <w:r w:rsidRPr="00DE6EBD">
        <w:t xml:space="preserve">the average OS for the excluded patients was longer for patients in the BSC arm (23.4 vs 8.4 months). </w:t>
      </w:r>
    </w:p>
    <w:p w:rsidR="00442B62" w:rsidRPr="00DE6EBD" w:rsidRDefault="00442B62" w:rsidP="00442B62">
      <w:pPr>
        <w:widowControl/>
      </w:pPr>
    </w:p>
    <w:p w:rsidR="00442B62" w:rsidRPr="00DE6EBD" w:rsidRDefault="00442B62" w:rsidP="00422A51">
      <w:pPr>
        <w:widowControl/>
        <w:numPr>
          <w:ilvl w:val="1"/>
          <w:numId w:val="2"/>
        </w:numPr>
        <w:contextualSpacing/>
      </w:pPr>
      <w:r w:rsidRPr="00DE6EBD">
        <w:t xml:space="preserve">The potential for bias for the </w:t>
      </w:r>
      <w:proofErr w:type="spellStart"/>
      <w:r w:rsidRPr="00DE6EBD">
        <w:t>mITT</w:t>
      </w:r>
      <w:proofErr w:type="spellEnd"/>
      <w:r w:rsidRPr="00DE6EBD">
        <w:t xml:space="preserve"> analysis is high as the patients were excluded post-hoc. The PBAC’s previous concern regarding the 13 patients receiving treatment in a clinical trial setting (despite the trial inclusion and exclusion criteria) and therefore being likely to also receive treatment in practice (despite the PBS listing criteria) remains valid.</w:t>
      </w:r>
    </w:p>
    <w:p w:rsidR="00442B62" w:rsidRPr="00DE6EBD" w:rsidRDefault="00442B62" w:rsidP="00442B62">
      <w:pPr>
        <w:widowControl/>
        <w:ind w:left="709"/>
        <w:contextualSpacing/>
      </w:pPr>
    </w:p>
    <w:p w:rsidR="001F483B" w:rsidRPr="00DE6EBD" w:rsidRDefault="00442B62" w:rsidP="00422A51">
      <w:pPr>
        <w:widowControl/>
        <w:numPr>
          <w:ilvl w:val="1"/>
          <w:numId w:val="2"/>
        </w:numPr>
        <w:contextualSpacing/>
      </w:pPr>
      <w:r w:rsidRPr="00DE6EBD">
        <w:t xml:space="preserve">A multivariate analysis for OS was included in the PSCR for the November 2011 submission and a similar analysis was included in the re-submission. For this analysis the difference in OS for the two treatment groups was statistically significant using the ITT population (HR 0.72, 95% CI 0.57, 0.91, p=0.0052) and the </w:t>
      </w:r>
      <w:proofErr w:type="spellStart"/>
      <w:r w:rsidRPr="00DE6EBD">
        <w:t>mITT</w:t>
      </w:r>
      <w:proofErr w:type="spellEnd"/>
      <w:r w:rsidRPr="00DE6EBD">
        <w:t xml:space="preserve"> population (HR 0.63, 95% CI 0.50, 0.80, p=0.0002). The reduction in the HR for the multivariate analysis appears to be due to adjusting for the imbalance in PS across the treatment arms at baseline. The PBAC previously noted that the results of the multivariate analysis ‘demonstrated that potential differences in the prognostic factors from excluding the 13 ineligible patients did not alter overall survival in the eligible ITT’ (section 8, p4, November 2011, PBAC PSD, Item 5.3). </w:t>
      </w:r>
      <w:r w:rsidR="001F483B" w:rsidRPr="00DE6EBD">
        <w:br w:type="page"/>
      </w:r>
    </w:p>
    <w:p w:rsidR="00442B62" w:rsidRPr="00DE6EBD" w:rsidRDefault="00442B62" w:rsidP="00422A51">
      <w:pPr>
        <w:widowControl/>
        <w:numPr>
          <w:ilvl w:val="1"/>
          <w:numId w:val="2"/>
        </w:numPr>
        <w:contextualSpacing/>
        <w:rPr>
          <w:szCs w:val="22"/>
        </w:rPr>
      </w:pPr>
      <w:r w:rsidRPr="00DE6EBD">
        <w:rPr>
          <w:szCs w:val="22"/>
        </w:rPr>
        <w:lastRenderedPageBreak/>
        <w:t xml:space="preserve">The </w:t>
      </w:r>
      <w:r w:rsidR="00643901" w:rsidRPr="00DE6EBD">
        <w:rPr>
          <w:szCs w:val="22"/>
        </w:rPr>
        <w:t>single arm</w:t>
      </w:r>
      <w:r w:rsidRPr="00DE6EBD">
        <w:rPr>
          <w:szCs w:val="22"/>
        </w:rPr>
        <w:t xml:space="preserve"> studies differed with respect to chemotherapy regimens and criteria regarding prior treatment. </w:t>
      </w:r>
      <w:r w:rsidRPr="00DE6EBD">
        <w:t xml:space="preserve">The median OS for the active chemotherapy agents ranged from 3.1 to 12.6 months (gemcitabine monotherapy: 5 to 12.6 months; gemcitabine combination regimens: 7.7 to 12.4 months; taxane-based regimens: 4 to 12.5 months; MVAC/accelerated MVAC: 3.12 to 11.3 months) (see Attachment B of the commentary). The median OS for </w:t>
      </w:r>
      <w:proofErr w:type="spellStart"/>
      <w:r w:rsidRPr="00DE6EBD">
        <w:t>vinflunine</w:t>
      </w:r>
      <w:proofErr w:type="spellEnd"/>
      <w:r w:rsidRPr="00DE6EBD">
        <w:t xml:space="preserve"> in the observational studies was 7.7 to 10 months. In Study 302 the median OS for the </w:t>
      </w:r>
      <w:proofErr w:type="spellStart"/>
      <w:r w:rsidRPr="00DE6EBD">
        <w:t>vinflunine</w:t>
      </w:r>
      <w:proofErr w:type="spellEnd"/>
      <w:r w:rsidRPr="00DE6EBD">
        <w:t xml:space="preserve"> group was 6.9 months.</w:t>
      </w:r>
    </w:p>
    <w:p w:rsidR="00442B62" w:rsidRPr="00DE6EBD" w:rsidRDefault="00442B62" w:rsidP="00442B62">
      <w:pPr>
        <w:ind w:firstLine="720"/>
        <w:rPr>
          <w:rFonts w:ascii="Arial Narrow" w:hAnsi="Arial Narrow"/>
          <w:b/>
          <w:sz w:val="20"/>
          <w:szCs w:val="16"/>
        </w:rPr>
      </w:pPr>
      <w:r w:rsidRPr="00DE6EBD">
        <w:rPr>
          <w:rFonts w:ascii="Arial Narrow" w:hAnsi="Arial Narrow"/>
          <w:b/>
          <w:sz w:val="20"/>
          <w:szCs w:val="16"/>
        </w:rPr>
        <w:t xml:space="preserve"> </w:t>
      </w:r>
    </w:p>
    <w:p w:rsidR="00442B62" w:rsidRPr="00DE6EBD" w:rsidRDefault="00442B62" w:rsidP="00B13D9E">
      <w:pPr>
        <w:pStyle w:val="Heading2"/>
      </w:pPr>
      <w:bookmarkStart w:id="18" w:name="_Toc428304033"/>
      <w:r w:rsidRPr="00DE6EBD">
        <w:t>Comparative harms</w:t>
      </w:r>
      <w:bookmarkEnd w:id="18"/>
    </w:p>
    <w:p w:rsidR="00442B62" w:rsidRPr="00DE6EBD" w:rsidRDefault="00442B62" w:rsidP="00422A51">
      <w:pPr>
        <w:widowControl/>
        <w:numPr>
          <w:ilvl w:val="1"/>
          <w:numId w:val="2"/>
        </w:numPr>
        <w:contextualSpacing/>
        <w:rPr>
          <w:szCs w:val="22"/>
        </w:rPr>
      </w:pPr>
      <w:r w:rsidRPr="00DE6EBD">
        <w:t xml:space="preserve">A summary of the adverse events reported in Study 302 is presented in Table 5. </w:t>
      </w:r>
    </w:p>
    <w:p w:rsidR="00442B62" w:rsidRPr="00DE6EBD" w:rsidRDefault="00442B62" w:rsidP="00442B62">
      <w:pPr>
        <w:widowControl/>
        <w:ind w:left="720"/>
        <w:jc w:val="left"/>
        <w:rPr>
          <w:rFonts w:ascii="Arial Narrow" w:hAnsi="Arial Narrow"/>
          <w:b/>
          <w:sz w:val="20"/>
          <w:szCs w:val="16"/>
        </w:rPr>
      </w:pPr>
    </w:p>
    <w:p w:rsidR="00442B62" w:rsidRPr="00DE6EBD" w:rsidRDefault="00442B62" w:rsidP="00442B62">
      <w:pPr>
        <w:ind w:firstLine="720"/>
      </w:pPr>
      <w:r w:rsidRPr="00DE6EBD">
        <w:rPr>
          <w:rFonts w:ascii="Arial Narrow" w:hAnsi="Arial Narrow"/>
          <w:b/>
          <w:sz w:val="20"/>
          <w:szCs w:val="16"/>
        </w:rPr>
        <w:t>Table 5: Results of AEs in the direct randomised trial</w:t>
      </w:r>
    </w:p>
    <w:tbl>
      <w:tblPr>
        <w:tblW w:w="4524"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88"/>
        <w:gridCol w:w="774"/>
        <w:gridCol w:w="997"/>
        <w:gridCol w:w="1127"/>
        <w:gridCol w:w="1276"/>
        <w:gridCol w:w="1062"/>
        <w:gridCol w:w="1062"/>
      </w:tblGrid>
      <w:tr w:rsidR="00442B62" w:rsidRPr="00DE6EBD" w:rsidTr="005D47BD">
        <w:tc>
          <w:tcPr>
            <w:tcW w:w="763" w:type="pct"/>
            <w:tcBorders>
              <w:bottom w:val="nil"/>
            </w:tcBorders>
          </w:tcPr>
          <w:p w:rsidR="00442B62" w:rsidRPr="00DE6EBD" w:rsidRDefault="00442B62" w:rsidP="00442B62">
            <w:pPr>
              <w:keepNext/>
              <w:widowControl/>
              <w:jc w:val="left"/>
              <w:rPr>
                <w:rFonts w:ascii="Arial Narrow" w:hAnsi="Arial Narrow"/>
                <w:snapToGrid/>
                <w:sz w:val="20"/>
                <w:szCs w:val="18"/>
              </w:rPr>
            </w:pPr>
          </w:p>
        </w:tc>
        <w:tc>
          <w:tcPr>
            <w:tcW w:w="471" w:type="pct"/>
            <w:vMerge w:val="restart"/>
            <w:vAlign w:val="center"/>
          </w:tcPr>
          <w:p w:rsidR="00442B62" w:rsidRPr="00DE6EBD" w:rsidRDefault="00442B62" w:rsidP="005D47BD">
            <w:pPr>
              <w:keepNext/>
              <w:widowControl/>
              <w:jc w:val="left"/>
              <w:rPr>
                <w:rFonts w:ascii="Arial Narrow" w:hAnsi="Arial Narrow"/>
                <w:b/>
                <w:snapToGrid/>
                <w:sz w:val="18"/>
              </w:rPr>
            </w:pPr>
            <w:r w:rsidRPr="00DE6EBD">
              <w:rPr>
                <w:rFonts w:ascii="Arial Narrow" w:hAnsi="Arial Narrow"/>
                <w:b/>
                <w:snapToGrid/>
                <w:sz w:val="18"/>
                <w:szCs w:val="18"/>
              </w:rPr>
              <w:t>VFL+ BSC (N=248)</w:t>
            </w:r>
          </w:p>
        </w:tc>
        <w:tc>
          <w:tcPr>
            <w:tcW w:w="463" w:type="pct"/>
            <w:vMerge w:val="restart"/>
            <w:vAlign w:val="center"/>
          </w:tcPr>
          <w:p w:rsidR="00442B62" w:rsidRPr="00DE6EBD" w:rsidRDefault="00442B62" w:rsidP="005D47BD">
            <w:pPr>
              <w:keepNext/>
              <w:widowControl/>
              <w:jc w:val="left"/>
              <w:rPr>
                <w:rFonts w:ascii="Arial Narrow" w:hAnsi="Arial Narrow"/>
                <w:b/>
                <w:snapToGrid/>
                <w:sz w:val="18"/>
                <w:szCs w:val="18"/>
              </w:rPr>
            </w:pPr>
            <w:r w:rsidRPr="00DE6EBD">
              <w:rPr>
                <w:rFonts w:ascii="Arial Narrow" w:hAnsi="Arial Narrow"/>
                <w:b/>
                <w:snapToGrid/>
                <w:sz w:val="18"/>
                <w:szCs w:val="18"/>
              </w:rPr>
              <w:t>BSC</w:t>
            </w:r>
          </w:p>
          <w:p w:rsidR="00442B62" w:rsidRPr="00DE6EBD" w:rsidRDefault="00442B62" w:rsidP="005D47BD">
            <w:pPr>
              <w:keepNext/>
              <w:widowControl/>
              <w:jc w:val="left"/>
              <w:rPr>
                <w:rFonts w:ascii="Arial Narrow" w:hAnsi="Arial Narrow"/>
                <w:b/>
                <w:snapToGrid/>
                <w:sz w:val="18"/>
              </w:rPr>
            </w:pPr>
            <w:r w:rsidRPr="00DE6EBD">
              <w:rPr>
                <w:rFonts w:ascii="Arial Narrow" w:hAnsi="Arial Narrow"/>
                <w:b/>
                <w:snapToGrid/>
                <w:sz w:val="18"/>
                <w:szCs w:val="18"/>
              </w:rPr>
              <w:t>(N=117)</w:t>
            </w:r>
          </w:p>
        </w:tc>
        <w:tc>
          <w:tcPr>
            <w:tcW w:w="2033" w:type="pct"/>
            <w:gridSpan w:val="3"/>
          </w:tcPr>
          <w:p w:rsidR="00442B62" w:rsidRPr="00DE6EBD" w:rsidRDefault="00442B62" w:rsidP="00442B62">
            <w:pPr>
              <w:keepNext/>
              <w:widowControl/>
              <w:jc w:val="center"/>
              <w:rPr>
                <w:rFonts w:ascii="Arial Narrow" w:eastAsia="SimSun" w:hAnsi="Arial Narrow"/>
                <w:b/>
                <w:snapToGrid/>
                <w:sz w:val="20"/>
                <w:szCs w:val="18"/>
                <w:lang w:eastAsia="zh-CN"/>
              </w:rPr>
            </w:pPr>
            <w:r w:rsidRPr="00DE6EBD">
              <w:rPr>
                <w:rFonts w:ascii="Arial Narrow" w:eastAsia="SimSun" w:hAnsi="Arial Narrow"/>
                <w:b/>
                <w:snapToGrid/>
                <w:sz w:val="20"/>
                <w:szCs w:val="18"/>
                <w:lang w:eastAsia="zh-CN"/>
              </w:rPr>
              <w:t>VFL+BSC vs. BSC</w:t>
            </w:r>
          </w:p>
        </w:tc>
        <w:tc>
          <w:tcPr>
            <w:tcW w:w="635" w:type="pct"/>
            <w:vMerge w:val="restart"/>
          </w:tcPr>
          <w:p w:rsidR="00442B62" w:rsidRPr="00DE6EBD" w:rsidRDefault="00442B62" w:rsidP="00442B62">
            <w:pPr>
              <w:keepNext/>
              <w:widowControl/>
              <w:jc w:val="left"/>
              <w:rPr>
                <w:rFonts w:ascii="Arial Narrow" w:hAnsi="Arial Narrow"/>
                <w:b/>
                <w:snapToGrid/>
                <w:sz w:val="20"/>
                <w:szCs w:val="18"/>
              </w:rPr>
            </w:pPr>
            <w:r w:rsidRPr="00DE6EBD">
              <w:rPr>
                <w:rFonts w:ascii="Arial Narrow" w:hAnsi="Arial Narrow"/>
                <w:b/>
                <w:snapToGrid/>
                <w:sz w:val="20"/>
                <w:szCs w:val="18"/>
              </w:rPr>
              <w:t>Initial VFL dose 280 mg/m² (N=182)</w:t>
            </w:r>
          </w:p>
        </w:tc>
        <w:tc>
          <w:tcPr>
            <w:tcW w:w="635" w:type="pct"/>
            <w:vMerge w:val="restart"/>
          </w:tcPr>
          <w:p w:rsidR="00442B62" w:rsidRPr="00DE6EBD" w:rsidRDefault="00442B62" w:rsidP="00442B62">
            <w:pPr>
              <w:keepNext/>
              <w:widowControl/>
              <w:jc w:val="left"/>
              <w:rPr>
                <w:rFonts w:ascii="Arial Narrow" w:hAnsi="Arial Narrow"/>
                <w:b/>
                <w:snapToGrid/>
                <w:sz w:val="20"/>
                <w:szCs w:val="18"/>
              </w:rPr>
            </w:pPr>
            <w:r w:rsidRPr="00DE6EBD">
              <w:rPr>
                <w:rFonts w:ascii="Arial Narrow" w:hAnsi="Arial Narrow"/>
                <w:b/>
                <w:snapToGrid/>
                <w:sz w:val="20"/>
                <w:szCs w:val="18"/>
              </w:rPr>
              <w:t>Initial VFL dose 320 mg/m² (N=66)</w:t>
            </w:r>
          </w:p>
        </w:tc>
      </w:tr>
      <w:tr w:rsidR="00442B62" w:rsidRPr="00DE6EBD" w:rsidTr="008A08B8">
        <w:tc>
          <w:tcPr>
            <w:tcW w:w="763" w:type="pct"/>
            <w:tcBorders>
              <w:top w:val="nil"/>
            </w:tcBorders>
          </w:tcPr>
          <w:p w:rsidR="00442B62" w:rsidRPr="00DE6EBD" w:rsidRDefault="00442B62" w:rsidP="00442B62">
            <w:pPr>
              <w:keepNext/>
              <w:widowControl/>
              <w:jc w:val="left"/>
              <w:rPr>
                <w:rFonts w:ascii="Arial Narrow" w:hAnsi="Arial Narrow"/>
                <w:snapToGrid/>
                <w:sz w:val="20"/>
                <w:szCs w:val="18"/>
              </w:rPr>
            </w:pPr>
          </w:p>
        </w:tc>
        <w:tc>
          <w:tcPr>
            <w:tcW w:w="471" w:type="pct"/>
            <w:vMerge/>
            <w:vAlign w:val="center"/>
          </w:tcPr>
          <w:p w:rsidR="00442B62" w:rsidRPr="00DE6EBD" w:rsidRDefault="00442B62" w:rsidP="00442B62">
            <w:pPr>
              <w:keepNext/>
              <w:widowControl/>
              <w:jc w:val="left"/>
              <w:rPr>
                <w:rFonts w:ascii="Arial Narrow" w:hAnsi="Arial Narrow"/>
                <w:b/>
                <w:snapToGrid/>
                <w:sz w:val="20"/>
                <w:szCs w:val="18"/>
              </w:rPr>
            </w:pPr>
          </w:p>
        </w:tc>
        <w:tc>
          <w:tcPr>
            <w:tcW w:w="463" w:type="pct"/>
            <w:vMerge/>
            <w:vAlign w:val="center"/>
          </w:tcPr>
          <w:p w:rsidR="00442B62" w:rsidRPr="00DE6EBD" w:rsidRDefault="00442B62" w:rsidP="00442B62">
            <w:pPr>
              <w:keepNext/>
              <w:widowControl/>
              <w:jc w:val="left"/>
              <w:rPr>
                <w:rFonts w:ascii="Arial Narrow" w:hAnsi="Arial Narrow"/>
                <w:b/>
                <w:snapToGrid/>
                <w:sz w:val="20"/>
                <w:szCs w:val="18"/>
              </w:rPr>
            </w:pPr>
          </w:p>
        </w:tc>
        <w:tc>
          <w:tcPr>
            <w:tcW w:w="596" w:type="pct"/>
            <w:vAlign w:val="center"/>
          </w:tcPr>
          <w:p w:rsidR="00442B62" w:rsidRPr="00DE6EBD" w:rsidRDefault="00442B62" w:rsidP="00442B62">
            <w:pPr>
              <w:keepNext/>
              <w:widowControl/>
              <w:jc w:val="center"/>
              <w:rPr>
                <w:rFonts w:ascii="Arial Narrow" w:eastAsia="SimSun" w:hAnsi="Arial Narrow"/>
                <w:b/>
                <w:snapToGrid/>
                <w:sz w:val="20"/>
                <w:szCs w:val="18"/>
                <w:lang w:eastAsia="zh-CN"/>
              </w:rPr>
            </w:pPr>
            <w:r w:rsidRPr="00DE6EBD">
              <w:rPr>
                <w:rFonts w:ascii="Arial Narrow" w:eastAsia="SimSun" w:hAnsi="Arial Narrow"/>
                <w:b/>
                <w:snapToGrid/>
                <w:sz w:val="20"/>
                <w:szCs w:val="18"/>
                <w:lang w:eastAsia="zh-CN"/>
              </w:rPr>
              <w:t xml:space="preserve">RR </w:t>
            </w:r>
          </w:p>
          <w:p w:rsidR="00442B62" w:rsidRPr="00DE6EBD" w:rsidRDefault="00442B62" w:rsidP="00442B62">
            <w:pPr>
              <w:keepNext/>
              <w:widowControl/>
              <w:jc w:val="center"/>
              <w:rPr>
                <w:rFonts w:ascii="Arial Narrow" w:eastAsia="SimSun" w:hAnsi="Arial Narrow"/>
                <w:b/>
                <w:snapToGrid/>
                <w:sz w:val="20"/>
                <w:szCs w:val="18"/>
                <w:lang w:eastAsia="zh-CN"/>
              </w:rPr>
            </w:pPr>
            <w:r w:rsidRPr="00DE6EBD">
              <w:rPr>
                <w:rFonts w:ascii="Arial Narrow" w:eastAsia="SimSun" w:hAnsi="Arial Narrow"/>
                <w:b/>
                <w:snapToGrid/>
                <w:sz w:val="20"/>
                <w:szCs w:val="18"/>
                <w:lang w:eastAsia="zh-CN"/>
              </w:rPr>
              <w:t>(95% CI)</w:t>
            </w:r>
          </w:p>
        </w:tc>
        <w:tc>
          <w:tcPr>
            <w:tcW w:w="674" w:type="pct"/>
            <w:vAlign w:val="center"/>
          </w:tcPr>
          <w:p w:rsidR="00442B62" w:rsidRPr="00DE6EBD" w:rsidRDefault="00442B62" w:rsidP="00442B62">
            <w:pPr>
              <w:keepNext/>
              <w:widowControl/>
              <w:jc w:val="center"/>
              <w:rPr>
                <w:rFonts w:ascii="Arial Narrow" w:eastAsia="SimSun" w:hAnsi="Arial Narrow"/>
                <w:b/>
                <w:snapToGrid/>
                <w:sz w:val="20"/>
                <w:szCs w:val="18"/>
                <w:lang w:eastAsia="zh-CN"/>
              </w:rPr>
            </w:pPr>
            <w:r w:rsidRPr="00DE6EBD">
              <w:rPr>
                <w:rFonts w:ascii="Arial Narrow" w:eastAsia="SimSun" w:hAnsi="Arial Narrow"/>
                <w:b/>
                <w:snapToGrid/>
                <w:sz w:val="20"/>
                <w:szCs w:val="18"/>
                <w:lang w:eastAsia="zh-CN"/>
              </w:rPr>
              <w:t xml:space="preserve">RD </w:t>
            </w:r>
          </w:p>
          <w:p w:rsidR="00442B62" w:rsidRPr="00DE6EBD" w:rsidRDefault="00442B62" w:rsidP="00442B62">
            <w:pPr>
              <w:keepNext/>
              <w:widowControl/>
              <w:jc w:val="center"/>
              <w:rPr>
                <w:rFonts w:ascii="Arial Narrow" w:eastAsia="SimSun" w:hAnsi="Arial Narrow"/>
                <w:b/>
                <w:snapToGrid/>
                <w:sz w:val="20"/>
                <w:szCs w:val="18"/>
                <w:lang w:eastAsia="zh-CN"/>
              </w:rPr>
            </w:pPr>
            <w:r w:rsidRPr="00DE6EBD">
              <w:rPr>
                <w:rFonts w:ascii="Arial Narrow" w:eastAsia="SimSun" w:hAnsi="Arial Narrow"/>
                <w:b/>
                <w:snapToGrid/>
                <w:sz w:val="20"/>
                <w:szCs w:val="18"/>
                <w:lang w:eastAsia="zh-CN"/>
              </w:rPr>
              <w:t>(95% CI)</w:t>
            </w:r>
          </w:p>
        </w:tc>
        <w:tc>
          <w:tcPr>
            <w:tcW w:w="763" w:type="pct"/>
            <w:vAlign w:val="center"/>
          </w:tcPr>
          <w:p w:rsidR="00442B62" w:rsidRPr="00DE6EBD" w:rsidRDefault="00442B62" w:rsidP="00442B62">
            <w:pPr>
              <w:keepNext/>
              <w:widowControl/>
              <w:jc w:val="center"/>
              <w:rPr>
                <w:rFonts w:ascii="Arial Narrow" w:eastAsia="SimSun" w:hAnsi="Arial Narrow"/>
                <w:b/>
                <w:snapToGrid/>
                <w:sz w:val="20"/>
                <w:szCs w:val="18"/>
                <w:lang w:eastAsia="zh-CN"/>
              </w:rPr>
            </w:pPr>
            <w:r w:rsidRPr="00DE6EBD">
              <w:rPr>
                <w:rFonts w:ascii="Arial Narrow" w:eastAsia="SimSun" w:hAnsi="Arial Narrow"/>
                <w:b/>
                <w:snapToGrid/>
                <w:sz w:val="20"/>
                <w:szCs w:val="18"/>
                <w:lang w:eastAsia="zh-CN"/>
              </w:rPr>
              <w:t xml:space="preserve">NNH </w:t>
            </w:r>
          </w:p>
          <w:p w:rsidR="00442B62" w:rsidRPr="00DE6EBD" w:rsidRDefault="00442B62" w:rsidP="00442B62">
            <w:pPr>
              <w:keepNext/>
              <w:widowControl/>
              <w:jc w:val="center"/>
              <w:rPr>
                <w:rFonts w:ascii="Arial Narrow" w:eastAsia="SimSun" w:hAnsi="Arial Narrow"/>
                <w:b/>
                <w:snapToGrid/>
                <w:sz w:val="20"/>
                <w:szCs w:val="18"/>
                <w:lang w:eastAsia="zh-CN"/>
              </w:rPr>
            </w:pPr>
            <w:r w:rsidRPr="00DE6EBD">
              <w:rPr>
                <w:rFonts w:ascii="Arial Narrow" w:eastAsia="SimSun" w:hAnsi="Arial Narrow"/>
                <w:b/>
                <w:snapToGrid/>
                <w:sz w:val="20"/>
                <w:szCs w:val="18"/>
                <w:lang w:eastAsia="zh-CN"/>
              </w:rPr>
              <w:t>(95% CI)</w:t>
            </w:r>
          </w:p>
        </w:tc>
        <w:tc>
          <w:tcPr>
            <w:tcW w:w="635" w:type="pct"/>
            <w:vMerge/>
          </w:tcPr>
          <w:p w:rsidR="00442B62" w:rsidRPr="00DE6EBD" w:rsidRDefault="00442B62" w:rsidP="00442B62">
            <w:pPr>
              <w:keepNext/>
              <w:widowControl/>
              <w:jc w:val="left"/>
              <w:rPr>
                <w:rFonts w:ascii="Arial Narrow" w:hAnsi="Arial Narrow"/>
                <w:snapToGrid/>
                <w:sz w:val="20"/>
                <w:szCs w:val="18"/>
              </w:rPr>
            </w:pPr>
          </w:p>
        </w:tc>
        <w:tc>
          <w:tcPr>
            <w:tcW w:w="635" w:type="pct"/>
            <w:vMerge/>
          </w:tcPr>
          <w:p w:rsidR="00442B62" w:rsidRPr="00DE6EBD" w:rsidRDefault="00442B62" w:rsidP="00442B62">
            <w:pPr>
              <w:keepNext/>
              <w:widowControl/>
              <w:jc w:val="left"/>
              <w:rPr>
                <w:rFonts w:ascii="Arial Narrow" w:hAnsi="Arial Narrow"/>
                <w:snapToGrid/>
                <w:sz w:val="20"/>
                <w:szCs w:val="18"/>
              </w:rPr>
            </w:pPr>
          </w:p>
        </w:tc>
      </w:tr>
      <w:tr w:rsidR="00442B62" w:rsidRPr="00DE6EBD" w:rsidTr="008A08B8">
        <w:tc>
          <w:tcPr>
            <w:tcW w:w="763" w:type="pct"/>
          </w:tcPr>
          <w:p w:rsidR="00442B62" w:rsidRPr="00DE6EBD" w:rsidRDefault="00442B62" w:rsidP="00442B62">
            <w:pPr>
              <w:keepNext/>
              <w:widowControl/>
              <w:jc w:val="left"/>
              <w:rPr>
                <w:rFonts w:ascii="Arial Narrow" w:hAnsi="Arial Narrow"/>
                <w:snapToGrid/>
                <w:sz w:val="20"/>
                <w:szCs w:val="18"/>
              </w:rPr>
            </w:pPr>
            <w:r w:rsidRPr="00DE6EBD">
              <w:rPr>
                <w:rFonts w:ascii="Arial Narrow" w:hAnsi="Arial Narrow"/>
                <w:snapToGrid/>
                <w:sz w:val="20"/>
                <w:szCs w:val="18"/>
              </w:rPr>
              <w:t>AEs</w:t>
            </w:r>
          </w:p>
        </w:tc>
        <w:tc>
          <w:tcPr>
            <w:tcW w:w="471" w:type="pct"/>
          </w:tcPr>
          <w:p w:rsidR="00442B62" w:rsidRPr="00DE6EBD" w:rsidRDefault="00442B62" w:rsidP="00442B62">
            <w:pPr>
              <w:keepNext/>
              <w:widowControl/>
              <w:jc w:val="left"/>
              <w:rPr>
                <w:rFonts w:ascii="Arial Narrow" w:hAnsi="Arial Narrow"/>
                <w:snapToGrid/>
                <w:sz w:val="20"/>
                <w:szCs w:val="18"/>
              </w:rPr>
            </w:pPr>
            <w:r w:rsidRPr="00DE6EBD">
              <w:rPr>
                <w:rFonts w:ascii="Arial Narrow" w:hAnsi="Arial Narrow"/>
                <w:snapToGrid/>
                <w:sz w:val="20"/>
                <w:szCs w:val="18"/>
              </w:rPr>
              <w:t>248 (100.0)</w:t>
            </w:r>
          </w:p>
        </w:tc>
        <w:tc>
          <w:tcPr>
            <w:tcW w:w="463" w:type="pct"/>
          </w:tcPr>
          <w:p w:rsidR="00442B62" w:rsidRPr="00DE6EBD" w:rsidRDefault="00442B62" w:rsidP="00442B62">
            <w:pPr>
              <w:keepNext/>
              <w:widowControl/>
              <w:jc w:val="left"/>
              <w:rPr>
                <w:rFonts w:ascii="Arial Narrow" w:hAnsi="Arial Narrow"/>
                <w:snapToGrid/>
                <w:sz w:val="20"/>
                <w:szCs w:val="18"/>
              </w:rPr>
            </w:pPr>
            <w:r w:rsidRPr="00DE6EBD">
              <w:rPr>
                <w:rFonts w:ascii="Arial Narrow" w:hAnsi="Arial Narrow"/>
                <w:snapToGrid/>
                <w:sz w:val="20"/>
                <w:szCs w:val="18"/>
              </w:rPr>
              <w:t>117 (100.0)</w:t>
            </w:r>
          </w:p>
        </w:tc>
        <w:tc>
          <w:tcPr>
            <w:tcW w:w="596" w:type="pct"/>
          </w:tcPr>
          <w:p w:rsidR="00442B62" w:rsidRPr="00DE6EBD" w:rsidRDefault="00442B62" w:rsidP="00442B62">
            <w:pPr>
              <w:keepNext/>
              <w:widowControl/>
              <w:jc w:val="left"/>
              <w:rPr>
                <w:rFonts w:ascii="Arial Narrow" w:hAnsi="Arial Narrow"/>
                <w:snapToGrid/>
                <w:sz w:val="20"/>
                <w:szCs w:val="18"/>
              </w:rPr>
            </w:pPr>
            <w:r w:rsidRPr="00DE6EBD">
              <w:rPr>
                <w:rFonts w:ascii="Arial Narrow" w:hAnsi="Arial Narrow"/>
                <w:snapToGrid/>
                <w:sz w:val="20"/>
                <w:szCs w:val="18"/>
              </w:rPr>
              <w:t>1</w:t>
            </w:r>
          </w:p>
        </w:tc>
        <w:tc>
          <w:tcPr>
            <w:tcW w:w="674" w:type="pct"/>
          </w:tcPr>
          <w:p w:rsidR="00442B62" w:rsidRPr="00DE6EBD" w:rsidRDefault="00442B62" w:rsidP="00442B62">
            <w:pPr>
              <w:keepNext/>
              <w:widowControl/>
              <w:jc w:val="left"/>
              <w:rPr>
                <w:rFonts w:ascii="Arial Narrow" w:hAnsi="Arial Narrow"/>
                <w:snapToGrid/>
                <w:sz w:val="20"/>
                <w:szCs w:val="18"/>
              </w:rPr>
            </w:pPr>
            <w:r w:rsidRPr="00DE6EBD">
              <w:rPr>
                <w:rFonts w:ascii="Arial Narrow" w:hAnsi="Arial Narrow"/>
                <w:snapToGrid/>
                <w:sz w:val="20"/>
                <w:szCs w:val="18"/>
              </w:rPr>
              <w:t>0</w:t>
            </w:r>
          </w:p>
        </w:tc>
        <w:tc>
          <w:tcPr>
            <w:tcW w:w="763" w:type="pct"/>
          </w:tcPr>
          <w:p w:rsidR="00442B62" w:rsidRPr="00DE6EBD" w:rsidRDefault="00442B62" w:rsidP="00442B62">
            <w:pPr>
              <w:keepNext/>
              <w:widowControl/>
              <w:jc w:val="left"/>
              <w:rPr>
                <w:rFonts w:ascii="Arial Narrow" w:hAnsi="Arial Narrow"/>
                <w:snapToGrid/>
                <w:sz w:val="20"/>
                <w:szCs w:val="18"/>
              </w:rPr>
            </w:pPr>
            <w:proofErr w:type="spellStart"/>
            <w:r w:rsidRPr="00DE6EBD">
              <w:rPr>
                <w:rFonts w:ascii="Arial Narrow" w:hAnsi="Arial Narrow"/>
                <w:snapToGrid/>
                <w:sz w:val="20"/>
                <w:szCs w:val="18"/>
              </w:rPr>
              <w:t>n.c.</w:t>
            </w:r>
            <w:proofErr w:type="spellEnd"/>
          </w:p>
        </w:tc>
        <w:tc>
          <w:tcPr>
            <w:tcW w:w="635" w:type="pct"/>
          </w:tcPr>
          <w:p w:rsidR="00442B62" w:rsidRPr="00DE6EBD" w:rsidRDefault="00442B62" w:rsidP="00442B62">
            <w:pPr>
              <w:keepNext/>
              <w:widowControl/>
              <w:jc w:val="left"/>
              <w:rPr>
                <w:rFonts w:ascii="Arial Narrow" w:hAnsi="Arial Narrow"/>
                <w:snapToGrid/>
                <w:sz w:val="20"/>
                <w:szCs w:val="18"/>
              </w:rPr>
            </w:pPr>
            <w:r w:rsidRPr="00DE6EBD">
              <w:rPr>
                <w:rFonts w:ascii="Arial Narrow" w:hAnsi="Arial Narrow"/>
                <w:snapToGrid/>
                <w:sz w:val="20"/>
                <w:szCs w:val="18"/>
              </w:rPr>
              <w:t xml:space="preserve">182 </w:t>
            </w:r>
          </w:p>
          <w:p w:rsidR="00442B62" w:rsidRPr="00DE6EBD" w:rsidRDefault="00442B62" w:rsidP="00442B62">
            <w:pPr>
              <w:keepNext/>
              <w:widowControl/>
              <w:jc w:val="left"/>
              <w:rPr>
                <w:rFonts w:ascii="Arial Narrow" w:hAnsi="Arial Narrow"/>
                <w:snapToGrid/>
                <w:sz w:val="20"/>
                <w:szCs w:val="18"/>
              </w:rPr>
            </w:pPr>
            <w:r w:rsidRPr="00DE6EBD">
              <w:rPr>
                <w:rFonts w:ascii="Arial Narrow" w:hAnsi="Arial Narrow"/>
                <w:snapToGrid/>
                <w:sz w:val="20"/>
                <w:szCs w:val="18"/>
              </w:rPr>
              <w:t>(100.0)</w:t>
            </w:r>
          </w:p>
        </w:tc>
        <w:tc>
          <w:tcPr>
            <w:tcW w:w="635" w:type="pct"/>
          </w:tcPr>
          <w:p w:rsidR="00442B62" w:rsidRPr="00DE6EBD" w:rsidRDefault="00442B62" w:rsidP="00442B62">
            <w:pPr>
              <w:keepNext/>
              <w:widowControl/>
              <w:jc w:val="left"/>
              <w:rPr>
                <w:rFonts w:ascii="Arial Narrow" w:hAnsi="Arial Narrow"/>
                <w:snapToGrid/>
                <w:sz w:val="20"/>
                <w:szCs w:val="18"/>
              </w:rPr>
            </w:pPr>
            <w:r w:rsidRPr="00DE6EBD">
              <w:rPr>
                <w:rFonts w:ascii="Arial Narrow" w:hAnsi="Arial Narrow"/>
                <w:snapToGrid/>
                <w:sz w:val="20"/>
                <w:szCs w:val="18"/>
              </w:rPr>
              <w:t xml:space="preserve">66 </w:t>
            </w:r>
          </w:p>
          <w:p w:rsidR="00442B62" w:rsidRPr="00DE6EBD" w:rsidRDefault="00442B62" w:rsidP="00442B62">
            <w:pPr>
              <w:keepNext/>
              <w:widowControl/>
              <w:jc w:val="left"/>
              <w:rPr>
                <w:rFonts w:ascii="Arial Narrow" w:hAnsi="Arial Narrow"/>
                <w:snapToGrid/>
                <w:sz w:val="20"/>
                <w:szCs w:val="18"/>
              </w:rPr>
            </w:pPr>
            <w:r w:rsidRPr="00DE6EBD">
              <w:rPr>
                <w:rFonts w:ascii="Arial Narrow" w:hAnsi="Arial Narrow"/>
                <w:snapToGrid/>
                <w:sz w:val="20"/>
                <w:szCs w:val="18"/>
              </w:rPr>
              <w:t>(100.0)</w:t>
            </w:r>
          </w:p>
        </w:tc>
      </w:tr>
      <w:tr w:rsidR="00442B62" w:rsidRPr="00DE6EBD" w:rsidTr="005D47BD">
        <w:trPr>
          <w:trHeight w:val="783"/>
        </w:trPr>
        <w:tc>
          <w:tcPr>
            <w:tcW w:w="763" w:type="pct"/>
            <w:vAlign w:val="center"/>
          </w:tcPr>
          <w:p w:rsidR="00442B62" w:rsidRPr="00DE6EBD" w:rsidRDefault="00442B62" w:rsidP="005D47BD">
            <w:pPr>
              <w:keepNext/>
              <w:widowControl/>
              <w:jc w:val="left"/>
              <w:rPr>
                <w:rFonts w:ascii="Arial Narrow" w:hAnsi="Arial Narrow"/>
                <w:snapToGrid/>
                <w:sz w:val="20"/>
                <w:szCs w:val="18"/>
              </w:rPr>
            </w:pPr>
            <w:r w:rsidRPr="00DE6EBD">
              <w:rPr>
                <w:rFonts w:ascii="Arial Narrow" w:hAnsi="Arial Narrow"/>
                <w:snapToGrid/>
                <w:sz w:val="20"/>
                <w:szCs w:val="18"/>
              </w:rPr>
              <w:t>SAEs</w:t>
            </w:r>
          </w:p>
        </w:tc>
        <w:tc>
          <w:tcPr>
            <w:tcW w:w="471" w:type="pct"/>
            <w:vAlign w:val="center"/>
          </w:tcPr>
          <w:p w:rsidR="00442B62" w:rsidRPr="00DE6EBD" w:rsidRDefault="00442B62" w:rsidP="005D47BD">
            <w:pPr>
              <w:keepNext/>
              <w:widowControl/>
              <w:jc w:val="left"/>
              <w:rPr>
                <w:rFonts w:ascii="Arial Narrow" w:hAnsi="Arial Narrow"/>
                <w:snapToGrid/>
                <w:sz w:val="20"/>
                <w:szCs w:val="18"/>
              </w:rPr>
            </w:pPr>
            <w:r w:rsidRPr="00DE6EBD">
              <w:rPr>
                <w:rFonts w:ascii="Arial Narrow" w:hAnsi="Arial Narrow"/>
                <w:snapToGrid/>
                <w:sz w:val="20"/>
                <w:szCs w:val="18"/>
              </w:rPr>
              <w:t>153 (61.7)</w:t>
            </w:r>
          </w:p>
        </w:tc>
        <w:tc>
          <w:tcPr>
            <w:tcW w:w="463" w:type="pct"/>
            <w:vAlign w:val="center"/>
          </w:tcPr>
          <w:p w:rsidR="00442B62" w:rsidRPr="00DE6EBD" w:rsidRDefault="00442B62" w:rsidP="005D47BD">
            <w:pPr>
              <w:keepNext/>
              <w:widowControl/>
              <w:jc w:val="left"/>
              <w:rPr>
                <w:rFonts w:ascii="Arial Narrow" w:hAnsi="Arial Narrow"/>
                <w:snapToGrid/>
                <w:sz w:val="20"/>
                <w:szCs w:val="18"/>
              </w:rPr>
            </w:pPr>
            <w:r w:rsidRPr="00DE6EBD">
              <w:rPr>
                <w:rFonts w:ascii="Arial Narrow" w:hAnsi="Arial Narrow"/>
                <w:snapToGrid/>
                <w:sz w:val="20"/>
                <w:szCs w:val="18"/>
              </w:rPr>
              <w:t>55 (47.0)</w:t>
            </w:r>
          </w:p>
        </w:tc>
        <w:tc>
          <w:tcPr>
            <w:tcW w:w="596" w:type="pct"/>
            <w:vAlign w:val="center"/>
          </w:tcPr>
          <w:p w:rsidR="00442B62" w:rsidRPr="00DE6EBD" w:rsidRDefault="00442B62" w:rsidP="005D47BD">
            <w:pPr>
              <w:keepNext/>
              <w:widowControl/>
              <w:jc w:val="left"/>
              <w:rPr>
                <w:rFonts w:ascii="Arial Narrow" w:hAnsi="Arial Narrow"/>
                <w:snapToGrid/>
                <w:sz w:val="20"/>
                <w:szCs w:val="18"/>
              </w:rPr>
            </w:pPr>
            <w:r w:rsidRPr="00DE6EBD">
              <w:rPr>
                <w:rFonts w:ascii="Arial Narrow" w:hAnsi="Arial Narrow"/>
                <w:snapToGrid/>
                <w:sz w:val="20"/>
                <w:szCs w:val="18"/>
              </w:rPr>
              <w:t xml:space="preserve">1.31 </w:t>
            </w:r>
          </w:p>
          <w:p w:rsidR="00442B62" w:rsidRPr="00DE6EBD" w:rsidRDefault="00442B62" w:rsidP="005D47BD">
            <w:pPr>
              <w:keepNext/>
              <w:widowControl/>
              <w:jc w:val="left"/>
              <w:rPr>
                <w:rFonts w:ascii="Arial Narrow" w:hAnsi="Arial Narrow"/>
                <w:snapToGrid/>
                <w:sz w:val="20"/>
                <w:szCs w:val="18"/>
              </w:rPr>
            </w:pPr>
            <w:r w:rsidRPr="00DE6EBD">
              <w:rPr>
                <w:rFonts w:ascii="Arial Narrow" w:hAnsi="Arial Narrow"/>
                <w:snapToGrid/>
                <w:sz w:val="20"/>
                <w:szCs w:val="18"/>
              </w:rPr>
              <w:t>(1.06, 1.63)</w:t>
            </w:r>
          </w:p>
        </w:tc>
        <w:tc>
          <w:tcPr>
            <w:tcW w:w="674" w:type="pct"/>
            <w:vAlign w:val="center"/>
          </w:tcPr>
          <w:p w:rsidR="00442B62" w:rsidRPr="00DE6EBD" w:rsidRDefault="00442B62" w:rsidP="005D47BD">
            <w:pPr>
              <w:keepNext/>
              <w:widowControl/>
              <w:jc w:val="left"/>
              <w:rPr>
                <w:rFonts w:ascii="Arial Narrow" w:hAnsi="Arial Narrow"/>
                <w:snapToGrid/>
                <w:sz w:val="20"/>
                <w:szCs w:val="18"/>
              </w:rPr>
            </w:pPr>
            <w:r w:rsidRPr="00DE6EBD">
              <w:rPr>
                <w:rFonts w:ascii="Arial Narrow" w:hAnsi="Arial Narrow"/>
                <w:snapToGrid/>
                <w:sz w:val="20"/>
                <w:szCs w:val="18"/>
              </w:rPr>
              <w:t xml:space="preserve">0.15 </w:t>
            </w:r>
          </w:p>
          <w:p w:rsidR="00442B62" w:rsidRPr="00DE6EBD" w:rsidRDefault="00442B62" w:rsidP="005D47BD">
            <w:pPr>
              <w:keepNext/>
              <w:widowControl/>
              <w:jc w:val="left"/>
              <w:rPr>
                <w:rFonts w:ascii="Arial Narrow" w:hAnsi="Arial Narrow"/>
                <w:snapToGrid/>
                <w:sz w:val="20"/>
                <w:szCs w:val="18"/>
              </w:rPr>
            </w:pPr>
            <w:r w:rsidRPr="00DE6EBD">
              <w:rPr>
                <w:rFonts w:ascii="Arial Narrow" w:hAnsi="Arial Narrow"/>
                <w:snapToGrid/>
                <w:sz w:val="20"/>
                <w:szCs w:val="18"/>
              </w:rPr>
              <w:t>(0.04, 0.26)</w:t>
            </w:r>
          </w:p>
        </w:tc>
        <w:tc>
          <w:tcPr>
            <w:tcW w:w="763" w:type="pct"/>
            <w:vAlign w:val="center"/>
          </w:tcPr>
          <w:p w:rsidR="00442B62" w:rsidRPr="00DE6EBD" w:rsidRDefault="00442B62" w:rsidP="005D47BD">
            <w:pPr>
              <w:keepNext/>
              <w:widowControl/>
              <w:jc w:val="left"/>
              <w:rPr>
                <w:rFonts w:ascii="Arial Narrow" w:hAnsi="Arial Narrow"/>
                <w:snapToGrid/>
                <w:sz w:val="20"/>
                <w:szCs w:val="18"/>
              </w:rPr>
            </w:pPr>
            <w:r w:rsidRPr="00DE6EBD">
              <w:rPr>
                <w:rFonts w:ascii="Arial Narrow" w:hAnsi="Arial Narrow"/>
                <w:snapToGrid/>
                <w:sz w:val="20"/>
                <w:szCs w:val="18"/>
              </w:rPr>
              <w:t xml:space="preserve">6.81 </w:t>
            </w:r>
          </w:p>
          <w:p w:rsidR="00442B62" w:rsidRPr="00DE6EBD" w:rsidRDefault="00442B62" w:rsidP="005D47BD">
            <w:pPr>
              <w:keepNext/>
              <w:widowControl/>
              <w:jc w:val="left"/>
              <w:rPr>
                <w:rFonts w:ascii="Arial Narrow" w:hAnsi="Arial Narrow"/>
                <w:snapToGrid/>
                <w:sz w:val="20"/>
                <w:szCs w:val="18"/>
              </w:rPr>
            </w:pPr>
            <w:r w:rsidRPr="00DE6EBD">
              <w:rPr>
                <w:rFonts w:ascii="Arial Narrow" w:hAnsi="Arial Narrow"/>
                <w:snapToGrid/>
                <w:sz w:val="20"/>
                <w:szCs w:val="18"/>
              </w:rPr>
              <w:t>(26.32, 3.91)</w:t>
            </w:r>
          </w:p>
        </w:tc>
        <w:tc>
          <w:tcPr>
            <w:tcW w:w="635" w:type="pct"/>
            <w:vAlign w:val="center"/>
          </w:tcPr>
          <w:p w:rsidR="00442B62" w:rsidRPr="00DE6EBD" w:rsidRDefault="00442B62" w:rsidP="005D47BD">
            <w:pPr>
              <w:keepNext/>
              <w:widowControl/>
              <w:jc w:val="left"/>
              <w:rPr>
                <w:rFonts w:ascii="Arial Narrow" w:hAnsi="Arial Narrow"/>
                <w:snapToGrid/>
                <w:sz w:val="20"/>
                <w:szCs w:val="18"/>
              </w:rPr>
            </w:pPr>
            <w:r w:rsidRPr="00DE6EBD">
              <w:rPr>
                <w:rFonts w:ascii="Arial Narrow" w:hAnsi="Arial Narrow"/>
                <w:snapToGrid/>
                <w:sz w:val="20"/>
                <w:szCs w:val="18"/>
              </w:rPr>
              <w:t xml:space="preserve">113 </w:t>
            </w:r>
          </w:p>
          <w:p w:rsidR="00442B62" w:rsidRPr="00DE6EBD" w:rsidRDefault="00442B62" w:rsidP="005D47BD">
            <w:pPr>
              <w:keepNext/>
              <w:widowControl/>
              <w:jc w:val="left"/>
              <w:rPr>
                <w:rFonts w:ascii="Arial Narrow" w:hAnsi="Arial Narrow"/>
                <w:snapToGrid/>
                <w:sz w:val="20"/>
                <w:szCs w:val="18"/>
              </w:rPr>
            </w:pPr>
            <w:r w:rsidRPr="00DE6EBD">
              <w:rPr>
                <w:rFonts w:ascii="Arial Narrow" w:hAnsi="Arial Narrow"/>
                <w:snapToGrid/>
                <w:sz w:val="20"/>
                <w:szCs w:val="18"/>
              </w:rPr>
              <w:t>(62.1)</w:t>
            </w:r>
          </w:p>
        </w:tc>
        <w:tc>
          <w:tcPr>
            <w:tcW w:w="635" w:type="pct"/>
            <w:vAlign w:val="center"/>
          </w:tcPr>
          <w:p w:rsidR="00442B62" w:rsidRPr="00DE6EBD" w:rsidRDefault="00442B62" w:rsidP="005D47BD">
            <w:pPr>
              <w:keepNext/>
              <w:widowControl/>
              <w:jc w:val="left"/>
              <w:rPr>
                <w:rFonts w:ascii="Arial Narrow" w:hAnsi="Arial Narrow"/>
                <w:snapToGrid/>
                <w:sz w:val="20"/>
                <w:szCs w:val="18"/>
              </w:rPr>
            </w:pPr>
            <w:r w:rsidRPr="00DE6EBD">
              <w:rPr>
                <w:rFonts w:ascii="Arial Narrow" w:hAnsi="Arial Narrow"/>
                <w:snapToGrid/>
                <w:sz w:val="20"/>
                <w:szCs w:val="18"/>
              </w:rPr>
              <w:t xml:space="preserve">40 </w:t>
            </w:r>
          </w:p>
          <w:p w:rsidR="00442B62" w:rsidRPr="00DE6EBD" w:rsidRDefault="00442B62" w:rsidP="005D47BD">
            <w:pPr>
              <w:keepNext/>
              <w:widowControl/>
              <w:jc w:val="left"/>
              <w:rPr>
                <w:rFonts w:ascii="Arial Narrow" w:hAnsi="Arial Narrow"/>
                <w:snapToGrid/>
                <w:sz w:val="20"/>
                <w:szCs w:val="18"/>
              </w:rPr>
            </w:pPr>
            <w:r w:rsidRPr="00DE6EBD">
              <w:rPr>
                <w:rFonts w:ascii="Arial Narrow" w:hAnsi="Arial Narrow"/>
                <w:snapToGrid/>
                <w:sz w:val="20"/>
                <w:szCs w:val="18"/>
              </w:rPr>
              <w:t>(60.6)</w:t>
            </w:r>
          </w:p>
        </w:tc>
      </w:tr>
      <w:tr w:rsidR="00442B62" w:rsidRPr="00DE6EBD" w:rsidTr="005D47BD">
        <w:trPr>
          <w:trHeight w:val="806"/>
        </w:trPr>
        <w:tc>
          <w:tcPr>
            <w:tcW w:w="763" w:type="pct"/>
            <w:vAlign w:val="center"/>
          </w:tcPr>
          <w:p w:rsidR="00442B62" w:rsidRPr="00DE6EBD" w:rsidRDefault="00442B62" w:rsidP="005D47BD">
            <w:pPr>
              <w:keepNext/>
              <w:widowControl/>
              <w:jc w:val="left"/>
              <w:rPr>
                <w:rFonts w:ascii="Arial Narrow" w:hAnsi="Arial Narrow"/>
                <w:snapToGrid/>
                <w:sz w:val="20"/>
                <w:szCs w:val="18"/>
              </w:rPr>
            </w:pPr>
            <w:r w:rsidRPr="00DE6EBD">
              <w:rPr>
                <w:rFonts w:ascii="Arial Narrow" w:hAnsi="Arial Narrow"/>
                <w:snapToGrid/>
                <w:sz w:val="20"/>
                <w:szCs w:val="18"/>
              </w:rPr>
              <w:t xml:space="preserve">Deaths within 30 </w:t>
            </w:r>
            <w:proofErr w:type="spellStart"/>
            <w:r w:rsidRPr="00DE6EBD">
              <w:rPr>
                <w:rFonts w:ascii="Arial Narrow" w:hAnsi="Arial Narrow"/>
                <w:snapToGrid/>
                <w:sz w:val="20"/>
                <w:szCs w:val="18"/>
              </w:rPr>
              <w:t>days</w:t>
            </w:r>
            <w:r w:rsidRPr="00DE6EBD">
              <w:rPr>
                <w:rFonts w:ascii="Arial Narrow" w:hAnsi="Arial Narrow"/>
                <w:snapToGrid/>
                <w:sz w:val="20"/>
                <w:szCs w:val="18"/>
                <w:vertAlign w:val="superscript"/>
              </w:rPr>
              <w:t>a</w:t>
            </w:r>
            <w:proofErr w:type="spellEnd"/>
          </w:p>
        </w:tc>
        <w:tc>
          <w:tcPr>
            <w:tcW w:w="471" w:type="pct"/>
            <w:vAlign w:val="center"/>
          </w:tcPr>
          <w:p w:rsidR="00442B62" w:rsidRPr="00DE6EBD" w:rsidRDefault="00442B62" w:rsidP="005D47BD">
            <w:pPr>
              <w:keepNext/>
              <w:widowControl/>
              <w:jc w:val="left"/>
              <w:rPr>
                <w:rFonts w:ascii="Arial Narrow" w:hAnsi="Arial Narrow"/>
                <w:snapToGrid/>
                <w:sz w:val="20"/>
                <w:szCs w:val="18"/>
              </w:rPr>
            </w:pPr>
            <w:r w:rsidRPr="00DE6EBD">
              <w:rPr>
                <w:rFonts w:ascii="Arial Narrow" w:hAnsi="Arial Narrow"/>
                <w:snapToGrid/>
                <w:sz w:val="20"/>
                <w:szCs w:val="18"/>
              </w:rPr>
              <w:t>28 (11.3)</w:t>
            </w:r>
          </w:p>
        </w:tc>
        <w:tc>
          <w:tcPr>
            <w:tcW w:w="463" w:type="pct"/>
            <w:vAlign w:val="center"/>
          </w:tcPr>
          <w:p w:rsidR="00442B62" w:rsidRPr="00DE6EBD" w:rsidRDefault="00442B62" w:rsidP="005D47BD">
            <w:pPr>
              <w:keepNext/>
              <w:widowControl/>
              <w:jc w:val="left"/>
              <w:rPr>
                <w:rFonts w:ascii="Arial Narrow" w:hAnsi="Arial Narrow"/>
                <w:snapToGrid/>
                <w:sz w:val="20"/>
                <w:szCs w:val="18"/>
              </w:rPr>
            </w:pPr>
            <w:r w:rsidRPr="00DE6EBD">
              <w:rPr>
                <w:rFonts w:ascii="Arial Narrow" w:hAnsi="Arial Narrow"/>
                <w:snapToGrid/>
                <w:sz w:val="20"/>
                <w:szCs w:val="18"/>
              </w:rPr>
              <w:t>27 (23.1)</w:t>
            </w:r>
          </w:p>
        </w:tc>
        <w:tc>
          <w:tcPr>
            <w:tcW w:w="596" w:type="pct"/>
            <w:vAlign w:val="center"/>
          </w:tcPr>
          <w:p w:rsidR="00442B62" w:rsidRPr="00DE6EBD" w:rsidRDefault="00442B62" w:rsidP="005D47BD">
            <w:pPr>
              <w:keepNext/>
              <w:widowControl/>
              <w:jc w:val="left"/>
              <w:rPr>
                <w:rFonts w:ascii="Arial Narrow" w:hAnsi="Arial Narrow"/>
                <w:snapToGrid/>
                <w:sz w:val="20"/>
                <w:szCs w:val="18"/>
              </w:rPr>
            </w:pPr>
            <w:r w:rsidRPr="00DE6EBD">
              <w:rPr>
                <w:rFonts w:ascii="Arial Narrow" w:hAnsi="Arial Narrow"/>
                <w:snapToGrid/>
                <w:sz w:val="20"/>
                <w:szCs w:val="18"/>
              </w:rPr>
              <w:t xml:space="preserve">0.49 </w:t>
            </w:r>
          </w:p>
          <w:p w:rsidR="00442B62" w:rsidRPr="00DE6EBD" w:rsidRDefault="00442B62" w:rsidP="005D47BD">
            <w:pPr>
              <w:keepNext/>
              <w:widowControl/>
              <w:jc w:val="left"/>
              <w:rPr>
                <w:rFonts w:ascii="Arial Narrow" w:hAnsi="Arial Narrow"/>
                <w:snapToGrid/>
                <w:sz w:val="20"/>
                <w:szCs w:val="18"/>
              </w:rPr>
            </w:pPr>
            <w:r w:rsidRPr="00DE6EBD">
              <w:rPr>
                <w:rFonts w:ascii="Arial Narrow" w:hAnsi="Arial Narrow"/>
                <w:snapToGrid/>
                <w:sz w:val="20"/>
                <w:szCs w:val="18"/>
              </w:rPr>
              <w:t xml:space="preserve">(0.30, 0.79) </w:t>
            </w:r>
          </w:p>
        </w:tc>
        <w:tc>
          <w:tcPr>
            <w:tcW w:w="674" w:type="pct"/>
            <w:vAlign w:val="center"/>
          </w:tcPr>
          <w:p w:rsidR="00442B62" w:rsidRPr="00DE6EBD" w:rsidRDefault="00442B62" w:rsidP="005D47BD">
            <w:pPr>
              <w:keepNext/>
              <w:widowControl/>
              <w:jc w:val="left"/>
              <w:rPr>
                <w:rFonts w:ascii="Arial Narrow" w:hAnsi="Arial Narrow"/>
                <w:snapToGrid/>
                <w:sz w:val="20"/>
                <w:szCs w:val="18"/>
              </w:rPr>
            </w:pPr>
            <w:r w:rsidRPr="00DE6EBD">
              <w:rPr>
                <w:rFonts w:ascii="Arial Narrow" w:hAnsi="Arial Narrow"/>
                <w:snapToGrid/>
                <w:sz w:val="20"/>
                <w:szCs w:val="18"/>
              </w:rPr>
              <w:t xml:space="preserve">-0.12 </w:t>
            </w:r>
          </w:p>
          <w:p w:rsidR="00442B62" w:rsidRPr="00DE6EBD" w:rsidRDefault="00442B62" w:rsidP="005D47BD">
            <w:pPr>
              <w:keepNext/>
              <w:widowControl/>
              <w:jc w:val="left"/>
              <w:rPr>
                <w:rFonts w:ascii="Arial Narrow" w:hAnsi="Arial Narrow"/>
                <w:snapToGrid/>
                <w:sz w:val="20"/>
                <w:szCs w:val="18"/>
              </w:rPr>
            </w:pPr>
            <w:r w:rsidRPr="00DE6EBD">
              <w:rPr>
                <w:rFonts w:ascii="Arial Narrow" w:hAnsi="Arial Narrow"/>
                <w:snapToGrid/>
                <w:sz w:val="20"/>
                <w:szCs w:val="18"/>
              </w:rPr>
              <w:t>(-0.20, -0.03)</w:t>
            </w:r>
          </w:p>
        </w:tc>
        <w:tc>
          <w:tcPr>
            <w:tcW w:w="763" w:type="pct"/>
            <w:vAlign w:val="center"/>
          </w:tcPr>
          <w:p w:rsidR="00442B62" w:rsidRPr="00DE6EBD" w:rsidRDefault="00442B62" w:rsidP="005D47BD">
            <w:pPr>
              <w:keepNext/>
              <w:widowControl/>
              <w:jc w:val="left"/>
              <w:rPr>
                <w:rFonts w:ascii="Arial Narrow" w:hAnsi="Arial Narrow"/>
                <w:snapToGrid/>
                <w:sz w:val="20"/>
                <w:szCs w:val="18"/>
              </w:rPr>
            </w:pPr>
            <w:r w:rsidRPr="00DE6EBD">
              <w:rPr>
                <w:rFonts w:ascii="Arial Narrow" w:hAnsi="Arial Narrow"/>
                <w:snapToGrid/>
                <w:sz w:val="20"/>
                <w:szCs w:val="18"/>
              </w:rPr>
              <w:t xml:space="preserve">-8.48 </w:t>
            </w:r>
          </w:p>
          <w:p w:rsidR="00442B62" w:rsidRPr="00DE6EBD" w:rsidRDefault="00442B62" w:rsidP="005D47BD">
            <w:pPr>
              <w:keepNext/>
              <w:widowControl/>
              <w:jc w:val="left"/>
              <w:rPr>
                <w:rFonts w:ascii="Arial Narrow" w:hAnsi="Arial Narrow"/>
                <w:snapToGrid/>
                <w:sz w:val="20"/>
                <w:szCs w:val="18"/>
              </w:rPr>
            </w:pPr>
            <w:r w:rsidRPr="00DE6EBD">
              <w:rPr>
                <w:rFonts w:ascii="Arial Narrow" w:hAnsi="Arial Narrow"/>
                <w:snapToGrid/>
                <w:sz w:val="20"/>
                <w:szCs w:val="18"/>
              </w:rPr>
              <w:t>(-4.90, -31.25)</w:t>
            </w:r>
          </w:p>
        </w:tc>
        <w:tc>
          <w:tcPr>
            <w:tcW w:w="635" w:type="pct"/>
            <w:vAlign w:val="center"/>
          </w:tcPr>
          <w:p w:rsidR="00442B62" w:rsidRPr="00DE6EBD" w:rsidRDefault="00442B62" w:rsidP="005D47BD">
            <w:pPr>
              <w:keepNext/>
              <w:widowControl/>
              <w:jc w:val="left"/>
              <w:rPr>
                <w:rFonts w:ascii="Arial Narrow" w:hAnsi="Arial Narrow"/>
                <w:snapToGrid/>
                <w:sz w:val="20"/>
                <w:szCs w:val="18"/>
              </w:rPr>
            </w:pPr>
            <w:r w:rsidRPr="00DE6EBD">
              <w:rPr>
                <w:rFonts w:ascii="Arial Narrow" w:hAnsi="Arial Narrow"/>
                <w:snapToGrid/>
                <w:sz w:val="20"/>
                <w:szCs w:val="18"/>
              </w:rPr>
              <w:t xml:space="preserve">25 </w:t>
            </w:r>
          </w:p>
          <w:p w:rsidR="00442B62" w:rsidRPr="00DE6EBD" w:rsidRDefault="00442B62" w:rsidP="005D47BD">
            <w:pPr>
              <w:keepNext/>
              <w:widowControl/>
              <w:jc w:val="left"/>
              <w:rPr>
                <w:rFonts w:ascii="Arial Narrow" w:hAnsi="Arial Narrow"/>
                <w:snapToGrid/>
                <w:sz w:val="20"/>
                <w:szCs w:val="18"/>
              </w:rPr>
            </w:pPr>
            <w:r w:rsidRPr="00DE6EBD">
              <w:rPr>
                <w:rFonts w:ascii="Arial Narrow" w:hAnsi="Arial Narrow"/>
                <w:snapToGrid/>
                <w:sz w:val="20"/>
                <w:szCs w:val="18"/>
              </w:rPr>
              <w:t>(13.7)</w:t>
            </w:r>
          </w:p>
        </w:tc>
        <w:tc>
          <w:tcPr>
            <w:tcW w:w="635" w:type="pct"/>
            <w:vAlign w:val="center"/>
          </w:tcPr>
          <w:p w:rsidR="00442B62" w:rsidRPr="00DE6EBD" w:rsidRDefault="00442B62" w:rsidP="005D47BD">
            <w:pPr>
              <w:keepNext/>
              <w:widowControl/>
              <w:jc w:val="left"/>
              <w:rPr>
                <w:rFonts w:ascii="Arial Narrow" w:hAnsi="Arial Narrow"/>
                <w:snapToGrid/>
                <w:sz w:val="20"/>
                <w:szCs w:val="18"/>
              </w:rPr>
            </w:pPr>
            <w:r w:rsidRPr="00DE6EBD">
              <w:rPr>
                <w:rFonts w:ascii="Arial Narrow" w:hAnsi="Arial Narrow"/>
                <w:snapToGrid/>
                <w:sz w:val="20"/>
                <w:szCs w:val="18"/>
              </w:rPr>
              <w:t xml:space="preserve">3 </w:t>
            </w:r>
          </w:p>
          <w:p w:rsidR="00442B62" w:rsidRPr="00DE6EBD" w:rsidRDefault="00442B62" w:rsidP="005D47BD">
            <w:pPr>
              <w:keepNext/>
              <w:widowControl/>
              <w:jc w:val="left"/>
              <w:rPr>
                <w:rFonts w:ascii="Arial Narrow" w:hAnsi="Arial Narrow"/>
                <w:snapToGrid/>
                <w:sz w:val="20"/>
                <w:szCs w:val="18"/>
              </w:rPr>
            </w:pPr>
            <w:r w:rsidRPr="00DE6EBD">
              <w:rPr>
                <w:rFonts w:ascii="Arial Narrow" w:hAnsi="Arial Narrow"/>
                <w:snapToGrid/>
                <w:sz w:val="20"/>
                <w:szCs w:val="18"/>
              </w:rPr>
              <w:t>(4.5)</w:t>
            </w:r>
          </w:p>
        </w:tc>
      </w:tr>
      <w:tr w:rsidR="00442B62" w:rsidRPr="00DE6EBD" w:rsidTr="005D47BD">
        <w:tc>
          <w:tcPr>
            <w:tcW w:w="763" w:type="pct"/>
            <w:vAlign w:val="center"/>
          </w:tcPr>
          <w:p w:rsidR="00442B62" w:rsidRPr="00DE6EBD" w:rsidRDefault="00442B62" w:rsidP="005D47BD">
            <w:pPr>
              <w:keepNext/>
              <w:widowControl/>
              <w:jc w:val="left"/>
              <w:rPr>
                <w:rFonts w:ascii="Arial Narrow" w:hAnsi="Arial Narrow"/>
                <w:snapToGrid/>
                <w:sz w:val="18"/>
                <w:szCs w:val="18"/>
              </w:rPr>
            </w:pPr>
            <w:r w:rsidRPr="00DE6EBD">
              <w:rPr>
                <w:rFonts w:ascii="Arial Narrow" w:hAnsi="Arial Narrow"/>
                <w:snapToGrid/>
                <w:sz w:val="18"/>
                <w:szCs w:val="18"/>
              </w:rPr>
              <w:t>AEs leading to discontinuation</w:t>
            </w:r>
          </w:p>
        </w:tc>
        <w:tc>
          <w:tcPr>
            <w:tcW w:w="471" w:type="pct"/>
            <w:vAlign w:val="center"/>
          </w:tcPr>
          <w:p w:rsidR="00442B62" w:rsidRPr="00DE6EBD" w:rsidRDefault="00442B62" w:rsidP="005D47BD">
            <w:pPr>
              <w:keepNext/>
              <w:widowControl/>
              <w:jc w:val="left"/>
              <w:rPr>
                <w:rFonts w:ascii="Arial Narrow" w:hAnsi="Arial Narrow"/>
                <w:snapToGrid/>
                <w:sz w:val="20"/>
                <w:szCs w:val="18"/>
              </w:rPr>
            </w:pPr>
            <w:r w:rsidRPr="00DE6EBD">
              <w:rPr>
                <w:rFonts w:ascii="Arial Narrow" w:hAnsi="Arial Narrow"/>
                <w:snapToGrid/>
                <w:sz w:val="20"/>
                <w:szCs w:val="18"/>
              </w:rPr>
              <w:t>56 (22.6)</w:t>
            </w:r>
          </w:p>
        </w:tc>
        <w:tc>
          <w:tcPr>
            <w:tcW w:w="463" w:type="pct"/>
            <w:vAlign w:val="center"/>
          </w:tcPr>
          <w:p w:rsidR="00442B62" w:rsidRPr="00DE6EBD" w:rsidRDefault="00442B62" w:rsidP="005D47BD">
            <w:pPr>
              <w:keepNext/>
              <w:widowControl/>
              <w:jc w:val="left"/>
              <w:rPr>
                <w:rFonts w:ascii="Arial Narrow" w:hAnsi="Arial Narrow"/>
                <w:snapToGrid/>
                <w:sz w:val="20"/>
                <w:szCs w:val="18"/>
              </w:rPr>
            </w:pPr>
            <w:r w:rsidRPr="00DE6EBD">
              <w:rPr>
                <w:rFonts w:ascii="Arial Narrow" w:hAnsi="Arial Narrow"/>
                <w:snapToGrid/>
                <w:sz w:val="20"/>
                <w:szCs w:val="18"/>
              </w:rPr>
              <w:t xml:space="preserve">8 </w:t>
            </w:r>
          </w:p>
          <w:p w:rsidR="00442B62" w:rsidRPr="00DE6EBD" w:rsidRDefault="00442B62" w:rsidP="005D47BD">
            <w:pPr>
              <w:keepNext/>
              <w:widowControl/>
              <w:jc w:val="left"/>
              <w:rPr>
                <w:rFonts w:ascii="Arial Narrow" w:hAnsi="Arial Narrow"/>
                <w:snapToGrid/>
                <w:sz w:val="20"/>
                <w:szCs w:val="18"/>
              </w:rPr>
            </w:pPr>
            <w:r w:rsidRPr="00DE6EBD">
              <w:rPr>
                <w:rFonts w:ascii="Arial Narrow" w:hAnsi="Arial Narrow"/>
                <w:snapToGrid/>
                <w:sz w:val="20"/>
                <w:szCs w:val="18"/>
              </w:rPr>
              <w:t>(6.8)</w:t>
            </w:r>
          </w:p>
        </w:tc>
        <w:tc>
          <w:tcPr>
            <w:tcW w:w="596" w:type="pct"/>
            <w:vAlign w:val="center"/>
          </w:tcPr>
          <w:p w:rsidR="00442B62" w:rsidRPr="00DE6EBD" w:rsidRDefault="00442B62" w:rsidP="005D47BD">
            <w:pPr>
              <w:keepNext/>
              <w:widowControl/>
              <w:jc w:val="left"/>
              <w:rPr>
                <w:rFonts w:ascii="Arial Narrow" w:hAnsi="Arial Narrow"/>
                <w:snapToGrid/>
                <w:sz w:val="20"/>
                <w:szCs w:val="18"/>
              </w:rPr>
            </w:pPr>
            <w:r w:rsidRPr="00DE6EBD">
              <w:rPr>
                <w:rFonts w:ascii="Arial Narrow" w:hAnsi="Arial Narrow"/>
                <w:snapToGrid/>
                <w:sz w:val="20"/>
                <w:szCs w:val="18"/>
              </w:rPr>
              <w:t xml:space="preserve">3.30 </w:t>
            </w:r>
          </w:p>
          <w:p w:rsidR="00442B62" w:rsidRPr="00DE6EBD" w:rsidRDefault="00442B62" w:rsidP="005D47BD">
            <w:pPr>
              <w:keepNext/>
              <w:widowControl/>
              <w:jc w:val="left"/>
              <w:rPr>
                <w:rFonts w:ascii="Arial Narrow" w:hAnsi="Arial Narrow"/>
                <w:snapToGrid/>
                <w:sz w:val="20"/>
                <w:szCs w:val="18"/>
              </w:rPr>
            </w:pPr>
            <w:r w:rsidRPr="00DE6EBD">
              <w:rPr>
                <w:rFonts w:ascii="Arial Narrow" w:hAnsi="Arial Narrow"/>
                <w:snapToGrid/>
                <w:sz w:val="20"/>
                <w:szCs w:val="18"/>
              </w:rPr>
              <w:t>(1.63,6.70)</w:t>
            </w:r>
          </w:p>
        </w:tc>
        <w:tc>
          <w:tcPr>
            <w:tcW w:w="674" w:type="pct"/>
            <w:vAlign w:val="center"/>
          </w:tcPr>
          <w:p w:rsidR="00442B62" w:rsidRPr="00DE6EBD" w:rsidRDefault="00442B62" w:rsidP="005D47BD">
            <w:pPr>
              <w:keepNext/>
              <w:widowControl/>
              <w:jc w:val="left"/>
              <w:rPr>
                <w:rFonts w:ascii="Arial Narrow" w:hAnsi="Arial Narrow"/>
                <w:snapToGrid/>
                <w:sz w:val="20"/>
                <w:szCs w:val="18"/>
              </w:rPr>
            </w:pPr>
            <w:r w:rsidRPr="00DE6EBD">
              <w:rPr>
                <w:rFonts w:ascii="Arial Narrow" w:hAnsi="Arial Narrow"/>
                <w:snapToGrid/>
                <w:sz w:val="20"/>
                <w:szCs w:val="18"/>
              </w:rPr>
              <w:t xml:space="preserve">0.16 </w:t>
            </w:r>
          </w:p>
          <w:p w:rsidR="00442B62" w:rsidRPr="00DE6EBD" w:rsidRDefault="00442B62" w:rsidP="005D47BD">
            <w:pPr>
              <w:keepNext/>
              <w:widowControl/>
              <w:jc w:val="left"/>
              <w:rPr>
                <w:rFonts w:ascii="Arial Narrow" w:hAnsi="Arial Narrow"/>
                <w:snapToGrid/>
                <w:sz w:val="20"/>
                <w:szCs w:val="18"/>
              </w:rPr>
            </w:pPr>
            <w:r w:rsidRPr="00DE6EBD">
              <w:rPr>
                <w:rFonts w:ascii="Arial Narrow" w:hAnsi="Arial Narrow"/>
                <w:snapToGrid/>
                <w:sz w:val="20"/>
                <w:szCs w:val="18"/>
              </w:rPr>
              <w:t>(0.09, 0.23)</w:t>
            </w:r>
          </w:p>
        </w:tc>
        <w:tc>
          <w:tcPr>
            <w:tcW w:w="763" w:type="pct"/>
            <w:vAlign w:val="center"/>
          </w:tcPr>
          <w:p w:rsidR="00442B62" w:rsidRPr="00DE6EBD" w:rsidRDefault="00442B62" w:rsidP="005D47BD">
            <w:pPr>
              <w:keepNext/>
              <w:widowControl/>
              <w:jc w:val="left"/>
              <w:rPr>
                <w:rFonts w:ascii="Arial Narrow" w:hAnsi="Arial Narrow"/>
                <w:snapToGrid/>
                <w:sz w:val="20"/>
                <w:szCs w:val="18"/>
              </w:rPr>
            </w:pPr>
            <w:r w:rsidRPr="00DE6EBD">
              <w:rPr>
                <w:rFonts w:ascii="Arial Narrow" w:hAnsi="Arial Narrow"/>
                <w:snapToGrid/>
                <w:sz w:val="20"/>
                <w:szCs w:val="18"/>
              </w:rPr>
              <w:t xml:space="preserve">6.35 </w:t>
            </w:r>
          </w:p>
          <w:p w:rsidR="00442B62" w:rsidRPr="00DE6EBD" w:rsidRDefault="00442B62" w:rsidP="005D47BD">
            <w:pPr>
              <w:keepNext/>
              <w:widowControl/>
              <w:jc w:val="left"/>
              <w:rPr>
                <w:rFonts w:ascii="Arial Narrow" w:hAnsi="Arial Narrow"/>
                <w:snapToGrid/>
                <w:sz w:val="20"/>
                <w:szCs w:val="18"/>
              </w:rPr>
            </w:pPr>
            <w:r w:rsidRPr="00DE6EBD">
              <w:rPr>
                <w:rFonts w:ascii="Arial Narrow" w:hAnsi="Arial Narrow"/>
                <w:snapToGrid/>
                <w:sz w:val="20"/>
                <w:szCs w:val="18"/>
              </w:rPr>
              <w:t>(11.36, 4.41)</w:t>
            </w:r>
          </w:p>
        </w:tc>
        <w:tc>
          <w:tcPr>
            <w:tcW w:w="635" w:type="pct"/>
            <w:vAlign w:val="center"/>
          </w:tcPr>
          <w:p w:rsidR="00442B62" w:rsidRPr="00DE6EBD" w:rsidRDefault="00442B62" w:rsidP="005D47BD">
            <w:pPr>
              <w:keepNext/>
              <w:widowControl/>
              <w:jc w:val="left"/>
              <w:rPr>
                <w:rFonts w:ascii="Arial Narrow" w:hAnsi="Arial Narrow"/>
                <w:snapToGrid/>
                <w:sz w:val="20"/>
                <w:szCs w:val="18"/>
              </w:rPr>
            </w:pPr>
            <w:r w:rsidRPr="00DE6EBD">
              <w:rPr>
                <w:rFonts w:ascii="Arial Narrow" w:hAnsi="Arial Narrow"/>
                <w:snapToGrid/>
                <w:sz w:val="20"/>
                <w:szCs w:val="18"/>
              </w:rPr>
              <w:t xml:space="preserve">40 </w:t>
            </w:r>
          </w:p>
          <w:p w:rsidR="00442B62" w:rsidRPr="00DE6EBD" w:rsidRDefault="00442B62" w:rsidP="005D47BD">
            <w:pPr>
              <w:keepNext/>
              <w:widowControl/>
              <w:jc w:val="left"/>
              <w:rPr>
                <w:rFonts w:ascii="Arial Narrow" w:hAnsi="Arial Narrow"/>
                <w:snapToGrid/>
                <w:sz w:val="20"/>
                <w:szCs w:val="18"/>
              </w:rPr>
            </w:pPr>
            <w:r w:rsidRPr="00DE6EBD">
              <w:rPr>
                <w:rFonts w:ascii="Arial Narrow" w:hAnsi="Arial Narrow"/>
                <w:snapToGrid/>
                <w:sz w:val="20"/>
                <w:szCs w:val="18"/>
              </w:rPr>
              <w:t>(22.0)</w:t>
            </w:r>
          </w:p>
        </w:tc>
        <w:tc>
          <w:tcPr>
            <w:tcW w:w="635" w:type="pct"/>
            <w:vAlign w:val="center"/>
          </w:tcPr>
          <w:p w:rsidR="00442B62" w:rsidRPr="00DE6EBD" w:rsidRDefault="00442B62" w:rsidP="005D47BD">
            <w:pPr>
              <w:keepNext/>
              <w:widowControl/>
              <w:jc w:val="left"/>
              <w:rPr>
                <w:rFonts w:ascii="Arial Narrow" w:hAnsi="Arial Narrow"/>
                <w:snapToGrid/>
                <w:sz w:val="20"/>
                <w:szCs w:val="18"/>
              </w:rPr>
            </w:pPr>
            <w:r w:rsidRPr="00DE6EBD">
              <w:rPr>
                <w:rFonts w:ascii="Arial Narrow" w:hAnsi="Arial Narrow"/>
                <w:snapToGrid/>
                <w:sz w:val="20"/>
                <w:szCs w:val="18"/>
              </w:rPr>
              <w:t xml:space="preserve">16 </w:t>
            </w:r>
          </w:p>
          <w:p w:rsidR="00442B62" w:rsidRPr="00DE6EBD" w:rsidRDefault="00442B62" w:rsidP="005D47BD">
            <w:pPr>
              <w:keepNext/>
              <w:widowControl/>
              <w:jc w:val="left"/>
              <w:rPr>
                <w:rFonts w:ascii="Arial Narrow" w:hAnsi="Arial Narrow"/>
                <w:snapToGrid/>
                <w:sz w:val="20"/>
                <w:szCs w:val="18"/>
              </w:rPr>
            </w:pPr>
            <w:r w:rsidRPr="00DE6EBD">
              <w:rPr>
                <w:rFonts w:ascii="Arial Narrow" w:hAnsi="Arial Narrow"/>
                <w:snapToGrid/>
                <w:sz w:val="20"/>
                <w:szCs w:val="18"/>
              </w:rPr>
              <w:t>(24.2)</w:t>
            </w:r>
          </w:p>
        </w:tc>
      </w:tr>
    </w:tbl>
    <w:p w:rsidR="00442B62" w:rsidRPr="00DE6EBD" w:rsidRDefault="00442B62" w:rsidP="005D47BD">
      <w:pPr>
        <w:keepNext/>
        <w:widowControl/>
        <w:ind w:left="720" w:right="-46"/>
        <w:jc w:val="left"/>
        <w:rPr>
          <w:rFonts w:ascii="Arial Narrow" w:eastAsia="SimSun" w:hAnsi="Arial Narrow"/>
          <w:snapToGrid/>
          <w:sz w:val="18"/>
          <w:szCs w:val="18"/>
          <w:lang w:eastAsia="zh-CN"/>
        </w:rPr>
      </w:pPr>
      <w:r w:rsidRPr="00DE6EBD">
        <w:rPr>
          <w:rFonts w:ascii="Arial Narrow" w:eastAsia="SimSun" w:hAnsi="Arial Narrow"/>
          <w:snapToGrid/>
          <w:sz w:val="18"/>
          <w:szCs w:val="18"/>
          <w:lang w:eastAsia="zh-CN"/>
        </w:rPr>
        <w:t xml:space="preserve">Abbreviations: AE, adverse event; RR, relative risk; RD, risk difference; NNH, number needed to harm; VFL, </w:t>
      </w:r>
      <w:proofErr w:type="spellStart"/>
      <w:r w:rsidRPr="00DE6EBD">
        <w:rPr>
          <w:rFonts w:ascii="Arial Narrow" w:eastAsia="SimSun" w:hAnsi="Arial Narrow"/>
          <w:snapToGrid/>
          <w:sz w:val="18"/>
          <w:szCs w:val="18"/>
          <w:lang w:eastAsia="zh-CN"/>
        </w:rPr>
        <w:t>vinflunine</w:t>
      </w:r>
      <w:proofErr w:type="spellEnd"/>
      <w:r w:rsidRPr="00DE6EBD">
        <w:rPr>
          <w:rFonts w:ascii="Arial Narrow" w:eastAsia="SimSun" w:hAnsi="Arial Narrow"/>
          <w:snapToGrid/>
          <w:sz w:val="18"/>
          <w:szCs w:val="18"/>
          <w:lang w:eastAsia="zh-CN"/>
        </w:rPr>
        <w:t xml:space="preserve">; BSC, best supportive care; SAE, serious adverse event; CI, Confidence Interval; </w:t>
      </w:r>
      <w:proofErr w:type="spellStart"/>
      <w:r w:rsidRPr="00DE6EBD">
        <w:rPr>
          <w:rFonts w:ascii="Arial Narrow" w:eastAsia="SimSun" w:hAnsi="Arial Narrow"/>
          <w:snapToGrid/>
          <w:sz w:val="18"/>
          <w:szCs w:val="18"/>
          <w:lang w:eastAsia="zh-CN"/>
        </w:rPr>
        <w:t>n.c.</w:t>
      </w:r>
      <w:proofErr w:type="spellEnd"/>
      <w:r w:rsidRPr="00DE6EBD">
        <w:rPr>
          <w:rFonts w:ascii="Arial Narrow" w:eastAsia="SimSun" w:hAnsi="Arial Narrow"/>
          <w:snapToGrid/>
          <w:sz w:val="18"/>
          <w:szCs w:val="18"/>
          <w:lang w:eastAsia="zh-CN"/>
        </w:rPr>
        <w:t>, not calculable.</w:t>
      </w:r>
    </w:p>
    <w:p w:rsidR="00442B62" w:rsidRPr="00DE6EBD" w:rsidRDefault="00442B62" w:rsidP="005D47BD">
      <w:pPr>
        <w:keepNext/>
        <w:widowControl/>
        <w:ind w:right="-614" w:firstLine="720"/>
        <w:jc w:val="left"/>
        <w:rPr>
          <w:rFonts w:ascii="Arial Narrow" w:eastAsia="SimSun" w:hAnsi="Arial Narrow"/>
          <w:snapToGrid/>
          <w:sz w:val="18"/>
          <w:szCs w:val="18"/>
          <w:lang w:eastAsia="zh-CN"/>
        </w:rPr>
      </w:pPr>
      <w:r w:rsidRPr="00DE6EBD">
        <w:rPr>
          <w:rFonts w:ascii="Arial Narrow" w:eastAsia="SimSun" w:hAnsi="Arial Narrow"/>
          <w:snapToGrid/>
          <w:sz w:val="18"/>
          <w:szCs w:val="18"/>
          <w:lang w:eastAsia="zh-CN"/>
        </w:rPr>
        <w:t xml:space="preserve">Notes: </w:t>
      </w:r>
      <w:proofErr w:type="gramStart"/>
      <w:r w:rsidRPr="00DE6EBD">
        <w:rPr>
          <w:rFonts w:ascii="Arial Narrow" w:eastAsia="SimSun" w:hAnsi="Arial Narrow"/>
          <w:snapToGrid/>
          <w:sz w:val="18"/>
          <w:szCs w:val="18"/>
          <w:lang w:eastAsia="zh-CN"/>
        </w:rPr>
        <w:t>a Within 30 days</w:t>
      </w:r>
      <w:proofErr w:type="gramEnd"/>
      <w:r w:rsidRPr="00DE6EBD">
        <w:rPr>
          <w:rFonts w:ascii="Arial Narrow" w:eastAsia="SimSun" w:hAnsi="Arial Narrow"/>
          <w:snapToGrid/>
          <w:sz w:val="18"/>
          <w:szCs w:val="18"/>
          <w:lang w:eastAsia="zh-CN"/>
        </w:rPr>
        <w:t xml:space="preserve"> of the last dose (VFL+BSC group) or within 30 days of the last visit (BSC group).</w:t>
      </w:r>
    </w:p>
    <w:p w:rsidR="00442B62" w:rsidRPr="00DE6EBD" w:rsidRDefault="00442B62" w:rsidP="005D47BD">
      <w:pPr>
        <w:keepNext/>
        <w:widowControl/>
        <w:ind w:right="-614" w:firstLine="720"/>
        <w:jc w:val="left"/>
        <w:rPr>
          <w:rFonts w:ascii="Arial Narrow" w:eastAsia="SimSun" w:hAnsi="Arial Narrow"/>
          <w:snapToGrid/>
          <w:sz w:val="18"/>
          <w:szCs w:val="18"/>
          <w:lang w:eastAsia="zh-CN"/>
        </w:rPr>
      </w:pPr>
      <w:r w:rsidRPr="00DE6EBD">
        <w:rPr>
          <w:rFonts w:ascii="Arial Narrow" w:eastAsia="SimSun" w:hAnsi="Arial Narrow"/>
          <w:snapToGrid/>
          <w:sz w:val="18"/>
          <w:szCs w:val="18"/>
          <w:lang w:eastAsia="zh-CN"/>
        </w:rPr>
        <w:t>Source: Table B.6.3, of the commentary</w:t>
      </w:r>
    </w:p>
    <w:p w:rsidR="00442B62" w:rsidRPr="00DE6EBD" w:rsidRDefault="00442B62" w:rsidP="00442B62">
      <w:pPr>
        <w:ind w:left="709"/>
        <w:contextualSpacing/>
        <w:rPr>
          <w:szCs w:val="22"/>
        </w:rPr>
      </w:pPr>
    </w:p>
    <w:p w:rsidR="00442B62" w:rsidRPr="00DE6EBD" w:rsidRDefault="00442B62" w:rsidP="00422A51">
      <w:pPr>
        <w:widowControl/>
        <w:numPr>
          <w:ilvl w:val="1"/>
          <w:numId w:val="2"/>
        </w:numPr>
        <w:contextualSpacing/>
        <w:rPr>
          <w:szCs w:val="22"/>
        </w:rPr>
      </w:pPr>
      <w:r w:rsidRPr="00DE6EBD">
        <w:rPr>
          <w:szCs w:val="22"/>
        </w:rPr>
        <w:t xml:space="preserve">The adverse events that were experienced by at least 10% of the patient population, and at a statistically significantly higher rate in those receiving </w:t>
      </w:r>
      <w:proofErr w:type="spellStart"/>
      <w:r w:rsidRPr="00DE6EBD">
        <w:rPr>
          <w:szCs w:val="22"/>
        </w:rPr>
        <w:t>vinflunine</w:t>
      </w:r>
      <w:proofErr w:type="spellEnd"/>
      <w:r w:rsidRPr="00DE6EBD">
        <w:rPr>
          <w:szCs w:val="22"/>
        </w:rPr>
        <w:t xml:space="preserve">, were abdominal pain, constipation, diarrhoea, nausea, stomatitis, vomiting, fatigue, injection site reactions, weight decrease, anorexia, myalgia, headaches, peripheral sensory neuropathy and alopecia. The Grade III/IV adverse events experienced at higher rates in the </w:t>
      </w:r>
      <w:proofErr w:type="spellStart"/>
      <w:r w:rsidRPr="00DE6EBD">
        <w:rPr>
          <w:szCs w:val="22"/>
        </w:rPr>
        <w:t>vinflunine</w:t>
      </w:r>
      <w:proofErr w:type="spellEnd"/>
      <w:r w:rsidRPr="00DE6EBD">
        <w:rPr>
          <w:szCs w:val="22"/>
        </w:rPr>
        <w:t xml:space="preserve"> arm were abdominal pain, constipation, nausea, vomiting, fatigue, infestations and infections, anorexia, myalgia and headache.</w:t>
      </w:r>
    </w:p>
    <w:p w:rsidR="00442B62" w:rsidRPr="00DE6EBD" w:rsidRDefault="00442B62" w:rsidP="00442B62">
      <w:pPr>
        <w:widowControl/>
        <w:ind w:left="720"/>
        <w:contextualSpacing/>
        <w:rPr>
          <w:szCs w:val="22"/>
        </w:rPr>
      </w:pPr>
    </w:p>
    <w:p w:rsidR="00442B62" w:rsidRPr="00DE6EBD" w:rsidRDefault="00442B62" w:rsidP="00422A51">
      <w:pPr>
        <w:widowControl/>
        <w:numPr>
          <w:ilvl w:val="1"/>
          <w:numId w:val="2"/>
        </w:numPr>
        <w:contextualSpacing/>
        <w:rPr>
          <w:szCs w:val="22"/>
        </w:rPr>
      </w:pPr>
      <w:r w:rsidRPr="00DE6EBD">
        <w:rPr>
          <w:szCs w:val="22"/>
        </w:rPr>
        <w:t xml:space="preserve">One death due to pancytopenia was reported as directly related to </w:t>
      </w:r>
      <w:proofErr w:type="spellStart"/>
      <w:r w:rsidRPr="00DE6EBD">
        <w:rPr>
          <w:szCs w:val="22"/>
        </w:rPr>
        <w:t>vinflunine</w:t>
      </w:r>
      <w:proofErr w:type="spellEnd"/>
      <w:r w:rsidRPr="00DE6EBD">
        <w:rPr>
          <w:szCs w:val="22"/>
        </w:rPr>
        <w:t xml:space="preserve">. Sixteen patients (6%) in the </w:t>
      </w:r>
      <w:proofErr w:type="spellStart"/>
      <w:r w:rsidRPr="00DE6EBD">
        <w:rPr>
          <w:szCs w:val="22"/>
        </w:rPr>
        <w:t>vinflunine</w:t>
      </w:r>
      <w:proofErr w:type="spellEnd"/>
      <w:r w:rsidRPr="00DE6EBD">
        <w:rPr>
          <w:szCs w:val="22"/>
        </w:rPr>
        <w:t xml:space="preserve"> group, and 1 patient (1%) in the BSC group, died within 30 days of either the final </w:t>
      </w:r>
      <w:proofErr w:type="spellStart"/>
      <w:r w:rsidRPr="00DE6EBD">
        <w:rPr>
          <w:szCs w:val="22"/>
        </w:rPr>
        <w:t>vinflunine</w:t>
      </w:r>
      <w:proofErr w:type="spellEnd"/>
      <w:r w:rsidRPr="00DE6EBD">
        <w:rPr>
          <w:szCs w:val="22"/>
        </w:rPr>
        <w:t xml:space="preserve"> dose (for the intervention arm) or the final visit (for the BSC arm) for reasons other than progressive disease.</w:t>
      </w:r>
    </w:p>
    <w:p w:rsidR="00442B62" w:rsidRPr="00DE6EBD" w:rsidRDefault="00442B62" w:rsidP="00442B62">
      <w:pPr>
        <w:widowControl/>
        <w:ind w:left="720"/>
        <w:contextualSpacing/>
        <w:rPr>
          <w:szCs w:val="22"/>
        </w:rPr>
      </w:pPr>
    </w:p>
    <w:p w:rsidR="00442B62" w:rsidRPr="00DE6EBD" w:rsidRDefault="00442B62" w:rsidP="00422A51">
      <w:pPr>
        <w:widowControl/>
        <w:numPr>
          <w:ilvl w:val="1"/>
          <w:numId w:val="2"/>
        </w:numPr>
        <w:contextualSpacing/>
        <w:rPr>
          <w:szCs w:val="22"/>
        </w:rPr>
      </w:pPr>
      <w:r w:rsidRPr="00DE6EBD">
        <w:t xml:space="preserve">The re-submission stated in comparison to gemcitabine monotherapy, gemcitabine combination regimens, taxane regimens and MVAC, ‘the safety profile of </w:t>
      </w:r>
      <w:proofErr w:type="spellStart"/>
      <w:r w:rsidRPr="00DE6EBD">
        <w:t>vinflunine</w:t>
      </w:r>
      <w:proofErr w:type="spellEnd"/>
      <w:r w:rsidRPr="00DE6EBD">
        <w:t xml:space="preserve"> is </w:t>
      </w:r>
      <w:r w:rsidRPr="00DE6EBD">
        <w:lastRenderedPageBreak/>
        <w:t>relatively mild’ (re-submission, Attachment A, p25). A systematic comparison of the specific AEs and their incidence was not presented in the re-submission.</w:t>
      </w:r>
      <w:r w:rsidRPr="00DE6EBD">
        <w:rPr>
          <w:szCs w:val="22"/>
        </w:rPr>
        <w:t xml:space="preserve"> </w:t>
      </w:r>
    </w:p>
    <w:p w:rsidR="00B8116C" w:rsidRPr="00DE6EBD" w:rsidRDefault="00B8116C" w:rsidP="00B8116C">
      <w:pPr>
        <w:pStyle w:val="ListParagraph"/>
        <w:rPr>
          <w:szCs w:val="22"/>
        </w:rPr>
      </w:pPr>
    </w:p>
    <w:p w:rsidR="00B8116C" w:rsidRPr="00DE6EBD" w:rsidRDefault="00B8116C" w:rsidP="00422A51">
      <w:pPr>
        <w:widowControl/>
        <w:numPr>
          <w:ilvl w:val="1"/>
          <w:numId w:val="2"/>
        </w:numPr>
        <w:contextualSpacing/>
        <w:rPr>
          <w:szCs w:val="22"/>
        </w:rPr>
      </w:pPr>
      <w:r w:rsidRPr="00DE6EBD">
        <w:rPr>
          <w:szCs w:val="22"/>
        </w:rPr>
        <w:t>The PSCR (Table 1) provided a comparison of grade 3/4 AEs in Study 302 and studies of active chemotherapy. The ESC noted that rates of grade 3/4 neutropenia (50%), thrombocy</w:t>
      </w:r>
      <w:r w:rsidR="00DD0671" w:rsidRPr="00DE6EBD">
        <w:rPr>
          <w:szCs w:val="22"/>
        </w:rPr>
        <w:t>topenia (5.7%) and anaemia (19%)</w:t>
      </w:r>
      <w:r w:rsidRPr="00DE6EBD">
        <w:rPr>
          <w:szCs w:val="22"/>
        </w:rPr>
        <w:t xml:space="preserve"> </w:t>
      </w:r>
      <w:r w:rsidR="00DD0671" w:rsidRPr="00DE6EBD">
        <w:rPr>
          <w:szCs w:val="22"/>
        </w:rPr>
        <w:t>(</w:t>
      </w:r>
      <w:proofErr w:type="gramStart"/>
      <w:r w:rsidRPr="00DE6EBD">
        <w:rPr>
          <w:szCs w:val="22"/>
        </w:rPr>
        <w:t>though</w:t>
      </w:r>
      <w:proofErr w:type="gramEnd"/>
      <w:r w:rsidRPr="00DE6EBD">
        <w:rPr>
          <w:szCs w:val="22"/>
        </w:rPr>
        <w:t xml:space="preserve"> not provided in the table but extrapolated from the study report</w:t>
      </w:r>
      <w:r w:rsidR="00DD0671" w:rsidRPr="00DE6EBD">
        <w:rPr>
          <w:szCs w:val="22"/>
        </w:rPr>
        <w:t>)</w:t>
      </w:r>
      <w:r w:rsidRPr="00DE6EBD">
        <w:rPr>
          <w:szCs w:val="22"/>
        </w:rPr>
        <w:t xml:space="preserve"> and non-</w:t>
      </w:r>
      <w:proofErr w:type="spellStart"/>
      <w:r w:rsidRPr="00DE6EBD">
        <w:rPr>
          <w:szCs w:val="22"/>
        </w:rPr>
        <w:t>haematologic</w:t>
      </w:r>
      <w:proofErr w:type="spellEnd"/>
      <w:r w:rsidRPr="00DE6EBD">
        <w:rPr>
          <w:szCs w:val="22"/>
        </w:rPr>
        <w:t xml:space="preserve"> AEs for </w:t>
      </w:r>
      <w:proofErr w:type="spellStart"/>
      <w:r w:rsidRPr="00DE6EBD">
        <w:rPr>
          <w:szCs w:val="22"/>
        </w:rPr>
        <w:t>vinflunine</w:t>
      </w:r>
      <w:proofErr w:type="spellEnd"/>
      <w:r w:rsidRPr="00DE6EBD">
        <w:rPr>
          <w:szCs w:val="22"/>
        </w:rPr>
        <w:t xml:space="preserve"> were within the range of grade 3/4 AEs reported for studies of active chemotherapy. The PSCR (Table 2) also provided a comparison of grade 3/4 AEs between Study 302 and observational studies of </w:t>
      </w:r>
      <w:proofErr w:type="spellStart"/>
      <w:r w:rsidRPr="00DE6EBD">
        <w:rPr>
          <w:szCs w:val="22"/>
        </w:rPr>
        <w:t>vinflunine</w:t>
      </w:r>
      <w:proofErr w:type="spellEnd"/>
      <w:r w:rsidRPr="00DE6EBD">
        <w:rPr>
          <w:szCs w:val="22"/>
        </w:rPr>
        <w:t>, which did not find worse AEs in a non-trial setting. The ESC however disagreed with the assertion that ‘</w:t>
      </w:r>
      <w:r w:rsidRPr="00DE6EBD">
        <w:t xml:space="preserve">the safety profile of </w:t>
      </w:r>
      <w:proofErr w:type="spellStart"/>
      <w:r w:rsidRPr="00DE6EBD">
        <w:t>vinflunine</w:t>
      </w:r>
      <w:proofErr w:type="spellEnd"/>
      <w:r w:rsidRPr="00DE6EBD">
        <w:t xml:space="preserve"> is relatively mild’.</w:t>
      </w:r>
      <w:r w:rsidRPr="00DE6EBD">
        <w:rPr>
          <w:szCs w:val="22"/>
        </w:rPr>
        <w:t xml:space="preserve"> </w:t>
      </w:r>
    </w:p>
    <w:p w:rsidR="00442B62" w:rsidRPr="00DE6EBD" w:rsidRDefault="00442B62" w:rsidP="00442B62">
      <w:pPr>
        <w:ind w:left="709"/>
        <w:contextualSpacing/>
        <w:rPr>
          <w:szCs w:val="22"/>
        </w:rPr>
      </w:pPr>
    </w:p>
    <w:p w:rsidR="00442B62" w:rsidRPr="00DE6EBD" w:rsidRDefault="00442B62" w:rsidP="00B13D9E">
      <w:pPr>
        <w:pStyle w:val="Heading2"/>
      </w:pPr>
      <w:bookmarkStart w:id="19" w:name="_Toc428304034"/>
      <w:r w:rsidRPr="00DE6EBD">
        <w:t>Benefits/harms</w:t>
      </w:r>
      <w:bookmarkEnd w:id="19"/>
    </w:p>
    <w:p w:rsidR="00442B62" w:rsidRPr="00DE6EBD" w:rsidRDefault="00442B62" w:rsidP="00422A51">
      <w:pPr>
        <w:widowControl/>
        <w:numPr>
          <w:ilvl w:val="1"/>
          <w:numId w:val="2"/>
        </w:numPr>
        <w:contextualSpacing/>
      </w:pPr>
      <w:r w:rsidRPr="00DE6EBD">
        <w:t xml:space="preserve">A summary of comparative benefits and harms for </w:t>
      </w:r>
      <w:proofErr w:type="spellStart"/>
      <w:r w:rsidRPr="00DE6EBD">
        <w:t>vinflunine</w:t>
      </w:r>
      <w:proofErr w:type="spellEnd"/>
      <w:r w:rsidRPr="00DE6EBD">
        <w:t xml:space="preserve"> + BSC versus BSC is presented in the Table 6. </w:t>
      </w:r>
    </w:p>
    <w:p w:rsidR="00442B62" w:rsidRPr="00DE6EBD" w:rsidRDefault="00442B62" w:rsidP="00442B62">
      <w:pPr>
        <w:widowControl/>
      </w:pPr>
    </w:p>
    <w:p w:rsidR="00442B62" w:rsidRPr="00DE6EBD" w:rsidRDefault="00442B62" w:rsidP="005D47BD">
      <w:pPr>
        <w:widowControl/>
        <w:ind w:firstLine="720"/>
        <w:jc w:val="left"/>
        <w:rPr>
          <w:rFonts w:ascii="Arial Narrow" w:hAnsi="Arial Narrow"/>
          <w:b/>
          <w:sz w:val="20"/>
          <w:szCs w:val="16"/>
        </w:rPr>
      </w:pPr>
      <w:r w:rsidRPr="00DE6EBD">
        <w:rPr>
          <w:rFonts w:ascii="Arial Narrow" w:hAnsi="Arial Narrow"/>
          <w:b/>
          <w:sz w:val="20"/>
          <w:szCs w:val="16"/>
        </w:rPr>
        <w:t xml:space="preserve">Table 6: Summary of comparative benefits and harms for </w:t>
      </w:r>
      <w:proofErr w:type="spellStart"/>
      <w:r w:rsidRPr="00DE6EBD">
        <w:rPr>
          <w:rFonts w:ascii="Arial Narrow" w:hAnsi="Arial Narrow"/>
          <w:b/>
          <w:sz w:val="20"/>
          <w:szCs w:val="16"/>
        </w:rPr>
        <w:t>vinflunine</w:t>
      </w:r>
      <w:proofErr w:type="spellEnd"/>
      <w:r w:rsidRPr="00DE6EBD">
        <w:rPr>
          <w:rFonts w:ascii="Arial Narrow" w:hAnsi="Arial Narrow"/>
          <w:b/>
          <w:sz w:val="20"/>
          <w:szCs w:val="16"/>
        </w:rPr>
        <w:t xml:space="preserve"> + BSC and BSC</w:t>
      </w:r>
    </w:p>
    <w:tbl>
      <w:tblPr>
        <w:tblStyle w:val="TableGrid"/>
        <w:tblW w:w="4700" w:type="pct"/>
        <w:tblInd w:w="698" w:type="dxa"/>
        <w:tblLayout w:type="fixed"/>
        <w:tblCellMar>
          <w:left w:w="28" w:type="dxa"/>
          <w:right w:w="28" w:type="dxa"/>
        </w:tblCellMar>
        <w:tblLook w:val="04A0" w:firstRow="1" w:lastRow="0" w:firstColumn="1" w:lastColumn="0" w:noHBand="0" w:noVBand="1"/>
        <w:tblCaption w:val="Table 6: Summary of comparative benefits and harms for vinflunine + BSC and BSC"/>
      </w:tblPr>
      <w:tblGrid>
        <w:gridCol w:w="1740"/>
        <w:gridCol w:w="142"/>
        <w:gridCol w:w="709"/>
        <w:gridCol w:w="715"/>
        <w:gridCol w:w="55"/>
        <w:gridCol w:w="1651"/>
        <w:gridCol w:w="1130"/>
        <w:gridCol w:w="628"/>
        <w:gridCol w:w="362"/>
        <w:gridCol w:w="1405"/>
      </w:tblGrid>
      <w:tr w:rsidR="00442B62" w:rsidRPr="00DE6EBD" w:rsidTr="005757F7">
        <w:trPr>
          <w:tblHeader/>
        </w:trPr>
        <w:tc>
          <w:tcPr>
            <w:tcW w:w="5000" w:type="pct"/>
            <w:gridSpan w:val="10"/>
            <w:shd w:val="clear" w:color="auto" w:fill="auto"/>
            <w:vAlign w:val="center"/>
          </w:tcPr>
          <w:p w:rsidR="00442B62" w:rsidRPr="00DE6EBD" w:rsidRDefault="00442B62" w:rsidP="00442B62">
            <w:pPr>
              <w:rPr>
                <w:rFonts w:ascii="Arial Narrow" w:hAnsi="Arial Narrow"/>
                <w:b/>
                <w:color w:val="000000"/>
                <w:sz w:val="20"/>
                <w:szCs w:val="18"/>
              </w:rPr>
            </w:pPr>
            <w:r w:rsidRPr="00DE6EBD">
              <w:rPr>
                <w:rFonts w:ascii="Arial Narrow" w:hAnsi="Arial Narrow"/>
                <w:b/>
                <w:color w:val="000000"/>
                <w:sz w:val="20"/>
                <w:szCs w:val="18"/>
              </w:rPr>
              <w:t>Benefits</w:t>
            </w:r>
          </w:p>
        </w:tc>
      </w:tr>
      <w:tr w:rsidR="00442B62" w:rsidRPr="00DE6EBD" w:rsidTr="008A08B8">
        <w:tc>
          <w:tcPr>
            <w:tcW w:w="5000" w:type="pct"/>
            <w:gridSpan w:val="10"/>
            <w:shd w:val="clear" w:color="auto" w:fill="auto"/>
            <w:vAlign w:val="center"/>
          </w:tcPr>
          <w:p w:rsidR="00442B62" w:rsidRPr="00DE6EBD" w:rsidRDefault="00442B62" w:rsidP="00442B62">
            <w:pPr>
              <w:rPr>
                <w:rFonts w:ascii="Arial Narrow" w:hAnsi="Arial Narrow"/>
                <w:b/>
                <w:color w:val="000000"/>
                <w:sz w:val="20"/>
                <w:szCs w:val="18"/>
              </w:rPr>
            </w:pPr>
            <w:r w:rsidRPr="00DE6EBD">
              <w:rPr>
                <w:rFonts w:ascii="Arial Narrow" w:hAnsi="Arial Narrow"/>
                <w:b/>
                <w:color w:val="000000"/>
                <w:sz w:val="20"/>
                <w:szCs w:val="18"/>
              </w:rPr>
              <w:t>OS: Study 302, November 2008 cut-off, ITT</w:t>
            </w:r>
          </w:p>
        </w:tc>
      </w:tr>
      <w:tr w:rsidR="00442B62" w:rsidRPr="00DE6EBD" w:rsidTr="008A08B8">
        <w:tc>
          <w:tcPr>
            <w:tcW w:w="1102" w:type="pct"/>
            <w:gridSpan w:val="2"/>
            <w:shd w:val="clear" w:color="auto" w:fill="auto"/>
            <w:vAlign w:val="center"/>
          </w:tcPr>
          <w:p w:rsidR="00442B62" w:rsidRPr="00DE6EBD" w:rsidRDefault="00442B62" w:rsidP="00442B62">
            <w:pPr>
              <w:jc w:val="center"/>
              <w:rPr>
                <w:rFonts w:ascii="Arial Narrow" w:hAnsi="Arial Narrow"/>
                <w:color w:val="000000"/>
                <w:sz w:val="20"/>
                <w:szCs w:val="18"/>
              </w:rPr>
            </w:pPr>
          </w:p>
        </w:tc>
        <w:tc>
          <w:tcPr>
            <w:tcW w:w="866" w:type="pct"/>
            <w:gridSpan w:val="3"/>
            <w:vAlign w:val="center"/>
          </w:tcPr>
          <w:p w:rsidR="00442B62" w:rsidRPr="00DE6EBD" w:rsidRDefault="00442B62" w:rsidP="00442B62">
            <w:pPr>
              <w:jc w:val="center"/>
              <w:rPr>
                <w:rFonts w:ascii="Arial Narrow" w:hAnsi="Arial Narrow"/>
                <w:b/>
                <w:color w:val="000000"/>
                <w:sz w:val="20"/>
                <w:szCs w:val="18"/>
              </w:rPr>
            </w:pPr>
            <w:r w:rsidRPr="00DE6EBD">
              <w:rPr>
                <w:rFonts w:ascii="Arial Narrow" w:hAnsi="Arial Narrow"/>
                <w:b/>
                <w:color w:val="000000"/>
                <w:sz w:val="20"/>
                <w:szCs w:val="18"/>
              </w:rPr>
              <w:t>VFL + BSC</w:t>
            </w:r>
          </w:p>
        </w:tc>
        <w:tc>
          <w:tcPr>
            <w:tcW w:w="967" w:type="pct"/>
            <w:vAlign w:val="center"/>
          </w:tcPr>
          <w:p w:rsidR="00442B62" w:rsidRPr="00DE6EBD" w:rsidRDefault="00442B62" w:rsidP="00442B62">
            <w:pPr>
              <w:jc w:val="center"/>
              <w:rPr>
                <w:rFonts w:ascii="Arial Narrow" w:hAnsi="Arial Narrow"/>
                <w:b/>
                <w:color w:val="000000"/>
                <w:sz w:val="20"/>
                <w:szCs w:val="18"/>
              </w:rPr>
            </w:pPr>
            <w:r w:rsidRPr="00DE6EBD">
              <w:rPr>
                <w:rFonts w:ascii="Arial Narrow" w:hAnsi="Arial Narrow"/>
                <w:b/>
                <w:color w:val="000000"/>
                <w:sz w:val="20"/>
                <w:szCs w:val="18"/>
              </w:rPr>
              <w:t>BSC</w:t>
            </w:r>
          </w:p>
        </w:tc>
        <w:tc>
          <w:tcPr>
            <w:tcW w:w="1030" w:type="pct"/>
            <w:gridSpan w:val="2"/>
            <w:vAlign w:val="center"/>
          </w:tcPr>
          <w:p w:rsidR="00442B62" w:rsidRPr="00DE6EBD" w:rsidRDefault="00442B62" w:rsidP="00442B62">
            <w:pPr>
              <w:jc w:val="center"/>
              <w:rPr>
                <w:rFonts w:ascii="Arial Narrow" w:hAnsi="Arial Narrow"/>
                <w:b/>
                <w:color w:val="000000"/>
                <w:sz w:val="20"/>
                <w:szCs w:val="18"/>
              </w:rPr>
            </w:pPr>
            <w:r w:rsidRPr="00DE6EBD">
              <w:rPr>
                <w:rFonts w:ascii="Arial Narrow" w:hAnsi="Arial Narrow"/>
                <w:b/>
                <w:color w:val="000000"/>
                <w:sz w:val="20"/>
                <w:szCs w:val="18"/>
              </w:rPr>
              <w:t>Absolute Difference</w:t>
            </w:r>
          </w:p>
        </w:tc>
        <w:tc>
          <w:tcPr>
            <w:tcW w:w="1035" w:type="pct"/>
            <w:gridSpan w:val="2"/>
            <w:vAlign w:val="center"/>
          </w:tcPr>
          <w:p w:rsidR="00442B62" w:rsidRPr="00DE6EBD" w:rsidRDefault="00442B62" w:rsidP="00442B62">
            <w:pPr>
              <w:jc w:val="center"/>
              <w:rPr>
                <w:rFonts w:ascii="Arial Narrow" w:hAnsi="Arial Narrow"/>
                <w:b/>
                <w:color w:val="000000"/>
                <w:sz w:val="20"/>
                <w:szCs w:val="18"/>
              </w:rPr>
            </w:pPr>
            <w:r w:rsidRPr="00DE6EBD">
              <w:rPr>
                <w:rFonts w:ascii="Arial Narrow" w:hAnsi="Arial Narrow"/>
                <w:b/>
                <w:color w:val="000000"/>
                <w:sz w:val="20"/>
                <w:szCs w:val="18"/>
              </w:rPr>
              <w:t>HR (95% CI)</w:t>
            </w:r>
          </w:p>
        </w:tc>
      </w:tr>
      <w:tr w:rsidR="00442B62" w:rsidRPr="00DE6EBD" w:rsidTr="008A08B8">
        <w:tc>
          <w:tcPr>
            <w:tcW w:w="1102" w:type="pct"/>
            <w:gridSpan w:val="2"/>
            <w:shd w:val="clear" w:color="auto" w:fill="auto"/>
            <w:vAlign w:val="center"/>
          </w:tcPr>
          <w:p w:rsidR="00442B62" w:rsidRPr="00DE6EBD" w:rsidRDefault="00442B62" w:rsidP="00442B62">
            <w:pPr>
              <w:rPr>
                <w:rFonts w:ascii="Arial Narrow" w:hAnsi="Arial Narrow"/>
                <w:color w:val="000000"/>
                <w:sz w:val="20"/>
                <w:szCs w:val="18"/>
              </w:rPr>
            </w:pPr>
            <w:r w:rsidRPr="00DE6EBD">
              <w:rPr>
                <w:rFonts w:ascii="Arial Narrow" w:hAnsi="Arial Narrow"/>
                <w:color w:val="000000"/>
                <w:sz w:val="20"/>
                <w:szCs w:val="18"/>
              </w:rPr>
              <w:t>Survival*</w:t>
            </w:r>
          </w:p>
        </w:tc>
        <w:tc>
          <w:tcPr>
            <w:tcW w:w="866" w:type="pct"/>
            <w:gridSpan w:val="3"/>
          </w:tcPr>
          <w:p w:rsidR="00442B62" w:rsidRPr="00DE6EBD" w:rsidRDefault="00442B62" w:rsidP="00442B62">
            <w:pPr>
              <w:jc w:val="center"/>
              <w:rPr>
                <w:rFonts w:ascii="Arial Narrow" w:hAnsi="Arial Narrow"/>
                <w:sz w:val="20"/>
              </w:rPr>
            </w:pPr>
            <w:r w:rsidRPr="00DE6EBD">
              <w:rPr>
                <w:rFonts w:ascii="Arial Narrow" w:hAnsi="Arial Narrow"/>
                <w:sz w:val="20"/>
              </w:rPr>
              <w:t>237/253</w:t>
            </w:r>
          </w:p>
        </w:tc>
        <w:tc>
          <w:tcPr>
            <w:tcW w:w="967" w:type="pct"/>
          </w:tcPr>
          <w:p w:rsidR="00442B62" w:rsidRPr="00DE6EBD" w:rsidRDefault="00442B62" w:rsidP="00442B62">
            <w:pPr>
              <w:jc w:val="center"/>
              <w:rPr>
                <w:rFonts w:ascii="Arial Narrow" w:hAnsi="Arial Narrow"/>
                <w:sz w:val="20"/>
              </w:rPr>
            </w:pPr>
            <w:r w:rsidRPr="00DE6EBD">
              <w:rPr>
                <w:rFonts w:ascii="Arial Narrow" w:hAnsi="Arial Narrow"/>
                <w:sz w:val="20"/>
              </w:rPr>
              <w:t xml:space="preserve">115/117 </w:t>
            </w:r>
          </w:p>
        </w:tc>
        <w:tc>
          <w:tcPr>
            <w:tcW w:w="1030" w:type="pct"/>
            <w:gridSpan w:val="2"/>
            <w:vAlign w:val="center"/>
          </w:tcPr>
          <w:p w:rsidR="00442B62" w:rsidRPr="00DE6EBD" w:rsidRDefault="00442B62" w:rsidP="00442B62">
            <w:pPr>
              <w:jc w:val="center"/>
              <w:rPr>
                <w:rFonts w:ascii="Arial Narrow" w:hAnsi="Arial Narrow"/>
                <w:color w:val="000000"/>
                <w:sz w:val="20"/>
                <w:szCs w:val="18"/>
              </w:rPr>
            </w:pPr>
            <w:r w:rsidRPr="00DE6EBD">
              <w:rPr>
                <w:rFonts w:ascii="Arial Narrow" w:hAnsi="Arial Narrow"/>
                <w:color w:val="000000"/>
                <w:sz w:val="20"/>
                <w:szCs w:val="18"/>
              </w:rPr>
              <w:t>-</w:t>
            </w:r>
          </w:p>
        </w:tc>
        <w:tc>
          <w:tcPr>
            <w:tcW w:w="1035" w:type="pct"/>
            <w:gridSpan w:val="2"/>
            <w:vAlign w:val="center"/>
          </w:tcPr>
          <w:p w:rsidR="00442B62" w:rsidRPr="00DE6EBD" w:rsidRDefault="00442B62" w:rsidP="00442B62">
            <w:pPr>
              <w:jc w:val="center"/>
              <w:rPr>
                <w:rFonts w:ascii="Arial Narrow" w:hAnsi="Arial Narrow"/>
                <w:color w:val="000000"/>
                <w:sz w:val="20"/>
                <w:szCs w:val="18"/>
              </w:rPr>
            </w:pPr>
            <w:r w:rsidRPr="00DE6EBD">
              <w:rPr>
                <w:rFonts w:ascii="Arial Narrow" w:hAnsi="Arial Narrow"/>
                <w:sz w:val="20"/>
              </w:rPr>
              <w:t>0.88 (0.70, 1.10)</w:t>
            </w:r>
          </w:p>
        </w:tc>
      </w:tr>
      <w:tr w:rsidR="00442B62" w:rsidRPr="00DE6EBD" w:rsidTr="008A08B8">
        <w:tc>
          <w:tcPr>
            <w:tcW w:w="1102" w:type="pct"/>
            <w:gridSpan w:val="2"/>
            <w:shd w:val="clear" w:color="auto" w:fill="auto"/>
            <w:vAlign w:val="center"/>
          </w:tcPr>
          <w:p w:rsidR="00442B62" w:rsidRPr="00DE6EBD" w:rsidRDefault="00442B62" w:rsidP="00442B62">
            <w:pPr>
              <w:rPr>
                <w:rFonts w:ascii="Arial Narrow" w:hAnsi="Arial Narrow"/>
                <w:color w:val="000000"/>
                <w:sz w:val="20"/>
                <w:szCs w:val="18"/>
              </w:rPr>
            </w:pPr>
            <w:r w:rsidRPr="00DE6EBD">
              <w:rPr>
                <w:rFonts w:ascii="Arial Narrow" w:hAnsi="Arial Narrow"/>
                <w:color w:val="000000"/>
                <w:sz w:val="20"/>
                <w:szCs w:val="18"/>
              </w:rPr>
              <w:t>Median (</w:t>
            </w:r>
            <w:proofErr w:type="spellStart"/>
            <w:r w:rsidRPr="00DE6EBD">
              <w:rPr>
                <w:rFonts w:ascii="Arial Narrow" w:hAnsi="Arial Narrow"/>
                <w:color w:val="000000"/>
                <w:sz w:val="20"/>
                <w:szCs w:val="18"/>
              </w:rPr>
              <w:t>mths</w:t>
            </w:r>
            <w:proofErr w:type="spellEnd"/>
            <w:r w:rsidRPr="00DE6EBD">
              <w:rPr>
                <w:rFonts w:ascii="Arial Narrow" w:hAnsi="Arial Narrow"/>
                <w:color w:val="000000"/>
                <w:sz w:val="20"/>
                <w:szCs w:val="18"/>
              </w:rPr>
              <w:t>)</w:t>
            </w:r>
          </w:p>
        </w:tc>
        <w:tc>
          <w:tcPr>
            <w:tcW w:w="866" w:type="pct"/>
            <w:gridSpan w:val="3"/>
          </w:tcPr>
          <w:p w:rsidR="00442B62" w:rsidRPr="00DE6EBD" w:rsidRDefault="00442B62" w:rsidP="00442B62">
            <w:pPr>
              <w:jc w:val="center"/>
              <w:rPr>
                <w:rFonts w:ascii="Arial Narrow" w:hAnsi="Arial Narrow"/>
                <w:sz w:val="20"/>
              </w:rPr>
            </w:pPr>
            <w:r w:rsidRPr="00DE6EBD">
              <w:rPr>
                <w:rFonts w:ascii="Arial Narrow" w:hAnsi="Arial Narrow"/>
                <w:sz w:val="20"/>
              </w:rPr>
              <w:t>6.9 (5.7, 8.0)</w:t>
            </w:r>
          </w:p>
        </w:tc>
        <w:tc>
          <w:tcPr>
            <w:tcW w:w="967" w:type="pct"/>
          </w:tcPr>
          <w:p w:rsidR="00442B62" w:rsidRPr="00DE6EBD" w:rsidRDefault="00442B62" w:rsidP="00442B62">
            <w:pPr>
              <w:jc w:val="center"/>
              <w:rPr>
                <w:rFonts w:ascii="Arial Narrow" w:hAnsi="Arial Narrow"/>
                <w:sz w:val="20"/>
              </w:rPr>
            </w:pPr>
            <w:r w:rsidRPr="00DE6EBD">
              <w:rPr>
                <w:rFonts w:ascii="Arial Narrow" w:hAnsi="Arial Narrow"/>
                <w:sz w:val="20"/>
              </w:rPr>
              <w:t>4.6 (4.1, 7.0)</w:t>
            </w:r>
          </w:p>
        </w:tc>
        <w:tc>
          <w:tcPr>
            <w:tcW w:w="1030" w:type="pct"/>
            <w:gridSpan w:val="2"/>
            <w:vAlign w:val="center"/>
          </w:tcPr>
          <w:p w:rsidR="00442B62" w:rsidRPr="00DE6EBD" w:rsidRDefault="00442B62" w:rsidP="00442B62">
            <w:pPr>
              <w:jc w:val="center"/>
              <w:rPr>
                <w:rFonts w:ascii="Arial Narrow" w:hAnsi="Arial Narrow"/>
                <w:color w:val="000000"/>
                <w:sz w:val="20"/>
                <w:szCs w:val="18"/>
              </w:rPr>
            </w:pPr>
            <w:r w:rsidRPr="00DE6EBD">
              <w:rPr>
                <w:rFonts w:ascii="Arial Narrow" w:hAnsi="Arial Narrow"/>
                <w:color w:val="000000"/>
                <w:sz w:val="20"/>
                <w:szCs w:val="18"/>
              </w:rPr>
              <w:t>2.3</w:t>
            </w:r>
          </w:p>
        </w:tc>
        <w:tc>
          <w:tcPr>
            <w:tcW w:w="1035" w:type="pct"/>
            <w:gridSpan w:val="2"/>
            <w:vAlign w:val="center"/>
          </w:tcPr>
          <w:p w:rsidR="00442B62" w:rsidRPr="00DE6EBD" w:rsidRDefault="00442B62" w:rsidP="00442B62">
            <w:pPr>
              <w:jc w:val="center"/>
              <w:rPr>
                <w:rFonts w:ascii="Arial Narrow" w:hAnsi="Arial Narrow"/>
                <w:color w:val="000000"/>
                <w:sz w:val="20"/>
                <w:szCs w:val="18"/>
              </w:rPr>
            </w:pPr>
            <w:r w:rsidRPr="00DE6EBD">
              <w:rPr>
                <w:rFonts w:ascii="Arial Narrow" w:hAnsi="Arial Narrow"/>
                <w:color w:val="000000"/>
                <w:sz w:val="20"/>
                <w:szCs w:val="18"/>
              </w:rPr>
              <w:t>-</w:t>
            </w:r>
          </w:p>
        </w:tc>
      </w:tr>
      <w:tr w:rsidR="00442B62" w:rsidRPr="00DE6EBD" w:rsidTr="008A08B8">
        <w:tc>
          <w:tcPr>
            <w:tcW w:w="5000" w:type="pct"/>
            <w:gridSpan w:val="10"/>
            <w:shd w:val="clear" w:color="auto" w:fill="auto"/>
            <w:vAlign w:val="center"/>
          </w:tcPr>
          <w:p w:rsidR="00442B62" w:rsidRPr="00DE6EBD" w:rsidRDefault="00442B62" w:rsidP="00442B62">
            <w:pPr>
              <w:jc w:val="left"/>
              <w:rPr>
                <w:rFonts w:ascii="Arial Narrow" w:hAnsi="Arial Narrow"/>
                <w:color w:val="000000"/>
                <w:sz w:val="20"/>
                <w:szCs w:val="18"/>
              </w:rPr>
            </w:pPr>
            <w:r w:rsidRPr="00DE6EBD">
              <w:rPr>
                <w:rFonts w:ascii="Arial Narrow" w:hAnsi="Arial Narrow"/>
                <w:b/>
                <w:color w:val="000000"/>
                <w:sz w:val="20"/>
                <w:szCs w:val="18"/>
              </w:rPr>
              <w:t xml:space="preserve">OS: Study 302, November 2008 cut-off, </w:t>
            </w:r>
            <w:proofErr w:type="spellStart"/>
            <w:r w:rsidRPr="00DE6EBD">
              <w:rPr>
                <w:rFonts w:ascii="Arial Narrow" w:hAnsi="Arial Narrow"/>
                <w:b/>
                <w:color w:val="000000"/>
                <w:sz w:val="20"/>
                <w:szCs w:val="18"/>
              </w:rPr>
              <w:t>mITT</w:t>
            </w:r>
            <w:proofErr w:type="spellEnd"/>
          </w:p>
        </w:tc>
      </w:tr>
      <w:tr w:rsidR="00442B62" w:rsidRPr="00DE6EBD" w:rsidTr="008A08B8">
        <w:tc>
          <w:tcPr>
            <w:tcW w:w="1102" w:type="pct"/>
            <w:gridSpan w:val="2"/>
            <w:shd w:val="clear" w:color="auto" w:fill="auto"/>
            <w:vAlign w:val="center"/>
          </w:tcPr>
          <w:p w:rsidR="00442B62" w:rsidRPr="00DE6EBD" w:rsidRDefault="00442B62" w:rsidP="00442B62">
            <w:pPr>
              <w:jc w:val="center"/>
              <w:rPr>
                <w:rFonts w:ascii="Arial Narrow" w:hAnsi="Arial Narrow"/>
                <w:color w:val="000000"/>
                <w:sz w:val="20"/>
                <w:szCs w:val="18"/>
              </w:rPr>
            </w:pPr>
          </w:p>
        </w:tc>
        <w:tc>
          <w:tcPr>
            <w:tcW w:w="866" w:type="pct"/>
            <w:gridSpan w:val="3"/>
            <w:vAlign w:val="center"/>
          </w:tcPr>
          <w:p w:rsidR="00442B62" w:rsidRPr="00DE6EBD" w:rsidRDefault="00442B62" w:rsidP="00442B62">
            <w:pPr>
              <w:jc w:val="center"/>
              <w:rPr>
                <w:rFonts w:ascii="Arial Narrow" w:hAnsi="Arial Narrow"/>
                <w:b/>
                <w:color w:val="000000"/>
                <w:sz w:val="20"/>
                <w:szCs w:val="18"/>
              </w:rPr>
            </w:pPr>
            <w:r w:rsidRPr="00DE6EBD">
              <w:rPr>
                <w:rFonts w:ascii="Arial Narrow" w:hAnsi="Arial Narrow"/>
                <w:b/>
                <w:color w:val="000000"/>
                <w:sz w:val="20"/>
                <w:szCs w:val="18"/>
              </w:rPr>
              <w:t>VFL + BSC</w:t>
            </w:r>
          </w:p>
        </w:tc>
        <w:tc>
          <w:tcPr>
            <w:tcW w:w="967" w:type="pct"/>
            <w:vAlign w:val="center"/>
          </w:tcPr>
          <w:p w:rsidR="00442B62" w:rsidRPr="00DE6EBD" w:rsidRDefault="00442B62" w:rsidP="00442B62">
            <w:pPr>
              <w:jc w:val="center"/>
              <w:rPr>
                <w:rFonts w:ascii="Arial Narrow" w:hAnsi="Arial Narrow"/>
                <w:b/>
                <w:color w:val="000000"/>
                <w:sz w:val="20"/>
                <w:szCs w:val="18"/>
              </w:rPr>
            </w:pPr>
            <w:r w:rsidRPr="00DE6EBD">
              <w:rPr>
                <w:rFonts w:ascii="Arial Narrow" w:hAnsi="Arial Narrow"/>
                <w:b/>
                <w:color w:val="000000"/>
                <w:sz w:val="20"/>
                <w:szCs w:val="18"/>
              </w:rPr>
              <w:t>BSC</w:t>
            </w:r>
          </w:p>
        </w:tc>
        <w:tc>
          <w:tcPr>
            <w:tcW w:w="1030" w:type="pct"/>
            <w:gridSpan w:val="2"/>
            <w:vAlign w:val="center"/>
          </w:tcPr>
          <w:p w:rsidR="00442B62" w:rsidRPr="00DE6EBD" w:rsidRDefault="00442B62" w:rsidP="00442B62">
            <w:pPr>
              <w:jc w:val="center"/>
              <w:rPr>
                <w:rFonts w:ascii="Arial Narrow" w:hAnsi="Arial Narrow"/>
                <w:b/>
                <w:color w:val="000000"/>
                <w:sz w:val="20"/>
                <w:szCs w:val="18"/>
              </w:rPr>
            </w:pPr>
            <w:r w:rsidRPr="00DE6EBD">
              <w:rPr>
                <w:rFonts w:ascii="Arial Narrow" w:hAnsi="Arial Narrow"/>
                <w:b/>
                <w:color w:val="000000"/>
                <w:sz w:val="20"/>
                <w:szCs w:val="18"/>
              </w:rPr>
              <w:t>Absolute Difference</w:t>
            </w:r>
          </w:p>
        </w:tc>
        <w:tc>
          <w:tcPr>
            <w:tcW w:w="1035" w:type="pct"/>
            <w:gridSpan w:val="2"/>
            <w:vAlign w:val="center"/>
          </w:tcPr>
          <w:p w:rsidR="00442B62" w:rsidRPr="00DE6EBD" w:rsidRDefault="00442B62" w:rsidP="00442B62">
            <w:pPr>
              <w:jc w:val="center"/>
              <w:rPr>
                <w:rFonts w:ascii="Arial Narrow" w:hAnsi="Arial Narrow"/>
                <w:b/>
                <w:color w:val="000000"/>
                <w:sz w:val="20"/>
                <w:szCs w:val="18"/>
              </w:rPr>
            </w:pPr>
            <w:r w:rsidRPr="00DE6EBD">
              <w:rPr>
                <w:rFonts w:ascii="Arial Narrow" w:hAnsi="Arial Narrow"/>
                <w:b/>
                <w:color w:val="000000"/>
                <w:sz w:val="20"/>
                <w:szCs w:val="18"/>
              </w:rPr>
              <w:t>HR (95% CI)</w:t>
            </w:r>
          </w:p>
        </w:tc>
      </w:tr>
      <w:tr w:rsidR="00442B62" w:rsidRPr="00DE6EBD" w:rsidTr="008A08B8">
        <w:tc>
          <w:tcPr>
            <w:tcW w:w="1102" w:type="pct"/>
            <w:gridSpan w:val="2"/>
            <w:shd w:val="clear" w:color="auto" w:fill="auto"/>
            <w:vAlign w:val="center"/>
          </w:tcPr>
          <w:p w:rsidR="00442B62" w:rsidRPr="00DE6EBD" w:rsidRDefault="00442B62" w:rsidP="00442B62">
            <w:pPr>
              <w:rPr>
                <w:rFonts w:ascii="Arial Narrow" w:hAnsi="Arial Narrow"/>
                <w:color w:val="000000"/>
                <w:sz w:val="20"/>
                <w:szCs w:val="18"/>
              </w:rPr>
            </w:pPr>
            <w:r w:rsidRPr="00DE6EBD">
              <w:rPr>
                <w:rFonts w:ascii="Arial Narrow" w:hAnsi="Arial Narrow"/>
                <w:color w:val="000000"/>
                <w:sz w:val="20"/>
                <w:szCs w:val="18"/>
              </w:rPr>
              <w:t>Survival*</w:t>
            </w:r>
          </w:p>
        </w:tc>
        <w:tc>
          <w:tcPr>
            <w:tcW w:w="866" w:type="pct"/>
            <w:gridSpan w:val="3"/>
          </w:tcPr>
          <w:p w:rsidR="00442B62" w:rsidRPr="00DE6EBD" w:rsidRDefault="00442B62" w:rsidP="00442B62">
            <w:pPr>
              <w:jc w:val="center"/>
              <w:rPr>
                <w:rFonts w:ascii="Arial Narrow" w:hAnsi="Arial Narrow"/>
                <w:sz w:val="20"/>
              </w:rPr>
            </w:pPr>
            <w:r w:rsidRPr="00DE6EBD">
              <w:rPr>
                <w:rFonts w:ascii="Arial Narrow" w:hAnsi="Arial Narrow"/>
                <w:sz w:val="20"/>
              </w:rPr>
              <w:t>234/253</w:t>
            </w:r>
          </w:p>
        </w:tc>
        <w:tc>
          <w:tcPr>
            <w:tcW w:w="967" w:type="pct"/>
          </w:tcPr>
          <w:p w:rsidR="00442B62" w:rsidRPr="00DE6EBD" w:rsidRDefault="00442B62" w:rsidP="00442B62">
            <w:pPr>
              <w:jc w:val="center"/>
              <w:rPr>
                <w:rFonts w:ascii="Arial Narrow" w:hAnsi="Arial Narrow"/>
                <w:sz w:val="20"/>
              </w:rPr>
            </w:pPr>
            <w:r w:rsidRPr="00DE6EBD">
              <w:rPr>
                <w:rFonts w:ascii="Arial Narrow" w:hAnsi="Arial Narrow"/>
                <w:sz w:val="20"/>
              </w:rPr>
              <w:t xml:space="preserve">108/117 </w:t>
            </w:r>
          </w:p>
        </w:tc>
        <w:tc>
          <w:tcPr>
            <w:tcW w:w="1030" w:type="pct"/>
            <w:gridSpan w:val="2"/>
            <w:vAlign w:val="center"/>
          </w:tcPr>
          <w:p w:rsidR="00442B62" w:rsidRPr="00DE6EBD" w:rsidRDefault="00442B62" w:rsidP="00442B62">
            <w:pPr>
              <w:jc w:val="center"/>
              <w:rPr>
                <w:rFonts w:ascii="Arial Narrow" w:hAnsi="Arial Narrow"/>
                <w:color w:val="000000"/>
                <w:sz w:val="20"/>
                <w:szCs w:val="18"/>
              </w:rPr>
            </w:pPr>
            <w:r w:rsidRPr="00DE6EBD">
              <w:rPr>
                <w:rFonts w:ascii="Arial Narrow" w:hAnsi="Arial Narrow"/>
                <w:color w:val="000000"/>
                <w:sz w:val="20"/>
                <w:szCs w:val="18"/>
              </w:rPr>
              <w:t>-</w:t>
            </w:r>
          </w:p>
        </w:tc>
        <w:tc>
          <w:tcPr>
            <w:tcW w:w="1035" w:type="pct"/>
            <w:gridSpan w:val="2"/>
            <w:vAlign w:val="center"/>
          </w:tcPr>
          <w:p w:rsidR="00442B62" w:rsidRPr="00DE6EBD" w:rsidRDefault="00442B62" w:rsidP="00442B62">
            <w:pPr>
              <w:jc w:val="center"/>
              <w:rPr>
                <w:rFonts w:ascii="Arial Narrow" w:hAnsi="Arial Narrow"/>
                <w:color w:val="000000"/>
                <w:sz w:val="20"/>
                <w:szCs w:val="18"/>
              </w:rPr>
            </w:pPr>
            <w:r w:rsidRPr="00DE6EBD">
              <w:rPr>
                <w:rFonts w:ascii="Arial Narrow" w:hAnsi="Arial Narrow"/>
                <w:sz w:val="20"/>
              </w:rPr>
              <w:t>0.78 (0.61, 0.96)</w:t>
            </w:r>
          </w:p>
        </w:tc>
      </w:tr>
      <w:tr w:rsidR="00442B62" w:rsidRPr="00DE6EBD" w:rsidTr="008A08B8">
        <w:tc>
          <w:tcPr>
            <w:tcW w:w="1102" w:type="pct"/>
            <w:gridSpan w:val="2"/>
            <w:shd w:val="clear" w:color="auto" w:fill="auto"/>
            <w:vAlign w:val="center"/>
          </w:tcPr>
          <w:p w:rsidR="00442B62" w:rsidRPr="00DE6EBD" w:rsidRDefault="00442B62" w:rsidP="00442B62">
            <w:pPr>
              <w:rPr>
                <w:rFonts w:ascii="Arial Narrow" w:hAnsi="Arial Narrow"/>
                <w:color w:val="000000"/>
                <w:sz w:val="20"/>
                <w:szCs w:val="18"/>
              </w:rPr>
            </w:pPr>
            <w:r w:rsidRPr="00DE6EBD">
              <w:rPr>
                <w:rFonts w:ascii="Arial Narrow" w:hAnsi="Arial Narrow"/>
                <w:color w:val="000000"/>
                <w:sz w:val="20"/>
                <w:szCs w:val="18"/>
              </w:rPr>
              <w:t>Median (</w:t>
            </w:r>
            <w:proofErr w:type="spellStart"/>
            <w:r w:rsidRPr="00DE6EBD">
              <w:rPr>
                <w:rFonts w:ascii="Arial Narrow" w:hAnsi="Arial Narrow"/>
                <w:color w:val="000000"/>
                <w:sz w:val="20"/>
                <w:szCs w:val="18"/>
              </w:rPr>
              <w:t>mths</w:t>
            </w:r>
            <w:proofErr w:type="spellEnd"/>
            <w:r w:rsidRPr="00DE6EBD">
              <w:rPr>
                <w:rFonts w:ascii="Arial Narrow" w:hAnsi="Arial Narrow"/>
                <w:color w:val="000000"/>
                <w:sz w:val="20"/>
                <w:szCs w:val="18"/>
              </w:rPr>
              <w:t>)</w:t>
            </w:r>
          </w:p>
        </w:tc>
        <w:tc>
          <w:tcPr>
            <w:tcW w:w="866" w:type="pct"/>
            <w:gridSpan w:val="3"/>
          </w:tcPr>
          <w:p w:rsidR="00442B62" w:rsidRPr="00DE6EBD" w:rsidRDefault="00442B62" w:rsidP="00442B62">
            <w:pPr>
              <w:jc w:val="center"/>
              <w:rPr>
                <w:rFonts w:ascii="Arial Narrow" w:hAnsi="Arial Narrow"/>
                <w:sz w:val="20"/>
              </w:rPr>
            </w:pPr>
            <w:r w:rsidRPr="00DE6EBD">
              <w:rPr>
                <w:rFonts w:ascii="Arial Narrow" w:hAnsi="Arial Narrow"/>
                <w:sz w:val="20"/>
              </w:rPr>
              <w:t>6.9 (5.7, 8.0)</w:t>
            </w:r>
          </w:p>
        </w:tc>
        <w:tc>
          <w:tcPr>
            <w:tcW w:w="967" w:type="pct"/>
          </w:tcPr>
          <w:p w:rsidR="00442B62" w:rsidRPr="00DE6EBD" w:rsidRDefault="00442B62" w:rsidP="00442B62">
            <w:pPr>
              <w:jc w:val="center"/>
              <w:rPr>
                <w:rFonts w:ascii="Arial Narrow" w:hAnsi="Arial Narrow"/>
                <w:sz w:val="20"/>
              </w:rPr>
            </w:pPr>
            <w:r w:rsidRPr="00DE6EBD">
              <w:rPr>
                <w:rFonts w:ascii="Arial Narrow" w:hAnsi="Arial Narrow"/>
                <w:sz w:val="20"/>
              </w:rPr>
              <w:t>4.3 (3.8, 5.4)</w:t>
            </w:r>
          </w:p>
        </w:tc>
        <w:tc>
          <w:tcPr>
            <w:tcW w:w="1030" w:type="pct"/>
            <w:gridSpan w:val="2"/>
            <w:vAlign w:val="center"/>
          </w:tcPr>
          <w:p w:rsidR="00442B62" w:rsidRPr="00DE6EBD" w:rsidRDefault="00442B62" w:rsidP="00442B62">
            <w:pPr>
              <w:jc w:val="center"/>
              <w:rPr>
                <w:rFonts w:ascii="Arial Narrow" w:hAnsi="Arial Narrow"/>
                <w:color w:val="000000"/>
                <w:sz w:val="20"/>
                <w:szCs w:val="18"/>
              </w:rPr>
            </w:pPr>
            <w:r w:rsidRPr="00DE6EBD">
              <w:rPr>
                <w:rFonts w:ascii="Arial Narrow" w:hAnsi="Arial Narrow"/>
                <w:color w:val="000000"/>
                <w:sz w:val="20"/>
                <w:szCs w:val="18"/>
              </w:rPr>
              <w:t>2.6</w:t>
            </w:r>
          </w:p>
        </w:tc>
        <w:tc>
          <w:tcPr>
            <w:tcW w:w="1035" w:type="pct"/>
            <w:gridSpan w:val="2"/>
            <w:vAlign w:val="center"/>
          </w:tcPr>
          <w:p w:rsidR="00442B62" w:rsidRPr="00DE6EBD" w:rsidRDefault="00442B62" w:rsidP="00442B62">
            <w:pPr>
              <w:jc w:val="center"/>
              <w:rPr>
                <w:rFonts w:ascii="Arial Narrow" w:hAnsi="Arial Narrow"/>
                <w:color w:val="000000"/>
                <w:sz w:val="20"/>
                <w:szCs w:val="18"/>
              </w:rPr>
            </w:pPr>
            <w:r w:rsidRPr="00DE6EBD">
              <w:rPr>
                <w:rFonts w:ascii="Arial Narrow" w:hAnsi="Arial Narrow"/>
                <w:color w:val="000000"/>
                <w:sz w:val="20"/>
                <w:szCs w:val="18"/>
              </w:rPr>
              <w:t>-</w:t>
            </w:r>
          </w:p>
        </w:tc>
      </w:tr>
      <w:tr w:rsidR="00442B62" w:rsidRPr="00DE6EBD" w:rsidTr="008A08B8">
        <w:tc>
          <w:tcPr>
            <w:tcW w:w="5000" w:type="pct"/>
            <w:gridSpan w:val="10"/>
            <w:tcBorders>
              <w:top w:val="double" w:sz="4" w:space="0" w:color="auto"/>
            </w:tcBorders>
            <w:shd w:val="clear" w:color="auto" w:fill="auto"/>
            <w:vAlign w:val="center"/>
          </w:tcPr>
          <w:p w:rsidR="00442B62" w:rsidRPr="00DE6EBD" w:rsidRDefault="00442B62" w:rsidP="00442B62">
            <w:pPr>
              <w:keepNext/>
              <w:rPr>
                <w:rFonts w:ascii="Arial Narrow" w:hAnsi="Arial Narrow"/>
                <w:b/>
                <w:color w:val="000000"/>
                <w:sz w:val="20"/>
                <w:szCs w:val="18"/>
              </w:rPr>
            </w:pPr>
            <w:r w:rsidRPr="00DE6EBD">
              <w:rPr>
                <w:rFonts w:ascii="Arial Narrow" w:hAnsi="Arial Narrow"/>
                <w:b/>
                <w:color w:val="000000"/>
                <w:sz w:val="20"/>
                <w:szCs w:val="18"/>
              </w:rPr>
              <w:t xml:space="preserve">Harms </w:t>
            </w:r>
          </w:p>
        </w:tc>
      </w:tr>
      <w:tr w:rsidR="00442B62" w:rsidRPr="00DE6EBD" w:rsidTr="008A08B8">
        <w:trPr>
          <w:trHeight w:val="70"/>
        </w:trPr>
        <w:tc>
          <w:tcPr>
            <w:tcW w:w="1019" w:type="pct"/>
            <w:vMerge w:val="restart"/>
            <w:shd w:val="clear" w:color="auto" w:fill="auto"/>
            <w:vAlign w:val="center"/>
          </w:tcPr>
          <w:p w:rsidR="00442B62" w:rsidRPr="00DE6EBD" w:rsidRDefault="00442B62" w:rsidP="00442B62">
            <w:pPr>
              <w:rPr>
                <w:rFonts w:ascii="Arial Narrow" w:hAnsi="Arial Narrow"/>
                <w:b/>
                <w:color w:val="000000"/>
                <w:sz w:val="20"/>
                <w:szCs w:val="18"/>
              </w:rPr>
            </w:pPr>
          </w:p>
        </w:tc>
        <w:tc>
          <w:tcPr>
            <w:tcW w:w="498" w:type="pct"/>
            <w:gridSpan w:val="2"/>
            <w:vMerge w:val="restart"/>
            <w:vAlign w:val="center"/>
          </w:tcPr>
          <w:p w:rsidR="00442B62" w:rsidRPr="00DE6EBD" w:rsidRDefault="00442B62" w:rsidP="00442B62">
            <w:pPr>
              <w:jc w:val="center"/>
              <w:rPr>
                <w:rFonts w:ascii="Arial Narrow" w:hAnsi="Arial Narrow"/>
                <w:b/>
                <w:color w:val="000000"/>
                <w:sz w:val="20"/>
                <w:szCs w:val="18"/>
              </w:rPr>
            </w:pPr>
            <w:r w:rsidRPr="00DE6EBD">
              <w:rPr>
                <w:rFonts w:ascii="Arial Narrow" w:hAnsi="Arial Narrow"/>
                <w:b/>
                <w:color w:val="000000"/>
                <w:sz w:val="20"/>
                <w:szCs w:val="18"/>
              </w:rPr>
              <w:t>VFL + BSC</w:t>
            </w:r>
          </w:p>
        </w:tc>
        <w:tc>
          <w:tcPr>
            <w:tcW w:w="419" w:type="pct"/>
            <w:vMerge w:val="restart"/>
            <w:vAlign w:val="center"/>
          </w:tcPr>
          <w:p w:rsidR="00442B62" w:rsidRPr="00DE6EBD" w:rsidRDefault="00442B62" w:rsidP="00442B62">
            <w:pPr>
              <w:jc w:val="center"/>
              <w:rPr>
                <w:rFonts w:ascii="Arial Narrow" w:hAnsi="Arial Narrow"/>
                <w:b/>
                <w:color w:val="000000"/>
                <w:sz w:val="20"/>
                <w:szCs w:val="18"/>
              </w:rPr>
            </w:pPr>
            <w:r w:rsidRPr="00DE6EBD">
              <w:rPr>
                <w:rFonts w:ascii="Arial Narrow" w:hAnsi="Arial Narrow"/>
                <w:b/>
                <w:color w:val="000000"/>
                <w:sz w:val="20"/>
                <w:szCs w:val="18"/>
              </w:rPr>
              <w:t>BSC</w:t>
            </w:r>
          </w:p>
        </w:tc>
        <w:tc>
          <w:tcPr>
            <w:tcW w:w="999" w:type="pct"/>
            <w:gridSpan w:val="2"/>
            <w:vMerge w:val="restart"/>
            <w:vAlign w:val="center"/>
          </w:tcPr>
          <w:p w:rsidR="00442B62" w:rsidRPr="00DE6EBD" w:rsidRDefault="00442B62" w:rsidP="00442B62">
            <w:pPr>
              <w:jc w:val="center"/>
              <w:rPr>
                <w:rFonts w:ascii="Arial Narrow" w:hAnsi="Arial Narrow"/>
                <w:b/>
                <w:color w:val="000000"/>
                <w:sz w:val="20"/>
                <w:szCs w:val="18"/>
              </w:rPr>
            </w:pPr>
            <w:r w:rsidRPr="00DE6EBD">
              <w:rPr>
                <w:rFonts w:ascii="Arial Narrow" w:hAnsi="Arial Narrow"/>
                <w:b/>
                <w:color w:val="000000"/>
                <w:sz w:val="20"/>
                <w:szCs w:val="18"/>
              </w:rPr>
              <w:t>RR</w:t>
            </w:r>
          </w:p>
          <w:p w:rsidR="00442B62" w:rsidRPr="00DE6EBD" w:rsidRDefault="00442B62" w:rsidP="00442B62">
            <w:pPr>
              <w:jc w:val="center"/>
              <w:rPr>
                <w:rFonts w:ascii="Arial Narrow" w:hAnsi="Arial Narrow"/>
                <w:b/>
                <w:color w:val="000000"/>
                <w:sz w:val="20"/>
                <w:szCs w:val="18"/>
              </w:rPr>
            </w:pPr>
            <w:r w:rsidRPr="00DE6EBD">
              <w:rPr>
                <w:rFonts w:ascii="Arial Narrow" w:hAnsi="Arial Narrow"/>
                <w:b/>
                <w:color w:val="000000"/>
                <w:sz w:val="20"/>
                <w:szCs w:val="18"/>
              </w:rPr>
              <w:t>(95% CI)</w:t>
            </w:r>
          </w:p>
        </w:tc>
        <w:tc>
          <w:tcPr>
            <w:tcW w:w="1242" w:type="pct"/>
            <w:gridSpan w:val="3"/>
            <w:vAlign w:val="center"/>
          </w:tcPr>
          <w:p w:rsidR="00442B62" w:rsidRPr="00DE6EBD" w:rsidRDefault="00442B62" w:rsidP="00442B62">
            <w:pPr>
              <w:jc w:val="center"/>
              <w:rPr>
                <w:rFonts w:ascii="Arial Narrow" w:hAnsi="Arial Narrow"/>
                <w:b/>
                <w:color w:val="000000"/>
                <w:sz w:val="20"/>
                <w:szCs w:val="18"/>
              </w:rPr>
            </w:pPr>
            <w:r w:rsidRPr="00DE6EBD">
              <w:rPr>
                <w:rFonts w:ascii="Arial Narrow" w:hAnsi="Arial Narrow"/>
                <w:b/>
                <w:color w:val="000000"/>
                <w:sz w:val="20"/>
                <w:szCs w:val="18"/>
              </w:rPr>
              <w:t xml:space="preserve">Event rate/100 patients* </w:t>
            </w:r>
          </w:p>
        </w:tc>
        <w:tc>
          <w:tcPr>
            <w:tcW w:w="823" w:type="pct"/>
            <w:vMerge w:val="restart"/>
            <w:vAlign w:val="center"/>
          </w:tcPr>
          <w:p w:rsidR="00442B62" w:rsidRPr="00DE6EBD" w:rsidRDefault="00442B62" w:rsidP="00442B62">
            <w:pPr>
              <w:jc w:val="center"/>
              <w:rPr>
                <w:rFonts w:ascii="Arial Narrow" w:hAnsi="Arial Narrow"/>
                <w:b/>
                <w:color w:val="000000"/>
                <w:sz w:val="20"/>
                <w:szCs w:val="18"/>
              </w:rPr>
            </w:pPr>
            <w:r w:rsidRPr="00DE6EBD">
              <w:rPr>
                <w:rFonts w:ascii="Arial Narrow" w:hAnsi="Arial Narrow"/>
                <w:b/>
                <w:color w:val="000000"/>
                <w:sz w:val="20"/>
                <w:szCs w:val="18"/>
              </w:rPr>
              <w:t>RD</w:t>
            </w:r>
          </w:p>
          <w:p w:rsidR="00442B62" w:rsidRPr="00DE6EBD" w:rsidRDefault="00442B62" w:rsidP="00442B62">
            <w:pPr>
              <w:jc w:val="center"/>
              <w:rPr>
                <w:rFonts w:ascii="Arial Narrow" w:hAnsi="Arial Narrow"/>
                <w:b/>
                <w:color w:val="000000"/>
                <w:sz w:val="20"/>
                <w:szCs w:val="18"/>
              </w:rPr>
            </w:pPr>
            <w:r w:rsidRPr="00DE6EBD">
              <w:rPr>
                <w:rFonts w:ascii="Arial Narrow" w:hAnsi="Arial Narrow"/>
                <w:b/>
                <w:color w:val="000000"/>
                <w:sz w:val="20"/>
                <w:szCs w:val="18"/>
              </w:rPr>
              <w:t>(95% CI)</w:t>
            </w:r>
          </w:p>
        </w:tc>
      </w:tr>
      <w:tr w:rsidR="00442B62" w:rsidRPr="00DE6EBD" w:rsidTr="008A08B8">
        <w:trPr>
          <w:trHeight w:val="228"/>
        </w:trPr>
        <w:tc>
          <w:tcPr>
            <w:tcW w:w="1019" w:type="pct"/>
            <w:vMerge/>
            <w:shd w:val="clear" w:color="auto" w:fill="auto"/>
            <w:vAlign w:val="center"/>
          </w:tcPr>
          <w:p w:rsidR="00442B62" w:rsidRPr="00DE6EBD" w:rsidRDefault="00442B62" w:rsidP="00442B62">
            <w:pPr>
              <w:rPr>
                <w:rFonts w:ascii="Arial Narrow" w:hAnsi="Arial Narrow"/>
                <w:b/>
                <w:color w:val="000000"/>
                <w:sz w:val="20"/>
                <w:szCs w:val="18"/>
              </w:rPr>
            </w:pPr>
          </w:p>
        </w:tc>
        <w:tc>
          <w:tcPr>
            <w:tcW w:w="498" w:type="pct"/>
            <w:gridSpan w:val="2"/>
            <w:vMerge/>
            <w:vAlign w:val="center"/>
          </w:tcPr>
          <w:p w:rsidR="00442B62" w:rsidRPr="00DE6EBD" w:rsidRDefault="00442B62" w:rsidP="00442B62">
            <w:pPr>
              <w:jc w:val="center"/>
              <w:rPr>
                <w:rFonts w:ascii="Arial Narrow" w:hAnsi="Arial Narrow"/>
                <w:b/>
                <w:color w:val="000000"/>
                <w:sz w:val="20"/>
                <w:szCs w:val="18"/>
              </w:rPr>
            </w:pPr>
          </w:p>
        </w:tc>
        <w:tc>
          <w:tcPr>
            <w:tcW w:w="419" w:type="pct"/>
            <w:vMerge/>
            <w:vAlign w:val="center"/>
          </w:tcPr>
          <w:p w:rsidR="00442B62" w:rsidRPr="00DE6EBD" w:rsidRDefault="00442B62" w:rsidP="00442B62">
            <w:pPr>
              <w:jc w:val="center"/>
              <w:rPr>
                <w:rFonts w:ascii="Arial Narrow" w:hAnsi="Arial Narrow"/>
                <w:b/>
                <w:color w:val="000000"/>
                <w:sz w:val="20"/>
                <w:szCs w:val="18"/>
              </w:rPr>
            </w:pPr>
          </w:p>
        </w:tc>
        <w:tc>
          <w:tcPr>
            <w:tcW w:w="999" w:type="pct"/>
            <w:gridSpan w:val="2"/>
            <w:vMerge/>
            <w:vAlign w:val="center"/>
          </w:tcPr>
          <w:p w:rsidR="00442B62" w:rsidRPr="00DE6EBD" w:rsidRDefault="00442B62" w:rsidP="00442B62">
            <w:pPr>
              <w:jc w:val="center"/>
              <w:rPr>
                <w:rFonts w:ascii="Arial Narrow" w:hAnsi="Arial Narrow"/>
                <w:b/>
                <w:color w:val="000000"/>
                <w:sz w:val="20"/>
                <w:szCs w:val="18"/>
              </w:rPr>
            </w:pPr>
          </w:p>
        </w:tc>
        <w:tc>
          <w:tcPr>
            <w:tcW w:w="662" w:type="pct"/>
            <w:vAlign w:val="center"/>
          </w:tcPr>
          <w:p w:rsidR="00442B62" w:rsidRPr="00DE6EBD" w:rsidRDefault="00442B62" w:rsidP="00442B62">
            <w:pPr>
              <w:jc w:val="center"/>
              <w:rPr>
                <w:rFonts w:ascii="Arial Narrow" w:hAnsi="Arial Narrow"/>
                <w:b/>
                <w:color w:val="000000"/>
                <w:sz w:val="20"/>
                <w:szCs w:val="18"/>
              </w:rPr>
            </w:pPr>
            <w:r w:rsidRPr="00DE6EBD">
              <w:rPr>
                <w:rFonts w:ascii="Arial Narrow" w:hAnsi="Arial Narrow"/>
                <w:b/>
                <w:color w:val="000000"/>
                <w:sz w:val="20"/>
                <w:szCs w:val="18"/>
              </w:rPr>
              <w:t>VFL + BSC</w:t>
            </w:r>
          </w:p>
        </w:tc>
        <w:tc>
          <w:tcPr>
            <w:tcW w:w="580" w:type="pct"/>
            <w:gridSpan w:val="2"/>
            <w:vAlign w:val="center"/>
          </w:tcPr>
          <w:p w:rsidR="00442B62" w:rsidRPr="00DE6EBD" w:rsidRDefault="00442B62" w:rsidP="00442B62">
            <w:pPr>
              <w:jc w:val="center"/>
              <w:rPr>
                <w:rFonts w:ascii="Arial Narrow" w:hAnsi="Arial Narrow"/>
                <w:b/>
                <w:color w:val="000000"/>
                <w:sz w:val="20"/>
                <w:szCs w:val="18"/>
              </w:rPr>
            </w:pPr>
            <w:r w:rsidRPr="00DE6EBD">
              <w:rPr>
                <w:rFonts w:ascii="Arial Narrow" w:hAnsi="Arial Narrow"/>
                <w:b/>
                <w:color w:val="000000"/>
                <w:sz w:val="20"/>
                <w:szCs w:val="18"/>
              </w:rPr>
              <w:t>BSC</w:t>
            </w:r>
          </w:p>
        </w:tc>
        <w:tc>
          <w:tcPr>
            <w:tcW w:w="823" w:type="pct"/>
            <w:vMerge/>
            <w:vAlign w:val="center"/>
          </w:tcPr>
          <w:p w:rsidR="00442B62" w:rsidRPr="00DE6EBD" w:rsidRDefault="00442B62" w:rsidP="00442B62">
            <w:pPr>
              <w:jc w:val="center"/>
              <w:rPr>
                <w:rFonts w:ascii="Arial Narrow" w:hAnsi="Arial Narrow"/>
                <w:b/>
                <w:color w:val="000000"/>
                <w:sz w:val="20"/>
                <w:szCs w:val="18"/>
              </w:rPr>
            </w:pPr>
          </w:p>
        </w:tc>
      </w:tr>
      <w:tr w:rsidR="00442B62" w:rsidRPr="00DE6EBD" w:rsidTr="008A08B8">
        <w:tc>
          <w:tcPr>
            <w:tcW w:w="5000" w:type="pct"/>
            <w:gridSpan w:val="10"/>
            <w:shd w:val="clear" w:color="auto" w:fill="auto"/>
            <w:vAlign w:val="center"/>
          </w:tcPr>
          <w:p w:rsidR="00442B62" w:rsidRPr="00DE6EBD" w:rsidRDefault="00442B62" w:rsidP="00442B62">
            <w:pPr>
              <w:rPr>
                <w:rFonts w:ascii="Arial Narrow" w:hAnsi="Arial Narrow"/>
                <w:b/>
                <w:color w:val="000000"/>
                <w:sz w:val="20"/>
                <w:szCs w:val="18"/>
              </w:rPr>
            </w:pPr>
            <w:r w:rsidRPr="00DE6EBD">
              <w:rPr>
                <w:rFonts w:ascii="Arial Narrow" w:hAnsi="Arial Narrow"/>
                <w:b/>
                <w:color w:val="000000"/>
                <w:sz w:val="20"/>
                <w:szCs w:val="18"/>
              </w:rPr>
              <w:t>Study 302 (all patients evaluable for safety), Grade 3 or 4 events only</w:t>
            </w:r>
          </w:p>
        </w:tc>
      </w:tr>
      <w:tr w:rsidR="00442B62" w:rsidRPr="00DE6EBD" w:rsidTr="008A08B8">
        <w:tc>
          <w:tcPr>
            <w:tcW w:w="1019" w:type="pct"/>
            <w:shd w:val="clear" w:color="auto" w:fill="auto"/>
            <w:vAlign w:val="center"/>
          </w:tcPr>
          <w:p w:rsidR="00442B62" w:rsidRPr="00DE6EBD" w:rsidRDefault="00442B62" w:rsidP="00442B62">
            <w:pPr>
              <w:rPr>
                <w:rFonts w:ascii="Arial Narrow" w:hAnsi="Arial Narrow"/>
                <w:color w:val="000000"/>
                <w:sz w:val="20"/>
                <w:szCs w:val="18"/>
              </w:rPr>
            </w:pPr>
            <w:r w:rsidRPr="00DE6EBD">
              <w:rPr>
                <w:rFonts w:ascii="Arial Narrow" w:hAnsi="Arial Narrow"/>
                <w:color w:val="000000"/>
                <w:sz w:val="20"/>
                <w:szCs w:val="18"/>
              </w:rPr>
              <w:t xml:space="preserve">Febrile neutropenia </w:t>
            </w:r>
          </w:p>
        </w:tc>
        <w:tc>
          <w:tcPr>
            <w:tcW w:w="498" w:type="pct"/>
            <w:gridSpan w:val="2"/>
            <w:vAlign w:val="center"/>
          </w:tcPr>
          <w:p w:rsidR="00442B62" w:rsidRPr="00DE6EBD" w:rsidRDefault="00442B62" w:rsidP="00442B62">
            <w:pPr>
              <w:jc w:val="center"/>
              <w:rPr>
                <w:rFonts w:ascii="Arial Narrow" w:hAnsi="Arial Narrow"/>
                <w:color w:val="000000"/>
                <w:sz w:val="20"/>
                <w:szCs w:val="18"/>
              </w:rPr>
            </w:pPr>
            <w:r w:rsidRPr="00DE6EBD">
              <w:rPr>
                <w:rFonts w:ascii="Arial Narrow" w:hAnsi="Arial Narrow"/>
                <w:color w:val="000000"/>
                <w:sz w:val="20"/>
                <w:szCs w:val="18"/>
              </w:rPr>
              <w:t>15/248</w:t>
            </w:r>
          </w:p>
        </w:tc>
        <w:tc>
          <w:tcPr>
            <w:tcW w:w="419" w:type="pct"/>
            <w:vAlign w:val="center"/>
          </w:tcPr>
          <w:p w:rsidR="00442B62" w:rsidRPr="00DE6EBD" w:rsidRDefault="00442B62" w:rsidP="00442B62">
            <w:pPr>
              <w:jc w:val="center"/>
              <w:rPr>
                <w:rFonts w:ascii="Arial Narrow" w:hAnsi="Arial Narrow"/>
                <w:color w:val="000000"/>
                <w:sz w:val="20"/>
                <w:szCs w:val="18"/>
              </w:rPr>
            </w:pPr>
            <w:r w:rsidRPr="00DE6EBD">
              <w:rPr>
                <w:rFonts w:ascii="Arial Narrow" w:hAnsi="Arial Narrow"/>
                <w:color w:val="000000"/>
                <w:sz w:val="20"/>
                <w:szCs w:val="18"/>
              </w:rPr>
              <w:t>0</w:t>
            </w:r>
          </w:p>
        </w:tc>
        <w:tc>
          <w:tcPr>
            <w:tcW w:w="999" w:type="pct"/>
            <w:gridSpan w:val="2"/>
            <w:vAlign w:val="center"/>
          </w:tcPr>
          <w:p w:rsidR="00442B62" w:rsidRPr="00DE6EBD" w:rsidRDefault="00442B62" w:rsidP="00442B62">
            <w:pPr>
              <w:jc w:val="center"/>
              <w:rPr>
                <w:rFonts w:ascii="Arial Narrow" w:hAnsi="Arial Narrow"/>
                <w:color w:val="000000"/>
                <w:sz w:val="20"/>
                <w:szCs w:val="18"/>
              </w:rPr>
            </w:pPr>
            <w:r w:rsidRPr="00DE6EBD">
              <w:rPr>
                <w:rFonts w:ascii="Arial Narrow" w:hAnsi="Arial Narrow"/>
                <w:color w:val="000000"/>
                <w:sz w:val="20"/>
                <w:szCs w:val="18"/>
              </w:rPr>
              <w:t>14.69 (0.89, 243.43)</w:t>
            </w:r>
          </w:p>
        </w:tc>
        <w:tc>
          <w:tcPr>
            <w:tcW w:w="662" w:type="pct"/>
            <w:vAlign w:val="center"/>
          </w:tcPr>
          <w:p w:rsidR="00442B62" w:rsidRPr="00DE6EBD" w:rsidRDefault="00442B62" w:rsidP="00442B62">
            <w:pPr>
              <w:jc w:val="center"/>
              <w:rPr>
                <w:rFonts w:ascii="Arial Narrow" w:hAnsi="Arial Narrow"/>
                <w:color w:val="000000"/>
                <w:sz w:val="20"/>
                <w:szCs w:val="18"/>
              </w:rPr>
            </w:pPr>
            <w:r w:rsidRPr="00DE6EBD">
              <w:rPr>
                <w:rFonts w:ascii="Arial Narrow" w:hAnsi="Arial Narrow"/>
                <w:color w:val="000000"/>
                <w:sz w:val="20"/>
                <w:szCs w:val="18"/>
              </w:rPr>
              <w:t>6.0</w:t>
            </w:r>
          </w:p>
        </w:tc>
        <w:tc>
          <w:tcPr>
            <w:tcW w:w="580" w:type="pct"/>
            <w:gridSpan w:val="2"/>
            <w:vAlign w:val="center"/>
          </w:tcPr>
          <w:p w:rsidR="00442B62" w:rsidRPr="00DE6EBD" w:rsidRDefault="00442B62" w:rsidP="00442B62">
            <w:pPr>
              <w:jc w:val="center"/>
              <w:rPr>
                <w:rFonts w:ascii="Arial Narrow" w:hAnsi="Arial Narrow"/>
                <w:color w:val="000000"/>
                <w:sz w:val="20"/>
                <w:szCs w:val="18"/>
              </w:rPr>
            </w:pPr>
            <w:r w:rsidRPr="00DE6EBD">
              <w:rPr>
                <w:rFonts w:ascii="Arial Narrow" w:hAnsi="Arial Narrow"/>
                <w:color w:val="000000"/>
                <w:sz w:val="20"/>
                <w:szCs w:val="18"/>
              </w:rPr>
              <w:t>0</w:t>
            </w:r>
          </w:p>
        </w:tc>
        <w:tc>
          <w:tcPr>
            <w:tcW w:w="823" w:type="pct"/>
            <w:vAlign w:val="center"/>
          </w:tcPr>
          <w:p w:rsidR="00442B62" w:rsidRPr="00DE6EBD" w:rsidRDefault="00442B62" w:rsidP="00442B62">
            <w:pPr>
              <w:jc w:val="center"/>
              <w:rPr>
                <w:rFonts w:ascii="Arial Narrow" w:hAnsi="Arial Narrow"/>
                <w:color w:val="000000"/>
                <w:sz w:val="20"/>
                <w:szCs w:val="18"/>
              </w:rPr>
            </w:pPr>
            <w:r w:rsidRPr="00DE6EBD">
              <w:rPr>
                <w:rFonts w:ascii="Arial Narrow" w:hAnsi="Arial Narrow"/>
                <w:color w:val="000000"/>
                <w:sz w:val="20"/>
                <w:szCs w:val="18"/>
              </w:rPr>
              <w:t>0.06 (0.03, 0.09)</w:t>
            </w:r>
          </w:p>
        </w:tc>
      </w:tr>
      <w:tr w:rsidR="00442B62" w:rsidRPr="00DE6EBD" w:rsidTr="008A08B8">
        <w:tc>
          <w:tcPr>
            <w:tcW w:w="1019" w:type="pct"/>
            <w:shd w:val="clear" w:color="auto" w:fill="auto"/>
            <w:vAlign w:val="center"/>
          </w:tcPr>
          <w:p w:rsidR="00442B62" w:rsidRPr="00DE6EBD" w:rsidRDefault="00442B62" w:rsidP="00442B62">
            <w:pPr>
              <w:rPr>
                <w:rFonts w:ascii="Arial Narrow" w:hAnsi="Arial Narrow"/>
                <w:color w:val="000000"/>
                <w:sz w:val="20"/>
                <w:szCs w:val="18"/>
              </w:rPr>
            </w:pPr>
            <w:r w:rsidRPr="00DE6EBD">
              <w:rPr>
                <w:rFonts w:ascii="Arial Narrow" w:hAnsi="Arial Narrow"/>
                <w:color w:val="000000"/>
                <w:sz w:val="20"/>
                <w:szCs w:val="18"/>
              </w:rPr>
              <w:t xml:space="preserve">Infections with severe </w:t>
            </w:r>
            <w:proofErr w:type="spellStart"/>
            <w:r w:rsidRPr="00DE6EBD">
              <w:rPr>
                <w:rFonts w:ascii="Arial Narrow" w:hAnsi="Arial Narrow"/>
                <w:color w:val="000000"/>
                <w:sz w:val="20"/>
                <w:szCs w:val="18"/>
              </w:rPr>
              <w:t>neutropenia</w:t>
            </w:r>
            <w:r w:rsidRPr="00DE6EBD">
              <w:rPr>
                <w:rFonts w:ascii="Arial Narrow" w:hAnsi="Arial Narrow"/>
                <w:color w:val="000000"/>
                <w:sz w:val="20"/>
                <w:szCs w:val="18"/>
                <w:vertAlign w:val="superscript"/>
              </w:rPr>
              <w:t>a</w:t>
            </w:r>
            <w:proofErr w:type="spellEnd"/>
          </w:p>
        </w:tc>
        <w:tc>
          <w:tcPr>
            <w:tcW w:w="498" w:type="pct"/>
            <w:gridSpan w:val="2"/>
            <w:vAlign w:val="center"/>
          </w:tcPr>
          <w:p w:rsidR="00442B62" w:rsidRPr="00DE6EBD" w:rsidRDefault="00442B62" w:rsidP="00442B62">
            <w:pPr>
              <w:jc w:val="center"/>
              <w:rPr>
                <w:rFonts w:ascii="Arial Narrow" w:hAnsi="Arial Narrow"/>
                <w:color w:val="000000"/>
                <w:sz w:val="20"/>
                <w:szCs w:val="18"/>
              </w:rPr>
            </w:pPr>
            <w:r w:rsidRPr="00DE6EBD">
              <w:rPr>
                <w:rFonts w:ascii="Arial Narrow" w:hAnsi="Arial Narrow"/>
                <w:color w:val="000000"/>
                <w:sz w:val="20"/>
                <w:szCs w:val="18"/>
              </w:rPr>
              <w:t>16/248</w:t>
            </w:r>
          </w:p>
        </w:tc>
        <w:tc>
          <w:tcPr>
            <w:tcW w:w="419" w:type="pct"/>
            <w:vAlign w:val="center"/>
          </w:tcPr>
          <w:p w:rsidR="00442B62" w:rsidRPr="00DE6EBD" w:rsidRDefault="00442B62" w:rsidP="00442B62">
            <w:pPr>
              <w:jc w:val="center"/>
              <w:rPr>
                <w:rFonts w:ascii="Arial Narrow" w:hAnsi="Arial Narrow"/>
                <w:color w:val="000000"/>
                <w:sz w:val="20"/>
                <w:szCs w:val="18"/>
              </w:rPr>
            </w:pPr>
            <w:r w:rsidRPr="00DE6EBD">
              <w:rPr>
                <w:rFonts w:ascii="Arial Narrow" w:hAnsi="Arial Narrow"/>
                <w:color w:val="000000"/>
                <w:sz w:val="20"/>
                <w:szCs w:val="18"/>
              </w:rPr>
              <w:t>0</w:t>
            </w:r>
          </w:p>
        </w:tc>
        <w:tc>
          <w:tcPr>
            <w:tcW w:w="999" w:type="pct"/>
            <w:gridSpan w:val="2"/>
            <w:vAlign w:val="center"/>
          </w:tcPr>
          <w:p w:rsidR="00442B62" w:rsidRPr="00DE6EBD" w:rsidRDefault="00442B62" w:rsidP="00442B62">
            <w:pPr>
              <w:jc w:val="center"/>
              <w:rPr>
                <w:rFonts w:ascii="Arial Narrow" w:hAnsi="Arial Narrow"/>
                <w:color w:val="000000"/>
                <w:sz w:val="20"/>
                <w:szCs w:val="18"/>
              </w:rPr>
            </w:pPr>
            <w:r w:rsidRPr="00DE6EBD">
              <w:rPr>
                <w:rFonts w:ascii="Arial Narrow" w:hAnsi="Arial Narrow"/>
                <w:color w:val="000000"/>
                <w:sz w:val="20"/>
                <w:szCs w:val="18"/>
              </w:rPr>
              <w:t>9.95 (0.59, 168.40)</w:t>
            </w:r>
          </w:p>
        </w:tc>
        <w:tc>
          <w:tcPr>
            <w:tcW w:w="662" w:type="pct"/>
            <w:vAlign w:val="center"/>
          </w:tcPr>
          <w:p w:rsidR="00442B62" w:rsidRPr="00DE6EBD" w:rsidRDefault="00442B62" w:rsidP="00442B62">
            <w:pPr>
              <w:jc w:val="center"/>
              <w:rPr>
                <w:rFonts w:ascii="Arial Narrow" w:hAnsi="Arial Narrow"/>
                <w:color w:val="000000"/>
                <w:sz w:val="20"/>
                <w:szCs w:val="18"/>
              </w:rPr>
            </w:pPr>
            <w:r w:rsidRPr="00DE6EBD">
              <w:rPr>
                <w:rFonts w:ascii="Arial Narrow" w:hAnsi="Arial Narrow"/>
                <w:color w:val="000000"/>
                <w:sz w:val="20"/>
                <w:szCs w:val="18"/>
              </w:rPr>
              <w:t>6.5</w:t>
            </w:r>
          </w:p>
        </w:tc>
        <w:tc>
          <w:tcPr>
            <w:tcW w:w="580" w:type="pct"/>
            <w:gridSpan w:val="2"/>
            <w:vAlign w:val="center"/>
          </w:tcPr>
          <w:p w:rsidR="00442B62" w:rsidRPr="00DE6EBD" w:rsidRDefault="00442B62" w:rsidP="00442B62">
            <w:pPr>
              <w:jc w:val="center"/>
              <w:rPr>
                <w:rFonts w:ascii="Arial Narrow" w:hAnsi="Arial Narrow"/>
                <w:color w:val="000000"/>
                <w:sz w:val="20"/>
                <w:szCs w:val="18"/>
              </w:rPr>
            </w:pPr>
            <w:r w:rsidRPr="00DE6EBD">
              <w:rPr>
                <w:rFonts w:ascii="Arial Narrow" w:hAnsi="Arial Narrow"/>
                <w:color w:val="000000"/>
                <w:sz w:val="20"/>
                <w:szCs w:val="18"/>
              </w:rPr>
              <w:t>0</w:t>
            </w:r>
          </w:p>
        </w:tc>
        <w:tc>
          <w:tcPr>
            <w:tcW w:w="823" w:type="pct"/>
            <w:vAlign w:val="center"/>
          </w:tcPr>
          <w:p w:rsidR="00442B62" w:rsidRPr="00DE6EBD" w:rsidRDefault="00442B62" w:rsidP="00442B62">
            <w:pPr>
              <w:jc w:val="center"/>
              <w:rPr>
                <w:rFonts w:ascii="Arial Narrow" w:hAnsi="Arial Narrow"/>
                <w:color w:val="000000"/>
                <w:sz w:val="20"/>
                <w:szCs w:val="18"/>
              </w:rPr>
            </w:pPr>
            <w:r w:rsidRPr="00DE6EBD">
              <w:rPr>
                <w:rFonts w:ascii="Arial Narrow" w:hAnsi="Arial Narrow"/>
                <w:color w:val="000000"/>
                <w:sz w:val="20"/>
                <w:szCs w:val="18"/>
              </w:rPr>
              <w:t>0.04 (0.01, 0.07)</w:t>
            </w:r>
          </w:p>
        </w:tc>
      </w:tr>
      <w:tr w:rsidR="00442B62" w:rsidRPr="00DE6EBD" w:rsidTr="008A08B8">
        <w:tc>
          <w:tcPr>
            <w:tcW w:w="1019" w:type="pct"/>
            <w:shd w:val="clear" w:color="auto" w:fill="auto"/>
            <w:vAlign w:val="center"/>
          </w:tcPr>
          <w:p w:rsidR="00442B62" w:rsidRPr="00DE6EBD" w:rsidRDefault="00442B62" w:rsidP="00442B62">
            <w:pPr>
              <w:rPr>
                <w:rFonts w:ascii="Arial Narrow" w:hAnsi="Arial Narrow"/>
                <w:color w:val="000000"/>
                <w:sz w:val="20"/>
                <w:szCs w:val="18"/>
              </w:rPr>
            </w:pPr>
            <w:r w:rsidRPr="00DE6EBD">
              <w:rPr>
                <w:rFonts w:ascii="Arial Narrow" w:hAnsi="Arial Narrow"/>
                <w:color w:val="000000"/>
                <w:sz w:val="20"/>
                <w:szCs w:val="18"/>
              </w:rPr>
              <w:t xml:space="preserve">Myocardial infarction/ </w:t>
            </w:r>
            <w:proofErr w:type="spellStart"/>
            <w:r w:rsidRPr="00DE6EBD">
              <w:rPr>
                <w:rFonts w:ascii="Arial Narrow" w:hAnsi="Arial Narrow"/>
                <w:color w:val="000000"/>
                <w:sz w:val="20"/>
                <w:szCs w:val="18"/>
              </w:rPr>
              <w:t>ischaemia</w:t>
            </w:r>
            <w:proofErr w:type="spellEnd"/>
          </w:p>
        </w:tc>
        <w:tc>
          <w:tcPr>
            <w:tcW w:w="498" w:type="pct"/>
            <w:gridSpan w:val="2"/>
            <w:vAlign w:val="center"/>
          </w:tcPr>
          <w:p w:rsidR="00442B62" w:rsidRPr="00DE6EBD" w:rsidRDefault="00442B62" w:rsidP="00442B62">
            <w:pPr>
              <w:jc w:val="center"/>
              <w:rPr>
                <w:rFonts w:ascii="Arial Narrow" w:hAnsi="Arial Narrow"/>
                <w:color w:val="000000"/>
                <w:sz w:val="20"/>
                <w:szCs w:val="18"/>
              </w:rPr>
            </w:pPr>
            <w:r w:rsidRPr="00DE6EBD">
              <w:rPr>
                <w:rFonts w:ascii="Arial Narrow" w:hAnsi="Arial Narrow"/>
                <w:color w:val="000000"/>
                <w:sz w:val="20"/>
                <w:szCs w:val="18"/>
              </w:rPr>
              <w:t>10/248</w:t>
            </w:r>
          </w:p>
        </w:tc>
        <w:tc>
          <w:tcPr>
            <w:tcW w:w="419" w:type="pct"/>
            <w:vAlign w:val="center"/>
          </w:tcPr>
          <w:p w:rsidR="00442B62" w:rsidRPr="00DE6EBD" w:rsidRDefault="00442B62" w:rsidP="00442B62">
            <w:pPr>
              <w:jc w:val="center"/>
              <w:rPr>
                <w:rFonts w:ascii="Arial Narrow" w:hAnsi="Arial Narrow"/>
                <w:color w:val="000000"/>
                <w:sz w:val="20"/>
                <w:szCs w:val="18"/>
              </w:rPr>
            </w:pPr>
            <w:r w:rsidRPr="00DE6EBD">
              <w:rPr>
                <w:rFonts w:ascii="Arial Narrow" w:hAnsi="Arial Narrow"/>
                <w:color w:val="000000"/>
                <w:sz w:val="20"/>
                <w:szCs w:val="18"/>
              </w:rPr>
              <w:t>0</w:t>
            </w:r>
          </w:p>
        </w:tc>
        <w:tc>
          <w:tcPr>
            <w:tcW w:w="999" w:type="pct"/>
            <w:gridSpan w:val="2"/>
            <w:vAlign w:val="center"/>
          </w:tcPr>
          <w:p w:rsidR="00442B62" w:rsidRPr="00DE6EBD" w:rsidRDefault="00442B62" w:rsidP="00442B62">
            <w:pPr>
              <w:jc w:val="center"/>
              <w:rPr>
                <w:rFonts w:ascii="Arial Narrow" w:hAnsi="Arial Narrow"/>
                <w:color w:val="000000"/>
                <w:sz w:val="20"/>
                <w:szCs w:val="18"/>
              </w:rPr>
            </w:pPr>
            <w:r w:rsidRPr="00DE6EBD">
              <w:rPr>
                <w:rFonts w:ascii="Arial Narrow" w:hAnsi="Arial Narrow"/>
                <w:color w:val="000000"/>
                <w:sz w:val="20"/>
                <w:szCs w:val="18"/>
              </w:rPr>
              <w:t>9.95 (0.59, 168.40)</w:t>
            </w:r>
          </w:p>
        </w:tc>
        <w:tc>
          <w:tcPr>
            <w:tcW w:w="662" w:type="pct"/>
            <w:vAlign w:val="center"/>
          </w:tcPr>
          <w:p w:rsidR="00442B62" w:rsidRPr="00DE6EBD" w:rsidRDefault="00442B62" w:rsidP="00442B62">
            <w:pPr>
              <w:jc w:val="center"/>
              <w:rPr>
                <w:rFonts w:ascii="Arial Narrow" w:hAnsi="Arial Narrow"/>
                <w:color w:val="000000"/>
                <w:sz w:val="20"/>
                <w:szCs w:val="18"/>
              </w:rPr>
            </w:pPr>
            <w:r w:rsidRPr="00DE6EBD">
              <w:rPr>
                <w:rFonts w:ascii="Arial Narrow" w:hAnsi="Arial Narrow"/>
                <w:color w:val="000000"/>
                <w:sz w:val="20"/>
                <w:szCs w:val="18"/>
              </w:rPr>
              <w:t>4.0</w:t>
            </w:r>
          </w:p>
        </w:tc>
        <w:tc>
          <w:tcPr>
            <w:tcW w:w="580" w:type="pct"/>
            <w:gridSpan w:val="2"/>
            <w:vAlign w:val="center"/>
          </w:tcPr>
          <w:p w:rsidR="00442B62" w:rsidRPr="00DE6EBD" w:rsidRDefault="00442B62" w:rsidP="00442B62">
            <w:pPr>
              <w:jc w:val="center"/>
              <w:rPr>
                <w:rFonts w:ascii="Arial Narrow" w:hAnsi="Arial Narrow"/>
                <w:color w:val="000000"/>
                <w:sz w:val="20"/>
                <w:szCs w:val="18"/>
              </w:rPr>
            </w:pPr>
            <w:r w:rsidRPr="00DE6EBD">
              <w:rPr>
                <w:rFonts w:ascii="Arial Narrow" w:hAnsi="Arial Narrow"/>
                <w:color w:val="000000"/>
                <w:sz w:val="20"/>
                <w:szCs w:val="18"/>
              </w:rPr>
              <w:t>0</w:t>
            </w:r>
          </w:p>
        </w:tc>
        <w:tc>
          <w:tcPr>
            <w:tcW w:w="823" w:type="pct"/>
            <w:vAlign w:val="center"/>
          </w:tcPr>
          <w:p w:rsidR="00442B62" w:rsidRPr="00DE6EBD" w:rsidRDefault="00442B62" w:rsidP="00442B62">
            <w:pPr>
              <w:jc w:val="center"/>
              <w:rPr>
                <w:rFonts w:ascii="Arial Narrow" w:hAnsi="Arial Narrow"/>
                <w:color w:val="000000"/>
                <w:sz w:val="20"/>
                <w:szCs w:val="18"/>
              </w:rPr>
            </w:pPr>
            <w:r w:rsidRPr="00DE6EBD">
              <w:rPr>
                <w:rFonts w:ascii="Arial Narrow" w:hAnsi="Arial Narrow"/>
                <w:color w:val="000000"/>
                <w:sz w:val="20"/>
                <w:szCs w:val="18"/>
              </w:rPr>
              <w:t>0.04 (0.01, 0.07)</w:t>
            </w:r>
          </w:p>
        </w:tc>
      </w:tr>
    </w:tbl>
    <w:p w:rsidR="00442B62" w:rsidRPr="00DE6EBD" w:rsidRDefault="00442B62" w:rsidP="00442B62">
      <w:pPr>
        <w:ind w:left="720"/>
        <w:rPr>
          <w:rFonts w:ascii="Arial Narrow" w:hAnsi="Arial Narrow"/>
          <w:sz w:val="18"/>
        </w:rPr>
      </w:pPr>
      <w:r w:rsidRPr="00DE6EBD">
        <w:rPr>
          <w:rFonts w:ascii="Arial Narrow" w:hAnsi="Arial Narrow"/>
          <w:sz w:val="18"/>
        </w:rPr>
        <w:t>*M</w:t>
      </w:r>
      <w:r w:rsidR="00643901" w:rsidRPr="00DE6EBD">
        <w:rPr>
          <w:rFonts w:ascii="Arial Narrow" w:hAnsi="Arial Narrow"/>
          <w:sz w:val="18"/>
        </w:rPr>
        <w:t>edian</w:t>
      </w:r>
      <w:r w:rsidRPr="00DE6EBD">
        <w:rPr>
          <w:rFonts w:ascii="Arial Narrow" w:hAnsi="Arial Narrow"/>
          <w:sz w:val="18"/>
        </w:rPr>
        <w:t xml:space="preserve"> duration of follow-up: Study 302 = 42 months (</w:t>
      </w:r>
      <w:proofErr w:type="spellStart"/>
      <w:r w:rsidRPr="00DE6EBD">
        <w:rPr>
          <w:rFonts w:ascii="Arial Narrow" w:hAnsi="Arial Narrow"/>
          <w:sz w:val="18"/>
        </w:rPr>
        <w:t>vinflunine</w:t>
      </w:r>
      <w:proofErr w:type="spellEnd"/>
      <w:r w:rsidRPr="00DE6EBD">
        <w:rPr>
          <w:rFonts w:ascii="Arial Narrow" w:hAnsi="Arial Narrow"/>
          <w:sz w:val="18"/>
        </w:rPr>
        <w:t xml:space="preserve"> + BSC arm) and 45-months (BSC arm).</w:t>
      </w:r>
    </w:p>
    <w:p w:rsidR="00442B62" w:rsidRPr="00DE6EBD" w:rsidRDefault="00442B62" w:rsidP="00442B62">
      <w:pPr>
        <w:ind w:left="720"/>
        <w:rPr>
          <w:rFonts w:ascii="Arial Narrow" w:hAnsi="Arial Narrow"/>
          <w:sz w:val="18"/>
        </w:rPr>
      </w:pPr>
      <w:r w:rsidRPr="00DE6EBD">
        <w:rPr>
          <w:rFonts w:ascii="Arial Narrow" w:hAnsi="Arial Narrow"/>
          <w:sz w:val="18"/>
        </w:rPr>
        <w:t>Abbreviations: PBO, placebo; RD, risk difference; RR, risk ratio. Note: a, clinically relevant infections (potential bacterial origin)</w:t>
      </w:r>
    </w:p>
    <w:p w:rsidR="00442B62" w:rsidRPr="00DE6EBD" w:rsidRDefault="00442B62" w:rsidP="00442B62">
      <w:pPr>
        <w:ind w:left="720"/>
        <w:rPr>
          <w:rFonts w:ascii="Arial Narrow" w:hAnsi="Arial Narrow"/>
          <w:sz w:val="18"/>
        </w:rPr>
      </w:pPr>
      <w:r w:rsidRPr="00DE6EBD">
        <w:rPr>
          <w:rFonts w:ascii="Arial Narrow" w:hAnsi="Arial Narrow"/>
          <w:sz w:val="18"/>
        </w:rPr>
        <w:t xml:space="preserve">Source: Compiled during the evaluation, </w:t>
      </w:r>
      <w:r w:rsidRPr="00DE6EBD">
        <w:rPr>
          <w:rFonts w:ascii="Arial Narrow" w:hAnsi="Arial Narrow"/>
          <w:sz w:val="18"/>
          <w:szCs w:val="18"/>
        </w:rPr>
        <w:t xml:space="preserve">Table B.6.3, of the commentary. </w:t>
      </w:r>
      <w:proofErr w:type="gramStart"/>
      <w:r w:rsidRPr="00DE6EBD">
        <w:rPr>
          <w:rFonts w:ascii="Arial Narrow" w:hAnsi="Arial Narrow"/>
          <w:sz w:val="18"/>
          <w:szCs w:val="18"/>
        </w:rPr>
        <w:t xml:space="preserve">Table </w:t>
      </w:r>
      <w:r w:rsidR="00D56045" w:rsidRPr="00DE6EBD">
        <w:rPr>
          <w:rFonts w:ascii="Arial Narrow" w:hAnsi="Arial Narrow"/>
          <w:sz w:val="18"/>
          <w:szCs w:val="18"/>
        </w:rPr>
        <w:t>47, p115, of the re-submission.</w:t>
      </w:r>
      <w:proofErr w:type="gramEnd"/>
    </w:p>
    <w:p w:rsidR="00442B62" w:rsidRPr="00DE6EBD" w:rsidRDefault="00442B62" w:rsidP="00442B62">
      <w:pPr>
        <w:rPr>
          <w:szCs w:val="22"/>
        </w:rPr>
      </w:pPr>
    </w:p>
    <w:p w:rsidR="00442B62" w:rsidRPr="00DE6EBD" w:rsidRDefault="00442B62" w:rsidP="00422A51">
      <w:pPr>
        <w:widowControl/>
        <w:numPr>
          <w:ilvl w:val="1"/>
          <w:numId w:val="2"/>
        </w:numPr>
        <w:contextualSpacing/>
        <w:rPr>
          <w:szCs w:val="22"/>
        </w:rPr>
      </w:pPr>
      <w:r w:rsidRPr="00DE6EBD">
        <w:t xml:space="preserve">On the basis of the head to head trial, the comparison of </w:t>
      </w:r>
      <w:proofErr w:type="spellStart"/>
      <w:r w:rsidRPr="00DE6EBD">
        <w:t>vinflunine</w:t>
      </w:r>
      <w:proofErr w:type="spellEnd"/>
      <w:r w:rsidRPr="00DE6EBD">
        <w:t xml:space="preserve"> + BSC and BSC did not result in a statistically significant difference in overall survival for the ITT population. With the exclusion of 13 patients who did not meet the trial inclusion or exclusion criteria from the analysis, the comparison of </w:t>
      </w:r>
      <w:proofErr w:type="spellStart"/>
      <w:r w:rsidRPr="00DE6EBD">
        <w:t>vinflunine</w:t>
      </w:r>
      <w:proofErr w:type="spellEnd"/>
      <w:r w:rsidRPr="00DE6EBD">
        <w:t xml:space="preserve"> + BSC and BSC resulted in:</w:t>
      </w:r>
    </w:p>
    <w:p w:rsidR="00442B62" w:rsidRPr="00DE6EBD" w:rsidRDefault="00442B62" w:rsidP="00422A51">
      <w:pPr>
        <w:widowControl/>
        <w:numPr>
          <w:ilvl w:val="0"/>
          <w:numId w:val="1"/>
        </w:numPr>
        <w:ind w:left="993" w:hanging="284"/>
        <w:contextualSpacing/>
      </w:pPr>
      <w:r w:rsidRPr="00DE6EBD">
        <w:t>Approximately 2.6 months difference in median overall survival (November 2008 data cut-off).</w:t>
      </w:r>
    </w:p>
    <w:p w:rsidR="00442B62" w:rsidRPr="00DE6EBD" w:rsidRDefault="00442B62" w:rsidP="00442B62">
      <w:pPr>
        <w:widowControl/>
        <w:ind w:left="993"/>
        <w:contextualSpacing/>
      </w:pPr>
    </w:p>
    <w:p w:rsidR="00442B62" w:rsidRPr="00DE6EBD" w:rsidRDefault="00442B62" w:rsidP="00422A51">
      <w:pPr>
        <w:widowControl/>
        <w:numPr>
          <w:ilvl w:val="1"/>
          <w:numId w:val="2"/>
        </w:numPr>
        <w:contextualSpacing/>
      </w:pPr>
      <w:r w:rsidRPr="00DE6EBD">
        <w:lastRenderedPageBreak/>
        <w:t xml:space="preserve">On the basis of the head to head trial presented, </w:t>
      </w:r>
      <w:proofErr w:type="spellStart"/>
      <w:r w:rsidRPr="00DE6EBD">
        <w:t>vinflunine</w:t>
      </w:r>
      <w:proofErr w:type="spellEnd"/>
      <w:r w:rsidRPr="00DE6EBD">
        <w:t xml:space="preserve"> + BSC </w:t>
      </w:r>
      <w:proofErr w:type="gramStart"/>
      <w:r w:rsidRPr="00DE6EBD">
        <w:t>is</w:t>
      </w:r>
      <w:proofErr w:type="gramEnd"/>
      <w:r w:rsidRPr="00DE6EBD">
        <w:t xml:space="preserve"> more likely to cause serious adverse events; per 100 patients treated, 15 are more likely to have a serious adverse event. The events included febrile neutropenia, infections with severe neutropenia and myocardial infarction/</w:t>
      </w:r>
      <w:proofErr w:type="spellStart"/>
      <w:r w:rsidRPr="00DE6EBD">
        <w:t>ischaemia</w:t>
      </w:r>
      <w:proofErr w:type="spellEnd"/>
      <w:r w:rsidRPr="00DE6EBD">
        <w:t>.</w:t>
      </w:r>
    </w:p>
    <w:p w:rsidR="00442B62" w:rsidRPr="00DE6EBD" w:rsidRDefault="00442B62" w:rsidP="00442B62">
      <w:pPr>
        <w:widowControl/>
        <w:ind w:left="633"/>
      </w:pPr>
    </w:p>
    <w:p w:rsidR="00442B62" w:rsidRDefault="00442B62" w:rsidP="00B13D9E">
      <w:pPr>
        <w:pStyle w:val="Heading2"/>
      </w:pPr>
      <w:bookmarkStart w:id="20" w:name="_Toc428304035"/>
      <w:r w:rsidRPr="00DE6EBD">
        <w:t>Clinical claim</w:t>
      </w:r>
      <w:bookmarkEnd w:id="20"/>
    </w:p>
    <w:p w:rsidR="00442B62" w:rsidRPr="00DE6EBD" w:rsidRDefault="00442B62" w:rsidP="00422A51">
      <w:pPr>
        <w:widowControl/>
        <w:numPr>
          <w:ilvl w:val="1"/>
          <w:numId w:val="2"/>
        </w:numPr>
        <w:contextualSpacing/>
      </w:pPr>
      <w:r w:rsidRPr="00DE6EBD">
        <w:t xml:space="preserve">The re-submission described </w:t>
      </w:r>
      <w:proofErr w:type="spellStart"/>
      <w:r w:rsidRPr="00DE6EBD">
        <w:t>vinflunine</w:t>
      </w:r>
      <w:proofErr w:type="spellEnd"/>
      <w:r w:rsidRPr="00DE6EBD">
        <w:t xml:space="preserve"> + BSC as superior in terms of comparative effectiveness and inferior in terms of comparative safety over BSC. The PBAC previously (Sections 9 and 12, pp4-6, November 2011, PBAC PSD, item 5.3):</w:t>
      </w:r>
    </w:p>
    <w:p w:rsidR="00442B62" w:rsidRPr="00DE6EBD" w:rsidRDefault="00442B62" w:rsidP="00422A51">
      <w:pPr>
        <w:widowControl/>
        <w:numPr>
          <w:ilvl w:val="0"/>
          <w:numId w:val="1"/>
        </w:numPr>
        <w:ind w:left="993" w:hanging="284"/>
        <w:contextualSpacing/>
      </w:pPr>
      <w:r w:rsidRPr="00DE6EBD">
        <w:t xml:space="preserve"> ‘accepted that </w:t>
      </w:r>
      <w:proofErr w:type="spellStart"/>
      <w:r w:rsidRPr="00DE6EBD">
        <w:t>vinflunine</w:t>
      </w:r>
      <w:proofErr w:type="spellEnd"/>
      <w:r w:rsidRPr="00DE6EBD">
        <w:t xml:space="preserve"> is superior in terms of comparative efficacy over BSC but noted that the increment in overall survival is uncertain and, at best, is between 2.3 (ITT) and 2.6 months (eligible ITT) and was at a cost of significant treatment-related toxicity’;</w:t>
      </w:r>
    </w:p>
    <w:p w:rsidR="00442B62" w:rsidRPr="00DE6EBD" w:rsidRDefault="00442B62" w:rsidP="00422A51">
      <w:pPr>
        <w:widowControl/>
        <w:numPr>
          <w:ilvl w:val="0"/>
          <w:numId w:val="1"/>
        </w:numPr>
        <w:ind w:left="993" w:hanging="284"/>
        <w:contextualSpacing/>
      </w:pPr>
      <w:r w:rsidRPr="00DE6EBD">
        <w:t xml:space="preserve">‘agreed that whilst the eligible ITT population may be reasonable to assess the efficacy of </w:t>
      </w:r>
      <w:proofErr w:type="spellStart"/>
      <w:r w:rsidRPr="00DE6EBD">
        <w:t>vinflunine</w:t>
      </w:r>
      <w:proofErr w:type="spellEnd"/>
      <w:r w:rsidRPr="00DE6EBD">
        <w:t xml:space="preserve">, the ITT population should be used in considering the effectiveness of </w:t>
      </w:r>
      <w:proofErr w:type="spellStart"/>
      <w:r w:rsidRPr="00DE6EBD">
        <w:t>vinflunine</w:t>
      </w:r>
      <w:proofErr w:type="spellEnd"/>
      <w:r w:rsidRPr="00DE6EBD">
        <w:t xml:space="preserve"> as the eligibility criteria in the trial are tighter than the PBS restriction criteria and the ITT population more closely approximates the likely PBS population’;</w:t>
      </w:r>
    </w:p>
    <w:p w:rsidR="00442B62" w:rsidRPr="00DE6EBD" w:rsidRDefault="00442B62" w:rsidP="00422A51">
      <w:pPr>
        <w:widowControl/>
        <w:numPr>
          <w:ilvl w:val="0"/>
          <w:numId w:val="1"/>
        </w:numPr>
        <w:ind w:left="993" w:hanging="284"/>
        <w:contextualSpacing/>
      </w:pPr>
      <w:r w:rsidRPr="00DE6EBD">
        <w:t>‘</w:t>
      </w:r>
      <w:proofErr w:type="gramStart"/>
      <w:r w:rsidRPr="00DE6EBD">
        <w:t>agreed</w:t>
      </w:r>
      <w:proofErr w:type="gramEnd"/>
      <w:r w:rsidRPr="00DE6EBD">
        <w:t xml:space="preserve"> that </w:t>
      </w:r>
      <w:proofErr w:type="spellStart"/>
      <w:r w:rsidRPr="00DE6EBD">
        <w:t>vinflunine</w:t>
      </w:r>
      <w:proofErr w:type="spellEnd"/>
      <w:r w:rsidRPr="00DE6EBD">
        <w:t xml:space="preserve"> is inferior in terms of comparative safety over BSC’. </w:t>
      </w:r>
    </w:p>
    <w:p w:rsidR="00442B62" w:rsidRPr="00DE6EBD" w:rsidRDefault="00442B62" w:rsidP="00442B62">
      <w:pPr>
        <w:widowControl/>
        <w:ind w:left="720"/>
        <w:contextualSpacing/>
        <w:rPr>
          <w:szCs w:val="22"/>
        </w:rPr>
      </w:pPr>
    </w:p>
    <w:p w:rsidR="00946B94" w:rsidRDefault="00442B62" w:rsidP="00422A51">
      <w:pPr>
        <w:widowControl/>
        <w:numPr>
          <w:ilvl w:val="1"/>
          <w:numId w:val="2"/>
        </w:numPr>
        <w:contextualSpacing/>
      </w:pPr>
      <w:r w:rsidRPr="00DE6EBD">
        <w:t xml:space="preserve">The re-submission described </w:t>
      </w:r>
      <w:proofErr w:type="spellStart"/>
      <w:r w:rsidRPr="00DE6EBD">
        <w:t>vinflunine</w:t>
      </w:r>
      <w:proofErr w:type="spellEnd"/>
      <w:r w:rsidRPr="00DE6EBD">
        <w:t xml:space="preserve"> + BSC as superior in terms of comparative efficacy and similar in terms of comparative safety over active chemotherapy</w:t>
      </w:r>
      <w:r w:rsidR="00643901" w:rsidRPr="00DE6EBD">
        <w:t>, although it also noted that it is not possible</w:t>
      </w:r>
      <w:r w:rsidR="003F5A2E" w:rsidRPr="00DE6EBD">
        <w:t xml:space="preserve"> to provide a reliable therapeutic claim for </w:t>
      </w:r>
      <w:proofErr w:type="spellStart"/>
      <w:r w:rsidR="003F5A2E" w:rsidRPr="00DE6EBD">
        <w:t>vinflunine</w:t>
      </w:r>
      <w:proofErr w:type="spellEnd"/>
      <w:r w:rsidR="003F5A2E" w:rsidRPr="00DE6EBD">
        <w:t xml:space="preserve"> versus active chemotherapy due to a lack of clinical evidence</w:t>
      </w:r>
      <w:r w:rsidRPr="00DE6EBD">
        <w:t xml:space="preserve">. </w:t>
      </w:r>
      <w:r w:rsidR="003F5A2E" w:rsidRPr="00DE6EBD">
        <w:t>The clinical</w:t>
      </w:r>
      <w:r w:rsidRPr="00DE6EBD">
        <w:t xml:space="preserve"> claim is not adequately supported. </w:t>
      </w:r>
    </w:p>
    <w:p w:rsidR="0091433C" w:rsidRDefault="0091433C" w:rsidP="0091433C">
      <w:pPr>
        <w:widowControl/>
        <w:contextualSpacing/>
      </w:pPr>
    </w:p>
    <w:p w:rsidR="00442B62" w:rsidRPr="00483641" w:rsidRDefault="00442B62" w:rsidP="00422A51">
      <w:pPr>
        <w:widowControl/>
        <w:numPr>
          <w:ilvl w:val="1"/>
          <w:numId w:val="2"/>
        </w:numPr>
        <w:contextualSpacing/>
      </w:pPr>
      <w:r w:rsidRPr="00483641">
        <w:t>The</w:t>
      </w:r>
      <w:r w:rsidR="00946B94" w:rsidRPr="00483641">
        <w:t xml:space="preserve"> PBAC noted the</w:t>
      </w:r>
      <w:r w:rsidRPr="00483641">
        <w:t xml:space="preserve"> following issues:</w:t>
      </w:r>
    </w:p>
    <w:p w:rsidR="00442B62" w:rsidRPr="00DE6EBD" w:rsidRDefault="00442B62" w:rsidP="00422A51">
      <w:pPr>
        <w:widowControl/>
        <w:numPr>
          <w:ilvl w:val="0"/>
          <w:numId w:val="1"/>
        </w:numPr>
        <w:ind w:left="993" w:hanging="284"/>
        <w:contextualSpacing/>
      </w:pPr>
      <w:r w:rsidRPr="00DE6EBD">
        <w:t xml:space="preserve">Superior efficacy of </w:t>
      </w:r>
      <w:proofErr w:type="spellStart"/>
      <w:r w:rsidRPr="00DE6EBD">
        <w:t>vinflunine</w:t>
      </w:r>
      <w:proofErr w:type="spellEnd"/>
      <w:r w:rsidRPr="00DE6EBD">
        <w:t xml:space="preserve"> versus active chemotherapy is not supported by the evidence. There are only single arm studies for the active chemotherapy comparator;</w:t>
      </w:r>
    </w:p>
    <w:p w:rsidR="00DD0671" w:rsidRPr="00DE6EBD" w:rsidRDefault="00442B62" w:rsidP="00422A51">
      <w:pPr>
        <w:widowControl/>
        <w:numPr>
          <w:ilvl w:val="0"/>
          <w:numId w:val="1"/>
        </w:numPr>
        <w:ind w:left="993" w:hanging="284"/>
        <w:contextualSpacing/>
      </w:pPr>
      <w:r w:rsidRPr="00DE6EBD">
        <w:t xml:space="preserve">A systematic comparison of the safety of </w:t>
      </w:r>
      <w:proofErr w:type="spellStart"/>
      <w:r w:rsidRPr="00DE6EBD">
        <w:t>vinflunine</w:t>
      </w:r>
      <w:proofErr w:type="spellEnd"/>
      <w:r w:rsidRPr="00DE6EBD">
        <w:t xml:space="preserve"> and active chemotherapy was not presented in the re-submission</w:t>
      </w:r>
      <w:r w:rsidR="000F424B" w:rsidRPr="00DE6EBD">
        <w:t>, but was addressed in the PSCR, as discussed above.</w:t>
      </w:r>
      <w:r w:rsidR="00DD0671" w:rsidRPr="00DE6EBD">
        <w:t xml:space="preserve"> The ESC considered that the safety of </w:t>
      </w:r>
      <w:proofErr w:type="spellStart"/>
      <w:r w:rsidR="00DD0671" w:rsidRPr="00DE6EBD">
        <w:t>vinflunine</w:t>
      </w:r>
      <w:proofErr w:type="spellEnd"/>
      <w:r w:rsidR="00DD0671" w:rsidRPr="00DE6EBD">
        <w:t xml:space="preserve"> was likely to be similar to active chemotherapy.</w:t>
      </w:r>
    </w:p>
    <w:p w:rsidR="00442B62" w:rsidRPr="00DE6EBD" w:rsidRDefault="00442B62" w:rsidP="00B13D9E">
      <w:pPr>
        <w:pStyle w:val="Heading2"/>
      </w:pPr>
      <w:bookmarkStart w:id="21" w:name="_Toc428304036"/>
      <w:r w:rsidRPr="00DE6EBD">
        <w:t>Economic analysis</w:t>
      </w:r>
      <w:bookmarkEnd w:id="21"/>
      <w:r w:rsidRPr="00DE6EBD">
        <w:t xml:space="preserve"> </w:t>
      </w:r>
    </w:p>
    <w:p w:rsidR="00442B62" w:rsidRPr="00DE6EBD" w:rsidRDefault="00442B62" w:rsidP="00422A51">
      <w:pPr>
        <w:widowControl/>
        <w:numPr>
          <w:ilvl w:val="1"/>
          <w:numId w:val="2"/>
        </w:numPr>
        <w:contextualSpacing/>
        <w:rPr>
          <w:szCs w:val="22"/>
        </w:rPr>
      </w:pPr>
      <w:r w:rsidRPr="00DE6EBD">
        <w:t xml:space="preserve">The economic evaluation included in the November 2011 submission was a cost-utility decision analysis comparing </w:t>
      </w:r>
      <w:proofErr w:type="spellStart"/>
      <w:r w:rsidRPr="00DE6EBD">
        <w:t>vinflunine</w:t>
      </w:r>
      <w:proofErr w:type="spellEnd"/>
      <w:r w:rsidRPr="00DE6EBD">
        <w:t xml:space="preserve"> + BSC with BSC alone. The re-submission presented a cost-utility analysis using a Markov model. However, a Markov process was not used to assign the cohort to the health states and the costs were calculated separately to the model. Thus the model presented in the re-submission is essentially the same as that presented in the November 2011 submission.</w:t>
      </w:r>
    </w:p>
    <w:p w:rsidR="008642A0" w:rsidRDefault="00442B62" w:rsidP="00442B62">
      <w:pPr>
        <w:widowControl/>
        <w:ind w:left="720"/>
        <w:contextualSpacing/>
      </w:pPr>
      <w:r w:rsidRPr="00DE6EBD">
        <w:t xml:space="preserve"> </w:t>
      </w:r>
    </w:p>
    <w:p w:rsidR="008642A0" w:rsidRDefault="008642A0" w:rsidP="008642A0">
      <w:r>
        <w:br w:type="page"/>
      </w:r>
    </w:p>
    <w:p w:rsidR="00442B62" w:rsidRPr="00DE6EBD" w:rsidRDefault="00442B62" w:rsidP="00442B62">
      <w:pPr>
        <w:ind w:firstLine="720"/>
        <w:rPr>
          <w:rFonts w:ascii="Arial Narrow" w:hAnsi="Arial Narrow"/>
          <w:b/>
          <w:sz w:val="20"/>
          <w:szCs w:val="16"/>
        </w:rPr>
      </w:pPr>
      <w:r w:rsidRPr="00DE6EBD">
        <w:rPr>
          <w:rFonts w:ascii="Arial Narrow" w:hAnsi="Arial Narrow"/>
          <w:b/>
          <w:sz w:val="20"/>
          <w:szCs w:val="16"/>
        </w:rPr>
        <w:lastRenderedPageBreak/>
        <w:t>Table 7: 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01"/>
        <w:gridCol w:w="6644"/>
      </w:tblGrid>
      <w:tr w:rsidR="00442B62" w:rsidRPr="00DE6EBD" w:rsidTr="008A08B8">
        <w:trPr>
          <w:tblHeader/>
        </w:trPr>
        <w:tc>
          <w:tcPr>
            <w:tcW w:w="1019" w:type="pct"/>
            <w:shd w:val="clear" w:color="auto" w:fill="auto"/>
            <w:vAlign w:val="center"/>
          </w:tcPr>
          <w:p w:rsidR="00442B62" w:rsidRPr="00DE6EBD" w:rsidRDefault="00442B62" w:rsidP="00442B62">
            <w:pPr>
              <w:jc w:val="left"/>
              <w:rPr>
                <w:rFonts w:ascii="Arial Narrow" w:hAnsi="Arial Narrow"/>
                <w:b/>
                <w:sz w:val="20"/>
              </w:rPr>
            </w:pPr>
            <w:r w:rsidRPr="00DE6EBD">
              <w:rPr>
                <w:rFonts w:ascii="Arial Narrow" w:hAnsi="Arial Narrow"/>
                <w:b/>
                <w:sz w:val="20"/>
              </w:rPr>
              <w:t>Component</w:t>
            </w:r>
          </w:p>
        </w:tc>
        <w:tc>
          <w:tcPr>
            <w:tcW w:w="3981" w:type="pct"/>
            <w:shd w:val="clear" w:color="auto" w:fill="auto"/>
            <w:vAlign w:val="center"/>
          </w:tcPr>
          <w:p w:rsidR="00442B62" w:rsidRPr="00DE6EBD" w:rsidRDefault="00442B62" w:rsidP="00442B62">
            <w:pPr>
              <w:jc w:val="center"/>
              <w:rPr>
                <w:rFonts w:ascii="Arial Narrow" w:hAnsi="Arial Narrow"/>
                <w:b/>
                <w:sz w:val="20"/>
              </w:rPr>
            </w:pPr>
            <w:r w:rsidRPr="00DE6EBD">
              <w:rPr>
                <w:rFonts w:ascii="Arial Narrow" w:hAnsi="Arial Narrow"/>
                <w:b/>
                <w:sz w:val="20"/>
              </w:rPr>
              <w:t>Summary</w:t>
            </w:r>
          </w:p>
        </w:tc>
      </w:tr>
      <w:tr w:rsidR="00442B62" w:rsidRPr="00DE6EBD" w:rsidTr="008A08B8">
        <w:tc>
          <w:tcPr>
            <w:tcW w:w="1019" w:type="pct"/>
            <w:shd w:val="clear" w:color="auto" w:fill="auto"/>
            <w:vAlign w:val="center"/>
          </w:tcPr>
          <w:p w:rsidR="00442B62" w:rsidRPr="00DE6EBD" w:rsidRDefault="00442B62" w:rsidP="00442B62">
            <w:pPr>
              <w:jc w:val="left"/>
              <w:rPr>
                <w:rFonts w:ascii="Arial Narrow" w:hAnsi="Arial Narrow"/>
                <w:sz w:val="20"/>
              </w:rPr>
            </w:pPr>
            <w:r w:rsidRPr="00DE6EBD">
              <w:rPr>
                <w:rFonts w:ascii="Arial Narrow" w:hAnsi="Arial Narrow"/>
                <w:sz w:val="20"/>
              </w:rPr>
              <w:t>Time horizon</w:t>
            </w:r>
          </w:p>
        </w:tc>
        <w:tc>
          <w:tcPr>
            <w:tcW w:w="3981" w:type="pct"/>
            <w:shd w:val="clear" w:color="auto" w:fill="auto"/>
            <w:vAlign w:val="center"/>
          </w:tcPr>
          <w:p w:rsidR="00442B62" w:rsidRPr="00DE6EBD" w:rsidRDefault="00442B62" w:rsidP="00442B62">
            <w:pPr>
              <w:jc w:val="left"/>
              <w:rPr>
                <w:rFonts w:ascii="Arial Narrow" w:hAnsi="Arial Narrow"/>
                <w:sz w:val="20"/>
              </w:rPr>
            </w:pPr>
            <w:r w:rsidRPr="00DE6EBD">
              <w:rPr>
                <w:rFonts w:ascii="Arial Narrow" w:hAnsi="Arial Narrow"/>
                <w:sz w:val="20"/>
              </w:rPr>
              <w:t xml:space="preserve">Based on data from Study 302 with no extrapolation. In the model all patients were dead by 4.4 years in </w:t>
            </w:r>
            <w:r w:rsidR="003F5A2E" w:rsidRPr="00DE6EBD">
              <w:rPr>
                <w:rFonts w:ascii="Arial Narrow" w:hAnsi="Arial Narrow"/>
                <w:sz w:val="20"/>
              </w:rPr>
              <w:t xml:space="preserve">the </w:t>
            </w:r>
            <w:proofErr w:type="spellStart"/>
            <w:r w:rsidRPr="00DE6EBD">
              <w:rPr>
                <w:rFonts w:ascii="Arial Narrow" w:hAnsi="Arial Narrow"/>
                <w:sz w:val="20"/>
              </w:rPr>
              <w:t>vinflunine</w:t>
            </w:r>
            <w:proofErr w:type="spellEnd"/>
            <w:r w:rsidRPr="00DE6EBD">
              <w:rPr>
                <w:rFonts w:ascii="Arial Narrow" w:hAnsi="Arial Narrow"/>
                <w:sz w:val="20"/>
              </w:rPr>
              <w:t xml:space="preserve"> + BSC arm and by 3.9 years in</w:t>
            </w:r>
            <w:r w:rsidR="003F5A2E" w:rsidRPr="00DE6EBD">
              <w:rPr>
                <w:rFonts w:ascii="Arial Narrow" w:hAnsi="Arial Narrow"/>
                <w:sz w:val="20"/>
              </w:rPr>
              <w:t xml:space="preserve"> the</w:t>
            </w:r>
            <w:r w:rsidRPr="00DE6EBD">
              <w:rPr>
                <w:rFonts w:ascii="Arial Narrow" w:hAnsi="Arial Narrow"/>
                <w:sz w:val="20"/>
              </w:rPr>
              <w:t xml:space="preserve"> BSC arm.</w:t>
            </w:r>
          </w:p>
        </w:tc>
      </w:tr>
      <w:tr w:rsidR="00442B62" w:rsidRPr="00DE6EBD" w:rsidTr="008A08B8">
        <w:tc>
          <w:tcPr>
            <w:tcW w:w="1019" w:type="pct"/>
            <w:shd w:val="clear" w:color="auto" w:fill="auto"/>
            <w:vAlign w:val="center"/>
          </w:tcPr>
          <w:p w:rsidR="00442B62" w:rsidRPr="00DE6EBD" w:rsidRDefault="00442B62" w:rsidP="00442B62">
            <w:pPr>
              <w:jc w:val="left"/>
              <w:rPr>
                <w:rFonts w:ascii="Arial Narrow" w:hAnsi="Arial Narrow"/>
                <w:sz w:val="20"/>
              </w:rPr>
            </w:pPr>
            <w:r w:rsidRPr="00DE6EBD">
              <w:rPr>
                <w:rFonts w:ascii="Arial Narrow" w:hAnsi="Arial Narrow"/>
                <w:sz w:val="20"/>
              </w:rPr>
              <w:t>Outcomes</w:t>
            </w:r>
          </w:p>
        </w:tc>
        <w:tc>
          <w:tcPr>
            <w:tcW w:w="3981" w:type="pct"/>
            <w:shd w:val="clear" w:color="auto" w:fill="auto"/>
            <w:vAlign w:val="center"/>
          </w:tcPr>
          <w:p w:rsidR="00442B62" w:rsidRPr="00DE6EBD" w:rsidRDefault="00442B62" w:rsidP="00442B62">
            <w:pPr>
              <w:jc w:val="left"/>
              <w:rPr>
                <w:rFonts w:ascii="Arial Narrow" w:hAnsi="Arial Narrow"/>
                <w:sz w:val="20"/>
              </w:rPr>
            </w:pPr>
            <w:r w:rsidRPr="00DE6EBD">
              <w:rPr>
                <w:rFonts w:ascii="Arial Narrow" w:hAnsi="Arial Narrow"/>
                <w:sz w:val="20"/>
              </w:rPr>
              <w:t>LYG and QALYs</w:t>
            </w:r>
          </w:p>
        </w:tc>
      </w:tr>
      <w:tr w:rsidR="00442B62" w:rsidRPr="00DE6EBD" w:rsidTr="008A08B8">
        <w:tc>
          <w:tcPr>
            <w:tcW w:w="1019" w:type="pct"/>
            <w:shd w:val="clear" w:color="auto" w:fill="auto"/>
            <w:vAlign w:val="center"/>
          </w:tcPr>
          <w:p w:rsidR="00442B62" w:rsidRPr="00DE6EBD" w:rsidRDefault="00442B62" w:rsidP="00442B62">
            <w:pPr>
              <w:jc w:val="left"/>
              <w:rPr>
                <w:rFonts w:ascii="Arial Narrow" w:hAnsi="Arial Narrow"/>
                <w:sz w:val="20"/>
              </w:rPr>
            </w:pPr>
            <w:r w:rsidRPr="00DE6EBD">
              <w:rPr>
                <w:rFonts w:ascii="Arial Narrow" w:hAnsi="Arial Narrow"/>
                <w:sz w:val="20"/>
              </w:rPr>
              <w:t>Methods used to generate results</w:t>
            </w:r>
          </w:p>
        </w:tc>
        <w:tc>
          <w:tcPr>
            <w:tcW w:w="3981" w:type="pct"/>
            <w:shd w:val="clear" w:color="auto" w:fill="auto"/>
            <w:vAlign w:val="center"/>
          </w:tcPr>
          <w:p w:rsidR="00442B62" w:rsidRPr="00DE6EBD" w:rsidRDefault="00442B62" w:rsidP="00442B62">
            <w:pPr>
              <w:jc w:val="left"/>
              <w:rPr>
                <w:rFonts w:ascii="Arial Narrow" w:hAnsi="Arial Narrow"/>
                <w:sz w:val="20"/>
              </w:rPr>
            </w:pPr>
            <w:r w:rsidRPr="00DE6EBD">
              <w:rPr>
                <w:rFonts w:ascii="Arial Narrow" w:hAnsi="Arial Narrow"/>
                <w:sz w:val="20"/>
              </w:rPr>
              <w:t>Mean survival (PFS and OS) calculated from Kaplan Meier plots for Study 302. The estimates differed marginally compared with those in the November 2011 submission.</w:t>
            </w:r>
          </w:p>
        </w:tc>
      </w:tr>
      <w:tr w:rsidR="00442B62" w:rsidRPr="00DE6EBD" w:rsidTr="008A08B8">
        <w:tc>
          <w:tcPr>
            <w:tcW w:w="1019" w:type="pct"/>
            <w:shd w:val="clear" w:color="auto" w:fill="auto"/>
            <w:vAlign w:val="center"/>
          </w:tcPr>
          <w:p w:rsidR="00442B62" w:rsidRPr="00DE6EBD" w:rsidRDefault="00442B62" w:rsidP="00442B62">
            <w:pPr>
              <w:jc w:val="left"/>
              <w:rPr>
                <w:rFonts w:ascii="Arial Narrow" w:hAnsi="Arial Narrow"/>
                <w:sz w:val="20"/>
              </w:rPr>
            </w:pPr>
            <w:r w:rsidRPr="00DE6EBD">
              <w:rPr>
                <w:rFonts w:ascii="Arial Narrow" w:hAnsi="Arial Narrow"/>
                <w:sz w:val="20"/>
              </w:rPr>
              <w:t>Health states</w:t>
            </w:r>
          </w:p>
        </w:tc>
        <w:tc>
          <w:tcPr>
            <w:tcW w:w="3981" w:type="pct"/>
            <w:shd w:val="clear" w:color="auto" w:fill="auto"/>
            <w:vAlign w:val="center"/>
          </w:tcPr>
          <w:p w:rsidR="00442B62" w:rsidRPr="00DE6EBD" w:rsidRDefault="00442B62" w:rsidP="00442B62">
            <w:pPr>
              <w:jc w:val="left"/>
              <w:rPr>
                <w:rFonts w:ascii="Arial Narrow" w:hAnsi="Arial Narrow"/>
                <w:sz w:val="20"/>
              </w:rPr>
            </w:pPr>
            <w:r w:rsidRPr="00DE6EBD">
              <w:rPr>
                <w:rFonts w:ascii="Arial Narrow" w:hAnsi="Arial Narrow"/>
                <w:sz w:val="20"/>
              </w:rPr>
              <w:t>Progression free disease, progressive disease, death</w:t>
            </w:r>
          </w:p>
        </w:tc>
      </w:tr>
      <w:tr w:rsidR="00442B62" w:rsidRPr="00DE6EBD" w:rsidTr="008A08B8">
        <w:tc>
          <w:tcPr>
            <w:tcW w:w="1019" w:type="pct"/>
            <w:shd w:val="clear" w:color="auto" w:fill="auto"/>
            <w:vAlign w:val="center"/>
          </w:tcPr>
          <w:p w:rsidR="00442B62" w:rsidRPr="00DE6EBD" w:rsidRDefault="00442B62" w:rsidP="00442B62">
            <w:pPr>
              <w:jc w:val="left"/>
              <w:rPr>
                <w:rFonts w:ascii="Arial Narrow" w:hAnsi="Arial Narrow"/>
                <w:sz w:val="20"/>
              </w:rPr>
            </w:pPr>
            <w:r w:rsidRPr="00DE6EBD">
              <w:rPr>
                <w:rFonts w:ascii="Arial Narrow" w:hAnsi="Arial Narrow"/>
                <w:sz w:val="20"/>
              </w:rPr>
              <w:t>Cycle length</w:t>
            </w:r>
          </w:p>
        </w:tc>
        <w:tc>
          <w:tcPr>
            <w:tcW w:w="3981" w:type="pct"/>
            <w:shd w:val="clear" w:color="auto" w:fill="auto"/>
            <w:vAlign w:val="center"/>
          </w:tcPr>
          <w:p w:rsidR="00442B62" w:rsidRPr="00DE6EBD" w:rsidRDefault="00442B62" w:rsidP="00442B62">
            <w:pPr>
              <w:jc w:val="left"/>
              <w:rPr>
                <w:rFonts w:ascii="Arial Narrow" w:hAnsi="Arial Narrow"/>
                <w:sz w:val="20"/>
              </w:rPr>
            </w:pPr>
            <w:r w:rsidRPr="00DE6EBD">
              <w:rPr>
                <w:rFonts w:ascii="Arial Narrow" w:hAnsi="Arial Narrow"/>
                <w:sz w:val="20"/>
              </w:rPr>
              <w:t>21 days</w:t>
            </w:r>
          </w:p>
        </w:tc>
      </w:tr>
      <w:tr w:rsidR="00442B62" w:rsidRPr="00DE6EBD" w:rsidTr="008A08B8">
        <w:tc>
          <w:tcPr>
            <w:tcW w:w="1019" w:type="pct"/>
            <w:shd w:val="clear" w:color="auto" w:fill="auto"/>
            <w:vAlign w:val="center"/>
          </w:tcPr>
          <w:p w:rsidR="00442B62" w:rsidRPr="00DE6EBD" w:rsidRDefault="00442B62" w:rsidP="00442B62">
            <w:pPr>
              <w:jc w:val="left"/>
              <w:rPr>
                <w:rFonts w:ascii="Arial Narrow" w:hAnsi="Arial Narrow"/>
                <w:sz w:val="20"/>
              </w:rPr>
            </w:pPr>
            <w:r w:rsidRPr="00DE6EBD">
              <w:rPr>
                <w:rFonts w:ascii="Arial Narrow" w:hAnsi="Arial Narrow"/>
                <w:sz w:val="20"/>
              </w:rPr>
              <w:t>Transition probabilities</w:t>
            </w:r>
          </w:p>
        </w:tc>
        <w:tc>
          <w:tcPr>
            <w:tcW w:w="3981" w:type="pct"/>
            <w:shd w:val="clear" w:color="auto" w:fill="auto"/>
            <w:vAlign w:val="center"/>
          </w:tcPr>
          <w:p w:rsidR="00442B62" w:rsidRPr="00DE6EBD" w:rsidRDefault="00442B62" w:rsidP="00442B62">
            <w:pPr>
              <w:jc w:val="left"/>
              <w:rPr>
                <w:rFonts w:ascii="Arial Narrow" w:hAnsi="Arial Narrow"/>
                <w:sz w:val="20"/>
              </w:rPr>
            </w:pPr>
            <w:r w:rsidRPr="00DE6EBD">
              <w:rPr>
                <w:rFonts w:ascii="Arial Narrow" w:hAnsi="Arial Narrow"/>
                <w:sz w:val="20"/>
              </w:rPr>
              <w:t>Partitioned survival analysis used to calculate proportion of patients in each health state</w:t>
            </w:r>
          </w:p>
        </w:tc>
      </w:tr>
    </w:tbl>
    <w:p w:rsidR="00442B62" w:rsidRPr="00DE6EBD" w:rsidRDefault="00442B62" w:rsidP="00442B62">
      <w:pPr>
        <w:ind w:firstLine="720"/>
        <w:rPr>
          <w:rFonts w:ascii="Arial Narrow" w:hAnsi="Arial Narrow"/>
          <w:sz w:val="18"/>
        </w:rPr>
      </w:pPr>
      <w:r w:rsidRPr="00DE6EBD">
        <w:rPr>
          <w:rFonts w:ascii="Arial Narrow" w:hAnsi="Arial Narrow"/>
          <w:sz w:val="18"/>
        </w:rPr>
        <w:t>Source: compiled during the evaluation</w:t>
      </w:r>
    </w:p>
    <w:p w:rsidR="003C3727" w:rsidRDefault="003C3727" w:rsidP="003C3727">
      <w:pPr>
        <w:widowControl/>
        <w:ind w:left="720"/>
        <w:contextualSpacing/>
        <w:rPr>
          <w:szCs w:val="22"/>
        </w:rPr>
      </w:pPr>
    </w:p>
    <w:p w:rsidR="00442B62" w:rsidRPr="00DE6EBD" w:rsidRDefault="00442B62" w:rsidP="00422A51">
      <w:pPr>
        <w:widowControl/>
        <w:numPr>
          <w:ilvl w:val="1"/>
          <w:numId w:val="2"/>
        </w:numPr>
        <w:contextualSpacing/>
        <w:rPr>
          <w:szCs w:val="22"/>
        </w:rPr>
      </w:pPr>
      <w:r w:rsidRPr="00DE6EBD">
        <w:t xml:space="preserve">The key model drivers are summarised in Table 8 below. </w:t>
      </w:r>
    </w:p>
    <w:p w:rsidR="00431EC9" w:rsidRPr="00DE6EBD" w:rsidRDefault="00431EC9">
      <w:pPr>
        <w:widowControl/>
        <w:jc w:val="left"/>
        <w:rPr>
          <w:rFonts w:ascii="Arial Narrow" w:hAnsi="Arial Narrow"/>
          <w:b/>
          <w:sz w:val="20"/>
          <w:szCs w:val="16"/>
        </w:rPr>
      </w:pPr>
    </w:p>
    <w:p w:rsidR="00442B62" w:rsidRPr="00DE6EBD" w:rsidRDefault="00442B62" w:rsidP="00442B62">
      <w:pPr>
        <w:ind w:firstLine="720"/>
        <w:rPr>
          <w:rFonts w:ascii="Arial Narrow" w:hAnsi="Arial Narrow"/>
          <w:b/>
          <w:sz w:val="20"/>
          <w:szCs w:val="16"/>
        </w:rPr>
      </w:pPr>
      <w:r w:rsidRPr="00DE6EBD">
        <w:rPr>
          <w:rFonts w:ascii="Arial Narrow" w:hAnsi="Arial Narrow"/>
          <w:b/>
          <w:sz w:val="20"/>
          <w:szCs w:val="16"/>
        </w:rPr>
        <w:t>Table 8: Key drivers of the model</w:t>
      </w:r>
    </w:p>
    <w:tbl>
      <w:tblPr>
        <w:tblW w:w="460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13"/>
        <w:gridCol w:w="5133"/>
        <w:gridCol w:w="1419"/>
      </w:tblGrid>
      <w:tr w:rsidR="00442B62" w:rsidRPr="00DE6EBD" w:rsidTr="008A08B8">
        <w:trPr>
          <w:tblHeader/>
        </w:trPr>
        <w:tc>
          <w:tcPr>
            <w:tcW w:w="1084" w:type="pct"/>
            <w:shd w:val="clear" w:color="auto" w:fill="auto"/>
            <w:vAlign w:val="center"/>
          </w:tcPr>
          <w:p w:rsidR="00442B62" w:rsidRPr="00DE6EBD" w:rsidRDefault="00442B62" w:rsidP="00442B62">
            <w:pPr>
              <w:jc w:val="left"/>
              <w:rPr>
                <w:rFonts w:ascii="Arial Narrow" w:hAnsi="Arial Narrow"/>
                <w:b/>
                <w:sz w:val="20"/>
              </w:rPr>
            </w:pPr>
            <w:r w:rsidRPr="00DE6EBD">
              <w:rPr>
                <w:rFonts w:ascii="Arial Narrow" w:hAnsi="Arial Narrow"/>
                <w:b/>
                <w:sz w:val="20"/>
              </w:rPr>
              <w:t>Description</w:t>
            </w:r>
          </w:p>
        </w:tc>
        <w:tc>
          <w:tcPr>
            <w:tcW w:w="3068" w:type="pct"/>
            <w:shd w:val="clear" w:color="auto" w:fill="auto"/>
            <w:vAlign w:val="center"/>
          </w:tcPr>
          <w:p w:rsidR="00442B62" w:rsidRPr="00DE6EBD" w:rsidRDefault="00442B62" w:rsidP="00442B62">
            <w:pPr>
              <w:jc w:val="center"/>
              <w:rPr>
                <w:rFonts w:ascii="Arial Narrow" w:hAnsi="Arial Narrow"/>
                <w:b/>
                <w:sz w:val="20"/>
              </w:rPr>
            </w:pPr>
            <w:r w:rsidRPr="00DE6EBD">
              <w:rPr>
                <w:rFonts w:ascii="Arial Narrow" w:hAnsi="Arial Narrow"/>
                <w:b/>
                <w:sz w:val="20"/>
              </w:rPr>
              <w:t>Method/Value</w:t>
            </w:r>
          </w:p>
        </w:tc>
        <w:tc>
          <w:tcPr>
            <w:tcW w:w="848" w:type="pct"/>
            <w:shd w:val="clear" w:color="auto" w:fill="auto"/>
            <w:vAlign w:val="center"/>
          </w:tcPr>
          <w:p w:rsidR="00442B62" w:rsidRPr="00DE6EBD" w:rsidRDefault="00442B62" w:rsidP="00442B62">
            <w:pPr>
              <w:jc w:val="center"/>
              <w:rPr>
                <w:rFonts w:ascii="Arial Narrow" w:hAnsi="Arial Narrow"/>
                <w:b/>
                <w:sz w:val="20"/>
              </w:rPr>
            </w:pPr>
            <w:r w:rsidRPr="00DE6EBD">
              <w:rPr>
                <w:rFonts w:ascii="Arial Narrow" w:hAnsi="Arial Narrow"/>
                <w:b/>
                <w:sz w:val="20"/>
              </w:rPr>
              <w:t>Impact</w:t>
            </w:r>
          </w:p>
        </w:tc>
      </w:tr>
      <w:tr w:rsidR="00442B62" w:rsidRPr="00DE6EBD" w:rsidTr="008A08B8">
        <w:trPr>
          <w:cantSplit/>
        </w:trPr>
        <w:tc>
          <w:tcPr>
            <w:tcW w:w="1084" w:type="pct"/>
            <w:shd w:val="clear" w:color="auto" w:fill="auto"/>
            <w:vAlign w:val="center"/>
          </w:tcPr>
          <w:p w:rsidR="00442B62" w:rsidRPr="00DE6EBD" w:rsidRDefault="00442B62" w:rsidP="00442B62">
            <w:pPr>
              <w:jc w:val="left"/>
              <w:rPr>
                <w:rFonts w:ascii="Arial Narrow" w:hAnsi="Arial Narrow"/>
                <w:sz w:val="20"/>
              </w:rPr>
            </w:pPr>
            <w:proofErr w:type="spellStart"/>
            <w:r w:rsidRPr="00DE6EBD">
              <w:rPr>
                <w:rFonts w:ascii="Arial Narrow" w:hAnsi="Arial Narrow"/>
                <w:sz w:val="20"/>
              </w:rPr>
              <w:t>mITT</w:t>
            </w:r>
            <w:proofErr w:type="spellEnd"/>
            <w:r w:rsidRPr="00DE6EBD">
              <w:rPr>
                <w:rFonts w:ascii="Arial Narrow" w:hAnsi="Arial Narrow"/>
                <w:sz w:val="20"/>
              </w:rPr>
              <w:t xml:space="preserve"> population</w:t>
            </w:r>
          </w:p>
        </w:tc>
        <w:tc>
          <w:tcPr>
            <w:tcW w:w="3068" w:type="pct"/>
            <w:shd w:val="clear" w:color="auto" w:fill="auto"/>
            <w:vAlign w:val="center"/>
          </w:tcPr>
          <w:p w:rsidR="00442B62" w:rsidRPr="00DE6EBD" w:rsidRDefault="00442B62" w:rsidP="00435928">
            <w:pPr>
              <w:jc w:val="left"/>
              <w:rPr>
                <w:rFonts w:ascii="Arial Narrow" w:hAnsi="Arial Narrow"/>
                <w:sz w:val="20"/>
              </w:rPr>
            </w:pPr>
            <w:r w:rsidRPr="00DE6EBD">
              <w:rPr>
                <w:rFonts w:ascii="Arial Narrow" w:hAnsi="Arial Narrow"/>
                <w:sz w:val="20"/>
              </w:rPr>
              <w:t>13 patients were excluded from the analysis population post hoc because they did not fulfil the key trial inclusion or exclusion criteria.</w:t>
            </w:r>
            <w:r w:rsidR="00435928" w:rsidRPr="00DE6EBD">
              <w:rPr>
                <w:rFonts w:ascii="Arial Narrow" w:hAnsi="Arial Narrow"/>
                <w:sz w:val="20"/>
              </w:rPr>
              <w:t xml:space="preserve"> The ESC considered that the ITT rather than the </w:t>
            </w:r>
            <w:proofErr w:type="spellStart"/>
            <w:r w:rsidR="00435928" w:rsidRPr="00DE6EBD">
              <w:rPr>
                <w:rFonts w:ascii="Arial Narrow" w:hAnsi="Arial Narrow"/>
                <w:sz w:val="20"/>
              </w:rPr>
              <w:t>mITT</w:t>
            </w:r>
            <w:proofErr w:type="spellEnd"/>
            <w:r w:rsidR="00435928" w:rsidRPr="00DE6EBD">
              <w:rPr>
                <w:rFonts w:ascii="Arial Narrow" w:hAnsi="Arial Narrow"/>
                <w:sz w:val="20"/>
              </w:rPr>
              <w:t xml:space="preserve"> was the appropriate analysis for determining cost-effectiveness. </w:t>
            </w:r>
            <w:r w:rsidRPr="00DE6EBD">
              <w:rPr>
                <w:rFonts w:ascii="Arial Narrow" w:hAnsi="Arial Narrow"/>
                <w:sz w:val="20"/>
              </w:rPr>
              <w:t xml:space="preserve"> </w:t>
            </w:r>
          </w:p>
        </w:tc>
        <w:tc>
          <w:tcPr>
            <w:tcW w:w="848" w:type="pct"/>
            <w:shd w:val="clear" w:color="auto" w:fill="auto"/>
            <w:vAlign w:val="center"/>
          </w:tcPr>
          <w:p w:rsidR="00442B62" w:rsidRPr="00DE6EBD" w:rsidRDefault="00442B62" w:rsidP="00442B62">
            <w:pPr>
              <w:jc w:val="center"/>
              <w:rPr>
                <w:rFonts w:ascii="Arial Narrow" w:hAnsi="Arial Narrow"/>
                <w:sz w:val="20"/>
              </w:rPr>
            </w:pPr>
            <w:r w:rsidRPr="00DE6EBD">
              <w:rPr>
                <w:rFonts w:ascii="Arial Narrow" w:hAnsi="Arial Narrow"/>
                <w:sz w:val="20"/>
              </w:rPr>
              <w:t xml:space="preserve">High, favours </w:t>
            </w:r>
            <w:proofErr w:type="spellStart"/>
            <w:r w:rsidRPr="00DE6EBD">
              <w:rPr>
                <w:rFonts w:ascii="Arial Narrow" w:hAnsi="Arial Narrow"/>
                <w:sz w:val="20"/>
              </w:rPr>
              <w:t>vinflunine</w:t>
            </w:r>
            <w:proofErr w:type="spellEnd"/>
            <w:r w:rsidRPr="00DE6EBD">
              <w:rPr>
                <w:rFonts w:ascii="Arial Narrow" w:hAnsi="Arial Narrow"/>
                <w:sz w:val="20"/>
              </w:rPr>
              <w:t xml:space="preserve"> +BSC</w:t>
            </w:r>
          </w:p>
        </w:tc>
      </w:tr>
      <w:tr w:rsidR="00442B62" w:rsidRPr="00DE6EBD" w:rsidTr="008A08B8">
        <w:trPr>
          <w:cantSplit/>
        </w:trPr>
        <w:tc>
          <w:tcPr>
            <w:tcW w:w="1084" w:type="pct"/>
            <w:shd w:val="clear" w:color="auto" w:fill="auto"/>
            <w:vAlign w:val="center"/>
          </w:tcPr>
          <w:p w:rsidR="00442B62" w:rsidRPr="00DE6EBD" w:rsidRDefault="00442B62" w:rsidP="00442B62">
            <w:pPr>
              <w:jc w:val="left"/>
              <w:rPr>
                <w:rFonts w:ascii="Arial Narrow" w:hAnsi="Arial Narrow"/>
                <w:sz w:val="20"/>
              </w:rPr>
            </w:pPr>
            <w:r w:rsidRPr="00DE6EBD">
              <w:rPr>
                <w:rFonts w:ascii="Arial Narrow" w:hAnsi="Arial Narrow"/>
                <w:sz w:val="20"/>
              </w:rPr>
              <w:t>Utility values – mapping algorithm</w:t>
            </w:r>
          </w:p>
        </w:tc>
        <w:tc>
          <w:tcPr>
            <w:tcW w:w="3068" w:type="pct"/>
            <w:shd w:val="clear" w:color="auto" w:fill="auto"/>
            <w:vAlign w:val="center"/>
          </w:tcPr>
          <w:p w:rsidR="00442B62" w:rsidRPr="00DE6EBD" w:rsidRDefault="00442B62" w:rsidP="00442B62">
            <w:pPr>
              <w:jc w:val="left"/>
              <w:rPr>
                <w:rFonts w:ascii="Arial Narrow" w:hAnsi="Arial Narrow" w:cs="Times New Roman"/>
                <w:sz w:val="20"/>
              </w:rPr>
            </w:pPr>
            <w:r w:rsidRPr="00DE6EBD">
              <w:rPr>
                <w:rFonts w:ascii="Arial Narrow" w:hAnsi="Arial Narrow" w:cs="Times New Roman"/>
                <w:sz w:val="20"/>
              </w:rPr>
              <w:t>Utility values estimated by transforming the EORTC QLQ-C30 scores from Study 302 using the Rowen 2011 algorithm.</w:t>
            </w:r>
          </w:p>
          <w:p w:rsidR="00442B62" w:rsidRPr="00DE6EBD" w:rsidRDefault="00442B62" w:rsidP="00422A51">
            <w:pPr>
              <w:numPr>
                <w:ilvl w:val="0"/>
                <w:numId w:val="8"/>
              </w:numPr>
              <w:ind w:left="142" w:hanging="142"/>
              <w:contextualSpacing/>
              <w:jc w:val="left"/>
              <w:rPr>
                <w:rFonts w:ascii="Arial Narrow" w:hAnsi="Arial Narrow"/>
                <w:sz w:val="20"/>
              </w:rPr>
            </w:pPr>
            <w:r w:rsidRPr="00DE6EBD">
              <w:rPr>
                <w:rFonts w:ascii="Arial Narrow" w:hAnsi="Arial Narrow" w:cs="Times New Roman"/>
                <w:sz w:val="20"/>
              </w:rPr>
              <w:t xml:space="preserve">PFS for </w:t>
            </w:r>
            <w:proofErr w:type="spellStart"/>
            <w:r w:rsidRPr="00DE6EBD">
              <w:rPr>
                <w:rFonts w:ascii="Arial Narrow" w:hAnsi="Arial Narrow"/>
                <w:sz w:val="20"/>
              </w:rPr>
              <w:t>vinflunine</w:t>
            </w:r>
            <w:proofErr w:type="spellEnd"/>
            <w:r w:rsidRPr="00DE6EBD">
              <w:rPr>
                <w:rFonts w:ascii="Arial Narrow" w:hAnsi="Arial Narrow"/>
                <w:sz w:val="20"/>
              </w:rPr>
              <w:t xml:space="preserve"> + BSC: 0.75; PFS for BSC: 0.78</w:t>
            </w:r>
          </w:p>
          <w:p w:rsidR="00442B62" w:rsidRPr="00DE6EBD" w:rsidRDefault="00442B62" w:rsidP="00422A51">
            <w:pPr>
              <w:numPr>
                <w:ilvl w:val="0"/>
                <w:numId w:val="8"/>
              </w:numPr>
              <w:ind w:left="142" w:hanging="142"/>
              <w:contextualSpacing/>
              <w:jc w:val="left"/>
              <w:rPr>
                <w:rFonts w:ascii="Arial Narrow" w:hAnsi="Arial Narrow" w:cs="Times New Roman"/>
                <w:sz w:val="20"/>
              </w:rPr>
            </w:pPr>
            <w:r w:rsidRPr="00DE6EBD">
              <w:rPr>
                <w:rFonts w:ascii="Arial Narrow" w:hAnsi="Arial Narrow"/>
                <w:sz w:val="20"/>
              </w:rPr>
              <w:t>Progressive d</w:t>
            </w:r>
            <w:r w:rsidRPr="00DE6EBD">
              <w:rPr>
                <w:rFonts w:ascii="Arial Narrow" w:hAnsi="Arial Narrow" w:cs="Times New Roman"/>
                <w:sz w:val="20"/>
              </w:rPr>
              <w:t xml:space="preserve">isease: 0.71 </w:t>
            </w:r>
          </w:p>
          <w:p w:rsidR="00442B62" w:rsidRPr="00DE6EBD" w:rsidRDefault="00442B62" w:rsidP="00442B62">
            <w:pPr>
              <w:jc w:val="left"/>
              <w:rPr>
                <w:rFonts w:ascii="Arial Narrow" w:hAnsi="Arial Narrow" w:cs="Times New Roman"/>
                <w:sz w:val="20"/>
              </w:rPr>
            </w:pPr>
            <w:r w:rsidRPr="00DE6EBD">
              <w:rPr>
                <w:rFonts w:ascii="Arial Narrow" w:hAnsi="Arial Narrow" w:cs="Times New Roman"/>
                <w:sz w:val="20"/>
              </w:rPr>
              <w:t>In the November 2011 submission a different algorithm was used to transform the EORTC QLQ-C30 scores (McKenzie 2009). A justification for using the values derived using the Rowen algorithm was not included in the re-submission. These values are higher than those using the McKenzie algorithm.</w:t>
            </w:r>
          </w:p>
          <w:p w:rsidR="00435928" w:rsidRPr="00DE6EBD" w:rsidRDefault="00435928" w:rsidP="00442B62">
            <w:pPr>
              <w:jc w:val="left"/>
              <w:rPr>
                <w:rFonts w:ascii="Arial Narrow" w:hAnsi="Arial Narrow"/>
                <w:sz w:val="20"/>
              </w:rPr>
            </w:pPr>
            <w:r w:rsidRPr="00DE6EBD">
              <w:rPr>
                <w:rFonts w:ascii="Arial Narrow" w:hAnsi="Arial Narrow"/>
                <w:sz w:val="20"/>
              </w:rPr>
              <w:t xml:space="preserve">The ESC considered that the data from Rowen et al. is likely to be more sensitive to changes in quality of life, and is probably the better approach. </w:t>
            </w:r>
          </w:p>
        </w:tc>
        <w:tc>
          <w:tcPr>
            <w:tcW w:w="848" w:type="pct"/>
            <w:shd w:val="clear" w:color="auto" w:fill="auto"/>
            <w:vAlign w:val="center"/>
          </w:tcPr>
          <w:p w:rsidR="00442B62" w:rsidRPr="00DE6EBD" w:rsidRDefault="00442B62" w:rsidP="00442B62">
            <w:pPr>
              <w:jc w:val="center"/>
              <w:rPr>
                <w:rFonts w:ascii="Arial Narrow" w:hAnsi="Arial Narrow"/>
                <w:sz w:val="20"/>
              </w:rPr>
            </w:pPr>
            <w:r w:rsidRPr="00DE6EBD">
              <w:rPr>
                <w:rFonts w:ascii="Arial Narrow" w:hAnsi="Arial Narrow"/>
                <w:sz w:val="20"/>
              </w:rPr>
              <w:t xml:space="preserve">High, favours </w:t>
            </w:r>
            <w:proofErr w:type="spellStart"/>
            <w:r w:rsidRPr="00DE6EBD">
              <w:rPr>
                <w:rFonts w:ascii="Arial Narrow" w:hAnsi="Arial Narrow"/>
                <w:sz w:val="20"/>
              </w:rPr>
              <w:t>vinflunine</w:t>
            </w:r>
            <w:proofErr w:type="spellEnd"/>
            <w:r w:rsidRPr="00DE6EBD">
              <w:rPr>
                <w:rFonts w:ascii="Arial Narrow" w:hAnsi="Arial Narrow"/>
                <w:sz w:val="20"/>
              </w:rPr>
              <w:t>+ BSC</w:t>
            </w:r>
          </w:p>
        </w:tc>
      </w:tr>
      <w:tr w:rsidR="00442B62" w:rsidRPr="00DE6EBD" w:rsidTr="008A08B8">
        <w:trPr>
          <w:cantSplit/>
        </w:trPr>
        <w:tc>
          <w:tcPr>
            <w:tcW w:w="1084" w:type="pct"/>
            <w:shd w:val="clear" w:color="auto" w:fill="auto"/>
            <w:vAlign w:val="center"/>
          </w:tcPr>
          <w:p w:rsidR="00442B62" w:rsidRPr="00DE6EBD" w:rsidRDefault="00442B62" w:rsidP="00442B62">
            <w:pPr>
              <w:jc w:val="left"/>
              <w:rPr>
                <w:rFonts w:ascii="Arial Narrow" w:hAnsi="Arial Narrow"/>
                <w:sz w:val="20"/>
              </w:rPr>
            </w:pPr>
            <w:r w:rsidRPr="00DE6EBD">
              <w:rPr>
                <w:rFonts w:ascii="Arial Narrow" w:hAnsi="Arial Narrow"/>
                <w:sz w:val="20"/>
              </w:rPr>
              <w:t>Adverse Events - costing</w:t>
            </w:r>
          </w:p>
        </w:tc>
        <w:tc>
          <w:tcPr>
            <w:tcW w:w="3068" w:type="pct"/>
            <w:shd w:val="clear" w:color="auto" w:fill="auto"/>
            <w:vAlign w:val="center"/>
          </w:tcPr>
          <w:p w:rsidR="00442B62" w:rsidRPr="00DE6EBD" w:rsidRDefault="00442B62" w:rsidP="00442B62">
            <w:pPr>
              <w:jc w:val="left"/>
              <w:rPr>
                <w:rFonts w:ascii="Arial Narrow" w:hAnsi="Arial Narrow"/>
                <w:sz w:val="20"/>
              </w:rPr>
            </w:pPr>
            <w:r w:rsidRPr="00DE6EBD">
              <w:rPr>
                <w:rFonts w:ascii="Arial Narrow" w:hAnsi="Arial Narrow"/>
                <w:sz w:val="20"/>
              </w:rPr>
              <w:t xml:space="preserve">Based on difference in the proportion of patients hospitalised in Study 302. Cost for treating AEs: </w:t>
            </w:r>
            <w:proofErr w:type="spellStart"/>
            <w:r w:rsidRPr="00DE6EBD">
              <w:rPr>
                <w:rFonts w:ascii="Arial Narrow" w:hAnsi="Arial Narrow"/>
                <w:sz w:val="20"/>
              </w:rPr>
              <w:t>Vinflunine</w:t>
            </w:r>
            <w:proofErr w:type="spellEnd"/>
            <w:r w:rsidRPr="00DE6EBD">
              <w:rPr>
                <w:rFonts w:ascii="Arial Narrow" w:hAnsi="Arial Narrow"/>
                <w:sz w:val="20"/>
              </w:rPr>
              <w:t xml:space="preserve"> + BSC = $</w:t>
            </w:r>
            <w:r w:rsidR="001B4E17">
              <w:rPr>
                <w:rFonts w:ascii="Arial Narrow" w:hAnsi="Arial Narrow"/>
                <w:noProof/>
                <w:color w:val="000000"/>
                <w:sz w:val="20"/>
                <w:highlight w:val="black"/>
              </w:rPr>
              <w:t>''''''''''''</w:t>
            </w:r>
            <w:r w:rsidRPr="00DE6EBD">
              <w:rPr>
                <w:rFonts w:ascii="Arial Narrow" w:hAnsi="Arial Narrow"/>
                <w:sz w:val="20"/>
              </w:rPr>
              <w:t>; BSC = $</w:t>
            </w:r>
            <w:r w:rsidR="001B4E17">
              <w:rPr>
                <w:rFonts w:ascii="Arial Narrow" w:hAnsi="Arial Narrow"/>
                <w:noProof/>
                <w:color w:val="000000"/>
                <w:sz w:val="20"/>
                <w:highlight w:val="black"/>
              </w:rPr>
              <w:t>'''''''''''''''</w:t>
            </w:r>
          </w:p>
          <w:p w:rsidR="00442B62" w:rsidRPr="00DE6EBD" w:rsidRDefault="00442B62" w:rsidP="00442B62">
            <w:pPr>
              <w:jc w:val="left"/>
              <w:rPr>
                <w:rFonts w:ascii="Arial Narrow" w:hAnsi="Arial Narrow"/>
                <w:sz w:val="20"/>
              </w:rPr>
            </w:pPr>
            <w:r w:rsidRPr="00DE6EBD">
              <w:rPr>
                <w:rFonts w:ascii="Arial Narrow" w:hAnsi="Arial Narrow"/>
                <w:sz w:val="20"/>
              </w:rPr>
              <w:t xml:space="preserve">The cost of treating AEs associated with </w:t>
            </w:r>
            <w:proofErr w:type="spellStart"/>
            <w:r w:rsidRPr="00DE6EBD">
              <w:rPr>
                <w:rFonts w:ascii="Arial Narrow" w:hAnsi="Arial Narrow"/>
                <w:sz w:val="20"/>
              </w:rPr>
              <w:t>vinflunine</w:t>
            </w:r>
            <w:proofErr w:type="spellEnd"/>
            <w:r w:rsidRPr="00DE6EBD">
              <w:rPr>
                <w:rFonts w:ascii="Arial Narrow" w:hAnsi="Arial Narrow"/>
                <w:sz w:val="20"/>
              </w:rPr>
              <w:t xml:space="preserve"> has been underestimated because:</w:t>
            </w:r>
          </w:p>
          <w:p w:rsidR="00442B62" w:rsidRPr="00DE6EBD" w:rsidRDefault="00442B62" w:rsidP="00422A51">
            <w:pPr>
              <w:numPr>
                <w:ilvl w:val="0"/>
                <w:numId w:val="8"/>
              </w:numPr>
              <w:ind w:left="142" w:hanging="142"/>
              <w:contextualSpacing/>
              <w:jc w:val="left"/>
              <w:rPr>
                <w:rFonts w:ascii="Arial Narrow" w:hAnsi="Arial Narrow"/>
                <w:sz w:val="20"/>
              </w:rPr>
            </w:pPr>
            <w:r w:rsidRPr="00DE6EBD">
              <w:rPr>
                <w:rFonts w:ascii="Arial Narrow" w:hAnsi="Arial Narrow"/>
                <w:sz w:val="20"/>
              </w:rPr>
              <w:t>The proportion of patients hospitalised rather than the number of hospitalisations was used.</w:t>
            </w:r>
          </w:p>
          <w:p w:rsidR="00442B62" w:rsidRPr="00DE6EBD" w:rsidRDefault="00442B62" w:rsidP="00422A51">
            <w:pPr>
              <w:numPr>
                <w:ilvl w:val="0"/>
                <w:numId w:val="8"/>
              </w:numPr>
              <w:ind w:left="142" w:hanging="142"/>
              <w:contextualSpacing/>
              <w:jc w:val="left"/>
              <w:rPr>
                <w:rFonts w:ascii="Arial Narrow" w:hAnsi="Arial Narrow"/>
                <w:sz w:val="20"/>
              </w:rPr>
            </w:pPr>
            <w:r w:rsidRPr="00DE6EBD">
              <w:rPr>
                <w:rFonts w:ascii="Arial Narrow" w:hAnsi="Arial Narrow"/>
                <w:sz w:val="20"/>
              </w:rPr>
              <w:t>The costs for treating the more serious events were not included.</w:t>
            </w:r>
          </w:p>
          <w:p w:rsidR="00442B62" w:rsidRPr="00DE6EBD" w:rsidRDefault="00442B62" w:rsidP="00422A51">
            <w:pPr>
              <w:numPr>
                <w:ilvl w:val="0"/>
                <w:numId w:val="8"/>
              </w:numPr>
              <w:ind w:left="142" w:hanging="142"/>
              <w:contextualSpacing/>
              <w:jc w:val="left"/>
              <w:rPr>
                <w:rFonts w:ascii="Arial Narrow" w:hAnsi="Arial Narrow"/>
                <w:sz w:val="20"/>
              </w:rPr>
            </w:pPr>
            <w:r w:rsidRPr="00DE6EBD">
              <w:rPr>
                <w:rFonts w:ascii="Arial Narrow" w:hAnsi="Arial Narrow"/>
                <w:sz w:val="20"/>
              </w:rPr>
              <w:t xml:space="preserve">A higher cost has been used for AEs associated with BSC compared with AEs for </w:t>
            </w:r>
            <w:proofErr w:type="spellStart"/>
            <w:r w:rsidRPr="00DE6EBD">
              <w:rPr>
                <w:rFonts w:ascii="Arial Narrow" w:hAnsi="Arial Narrow"/>
                <w:sz w:val="20"/>
              </w:rPr>
              <w:t>vinflunine</w:t>
            </w:r>
            <w:proofErr w:type="spellEnd"/>
            <w:r w:rsidRPr="00DE6EBD">
              <w:rPr>
                <w:rFonts w:ascii="Arial Narrow" w:hAnsi="Arial Narrow"/>
                <w:sz w:val="20"/>
              </w:rPr>
              <w:t>.</w:t>
            </w:r>
          </w:p>
          <w:p w:rsidR="00442B62" w:rsidRPr="00DE6EBD" w:rsidRDefault="00442B62" w:rsidP="00422A51">
            <w:pPr>
              <w:numPr>
                <w:ilvl w:val="0"/>
                <w:numId w:val="8"/>
              </w:numPr>
              <w:ind w:left="142" w:hanging="142"/>
              <w:contextualSpacing/>
              <w:jc w:val="left"/>
              <w:rPr>
                <w:rFonts w:ascii="Arial Narrow" w:hAnsi="Arial Narrow"/>
                <w:sz w:val="20"/>
              </w:rPr>
            </w:pPr>
            <w:r w:rsidRPr="00DE6EBD">
              <w:rPr>
                <w:rFonts w:ascii="Arial Narrow" w:hAnsi="Arial Narrow"/>
                <w:sz w:val="20"/>
              </w:rPr>
              <w:t>Only the cost of specialist visits has been included for AEs treated outside the hospital setting.</w:t>
            </w:r>
          </w:p>
          <w:p w:rsidR="00F66AF0" w:rsidRPr="00DE6EBD" w:rsidRDefault="00F66AF0" w:rsidP="00F66AF0">
            <w:pPr>
              <w:ind w:left="142"/>
              <w:contextualSpacing/>
              <w:jc w:val="left"/>
              <w:rPr>
                <w:rFonts w:ascii="Arial Narrow" w:hAnsi="Arial Narrow"/>
                <w:sz w:val="20"/>
              </w:rPr>
            </w:pPr>
            <w:r w:rsidRPr="00DE6EBD">
              <w:rPr>
                <w:rFonts w:ascii="Arial Narrow" w:hAnsi="Arial Narrow"/>
                <w:sz w:val="20"/>
              </w:rPr>
              <w:t xml:space="preserve">The PSCR (p4) noted that this difference in costs was based on trial data which found the complexity and subsequent cost of hospitalisation was higher for BSC than </w:t>
            </w:r>
            <w:proofErr w:type="spellStart"/>
            <w:r w:rsidRPr="00DE6EBD">
              <w:rPr>
                <w:rFonts w:ascii="Arial Narrow" w:hAnsi="Arial Narrow"/>
                <w:sz w:val="20"/>
              </w:rPr>
              <w:t>vinflunine</w:t>
            </w:r>
            <w:proofErr w:type="spellEnd"/>
            <w:r w:rsidRPr="00DE6EBD">
              <w:rPr>
                <w:rFonts w:ascii="Arial Narrow" w:hAnsi="Arial Narrow"/>
                <w:sz w:val="20"/>
              </w:rPr>
              <w:t xml:space="preserve">, e.g. due to more admissions for malignant neoplasm (30% vs 6% respectively). The ESC remained concerned that the uncertainty in cost favours </w:t>
            </w:r>
            <w:proofErr w:type="spellStart"/>
            <w:r w:rsidRPr="00DE6EBD">
              <w:rPr>
                <w:rFonts w:ascii="Arial Narrow" w:hAnsi="Arial Narrow"/>
                <w:sz w:val="20"/>
              </w:rPr>
              <w:t>vinflunine</w:t>
            </w:r>
            <w:proofErr w:type="spellEnd"/>
            <w:r w:rsidRPr="00DE6EBD">
              <w:rPr>
                <w:rFonts w:ascii="Arial Narrow" w:hAnsi="Arial Narrow"/>
                <w:sz w:val="20"/>
              </w:rPr>
              <w:t>,</w:t>
            </w:r>
          </w:p>
        </w:tc>
        <w:tc>
          <w:tcPr>
            <w:tcW w:w="848" w:type="pct"/>
            <w:shd w:val="clear" w:color="auto" w:fill="auto"/>
            <w:vAlign w:val="center"/>
          </w:tcPr>
          <w:p w:rsidR="00442B62" w:rsidRPr="00DE6EBD" w:rsidRDefault="00442B62" w:rsidP="00442B62">
            <w:pPr>
              <w:jc w:val="center"/>
              <w:rPr>
                <w:rFonts w:ascii="Arial Narrow" w:hAnsi="Arial Narrow"/>
                <w:sz w:val="20"/>
              </w:rPr>
            </w:pPr>
            <w:r w:rsidRPr="00DE6EBD">
              <w:rPr>
                <w:rFonts w:ascii="Arial Narrow" w:hAnsi="Arial Narrow"/>
                <w:sz w:val="20"/>
              </w:rPr>
              <w:t xml:space="preserve">High, favours </w:t>
            </w:r>
            <w:proofErr w:type="spellStart"/>
            <w:r w:rsidRPr="00DE6EBD">
              <w:rPr>
                <w:rFonts w:ascii="Arial Narrow" w:hAnsi="Arial Narrow"/>
                <w:sz w:val="20"/>
              </w:rPr>
              <w:t>vinflunine</w:t>
            </w:r>
            <w:proofErr w:type="spellEnd"/>
            <w:r w:rsidRPr="00DE6EBD">
              <w:rPr>
                <w:rFonts w:ascii="Arial Narrow" w:hAnsi="Arial Narrow"/>
                <w:sz w:val="20"/>
              </w:rPr>
              <w:t xml:space="preserve"> + BSC</w:t>
            </w:r>
          </w:p>
        </w:tc>
      </w:tr>
      <w:tr w:rsidR="00435928" w:rsidRPr="00DE6EBD" w:rsidTr="008A08B8">
        <w:trPr>
          <w:cantSplit/>
        </w:trPr>
        <w:tc>
          <w:tcPr>
            <w:tcW w:w="1084" w:type="pct"/>
            <w:shd w:val="clear" w:color="auto" w:fill="auto"/>
            <w:vAlign w:val="center"/>
          </w:tcPr>
          <w:p w:rsidR="00435928" w:rsidRPr="00DE6EBD" w:rsidRDefault="00435928" w:rsidP="00FE3ACB">
            <w:pPr>
              <w:jc w:val="left"/>
              <w:rPr>
                <w:rFonts w:ascii="Arial Narrow" w:hAnsi="Arial Narrow"/>
                <w:sz w:val="20"/>
              </w:rPr>
            </w:pPr>
            <w:r w:rsidRPr="00DE6EBD">
              <w:rPr>
                <w:rFonts w:ascii="Arial Narrow" w:hAnsi="Arial Narrow"/>
                <w:sz w:val="20"/>
              </w:rPr>
              <w:t>Utility values – pooling post-progression</w:t>
            </w:r>
          </w:p>
        </w:tc>
        <w:tc>
          <w:tcPr>
            <w:tcW w:w="3068" w:type="pct"/>
            <w:shd w:val="clear" w:color="auto" w:fill="auto"/>
            <w:vAlign w:val="center"/>
          </w:tcPr>
          <w:p w:rsidR="00435928" w:rsidRPr="00DE6EBD" w:rsidRDefault="00435928" w:rsidP="00FE3ACB">
            <w:pPr>
              <w:jc w:val="left"/>
              <w:rPr>
                <w:rFonts w:ascii="Arial Narrow" w:hAnsi="Arial Narrow"/>
                <w:sz w:val="20"/>
              </w:rPr>
            </w:pPr>
            <w:r w:rsidRPr="00DE6EBD">
              <w:rPr>
                <w:rFonts w:ascii="Arial Narrow" w:hAnsi="Arial Narrow" w:cs="Times New Roman"/>
                <w:sz w:val="20"/>
              </w:rPr>
              <w:t xml:space="preserve">Utility values in the </w:t>
            </w:r>
            <w:proofErr w:type="spellStart"/>
            <w:r w:rsidRPr="00DE6EBD">
              <w:rPr>
                <w:rFonts w:ascii="Arial Narrow" w:hAnsi="Arial Narrow" w:cs="Times New Roman"/>
                <w:sz w:val="20"/>
              </w:rPr>
              <w:t>vinflunine</w:t>
            </w:r>
            <w:proofErr w:type="spellEnd"/>
            <w:r w:rsidRPr="00DE6EBD">
              <w:rPr>
                <w:rFonts w:ascii="Arial Narrow" w:hAnsi="Arial Narrow" w:cs="Times New Roman"/>
                <w:sz w:val="20"/>
              </w:rPr>
              <w:t xml:space="preserve"> arm are pooled with those not receiving </w:t>
            </w:r>
            <w:proofErr w:type="spellStart"/>
            <w:r w:rsidRPr="00DE6EBD">
              <w:rPr>
                <w:rFonts w:ascii="Arial Narrow" w:hAnsi="Arial Narrow" w:cs="Times New Roman"/>
                <w:sz w:val="20"/>
              </w:rPr>
              <w:t>vinflunine</w:t>
            </w:r>
            <w:proofErr w:type="spellEnd"/>
            <w:r w:rsidRPr="00DE6EBD">
              <w:rPr>
                <w:rFonts w:ascii="Arial Narrow" w:hAnsi="Arial Narrow" w:cs="Times New Roman"/>
                <w:sz w:val="20"/>
              </w:rPr>
              <w:t xml:space="preserve"> post-progression. </w:t>
            </w:r>
            <w:r w:rsidR="00741ABE" w:rsidRPr="00DE6EBD">
              <w:rPr>
                <w:rFonts w:ascii="Arial Narrow" w:hAnsi="Arial Narrow" w:cs="Times New Roman"/>
                <w:sz w:val="20"/>
              </w:rPr>
              <w:t>The appropriateness of pooling of utilities post-progression has not been adequately justified, and not pooling the utility values increases the ICER</w:t>
            </w:r>
          </w:p>
        </w:tc>
        <w:tc>
          <w:tcPr>
            <w:tcW w:w="848" w:type="pct"/>
            <w:shd w:val="clear" w:color="auto" w:fill="auto"/>
            <w:vAlign w:val="center"/>
          </w:tcPr>
          <w:p w:rsidR="00435928" w:rsidRPr="00DE6EBD" w:rsidRDefault="00435928" w:rsidP="00FE3ACB">
            <w:pPr>
              <w:jc w:val="center"/>
              <w:rPr>
                <w:rFonts w:ascii="Arial Narrow" w:hAnsi="Arial Narrow"/>
                <w:sz w:val="20"/>
              </w:rPr>
            </w:pPr>
            <w:r w:rsidRPr="00DE6EBD">
              <w:rPr>
                <w:rFonts w:ascii="Arial Narrow" w:hAnsi="Arial Narrow"/>
                <w:sz w:val="20"/>
              </w:rPr>
              <w:t xml:space="preserve">Moderate, favours </w:t>
            </w:r>
            <w:proofErr w:type="spellStart"/>
            <w:r w:rsidRPr="00DE6EBD">
              <w:rPr>
                <w:rFonts w:ascii="Arial Narrow" w:hAnsi="Arial Narrow"/>
                <w:sz w:val="20"/>
              </w:rPr>
              <w:t>vinflunine</w:t>
            </w:r>
            <w:proofErr w:type="spellEnd"/>
            <w:r w:rsidRPr="00DE6EBD">
              <w:rPr>
                <w:rFonts w:ascii="Arial Narrow" w:hAnsi="Arial Narrow"/>
                <w:sz w:val="20"/>
              </w:rPr>
              <w:t xml:space="preserve"> + BSC</w:t>
            </w:r>
          </w:p>
        </w:tc>
      </w:tr>
    </w:tbl>
    <w:p w:rsidR="00442B62" w:rsidRPr="00DE6EBD" w:rsidRDefault="00442B62" w:rsidP="00442B62">
      <w:pPr>
        <w:ind w:left="720"/>
        <w:rPr>
          <w:rFonts w:ascii="Arial Narrow" w:hAnsi="Arial Narrow"/>
          <w:sz w:val="18"/>
          <w:szCs w:val="18"/>
        </w:rPr>
      </w:pPr>
      <w:r w:rsidRPr="00DE6EBD">
        <w:rPr>
          <w:rFonts w:ascii="Arial Narrow" w:hAnsi="Arial Narrow"/>
          <w:sz w:val="18"/>
        </w:rPr>
        <w:lastRenderedPageBreak/>
        <w:t xml:space="preserve">Source: compiled during the </w:t>
      </w:r>
      <w:r w:rsidR="00E27FF3" w:rsidRPr="00DE6EBD">
        <w:rPr>
          <w:rFonts w:ascii="Arial Narrow" w:hAnsi="Arial Narrow"/>
          <w:sz w:val="18"/>
        </w:rPr>
        <w:t xml:space="preserve">ESC and </w:t>
      </w:r>
      <w:r w:rsidRPr="00DE6EBD">
        <w:rPr>
          <w:rFonts w:ascii="Arial Narrow" w:hAnsi="Arial Narrow"/>
          <w:sz w:val="18"/>
        </w:rPr>
        <w:t>evaluation, Table D.6.1, of the commentary. Abbreviations: AE, adverse event; BSC, best supportive care; ITT, intention to treat; PFS, progression free survival</w:t>
      </w:r>
      <w:r w:rsidRPr="00DE6EBD">
        <w:rPr>
          <w:rFonts w:ascii="Arial Narrow" w:hAnsi="Arial Narrow"/>
          <w:sz w:val="18"/>
          <w:szCs w:val="18"/>
        </w:rPr>
        <w:t>.</w:t>
      </w:r>
    </w:p>
    <w:p w:rsidR="00442B62" w:rsidRPr="00DE6EBD" w:rsidRDefault="00442B62" w:rsidP="00442B62">
      <w:pPr>
        <w:widowControl/>
        <w:rPr>
          <w:szCs w:val="22"/>
        </w:rPr>
      </w:pPr>
    </w:p>
    <w:p w:rsidR="00E87BD8" w:rsidRDefault="00442B62" w:rsidP="00422A51">
      <w:pPr>
        <w:widowControl/>
        <w:numPr>
          <w:ilvl w:val="1"/>
          <w:numId w:val="2"/>
        </w:numPr>
        <w:contextualSpacing/>
        <w:rPr>
          <w:szCs w:val="22"/>
        </w:rPr>
      </w:pPr>
      <w:r w:rsidRPr="00DE6EBD">
        <w:rPr>
          <w:szCs w:val="22"/>
        </w:rPr>
        <w:t xml:space="preserve">The results of the economic evaluation for the re-submission and November 2011 submission are presented in the Table 9. </w:t>
      </w:r>
    </w:p>
    <w:p w:rsidR="009D1A40" w:rsidRPr="00DE6EBD" w:rsidRDefault="009D1A40" w:rsidP="009D1A40">
      <w:pPr>
        <w:widowControl/>
        <w:ind w:left="720"/>
        <w:contextualSpacing/>
        <w:rPr>
          <w:szCs w:val="22"/>
        </w:rPr>
      </w:pPr>
    </w:p>
    <w:p w:rsidR="00442B62" w:rsidRPr="00DE6EBD" w:rsidRDefault="00442B62" w:rsidP="009D1A40">
      <w:pPr>
        <w:widowControl/>
        <w:ind w:left="720"/>
        <w:contextualSpacing/>
        <w:rPr>
          <w:szCs w:val="22"/>
        </w:rPr>
      </w:pPr>
      <w:r w:rsidRPr="00DE6EBD">
        <w:rPr>
          <w:rFonts w:ascii="Arial Narrow" w:hAnsi="Arial Narrow"/>
          <w:b/>
          <w:sz w:val="20"/>
          <w:szCs w:val="16"/>
        </w:rPr>
        <w:t>Table 9: Results of the stepped economic evaluation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34"/>
        <w:gridCol w:w="2378"/>
        <w:gridCol w:w="2380"/>
        <w:gridCol w:w="2053"/>
      </w:tblGrid>
      <w:tr w:rsidR="00442B62" w:rsidRPr="00DE6EBD" w:rsidTr="00F73BE6">
        <w:tc>
          <w:tcPr>
            <w:tcW w:w="919" w:type="pct"/>
            <w:vAlign w:val="center"/>
          </w:tcPr>
          <w:p w:rsidR="00442B62" w:rsidRPr="00DE6EBD" w:rsidRDefault="00442B62" w:rsidP="00442B62">
            <w:pPr>
              <w:jc w:val="left"/>
              <w:rPr>
                <w:rFonts w:ascii="Arial Narrow" w:hAnsi="Arial Narrow" w:cs="Times New Roman"/>
                <w:b/>
                <w:sz w:val="20"/>
              </w:rPr>
            </w:pPr>
            <w:r w:rsidRPr="00DE6EBD">
              <w:rPr>
                <w:rFonts w:ascii="Arial Narrow" w:hAnsi="Arial Narrow" w:cs="Times New Roman"/>
                <w:b/>
                <w:sz w:val="20"/>
              </w:rPr>
              <w:t>Step and component</w:t>
            </w:r>
          </w:p>
        </w:tc>
        <w:tc>
          <w:tcPr>
            <w:tcW w:w="1425" w:type="pct"/>
          </w:tcPr>
          <w:p w:rsidR="00442B62" w:rsidRPr="00DE6EBD" w:rsidRDefault="00442B62" w:rsidP="00442B62">
            <w:pPr>
              <w:jc w:val="center"/>
              <w:rPr>
                <w:rFonts w:ascii="Arial Narrow" w:hAnsi="Arial Narrow" w:cs="Times New Roman"/>
                <w:b/>
                <w:sz w:val="20"/>
              </w:rPr>
            </w:pPr>
            <w:proofErr w:type="spellStart"/>
            <w:r w:rsidRPr="00DE6EBD">
              <w:rPr>
                <w:rFonts w:ascii="Arial Narrow" w:hAnsi="Arial Narrow" w:cs="Times New Roman"/>
                <w:b/>
                <w:sz w:val="20"/>
              </w:rPr>
              <w:t>Vinflunine</w:t>
            </w:r>
            <w:proofErr w:type="spellEnd"/>
            <w:r w:rsidRPr="00DE6EBD">
              <w:rPr>
                <w:rFonts w:ascii="Arial Narrow" w:hAnsi="Arial Narrow" w:cs="Times New Roman"/>
                <w:b/>
                <w:sz w:val="20"/>
              </w:rPr>
              <w:t xml:space="preserve"> + BSC</w:t>
            </w:r>
          </w:p>
        </w:tc>
        <w:tc>
          <w:tcPr>
            <w:tcW w:w="1426" w:type="pct"/>
          </w:tcPr>
          <w:p w:rsidR="00442B62" w:rsidRPr="00DE6EBD" w:rsidRDefault="00442B62" w:rsidP="00F73BE6">
            <w:pPr>
              <w:jc w:val="center"/>
              <w:rPr>
                <w:rFonts w:ascii="Arial Narrow" w:hAnsi="Arial Narrow" w:cs="Times New Roman"/>
                <w:b/>
                <w:sz w:val="20"/>
              </w:rPr>
            </w:pPr>
            <w:r w:rsidRPr="00DE6EBD">
              <w:rPr>
                <w:rFonts w:ascii="Arial Narrow" w:hAnsi="Arial Narrow" w:cs="Times New Roman"/>
                <w:b/>
                <w:sz w:val="20"/>
              </w:rPr>
              <w:t>BSC</w:t>
            </w:r>
          </w:p>
        </w:tc>
        <w:tc>
          <w:tcPr>
            <w:tcW w:w="1230" w:type="pct"/>
          </w:tcPr>
          <w:p w:rsidR="00442B62" w:rsidRPr="00DE6EBD" w:rsidRDefault="00442B62" w:rsidP="00442B62">
            <w:pPr>
              <w:jc w:val="center"/>
              <w:rPr>
                <w:rFonts w:ascii="Arial Narrow" w:hAnsi="Arial Narrow" w:cs="Times New Roman"/>
                <w:b/>
                <w:sz w:val="20"/>
              </w:rPr>
            </w:pPr>
            <w:r w:rsidRPr="00DE6EBD">
              <w:rPr>
                <w:rFonts w:ascii="Arial Narrow" w:hAnsi="Arial Narrow" w:cs="Times New Roman"/>
                <w:b/>
                <w:sz w:val="20"/>
              </w:rPr>
              <w:t>Increment</w:t>
            </w:r>
          </w:p>
        </w:tc>
      </w:tr>
      <w:tr w:rsidR="00442B62" w:rsidRPr="00DE6EBD" w:rsidTr="008A08B8">
        <w:tc>
          <w:tcPr>
            <w:tcW w:w="5000" w:type="pct"/>
            <w:gridSpan w:val="4"/>
            <w:vAlign w:val="center"/>
          </w:tcPr>
          <w:p w:rsidR="00442B62" w:rsidRPr="00DE6EBD" w:rsidRDefault="00442B62" w:rsidP="00442B62">
            <w:pPr>
              <w:keepNext/>
              <w:jc w:val="left"/>
              <w:rPr>
                <w:rFonts w:ascii="Arial Narrow" w:hAnsi="Arial Narrow" w:cs="Arial Narrow"/>
                <w:b/>
                <w:bCs/>
                <w:sz w:val="20"/>
              </w:rPr>
            </w:pPr>
            <w:r w:rsidRPr="00DE6EBD">
              <w:rPr>
                <w:rFonts w:ascii="Arial Narrow" w:hAnsi="Arial Narrow" w:cs="Arial Narrow"/>
                <w:b/>
                <w:bCs/>
                <w:sz w:val="20"/>
              </w:rPr>
              <w:t>Step 1: trial-based costs and outcomes (ITT population)</w:t>
            </w:r>
          </w:p>
        </w:tc>
      </w:tr>
      <w:tr w:rsidR="00442B62" w:rsidRPr="00DE6EBD" w:rsidTr="008A08B8">
        <w:tc>
          <w:tcPr>
            <w:tcW w:w="919" w:type="pct"/>
            <w:vAlign w:val="center"/>
          </w:tcPr>
          <w:p w:rsidR="00442B62" w:rsidRPr="00DE6EBD" w:rsidRDefault="00442B62" w:rsidP="00442B62">
            <w:pPr>
              <w:jc w:val="left"/>
              <w:rPr>
                <w:rFonts w:ascii="Arial Narrow" w:hAnsi="Arial Narrow" w:cs="Times New Roman"/>
                <w:sz w:val="20"/>
              </w:rPr>
            </w:pPr>
            <w:r w:rsidRPr="00DE6EBD">
              <w:rPr>
                <w:rFonts w:ascii="Arial Narrow" w:hAnsi="Arial Narrow" w:cs="Times New Roman"/>
                <w:sz w:val="20"/>
              </w:rPr>
              <w:t>Costs</w:t>
            </w:r>
          </w:p>
        </w:tc>
        <w:tc>
          <w:tcPr>
            <w:tcW w:w="1425" w:type="pct"/>
          </w:tcPr>
          <w:p w:rsidR="00442B62" w:rsidRPr="00DE6EBD" w:rsidRDefault="00442B62" w:rsidP="00442B62">
            <w:pPr>
              <w:jc w:val="center"/>
              <w:rPr>
                <w:rFonts w:ascii="Arial Narrow" w:hAnsi="Arial Narrow" w:cs="Times New Roman"/>
                <w:sz w:val="20"/>
              </w:rPr>
            </w:pPr>
            <w:r w:rsidRPr="00DE6EBD">
              <w:rPr>
                <w:rFonts w:ascii="Arial Narrow" w:hAnsi="Arial Narrow" w:cs="Times New Roman"/>
                <w:sz w:val="20"/>
              </w:rPr>
              <w:t>$</w:t>
            </w:r>
            <w:r w:rsidR="001B4E17">
              <w:rPr>
                <w:rFonts w:ascii="Arial Narrow" w:hAnsi="Arial Narrow" w:cs="Times New Roman"/>
                <w:noProof/>
                <w:color w:val="000000"/>
                <w:sz w:val="20"/>
                <w:highlight w:val="black"/>
              </w:rPr>
              <w:t>'''''''''''''''''''</w:t>
            </w:r>
          </w:p>
        </w:tc>
        <w:tc>
          <w:tcPr>
            <w:tcW w:w="1426" w:type="pct"/>
            <w:vAlign w:val="center"/>
          </w:tcPr>
          <w:p w:rsidR="00442B62" w:rsidRPr="00DE6EBD" w:rsidRDefault="00442B62" w:rsidP="00442B62">
            <w:pPr>
              <w:jc w:val="center"/>
              <w:rPr>
                <w:rFonts w:ascii="Arial Narrow" w:hAnsi="Arial Narrow" w:cs="Times New Roman"/>
                <w:sz w:val="20"/>
              </w:rPr>
            </w:pPr>
            <w:r w:rsidRPr="00DE6EBD">
              <w:rPr>
                <w:rFonts w:ascii="Arial Narrow" w:hAnsi="Arial Narrow" w:cs="Times New Roman"/>
                <w:sz w:val="20"/>
              </w:rPr>
              <w:t>$0</w:t>
            </w:r>
          </w:p>
        </w:tc>
        <w:tc>
          <w:tcPr>
            <w:tcW w:w="1230" w:type="pct"/>
          </w:tcPr>
          <w:p w:rsidR="00442B62" w:rsidRPr="00DE6EBD" w:rsidRDefault="00442B62" w:rsidP="00442B62">
            <w:pPr>
              <w:jc w:val="center"/>
              <w:rPr>
                <w:rFonts w:ascii="Arial Narrow" w:hAnsi="Arial Narrow" w:cs="Times New Roman"/>
                <w:sz w:val="20"/>
              </w:rPr>
            </w:pPr>
            <w:r w:rsidRPr="00DE6EBD">
              <w:rPr>
                <w:rFonts w:ascii="Arial Narrow" w:hAnsi="Arial Narrow" w:cs="Times New Roman"/>
                <w:sz w:val="20"/>
              </w:rPr>
              <w:t>$</w:t>
            </w:r>
            <w:r w:rsidR="001B4E17">
              <w:rPr>
                <w:rFonts w:ascii="Arial Narrow" w:hAnsi="Arial Narrow" w:cs="Times New Roman"/>
                <w:noProof/>
                <w:color w:val="000000"/>
                <w:sz w:val="20"/>
                <w:highlight w:val="black"/>
              </w:rPr>
              <w:t>'''''''''''''''''''''</w:t>
            </w:r>
          </w:p>
        </w:tc>
      </w:tr>
      <w:tr w:rsidR="00442B62" w:rsidRPr="00DE6EBD" w:rsidTr="008A08B8">
        <w:tc>
          <w:tcPr>
            <w:tcW w:w="919" w:type="pct"/>
            <w:vAlign w:val="center"/>
          </w:tcPr>
          <w:p w:rsidR="00442B62" w:rsidRPr="00DE6EBD" w:rsidRDefault="00442B62" w:rsidP="00442B62">
            <w:pPr>
              <w:jc w:val="left"/>
              <w:rPr>
                <w:rFonts w:ascii="Arial Narrow" w:hAnsi="Arial Narrow" w:cs="Times New Roman"/>
                <w:sz w:val="20"/>
              </w:rPr>
            </w:pPr>
            <w:r w:rsidRPr="00DE6EBD">
              <w:rPr>
                <w:rFonts w:ascii="Arial Narrow" w:hAnsi="Arial Narrow" w:cs="Times New Roman"/>
                <w:sz w:val="20"/>
              </w:rPr>
              <w:t>LY</w:t>
            </w:r>
          </w:p>
        </w:tc>
        <w:tc>
          <w:tcPr>
            <w:tcW w:w="1425" w:type="pct"/>
          </w:tcPr>
          <w:p w:rsidR="00442B62" w:rsidRPr="00DE6EBD" w:rsidRDefault="00442B62" w:rsidP="00442B62">
            <w:pPr>
              <w:jc w:val="center"/>
              <w:rPr>
                <w:rFonts w:ascii="Arial Narrow" w:hAnsi="Arial Narrow" w:cs="Times New Roman"/>
                <w:sz w:val="20"/>
              </w:rPr>
            </w:pPr>
            <w:r w:rsidRPr="00DE6EBD">
              <w:rPr>
                <w:rFonts w:ascii="Arial Narrow" w:hAnsi="Arial Narrow" w:cs="Times New Roman"/>
                <w:sz w:val="20"/>
              </w:rPr>
              <w:t>0.8484</w:t>
            </w:r>
          </w:p>
        </w:tc>
        <w:tc>
          <w:tcPr>
            <w:tcW w:w="1426" w:type="pct"/>
          </w:tcPr>
          <w:p w:rsidR="00442B62" w:rsidRPr="00DE6EBD" w:rsidRDefault="00442B62" w:rsidP="00442B62">
            <w:pPr>
              <w:jc w:val="center"/>
              <w:rPr>
                <w:rFonts w:ascii="Arial Narrow" w:hAnsi="Arial Narrow" w:cs="Times New Roman"/>
                <w:sz w:val="20"/>
              </w:rPr>
            </w:pPr>
            <w:r w:rsidRPr="00DE6EBD">
              <w:rPr>
                <w:rFonts w:ascii="Arial Narrow" w:hAnsi="Arial Narrow" w:cs="Times New Roman"/>
                <w:sz w:val="20"/>
              </w:rPr>
              <w:t>0.7367</w:t>
            </w:r>
          </w:p>
        </w:tc>
        <w:tc>
          <w:tcPr>
            <w:tcW w:w="1230" w:type="pct"/>
          </w:tcPr>
          <w:p w:rsidR="00442B62" w:rsidRPr="00DE6EBD" w:rsidRDefault="00442B62" w:rsidP="00442B62">
            <w:pPr>
              <w:jc w:val="center"/>
              <w:rPr>
                <w:rFonts w:ascii="Arial Narrow" w:hAnsi="Arial Narrow" w:cs="Times New Roman"/>
                <w:sz w:val="20"/>
              </w:rPr>
            </w:pPr>
            <w:r w:rsidRPr="00DE6EBD">
              <w:rPr>
                <w:rFonts w:ascii="Arial Narrow" w:hAnsi="Arial Narrow" w:cs="Times New Roman"/>
                <w:sz w:val="20"/>
              </w:rPr>
              <w:t>0.1117</w:t>
            </w:r>
          </w:p>
        </w:tc>
      </w:tr>
      <w:tr w:rsidR="00442B62" w:rsidRPr="00DE6EBD" w:rsidTr="008A08B8">
        <w:tc>
          <w:tcPr>
            <w:tcW w:w="3770" w:type="pct"/>
            <w:gridSpan w:val="3"/>
            <w:vAlign w:val="center"/>
          </w:tcPr>
          <w:p w:rsidR="00442B62" w:rsidRPr="00DE6EBD" w:rsidRDefault="00442B62" w:rsidP="00442B62">
            <w:pPr>
              <w:jc w:val="left"/>
              <w:rPr>
                <w:rFonts w:ascii="Arial Narrow" w:hAnsi="Arial Narrow" w:cs="Times New Roman"/>
                <w:sz w:val="20"/>
              </w:rPr>
            </w:pPr>
            <w:r w:rsidRPr="00DE6EBD">
              <w:rPr>
                <w:rFonts w:ascii="Arial Narrow" w:hAnsi="Arial Narrow" w:cs="Times New Roman"/>
                <w:b/>
                <w:snapToGrid/>
                <w:sz w:val="20"/>
              </w:rPr>
              <w:t>Incremental cost/extra LY gained</w:t>
            </w:r>
          </w:p>
        </w:tc>
        <w:tc>
          <w:tcPr>
            <w:tcW w:w="1230" w:type="pct"/>
          </w:tcPr>
          <w:p w:rsidR="00442B62" w:rsidRPr="00DE6EBD" w:rsidRDefault="00442B62" w:rsidP="00442B62">
            <w:pPr>
              <w:jc w:val="center"/>
              <w:rPr>
                <w:rFonts w:ascii="Arial Narrow" w:hAnsi="Arial Narrow" w:cs="Times New Roman"/>
                <w:sz w:val="20"/>
              </w:rPr>
            </w:pPr>
            <w:r w:rsidRPr="00DE6EBD">
              <w:rPr>
                <w:rFonts w:ascii="Arial Narrow" w:hAnsi="Arial Narrow" w:cs="Times New Roman"/>
                <w:b/>
                <w:sz w:val="20"/>
              </w:rPr>
              <w:t>$</w:t>
            </w:r>
            <w:r w:rsidR="001B4E17">
              <w:rPr>
                <w:rFonts w:ascii="Arial Narrow" w:hAnsi="Arial Narrow" w:cs="Times New Roman"/>
                <w:b/>
                <w:noProof/>
                <w:color w:val="000000"/>
                <w:sz w:val="20"/>
                <w:highlight w:val="black"/>
              </w:rPr>
              <w:t>'''''''''''''</w:t>
            </w:r>
          </w:p>
        </w:tc>
      </w:tr>
      <w:tr w:rsidR="00442B62" w:rsidRPr="00DE6EBD" w:rsidTr="008A08B8">
        <w:tc>
          <w:tcPr>
            <w:tcW w:w="5000" w:type="pct"/>
            <w:gridSpan w:val="4"/>
            <w:vAlign w:val="center"/>
          </w:tcPr>
          <w:p w:rsidR="00442B62" w:rsidRPr="00DE6EBD" w:rsidRDefault="00442B62" w:rsidP="00442B62">
            <w:pPr>
              <w:keepNext/>
              <w:jc w:val="left"/>
              <w:rPr>
                <w:rFonts w:ascii="Arial Narrow" w:hAnsi="Arial Narrow" w:cs="Arial Narrow"/>
                <w:b/>
                <w:bCs/>
                <w:sz w:val="20"/>
              </w:rPr>
            </w:pPr>
            <w:r w:rsidRPr="00DE6EBD">
              <w:rPr>
                <w:rFonts w:ascii="Arial Narrow" w:hAnsi="Arial Narrow" w:cs="Arial Narrow"/>
                <w:b/>
                <w:bCs/>
                <w:sz w:val="20"/>
              </w:rPr>
              <w:t>Step 2: trial-based costs and outcomes (</w:t>
            </w:r>
            <w:proofErr w:type="spellStart"/>
            <w:r w:rsidRPr="00DE6EBD">
              <w:rPr>
                <w:rFonts w:ascii="Arial Narrow" w:hAnsi="Arial Narrow" w:cs="Arial Narrow"/>
                <w:b/>
                <w:bCs/>
                <w:sz w:val="20"/>
              </w:rPr>
              <w:t>mITT</w:t>
            </w:r>
            <w:proofErr w:type="spellEnd"/>
            <w:r w:rsidRPr="00DE6EBD">
              <w:rPr>
                <w:rFonts w:ascii="Arial Narrow" w:hAnsi="Arial Narrow" w:cs="Arial Narrow"/>
                <w:b/>
                <w:bCs/>
                <w:sz w:val="20"/>
              </w:rPr>
              <w:t xml:space="preserve"> population)</w:t>
            </w:r>
          </w:p>
        </w:tc>
      </w:tr>
      <w:tr w:rsidR="00442B62" w:rsidRPr="00DE6EBD" w:rsidTr="008A08B8">
        <w:tc>
          <w:tcPr>
            <w:tcW w:w="919" w:type="pct"/>
            <w:vAlign w:val="center"/>
          </w:tcPr>
          <w:p w:rsidR="00442B62" w:rsidRPr="00DE6EBD" w:rsidRDefault="00442B62" w:rsidP="00442B62">
            <w:pPr>
              <w:jc w:val="left"/>
              <w:rPr>
                <w:rFonts w:ascii="Arial Narrow" w:hAnsi="Arial Narrow" w:cs="Times New Roman"/>
                <w:sz w:val="20"/>
              </w:rPr>
            </w:pPr>
            <w:r w:rsidRPr="00DE6EBD">
              <w:rPr>
                <w:rFonts w:ascii="Arial Narrow" w:hAnsi="Arial Narrow" w:cs="Times New Roman"/>
                <w:sz w:val="20"/>
              </w:rPr>
              <w:t>Costs</w:t>
            </w:r>
          </w:p>
        </w:tc>
        <w:tc>
          <w:tcPr>
            <w:tcW w:w="1425" w:type="pct"/>
          </w:tcPr>
          <w:p w:rsidR="00442B62" w:rsidRPr="00DE6EBD" w:rsidRDefault="00442B62" w:rsidP="00442B62">
            <w:pPr>
              <w:jc w:val="center"/>
              <w:rPr>
                <w:rFonts w:ascii="Arial Narrow" w:hAnsi="Arial Narrow" w:cs="Times New Roman"/>
                <w:sz w:val="20"/>
              </w:rPr>
            </w:pPr>
            <w:r w:rsidRPr="00DE6EBD">
              <w:rPr>
                <w:rFonts w:ascii="Arial Narrow" w:hAnsi="Arial Narrow" w:cs="Times New Roman"/>
                <w:sz w:val="20"/>
              </w:rPr>
              <w:t>$</w:t>
            </w:r>
            <w:r w:rsidR="001B4E17">
              <w:rPr>
                <w:rFonts w:ascii="Arial Narrow" w:hAnsi="Arial Narrow" w:cs="Times New Roman"/>
                <w:noProof/>
                <w:color w:val="000000"/>
                <w:sz w:val="20"/>
                <w:highlight w:val="black"/>
              </w:rPr>
              <w:t>''''''''''''''''''''''</w:t>
            </w:r>
          </w:p>
        </w:tc>
        <w:tc>
          <w:tcPr>
            <w:tcW w:w="1426" w:type="pct"/>
            <w:vAlign w:val="center"/>
          </w:tcPr>
          <w:p w:rsidR="00442B62" w:rsidRPr="00DE6EBD" w:rsidRDefault="00442B62" w:rsidP="00442B62">
            <w:pPr>
              <w:jc w:val="center"/>
              <w:rPr>
                <w:rFonts w:ascii="Arial Narrow" w:hAnsi="Arial Narrow" w:cs="Times New Roman"/>
                <w:sz w:val="20"/>
              </w:rPr>
            </w:pPr>
            <w:r w:rsidRPr="00DE6EBD">
              <w:rPr>
                <w:rFonts w:ascii="Arial Narrow" w:hAnsi="Arial Narrow" w:cs="Times New Roman"/>
                <w:sz w:val="20"/>
              </w:rPr>
              <w:t>$0</w:t>
            </w:r>
          </w:p>
        </w:tc>
        <w:tc>
          <w:tcPr>
            <w:tcW w:w="1230" w:type="pct"/>
          </w:tcPr>
          <w:p w:rsidR="00442B62" w:rsidRPr="00DE6EBD" w:rsidRDefault="00442B62" w:rsidP="00442B62">
            <w:pPr>
              <w:jc w:val="center"/>
              <w:rPr>
                <w:rFonts w:ascii="Arial Narrow" w:hAnsi="Arial Narrow" w:cs="Times New Roman"/>
                <w:sz w:val="20"/>
              </w:rPr>
            </w:pPr>
            <w:r w:rsidRPr="00DE6EBD">
              <w:rPr>
                <w:rFonts w:ascii="Arial Narrow" w:hAnsi="Arial Narrow" w:cs="Times New Roman"/>
                <w:sz w:val="20"/>
              </w:rPr>
              <w:t>$</w:t>
            </w:r>
            <w:r w:rsidR="001B4E17">
              <w:rPr>
                <w:rFonts w:ascii="Arial Narrow" w:hAnsi="Arial Narrow" w:cs="Times New Roman"/>
                <w:noProof/>
                <w:color w:val="000000"/>
                <w:sz w:val="20"/>
                <w:highlight w:val="black"/>
              </w:rPr>
              <w:t>''''''''''''''''''''''</w:t>
            </w:r>
          </w:p>
        </w:tc>
      </w:tr>
      <w:tr w:rsidR="00442B62" w:rsidRPr="00DE6EBD" w:rsidTr="008A08B8">
        <w:tc>
          <w:tcPr>
            <w:tcW w:w="919" w:type="pct"/>
            <w:vAlign w:val="center"/>
          </w:tcPr>
          <w:p w:rsidR="00442B62" w:rsidRPr="00DE6EBD" w:rsidRDefault="00442B62" w:rsidP="00442B62">
            <w:pPr>
              <w:jc w:val="left"/>
              <w:rPr>
                <w:rFonts w:ascii="Arial Narrow" w:hAnsi="Arial Narrow" w:cs="Times New Roman"/>
                <w:sz w:val="20"/>
              </w:rPr>
            </w:pPr>
            <w:r w:rsidRPr="00DE6EBD">
              <w:rPr>
                <w:rFonts w:ascii="Arial Narrow" w:hAnsi="Arial Narrow" w:cs="Times New Roman"/>
                <w:sz w:val="20"/>
              </w:rPr>
              <w:t>LY</w:t>
            </w:r>
          </w:p>
        </w:tc>
        <w:tc>
          <w:tcPr>
            <w:tcW w:w="1425" w:type="pct"/>
          </w:tcPr>
          <w:p w:rsidR="00442B62" w:rsidRPr="00DE6EBD" w:rsidRDefault="00442B62" w:rsidP="00442B62">
            <w:pPr>
              <w:jc w:val="center"/>
              <w:rPr>
                <w:rFonts w:ascii="Arial Narrow" w:hAnsi="Arial Narrow" w:cs="Times New Roman"/>
                <w:sz w:val="20"/>
              </w:rPr>
            </w:pPr>
            <w:r w:rsidRPr="00DE6EBD">
              <w:rPr>
                <w:rFonts w:ascii="Arial Narrow" w:hAnsi="Arial Narrow" w:cs="Times New Roman"/>
                <w:sz w:val="20"/>
              </w:rPr>
              <w:t>0.8558</w:t>
            </w:r>
          </w:p>
        </w:tc>
        <w:tc>
          <w:tcPr>
            <w:tcW w:w="1426" w:type="pct"/>
          </w:tcPr>
          <w:p w:rsidR="00442B62" w:rsidRPr="00DE6EBD" w:rsidRDefault="00442B62" w:rsidP="00442B62">
            <w:pPr>
              <w:jc w:val="center"/>
              <w:rPr>
                <w:rFonts w:ascii="Arial Narrow" w:hAnsi="Arial Narrow" w:cs="Times New Roman"/>
                <w:sz w:val="20"/>
              </w:rPr>
            </w:pPr>
            <w:r w:rsidRPr="00DE6EBD">
              <w:rPr>
                <w:rFonts w:ascii="Arial Narrow" w:hAnsi="Arial Narrow" w:cs="Times New Roman"/>
                <w:sz w:val="20"/>
              </w:rPr>
              <w:t>0.6399</w:t>
            </w:r>
          </w:p>
        </w:tc>
        <w:tc>
          <w:tcPr>
            <w:tcW w:w="1230" w:type="pct"/>
          </w:tcPr>
          <w:p w:rsidR="00442B62" w:rsidRPr="00DE6EBD" w:rsidRDefault="00442B62" w:rsidP="00442B62">
            <w:pPr>
              <w:jc w:val="center"/>
              <w:rPr>
                <w:rFonts w:ascii="Arial Narrow" w:hAnsi="Arial Narrow" w:cs="Times New Roman"/>
                <w:sz w:val="20"/>
              </w:rPr>
            </w:pPr>
            <w:r w:rsidRPr="00DE6EBD">
              <w:rPr>
                <w:rFonts w:ascii="Arial Narrow" w:hAnsi="Arial Narrow" w:cs="Times New Roman"/>
                <w:sz w:val="20"/>
              </w:rPr>
              <w:t>0.2159</w:t>
            </w:r>
          </w:p>
        </w:tc>
      </w:tr>
      <w:tr w:rsidR="00442B62" w:rsidRPr="00DE6EBD" w:rsidTr="008A08B8">
        <w:trPr>
          <w:trHeight w:val="70"/>
        </w:trPr>
        <w:tc>
          <w:tcPr>
            <w:tcW w:w="3770" w:type="pct"/>
            <w:gridSpan w:val="3"/>
            <w:vAlign w:val="center"/>
          </w:tcPr>
          <w:p w:rsidR="00442B62" w:rsidRPr="00DE6EBD" w:rsidRDefault="00442B62" w:rsidP="00442B62">
            <w:pPr>
              <w:jc w:val="left"/>
              <w:rPr>
                <w:rFonts w:ascii="Arial Narrow" w:hAnsi="Arial Narrow" w:cs="Times New Roman"/>
                <w:sz w:val="20"/>
              </w:rPr>
            </w:pPr>
            <w:r w:rsidRPr="00DE6EBD">
              <w:rPr>
                <w:rFonts w:ascii="Arial Narrow" w:hAnsi="Arial Narrow" w:cs="Times New Roman"/>
                <w:b/>
                <w:snapToGrid/>
                <w:sz w:val="20"/>
              </w:rPr>
              <w:t>Incremental cost/extra LY gained</w:t>
            </w:r>
          </w:p>
        </w:tc>
        <w:tc>
          <w:tcPr>
            <w:tcW w:w="1230" w:type="pct"/>
          </w:tcPr>
          <w:p w:rsidR="00442B62" w:rsidRPr="00DE6EBD" w:rsidRDefault="00442B62" w:rsidP="00442B62">
            <w:pPr>
              <w:jc w:val="center"/>
              <w:rPr>
                <w:rFonts w:ascii="Arial Narrow" w:hAnsi="Arial Narrow" w:cs="Times New Roman"/>
                <w:b/>
                <w:sz w:val="20"/>
              </w:rPr>
            </w:pPr>
            <w:r w:rsidRPr="00DE6EBD">
              <w:rPr>
                <w:rFonts w:ascii="Arial Narrow" w:hAnsi="Arial Narrow" w:cs="Times New Roman"/>
                <w:b/>
                <w:sz w:val="20"/>
              </w:rPr>
              <w:t>$</w:t>
            </w:r>
            <w:r w:rsidR="001B4E17">
              <w:rPr>
                <w:rFonts w:ascii="Arial Narrow" w:hAnsi="Arial Narrow" w:cs="Times New Roman"/>
                <w:b/>
                <w:noProof/>
                <w:color w:val="000000"/>
                <w:sz w:val="20"/>
                <w:highlight w:val="black"/>
              </w:rPr>
              <w:t>''''''''''''</w:t>
            </w:r>
          </w:p>
        </w:tc>
      </w:tr>
      <w:tr w:rsidR="00442B62" w:rsidRPr="00DE6EBD" w:rsidTr="008A08B8">
        <w:tc>
          <w:tcPr>
            <w:tcW w:w="5000" w:type="pct"/>
            <w:gridSpan w:val="4"/>
            <w:vAlign w:val="center"/>
          </w:tcPr>
          <w:p w:rsidR="00442B62" w:rsidRPr="00DE6EBD" w:rsidRDefault="00442B62" w:rsidP="00442B62">
            <w:pPr>
              <w:keepNext/>
              <w:jc w:val="left"/>
              <w:rPr>
                <w:rFonts w:ascii="Arial Narrow" w:hAnsi="Arial Narrow" w:cs="Arial Narrow"/>
                <w:b/>
                <w:bCs/>
                <w:sz w:val="20"/>
              </w:rPr>
            </w:pPr>
            <w:r w:rsidRPr="00DE6EBD">
              <w:rPr>
                <w:rFonts w:ascii="Arial Narrow" w:hAnsi="Arial Narrow" w:cs="Arial Narrow"/>
                <w:b/>
                <w:bCs/>
                <w:sz w:val="20"/>
              </w:rPr>
              <w:t>Step 3: modelled evaluation (transformation of LYs to QALYs)</w:t>
            </w:r>
          </w:p>
        </w:tc>
      </w:tr>
      <w:tr w:rsidR="00442B62" w:rsidRPr="00DE6EBD" w:rsidTr="008A08B8">
        <w:tc>
          <w:tcPr>
            <w:tcW w:w="919" w:type="pct"/>
            <w:vAlign w:val="center"/>
          </w:tcPr>
          <w:p w:rsidR="00442B62" w:rsidRPr="00DE6EBD" w:rsidRDefault="00442B62" w:rsidP="00442B62">
            <w:pPr>
              <w:jc w:val="left"/>
              <w:rPr>
                <w:rFonts w:ascii="Arial Narrow" w:hAnsi="Arial Narrow" w:cs="Times New Roman"/>
                <w:sz w:val="20"/>
              </w:rPr>
            </w:pPr>
            <w:r w:rsidRPr="00DE6EBD">
              <w:rPr>
                <w:rFonts w:ascii="Arial Narrow" w:hAnsi="Arial Narrow" w:cs="Times New Roman"/>
                <w:sz w:val="20"/>
              </w:rPr>
              <w:t>Costs</w:t>
            </w:r>
          </w:p>
        </w:tc>
        <w:tc>
          <w:tcPr>
            <w:tcW w:w="1425" w:type="pct"/>
          </w:tcPr>
          <w:p w:rsidR="00442B62" w:rsidRPr="00DE6EBD" w:rsidRDefault="00442B62" w:rsidP="00442B62">
            <w:pPr>
              <w:jc w:val="center"/>
              <w:rPr>
                <w:rFonts w:ascii="Arial Narrow" w:hAnsi="Arial Narrow" w:cs="Times New Roman"/>
                <w:sz w:val="20"/>
              </w:rPr>
            </w:pPr>
            <w:r w:rsidRPr="00DE6EBD">
              <w:rPr>
                <w:rFonts w:ascii="Arial Narrow" w:hAnsi="Arial Narrow" w:cs="Times New Roman"/>
                <w:sz w:val="20"/>
              </w:rPr>
              <w:t>$</w:t>
            </w:r>
            <w:r w:rsidR="001B4E17">
              <w:rPr>
                <w:rFonts w:ascii="Arial Narrow" w:hAnsi="Arial Narrow" w:cs="Times New Roman"/>
                <w:noProof/>
                <w:color w:val="000000"/>
                <w:sz w:val="20"/>
                <w:highlight w:val="black"/>
              </w:rPr>
              <w:t>'''''''''''''''''''</w:t>
            </w:r>
          </w:p>
        </w:tc>
        <w:tc>
          <w:tcPr>
            <w:tcW w:w="1426" w:type="pct"/>
            <w:vAlign w:val="center"/>
          </w:tcPr>
          <w:p w:rsidR="00442B62" w:rsidRPr="00DE6EBD" w:rsidRDefault="00442B62" w:rsidP="00442B62">
            <w:pPr>
              <w:jc w:val="center"/>
              <w:rPr>
                <w:rFonts w:ascii="Arial Narrow" w:hAnsi="Arial Narrow" w:cs="Times New Roman"/>
                <w:sz w:val="20"/>
              </w:rPr>
            </w:pPr>
            <w:r w:rsidRPr="00DE6EBD">
              <w:rPr>
                <w:rFonts w:ascii="Arial Narrow" w:hAnsi="Arial Narrow" w:cs="Times New Roman"/>
                <w:sz w:val="20"/>
              </w:rPr>
              <w:t>$0</w:t>
            </w:r>
          </w:p>
        </w:tc>
        <w:tc>
          <w:tcPr>
            <w:tcW w:w="1230" w:type="pct"/>
          </w:tcPr>
          <w:p w:rsidR="00442B62" w:rsidRPr="00DE6EBD" w:rsidRDefault="00442B62" w:rsidP="00442B62">
            <w:pPr>
              <w:jc w:val="center"/>
              <w:rPr>
                <w:rFonts w:ascii="Arial Narrow" w:hAnsi="Arial Narrow" w:cs="Times New Roman"/>
                <w:sz w:val="20"/>
              </w:rPr>
            </w:pPr>
            <w:r w:rsidRPr="00DE6EBD">
              <w:rPr>
                <w:rFonts w:ascii="Arial Narrow" w:hAnsi="Arial Narrow" w:cs="Times New Roman"/>
                <w:sz w:val="20"/>
              </w:rPr>
              <w:t>$</w:t>
            </w:r>
            <w:r w:rsidR="001B4E17">
              <w:rPr>
                <w:rFonts w:ascii="Arial Narrow" w:hAnsi="Arial Narrow" w:cs="Times New Roman"/>
                <w:noProof/>
                <w:color w:val="000000"/>
                <w:sz w:val="20"/>
                <w:highlight w:val="black"/>
              </w:rPr>
              <w:t>'''''''''''''''''''''</w:t>
            </w:r>
          </w:p>
        </w:tc>
      </w:tr>
      <w:tr w:rsidR="00442B62" w:rsidRPr="00DE6EBD" w:rsidTr="008A08B8">
        <w:tc>
          <w:tcPr>
            <w:tcW w:w="919" w:type="pct"/>
            <w:vAlign w:val="center"/>
          </w:tcPr>
          <w:p w:rsidR="00442B62" w:rsidRPr="00DE6EBD" w:rsidRDefault="00442B62" w:rsidP="00442B62">
            <w:pPr>
              <w:jc w:val="left"/>
              <w:rPr>
                <w:rFonts w:ascii="Arial Narrow" w:hAnsi="Arial Narrow" w:cs="Times New Roman"/>
                <w:sz w:val="20"/>
              </w:rPr>
            </w:pPr>
            <w:r w:rsidRPr="00DE6EBD">
              <w:rPr>
                <w:rFonts w:ascii="Arial Narrow" w:hAnsi="Arial Narrow" w:cs="Times New Roman"/>
                <w:sz w:val="20"/>
              </w:rPr>
              <w:t>QALY</w:t>
            </w:r>
          </w:p>
        </w:tc>
        <w:tc>
          <w:tcPr>
            <w:tcW w:w="1425" w:type="pct"/>
          </w:tcPr>
          <w:p w:rsidR="00442B62" w:rsidRPr="00DE6EBD" w:rsidRDefault="00442B62" w:rsidP="00442B62">
            <w:pPr>
              <w:jc w:val="center"/>
              <w:rPr>
                <w:rFonts w:ascii="Arial Narrow" w:hAnsi="Arial Narrow" w:cs="Times New Roman"/>
                <w:sz w:val="20"/>
              </w:rPr>
            </w:pPr>
            <w:r w:rsidRPr="00DE6EBD">
              <w:rPr>
                <w:rFonts w:ascii="Arial Narrow" w:hAnsi="Arial Narrow" w:cs="Times New Roman"/>
                <w:sz w:val="20"/>
              </w:rPr>
              <w:t>0.6214</w:t>
            </w:r>
          </w:p>
        </w:tc>
        <w:tc>
          <w:tcPr>
            <w:tcW w:w="1426" w:type="pct"/>
          </w:tcPr>
          <w:p w:rsidR="00442B62" w:rsidRPr="00DE6EBD" w:rsidRDefault="00442B62" w:rsidP="00442B62">
            <w:pPr>
              <w:jc w:val="center"/>
              <w:rPr>
                <w:rFonts w:ascii="Arial Narrow" w:hAnsi="Arial Narrow" w:cs="Times New Roman"/>
                <w:sz w:val="20"/>
              </w:rPr>
            </w:pPr>
            <w:r w:rsidRPr="00DE6EBD">
              <w:rPr>
                <w:rFonts w:ascii="Arial Narrow" w:hAnsi="Arial Narrow" w:cs="Times New Roman"/>
                <w:sz w:val="20"/>
              </w:rPr>
              <w:t>0.4692</w:t>
            </w:r>
          </w:p>
        </w:tc>
        <w:tc>
          <w:tcPr>
            <w:tcW w:w="1230" w:type="pct"/>
          </w:tcPr>
          <w:p w:rsidR="00442B62" w:rsidRPr="00DE6EBD" w:rsidRDefault="00442B62" w:rsidP="00442B62">
            <w:pPr>
              <w:jc w:val="center"/>
              <w:rPr>
                <w:rFonts w:ascii="Arial Narrow" w:hAnsi="Arial Narrow" w:cs="Times New Roman"/>
                <w:sz w:val="20"/>
              </w:rPr>
            </w:pPr>
            <w:r w:rsidRPr="00DE6EBD">
              <w:rPr>
                <w:rFonts w:ascii="Arial Narrow" w:hAnsi="Arial Narrow" w:cs="Times New Roman"/>
                <w:sz w:val="20"/>
              </w:rPr>
              <w:t>0.1522</w:t>
            </w:r>
          </w:p>
        </w:tc>
      </w:tr>
      <w:tr w:rsidR="00442B62" w:rsidRPr="00DE6EBD" w:rsidTr="008A08B8">
        <w:tc>
          <w:tcPr>
            <w:tcW w:w="3770" w:type="pct"/>
            <w:gridSpan w:val="3"/>
            <w:vAlign w:val="center"/>
          </w:tcPr>
          <w:p w:rsidR="00442B62" w:rsidRPr="00DE6EBD" w:rsidRDefault="00442B62" w:rsidP="00442B62">
            <w:pPr>
              <w:jc w:val="left"/>
              <w:rPr>
                <w:rFonts w:ascii="Arial Narrow" w:hAnsi="Arial Narrow" w:cs="Times New Roman"/>
                <w:b/>
                <w:sz w:val="20"/>
              </w:rPr>
            </w:pPr>
            <w:r w:rsidRPr="00DE6EBD">
              <w:rPr>
                <w:rFonts w:ascii="Arial Narrow" w:hAnsi="Arial Narrow" w:cs="Times New Roman"/>
                <w:b/>
                <w:sz w:val="20"/>
              </w:rPr>
              <w:t>Incremental cost/extra QALY gained</w:t>
            </w:r>
          </w:p>
        </w:tc>
        <w:tc>
          <w:tcPr>
            <w:tcW w:w="1230" w:type="pct"/>
          </w:tcPr>
          <w:p w:rsidR="00442B62" w:rsidRPr="00DE6EBD" w:rsidRDefault="00442B62" w:rsidP="00442B62">
            <w:pPr>
              <w:jc w:val="center"/>
              <w:rPr>
                <w:rFonts w:ascii="Arial Narrow" w:hAnsi="Arial Narrow" w:cs="Times New Roman"/>
                <w:b/>
                <w:sz w:val="20"/>
              </w:rPr>
            </w:pPr>
            <w:r w:rsidRPr="00DE6EBD">
              <w:rPr>
                <w:rFonts w:ascii="Arial Narrow" w:hAnsi="Arial Narrow" w:cs="Times New Roman"/>
                <w:b/>
                <w:sz w:val="20"/>
              </w:rPr>
              <w:t>$</w:t>
            </w:r>
            <w:r w:rsidR="001B4E17">
              <w:rPr>
                <w:rFonts w:ascii="Arial Narrow" w:hAnsi="Arial Narrow" w:cs="Times New Roman"/>
                <w:b/>
                <w:noProof/>
                <w:color w:val="000000"/>
                <w:sz w:val="20"/>
                <w:highlight w:val="black"/>
              </w:rPr>
              <w:t>'''''''''''''</w:t>
            </w:r>
          </w:p>
        </w:tc>
      </w:tr>
      <w:tr w:rsidR="00442B62" w:rsidRPr="00DE6EBD" w:rsidTr="008A08B8">
        <w:tc>
          <w:tcPr>
            <w:tcW w:w="5000" w:type="pct"/>
            <w:gridSpan w:val="4"/>
            <w:vAlign w:val="center"/>
          </w:tcPr>
          <w:p w:rsidR="00442B62" w:rsidRPr="00DE6EBD" w:rsidRDefault="00442B62" w:rsidP="00442B62">
            <w:pPr>
              <w:keepNext/>
              <w:jc w:val="left"/>
              <w:rPr>
                <w:rFonts w:ascii="Arial Narrow" w:hAnsi="Arial Narrow" w:cs="Arial Narrow"/>
                <w:b/>
                <w:bCs/>
                <w:sz w:val="20"/>
              </w:rPr>
            </w:pPr>
            <w:r w:rsidRPr="00DE6EBD">
              <w:rPr>
                <w:rFonts w:ascii="Arial Narrow" w:hAnsi="Arial Narrow" w:cs="Arial Narrow"/>
                <w:b/>
                <w:bCs/>
                <w:sz w:val="20"/>
              </w:rPr>
              <w:t xml:space="preserve">Step 4: modelled evaluation (inclusion of costs for </w:t>
            </w:r>
            <w:proofErr w:type="spellStart"/>
            <w:r w:rsidRPr="00DE6EBD">
              <w:rPr>
                <w:rFonts w:ascii="Arial Narrow" w:hAnsi="Arial Narrow" w:cs="Arial Narrow"/>
                <w:b/>
                <w:bCs/>
                <w:sz w:val="20"/>
              </w:rPr>
              <w:t>vinflunine</w:t>
            </w:r>
            <w:proofErr w:type="spellEnd"/>
            <w:r w:rsidRPr="00DE6EBD">
              <w:rPr>
                <w:rFonts w:ascii="Arial Narrow" w:hAnsi="Arial Narrow" w:cs="Arial Narrow"/>
                <w:b/>
                <w:bCs/>
                <w:sz w:val="20"/>
              </w:rPr>
              <w:t xml:space="preserve"> administration, laxatives, PRT, treatment of AEs and specialist visits)</w:t>
            </w:r>
          </w:p>
        </w:tc>
      </w:tr>
      <w:tr w:rsidR="00442B62" w:rsidRPr="00DE6EBD" w:rsidTr="008A08B8">
        <w:tc>
          <w:tcPr>
            <w:tcW w:w="919" w:type="pct"/>
            <w:vAlign w:val="center"/>
          </w:tcPr>
          <w:p w:rsidR="00442B62" w:rsidRPr="00DE6EBD" w:rsidRDefault="00442B62" w:rsidP="00442B62">
            <w:pPr>
              <w:jc w:val="left"/>
              <w:rPr>
                <w:rFonts w:ascii="Arial Narrow" w:hAnsi="Arial Narrow" w:cs="Times New Roman"/>
                <w:sz w:val="20"/>
              </w:rPr>
            </w:pPr>
            <w:r w:rsidRPr="00DE6EBD">
              <w:rPr>
                <w:rFonts w:ascii="Arial Narrow" w:hAnsi="Arial Narrow" w:cs="Times New Roman"/>
                <w:sz w:val="20"/>
              </w:rPr>
              <w:t>Costs</w:t>
            </w:r>
          </w:p>
        </w:tc>
        <w:tc>
          <w:tcPr>
            <w:tcW w:w="1425" w:type="pct"/>
          </w:tcPr>
          <w:p w:rsidR="00442B62" w:rsidRPr="00DE6EBD" w:rsidRDefault="00442B62" w:rsidP="00442B62">
            <w:pPr>
              <w:jc w:val="center"/>
              <w:rPr>
                <w:rFonts w:ascii="Arial Narrow" w:hAnsi="Arial Narrow" w:cs="Times New Roman"/>
                <w:sz w:val="20"/>
              </w:rPr>
            </w:pPr>
            <w:r w:rsidRPr="00DE6EBD">
              <w:rPr>
                <w:rFonts w:ascii="Arial Narrow" w:hAnsi="Arial Narrow" w:cs="Times New Roman"/>
                <w:sz w:val="20"/>
              </w:rPr>
              <w:t>$</w:t>
            </w:r>
            <w:r w:rsidR="001B4E17">
              <w:rPr>
                <w:rFonts w:ascii="Arial Narrow" w:hAnsi="Arial Narrow" w:cs="Times New Roman"/>
                <w:noProof/>
                <w:color w:val="000000"/>
                <w:sz w:val="20"/>
                <w:highlight w:val="black"/>
              </w:rPr>
              <w:t>''''''''''''''''''''''''</w:t>
            </w:r>
          </w:p>
        </w:tc>
        <w:tc>
          <w:tcPr>
            <w:tcW w:w="1426" w:type="pct"/>
          </w:tcPr>
          <w:p w:rsidR="00442B62" w:rsidRPr="00DE6EBD" w:rsidRDefault="00442B62" w:rsidP="00442B62">
            <w:pPr>
              <w:jc w:val="center"/>
              <w:rPr>
                <w:rFonts w:ascii="Arial Narrow" w:hAnsi="Arial Narrow" w:cs="Times New Roman"/>
                <w:sz w:val="20"/>
              </w:rPr>
            </w:pPr>
            <w:r w:rsidRPr="00DE6EBD">
              <w:rPr>
                <w:rFonts w:ascii="Arial Narrow" w:hAnsi="Arial Narrow" w:cs="Times New Roman"/>
                <w:sz w:val="20"/>
              </w:rPr>
              <w:t>$</w:t>
            </w:r>
            <w:r w:rsidR="001B4E17">
              <w:rPr>
                <w:rFonts w:ascii="Arial Narrow" w:hAnsi="Arial Narrow" w:cs="Times New Roman"/>
                <w:noProof/>
                <w:color w:val="000000"/>
                <w:sz w:val="20"/>
                <w:highlight w:val="black"/>
              </w:rPr>
              <w:t>''''''''''''''''''''</w:t>
            </w:r>
          </w:p>
        </w:tc>
        <w:tc>
          <w:tcPr>
            <w:tcW w:w="1230" w:type="pct"/>
          </w:tcPr>
          <w:p w:rsidR="00442B62" w:rsidRPr="00DE6EBD" w:rsidRDefault="00442B62" w:rsidP="00442B62">
            <w:pPr>
              <w:jc w:val="center"/>
              <w:rPr>
                <w:rFonts w:ascii="Arial Narrow" w:hAnsi="Arial Narrow" w:cs="Times New Roman"/>
                <w:sz w:val="20"/>
              </w:rPr>
            </w:pPr>
            <w:r w:rsidRPr="00DE6EBD">
              <w:rPr>
                <w:rFonts w:ascii="Arial Narrow" w:hAnsi="Arial Narrow" w:cs="Times New Roman"/>
                <w:sz w:val="20"/>
              </w:rPr>
              <w:t>$</w:t>
            </w:r>
            <w:r w:rsidR="001B4E17">
              <w:rPr>
                <w:rFonts w:ascii="Arial Narrow" w:hAnsi="Arial Narrow" w:cs="Times New Roman"/>
                <w:noProof/>
                <w:color w:val="000000"/>
                <w:sz w:val="20"/>
                <w:highlight w:val="black"/>
              </w:rPr>
              <w:t>''''''''''''''''''''</w:t>
            </w:r>
          </w:p>
        </w:tc>
      </w:tr>
      <w:tr w:rsidR="00442B62" w:rsidRPr="00DE6EBD" w:rsidTr="008A08B8">
        <w:tc>
          <w:tcPr>
            <w:tcW w:w="919" w:type="pct"/>
            <w:vAlign w:val="center"/>
          </w:tcPr>
          <w:p w:rsidR="00442B62" w:rsidRPr="00DE6EBD" w:rsidRDefault="00442B62" w:rsidP="00442B62">
            <w:pPr>
              <w:jc w:val="left"/>
              <w:rPr>
                <w:rFonts w:ascii="Arial Narrow" w:hAnsi="Arial Narrow" w:cs="Times New Roman"/>
                <w:sz w:val="20"/>
              </w:rPr>
            </w:pPr>
            <w:r w:rsidRPr="00DE6EBD">
              <w:rPr>
                <w:rFonts w:ascii="Arial Narrow" w:hAnsi="Arial Narrow" w:cs="Times New Roman"/>
                <w:sz w:val="20"/>
              </w:rPr>
              <w:t>LY</w:t>
            </w:r>
          </w:p>
        </w:tc>
        <w:tc>
          <w:tcPr>
            <w:tcW w:w="1425" w:type="pct"/>
          </w:tcPr>
          <w:p w:rsidR="00442B62" w:rsidRPr="00DE6EBD" w:rsidRDefault="00442B62" w:rsidP="00442B62">
            <w:pPr>
              <w:jc w:val="center"/>
              <w:rPr>
                <w:rFonts w:ascii="Arial Narrow" w:hAnsi="Arial Narrow" w:cs="Times New Roman"/>
                <w:sz w:val="20"/>
              </w:rPr>
            </w:pPr>
            <w:r w:rsidRPr="00DE6EBD">
              <w:rPr>
                <w:rFonts w:ascii="Arial Narrow" w:hAnsi="Arial Narrow" w:cs="Times New Roman"/>
                <w:sz w:val="20"/>
              </w:rPr>
              <w:t>0.8558</w:t>
            </w:r>
          </w:p>
        </w:tc>
        <w:tc>
          <w:tcPr>
            <w:tcW w:w="1426" w:type="pct"/>
          </w:tcPr>
          <w:p w:rsidR="00442B62" w:rsidRPr="00DE6EBD" w:rsidRDefault="00442B62" w:rsidP="00442B62">
            <w:pPr>
              <w:jc w:val="center"/>
              <w:rPr>
                <w:rFonts w:ascii="Arial Narrow" w:hAnsi="Arial Narrow" w:cs="Times New Roman"/>
                <w:sz w:val="20"/>
              </w:rPr>
            </w:pPr>
            <w:r w:rsidRPr="00DE6EBD">
              <w:rPr>
                <w:rFonts w:ascii="Arial Narrow" w:hAnsi="Arial Narrow" w:cs="Times New Roman"/>
                <w:sz w:val="20"/>
              </w:rPr>
              <w:t>0.6399</w:t>
            </w:r>
          </w:p>
        </w:tc>
        <w:tc>
          <w:tcPr>
            <w:tcW w:w="1230" w:type="pct"/>
          </w:tcPr>
          <w:p w:rsidR="00442B62" w:rsidRPr="00DE6EBD" w:rsidRDefault="00442B62" w:rsidP="00442B62">
            <w:pPr>
              <w:jc w:val="center"/>
              <w:rPr>
                <w:rFonts w:ascii="Arial Narrow" w:hAnsi="Arial Narrow" w:cs="Times New Roman"/>
                <w:sz w:val="20"/>
              </w:rPr>
            </w:pPr>
            <w:r w:rsidRPr="00DE6EBD">
              <w:rPr>
                <w:rFonts w:ascii="Arial Narrow" w:hAnsi="Arial Narrow" w:cs="Times New Roman"/>
                <w:sz w:val="20"/>
              </w:rPr>
              <w:t>0.2159</w:t>
            </w:r>
          </w:p>
        </w:tc>
      </w:tr>
      <w:tr w:rsidR="00442B62" w:rsidRPr="00DE6EBD" w:rsidTr="008A08B8">
        <w:tc>
          <w:tcPr>
            <w:tcW w:w="919" w:type="pct"/>
            <w:vAlign w:val="center"/>
          </w:tcPr>
          <w:p w:rsidR="00442B62" w:rsidRPr="00DE6EBD" w:rsidRDefault="00442B62" w:rsidP="00442B62">
            <w:pPr>
              <w:jc w:val="left"/>
              <w:rPr>
                <w:rFonts w:ascii="Arial Narrow" w:hAnsi="Arial Narrow" w:cs="Times New Roman"/>
                <w:sz w:val="20"/>
              </w:rPr>
            </w:pPr>
            <w:r w:rsidRPr="00DE6EBD">
              <w:rPr>
                <w:rFonts w:ascii="Arial Narrow" w:hAnsi="Arial Narrow" w:cs="Times New Roman"/>
                <w:sz w:val="20"/>
              </w:rPr>
              <w:t>QALY</w:t>
            </w:r>
          </w:p>
        </w:tc>
        <w:tc>
          <w:tcPr>
            <w:tcW w:w="1425" w:type="pct"/>
          </w:tcPr>
          <w:p w:rsidR="00442B62" w:rsidRPr="00DE6EBD" w:rsidRDefault="00442B62" w:rsidP="00442B62">
            <w:pPr>
              <w:jc w:val="center"/>
              <w:rPr>
                <w:rFonts w:ascii="Arial Narrow" w:hAnsi="Arial Narrow" w:cs="Times New Roman"/>
                <w:sz w:val="20"/>
              </w:rPr>
            </w:pPr>
            <w:r w:rsidRPr="00DE6EBD">
              <w:rPr>
                <w:rFonts w:ascii="Arial Narrow" w:hAnsi="Arial Narrow" w:cs="Times New Roman"/>
                <w:sz w:val="20"/>
              </w:rPr>
              <w:t>0.6214</w:t>
            </w:r>
          </w:p>
        </w:tc>
        <w:tc>
          <w:tcPr>
            <w:tcW w:w="1426" w:type="pct"/>
          </w:tcPr>
          <w:p w:rsidR="00442B62" w:rsidRPr="00DE6EBD" w:rsidRDefault="00442B62" w:rsidP="00442B62">
            <w:pPr>
              <w:jc w:val="center"/>
              <w:rPr>
                <w:rFonts w:ascii="Arial Narrow" w:hAnsi="Arial Narrow" w:cs="Times New Roman"/>
                <w:sz w:val="20"/>
              </w:rPr>
            </w:pPr>
            <w:r w:rsidRPr="00DE6EBD">
              <w:rPr>
                <w:rFonts w:ascii="Arial Narrow" w:hAnsi="Arial Narrow" w:cs="Times New Roman"/>
                <w:sz w:val="20"/>
              </w:rPr>
              <w:t>0.4692</w:t>
            </w:r>
          </w:p>
        </w:tc>
        <w:tc>
          <w:tcPr>
            <w:tcW w:w="1230" w:type="pct"/>
          </w:tcPr>
          <w:p w:rsidR="00442B62" w:rsidRPr="00DE6EBD" w:rsidRDefault="00442B62" w:rsidP="00442B62">
            <w:pPr>
              <w:jc w:val="center"/>
              <w:rPr>
                <w:rFonts w:ascii="Arial Narrow" w:hAnsi="Arial Narrow" w:cs="Times New Roman"/>
                <w:sz w:val="20"/>
              </w:rPr>
            </w:pPr>
            <w:r w:rsidRPr="00DE6EBD">
              <w:rPr>
                <w:rFonts w:ascii="Arial Narrow" w:hAnsi="Arial Narrow" w:cs="Times New Roman"/>
                <w:sz w:val="20"/>
              </w:rPr>
              <w:t>0.1522</w:t>
            </w:r>
          </w:p>
        </w:tc>
      </w:tr>
      <w:tr w:rsidR="00442B62" w:rsidRPr="00DE6EBD" w:rsidTr="008A08B8">
        <w:tc>
          <w:tcPr>
            <w:tcW w:w="3770" w:type="pct"/>
            <w:gridSpan w:val="3"/>
            <w:vAlign w:val="center"/>
          </w:tcPr>
          <w:p w:rsidR="00442B62" w:rsidRPr="00DE6EBD" w:rsidRDefault="00442B62" w:rsidP="00442B62">
            <w:pPr>
              <w:jc w:val="left"/>
              <w:rPr>
                <w:rFonts w:ascii="Arial Narrow" w:hAnsi="Arial Narrow" w:cs="Times New Roman"/>
                <w:b/>
                <w:sz w:val="20"/>
              </w:rPr>
            </w:pPr>
            <w:r w:rsidRPr="00DE6EBD">
              <w:rPr>
                <w:rFonts w:ascii="Arial Narrow" w:hAnsi="Arial Narrow" w:cs="Times New Roman"/>
                <w:b/>
                <w:sz w:val="20"/>
              </w:rPr>
              <w:t>Incremental cost/extra LY gained</w:t>
            </w:r>
          </w:p>
        </w:tc>
        <w:tc>
          <w:tcPr>
            <w:tcW w:w="1230" w:type="pct"/>
          </w:tcPr>
          <w:p w:rsidR="00442B62" w:rsidRPr="00DE6EBD" w:rsidRDefault="00442B62" w:rsidP="00442B62">
            <w:pPr>
              <w:widowControl/>
              <w:jc w:val="center"/>
              <w:rPr>
                <w:rFonts w:ascii="Arial Narrow" w:hAnsi="Arial Narrow" w:cs="Times New Roman"/>
                <w:b/>
                <w:snapToGrid/>
                <w:sz w:val="20"/>
              </w:rPr>
            </w:pPr>
            <w:r w:rsidRPr="00DE6EBD">
              <w:rPr>
                <w:rFonts w:ascii="Arial Narrow" w:hAnsi="Arial Narrow" w:cs="Times New Roman"/>
                <w:b/>
                <w:snapToGrid/>
                <w:sz w:val="20"/>
              </w:rPr>
              <w:t>$</w:t>
            </w:r>
            <w:r w:rsidR="001B4E17">
              <w:rPr>
                <w:rFonts w:ascii="Arial Narrow" w:hAnsi="Arial Narrow" w:cs="Times New Roman"/>
                <w:b/>
                <w:noProof/>
                <w:snapToGrid/>
                <w:color w:val="000000"/>
                <w:sz w:val="20"/>
                <w:highlight w:val="black"/>
              </w:rPr>
              <w:t>'''''''''''''</w:t>
            </w:r>
          </w:p>
        </w:tc>
      </w:tr>
      <w:tr w:rsidR="00442B62" w:rsidRPr="00DE6EBD" w:rsidTr="008A08B8">
        <w:tc>
          <w:tcPr>
            <w:tcW w:w="3770" w:type="pct"/>
            <w:gridSpan w:val="3"/>
            <w:vAlign w:val="center"/>
          </w:tcPr>
          <w:p w:rsidR="00442B62" w:rsidRPr="00DE6EBD" w:rsidRDefault="00442B62" w:rsidP="00442B62">
            <w:pPr>
              <w:jc w:val="left"/>
              <w:rPr>
                <w:rFonts w:ascii="Arial Narrow" w:hAnsi="Arial Narrow" w:cs="Times New Roman"/>
                <w:b/>
                <w:sz w:val="20"/>
              </w:rPr>
            </w:pPr>
            <w:r w:rsidRPr="00DE6EBD">
              <w:rPr>
                <w:rFonts w:ascii="Arial Narrow" w:hAnsi="Arial Narrow" w:cs="Times New Roman"/>
                <w:b/>
                <w:sz w:val="20"/>
              </w:rPr>
              <w:t>Incremental cost/extra QALY gained</w:t>
            </w:r>
          </w:p>
        </w:tc>
        <w:tc>
          <w:tcPr>
            <w:tcW w:w="1230" w:type="pct"/>
          </w:tcPr>
          <w:p w:rsidR="00442B62" w:rsidRPr="00DE6EBD" w:rsidRDefault="00442B62" w:rsidP="00442B62">
            <w:pPr>
              <w:jc w:val="center"/>
              <w:rPr>
                <w:rFonts w:ascii="Arial Narrow" w:hAnsi="Arial Narrow" w:cs="Times New Roman"/>
                <w:b/>
                <w:sz w:val="20"/>
              </w:rPr>
            </w:pPr>
            <w:r w:rsidRPr="00DE6EBD">
              <w:rPr>
                <w:rFonts w:ascii="Arial Narrow" w:hAnsi="Arial Narrow" w:cs="Times New Roman"/>
                <w:b/>
                <w:sz w:val="20"/>
              </w:rPr>
              <w:t>$</w:t>
            </w:r>
            <w:r w:rsidR="001B4E17">
              <w:rPr>
                <w:rFonts w:ascii="Arial Narrow" w:hAnsi="Arial Narrow" w:cs="Times New Roman"/>
                <w:b/>
                <w:noProof/>
                <w:color w:val="000000"/>
                <w:sz w:val="20"/>
                <w:highlight w:val="black"/>
              </w:rPr>
              <w:t>'''''''''''''</w:t>
            </w:r>
          </w:p>
        </w:tc>
      </w:tr>
      <w:tr w:rsidR="00442B62" w:rsidRPr="00DE6EBD" w:rsidTr="008A08B8">
        <w:tc>
          <w:tcPr>
            <w:tcW w:w="5000" w:type="pct"/>
            <w:gridSpan w:val="4"/>
            <w:vAlign w:val="center"/>
          </w:tcPr>
          <w:p w:rsidR="00442B62" w:rsidRPr="00DE6EBD" w:rsidRDefault="00442B62" w:rsidP="00442B62">
            <w:pPr>
              <w:keepNext/>
              <w:jc w:val="left"/>
              <w:rPr>
                <w:rFonts w:ascii="Arial Narrow" w:hAnsi="Arial Narrow" w:cs="Arial Narrow"/>
                <w:b/>
                <w:bCs/>
                <w:sz w:val="20"/>
              </w:rPr>
            </w:pPr>
            <w:r w:rsidRPr="00DE6EBD">
              <w:rPr>
                <w:rFonts w:ascii="Arial Narrow" w:hAnsi="Arial Narrow" w:cs="Arial Narrow"/>
                <w:b/>
                <w:bCs/>
                <w:sz w:val="20"/>
              </w:rPr>
              <w:t>November 2011 submission</w:t>
            </w:r>
          </w:p>
        </w:tc>
      </w:tr>
      <w:tr w:rsidR="00442B62" w:rsidRPr="00DE6EBD" w:rsidTr="008A08B8">
        <w:tc>
          <w:tcPr>
            <w:tcW w:w="919" w:type="pct"/>
            <w:vAlign w:val="center"/>
          </w:tcPr>
          <w:p w:rsidR="00442B62" w:rsidRPr="00DE6EBD" w:rsidRDefault="00442B62" w:rsidP="00442B62">
            <w:pPr>
              <w:jc w:val="left"/>
              <w:rPr>
                <w:rFonts w:ascii="Arial Narrow" w:hAnsi="Arial Narrow" w:cs="Times New Roman"/>
                <w:sz w:val="20"/>
              </w:rPr>
            </w:pPr>
            <w:r w:rsidRPr="00DE6EBD">
              <w:rPr>
                <w:rFonts w:ascii="Arial Narrow" w:hAnsi="Arial Narrow" w:cs="Times New Roman"/>
                <w:sz w:val="20"/>
              </w:rPr>
              <w:t>Costs</w:t>
            </w:r>
          </w:p>
        </w:tc>
        <w:tc>
          <w:tcPr>
            <w:tcW w:w="1425" w:type="pct"/>
          </w:tcPr>
          <w:p w:rsidR="00442B62" w:rsidRPr="00DE6EBD" w:rsidRDefault="00442B62" w:rsidP="00442B62">
            <w:pPr>
              <w:jc w:val="center"/>
              <w:rPr>
                <w:rFonts w:ascii="Arial Narrow" w:hAnsi="Arial Narrow" w:cs="Times New Roman"/>
                <w:sz w:val="20"/>
              </w:rPr>
            </w:pPr>
            <w:r w:rsidRPr="00DE6EBD">
              <w:rPr>
                <w:rFonts w:ascii="Arial Narrow" w:hAnsi="Arial Narrow" w:cs="Times New Roman"/>
                <w:sz w:val="20"/>
              </w:rPr>
              <w:t>$</w:t>
            </w:r>
            <w:r w:rsidR="001B4E17">
              <w:rPr>
                <w:rFonts w:ascii="Arial Narrow" w:hAnsi="Arial Narrow" w:cs="Times New Roman"/>
                <w:noProof/>
                <w:color w:val="000000"/>
                <w:sz w:val="20"/>
                <w:highlight w:val="black"/>
              </w:rPr>
              <w:t>'''''''''''''''''''''</w:t>
            </w:r>
          </w:p>
        </w:tc>
        <w:tc>
          <w:tcPr>
            <w:tcW w:w="1426" w:type="pct"/>
          </w:tcPr>
          <w:p w:rsidR="00442B62" w:rsidRPr="00DE6EBD" w:rsidRDefault="00442B62" w:rsidP="00442B62">
            <w:pPr>
              <w:jc w:val="center"/>
              <w:rPr>
                <w:rFonts w:ascii="Arial Narrow" w:hAnsi="Arial Narrow" w:cs="Times New Roman"/>
                <w:sz w:val="20"/>
              </w:rPr>
            </w:pPr>
            <w:r w:rsidRPr="00DE6EBD">
              <w:rPr>
                <w:rFonts w:ascii="Arial Narrow" w:hAnsi="Arial Narrow" w:cs="Times New Roman"/>
                <w:sz w:val="20"/>
              </w:rPr>
              <w:t>$</w:t>
            </w:r>
            <w:r w:rsidR="001B4E17">
              <w:rPr>
                <w:rFonts w:ascii="Arial Narrow" w:hAnsi="Arial Narrow" w:cs="Times New Roman"/>
                <w:noProof/>
                <w:color w:val="000000"/>
                <w:sz w:val="20"/>
                <w:highlight w:val="black"/>
              </w:rPr>
              <w:t>''''''''''''''''''''</w:t>
            </w:r>
          </w:p>
        </w:tc>
        <w:tc>
          <w:tcPr>
            <w:tcW w:w="1230" w:type="pct"/>
          </w:tcPr>
          <w:p w:rsidR="00442B62" w:rsidRPr="00DE6EBD" w:rsidRDefault="00442B62" w:rsidP="00442B62">
            <w:pPr>
              <w:widowControl/>
              <w:autoSpaceDE w:val="0"/>
              <w:autoSpaceDN w:val="0"/>
              <w:adjustRightInd w:val="0"/>
              <w:jc w:val="center"/>
              <w:rPr>
                <w:rFonts w:ascii="Arial Narrow" w:hAnsi="Arial Narrow" w:cs="Times New Roman"/>
                <w:sz w:val="20"/>
              </w:rPr>
            </w:pPr>
            <w:r w:rsidRPr="00DE6EBD">
              <w:rPr>
                <w:rFonts w:ascii="Arial Narrow" w:hAnsi="Arial Narrow" w:cs="Times New Roman"/>
                <w:sz w:val="20"/>
              </w:rPr>
              <w:t>$</w:t>
            </w:r>
            <w:r w:rsidR="001B4E17">
              <w:rPr>
                <w:rFonts w:ascii="Arial Narrow" w:hAnsi="Arial Narrow" w:cs="Times New Roman"/>
                <w:noProof/>
                <w:color w:val="000000"/>
                <w:sz w:val="20"/>
                <w:highlight w:val="black"/>
              </w:rPr>
              <w:t>'''''''''''''</w:t>
            </w:r>
          </w:p>
        </w:tc>
      </w:tr>
      <w:tr w:rsidR="00442B62" w:rsidRPr="00DE6EBD" w:rsidTr="008A08B8">
        <w:tc>
          <w:tcPr>
            <w:tcW w:w="919" w:type="pct"/>
            <w:vAlign w:val="center"/>
          </w:tcPr>
          <w:p w:rsidR="00442B62" w:rsidRPr="00DE6EBD" w:rsidRDefault="00442B62" w:rsidP="00442B62">
            <w:pPr>
              <w:jc w:val="left"/>
              <w:rPr>
                <w:rFonts w:ascii="Arial Narrow" w:hAnsi="Arial Narrow" w:cs="Times New Roman"/>
                <w:sz w:val="20"/>
              </w:rPr>
            </w:pPr>
            <w:r w:rsidRPr="00DE6EBD">
              <w:rPr>
                <w:rFonts w:ascii="Arial Narrow" w:hAnsi="Arial Narrow" w:cs="Times New Roman"/>
                <w:sz w:val="20"/>
              </w:rPr>
              <w:t>LY</w:t>
            </w:r>
          </w:p>
        </w:tc>
        <w:tc>
          <w:tcPr>
            <w:tcW w:w="1425" w:type="pct"/>
          </w:tcPr>
          <w:p w:rsidR="00442B62" w:rsidRPr="00DE6EBD" w:rsidRDefault="00442B62" w:rsidP="00442B62">
            <w:pPr>
              <w:jc w:val="center"/>
              <w:rPr>
                <w:rFonts w:ascii="Arial Narrow" w:hAnsi="Arial Narrow" w:cs="Times New Roman"/>
                <w:sz w:val="20"/>
              </w:rPr>
            </w:pPr>
            <w:r w:rsidRPr="00DE6EBD">
              <w:rPr>
                <w:rFonts w:ascii="Arial Narrow" w:hAnsi="Arial Narrow" w:cs="Times New Roman"/>
                <w:sz w:val="20"/>
              </w:rPr>
              <w:t>0.849</w:t>
            </w:r>
          </w:p>
        </w:tc>
        <w:tc>
          <w:tcPr>
            <w:tcW w:w="1426" w:type="pct"/>
          </w:tcPr>
          <w:p w:rsidR="00442B62" w:rsidRPr="00DE6EBD" w:rsidRDefault="00442B62" w:rsidP="00442B62">
            <w:pPr>
              <w:jc w:val="center"/>
              <w:rPr>
                <w:rFonts w:ascii="Arial Narrow" w:hAnsi="Arial Narrow" w:cs="Times New Roman"/>
                <w:sz w:val="20"/>
              </w:rPr>
            </w:pPr>
            <w:r w:rsidRPr="00DE6EBD">
              <w:rPr>
                <w:rFonts w:ascii="Arial Narrow" w:hAnsi="Arial Narrow" w:cs="Times New Roman"/>
                <w:sz w:val="20"/>
              </w:rPr>
              <w:t>0.643</w:t>
            </w:r>
          </w:p>
        </w:tc>
        <w:tc>
          <w:tcPr>
            <w:tcW w:w="1230" w:type="pct"/>
          </w:tcPr>
          <w:p w:rsidR="00442B62" w:rsidRPr="00DE6EBD" w:rsidRDefault="00442B62" w:rsidP="00442B62">
            <w:pPr>
              <w:jc w:val="center"/>
              <w:rPr>
                <w:rFonts w:ascii="Arial Narrow" w:hAnsi="Arial Narrow" w:cs="Times New Roman"/>
                <w:sz w:val="20"/>
              </w:rPr>
            </w:pPr>
            <w:r w:rsidRPr="00DE6EBD">
              <w:rPr>
                <w:rFonts w:ascii="Arial Narrow" w:hAnsi="Arial Narrow" w:cs="Times New Roman"/>
                <w:sz w:val="20"/>
              </w:rPr>
              <w:t>0.207</w:t>
            </w:r>
          </w:p>
        </w:tc>
      </w:tr>
      <w:tr w:rsidR="00442B62" w:rsidRPr="00DE6EBD" w:rsidTr="008A08B8">
        <w:tc>
          <w:tcPr>
            <w:tcW w:w="919" w:type="pct"/>
            <w:vAlign w:val="center"/>
          </w:tcPr>
          <w:p w:rsidR="00442B62" w:rsidRPr="00DE6EBD" w:rsidRDefault="00442B62" w:rsidP="00442B62">
            <w:pPr>
              <w:jc w:val="left"/>
              <w:rPr>
                <w:rFonts w:ascii="Arial Narrow" w:hAnsi="Arial Narrow" w:cs="Times New Roman"/>
                <w:sz w:val="20"/>
              </w:rPr>
            </w:pPr>
            <w:r w:rsidRPr="00DE6EBD">
              <w:rPr>
                <w:rFonts w:ascii="Arial Narrow" w:hAnsi="Arial Narrow" w:cs="Times New Roman"/>
                <w:sz w:val="20"/>
              </w:rPr>
              <w:t>QALY</w:t>
            </w:r>
          </w:p>
        </w:tc>
        <w:tc>
          <w:tcPr>
            <w:tcW w:w="1425" w:type="pct"/>
          </w:tcPr>
          <w:p w:rsidR="00442B62" w:rsidRPr="00DE6EBD" w:rsidRDefault="00442B62" w:rsidP="00442B62">
            <w:pPr>
              <w:jc w:val="center"/>
              <w:rPr>
                <w:rFonts w:ascii="Arial Narrow" w:hAnsi="Arial Narrow" w:cs="Times New Roman"/>
                <w:sz w:val="20"/>
              </w:rPr>
            </w:pPr>
            <w:r w:rsidRPr="00DE6EBD">
              <w:rPr>
                <w:rFonts w:ascii="Arial Narrow" w:hAnsi="Arial Narrow" w:cs="Times New Roman"/>
                <w:sz w:val="20"/>
              </w:rPr>
              <w:t xml:space="preserve">0.495 </w:t>
            </w:r>
          </w:p>
        </w:tc>
        <w:tc>
          <w:tcPr>
            <w:tcW w:w="1426" w:type="pct"/>
          </w:tcPr>
          <w:p w:rsidR="00442B62" w:rsidRPr="00DE6EBD" w:rsidRDefault="00442B62" w:rsidP="00442B62">
            <w:pPr>
              <w:jc w:val="center"/>
              <w:rPr>
                <w:rFonts w:ascii="Arial Narrow" w:hAnsi="Arial Narrow" w:cs="Times New Roman"/>
                <w:sz w:val="20"/>
              </w:rPr>
            </w:pPr>
            <w:r w:rsidRPr="00DE6EBD">
              <w:rPr>
                <w:rFonts w:ascii="Arial Narrow" w:hAnsi="Arial Narrow" w:cs="Times New Roman"/>
                <w:sz w:val="20"/>
              </w:rPr>
              <w:t>0.380</w:t>
            </w:r>
          </w:p>
        </w:tc>
        <w:tc>
          <w:tcPr>
            <w:tcW w:w="1230" w:type="pct"/>
          </w:tcPr>
          <w:p w:rsidR="00442B62" w:rsidRPr="00DE6EBD" w:rsidRDefault="00442B62" w:rsidP="00442B62">
            <w:pPr>
              <w:jc w:val="center"/>
              <w:rPr>
                <w:rFonts w:ascii="Arial Narrow" w:hAnsi="Arial Narrow" w:cs="Times New Roman"/>
                <w:sz w:val="20"/>
              </w:rPr>
            </w:pPr>
            <w:r w:rsidRPr="00DE6EBD">
              <w:rPr>
                <w:rFonts w:ascii="Arial Narrow" w:hAnsi="Arial Narrow" w:cs="Times New Roman"/>
                <w:sz w:val="20"/>
              </w:rPr>
              <w:t>0.115</w:t>
            </w:r>
          </w:p>
        </w:tc>
      </w:tr>
      <w:tr w:rsidR="00442B62" w:rsidRPr="00DE6EBD" w:rsidTr="008A08B8">
        <w:tc>
          <w:tcPr>
            <w:tcW w:w="3770" w:type="pct"/>
            <w:gridSpan w:val="3"/>
            <w:vAlign w:val="center"/>
          </w:tcPr>
          <w:p w:rsidR="00442B62" w:rsidRPr="00DE6EBD" w:rsidRDefault="00442B62" w:rsidP="00442B62">
            <w:pPr>
              <w:jc w:val="left"/>
              <w:rPr>
                <w:rFonts w:ascii="Arial Narrow" w:hAnsi="Arial Narrow" w:cs="Times New Roman"/>
                <w:b/>
                <w:sz w:val="20"/>
              </w:rPr>
            </w:pPr>
            <w:r w:rsidRPr="00DE6EBD">
              <w:rPr>
                <w:rFonts w:ascii="Arial Narrow" w:hAnsi="Arial Narrow" w:cs="Times New Roman"/>
                <w:b/>
                <w:sz w:val="20"/>
              </w:rPr>
              <w:t>Incremental cost/extra LY gained</w:t>
            </w:r>
          </w:p>
        </w:tc>
        <w:tc>
          <w:tcPr>
            <w:tcW w:w="1230" w:type="pct"/>
          </w:tcPr>
          <w:p w:rsidR="00442B62" w:rsidRPr="00DE6EBD" w:rsidRDefault="00442B62" w:rsidP="00442B62">
            <w:pPr>
              <w:jc w:val="center"/>
              <w:rPr>
                <w:rFonts w:ascii="Arial Narrow" w:hAnsi="Arial Narrow" w:cs="Times New Roman"/>
                <w:b/>
                <w:sz w:val="20"/>
              </w:rPr>
            </w:pPr>
            <w:r w:rsidRPr="00DE6EBD">
              <w:rPr>
                <w:rFonts w:ascii="Arial Narrow" w:hAnsi="Arial Narrow" w:cs="Times New Roman"/>
                <w:b/>
                <w:sz w:val="20"/>
              </w:rPr>
              <w:t>$</w:t>
            </w:r>
            <w:r w:rsidR="001B4E17">
              <w:rPr>
                <w:rFonts w:ascii="Arial Narrow" w:hAnsi="Arial Narrow" w:cs="Times New Roman"/>
                <w:b/>
                <w:noProof/>
                <w:color w:val="000000"/>
                <w:sz w:val="20"/>
                <w:highlight w:val="black"/>
              </w:rPr>
              <w:t>'''''''''''''</w:t>
            </w:r>
          </w:p>
        </w:tc>
      </w:tr>
      <w:tr w:rsidR="00442B62" w:rsidRPr="00DE6EBD" w:rsidTr="008A08B8">
        <w:tc>
          <w:tcPr>
            <w:tcW w:w="3770" w:type="pct"/>
            <w:gridSpan w:val="3"/>
            <w:vAlign w:val="center"/>
          </w:tcPr>
          <w:p w:rsidR="00442B62" w:rsidRPr="00DE6EBD" w:rsidRDefault="00442B62" w:rsidP="00442B62">
            <w:pPr>
              <w:jc w:val="left"/>
              <w:rPr>
                <w:rFonts w:ascii="Arial Narrow" w:hAnsi="Arial Narrow" w:cs="Times New Roman"/>
                <w:b/>
                <w:sz w:val="20"/>
              </w:rPr>
            </w:pPr>
            <w:r w:rsidRPr="00DE6EBD">
              <w:rPr>
                <w:rFonts w:ascii="Arial Narrow" w:hAnsi="Arial Narrow" w:cs="Times New Roman"/>
                <w:b/>
                <w:sz w:val="20"/>
              </w:rPr>
              <w:t>Incremental cost/extra QALY gained</w:t>
            </w:r>
          </w:p>
        </w:tc>
        <w:tc>
          <w:tcPr>
            <w:tcW w:w="1230" w:type="pct"/>
          </w:tcPr>
          <w:p w:rsidR="00442B62" w:rsidRPr="00DE6EBD" w:rsidRDefault="00442B62" w:rsidP="00442B62">
            <w:pPr>
              <w:jc w:val="center"/>
              <w:rPr>
                <w:rFonts w:ascii="Arial Narrow" w:hAnsi="Arial Narrow" w:cs="Times New Roman"/>
                <w:b/>
                <w:sz w:val="20"/>
              </w:rPr>
            </w:pPr>
            <w:r w:rsidRPr="00DE6EBD">
              <w:rPr>
                <w:rFonts w:ascii="Arial Narrow" w:hAnsi="Arial Narrow" w:cs="Times New Roman"/>
                <w:b/>
                <w:sz w:val="20"/>
              </w:rPr>
              <w:t>$</w:t>
            </w:r>
            <w:r w:rsidR="001B4E17">
              <w:rPr>
                <w:rFonts w:ascii="Arial Narrow" w:hAnsi="Arial Narrow" w:cs="Times New Roman"/>
                <w:b/>
                <w:noProof/>
                <w:color w:val="000000"/>
                <w:sz w:val="20"/>
                <w:highlight w:val="black"/>
              </w:rPr>
              <w:t>'''''''''''''</w:t>
            </w:r>
          </w:p>
        </w:tc>
      </w:tr>
    </w:tbl>
    <w:p w:rsidR="00442B62" w:rsidRPr="00DE6EBD" w:rsidRDefault="00442B62" w:rsidP="00442B62">
      <w:pPr>
        <w:ind w:left="709" w:firstLine="11"/>
        <w:rPr>
          <w:rFonts w:ascii="Arial Narrow" w:hAnsi="Arial Narrow"/>
          <w:sz w:val="18"/>
        </w:rPr>
      </w:pPr>
      <w:r w:rsidRPr="00DE6EBD">
        <w:rPr>
          <w:rFonts w:ascii="Arial Narrow" w:hAnsi="Arial Narrow"/>
          <w:sz w:val="18"/>
        </w:rPr>
        <w:t>Source: Table D.5.3, of the commentary. Abbreviations: LY, life years; QALY, quality of life years; BSC, best supportive care; PRT, palliative radiotherapy; AEs, adverse events.</w:t>
      </w:r>
    </w:p>
    <w:p w:rsidR="00442B62" w:rsidRPr="00DE6EBD" w:rsidRDefault="00442B62" w:rsidP="00442B62">
      <w:pPr>
        <w:widowControl/>
        <w:ind w:left="720"/>
        <w:contextualSpacing/>
        <w:rPr>
          <w:szCs w:val="22"/>
        </w:rPr>
      </w:pPr>
    </w:p>
    <w:p w:rsidR="007A3FB9" w:rsidRPr="007A3FB9" w:rsidRDefault="007A3FB9" w:rsidP="007A3FB9">
      <w:pPr>
        <w:widowControl/>
        <w:ind w:left="720"/>
        <w:contextualSpacing/>
        <w:rPr>
          <w:i/>
          <w:szCs w:val="22"/>
        </w:rPr>
      </w:pPr>
      <w:r>
        <w:rPr>
          <w:i/>
          <w:szCs w:val="22"/>
        </w:rPr>
        <w:t>The redacted table above shows a base case incremental cost of $45,000 - $75,000 per extra quality adjusted life years (QALY) gained.</w:t>
      </w:r>
    </w:p>
    <w:p w:rsidR="007A3FB9" w:rsidRDefault="007A3FB9" w:rsidP="007A3FB9">
      <w:pPr>
        <w:widowControl/>
        <w:ind w:left="720"/>
        <w:contextualSpacing/>
        <w:rPr>
          <w:szCs w:val="22"/>
        </w:rPr>
      </w:pPr>
    </w:p>
    <w:p w:rsidR="00BF3C19" w:rsidRDefault="00442B62" w:rsidP="00BF3C19">
      <w:pPr>
        <w:widowControl/>
        <w:numPr>
          <w:ilvl w:val="1"/>
          <w:numId w:val="2"/>
        </w:numPr>
        <w:contextualSpacing/>
        <w:rPr>
          <w:szCs w:val="22"/>
        </w:rPr>
      </w:pPr>
      <w:r w:rsidRPr="00DE6EBD">
        <w:rPr>
          <w:szCs w:val="22"/>
        </w:rPr>
        <w:t xml:space="preserve">The incremental LYG for the </w:t>
      </w:r>
      <w:proofErr w:type="spellStart"/>
      <w:r w:rsidRPr="00DE6EBD">
        <w:rPr>
          <w:szCs w:val="22"/>
        </w:rPr>
        <w:t>mITT</w:t>
      </w:r>
      <w:proofErr w:type="spellEnd"/>
      <w:r w:rsidRPr="00DE6EBD">
        <w:rPr>
          <w:szCs w:val="22"/>
        </w:rPr>
        <w:t xml:space="preserve"> population (Step 2, 0.2159) was almost double that for the ITT population (Step 1, 0.11), and consequently the cost/LYG was approximately halved for the </w:t>
      </w:r>
      <w:proofErr w:type="spellStart"/>
      <w:r w:rsidRPr="00DE6EBD">
        <w:rPr>
          <w:szCs w:val="22"/>
        </w:rPr>
        <w:t>mITT</w:t>
      </w:r>
      <w:proofErr w:type="spellEnd"/>
      <w:r w:rsidRPr="00DE6EBD">
        <w:rPr>
          <w:szCs w:val="22"/>
        </w:rPr>
        <w:t xml:space="preserve"> population ($</w:t>
      </w:r>
      <w:r w:rsidR="001B4E17">
        <w:rPr>
          <w:noProof/>
          <w:color w:val="000000"/>
          <w:szCs w:val="22"/>
          <w:highlight w:val="black"/>
        </w:rPr>
        <w:t>''''''''''''''''</w:t>
      </w:r>
      <w:r w:rsidRPr="00DE6EBD">
        <w:rPr>
          <w:szCs w:val="22"/>
        </w:rPr>
        <w:t xml:space="preserve"> vs $</w:t>
      </w:r>
      <w:r w:rsidR="001B4E17">
        <w:rPr>
          <w:noProof/>
          <w:color w:val="000000"/>
          <w:szCs w:val="22"/>
          <w:highlight w:val="black"/>
        </w:rPr>
        <w:t>''''''''''''''''''</w:t>
      </w:r>
      <w:r w:rsidRPr="00DE6EBD">
        <w:rPr>
          <w:szCs w:val="22"/>
        </w:rPr>
        <w:t>).</w:t>
      </w:r>
    </w:p>
    <w:p w:rsidR="00BF3C19" w:rsidRDefault="00442B62" w:rsidP="00BF3C19">
      <w:pPr>
        <w:widowControl/>
        <w:ind w:left="720"/>
        <w:contextualSpacing/>
        <w:rPr>
          <w:szCs w:val="22"/>
        </w:rPr>
      </w:pPr>
      <w:r w:rsidRPr="00DE6EBD">
        <w:rPr>
          <w:szCs w:val="22"/>
        </w:rPr>
        <w:t xml:space="preserve"> </w:t>
      </w:r>
    </w:p>
    <w:p w:rsidR="00293528" w:rsidRPr="00BF3C19" w:rsidRDefault="00442B62" w:rsidP="00422A51">
      <w:pPr>
        <w:widowControl/>
        <w:numPr>
          <w:ilvl w:val="1"/>
          <w:numId w:val="2"/>
        </w:numPr>
        <w:contextualSpacing/>
        <w:rPr>
          <w:szCs w:val="22"/>
        </w:rPr>
      </w:pPr>
      <w:r w:rsidRPr="00BF3C19">
        <w:rPr>
          <w:szCs w:val="22"/>
        </w:rPr>
        <w:t xml:space="preserve">The cost/LYG </w:t>
      </w:r>
      <w:r w:rsidR="003F5A2E" w:rsidRPr="00BF3C19">
        <w:rPr>
          <w:szCs w:val="22"/>
        </w:rPr>
        <w:t>in the resubmission ($</w:t>
      </w:r>
      <w:r w:rsidR="001B4E17">
        <w:rPr>
          <w:noProof/>
          <w:color w:val="000000"/>
          <w:szCs w:val="22"/>
          <w:highlight w:val="black"/>
        </w:rPr>
        <w:t>''''''''''''''''</w:t>
      </w:r>
      <w:r w:rsidR="003F5A2E" w:rsidRPr="00BF3C19">
        <w:rPr>
          <w:szCs w:val="22"/>
        </w:rPr>
        <w:t>) wa</w:t>
      </w:r>
      <w:r w:rsidRPr="00BF3C19">
        <w:rPr>
          <w:szCs w:val="22"/>
        </w:rPr>
        <w:t>s higher than in the 2011 submission ($</w:t>
      </w:r>
      <w:r w:rsidR="001B4E17">
        <w:rPr>
          <w:noProof/>
          <w:color w:val="000000"/>
          <w:szCs w:val="22"/>
          <w:highlight w:val="black"/>
        </w:rPr>
        <w:t>''''''''''''''''</w:t>
      </w:r>
      <w:r w:rsidRPr="00BF3C19">
        <w:rPr>
          <w:szCs w:val="22"/>
        </w:rPr>
        <w:t>) primarily due</w:t>
      </w:r>
      <w:r w:rsidR="00BF3C19" w:rsidRPr="00BF3C19">
        <w:rPr>
          <w:szCs w:val="22"/>
        </w:rPr>
        <w:t xml:space="preserve"> to the higher incremental cost</w:t>
      </w:r>
      <w:r w:rsidRPr="00BF3C19">
        <w:rPr>
          <w:szCs w:val="22"/>
        </w:rPr>
        <w:t>. The cost/QALYG in t</w:t>
      </w:r>
      <w:r w:rsidR="003F5A2E" w:rsidRPr="00BF3C19">
        <w:rPr>
          <w:szCs w:val="22"/>
        </w:rPr>
        <w:t>he re-submission</w:t>
      </w:r>
      <w:r w:rsidR="00B75749" w:rsidRPr="00BF3C19">
        <w:rPr>
          <w:szCs w:val="22"/>
        </w:rPr>
        <w:t xml:space="preserve"> </w:t>
      </w:r>
      <w:r w:rsidR="00903BD7">
        <w:rPr>
          <w:szCs w:val="22"/>
        </w:rPr>
        <w:t>(</w:t>
      </w:r>
      <w:r w:rsidR="00E97441">
        <w:rPr>
          <w:rFonts w:cs="Times New Roman"/>
          <w:szCs w:val="24"/>
        </w:rPr>
        <w:t>$45,000 – $75,000</w:t>
      </w:r>
      <w:r w:rsidR="003F5A2E" w:rsidRPr="00BF3C19">
        <w:rPr>
          <w:szCs w:val="22"/>
        </w:rPr>
        <w:t>) wa</w:t>
      </w:r>
      <w:r w:rsidRPr="00BF3C19">
        <w:rPr>
          <w:szCs w:val="22"/>
        </w:rPr>
        <w:t>s substantially lower than in the 2011 submission ($</w:t>
      </w:r>
      <w:r w:rsidR="001B4E17">
        <w:rPr>
          <w:noProof/>
          <w:color w:val="000000"/>
          <w:szCs w:val="22"/>
          <w:highlight w:val="black"/>
        </w:rPr>
        <w:t>''''''''''''''''''</w:t>
      </w:r>
      <w:r w:rsidRPr="00BF3C19">
        <w:rPr>
          <w:szCs w:val="22"/>
        </w:rPr>
        <w:t xml:space="preserve">) due to the higher utility values for the PFS (0.75/0.78 vs 0.61/0.64) and the progressive disease period (0.71 vs 0.56). </w:t>
      </w:r>
    </w:p>
    <w:p w:rsidR="00293528" w:rsidRPr="00DE6EBD" w:rsidRDefault="00293528" w:rsidP="00293528">
      <w:pPr>
        <w:pStyle w:val="ListParagraph"/>
        <w:rPr>
          <w:szCs w:val="22"/>
        </w:rPr>
      </w:pPr>
    </w:p>
    <w:p w:rsidR="00442B62" w:rsidRPr="00DE6EBD" w:rsidRDefault="00442B62" w:rsidP="00422A51">
      <w:pPr>
        <w:widowControl/>
        <w:numPr>
          <w:ilvl w:val="1"/>
          <w:numId w:val="2"/>
        </w:numPr>
        <w:contextualSpacing/>
        <w:rPr>
          <w:szCs w:val="22"/>
        </w:rPr>
      </w:pPr>
      <w:r w:rsidRPr="00DE6EBD">
        <w:rPr>
          <w:szCs w:val="22"/>
        </w:rPr>
        <w:t xml:space="preserve">The sensitivity analyses indicated that the ICER is most sensitive to: </w:t>
      </w:r>
    </w:p>
    <w:p w:rsidR="00442B62" w:rsidRPr="00DE6EBD" w:rsidRDefault="00442B62" w:rsidP="00422A51">
      <w:pPr>
        <w:widowControl/>
        <w:numPr>
          <w:ilvl w:val="0"/>
          <w:numId w:val="1"/>
        </w:numPr>
        <w:ind w:left="993" w:hanging="284"/>
        <w:contextualSpacing/>
        <w:rPr>
          <w:szCs w:val="22"/>
        </w:rPr>
      </w:pPr>
      <w:r w:rsidRPr="00DE6EBD">
        <w:rPr>
          <w:szCs w:val="22"/>
        </w:rPr>
        <w:lastRenderedPageBreak/>
        <w:t xml:space="preserve">The Study 302 population. Use of the ITT population rather than the </w:t>
      </w:r>
      <w:proofErr w:type="spellStart"/>
      <w:r w:rsidRPr="00DE6EBD">
        <w:rPr>
          <w:szCs w:val="22"/>
        </w:rPr>
        <w:t>mITT</w:t>
      </w:r>
      <w:proofErr w:type="spellEnd"/>
      <w:r w:rsidRPr="00DE6EBD">
        <w:rPr>
          <w:szCs w:val="22"/>
        </w:rPr>
        <w:t xml:space="preserve"> population</w:t>
      </w:r>
      <w:r w:rsidR="00903BD7">
        <w:rPr>
          <w:szCs w:val="22"/>
        </w:rPr>
        <w:t xml:space="preserve"> increased the cost/QALYG from</w:t>
      </w:r>
      <w:r w:rsidR="00BF3C19" w:rsidRPr="00BF3C19">
        <w:rPr>
          <w:szCs w:val="22"/>
        </w:rPr>
        <w:t xml:space="preserve"> </w:t>
      </w:r>
      <w:r w:rsidR="00E97441">
        <w:rPr>
          <w:rFonts w:cs="Times New Roman"/>
          <w:i/>
          <w:szCs w:val="24"/>
        </w:rPr>
        <w:t>$45,000</w:t>
      </w:r>
      <w:r w:rsidR="00BF3C19" w:rsidRPr="00BF3C19">
        <w:rPr>
          <w:rFonts w:cs="Times New Roman"/>
          <w:i/>
          <w:szCs w:val="24"/>
        </w:rPr>
        <w:t xml:space="preserve"> – $75,000</w:t>
      </w:r>
      <w:r w:rsidRPr="00DE6EBD">
        <w:rPr>
          <w:szCs w:val="22"/>
        </w:rPr>
        <w:t xml:space="preserve"> to </w:t>
      </w:r>
      <w:r w:rsidR="00E97441">
        <w:rPr>
          <w:szCs w:val="22"/>
        </w:rPr>
        <w:t>$75,000</w:t>
      </w:r>
      <w:r w:rsidR="00BF3C19" w:rsidRPr="00BF3C19">
        <w:rPr>
          <w:szCs w:val="22"/>
        </w:rPr>
        <w:t xml:space="preserve"> - $105,000</w:t>
      </w:r>
      <w:r w:rsidRPr="00DE6EBD">
        <w:rPr>
          <w:szCs w:val="22"/>
        </w:rPr>
        <w:t>.</w:t>
      </w:r>
    </w:p>
    <w:p w:rsidR="00442B62" w:rsidRPr="00DE6EBD" w:rsidRDefault="00442B62" w:rsidP="00422A51">
      <w:pPr>
        <w:widowControl/>
        <w:numPr>
          <w:ilvl w:val="0"/>
          <w:numId w:val="1"/>
        </w:numPr>
        <w:ind w:left="993" w:hanging="284"/>
        <w:contextualSpacing/>
        <w:rPr>
          <w:szCs w:val="22"/>
        </w:rPr>
      </w:pPr>
      <w:r w:rsidRPr="00DE6EBD">
        <w:rPr>
          <w:szCs w:val="22"/>
        </w:rPr>
        <w:t xml:space="preserve">The average number of </w:t>
      </w:r>
      <w:proofErr w:type="spellStart"/>
      <w:r w:rsidRPr="00DE6EBD">
        <w:rPr>
          <w:szCs w:val="22"/>
        </w:rPr>
        <w:t>vinflunine</w:t>
      </w:r>
      <w:proofErr w:type="spellEnd"/>
      <w:r w:rsidRPr="00DE6EBD">
        <w:rPr>
          <w:szCs w:val="22"/>
        </w:rPr>
        <w:t xml:space="preserve"> cycles. Reducing the average number of cycles from 4.2 </w:t>
      </w:r>
      <w:r w:rsidR="00903BD7">
        <w:rPr>
          <w:szCs w:val="22"/>
        </w:rPr>
        <w:t>to 3 reduced the cost/QALYG to</w:t>
      </w:r>
      <w:r w:rsidR="00BF3C19" w:rsidRPr="00BF3C19">
        <w:rPr>
          <w:szCs w:val="22"/>
        </w:rPr>
        <w:t xml:space="preserve"> </w:t>
      </w:r>
      <w:r w:rsidR="00BF3C19">
        <w:rPr>
          <w:szCs w:val="22"/>
        </w:rPr>
        <w:t>$15,000 - $45,000</w:t>
      </w:r>
      <w:r w:rsidRPr="00DE6EBD">
        <w:rPr>
          <w:szCs w:val="22"/>
        </w:rPr>
        <w:t>. Increasing the average number of cycles to</w:t>
      </w:r>
      <w:r w:rsidR="00903BD7">
        <w:rPr>
          <w:szCs w:val="22"/>
        </w:rPr>
        <w:t xml:space="preserve"> 6 increased the cost/QALYG to </w:t>
      </w:r>
      <w:r w:rsidR="00BF3C19">
        <w:rPr>
          <w:szCs w:val="22"/>
        </w:rPr>
        <w:t>$75,000 - $105,000</w:t>
      </w:r>
      <w:r w:rsidRPr="00DE6EBD">
        <w:rPr>
          <w:szCs w:val="22"/>
        </w:rPr>
        <w:t>.</w:t>
      </w:r>
    </w:p>
    <w:p w:rsidR="00442B62" w:rsidRPr="00DE6EBD" w:rsidRDefault="00442B62" w:rsidP="00422A51">
      <w:pPr>
        <w:widowControl/>
        <w:numPr>
          <w:ilvl w:val="0"/>
          <w:numId w:val="1"/>
        </w:numPr>
        <w:ind w:left="993" w:hanging="284"/>
        <w:contextualSpacing/>
        <w:rPr>
          <w:szCs w:val="22"/>
        </w:rPr>
      </w:pPr>
      <w:r w:rsidRPr="00DE6EBD">
        <w:rPr>
          <w:szCs w:val="22"/>
        </w:rPr>
        <w:t xml:space="preserve">The cost of treating AEs. Doubling the cost of treating AEs associated with </w:t>
      </w:r>
      <w:proofErr w:type="spellStart"/>
      <w:r w:rsidRPr="00DE6EBD">
        <w:rPr>
          <w:szCs w:val="22"/>
        </w:rPr>
        <w:t>vinflunine</w:t>
      </w:r>
      <w:proofErr w:type="spellEnd"/>
      <w:r w:rsidRPr="00DE6EBD">
        <w:rPr>
          <w:szCs w:val="22"/>
        </w:rPr>
        <w:t xml:space="preserve"> + BSC (from $</w:t>
      </w:r>
      <w:r w:rsidR="001B4E17">
        <w:rPr>
          <w:noProof/>
          <w:color w:val="000000"/>
          <w:szCs w:val="22"/>
          <w:highlight w:val="black"/>
        </w:rPr>
        <w:t>'''''''''''''</w:t>
      </w:r>
      <w:r w:rsidRPr="00DE6EBD">
        <w:rPr>
          <w:szCs w:val="22"/>
        </w:rPr>
        <w:t xml:space="preserve"> to $</w:t>
      </w:r>
      <w:r w:rsidR="001B4E17">
        <w:rPr>
          <w:noProof/>
          <w:color w:val="000000"/>
          <w:szCs w:val="22"/>
          <w:highlight w:val="black"/>
        </w:rPr>
        <w:t>''''''''''''</w:t>
      </w:r>
      <w:r w:rsidRPr="00DE6EBD">
        <w:rPr>
          <w:szCs w:val="22"/>
        </w:rPr>
        <w:t>) but not changing the cost of treating BSC AEs ($</w:t>
      </w:r>
      <w:r w:rsidR="001B4E17">
        <w:rPr>
          <w:noProof/>
          <w:color w:val="000000"/>
          <w:szCs w:val="22"/>
          <w:highlight w:val="black"/>
        </w:rPr>
        <w:t>''''''''''''''</w:t>
      </w:r>
      <w:r w:rsidR="00903BD7">
        <w:rPr>
          <w:szCs w:val="22"/>
        </w:rPr>
        <w:t xml:space="preserve">), increased the cost/QALYG to </w:t>
      </w:r>
      <w:r w:rsidR="00BF3C19" w:rsidRPr="00BF3C19">
        <w:rPr>
          <w:rFonts w:cs="Times New Roman"/>
          <w:i/>
          <w:szCs w:val="24"/>
        </w:rPr>
        <w:t>$45,000– $75,000</w:t>
      </w:r>
      <w:r w:rsidRPr="00DE6EBD">
        <w:rPr>
          <w:szCs w:val="22"/>
        </w:rPr>
        <w:t>.</w:t>
      </w:r>
    </w:p>
    <w:p w:rsidR="00442B62" w:rsidRPr="00BF3C19" w:rsidRDefault="00442B62" w:rsidP="00BF3C19">
      <w:pPr>
        <w:widowControl/>
        <w:numPr>
          <w:ilvl w:val="0"/>
          <w:numId w:val="1"/>
        </w:numPr>
        <w:ind w:left="993" w:hanging="284"/>
        <w:contextualSpacing/>
        <w:rPr>
          <w:szCs w:val="22"/>
        </w:rPr>
      </w:pPr>
      <w:r w:rsidRPr="00DE6EBD">
        <w:rPr>
          <w:szCs w:val="22"/>
        </w:rPr>
        <w:t>The utility values used. Use of the utility values from the November 2011 submissi</w:t>
      </w:r>
      <w:r w:rsidR="00903BD7">
        <w:rPr>
          <w:szCs w:val="22"/>
        </w:rPr>
        <w:t xml:space="preserve">on increased the cost/QALYG to </w:t>
      </w:r>
      <w:r w:rsidR="00BF3C19" w:rsidRPr="00BF3C19">
        <w:rPr>
          <w:rFonts w:cs="Times New Roman"/>
          <w:i/>
          <w:szCs w:val="24"/>
        </w:rPr>
        <w:t>$45,000– $75,000</w:t>
      </w:r>
      <w:r w:rsidR="00BF3C19">
        <w:rPr>
          <w:rFonts w:cs="Times New Roman"/>
          <w:i/>
          <w:szCs w:val="24"/>
        </w:rPr>
        <w:t>.</w:t>
      </w:r>
    </w:p>
    <w:p w:rsidR="00BF3C19" w:rsidRPr="00DE6EBD" w:rsidRDefault="000A1E9C" w:rsidP="00BF3C19">
      <w:pPr>
        <w:widowControl/>
        <w:numPr>
          <w:ilvl w:val="0"/>
          <w:numId w:val="1"/>
        </w:numPr>
        <w:ind w:left="993" w:hanging="284"/>
        <w:contextualSpacing/>
        <w:rPr>
          <w:szCs w:val="22"/>
        </w:rPr>
      </w:pPr>
      <w:r w:rsidRPr="00DE6EBD">
        <w:rPr>
          <w:szCs w:val="22"/>
        </w:rPr>
        <w:t>The ESC considered pooling of utility data post-</w:t>
      </w:r>
      <w:r w:rsidR="00D56045" w:rsidRPr="00DE6EBD">
        <w:rPr>
          <w:szCs w:val="22"/>
        </w:rPr>
        <w:t>progression may</w:t>
      </w:r>
      <w:r w:rsidR="00BB67A4" w:rsidRPr="00DE6EBD">
        <w:rPr>
          <w:szCs w:val="22"/>
        </w:rPr>
        <w:t xml:space="preserve"> </w:t>
      </w:r>
      <w:r w:rsidR="00A72DAF" w:rsidRPr="00DE6EBD">
        <w:rPr>
          <w:szCs w:val="22"/>
        </w:rPr>
        <w:t xml:space="preserve">not </w:t>
      </w:r>
      <w:r w:rsidR="00BB67A4" w:rsidRPr="00DE6EBD">
        <w:rPr>
          <w:szCs w:val="22"/>
        </w:rPr>
        <w:t xml:space="preserve">be </w:t>
      </w:r>
      <w:r w:rsidRPr="00DE6EBD">
        <w:rPr>
          <w:szCs w:val="22"/>
        </w:rPr>
        <w:t>inappropriate</w:t>
      </w:r>
      <w:r w:rsidR="00A72DAF" w:rsidRPr="00DE6EBD">
        <w:rPr>
          <w:szCs w:val="22"/>
        </w:rPr>
        <w:t xml:space="preserve">, and in this case bias the results in favour of </w:t>
      </w:r>
      <w:proofErr w:type="spellStart"/>
      <w:r w:rsidR="00A72DAF" w:rsidRPr="00DE6EBD">
        <w:rPr>
          <w:szCs w:val="22"/>
        </w:rPr>
        <w:t>vinflunine</w:t>
      </w:r>
      <w:proofErr w:type="spellEnd"/>
      <w:r w:rsidRPr="00DE6EBD">
        <w:rPr>
          <w:szCs w:val="22"/>
        </w:rPr>
        <w:t xml:space="preserve">. Treatment-specific utility weights cause the ICER to increase to </w:t>
      </w:r>
      <w:r w:rsidR="00E97441" w:rsidRPr="00BF3C19">
        <w:rPr>
          <w:rFonts w:cs="Times New Roman"/>
          <w:i/>
          <w:szCs w:val="24"/>
        </w:rPr>
        <w:t>$45,000– $75,000</w:t>
      </w:r>
      <w:r w:rsidRPr="00DE6EBD">
        <w:rPr>
          <w:szCs w:val="22"/>
        </w:rPr>
        <w:t>/QALYG</w:t>
      </w:r>
      <w:r w:rsidR="00BF3C19" w:rsidRPr="00DE6EBD">
        <w:rPr>
          <w:szCs w:val="22"/>
        </w:rPr>
        <w:t>.</w:t>
      </w:r>
    </w:p>
    <w:p w:rsidR="000A1E9C" w:rsidRPr="00DE6EBD" w:rsidRDefault="000A1E9C" w:rsidP="000A1E9C">
      <w:pPr>
        <w:widowControl/>
        <w:contextualSpacing/>
        <w:rPr>
          <w:szCs w:val="22"/>
        </w:rPr>
      </w:pPr>
    </w:p>
    <w:p w:rsidR="00442B62" w:rsidRPr="00DE6EBD" w:rsidRDefault="00442B62" w:rsidP="00422A51">
      <w:pPr>
        <w:widowControl/>
        <w:numPr>
          <w:ilvl w:val="1"/>
          <w:numId w:val="2"/>
        </w:numPr>
        <w:contextualSpacing/>
      </w:pPr>
      <w:r w:rsidRPr="00DE6EBD">
        <w:t xml:space="preserve">The BSC arm of the economic model was modified to estimate the cost/QALYG for </w:t>
      </w:r>
      <w:proofErr w:type="spellStart"/>
      <w:r w:rsidRPr="00DE6EBD">
        <w:t>vinflunine</w:t>
      </w:r>
      <w:proofErr w:type="spellEnd"/>
      <w:r w:rsidRPr="00DE6EBD">
        <w:t xml:space="preserve"> versus active chemotherapy. Assuming the PFS and OS with active chemotherapy is the same as for BSC, and safety of active chemotherapy is the same as for </w:t>
      </w:r>
      <w:proofErr w:type="spellStart"/>
      <w:r w:rsidRPr="00DE6EBD">
        <w:t>vinflunine</w:t>
      </w:r>
      <w:proofErr w:type="spellEnd"/>
      <w:r w:rsidRPr="00DE6EBD">
        <w:t xml:space="preserve">, the cost/QALYG was </w:t>
      </w:r>
      <w:r w:rsidR="00BF3C19">
        <w:rPr>
          <w:szCs w:val="22"/>
        </w:rPr>
        <w:t>$15,000 - $45,000</w:t>
      </w:r>
      <w:r w:rsidRPr="00DE6EBD">
        <w:t xml:space="preserve">. </w:t>
      </w:r>
      <w:r w:rsidR="000F424B" w:rsidRPr="00DE6EBD">
        <w:t>There are no clinical data to support the assumption of no difference in PFS and OS between active chemotherapy and BSC</w:t>
      </w:r>
      <w:r w:rsidR="002A4CF8" w:rsidRPr="00DE6EBD">
        <w:t>.</w:t>
      </w:r>
      <w:r w:rsidR="006B749F" w:rsidRPr="00DE6EBD">
        <w:t xml:space="preserve"> </w:t>
      </w:r>
      <w:r w:rsidR="008141B5">
        <w:t xml:space="preserve">While it is correct to compare </w:t>
      </w:r>
      <w:proofErr w:type="spellStart"/>
      <w:r w:rsidR="008141B5">
        <w:t>v</w:t>
      </w:r>
      <w:r w:rsidR="006B749F" w:rsidRPr="00DE6EBD">
        <w:t>influnine</w:t>
      </w:r>
      <w:proofErr w:type="spellEnd"/>
      <w:r w:rsidR="006B749F" w:rsidRPr="00DE6EBD">
        <w:t xml:space="preserve"> relative to active chemotherapy, the ESC considered that there was inadequate amount of data to give an informative assessment of the cost-effectiveness compared to active chemotherapy. </w:t>
      </w:r>
      <w:r w:rsidRPr="00DE6EBD">
        <w:t xml:space="preserve"> Assuming the incremental gains in PFS and OS for active chemotherapy vs BSC are 50% of that for </w:t>
      </w:r>
      <w:proofErr w:type="spellStart"/>
      <w:r w:rsidRPr="00DE6EBD">
        <w:t>vinflunine</w:t>
      </w:r>
      <w:proofErr w:type="spellEnd"/>
      <w:r w:rsidRPr="00DE6EBD">
        <w:t xml:space="preserve"> vs BSC, the cost/QALYG was </w:t>
      </w:r>
      <w:r w:rsidR="00E97441">
        <w:rPr>
          <w:szCs w:val="22"/>
        </w:rPr>
        <w:t>$75,000 - $105,000</w:t>
      </w:r>
      <w:r w:rsidRPr="00DE6EBD">
        <w:t xml:space="preserve">. If the incremental gains in PFS and OS with active chemotherapy are the same as for </w:t>
      </w:r>
      <w:proofErr w:type="spellStart"/>
      <w:r w:rsidRPr="00DE6EBD">
        <w:t>vinflunine</w:t>
      </w:r>
      <w:proofErr w:type="spellEnd"/>
      <w:r w:rsidRPr="00DE6EBD">
        <w:t xml:space="preserve">, active chemotherapy dominates </w:t>
      </w:r>
      <w:proofErr w:type="spellStart"/>
      <w:r w:rsidRPr="00DE6EBD">
        <w:t>vinflunine</w:t>
      </w:r>
      <w:proofErr w:type="spellEnd"/>
      <w:r w:rsidRPr="00DE6EBD">
        <w:t>.</w:t>
      </w:r>
    </w:p>
    <w:p w:rsidR="00442B62" w:rsidRPr="00DE6EBD" w:rsidRDefault="00442B62" w:rsidP="00442B62"/>
    <w:p w:rsidR="00442B62" w:rsidRPr="00DE6EBD" w:rsidRDefault="00442B62" w:rsidP="00B13D9E">
      <w:pPr>
        <w:pStyle w:val="Heading2"/>
      </w:pPr>
      <w:bookmarkStart w:id="22" w:name="_Toc428304037"/>
      <w:r w:rsidRPr="00DE6EBD">
        <w:t>Drug cost/patient/per year (average 4.2 cycles): $</w:t>
      </w:r>
      <w:bookmarkEnd w:id="22"/>
      <w:r w:rsidR="001B4E17">
        <w:rPr>
          <w:noProof/>
          <w:color w:val="000000"/>
          <w:highlight w:val="black"/>
        </w:rPr>
        <w:t>'''''''''''''''</w:t>
      </w:r>
    </w:p>
    <w:p w:rsidR="00442B62" w:rsidRPr="00DE6EBD" w:rsidRDefault="00442B62" w:rsidP="00422A51">
      <w:pPr>
        <w:widowControl/>
        <w:numPr>
          <w:ilvl w:val="1"/>
          <w:numId w:val="2"/>
        </w:numPr>
        <w:contextualSpacing/>
        <w:rPr>
          <w:szCs w:val="22"/>
        </w:rPr>
      </w:pPr>
      <w:r w:rsidRPr="00DE6EBD">
        <w:t xml:space="preserve">The dispensed cost per cycle for </w:t>
      </w:r>
      <w:proofErr w:type="spellStart"/>
      <w:r w:rsidRPr="00DE6EBD">
        <w:t>vinflunine</w:t>
      </w:r>
      <w:proofErr w:type="spellEnd"/>
      <w:r w:rsidRPr="00DE6EBD">
        <w:t xml:space="preserve"> is $</w:t>
      </w:r>
      <w:r w:rsidR="001B4E17">
        <w:rPr>
          <w:noProof/>
          <w:color w:val="000000"/>
          <w:highlight w:val="black"/>
        </w:rPr>
        <w:t>'''''''''''''''''''''</w:t>
      </w:r>
      <w:r w:rsidRPr="00DE6EBD">
        <w:t xml:space="preserve"> based on the effective ex-manufacturer vial prices, the dose from Study 302 and 75% use in private hospitals (1.56</w:t>
      </w:r>
      <w:r w:rsidRPr="00DE6EBD">
        <w:rPr>
          <w:vertAlign w:val="superscript"/>
        </w:rPr>
        <w:footnoteReference w:id="1"/>
      </w:r>
      <w:r w:rsidRPr="00DE6EBD">
        <w:t xml:space="preserve"> x $</w:t>
      </w:r>
      <w:r w:rsidR="001B4E17">
        <w:rPr>
          <w:noProof/>
          <w:color w:val="000000"/>
          <w:highlight w:val="black"/>
        </w:rPr>
        <w:t>''''''''''</w:t>
      </w:r>
      <w:r w:rsidRPr="00DE6EBD">
        <w:t xml:space="preserve"> + 1.94</w:t>
      </w:r>
      <w:r w:rsidRPr="00DE6EBD">
        <w:rPr>
          <w:vertAlign w:val="superscript"/>
        </w:rPr>
        <w:t>1</w:t>
      </w:r>
      <w:r w:rsidRPr="00DE6EBD">
        <w:t xml:space="preserve"> x $</w:t>
      </w:r>
      <w:r w:rsidR="001B4E17">
        <w:rPr>
          <w:noProof/>
          <w:color w:val="000000"/>
          <w:highlight w:val="black"/>
        </w:rPr>
        <w:t>'''''''''</w:t>
      </w:r>
      <w:r w:rsidRPr="00DE6EBD">
        <w:t xml:space="preserve"> + 0.75 x $</w:t>
      </w:r>
      <w:r w:rsidR="001B4E17">
        <w:rPr>
          <w:noProof/>
          <w:color w:val="000000"/>
          <w:highlight w:val="black"/>
        </w:rPr>
        <w:t>''''''''''''''''''</w:t>
      </w:r>
      <w:r w:rsidRPr="00DE6EBD">
        <w:t xml:space="preserve"> + 0.25 x </w:t>
      </w:r>
      <w:r w:rsidR="001B4E17">
        <w:rPr>
          <w:noProof/>
          <w:color w:val="000000"/>
          <w:highlight w:val="black"/>
        </w:rPr>
        <w:t>'''''''''''''</w:t>
      </w:r>
      <w:r w:rsidRPr="00DE6EBD">
        <w:t>).</w:t>
      </w:r>
    </w:p>
    <w:p w:rsidR="00442B62" w:rsidRPr="00DE6EBD" w:rsidRDefault="00442B62" w:rsidP="00442B62">
      <w:pPr>
        <w:widowControl/>
        <w:snapToGrid w:val="0"/>
        <w:ind w:left="720"/>
        <w:contextualSpacing/>
        <w:rPr>
          <w:szCs w:val="22"/>
        </w:rPr>
      </w:pPr>
    </w:p>
    <w:p w:rsidR="00442B62" w:rsidRPr="00DE6EBD" w:rsidRDefault="00442B62" w:rsidP="00422A51">
      <w:pPr>
        <w:widowControl/>
        <w:numPr>
          <w:ilvl w:val="1"/>
          <w:numId w:val="2"/>
        </w:numPr>
        <w:contextualSpacing/>
        <w:rPr>
          <w:szCs w:val="22"/>
        </w:rPr>
      </w:pPr>
      <w:r w:rsidRPr="00DE6EBD">
        <w:rPr>
          <w:szCs w:val="22"/>
        </w:rPr>
        <w:t>The cost per patient per year was estimated in the November 2011 submission to be $</w:t>
      </w:r>
      <w:r w:rsidR="001B4E17">
        <w:rPr>
          <w:noProof/>
          <w:color w:val="000000"/>
          <w:szCs w:val="22"/>
          <w:highlight w:val="black"/>
        </w:rPr>
        <w:t>'''''''''''''''''''''</w:t>
      </w:r>
      <w:r w:rsidRPr="00DE6EBD">
        <w:rPr>
          <w:szCs w:val="22"/>
        </w:rPr>
        <w:t xml:space="preserve">. This was based on the average </w:t>
      </w:r>
      <w:proofErr w:type="spellStart"/>
      <w:r w:rsidRPr="00DE6EBD">
        <w:rPr>
          <w:szCs w:val="22"/>
        </w:rPr>
        <w:t>vinflunine</w:t>
      </w:r>
      <w:proofErr w:type="spellEnd"/>
      <w:r w:rsidRPr="00DE6EBD">
        <w:rPr>
          <w:szCs w:val="22"/>
        </w:rPr>
        <w:t xml:space="preserve"> dose in Study 302, funding being capped at 3 cycles per patient and no wastage. A </w:t>
      </w:r>
      <w:r w:rsidR="001B4E17">
        <w:rPr>
          <w:noProof/>
          <w:color w:val="000000"/>
          <w:szCs w:val="22"/>
          <w:highlight w:val="black"/>
        </w:rPr>
        <w:t>'''''''</w:t>
      </w:r>
      <w:r w:rsidRPr="00DE6EBD">
        <w:rPr>
          <w:szCs w:val="22"/>
        </w:rPr>
        <w:t>% price reduction was offered in the pre-PBAC Response for the November 2011 submission (p8, November 2011, PBAC Minutes, item 5.3).</w:t>
      </w:r>
    </w:p>
    <w:p w:rsidR="00442B62" w:rsidRPr="00DE6EBD" w:rsidRDefault="00442B62" w:rsidP="00442B62">
      <w:pPr>
        <w:rPr>
          <w:szCs w:val="22"/>
        </w:rPr>
      </w:pPr>
    </w:p>
    <w:p w:rsidR="00442B62" w:rsidRPr="00DE6EBD" w:rsidRDefault="00442B62" w:rsidP="00B13D9E">
      <w:pPr>
        <w:pStyle w:val="Heading2"/>
      </w:pPr>
      <w:bookmarkStart w:id="23" w:name="_Toc428304038"/>
      <w:r w:rsidRPr="00DE6EBD">
        <w:t>Estimated PBS usage &amp; financial implications</w:t>
      </w:r>
      <w:bookmarkEnd w:id="23"/>
    </w:p>
    <w:p w:rsidR="003F63E5" w:rsidRPr="00DE6EBD" w:rsidRDefault="007F33DB" w:rsidP="00422A51">
      <w:pPr>
        <w:widowControl/>
        <w:numPr>
          <w:ilvl w:val="1"/>
          <w:numId w:val="2"/>
        </w:numPr>
        <w:contextualSpacing/>
        <w:rPr>
          <w:szCs w:val="22"/>
        </w:rPr>
      </w:pPr>
      <w:r w:rsidRPr="00DE6EBD">
        <w:rPr>
          <w:bCs/>
          <w:szCs w:val="22"/>
        </w:rPr>
        <w:t>The submission was considered by DUSC</w:t>
      </w:r>
      <w:bookmarkStart w:id="24" w:name="_Toc428304039"/>
      <w:r w:rsidRPr="00DE6EBD">
        <w:rPr>
          <w:bCs/>
          <w:szCs w:val="22"/>
        </w:rPr>
        <w:t xml:space="preserve">. </w:t>
      </w:r>
    </w:p>
    <w:p w:rsidR="007F33DB" w:rsidRPr="00DE6EBD" w:rsidRDefault="007F33DB" w:rsidP="007F33DB">
      <w:pPr>
        <w:widowControl/>
        <w:contextualSpacing/>
        <w:rPr>
          <w:szCs w:val="22"/>
        </w:rPr>
      </w:pPr>
    </w:p>
    <w:p w:rsidR="007F33DB" w:rsidRPr="00DE6EBD" w:rsidRDefault="007F33DB" w:rsidP="00422A51">
      <w:pPr>
        <w:widowControl/>
        <w:numPr>
          <w:ilvl w:val="1"/>
          <w:numId w:val="2"/>
        </w:numPr>
        <w:contextualSpacing/>
        <w:rPr>
          <w:szCs w:val="22"/>
        </w:rPr>
      </w:pPr>
      <w:r w:rsidRPr="00DE6EBD">
        <w:lastRenderedPageBreak/>
        <w:t xml:space="preserve">The re-submission used an epidemiological approach to estimate the financial implications of listing </w:t>
      </w:r>
      <w:proofErr w:type="spellStart"/>
      <w:r w:rsidRPr="00DE6EBD">
        <w:t>vinflunine</w:t>
      </w:r>
      <w:proofErr w:type="spellEnd"/>
      <w:r w:rsidRPr="00DE6EBD">
        <w:t xml:space="preserve"> on the PBS.  The approach used was the same as for the November 2011 submission although a number of the assumptions and inputs were revised. </w:t>
      </w:r>
    </w:p>
    <w:p w:rsidR="007F33DB" w:rsidRPr="00DE6EBD" w:rsidRDefault="007F33DB" w:rsidP="007F33DB">
      <w:pPr>
        <w:widowControl/>
        <w:contextualSpacing/>
        <w:rPr>
          <w:szCs w:val="22"/>
        </w:rPr>
      </w:pPr>
    </w:p>
    <w:p w:rsidR="007F33DB" w:rsidRPr="00DE6EBD" w:rsidRDefault="007F33DB" w:rsidP="00422A51">
      <w:pPr>
        <w:pStyle w:val="ListParagraph"/>
        <w:widowControl/>
        <w:numPr>
          <w:ilvl w:val="1"/>
          <w:numId w:val="2"/>
        </w:numPr>
      </w:pPr>
      <w:r w:rsidRPr="00DE6EBD">
        <w:t>The 6th Community Pharmacy Agreement which took effect on 1 July 2015, made some changes to the way chemotherapy preparation fees are paid under the Section 100 Efficient Funding of Chemotherapy (EFC) arrangement.</w:t>
      </w:r>
    </w:p>
    <w:p w:rsidR="007F33DB" w:rsidRPr="00DE6EBD" w:rsidRDefault="007F33DB" w:rsidP="007F33DB">
      <w:pPr>
        <w:pStyle w:val="ListParagraph"/>
        <w:widowControl/>
      </w:pPr>
    </w:p>
    <w:p w:rsidR="007F33DB" w:rsidRPr="00DE6EBD" w:rsidRDefault="007F33DB" w:rsidP="007F33DB">
      <w:pPr>
        <w:pStyle w:val="ListParagraph"/>
        <w:widowControl/>
      </w:pPr>
      <w:r w:rsidRPr="00DE6EBD">
        <w:t>In addition, some chemotherapy compounders will be paid a smaller fee and the DPMA that is published in the schedule will only include that smaller fee.</w:t>
      </w:r>
    </w:p>
    <w:p w:rsidR="007F33DB" w:rsidRPr="00DE6EBD" w:rsidRDefault="007F33DB" w:rsidP="007F33DB">
      <w:pPr>
        <w:pStyle w:val="ListParagraph"/>
        <w:widowControl/>
      </w:pPr>
      <w:r w:rsidRPr="00DE6EBD">
        <w:t>Under the finalised new arrangements:</w:t>
      </w:r>
    </w:p>
    <w:p w:rsidR="007F33DB" w:rsidRPr="00DE6EBD" w:rsidRDefault="007F33DB" w:rsidP="00422A51">
      <w:pPr>
        <w:pStyle w:val="ListParagraph"/>
        <w:widowControl/>
        <w:numPr>
          <w:ilvl w:val="0"/>
          <w:numId w:val="9"/>
        </w:numPr>
      </w:pPr>
      <w:r w:rsidRPr="00DE6EBD">
        <w:t>The preparation fees paid to compounders who are licensed by the TGA to undertake such compounding are higher than those paid to compounders who are not licensed by the TGA, recognising that TGA licensed compounders incur additional costs in complying with the TGA’s licensing requirements, as compared to chemotherapy compounders who are not TGA licensed;</w:t>
      </w:r>
    </w:p>
    <w:p w:rsidR="007F33DB" w:rsidRPr="00DE6EBD" w:rsidRDefault="007F33DB" w:rsidP="00422A51">
      <w:pPr>
        <w:pStyle w:val="ListParagraph"/>
        <w:widowControl/>
        <w:numPr>
          <w:ilvl w:val="0"/>
          <w:numId w:val="9"/>
        </w:numPr>
      </w:pPr>
      <w:r w:rsidRPr="00DE6EBD">
        <w:t>The preparation fee paid to TGA licensed compounders remains the same as under the 5th CPA at $102.67* (indexed price for 2014/2015);</w:t>
      </w:r>
    </w:p>
    <w:p w:rsidR="007F33DB" w:rsidRPr="00DE6EBD" w:rsidRDefault="007F33DB" w:rsidP="00422A51">
      <w:pPr>
        <w:pStyle w:val="ListParagraph"/>
        <w:widowControl/>
        <w:numPr>
          <w:ilvl w:val="0"/>
          <w:numId w:val="9"/>
        </w:numPr>
      </w:pPr>
      <w:r w:rsidRPr="00DE6EBD">
        <w:t>The preparation fees paid to a s90 Community Pharmacy (</w:t>
      </w:r>
      <w:proofErr w:type="spellStart"/>
      <w:r w:rsidRPr="00DE6EBD">
        <w:t>incl</w:t>
      </w:r>
      <w:proofErr w:type="spellEnd"/>
      <w:r w:rsidRPr="00DE6EBD">
        <w:t xml:space="preserve"> s92 approved  practitioners) and a s94 Approved Private Hospital Authority are the same as those paid to TGA licensed compounders to recognise the specialist nature of preparing chemotherapy medicines;</w:t>
      </w:r>
    </w:p>
    <w:p w:rsidR="007F33DB" w:rsidRPr="00DE6EBD" w:rsidRDefault="007F33DB" w:rsidP="00422A51">
      <w:pPr>
        <w:pStyle w:val="ListParagraph"/>
        <w:widowControl/>
        <w:numPr>
          <w:ilvl w:val="0"/>
          <w:numId w:val="9"/>
        </w:numPr>
      </w:pPr>
      <w:r w:rsidRPr="00DE6EBD">
        <w:t>The preparation fee paid to non-TGA licensed compounders is $20 less at $82.67.</w:t>
      </w:r>
    </w:p>
    <w:p w:rsidR="007F33DB" w:rsidRPr="00DE6EBD" w:rsidRDefault="007F33DB" w:rsidP="00422A51">
      <w:pPr>
        <w:pStyle w:val="ListParagraph"/>
        <w:widowControl/>
        <w:numPr>
          <w:ilvl w:val="0"/>
          <w:numId w:val="9"/>
        </w:numPr>
      </w:pPr>
      <w:r w:rsidRPr="00DE6EBD">
        <w:t xml:space="preserve">Where applicable, the $20 portion of the preparation fee will be paid directly to the compounder through Australian Healthcare Associates (AHA); and.  </w:t>
      </w:r>
    </w:p>
    <w:p w:rsidR="007F33DB" w:rsidRPr="00DE6EBD" w:rsidRDefault="007F33DB" w:rsidP="00422A51">
      <w:pPr>
        <w:pStyle w:val="ListParagraph"/>
        <w:widowControl/>
        <w:numPr>
          <w:ilvl w:val="0"/>
          <w:numId w:val="9"/>
        </w:numPr>
      </w:pPr>
      <w:r w:rsidRPr="00DE6EBD">
        <w:t>The $20 is not currently captured by the DMPA that is published in the Schedule of Pharmaceutical Benefits.</w:t>
      </w:r>
    </w:p>
    <w:p w:rsidR="007F33DB" w:rsidRPr="00DE6EBD" w:rsidRDefault="007F33DB" w:rsidP="007F33DB">
      <w:pPr>
        <w:pStyle w:val="ListParagraph"/>
        <w:widowControl/>
      </w:pPr>
    </w:p>
    <w:p w:rsidR="007F33DB" w:rsidRPr="00DE6EBD" w:rsidRDefault="007F33DB" w:rsidP="007F33DB">
      <w:pPr>
        <w:pStyle w:val="ListParagraph"/>
        <w:widowControl/>
      </w:pPr>
      <w:r w:rsidRPr="00DE6EBD">
        <w:t xml:space="preserve">As the majority of chemotherapy preparations are compounded in settings where the $102.67 fee applies, this fee should continue to be used in PBAC submissions. </w:t>
      </w:r>
    </w:p>
    <w:p w:rsidR="007F33DB" w:rsidRPr="00DE6EBD" w:rsidRDefault="007F33DB" w:rsidP="007F33DB">
      <w:pPr>
        <w:widowControl/>
        <w:rPr>
          <w:szCs w:val="22"/>
        </w:rPr>
      </w:pPr>
    </w:p>
    <w:p w:rsidR="007F33DB" w:rsidRPr="00DE6EBD" w:rsidRDefault="007F33DB" w:rsidP="007F33DB">
      <w:pPr>
        <w:ind w:firstLine="709"/>
        <w:rPr>
          <w:rFonts w:ascii="Arial Narrow" w:hAnsi="Arial Narrow"/>
          <w:b/>
          <w:sz w:val="20"/>
          <w:szCs w:val="16"/>
        </w:rPr>
      </w:pPr>
      <w:r w:rsidRPr="00DE6EBD">
        <w:rPr>
          <w:rFonts w:ascii="Arial Narrow" w:hAnsi="Arial Narrow"/>
          <w:b/>
          <w:sz w:val="20"/>
          <w:szCs w:val="16"/>
        </w:rPr>
        <w:t>Table 10: Estimated use and financial implications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01"/>
        <w:gridCol w:w="988"/>
        <w:gridCol w:w="990"/>
        <w:gridCol w:w="988"/>
        <w:gridCol w:w="990"/>
        <w:gridCol w:w="988"/>
      </w:tblGrid>
      <w:tr w:rsidR="007F33DB" w:rsidRPr="00DE6EBD" w:rsidTr="007F33DB">
        <w:trPr>
          <w:tblHeader/>
        </w:trPr>
        <w:tc>
          <w:tcPr>
            <w:tcW w:w="2038" w:type="pct"/>
            <w:shd w:val="clear" w:color="auto" w:fill="auto"/>
            <w:vAlign w:val="center"/>
          </w:tcPr>
          <w:p w:rsidR="007F33DB" w:rsidRPr="00DE6EBD" w:rsidRDefault="007F33DB" w:rsidP="007F33DB">
            <w:pPr>
              <w:tabs>
                <w:tab w:val="left" w:pos="142"/>
              </w:tabs>
              <w:ind w:right="93"/>
              <w:jc w:val="left"/>
              <w:rPr>
                <w:rFonts w:ascii="Arial Narrow" w:hAnsi="Arial Narrow"/>
                <w:b/>
                <w:sz w:val="20"/>
              </w:rPr>
            </w:pPr>
          </w:p>
        </w:tc>
        <w:tc>
          <w:tcPr>
            <w:tcW w:w="592" w:type="pct"/>
            <w:shd w:val="clear" w:color="auto" w:fill="auto"/>
          </w:tcPr>
          <w:p w:rsidR="007F33DB" w:rsidRPr="00DE6EBD" w:rsidRDefault="007F33DB" w:rsidP="007F33DB">
            <w:pPr>
              <w:ind w:right="93"/>
              <w:jc w:val="center"/>
              <w:rPr>
                <w:rFonts w:ascii="Arial Narrow" w:hAnsi="Arial Narrow"/>
                <w:b/>
                <w:sz w:val="20"/>
              </w:rPr>
            </w:pPr>
            <w:r w:rsidRPr="00DE6EBD">
              <w:rPr>
                <w:rFonts w:ascii="Arial Narrow" w:hAnsi="Arial Narrow"/>
                <w:b/>
                <w:sz w:val="20"/>
              </w:rPr>
              <w:t>Year 1</w:t>
            </w:r>
          </w:p>
        </w:tc>
        <w:tc>
          <w:tcPr>
            <w:tcW w:w="593" w:type="pct"/>
            <w:shd w:val="clear" w:color="auto" w:fill="auto"/>
          </w:tcPr>
          <w:p w:rsidR="007F33DB" w:rsidRPr="00DE6EBD" w:rsidRDefault="007F33DB" w:rsidP="007F33DB">
            <w:pPr>
              <w:ind w:right="93"/>
              <w:jc w:val="center"/>
              <w:rPr>
                <w:rFonts w:ascii="Arial Narrow" w:hAnsi="Arial Narrow"/>
                <w:b/>
                <w:sz w:val="20"/>
              </w:rPr>
            </w:pPr>
            <w:r w:rsidRPr="00DE6EBD">
              <w:rPr>
                <w:rFonts w:ascii="Arial Narrow" w:hAnsi="Arial Narrow"/>
                <w:b/>
                <w:sz w:val="20"/>
              </w:rPr>
              <w:t>Year 2</w:t>
            </w:r>
          </w:p>
        </w:tc>
        <w:tc>
          <w:tcPr>
            <w:tcW w:w="592" w:type="pct"/>
            <w:shd w:val="clear" w:color="auto" w:fill="auto"/>
          </w:tcPr>
          <w:p w:rsidR="007F33DB" w:rsidRPr="00DE6EBD" w:rsidRDefault="007F33DB" w:rsidP="007F33DB">
            <w:pPr>
              <w:ind w:right="93"/>
              <w:jc w:val="center"/>
              <w:rPr>
                <w:rFonts w:ascii="Arial Narrow" w:hAnsi="Arial Narrow"/>
                <w:b/>
                <w:sz w:val="20"/>
              </w:rPr>
            </w:pPr>
            <w:r w:rsidRPr="00DE6EBD">
              <w:rPr>
                <w:rFonts w:ascii="Arial Narrow" w:hAnsi="Arial Narrow"/>
                <w:b/>
                <w:sz w:val="20"/>
              </w:rPr>
              <w:t>Year 3</w:t>
            </w:r>
          </w:p>
        </w:tc>
        <w:tc>
          <w:tcPr>
            <w:tcW w:w="593" w:type="pct"/>
            <w:shd w:val="clear" w:color="auto" w:fill="auto"/>
          </w:tcPr>
          <w:p w:rsidR="007F33DB" w:rsidRPr="00DE6EBD" w:rsidRDefault="007F33DB" w:rsidP="007F33DB">
            <w:pPr>
              <w:ind w:right="93"/>
              <w:jc w:val="center"/>
              <w:rPr>
                <w:rFonts w:ascii="Arial Narrow" w:hAnsi="Arial Narrow"/>
                <w:b/>
                <w:sz w:val="20"/>
              </w:rPr>
            </w:pPr>
            <w:r w:rsidRPr="00DE6EBD">
              <w:rPr>
                <w:rFonts w:ascii="Arial Narrow" w:hAnsi="Arial Narrow"/>
                <w:b/>
                <w:sz w:val="20"/>
              </w:rPr>
              <w:t>Year 4</w:t>
            </w:r>
          </w:p>
        </w:tc>
        <w:tc>
          <w:tcPr>
            <w:tcW w:w="592" w:type="pct"/>
            <w:shd w:val="clear" w:color="auto" w:fill="auto"/>
          </w:tcPr>
          <w:p w:rsidR="007F33DB" w:rsidRPr="00DE6EBD" w:rsidRDefault="007F33DB" w:rsidP="007F33DB">
            <w:pPr>
              <w:ind w:right="93"/>
              <w:jc w:val="center"/>
              <w:rPr>
                <w:rFonts w:ascii="Arial Narrow" w:hAnsi="Arial Narrow"/>
                <w:b/>
                <w:sz w:val="20"/>
              </w:rPr>
            </w:pPr>
            <w:r w:rsidRPr="00DE6EBD">
              <w:rPr>
                <w:rFonts w:ascii="Arial Narrow" w:hAnsi="Arial Narrow"/>
                <w:b/>
                <w:sz w:val="20"/>
              </w:rPr>
              <w:t>Year 5</w:t>
            </w:r>
          </w:p>
        </w:tc>
      </w:tr>
      <w:tr w:rsidR="007F33DB" w:rsidRPr="00DE6EBD" w:rsidTr="007F33DB">
        <w:tc>
          <w:tcPr>
            <w:tcW w:w="5000" w:type="pct"/>
            <w:gridSpan w:val="6"/>
            <w:shd w:val="clear" w:color="auto" w:fill="auto"/>
          </w:tcPr>
          <w:p w:rsidR="007F33DB" w:rsidRPr="00DE6EBD" w:rsidRDefault="007F33DB" w:rsidP="007F33DB">
            <w:pPr>
              <w:ind w:right="93"/>
              <w:jc w:val="left"/>
              <w:rPr>
                <w:rFonts w:ascii="Arial Narrow" w:hAnsi="Arial Narrow"/>
                <w:b/>
                <w:bCs/>
                <w:sz w:val="20"/>
              </w:rPr>
            </w:pPr>
            <w:r w:rsidRPr="00DE6EBD">
              <w:rPr>
                <w:rFonts w:ascii="Arial Narrow" w:hAnsi="Arial Narrow"/>
                <w:b/>
                <w:bCs/>
                <w:sz w:val="20"/>
              </w:rPr>
              <w:t>Estimated extent of use</w:t>
            </w:r>
          </w:p>
        </w:tc>
      </w:tr>
      <w:tr w:rsidR="007F33DB" w:rsidRPr="00DE6EBD" w:rsidTr="007F33DB">
        <w:tc>
          <w:tcPr>
            <w:tcW w:w="2038" w:type="pct"/>
            <w:shd w:val="clear" w:color="auto" w:fill="auto"/>
            <w:vAlign w:val="center"/>
          </w:tcPr>
          <w:p w:rsidR="007F33DB" w:rsidRPr="00DE6EBD" w:rsidRDefault="007F33DB" w:rsidP="007F33DB">
            <w:pPr>
              <w:tabs>
                <w:tab w:val="left" w:pos="142"/>
              </w:tabs>
              <w:ind w:right="93"/>
              <w:jc w:val="left"/>
              <w:rPr>
                <w:rFonts w:ascii="Arial Narrow" w:hAnsi="Arial Narrow"/>
                <w:sz w:val="20"/>
              </w:rPr>
            </w:pPr>
            <w:r w:rsidRPr="00DE6EBD">
              <w:rPr>
                <w:rFonts w:ascii="Arial Narrow" w:hAnsi="Arial Narrow"/>
                <w:sz w:val="20"/>
              </w:rPr>
              <w:t>Number treated (90% uptake)</w:t>
            </w:r>
          </w:p>
        </w:tc>
        <w:tc>
          <w:tcPr>
            <w:tcW w:w="592" w:type="pct"/>
            <w:shd w:val="clear" w:color="auto" w:fill="auto"/>
          </w:tcPr>
          <w:p w:rsidR="007F33DB" w:rsidRPr="001B4E17" w:rsidRDefault="001B4E17" w:rsidP="007F33DB">
            <w:pPr>
              <w:widowControl/>
              <w:jc w:val="center"/>
              <w:rPr>
                <w:rFonts w:ascii="Arial Narrow" w:hAnsi="Arial Narrow" w:cs="Times New Roman"/>
                <w:snapToGrid/>
                <w:sz w:val="20"/>
                <w:highlight w:val="black"/>
              </w:rPr>
            </w:pPr>
            <w:r>
              <w:rPr>
                <w:rFonts w:ascii="Arial Narrow" w:hAnsi="Arial Narrow" w:cs="Times New Roman"/>
                <w:noProof/>
                <w:snapToGrid/>
                <w:color w:val="000000"/>
                <w:sz w:val="20"/>
                <w:highlight w:val="black"/>
              </w:rPr>
              <w:t>'''''''''</w:t>
            </w:r>
          </w:p>
        </w:tc>
        <w:tc>
          <w:tcPr>
            <w:tcW w:w="593" w:type="pct"/>
            <w:shd w:val="clear" w:color="auto" w:fill="auto"/>
          </w:tcPr>
          <w:p w:rsidR="007F33DB" w:rsidRPr="001B4E17" w:rsidRDefault="001B4E17" w:rsidP="007F33DB">
            <w:pPr>
              <w:widowControl/>
              <w:jc w:val="center"/>
              <w:rPr>
                <w:rFonts w:ascii="Arial Narrow" w:hAnsi="Arial Narrow" w:cs="Times New Roman"/>
                <w:snapToGrid/>
                <w:sz w:val="20"/>
                <w:highlight w:val="black"/>
              </w:rPr>
            </w:pPr>
            <w:r>
              <w:rPr>
                <w:rFonts w:ascii="Arial Narrow" w:hAnsi="Arial Narrow" w:cs="Times New Roman"/>
                <w:noProof/>
                <w:snapToGrid/>
                <w:color w:val="000000"/>
                <w:sz w:val="20"/>
                <w:highlight w:val="black"/>
              </w:rPr>
              <w:t>''''''''''</w:t>
            </w:r>
          </w:p>
        </w:tc>
        <w:tc>
          <w:tcPr>
            <w:tcW w:w="592" w:type="pct"/>
            <w:shd w:val="clear" w:color="auto" w:fill="auto"/>
          </w:tcPr>
          <w:p w:rsidR="007F33DB" w:rsidRPr="001B4E17" w:rsidRDefault="001B4E17" w:rsidP="007F33DB">
            <w:pPr>
              <w:widowControl/>
              <w:jc w:val="center"/>
              <w:rPr>
                <w:rFonts w:ascii="Arial Narrow" w:hAnsi="Arial Narrow" w:cs="Times New Roman"/>
                <w:snapToGrid/>
                <w:sz w:val="20"/>
                <w:highlight w:val="black"/>
              </w:rPr>
            </w:pPr>
            <w:r>
              <w:rPr>
                <w:rFonts w:ascii="Arial Narrow" w:hAnsi="Arial Narrow" w:cs="Times New Roman"/>
                <w:noProof/>
                <w:snapToGrid/>
                <w:color w:val="000000"/>
                <w:sz w:val="20"/>
                <w:highlight w:val="black"/>
              </w:rPr>
              <w:t>''''''''</w:t>
            </w:r>
          </w:p>
        </w:tc>
        <w:tc>
          <w:tcPr>
            <w:tcW w:w="593" w:type="pct"/>
            <w:shd w:val="clear" w:color="auto" w:fill="auto"/>
          </w:tcPr>
          <w:p w:rsidR="007F33DB" w:rsidRPr="001B4E17" w:rsidRDefault="001B4E17" w:rsidP="007F33DB">
            <w:pPr>
              <w:widowControl/>
              <w:jc w:val="center"/>
              <w:rPr>
                <w:rFonts w:ascii="Arial Narrow" w:hAnsi="Arial Narrow" w:cs="Times New Roman"/>
                <w:snapToGrid/>
                <w:sz w:val="20"/>
                <w:highlight w:val="black"/>
              </w:rPr>
            </w:pPr>
            <w:r>
              <w:rPr>
                <w:rFonts w:ascii="Arial Narrow" w:hAnsi="Arial Narrow" w:cs="Times New Roman"/>
                <w:noProof/>
                <w:snapToGrid/>
                <w:color w:val="000000"/>
                <w:sz w:val="20"/>
                <w:highlight w:val="black"/>
              </w:rPr>
              <w:t>'''''''''</w:t>
            </w:r>
          </w:p>
        </w:tc>
        <w:tc>
          <w:tcPr>
            <w:tcW w:w="592" w:type="pct"/>
            <w:shd w:val="clear" w:color="auto" w:fill="auto"/>
          </w:tcPr>
          <w:p w:rsidR="007F33DB" w:rsidRPr="001B4E17" w:rsidRDefault="001B4E17" w:rsidP="007F33DB">
            <w:pPr>
              <w:widowControl/>
              <w:jc w:val="center"/>
              <w:rPr>
                <w:rFonts w:ascii="Arial Narrow" w:hAnsi="Arial Narrow" w:cs="Times New Roman"/>
                <w:snapToGrid/>
                <w:sz w:val="20"/>
                <w:highlight w:val="black"/>
              </w:rPr>
            </w:pPr>
            <w:r>
              <w:rPr>
                <w:rFonts w:ascii="Arial Narrow" w:hAnsi="Arial Narrow" w:cs="Times New Roman"/>
                <w:noProof/>
                <w:snapToGrid/>
                <w:color w:val="000000"/>
                <w:sz w:val="20"/>
                <w:highlight w:val="black"/>
              </w:rPr>
              <w:t>''''''''''</w:t>
            </w:r>
          </w:p>
        </w:tc>
      </w:tr>
      <w:tr w:rsidR="007F33DB" w:rsidRPr="00DE6EBD" w:rsidTr="007F33DB">
        <w:tc>
          <w:tcPr>
            <w:tcW w:w="2038" w:type="pct"/>
            <w:shd w:val="clear" w:color="auto" w:fill="auto"/>
            <w:vAlign w:val="center"/>
          </w:tcPr>
          <w:p w:rsidR="007F33DB" w:rsidRPr="00DE6EBD" w:rsidRDefault="007F33DB" w:rsidP="007F33DB">
            <w:pPr>
              <w:tabs>
                <w:tab w:val="left" w:pos="142"/>
              </w:tabs>
              <w:ind w:right="93"/>
              <w:jc w:val="left"/>
              <w:rPr>
                <w:rFonts w:ascii="Arial Narrow" w:hAnsi="Arial Narrow"/>
                <w:sz w:val="20"/>
              </w:rPr>
            </w:pPr>
            <w:r w:rsidRPr="00DE6EBD">
              <w:rPr>
                <w:rFonts w:ascii="Arial Narrow" w:hAnsi="Arial Narrow"/>
                <w:sz w:val="20"/>
              </w:rPr>
              <w:t>Number treated, Nov 2011 (90% uptake)</w:t>
            </w:r>
          </w:p>
        </w:tc>
        <w:tc>
          <w:tcPr>
            <w:tcW w:w="592" w:type="pct"/>
            <w:shd w:val="clear" w:color="auto" w:fill="auto"/>
          </w:tcPr>
          <w:p w:rsidR="007F33DB" w:rsidRPr="001B4E17" w:rsidRDefault="001B4E17" w:rsidP="007F33DB">
            <w:pPr>
              <w:jc w:val="center"/>
              <w:rPr>
                <w:rFonts w:ascii="Arial Narrow" w:hAnsi="Arial Narrow"/>
                <w:sz w:val="20"/>
                <w:highlight w:val="black"/>
              </w:rPr>
            </w:pPr>
            <w:r>
              <w:rPr>
                <w:rFonts w:ascii="Arial Narrow" w:hAnsi="Arial Narrow"/>
                <w:noProof/>
                <w:color w:val="000000"/>
                <w:sz w:val="20"/>
                <w:highlight w:val="black"/>
              </w:rPr>
              <w:t>''''''''</w:t>
            </w:r>
          </w:p>
        </w:tc>
        <w:tc>
          <w:tcPr>
            <w:tcW w:w="593" w:type="pct"/>
            <w:shd w:val="clear" w:color="auto" w:fill="auto"/>
          </w:tcPr>
          <w:p w:rsidR="007F33DB" w:rsidRPr="001B4E17" w:rsidRDefault="001B4E17" w:rsidP="007F33DB">
            <w:pPr>
              <w:jc w:val="center"/>
              <w:rPr>
                <w:rFonts w:ascii="Arial Narrow" w:hAnsi="Arial Narrow"/>
                <w:sz w:val="20"/>
                <w:highlight w:val="black"/>
              </w:rPr>
            </w:pPr>
            <w:r>
              <w:rPr>
                <w:rFonts w:ascii="Arial Narrow" w:hAnsi="Arial Narrow"/>
                <w:noProof/>
                <w:color w:val="000000"/>
                <w:sz w:val="20"/>
                <w:highlight w:val="black"/>
              </w:rPr>
              <w:t>'''''''''</w:t>
            </w:r>
          </w:p>
        </w:tc>
        <w:tc>
          <w:tcPr>
            <w:tcW w:w="592" w:type="pct"/>
            <w:shd w:val="clear" w:color="auto" w:fill="auto"/>
          </w:tcPr>
          <w:p w:rsidR="007F33DB" w:rsidRPr="001B4E17" w:rsidRDefault="001B4E17" w:rsidP="007F33DB">
            <w:pPr>
              <w:jc w:val="center"/>
              <w:rPr>
                <w:rFonts w:ascii="Arial Narrow" w:hAnsi="Arial Narrow"/>
                <w:sz w:val="20"/>
                <w:highlight w:val="black"/>
              </w:rPr>
            </w:pPr>
            <w:r>
              <w:rPr>
                <w:rFonts w:ascii="Arial Narrow" w:hAnsi="Arial Narrow"/>
                <w:noProof/>
                <w:color w:val="000000"/>
                <w:sz w:val="20"/>
                <w:highlight w:val="black"/>
              </w:rPr>
              <w:t>''''''''''</w:t>
            </w:r>
          </w:p>
        </w:tc>
        <w:tc>
          <w:tcPr>
            <w:tcW w:w="593" w:type="pct"/>
            <w:shd w:val="clear" w:color="auto" w:fill="auto"/>
          </w:tcPr>
          <w:p w:rsidR="007F33DB" w:rsidRPr="001B4E17" w:rsidRDefault="001B4E17" w:rsidP="007F33DB">
            <w:pPr>
              <w:jc w:val="center"/>
              <w:rPr>
                <w:rFonts w:ascii="Arial Narrow" w:hAnsi="Arial Narrow"/>
                <w:sz w:val="20"/>
                <w:highlight w:val="black"/>
              </w:rPr>
            </w:pPr>
            <w:r>
              <w:rPr>
                <w:rFonts w:ascii="Arial Narrow" w:hAnsi="Arial Narrow"/>
                <w:noProof/>
                <w:color w:val="000000"/>
                <w:sz w:val="20"/>
                <w:highlight w:val="black"/>
              </w:rPr>
              <w:t>''''''''</w:t>
            </w:r>
          </w:p>
        </w:tc>
        <w:tc>
          <w:tcPr>
            <w:tcW w:w="592" w:type="pct"/>
            <w:shd w:val="clear" w:color="auto" w:fill="auto"/>
          </w:tcPr>
          <w:p w:rsidR="007F33DB" w:rsidRPr="001B4E17" w:rsidRDefault="001B4E17" w:rsidP="007F33DB">
            <w:pPr>
              <w:jc w:val="center"/>
              <w:rPr>
                <w:rFonts w:ascii="Arial Narrow" w:hAnsi="Arial Narrow"/>
                <w:sz w:val="20"/>
                <w:highlight w:val="black"/>
              </w:rPr>
            </w:pPr>
            <w:r>
              <w:rPr>
                <w:rFonts w:ascii="Arial Narrow" w:hAnsi="Arial Narrow"/>
                <w:noProof/>
                <w:color w:val="000000"/>
                <w:sz w:val="20"/>
                <w:highlight w:val="black"/>
              </w:rPr>
              <w:t>'''''''''</w:t>
            </w:r>
          </w:p>
        </w:tc>
      </w:tr>
      <w:tr w:rsidR="007F33DB" w:rsidRPr="00DE6EBD" w:rsidTr="007F33DB">
        <w:tc>
          <w:tcPr>
            <w:tcW w:w="2038" w:type="pct"/>
            <w:shd w:val="clear" w:color="auto" w:fill="auto"/>
            <w:vAlign w:val="center"/>
          </w:tcPr>
          <w:p w:rsidR="007F33DB" w:rsidRPr="00DE6EBD" w:rsidRDefault="007F33DB" w:rsidP="007F33DB">
            <w:pPr>
              <w:tabs>
                <w:tab w:val="left" w:pos="142"/>
              </w:tabs>
              <w:ind w:right="93"/>
              <w:jc w:val="left"/>
              <w:rPr>
                <w:rFonts w:ascii="Arial Narrow" w:hAnsi="Arial Narrow"/>
                <w:sz w:val="20"/>
              </w:rPr>
            </w:pPr>
            <w:r w:rsidRPr="00DE6EBD">
              <w:rPr>
                <w:rFonts w:ascii="Arial Narrow" w:hAnsi="Arial Narrow"/>
                <w:sz w:val="20"/>
              </w:rPr>
              <w:t>Vials</w:t>
            </w:r>
          </w:p>
        </w:tc>
        <w:tc>
          <w:tcPr>
            <w:tcW w:w="592" w:type="pct"/>
            <w:shd w:val="clear" w:color="auto" w:fill="auto"/>
          </w:tcPr>
          <w:p w:rsidR="007F33DB" w:rsidRPr="001B4E17" w:rsidRDefault="001B4E17" w:rsidP="007F33DB">
            <w:pPr>
              <w:jc w:val="center"/>
              <w:rPr>
                <w:rFonts w:ascii="Arial Narrow" w:hAnsi="Arial Narrow"/>
                <w:sz w:val="20"/>
                <w:highlight w:val="black"/>
              </w:rPr>
            </w:pPr>
            <w:r>
              <w:rPr>
                <w:rFonts w:ascii="Arial Narrow" w:hAnsi="Arial Narrow"/>
                <w:noProof/>
                <w:color w:val="000000"/>
                <w:sz w:val="20"/>
                <w:highlight w:val="black"/>
              </w:rPr>
              <w:t>'''''''''''''''</w:t>
            </w:r>
          </w:p>
        </w:tc>
        <w:tc>
          <w:tcPr>
            <w:tcW w:w="593" w:type="pct"/>
            <w:shd w:val="clear" w:color="auto" w:fill="auto"/>
          </w:tcPr>
          <w:p w:rsidR="007F33DB" w:rsidRPr="001B4E17" w:rsidRDefault="001B4E17" w:rsidP="007F33DB">
            <w:pPr>
              <w:jc w:val="center"/>
              <w:rPr>
                <w:rFonts w:ascii="Arial Narrow" w:hAnsi="Arial Narrow"/>
                <w:sz w:val="20"/>
                <w:highlight w:val="black"/>
              </w:rPr>
            </w:pPr>
            <w:r>
              <w:rPr>
                <w:rFonts w:ascii="Arial Narrow" w:hAnsi="Arial Narrow"/>
                <w:noProof/>
                <w:color w:val="000000"/>
                <w:sz w:val="20"/>
                <w:highlight w:val="black"/>
              </w:rPr>
              <w:t>'''''''''''''''</w:t>
            </w:r>
          </w:p>
        </w:tc>
        <w:tc>
          <w:tcPr>
            <w:tcW w:w="592" w:type="pct"/>
            <w:shd w:val="clear" w:color="auto" w:fill="auto"/>
          </w:tcPr>
          <w:p w:rsidR="007F33DB" w:rsidRPr="001B4E17" w:rsidRDefault="001B4E17" w:rsidP="007F33DB">
            <w:pPr>
              <w:jc w:val="center"/>
              <w:rPr>
                <w:rFonts w:ascii="Arial Narrow" w:hAnsi="Arial Narrow"/>
                <w:sz w:val="20"/>
                <w:highlight w:val="black"/>
              </w:rPr>
            </w:pPr>
            <w:r>
              <w:rPr>
                <w:rFonts w:ascii="Arial Narrow" w:hAnsi="Arial Narrow"/>
                <w:noProof/>
                <w:color w:val="000000"/>
                <w:sz w:val="20"/>
                <w:highlight w:val="black"/>
              </w:rPr>
              <w:t>'''''''''''''</w:t>
            </w:r>
          </w:p>
        </w:tc>
        <w:tc>
          <w:tcPr>
            <w:tcW w:w="593" w:type="pct"/>
            <w:shd w:val="clear" w:color="auto" w:fill="auto"/>
          </w:tcPr>
          <w:p w:rsidR="007F33DB" w:rsidRPr="001B4E17" w:rsidRDefault="001B4E17" w:rsidP="007F33DB">
            <w:pPr>
              <w:jc w:val="center"/>
              <w:rPr>
                <w:rFonts w:ascii="Arial Narrow" w:hAnsi="Arial Narrow"/>
                <w:sz w:val="20"/>
                <w:highlight w:val="black"/>
              </w:rPr>
            </w:pPr>
            <w:r>
              <w:rPr>
                <w:rFonts w:ascii="Arial Narrow" w:hAnsi="Arial Narrow"/>
                <w:noProof/>
                <w:color w:val="000000"/>
                <w:sz w:val="20"/>
                <w:highlight w:val="black"/>
              </w:rPr>
              <w:t>'''''''''''''</w:t>
            </w:r>
          </w:p>
        </w:tc>
        <w:tc>
          <w:tcPr>
            <w:tcW w:w="592" w:type="pct"/>
            <w:shd w:val="clear" w:color="auto" w:fill="auto"/>
          </w:tcPr>
          <w:p w:rsidR="007F33DB" w:rsidRPr="001B4E17" w:rsidRDefault="001B4E17" w:rsidP="007F33DB">
            <w:pPr>
              <w:jc w:val="center"/>
              <w:rPr>
                <w:rFonts w:ascii="Arial Narrow" w:hAnsi="Arial Narrow"/>
                <w:sz w:val="20"/>
                <w:highlight w:val="black"/>
              </w:rPr>
            </w:pPr>
            <w:r>
              <w:rPr>
                <w:rFonts w:ascii="Arial Narrow" w:hAnsi="Arial Narrow"/>
                <w:noProof/>
                <w:color w:val="000000"/>
                <w:sz w:val="20"/>
                <w:highlight w:val="black"/>
              </w:rPr>
              <w:t>'''''''''''''''</w:t>
            </w:r>
          </w:p>
        </w:tc>
      </w:tr>
      <w:tr w:rsidR="007F33DB" w:rsidRPr="00DE6EBD" w:rsidTr="001471C3">
        <w:trPr>
          <w:trHeight w:val="137"/>
        </w:trPr>
        <w:tc>
          <w:tcPr>
            <w:tcW w:w="2038" w:type="pct"/>
            <w:tcBorders>
              <w:bottom w:val="single" w:sz="4" w:space="0" w:color="auto"/>
            </w:tcBorders>
            <w:shd w:val="clear" w:color="auto" w:fill="auto"/>
            <w:vAlign w:val="center"/>
          </w:tcPr>
          <w:p w:rsidR="007F33DB" w:rsidRPr="00DE6EBD" w:rsidRDefault="007F33DB" w:rsidP="007F33DB">
            <w:pPr>
              <w:tabs>
                <w:tab w:val="left" w:pos="142"/>
              </w:tabs>
              <w:ind w:right="93"/>
              <w:jc w:val="left"/>
              <w:rPr>
                <w:rFonts w:ascii="Arial Narrow" w:hAnsi="Arial Narrow"/>
                <w:sz w:val="20"/>
              </w:rPr>
            </w:pPr>
            <w:r w:rsidRPr="00513168">
              <w:rPr>
                <w:rFonts w:ascii="Arial Narrow" w:hAnsi="Arial Narrow"/>
                <w:sz w:val="20"/>
              </w:rPr>
              <w:t>Vials, Nov 2011</w:t>
            </w:r>
          </w:p>
        </w:tc>
        <w:tc>
          <w:tcPr>
            <w:tcW w:w="592" w:type="pct"/>
            <w:tcBorders>
              <w:bottom w:val="single" w:sz="4" w:space="0" w:color="auto"/>
            </w:tcBorders>
            <w:shd w:val="clear" w:color="auto" w:fill="auto"/>
          </w:tcPr>
          <w:p w:rsidR="007F33DB" w:rsidRPr="001B4E17" w:rsidRDefault="001B4E17" w:rsidP="007F33DB">
            <w:pPr>
              <w:jc w:val="center"/>
              <w:rPr>
                <w:rFonts w:ascii="Arial Narrow" w:hAnsi="Arial Narrow"/>
                <w:sz w:val="20"/>
                <w:highlight w:val="black"/>
              </w:rPr>
            </w:pPr>
            <w:r>
              <w:rPr>
                <w:rFonts w:ascii="Arial Narrow" w:hAnsi="Arial Narrow"/>
                <w:noProof/>
                <w:color w:val="000000"/>
                <w:sz w:val="20"/>
                <w:highlight w:val="black"/>
              </w:rPr>
              <w:t>''''''''''''</w:t>
            </w:r>
          </w:p>
        </w:tc>
        <w:tc>
          <w:tcPr>
            <w:tcW w:w="593" w:type="pct"/>
            <w:tcBorders>
              <w:bottom w:val="single" w:sz="4" w:space="0" w:color="auto"/>
            </w:tcBorders>
            <w:shd w:val="clear" w:color="auto" w:fill="auto"/>
          </w:tcPr>
          <w:p w:rsidR="007F33DB" w:rsidRPr="001B4E17" w:rsidRDefault="001B4E17" w:rsidP="007F33DB">
            <w:pPr>
              <w:jc w:val="center"/>
              <w:rPr>
                <w:rFonts w:ascii="Arial Narrow" w:hAnsi="Arial Narrow"/>
                <w:sz w:val="20"/>
                <w:highlight w:val="black"/>
              </w:rPr>
            </w:pPr>
            <w:r>
              <w:rPr>
                <w:rFonts w:ascii="Arial Narrow" w:hAnsi="Arial Narrow"/>
                <w:noProof/>
                <w:color w:val="000000"/>
                <w:sz w:val="20"/>
                <w:highlight w:val="black"/>
              </w:rPr>
              <w:t>'''''''''''''''</w:t>
            </w:r>
          </w:p>
        </w:tc>
        <w:tc>
          <w:tcPr>
            <w:tcW w:w="592" w:type="pct"/>
            <w:tcBorders>
              <w:bottom w:val="single" w:sz="4" w:space="0" w:color="auto"/>
            </w:tcBorders>
            <w:shd w:val="clear" w:color="auto" w:fill="auto"/>
          </w:tcPr>
          <w:p w:rsidR="007F33DB" w:rsidRPr="001B4E17" w:rsidRDefault="001B4E17" w:rsidP="007F33DB">
            <w:pPr>
              <w:jc w:val="center"/>
              <w:rPr>
                <w:rFonts w:ascii="Arial Narrow" w:hAnsi="Arial Narrow"/>
                <w:sz w:val="20"/>
                <w:highlight w:val="black"/>
              </w:rPr>
            </w:pPr>
            <w:r>
              <w:rPr>
                <w:rFonts w:ascii="Arial Narrow" w:hAnsi="Arial Narrow"/>
                <w:noProof/>
                <w:color w:val="000000"/>
                <w:sz w:val="20"/>
                <w:highlight w:val="black"/>
              </w:rPr>
              <w:t>''''''''''''</w:t>
            </w:r>
          </w:p>
        </w:tc>
        <w:tc>
          <w:tcPr>
            <w:tcW w:w="593" w:type="pct"/>
            <w:tcBorders>
              <w:bottom w:val="single" w:sz="4" w:space="0" w:color="auto"/>
            </w:tcBorders>
            <w:shd w:val="clear" w:color="auto" w:fill="auto"/>
          </w:tcPr>
          <w:p w:rsidR="007F33DB" w:rsidRPr="001B4E17" w:rsidRDefault="001B4E17" w:rsidP="007F33DB">
            <w:pPr>
              <w:jc w:val="center"/>
              <w:rPr>
                <w:rFonts w:ascii="Arial Narrow" w:hAnsi="Arial Narrow"/>
                <w:sz w:val="20"/>
                <w:highlight w:val="black"/>
              </w:rPr>
            </w:pPr>
            <w:r>
              <w:rPr>
                <w:rFonts w:ascii="Arial Narrow" w:hAnsi="Arial Narrow"/>
                <w:noProof/>
                <w:color w:val="000000"/>
                <w:sz w:val="20"/>
                <w:highlight w:val="black"/>
              </w:rPr>
              <w:t>''''''''''''</w:t>
            </w:r>
          </w:p>
        </w:tc>
        <w:tc>
          <w:tcPr>
            <w:tcW w:w="592" w:type="pct"/>
            <w:tcBorders>
              <w:bottom w:val="single" w:sz="4" w:space="0" w:color="auto"/>
            </w:tcBorders>
            <w:shd w:val="clear" w:color="auto" w:fill="auto"/>
          </w:tcPr>
          <w:p w:rsidR="007F33DB" w:rsidRPr="001B4E17" w:rsidRDefault="001B4E17" w:rsidP="007F33DB">
            <w:pPr>
              <w:jc w:val="center"/>
              <w:rPr>
                <w:rFonts w:ascii="Arial Narrow" w:hAnsi="Arial Narrow"/>
                <w:sz w:val="20"/>
                <w:highlight w:val="black"/>
              </w:rPr>
            </w:pPr>
            <w:r>
              <w:rPr>
                <w:rFonts w:ascii="Arial Narrow" w:hAnsi="Arial Narrow"/>
                <w:noProof/>
                <w:color w:val="000000"/>
                <w:sz w:val="20"/>
                <w:highlight w:val="black"/>
              </w:rPr>
              <w:t>''''''''''''''</w:t>
            </w:r>
          </w:p>
        </w:tc>
      </w:tr>
      <w:tr w:rsidR="007F33DB" w:rsidRPr="00DE6EBD" w:rsidTr="007F33DB">
        <w:tc>
          <w:tcPr>
            <w:tcW w:w="5000" w:type="pct"/>
            <w:gridSpan w:val="6"/>
            <w:shd w:val="clear" w:color="auto" w:fill="auto"/>
          </w:tcPr>
          <w:p w:rsidR="007F33DB" w:rsidRPr="00DE6EBD" w:rsidRDefault="007F33DB" w:rsidP="007F33DB">
            <w:pPr>
              <w:ind w:right="93"/>
              <w:jc w:val="left"/>
              <w:rPr>
                <w:rFonts w:ascii="Arial Narrow" w:hAnsi="Arial Narrow"/>
                <w:b/>
                <w:bCs/>
                <w:sz w:val="20"/>
              </w:rPr>
            </w:pPr>
            <w:r w:rsidRPr="001471C3">
              <w:rPr>
                <w:rFonts w:ascii="Arial Narrow" w:hAnsi="Arial Narrow"/>
                <w:b/>
                <w:bCs/>
                <w:sz w:val="20"/>
              </w:rPr>
              <w:t>Estimated net cost to PBS/MB</w:t>
            </w:r>
            <w:r w:rsidR="001471C3" w:rsidRPr="001471C3">
              <w:rPr>
                <w:rFonts w:ascii="Arial Narrow" w:hAnsi="Arial Narrow"/>
                <w:b/>
                <w:bCs/>
                <w:sz w:val="20"/>
              </w:rPr>
              <w:t>S</w:t>
            </w:r>
          </w:p>
        </w:tc>
      </w:tr>
      <w:tr w:rsidR="007F33DB" w:rsidRPr="00DE6EBD" w:rsidTr="007F33DB">
        <w:tc>
          <w:tcPr>
            <w:tcW w:w="2038" w:type="pct"/>
            <w:shd w:val="clear" w:color="auto" w:fill="auto"/>
            <w:vAlign w:val="center"/>
          </w:tcPr>
          <w:p w:rsidR="007F33DB" w:rsidRPr="00DE6EBD" w:rsidRDefault="007F33DB" w:rsidP="007F33DB">
            <w:pPr>
              <w:tabs>
                <w:tab w:val="left" w:pos="142"/>
              </w:tabs>
              <w:ind w:right="93"/>
              <w:jc w:val="left"/>
              <w:rPr>
                <w:rFonts w:ascii="Arial Narrow" w:hAnsi="Arial Narrow"/>
                <w:sz w:val="20"/>
              </w:rPr>
            </w:pPr>
            <w:r w:rsidRPr="00DE6EBD">
              <w:rPr>
                <w:rFonts w:ascii="Arial Narrow" w:hAnsi="Arial Narrow"/>
                <w:sz w:val="20"/>
              </w:rPr>
              <w:t>Net cost to PBS (incl. cost offset for substituted therapies; excl. co-pay)</w:t>
            </w:r>
            <w:r w:rsidRPr="00DE6EBD">
              <w:rPr>
                <w:rFonts w:ascii="Arial Narrow" w:hAnsi="Arial Narrow"/>
                <w:sz w:val="20"/>
                <w:vertAlign w:val="superscript"/>
              </w:rPr>
              <w:t>a</w:t>
            </w:r>
          </w:p>
        </w:tc>
        <w:tc>
          <w:tcPr>
            <w:tcW w:w="592" w:type="pct"/>
            <w:shd w:val="clear" w:color="auto" w:fill="auto"/>
          </w:tcPr>
          <w:p w:rsidR="007F33DB" w:rsidRPr="00DE6EBD" w:rsidRDefault="007F33DB" w:rsidP="007F33DB">
            <w:pPr>
              <w:jc w:val="center"/>
              <w:rPr>
                <w:rFonts w:ascii="Arial Narrow" w:hAnsi="Arial Narrow"/>
                <w:sz w:val="20"/>
              </w:rPr>
            </w:pPr>
            <w:r w:rsidRPr="00DE6EBD">
              <w:rPr>
                <w:rFonts w:ascii="Arial Narrow" w:hAnsi="Arial Narrow"/>
                <w:sz w:val="20"/>
              </w:rPr>
              <w:t>$</w:t>
            </w:r>
            <w:r w:rsidR="001B4E17">
              <w:rPr>
                <w:rFonts w:ascii="Arial Narrow" w:hAnsi="Arial Narrow"/>
                <w:noProof/>
                <w:color w:val="000000"/>
                <w:sz w:val="20"/>
                <w:highlight w:val="black"/>
              </w:rPr>
              <w:t>''''''''''''''''''''''''</w:t>
            </w:r>
          </w:p>
        </w:tc>
        <w:tc>
          <w:tcPr>
            <w:tcW w:w="593" w:type="pct"/>
            <w:shd w:val="clear" w:color="auto" w:fill="auto"/>
          </w:tcPr>
          <w:p w:rsidR="007F33DB" w:rsidRPr="00DE6EBD" w:rsidRDefault="007F33DB" w:rsidP="007F33DB">
            <w:pPr>
              <w:jc w:val="center"/>
              <w:rPr>
                <w:rFonts w:ascii="Arial Narrow" w:hAnsi="Arial Narrow"/>
                <w:sz w:val="20"/>
              </w:rPr>
            </w:pPr>
            <w:r w:rsidRPr="00DE6EBD">
              <w:rPr>
                <w:rFonts w:ascii="Arial Narrow" w:hAnsi="Arial Narrow"/>
                <w:sz w:val="20"/>
              </w:rPr>
              <w:t>$</w:t>
            </w:r>
            <w:r w:rsidR="001B4E17">
              <w:rPr>
                <w:rFonts w:ascii="Arial Narrow" w:hAnsi="Arial Narrow"/>
                <w:noProof/>
                <w:color w:val="000000"/>
                <w:sz w:val="20"/>
                <w:highlight w:val="black"/>
              </w:rPr>
              <w:t>''''''''''''''''''''''</w:t>
            </w:r>
          </w:p>
        </w:tc>
        <w:tc>
          <w:tcPr>
            <w:tcW w:w="592" w:type="pct"/>
            <w:shd w:val="clear" w:color="auto" w:fill="auto"/>
          </w:tcPr>
          <w:p w:rsidR="007F33DB" w:rsidRPr="00DE6EBD" w:rsidRDefault="007F33DB" w:rsidP="007F33DB">
            <w:pPr>
              <w:jc w:val="center"/>
              <w:rPr>
                <w:rFonts w:ascii="Arial Narrow" w:hAnsi="Arial Narrow"/>
                <w:sz w:val="20"/>
              </w:rPr>
            </w:pPr>
            <w:r w:rsidRPr="00DE6EBD">
              <w:rPr>
                <w:rFonts w:ascii="Arial Narrow" w:hAnsi="Arial Narrow"/>
                <w:sz w:val="20"/>
              </w:rPr>
              <w:t>$</w:t>
            </w:r>
            <w:r w:rsidR="001B4E17">
              <w:rPr>
                <w:rFonts w:ascii="Arial Narrow" w:hAnsi="Arial Narrow"/>
                <w:noProof/>
                <w:color w:val="000000"/>
                <w:sz w:val="20"/>
                <w:highlight w:val="black"/>
              </w:rPr>
              <w:t>''''''''''''''''''''''''</w:t>
            </w:r>
          </w:p>
        </w:tc>
        <w:tc>
          <w:tcPr>
            <w:tcW w:w="593" w:type="pct"/>
            <w:shd w:val="clear" w:color="auto" w:fill="auto"/>
          </w:tcPr>
          <w:p w:rsidR="007F33DB" w:rsidRPr="00DE6EBD" w:rsidRDefault="007F33DB" w:rsidP="007F33DB">
            <w:pPr>
              <w:jc w:val="center"/>
              <w:rPr>
                <w:rFonts w:ascii="Arial Narrow" w:hAnsi="Arial Narrow"/>
                <w:sz w:val="20"/>
              </w:rPr>
            </w:pPr>
            <w:r w:rsidRPr="00DE6EBD">
              <w:rPr>
                <w:rFonts w:ascii="Arial Narrow" w:hAnsi="Arial Narrow"/>
                <w:sz w:val="20"/>
              </w:rPr>
              <w:t>$</w:t>
            </w:r>
            <w:r w:rsidR="001B4E17">
              <w:rPr>
                <w:rFonts w:ascii="Arial Narrow" w:hAnsi="Arial Narrow"/>
                <w:noProof/>
                <w:color w:val="000000"/>
                <w:sz w:val="20"/>
                <w:highlight w:val="black"/>
              </w:rPr>
              <w:t>'''''''''''''''''''''''''</w:t>
            </w:r>
          </w:p>
        </w:tc>
        <w:tc>
          <w:tcPr>
            <w:tcW w:w="592" w:type="pct"/>
            <w:shd w:val="clear" w:color="auto" w:fill="auto"/>
          </w:tcPr>
          <w:p w:rsidR="007F33DB" w:rsidRPr="00DE6EBD" w:rsidRDefault="007F33DB" w:rsidP="007F33DB">
            <w:pPr>
              <w:jc w:val="center"/>
              <w:rPr>
                <w:rFonts w:ascii="Arial Narrow" w:hAnsi="Arial Narrow"/>
                <w:sz w:val="20"/>
              </w:rPr>
            </w:pPr>
            <w:r w:rsidRPr="00DE6EBD">
              <w:rPr>
                <w:rFonts w:ascii="Arial Narrow" w:hAnsi="Arial Narrow"/>
                <w:sz w:val="20"/>
              </w:rPr>
              <w:t>$</w:t>
            </w:r>
            <w:r w:rsidR="001B4E17">
              <w:rPr>
                <w:rFonts w:ascii="Arial Narrow" w:hAnsi="Arial Narrow"/>
                <w:noProof/>
                <w:color w:val="000000"/>
                <w:sz w:val="20"/>
                <w:highlight w:val="black"/>
              </w:rPr>
              <w:t>'''''''''''''''''''''</w:t>
            </w:r>
          </w:p>
        </w:tc>
      </w:tr>
      <w:tr w:rsidR="007F33DB" w:rsidRPr="00DE6EBD" w:rsidTr="007F33DB">
        <w:tc>
          <w:tcPr>
            <w:tcW w:w="2038" w:type="pct"/>
            <w:shd w:val="clear" w:color="auto" w:fill="auto"/>
            <w:vAlign w:val="center"/>
          </w:tcPr>
          <w:p w:rsidR="007F33DB" w:rsidRPr="00DE6EBD" w:rsidRDefault="007F33DB" w:rsidP="007F33DB">
            <w:pPr>
              <w:tabs>
                <w:tab w:val="left" w:pos="142"/>
              </w:tabs>
              <w:ind w:right="93"/>
              <w:jc w:val="left"/>
              <w:rPr>
                <w:rFonts w:ascii="Arial Narrow" w:hAnsi="Arial Narrow"/>
                <w:sz w:val="20"/>
              </w:rPr>
            </w:pPr>
            <w:r w:rsidRPr="00DE6EBD">
              <w:rPr>
                <w:rFonts w:ascii="Arial Narrow" w:hAnsi="Arial Narrow"/>
                <w:sz w:val="20"/>
              </w:rPr>
              <w:t>Net cost to PBS Nov 2011 (no cost offset for substituted therapies, excl. co-pay)</w:t>
            </w:r>
          </w:p>
        </w:tc>
        <w:tc>
          <w:tcPr>
            <w:tcW w:w="592" w:type="pct"/>
            <w:shd w:val="clear" w:color="auto" w:fill="auto"/>
          </w:tcPr>
          <w:p w:rsidR="007F33DB" w:rsidRPr="00DE6EBD" w:rsidRDefault="007F33DB" w:rsidP="007F33DB">
            <w:pPr>
              <w:jc w:val="center"/>
              <w:rPr>
                <w:rFonts w:ascii="Arial Narrow" w:hAnsi="Arial Narrow"/>
                <w:sz w:val="20"/>
              </w:rPr>
            </w:pPr>
            <w:r w:rsidRPr="00DE6EBD">
              <w:rPr>
                <w:rFonts w:ascii="Arial Narrow" w:hAnsi="Arial Narrow"/>
                <w:sz w:val="20"/>
              </w:rPr>
              <w:t>$</w:t>
            </w:r>
            <w:r w:rsidR="001B4E17">
              <w:rPr>
                <w:rFonts w:ascii="Arial Narrow" w:hAnsi="Arial Narrow"/>
                <w:noProof/>
                <w:color w:val="000000"/>
                <w:sz w:val="20"/>
                <w:highlight w:val="black"/>
              </w:rPr>
              <w:t>''''''''''''''''''''''</w:t>
            </w:r>
          </w:p>
        </w:tc>
        <w:tc>
          <w:tcPr>
            <w:tcW w:w="593" w:type="pct"/>
            <w:shd w:val="clear" w:color="auto" w:fill="auto"/>
          </w:tcPr>
          <w:p w:rsidR="007F33DB" w:rsidRPr="00DE6EBD" w:rsidRDefault="007F33DB" w:rsidP="007F33DB">
            <w:pPr>
              <w:jc w:val="center"/>
              <w:rPr>
                <w:rFonts w:ascii="Arial Narrow" w:hAnsi="Arial Narrow"/>
                <w:sz w:val="20"/>
              </w:rPr>
            </w:pPr>
            <w:r w:rsidRPr="00DE6EBD">
              <w:rPr>
                <w:rFonts w:ascii="Arial Narrow" w:hAnsi="Arial Narrow"/>
                <w:sz w:val="20"/>
              </w:rPr>
              <w:t>$</w:t>
            </w:r>
            <w:r w:rsidR="001B4E17">
              <w:rPr>
                <w:rFonts w:ascii="Arial Narrow" w:hAnsi="Arial Narrow"/>
                <w:noProof/>
                <w:color w:val="000000"/>
                <w:sz w:val="20"/>
                <w:highlight w:val="black"/>
              </w:rPr>
              <w:t>'''''''''''''''''''''''''</w:t>
            </w:r>
          </w:p>
        </w:tc>
        <w:tc>
          <w:tcPr>
            <w:tcW w:w="592" w:type="pct"/>
            <w:shd w:val="clear" w:color="auto" w:fill="auto"/>
          </w:tcPr>
          <w:p w:rsidR="007F33DB" w:rsidRPr="00DE6EBD" w:rsidRDefault="007F33DB" w:rsidP="007F33DB">
            <w:pPr>
              <w:jc w:val="center"/>
              <w:rPr>
                <w:rFonts w:ascii="Arial Narrow" w:hAnsi="Arial Narrow"/>
                <w:sz w:val="20"/>
              </w:rPr>
            </w:pPr>
            <w:r w:rsidRPr="00DE6EBD">
              <w:rPr>
                <w:rFonts w:ascii="Arial Narrow" w:hAnsi="Arial Narrow"/>
                <w:sz w:val="20"/>
              </w:rPr>
              <w:t>$</w:t>
            </w:r>
            <w:r w:rsidR="001B4E17">
              <w:rPr>
                <w:rFonts w:ascii="Arial Narrow" w:hAnsi="Arial Narrow"/>
                <w:noProof/>
                <w:color w:val="000000"/>
                <w:sz w:val="20"/>
                <w:highlight w:val="black"/>
              </w:rPr>
              <w:t>'''''''''''''''''''''''</w:t>
            </w:r>
          </w:p>
        </w:tc>
        <w:tc>
          <w:tcPr>
            <w:tcW w:w="593" w:type="pct"/>
            <w:shd w:val="clear" w:color="auto" w:fill="auto"/>
          </w:tcPr>
          <w:p w:rsidR="007F33DB" w:rsidRPr="00DE6EBD" w:rsidRDefault="007F33DB" w:rsidP="007F33DB">
            <w:pPr>
              <w:jc w:val="center"/>
              <w:rPr>
                <w:rFonts w:ascii="Arial Narrow" w:hAnsi="Arial Narrow"/>
                <w:sz w:val="20"/>
              </w:rPr>
            </w:pPr>
            <w:r w:rsidRPr="00DE6EBD">
              <w:rPr>
                <w:rFonts w:ascii="Arial Narrow" w:hAnsi="Arial Narrow"/>
                <w:sz w:val="20"/>
              </w:rPr>
              <w:t>$</w:t>
            </w:r>
            <w:r w:rsidR="001B4E17">
              <w:rPr>
                <w:rFonts w:ascii="Arial Narrow" w:hAnsi="Arial Narrow"/>
                <w:noProof/>
                <w:color w:val="000000"/>
                <w:sz w:val="20"/>
                <w:highlight w:val="black"/>
              </w:rPr>
              <w:t>'''''''''''''''''''''''</w:t>
            </w:r>
          </w:p>
        </w:tc>
        <w:tc>
          <w:tcPr>
            <w:tcW w:w="592" w:type="pct"/>
            <w:shd w:val="clear" w:color="auto" w:fill="auto"/>
          </w:tcPr>
          <w:p w:rsidR="007F33DB" w:rsidRPr="00DE6EBD" w:rsidRDefault="007F33DB" w:rsidP="007F33DB">
            <w:pPr>
              <w:jc w:val="center"/>
              <w:rPr>
                <w:rFonts w:ascii="Arial Narrow" w:hAnsi="Arial Narrow"/>
                <w:sz w:val="20"/>
              </w:rPr>
            </w:pPr>
            <w:r w:rsidRPr="00DE6EBD">
              <w:rPr>
                <w:rFonts w:ascii="Arial Narrow" w:hAnsi="Arial Narrow"/>
                <w:sz w:val="20"/>
              </w:rPr>
              <w:t>$</w:t>
            </w:r>
            <w:r w:rsidR="001B4E17">
              <w:rPr>
                <w:rFonts w:ascii="Arial Narrow" w:hAnsi="Arial Narrow"/>
                <w:noProof/>
                <w:color w:val="000000"/>
                <w:sz w:val="20"/>
                <w:highlight w:val="black"/>
              </w:rPr>
              <w:t>''''''''''''''''''''''</w:t>
            </w:r>
          </w:p>
        </w:tc>
      </w:tr>
      <w:tr w:rsidR="007F33DB" w:rsidRPr="00DE6EBD" w:rsidTr="007F33DB">
        <w:tc>
          <w:tcPr>
            <w:tcW w:w="2038" w:type="pct"/>
            <w:shd w:val="clear" w:color="auto" w:fill="auto"/>
            <w:vAlign w:val="center"/>
          </w:tcPr>
          <w:p w:rsidR="007F33DB" w:rsidRPr="00DE6EBD" w:rsidRDefault="007F33DB" w:rsidP="007F33DB">
            <w:pPr>
              <w:tabs>
                <w:tab w:val="left" w:pos="142"/>
              </w:tabs>
              <w:ind w:right="93"/>
              <w:jc w:val="left"/>
              <w:rPr>
                <w:rFonts w:ascii="Arial Narrow" w:hAnsi="Arial Narrow"/>
                <w:sz w:val="20"/>
              </w:rPr>
            </w:pPr>
            <w:r w:rsidRPr="00DE6EBD">
              <w:rPr>
                <w:rFonts w:ascii="Arial Narrow" w:hAnsi="Arial Narrow"/>
                <w:sz w:val="20"/>
              </w:rPr>
              <w:t xml:space="preserve">Net cost to </w:t>
            </w:r>
            <w:proofErr w:type="spellStart"/>
            <w:r w:rsidRPr="00DE6EBD">
              <w:rPr>
                <w:rFonts w:ascii="Arial Narrow" w:hAnsi="Arial Narrow"/>
                <w:sz w:val="20"/>
              </w:rPr>
              <w:t>MBS</w:t>
            </w:r>
            <w:r w:rsidRPr="00DE6EBD">
              <w:rPr>
                <w:rFonts w:ascii="Arial Narrow" w:hAnsi="Arial Narrow"/>
                <w:sz w:val="20"/>
                <w:vertAlign w:val="superscript"/>
              </w:rPr>
              <w:t>b</w:t>
            </w:r>
            <w:proofErr w:type="spellEnd"/>
            <w:r w:rsidRPr="00DE6EBD">
              <w:rPr>
                <w:rFonts w:ascii="Arial Narrow" w:hAnsi="Arial Narrow"/>
                <w:sz w:val="20"/>
              </w:rPr>
              <w:t xml:space="preserve"> (for chemotherapy administration and PRT)</w:t>
            </w:r>
          </w:p>
        </w:tc>
        <w:tc>
          <w:tcPr>
            <w:tcW w:w="592" w:type="pct"/>
            <w:shd w:val="clear" w:color="auto" w:fill="auto"/>
          </w:tcPr>
          <w:p w:rsidR="007F33DB" w:rsidRPr="00DE6EBD" w:rsidRDefault="007F33DB" w:rsidP="007F33DB">
            <w:pPr>
              <w:jc w:val="center"/>
              <w:rPr>
                <w:rFonts w:ascii="Arial Narrow" w:hAnsi="Arial Narrow"/>
                <w:sz w:val="20"/>
              </w:rPr>
            </w:pPr>
            <w:r w:rsidRPr="00DE6EBD">
              <w:rPr>
                <w:rFonts w:ascii="Arial Narrow" w:hAnsi="Arial Narrow"/>
                <w:sz w:val="20"/>
              </w:rPr>
              <w:t>-$313,767</w:t>
            </w:r>
          </w:p>
        </w:tc>
        <w:tc>
          <w:tcPr>
            <w:tcW w:w="593" w:type="pct"/>
            <w:shd w:val="clear" w:color="auto" w:fill="auto"/>
          </w:tcPr>
          <w:p w:rsidR="007F33DB" w:rsidRPr="00DE6EBD" w:rsidRDefault="007F33DB" w:rsidP="007F33DB">
            <w:pPr>
              <w:jc w:val="center"/>
              <w:rPr>
                <w:rFonts w:ascii="Arial Narrow" w:hAnsi="Arial Narrow"/>
                <w:sz w:val="20"/>
              </w:rPr>
            </w:pPr>
            <w:r w:rsidRPr="00DE6EBD">
              <w:rPr>
                <w:rFonts w:ascii="Arial Narrow" w:hAnsi="Arial Narrow"/>
                <w:sz w:val="20"/>
              </w:rPr>
              <w:t>-$319,195</w:t>
            </w:r>
          </w:p>
        </w:tc>
        <w:tc>
          <w:tcPr>
            <w:tcW w:w="592" w:type="pct"/>
            <w:shd w:val="clear" w:color="auto" w:fill="auto"/>
          </w:tcPr>
          <w:p w:rsidR="007F33DB" w:rsidRPr="00DE6EBD" w:rsidRDefault="007F33DB" w:rsidP="007F33DB">
            <w:pPr>
              <w:jc w:val="center"/>
              <w:rPr>
                <w:rFonts w:ascii="Arial Narrow" w:hAnsi="Arial Narrow"/>
                <w:sz w:val="20"/>
              </w:rPr>
            </w:pPr>
            <w:r w:rsidRPr="00DE6EBD">
              <w:rPr>
                <w:rFonts w:ascii="Arial Narrow" w:hAnsi="Arial Narrow"/>
                <w:sz w:val="20"/>
              </w:rPr>
              <w:t>-$324,607</w:t>
            </w:r>
          </w:p>
        </w:tc>
        <w:tc>
          <w:tcPr>
            <w:tcW w:w="593" w:type="pct"/>
            <w:shd w:val="clear" w:color="auto" w:fill="auto"/>
          </w:tcPr>
          <w:p w:rsidR="007F33DB" w:rsidRPr="00DE6EBD" w:rsidRDefault="007F33DB" w:rsidP="007F33DB">
            <w:pPr>
              <w:jc w:val="center"/>
              <w:rPr>
                <w:rFonts w:ascii="Arial Narrow" w:hAnsi="Arial Narrow"/>
                <w:sz w:val="20"/>
              </w:rPr>
            </w:pPr>
            <w:r w:rsidRPr="00DE6EBD">
              <w:rPr>
                <w:rFonts w:ascii="Arial Narrow" w:hAnsi="Arial Narrow"/>
                <w:sz w:val="20"/>
              </w:rPr>
              <w:t>-$329,998</w:t>
            </w:r>
          </w:p>
        </w:tc>
        <w:tc>
          <w:tcPr>
            <w:tcW w:w="592" w:type="pct"/>
            <w:shd w:val="clear" w:color="auto" w:fill="auto"/>
          </w:tcPr>
          <w:p w:rsidR="007F33DB" w:rsidRPr="00DE6EBD" w:rsidRDefault="007F33DB" w:rsidP="007F33DB">
            <w:pPr>
              <w:jc w:val="center"/>
              <w:rPr>
                <w:rFonts w:ascii="Arial Narrow" w:hAnsi="Arial Narrow"/>
                <w:sz w:val="20"/>
              </w:rPr>
            </w:pPr>
            <w:r w:rsidRPr="00DE6EBD">
              <w:rPr>
                <w:rFonts w:ascii="Arial Narrow" w:hAnsi="Arial Narrow"/>
                <w:sz w:val="20"/>
              </w:rPr>
              <w:t>-$335,376</w:t>
            </w:r>
          </w:p>
        </w:tc>
      </w:tr>
      <w:tr w:rsidR="007F33DB" w:rsidRPr="00DE6EBD" w:rsidTr="007F33DB">
        <w:tc>
          <w:tcPr>
            <w:tcW w:w="2038" w:type="pct"/>
            <w:shd w:val="clear" w:color="auto" w:fill="auto"/>
            <w:vAlign w:val="center"/>
          </w:tcPr>
          <w:p w:rsidR="007F33DB" w:rsidRPr="00DE6EBD" w:rsidRDefault="007F33DB" w:rsidP="007F33DB">
            <w:pPr>
              <w:tabs>
                <w:tab w:val="left" w:pos="142"/>
              </w:tabs>
              <w:ind w:right="93"/>
              <w:jc w:val="left"/>
              <w:rPr>
                <w:rFonts w:ascii="Arial Narrow" w:hAnsi="Arial Narrow"/>
                <w:sz w:val="20"/>
              </w:rPr>
            </w:pPr>
            <w:r w:rsidRPr="00DE6EBD">
              <w:rPr>
                <w:rFonts w:ascii="Arial Narrow" w:hAnsi="Arial Narrow"/>
                <w:sz w:val="20"/>
              </w:rPr>
              <w:t xml:space="preserve">Net cost to MBS, Nov 2011 (for chemotherapy administration </w:t>
            </w:r>
            <w:proofErr w:type="spellStart"/>
            <w:r w:rsidRPr="00DE6EBD">
              <w:rPr>
                <w:rFonts w:ascii="Arial Narrow" w:hAnsi="Arial Narrow"/>
                <w:sz w:val="20"/>
              </w:rPr>
              <w:t>only</w:t>
            </w:r>
            <w:r w:rsidRPr="00DE6EBD">
              <w:rPr>
                <w:rFonts w:ascii="Arial Narrow" w:hAnsi="Arial Narrow"/>
                <w:sz w:val="20"/>
                <w:vertAlign w:val="superscript"/>
              </w:rPr>
              <w:t>c</w:t>
            </w:r>
            <w:proofErr w:type="spellEnd"/>
            <w:r w:rsidRPr="00DE6EBD">
              <w:rPr>
                <w:rFonts w:ascii="Arial Narrow" w:hAnsi="Arial Narrow"/>
                <w:sz w:val="20"/>
              </w:rPr>
              <w:t>)</w:t>
            </w:r>
          </w:p>
        </w:tc>
        <w:tc>
          <w:tcPr>
            <w:tcW w:w="592" w:type="pct"/>
            <w:shd w:val="clear" w:color="auto" w:fill="auto"/>
          </w:tcPr>
          <w:p w:rsidR="007F33DB" w:rsidRPr="00DE6EBD" w:rsidRDefault="007F33DB" w:rsidP="007F33DB">
            <w:pPr>
              <w:jc w:val="center"/>
              <w:rPr>
                <w:rFonts w:ascii="Arial Narrow" w:hAnsi="Arial Narrow"/>
                <w:bCs/>
                <w:sz w:val="20"/>
              </w:rPr>
            </w:pPr>
            <w:r w:rsidRPr="00DE6EBD">
              <w:rPr>
                <w:rFonts w:ascii="Arial Narrow" w:hAnsi="Arial Narrow"/>
                <w:bCs/>
                <w:sz w:val="20"/>
              </w:rPr>
              <w:t>$144,819</w:t>
            </w:r>
          </w:p>
        </w:tc>
        <w:tc>
          <w:tcPr>
            <w:tcW w:w="593" w:type="pct"/>
            <w:shd w:val="clear" w:color="auto" w:fill="auto"/>
          </w:tcPr>
          <w:p w:rsidR="007F33DB" w:rsidRPr="00DE6EBD" w:rsidRDefault="007F33DB" w:rsidP="007F33DB">
            <w:pPr>
              <w:jc w:val="center"/>
              <w:rPr>
                <w:rFonts w:ascii="Arial Narrow" w:hAnsi="Arial Narrow"/>
                <w:bCs/>
                <w:sz w:val="20"/>
              </w:rPr>
            </w:pPr>
            <w:r w:rsidRPr="00DE6EBD">
              <w:rPr>
                <w:rFonts w:ascii="Arial Narrow" w:hAnsi="Arial Narrow"/>
                <w:bCs/>
                <w:sz w:val="20"/>
              </w:rPr>
              <w:t>$146,698</w:t>
            </w:r>
          </w:p>
        </w:tc>
        <w:tc>
          <w:tcPr>
            <w:tcW w:w="592" w:type="pct"/>
            <w:shd w:val="clear" w:color="auto" w:fill="auto"/>
          </w:tcPr>
          <w:p w:rsidR="007F33DB" w:rsidRPr="00DE6EBD" w:rsidRDefault="007F33DB" w:rsidP="007F33DB">
            <w:pPr>
              <w:jc w:val="center"/>
              <w:rPr>
                <w:rFonts w:ascii="Arial Narrow" w:hAnsi="Arial Narrow"/>
                <w:bCs/>
                <w:sz w:val="20"/>
              </w:rPr>
            </w:pPr>
            <w:r w:rsidRPr="00DE6EBD">
              <w:rPr>
                <w:rFonts w:ascii="Arial Narrow" w:hAnsi="Arial Narrow"/>
                <w:bCs/>
                <w:sz w:val="20"/>
              </w:rPr>
              <w:t>$148,821</w:t>
            </w:r>
          </w:p>
        </w:tc>
        <w:tc>
          <w:tcPr>
            <w:tcW w:w="593" w:type="pct"/>
            <w:shd w:val="clear" w:color="auto" w:fill="auto"/>
          </w:tcPr>
          <w:p w:rsidR="007F33DB" w:rsidRPr="00DE6EBD" w:rsidRDefault="007F33DB" w:rsidP="007F33DB">
            <w:pPr>
              <w:jc w:val="center"/>
              <w:rPr>
                <w:rFonts w:ascii="Arial Narrow" w:hAnsi="Arial Narrow"/>
                <w:bCs/>
                <w:sz w:val="20"/>
              </w:rPr>
            </w:pPr>
            <w:r w:rsidRPr="00DE6EBD">
              <w:rPr>
                <w:rFonts w:ascii="Arial Narrow" w:hAnsi="Arial Narrow"/>
                <w:bCs/>
                <w:sz w:val="20"/>
              </w:rPr>
              <w:t>$151,198</w:t>
            </w:r>
          </w:p>
        </w:tc>
        <w:tc>
          <w:tcPr>
            <w:tcW w:w="592" w:type="pct"/>
            <w:shd w:val="clear" w:color="auto" w:fill="auto"/>
          </w:tcPr>
          <w:p w:rsidR="007F33DB" w:rsidRPr="00DE6EBD" w:rsidRDefault="007F33DB" w:rsidP="007F33DB">
            <w:pPr>
              <w:jc w:val="center"/>
              <w:rPr>
                <w:rFonts w:ascii="Arial Narrow" w:hAnsi="Arial Narrow"/>
                <w:bCs/>
                <w:sz w:val="20"/>
              </w:rPr>
            </w:pPr>
            <w:r w:rsidRPr="00DE6EBD">
              <w:rPr>
                <w:rFonts w:ascii="Arial Narrow" w:hAnsi="Arial Narrow"/>
                <w:bCs/>
                <w:sz w:val="20"/>
              </w:rPr>
              <w:t>$153,839</w:t>
            </w:r>
          </w:p>
        </w:tc>
      </w:tr>
      <w:tr w:rsidR="007F33DB" w:rsidRPr="00DE6EBD" w:rsidTr="007F33DB">
        <w:tc>
          <w:tcPr>
            <w:tcW w:w="5000" w:type="pct"/>
            <w:gridSpan w:val="6"/>
            <w:shd w:val="clear" w:color="auto" w:fill="auto"/>
          </w:tcPr>
          <w:p w:rsidR="007F33DB" w:rsidRPr="00DE6EBD" w:rsidRDefault="007F33DB" w:rsidP="007F33DB">
            <w:pPr>
              <w:keepNext/>
              <w:ind w:right="93"/>
              <w:jc w:val="left"/>
              <w:rPr>
                <w:rFonts w:ascii="Arial Narrow" w:hAnsi="Arial Narrow"/>
                <w:b/>
                <w:sz w:val="20"/>
              </w:rPr>
            </w:pPr>
            <w:r w:rsidRPr="00DE6EBD">
              <w:rPr>
                <w:rFonts w:ascii="Arial Narrow" w:hAnsi="Arial Narrow"/>
                <w:b/>
                <w:sz w:val="20"/>
              </w:rPr>
              <w:lastRenderedPageBreak/>
              <w:t>Estimated total net cost</w:t>
            </w:r>
          </w:p>
        </w:tc>
      </w:tr>
      <w:tr w:rsidR="007F33DB" w:rsidRPr="00DE6EBD" w:rsidTr="007F33DB">
        <w:tc>
          <w:tcPr>
            <w:tcW w:w="2038" w:type="pct"/>
            <w:shd w:val="clear" w:color="auto" w:fill="auto"/>
            <w:vAlign w:val="center"/>
          </w:tcPr>
          <w:p w:rsidR="007F33DB" w:rsidRPr="00DE6EBD" w:rsidRDefault="007F33DB" w:rsidP="007F33DB">
            <w:pPr>
              <w:keepNext/>
              <w:tabs>
                <w:tab w:val="left" w:pos="142"/>
              </w:tabs>
              <w:ind w:right="93"/>
              <w:jc w:val="left"/>
              <w:rPr>
                <w:rFonts w:ascii="Arial Narrow" w:hAnsi="Arial Narrow"/>
                <w:b/>
                <w:sz w:val="20"/>
              </w:rPr>
            </w:pPr>
            <w:r w:rsidRPr="00DE6EBD">
              <w:rPr>
                <w:rFonts w:ascii="Arial Narrow" w:hAnsi="Arial Narrow"/>
                <w:b/>
                <w:bCs/>
                <w:sz w:val="20"/>
              </w:rPr>
              <w:t>Net cost to PBS/MBS</w:t>
            </w:r>
          </w:p>
        </w:tc>
        <w:tc>
          <w:tcPr>
            <w:tcW w:w="592" w:type="pct"/>
            <w:shd w:val="clear" w:color="auto" w:fill="auto"/>
          </w:tcPr>
          <w:p w:rsidR="007F33DB" w:rsidRPr="00DE6EBD" w:rsidRDefault="007F33DB" w:rsidP="007F33DB">
            <w:pPr>
              <w:keepNext/>
              <w:jc w:val="center"/>
              <w:rPr>
                <w:rFonts w:ascii="Arial Narrow" w:hAnsi="Arial Narrow"/>
                <w:sz w:val="20"/>
              </w:rPr>
            </w:pPr>
            <w:r w:rsidRPr="00DE6EBD">
              <w:rPr>
                <w:rFonts w:ascii="Arial Narrow" w:hAnsi="Arial Narrow"/>
                <w:sz w:val="20"/>
              </w:rPr>
              <w:t>$</w:t>
            </w:r>
            <w:r w:rsidR="001B4E17">
              <w:rPr>
                <w:rFonts w:ascii="Arial Narrow" w:hAnsi="Arial Narrow"/>
                <w:noProof/>
                <w:color w:val="000000"/>
                <w:sz w:val="20"/>
                <w:highlight w:val="black"/>
              </w:rPr>
              <w:t>''''''''''''''''''''''''</w:t>
            </w:r>
          </w:p>
        </w:tc>
        <w:tc>
          <w:tcPr>
            <w:tcW w:w="593" w:type="pct"/>
            <w:shd w:val="clear" w:color="auto" w:fill="auto"/>
          </w:tcPr>
          <w:p w:rsidR="007F33DB" w:rsidRPr="00DE6EBD" w:rsidRDefault="007F33DB" w:rsidP="007F33DB">
            <w:pPr>
              <w:keepNext/>
              <w:jc w:val="center"/>
              <w:rPr>
                <w:rFonts w:ascii="Arial Narrow" w:hAnsi="Arial Narrow"/>
                <w:sz w:val="20"/>
              </w:rPr>
            </w:pPr>
            <w:r w:rsidRPr="00DE6EBD">
              <w:rPr>
                <w:rFonts w:ascii="Arial Narrow" w:hAnsi="Arial Narrow"/>
                <w:sz w:val="20"/>
              </w:rPr>
              <w:t>$</w:t>
            </w:r>
            <w:r w:rsidR="001B4E17">
              <w:rPr>
                <w:rFonts w:ascii="Arial Narrow" w:hAnsi="Arial Narrow"/>
                <w:noProof/>
                <w:color w:val="000000"/>
                <w:sz w:val="20"/>
                <w:highlight w:val="black"/>
              </w:rPr>
              <w:t>'''''''''''''''''''''''</w:t>
            </w:r>
          </w:p>
        </w:tc>
        <w:tc>
          <w:tcPr>
            <w:tcW w:w="592" w:type="pct"/>
            <w:shd w:val="clear" w:color="auto" w:fill="auto"/>
          </w:tcPr>
          <w:p w:rsidR="007F33DB" w:rsidRPr="00DE6EBD" w:rsidRDefault="007F33DB" w:rsidP="007F33DB">
            <w:pPr>
              <w:keepNext/>
              <w:jc w:val="center"/>
              <w:rPr>
                <w:rFonts w:ascii="Arial Narrow" w:hAnsi="Arial Narrow"/>
                <w:sz w:val="20"/>
              </w:rPr>
            </w:pPr>
            <w:r w:rsidRPr="00DE6EBD">
              <w:rPr>
                <w:rFonts w:ascii="Arial Narrow" w:hAnsi="Arial Narrow"/>
                <w:sz w:val="20"/>
              </w:rPr>
              <w:t>$</w:t>
            </w:r>
            <w:r w:rsidR="001B4E17">
              <w:rPr>
                <w:rFonts w:ascii="Arial Narrow" w:hAnsi="Arial Narrow"/>
                <w:noProof/>
                <w:color w:val="000000"/>
                <w:sz w:val="20"/>
                <w:highlight w:val="black"/>
              </w:rPr>
              <w:t>'''''''''''''''''''''''</w:t>
            </w:r>
          </w:p>
        </w:tc>
        <w:tc>
          <w:tcPr>
            <w:tcW w:w="593" w:type="pct"/>
            <w:shd w:val="clear" w:color="auto" w:fill="auto"/>
          </w:tcPr>
          <w:p w:rsidR="007F33DB" w:rsidRPr="00DE6EBD" w:rsidRDefault="007F33DB" w:rsidP="007F33DB">
            <w:pPr>
              <w:keepNext/>
              <w:jc w:val="center"/>
              <w:rPr>
                <w:rFonts w:ascii="Arial Narrow" w:hAnsi="Arial Narrow"/>
                <w:sz w:val="20"/>
              </w:rPr>
            </w:pPr>
            <w:r w:rsidRPr="00DE6EBD">
              <w:rPr>
                <w:rFonts w:ascii="Arial Narrow" w:hAnsi="Arial Narrow"/>
                <w:sz w:val="20"/>
              </w:rPr>
              <w:t>$</w:t>
            </w:r>
            <w:r w:rsidR="001B4E17">
              <w:rPr>
                <w:rFonts w:ascii="Arial Narrow" w:hAnsi="Arial Narrow"/>
                <w:noProof/>
                <w:color w:val="000000"/>
                <w:sz w:val="20"/>
                <w:highlight w:val="black"/>
              </w:rPr>
              <w:t>''''''''''''''''''''''''''</w:t>
            </w:r>
          </w:p>
        </w:tc>
        <w:tc>
          <w:tcPr>
            <w:tcW w:w="592" w:type="pct"/>
            <w:shd w:val="clear" w:color="auto" w:fill="auto"/>
          </w:tcPr>
          <w:p w:rsidR="007F33DB" w:rsidRPr="00DE6EBD" w:rsidRDefault="007F33DB" w:rsidP="007F33DB">
            <w:pPr>
              <w:keepNext/>
              <w:jc w:val="center"/>
              <w:rPr>
                <w:rFonts w:ascii="Arial Narrow" w:hAnsi="Arial Narrow"/>
                <w:sz w:val="20"/>
              </w:rPr>
            </w:pPr>
            <w:r w:rsidRPr="00DE6EBD">
              <w:rPr>
                <w:rFonts w:ascii="Arial Narrow" w:hAnsi="Arial Narrow"/>
                <w:sz w:val="20"/>
              </w:rPr>
              <w:t>$</w:t>
            </w:r>
            <w:r w:rsidR="001B4E17">
              <w:rPr>
                <w:rFonts w:ascii="Arial Narrow" w:hAnsi="Arial Narrow"/>
                <w:noProof/>
                <w:color w:val="000000"/>
                <w:sz w:val="20"/>
                <w:highlight w:val="black"/>
              </w:rPr>
              <w:t>'''''''''''''''''''''''</w:t>
            </w:r>
          </w:p>
        </w:tc>
      </w:tr>
      <w:tr w:rsidR="007F33DB" w:rsidRPr="00DE6EBD" w:rsidTr="007F33DB">
        <w:tc>
          <w:tcPr>
            <w:tcW w:w="2038" w:type="pct"/>
            <w:shd w:val="clear" w:color="auto" w:fill="auto"/>
            <w:vAlign w:val="center"/>
          </w:tcPr>
          <w:p w:rsidR="007F33DB" w:rsidRPr="00DE6EBD" w:rsidRDefault="007F33DB" w:rsidP="007F33DB">
            <w:pPr>
              <w:keepNext/>
              <w:tabs>
                <w:tab w:val="left" w:pos="142"/>
              </w:tabs>
              <w:ind w:right="93"/>
              <w:jc w:val="left"/>
              <w:rPr>
                <w:rFonts w:ascii="Arial Narrow" w:hAnsi="Arial Narrow"/>
                <w:sz w:val="20"/>
              </w:rPr>
            </w:pPr>
            <w:r w:rsidRPr="00DE6EBD">
              <w:rPr>
                <w:rFonts w:ascii="Arial Narrow" w:hAnsi="Arial Narrow"/>
                <w:bCs/>
                <w:sz w:val="20"/>
              </w:rPr>
              <w:t>Net cost to PBS/MBS, Nov 2011</w:t>
            </w:r>
          </w:p>
        </w:tc>
        <w:tc>
          <w:tcPr>
            <w:tcW w:w="592" w:type="pct"/>
            <w:shd w:val="clear" w:color="auto" w:fill="auto"/>
            <w:vAlign w:val="bottom"/>
          </w:tcPr>
          <w:p w:rsidR="007F33DB" w:rsidRPr="00DE6EBD" w:rsidRDefault="007F33DB" w:rsidP="007F33DB">
            <w:pPr>
              <w:keepNext/>
              <w:jc w:val="center"/>
              <w:rPr>
                <w:rFonts w:ascii="Arial Narrow" w:hAnsi="Arial Narrow" w:cs="Calibri"/>
                <w:sz w:val="20"/>
              </w:rPr>
            </w:pPr>
            <w:r w:rsidRPr="00DE6EBD">
              <w:rPr>
                <w:rFonts w:ascii="Arial Narrow" w:hAnsi="Arial Narrow" w:cs="Calibri"/>
                <w:sz w:val="20"/>
              </w:rPr>
              <w:t>$</w:t>
            </w:r>
            <w:r w:rsidR="001B4E17">
              <w:rPr>
                <w:rFonts w:ascii="Arial Narrow" w:hAnsi="Arial Narrow" w:cs="Calibri"/>
                <w:noProof/>
                <w:color w:val="000000"/>
                <w:sz w:val="20"/>
                <w:highlight w:val="black"/>
              </w:rPr>
              <w:t>'''''''''''''''''''''''</w:t>
            </w:r>
          </w:p>
        </w:tc>
        <w:tc>
          <w:tcPr>
            <w:tcW w:w="593" w:type="pct"/>
            <w:shd w:val="clear" w:color="auto" w:fill="auto"/>
            <w:vAlign w:val="bottom"/>
          </w:tcPr>
          <w:p w:rsidR="007F33DB" w:rsidRPr="00DE6EBD" w:rsidRDefault="007F33DB" w:rsidP="007F33DB">
            <w:pPr>
              <w:keepNext/>
              <w:jc w:val="center"/>
              <w:rPr>
                <w:rFonts w:ascii="Arial Narrow" w:hAnsi="Arial Narrow" w:cs="Calibri"/>
                <w:sz w:val="20"/>
              </w:rPr>
            </w:pPr>
            <w:r w:rsidRPr="00DE6EBD">
              <w:rPr>
                <w:rFonts w:ascii="Arial Narrow" w:hAnsi="Arial Narrow" w:cs="Calibri"/>
                <w:sz w:val="20"/>
              </w:rPr>
              <w:t>$</w:t>
            </w:r>
            <w:r w:rsidR="001B4E17">
              <w:rPr>
                <w:rFonts w:ascii="Arial Narrow" w:hAnsi="Arial Narrow" w:cs="Calibri"/>
                <w:noProof/>
                <w:color w:val="000000"/>
                <w:sz w:val="20"/>
                <w:highlight w:val="black"/>
              </w:rPr>
              <w:t>''''''''''''''''''''''</w:t>
            </w:r>
          </w:p>
        </w:tc>
        <w:tc>
          <w:tcPr>
            <w:tcW w:w="592" w:type="pct"/>
            <w:shd w:val="clear" w:color="auto" w:fill="auto"/>
            <w:vAlign w:val="bottom"/>
          </w:tcPr>
          <w:p w:rsidR="007F33DB" w:rsidRPr="00DE6EBD" w:rsidRDefault="007F33DB" w:rsidP="007F33DB">
            <w:pPr>
              <w:keepNext/>
              <w:jc w:val="center"/>
              <w:rPr>
                <w:rFonts w:ascii="Arial Narrow" w:hAnsi="Arial Narrow" w:cs="Calibri"/>
                <w:sz w:val="20"/>
              </w:rPr>
            </w:pPr>
            <w:r w:rsidRPr="00DE6EBD">
              <w:rPr>
                <w:rFonts w:ascii="Arial Narrow" w:hAnsi="Arial Narrow" w:cs="Calibri"/>
                <w:sz w:val="20"/>
              </w:rPr>
              <w:t>$</w:t>
            </w:r>
            <w:r w:rsidR="001B4E17">
              <w:rPr>
                <w:rFonts w:ascii="Arial Narrow" w:hAnsi="Arial Narrow" w:cs="Calibri"/>
                <w:noProof/>
                <w:color w:val="000000"/>
                <w:sz w:val="20"/>
                <w:highlight w:val="black"/>
              </w:rPr>
              <w:t>''''''''''''''''''''''''''</w:t>
            </w:r>
          </w:p>
        </w:tc>
        <w:tc>
          <w:tcPr>
            <w:tcW w:w="593" w:type="pct"/>
            <w:shd w:val="clear" w:color="auto" w:fill="auto"/>
            <w:vAlign w:val="bottom"/>
          </w:tcPr>
          <w:p w:rsidR="007F33DB" w:rsidRPr="00DE6EBD" w:rsidRDefault="007F33DB" w:rsidP="007F33DB">
            <w:pPr>
              <w:keepNext/>
              <w:jc w:val="center"/>
              <w:rPr>
                <w:rFonts w:ascii="Arial Narrow" w:hAnsi="Arial Narrow" w:cs="Calibri"/>
                <w:sz w:val="20"/>
              </w:rPr>
            </w:pPr>
            <w:r w:rsidRPr="00DE6EBD">
              <w:rPr>
                <w:rFonts w:ascii="Arial Narrow" w:hAnsi="Arial Narrow" w:cs="Calibri"/>
                <w:sz w:val="20"/>
              </w:rPr>
              <w:t>$</w:t>
            </w:r>
            <w:r w:rsidR="001B4E17">
              <w:rPr>
                <w:rFonts w:ascii="Arial Narrow" w:hAnsi="Arial Narrow" w:cs="Calibri"/>
                <w:noProof/>
                <w:color w:val="000000"/>
                <w:sz w:val="20"/>
                <w:highlight w:val="black"/>
              </w:rPr>
              <w:t>'''''''''''''''''''''''</w:t>
            </w:r>
          </w:p>
        </w:tc>
        <w:tc>
          <w:tcPr>
            <w:tcW w:w="592" w:type="pct"/>
            <w:shd w:val="clear" w:color="auto" w:fill="auto"/>
            <w:vAlign w:val="bottom"/>
          </w:tcPr>
          <w:p w:rsidR="007F33DB" w:rsidRPr="00DE6EBD" w:rsidRDefault="007F33DB" w:rsidP="007F33DB">
            <w:pPr>
              <w:keepNext/>
              <w:jc w:val="center"/>
              <w:rPr>
                <w:rFonts w:ascii="Arial Narrow" w:hAnsi="Arial Narrow" w:cs="Calibri"/>
                <w:sz w:val="20"/>
              </w:rPr>
            </w:pPr>
            <w:r w:rsidRPr="00DE6EBD">
              <w:rPr>
                <w:rFonts w:ascii="Arial Narrow" w:hAnsi="Arial Narrow" w:cs="Calibri"/>
                <w:sz w:val="20"/>
              </w:rPr>
              <w:t>$</w:t>
            </w:r>
            <w:r w:rsidR="001B4E17">
              <w:rPr>
                <w:rFonts w:ascii="Arial Narrow" w:hAnsi="Arial Narrow" w:cs="Calibri"/>
                <w:noProof/>
                <w:color w:val="000000"/>
                <w:sz w:val="20"/>
                <w:highlight w:val="black"/>
              </w:rPr>
              <w:t>'''''''''''''''''''''''</w:t>
            </w:r>
          </w:p>
        </w:tc>
      </w:tr>
    </w:tbl>
    <w:p w:rsidR="007F33DB" w:rsidRPr="00DE6EBD" w:rsidRDefault="007F33DB" w:rsidP="007F33DB">
      <w:pPr>
        <w:ind w:left="709"/>
        <w:rPr>
          <w:rFonts w:ascii="Arial Narrow" w:hAnsi="Arial Narrow"/>
          <w:sz w:val="18"/>
          <w:szCs w:val="22"/>
        </w:rPr>
      </w:pPr>
      <w:r w:rsidRPr="00DE6EBD">
        <w:rPr>
          <w:rFonts w:ascii="Arial Narrow" w:hAnsi="Arial Narrow"/>
          <w:sz w:val="18"/>
        </w:rPr>
        <w:t xml:space="preserve">Source: Compiled during the evaluation. </w:t>
      </w:r>
      <w:proofErr w:type="gramStart"/>
      <w:r w:rsidRPr="00DE6EBD">
        <w:rPr>
          <w:rFonts w:ascii="Arial Narrow" w:hAnsi="Arial Narrow"/>
          <w:sz w:val="18"/>
        </w:rPr>
        <w:t>Tables E.2.3 and E.5.1, of the commentary.</w:t>
      </w:r>
      <w:proofErr w:type="gramEnd"/>
      <w:r w:rsidRPr="00DE6EBD">
        <w:rPr>
          <w:rFonts w:ascii="Arial Narrow" w:hAnsi="Arial Narrow"/>
          <w:sz w:val="18"/>
        </w:rPr>
        <w:t xml:space="preserve"> Note: a revised based on October 2015 price for gemcitabine, the number of cycles was reduced to 3.15, number of doses per cycle was increased to 3; b Includes the cost of PRT based on the </w:t>
      </w:r>
      <w:r w:rsidRPr="00DE6EBD">
        <w:rPr>
          <w:rFonts w:ascii="Arial Narrow" w:hAnsi="Arial Narrow"/>
          <w:sz w:val="18"/>
          <w:szCs w:val="18"/>
        </w:rPr>
        <w:t>MBS benefit (85% of the fee); c the November 2011 submission costed PRT based on AR-DRG cost weights and was not included with the MBS costs.</w:t>
      </w:r>
    </w:p>
    <w:p w:rsidR="007F33DB" w:rsidRPr="00DE6EBD" w:rsidRDefault="007F33DB" w:rsidP="007F33DB">
      <w:pPr>
        <w:widowControl/>
        <w:rPr>
          <w:szCs w:val="22"/>
        </w:rPr>
      </w:pPr>
    </w:p>
    <w:p w:rsidR="001471C3" w:rsidRPr="001471C3" w:rsidRDefault="001471C3" w:rsidP="001471C3">
      <w:pPr>
        <w:widowControl/>
        <w:ind w:left="720"/>
        <w:contextualSpacing/>
        <w:rPr>
          <w:i/>
          <w:szCs w:val="22"/>
        </w:rPr>
      </w:pPr>
      <w:r w:rsidRPr="001471C3">
        <w:rPr>
          <w:i/>
          <w:szCs w:val="22"/>
        </w:rPr>
        <w:t xml:space="preserve">The redacted table above shows that the number of patients treated with </w:t>
      </w:r>
      <w:proofErr w:type="spellStart"/>
      <w:r w:rsidRPr="001471C3">
        <w:rPr>
          <w:i/>
          <w:szCs w:val="22"/>
        </w:rPr>
        <w:t>vinflunine</w:t>
      </w:r>
      <w:proofErr w:type="spellEnd"/>
      <w:r w:rsidRPr="001471C3">
        <w:rPr>
          <w:i/>
          <w:szCs w:val="22"/>
        </w:rPr>
        <w:t xml:space="preserve"> is estimated to be less than 10,000 per year at a net cost to the PBS of less than $10 million per year. </w:t>
      </w:r>
    </w:p>
    <w:p w:rsidR="001471C3" w:rsidRDefault="001471C3" w:rsidP="001471C3">
      <w:pPr>
        <w:widowControl/>
        <w:ind w:left="720"/>
        <w:contextualSpacing/>
        <w:rPr>
          <w:szCs w:val="22"/>
        </w:rPr>
      </w:pPr>
    </w:p>
    <w:p w:rsidR="007F33DB" w:rsidRPr="00E97441" w:rsidRDefault="007F33DB" w:rsidP="00E97441">
      <w:pPr>
        <w:widowControl/>
        <w:numPr>
          <w:ilvl w:val="1"/>
          <w:numId w:val="2"/>
        </w:numPr>
        <w:contextualSpacing/>
        <w:rPr>
          <w:rFonts w:cs="Times New Roman"/>
          <w:i/>
          <w:szCs w:val="24"/>
        </w:rPr>
      </w:pPr>
      <w:r w:rsidRPr="00E97441">
        <w:rPr>
          <w:szCs w:val="22"/>
        </w:rPr>
        <w:t xml:space="preserve">The uptake for </w:t>
      </w:r>
      <w:proofErr w:type="spellStart"/>
      <w:r w:rsidRPr="00E97441">
        <w:rPr>
          <w:szCs w:val="22"/>
        </w:rPr>
        <w:t>vinflunine</w:t>
      </w:r>
      <w:proofErr w:type="spellEnd"/>
      <w:r w:rsidRPr="00E97441">
        <w:rPr>
          <w:szCs w:val="22"/>
        </w:rPr>
        <w:t xml:space="preserve"> (90%) has not been reduced from that in the November 2011 submission despite the additional restriction criteria of a PS ≤1 and no prior </w:t>
      </w:r>
      <w:proofErr w:type="spellStart"/>
      <w:r w:rsidRPr="00E97441">
        <w:rPr>
          <w:szCs w:val="22"/>
        </w:rPr>
        <w:t>neoadjuvant</w:t>
      </w:r>
      <w:proofErr w:type="spellEnd"/>
      <w:r w:rsidRPr="00E97441">
        <w:rPr>
          <w:szCs w:val="22"/>
        </w:rPr>
        <w:t xml:space="preserve">/adjuvant chemotherapy. A substantial proportion of patients may have previously received </w:t>
      </w:r>
      <w:proofErr w:type="spellStart"/>
      <w:r w:rsidRPr="00E97441">
        <w:rPr>
          <w:szCs w:val="22"/>
        </w:rPr>
        <w:t>neoadjuvant</w:t>
      </w:r>
      <w:proofErr w:type="spellEnd"/>
      <w:r w:rsidRPr="00E97441">
        <w:rPr>
          <w:szCs w:val="22"/>
        </w:rPr>
        <w:t>/adjuvant chemotherapy (estimated to be approximately 40% in the commentary) and hence the number of patients may be overestimated. Reducing the uptake to 50% reduces the net cost to the PBS in year 5 to $</w:t>
      </w:r>
      <w:r w:rsidR="001B4E17">
        <w:rPr>
          <w:noProof/>
          <w:color w:val="000000"/>
          <w:szCs w:val="22"/>
          <w:highlight w:val="black"/>
        </w:rPr>
        <w:t xml:space="preserve">'''''''''''' </w:t>
      </w:r>
      <w:r w:rsidR="00E97441" w:rsidRPr="00E97441">
        <w:rPr>
          <w:rFonts w:cs="Times New Roman"/>
          <w:szCs w:val="24"/>
        </w:rPr>
        <w:t>less than $10 million</w:t>
      </w:r>
      <w:r w:rsidRPr="00DE6EBD">
        <w:rPr>
          <w:szCs w:val="22"/>
        </w:rPr>
        <w:t>.</w:t>
      </w:r>
    </w:p>
    <w:p w:rsidR="007F33DB" w:rsidRPr="00DE6EBD" w:rsidRDefault="007F33DB" w:rsidP="007F33DB">
      <w:pPr>
        <w:widowControl/>
        <w:ind w:left="720"/>
        <w:contextualSpacing/>
        <w:rPr>
          <w:szCs w:val="22"/>
        </w:rPr>
      </w:pPr>
    </w:p>
    <w:p w:rsidR="007F33DB" w:rsidRPr="00DE6EBD" w:rsidRDefault="007F33DB" w:rsidP="00422A51">
      <w:pPr>
        <w:widowControl/>
        <w:numPr>
          <w:ilvl w:val="1"/>
          <w:numId w:val="2"/>
        </w:numPr>
        <w:contextualSpacing/>
        <w:rPr>
          <w:szCs w:val="22"/>
        </w:rPr>
      </w:pPr>
      <w:r w:rsidRPr="00DE6EBD">
        <w:rPr>
          <w:szCs w:val="22"/>
        </w:rPr>
        <w:t>The November 2011 submission assumed that 50% of patients with advanced/metastatic TCCU are clinically fit for first-line chemotherapy. This was increased to 80% in the re-submission. Both of these estimates were informed by Expert Opinion, and the estimates being different highlight the uncertainty. Reducing the proportion to 50% reduces the net cost to the PBS in year 5 to $</w:t>
      </w:r>
      <w:r w:rsidR="001B4E17">
        <w:rPr>
          <w:noProof/>
          <w:color w:val="000000"/>
          <w:szCs w:val="22"/>
          <w:highlight w:val="black"/>
        </w:rPr>
        <w:t>'''''''</w:t>
      </w:r>
      <w:r w:rsidRPr="00DE6EBD">
        <w:rPr>
          <w:szCs w:val="22"/>
        </w:rPr>
        <w:t>m.</w:t>
      </w:r>
    </w:p>
    <w:p w:rsidR="007F33DB" w:rsidRPr="00DE6EBD" w:rsidRDefault="007F33DB" w:rsidP="007F33DB">
      <w:pPr>
        <w:ind w:left="720"/>
        <w:contextualSpacing/>
      </w:pPr>
    </w:p>
    <w:p w:rsidR="007F33DB" w:rsidRPr="00DE6EBD" w:rsidRDefault="007F33DB" w:rsidP="00422A51">
      <w:pPr>
        <w:widowControl/>
        <w:numPr>
          <w:ilvl w:val="1"/>
          <w:numId w:val="2"/>
        </w:numPr>
        <w:contextualSpacing/>
        <w:rPr>
          <w:szCs w:val="22"/>
        </w:rPr>
      </w:pPr>
      <w:r w:rsidRPr="00DE6EBD">
        <w:t xml:space="preserve">The net PBS cost was also sensitive to the average number of </w:t>
      </w:r>
      <w:proofErr w:type="spellStart"/>
      <w:r w:rsidRPr="00DE6EBD">
        <w:t>vinflunine</w:t>
      </w:r>
      <w:proofErr w:type="spellEnd"/>
      <w:r w:rsidRPr="00DE6EBD">
        <w:t xml:space="preserve"> cycles and the estimated proportion of patients progressing from local/regional to advance</w:t>
      </w:r>
      <w:r w:rsidR="00D7502F">
        <w:t>d</w:t>
      </w:r>
      <w:r w:rsidRPr="00DE6EBD">
        <w:t xml:space="preserve">/metastatic TCCU. The number of cycles was based on Study 302. The estimates in the published literature regarding the proportion of patients that progress vary widely (5-48%, the re-submission used </w:t>
      </w:r>
      <w:r w:rsidRPr="001471C3">
        <w:t>30</w:t>
      </w:r>
      <w:r w:rsidRPr="00DE6EBD">
        <w:t>%).</w:t>
      </w:r>
    </w:p>
    <w:p w:rsidR="007F33DB" w:rsidRPr="00DE6EBD" w:rsidRDefault="007F33DB" w:rsidP="007F33DB">
      <w:pPr>
        <w:widowControl/>
        <w:ind w:left="720"/>
        <w:contextualSpacing/>
        <w:rPr>
          <w:szCs w:val="22"/>
        </w:rPr>
      </w:pPr>
    </w:p>
    <w:p w:rsidR="007F33DB" w:rsidRPr="00DE6EBD" w:rsidRDefault="007F33DB" w:rsidP="00422A51">
      <w:pPr>
        <w:widowControl/>
        <w:numPr>
          <w:ilvl w:val="1"/>
          <w:numId w:val="2"/>
        </w:numPr>
        <w:contextualSpacing/>
        <w:rPr>
          <w:szCs w:val="22"/>
        </w:rPr>
      </w:pPr>
      <w:r w:rsidRPr="00DE6EBD">
        <w:rPr>
          <w:szCs w:val="22"/>
        </w:rPr>
        <w:t>The estimated net PBS cost was lower in the re-submission compared with the November 2011 submission primarily due to including the cost-offset associated with the reduction in use of active chemotherapy (based on the cost of gemcitabine).</w:t>
      </w:r>
      <w:r w:rsidR="00AE1D98" w:rsidRPr="00DE6EBD">
        <w:rPr>
          <w:szCs w:val="22"/>
        </w:rPr>
        <w:t xml:space="preserve"> </w:t>
      </w:r>
      <w:r w:rsidR="00AE1D98" w:rsidRPr="00DE6EBD">
        <w:rPr>
          <w:bCs/>
          <w:szCs w:val="22"/>
        </w:rPr>
        <w:t xml:space="preserve"> At year 5, the estimated number of patients was </w:t>
      </w:r>
      <w:r w:rsidR="001B4E17">
        <w:rPr>
          <w:bCs/>
          <w:noProof/>
          <w:color w:val="000000"/>
          <w:szCs w:val="22"/>
          <w:highlight w:val="black"/>
        </w:rPr>
        <w:t>'''''''''</w:t>
      </w:r>
      <w:r w:rsidR="00E97441" w:rsidRPr="00E97441">
        <w:rPr>
          <w:bCs/>
          <w:szCs w:val="22"/>
        </w:rPr>
        <w:t xml:space="preserve"> less than 10,000</w:t>
      </w:r>
      <w:r w:rsidR="00AE1D98" w:rsidRPr="00DE6EBD">
        <w:rPr>
          <w:bCs/>
          <w:szCs w:val="22"/>
        </w:rPr>
        <w:t xml:space="preserve"> and the net cost to the PBS would be $</w:t>
      </w:r>
      <w:r w:rsidR="001B4E17">
        <w:rPr>
          <w:bCs/>
          <w:noProof/>
          <w:color w:val="000000"/>
          <w:szCs w:val="22"/>
          <w:highlight w:val="black"/>
        </w:rPr>
        <w:t>'''''''''''''''''''''''</w:t>
      </w:r>
      <w:r w:rsidR="00E97441">
        <w:rPr>
          <w:bCs/>
          <w:szCs w:val="22"/>
        </w:rPr>
        <w:t xml:space="preserve"> </w:t>
      </w:r>
      <w:r w:rsidR="00E97441" w:rsidRPr="00E97441">
        <w:rPr>
          <w:rFonts w:cs="Times New Roman"/>
          <w:szCs w:val="24"/>
        </w:rPr>
        <w:t>less than $10 million</w:t>
      </w:r>
      <w:r w:rsidR="00E97441">
        <w:rPr>
          <w:szCs w:val="22"/>
        </w:rPr>
        <w:t>.</w:t>
      </w:r>
    </w:p>
    <w:p w:rsidR="007F33DB" w:rsidRPr="00DE6EBD" w:rsidRDefault="007F33DB" w:rsidP="007F33DB">
      <w:pPr>
        <w:pStyle w:val="ListParagraph"/>
        <w:rPr>
          <w:szCs w:val="22"/>
        </w:rPr>
      </w:pPr>
    </w:p>
    <w:p w:rsidR="007F33DB" w:rsidRPr="00DE6EBD" w:rsidRDefault="007F33DB" w:rsidP="00422A51">
      <w:pPr>
        <w:widowControl/>
        <w:numPr>
          <w:ilvl w:val="1"/>
          <w:numId w:val="2"/>
        </w:numPr>
        <w:contextualSpacing/>
        <w:rPr>
          <w:szCs w:val="22"/>
        </w:rPr>
      </w:pPr>
      <w:r w:rsidRPr="00DE6EBD">
        <w:rPr>
          <w:szCs w:val="22"/>
        </w:rPr>
        <w:t xml:space="preserve">The DUSC considered that: </w:t>
      </w:r>
    </w:p>
    <w:p w:rsidR="007F33DB" w:rsidRPr="00DE6EBD" w:rsidRDefault="007F33DB" w:rsidP="007F33DB">
      <w:pPr>
        <w:pStyle w:val="ListParagraph"/>
        <w:rPr>
          <w:szCs w:val="22"/>
        </w:rPr>
      </w:pPr>
    </w:p>
    <w:p w:rsidR="007F33DB" w:rsidRPr="00DE6EBD" w:rsidRDefault="007F33DB" w:rsidP="00422A51">
      <w:pPr>
        <w:pStyle w:val="ListParagraph"/>
        <w:widowControl/>
        <w:numPr>
          <w:ilvl w:val="0"/>
          <w:numId w:val="10"/>
        </w:numPr>
        <w:jc w:val="left"/>
      </w:pPr>
      <w:r w:rsidRPr="00DE6EBD">
        <w:t>There is potential for the number of eligible patients to be less than estimated in the re-submission because:</w:t>
      </w:r>
    </w:p>
    <w:p w:rsidR="007F33DB" w:rsidRPr="00DE6EBD" w:rsidRDefault="007F33DB" w:rsidP="00422A51">
      <w:pPr>
        <w:widowControl/>
        <w:numPr>
          <w:ilvl w:val="1"/>
          <w:numId w:val="10"/>
        </w:numPr>
        <w:jc w:val="left"/>
      </w:pPr>
      <w:r w:rsidRPr="00DE6EBD">
        <w:t>The declining incidence of bladder cancer in Australia was not accounted for.</w:t>
      </w:r>
    </w:p>
    <w:p w:rsidR="007F33DB" w:rsidRPr="00DE6EBD" w:rsidRDefault="007F33DB" w:rsidP="00422A51">
      <w:pPr>
        <w:widowControl/>
        <w:numPr>
          <w:ilvl w:val="1"/>
          <w:numId w:val="10"/>
        </w:numPr>
        <w:jc w:val="left"/>
      </w:pPr>
      <w:r w:rsidRPr="00DE6EBD">
        <w:t>The estimate for the proportion of patients with advanced/metastatic TCCU who are clinically fit for first-line chemotherapy was increased substantially from the November 2011 submission without justification (from 50% to 80%).</w:t>
      </w:r>
    </w:p>
    <w:p w:rsidR="007F33DB" w:rsidRPr="00DE6EBD" w:rsidRDefault="007F33DB" w:rsidP="00422A51">
      <w:pPr>
        <w:pStyle w:val="ListParagraph"/>
        <w:widowControl/>
        <w:numPr>
          <w:ilvl w:val="0"/>
          <w:numId w:val="10"/>
        </w:numPr>
        <w:jc w:val="left"/>
      </w:pPr>
      <w:r w:rsidRPr="00DE6EBD">
        <w:lastRenderedPageBreak/>
        <w:t xml:space="preserve">The net PBS cost was sensitive to the estimated proportion of patients progressing from local/regional to advance/metastatic TCCU. The primary source of the estimate of 30% progression was not supplied and could not be verified. </w:t>
      </w:r>
    </w:p>
    <w:p w:rsidR="007F33DB" w:rsidRPr="00DE6EBD" w:rsidRDefault="007F33DB" w:rsidP="00422A51">
      <w:pPr>
        <w:pStyle w:val="ListParagraph"/>
        <w:widowControl/>
        <w:numPr>
          <w:ilvl w:val="0"/>
          <w:numId w:val="10"/>
        </w:numPr>
        <w:jc w:val="left"/>
      </w:pPr>
      <w:r w:rsidRPr="00DE6EBD">
        <w:t xml:space="preserve">The proportion of patients with advanced/metastatic TCCU who are clinically fit for first-line chemotherapy, the proportion with a PS ≤1 and the </w:t>
      </w:r>
      <w:proofErr w:type="spellStart"/>
      <w:r w:rsidRPr="00DE6EBD">
        <w:t>vinflunine</w:t>
      </w:r>
      <w:proofErr w:type="spellEnd"/>
      <w:r w:rsidRPr="00DE6EBD">
        <w:t xml:space="preserve"> uptake are based on a survey of 3 oncologists. These estimates are uncertain. Thus, as noted by the PBAC for the 2011 submission, the estimated patient numbers are uncertain.</w:t>
      </w:r>
    </w:p>
    <w:p w:rsidR="007F33DB" w:rsidRPr="00DE6EBD" w:rsidRDefault="007F33DB" w:rsidP="00422A51">
      <w:pPr>
        <w:pStyle w:val="ListParagraph"/>
        <w:numPr>
          <w:ilvl w:val="0"/>
          <w:numId w:val="10"/>
        </w:numPr>
      </w:pPr>
      <w:r w:rsidRPr="00DE6EBD">
        <w:t xml:space="preserve">The uptake for </w:t>
      </w:r>
      <w:proofErr w:type="spellStart"/>
      <w:r w:rsidRPr="00DE6EBD">
        <w:t>vinflunine</w:t>
      </w:r>
      <w:proofErr w:type="spellEnd"/>
      <w:r w:rsidRPr="00DE6EBD">
        <w:t xml:space="preserve"> (90%) has not been reduced from that in the November 2011 submission despite the additional restriction criteria of a PS ≤1 and no prior </w:t>
      </w:r>
      <w:proofErr w:type="spellStart"/>
      <w:r w:rsidRPr="00DE6EBD">
        <w:t>neoadjuvant</w:t>
      </w:r>
      <w:proofErr w:type="spellEnd"/>
      <w:r w:rsidRPr="00DE6EBD">
        <w:t>/adjuvant chemotherapy. Thus the patient numbers may be overestimated.</w:t>
      </w:r>
    </w:p>
    <w:p w:rsidR="007F33DB" w:rsidRPr="00DE6EBD" w:rsidRDefault="007F33DB" w:rsidP="00422A51">
      <w:pPr>
        <w:pStyle w:val="ListParagraph"/>
        <w:numPr>
          <w:ilvl w:val="0"/>
          <w:numId w:val="10"/>
        </w:numPr>
      </w:pPr>
      <w:r w:rsidRPr="00DE6EBD">
        <w:t xml:space="preserve">Additional sources of uncertainty include the number of treatment cycles per patient, the number of palliative radiotherapy episodes and net costs of best supportive care and adverse events, which were considered to be underestimated. </w:t>
      </w:r>
    </w:p>
    <w:p w:rsidR="007F33DB" w:rsidRPr="00DE6EBD" w:rsidRDefault="007F33DB" w:rsidP="007F33DB"/>
    <w:p w:rsidR="007F33DB" w:rsidRPr="00DE6EBD" w:rsidRDefault="00150AD1" w:rsidP="00422A51">
      <w:pPr>
        <w:widowControl/>
        <w:numPr>
          <w:ilvl w:val="1"/>
          <w:numId w:val="2"/>
        </w:numPr>
        <w:contextualSpacing/>
      </w:pPr>
      <w:r w:rsidRPr="00DE6EBD">
        <w:t>Overall, the DUSC considered that t</w:t>
      </w:r>
      <w:r w:rsidR="007F33DB" w:rsidRPr="00DE6EBD">
        <w:t xml:space="preserve">here is potential for the net cost/year for the PBS to be less than the estimate in the submission given that the number of eligible patients has potentially been overestimated. However, countering this, the PBS costs associated with treating </w:t>
      </w:r>
      <w:proofErr w:type="spellStart"/>
      <w:r w:rsidR="007F33DB" w:rsidRPr="00DE6EBD">
        <w:t>vinflunine</w:t>
      </w:r>
      <w:proofErr w:type="spellEnd"/>
      <w:r w:rsidR="007F33DB" w:rsidRPr="00DE6EBD">
        <w:t xml:space="preserve"> adverse events were not considered.</w:t>
      </w:r>
    </w:p>
    <w:p w:rsidR="007F33DB" w:rsidRPr="00DE6EBD" w:rsidRDefault="007F33DB" w:rsidP="00150AD1">
      <w:pPr>
        <w:widowControl/>
        <w:ind w:left="720"/>
        <w:contextualSpacing/>
        <w:rPr>
          <w:szCs w:val="22"/>
        </w:rPr>
      </w:pPr>
    </w:p>
    <w:p w:rsidR="007F33DB" w:rsidRPr="00DE6EBD" w:rsidRDefault="007F33DB" w:rsidP="00B13D9E">
      <w:pPr>
        <w:pStyle w:val="Heading2"/>
      </w:pPr>
      <w:r w:rsidRPr="00DE6EBD">
        <w:t>Quality Use of Medicines</w:t>
      </w:r>
    </w:p>
    <w:p w:rsidR="007F33DB" w:rsidRPr="00DE6EBD" w:rsidRDefault="007F33DB" w:rsidP="00422A51">
      <w:pPr>
        <w:widowControl/>
        <w:numPr>
          <w:ilvl w:val="1"/>
          <w:numId w:val="2"/>
        </w:numPr>
        <w:contextualSpacing/>
        <w:rPr>
          <w:szCs w:val="22"/>
        </w:rPr>
      </w:pPr>
      <w:r w:rsidRPr="00DE6EBD">
        <w:t>The re-submission did not identify any issues relating to the quality use of medicines.</w:t>
      </w:r>
    </w:p>
    <w:p w:rsidR="007F33DB" w:rsidRPr="00DE6EBD" w:rsidRDefault="007F33DB" w:rsidP="007F33DB">
      <w:pPr>
        <w:widowControl/>
        <w:contextualSpacing/>
        <w:rPr>
          <w:szCs w:val="22"/>
        </w:rPr>
      </w:pPr>
    </w:p>
    <w:p w:rsidR="007F33DB" w:rsidRPr="00DE6EBD" w:rsidRDefault="007F33DB" w:rsidP="00422A51">
      <w:pPr>
        <w:widowControl/>
        <w:numPr>
          <w:ilvl w:val="1"/>
          <w:numId w:val="2"/>
        </w:numPr>
        <w:contextualSpacing/>
        <w:rPr>
          <w:szCs w:val="22"/>
        </w:rPr>
      </w:pPr>
      <w:r w:rsidRPr="00DE6EBD">
        <w:rPr>
          <w:szCs w:val="22"/>
        </w:rPr>
        <w:t>The DUSC identified that minimising risk of adverse events and hospitalisations may be an important consideration for patients in the context of a treatment with an adverse event pattern suggestive of high toxicity and a relatively small overall survival gain of less than three months.</w:t>
      </w:r>
    </w:p>
    <w:p w:rsidR="00803FF6" w:rsidRPr="00DE6EBD" w:rsidRDefault="00803FF6" w:rsidP="00803FF6">
      <w:pPr>
        <w:widowControl/>
        <w:ind w:left="720"/>
        <w:contextualSpacing/>
        <w:rPr>
          <w:szCs w:val="22"/>
        </w:rPr>
      </w:pPr>
    </w:p>
    <w:p w:rsidR="002A364D" w:rsidRPr="009D1A40" w:rsidRDefault="002A364D" w:rsidP="002A364D">
      <w:pPr>
        <w:pStyle w:val="ListParagraph"/>
        <w:ind w:left="709"/>
        <w:rPr>
          <w:i/>
          <w:szCs w:val="22"/>
        </w:rPr>
      </w:pPr>
      <w:r w:rsidRPr="009D1A40">
        <w:rPr>
          <w:i/>
          <w:szCs w:val="22"/>
        </w:rPr>
        <w:t>For more detail on PBAC’s view, see section 7 “PBAC outcome”</w:t>
      </w:r>
      <w:r w:rsidR="009D1A40">
        <w:rPr>
          <w:i/>
          <w:szCs w:val="22"/>
        </w:rPr>
        <w:t>.</w:t>
      </w:r>
    </w:p>
    <w:p w:rsidR="002A364D" w:rsidRPr="00DE6EBD" w:rsidRDefault="002A364D" w:rsidP="00803FF6">
      <w:pPr>
        <w:widowControl/>
        <w:ind w:left="720"/>
        <w:contextualSpacing/>
        <w:rPr>
          <w:szCs w:val="22"/>
        </w:rPr>
      </w:pPr>
    </w:p>
    <w:p w:rsidR="00442B62" w:rsidRPr="00DE6EBD" w:rsidRDefault="00442B62" w:rsidP="00B13D9E">
      <w:pPr>
        <w:pStyle w:val="Heading2"/>
      </w:pPr>
      <w:bookmarkStart w:id="25" w:name="_Toc428304040"/>
      <w:bookmarkEnd w:id="24"/>
      <w:r w:rsidRPr="00DE6EBD">
        <w:t>Financial Management – Risk Sharing Arrangements</w:t>
      </w:r>
      <w:bookmarkEnd w:id="25"/>
    </w:p>
    <w:p w:rsidR="00973405" w:rsidRPr="0091433C" w:rsidRDefault="00442B62" w:rsidP="00422A51">
      <w:pPr>
        <w:widowControl/>
        <w:numPr>
          <w:ilvl w:val="1"/>
          <w:numId w:val="2"/>
        </w:numPr>
        <w:contextualSpacing/>
        <w:rPr>
          <w:szCs w:val="22"/>
        </w:rPr>
      </w:pPr>
      <w:r w:rsidRPr="00DE6EBD">
        <w:t xml:space="preserve">The re-submission stated a risk share agreement may be proposed to limit government exposure, particularly </w:t>
      </w:r>
      <w:r w:rsidRPr="0091433C">
        <w:t xml:space="preserve">relating to </w:t>
      </w:r>
      <w:proofErr w:type="spellStart"/>
      <w:r w:rsidRPr="0091433C">
        <w:t>vinflunine</w:t>
      </w:r>
      <w:proofErr w:type="spellEnd"/>
      <w:r w:rsidRPr="0091433C">
        <w:t xml:space="preserve"> use beyond the proposed restriction in patients previously treated with </w:t>
      </w:r>
      <w:proofErr w:type="spellStart"/>
      <w:r w:rsidRPr="0091433C">
        <w:t>neoadjuvant</w:t>
      </w:r>
      <w:proofErr w:type="spellEnd"/>
      <w:r w:rsidRPr="0091433C">
        <w:t xml:space="preserve"> or adjuvant chemotherapy.</w:t>
      </w:r>
    </w:p>
    <w:p w:rsidR="0091433C" w:rsidRPr="0091433C" w:rsidRDefault="0091433C" w:rsidP="0091433C">
      <w:pPr>
        <w:widowControl/>
        <w:contextualSpacing/>
        <w:rPr>
          <w:szCs w:val="22"/>
        </w:rPr>
      </w:pPr>
    </w:p>
    <w:p w:rsidR="00B13D9E" w:rsidRDefault="00DE6EBD" w:rsidP="002A364D">
      <w:pPr>
        <w:widowControl/>
        <w:numPr>
          <w:ilvl w:val="1"/>
          <w:numId w:val="2"/>
        </w:numPr>
        <w:contextualSpacing/>
        <w:rPr>
          <w:szCs w:val="22"/>
        </w:rPr>
      </w:pPr>
      <w:r w:rsidRPr="0091433C">
        <w:rPr>
          <w:szCs w:val="22"/>
        </w:rPr>
        <w:t xml:space="preserve">Relative to the previous submission, the re-submission has not included a proposed cap on the number of cycles of </w:t>
      </w:r>
      <w:proofErr w:type="spellStart"/>
      <w:r w:rsidRPr="0091433C">
        <w:rPr>
          <w:szCs w:val="22"/>
        </w:rPr>
        <w:t>vinflunine</w:t>
      </w:r>
      <w:proofErr w:type="spellEnd"/>
      <w:r w:rsidRPr="0091433C">
        <w:rPr>
          <w:szCs w:val="22"/>
        </w:rPr>
        <w:t xml:space="preserve"> received per patient. The previous submission proposed a cap of three cycles, compared to 4.2 per patient in Study 302. The ESC noted the change, but was not overtly concerned of substantial effect on cost-effectiveness or utilisation</w:t>
      </w:r>
      <w:r w:rsidR="00B13D9E">
        <w:rPr>
          <w:szCs w:val="22"/>
        </w:rPr>
        <w:t>.</w:t>
      </w:r>
    </w:p>
    <w:p w:rsidR="00B13D9E" w:rsidRDefault="00B13D9E" w:rsidP="00B13D9E">
      <w:r>
        <w:br w:type="page"/>
      </w:r>
    </w:p>
    <w:p w:rsidR="00973405" w:rsidRPr="0091433C" w:rsidRDefault="00973405" w:rsidP="00B13D9E">
      <w:pPr>
        <w:pStyle w:val="Heading1"/>
      </w:pPr>
      <w:r w:rsidRPr="0091433C">
        <w:lastRenderedPageBreak/>
        <w:t>PBAC Outcome</w:t>
      </w:r>
    </w:p>
    <w:p w:rsidR="00973405" w:rsidRPr="0091433C" w:rsidRDefault="002A364D" w:rsidP="00422A51">
      <w:pPr>
        <w:numPr>
          <w:ilvl w:val="1"/>
          <w:numId w:val="2"/>
        </w:numPr>
        <w:contextualSpacing/>
        <w:rPr>
          <w:bCs/>
          <w:szCs w:val="22"/>
          <w:lang w:val="en-GB"/>
        </w:rPr>
      </w:pPr>
      <w:r w:rsidRPr="0091433C">
        <w:rPr>
          <w:bCs/>
          <w:szCs w:val="22"/>
          <w:lang w:val="en-GB"/>
        </w:rPr>
        <w:t xml:space="preserve">The PBAC did not recommend the Section 100 (Efficient Funding of Chemotherapy) listing of </w:t>
      </w:r>
      <w:proofErr w:type="spellStart"/>
      <w:r w:rsidRPr="0091433C">
        <w:rPr>
          <w:szCs w:val="22"/>
        </w:rPr>
        <w:t>vinflunine</w:t>
      </w:r>
      <w:proofErr w:type="spellEnd"/>
      <w:r w:rsidRPr="0091433C">
        <w:rPr>
          <w:szCs w:val="22"/>
        </w:rPr>
        <w:t xml:space="preserve"> (as </w:t>
      </w:r>
      <w:proofErr w:type="spellStart"/>
      <w:r w:rsidRPr="0091433C">
        <w:rPr>
          <w:szCs w:val="22"/>
        </w:rPr>
        <w:t>ditartrate</w:t>
      </w:r>
      <w:proofErr w:type="spellEnd"/>
      <w:r w:rsidRPr="0091433C">
        <w:rPr>
          <w:szCs w:val="22"/>
        </w:rPr>
        <w:t>)</w:t>
      </w:r>
      <w:r w:rsidR="00053AD0">
        <w:rPr>
          <w:szCs w:val="22"/>
        </w:rPr>
        <w:t xml:space="preserve"> </w:t>
      </w:r>
      <w:r w:rsidR="00053AD0" w:rsidRPr="00DE6EBD">
        <w:t xml:space="preserve">for treatment of adult patients with advanced or metastatic transitional cell carcinoma of the </w:t>
      </w:r>
      <w:proofErr w:type="spellStart"/>
      <w:r w:rsidR="00053AD0" w:rsidRPr="00DE6EBD">
        <w:t>urothelial</w:t>
      </w:r>
      <w:proofErr w:type="spellEnd"/>
      <w:r w:rsidR="00053AD0" w:rsidRPr="00DE6EBD">
        <w:t xml:space="preserve"> tract (TCCU) after failure of a prior platinum-containing regimen</w:t>
      </w:r>
      <w:r w:rsidRPr="0091433C">
        <w:rPr>
          <w:bCs/>
          <w:szCs w:val="22"/>
          <w:lang w:val="en-GB"/>
        </w:rPr>
        <w:t>, on the basis</w:t>
      </w:r>
      <w:r w:rsidR="00876C70" w:rsidRPr="0091433C">
        <w:rPr>
          <w:bCs/>
          <w:szCs w:val="22"/>
          <w:lang w:val="en-GB"/>
        </w:rPr>
        <w:t xml:space="preserve"> </w:t>
      </w:r>
      <w:r w:rsidR="00876C70" w:rsidRPr="0091433C">
        <w:t xml:space="preserve">of </w:t>
      </w:r>
      <w:r w:rsidR="00A96A05">
        <w:t xml:space="preserve">insufficient evidence of </w:t>
      </w:r>
      <w:r w:rsidR="00FA719B" w:rsidRPr="0091433C">
        <w:t>comparative</w:t>
      </w:r>
      <w:r w:rsidR="00876C70" w:rsidRPr="0091433C">
        <w:t xml:space="preserve"> clinical benefit </w:t>
      </w:r>
      <w:r w:rsidR="00FA719B" w:rsidRPr="0091433C">
        <w:t xml:space="preserve">compared to alternative treatments </w:t>
      </w:r>
      <w:r w:rsidR="00876C70" w:rsidRPr="0091433C">
        <w:t>and a high and highly uncertain incremental cost-effectiveness ratio.</w:t>
      </w:r>
      <w:r w:rsidRPr="0091433C">
        <w:rPr>
          <w:bCs/>
          <w:szCs w:val="22"/>
          <w:lang w:val="en-GB"/>
        </w:rPr>
        <w:t xml:space="preserve"> </w:t>
      </w:r>
    </w:p>
    <w:p w:rsidR="002A364D" w:rsidRPr="0091433C" w:rsidRDefault="002A364D" w:rsidP="002A364D">
      <w:pPr>
        <w:ind w:left="720"/>
        <w:contextualSpacing/>
        <w:rPr>
          <w:bCs/>
          <w:szCs w:val="22"/>
          <w:lang w:val="en-GB"/>
        </w:rPr>
      </w:pPr>
    </w:p>
    <w:p w:rsidR="002A364D" w:rsidRPr="00DE6EBD" w:rsidRDefault="007B2F2D" w:rsidP="00422A51">
      <w:pPr>
        <w:numPr>
          <w:ilvl w:val="1"/>
          <w:numId w:val="2"/>
        </w:numPr>
        <w:contextualSpacing/>
        <w:rPr>
          <w:bCs/>
          <w:szCs w:val="22"/>
          <w:lang w:val="en-GB"/>
        </w:rPr>
      </w:pPr>
      <w:r w:rsidRPr="0091433C">
        <w:rPr>
          <w:bCs/>
          <w:szCs w:val="22"/>
          <w:lang w:val="en-GB"/>
        </w:rPr>
        <w:t>The</w:t>
      </w:r>
      <w:r>
        <w:rPr>
          <w:bCs/>
          <w:szCs w:val="22"/>
          <w:lang w:val="en-GB"/>
        </w:rPr>
        <w:t xml:space="preserve"> PBAC noted </w:t>
      </w:r>
      <w:r w:rsidR="002E1C8E">
        <w:rPr>
          <w:bCs/>
          <w:szCs w:val="22"/>
          <w:lang w:val="en-GB"/>
        </w:rPr>
        <w:t>the proposed restriction in the resubmission. The PBAC considered the clinical criterion of ‘</w:t>
      </w:r>
      <w:r w:rsidR="002E1C8E" w:rsidRPr="002E1C8E">
        <w:rPr>
          <w:bCs/>
          <w:szCs w:val="22"/>
          <w:lang w:val="en-GB"/>
        </w:rPr>
        <w:t>Patient must have failed a platinum-containing regimen for this condition</w:t>
      </w:r>
      <w:r w:rsidR="002E1C8E">
        <w:rPr>
          <w:bCs/>
          <w:szCs w:val="22"/>
          <w:lang w:val="en-GB"/>
        </w:rPr>
        <w:t xml:space="preserve">’ would more closely align with the TGA indication for </w:t>
      </w:r>
      <w:proofErr w:type="spellStart"/>
      <w:r w:rsidR="002E1C8E">
        <w:rPr>
          <w:bCs/>
          <w:szCs w:val="22"/>
          <w:lang w:val="en-GB"/>
        </w:rPr>
        <w:t>vinflunine</w:t>
      </w:r>
      <w:proofErr w:type="spellEnd"/>
      <w:r w:rsidR="0091433C">
        <w:rPr>
          <w:bCs/>
          <w:szCs w:val="22"/>
          <w:lang w:val="en-GB"/>
        </w:rPr>
        <w:t xml:space="preserve"> than the proposed wording</w:t>
      </w:r>
      <w:r w:rsidR="002E1C8E">
        <w:rPr>
          <w:bCs/>
          <w:szCs w:val="22"/>
          <w:lang w:val="en-GB"/>
        </w:rPr>
        <w:t xml:space="preserve">. </w:t>
      </w:r>
      <w:r w:rsidR="00CB0EA6">
        <w:rPr>
          <w:bCs/>
          <w:szCs w:val="22"/>
          <w:lang w:val="en-GB"/>
        </w:rPr>
        <w:t xml:space="preserve">The PBAC recalled that </w:t>
      </w:r>
      <w:r w:rsidR="00CB0EA6">
        <w:t xml:space="preserve">patients who had received </w:t>
      </w:r>
      <w:proofErr w:type="spellStart"/>
      <w:r w:rsidR="00CB0EA6">
        <w:t>neoadjuvant</w:t>
      </w:r>
      <w:proofErr w:type="spellEnd"/>
      <w:r w:rsidR="00CB0EA6">
        <w:t xml:space="preserve"> or adjuvant treatment were excluded from the trial</w:t>
      </w:r>
      <w:r w:rsidR="0091433C">
        <w:t xml:space="preserve"> </w:t>
      </w:r>
      <w:r w:rsidR="00CB0EA6">
        <w:t xml:space="preserve">(Study 302). </w:t>
      </w:r>
      <w:r w:rsidR="00CB0EA6" w:rsidRPr="00DE6EBD">
        <w:rPr>
          <w:szCs w:val="22"/>
        </w:rPr>
        <w:t xml:space="preserve"> </w:t>
      </w:r>
      <w:r w:rsidR="00CB0EA6">
        <w:rPr>
          <w:szCs w:val="22"/>
        </w:rPr>
        <w:t xml:space="preserve">As </w:t>
      </w:r>
      <w:proofErr w:type="spellStart"/>
      <w:r w:rsidR="00CB0EA6">
        <w:rPr>
          <w:szCs w:val="22"/>
        </w:rPr>
        <w:t>n</w:t>
      </w:r>
      <w:r w:rsidR="00CB0EA6" w:rsidRPr="00DE6EBD">
        <w:rPr>
          <w:szCs w:val="22"/>
        </w:rPr>
        <w:t>eoadjuvant</w:t>
      </w:r>
      <w:proofErr w:type="spellEnd"/>
      <w:r w:rsidR="00CB0EA6" w:rsidRPr="00DE6EBD">
        <w:rPr>
          <w:szCs w:val="22"/>
        </w:rPr>
        <w:t>/adjuvant chemotherapy is recommended for the treatment of localised muscle-invasive tumours</w:t>
      </w:r>
      <w:r w:rsidR="00CB0EA6">
        <w:rPr>
          <w:szCs w:val="22"/>
        </w:rPr>
        <w:t>, the PBAC noted that this</w:t>
      </w:r>
      <w:r w:rsidR="00CB0EA6" w:rsidRPr="00DE6EBD">
        <w:t xml:space="preserve"> criterion </w:t>
      </w:r>
      <w:r w:rsidR="00CB0EA6">
        <w:t xml:space="preserve">would </w:t>
      </w:r>
      <w:r w:rsidR="00CB0EA6" w:rsidRPr="00DE6EBD">
        <w:t xml:space="preserve">likely </w:t>
      </w:r>
      <w:r w:rsidR="00CB0EA6">
        <w:t xml:space="preserve">exclude </w:t>
      </w:r>
      <w:r w:rsidR="00CB0EA6" w:rsidRPr="00DE6EBD">
        <w:t>otherwise eligible patients</w:t>
      </w:r>
      <w:r w:rsidR="00CB0EA6">
        <w:t xml:space="preserve"> who may derive a benefit from the treatment with </w:t>
      </w:r>
      <w:proofErr w:type="spellStart"/>
      <w:r w:rsidR="00CB0EA6">
        <w:t>vinflunine</w:t>
      </w:r>
      <w:proofErr w:type="spellEnd"/>
      <w:r w:rsidR="00CB0EA6">
        <w:t>.</w:t>
      </w:r>
    </w:p>
    <w:p w:rsidR="002A364D" w:rsidRPr="00DE6EBD" w:rsidRDefault="002A364D" w:rsidP="0091433C">
      <w:pPr>
        <w:contextualSpacing/>
        <w:rPr>
          <w:bCs/>
          <w:szCs w:val="22"/>
          <w:lang w:val="en-GB"/>
        </w:rPr>
      </w:pPr>
    </w:p>
    <w:p w:rsidR="002A364D" w:rsidRPr="0091433C" w:rsidRDefault="008E0D87" w:rsidP="00422A51">
      <w:pPr>
        <w:numPr>
          <w:ilvl w:val="1"/>
          <w:numId w:val="2"/>
        </w:numPr>
        <w:contextualSpacing/>
        <w:rPr>
          <w:bCs/>
          <w:szCs w:val="22"/>
          <w:lang w:val="en-GB"/>
        </w:rPr>
      </w:pPr>
      <w:r w:rsidRPr="008E0D87">
        <w:rPr>
          <w:bCs/>
          <w:szCs w:val="22"/>
          <w:lang w:val="en-GB"/>
        </w:rPr>
        <w:t xml:space="preserve">In regards to the comparator, the PBAC noted that the </w:t>
      </w:r>
      <w:r w:rsidRPr="00DE6EBD">
        <w:t>ESC considered that comparisons against both active chemotherapy and BSC were relevant</w:t>
      </w:r>
      <w:r w:rsidRPr="008E0D87">
        <w:rPr>
          <w:bCs/>
          <w:szCs w:val="22"/>
          <w:lang w:val="en-GB"/>
        </w:rPr>
        <w:t xml:space="preserve">. The PBAC </w:t>
      </w:r>
      <w:r w:rsidR="0091433C" w:rsidRPr="008E0D87">
        <w:rPr>
          <w:bCs/>
          <w:szCs w:val="22"/>
          <w:lang w:val="en-GB"/>
        </w:rPr>
        <w:t>reiterated</w:t>
      </w:r>
      <w:r w:rsidRPr="008E0D87">
        <w:rPr>
          <w:bCs/>
          <w:szCs w:val="22"/>
          <w:lang w:val="en-GB"/>
        </w:rPr>
        <w:t xml:space="preserve"> their view from November 2011 </w:t>
      </w:r>
      <w:r>
        <w:t xml:space="preserve">that whilst </w:t>
      </w:r>
      <w:r w:rsidRPr="00394C3E">
        <w:t xml:space="preserve">BSC is an appropriate comparator in determining the efficacy of </w:t>
      </w:r>
      <w:proofErr w:type="spellStart"/>
      <w:r w:rsidRPr="00394C3E">
        <w:t>vinflunine</w:t>
      </w:r>
      <w:proofErr w:type="spellEnd"/>
      <w:r w:rsidRPr="00394C3E">
        <w:t xml:space="preserve">, it is not relevant in Australian clinical practice as </w:t>
      </w:r>
      <w:proofErr w:type="spellStart"/>
      <w:r w:rsidRPr="00394C3E">
        <w:t>vinflunine</w:t>
      </w:r>
      <w:proofErr w:type="spellEnd"/>
      <w:r w:rsidRPr="00394C3E">
        <w:t xml:space="preserve"> will likely replace or defer other drugs.</w:t>
      </w:r>
      <w:r>
        <w:t xml:space="preserve"> The PBAC considered that c</w:t>
      </w:r>
      <w:r w:rsidRPr="002A229E">
        <w:t xml:space="preserve">urrent standard of care </w:t>
      </w:r>
      <w:r>
        <w:t xml:space="preserve">is </w:t>
      </w:r>
      <w:r w:rsidRPr="002A229E">
        <w:t xml:space="preserve">preferable for </w:t>
      </w:r>
      <w:r>
        <w:t xml:space="preserve">the determination of </w:t>
      </w:r>
      <w:r w:rsidRPr="002A229E">
        <w:t>relative effectiveness</w:t>
      </w:r>
      <w:r>
        <w:t xml:space="preserve"> and therefore the translatability of the trial data to the proposed use in Australia is an area of significant uncertainty. </w:t>
      </w:r>
    </w:p>
    <w:p w:rsidR="0091433C" w:rsidRPr="008E0D87" w:rsidRDefault="0091433C" w:rsidP="0091433C">
      <w:pPr>
        <w:contextualSpacing/>
        <w:rPr>
          <w:bCs/>
          <w:szCs w:val="22"/>
          <w:lang w:val="en-GB"/>
        </w:rPr>
      </w:pPr>
    </w:p>
    <w:p w:rsidR="0091433C" w:rsidRPr="0091433C" w:rsidRDefault="00084971" w:rsidP="0091433C">
      <w:pPr>
        <w:numPr>
          <w:ilvl w:val="1"/>
          <w:numId w:val="2"/>
        </w:numPr>
        <w:contextualSpacing/>
        <w:rPr>
          <w:bCs/>
          <w:szCs w:val="22"/>
          <w:lang w:val="en-GB"/>
        </w:rPr>
      </w:pPr>
      <w:r>
        <w:rPr>
          <w:bCs/>
          <w:szCs w:val="22"/>
          <w:lang w:val="en-GB"/>
        </w:rPr>
        <w:t>The PBAC noted that the re</w:t>
      </w:r>
      <w:r w:rsidR="00FA719B">
        <w:t xml:space="preserve">submission presented </w:t>
      </w:r>
      <w:r w:rsidR="00FA719B" w:rsidRPr="00860871">
        <w:t>one randomised</w:t>
      </w:r>
      <w:r w:rsidR="00FA719B">
        <w:t>,</w:t>
      </w:r>
      <w:r w:rsidR="00FA719B" w:rsidRPr="00860871">
        <w:t xml:space="preserve"> </w:t>
      </w:r>
      <w:proofErr w:type="spellStart"/>
      <w:r w:rsidR="00FA719B" w:rsidRPr="00860871">
        <w:t>unblinded</w:t>
      </w:r>
      <w:proofErr w:type="spellEnd"/>
      <w:r w:rsidR="00FA719B" w:rsidRPr="00860871">
        <w:t xml:space="preserve"> trial </w:t>
      </w:r>
      <w:r w:rsidR="00FA719B">
        <w:t>(Study 302)</w:t>
      </w:r>
      <w:r>
        <w:t>, as in the November 2011 submission,</w:t>
      </w:r>
      <w:r w:rsidR="00FA719B">
        <w:t xml:space="preserve"> </w:t>
      </w:r>
      <w:r w:rsidR="00FA719B" w:rsidRPr="00860871">
        <w:t xml:space="preserve">comparing </w:t>
      </w:r>
      <w:proofErr w:type="spellStart"/>
      <w:r w:rsidR="00FA719B" w:rsidRPr="00860871">
        <w:t>vinflunine</w:t>
      </w:r>
      <w:proofErr w:type="spellEnd"/>
      <w:r w:rsidR="00FA719B" w:rsidRPr="00860871">
        <w:t xml:space="preserve"> (280mg/m</w:t>
      </w:r>
      <w:r w:rsidR="00FA719B" w:rsidRPr="00860871">
        <w:rPr>
          <w:vertAlign w:val="superscript"/>
        </w:rPr>
        <w:t>2</w:t>
      </w:r>
      <w:r w:rsidR="00FA719B" w:rsidRPr="00860871">
        <w:t xml:space="preserve"> or 320mg/m</w:t>
      </w:r>
      <w:r w:rsidR="00FA719B" w:rsidRPr="00860871">
        <w:rPr>
          <w:vertAlign w:val="superscript"/>
        </w:rPr>
        <w:t>2</w:t>
      </w:r>
      <w:r w:rsidR="00FA719B" w:rsidRPr="00860871">
        <w:t xml:space="preserve"> every three weeks) and BSC with BSC alone in patients with advanced or metastatic TCCU after failure of a prior platinum-containing regimen</w:t>
      </w:r>
      <w:r w:rsidR="0091433C">
        <w:t xml:space="preserve"> as the key clinical trial. </w:t>
      </w:r>
    </w:p>
    <w:p w:rsidR="0091433C" w:rsidRDefault="0091433C" w:rsidP="0091433C">
      <w:pPr>
        <w:pStyle w:val="ListParagraph"/>
      </w:pPr>
    </w:p>
    <w:p w:rsidR="002A364D" w:rsidRPr="0091433C" w:rsidRDefault="00FA719B" w:rsidP="0091433C">
      <w:pPr>
        <w:numPr>
          <w:ilvl w:val="1"/>
          <w:numId w:val="2"/>
        </w:numPr>
        <w:contextualSpacing/>
        <w:rPr>
          <w:bCs/>
          <w:szCs w:val="22"/>
          <w:lang w:val="en-GB"/>
        </w:rPr>
      </w:pPr>
      <w:r>
        <w:t xml:space="preserve">The PBAC </w:t>
      </w:r>
      <w:r w:rsidR="002E173C">
        <w:t xml:space="preserve">recalled at the November 2011 consideration that the Committee </w:t>
      </w:r>
      <w:r>
        <w:t xml:space="preserve">accepted that </w:t>
      </w:r>
      <w:proofErr w:type="spellStart"/>
      <w:r>
        <w:t>vinflunine</w:t>
      </w:r>
      <w:proofErr w:type="spellEnd"/>
      <w:r>
        <w:t xml:space="preserve"> i</w:t>
      </w:r>
      <w:r w:rsidRPr="003B2674">
        <w:t>s superior in te</w:t>
      </w:r>
      <w:r>
        <w:t>rms of comparative efficacy over BSC but noted that the</w:t>
      </w:r>
      <w:r w:rsidRPr="003B2674">
        <w:t xml:space="preserve"> increment in overall survi</w:t>
      </w:r>
      <w:r>
        <w:t>val is uncertain and, at best, is between 2.3 (ITT) and 2.6</w:t>
      </w:r>
      <w:r w:rsidRPr="003B2674">
        <w:t xml:space="preserve"> months</w:t>
      </w:r>
      <w:r>
        <w:t xml:space="preserve"> (eligible ITT) </w:t>
      </w:r>
      <w:r w:rsidRPr="004031D7">
        <w:t>and was at a cost of signifi</w:t>
      </w:r>
      <w:r>
        <w:t xml:space="preserve">cant treatment-related toxicity.  The PBAC agreed that </w:t>
      </w:r>
      <w:proofErr w:type="spellStart"/>
      <w:r>
        <w:t>vinflunine</w:t>
      </w:r>
      <w:proofErr w:type="spellEnd"/>
      <w:r>
        <w:t xml:space="preserve"> is</w:t>
      </w:r>
      <w:r w:rsidRPr="003B2674">
        <w:t xml:space="preserve"> inferior in terms of comparative safety over best supportive care.</w:t>
      </w:r>
      <w:r>
        <w:t xml:space="preserve">  The PBAC considered that r</w:t>
      </w:r>
      <w:r w:rsidRPr="00116A39">
        <w:t>ealising the possi</w:t>
      </w:r>
      <w:r>
        <w:t xml:space="preserve">ble beneficial effects of </w:t>
      </w:r>
      <w:proofErr w:type="spellStart"/>
      <w:r>
        <w:t>v</w:t>
      </w:r>
      <w:r w:rsidRPr="00116A39">
        <w:t>influnine</w:t>
      </w:r>
      <w:proofErr w:type="spellEnd"/>
      <w:r w:rsidRPr="00116A39">
        <w:t xml:space="preserve"> in clini</w:t>
      </w:r>
      <w:r>
        <w:t>cal practice may be</w:t>
      </w:r>
      <w:r w:rsidRPr="00116A39">
        <w:t xml:space="preserve"> challenging because </w:t>
      </w:r>
      <w:r>
        <w:t xml:space="preserve">patient’s age (likely to be older in clinical practice), </w:t>
      </w:r>
      <w:r w:rsidR="00DB6A29">
        <w:t xml:space="preserve">any </w:t>
      </w:r>
      <w:r>
        <w:t>previous radiotherapy</w:t>
      </w:r>
      <w:r w:rsidR="00DB6A29">
        <w:t>,</w:t>
      </w:r>
      <w:r>
        <w:t xml:space="preserve"> and </w:t>
      </w:r>
      <w:r w:rsidR="00DB6A29">
        <w:t xml:space="preserve">impaired </w:t>
      </w:r>
      <w:r>
        <w:t>performance status</w:t>
      </w:r>
      <w:r w:rsidR="00DB6A29">
        <w:t xml:space="preserve"> </w:t>
      </w:r>
      <w:r w:rsidR="00483641">
        <w:t>may adversely</w:t>
      </w:r>
      <w:r w:rsidR="00DB6A29">
        <w:t xml:space="preserve"> affect </w:t>
      </w:r>
      <w:r w:rsidRPr="00116A39">
        <w:t>ability to adhe</w:t>
      </w:r>
      <w:r>
        <w:t xml:space="preserve">re to the dose escalation protocols.  In this regard, </w:t>
      </w:r>
      <w:proofErr w:type="spellStart"/>
      <w:r>
        <w:t>vinflunine</w:t>
      </w:r>
      <w:proofErr w:type="spellEnd"/>
      <w:r>
        <w:t xml:space="preserve"> also appears to have a narrow therapeutic window.  The PBAC acknowledged that although </w:t>
      </w:r>
      <w:proofErr w:type="spellStart"/>
      <w:r>
        <w:t>vinflunine</w:t>
      </w:r>
      <w:proofErr w:type="spellEnd"/>
      <w:r>
        <w:t xml:space="preserve"> may have </w:t>
      </w:r>
      <w:r w:rsidRPr="005F184C">
        <w:t xml:space="preserve">efficacy in </w:t>
      </w:r>
      <w:r>
        <w:t xml:space="preserve">some </w:t>
      </w:r>
      <w:r w:rsidRPr="005F184C">
        <w:t>patients with high clinical need, the magnitude o</w:t>
      </w:r>
      <w:r>
        <w:t xml:space="preserve">f survival gain is uncertain </w:t>
      </w:r>
      <w:r w:rsidR="00347D03">
        <w:t xml:space="preserve">and </w:t>
      </w:r>
      <w:r w:rsidR="0087435B">
        <w:t xml:space="preserve">at best </w:t>
      </w:r>
      <w:r>
        <w:t>less than 3 months</w:t>
      </w:r>
      <w:r w:rsidR="00347D03">
        <w:t>,</w:t>
      </w:r>
      <w:r>
        <w:t xml:space="preserve"> and this benefit is at the expense of </w:t>
      </w:r>
      <w:r w:rsidRPr="005F184C">
        <w:t>significant toxicity</w:t>
      </w:r>
      <w:r>
        <w:t xml:space="preserve">.  Therefore, the PBAC considered that there is </w:t>
      </w:r>
      <w:r w:rsidR="00CF6A5B">
        <w:t xml:space="preserve">insufficient evidence of a </w:t>
      </w:r>
      <w:r>
        <w:t xml:space="preserve">clinical place </w:t>
      </w:r>
      <w:r w:rsidR="00CF6A5B">
        <w:t xml:space="preserve">for </w:t>
      </w:r>
      <w:proofErr w:type="spellStart"/>
      <w:r>
        <w:t>vinflunine</w:t>
      </w:r>
      <w:proofErr w:type="spellEnd"/>
      <w:r w:rsidR="0091433C">
        <w:t xml:space="preserve">. </w:t>
      </w:r>
    </w:p>
    <w:p w:rsidR="0091433C" w:rsidRPr="0091433C" w:rsidRDefault="0091433C" w:rsidP="0091433C">
      <w:pPr>
        <w:contextualSpacing/>
        <w:rPr>
          <w:bCs/>
          <w:szCs w:val="22"/>
          <w:lang w:val="en-GB"/>
        </w:rPr>
      </w:pPr>
    </w:p>
    <w:p w:rsidR="00946B94" w:rsidRDefault="00746FDD" w:rsidP="00422A51">
      <w:pPr>
        <w:numPr>
          <w:ilvl w:val="1"/>
          <w:numId w:val="2"/>
        </w:numPr>
        <w:contextualSpacing/>
        <w:rPr>
          <w:bCs/>
          <w:szCs w:val="22"/>
          <w:lang w:val="en-GB"/>
        </w:rPr>
      </w:pPr>
      <w:r>
        <w:t>The PBAC reiterated their view from November 2011 that whilst</w:t>
      </w:r>
      <w:r w:rsidRPr="00153289">
        <w:t xml:space="preserve"> the eligible ITT population may be reasonable to assess the efficacy of </w:t>
      </w:r>
      <w:proofErr w:type="spellStart"/>
      <w:r w:rsidRPr="00153289">
        <w:t>vinflunine</w:t>
      </w:r>
      <w:proofErr w:type="spellEnd"/>
      <w:r w:rsidRPr="00153289">
        <w:t xml:space="preserve">, the ITT population should be used in considering the effectiveness of </w:t>
      </w:r>
      <w:proofErr w:type="spellStart"/>
      <w:r w:rsidRPr="00153289">
        <w:t>vinflunine</w:t>
      </w:r>
      <w:proofErr w:type="spellEnd"/>
      <w:r w:rsidRPr="00153289">
        <w:t xml:space="preserve"> as the ITT population more closely approximates the likely PBS population</w:t>
      </w:r>
      <w:r w:rsidR="0091433C">
        <w:t>.</w:t>
      </w:r>
    </w:p>
    <w:p w:rsidR="00946B94" w:rsidRDefault="00946B94" w:rsidP="00946B94">
      <w:pPr>
        <w:pStyle w:val="ListParagraph"/>
        <w:rPr>
          <w:bCs/>
          <w:szCs w:val="22"/>
          <w:lang w:val="en-GB"/>
        </w:rPr>
      </w:pPr>
    </w:p>
    <w:p w:rsidR="00946B94" w:rsidRDefault="00946B94" w:rsidP="00422A51">
      <w:pPr>
        <w:numPr>
          <w:ilvl w:val="1"/>
          <w:numId w:val="2"/>
        </w:numPr>
        <w:contextualSpacing/>
        <w:rPr>
          <w:bCs/>
          <w:szCs w:val="22"/>
          <w:lang w:val="en-GB"/>
        </w:rPr>
      </w:pPr>
      <w:r>
        <w:rPr>
          <w:bCs/>
          <w:szCs w:val="22"/>
          <w:lang w:val="en-GB"/>
        </w:rPr>
        <w:t>The PBAC considered that the resubmission had not supported a claim of s</w:t>
      </w:r>
      <w:r w:rsidRPr="00946B94">
        <w:rPr>
          <w:bCs/>
          <w:szCs w:val="22"/>
          <w:lang w:val="en-GB"/>
        </w:rPr>
        <w:t xml:space="preserve">uperior efficacy of </w:t>
      </w:r>
      <w:proofErr w:type="spellStart"/>
      <w:r w:rsidRPr="00946B94">
        <w:rPr>
          <w:bCs/>
          <w:szCs w:val="22"/>
          <w:lang w:val="en-GB"/>
        </w:rPr>
        <w:t>vinflunine</w:t>
      </w:r>
      <w:proofErr w:type="spellEnd"/>
      <w:r w:rsidRPr="00946B94">
        <w:rPr>
          <w:bCs/>
          <w:szCs w:val="22"/>
          <w:lang w:val="en-GB"/>
        </w:rPr>
        <w:t xml:space="preserve"> versus active chemotherapy. </w:t>
      </w:r>
      <w:r>
        <w:rPr>
          <w:bCs/>
          <w:szCs w:val="22"/>
          <w:lang w:val="en-GB"/>
        </w:rPr>
        <w:t xml:space="preserve">The PBAC noted that: </w:t>
      </w:r>
    </w:p>
    <w:p w:rsidR="00946B94" w:rsidRDefault="00946B94" w:rsidP="00946B94">
      <w:pPr>
        <w:pStyle w:val="ListParagraph"/>
        <w:rPr>
          <w:bCs/>
          <w:szCs w:val="22"/>
          <w:lang w:val="en-GB"/>
        </w:rPr>
      </w:pPr>
    </w:p>
    <w:p w:rsidR="00946B94" w:rsidRDefault="00946B94" w:rsidP="00422A51">
      <w:pPr>
        <w:numPr>
          <w:ilvl w:val="1"/>
          <w:numId w:val="13"/>
        </w:numPr>
        <w:contextualSpacing/>
        <w:rPr>
          <w:bCs/>
          <w:szCs w:val="22"/>
          <w:lang w:val="en-GB"/>
        </w:rPr>
      </w:pPr>
      <w:r w:rsidRPr="00946B94">
        <w:rPr>
          <w:bCs/>
          <w:szCs w:val="22"/>
          <w:lang w:val="en-GB"/>
        </w:rPr>
        <w:t xml:space="preserve">There are only single arm studies for the active chemotherapy comparator. </w:t>
      </w:r>
    </w:p>
    <w:p w:rsidR="00946B94" w:rsidRDefault="00946B94" w:rsidP="00946B94">
      <w:pPr>
        <w:pStyle w:val="ListParagraph"/>
        <w:rPr>
          <w:bCs/>
          <w:szCs w:val="22"/>
          <w:lang w:val="en-GB"/>
        </w:rPr>
      </w:pPr>
    </w:p>
    <w:p w:rsidR="00946B94" w:rsidRDefault="00946B94" w:rsidP="00422A51">
      <w:pPr>
        <w:numPr>
          <w:ilvl w:val="1"/>
          <w:numId w:val="13"/>
        </w:numPr>
        <w:contextualSpacing/>
        <w:rPr>
          <w:bCs/>
          <w:szCs w:val="22"/>
          <w:lang w:val="en-GB"/>
        </w:rPr>
      </w:pPr>
      <w:r w:rsidRPr="00946B94">
        <w:rPr>
          <w:bCs/>
          <w:szCs w:val="22"/>
          <w:lang w:val="en-GB"/>
        </w:rPr>
        <w:t xml:space="preserve">The patient populations in the 20 included studies varied with respect to chemotherapy regimens and criteria regarding prior treatment. </w:t>
      </w:r>
    </w:p>
    <w:p w:rsidR="00946B94" w:rsidRDefault="00946B94" w:rsidP="00946B94">
      <w:pPr>
        <w:pStyle w:val="ListParagraph"/>
        <w:rPr>
          <w:bCs/>
          <w:szCs w:val="22"/>
          <w:lang w:val="en-GB"/>
        </w:rPr>
      </w:pPr>
    </w:p>
    <w:p w:rsidR="00946B94" w:rsidRPr="00946B94" w:rsidRDefault="00946B94" w:rsidP="00422A51">
      <w:pPr>
        <w:numPr>
          <w:ilvl w:val="1"/>
          <w:numId w:val="13"/>
        </w:numPr>
        <w:contextualSpacing/>
        <w:rPr>
          <w:bCs/>
          <w:szCs w:val="22"/>
          <w:lang w:val="en-GB"/>
        </w:rPr>
      </w:pPr>
      <w:r w:rsidRPr="00946B94">
        <w:rPr>
          <w:bCs/>
          <w:szCs w:val="22"/>
          <w:lang w:val="en-GB"/>
        </w:rPr>
        <w:t xml:space="preserve">The median OS in the comparator studies (3.1 to 12.6 months) overlapped with the range reported for </w:t>
      </w:r>
      <w:proofErr w:type="spellStart"/>
      <w:r w:rsidRPr="00946B94">
        <w:rPr>
          <w:bCs/>
          <w:szCs w:val="22"/>
          <w:lang w:val="en-GB"/>
        </w:rPr>
        <w:t>vinflunine</w:t>
      </w:r>
      <w:proofErr w:type="spellEnd"/>
      <w:r w:rsidRPr="00946B94">
        <w:rPr>
          <w:bCs/>
          <w:szCs w:val="22"/>
          <w:lang w:val="en-GB"/>
        </w:rPr>
        <w:t xml:space="preserve"> (6.9 to 10 months).</w:t>
      </w:r>
    </w:p>
    <w:p w:rsidR="00946B94" w:rsidRDefault="00946B94" w:rsidP="003C3727">
      <w:pPr>
        <w:ind w:left="720"/>
        <w:contextualSpacing/>
        <w:rPr>
          <w:bCs/>
          <w:szCs w:val="22"/>
          <w:lang w:val="en-GB"/>
        </w:rPr>
      </w:pPr>
    </w:p>
    <w:p w:rsidR="002A364D" w:rsidRPr="003C3727" w:rsidRDefault="00946B94" w:rsidP="00422A51">
      <w:pPr>
        <w:numPr>
          <w:ilvl w:val="1"/>
          <w:numId w:val="2"/>
        </w:numPr>
        <w:contextualSpacing/>
        <w:rPr>
          <w:bCs/>
          <w:szCs w:val="22"/>
          <w:lang w:val="en-GB"/>
        </w:rPr>
      </w:pPr>
      <w:r w:rsidRPr="00DE6EBD">
        <w:t xml:space="preserve">The </w:t>
      </w:r>
      <w:r>
        <w:t>PBAC agreed with th</w:t>
      </w:r>
      <w:r w:rsidR="00D7502F">
        <w:t>e</w:t>
      </w:r>
      <w:r>
        <w:t xml:space="preserve"> </w:t>
      </w:r>
      <w:r w:rsidRPr="00DE6EBD">
        <w:t xml:space="preserve">ESC that the safety of </w:t>
      </w:r>
      <w:proofErr w:type="spellStart"/>
      <w:r w:rsidRPr="00DE6EBD">
        <w:t>vinflunine</w:t>
      </w:r>
      <w:proofErr w:type="spellEnd"/>
      <w:r w:rsidRPr="00DE6EBD">
        <w:t xml:space="preserve"> was likely to be similar to active chemotherapy</w:t>
      </w:r>
      <w:r>
        <w:t xml:space="preserve">. </w:t>
      </w:r>
    </w:p>
    <w:p w:rsidR="003C3727" w:rsidRPr="00946B94" w:rsidRDefault="003C3727" w:rsidP="003C3727">
      <w:pPr>
        <w:contextualSpacing/>
        <w:rPr>
          <w:bCs/>
          <w:szCs w:val="22"/>
          <w:lang w:val="en-GB"/>
        </w:rPr>
      </w:pPr>
    </w:p>
    <w:p w:rsidR="00BF6100" w:rsidRDefault="00814B9E" w:rsidP="00BF6100">
      <w:pPr>
        <w:numPr>
          <w:ilvl w:val="1"/>
          <w:numId w:val="2"/>
        </w:numPr>
        <w:contextualSpacing/>
        <w:rPr>
          <w:bCs/>
          <w:szCs w:val="22"/>
          <w:lang w:val="en-GB"/>
        </w:rPr>
      </w:pPr>
      <w:r>
        <w:rPr>
          <w:bCs/>
          <w:szCs w:val="22"/>
          <w:lang w:val="en-GB"/>
        </w:rPr>
        <w:t>In the economic analysis, t</w:t>
      </w:r>
      <w:r w:rsidR="00946B94">
        <w:rPr>
          <w:bCs/>
          <w:szCs w:val="22"/>
          <w:lang w:val="en-GB"/>
        </w:rPr>
        <w:t xml:space="preserve">he PBAC considered that </w:t>
      </w:r>
      <w:r w:rsidR="003C3727">
        <w:rPr>
          <w:bCs/>
          <w:szCs w:val="22"/>
          <w:lang w:val="en-GB"/>
        </w:rPr>
        <w:t xml:space="preserve">the </w:t>
      </w:r>
      <w:r w:rsidR="00946B94">
        <w:rPr>
          <w:bCs/>
          <w:szCs w:val="22"/>
          <w:lang w:val="en-GB"/>
        </w:rPr>
        <w:t xml:space="preserve">assumption </w:t>
      </w:r>
      <w:r w:rsidRPr="00DE6EBD">
        <w:t>of no difference in PFS and OS between active chemotherapy and BSC</w:t>
      </w:r>
      <w:r>
        <w:rPr>
          <w:bCs/>
          <w:szCs w:val="22"/>
          <w:lang w:val="en-GB"/>
        </w:rPr>
        <w:t xml:space="preserve"> would </w:t>
      </w:r>
      <w:r w:rsidR="003C3727">
        <w:rPr>
          <w:bCs/>
          <w:szCs w:val="22"/>
          <w:lang w:val="en-GB"/>
        </w:rPr>
        <w:t xml:space="preserve">likely overestimate the comparative efficacy of </w:t>
      </w:r>
      <w:proofErr w:type="spellStart"/>
      <w:r w:rsidR="003C3727">
        <w:rPr>
          <w:bCs/>
          <w:szCs w:val="22"/>
          <w:lang w:val="en-GB"/>
        </w:rPr>
        <w:t>vinflunine</w:t>
      </w:r>
      <w:proofErr w:type="spellEnd"/>
      <w:r w:rsidR="003C3727">
        <w:rPr>
          <w:bCs/>
          <w:szCs w:val="22"/>
          <w:lang w:val="en-GB"/>
        </w:rPr>
        <w:t xml:space="preserve"> in the model. In addition, t</w:t>
      </w:r>
      <w:r w:rsidR="00A73AD1" w:rsidRPr="003C3727">
        <w:rPr>
          <w:bCs/>
          <w:szCs w:val="22"/>
          <w:lang w:val="en-GB"/>
        </w:rPr>
        <w:t xml:space="preserve">he PBAC noted that the model was </w:t>
      </w:r>
      <w:r w:rsidR="00084971" w:rsidRPr="003C3727">
        <w:rPr>
          <w:bCs/>
          <w:szCs w:val="22"/>
          <w:lang w:val="en-GB"/>
        </w:rPr>
        <w:t xml:space="preserve">sensitive to the population used in the analysis. </w:t>
      </w:r>
      <w:r w:rsidR="00A73AD1" w:rsidRPr="001278BF">
        <w:t xml:space="preserve">The PBAC </w:t>
      </w:r>
      <w:r w:rsidR="00A73AD1">
        <w:t xml:space="preserve">recalled their view from the November 2011 </w:t>
      </w:r>
      <w:r w:rsidR="00A73AD1" w:rsidRPr="001278BF">
        <w:t xml:space="preserve">that the results from this analysis are uncertain as they are based on the eligible ITT population rather than the ITT population. </w:t>
      </w:r>
      <w:r w:rsidR="00A73AD1">
        <w:t xml:space="preserve"> </w:t>
      </w:r>
      <w:r w:rsidR="00A73AD1" w:rsidRPr="001278BF">
        <w:t xml:space="preserve">The overall survival gain in the ITT population was less than observed in the eligible ITT and was not statistically significant. </w:t>
      </w:r>
      <w:r w:rsidR="00A73AD1">
        <w:t xml:space="preserve"> The PBAC considered that the results are highly uncertain as they are based on the eligible ITT population rather than the ITT population.</w:t>
      </w:r>
      <w:r w:rsidR="003C3727">
        <w:rPr>
          <w:bCs/>
          <w:szCs w:val="22"/>
          <w:lang w:val="en-GB"/>
        </w:rPr>
        <w:t xml:space="preserve"> </w:t>
      </w:r>
      <w:r w:rsidR="003C3727" w:rsidRPr="003C3727">
        <w:rPr>
          <w:bCs/>
          <w:szCs w:val="22"/>
          <w:lang w:val="en-GB"/>
        </w:rPr>
        <w:t>In this resubmission, t</w:t>
      </w:r>
      <w:r w:rsidR="00A73AD1" w:rsidRPr="003C3727">
        <w:rPr>
          <w:bCs/>
          <w:szCs w:val="22"/>
          <w:lang w:val="en-GB"/>
        </w:rPr>
        <w:t>he PBAC noted that the u</w:t>
      </w:r>
      <w:r w:rsidR="00084971" w:rsidRPr="003C3727">
        <w:rPr>
          <w:bCs/>
          <w:szCs w:val="22"/>
          <w:lang w:val="en-GB"/>
        </w:rPr>
        <w:t xml:space="preserve">se of the ITT population in a sensitivity analysis increased the cost/QALYG from </w:t>
      </w:r>
      <w:r w:rsidR="00E20F11">
        <w:rPr>
          <w:bCs/>
          <w:szCs w:val="22"/>
          <w:lang w:val="en-GB"/>
        </w:rPr>
        <w:t xml:space="preserve">$45,000 - $75,000 </w:t>
      </w:r>
      <w:r w:rsidR="00084971" w:rsidRPr="003C3727">
        <w:rPr>
          <w:bCs/>
          <w:szCs w:val="22"/>
          <w:lang w:val="en-GB"/>
        </w:rPr>
        <w:t xml:space="preserve">to </w:t>
      </w:r>
      <w:r w:rsidR="00E20F11">
        <w:rPr>
          <w:bCs/>
          <w:szCs w:val="22"/>
          <w:lang w:val="en-GB"/>
        </w:rPr>
        <w:t>$75,000 - $105,000.</w:t>
      </w:r>
      <w:r w:rsidR="00084971" w:rsidRPr="003C3727">
        <w:rPr>
          <w:bCs/>
          <w:szCs w:val="22"/>
          <w:lang w:val="en-GB"/>
        </w:rPr>
        <w:t xml:space="preserve"> </w:t>
      </w:r>
    </w:p>
    <w:p w:rsidR="00BF6100" w:rsidRDefault="00BF6100" w:rsidP="00BF6100">
      <w:pPr>
        <w:pStyle w:val="ListParagraph"/>
        <w:rPr>
          <w:bCs/>
          <w:szCs w:val="22"/>
          <w:lang w:val="en-GB"/>
        </w:rPr>
      </w:pPr>
    </w:p>
    <w:p w:rsidR="002A364D" w:rsidRPr="00BF6100" w:rsidRDefault="00A73AD1" w:rsidP="00BF6100">
      <w:pPr>
        <w:numPr>
          <w:ilvl w:val="1"/>
          <w:numId w:val="2"/>
        </w:numPr>
        <w:contextualSpacing/>
        <w:rPr>
          <w:bCs/>
          <w:szCs w:val="22"/>
          <w:lang w:val="en-GB"/>
        </w:rPr>
      </w:pPr>
      <w:r w:rsidRPr="00BF6100">
        <w:rPr>
          <w:bCs/>
          <w:szCs w:val="22"/>
          <w:lang w:val="en-GB"/>
        </w:rPr>
        <w:t xml:space="preserve">The PBAC </w:t>
      </w:r>
      <w:r w:rsidR="003C3727" w:rsidRPr="00BF6100">
        <w:rPr>
          <w:bCs/>
          <w:szCs w:val="22"/>
          <w:lang w:val="en-GB"/>
        </w:rPr>
        <w:t xml:space="preserve">also </w:t>
      </w:r>
      <w:r w:rsidRPr="00BF6100">
        <w:rPr>
          <w:bCs/>
          <w:szCs w:val="22"/>
          <w:lang w:val="en-GB"/>
        </w:rPr>
        <w:t>noted the concerns of the ESC about the inputs of costs for</w:t>
      </w:r>
      <w:r w:rsidR="003C3727" w:rsidRPr="00BF6100">
        <w:rPr>
          <w:bCs/>
          <w:szCs w:val="22"/>
          <w:lang w:val="en-GB"/>
        </w:rPr>
        <w:t xml:space="preserve"> treating</w:t>
      </w:r>
      <w:r w:rsidRPr="00BF6100">
        <w:rPr>
          <w:bCs/>
          <w:szCs w:val="22"/>
          <w:lang w:val="en-GB"/>
        </w:rPr>
        <w:t xml:space="preserve"> adverse events into the model. The PBAC noted the toxicity profile of </w:t>
      </w:r>
      <w:proofErr w:type="spellStart"/>
      <w:r w:rsidRPr="00BF6100">
        <w:rPr>
          <w:bCs/>
          <w:szCs w:val="22"/>
          <w:lang w:val="en-GB"/>
        </w:rPr>
        <w:t>vinflunine</w:t>
      </w:r>
      <w:proofErr w:type="spellEnd"/>
      <w:r w:rsidRPr="00BF6100">
        <w:rPr>
          <w:bCs/>
          <w:szCs w:val="22"/>
          <w:lang w:val="en-GB"/>
        </w:rPr>
        <w:t xml:space="preserve"> and</w:t>
      </w:r>
      <w:r w:rsidR="00BF6100" w:rsidRPr="00BF6100">
        <w:rPr>
          <w:bCs/>
          <w:szCs w:val="22"/>
          <w:lang w:val="en-GB"/>
        </w:rPr>
        <w:t xml:space="preserve"> </w:t>
      </w:r>
      <w:r w:rsidR="00BF6100" w:rsidRPr="00BF6100">
        <w:rPr>
          <w:szCs w:val="22"/>
        </w:rPr>
        <w:t xml:space="preserve">that doubling the cost of treating AEs associated with </w:t>
      </w:r>
      <w:proofErr w:type="spellStart"/>
      <w:r w:rsidR="00BF6100" w:rsidRPr="00BF6100">
        <w:rPr>
          <w:szCs w:val="22"/>
        </w:rPr>
        <w:t>vinflunine</w:t>
      </w:r>
      <w:proofErr w:type="spellEnd"/>
      <w:r w:rsidR="00BF6100" w:rsidRPr="00BF6100">
        <w:rPr>
          <w:szCs w:val="22"/>
        </w:rPr>
        <w:t xml:space="preserve"> + BSC (from $</w:t>
      </w:r>
      <w:r w:rsidR="001B4E17">
        <w:rPr>
          <w:noProof/>
          <w:color w:val="000000"/>
          <w:szCs w:val="22"/>
          <w:highlight w:val="black"/>
        </w:rPr>
        <w:t>'''''''''''''</w:t>
      </w:r>
      <w:r w:rsidR="00BF6100" w:rsidRPr="00BF6100">
        <w:rPr>
          <w:szCs w:val="22"/>
        </w:rPr>
        <w:t xml:space="preserve"> to $</w:t>
      </w:r>
      <w:r w:rsidR="001B4E17">
        <w:rPr>
          <w:noProof/>
          <w:color w:val="000000"/>
          <w:szCs w:val="22"/>
          <w:highlight w:val="black"/>
        </w:rPr>
        <w:t>''''''''''''''</w:t>
      </w:r>
      <w:r w:rsidR="00BF6100" w:rsidRPr="00BF6100">
        <w:rPr>
          <w:szCs w:val="22"/>
        </w:rPr>
        <w:t>) but not changing the cost of treating BSC AEs ($</w:t>
      </w:r>
      <w:r w:rsidR="001B4E17">
        <w:rPr>
          <w:noProof/>
          <w:color w:val="000000"/>
          <w:szCs w:val="22"/>
          <w:highlight w:val="black"/>
        </w:rPr>
        <w:t>''''''''''''''</w:t>
      </w:r>
      <w:r w:rsidR="00BF6100" w:rsidRPr="00BF6100">
        <w:rPr>
          <w:szCs w:val="22"/>
        </w:rPr>
        <w:t xml:space="preserve">), increased the cost/QALYG from </w:t>
      </w:r>
      <w:r w:rsidR="00BF6100" w:rsidRPr="00BF6100">
        <w:rPr>
          <w:bCs/>
          <w:szCs w:val="22"/>
          <w:lang w:val="en-GB"/>
        </w:rPr>
        <w:t>$</w:t>
      </w:r>
      <w:r w:rsidR="001B4E17">
        <w:rPr>
          <w:bCs/>
          <w:noProof/>
          <w:color w:val="000000"/>
          <w:szCs w:val="22"/>
          <w:highlight w:val="black"/>
          <w:lang w:val="en-GB"/>
        </w:rPr>
        <w:t>'''''''''''''''</w:t>
      </w:r>
      <w:r w:rsidR="00BF6100" w:rsidRPr="00BF6100">
        <w:rPr>
          <w:bCs/>
          <w:szCs w:val="22"/>
          <w:lang w:val="en-GB"/>
        </w:rPr>
        <w:t xml:space="preserve"> </w:t>
      </w:r>
      <w:r w:rsidR="00BF6100" w:rsidRPr="00BF6100">
        <w:rPr>
          <w:szCs w:val="22"/>
        </w:rPr>
        <w:t>to $</w:t>
      </w:r>
      <w:r w:rsidR="001B4E17">
        <w:rPr>
          <w:noProof/>
          <w:color w:val="000000"/>
          <w:szCs w:val="22"/>
          <w:highlight w:val="black"/>
        </w:rPr>
        <w:t>'''''''''''''''''</w:t>
      </w:r>
      <w:r w:rsidR="00BF6100" w:rsidRPr="00BF6100">
        <w:rPr>
          <w:szCs w:val="22"/>
        </w:rPr>
        <w:t>.</w:t>
      </w:r>
    </w:p>
    <w:p w:rsidR="00BF6100" w:rsidRPr="00BF6100" w:rsidRDefault="00BF6100" w:rsidP="00BF6100">
      <w:pPr>
        <w:contextualSpacing/>
        <w:rPr>
          <w:bCs/>
          <w:szCs w:val="22"/>
          <w:lang w:val="en-GB"/>
        </w:rPr>
      </w:pPr>
    </w:p>
    <w:p w:rsidR="002A364D" w:rsidRPr="00DE6EBD" w:rsidRDefault="00352E0A" w:rsidP="00422A51">
      <w:pPr>
        <w:numPr>
          <w:ilvl w:val="1"/>
          <w:numId w:val="2"/>
        </w:numPr>
        <w:contextualSpacing/>
        <w:rPr>
          <w:bCs/>
          <w:szCs w:val="22"/>
          <w:lang w:val="en-GB"/>
        </w:rPr>
      </w:pPr>
      <w:r>
        <w:rPr>
          <w:bCs/>
          <w:szCs w:val="22"/>
          <w:lang w:val="en-GB"/>
        </w:rPr>
        <w:t xml:space="preserve">The PBAC noted that the </w:t>
      </w:r>
      <w:r w:rsidR="00580202">
        <w:rPr>
          <w:bCs/>
          <w:szCs w:val="22"/>
          <w:lang w:val="en-GB"/>
        </w:rPr>
        <w:t>re</w:t>
      </w:r>
      <w:r>
        <w:rPr>
          <w:bCs/>
          <w:szCs w:val="22"/>
          <w:lang w:val="en-GB"/>
        </w:rPr>
        <w:t xml:space="preserve">submission </w:t>
      </w:r>
      <w:r w:rsidR="00580202">
        <w:rPr>
          <w:bCs/>
          <w:szCs w:val="22"/>
          <w:lang w:val="en-GB"/>
        </w:rPr>
        <w:t xml:space="preserve">estimated that </w:t>
      </w:r>
      <w:r w:rsidR="001B4E17">
        <w:rPr>
          <w:bCs/>
          <w:noProof/>
          <w:color w:val="000000"/>
          <w:szCs w:val="22"/>
          <w:highlight w:val="black"/>
          <w:lang w:val="en-GB"/>
        </w:rPr>
        <w:t>'''''''''''''</w:t>
      </w:r>
      <w:r w:rsidR="00580202">
        <w:rPr>
          <w:bCs/>
          <w:szCs w:val="22"/>
          <w:lang w:val="en-GB"/>
        </w:rPr>
        <w:t xml:space="preserve"> </w:t>
      </w:r>
      <w:r w:rsidR="00E20F11">
        <w:rPr>
          <w:bCs/>
          <w:szCs w:val="22"/>
          <w:lang w:val="en-GB"/>
        </w:rPr>
        <w:t xml:space="preserve">less than 10,000 </w:t>
      </w:r>
      <w:r w:rsidR="00580202">
        <w:rPr>
          <w:bCs/>
          <w:szCs w:val="22"/>
          <w:lang w:val="en-GB"/>
        </w:rPr>
        <w:t xml:space="preserve">patients would be treated over 5 years at a </w:t>
      </w:r>
      <w:r w:rsidR="00580202" w:rsidRPr="00580202">
        <w:rPr>
          <w:bCs/>
          <w:szCs w:val="22"/>
          <w:lang w:val="en-GB"/>
        </w:rPr>
        <w:t>cost to PBS/MBS</w:t>
      </w:r>
      <w:r w:rsidR="00903BD7">
        <w:rPr>
          <w:bCs/>
          <w:szCs w:val="22"/>
          <w:lang w:val="en-GB"/>
        </w:rPr>
        <w:t xml:space="preserve"> of</w:t>
      </w:r>
      <w:r w:rsidR="00580202">
        <w:rPr>
          <w:bCs/>
          <w:szCs w:val="22"/>
          <w:lang w:val="en-GB"/>
        </w:rPr>
        <w:t xml:space="preserve"> </w:t>
      </w:r>
      <w:r w:rsidR="00E20F11">
        <w:rPr>
          <w:bCs/>
          <w:szCs w:val="22"/>
          <w:lang w:val="en-GB"/>
        </w:rPr>
        <w:t xml:space="preserve">$10 - $20 </w:t>
      </w:r>
      <w:r w:rsidR="00580202">
        <w:rPr>
          <w:bCs/>
          <w:szCs w:val="22"/>
          <w:lang w:val="en-GB"/>
        </w:rPr>
        <w:t xml:space="preserve">million. </w:t>
      </w:r>
      <w:r w:rsidR="00BF087E">
        <w:t>The PBAC noted that the</w:t>
      </w:r>
      <w:r w:rsidR="00EA1DE3" w:rsidRPr="00DE6EBD">
        <w:t xml:space="preserve"> DUSC considered that there is potential for the net cost/year for the PBS to be less than the estimate in the </w:t>
      </w:r>
      <w:r w:rsidR="00BF087E">
        <w:t>re</w:t>
      </w:r>
      <w:r w:rsidR="00EA1DE3" w:rsidRPr="00DE6EBD">
        <w:t>submission given that the number of eligible patients has potentially been overestimated</w:t>
      </w:r>
      <w:r w:rsidR="00BF087E">
        <w:t>, based on the proposed restriction</w:t>
      </w:r>
      <w:r w:rsidR="00EA1DE3" w:rsidRPr="00DE6EBD">
        <w:t xml:space="preserve">. However, countering this, the PBS costs associated with treating </w:t>
      </w:r>
      <w:proofErr w:type="spellStart"/>
      <w:r w:rsidR="00EA1DE3" w:rsidRPr="00DE6EBD">
        <w:t>vinflunine</w:t>
      </w:r>
      <w:proofErr w:type="spellEnd"/>
      <w:r w:rsidR="00EA1DE3" w:rsidRPr="00DE6EBD">
        <w:t xml:space="preserve"> adverse events were not considered.</w:t>
      </w:r>
      <w:r w:rsidR="00BF087E">
        <w:t xml:space="preserve"> </w:t>
      </w:r>
    </w:p>
    <w:p w:rsidR="008714F4" w:rsidRPr="00BF087E" w:rsidRDefault="008714F4" w:rsidP="00BF087E">
      <w:pPr>
        <w:rPr>
          <w:bCs/>
          <w:szCs w:val="22"/>
          <w:lang w:val="en-GB"/>
        </w:rPr>
      </w:pPr>
    </w:p>
    <w:p w:rsidR="008714F4" w:rsidRPr="00DE6EBD" w:rsidRDefault="00A73AD1" w:rsidP="00422A51">
      <w:pPr>
        <w:numPr>
          <w:ilvl w:val="1"/>
          <w:numId w:val="2"/>
        </w:numPr>
        <w:contextualSpacing/>
        <w:rPr>
          <w:bCs/>
          <w:szCs w:val="22"/>
          <w:lang w:val="en-GB"/>
        </w:rPr>
      </w:pPr>
      <w:r w:rsidRPr="00EC72C9">
        <w:rPr>
          <w:lang w:val="en-GB"/>
        </w:rPr>
        <w:t xml:space="preserve">The PBAC considered that the following would need to be addressed in a major resubmission: </w:t>
      </w:r>
      <w:r w:rsidR="004A35E1">
        <w:rPr>
          <w:lang w:val="en-GB"/>
        </w:rPr>
        <w:t>assess</w:t>
      </w:r>
      <w:r w:rsidR="00BF087E">
        <w:rPr>
          <w:lang w:val="en-GB"/>
        </w:rPr>
        <w:t>ment of</w:t>
      </w:r>
      <w:r w:rsidR="004A35E1">
        <w:rPr>
          <w:lang w:val="en-GB"/>
        </w:rPr>
        <w:t xml:space="preserve"> the </w:t>
      </w:r>
      <w:r w:rsidR="00BF087E">
        <w:rPr>
          <w:lang w:val="en-GB"/>
        </w:rPr>
        <w:t xml:space="preserve">comparative </w:t>
      </w:r>
      <w:r w:rsidR="004A35E1">
        <w:rPr>
          <w:lang w:val="en-GB"/>
        </w:rPr>
        <w:t xml:space="preserve">clinical effectiveness and cost </w:t>
      </w:r>
      <w:r w:rsidR="004A35E1">
        <w:rPr>
          <w:lang w:val="en-GB"/>
        </w:rPr>
        <w:lastRenderedPageBreak/>
        <w:t>effectiveness of</w:t>
      </w:r>
      <w:r w:rsidR="00422A51">
        <w:rPr>
          <w:lang w:val="en-GB"/>
        </w:rPr>
        <w:t xml:space="preserve"> </w:t>
      </w:r>
      <w:proofErr w:type="spellStart"/>
      <w:r w:rsidR="00422A51">
        <w:rPr>
          <w:lang w:val="en-GB"/>
        </w:rPr>
        <w:t>vinflunine</w:t>
      </w:r>
      <w:proofErr w:type="spellEnd"/>
      <w:r w:rsidR="00422A51">
        <w:rPr>
          <w:lang w:val="en-GB"/>
        </w:rPr>
        <w:t xml:space="preserve"> </w:t>
      </w:r>
      <w:r w:rsidR="005A2328">
        <w:rPr>
          <w:lang w:val="en-GB"/>
        </w:rPr>
        <w:t xml:space="preserve">versus best supportive care </w:t>
      </w:r>
      <w:r w:rsidR="00422A51">
        <w:rPr>
          <w:lang w:val="en-GB"/>
        </w:rPr>
        <w:t>using</w:t>
      </w:r>
      <w:r w:rsidR="004A35E1">
        <w:rPr>
          <w:lang w:val="en-GB"/>
        </w:rPr>
        <w:t xml:space="preserve"> the ITT trial population, </w:t>
      </w:r>
      <w:r w:rsidR="00AD4734">
        <w:rPr>
          <w:lang w:val="en-GB"/>
        </w:rPr>
        <w:t xml:space="preserve">more rigorous assessment of the comparative clinical effectiveness and cost effectiveness of </w:t>
      </w:r>
      <w:proofErr w:type="spellStart"/>
      <w:r w:rsidR="00AD4734">
        <w:rPr>
          <w:lang w:val="en-GB"/>
        </w:rPr>
        <w:t>vinflunine</w:t>
      </w:r>
      <w:proofErr w:type="spellEnd"/>
      <w:r w:rsidR="00AD4734">
        <w:rPr>
          <w:lang w:val="en-GB"/>
        </w:rPr>
        <w:t xml:space="preserve"> </w:t>
      </w:r>
      <w:r w:rsidR="008A3F14">
        <w:rPr>
          <w:lang w:val="en-GB"/>
        </w:rPr>
        <w:t xml:space="preserve">versus active chemotherapy, </w:t>
      </w:r>
      <w:r w:rsidR="004A35E1">
        <w:rPr>
          <w:lang w:val="en-GB"/>
        </w:rPr>
        <w:t>updating the</w:t>
      </w:r>
      <w:r w:rsidRPr="00EC72C9">
        <w:rPr>
          <w:lang w:val="en-GB"/>
        </w:rPr>
        <w:t xml:space="preserve"> economic evaluation </w:t>
      </w:r>
      <w:r w:rsidR="004A35E1" w:rsidRPr="00EC72C9">
        <w:rPr>
          <w:lang w:val="en-GB"/>
        </w:rPr>
        <w:t>and revised financial estimates</w:t>
      </w:r>
      <w:r w:rsidR="004A35E1">
        <w:rPr>
          <w:lang w:val="en-GB"/>
        </w:rPr>
        <w:t xml:space="preserve"> addressing the concerns of ESC and DUSC, particularly in regards to the cost of treating adverse effect associated with </w:t>
      </w:r>
      <w:proofErr w:type="spellStart"/>
      <w:r w:rsidR="004A35E1">
        <w:rPr>
          <w:lang w:val="en-GB"/>
        </w:rPr>
        <w:t>vinflunine</w:t>
      </w:r>
      <w:proofErr w:type="spellEnd"/>
      <w:r w:rsidRPr="00EC72C9">
        <w:rPr>
          <w:lang w:val="en-GB"/>
        </w:rPr>
        <w:t xml:space="preserve">. The PBAC </w:t>
      </w:r>
      <w:r w:rsidRPr="0070590E">
        <w:rPr>
          <w:lang w:val="en-GB"/>
        </w:rPr>
        <w:t>considered</w:t>
      </w:r>
      <w:r>
        <w:rPr>
          <w:lang w:val="en-GB"/>
        </w:rPr>
        <w:t xml:space="preserve">, </w:t>
      </w:r>
      <w:r w:rsidRPr="00FD3FA7">
        <w:t>given uncertainty of clinical benefit</w:t>
      </w:r>
      <w:r w:rsidR="004A35E1">
        <w:t xml:space="preserve"> compared to BSC and active chemotherapy, </w:t>
      </w:r>
      <w:r w:rsidRPr="00FD3FA7">
        <w:rPr>
          <w:lang w:val="en-GB"/>
        </w:rPr>
        <w:t xml:space="preserve">that </w:t>
      </w:r>
      <w:r w:rsidR="00BF087E" w:rsidRPr="00FD3FA7">
        <w:rPr>
          <w:lang w:val="en-GB"/>
        </w:rPr>
        <w:t>a</w:t>
      </w:r>
      <w:r w:rsidR="00BF087E">
        <w:rPr>
          <w:lang w:val="en-GB"/>
        </w:rPr>
        <w:t xml:space="preserve"> lower </w:t>
      </w:r>
      <w:r w:rsidR="00BF087E" w:rsidRPr="00FD3FA7">
        <w:rPr>
          <w:lang w:val="en-GB"/>
        </w:rPr>
        <w:t>ICER</w:t>
      </w:r>
      <w:r w:rsidR="00BF087E">
        <w:rPr>
          <w:lang w:val="en-GB"/>
        </w:rPr>
        <w:t xml:space="preserve">/QALY would likely result in </w:t>
      </w:r>
      <w:proofErr w:type="spellStart"/>
      <w:r w:rsidR="00BF087E">
        <w:rPr>
          <w:lang w:val="en-GB"/>
        </w:rPr>
        <w:t>vinflunine</w:t>
      </w:r>
      <w:proofErr w:type="spellEnd"/>
      <w:r w:rsidR="00BF087E">
        <w:rPr>
          <w:lang w:val="en-GB"/>
        </w:rPr>
        <w:t xml:space="preserve"> being</w:t>
      </w:r>
      <w:r w:rsidR="00422A51" w:rsidRPr="00FD3FA7">
        <w:rPr>
          <w:lang w:val="en-GB"/>
        </w:rPr>
        <w:t xml:space="preserve"> </w:t>
      </w:r>
      <w:r w:rsidR="00BF087E">
        <w:rPr>
          <w:lang w:val="en-GB"/>
        </w:rPr>
        <w:t xml:space="preserve">considered </w:t>
      </w:r>
      <w:r w:rsidR="00422A51" w:rsidRPr="00FD3FA7">
        <w:rPr>
          <w:lang w:val="en-GB"/>
        </w:rPr>
        <w:t>acceptably cost-effective</w:t>
      </w:r>
      <w:r>
        <w:rPr>
          <w:lang w:val="en-GB"/>
        </w:rPr>
        <w:t>.</w:t>
      </w:r>
      <w:r w:rsidR="004A35E1" w:rsidRPr="00DE6EBD">
        <w:rPr>
          <w:bCs/>
          <w:szCs w:val="22"/>
          <w:lang w:val="en-GB"/>
        </w:rPr>
        <w:t xml:space="preserve"> </w:t>
      </w:r>
    </w:p>
    <w:p w:rsidR="002A364D" w:rsidRPr="00DE6EBD" w:rsidRDefault="002A364D" w:rsidP="002A364D">
      <w:pPr>
        <w:rPr>
          <w:bCs/>
          <w:szCs w:val="22"/>
          <w:lang w:val="en-GB"/>
        </w:rPr>
      </w:pPr>
    </w:p>
    <w:p w:rsidR="00973405" w:rsidRPr="00DE6EBD" w:rsidRDefault="002A364D" w:rsidP="00422A51">
      <w:pPr>
        <w:numPr>
          <w:ilvl w:val="1"/>
          <w:numId w:val="2"/>
        </w:numPr>
        <w:contextualSpacing/>
        <w:rPr>
          <w:bCs/>
          <w:szCs w:val="22"/>
          <w:lang w:val="en-GB"/>
        </w:rPr>
      </w:pPr>
      <w:r w:rsidRPr="00DE6EBD">
        <w:rPr>
          <w:bCs/>
          <w:szCs w:val="22"/>
          <w:lang w:val="en-GB"/>
        </w:rPr>
        <w:t>The PBAC noted that this submission is eligible for an Independent Review.</w:t>
      </w:r>
    </w:p>
    <w:p w:rsidR="00973405" w:rsidRPr="00DE6EBD" w:rsidRDefault="00973405" w:rsidP="00B13D9E">
      <w:pPr>
        <w:pStyle w:val="Heading2"/>
        <w:rPr>
          <w:lang w:val="en-GB"/>
        </w:rPr>
      </w:pPr>
      <w:r w:rsidRPr="00DE6EBD">
        <w:rPr>
          <w:lang w:val="en-GB"/>
        </w:rPr>
        <w:t>Outcome:</w:t>
      </w:r>
    </w:p>
    <w:p w:rsidR="00313A7E" w:rsidRDefault="00973405" w:rsidP="00304DB9">
      <w:pPr>
        <w:rPr>
          <w:bCs/>
          <w:szCs w:val="22"/>
          <w:lang w:val="en-GB"/>
        </w:rPr>
      </w:pPr>
      <w:r w:rsidRPr="00DE6EBD">
        <w:rPr>
          <w:bCs/>
          <w:szCs w:val="22"/>
          <w:lang w:val="en-GB"/>
        </w:rPr>
        <w:t xml:space="preserve">Rejected </w:t>
      </w:r>
    </w:p>
    <w:p w:rsidR="00F75506" w:rsidRDefault="00F75506" w:rsidP="00B13D9E">
      <w:pPr>
        <w:pStyle w:val="Heading1"/>
        <w:rPr>
          <w:rFonts w:eastAsia="SimSun"/>
        </w:rPr>
      </w:pPr>
      <w:r>
        <w:rPr>
          <w:rFonts w:eastAsia="SimSun"/>
        </w:rPr>
        <w:t>Context for Decision</w:t>
      </w:r>
    </w:p>
    <w:p w:rsidR="00F75506" w:rsidRDefault="00F75506" w:rsidP="00F75506">
      <w:pPr>
        <w:ind w:left="720"/>
        <w:rPr>
          <w:bCs/>
          <w:szCs w:val="22"/>
        </w:rPr>
      </w:pPr>
      <w:r>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75506" w:rsidRDefault="00F75506" w:rsidP="00B13D9E">
      <w:pPr>
        <w:pStyle w:val="Heading1"/>
        <w:rPr>
          <w:rFonts w:eastAsia="SimSun"/>
        </w:rPr>
      </w:pPr>
      <w:r>
        <w:rPr>
          <w:rFonts w:eastAsia="SimSun"/>
        </w:rPr>
        <w:t>Sponsor’s Comment</w:t>
      </w:r>
    </w:p>
    <w:p w:rsidR="00D7502F" w:rsidRDefault="00D7502F" w:rsidP="00D7502F">
      <w:pPr>
        <w:ind w:firstLine="709"/>
        <w:rPr>
          <w:szCs w:val="22"/>
        </w:rPr>
      </w:pPr>
      <w:r>
        <w:rPr>
          <w:szCs w:val="22"/>
        </w:rPr>
        <w:t xml:space="preserve">Pierre Fabre will continue to work with PBAC toward a listing for </w:t>
      </w:r>
      <w:proofErr w:type="spellStart"/>
      <w:r>
        <w:rPr>
          <w:szCs w:val="22"/>
        </w:rPr>
        <w:t>vinflunine</w:t>
      </w:r>
      <w:proofErr w:type="spellEnd"/>
      <w:r>
        <w:rPr>
          <w:szCs w:val="22"/>
        </w:rPr>
        <w:t>.</w:t>
      </w:r>
    </w:p>
    <w:sectPr w:rsidR="00D7502F" w:rsidSect="00304DB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E17" w:rsidRDefault="001B4E17" w:rsidP="00124A51">
      <w:r>
        <w:separator/>
      </w:r>
    </w:p>
  </w:endnote>
  <w:endnote w:type="continuationSeparator" w:id="0">
    <w:p w:rsidR="001B4E17" w:rsidRDefault="001B4E17"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17" w:rsidRDefault="001B4E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68694"/>
      <w:docPartObj>
        <w:docPartGallery w:val="Page Numbers (Bottom of Page)"/>
        <w:docPartUnique/>
      </w:docPartObj>
    </w:sdtPr>
    <w:sdtEndPr>
      <w:rPr>
        <w:noProof/>
      </w:rPr>
    </w:sdtEndPr>
    <w:sdtContent>
      <w:p w:rsidR="00903BD7" w:rsidRDefault="00903BD7">
        <w:pPr>
          <w:pStyle w:val="Footer"/>
          <w:jc w:val="center"/>
        </w:pPr>
      </w:p>
      <w:p w:rsidR="00903BD7" w:rsidRDefault="00903BD7">
        <w:pPr>
          <w:pStyle w:val="Footer"/>
          <w:jc w:val="center"/>
        </w:pPr>
      </w:p>
      <w:p w:rsidR="00903BD7" w:rsidRDefault="00903BD7">
        <w:pPr>
          <w:pStyle w:val="Footer"/>
          <w:jc w:val="center"/>
        </w:pPr>
        <w:r>
          <w:fldChar w:fldCharType="begin"/>
        </w:r>
        <w:r>
          <w:instrText xml:space="preserve"> PAGE   \* MERGEFORMAT </w:instrText>
        </w:r>
        <w:r>
          <w:fldChar w:fldCharType="separate"/>
        </w:r>
        <w:r w:rsidR="00AE3CA7">
          <w:rPr>
            <w:noProof/>
          </w:rPr>
          <w:t>7</w:t>
        </w:r>
        <w:r>
          <w:rPr>
            <w:noProof/>
          </w:rPr>
          <w:fldChar w:fldCharType="end"/>
        </w:r>
      </w:p>
    </w:sdtContent>
  </w:sdt>
  <w:p w:rsidR="00903BD7" w:rsidRDefault="00903B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17" w:rsidRDefault="001B4E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E17" w:rsidRDefault="001B4E17" w:rsidP="00124A51">
      <w:r>
        <w:separator/>
      </w:r>
    </w:p>
  </w:footnote>
  <w:footnote w:type="continuationSeparator" w:id="0">
    <w:p w:rsidR="001B4E17" w:rsidRDefault="001B4E17" w:rsidP="00124A51">
      <w:r>
        <w:continuationSeparator/>
      </w:r>
    </w:p>
  </w:footnote>
  <w:footnote w:id="1">
    <w:p w:rsidR="00903BD7" w:rsidRPr="00F73BE6" w:rsidRDefault="00903BD7" w:rsidP="00442B62">
      <w:pPr>
        <w:pStyle w:val="FootnoteText"/>
        <w:rPr>
          <w:sz w:val="18"/>
          <w:szCs w:val="18"/>
        </w:rPr>
      </w:pPr>
      <w:r>
        <w:rPr>
          <w:rStyle w:val="FootnoteReference"/>
        </w:rPr>
        <w:footnoteRef/>
      </w:r>
      <w:r>
        <w:t xml:space="preserve"> </w:t>
      </w:r>
      <w:r w:rsidRPr="00F73BE6">
        <w:rPr>
          <w:sz w:val="18"/>
          <w:szCs w:val="18"/>
        </w:rPr>
        <w:t>Mean number of vials estimated based on a dose of 289 mg/m</w:t>
      </w:r>
      <w:r w:rsidRPr="00F73BE6">
        <w:rPr>
          <w:sz w:val="18"/>
          <w:szCs w:val="18"/>
          <w:vertAlign w:val="superscript"/>
        </w:rPr>
        <w:t>2</w:t>
      </w:r>
      <w:r w:rsidRPr="00F73BE6">
        <w:rPr>
          <w:sz w:val="18"/>
          <w:szCs w:val="18"/>
        </w:rPr>
        <w:t xml:space="preserve"> and a BSA of 1.86 m</w:t>
      </w:r>
      <w:r w:rsidRPr="00F73BE6">
        <w:rPr>
          <w:sz w:val="18"/>
          <w:szCs w:val="18"/>
          <w:vertAlign w:val="superscript"/>
        </w:rPr>
        <w:t>2</w:t>
      </w:r>
      <w:r w:rsidRPr="00F73BE6">
        <w:rPr>
          <w:sz w:val="18"/>
          <w:szCs w:val="18"/>
        </w:rPr>
        <w:t>. The averages for the number of vials have not been rounded in the calculations.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17" w:rsidRDefault="001B4E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BD7" w:rsidRPr="00DF217D" w:rsidRDefault="00903BD7" w:rsidP="00513168">
    <w:pPr>
      <w:pStyle w:val="Header"/>
      <w:ind w:left="360"/>
      <w:jc w:val="center"/>
      <w:rPr>
        <w:i/>
        <w:color w:val="808080"/>
      </w:rPr>
    </w:pPr>
    <w:r w:rsidRPr="00E810C7">
      <w:rPr>
        <w:i/>
        <w:color w:val="808080"/>
        <w:szCs w:val="22"/>
      </w:rPr>
      <w:t>Public Summary Document –</w:t>
    </w:r>
    <w:r w:rsidRPr="00DF217D">
      <w:rPr>
        <w:i/>
        <w:color w:val="808080"/>
      </w:rPr>
      <w:t xml:space="preserve"> </w:t>
    </w:r>
    <w:r>
      <w:rPr>
        <w:i/>
        <w:color w:val="808080"/>
      </w:rPr>
      <w:t xml:space="preserve">November 2015 </w:t>
    </w:r>
    <w:r w:rsidRPr="00DF217D">
      <w:rPr>
        <w:i/>
        <w:color w:val="808080"/>
      </w:rPr>
      <w:t>PBAC</w:t>
    </w:r>
    <w:r>
      <w:rPr>
        <w:i/>
        <w:color w:val="808080"/>
      </w:rPr>
      <w:t xml:space="preserve"> </w:t>
    </w:r>
    <w:r w:rsidRPr="00DF217D">
      <w:rPr>
        <w:i/>
        <w:color w:val="808080"/>
      </w:rPr>
      <w:t>Meeting</w:t>
    </w:r>
  </w:p>
  <w:p w:rsidR="00903BD7" w:rsidRDefault="00903B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17" w:rsidRDefault="001B4E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62C"/>
    <w:multiLevelType w:val="hybridMultilevel"/>
    <w:tmpl w:val="AA2498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55D5435"/>
    <w:multiLevelType w:val="hybridMultilevel"/>
    <w:tmpl w:val="5464F2C0"/>
    <w:lvl w:ilvl="0" w:tplc="57B0757C">
      <w:start w:val="1"/>
      <w:numFmt w:val="bullet"/>
      <w:lvlText w:val="–"/>
      <w:lvlJc w:val="left"/>
      <w:pPr>
        <w:tabs>
          <w:tab w:val="num" w:pos="720"/>
        </w:tabs>
        <w:ind w:left="720" w:hanging="360"/>
      </w:pPr>
      <w:rPr>
        <w:rFonts w:ascii="Arial" w:hAnsi="Arial" w:hint="default"/>
      </w:rPr>
    </w:lvl>
    <w:lvl w:ilvl="1" w:tplc="703AFF36">
      <w:start w:val="1"/>
      <w:numFmt w:val="bullet"/>
      <w:lvlText w:val="–"/>
      <w:lvlJc w:val="left"/>
      <w:pPr>
        <w:tabs>
          <w:tab w:val="num" w:pos="1440"/>
        </w:tabs>
        <w:ind w:left="1440" w:hanging="360"/>
      </w:pPr>
      <w:rPr>
        <w:rFonts w:ascii="Arial" w:hAnsi="Arial" w:hint="default"/>
      </w:rPr>
    </w:lvl>
    <w:lvl w:ilvl="2" w:tplc="50B0FC48" w:tentative="1">
      <w:start w:val="1"/>
      <w:numFmt w:val="bullet"/>
      <w:lvlText w:val="–"/>
      <w:lvlJc w:val="left"/>
      <w:pPr>
        <w:tabs>
          <w:tab w:val="num" w:pos="2160"/>
        </w:tabs>
        <w:ind w:left="2160" w:hanging="360"/>
      </w:pPr>
      <w:rPr>
        <w:rFonts w:ascii="Arial" w:hAnsi="Arial" w:hint="default"/>
      </w:rPr>
    </w:lvl>
    <w:lvl w:ilvl="3" w:tplc="1FA68270" w:tentative="1">
      <w:start w:val="1"/>
      <w:numFmt w:val="bullet"/>
      <w:lvlText w:val="–"/>
      <w:lvlJc w:val="left"/>
      <w:pPr>
        <w:tabs>
          <w:tab w:val="num" w:pos="2880"/>
        </w:tabs>
        <w:ind w:left="2880" w:hanging="360"/>
      </w:pPr>
      <w:rPr>
        <w:rFonts w:ascii="Arial" w:hAnsi="Arial" w:hint="default"/>
      </w:rPr>
    </w:lvl>
    <w:lvl w:ilvl="4" w:tplc="93E89226" w:tentative="1">
      <w:start w:val="1"/>
      <w:numFmt w:val="bullet"/>
      <w:lvlText w:val="–"/>
      <w:lvlJc w:val="left"/>
      <w:pPr>
        <w:tabs>
          <w:tab w:val="num" w:pos="3600"/>
        </w:tabs>
        <w:ind w:left="3600" w:hanging="360"/>
      </w:pPr>
      <w:rPr>
        <w:rFonts w:ascii="Arial" w:hAnsi="Arial" w:hint="default"/>
      </w:rPr>
    </w:lvl>
    <w:lvl w:ilvl="5" w:tplc="33B02DF0" w:tentative="1">
      <w:start w:val="1"/>
      <w:numFmt w:val="bullet"/>
      <w:lvlText w:val="–"/>
      <w:lvlJc w:val="left"/>
      <w:pPr>
        <w:tabs>
          <w:tab w:val="num" w:pos="4320"/>
        </w:tabs>
        <w:ind w:left="4320" w:hanging="360"/>
      </w:pPr>
      <w:rPr>
        <w:rFonts w:ascii="Arial" w:hAnsi="Arial" w:hint="default"/>
      </w:rPr>
    </w:lvl>
    <w:lvl w:ilvl="6" w:tplc="BE101750" w:tentative="1">
      <w:start w:val="1"/>
      <w:numFmt w:val="bullet"/>
      <w:lvlText w:val="–"/>
      <w:lvlJc w:val="left"/>
      <w:pPr>
        <w:tabs>
          <w:tab w:val="num" w:pos="5040"/>
        </w:tabs>
        <w:ind w:left="5040" w:hanging="360"/>
      </w:pPr>
      <w:rPr>
        <w:rFonts w:ascii="Arial" w:hAnsi="Arial" w:hint="default"/>
      </w:rPr>
    </w:lvl>
    <w:lvl w:ilvl="7" w:tplc="9EC2F80E" w:tentative="1">
      <w:start w:val="1"/>
      <w:numFmt w:val="bullet"/>
      <w:lvlText w:val="–"/>
      <w:lvlJc w:val="left"/>
      <w:pPr>
        <w:tabs>
          <w:tab w:val="num" w:pos="5760"/>
        </w:tabs>
        <w:ind w:left="5760" w:hanging="360"/>
      </w:pPr>
      <w:rPr>
        <w:rFonts w:ascii="Arial" w:hAnsi="Arial" w:hint="default"/>
      </w:rPr>
    </w:lvl>
    <w:lvl w:ilvl="8" w:tplc="F2DED6A4" w:tentative="1">
      <w:start w:val="1"/>
      <w:numFmt w:val="bullet"/>
      <w:lvlText w:val="–"/>
      <w:lvlJc w:val="left"/>
      <w:pPr>
        <w:tabs>
          <w:tab w:val="num" w:pos="6480"/>
        </w:tabs>
        <w:ind w:left="6480" w:hanging="360"/>
      </w:pPr>
      <w:rPr>
        <w:rFonts w:ascii="Arial" w:hAnsi="Arial" w:hint="default"/>
      </w:rPr>
    </w:lvl>
  </w:abstractNum>
  <w:abstractNum w:abstractNumId="2">
    <w:nsid w:val="1AC3536D"/>
    <w:multiLevelType w:val="hybridMultilevel"/>
    <w:tmpl w:val="67326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6815542"/>
    <w:multiLevelType w:val="hybridMultilevel"/>
    <w:tmpl w:val="7C38E7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29A56744"/>
    <w:multiLevelType w:val="hybridMultilevel"/>
    <w:tmpl w:val="09682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3A75317"/>
    <w:multiLevelType w:val="hybridMultilevel"/>
    <w:tmpl w:val="71146C1A"/>
    <w:lvl w:ilvl="0" w:tplc="9F805DB2">
      <w:start w:val="1"/>
      <w:numFmt w:val="bullet"/>
      <w:pStyle w:val="TableTextsubbullet"/>
      <w:lvlText w:val="o"/>
      <w:lvlJc w:val="left"/>
      <w:pPr>
        <w:tabs>
          <w:tab w:val="num" w:pos="567"/>
        </w:tabs>
        <w:ind w:left="709" w:hanging="236"/>
      </w:pPr>
      <w:rPr>
        <w:rFonts w:ascii="Courier New" w:hAnsi="Courier New"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5F4A5B"/>
    <w:multiLevelType w:val="multilevel"/>
    <w:tmpl w:val="19C0223A"/>
    <w:lvl w:ilvl="0">
      <w:start w:val="2"/>
      <w:numFmt w:val="decimal"/>
      <w:lvlText w:val="%1"/>
      <w:lvlJc w:val="left"/>
      <w:pPr>
        <w:ind w:left="720" w:hanging="720"/>
      </w:pPr>
      <w:rPr>
        <w:rFonts w:hint="default"/>
        <w:b/>
      </w:rPr>
    </w:lvl>
    <w:lvl w:ilvl="1">
      <w:start w:val="2"/>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B7C34E2"/>
    <w:multiLevelType w:val="hybridMultilevel"/>
    <w:tmpl w:val="E27891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20B6ECC"/>
    <w:multiLevelType w:val="hybridMultilevel"/>
    <w:tmpl w:val="C23E7B90"/>
    <w:lvl w:ilvl="0" w:tplc="FFFFFFFF">
      <w:start w:val="1"/>
      <w:numFmt w:val="bullet"/>
      <w:pStyle w:val="BulletedLis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0">
    <w:nsid w:val="5E651EF1"/>
    <w:multiLevelType w:val="hybridMultilevel"/>
    <w:tmpl w:val="9A043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F62030E"/>
    <w:multiLevelType w:val="hybridMultilevel"/>
    <w:tmpl w:val="B21E9AE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DEA7CCB"/>
    <w:multiLevelType w:val="hybridMultilevel"/>
    <w:tmpl w:val="90A8190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784D033C"/>
    <w:multiLevelType w:val="multilevel"/>
    <w:tmpl w:val="95A2E130"/>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3"/>
  </w:num>
  <w:num w:numId="3">
    <w:abstractNumId w:val="6"/>
  </w:num>
  <w:num w:numId="4">
    <w:abstractNumId w:val="5"/>
  </w:num>
  <w:num w:numId="5">
    <w:abstractNumId w:val="3"/>
  </w:num>
  <w:num w:numId="6">
    <w:abstractNumId w:val="8"/>
  </w:num>
  <w:num w:numId="7">
    <w:abstractNumId w:val="4"/>
  </w:num>
  <w:num w:numId="8">
    <w:abstractNumId w:val="10"/>
  </w:num>
  <w:num w:numId="9">
    <w:abstractNumId w:val="12"/>
  </w:num>
  <w:num w:numId="10">
    <w:abstractNumId w:val="2"/>
  </w:num>
  <w:num w:numId="11">
    <w:abstractNumId w:val="9"/>
  </w:num>
  <w:num w:numId="12">
    <w:abstractNumId w:val="1"/>
  </w:num>
  <w:num w:numId="13">
    <w:abstractNumId w:val="0"/>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326"/>
    <w:rsid w:val="00000790"/>
    <w:rsid w:val="0000110B"/>
    <w:rsid w:val="0000312B"/>
    <w:rsid w:val="00005083"/>
    <w:rsid w:val="000127A5"/>
    <w:rsid w:val="00013247"/>
    <w:rsid w:val="00013B99"/>
    <w:rsid w:val="0001474B"/>
    <w:rsid w:val="00015886"/>
    <w:rsid w:val="000162EF"/>
    <w:rsid w:val="0001722F"/>
    <w:rsid w:val="0002225F"/>
    <w:rsid w:val="00023763"/>
    <w:rsid w:val="00031379"/>
    <w:rsid w:val="00031E71"/>
    <w:rsid w:val="000338BB"/>
    <w:rsid w:val="00033E38"/>
    <w:rsid w:val="000366AE"/>
    <w:rsid w:val="00040895"/>
    <w:rsid w:val="000417A3"/>
    <w:rsid w:val="0004231D"/>
    <w:rsid w:val="00043C37"/>
    <w:rsid w:val="000450C4"/>
    <w:rsid w:val="000462D0"/>
    <w:rsid w:val="00053AD0"/>
    <w:rsid w:val="000546D7"/>
    <w:rsid w:val="000555F6"/>
    <w:rsid w:val="00056474"/>
    <w:rsid w:val="00056AC3"/>
    <w:rsid w:val="00061EF1"/>
    <w:rsid w:val="00066B5E"/>
    <w:rsid w:val="00071248"/>
    <w:rsid w:val="00071695"/>
    <w:rsid w:val="000720B9"/>
    <w:rsid w:val="0007371C"/>
    <w:rsid w:val="00073D46"/>
    <w:rsid w:val="0007613F"/>
    <w:rsid w:val="0007783B"/>
    <w:rsid w:val="00080120"/>
    <w:rsid w:val="000812CA"/>
    <w:rsid w:val="000842CE"/>
    <w:rsid w:val="00084764"/>
    <w:rsid w:val="00084768"/>
    <w:rsid w:val="00084971"/>
    <w:rsid w:val="00084DBA"/>
    <w:rsid w:val="00085B7E"/>
    <w:rsid w:val="00090C7E"/>
    <w:rsid w:val="000928FC"/>
    <w:rsid w:val="000948D4"/>
    <w:rsid w:val="000966EE"/>
    <w:rsid w:val="0009728F"/>
    <w:rsid w:val="000A0125"/>
    <w:rsid w:val="000A1E9C"/>
    <w:rsid w:val="000A46C7"/>
    <w:rsid w:val="000A58FF"/>
    <w:rsid w:val="000B0CCA"/>
    <w:rsid w:val="000B50B5"/>
    <w:rsid w:val="000C0DBA"/>
    <w:rsid w:val="000C0FFF"/>
    <w:rsid w:val="000C38DC"/>
    <w:rsid w:val="000C65EE"/>
    <w:rsid w:val="000C769A"/>
    <w:rsid w:val="000D1BFC"/>
    <w:rsid w:val="000D53C6"/>
    <w:rsid w:val="000D5F14"/>
    <w:rsid w:val="000E0388"/>
    <w:rsid w:val="000E08DD"/>
    <w:rsid w:val="000E1E5C"/>
    <w:rsid w:val="000E3D23"/>
    <w:rsid w:val="000E48EE"/>
    <w:rsid w:val="000E67E3"/>
    <w:rsid w:val="000F2B96"/>
    <w:rsid w:val="000F30FE"/>
    <w:rsid w:val="000F424B"/>
    <w:rsid w:val="00100F8A"/>
    <w:rsid w:val="00102D02"/>
    <w:rsid w:val="001035CA"/>
    <w:rsid w:val="00104151"/>
    <w:rsid w:val="00106395"/>
    <w:rsid w:val="0011032E"/>
    <w:rsid w:val="00110A88"/>
    <w:rsid w:val="00113A8B"/>
    <w:rsid w:val="00117C6C"/>
    <w:rsid w:val="00121799"/>
    <w:rsid w:val="001222FC"/>
    <w:rsid w:val="001237CD"/>
    <w:rsid w:val="00124A51"/>
    <w:rsid w:val="001257BD"/>
    <w:rsid w:val="00126621"/>
    <w:rsid w:val="00127344"/>
    <w:rsid w:val="001301E9"/>
    <w:rsid w:val="00136E74"/>
    <w:rsid w:val="00137645"/>
    <w:rsid w:val="0014015A"/>
    <w:rsid w:val="00140E99"/>
    <w:rsid w:val="001456B0"/>
    <w:rsid w:val="0014597E"/>
    <w:rsid w:val="001471C3"/>
    <w:rsid w:val="00150AD1"/>
    <w:rsid w:val="00152F61"/>
    <w:rsid w:val="00157130"/>
    <w:rsid w:val="00161902"/>
    <w:rsid w:val="00162913"/>
    <w:rsid w:val="00163CC7"/>
    <w:rsid w:val="00163EFF"/>
    <w:rsid w:val="001655B3"/>
    <w:rsid w:val="001661FB"/>
    <w:rsid w:val="001718B8"/>
    <w:rsid w:val="00171CED"/>
    <w:rsid w:val="00173E76"/>
    <w:rsid w:val="00174F8C"/>
    <w:rsid w:val="00184C9C"/>
    <w:rsid w:val="0018502C"/>
    <w:rsid w:val="00187EBB"/>
    <w:rsid w:val="001911E4"/>
    <w:rsid w:val="00191A2D"/>
    <w:rsid w:val="00191BBF"/>
    <w:rsid w:val="00195222"/>
    <w:rsid w:val="001971A6"/>
    <w:rsid w:val="001975D8"/>
    <w:rsid w:val="001A33D1"/>
    <w:rsid w:val="001B03DC"/>
    <w:rsid w:val="001B0BC6"/>
    <w:rsid w:val="001B2D68"/>
    <w:rsid w:val="001B2D76"/>
    <w:rsid w:val="001B3443"/>
    <w:rsid w:val="001B4E17"/>
    <w:rsid w:val="001B5CF7"/>
    <w:rsid w:val="001B6188"/>
    <w:rsid w:val="001B69F2"/>
    <w:rsid w:val="001B6EE7"/>
    <w:rsid w:val="001C1030"/>
    <w:rsid w:val="001C39A1"/>
    <w:rsid w:val="001C5463"/>
    <w:rsid w:val="001C607E"/>
    <w:rsid w:val="001C6E66"/>
    <w:rsid w:val="001D05F9"/>
    <w:rsid w:val="001D112E"/>
    <w:rsid w:val="001D3128"/>
    <w:rsid w:val="001E035A"/>
    <w:rsid w:val="001E238E"/>
    <w:rsid w:val="001E52EB"/>
    <w:rsid w:val="001E740C"/>
    <w:rsid w:val="001F025E"/>
    <w:rsid w:val="001F1235"/>
    <w:rsid w:val="001F1CB3"/>
    <w:rsid w:val="001F483B"/>
    <w:rsid w:val="001F612A"/>
    <w:rsid w:val="001F7361"/>
    <w:rsid w:val="00200C15"/>
    <w:rsid w:val="002025FE"/>
    <w:rsid w:val="00202B44"/>
    <w:rsid w:val="002105C1"/>
    <w:rsid w:val="00211850"/>
    <w:rsid w:val="00216ED9"/>
    <w:rsid w:val="00220D9D"/>
    <w:rsid w:val="002215EA"/>
    <w:rsid w:val="002227EF"/>
    <w:rsid w:val="00222C53"/>
    <w:rsid w:val="002233B7"/>
    <w:rsid w:val="00223B49"/>
    <w:rsid w:val="00224DD4"/>
    <w:rsid w:val="002309CC"/>
    <w:rsid w:val="00233058"/>
    <w:rsid w:val="002353FD"/>
    <w:rsid w:val="002366DD"/>
    <w:rsid w:val="00243458"/>
    <w:rsid w:val="00245D10"/>
    <w:rsid w:val="002470E6"/>
    <w:rsid w:val="002525B1"/>
    <w:rsid w:val="0025534B"/>
    <w:rsid w:val="00255BB7"/>
    <w:rsid w:val="00256822"/>
    <w:rsid w:val="002570C5"/>
    <w:rsid w:val="0026014F"/>
    <w:rsid w:val="00260AA0"/>
    <w:rsid w:val="00262A87"/>
    <w:rsid w:val="00267FCA"/>
    <w:rsid w:val="00275C5A"/>
    <w:rsid w:val="002766F9"/>
    <w:rsid w:val="00280650"/>
    <w:rsid w:val="002812F8"/>
    <w:rsid w:val="002832C8"/>
    <w:rsid w:val="002855EF"/>
    <w:rsid w:val="00290CCE"/>
    <w:rsid w:val="00291A95"/>
    <w:rsid w:val="00293528"/>
    <w:rsid w:val="002962FA"/>
    <w:rsid w:val="002A0B0F"/>
    <w:rsid w:val="002A14AB"/>
    <w:rsid w:val="002A364D"/>
    <w:rsid w:val="002A4CF8"/>
    <w:rsid w:val="002A513E"/>
    <w:rsid w:val="002A6338"/>
    <w:rsid w:val="002B1C1F"/>
    <w:rsid w:val="002B20CC"/>
    <w:rsid w:val="002B432F"/>
    <w:rsid w:val="002B4725"/>
    <w:rsid w:val="002B5264"/>
    <w:rsid w:val="002B6CCE"/>
    <w:rsid w:val="002B7146"/>
    <w:rsid w:val="002C02A9"/>
    <w:rsid w:val="002C0F72"/>
    <w:rsid w:val="002C27C1"/>
    <w:rsid w:val="002C47F8"/>
    <w:rsid w:val="002C7780"/>
    <w:rsid w:val="002D179A"/>
    <w:rsid w:val="002D361B"/>
    <w:rsid w:val="002D71E3"/>
    <w:rsid w:val="002E173C"/>
    <w:rsid w:val="002E18C6"/>
    <w:rsid w:val="002E1C51"/>
    <w:rsid w:val="002E1C8E"/>
    <w:rsid w:val="002E2CEC"/>
    <w:rsid w:val="002E7ADF"/>
    <w:rsid w:val="002F68E5"/>
    <w:rsid w:val="00301017"/>
    <w:rsid w:val="00304DB9"/>
    <w:rsid w:val="0030604A"/>
    <w:rsid w:val="0030786C"/>
    <w:rsid w:val="0031031A"/>
    <w:rsid w:val="00312454"/>
    <w:rsid w:val="00313A7E"/>
    <w:rsid w:val="00313D75"/>
    <w:rsid w:val="00314AFB"/>
    <w:rsid w:val="00315498"/>
    <w:rsid w:val="00322726"/>
    <w:rsid w:val="00323D43"/>
    <w:rsid w:val="00324258"/>
    <w:rsid w:val="003247A8"/>
    <w:rsid w:val="0032764C"/>
    <w:rsid w:val="003306F1"/>
    <w:rsid w:val="00332F8E"/>
    <w:rsid w:val="003346A0"/>
    <w:rsid w:val="00336620"/>
    <w:rsid w:val="003366C9"/>
    <w:rsid w:val="003369B1"/>
    <w:rsid w:val="0034232E"/>
    <w:rsid w:val="00343BB8"/>
    <w:rsid w:val="003463EE"/>
    <w:rsid w:val="00347D03"/>
    <w:rsid w:val="00352E0A"/>
    <w:rsid w:val="0035620E"/>
    <w:rsid w:val="00364BA7"/>
    <w:rsid w:val="00365256"/>
    <w:rsid w:val="00365360"/>
    <w:rsid w:val="00366298"/>
    <w:rsid w:val="0037113C"/>
    <w:rsid w:val="00371B34"/>
    <w:rsid w:val="003763D2"/>
    <w:rsid w:val="00376886"/>
    <w:rsid w:val="00376EB8"/>
    <w:rsid w:val="00380D83"/>
    <w:rsid w:val="0038365C"/>
    <w:rsid w:val="00386194"/>
    <w:rsid w:val="00393F75"/>
    <w:rsid w:val="00396FD0"/>
    <w:rsid w:val="003A0E71"/>
    <w:rsid w:val="003A1939"/>
    <w:rsid w:val="003A1A7A"/>
    <w:rsid w:val="003A224E"/>
    <w:rsid w:val="003A2C74"/>
    <w:rsid w:val="003A2DD5"/>
    <w:rsid w:val="003A4266"/>
    <w:rsid w:val="003B27C1"/>
    <w:rsid w:val="003B4A82"/>
    <w:rsid w:val="003C3727"/>
    <w:rsid w:val="003C623D"/>
    <w:rsid w:val="003D1828"/>
    <w:rsid w:val="003D1923"/>
    <w:rsid w:val="003D2422"/>
    <w:rsid w:val="003D34D8"/>
    <w:rsid w:val="003E265F"/>
    <w:rsid w:val="003F1858"/>
    <w:rsid w:val="003F2FAD"/>
    <w:rsid w:val="003F4156"/>
    <w:rsid w:val="003F5A2E"/>
    <w:rsid w:val="003F63E5"/>
    <w:rsid w:val="003F6965"/>
    <w:rsid w:val="004102AF"/>
    <w:rsid w:val="00410EC7"/>
    <w:rsid w:val="00414476"/>
    <w:rsid w:val="00416DBE"/>
    <w:rsid w:val="0041741E"/>
    <w:rsid w:val="00420B9F"/>
    <w:rsid w:val="00421329"/>
    <w:rsid w:val="00422A51"/>
    <w:rsid w:val="0042342A"/>
    <w:rsid w:val="00425CB2"/>
    <w:rsid w:val="00427D22"/>
    <w:rsid w:val="004301E4"/>
    <w:rsid w:val="00431968"/>
    <w:rsid w:val="004319F8"/>
    <w:rsid w:val="00431EC9"/>
    <w:rsid w:val="0043243A"/>
    <w:rsid w:val="0043377C"/>
    <w:rsid w:val="00435928"/>
    <w:rsid w:val="00435FD2"/>
    <w:rsid w:val="00436C67"/>
    <w:rsid w:val="00436D14"/>
    <w:rsid w:val="00437BF2"/>
    <w:rsid w:val="00441CD9"/>
    <w:rsid w:val="00442B62"/>
    <w:rsid w:val="004443A7"/>
    <w:rsid w:val="00445C9A"/>
    <w:rsid w:val="004464EB"/>
    <w:rsid w:val="00455D45"/>
    <w:rsid w:val="00455FFF"/>
    <w:rsid w:val="00461DEA"/>
    <w:rsid w:val="0046340F"/>
    <w:rsid w:val="00464595"/>
    <w:rsid w:val="00470F85"/>
    <w:rsid w:val="0047131D"/>
    <w:rsid w:val="00472359"/>
    <w:rsid w:val="0047295E"/>
    <w:rsid w:val="0047456A"/>
    <w:rsid w:val="004756B4"/>
    <w:rsid w:val="00475C31"/>
    <w:rsid w:val="00476952"/>
    <w:rsid w:val="00483641"/>
    <w:rsid w:val="004867C1"/>
    <w:rsid w:val="004867E2"/>
    <w:rsid w:val="004905A0"/>
    <w:rsid w:val="00491B3A"/>
    <w:rsid w:val="004954E9"/>
    <w:rsid w:val="0049692C"/>
    <w:rsid w:val="00497F10"/>
    <w:rsid w:val="004A0DA1"/>
    <w:rsid w:val="004A35E1"/>
    <w:rsid w:val="004A588D"/>
    <w:rsid w:val="004A6597"/>
    <w:rsid w:val="004A7338"/>
    <w:rsid w:val="004B0FE9"/>
    <w:rsid w:val="004B2F18"/>
    <w:rsid w:val="004B3DDB"/>
    <w:rsid w:val="004B3DDD"/>
    <w:rsid w:val="004B44FD"/>
    <w:rsid w:val="004B5CFC"/>
    <w:rsid w:val="004B72E9"/>
    <w:rsid w:val="004C275A"/>
    <w:rsid w:val="004C4AED"/>
    <w:rsid w:val="004C6157"/>
    <w:rsid w:val="004D6CF0"/>
    <w:rsid w:val="004D7685"/>
    <w:rsid w:val="004D7B1E"/>
    <w:rsid w:val="004E0EB8"/>
    <w:rsid w:val="004E2223"/>
    <w:rsid w:val="004E2ADC"/>
    <w:rsid w:val="004E59A2"/>
    <w:rsid w:val="004E775C"/>
    <w:rsid w:val="004E7E81"/>
    <w:rsid w:val="004F1799"/>
    <w:rsid w:val="004F1D02"/>
    <w:rsid w:val="004F2679"/>
    <w:rsid w:val="004F2F46"/>
    <w:rsid w:val="004F5189"/>
    <w:rsid w:val="00506E16"/>
    <w:rsid w:val="005073C0"/>
    <w:rsid w:val="00511388"/>
    <w:rsid w:val="00511ABB"/>
    <w:rsid w:val="00512B66"/>
    <w:rsid w:val="00513168"/>
    <w:rsid w:val="00514916"/>
    <w:rsid w:val="005152B5"/>
    <w:rsid w:val="0051661E"/>
    <w:rsid w:val="00521223"/>
    <w:rsid w:val="00521319"/>
    <w:rsid w:val="00523C28"/>
    <w:rsid w:val="005241D0"/>
    <w:rsid w:val="00525F9E"/>
    <w:rsid w:val="00527195"/>
    <w:rsid w:val="005321D0"/>
    <w:rsid w:val="005322D5"/>
    <w:rsid w:val="00532AF5"/>
    <w:rsid w:val="00534529"/>
    <w:rsid w:val="00536327"/>
    <w:rsid w:val="00541D43"/>
    <w:rsid w:val="00541F7E"/>
    <w:rsid w:val="005440BA"/>
    <w:rsid w:val="0054758D"/>
    <w:rsid w:val="00550042"/>
    <w:rsid w:val="00555109"/>
    <w:rsid w:val="00555C57"/>
    <w:rsid w:val="00556379"/>
    <w:rsid w:val="00560C17"/>
    <w:rsid w:val="00561CE4"/>
    <w:rsid w:val="0056276A"/>
    <w:rsid w:val="0056364D"/>
    <w:rsid w:val="0056696F"/>
    <w:rsid w:val="00570192"/>
    <w:rsid w:val="00570362"/>
    <w:rsid w:val="005757F7"/>
    <w:rsid w:val="00575C80"/>
    <w:rsid w:val="00576972"/>
    <w:rsid w:val="00577717"/>
    <w:rsid w:val="00577B0D"/>
    <w:rsid w:val="005801E9"/>
    <w:rsid w:val="00580202"/>
    <w:rsid w:val="00583699"/>
    <w:rsid w:val="00583A87"/>
    <w:rsid w:val="00590CAB"/>
    <w:rsid w:val="005948C1"/>
    <w:rsid w:val="005959DC"/>
    <w:rsid w:val="00596EDA"/>
    <w:rsid w:val="005A2328"/>
    <w:rsid w:val="005A4664"/>
    <w:rsid w:val="005A69A6"/>
    <w:rsid w:val="005A6EC4"/>
    <w:rsid w:val="005B167C"/>
    <w:rsid w:val="005B2F77"/>
    <w:rsid w:val="005B5857"/>
    <w:rsid w:val="005B5E6D"/>
    <w:rsid w:val="005B729C"/>
    <w:rsid w:val="005B74CE"/>
    <w:rsid w:val="005C1B83"/>
    <w:rsid w:val="005C346B"/>
    <w:rsid w:val="005C6AA2"/>
    <w:rsid w:val="005D1132"/>
    <w:rsid w:val="005D18AD"/>
    <w:rsid w:val="005D3302"/>
    <w:rsid w:val="005D339A"/>
    <w:rsid w:val="005D39FE"/>
    <w:rsid w:val="005D42EE"/>
    <w:rsid w:val="005D47BD"/>
    <w:rsid w:val="005D4D26"/>
    <w:rsid w:val="005D7E3E"/>
    <w:rsid w:val="005E05FA"/>
    <w:rsid w:val="005E1AF5"/>
    <w:rsid w:val="005E1C47"/>
    <w:rsid w:val="005E7E3B"/>
    <w:rsid w:val="005F2706"/>
    <w:rsid w:val="005F68E2"/>
    <w:rsid w:val="005F6A8F"/>
    <w:rsid w:val="00606860"/>
    <w:rsid w:val="00607669"/>
    <w:rsid w:val="00612F97"/>
    <w:rsid w:val="00616802"/>
    <w:rsid w:val="00616B47"/>
    <w:rsid w:val="00617E12"/>
    <w:rsid w:val="00620333"/>
    <w:rsid w:val="00621477"/>
    <w:rsid w:val="00631D6B"/>
    <w:rsid w:val="00633087"/>
    <w:rsid w:val="0063479F"/>
    <w:rsid w:val="006364A1"/>
    <w:rsid w:val="00637BFD"/>
    <w:rsid w:val="006406E3"/>
    <w:rsid w:val="00643901"/>
    <w:rsid w:val="006471CC"/>
    <w:rsid w:val="0065079F"/>
    <w:rsid w:val="00652919"/>
    <w:rsid w:val="00653456"/>
    <w:rsid w:val="00661715"/>
    <w:rsid w:val="006629EF"/>
    <w:rsid w:val="0066543A"/>
    <w:rsid w:val="006660FB"/>
    <w:rsid w:val="00666961"/>
    <w:rsid w:val="00674E42"/>
    <w:rsid w:val="00682112"/>
    <w:rsid w:val="00683701"/>
    <w:rsid w:val="006864EE"/>
    <w:rsid w:val="006866BC"/>
    <w:rsid w:val="00686A01"/>
    <w:rsid w:val="00690B8A"/>
    <w:rsid w:val="006919E5"/>
    <w:rsid w:val="00692573"/>
    <w:rsid w:val="006933D2"/>
    <w:rsid w:val="00694007"/>
    <w:rsid w:val="00694F44"/>
    <w:rsid w:val="006955D8"/>
    <w:rsid w:val="006A056F"/>
    <w:rsid w:val="006A0D27"/>
    <w:rsid w:val="006A40A2"/>
    <w:rsid w:val="006A481E"/>
    <w:rsid w:val="006A744C"/>
    <w:rsid w:val="006B340B"/>
    <w:rsid w:val="006B36FB"/>
    <w:rsid w:val="006B4040"/>
    <w:rsid w:val="006B749F"/>
    <w:rsid w:val="006C1815"/>
    <w:rsid w:val="006C1FC4"/>
    <w:rsid w:val="006C2A8E"/>
    <w:rsid w:val="006C612A"/>
    <w:rsid w:val="006C75D1"/>
    <w:rsid w:val="006D0C66"/>
    <w:rsid w:val="006D19CF"/>
    <w:rsid w:val="006D267D"/>
    <w:rsid w:val="006D3C7D"/>
    <w:rsid w:val="006D67AD"/>
    <w:rsid w:val="006E17AC"/>
    <w:rsid w:val="006E5445"/>
    <w:rsid w:val="006E7BC4"/>
    <w:rsid w:val="006F513C"/>
    <w:rsid w:val="006F515F"/>
    <w:rsid w:val="006F63A5"/>
    <w:rsid w:val="00701D55"/>
    <w:rsid w:val="0070276E"/>
    <w:rsid w:val="007044DA"/>
    <w:rsid w:val="00705E19"/>
    <w:rsid w:val="00707DC4"/>
    <w:rsid w:val="00710F35"/>
    <w:rsid w:val="00711423"/>
    <w:rsid w:val="00711A36"/>
    <w:rsid w:val="00713BC0"/>
    <w:rsid w:val="007166C0"/>
    <w:rsid w:val="00716C84"/>
    <w:rsid w:val="007172AD"/>
    <w:rsid w:val="007179D4"/>
    <w:rsid w:val="00721373"/>
    <w:rsid w:val="00723F8A"/>
    <w:rsid w:val="007246FA"/>
    <w:rsid w:val="00725939"/>
    <w:rsid w:val="007265C3"/>
    <w:rsid w:val="007265FB"/>
    <w:rsid w:val="0073050F"/>
    <w:rsid w:val="00730CFA"/>
    <w:rsid w:val="00733814"/>
    <w:rsid w:val="00735328"/>
    <w:rsid w:val="00735331"/>
    <w:rsid w:val="0073685B"/>
    <w:rsid w:val="00736E00"/>
    <w:rsid w:val="00741ABE"/>
    <w:rsid w:val="00742086"/>
    <w:rsid w:val="0074326B"/>
    <w:rsid w:val="00746CEF"/>
    <w:rsid w:val="00746FDD"/>
    <w:rsid w:val="007474AD"/>
    <w:rsid w:val="007477F8"/>
    <w:rsid w:val="00751630"/>
    <w:rsid w:val="00755FEF"/>
    <w:rsid w:val="007606B1"/>
    <w:rsid w:val="00760BDA"/>
    <w:rsid w:val="00760F8C"/>
    <w:rsid w:val="00763050"/>
    <w:rsid w:val="0076453E"/>
    <w:rsid w:val="00772575"/>
    <w:rsid w:val="00772FEF"/>
    <w:rsid w:val="0077369A"/>
    <w:rsid w:val="0077418D"/>
    <w:rsid w:val="007749F4"/>
    <w:rsid w:val="00775C5D"/>
    <w:rsid w:val="00780913"/>
    <w:rsid w:val="007859EF"/>
    <w:rsid w:val="0079013E"/>
    <w:rsid w:val="00790D3B"/>
    <w:rsid w:val="0079132D"/>
    <w:rsid w:val="00793010"/>
    <w:rsid w:val="00796245"/>
    <w:rsid w:val="007A0084"/>
    <w:rsid w:val="007A233F"/>
    <w:rsid w:val="007A30D5"/>
    <w:rsid w:val="007A3420"/>
    <w:rsid w:val="007A3FB9"/>
    <w:rsid w:val="007A4C7D"/>
    <w:rsid w:val="007B251D"/>
    <w:rsid w:val="007B2F2D"/>
    <w:rsid w:val="007B316E"/>
    <w:rsid w:val="007B544F"/>
    <w:rsid w:val="007B6CAF"/>
    <w:rsid w:val="007B77D1"/>
    <w:rsid w:val="007C4F3A"/>
    <w:rsid w:val="007C5346"/>
    <w:rsid w:val="007D0B38"/>
    <w:rsid w:val="007E09C9"/>
    <w:rsid w:val="007E1B29"/>
    <w:rsid w:val="007E2837"/>
    <w:rsid w:val="007E296C"/>
    <w:rsid w:val="007E578B"/>
    <w:rsid w:val="007E7E6A"/>
    <w:rsid w:val="007F0978"/>
    <w:rsid w:val="007F1017"/>
    <w:rsid w:val="007F1BC7"/>
    <w:rsid w:val="007F33DB"/>
    <w:rsid w:val="007F4A3F"/>
    <w:rsid w:val="007F6F49"/>
    <w:rsid w:val="00803FF6"/>
    <w:rsid w:val="00804582"/>
    <w:rsid w:val="00805142"/>
    <w:rsid w:val="00805723"/>
    <w:rsid w:val="008064A2"/>
    <w:rsid w:val="00807A8B"/>
    <w:rsid w:val="008108AB"/>
    <w:rsid w:val="00812149"/>
    <w:rsid w:val="008141B5"/>
    <w:rsid w:val="00814B9E"/>
    <w:rsid w:val="00815CAF"/>
    <w:rsid w:val="008166EF"/>
    <w:rsid w:val="00816BA2"/>
    <w:rsid w:val="00817C90"/>
    <w:rsid w:val="008236A6"/>
    <w:rsid w:val="008247D8"/>
    <w:rsid w:val="008264EB"/>
    <w:rsid w:val="00827E29"/>
    <w:rsid w:val="00830947"/>
    <w:rsid w:val="00830B81"/>
    <w:rsid w:val="008317A6"/>
    <w:rsid w:val="008324C0"/>
    <w:rsid w:val="00840CA2"/>
    <w:rsid w:val="0084287E"/>
    <w:rsid w:val="00843876"/>
    <w:rsid w:val="0084511B"/>
    <w:rsid w:val="00856E9A"/>
    <w:rsid w:val="00857277"/>
    <w:rsid w:val="00857C32"/>
    <w:rsid w:val="00860B09"/>
    <w:rsid w:val="008642A0"/>
    <w:rsid w:val="00866804"/>
    <w:rsid w:val="00866FA1"/>
    <w:rsid w:val="00871324"/>
    <w:rsid w:val="008714F4"/>
    <w:rsid w:val="00871D28"/>
    <w:rsid w:val="0087435B"/>
    <w:rsid w:val="00876C70"/>
    <w:rsid w:val="00882874"/>
    <w:rsid w:val="00883787"/>
    <w:rsid w:val="00886339"/>
    <w:rsid w:val="00886724"/>
    <w:rsid w:val="008963A5"/>
    <w:rsid w:val="008971B9"/>
    <w:rsid w:val="0089720E"/>
    <w:rsid w:val="008A07F4"/>
    <w:rsid w:val="008A08B8"/>
    <w:rsid w:val="008A3C3E"/>
    <w:rsid w:val="008A3F14"/>
    <w:rsid w:val="008A79DE"/>
    <w:rsid w:val="008B18E6"/>
    <w:rsid w:val="008B58B1"/>
    <w:rsid w:val="008B792A"/>
    <w:rsid w:val="008B7D7E"/>
    <w:rsid w:val="008C2A76"/>
    <w:rsid w:val="008C35CE"/>
    <w:rsid w:val="008C65EC"/>
    <w:rsid w:val="008C7ECB"/>
    <w:rsid w:val="008D1CBB"/>
    <w:rsid w:val="008D5043"/>
    <w:rsid w:val="008D7311"/>
    <w:rsid w:val="008E0D87"/>
    <w:rsid w:val="008E1B9E"/>
    <w:rsid w:val="008E6624"/>
    <w:rsid w:val="008E7C88"/>
    <w:rsid w:val="008F2241"/>
    <w:rsid w:val="008F29AB"/>
    <w:rsid w:val="008F40DC"/>
    <w:rsid w:val="008F48EB"/>
    <w:rsid w:val="008F4F0B"/>
    <w:rsid w:val="008F6743"/>
    <w:rsid w:val="008F6EE9"/>
    <w:rsid w:val="009015FA"/>
    <w:rsid w:val="00903BD7"/>
    <w:rsid w:val="009062A5"/>
    <w:rsid w:val="00906F82"/>
    <w:rsid w:val="00911272"/>
    <w:rsid w:val="00913D30"/>
    <w:rsid w:val="0091433C"/>
    <w:rsid w:val="00914DFA"/>
    <w:rsid w:val="00915FEA"/>
    <w:rsid w:val="00920F29"/>
    <w:rsid w:val="009231DE"/>
    <w:rsid w:val="009262DF"/>
    <w:rsid w:val="009263D4"/>
    <w:rsid w:val="0092748C"/>
    <w:rsid w:val="0092794E"/>
    <w:rsid w:val="00933229"/>
    <w:rsid w:val="00933ACE"/>
    <w:rsid w:val="0093550A"/>
    <w:rsid w:val="00940224"/>
    <w:rsid w:val="00941368"/>
    <w:rsid w:val="00944F4A"/>
    <w:rsid w:val="00946B94"/>
    <w:rsid w:val="0094719A"/>
    <w:rsid w:val="00951DB4"/>
    <w:rsid w:val="00953DAD"/>
    <w:rsid w:val="00957AF0"/>
    <w:rsid w:val="00961AF9"/>
    <w:rsid w:val="00961E7C"/>
    <w:rsid w:val="00962CB9"/>
    <w:rsid w:val="0096333B"/>
    <w:rsid w:val="00964312"/>
    <w:rsid w:val="00964BE8"/>
    <w:rsid w:val="00973405"/>
    <w:rsid w:val="0098002F"/>
    <w:rsid w:val="009800DD"/>
    <w:rsid w:val="009839D1"/>
    <w:rsid w:val="00983E57"/>
    <w:rsid w:val="009840FA"/>
    <w:rsid w:val="00986290"/>
    <w:rsid w:val="00986E69"/>
    <w:rsid w:val="00990F3C"/>
    <w:rsid w:val="00996B1A"/>
    <w:rsid w:val="009A4C33"/>
    <w:rsid w:val="009A72CD"/>
    <w:rsid w:val="009B0686"/>
    <w:rsid w:val="009B3E26"/>
    <w:rsid w:val="009B5DDD"/>
    <w:rsid w:val="009B5DFE"/>
    <w:rsid w:val="009D1A40"/>
    <w:rsid w:val="009D4172"/>
    <w:rsid w:val="009D5B91"/>
    <w:rsid w:val="009D7C62"/>
    <w:rsid w:val="009E3E10"/>
    <w:rsid w:val="009E4C07"/>
    <w:rsid w:val="009E570F"/>
    <w:rsid w:val="009F0B3F"/>
    <w:rsid w:val="009F767F"/>
    <w:rsid w:val="00A013E5"/>
    <w:rsid w:val="00A02874"/>
    <w:rsid w:val="00A034F8"/>
    <w:rsid w:val="00A03D43"/>
    <w:rsid w:val="00A04380"/>
    <w:rsid w:val="00A05C4A"/>
    <w:rsid w:val="00A07866"/>
    <w:rsid w:val="00A13948"/>
    <w:rsid w:val="00A14EF8"/>
    <w:rsid w:val="00A150D0"/>
    <w:rsid w:val="00A20922"/>
    <w:rsid w:val="00A22737"/>
    <w:rsid w:val="00A23E44"/>
    <w:rsid w:val="00A27AEC"/>
    <w:rsid w:val="00A31DC2"/>
    <w:rsid w:val="00A33F75"/>
    <w:rsid w:val="00A34AED"/>
    <w:rsid w:val="00A35D16"/>
    <w:rsid w:val="00A36154"/>
    <w:rsid w:val="00A371F4"/>
    <w:rsid w:val="00A437D6"/>
    <w:rsid w:val="00A43C59"/>
    <w:rsid w:val="00A47084"/>
    <w:rsid w:val="00A507C2"/>
    <w:rsid w:val="00A50ECD"/>
    <w:rsid w:val="00A50ECE"/>
    <w:rsid w:val="00A5133A"/>
    <w:rsid w:val="00A52729"/>
    <w:rsid w:val="00A53675"/>
    <w:rsid w:val="00A56B6A"/>
    <w:rsid w:val="00A578DC"/>
    <w:rsid w:val="00A602DD"/>
    <w:rsid w:val="00A6041C"/>
    <w:rsid w:val="00A625BE"/>
    <w:rsid w:val="00A64CC4"/>
    <w:rsid w:val="00A6725B"/>
    <w:rsid w:val="00A672F2"/>
    <w:rsid w:val="00A7085A"/>
    <w:rsid w:val="00A72DAF"/>
    <w:rsid w:val="00A735F6"/>
    <w:rsid w:val="00A73AD1"/>
    <w:rsid w:val="00A75BC7"/>
    <w:rsid w:val="00A86E8B"/>
    <w:rsid w:val="00A90FD8"/>
    <w:rsid w:val="00A92C39"/>
    <w:rsid w:val="00A93072"/>
    <w:rsid w:val="00A94495"/>
    <w:rsid w:val="00A96A05"/>
    <w:rsid w:val="00A973A0"/>
    <w:rsid w:val="00AA0A07"/>
    <w:rsid w:val="00AA471B"/>
    <w:rsid w:val="00AA5DA4"/>
    <w:rsid w:val="00AB042A"/>
    <w:rsid w:val="00AB29A7"/>
    <w:rsid w:val="00AB2BB5"/>
    <w:rsid w:val="00AB3430"/>
    <w:rsid w:val="00AB4501"/>
    <w:rsid w:val="00AB77A2"/>
    <w:rsid w:val="00AB7CFA"/>
    <w:rsid w:val="00AC0BC5"/>
    <w:rsid w:val="00AC7D3D"/>
    <w:rsid w:val="00AC7D45"/>
    <w:rsid w:val="00AD2D0A"/>
    <w:rsid w:val="00AD4734"/>
    <w:rsid w:val="00AD66FC"/>
    <w:rsid w:val="00AE1D98"/>
    <w:rsid w:val="00AE3CA7"/>
    <w:rsid w:val="00AE3F02"/>
    <w:rsid w:val="00AE4A3A"/>
    <w:rsid w:val="00AF520D"/>
    <w:rsid w:val="00B00721"/>
    <w:rsid w:val="00B070DC"/>
    <w:rsid w:val="00B07824"/>
    <w:rsid w:val="00B130C5"/>
    <w:rsid w:val="00B13D9E"/>
    <w:rsid w:val="00B17D64"/>
    <w:rsid w:val="00B22521"/>
    <w:rsid w:val="00B22DF3"/>
    <w:rsid w:val="00B265A9"/>
    <w:rsid w:val="00B27426"/>
    <w:rsid w:val="00B31194"/>
    <w:rsid w:val="00B32F4F"/>
    <w:rsid w:val="00B33B83"/>
    <w:rsid w:val="00B345D3"/>
    <w:rsid w:val="00B3781A"/>
    <w:rsid w:val="00B37CAD"/>
    <w:rsid w:val="00B42851"/>
    <w:rsid w:val="00B4737C"/>
    <w:rsid w:val="00B4753B"/>
    <w:rsid w:val="00B50886"/>
    <w:rsid w:val="00B515FA"/>
    <w:rsid w:val="00B54B5B"/>
    <w:rsid w:val="00B5562E"/>
    <w:rsid w:val="00B56ECA"/>
    <w:rsid w:val="00B57000"/>
    <w:rsid w:val="00B608CF"/>
    <w:rsid w:val="00B60939"/>
    <w:rsid w:val="00B60AF5"/>
    <w:rsid w:val="00B60AFD"/>
    <w:rsid w:val="00B62715"/>
    <w:rsid w:val="00B63500"/>
    <w:rsid w:val="00B65DDF"/>
    <w:rsid w:val="00B65FDB"/>
    <w:rsid w:val="00B75749"/>
    <w:rsid w:val="00B76B41"/>
    <w:rsid w:val="00B77A3A"/>
    <w:rsid w:val="00B8116C"/>
    <w:rsid w:val="00B818A4"/>
    <w:rsid w:val="00B83486"/>
    <w:rsid w:val="00B838D7"/>
    <w:rsid w:val="00B8649C"/>
    <w:rsid w:val="00B92D0B"/>
    <w:rsid w:val="00B93CA8"/>
    <w:rsid w:val="00B94945"/>
    <w:rsid w:val="00BA02E8"/>
    <w:rsid w:val="00BA3754"/>
    <w:rsid w:val="00BB0A66"/>
    <w:rsid w:val="00BB25B1"/>
    <w:rsid w:val="00BB3607"/>
    <w:rsid w:val="00BB3AA5"/>
    <w:rsid w:val="00BB67A4"/>
    <w:rsid w:val="00BB6AA3"/>
    <w:rsid w:val="00BB709E"/>
    <w:rsid w:val="00BC1A47"/>
    <w:rsid w:val="00BC4E2A"/>
    <w:rsid w:val="00BD25AB"/>
    <w:rsid w:val="00BE0C51"/>
    <w:rsid w:val="00BE1A58"/>
    <w:rsid w:val="00BE2180"/>
    <w:rsid w:val="00BE4275"/>
    <w:rsid w:val="00BF087E"/>
    <w:rsid w:val="00BF1D3E"/>
    <w:rsid w:val="00BF23ED"/>
    <w:rsid w:val="00BF2433"/>
    <w:rsid w:val="00BF3C19"/>
    <w:rsid w:val="00BF43E0"/>
    <w:rsid w:val="00BF5087"/>
    <w:rsid w:val="00BF6100"/>
    <w:rsid w:val="00BF61C9"/>
    <w:rsid w:val="00BF7473"/>
    <w:rsid w:val="00C01864"/>
    <w:rsid w:val="00C05BB4"/>
    <w:rsid w:val="00C05FEA"/>
    <w:rsid w:val="00C06BBF"/>
    <w:rsid w:val="00C07B2F"/>
    <w:rsid w:val="00C1010F"/>
    <w:rsid w:val="00C10DD1"/>
    <w:rsid w:val="00C23032"/>
    <w:rsid w:val="00C25094"/>
    <w:rsid w:val="00C25418"/>
    <w:rsid w:val="00C25D9C"/>
    <w:rsid w:val="00C31649"/>
    <w:rsid w:val="00C3279A"/>
    <w:rsid w:val="00C32B79"/>
    <w:rsid w:val="00C3438D"/>
    <w:rsid w:val="00C34BCE"/>
    <w:rsid w:val="00C34C30"/>
    <w:rsid w:val="00C40385"/>
    <w:rsid w:val="00C41415"/>
    <w:rsid w:val="00C564A1"/>
    <w:rsid w:val="00C614DF"/>
    <w:rsid w:val="00C63269"/>
    <w:rsid w:val="00C65576"/>
    <w:rsid w:val="00C66165"/>
    <w:rsid w:val="00C7099C"/>
    <w:rsid w:val="00C73767"/>
    <w:rsid w:val="00C75763"/>
    <w:rsid w:val="00C76C00"/>
    <w:rsid w:val="00C76FE2"/>
    <w:rsid w:val="00C8213F"/>
    <w:rsid w:val="00C8797A"/>
    <w:rsid w:val="00C93666"/>
    <w:rsid w:val="00C938CF"/>
    <w:rsid w:val="00C944FD"/>
    <w:rsid w:val="00CA0AA0"/>
    <w:rsid w:val="00CA5245"/>
    <w:rsid w:val="00CA7B09"/>
    <w:rsid w:val="00CB0EA6"/>
    <w:rsid w:val="00CB4BAE"/>
    <w:rsid w:val="00CB5B1A"/>
    <w:rsid w:val="00CC238E"/>
    <w:rsid w:val="00CD1633"/>
    <w:rsid w:val="00CD6ADC"/>
    <w:rsid w:val="00CD6EC7"/>
    <w:rsid w:val="00CE2A54"/>
    <w:rsid w:val="00CE6274"/>
    <w:rsid w:val="00CF09DD"/>
    <w:rsid w:val="00CF1016"/>
    <w:rsid w:val="00CF456B"/>
    <w:rsid w:val="00CF5A22"/>
    <w:rsid w:val="00CF6962"/>
    <w:rsid w:val="00CF6A5B"/>
    <w:rsid w:val="00CF7B7F"/>
    <w:rsid w:val="00D00317"/>
    <w:rsid w:val="00D0262E"/>
    <w:rsid w:val="00D04C42"/>
    <w:rsid w:val="00D06FD4"/>
    <w:rsid w:val="00D071DB"/>
    <w:rsid w:val="00D1043C"/>
    <w:rsid w:val="00D110BD"/>
    <w:rsid w:val="00D12AF5"/>
    <w:rsid w:val="00D13103"/>
    <w:rsid w:val="00D1487E"/>
    <w:rsid w:val="00D1493F"/>
    <w:rsid w:val="00D17D6C"/>
    <w:rsid w:val="00D21E96"/>
    <w:rsid w:val="00D25E61"/>
    <w:rsid w:val="00D263C7"/>
    <w:rsid w:val="00D2746B"/>
    <w:rsid w:val="00D278F4"/>
    <w:rsid w:val="00D35DEB"/>
    <w:rsid w:val="00D37605"/>
    <w:rsid w:val="00D472DE"/>
    <w:rsid w:val="00D52282"/>
    <w:rsid w:val="00D56045"/>
    <w:rsid w:val="00D575C8"/>
    <w:rsid w:val="00D60B5E"/>
    <w:rsid w:val="00D60D3C"/>
    <w:rsid w:val="00D62472"/>
    <w:rsid w:val="00D6575D"/>
    <w:rsid w:val="00D70599"/>
    <w:rsid w:val="00D70F5E"/>
    <w:rsid w:val="00D71C3D"/>
    <w:rsid w:val="00D7502F"/>
    <w:rsid w:val="00D758D8"/>
    <w:rsid w:val="00D76A44"/>
    <w:rsid w:val="00D82E99"/>
    <w:rsid w:val="00D8391A"/>
    <w:rsid w:val="00D85F1F"/>
    <w:rsid w:val="00D85F2E"/>
    <w:rsid w:val="00D86EC7"/>
    <w:rsid w:val="00D93753"/>
    <w:rsid w:val="00DA5872"/>
    <w:rsid w:val="00DA77A5"/>
    <w:rsid w:val="00DB1811"/>
    <w:rsid w:val="00DB3587"/>
    <w:rsid w:val="00DB6A29"/>
    <w:rsid w:val="00DC2733"/>
    <w:rsid w:val="00DC2E28"/>
    <w:rsid w:val="00DC302C"/>
    <w:rsid w:val="00DC5501"/>
    <w:rsid w:val="00DC7A10"/>
    <w:rsid w:val="00DC7B8A"/>
    <w:rsid w:val="00DD0181"/>
    <w:rsid w:val="00DD0671"/>
    <w:rsid w:val="00DD2072"/>
    <w:rsid w:val="00DD2186"/>
    <w:rsid w:val="00DD3013"/>
    <w:rsid w:val="00DD3F28"/>
    <w:rsid w:val="00DD4537"/>
    <w:rsid w:val="00DD4E15"/>
    <w:rsid w:val="00DE2CC2"/>
    <w:rsid w:val="00DE4FCB"/>
    <w:rsid w:val="00DE562F"/>
    <w:rsid w:val="00DE6EBD"/>
    <w:rsid w:val="00DE7F7F"/>
    <w:rsid w:val="00DF0580"/>
    <w:rsid w:val="00DF1F63"/>
    <w:rsid w:val="00DF3FE4"/>
    <w:rsid w:val="00DF4869"/>
    <w:rsid w:val="00DF5F78"/>
    <w:rsid w:val="00DF72AA"/>
    <w:rsid w:val="00E01951"/>
    <w:rsid w:val="00E036CE"/>
    <w:rsid w:val="00E0472A"/>
    <w:rsid w:val="00E04839"/>
    <w:rsid w:val="00E060A3"/>
    <w:rsid w:val="00E0724C"/>
    <w:rsid w:val="00E074D2"/>
    <w:rsid w:val="00E10149"/>
    <w:rsid w:val="00E1041C"/>
    <w:rsid w:val="00E118F6"/>
    <w:rsid w:val="00E16372"/>
    <w:rsid w:val="00E172B0"/>
    <w:rsid w:val="00E20ED6"/>
    <w:rsid w:val="00E20F11"/>
    <w:rsid w:val="00E21358"/>
    <w:rsid w:val="00E21BB5"/>
    <w:rsid w:val="00E2249B"/>
    <w:rsid w:val="00E2771E"/>
    <w:rsid w:val="00E27FF3"/>
    <w:rsid w:val="00E35D6B"/>
    <w:rsid w:val="00E37569"/>
    <w:rsid w:val="00E41E30"/>
    <w:rsid w:val="00E42372"/>
    <w:rsid w:val="00E43153"/>
    <w:rsid w:val="00E445FC"/>
    <w:rsid w:val="00E469F4"/>
    <w:rsid w:val="00E47B2C"/>
    <w:rsid w:val="00E50A2B"/>
    <w:rsid w:val="00E55424"/>
    <w:rsid w:val="00E579C3"/>
    <w:rsid w:val="00E6225A"/>
    <w:rsid w:val="00E639BD"/>
    <w:rsid w:val="00E65E79"/>
    <w:rsid w:val="00E67416"/>
    <w:rsid w:val="00E71096"/>
    <w:rsid w:val="00E718B6"/>
    <w:rsid w:val="00E724DB"/>
    <w:rsid w:val="00E73581"/>
    <w:rsid w:val="00E73A7C"/>
    <w:rsid w:val="00E77D15"/>
    <w:rsid w:val="00E82E5C"/>
    <w:rsid w:val="00E83BDF"/>
    <w:rsid w:val="00E87BD8"/>
    <w:rsid w:val="00E932B8"/>
    <w:rsid w:val="00E97441"/>
    <w:rsid w:val="00EA1DE3"/>
    <w:rsid w:val="00EA2A75"/>
    <w:rsid w:val="00EA3864"/>
    <w:rsid w:val="00EA60AB"/>
    <w:rsid w:val="00EB02B3"/>
    <w:rsid w:val="00EB1808"/>
    <w:rsid w:val="00EB191B"/>
    <w:rsid w:val="00EB3346"/>
    <w:rsid w:val="00EB4E1B"/>
    <w:rsid w:val="00EC00C9"/>
    <w:rsid w:val="00EC08A8"/>
    <w:rsid w:val="00EC2418"/>
    <w:rsid w:val="00EC4FB2"/>
    <w:rsid w:val="00EC79A0"/>
    <w:rsid w:val="00ED05A1"/>
    <w:rsid w:val="00EE07D3"/>
    <w:rsid w:val="00EE1366"/>
    <w:rsid w:val="00EE1D9A"/>
    <w:rsid w:val="00EE2B4E"/>
    <w:rsid w:val="00EE4F52"/>
    <w:rsid w:val="00EF38DA"/>
    <w:rsid w:val="00EF3A86"/>
    <w:rsid w:val="00EF55D6"/>
    <w:rsid w:val="00F00F86"/>
    <w:rsid w:val="00F01C4D"/>
    <w:rsid w:val="00F02332"/>
    <w:rsid w:val="00F03E23"/>
    <w:rsid w:val="00F058C9"/>
    <w:rsid w:val="00F058E9"/>
    <w:rsid w:val="00F067A2"/>
    <w:rsid w:val="00F20D4E"/>
    <w:rsid w:val="00F21B49"/>
    <w:rsid w:val="00F23DB4"/>
    <w:rsid w:val="00F24837"/>
    <w:rsid w:val="00F2575F"/>
    <w:rsid w:val="00F25A5D"/>
    <w:rsid w:val="00F3063E"/>
    <w:rsid w:val="00F31341"/>
    <w:rsid w:val="00F318E1"/>
    <w:rsid w:val="00F338FF"/>
    <w:rsid w:val="00F33DE9"/>
    <w:rsid w:val="00F3619A"/>
    <w:rsid w:val="00F36FAA"/>
    <w:rsid w:val="00F4081E"/>
    <w:rsid w:val="00F42C00"/>
    <w:rsid w:val="00F45E4C"/>
    <w:rsid w:val="00F46CB6"/>
    <w:rsid w:val="00F50105"/>
    <w:rsid w:val="00F5094F"/>
    <w:rsid w:val="00F544C1"/>
    <w:rsid w:val="00F551D8"/>
    <w:rsid w:val="00F55E73"/>
    <w:rsid w:val="00F6382B"/>
    <w:rsid w:val="00F658F6"/>
    <w:rsid w:val="00F66A9D"/>
    <w:rsid w:val="00F66AF0"/>
    <w:rsid w:val="00F73BE6"/>
    <w:rsid w:val="00F75506"/>
    <w:rsid w:val="00F779E2"/>
    <w:rsid w:val="00F80E5D"/>
    <w:rsid w:val="00F811F1"/>
    <w:rsid w:val="00F817DC"/>
    <w:rsid w:val="00F821CB"/>
    <w:rsid w:val="00F84E5F"/>
    <w:rsid w:val="00F851CE"/>
    <w:rsid w:val="00F8707F"/>
    <w:rsid w:val="00F91C84"/>
    <w:rsid w:val="00F92282"/>
    <w:rsid w:val="00F92504"/>
    <w:rsid w:val="00F954D5"/>
    <w:rsid w:val="00F97562"/>
    <w:rsid w:val="00F97905"/>
    <w:rsid w:val="00F97A78"/>
    <w:rsid w:val="00FA040E"/>
    <w:rsid w:val="00FA5265"/>
    <w:rsid w:val="00FA68C2"/>
    <w:rsid w:val="00FA719B"/>
    <w:rsid w:val="00FA7FE3"/>
    <w:rsid w:val="00FB2A7B"/>
    <w:rsid w:val="00FB2FCB"/>
    <w:rsid w:val="00FB3609"/>
    <w:rsid w:val="00FC1074"/>
    <w:rsid w:val="00FC1884"/>
    <w:rsid w:val="00FC56A6"/>
    <w:rsid w:val="00FD2100"/>
    <w:rsid w:val="00FD39B5"/>
    <w:rsid w:val="00FD446D"/>
    <w:rsid w:val="00FE0744"/>
    <w:rsid w:val="00FE16B2"/>
    <w:rsid w:val="00FE325B"/>
    <w:rsid w:val="00FE3ACB"/>
    <w:rsid w:val="00FE7077"/>
    <w:rsid w:val="00FE70B2"/>
    <w:rsid w:val="00FF3DCF"/>
    <w:rsid w:val="00FF5AA3"/>
    <w:rsid w:val="00FF628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99"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nhideWhenUsed="0"/>
    <w:lsdException w:name="Emphasis" w:semiHidden="0" w:unhideWhenUsed="0"/>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071DB"/>
    <w:pPr>
      <w:widowControl w:val="0"/>
      <w:jc w:val="both"/>
    </w:pPr>
    <w:rPr>
      <w:rFonts w:ascii="Arial" w:hAnsi="Arial" w:cs="Arial"/>
      <w:snapToGrid w:val="0"/>
      <w:sz w:val="22"/>
      <w:lang w:eastAsia="en-US"/>
    </w:rPr>
  </w:style>
  <w:style w:type="paragraph" w:styleId="Heading1">
    <w:name w:val="heading 1"/>
    <w:basedOn w:val="PBACheading1"/>
    <w:next w:val="Normal"/>
    <w:link w:val="Heading1Char"/>
    <w:uiPriority w:val="1"/>
    <w:qFormat/>
    <w:rsid w:val="00291A95"/>
    <w:pPr>
      <w:numPr>
        <w:numId w:val="2"/>
      </w:numPr>
      <w:spacing w:before="240" w:after="120"/>
      <w:outlineLvl w:val="0"/>
    </w:pPr>
    <w:rPr>
      <w:b/>
    </w:rPr>
  </w:style>
  <w:style w:type="paragraph" w:styleId="Heading2">
    <w:name w:val="heading 2"/>
    <w:basedOn w:val="Normal"/>
    <w:next w:val="Normal"/>
    <w:link w:val="Heading2Char"/>
    <w:uiPriority w:val="1"/>
    <w:qFormat/>
    <w:rsid w:val="00B13D9E"/>
    <w:pPr>
      <w:spacing w:before="240" w:after="120" w:line="276" w:lineRule="auto"/>
      <w:outlineLvl w:val="1"/>
    </w:pPr>
    <w:rPr>
      <w:b/>
      <w:bCs/>
      <w:szCs w:val="22"/>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1"/>
    <w:rsid w:val="00B13D9E"/>
    <w:rPr>
      <w:rFonts w:ascii="Arial" w:hAnsi="Arial" w:cs="Arial"/>
      <w:b/>
      <w:bCs/>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IB Caption,Medical Caption,Medical Caption Char,Caption Char1 Char Char,Caption Char Char Char Char,Caption Char1 Char,Caption Char Char Char Char Char,Caption Char Char,Caption Char Char Char Char1,Caption Char1 Char1,Tabellen-Tit,Tabellen-Tite"/>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IB Caption Char1,Medical Caption Char2,Medical Caption Char Char1,Caption Char1 Char Char Char1,Caption Char Char Char Char Char2,Caption Char1 Char Char2,Caption Char Char Char Char Char Char1,Caption Char Char Char1,Tabellen-Tit Char"/>
    <w:link w:val="Caption"/>
    <w:uiPriority w:val="99"/>
    <w:rsid w:val="00124A51"/>
    <w:rPr>
      <w:b/>
      <w:bCs/>
      <w:snapToGrid w:val="0"/>
      <w:color w:val="4F81BD" w:themeColor="accent1"/>
      <w:sz w:val="18"/>
      <w:szCs w:val="18"/>
      <w:lang w:eastAsia="en-US"/>
    </w:rPr>
  </w:style>
  <w:style w:type="paragraph" w:styleId="Title">
    <w:name w:val="Title"/>
    <w:basedOn w:val="Heading1"/>
    <w:next w:val="Normal"/>
    <w:link w:val="TitleChar"/>
    <w:rsid w:val="001B4E17"/>
    <w:pPr>
      <w:numPr>
        <w:numId w:val="0"/>
      </w:numPr>
      <w:spacing w:before="0" w:after="0"/>
      <w:ind w:left="720" w:hanging="720"/>
    </w:pPr>
    <w:rPr>
      <w:sz w:val="28"/>
      <w:szCs w:val="28"/>
    </w:rPr>
  </w:style>
  <w:style w:type="character" w:customStyle="1" w:styleId="TitleChar">
    <w:name w:val="Title Char"/>
    <w:basedOn w:val="DefaultParagraphFont"/>
    <w:link w:val="Title"/>
    <w:rsid w:val="001B4E17"/>
    <w:rPr>
      <w:rFonts w:ascii="Arial" w:hAnsi="Arial" w:cs="Arial"/>
      <w:b/>
      <w:snapToGrid w:val="0"/>
      <w:sz w:val="28"/>
      <w:szCs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uiPriority w:val="99"/>
    <w:rsid w:val="00CE6274"/>
    <w:pPr>
      <w:spacing w:after="120"/>
    </w:pPr>
    <w:rPr>
      <w:sz w:val="16"/>
      <w:szCs w:val="16"/>
    </w:rPr>
  </w:style>
  <w:style w:type="character" w:customStyle="1" w:styleId="BodyText3Char">
    <w:name w:val="Body Text 3 Char"/>
    <w:basedOn w:val="DefaultParagraphFont"/>
    <w:link w:val="BodyText3"/>
    <w:uiPriority w:val="99"/>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aliases w:val="Comment Text Char Char Char,Comment Text Char Char"/>
    <w:basedOn w:val="Normal"/>
    <w:link w:val="CommentTextChar"/>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rsid w:val="00FD2100"/>
    <w:rPr>
      <w:snapToGrid w:val="0"/>
      <w:lang w:eastAsia="en-US"/>
    </w:rPr>
  </w:style>
  <w:style w:type="paragraph" w:customStyle="1" w:styleId="TableText0">
    <w:name w:val="TableText"/>
    <w:basedOn w:val="Normal"/>
    <w:uiPriority w:val="99"/>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rPr>
      <w:rFonts w:ascii="Arial" w:hAnsi="Arial" w:cs="Arial"/>
      <w:snapToGrid w:val="0"/>
      <w:sz w:val="22"/>
      <w:szCs w:val="22"/>
      <w:lang w:eastAsia="en-US"/>
    </w:rPr>
  </w:style>
  <w:style w:type="character" w:customStyle="1" w:styleId="CaptionChar1">
    <w:name w:val="Caption Char1"/>
    <w:aliases w:val="IB Caption Char,Medical Caption Char1,Caption Char Char1,Medical Caption Char Char,Caption Char1 Char Char Char,Caption Char Char Char Char Char1,Caption Char1 Char Char1,Caption Char Char Char Char Char Char,Caption Char Char Char"/>
    <w:basedOn w:val="DefaultParagraphFont"/>
    <w:uiPriority w:val="99"/>
    <w:locked/>
    <w:rsid w:val="007A233F"/>
    <w:rPr>
      <w:rFonts w:eastAsia="Times New Roman"/>
      <w:b/>
      <w:bCs/>
      <w:snapToGrid w:val="0"/>
      <w:lang w:val="en-AU"/>
    </w:rPr>
  </w:style>
  <w:style w:type="paragraph" w:customStyle="1" w:styleId="Table9">
    <w:name w:val="Table9"/>
    <w:basedOn w:val="Normal"/>
    <w:next w:val="TableText0"/>
    <w:uiPriority w:val="99"/>
    <w:rsid w:val="002812F8"/>
    <w:pPr>
      <w:widowControl/>
      <w:spacing w:before="40" w:after="40"/>
      <w:jc w:val="left"/>
    </w:pPr>
    <w:rPr>
      <w:rFonts w:eastAsia="SimSun" w:cs="Times New Roman"/>
      <w:snapToGrid/>
      <w:sz w:val="18"/>
      <w:szCs w:val="18"/>
      <w:lang w:eastAsia="zh-CN"/>
    </w:rPr>
  </w:style>
  <w:style w:type="paragraph" w:customStyle="1" w:styleId="TableHeadingCentred">
    <w:name w:val="TableHeadingCentred"/>
    <w:basedOn w:val="Normal"/>
    <w:next w:val="TableText0"/>
    <w:uiPriority w:val="99"/>
    <w:rsid w:val="002812F8"/>
    <w:pPr>
      <w:keepNext/>
      <w:widowControl/>
      <w:spacing w:before="40" w:after="40"/>
      <w:jc w:val="center"/>
    </w:pPr>
    <w:rPr>
      <w:rFonts w:eastAsia="SimSun" w:cs="Times New Roman"/>
      <w:b/>
      <w:bCs/>
      <w:snapToGrid/>
      <w:sz w:val="18"/>
    </w:rPr>
  </w:style>
  <w:style w:type="paragraph" w:customStyle="1" w:styleId="TableNotes">
    <w:name w:val="TableNotes"/>
    <w:basedOn w:val="Normal"/>
    <w:autoRedefine/>
    <w:uiPriority w:val="99"/>
    <w:rsid w:val="005B729C"/>
    <w:pPr>
      <w:widowControl/>
      <w:ind w:right="-614"/>
      <w:jc w:val="left"/>
    </w:pPr>
    <w:rPr>
      <w:rFonts w:eastAsia="SimSun"/>
      <w:snapToGrid/>
      <w:sz w:val="20"/>
      <w:lang w:eastAsia="zh-CN"/>
    </w:rPr>
  </w:style>
  <w:style w:type="paragraph" w:customStyle="1" w:styleId="StyleTableTextLeft">
    <w:name w:val="Style TableText + Left"/>
    <w:basedOn w:val="TableText0"/>
    <w:uiPriority w:val="99"/>
    <w:rsid w:val="005B729C"/>
    <w:rPr>
      <w:rFonts w:ascii="Arial" w:eastAsia="SimSun" w:hAnsi="Arial" w:cs="Times New Roman"/>
      <w:sz w:val="18"/>
    </w:rPr>
  </w:style>
  <w:style w:type="paragraph" w:customStyle="1" w:styleId="TableTextsubbullet">
    <w:name w:val="Table Text subbullet"/>
    <w:basedOn w:val="StyleTableTextLeft"/>
    <w:uiPriority w:val="99"/>
    <w:rsid w:val="005B729C"/>
    <w:pPr>
      <w:keepLines/>
      <w:widowControl w:val="0"/>
      <w:numPr>
        <w:numId w:val="4"/>
      </w:numPr>
    </w:pPr>
    <w:rPr>
      <w:rFonts w:cs="Arial"/>
      <w:szCs w:val="18"/>
    </w:rPr>
  </w:style>
  <w:style w:type="paragraph" w:customStyle="1" w:styleId="TableHeadingRow">
    <w:name w:val="TableHeadingRow"/>
    <w:basedOn w:val="TableText0"/>
    <w:next w:val="TableText0"/>
    <w:uiPriority w:val="99"/>
    <w:rsid w:val="005B729C"/>
    <w:rPr>
      <w:rFonts w:ascii="Arial" w:eastAsia="SimSun" w:hAnsi="Arial" w:cs="Times New Roman"/>
      <w:b/>
      <w:bCs/>
      <w:sz w:val="18"/>
    </w:rPr>
  </w:style>
  <w:style w:type="paragraph" w:customStyle="1" w:styleId="TableTitle">
    <w:name w:val="TableTitle"/>
    <w:basedOn w:val="BodyText"/>
    <w:next w:val="BodyText"/>
    <w:uiPriority w:val="99"/>
    <w:rsid w:val="00C75763"/>
    <w:pPr>
      <w:keepNext/>
      <w:widowControl/>
      <w:tabs>
        <w:tab w:val="num" w:pos="1200"/>
      </w:tabs>
      <w:spacing w:after="60"/>
    </w:pPr>
    <w:rPr>
      <w:rFonts w:eastAsia="SimSun" w:cs="Times New Roman"/>
      <w:b/>
      <w:snapToGrid/>
      <w:sz w:val="20"/>
      <w:szCs w:val="24"/>
    </w:rPr>
  </w:style>
  <w:style w:type="paragraph" w:customStyle="1" w:styleId="TableNotes1">
    <w:name w:val="Table Notes"/>
    <w:basedOn w:val="Normal"/>
    <w:link w:val="TableNotesChar"/>
    <w:uiPriority w:val="99"/>
    <w:qFormat/>
    <w:rsid w:val="00A02874"/>
    <w:pPr>
      <w:keepNext/>
      <w:keepLines/>
      <w:widowControl/>
      <w:autoSpaceDE w:val="0"/>
      <w:autoSpaceDN w:val="0"/>
      <w:adjustRightInd w:val="0"/>
      <w:spacing w:after="360"/>
      <w:contextualSpacing/>
      <w:jc w:val="left"/>
    </w:pPr>
    <w:rPr>
      <w:snapToGrid/>
      <w:sz w:val="16"/>
      <w:szCs w:val="18"/>
      <w:lang w:val="fr-FR" w:eastAsia="en-AU"/>
    </w:rPr>
  </w:style>
  <w:style w:type="character" w:customStyle="1" w:styleId="TableNotesChar">
    <w:name w:val="Table Notes Char"/>
    <w:link w:val="TableNotes1"/>
    <w:uiPriority w:val="99"/>
    <w:rsid w:val="00A02874"/>
    <w:rPr>
      <w:rFonts w:ascii="Arial" w:hAnsi="Arial" w:cs="Arial"/>
      <w:sz w:val="16"/>
      <w:szCs w:val="18"/>
      <w:lang w:val="fr-FR"/>
    </w:rPr>
  </w:style>
  <w:style w:type="paragraph" w:customStyle="1" w:styleId="TableText1">
    <w:name w:val="Table Text"/>
    <w:basedOn w:val="Normal"/>
    <w:link w:val="TableTextChar0"/>
    <w:autoRedefine/>
    <w:uiPriority w:val="99"/>
    <w:qFormat/>
    <w:rsid w:val="00A02874"/>
    <w:pPr>
      <w:keepNext/>
      <w:keepLines/>
      <w:widowControl/>
      <w:spacing w:before="20" w:after="80"/>
      <w:jc w:val="left"/>
    </w:pPr>
    <w:rPr>
      <w:rFonts w:cs="Times New Roman"/>
      <w:snapToGrid/>
      <w:sz w:val="18"/>
      <w:lang w:eastAsia="en-AU"/>
    </w:rPr>
  </w:style>
  <w:style w:type="character" w:customStyle="1" w:styleId="TableTextChar0">
    <w:name w:val="Table Text Char"/>
    <w:link w:val="TableText1"/>
    <w:uiPriority w:val="99"/>
    <w:locked/>
    <w:rsid w:val="00A02874"/>
    <w:rPr>
      <w:rFonts w:ascii="Arial" w:hAnsi="Arial"/>
      <w:sz w:val="18"/>
    </w:rPr>
  </w:style>
  <w:style w:type="paragraph" w:customStyle="1" w:styleId="TableHead">
    <w:name w:val="Table Head"/>
    <w:basedOn w:val="TableText1"/>
    <w:qFormat/>
    <w:rsid w:val="00A02874"/>
    <w:rPr>
      <w:b/>
      <w:bCs/>
    </w:rPr>
  </w:style>
  <w:style w:type="paragraph" w:customStyle="1" w:styleId="Tablenote">
    <w:name w:val="Table note"/>
    <w:basedOn w:val="Normal"/>
    <w:rsid w:val="00816BA2"/>
    <w:pPr>
      <w:widowControl/>
      <w:spacing w:after="360"/>
      <w:contextualSpacing/>
      <w:jc w:val="left"/>
    </w:pPr>
    <w:rPr>
      <w:rFonts w:ascii="Arial Narrow" w:eastAsia="SimSun" w:hAnsi="Arial Narrow" w:cs="Times New Roman"/>
      <w:snapToGrid/>
      <w:sz w:val="18"/>
      <w:lang w:eastAsia="zh-CN"/>
    </w:rPr>
  </w:style>
  <w:style w:type="table" w:customStyle="1" w:styleId="TableGridbeth1">
    <w:name w:val="Table Gridbeth1"/>
    <w:basedOn w:val="TableNormal"/>
    <w:next w:val="TableGrid"/>
    <w:rsid w:val="00D85F1F"/>
    <w:pPr>
      <w:spacing w:line="360" w:lineRule="auto"/>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D2D0A"/>
  </w:style>
  <w:style w:type="paragraph" w:customStyle="1" w:styleId="BodyTextBulletLast">
    <w:name w:val="Body Text Bullet Last"/>
    <w:basedOn w:val="BodyText"/>
    <w:rsid w:val="006A056F"/>
    <w:pPr>
      <w:widowControl/>
      <w:spacing w:before="120" w:after="240" w:line="312" w:lineRule="auto"/>
      <w:jc w:val="both"/>
    </w:pPr>
    <w:rPr>
      <w:rFonts w:cs="Times New Roman"/>
      <w:snapToGrid/>
    </w:rPr>
  </w:style>
  <w:style w:type="table" w:customStyle="1" w:styleId="TableGridbeth2">
    <w:name w:val="Table Gridbeth2"/>
    <w:basedOn w:val="TableNormal"/>
    <w:next w:val="TableGrid"/>
    <w:rsid w:val="00D278F4"/>
    <w:pPr>
      <w:spacing w:line="360" w:lineRule="auto"/>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Caption"/>
    <w:rsid w:val="00C76FE2"/>
    <w:pPr>
      <w:keepNext/>
      <w:keepLines/>
      <w:widowControl/>
      <w:spacing w:after="120"/>
      <w:ind w:left="1276" w:hanging="1276"/>
      <w:jc w:val="left"/>
    </w:pPr>
    <w:rPr>
      <w:rFonts w:eastAsia="SimSun" w:cs="Times New Roman"/>
      <w:snapToGrid/>
      <w:color w:val="auto"/>
      <w:sz w:val="22"/>
      <w:szCs w:val="20"/>
    </w:rPr>
  </w:style>
  <w:style w:type="paragraph" w:styleId="FootnoteText">
    <w:name w:val="footnote text"/>
    <w:basedOn w:val="Normal"/>
    <w:link w:val="FootnoteTextChar"/>
    <w:semiHidden/>
    <w:unhideWhenUsed/>
    <w:rsid w:val="00A14EF8"/>
    <w:rPr>
      <w:sz w:val="20"/>
    </w:rPr>
  </w:style>
  <w:style w:type="character" w:customStyle="1" w:styleId="FootnoteTextChar">
    <w:name w:val="Footnote Text Char"/>
    <w:basedOn w:val="DefaultParagraphFont"/>
    <w:link w:val="FootnoteText"/>
    <w:semiHidden/>
    <w:rsid w:val="00A14EF8"/>
    <w:rPr>
      <w:rFonts w:ascii="Arial" w:hAnsi="Arial" w:cs="Arial"/>
      <w:snapToGrid w:val="0"/>
      <w:lang w:eastAsia="en-US"/>
    </w:rPr>
  </w:style>
  <w:style w:type="character" w:styleId="FootnoteReference">
    <w:name w:val="footnote reference"/>
    <w:basedOn w:val="DefaultParagraphFont"/>
    <w:semiHidden/>
    <w:unhideWhenUsed/>
    <w:rsid w:val="00A14EF8"/>
    <w:rPr>
      <w:vertAlign w:val="superscript"/>
    </w:rPr>
  </w:style>
  <w:style w:type="paragraph" w:styleId="PlainText">
    <w:name w:val="Plain Text"/>
    <w:basedOn w:val="Normal"/>
    <w:link w:val="PlainTextChar"/>
    <w:uiPriority w:val="99"/>
    <w:semiHidden/>
    <w:unhideWhenUsed/>
    <w:rsid w:val="00A14EF8"/>
    <w:pPr>
      <w:widowControl/>
      <w:jc w:val="left"/>
    </w:pPr>
    <w:rPr>
      <w:rFonts w:ascii="Calibri" w:eastAsiaTheme="minorHAnsi" w:hAnsi="Calibri" w:cs="Times New Roman"/>
      <w:snapToGrid/>
      <w:szCs w:val="22"/>
    </w:rPr>
  </w:style>
  <w:style w:type="character" w:customStyle="1" w:styleId="PlainTextChar">
    <w:name w:val="Plain Text Char"/>
    <w:basedOn w:val="DefaultParagraphFont"/>
    <w:link w:val="PlainText"/>
    <w:uiPriority w:val="99"/>
    <w:semiHidden/>
    <w:rsid w:val="00A14EF8"/>
    <w:rPr>
      <w:rFonts w:ascii="Calibri" w:eastAsiaTheme="minorHAnsi" w:hAnsi="Calibri"/>
      <w:sz w:val="22"/>
      <w:szCs w:val="22"/>
      <w:lang w:eastAsia="en-US"/>
    </w:rPr>
  </w:style>
  <w:style w:type="character" w:customStyle="1" w:styleId="Heading1Char">
    <w:name w:val="Heading 1 Char"/>
    <w:basedOn w:val="DefaultParagraphFont"/>
    <w:link w:val="Heading1"/>
    <w:uiPriority w:val="1"/>
    <w:rsid w:val="00291A95"/>
    <w:rPr>
      <w:rFonts w:ascii="Arial" w:hAnsi="Arial" w:cs="Arial"/>
      <w:b/>
      <w:snapToGrid w:val="0"/>
      <w:sz w:val="22"/>
      <w:szCs w:val="22"/>
      <w:lang w:eastAsia="en-US"/>
    </w:rPr>
  </w:style>
  <w:style w:type="character" w:customStyle="1" w:styleId="Heading3Char">
    <w:name w:val="Heading 3 Char"/>
    <w:basedOn w:val="DefaultParagraphFont"/>
    <w:link w:val="Heading3"/>
    <w:rsid w:val="00DA5872"/>
    <w:rPr>
      <w:rFonts w:ascii="Arial" w:hAnsi="Arial" w:cs="Arial"/>
      <w:snapToGrid w:val="0"/>
      <w:sz w:val="22"/>
      <w:u w:val="single"/>
      <w:lang w:eastAsia="en-US"/>
    </w:rPr>
  </w:style>
  <w:style w:type="character" w:customStyle="1" w:styleId="Heading4Char">
    <w:name w:val="Heading 4 Char"/>
    <w:basedOn w:val="DefaultParagraphFont"/>
    <w:link w:val="Heading4"/>
    <w:rsid w:val="00DA5872"/>
    <w:rPr>
      <w:rFonts w:ascii="Arial" w:hAnsi="Arial" w:cs="Arial"/>
      <w:b/>
      <w:bCs/>
      <w:i/>
      <w:snapToGrid w:val="0"/>
      <w:sz w:val="26"/>
      <w:szCs w:val="28"/>
      <w:lang w:eastAsia="en-US"/>
    </w:rPr>
  </w:style>
  <w:style w:type="character" w:customStyle="1" w:styleId="Heading5Char">
    <w:name w:val="Heading 5 Char"/>
    <w:basedOn w:val="DefaultParagraphFont"/>
    <w:link w:val="Heading5"/>
    <w:rsid w:val="00DA5872"/>
    <w:rPr>
      <w:rFonts w:ascii="Arial" w:hAnsi="Arial" w:cs="Arial"/>
      <w:b/>
      <w:bCs/>
      <w:iCs/>
      <w:snapToGrid w:val="0"/>
      <w:sz w:val="26"/>
      <w:szCs w:val="26"/>
      <w:lang w:eastAsia="en-US"/>
    </w:rPr>
  </w:style>
  <w:style w:type="character" w:customStyle="1" w:styleId="Heading6Char">
    <w:name w:val="Heading 6 Char"/>
    <w:basedOn w:val="DefaultParagraphFont"/>
    <w:link w:val="Heading6"/>
    <w:rsid w:val="00DA5872"/>
    <w:rPr>
      <w:rFonts w:ascii="Arial" w:hAnsi="Arial" w:cs="Arial"/>
      <w:b/>
      <w:bCs/>
      <w:i/>
      <w:snapToGrid w:val="0"/>
      <w:sz w:val="22"/>
      <w:szCs w:val="22"/>
      <w:lang w:eastAsia="en-US"/>
    </w:rPr>
  </w:style>
  <w:style w:type="table" w:customStyle="1" w:styleId="TableGrid1">
    <w:name w:val="Table Grid1"/>
    <w:basedOn w:val="TableNormal"/>
    <w:uiPriority w:val="59"/>
    <w:rsid w:val="00DA587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7C62"/>
    <w:rPr>
      <w:color w:val="808080"/>
    </w:rPr>
  </w:style>
  <w:style w:type="character" w:customStyle="1" w:styleId="DefaultChar">
    <w:name w:val="Default Char"/>
    <w:basedOn w:val="DefaultParagraphFont"/>
    <w:link w:val="Default"/>
    <w:uiPriority w:val="99"/>
    <w:locked/>
    <w:rsid w:val="004D7685"/>
    <w:rPr>
      <w:color w:val="000000"/>
      <w:sz w:val="24"/>
      <w:szCs w:val="24"/>
    </w:rPr>
  </w:style>
  <w:style w:type="paragraph" w:customStyle="1" w:styleId="Default">
    <w:name w:val="Default"/>
    <w:link w:val="DefaultChar"/>
    <w:uiPriority w:val="99"/>
    <w:rsid w:val="004D7685"/>
    <w:pPr>
      <w:autoSpaceDE w:val="0"/>
      <w:autoSpaceDN w:val="0"/>
      <w:adjustRightInd w:val="0"/>
    </w:pPr>
    <w:rPr>
      <w:color w:val="000000"/>
      <w:sz w:val="24"/>
      <w:szCs w:val="24"/>
    </w:rPr>
  </w:style>
  <w:style w:type="paragraph" w:customStyle="1" w:styleId="BulletedList">
    <w:name w:val="Bulleted List"/>
    <w:basedOn w:val="Normal"/>
    <w:uiPriority w:val="3"/>
    <w:rsid w:val="004D7685"/>
    <w:pPr>
      <w:widowControl/>
      <w:numPr>
        <w:numId w:val="6"/>
      </w:numPr>
      <w:spacing w:after="240" w:line="276" w:lineRule="auto"/>
      <w:ind w:left="357" w:hanging="357"/>
      <w:contextualSpacing/>
      <w:jc w:val="left"/>
    </w:pPr>
    <w:rPr>
      <w:rFonts w:ascii="Candara" w:eastAsiaTheme="minorHAnsi" w:hAnsi="Candara" w:cs="Times New Roman"/>
      <w:snapToGrid/>
      <w:sz w:val="24"/>
      <w:szCs w:val="24"/>
    </w:rPr>
  </w:style>
  <w:style w:type="paragraph" w:customStyle="1" w:styleId="NormalBulletList">
    <w:name w:val="Normal Bullet List"/>
    <w:basedOn w:val="Normal"/>
    <w:uiPriority w:val="3"/>
    <w:rsid w:val="004D7685"/>
    <w:pPr>
      <w:widowControl/>
      <w:spacing w:after="240" w:line="276" w:lineRule="auto"/>
      <w:ind w:left="357" w:hanging="357"/>
      <w:contextualSpacing/>
      <w:jc w:val="left"/>
    </w:pPr>
    <w:rPr>
      <w:rFonts w:ascii="Candara" w:eastAsiaTheme="minorHAnsi" w:hAnsi="Candara" w:cs="Times New Roman"/>
      <w:snapToGrid/>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F6EE9"/>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7179D4"/>
    <w:pPr>
      <w:ind w:left="720" w:hanging="720"/>
    </w:pPr>
    <w:rPr>
      <w:rFonts w:ascii="Arial" w:hAnsi="Arial" w:cs="Arial"/>
      <w:b/>
      <w:snapToGrid w:val="0"/>
      <w:sz w:val="22"/>
      <w:szCs w:val="22"/>
      <w:lang w:eastAsia="en-US"/>
    </w:rPr>
  </w:style>
  <w:style w:type="character" w:customStyle="1" w:styleId="ListParagraphChar">
    <w:name w:val="List Paragraph Char"/>
    <w:basedOn w:val="DefaultParagraphFont"/>
    <w:link w:val="ListParagraph"/>
    <w:uiPriority w:val="72"/>
    <w:locked/>
    <w:rsid w:val="007179D4"/>
    <w:rPr>
      <w:rFonts w:ascii="Arial" w:hAnsi="Arial" w:cs="Arial"/>
      <w:snapToGrid w:val="0"/>
      <w:sz w:val="22"/>
      <w:lang w:eastAsia="en-US"/>
    </w:rPr>
  </w:style>
  <w:style w:type="paragraph" w:styleId="ListBullet">
    <w:name w:val="List Bullet"/>
    <w:basedOn w:val="Normal"/>
    <w:autoRedefine/>
    <w:rsid w:val="00313A7E"/>
    <w:pPr>
      <w:widowControl/>
      <w:jc w:val="left"/>
    </w:pPr>
    <w:rPr>
      <w:snapToGrid/>
      <w:sz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99"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nhideWhenUsed="0"/>
    <w:lsdException w:name="Emphasis" w:semiHidden="0" w:unhideWhenUsed="0"/>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071DB"/>
    <w:pPr>
      <w:widowControl w:val="0"/>
      <w:jc w:val="both"/>
    </w:pPr>
    <w:rPr>
      <w:rFonts w:ascii="Arial" w:hAnsi="Arial" w:cs="Arial"/>
      <w:snapToGrid w:val="0"/>
      <w:sz w:val="22"/>
      <w:lang w:eastAsia="en-US"/>
    </w:rPr>
  </w:style>
  <w:style w:type="paragraph" w:styleId="Heading1">
    <w:name w:val="heading 1"/>
    <w:basedOn w:val="PBACheading1"/>
    <w:next w:val="Normal"/>
    <w:link w:val="Heading1Char"/>
    <w:uiPriority w:val="1"/>
    <w:qFormat/>
    <w:rsid w:val="00291A95"/>
    <w:pPr>
      <w:numPr>
        <w:numId w:val="2"/>
      </w:numPr>
      <w:spacing w:before="240" w:after="120"/>
      <w:outlineLvl w:val="0"/>
    </w:pPr>
    <w:rPr>
      <w:b/>
    </w:rPr>
  </w:style>
  <w:style w:type="paragraph" w:styleId="Heading2">
    <w:name w:val="heading 2"/>
    <w:basedOn w:val="Normal"/>
    <w:next w:val="Normal"/>
    <w:link w:val="Heading2Char"/>
    <w:uiPriority w:val="1"/>
    <w:qFormat/>
    <w:rsid w:val="00B13D9E"/>
    <w:pPr>
      <w:spacing w:before="240" w:after="120" w:line="276" w:lineRule="auto"/>
      <w:outlineLvl w:val="1"/>
    </w:pPr>
    <w:rPr>
      <w:b/>
      <w:bCs/>
      <w:szCs w:val="22"/>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1"/>
    <w:rsid w:val="00B13D9E"/>
    <w:rPr>
      <w:rFonts w:ascii="Arial" w:hAnsi="Arial" w:cs="Arial"/>
      <w:b/>
      <w:bCs/>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IB Caption,Medical Caption,Medical Caption Char,Caption Char1 Char Char,Caption Char Char Char Char,Caption Char1 Char,Caption Char Char Char Char Char,Caption Char Char,Caption Char Char Char Char1,Caption Char1 Char1,Tabellen-Tit,Tabellen-Tite"/>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IB Caption Char1,Medical Caption Char2,Medical Caption Char Char1,Caption Char1 Char Char Char1,Caption Char Char Char Char Char2,Caption Char1 Char Char2,Caption Char Char Char Char Char Char1,Caption Char Char Char1,Tabellen-Tit Char"/>
    <w:link w:val="Caption"/>
    <w:uiPriority w:val="99"/>
    <w:rsid w:val="00124A51"/>
    <w:rPr>
      <w:b/>
      <w:bCs/>
      <w:snapToGrid w:val="0"/>
      <w:color w:val="4F81BD" w:themeColor="accent1"/>
      <w:sz w:val="18"/>
      <w:szCs w:val="18"/>
      <w:lang w:eastAsia="en-US"/>
    </w:rPr>
  </w:style>
  <w:style w:type="paragraph" w:styleId="Title">
    <w:name w:val="Title"/>
    <w:basedOn w:val="Heading1"/>
    <w:next w:val="Normal"/>
    <w:link w:val="TitleChar"/>
    <w:rsid w:val="001B4E17"/>
    <w:pPr>
      <w:numPr>
        <w:numId w:val="0"/>
      </w:numPr>
      <w:spacing w:before="0" w:after="0"/>
      <w:ind w:left="720" w:hanging="720"/>
    </w:pPr>
    <w:rPr>
      <w:sz w:val="28"/>
      <w:szCs w:val="28"/>
    </w:rPr>
  </w:style>
  <w:style w:type="character" w:customStyle="1" w:styleId="TitleChar">
    <w:name w:val="Title Char"/>
    <w:basedOn w:val="DefaultParagraphFont"/>
    <w:link w:val="Title"/>
    <w:rsid w:val="001B4E17"/>
    <w:rPr>
      <w:rFonts w:ascii="Arial" w:hAnsi="Arial" w:cs="Arial"/>
      <w:b/>
      <w:snapToGrid w:val="0"/>
      <w:sz w:val="28"/>
      <w:szCs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uiPriority w:val="99"/>
    <w:rsid w:val="00CE6274"/>
    <w:pPr>
      <w:spacing w:after="120"/>
    </w:pPr>
    <w:rPr>
      <w:sz w:val="16"/>
      <w:szCs w:val="16"/>
    </w:rPr>
  </w:style>
  <w:style w:type="character" w:customStyle="1" w:styleId="BodyText3Char">
    <w:name w:val="Body Text 3 Char"/>
    <w:basedOn w:val="DefaultParagraphFont"/>
    <w:link w:val="BodyText3"/>
    <w:uiPriority w:val="99"/>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aliases w:val="Comment Text Char Char Char,Comment Text Char Char"/>
    <w:basedOn w:val="Normal"/>
    <w:link w:val="CommentTextChar"/>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rsid w:val="00FD2100"/>
    <w:rPr>
      <w:snapToGrid w:val="0"/>
      <w:lang w:eastAsia="en-US"/>
    </w:rPr>
  </w:style>
  <w:style w:type="paragraph" w:customStyle="1" w:styleId="TableText0">
    <w:name w:val="TableText"/>
    <w:basedOn w:val="Normal"/>
    <w:uiPriority w:val="99"/>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rPr>
      <w:rFonts w:ascii="Arial" w:hAnsi="Arial" w:cs="Arial"/>
      <w:snapToGrid w:val="0"/>
      <w:sz w:val="22"/>
      <w:szCs w:val="22"/>
      <w:lang w:eastAsia="en-US"/>
    </w:rPr>
  </w:style>
  <w:style w:type="character" w:customStyle="1" w:styleId="CaptionChar1">
    <w:name w:val="Caption Char1"/>
    <w:aliases w:val="IB Caption Char,Medical Caption Char1,Caption Char Char1,Medical Caption Char Char,Caption Char1 Char Char Char,Caption Char Char Char Char Char1,Caption Char1 Char Char1,Caption Char Char Char Char Char Char,Caption Char Char Char"/>
    <w:basedOn w:val="DefaultParagraphFont"/>
    <w:uiPriority w:val="99"/>
    <w:locked/>
    <w:rsid w:val="007A233F"/>
    <w:rPr>
      <w:rFonts w:eastAsia="Times New Roman"/>
      <w:b/>
      <w:bCs/>
      <w:snapToGrid w:val="0"/>
      <w:lang w:val="en-AU"/>
    </w:rPr>
  </w:style>
  <w:style w:type="paragraph" w:customStyle="1" w:styleId="Table9">
    <w:name w:val="Table9"/>
    <w:basedOn w:val="Normal"/>
    <w:next w:val="TableText0"/>
    <w:uiPriority w:val="99"/>
    <w:rsid w:val="002812F8"/>
    <w:pPr>
      <w:widowControl/>
      <w:spacing w:before="40" w:after="40"/>
      <w:jc w:val="left"/>
    </w:pPr>
    <w:rPr>
      <w:rFonts w:eastAsia="SimSun" w:cs="Times New Roman"/>
      <w:snapToGrid/>
      <w:sz w:val="18"/>
      <w:szCs w:val="18"/>
      <w:lang w:eastAsia="zh-CN"/>
    </w:rPr>
  </w:style>
  <w:style w:type="paragraph" w:customStyle="1" w:styleId="TableHeadingCentred">
    <w:name w:val="TableHeadingCentred"/>
    <w:basedOn w:val="Normal"/>
    <w:next w:val="TableText0"/>
    <w:uiPriority w:val="99"/>
    <w:rsid w:val="002812F8"/>
    <w:pPr>
      <w:keepNext/>
      <w:widowControl/>
      <w:spacing w:before="40" w:after="40"/>
      <w:jc w:val="center"/>
    </w:pPr>
    <w:rPr>
      <w:rFonts w:eastAsia="SimSun" w:cs="Times New Roman"/>
      <w:b/>
      <w:bCs/>
      <w:snapToGrid/>
      <w:sz w:val="18"/>
    </w:rPr>
  </w:style>
  <w:style w:type="paragraph" w:customStyle="1" w:styleId="TableNotes">
    <w:name w:val="TableNotes"/>
    <w:basedOn w:val="Normal"/>
    <w:autoRedefine/>
    <w:uiPriority w:val="99"/>
    <w:rsid w:val="005B729C"/>
    <w:pPr>
      <w:widowControl/>
      <w:ind w:right="-614"/>
      <w:jc w:val="left"/>
    </w:pPr>
    <w:rPr>
      <w:rFonts w:eastAsia="SimSun"/>
      <w:snapToGrid/>
      <w:sz w:val="20"/>
      <w:lang w:eastAsia="zh-CN"/>
    </w:rPr>
  </w:style>
  <w:style w:type="paragraph" w:customStyle="1" w:styleId="StyleTableTextLeft">
    <w:name w:val="Style TableText + Left"/>
    <w:basedOn w:val="TableText0"/>
    <w:uiPriority w:val="99"/>
    <w:rsid w:val="005B729C"/>
    <w:rPr>
      <w:rFonts w:ascii="Arial" w:eastAsia="SimSun" w:hAnsi="Arial" w:cs="Times New Roman"/>
      <w:sz w:val="18"/>
    </w:rPr>
  </w:style>
  <w:style w:type="paragraph" w:customStyle="1" w:styleId="TableTextsubbullet">
    <w:name w:val="Table Text subbullet"/>
    <w:basedOn w:val="StyleTableTextLeft"/>
    <w:uiPriority w:val="99"/>
    <w:rsid w:val="005B729C"/>
    <w:pPr>
      <w:keepLines/>
      <w:widowControl w:val="0"/>
      <w:numPr>
        <w:numId w:val="4"/>
      </w:numPr>
    </w:pPr>
    <w:rPr>
      <w:rFonts w:cs="Arial"/>
      <w:szCs w:val="18"/>
    </w:rPr>
  </w:style>
  <w:style w:type="paragraph" w:customStyle="1" w:styleId="TableHeadingRow">
    <w:name w:val="TableHeadingRow"/>
    <w:basedOn w:val="TableText0"/>
    <w:next w:val="TableText0"/>
    <w:uiPriority w:val="99"/>
    <w:rsid w:val="005B729C"/>
    <w:rPr>
      <w:rFonts w:ascii="Arial" w:eastAsia="SimSun" w:hAnsi="Arial" w:cs="Times New Roman"/>
      <w:b/>
      <w:bCs/>
      <w:sz w:val="18"/>
    </w:rPr>
  </w:style>
  <w:style w:type="paragraph" w:customStyle="1" w:styleId="TableTitle">
    <w:name w:val="TableTitle"/>
    <w:basedOn w:val="BodyText"/>
    <w:next w:val="BodyText"/>
    <w:uiPriority w:val="99"/>
    <w:rsid w:val="00C75763"/>
    <w:pPr>
      <w:keepNext/>
      <w:widowControl/>
      <w:tabs>
        <w:tab w:val="num" w:pos="1200"/>
      </w:tabs>
      <w:spacing w:after="60"/>
    </w:pPr>
    <w:rPr>
      <w:rFonts w:eastAsia="SimSun" w:cs="Times New Roman"/>
      <w:b/>
      <w:snapToGrid/>
      <w:sz w:val="20"/>
      <w:szCs w:val="24"/>
    </w:rPr>
  </w:style>
  <w:style w:type="paragraph" w:customStyle="1" w:styleId="TableNotes1">
    <w:name w:val="Table Notes"/>
    <w:basedOn w:val="Normal"/>
    <w:link w:val="TableNotesChar"/>
    <w:uiPriority w:val="99"/>
    <w:qFormat/>
    <w:rsid w:val="00A02874"/>
    <w:pPr>
      <w:keepNext/>
      <w:keepLines/>
      <w:widowControl/>
      <w:autoSpaceDE w:val="0"/>
      <w:autoSpaceDN w:val="0"/>
      <w:adjustRightInd w:val="0"/>
      <w:spacing w:after="360"/>
      <w:contextualSpacing/>
      <w:jc w:val="left"/>
    </w:pPr>
    <w:rPr>
      <w:snapToGrid/>
      <w:sz w:val="16"/>
      <w:szCs w:val="18"/>
      <w:lang w:val="fr-FR" w:eastAsia="en-AU"/>
    </w:rPr>
  </w:style>
  <w:style w:type="character" w:customStyle="1" w:styleId="TableNotesChar">
    <w:name w:val="Table Notes Char"/>
    <w:link w:val="TableNotes1"/>
    <w:uiPriority w:val="99"/>
    <w:rsid w:val="00A02874"/>
    <w:rPr>
      <w:rFonts w:ascii="Arial" w:hAnsi="Arial" w:cs="Arial"/>
      <w:sz w:val="16"/>
      <w:szCs w:val="18"/>
      <w:lang w:val="fr-FR"/>
    </w:rPr>
  </w:style>
  <w:style w:type="paragraph" w:customStyle="1" w:styleId="TableText1">
    <w:name w:val="Table Text"/>
    <w:basedOn w:val="Normal"/>
    <w:link w:val="TableTextChar0"/>
    <w:autoRedefine/>
    <w:uiPriority w:val="99"/>
    <w:qFormat/>
    <w:rsid w:val="00A02874"/>
    <w:pPr>
      <w:keepNext/>
      <w:keepLines/>
      <w:widowControl/>
      <w:spacing w:before="20" w:after="80"/>
      <w:jc w:val="left"/>
    </w:pPr>
    <w:rPr>
      <w:rFonts w:cs="Times New Roman"/>
      <w:snapToGrid/>
      <w:sz w:val="18"/>
      <w:lang w:eastAsia="en-AU"/>
    </w:rPr>
  </w:style>
  <w:style w:type="character" w:customStyle="1" w:styleId="TableTextChar0">
    <w:name w:val="Table Text Char"/>
    <w:link w:val="TableText1"/>
    <w:uiPriority w:val="99"/>
    <w:locked/>
    <w:rsid w:val="00A02874"/>
    <w:rPr>
      <w:rFonts w:ascii="Arial" w:hAnsi="Arial"/>
      <w:sz w:val="18"/>
    </w:rPr>
  </w:style>
  <w:style w:type="paragraph" w:customStyle="1" w:styleId="TableHead">
    <w:name w:val="Table Head"/>
    <w:basedOn w:val="TableText1"/>
    <w:qFormat/>
    <w:rsid w:val="00A02874"/>
    <w:rPr>
      <w:b/>
      <w:bCs/>
    </w:rPr>
  </w:style>
  <w:style w:type="paragraph" w:customStyle="1" w:styleId="Tablenote">
    <w:name w:val="Table note"/>
    <w:basedOn w:val="Normal"/>
    <w:rsid w:val="00816BA2"/>
    <w:pPr>
      <w:widowControl/>
      <w:spacing w:after="360"/>
      <w:contextualSpacing/>
      <w:jc w:val="left"/>
    </w:pPr>
    <w:rPr>
      <w:rFonts w:ascii="Arial Narrow" w:eastAsia="SimSun" w:hAnsi="Arial Narrow" w:cs="Times New Roman"/>
      <w:snapToGrid/>
      <w:sz w:val="18"/>
      <w:lang w:eastAsia="zh-CN"/>
    </w:rPr>
  </w:style>
  <w:style w:type="table" w:customStyle="1" w:styleId="TableGridbeth1">
    <w:name w:val="Table Gridbeth1"/>
    <w:basedOn w:val="TableNormal"/>
    <w:next w:val="TableGrid"/>
    <w:rsid w:val="00D85F1F"/>
    <w:pPr>
      <w:spacing w:line="360" w:lineRule="auto"/>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D2D0A"/>
  </w:style>
  <w:style w:type="paragraph" w:customStyle="1" w:styleId="BodyTextBulletLast">
    <w:name w:val="Body Text Bullet Last"/>
    <w:basedOn w:val="BodyText"/>
    <w:rsid w:val="006A056F"/>
    <w:pPr>
      <w:widowControl/>
      <w:spacing w:before="120" w:after="240" w:line="312" w:lineRule="auto"/>
      <w:jc w:val="both"/>
    </w:pPr>
    <w:rPr>
      <w:rFonts w:cs="Times New Roman"/>
      <w:snapToGrid/>
    </w:rPr>
  </w:style>
  <w:style w:type="table" w:customStyle="1" w:styleId="TableGridbeth2">
    <w:name w:val="Table Gridbeth2"/>
    <w:basedOn w:val="TableNormal"/>
    <w:next w:val="TableGrid"/>
    <w:rsid w:val="00D278F4"/>
    <w:pPr>
      <w:spacing w:line="360" w:lineRule="auto"/>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Caption"/>
    <w:rsid w:val="00C76FE2"/>
    <w:pPr>
      <w:keepNext/>
      <w:keepLines/>
      <w:widowControl/>
      <w:spacing w:after="120"/>
      <w:ind w:left="1276" w:hanging="1276"/>
      <w:jc w:val="left"/>
    </w:pPr>
    <w:rPr>
      <w:rFonts w:eastAsia="SimSun" w:cs="Times New Roman"/>
      <w:snapToGrid/>
      <w:color w:val="auto"/>
      <w:sz w:val="22"/>
      <w:szCs w:val="20"/>
    </w:rPr>
  </w:style>
  <w:style w:type="paragraph" w:styleId="FootnoteText">
    <w:name w:val="footnote text"/>
    <w:basedOn w:val="Normal"/>
    <w:link w:val="FootnoteTextChar"/>
    <w:semiHidden/>
    <w:unhideWhenUsed/>
    <w:rsid w:val="00A14EF8"/>
    <w:rPr>
      <w:sz w:val="20"/>
    </w:rPr>
  </w:style>
  <w:style w:type="character" w:customStyle="1" w:styleId="FootnoteTextChar">
    <w:name w:val="Footnote Text Char"/>
    <w:basedOn w:val="DefaultParagraphFont"/>
    <w:link w:val="FootnoteText"/>
    <w:semiHidden/>
    <w:rsid w:val="00A14EF8"/>
    <w:rPr>
      <w:rFonts w:ascii="Arial" w:hAnsi="Arial" w:cs="Arial"/>
      <w:snapToGrid w:val="0"/>
      <w:lang w:eastAsia="en-US"/>
    </w:rPr>
  </w:style>
  <w:style w:type="character" w:styleId="FootnoteReference">
    <w:name w:val="footnote reference"/>
    <w:basedOn w:val="DefaultParagraphFont"/>
    <w:semiHidden/>
    <w:unhideWhenUsed/>
    <w:rsid w:val="00A14EF8"/>
    <w:rPr>
      <w:vertAlign w:val="superscript"/>
    </w:rPr>
  </w:style>
  <w:style w:type="paragraph" w:styleId="PlainText">
    <w:name w:val="Plain Text"/>
    <w:basedOn w:val="Normal"/>
    <w:link w:val="PlainTextChar"/>
    <w:uiPriority w:val="99"/>
    <w:semiHidden/>
    <w:unhideWhenUsed/>
    <w:rsid w:val="00A14EF8"/>
    <w:pPr>
      <w:widowControl/>
      <w:jc w:val="left"/>
    </w:pPr>
    <w:rPr>
      <w:rFonts w:ascii="Calibri" w:eastAsiaTheme="minorHAnsi" w:hAnsi="Calibri" w:cs="Times New Roman"/>
      <w:snapToGrid/>
      <w:szCs w:val="22"/>
    </w:rPr>
  </w:style>
  <w:style w:type="character" w:customStyle="1" w:styleId="PlainTextChar">
    <w:name w:val="Plain Text Char"/>
    <w:basedOn w:val="DefaultParagraphFont"/>
    <w:link w:val="PlainText"/>
    <w:uiPriority w:val="99"/>
    <w:semiHidden/>
    <w:rsid w:val="00A14EF8"/>
    <w:rPr>
      <w:rFonts w:ascii="Calibri" w:eastAsiaTheme="minorHAnsi" w:hAnsi="Calibri"/>
      <w:sz w:val="22"/>
      <w:szCs w:val="22"/>
      <w:lang w:eastAsia="en-US"/>
    </w:rPr>
  </w:style>
  <w:style w:type="character" w:customStyle="1" w:styleId="Heading1Char">
    <w:name w:val="Heading 1 Char"/>
    <w:basedOn w:val="DefaultParagraphFont"/>
    <w:link w:val="Heading1"/>
    <w:uiPriority w:val="1"/>
    <w:rsid w:val="00291A95"/>
    <w:rPr>
      <w:rFonts w:ascii="Arial" w:hAnsi="Arial" w:cs="Arial"/>
      <w:b/>
      <w:snapToGrid w:val="0"/>
      <w:sz w:val="22"/>
      <w:szCs w:val="22"/>
      <w:lang w:eastAsia="en-US"/>
    </w:rPr>
  </w:style>
  <w:style w:type="character" w:customStyle="1" w:styleId="Heading3Char">
    <w:name w:val="Heading 3 Char"/>
    <w:basedOn w:val="DefaultParagraphFont"/>
    <w:link w:val="Heading3"/>
    <w:rsid w:val="00DA5872"/>
    <w:rPr>
      <w:rFonts w:ascii="Arial" w:hAnsi="Arial" w:cs="Arial"/>
      <w:snapToGrid w:val="0"/>
      <w:sz w:val="22"/>
      <w:u w:val="single"/>
      <w:lang w:eastAsia="en-US"/>
    </w:rPr>
  </w:style>
  <w:style w:type="character" w:customStyle="1" w:styleId="Heading4Char">
    <w:name w:val="Heading 4 Char"/>
    <w:basedOn w:val="DefaultParagraphFont"/>
    <w:link w:val="Heading4"/>
    <w:rsid w:val="00DA5872"/>
    <w:rPr>
      <w:rFonts w:ascii="Arial" w:hAnsi="Arial" w:cs="Arial"/>
      <w:b/>
      <w:bCs/>
      <w:i/>
      <w:snapToGrid w:val="0"/>
      <w:sz w:val="26"/>
      <w:szCs w:val="28"/>
      <w:lang w:eastAsia="en-US"/>
    </w:rPr>
  </w:style>
  <w:style w:type="character" w:customStyle="1" w:styleId="Heading5Char">
    <w:name w:val="Heading 5 Char"/>
    <w:basedOn w:val="DefaultParagraphFont"/>
    <w:link w:val="Heading5"/>
    <w:rsid w:val="00DA5872"/>
    <w:rPr>
      <w:rFonts w:ascii="Arial" w:hAnsi="Arial" w:cs="Arial"/>
      <w:b/>
      <w:bCs/>
      <w:iCs/>
      <w:snapToGrid w:val="0"/>
      <w:sz w:val="26"/>
      <w:szCs w:val="26"/>
      <w:lang w:eastAsia="en-US"/>
    </w:rPr>
  </w:style>
  <w:style w:type="character" w:customStyle="1" w:styleId="Heading6Char">
    <w:name w:val="Heading 6 Char"/>
    <w:basedOn w:val="DefaultParagraphFont"/>
    <w:link w:val="Heading6"/>
    <w:rsid w:val="00DA5872"/>
    <w:rPr>
      <w:rFonts w:ascii="Arial" w:hAnsi="Arial" w:cs="Arial"/>
      <w:b/>
      <w:bCs/>
      <w:i/>
      <w:snapToGrid w:val="0"/>
      <w:sz w:val="22"/>
      <w:szCs w:val="22"/>
      <w:lang w:eastAsia="en-US"/>
    </w:rPr>
  </w:style>
  <w:style w:type="table" w:customStyle="1" w:styleId="TableGrid1">
    <w:name w:val="Table Grid1"/>
    <w:basedOn w:val="TableNormal"/>
    <w:uiPriority w:val="59"/>
    <w:rsid w:val="00DA587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7C62"/>
    <w:rPr>
      <w:color w:val="808080"/>
    </w:rPr>
  </w:style>
  <w:style w:type="character" w:customStyle="1" w:styleId="DefaultChar">
    <w:name w:val="Default Char"/>
    <w:basedOn w:val="DefaultParagraphFont"/>
    <w:link w:val="Default"/>
    <w:uiPriority w:val="99"/>
    <w:locked/>
    <w:rsid w:val="004D7685"/>
    <w:rPr>
      <w:color w:val="000000"/>
      <w:sz w:val="24"/>
      <w:szCs w:val="24"/>
    </w:rPr>
  </w:style>
  <w:style w:type="paragraph" w:customStyle="1" w:styleId="Default">
    <w:name w:val="Default"/>
    <w:link w:val="DefaultChar"/>
    <w:uiPriority w:val="99"/>
    <w:rsid w:val="004D7685"/>
    <w:pPr>
      <w:autoSpaceDE w:val="0"/>
      <w:autoSpaceDN w:val="0"/>
      <w:adjustRightInd w:val="0"/>
    </w:pPr>
    <w:rPr>
      <w:color w:val="000000"/>
      <w:sz w:val="24"/>
      <w:szCs w:val="24"/>
    </w:rPr>
  </w:style>
  <w:style w:type="paragraph" w:customStyle="1" w:styleId="BulletedList">
    <w:name w:val="Bulleted List"/>
    <w:basedOn w:val="Normal"/>
    <w:uiPriority w:val="3"/>
    <w:rsid w:val="004D7685"/>
    <w:pPr>
      <w:widowControl/>
      <w:numPr>
        <w:numId w:val="6"/>
      </w:numPr>
      <w:spacing w:after="240" w:line="276" w:lineRule="auto"/>
      <w:ind w:left="357" w:hanging="357"/>
      <w:contextualSpacing/>
      <w:jc w:val="left"/>
    </w:pPr>
    <w:rPr>
      <w:rFonts w:ascii="Candara" w:eastAsiaTheme="minorHAnsi" w:hAnsi="Candara" w:cs="Times New Roman"/>
      <w:snapToGrid/>
      <w:sz w:val="24"/>
      <w:szCs w:val="24"/>
    </w:rPr>
  </w:style>
  <w:style w:type="paragraph" w:customStyle="1" w:styleId="NormalBulletList">
    <w:name w:val="Normal Bullet List"/>
    <w:basedOn w:val="Normal"/>
    <w:uiPriority w:val="3"/>
    <w:rsid w:val="004D7685"/>
    <w:pPr>
      <w:widowControl/>
      <w:spacing w:after="240" w:line="276" w:lineRule="auto"/>
      <w:ind w:left="357" w:hanging="357"/>
      <w:contextualSpacing/>
      <w:jc w:val="left"/>
    </w:pPr>
    <w:rPr>
      <w:rFonts w:ascii="Candara" w:eastAsiaTheme="minorHAnsi" w:hAnsi="Candara" w:cs="Times New Roman"/>
      <w:snapToGrid/>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F6EE9"/>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7179D4"/>
    <w:pPr>
      <w:ind w:left="720" w:hanging="720"/>
    </w:pPr>
    <w:rPr>
      <w:rFonts w:ascii="Arial" w:hAnsi="Arial" w:cs="Arial"/>
      <w:b/>
      <w:snapToGrid w:val="0"/>
      <w:sz w:val="22"/>
      <w:szCs w:val="22"/>
      <w:lang w:eastAsia="en-US"/>
    </w:rPr>
  </w:style>
  <w:style w:type="character" w:customStyle="1" w:styleId="ListParagraphChar">
    <w:name w:val="List Paragraph Char"/>
    <w:basedOn w:val="DefaultParagraphFont"/>
    <w:link w:val="ListParagraph"/>
    <w:uiPriority w:val="72"/>
    <w:locked/>
    <w:rsid w:val="007179D4"/>
    <w:rPr>
      <w:rFonts w:ascii="Arial" w:hAnsi="Arial" w:cs="Arial"/>
      <w:snapToGrid w:val="0"/>
      <w:sz w:val="22"/>
      <w:lang w:eastAsia="en-US"/>
    </w:rPr>
  </w:style>
  <w:style w:type="paragraph" w:styleId="ListBullet">
    <w:name w:val="List Bullet"/>
    <w:basedOn w:val="Normal"/>
    <w:autoRedefine/>
    <w:rsid w:val="00313A7E"/>
    <w:pPr>
      <w:widowControl/>
      <w:jc w:val="left"/>
    </w:pPr>
    <w:rPr>
      <w:snapToGrid/>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3103">
      <w:bodyDiv w:val="1"/>
      <w:marLeft w:val="0"/>
      <w:marRight w:val="0"/>
      <w:marTop w:val="0"/>
      <w:marBottom w:val="0"/>
      <w:divBdr>
        <w:top w:val="none" w:sz="0" w:space="0" w:color="auto"/>
        <w:left w:val="none" w:sz="0" w:space="0" w:color="auto"/>
        <w:bottom w:val="none" w:sz="0" w:space="0" w:color="auto"/>
        <w:right w:val="none" w:sz="0" w:space="0" w:color="auto"/>
      </w:divBdr>
    </w:div>
    <w:div w:id="132411036">
      <w:bodyDiv w:val="1"/>
      <w:marLeft w:val="0"/>
      <w:marRight w:val="0"/>
      <w:marTop w:val="0"/>
      <w:marBottom w:val="0"/>
      <w:divBdr>
        <w:top w:val="none" w:sz="0" w:space="0" w:color="auto"/>
        <w:left w:val="none" w:sz="0" w:space="0" w:color="auto"/>
        <w:bottom w:val="none" w:sz="0" w:space="0" w:color="auto"/>
        <w:right w:val="none" w:sz="0" w:space="0" w:color="auto"/>
      </w:divBdr>
    </w:div>
    <w:div w:id="214783826">
      <w:bodyDiv w:val="1"/>
      <w:marLeft w:val="0"/>
      <w:marRight w:val="0"/>
      <w:marTop w:val="0"/>
      <w:marBottom w:val="0"/>
      <w:divBdr>
        <w:top w:val="none" w:sz="0" w:space="0" w:color="auto"/>
        <w:left w:val="none" w:sz="0" w:space="0" w:color="auto"/>
        <w:bottom w:val="none" w:sz="0" w:space="0" w:color="auto"/>
        <w:right w:val="none" w:sz="0" w:space="0" w:color="auto"/>
      </w:divBdr>
    </w:div>
    <w:div w:id="224533551">
      <w:bodyDiv w:val="1"/>
      <w:marLeft w:val="0"/>
      <w:marRight w:val="0"/>
      <w:marTop w:val="0"/>
      <w:marBottom w:val="0"/>
      <w:divBdr>
        <w:top w:val="none" w:sz="0" w:space="0" w:color="auto"/>
        <w:left w:val="none" w:sz="0" w:space="0" w:color="auto"/>
        <w:bottom w:val="none" w:sz="0" w:space="0" w:color="auto"/>
        <w:right w:val="none" w:sz="0" w:space="0" w:color="auto"/>
      </w:divBdr>
    </w:div>
    <w:div w:id="292372174">
      <w:bodyDiv w:val="1"/>
      <w:marLeft w:val="0"/>
      <w:marRight w:val="0"/>
      <w:marTop w:val="0"/>
      <w:marBottom w:val="0"/>
      <w:divBdr>
        <w:top w:val="none" w:sz="0" w:space="0" w:color="auto"/>
        <w:left w:val="none" w:sz="0" w:space="0" w:color="auto"/>
        <w:bottom w:val="none" w:sz="0" w:space="0" w:color="auto"/>
        <w:right w:val="none" w:sz="0" w:space="0" w:color="auto"/>
      </w:divBdr>
    </w:div>
    <w:div w:id="322781264">
      <w:bodyDiv w:val="1"/>
      <w:marLeft w:val="0"/>
      <w:marRight w:val="0"/>
      <w:marTop w:val="0"/>
      <w:marBottom w:val="0"/>
      <w:divBdr>
        <w:top w:val="none" w:sz="0" w:space="0" w:color="auto"/>
        <w:left w:val="none" w:sz="0" w:space="0" w:color="auto"/>
        <w:bottom w:val="none" w:sz="0" w:space="0" w:color="auto"/>
        <w:right w:val="none" w:sz="0" w:space="0" w:color="auto"/>
      </w:divBdr>
    </w:div>
    <w:div w:id="459034702">
      <w:bodyDiv w:val="1"/>
      <w:marLeft w:val="0"/>
      <w:marRight w:val="0"/>
      <w:marTop w:val="0"/>
      <w:marBottom w:val="0"/>
      <w:divBdr>
        <w:top w:val="none" w:sz="0" w:space="0" w:color="auto"/>
        <w:left w:val="none" w:sz="0" w:space="0" w:color="auto"/>
        <w:bottom w:val="none" w:sz="0" w:space="0" w:color="auto"/>
        <w:right w:val="none" w:sz="0" w:space="0" w:color="auto"/>
      </w:divBdr>
    </w:div>
    <w:div w:id="484902251">
      <w:bodyDiv w:val="1"/>
      <w:marLeft w:val="0"/>
      <w:marRight w:val="0"/>
      <w:marTop w:val="0"/>
      <w:marBottom w:val="0"/>
      <w:divBdr>
        <w:top w:val="none" w:sz="0" w:space="0" w:color="auto"/>
        <w:left w:val="none" w:sz="0" w:space="0" w:color="auto"/>
        <w:bottom w:val="none" w:sz="0" w:space="0" w:color="auto"/>
        <w:right w:val="none" w:sz="0" w:space="0" w:color="auto"/>
      </w:divBdr>
    </w:div>
    <w:div w:id="611935438">
      <w:bodyDiv w:val="1"/>
      <w:marLeft w:val="0"/>
      <w:marRight w:val="0"/>
      <w:marTop w:val="0"/>
      <w:marBottom w:val="0"/>
      <w:divBdr>
        <w:top w:val="none" w:sz="0" w:space="0" w:color="auto"/>
        <w:left w:val="none" w:sz="0" w:space="0" w:color="auto"/>
        <w:bottom w:val="none" w:sz="0" w:space="0" w:color="auto"/>
        <w:right w:val="none" w:sz="0" w:space="0" w:color="auto"/>
      </w:divBdr>
    </w:div>
    <w:div w:id="657610225">
      <w:bodyDiv w:val="1"/>
      <w:marLeft w:val="0"/>
      <w:marRight w:val="0"/>
      <w:marTop w:val="0"/>
      <w:marBottom w:val="0"/>
      <w:divBdr>
        <w:top w:val="none" w:sz="0" w:space="0" w:color="auto"/>
        <w:left w:val="none" w:sz="0" w:space="0" w:color="auto"/>
        <w:bottom w:val="none" w:sz="0" w:space="0" w:color="auto"/>
        <w:right w:val="none" w:sz="0" w:space="0" w:color="auto"/>
      </w:divBdr>
    </w:div>
    <w:div w:id="685836731">
      <w:bodyDiv w:val="1"/>
      <w:marLeft w:val="0"/>
      <w:marRight w:val="0"/>
      <w:marTop w:val="0"/>
      <w:marBottom w:val="0"/>
      <w:divBdr>
        <w:top w:val="none" w:sz="0" w:space="0" w:color="auto"/>
        <w:left w:val="none" w:sz="0" w:space="0" w:color="auto"/>
        <w:bottom w:val="none" w:sz="0" w:space="0" w:color="auto"/>
        <w:right w:val="none" w:sz="0" w:space="0" w:color="auto"/>
      </w:divBdr>
    </w:div>
    <w:div w:id="921569291">
      <w:bodyDiv w:val="1"/>
      <w:marLeft w:val="0"/>
      <w:marRight w:val="0"/>
      <w:marTop w:val="0"/>
      <w:marBottom w:val="0"/>
      <w:divBdr>
        <w:top w:val="none" w:sz="0" w:space="0" w:color="auto"/>
        <w:left w:val="none" w:sz="0" w:space="0" w:color="auto"/>
        <w:bottom w:val="none" w:sz="0" w:space="0" w:color="auto"/>
        <w:right w:val="none" w:sz="0" w:space="0" w:color="auto"/>
      </w:divBdr>
    </w:div>
    <w:div w:id="965701420">
      <w:bodyDiv w:val="1"/>
      <w:marLeft w:val="0"/>
      <w:marRight w:val="0"/>
      <w:marTop w:val="0"/>
      <w:marBottom w:val="0"/>
      <w:divBdr>
        <w:top w:val="none" w:sz="0" w:space="0" w:color="auto"/>
        <w:left w:val="none" w:sz="0" w:space="0" w:color="auto"/>
        <w:bottom w:val="none" w:sz="0" w:space="0" w:color="auto"/>
        <w:right w:val="none" w:sz="0" w:space="0" w:color="auto"/>
      </w:divBdr>
      <w:divsChild>
        <w:div w:id="206189309">
          <w:marLeft w:val="1166"/>
          <w:marRight w:val="0"/>
          <w:marTop w:val="96"/>
          <w:marBottom w:val="0"/>
          <w:divBdr>
            <w:top w:val="none" w:sz="0" w:space="0" w:color="auto"/>
            <w:left w:val="none" w:sz="0" w:space="0" w:color="auto"/>
            <w:bottom w:val="none" w:sz="0" w:space="0" w:color="auto"/>
            <w:right w:val="none" w:sz="0" w:space="0" w:color="auto"/>
          </w:divBdr>
        </w:div>
      </w:divsChild>
    </w:div>
    <w:div w:id="1312320989">
      <w:bodyDiv w:val="1"/>
      <w:marLeft w:val="0"/>
      <w:marRight w:val="0"/>
      <w:marTop w:val="0"/>
      <w:marBottom w:val="0"/>
      <w:divBdr>
        <w:top w:val="none" w:sz="0" w:space="0" w:color="auto"/>
        <w:left w:val="none" w:sz="0" w:space="0" w:color="auto"/>
        <w:bottom w:val="none" w:sz="0" w:space="0" w:color="auto"/>
        <w:right w:val="none" w:sz="0" w:space="0" w:color="auto"/>
      </w:divBdr>
      <w:divsChild>
        <w:div w:id="177743325">
          <w:marLeft w:val="1166"/>
          <w:marRight w:val="0"/>
          <w:marTop w:val="96"/>
          <w:marBottom w:val="0"/>
          <w:divBdr>
            <w:top w:val="none" w:sz="0" w:space="0" w:color="auto"/>
            <w:left w:val="none" w:sz="0" w:space="0" w:color="auto"/>
            <w:bottom w:val="none" w:sz="0" w:space="0" w:color="auto"/>
            <w:right w:val="none" w:sz="0" w:space="0" w:color="auto"/>
          </w:divBdr>
        </w:div>
        <w:div w:id="861824723">
          <w:marLeft w:val="1166"/>
          <w:marRight w:val="0"/>
          <w:marTop w:val="96"/>
          <w:marBottom w:val="0"/>
          <w:divBdr>
            <w:top w:val="none" w:sz="0" w:space="0" w:color="auto"/>
            <w:left w:val="none" w:sz="0" w:space="0" w:color="auto"/>
            <w:bottom w:val="none" w:sz="0" w:space="0" w:color="auto"/>
            <w:right w:val="none" w:sz="0" w:space="0" w:color="auto"/>
          </w:divBdr>
        </w:div>
        <w:div w:id="1317297704">
          <w:marLeft w:val="1166"/>
          <w:marRight w:val="0"/>
          <w:marTop w:val="96"/>
          <w:marBottom w:val="0"/>
          <w:divBdr>
            <w:top w:val="none" w:sz="0" w:space="0" w:color="auto"/>
            <w:left w:val="none" w:sz="0" w:space="0" w:color="auto"/>
            <w:bottom w:val="none" w:sz="0" w:space="0" w:color="auto"/>
            <w:right w:val="none" w:sz="0" w:space="0" w:color="auto"/>
          </w:divBdr>
        </w:div>
      </w:divsChild>
    </w:div>
    <w:div w:id="1331788370">
      <w:bodyDiv w:val="1"/>
      <w:marLeft w:val="0"/>
      <w:marRight w:val="0"/>
      <w:marTop w:val="0"/>
      <w:marBottom w:val="0"/>
      <w:divBdr>
        <w:top w:val="none" w:sz="0" w:space="0" w:color="auto"/>
        <w:left w:val="none" w:sz="0" w:space="0" w:color="auto"/>
        <w:bottom w:val="none" w:sz="0" w:space="0" w:color="auto"/>
        <w:right w:val="none" w:sz="0" w:space="0" w:color="auto"/>
      </w:divBdr>
    </w:div>
    <w:div w:id="1421366318">
      <w:bodyDiv w:val="1"/>
      <w:marLeft w:val="0"/>
      <w:marRight w:val="0"/>
      <w:marTop w:val="0"/>
      <w:marBottom w:val="0"/>
      <w:divBdr>
        <w:top w:val="none" w:sz="0" w:space="0" w:color="auto"/>
        <w:left w:val="none" w:sz="0" w:space="0" w:color="auto"/>
        <w:bottom w:val="none" w:sz="0" w:space="0" w:color="auto"/>
        <w:right w:val="none" w:sz="0" w:space="0" w:color="auto"/>
      </w:divBdr>
    </w:div>
    <w:div w:id="1634796005">
      <w:bodyDiv w:val="1"/>
      <w:marLeft w:val="0"/>
      <w:marRight w:val="0"/>
      <w:marTop w:val="0"/>
      <w:marBottom w:val="0"/>
      <w:divBdr>
        <w:top w:val="none" w:sz="0" w:space="0" w:color="auto"/>
        <w:left w:val="none" w:sz="0" w:space="0" w:color="auto"/>
        <w:bottom w:val="none" w:sz="0" w:space="0" w:color="auto"/>
        <w:right w:val="none" w:sz="0" w:space="0" w:color="auto"/>
      </w:divBdr>
    </w:div>
    <w:div w:id="1717463621">
      <w:bodyDiv w:val="1"/>
      <w:marLeft w:val="0"/>
      <w:marRight w:val="0"/>
      <w:marTop w:val="0"/>
      <w:marBottom w:val="0"/>
      <w:divBdr>
        <w:top w:val="none" w:sz="0" w:space="0" w:color="auto"/>
        <w:left w:val="none" w:sz="0" w:space="0" w:color="auto"/>
        <w:bottom w:val="none" w:sz="0" w:space="0" w:color="auto"/>
        <w:right w:val="none" w:sz="0" w:space="0" w:color="auto"/>
      </w:divBdr>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 w:id="213537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83468-FD65-4AAC-9EB4-A02A90194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7528</Words>
  <Characters>42593</Characters>
  <Application>Microsoft Office Word</Application>
  <DocSecurity>0</DocSecurity>
  <Lines>354</Lines>
  <Paragraphs>100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2016-02-26T03:39:00Z</dcterms:created>
  <dcterms:modified xsi:type="dcterms:W3CDTF">2016-02-26T04:50:00Z</dcterms:modified>
</cp:coreProperties>
</file>