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C" w:rsidRPr="00FA4FC2" w:rsidRDefault="001427F4" w:rsidP="00C142B3">
      <w:pPr>
        <w:pStyle w:val="Title"/>
      </w:pPr>
      <w:r>
        <w:t>7.12</w:t>
      </w:r>
      <w:r w:rsidR="007C0F57" w:rsidRPr="006D6EC7">
        <w:tab/>
      </w:r>
      <w:r w:rsidRPr="001427F4">
        <w:t>APREPITANT</w:t>
      </w:r>
      <w:r w:rsidR="00C142B3">
        <w:t xml:space="preserve"> </w:t>
      </w:r>
      <w:r w:rsidR="00C142B3">
        <w:br/>
      </w:r>
      <w:r w:rsidRPr="001427F4">
        <w:t>165 mg capsule, 1</w:t>
      </w:r>
      <w:r w:rsidR="0004240E" w:rsidRPr="006D6EC7">
        <w:t>,</w:t>
      </w:r>
      <w:r w:rsidR="00C142B3">
        <w:t xml:space="preserve"> </w:t>
      </w:r>
      <w:r w:rsidR="00C142B3">
        <w:br/>
      </w:r>
      <w:r w:rsidRPr="001427F4">
        <w:t>Emend</w:t>
      </w:r>
      <w:r w:rsidRPr="00FA4FC2">
        <w:t>®</w:t>
      </w:r>
      <w:r w:rsidR="00EF44A0">
        <w:t xml:space="preserve">, </w:t>
      </w:r>
      <w:r w:rsidRPr="001427F4">
        <w:t>Merck Sharp and Dohme (Australia) Pty Limited</w:t>
      </w:r>
    </w:p>
    <w:p w:rsidR="00CE10C4" w:rsidRDefault="00CE10C4" w:rsidP="00C27B58">
      <w:pPr>
        <w:pStyle w:val="NoSpacing"/>
      </w:pPr>
    </w:p>
    <w:p w:rsidR="00C27B58" w:rsidRDefault="00C27B58" w:rsidP="00C27B58">
      <w:pPr>
        <w:pStyle w:val="NoSpacing"/>
      </w:pPr>
    </w:p>
    <w:p w:rsidR="00CE10C4" w:rsidRPr="00A00B38" w:rsidRDefault="00CE10C4" w:rsidP="00A00B38">
      <w:pPr>
        <w:pStyle w:val="Heading1"/>
      </w:pPr>
      <w:r w:rsidRPr="00A00B38">
        <w:t xml:space="preserve">Purpose of </w:t>
      </w:r>
      <w:r w:rsidR="0004240E" w:rsidRPr="00A00B38">
        <w:t>Application</w:t>
      </w:r>
    </w:p>
    <w:p w:rsidR="006A12A5" w:rsidRPr="00882085" w:rsidRDefault="006A12A5" w:rsidP="00882085">
      <w:pPr>
        <w:jc w:val="both"/>
        <w:rPr>
          <w:rFonts w:ascii="Arial" w:hAnsi="Arial"/>
          <w:sz w:val="22"/>
          <w:szCs w:val="22"/>
        </w:rPr>
      </w:pPr>
    </w:p>
    <w:p w:rsidR="00EF44A0" w:rsidRPr="006F32D6" w:rsidRDefault="00EF44A0" w:rsidP="00045346">
      <w:pPr>
        <w:pStyle w:val="ListParagraph"/>
        <w:numPr>
          <w:ilvl w:val="1"/>
          <w:numId w:val="2"/>
        </w:numPr>
        <w:jc w:val="both"/>
      </w:pPr>
      <w:r>
        <w:rPr>
          <w:rFonts w:ascii="Arial" w:hAnsi="Arial"/>
          <w:sz w:val="22"/>
          <w:szCs w:val="22"/>
        </w:rPr>
        <w:t>The mi</w:t>
      </w:r>
      <w:r w:rsidR="00FF2801">
        <w:rPr>
          <w:rFonts w:ascii="Arial" w:hAnsi="Arial"/>
          <w:sz w:val="22"/>
          <w:szCs w:val="22"/>
        </w:rPr>
        <w:t xml:space="preserve">nor </w:t>
      </w:r>
      <w:r w:rsidR="00BD2D7C">
        <w:rPr>
          <w:rFonts w:ascii="Arial" w:hAnsi="Arial"/>
          <w:sz w:val="22"/>
          <w:szCs w:val="22"/>
        </w:rPr>
        <w:t>re-</w:t>
      </w:r>
      <w:r w:rsidR="00FF2801">
        <w:rPr>
          <w:rFonts w:ascii="Arial" w:hAnsi="Arial"/>
          <w:sz w:val="22"/>
          <w:szCs w:val="22"/>
        </w:rPr>
        <w:t>submission requested</w:t>
      </w:r>
      <w:r w:rsidR="00E61826" w:rsidRPr="00E61826">
        <w:t xml:space="preserve"> </w:t>
      </w:r>
      <w:r w:rsidR="00E61826" w:rsidRPr="00E61826">
        <w:rPr>
          <w:rFonts w:ascii="Arial" w:hAnsi="Arial"/>
          <w:sz w:val="22"/>
          <w:szCs w:val="22"/>
        </w:rPr>
        <w:t xml:space="preserve">an extension to the current Section 100 (Chemotherapy </w:t>
      </w:r>
      <w:r w:rsidR="00F96E02">
        <w:rPr>
          <w:rFonts w:ascii="Arial" w:hAnsi="Arial"/>
          <w:sz w:val="22"/>
          <w:szCs w:val="22"/>
        </w:rPr>
        <w:t>–</w:t>
      </w:r>
      <w:r w:rsidR="00E61826" w:rsidRPr="00E61826">
        <w:rPr>
          <w:rFonts w:ascii="Arial" w:hAnsi="Arial"/>
          <w:sz w:val="22"/>
          <w:szCs w:val="22"/>
        </w:rPr>
        <w:t xml:space="preserve"> Related Benefits) and General Schedule PBS listing</w:t>
      </w:r>
      <w:r w:rsidR="005E4206">
        <w:rPr>
          <w:rFonts w:ascii="Arial" w:hAnsi="Arial"/>
          <w:sz w:val="22"/>
          <w:szCs w:val="22"/>
        </w:rPr>
        <w:t xml:space="preserve"> of aprepitant</w:t>
      </w:r>
      <w:r w:rsidR="00E61826" w:rsidRPr="00E61826">
        <w:rPr>
          <w:rFonts w:ascii="Arial" w:hAnsi="Arial"/>
          <w:sz w:val="22"/>
          <w:szCs w:val="22"/>
        </w:rPr>
        <w:t xml:space="preserve"> to include use with carboplatin/oxaliplatin regimens from the first chemotherapy cycle</w:t>
      </w:r>
      <w:r w:rsidR="005E4206">
        <w:rPr>
          <w:rFonts w:ascii="Arial" w:hAnsi="Arial"/>
          <w:sz w:val="22"/>
          <w:szCs w:val="22"/>
        </w:rPr>
        <w:t>,</w:t>
      </w:r>
      <w:r w:rsidR="00E61826" w:rsidRPr="00E61826">
        <w:rPr>
          <w:rFonts w:ascii="Arial" w:hAnsi="Arial"/>
          <w:sz w:val="22"/>
          <w:szCs w:val="22"/>
        </w:rPr>
        <w:t xml:space="preserve"> without having a prior episode of chemotherapy induced nausea and vomiting</w:t>
      </w:r>
      <w:r w:rsidR="00365B3C">
        <w:rPr>
          <w:rFonts w:ascii="Arial" w:hAnsi="Arial"/>
          <w:sz w:val="22"/>
          <w:szCs w:val="22"/>
        </w:rPr>
        <w:t xml:space="preserve"> (CINV)</w:t>
      </w:r>
      <w:r w:rsidR="00E61826" w:rsidRPr="00E61826">
        <w:rPr>
          <w:rFonts w:ascii="Arial" w:hAnsi="Arial"/>
          <w:sz w:val="22"/>
          <w:szCs w:val="22"/>
        </w:rPr>
        <w:t>.</w:t>
      </w:r>
    </w:p>
    <w:p w:rsidR="006F32D6" w:rsidRPr="00C27B58" w:rsidRDefault="006F32D6" w:rsidP="00910DE9">
      <w:pPr>
        <w:pStyle w:val="ListParagraph"/>
        <w:jc w:val="both"/>
      </w:pPr>
    </w:p>
    <w:p w:rsidR="00614159" w:rsidRPr="00882085" w:rsidRDefault="006A12A5" w:rsidP="00A00B38">
      <w:pPr>
        <w:pStyle w:val="Heading1"/>
        <w:rPr>
          <w:b w:val="0"/>
        </w:rPr>
      </w:pPr>
      <w:r w:rsidRPr="00A00B38">
        <w:t>Requested listing</w:t>
      </w:r>
    </w:p>
    <w:p w:rsidR="006A12A5" w:rsidRPr="00882085" w:rsidRDefault="006A12A5" w:rsidP="00882085">
      <w:pPr>
        <w:jc w:val="both"/>
        <w:rPr>
          <w:rFonts w:ascii="Arial" w:hAnsi="Arial"/>
          <w:b/>
          <w:sz w:val="22"/>
          <w:szCs w:val="22"/>
        </w:rPr>
      </w:pPr>
    </w:p>
    <w:p w:rsidR="00467CA8" w:rsidRPr="00750599" w:rsidRDefault="00EF44A0" w:rsidP="00467CA8">
      <w:pPr>
        <w:pStyle w:val="ListParagraph"/>
        <w:numPr>
          <w:ilvl w:val="1"/>
          <w:numId w:val="2"/>
        </w:numPr>
        <w:ind w:left="709"/>
        <w:jc w:val="both"/>
        <w:rPr>
          <w:rFonts w:ascii="Arial" w:hAnsi="Arial" w:cs="Arial"/>
          <w:sz w:val="22"/>
          <w:szCs w:val="22"/>
        </w:rPr>
      </w:pPr>
      <w:r w:rsidRPr="00750599">
        <w:rPr>
          <w:rFonts w:ascii="Arial" w:hAnsi="Arial"/>
          <w:sz w:val="22"/>
          <w:szCs w:val="22"/>
        </w:rPr>
        <w:t xml:space="preserve">The submission </w:t>
      </w:r>
      <w:r w:rsidR="00FF2801" w:rsidRPr="00750599">
        <w:rPr>
          <w:rFonts w:ascii="Arial" w:hAnsi="Arial"/>
          <w:sz w:val="22"/>
          <w:szCs w:val="22"/>
        </w:rPr>
        <w:t>requested</w:t>
      </w:r>
      <w:r w:rsidRPr="00750599">
        <w:rPr>
          <w:rFonts w:ascii="Arial" w:hAnsi="Arial"/>
          <w:sz w:val="22"/>
          <w:szCs w:val="22"/>
        </w:rPr>
        <w:t xml:space="preserve"> the </w:t>
      </w:r>
      <w:r w:rsidR="00F96E02" w:rsidRPr="00750599">
        <w:rPr>
          <w:rFonts w:ascii="Arial" w:hAnsi="Arial"/>
          <w:sz w:val="22"/>
          <w:szCs w:val="22"/>
        </w:rPr>
        <w:t>Authority Required (STREAMLINED)</w:t>
      </w:r>
      <w:r w:rsidR="0076420C" w:rsidRPr="00750599">
        <w:rPr>
          <w:rFonts w:ascii="Arial" w:hAnsi="Arial"/>
          <w:sz w:val="22"/>
          <w:szCs w:val="22"/>
        </w:rPr>
        <w:t xml:space="preserve"> </w:t>
      </w:r>
      <w:r w:rsidRPr="00750599">
        <w:rPr>
          <w:rFonts w:ascii="Arial" w:hAnsi="Arial"/>
          <w:sz w:val="22"/>
          <w:szCs w:val="22"/>
        </w:rPr>
        <w:t>listi</w:t>
      </w:r>
      <w:r w:rsidR="00F96E02" w:rsidRPr="00750599">
        <w:rPr>
          <w:rFonts w:ascii="Arial" w:hAnsi="Arial"/>
          <w:sz w:val="22"/>
          <w:szCs w:val="22"/>
        </w:rPr>
        <w:t>ng</w:t>
      </w:r>
      <w:r w:rsidR="00750599" w:rsidRPr="00750599">
        <w:rPr>
          <w:rFonts w:ascii="Arial" w:hAnsi="Arial"/>
          <w:sz w:val="22"/>
          <w:szCs w:val="22"/>
        </w:rPr>
        <w:t xml:space="preserve"> below. </w:t>
      </w:r>
      <w:r w:rsidR="00D838A0">
        <w:rPr>
          <w:rFonts w:ascii="Arial" w:hAnsi="Arial" w:cs="Arial"/>
          <w:sz w:val="22"/>
          <w:szCs w:val="22"/>
        </w:rPr>
        <w:t>Suggestions and additions proposed by the Secretariat to the requested listing are added in italics and suggested deletions are crossed out with strikethrough</w:t>
      </w:r>
      <w:r w:rsidR="00467CA8" w:rsidRPr="00750599">
        <w:rPr>
          <w:rFonts w:ascii="Arial" w:hAnsi="Arial" w:cs="Arial"/>
          <w:sz w:val="22"/>
          <w:szCs w:val="22"/>
        </w:rPr>
        <w:t>.</w:t>
      </w:r>
    </w:p>
    <w:p w:rsidR="00467CA8" w:rsidRPr="00467CA8" w:rsidRDefault="00467CA8" w:rsidP="00467CA8">
      <w:pPr>
        <w:ind w:left="720"/>
        <w:jc w:val="both"/>
        <w:rPr>
          <w:rFonts w:ascii="Arial" w:hAnsi="Arial"/>
          <w:sz w:val="22"/>
          <w:szCs w:val="22"/>
        </w:rPr>
      </w:pPr>
    </w:p>
    <w:p w:rsidR="00826F6D" w:rsidRPr="00C27B58" w:rsidRDefault="00826F6D" w:rsidP="00C27B58">
      <w:pPr>
        <w:pStyle w:val="NoSpacing"/>
      </w:pP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826F6D" w:rsidRPr="0039782C" w:rsidTr="00C27B58">
        <w:trPr>
          <w:cantSplit/>
          <w:trHeight w:val="471"/>
        </w:trPr>
        <w:tc>
          <w:tcPr>
            <w:tcW w:w="3119" w:type="dxa"/>
            <w:gridSpan w:val="2"/>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Qty</w:t>
            </w:r>
          </w:p>
        </w:tc>
        <w:tc>
          <w:tcPr>
            <w:tcW w:w="709"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1276"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Dispensed Price for Max. Qty</w:t>
            </w:r>
            <w:r w:rsidR="003324C2">
              <w:rPr>
                <w:rFonts w:ascii="Arial Narrow" w:hAnsi="Arial Narrow" w:cs="Arial"/>
                <w:b/>
                <w:sz w:val="20"/>
                <w:szCs w:val="20"/>
              </w:rPr>
              <w:t>*</w:t>
            </w:r>
          </w:p>
        </w:tc>
        <w:tc>
          <w:tcPr>
            <w:tcW w:w="2409" w:type="dxa"/>
            <w:gridSpan w:val="2"/>
            <w:tcBorders>
              <w:bottom w:val="single" w:sz="4" w:space="0" w:color="auto"/>
            </w:tcBorders>
          </w:tcPr>
          <w:p w:rsidR="00826F6D" w:rsidRPr="0039782C" w:rsidRDefault="00826F6D" w:rsidP="00C27B58">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826F6D" w:rsidRPr="00260CE3" w:rsidTr="00C27B58">
        <w:trPr>
          <w:cantSplit/>
          <w:trHeight w:val="577"/>
        </w:trPr>
        <w:tc>
          <w:tcPr>
            <w:tcW w:w="3119" w:type="dxa"/>
            <w:gridSpan w:val="2"/>
          </w:tcPr>
          <w:p w:rsidR="00826F6D" w:rsidRPr="00260CE3" w:rsidRDefault="00176312" w:rsidP="00C27B58">
            <w:pPr>
              <w:keepNext/>
              <w:ind w:left="-108"/>
              <w:jc w:val="both"/>
              <w:rPr>
                <w:rFonts w:ascii="Arial Narrow" w:hAnsi="Arial Narrow" w:cs="Arial"/>
                <w:sz w:val="20"/>
                <w:szCs w:val="20"/>
              </w:rPr>
            </w:pPr>
            <w:r>
              <w:rPr>
                <w:rFonts w:ascii="Arial Narrow" w:hAnsi="Arial Narrow" w:cs="Arial"/>
                <w:smallCaps/>
                <w:sz w:val="20"/>
                <w:szCs w:val="20"/>
              </w:rPr>
              <w:t>APREPITANT</w:t>
            </w:r>
          </w:p>
          <w:p w:rsidR="00826F6D" w:rsidRPr="00260CE3" w:rsidRDefault="00176312" w:rsidP="00C27B58">
            <w:pPr>
              <w:keepNext/>
              <w:ind w:left="-108"/>
              <w:jc w:val="both"/>
              <w:rPr>
                <w:rFonts w:ascii="Arial Narrow" w:hAnsi="Arial Narrow" w:cs="Arial"/>
                <w:sz w:val="20"/>
                <w:szCs w:val="20"/>
              </w:rPr>
            </w:pPr>
            <w:r>
              <w:rPr>
                <w:rFonts w:ascii="Arial Narrow" w:hAnsi="Arial Narrow" w:cs="Arial"/>
                <w:sz w:val="20"/>
                <w:szCs w:val="20"/>
              </w:rPr>
              <w:t>165 mg capsule, 1</w:t>
            </w:r>
          </w:p>
        </w:tc>
        <w:tc>
          <w:tcPr>
            <w:tcW w:w="850" w:type="dxa"/>
          </w:tcPr>
          <w:p w:rsidR="00826F6D" w:rsidRPr="00260CE3" w:rsidRDefault="00826F6D" w:rsidP="00C27B58">
            <w:pPr>
              <w:keepNext/>
              <w:ind w:left="-108"/>
              <w:jc w:val="both"/>
              <w:rPr>
                <w:rFonts w:ascii="Arial Narrow" w:hAnsi="Arial Narrow" w:cs="Arial"/>
                <w:sz w:val="20"/>
                <w:szCs w:val="20"/>
              </w:rPr>
            </w:pPr>
          </w:p>
          <w:p w:rsidR="00826F6D" w:rsidRPr="00260CE3" w:rsidRDefault="006719A7" w:rsidP="00C27B58">
            <w:pPr>
              <w:keepNext/>
              <w:ind w:left="-108"/>
              <w:jc w:val="both"/>
              <w:rPr>
                <w:rFonts w:ascii="Arial Narrow" w:hAnsi="Arial Narrow" w:cs="Arial"/>
                <w:sz w:val="20"/>
                <w:szCs w:val="20"/>
              </w:rPr>
            </w:pPr>
            <w:r>
              <w:rPr>
                <w:rFonts w:ascii="Arial Narrow" w:hAnsi="Arial Narrow" w:cs="Arial"/>
                <w:sz w:val="20"/>
                <w:szCs w:val="20"/>
              </w:rPr>
              <w:t>1</w:t>
            </w:r>
          </w:p>
        </w:tc>
        <w:tc>
          <w:tcPr>
            <w:tcW w:w="709" w:type="dxa"/>
          </w:tcPr>
          <w:p w:rsidR="006719A7" w:rsidRDefault="006719A7" w:rsidP="00C27B58">
            <w:pPr>
              <w:keepNext/>
              <w:ind w:left="-108"/>
              <w:jc w:val="both"/>
              <w:rPr>
                <w:rFonts w:ascii="Arial Narrow" w:hAnsi="Arial Narrow" w:cs="Arial"/>
                <w:sz w:val="20"/>
                <w:szCs w:val="20"/>
              </w:rPr>
            </w:pPr>
          </w:p>
          <w:p w:rsidR="00826F6D" w:rsidRPr="00260CE3" w:rsidRDefault="006719A7" w:rsidP="00C27B58">
            <w:pPr>
              <w:keepNext/>
              <w:ind w:left="-108"/>
              <w:jc w:val="both"/>
              <w:rPr>
                <w:rFonts w:ascii="Arial Narrow" w:hAnsi="Arial Narrow" w:cs="Arial"/>
                <w:sz w:val="20"/>
                <w:szCs w:val="20"/>
              </w:rPr>
            </w:pPr>
            <w:r>
              <w:rPr>
                <w:rFonts w:ascii="Arial Narrow" w:hAnsi="Arial Narrow" w:cs="Arial"/>
                <w:sz w:val="20"/>
                <w:szCs w:val="20"/>
              </w:rPr>
              <w:t>5</w:t>
            </w:r>
          </w:p>
        </w:tc>
        <w:tc>
          <w:tcPr>
            <w:tcW w:w="1276" w:type="dxa"/>
          </w:tcPr>
          <w:p w:rsidR="00826F6D" w:rsidRPr="00260CE3" w:rsidRDefault="00826F6D" w:rsidP="00C27B58">
            <w:pPr>
              <w:keepNext/>
              <w:ind w:left="-108"/>
              <w:jc w:val="both"/>
              <w:rPr>
                <w:rFonts w:ascii="Arial Narrow" w:hAnsi="Arial Narrow" w:cs="Arial"/>
                <w:sz w:val="20"/>
                <w:szCs w:val="20"/>
              </w:rPr>
            </w:pPr>
          </w:p>
          <w:p w:rsidR="003324C2" w:rsidRPr="00750599" w:rsidRDefault="003324C2" w:rsidP="00C27B58">
            <w:pPr>
              <w:keepNext/>
              <w:ind w:left="-108"/>
              <w:jc w:val="both"/>
              <w:rPr>
                <w:rFonts w:ascii="Arial Narrow" w:hAnsi="Arial Narrow" w:cs="Arial"/>
                <w:sz w:val="20"/>
                <w:szCs w:val="20"/>
              </w:rPr>
            </w:pPr>
            <w:r w:rsidRPr="00750599">
              <w:rPr>
                <w:rFonts w:ascii="Arial Narrow" w:hAnsi="Arial Narrow" w:cs="Arial"/>
                <w:sz w:val="20"/>
                <w:szCs w:val="20"/>
              </w:rPr>
              <w:t>$</w:t>
            </w:r>
            <w:r w:rsidR="00D03668">
              <w:rPr>
                <w:rFonts w:ascii="Arial Narrow" w:hAnsi="Arial Narrow" w:cs="Arial"/>
                <w:noProof/>
                <w:color w:val="000000"/>
                <w:sz w:val="20"/>
                <w:szCs w:val="20"/>
                <w:highlight w:val="black"/>
              </w:rPr>
              <w:t>''''''''''''''''</w:t>
            </w:r>
            <w:r w:rsidRPr="00750599">
              <w:rPr>
                <w:rFonts w:ascii="Arial Narrow" w:hAnsi="Arial Narrow" w:cs="Arial"/>
                <w:sz w:val="20"/>
                <w:szCs w:val="20"/>
              </w:rPr>
              <w:t xml:space="preserve"> (CT)</w:t>
            </w:r>
          </w:p>
          <w:p w:rsidR="00341F66" w:rsidRPr="00910DE9" w:rsidRDefault="00910DE9" w:rsidP="003324C2">
            <w:pPr>
              <w:keepNext/>
              <w:ind w:left="-108"/>
              <w:jc w:val="both"/>
              <w:rPr>
                <w:rFonts w:ascii="Arial Narrow" w:hAnsi="Arial Narrow" w:cs="Arial"/>
                <w:sz w:val="20"/>
                <w:szCs w:val="20"/>
              </w:rPr>
            </w:pPr>
            <w:r w:rsidRPr="00750599">
              <w:rPr>
                <w:rFonts w:ascii="Arial Narrow" w:hAnsi="Arial Narrow" w:cs="Arial"/>
                <w:sz w:val="20"/>
                <w:szCs w:val="20"/>
              </w:rPr>
              <w:t>$</w:t>
            </w:r>
            <w:r w:rsidR="00D03668">
              <w:rPr>
                <w:rFonts w:ascii="Arial Narrow" w:hAnsi="Arial Narrow" w:cs="Arial"/>
                <w:noProof/>
                <w:color w:val="000000"/>
                <w:sz w:val="20"/>
                <w:szCs w:val="20"/>
                <w:highlight w:val="black"/>
              </w:rPr>
              <w:t>''''''''''''''''''</w:t>
            </w:r>
            <w:r w:rsidR="005145F2" w:rsidRPr="00750599">
              <w:rPr>
                <w:rFonts w:ascii="Arial Narrow" w:hAnsi="Arial Narrow" w:cs="Arial"/>
                <w:sz w:val="20"/>
                <w:szCs w:val="20"/>
              </w:rPr>
              <w:t xml:space="preserve"> </w:t>
            </w:r>
            <w:r w:rsidRPr="00750599">
              <w:rPr>
                <w:rFonts w:ascii="Arial Narrow" w:hAnsi="Arial Narrow" w:cs="Arial"/>
                <w:sz w:val="20"/>
                <w:szCs w:val="20"/>
              </w:rPr>
              <w:t>(GE</w:t>
            </w:r>
            <w:r w:rsidR="005145F2" w:rsidRPr="00750599">
              <w:rPr>
                <w:rFonts w:ascii="Arial Narrow" w:hAnsi="Arial Narrow" w:cs="Arial"/>
                <w:sz w:val="20"/>
                <w:szCs w:val="20"/>
              </w:rPr>
              <w:t>)</w:t>
            </w:r>
          </w:p>
        </w:tc>
        <w:tc>
          <w:tcPr>
            <w:tcW w:w="1275" w:type="dxa"/>
          </w:tcPr>
          <w:p w:rsidR="00826F6D" w:rsidRPr="00260CE3" w:rsidRDefault="00176312" w:rsidP="00C27B58">
            <w:pPr>
              <w:keepNext/>
              <w:jc w:val="both"/>
              <w:rPr>
                <w:rFonts w:ascii="Arial Narrow" w:hAnsi="Arial Narrow" w:cs="Arial"/>
                <w:sz w:val="20"/>
                <w:szCs w:val="20"/>
              </w:rPr>
            </w:pPr>
            <w:r>
              <w:rPr>
                <w:rFonts w:ascii="Arial Narrow" w:hAnsi="Arial Narrow" w:cs="Arial"/>
                <w:sz w:val="20"/>
                <w:szCs w:val="20"/>
              </w:rPr>
              <w:t>Emend®</w:t>
            </w:r>
          </w:p>
        </w:tc>
        <w:tc>
          <w:tcPr>
            <w:tcW w:w="1134" w:type="dxa"/>
          </w:tcPr>
          <w:p w:rsidR="00826F6D" w:rsidRPr="00260CE3" w:rsidRDefault="00176312" w:rsidP="00C27B58">
            <w:pPr>
              <w:keepNext/>
              <w:jc w:val="both"/>
              <w:rPr>
                <w:rFonts w:ascii="Arial Narrow" w:hAnsi="Arial Narrow" w:cs="Arial"/>
                <w:sz w:val="20"/>
                <w:szCs w:val="20"/>
              </w:rPr>
            </w:pPr>
            <w:r>
              <w:rPr>
                <w:rFonts w:ascii="Arial Narrow" w:hAnsi="Arial Narrow" w:cs="Arial"/>
                <w:sz w:val="20"/>
                <w:szCs w:val="20"/>
              </w:rPr>
              <w:t>MK</w:t>
            </w:r>
          </w:p>
        </w:tc>
      </w:tr>
      <w:tr w:rsidR="00826F6D" w:rsidRPr="00260CE3" w:rsidTr="00C27B58">
        <w:trPr>
          <w:cantSplit/>
          <w:trHeight w:val="360"/>
        </w:trPr>
        <w:tc>
          <w:tcPr>
            <w:tcW w:w="8363" w:type="dxa"/>
            <w:gridSpan w:val="7"/>
            <w:tcBorders>
              <w:bottom w:val="single" w:sz="4" w:space="0" w:color="auto"/>
            </w:tcBorders>
          </w:tcPr>
          <w:p w:rsidR="00465294" w:rsidRDefault="00465294" w:rsidP="003324C2">
            <w:pPr>
              <w:jc w:val="both"/>
              <w:rPr>
                <w:rFonts w:ascii="Arial Narrow" w:hAnsi="Arial Narrow" w:cs="Arial"/>
                <w:i/>
                <w:sz w:val="20"/>
                <w:szCs w:val="20"/>
                <w:highlight w:val="yellow"/>
              </w:rPr>
            </w:pPr>
          </w:p>
          <w:p w:rsidR="00826F6D" w:rsidRDefault="003324C2" w:rsidP="003324C2">
            <w:pPr>
              <w:jc w:val="both"/>
              <w:rPr>
                <w:rFonts w:ascii="Arial Narrow" w:hAnsi="Arial Narrow" w:cs="Arial"/>
                <w:i/>
                <w:sz w:val="20"/>
                <w:szCs w:val="20"/>
              </w:rPr>
            </w:pPr>
            <w:r w:rsidRPr="007A58DE">
              <w:rPr>
                <w:rFonts w:ascii="Arial Narrow" w:hAnsi="Arial Narrow" w:cs="Arial"/>
                <w:i/>
                <w:sz w:val="20"/>
                <w:szCs w:val="20"/>
              </w:rPr>
              <w:t>*weighted by revised estimates of PBS utilisation of moderately emetogenic chemotherapy (MEC) regimens/ non-MEC regimens, see ‘</w:t>
            </w:r>
            <w:r w:rsidR="007A58DE">
              <w:rPr>
                <w:rFonts w:ascii="Arial Narrow" w:hAnsi="Arial Narrow" w:cs="Arial"/>
                <w:i/>
                <w:sz w:val="20"/>
                <w:szCs w:val="20"/>
              </w:rPr>
              <w:t>Economic analysis</w:t>
            </w:r>
            <w:r w:rsidRPr="007A58DE">
              <w:rPr>
                <w:rFonts w:ascii="Arial Narrow" w:hAnsi="Arial Narrow" w:cs="Arial"/>
                <w:i/>
                <w:sz w:val="20"/>
                <w:szCs w:val="20"/>
              </w:rPr>
              <w:t>’</w:t>
            </w:r>
            <w:r w:rsidR="007A58DE">
              <w:rPr>
                <w:rFonts w:ascii="Arial Narrow" w:hAnsi="Arial Narrow" w:cs="Arial"/>
                <w:i/>
                <w:sz w:val="20"/>
                <w:szCs w:val="20"/>
              </w:rPr>
              <w:t xml:space="preserve"> section</w:t>
            </w:r>
            <w:r w:rsidRPr="007A58DE">
              <w:rPr>
                <w:rFonts w:ascii="Arial Narrow" w:hAnsi="Arial Narrow" w:cs="Arial"/>
                <w:i/>
                <w:sz w:val="20"/>
                <w:szCs w:val="20"/>
              </w:rPr>
              <w:t xml:space="preserve"> for more detail.</w:t>
            </w:r>
          </w:p>
          <w:p w:rsidR="00C52221" w:rsidRPr="003324C2" w:rsidRDefault="00C52221" w:rsidP="003324C2">
            <w:pPr>
              <w:jc w:val="both"/>
              <w:rPr>
                <w:rFonts w:ascii="Arial Narrow" w:hAnsi="Arial Narrow" w:cs="Arial"/>
                <w:i/>
                <w:sz w:val="20"/>
                <w:szCs w:val="20"/>
              </w:rPr>
            </w:pP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 xml:space="preserve">Category / </w:t>
            </w:r>
          </w:p>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910DE9" w:rsidRDefault="00826F6D" w:rsidP="00C27B58">
            <w:pPr>
              <w:rPr>
                <w:rFonts w:ascii="Arial Narrow" w:hAnsi="Arial Narrow" w:cs="Arial"/>
                <w:sz w:val="20"/>
                <w:szCs w:val="20"/>
              </w:rPr>
            </w:pPr>
            <w:r w:rsidRPr="00910DE9">
              <w:rPr>
                <w:rFonts w:ascii="Arial Narrow" w:hAnsi="Arial Narrow" w:cs="Arial"/>
                <w:sz w:val="20"/>
                <w:szCs w:val="20"/>
              </w:rPr>
              <w:t>GENERAL – General Schedule (Code GE)</w:t>
            </w:r>
          </w:p>
          <w:p w:rsidR="00826F6D" w:rsidRPr="00910DE9" w:rsidRDefault="00826F6D" w:rsidP="00C27B58">
            <w:pPr>
              <w:rPr>
                <w:rFonts w:ascii="Arial Narrow" w:hAnsi="Arial Narrow" w:cs="Arial"/>
                <w:sz w:val="20"/>
                <w:szCs w:val="20"/>
              </w:rPr>
            </w:pPr>
            <w:r w:rsidRPr="00910DE9">
              <w:rPr>
                <w:rFonts w:ascii="Arial Narrow" w:hAnsi="Arial Narrow" w:cs="Arial"/>
                <w:sz w:val="20"/>
                <w:szCs w:val="20"/>
              </w:rPr>
              <w:t>Section 100 – Chemotherapy</w:t>
            </w:r>
            <w:r w:rsidR="00176312" w:rsidRPr="00910DE9">
              <w:rPr>
                <w:rFonts w:ascii="Arial Narrow" w:hAnsi="Arial Narrow" w:cs="Arial"/>
                <w:sz w:val="20"/>
                <w:szCs w:val="20"/>
              </w:rPr>
              <w:t xml:space="preserve"> – related benefits (CT)</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E82DEE">
              <w:rPr>
                <w:rFonts w:ascii="Arial Narrow" w:hAnsi="Arial Narrow" w:cs="Arial"/>
                <w:sz w:val="20"/>
                <w:szCs w:val="20"/>
              </w:rPr>
            </w:r>
            <w:r w:rsidR="00E82DE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176312">
              <w:rPr>
                <w:rFonts w:ascii="Arial Narrow" w:hAnsi="Arial Narrow" w:cs="Arial"/>
                <w:sz w:val="20"/>
                <w:szCs w:val="20"/>
              </w:rPr>
              <w:fldChar w:fldCharType="begin">
                <w:ffData>
                  <w:name w:val=""/>
                  <w:enabled/>
                  <w:calcOnExit w:val="0"/>
                  <w:checkBox>
                    <w:sizeAuto/>
                    <w:default w:val="1"/>
                  </w:checkBox>
                </w:ffData>
              </w:fldChar>
            </w:r>
            <w:r w:rsidR="00176312">
              <w:rPr>
                <w:rFonts w:ascii="Arial Narrow" w:hAnsi="Arial Narrow" w:cs="Arial"/>
                <w:sz w:val="20"/>
                <w:szCs w:val="20"/>
              </w:rPr>
              <w:instrText xml:space="preserve"> FORMCHECKBOX </w:instrText>
            </w:r>
            <w:r w:rsidR="00E82DEE">
              <w:rPr>
                <w:rFonts w:ascii="Arial Narrow" w:hAnsi="Arial Narrow" w:cs="Arial"/>
                <w:sz w:val="20"/>
                <w:szCs w:val="20"/>
              </w:rPr>
            </w:r>
            <w:r w:rsidR="00E82DEE">
              <w:rPr>
                <w:rFonts w:ascii="Arial Narrow" w:hAnsi="Arial Narrow" w:cs="Arial"/>
                <w:sz w:val="20"/>
                <w:szCs w:val="20"/>
              </w:rPr>
              <w:fldChar w:fldCharType="separate"/>
            </w:r>
            <w:r w:rsidR="00176312">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00176312">
              <w:rPr>
                <w:rFonts w:ascii="Arial Narrow" w:hAnsi="Arial Narrow" w:cs="Arial"/>
                <w:sz w:val="20"/>
                <w:szCs w:val="20"/>
              </w:rPr>
              <w:fldChar w:fldCharType="begin">
                <w:ffData>
                  <w:name w:val="Check3"/>
                  <w:enabled/>
                  <w:calcOnExit w:val="0"/>
                  <w:checkBox>
                    <w:sizeAuto/>
                    <w:default w:val="1"/>
                  </w:checkBox>
                </w:ffData>
              </w:fldChar>
            </w:r>
            <w:bookmarkStart w:id="0" w:name="Check3"/>
            <w:r w:rsidR="00176312">
              <w:rPr>
                <w:rFonts w:ascii="Arial Narrow" w:hAnsi="Arial Narrow" w:cs="Arial"/>
                <w:sz w:val="20"/>
                <w:szCs w:val="20"/>
              </w:rPr>
              <w:instrText xml:space="preserve"> FORMCHECKBOX </w:instrText>
            </w:r>
            <w:r w:rsidR="00E82DEE">
              <w:rPr>
                <w:rFonts w:ascii="Arial Narrow" w:hAnsi="Arial Narrow" w:cs="Arial"/>
                <w:sz w:val="20"/>
                <w:szCs w:val="20"/>
              </w:rPr>
            </w:r>
            <w:r w:rsidR="00E82DEE">
              <w:rPr>
                <w:rFonts w:ascii="Arial Narrow" w:hAnsi="Arial Narrow" w:cs="Arial"/>
                <w:sz w:val="20"/>
                <w:szCs w:val="20"/>
              </w:rPr>
              <w:fldChar w:fldCharType="separate"/>
            </w:r>
            <w:r w:rsidR="00176312">
              <w:rPr>
                <w:rFonts w:ascii="Arial Narrow" w:hAnsi="Arial Narrow" w:cs="Arial"/>
                <w:sz w:val="20"/>
                <w:szCs w:val="20"/>
              </w:rPr>
              <w:fldChar w:fldCharType="end"/>
            </w:r>
            <w:bookmarkEnd w:id="0"/>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E82DEE">
              <w:rPr>
                <w:rFonts w:ascii="Arial Narrow" w:hAnsi="Arial Narrow" w:cs="Arial"/>
                <w:sz w:val="20"/>
                <w:szCs w:val="20"/>
              </w:rPr>
            </w:r>
            <w:r w:rsidR="00E82DE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E82DEE">
              <w:rPr>
                <w:rFonts w:ascii="Arial Narrow" w:hAnsi="Arial Narrow" w:cs="Arial"/>
                <w:sz w:val="20"/>
                <w:szCs w:val="20"/>
              </w:rPr>
            </w:r>
            <w:r w:rsidR="00E82DE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Episodicity:</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176312" w:rsidP="00C27B58">
            <w:pPr>
              <w:rPr>
                <w:rFonts w:ascii="Arial Narrow" w:hAnsi="Arial Narrow" w:cs="Arial"/>
                <w:sz w:val="20"/>
                <w:szCs w:val="20"/>
              </w:rPr>
            </w:pPr>
            <w:r>
              <w:rPr>
                <w:rFonts w:ascii="Arial Narrow" w:hAnsi="Arial Narrow" w:cs="Arial"/>
                <w:sz w:val="20"/>
                <w:szCs w:val="20"/>
              </w:rPr>
              <w:t>-</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Severity:</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176312" w:rsidP="00C27B58">
            <w:pPr>
              <w:rPr>
                <w:rFonts w:ascii="Arial Narrow" w:hAnsi="Arial Narrow" w:cs="Arial"/>
                <w:sz w:val="20"/>
                <w:szCs w:val="20"/>
              </w:rPr>
            </w:pPr>
            <w:r>
              <w:rPr>
                <w:rFonts w:ascii="Arial Narrow" w:hAnsi="Arial Narrow" w:cs="Arial"/>
                <w:sz w:val="20"/>
                <w:szCs w:val="20"/>
              </w:rPr>
              <w:t>-</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176312" w:rsidP="00C27B58">
            <w:pPr>
              <w:rPr>
                <w:rFonts w:ascii="Arial Narrow" w:hAnsi="Arial Narrow" w:cs="Arial"/>
                <w:sz w:val="20"/>
                <w:szCs w:val="20"/>
              </w:rPr>
            </w:pPr>
            <w:r>
              <w:rPr>
                <w:rFonts w:ascii="Arial Narrow" w:hAnsi="Arial Narrow" w:cs="Arial"/>
                <w:sz w:val="20"/>
                <w:szCs w:val="20"/>
              </w:rPr>
              <w:t>Nausea and vomiting</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176312" w:rsidP="00C27B58">
            <w:pPr>
              <w:rPr>
                <w:rFonts w:ascii="Arial Narrow" w:hAnsi="Arial Narrow" w:cs="Arial"/>
                <w:sz w:val="20"/>
                <w:szCs w:val="20"/>
              </w:rPr>
            </w:pPr>
            <w:r>
              <w:rPr>
                <w:rFonts w:ascii="Arial Narrow" w:hAnsi="Arial Narrow" w:cs="Arial"/>
                <w:sz w:val="20"/>
                <w:szCs w:val="20"/>
              </w:rPr>
              <w:t>Nausea and vomiting</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176312" w:rsidRDefault="00826F6D" w:rsidP="00C27B58">
            <w:pPr>
              <w:jc w:val="both"/>
              <w:rPr>
                <w:rFonts w:ascii="Arial Narrow" w:hAnsi="Arial Narrow" w:cs="Arial"/>
                <w:b/>
                <w:sz w:val="20"/>
                <w:szCs w:val="20"/>
              </w:rPr>
            </w:pPr>
            <w:r w:rsidRPr="00260CE3">
              <w:rPr>
                <w:rFonts w:ascii="Arial Narrow" w:hAnsi="Arial Narrow" w:cs="Arial"/>
                <w:b/>
                <w:sz w:val="20"/>
                <w:szCs w:val="20"/>
              </w:rPr>
              <w:t>Treatment phase:</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176312" w:rsidP="00C27B58">
            <w:pPr>
              <w:rPr>
                <w:rFonts w:ascii="Arial Narrow" w:hAnsi="Arial Narrow" w:cs="Arial"/>
                <w:sz w:val="20"/>
                <w:szCs w:val="20"/>
              </w:rPr>
            </w:pPr>
            <w:r>
              <w:rPr>
                <w:rFonts w:ascii="Arial Narrow" w:hAnsi="Arial Narrow" w:cs="Arial"/>
                <w:sz w:val="20"/>
                <w:szCs w:val="20"/>
              </w:rPr>
              <w:t>-</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26F6D" w:rsidRPr="00260CE3" w:rsidRDefault="00826F6D" w:rsidP="00C27B58">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E82DEE">
              <w:rPr>
                <w:rFonts w:ascii="Arial Narrow" w:hAnsi="Arial Narrow" w:cs="Arial"/>
                <w:sz w:val="20"/>
                <w:szCs w:val="20"/>
              </w:rPr>
            </w:r>
            <w:r w:rsidR="00E82DE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E82DEE">
              <w:rPr>
                <w:rFonts w:ascii="Arial Narrow" w:hAnsi="Arial Narrow" w:cs="Arial"/>
                <w:sz w:val="20"/>
                <w:szCs w:val="20"/>
              </w:rPr>
            </w:r>
            <w:r w:rsidR="00E82DE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E82DEE">
              <w:rPr>
                <w:rFonts w:ascii="Arial Narrow" w:hAnsi="Arial Narrow" w:cs="Arial"/>
                <w:sz w:val="20"/>
                <w:szCs w:val="20"/>
              </w:rPr>
            </w:r>
            <w:r w:rsidR="00E82DE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E82DEE">
              <w:rPr>
                <w:rFonts w:ascii="Arial Narrow" w:hAnsi="Arial Narrow" w:cs="Arial"/>
                <w:sz w:val="20"/>
                <w:szCs w:val="20"/>
              </w:rPr>
            </w:r>
            <w:r w:rsidR="00E82DE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E82DEE">
              <w:rPr>
                <w:rFonts w:ascii="Arial Narrow" w:hAnsi="Arial Narrow" w:cs="Arial"/>
                <w:sz w:val="20"/>
                <w:szCs w:val="20"/>
              </w:rPr>
            </w:r>
            <w:r w:rsidR="00E82DE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826F6D" w:rsidRPr="00260CE3" w:rsidRDefault="009A303B" w:rsidP="00C27B58">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1" w:name="Check5"/>
            <w:r>
              <w:rPr>
                <w:rFonts w:ascii="Arial Narrow" w:hAnsi="Arial Narrow" w:cs="Arial"/>
                <w:sz w:val="20"/>
                <w:szCs w:val="20"/>
              </w:rPr>
              <w:instrText xml:space="preserve"> FORMCHECKBOX </w:instrText>
            </w:r>
            <w:r w:rsidR="00E82DEE">
              <w:rPr>
                <w:rFonts w:ascii="Arial Narrow" w:hAnsi="Arial Narrow" w:cs="Arial"/>
                <w:sz w:val="20"/>
                <w:szCs w:val="20"/>
              </w:rPr>
            </w:r>
            <w:r w:rsidR="00E82DEE">
              <w:rPr>
                <w:rFonts w:ascii="Arial Narrow" w:hAnsi="Arial Narrow" w:cs="Arial"/>
                <w:sz w:val="20"/>
                <w:szCs w:val="20"/>
              </w:rPr>
              <w:fldChar w:fldCharType="separate"/>
            </w:r>
            <w:r>
              <w:rPr>
                <w:rFonts w:ascii="Arial Narrow" w:hAnsi="Arial Narrow" w:cs="Arial"/>
                <w:sz w:val="20"/>
                <w:szCs w:val="20"/>
              </w:rPr>
              <w:fldChar w:fldCharType="end"/>
            </w:r>
            <w:bookmarkEnd w:id="1"/>
            <w:r w:rsidR="00826F6D" w:rsidRPr="00106BCF">
              <w:rPr>
                <w:rFonts w:ascii="Arial Narrow" w:hAnsi="Arial Narrow" w:cs="Arial"/>
                <w:sz w:val="20"/>
                <w:szCs w:val="20"/>
              </w:rPr>
              <w:t>Streamlined</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lastRenderedPageBreak/>
              <w:t>Clinical criteria:</w:t>
            </w:r>
          </w:p>
          <w:p w:rsidR="00826F6D" w:rsidRPr="00260CE3" w:rsidRDefault="00826F6D" w:rsidP="00341F66">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341F66" w:rsidRDefault="00341F66" w:rsidP="00341F66">
            <w:pPr>
              <w:rPr>
                <w:rFonts w:ascii="Arial Narrow" w:hAnsi="Arial Narrow"/>
                <w:sz w:val="20"/>
                <w:lang w:val="en-US"/>
              </w:rPr>
            </w:pPr>
            <w:r w:rsidRPr="00D57688">
              <w:rPr>
                <w:rFonts w:ascii="Arial Narrow" w:hAnsi="Arial Narrow"/>
                <w:sz w:val="20"/>
                <w:lang w:val="en-US"/>
              </w:rPr>
              <w:t>The condition must be associated with cytotoxic chemotherapy</w:t>
            </w:r>
            <w:r>
              <w:rPr>
                <w:rFonts w:ascii="Arial Narrow" w:hAnsi="Arial Narrow"/>
                <w:sz w:val="20"/>
                <w:lang w:val="en-US"/>
              </w:rPr>
              <w:t xml:space="preserve"> being used to treat malignancy;</w:t>
            </w:r>
          </w:p>
          <w:p w:rsidR="00341F66" w:rsidRDefault="00341F66" w:rsidP="00341F66">
            <w:pPr>
              <w:rPr>
                <w:rFonts w:ascii="Arial Narrow" w:hAnsi="Arial Narrow"/>
                <w:sz w:val="20"/>
                <w:lang w:val="en-US"/>
              </w:rPr>
            </w:pPr>
          </w:p>
          <w:p w:rsidR="00341F66" w:rsidRDefault="00341F66" w:rsidP="00341F66">
            <w:pPr>
              <w:rPr>
                <w:rFonts w:ascii="Arial Narrow" w:hAnsi="Arial Narrow"/>
                <w:sz w:val="20"/>
                <w:lang w:val="en-US"/>
              </w:rPr>
            </w:pPr>
            <w:r w:rsidRPr="00D57688">
              <w:rPr>
                <w:rFonts w:ascii="Arial Narrow" w:hAnsi="Arial Narrow"/>
                <w:sz w:val="20"/>
                <w:lang w:val="en-US"/>
              </w:rPr>
              <w:t>AND</w:t>
            </w:r>
          </w:p>
          <w:p w:rsidR="00341F66" w:rsidRDefault="00341F66" w:rsidP="00341F66">
            <w:pPr>
              <w:rPr>
                <w:rFonts w:ascii="Arial Narrow" w:hAnsi="Arial Narrow"/>
                <w:sz w:val="20"/>
                <w:lang w:val="en-US"/>
              </w:rPr>
            </w:pPr>
          </w:p>
          <w:p w:rsidR="00341F66" w:rsidRDefault="00341F66" w:rsidP="00341F66">
            <w:pPr>
              <w:rPr>
                <w:rFonts w:ascii="Arial Narrow" w:hAnsi="Arial Narrow"/>
                <w:sz w:val="20"/>
                <w:lang w:val="en-US"/>
              </w:rPr>
            </w:pPr>
            <w:r w:rsidRPr="00D57688">
              <w:rPr>
                <w:rFonts w:ascii="Arial Narrow" w:hAnsi="Arial Narrow"/>
                <w:sz w:val="20"/>
                <w:lang w:val="en-US"/>
              </w:rPr>
              <w:t xml:space="preserve">The treatment must be in </w:t>
            </w:r>
            <w:r w:rsidRPr="00EC3A5A">
              <w:rPr>
                <w:rFonts w:ascii="Arial Narrow" w:hAnsi="Arial Narrow"/>
                <w:sz w:val="20"/>
                <w:lang w:val="en-US"/>
              </w:rPr>
              <w:t>combination with a 5-hydroxytryptamine receptor (5HT</w:t>
            </w:r>
            <w:r w:rsidRPr="00EC3A5A">
              <w:rPr>
                <w:rFonts w:ascii="Arial Narrow" w:hAnsi="Arial Narrow"/>
                <w:sz w:val="20"/>
                <w:vertAlign w:val="subscript"/>
                <w:lang w:val="en-US"/>
              </w:rPr>
              <w:t>3</w:t>
            </w:r>
            <w:r w:rsidRPr="00EC3A5A">
              <w:rPr>
                <w:rFonts w:ascii="Arial Narrow" w:hAnsi="Arial Narrow"/>
                <w:sz w:val="20"/>
                <w:lang w:val="en-US"/>
              </w:rPr>
              <w:t>) antagonist and dexamethasone</w:t>
            </w:r>
            <w:r w:rsidR="00465294" w:rsidRPr="00EC3A5A">
              <w:rPr>
                <w:rFonts w:ascii="Arial Narrow" w:hAnsi="Arial Narrow"/>
                <w:sz w:val="20"/>
                <w:lang w:val="en-US"/>
              </w:rPr>
              <w:t xml:space="preserve"> </w:t>
            </w:r>
            <w:r w:rsidR="00465294" w:rsidRPr="00EC3A5A">
              <w:rPr>
                <w:rFonts w:ascii="Arial Narrow" w:hAnsi="Arial Narrow"/>
                <w:i/>
                <w:sz w:val="20"/>
                <w:lang w:val="en-US"/>
              </w:rPr>
              <w:t>on day 1 of a chemotherapy cycle</w:t>
            </w:r>
            <w:r w:rsidRPr="00EC3A5A">
              <w:rPr>
                <w:rFonts w:ascii="Arial Narrow" w:hAnsi="Arial Narrow"/>
                <w:sz w:val="20"/>
                <w:lang w:val="en-US"/>
              </w:rPr>
              <w:t>;</w:t>
            </w:r>
          </w:p>
          <w:p w:rsidR="00341F66" w:rsidRDefault="00341F66" w:rsidP="00341F66">
            <w:pPr>
              <w:rPr>
                <w:rFonts w:ascii="Arial Narrow" w:hAnsi="Arial Narrow"/>
                <w:sz w:val="20"/>
                <w:lang w:val="en-US"/>
              </w:rPr>
            </w:pPr>
          </w:p>
          <w:p w:rsidR="00341F66" w:rsidRDefault="00341F66" w:rsidP="00341F66">
            <w:pPr>
              <w:rPr>
                <w:rFonts w:ascii="Arial Narrow" w:hAnsi="Arial Narrow"/>
                <w:sz w:val="20"/>
                <w:lang w:val="en-US"/>
              </w:rPr>
            </w:pPr>
            <w:r w:rsidRPr="00D57688">
              <w:rPr>
                <w:rFonts w:ascii="Arial Narrow" w:hAnsi="Arial Narrow"/>
                <w:sz w:val="20"/>
                <w:lang w:val="en-US"/>
              </w:rPr>
              <w:t>AND</w:t>
            </w:r>
          </w:p>
          <w:p w:rsidR="00341F66" w:rsidRDefault="00341F66" w:rsidP="00341F66">
            <w:pPr>
              <w:rPr>
                <w:rFonts w:ascii="Arial Narrow" w:hAnsi="Arial Narrow"/>
                <w:sz w:val="20"/>
                <w:lang w:val="en-US"/>
              </w:rPr>
            </w:pPr>
          </w:p>
          <w:p w:rsidR="00826F6D" w:rsidRPr="00260CE3" w:rsidRDefault="00341F66" w:rsidP="00341F66">
            <w:pPr>
              <w:jc w:val="both"/>
              <w:rPr>
                <w:rFonts w:ascii="Arial Narrow" w:hAnsi="Arial Narrow" w:cs="Arial"/>
                <w:sz w:val="20"/>
                <w:szCs w:val="20"/>
              </w:rPr>
            </w:pPr>
            <w:r w:rsidRPr="00341F66">
              <w:rPr>
                <w:rFonts w:ascii="Arial Narrow" w:hAnsi="Arial Narrow"/>
                <w:sz w:val="20"/>
                <w:lang w:val="en-US"/>
              </w:rPr>
              <w:t>Patient must be scheduled to be administered a chemotherapy regimen that includes either carboplatin or oxaliplatin.</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BD58AB" w:rsidRDefault="00826F6D" w:rsidP="00C27B58">
            <w:pPr>
              <w:jc w:val="both"/>
              <w:rPr>
                <w:rFonts w:ascii="Arial Narrow" w:hAnsi="Arial Narrow" w:cs="Arial"/>
                <w:b/>
                <w:sz w:val="20"/>
                <w:szCs w:val="20"/>
              </w:rPr>
            </w:pPr>
            <w:r w:rsidRPr="00260CE3">
              <w:rPr>
                <w:rFonts w:ascii="Arial Narrow" w:hAnsi="Arial Narrow" w:cs="Arial"/>
                <w:b/>
                <w:sz w:val="20"/>
                <w:szCs w:val="20"/>
              </w:rPr>
              <w:t>Prescriber Instructions</w:t>
            </w:r>
          </w:p>
          <w:p w:rsidR="00826F6D" w:rsidRPr="00260CE3" w:rsidRDefault="00826F6D" w:rsidP="00C27B58">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26F6D" w:rsidRDefault="00341F66" w:rsidP="00C27B58">
            <w:pPr>
              <w:rPr>
                <w:rFonts w:ascii="Arial Narrow" w:hAnsi="Arial Narrow" w:cs="Arial"/>
                <w:sz w:val="20"/>
                <w:szCs w:val="20"/>
              </w:rPr>
            </w:pPr>
            <w:r w:rsidRPr="00341F66">
              <w:rPr>
                <w:rFonts w:ascii="Arial Narrow" w:hAnsi="Arial Narrow" w:cs="Arial"/>
                <w:sz w:val="20"/>
                <w:szCs w:val="20"/>
              </w:rPr>
              <w:t>No more than 1 capsule of aprepitant 165 mg will be authorised per cycle of cytotoxic chemotherapy.</w:t>
            </w:r>
          </w:p>
          <w:p w:rsidR="006C5418" w:rsidRDefault="006C5418" w:rsidP="00C27B58">
            <w:pPr>
              <w:rPr>
                <w:rFonts w:ascii="Arial Narrow" w:hAnsi="Arial Narrow" w:cs="Arial"/>
                <w:sz w:val="20"/>
                <w:szCs w:val="20"/>
              </w:rPr>
            </w:pPr>
          </w:p>
          <w:p w:rsidR="006C5418" w:rsidRPr="006C5418" w:rsidRDefault="006C5418" w:rsidP="00C27B58">
            <w:pPr>
              <w:rPr>
                <w:rFonts w:ascii="Arial Narrow" w:hAnsi="Arial Narrow" w:cs="Arial"/>
                <w:i/>
                <w:sz w:val="20"/>
                <w:szCs w:val="20"/>
              </w:rPr>
            </w:pPr>
            <w:r w:rsidRPr="00EC3A5A">
              <w:rPr>
                <w:rFonts w:ascii="Arial Narrow" w:hAnsi="Arial Narrow" w:cs="Arial"/>
                <w:i/>
                <w:sz w:val="20"/>
                <w:szCs w:val="20"/>
              </w:rPr>
              <w:t>Concomitant use of a 5HT3 antagonist should not occur with aprepitant on days 2 and 3 of any chemotherapy cycle.</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Administrative Advice</w:t>
            </w:r>
          </w:p>
          <w:p w:rsidR="00826F6D" w:rsidRPr="00260CE3" w:rsidRDefault="00826F6D" w:rsidP="00BD58AB">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341F66" w:rsidRPr="00341F66" w:rsidRDefault="00341F66" w:rsidP="00341F66">
            <w:pPr>
              <w:rPr>
                <w:rFonts w:ascii="Arial Narrow" w:hAnsi="Arial Narrow" w:cs="Arial"/>
                <w:sz w:val="20"/>
                <w:szCs w:val="20"/>
              </w:rPr>
            </w:pPr>
            <w:r w:rsidRPr="00341F66">
              <w:rPr>
                <w:rFonts w:ascii="Arial Narrow" w:hAnsi="Arial Narrow" w:cs="Arial"/>
                <w:sz w:val="20"/>
                <w:szCs w:val="20"/>
              </w:rPr>
              <w:t xml:space="preserve">Aprepitant is not PBS-subsidised for nausea and vomiting associated with radiotherapy being used to treat malignancy. </w:t>
            </w:r>
          </w:p>
          <w:p w:rsidR="00341F66" w:rsidRPr="00341F66" w:rsidRDefault="00341F66" w:rsidP="00341F66">
            <w:pPr>
              <w:rPr>
                <w:rFonts w:ascii="Arial Narrow" w:hAnsi="Arial Narrow" w:cs="Arial"/>
                <w:sz w:val="20"/>
                <w:szCs w:val="20"/>
              </w:rPr>
            </w:pPr>
          </w:p>
          <w:p w:rsidR="00341F66" w:rsidRPr="00341F66" w:rsidRDefault="00341F66" w:rsidP="00341F66">
            <w:pPr>
              <w:rPr>
                <w:rFonts w:ascii="Arial Narrow" w:hAnsi="Arial Narrow" w:cs="Arial"/>
                <w:sz w:val="20"/>
                <w:szCs w:val="20"/>
              </w:rPr>
            </w:pPr>
            <w:r w:rsidRPr="00341F66">
              <w:rPr>
                <w:rFonts w:ascii="Arial Narrow" w:hAnsi="Arial Narrow" w:cs="Arial"/>
                <w:sz w:val="20"/>
                <w:szCs w:val="20"/>
              </w:rPr>
              <w:t xml:space="preserve">No increase in the maximum quantity or number of units may be authorised. </w:t>
            </w:r>
          </w:p>
          <w:p w:rsidR="00341F66" w:rsidRPr="00341F66" w:rsidRDefault="00341F66" w:rsidP="00341F66">
            <w:pPr>
              <w:rPr>
                <w:rFonts w:ascii="Arial Narrow" w:hAnsi="Arial Narrow" w:cs="Arial"/>
                <w:sz w:val="20"/>
                <w:szCs w:val="20"/>
              </w:rPr>
            </w:pPr>
          </w:p>
          <w:p w:rsidR="00826F6D" w:rsidRPr="00260CE3" w:rsidRDefault="00341F66" w:rsidP="00341F66">
            <w:pPr>
              <w:rPr>
                <w:rFonts w:ascii="Arial Narrow" w:hAnsi="Arial Narrow" w:cs="Arial"/>
                <w:sz w:val="20"/>
                <w:szCs w:val="20"/>
              </w:rPr>
            </w:pPr>
            <w:r w:rsidRPr="00341F66">
              <w:rPr>
                <w:rFonts w:ascii="Arial Narrow" w:hAnsi="Arial Narrow" w:cs="Arial"/>
                <w:sz w:val="20"/>
                <w:szCs w:val="20"/>
              </w:rPr>
              <w:t>No increase in the maximum number of repeats may be authorised.</w:t>
            </w:r>
          </w:p>
        </w:tc>
      </w:tr>
    </w:tbl>
    <w:p w:rsidR="00826F6D" w:rsidRPr="00826F6D" w:rsidRDefault="00826F6D" w:rsidP="00826F6D">
      <w:pPr>
        <w:pStyle w:val="ListParagraph"/>
        <w:jc w:val="both"/>
        <w:rPr>
          <w:rFonts w:ascii="Arial" w:hAnsi="Arial"/>
          <w:sz w:val="22"/>
          <w:szCs w:val="22"/>
        </w:rPr>
      </w:pPr>
    </w:p>
    <w:p w:rsidR="00910DE9" w:rsidRDefault="00910DE9" w:rsidP="00910DE9">
      <w:pPr>
        <w:ind w:firstLine="720"/>
        <w:jc w:val="both"/>
        <w:rPr>
          <w:rFonts w:ascii="Arial" w:hAnsi="Arial"/>
          <w:b/>
          <w:i/>
          <w:sz w:val="22"/>
          <w:szCs w:val="22"/>
        </w:rPr>
      </w:pPr>
    </w:p>
    <w:p w:rsidR="00A36C57" w:rsidRPr="005B51F7" w:rsidRDefault="00711812" w:rsidP="001046B3">
      <w:pPr>
        <w:pStyle w:val="ListParagraph"/>
        <w:numPr>
          <w:ilvl w:val="1"/>
          <w:numId w:val="2"/>
        </w:numPr>
        <w:jc w:val="both"/>
        <w:rPr>
          <w:rFonts w:ascii="Arial" w:hAnsi="Arial"/>
          <w:sz w:val="22"/>
          <w:szCs w:val="22"/>
        </w:rPr>
      </w:pPr>
      <w:r w:rsidRPr="005B51F7">
        <w:rPr>
          <w:rFonts w:ascii="Arial" w:hAnsi="Arial"/>
          <w:sz w:val="22"/>
          <w:szCs w:val="22"/>
        </w:rPr>
        <w:t>The sponsor has requested a separate streamlined listing for this indication, rather than incorporation into the existing restrictions</w:t>
      </w:r>
      <w:r w:rsidR="0049482F" w:rsidRPr="005B51F7">
        <w:rPr>
          <w:rFonts w:ascii="Arial" w:hAnsi="Arial"/>
          <w:sz w:val="22"/>
          <w:szCs w:val="22"/>
        </w:rPr>
        <w:t>, as proposed in the original submission.</w:t>
      </w:r>
      <w:r w:rsidRPr="005B51F7">
        <w:rPr>
          <w:rFonts w:ascii="Arial" w:hAnsi="Arial"/>
          <w:sz w:val="22"/>
          <w:szCs w:val="22"/>
        </w:rPr>
        <w:t xml:space="preserve">  This is for the purposes of data collection under the proposed Risk Sharing Agreement</w:t>
      </w:r>
      <w:r w:rsidR="004865FB" w:rsidRPr="005B51F7">
        <w:rPr>
          <w:rFonts w:ascii="Arial" w:hAnsi="Arial"/>
          <w:sz w:val="22"/>
          <w:szCs w:val="22"/>
        </w:rPr>
        <w:t>.</w:t>
      </w:r>
    </w:p>
    <w:p w:rsidR="00AC193C" w:rsidRPr="000F0ABB" w:rsidRDefault="00AC193C" w:rsidP="00AC193C">
      <w:pPr>
        <w:ind w:left="709"/>
        <w:jc w:val="both"/>
        <w:rPr>
          <w:rFonts w:ascii="Arial" w:hAnsi="Arial" w:cs="Arial"/>
          <w:b/>
          <w:sz w:val="22"/>
          <w:szCs w:val="22"/>
        </w:rPr>
      </w:pPr>
    </w:p>
    <w:p w:rsidR="00CE10C4" w:rsidRPr="00343AF3" w:rsidRDefault="00CE10C4" w:rsidP="00A00B38">
      <w:pPr>
        <w:pStyle w:val="Heading1"/>
      </w:pPr>
      <w:r w:rsidRPr="00A00B38">
        <w:t>Background</w:t>
      </w:r>
    </w:p>
    <w:p w:rsidR="006A12A5" w:rsidRPr="00882085" w:rsidRDefault="006A12A5" w:rsidP="00882085">
      <w:pPr>
        <w:jc w:val="both"/>
        <w:rPr>
          <w:rFonts w:ascii="Arial" w:hAnsi="Arial"/>
          <w:sz w:val="22"/>
          <w:szCs w:val="22"/>
        </w:rPr>
      </w:pPr>
    </w:p>
    <w:p w:rsidR="00794EBF" w:rsidRPr="00A86AD3" w:rsidRDefault="003D42CA" w:rsidP="00045346">
      <w:pPr>
        <w:pStyle w:val="ListParagraph"/>
        <w:numPr>
          <w:ilvl w:val="1"/>
          <w:numId w:val="2"/>
        </w:numPr>
        <w:jc w:val="both"/>
        <w:rPr>
          <w:rFonts w:ascii="Arial" w:hAnsi="Arial"/>
          <w:sz w:val="22"/>
          <w:szCs w:val="22"/>
        </w:rPr>
      </w:pPr>
      <w:r w:rsidRPr="00A86AD3">
        <w:rPr>
          <w:rFonts w:ascii="Arial" w:hAnsi="Arial"/>
          <w:sz w:val="22"/>
          <w:szCs w:val="22"/>
        </w:rPr>
        <w:t>Aprepitant</w:t>
      </w:r>
      <w:r w:rsidR="00476245" w:rsidRPr="00A86AD3">
        <w:rPr>
          <w:rFonts w:ascii="Arial" w:hAnsi="Arial"/>
          <w:sz w:val="22"/>
          <w:szCs w:val="22"/>
        </w:rPr>
        <w:t xml:space="preserve"> is TGA registered for</w:t>
      </w:r>
      <w:r w:rsidRPr="00A86AD3">
        <w:rPr>
          <w:rFonts w:ascii="Arial" w:hAnsi="Arial"/>
          <w:sz w:val="22"/>
          <w:szCs w:val="22"/>
        </w:rPr>
        <w:t xml:space="preserve"> use, in combination with other antiemetic agents,</w:t>
      </w:r>
      <w:r w:rsidR="00794EBF" w:rsidRPr="00A86AD3">
        <w:rPr>
          <w:rFonts w:ascii="Arial" w:hAnsi="Arial"/>
          <w:sz w:val="22"/>
          <w:szCs w:val="22"/>
        </w:rPr>
        <w:t xml:space="preserve"> for</w:t>
      </w:r>
      <w:r w:rsidR="00794EBF" w:rsidRPr="00A86AD3">
        <w:t xml:space="preserve"> </w:t>
      </w:r>
      <w:r w:rsidR="00794EBF" w:rsidRPr="00A86AD3">
        <w:rPr>
          <w:rFonts w:ascii="Arial" w:hAnsi="Arial"/>
          <w:sz w:val="22"/>
          <w:szCs w:val="22"/>
        </w:rPr>
        <w:t>the prevention of acute and delayed nausea and vomiting associated with initial and repeat courses of:</w:t>
      </w:r>
    </w:p>
    <w:p w:rsidR="00794EBF" w:rsidRPr="00A86AD3" w:rsidRDefault="00794EBF" w:rsidP="00045346">
      <w:pPr>
        <w:pStyle w:val="ListParagraph"/>
        <w:numPr>
          <w:ilvl w:val="1"/>
          <w:numId w:val="3"/>
        </w:numPr>
        <w:jc w:val="both"/>
        <w:rPr>
          <w:rFonts w:ascii="Arial" w:hAnsi="Arial"/>
          <w:sz w:val="22"/>
          <w:szCs w:val="22"/>
        </w:rPr>
      </w:pPr>
      <w:r w:rsidRPr="00A86AD3">
        <w:rPr>
          <w:rFonts w:ascii="Arial" w:hAnsi="Arial"/>
          <w:sz w:val="22"/>
          <w:szCs w:val="22"/>
        </w:rPr>
        <w:t>highly emetogenic cancer chemotherapy</w:t>
      </w:r>
    </w:p>
    <w:p w:rsidR="00794EBF" w:rsidRPr="00A86AD3" w:rsidRDefault="00794EBF" w:rsidP="00045346">
      <w:pPr>
        <w:pStyle w:val="ListParagraph"/>
        <w:numPr>
          <w:ilvl w:val="1"/>
          <w:numId w:val="3"/>
        </w:numPr>
        <w:jc w:val="both"/>
        <w:rPr>
          <w:rFonts w:ascii="Arial" w:hAnsi="Arial"/>
          <w:sz w:val="22"/>
          <w:szCs w:val="22"/>
        </w:rPr>
      </w:pPr>
      <w:r w:rsidRPr="00A86AD3">
        <w:rPr>
          <w:rFonts w:ascii="Arial" w:hAnsi="Arial"/>
          <w:sz w:val="22"/>
          <w:szCs w:val="22"/>
        </w:rPr>
        <w:t>moderately emetogenic cancer chemotherapy</w:t>
      </w:r>
    </w:p>
    <w:p w:rsidR="002B1AE6" w:rsidRPr="00794EBF" w:rsidRDefault="00794EBF" w:rsidP="00794EBF">
      <w:pPr>
        <w:pStyle w:val="ListParagraph"/>
        <w:jc w:val="both"/>
        <w:rPr>
          <w:rFonts w:ascii="Arial" w:hAnsi="Arial"/>
          <w:i/>
          <w:color w:val="00B050"/>
          <w:sz w:val="22"/>
          <w:szCs w:val="22"/>
        </w:rPr>
      </w:pPr>
      <w:r w:rsidRPr="00A86AD3">
        <w:rPr>
          <w:rFonts w:ascii="Arial" w:hAnsi="Arial"/>
          <w:sz w:val="22"/>
          <w:szCs w:val="22"/>
        </w:rPr>
        <w:t>Aprepitant is also indicated for the prevention of postoperative nausea and vomiting.</w:t>
      </w:r>
    </w:p>
    <w:p w:rsidR="006B0D94" w:rsidRPr="00882085" w:rsidRDefault="006B0D94" w:rsidP="00882085">
      <w:pPr>
        <w:pStyle w:val="ListParagraph"/>
        <w:jc w:val="both"/>
        <w:rPr>
          <w:rFonts w:ascii="Arial" w:hAnsi="Arial"/>
          <w:sz w:val="22"/>
          <w:szCs w:val="22"/>
        </w:rPr>
      </w:pPr>
    </w:p>
    <w:p w:rsidR="00326E79" w:rsidRPr="00000805" w:rsidRDefault="00794EBF" w:rsidP="00045346">
      <w:pPr>
        <w:pStyle w:val="ListParagraph"/>
        <w:numPr>
          <w:ilvl w:val="1"/>
          <w:numId w:val="2"/>
        </w:numPr>
        <w:jc w:val="both"/>
        <w:rPr>
          <w:rFonts w:ascii="Arial" w:hAnsi="Arial"/>
          <w:sz w:val="22"/>
          <w:szCs w:val="22"/>
        </w:rPr>
      </w:pPr>
      <w:r w:rsidRPr="00000805">
        <w:rPr>
          <w:rFonts w:ascii="Arial" w:hAnsi="Arial"/>
          <w:sz w:val="22"/>
          <w:szCs w:val="22"/>
        </w:rPr>
        <w:t>Aprepitant</w:t>
      </w:r>
      <w:r w:rsidR="00000805" w:rsidRPr="00000805">
        <w:rPr>
          <w:rFonts w:ascii="Arial" w:hAnsi="Arial"/>
          <w:sz w:val="22"/>
          <w:szCs w:val="22"/>
        </w:rPr>
        <w:t xml:space="preserve"> </w:t>
      </w:r>
      <w:r w:rsidR="00000805">
        <w:rPr>
          <w:rFonts w:ascii="Arial" w:hAnsi="Arial"/>
          <w:sz w:val="22"/>
          <w:szCs w:val="22"/>
        </w:rPr>
        <w:t xml:space="preserve">for the requested </w:t>
      </w:r>
      <w:r w:rsidR="0069584F">
        <w:rPr>
          <w:rFonts w:ascii="Arial" w:hAnsi="Arial"/>
          <w:sz w:val="22"/>
          <w:szCs w:val="22"/>
        </w:rPr>
        <w:t>indication</w:t>
      </w:r>
      <w:r w:rsidR="00000805">
        <w:rPr>
          <w:rFonts w:ascii="Arial" w:hAnsi="Arial"/>
          <w:sz w:val="22"/>
          <w:szCs w:val="22"/>
        </w:rPr>
        <w:t xml:space="preserve"> </w:t>
      </w:r>
      <w:r w:rsidR="00000805" w:rsidRPr="00000805">
        <w:rPr>
          <w:rFonts w:ascii="Arial" w:hAnsi="Arial"/>
          <w:sz w:val="22"/>
          <w:szCs w:val="22"/>
        </w:rPr>
        <w:t xml:space="preserve">(i.e. first-line therapy for nausea and vomiting associated with carboplatin/oxaliplatin regimens) </w:t>
      </w:r>
      <w:r w:rsidRPr="00000805">
        <w:rPr>
          <w:rFonts w:ascii="Arial" w:hAnsi="Arial"/>
          <w:sz w:val="22"/>
          <w:szCs w:val="22"/>
        </w:rPr>
        <w:t>was previously considere</w:t>
      </w:r>
      <w:r w:rsidR="00000805">
        <w:rPr>
          <w:rFonts w:ascii="Arial" w:hAnsi="Arial"/>
          <w:sz w:val="22"/>
          <w:szCs w:val="22"/>
        </w:rPr>
        <w:t>d by the PBAC in November 2015.</w:t>
      </w:r>
    </w:p>
    <w:p w:rsidR="006A12A5" w:rsidRPr="00882085" w:rsidRDefault="006A12A5" w:rsidP="00882085">
      <w:pPr>
        <w:pStyle w:val="ListParagraph"/>
        <w:jc w:val="both"/>
        <w:rPr>
          <w:rFonts w:ascii="Arial" w:hAnsi="Arial"/>
          <w:sz w:val="22"/>
          <w:szCs w:val="22"/>
        </w:rPr>
      </w:pPr>
    </w:p>
    <w:p w:rsidR="00182F07" w:rsidRPr="003759B4" w:rsidRDefault="0069584F" w:rsidP="00182F07">
      <w:pPr>
        <w:pStyle w:val="ListParagraph"/>
        <w:numPr>
          <w:ilvl w:val="1"/>
          <w:numId w:val="2"/>
        </w:numPr>
        <w:jc w:val="both"/>
        <w:rPr>
          <w:rFonts w:ascii="Arial" w:hAnsi="Arial"/>
          <w:b/>
          <w:sz w:val="22"/>
          <w:szCs w:val="22"/>
        </w:rPr>
      </w:pPr>
      <w:r w:rsidRPr="0069584F">
        <w:rPr>
          <w:rFonts w:ascii="Arial" w:hAnsi="Arial"/>
          <w:sz w:val="22"/>
          <w:szCs w:val="22"/>
        </w:rPr>
        <w:t>The PBAC rejected the previous submission on the basis that the cost-effectiveness of aprepitant in the proposed population had not been adequately demonstrated by the submission.</w:t>
      </w:r>
    </w:p>
    <w:p w:rsidR="00182F07" w:rsidRPr="003759B4" w:rsidRDefault="00182F07" w:rsidP="00182F07">
      <w:pPr>
        <w:pStyle w:val="ListParagraph"/>
        <w:rPr>
          <w:rFonts w:ascii="Arial" w:hAnsi="Arial"/>
          <w:b/>
          <w:sz w:val="22"/>
          <w:szCs w:val="22"/>
        </w:rPr>
      </w:pPr>
    </w:p>
    <w:p w:rsidR="000B3183" w:rsidRPr="000B3183" w:rsidRDefault="00343AF3" w:rsidP="00182F07">
      <w:pPr>
        <w:pStyle w:val="ListParagraph"/>
        <w:numPr>
          <w:ilvl w:val="1"/>
          <w:numId w:val="2"/>
        </w:numPr>
        <w:jc w:val="both"/>
        <w:rPr>
          <w:rFonts w:ascii="Arial" w:hAnsi="Arial"/>
          <w:sz w:val="22"/>
          <w:szCs w:val="22"/>
        </w:rPr>
      </w:pPr>
      <w:r w:rsidRPr="000B3183">
        <w:rPr>
          <w:rFonts w:ascii="Arial" w:hAnsi="Arial"/>
          <w:sz w:val="22"/>
          <w:szCs w:val="22"/>
        </w:rPr>
        <w:t>Aprepitant is</w:t>
      </w:r>
      <w:r w:rsidR="00182F07" w:rsidRPr="000B3183">
        <w:rPr>
          <w:rFonts w:ascii="Arial" w:hAnsi="Arial"/>
          <w:sz w:val="22"/>
          <w:szCs w:val="22"/>
        </w:rPr>
        <w:t xml:space="preserve"> </w:t>
      </w:r>
      <w:r w:rsidR="000B3183" w:rsidRPr="000B3183">
        <w:rPr>
          <w:rFonts w:ascii="Arial" w:hAnsi="Arial"/>
          <w:sz w:val="22"/>
          <w:szCs w:val="22"/>
        </w:rPr>
        <w:t>currently listed for use:</w:t>
      </w:r>
    </w:p>
    <w:p w:rsidR="000B3183" w:rsidRPr="000B3183" w:rsidRDefault="000B3183" w:rsidP="000B3183">
      <w:pPr>
        <w:pStyle w:val="ListParagraph"/>
        <w:widowControl w:val="0"/>
        <w:numPr>
          <w:ilvl w:val="0"/>
          <w:numId w:val="7"/>
        </w:numPr>
        <w:tabs>
          <w:tab w:val="left" w:pos="6300"/>
        </w:tabs>
        <w:ind w:left="1134"/>
        <w:jc w:val="both"/>
        <w:rPr>
          <w:rFonts w:ascii="Arial" w:hAnsi="Arial"/>
          <w:sz w:val="22"/>
          <w:szCs w:val="22"/>
        </w:rPr>
      </w:pPr>
      <w:r w:rsidRPr="000B3183">
        <w:rPr>
          <w:rFonts w:ascii="Arial" w:hAnsi="Arial"/>
          <w:sz w:val="22"/>
          <w:szCs w:val="22"/>
        </w:rPr>
        <w:t>as secondary prophylaxis for CINV associated with moderately emetogenic cytotoxic</w:t>
      </w:r>
      <w:r>
        <w:rPr>
          <w:rFonts w:ascii="Arial" w:hAnsi="Arial"/>
          <w:sz w:val="22"/>
          <w:szCs w:val="22"/>
        </w:rPr>
        <w:t xml:space="preserve"> chemotherapy (MEC regimens)</w:t>
      </w:r>
    </w:p>
    <w:p w:rsidR="000B3183" w:rsidRPr="000B3183" w:rsidRDefault="000B3183" w:rsidP="000B3183">
      <w:pPr>
        <w:pStyle w:val="ListParagraph"/>
        <w:widowControl w:val="0"/>
        <w:numPr>
          <w:ilvl w:val="0"/>
          <w:numId w:val="7"/>
        </w:numPr>
        <w:tabs>
          <w:tab w:val="left" w:pos="6300"/>
        </w:tabs>
        <w:ind w:left="1134"/>
        <w:jc w:val="both"/>
        <w:rPr>
          <w:rFonts w:ascii="Arial" w:hAnsi="Arial"/>
          <w:sz w:val="22"/>
          <w:szCs w:val="22"/>
        </w:rPr>
      </w:pPr>
      <w:r w:rsidRPr="000B3183">
        <w:rPr>
          <w:rFonts w:ascii="Arial" w:hAnsi="Arial"/>
          <w:sz w:val="22"/>
          <w:szCs w:val="22"/>
        </w:rPr>
        <w:t xml:space="preserve">as primary prophylaxis for CINV associated with highly emetogenic cytotoxic chemotherapy, </w:t>
      </w:r>
      <w:r>
        <w:rPr>
          <w:rFonts w:ascii="Arial" w:hAnsi="Arial"/>
          <w:sz w:val="22"/>
          <w:szCs w:val="22"/>
        </w:rPr>
        <w:t xml:space="preserve">including </w:t>
      </w:r>
      <w:r w:rsidRPr="000B3183">
        <w:rPr>
          <w:rFonts w:ascii="Arial" w:hAnsi="Arial"/>
          <w:sz w:val="22"/>
          <w:szCs w:val="22"/>
        </w:rPr>
        <w:t>anthracycline use for the treatment of breast cancer.</w:t>
      </w:r>
      <w:r>
        <w:rPr>
          <w:rFonts w:ascii="Arial" w:hAnsi="Arial"/>
          <w:sz w:val="22"/>
          <w:szCs w:val="22"/>
        </w:rPr>
        <w:t xml:space="preserve"> (HEC regimens).</w:t>
      </w:r>
    </w:p>
    <w:p w:rsidR="000B3183" w:rsidRDefault="000B3183" w:rsidP="000B3183">
      <w:pPr>
        <w:widowControl w:val="0"/>
        <w:tabs>
          <w:tab w:val="left" w:pos="6300"/>
        </w:tabs>
        <w:jc w:val="both"/>
        <w:rPr>
          <w:rFonts w:ascii="Arial" w:hAnsi="Arial"/>
          <w:sz w:val="22"/>
          <w:szCs w:val="22"/>
        </w:rPr>
      </w:pPr>
    </w:p>
    <w:p w:rsidR="000B3183" w:rsidRPr="003759B4" w:rsidRDefault="000B3183" w:rsidP="000B3183">
      <w:pPr>
        <w:pStyle w:val="ListParagraph"/>
        <w:numPr>
          <w:ilvl w:val="1"/>
          <w:numId w:val="2"/>
        </w:numPr>
        <w:jc w:val="both"/>
        <w:rPr>
          <w:rFonts w:ascii="Arial" w:hAnsi="Arial"/>
          <w:b/>
          <w:sz w:val="22"/>
          <w:szCs w:val="22"/>
        </w:rPr>
      </w:pPr>
      <w:r>
        <w:rPr>
          <w:rFonts w:ascii="Arial" w:hAnsi="Arial"/>
          <w:sz w:val="22"/>
          <w:szCs w:val="22"/>
        </w:rPr>
        <w:t xml:space="preserve">The current effective price of aprepitant is higher for use in HEC regimens than MEC regimens, and the published price reflects a weighted value of </w:t>
      </w:r>
      <w:r w:rsidR="007809C8">
        <w:rPr>
          <w:rFonts w:ascii="Arial" w:hAnsi="Arial"/>
          <w:sz w:val="22"/>
          <w:szCs w:val="22"/>
        </w:rPr>
        <w:t>67</w:t>
      </w:r>
      <w:r>
        <w:rPr>
          <w:rFonts w:ascii="Arial" w:hAnsi="Arial"/>
          <w:sz w:val="22"/>
          <w:szCs w:val="22"/>
        </w:rPr>
        <w:t xml:space="preserve">% and </w:t>
      </w:r>
      <w:r w:rsidR="007809C8">
        <w:rPr>
          <w:rFonts w:ascii="Arial" w:hAnsi="Arial"/>
          <w:sz w:val="22"/>
          <w:szCs w:val="22"/>
        </w:rPr>
        <w:t>33</w:t>
      </w:r>
      <w:r>
        <w:rPr>
          <w:rFonts w:ascii="Arial" w:hAnsi="Arial"/>
          <w:sz w:val="22"/>
          <w:szCs w:val="22"/>
        </w:rPr>
        <w:t>% respectively across these indications.</w:t>
      </w:r>
    </w:p>
    <w:p w:rsidR="000B3183" w:rsidRPr="000B3183" w:rsidRDefault="000B3183" w:rsidP="000B3183">
      <w:pPr>
        <w:pStyle w:val="ListParagraph"/>
        <w:jc w:val="both"/>
        <w:rPr>
          <w:rFonts w:ascii="Arial" w:hAnsi="Arial"/>
          <w:b/>
          <w:sz w:val="22"/>
          <w:szCs w:val="22"/>
        </w:rPr>
      </w:pPr>
    </w:p>
    <w:p w:rsidR="00A66D5D" w:rsidRPr="00A66D5D" w:rsidRDefault="000B3183" w:rsidP="00A66D5D">
      <w:pPr>
        <w:pStyle w:val="ListParagraph"/>
        <w:numPr>
          <w:ilvl w:val="1"/>
          <w:numId w:val="2"/>
        </w:numPr>
        <w:jc w:val="both"/>
        <w:rPr>
          <w:rFonts w:ascii="Arial" w:hAnsi="Arial"/>
          <w:sz w:val="22"/>
          <w:szCs w:val="22"/>
        </w:rPr>
      </w:pPr>
      <w:r>
        <w:rPr>
          <w:rFonts w:ascii="Arial" w:hAnsi="Arial"/>
          <w:sz w:val="22"/>
          <w:szCs w:val="22"/>
        </w:rPr>
        <w:t xml:space="preserve">The previous major submission </w:t>
      </w:r>
      <w:r w:rsidR="00A66D5D">
        <w:rPr>
          <w:rFonts w:ascii="Arial" w:hAnsi="Arial"/>
          <w:sz w:val="22"/>
          <w:szCs w:val="22"/>
        </w:rPr>
        <w:t>requested</w:t>
      </w:r>
      <w:r>
        <w:rPr>
          <w:rFonts w:ascii="Arial" w:hAnsi="Arial"/>
          <w:sz w:val="22"/>
          <w:szCs w:val="22"/>
        </w:rPr>
        <w:t xml:space="preserve"> that the new listing </w:t>
      </w:r>
      <w:r w:rsidR="00A66D5D">
        <w:rPr>
          <w:rFonts w:ascii="Arial" w:hAnsi="Arial"/>
          <w:sz w:val="22"/>
          <w:szCs w:val="22"/>
        </w:rPr>
        <w:t xml:space="preserve">of aprepitant be priced consistent with use in HEC regimens (resulting in a revised weighting of 8% and 92% across indications). In the pre-PBAC response, the sponsor proposed that the aprepitant price be maintained at its current levels and not re-weighted. This re-submission proposed that the new listing of aprepitant be priced consistent with use in MEC regimens, and re-weighted at </w:t>
      </w:r>
      <w:r w:rsidR="00D03668">
        <w:rPr>
          <w:rFonts w:ascii="Arial" w:hAnsi="Arial"/>
          <w:noProof/>
          <w:color w:val="000000"/>
          <w:sz w:val="22"/>
          <w:szCs w:val="22"/>
          <w:highlight w:val="black"/>
        </w:rPr>
        <w:t>''''''</w:t>
      </w:r>
      <w:r w:rsidR="00A66D5D">
        <w:rPr>
          <w:rFonts w:ascii="Arial" w:hAnsi="Arial"/>
          <w:sz w:val="22"/>
          <w:szCs w:val="22"/>
        </w:rPr>
        <w:t xml:space="preserve">% and </w:t>
      </w:r>
      <w:r w:rsidR="00D03668">
        <w:rPr>
          <w:rFonts w:ascii="Arial" w:hAnsi="Arial"/>
          <w:noProof/>
          <w:color w:val="000000"/>
          <w:sz w:val="22"/>
          <w:szCs w:val="22"/>
          <w:highlight w:val="black"/>
        </w:rPr>
        <w:t>''''''</w:t>
      </w:r>
      <w:r w:rsidR="00A66D5D">
        <w:rPr>
          <w:rFonts w:ascii="Arial" w:hAnsi="Arial"/>
          <w:sz w:val="22"/>
          <w:szCs w:val="22"/>
        </w:rPr>
        <w:t xml:space="preserve">% respectively across </w:t>
      </w:r>
      <w:r w:rsidR="00C01831">
        <w:rPr>
          <w:rFonts w:ascii="Arial" w:hAnsi="Arial"/>
          <w:sz w:val="22"/>
          <w:szCs w:val="22"/>
        </w:rPr>
        <w:t xml:space="preserve">HEC </w:t>
      </w:r>
      <w:r w:rsidR="00A66D5D">
        <w:rPr>
          <w:rFonts w:ascii="Arial" w:hAnsi="Arial"/>
          <w:sz w:val="22"/>
          <w:szCs w:val="22"/>
        </w:rPr>
        <w:t xml:space="preserve">and </w:t>
      </w:r>
      <w:r w:rsidR="00C01831">
        <w:rPr>
          <w:rFonts w:ascii="Arial" w:hAnsi="Arial"/>
          <w:sz w:val="22"/>
          <w:szCs w:val="22"/>
        </w:rPr>
        <w:t xml:space="preserve">MEC </w:t>
      </w:r>
      <w:r w:rsidR="00A66D5D">
        <w:rPr>
          <w:rFonts w:ascii="Arial" w:hAnsi="Arial"/>
          <w:sz w:val="22"/>
          <w:szCs w:val="22"/>
        </w:rPr>
        <w:t>regimens. This submission also applied the statutory 5% price reduction expected on 1 April 2016.</w:t>
      </w:r>
    </w:p>
    <w:p w:rsidR="00182F07" w:rsidRPr="00182F07" w:rsidRDefault="00182F07" w:rsidP="00182F07">
      <w:pPr>
        <w:pStyle w:val="ListParagraph"/>
        <w:rPr>
          <w:rFonts w:ascii="Arial" w:hAnsi="Arial"/>
          <w:sz w:val="22"/>
          <w:szCs w:val="22"/>
        </w:rPr>
      </w:pPr>
    </w:p>
    <w:p w:rsidR="00182F07" w:rsidRPr="00C52221" w:rsidRDefault="00182F07" w:rsidP="00182F07">
      <w:pPr>
        <w:pStyle w:val="ListParagraph"/>
        <w:numPr>
          <w:ilvl w:val="1"/>
          <w:numId w:val="2"/>
        </w:numPr>
        <w:jc w:val="both"/>
        <w:rPr>
          <w:rFonts w:ascii="Arial" w:hAnsi="Arial"/>
          <w:b/>
          <w:sz w:val="22"/>
          <w:szCs w:val="22"/>
        </w:rPr>
      </w:pPr>
      <w:r w:rsidRPr="00182F07">
        <w:rPr>
          <w:rFonts w:ascii="Arial" w:hAnsi="Arial"/>
          <w:sz w:val="22"/>
          <w:szCs w:val="22"/>
        </w:rPr>
        <w:t>The following table provides a summary of the previous submission and the current re-submission.</w:t>
      </w:r>
    </w:p>
    <w:p w:rsidR="00C52221" w:rsidRPr="00C52221" w:rsidRDefault="00C52221" w:rsidP="00C52221">
      <w:pPr>
        <w:pStyle w:val="ListParagraph"/>
        <w:rPr>
          <w:rFonts w:ascii="Arial" w:hAnsi="Arial"/>
          <w:b/>
          <w:sz w:val="22"/>
          <w:szCs w:val="22"/>
        </w:rPr>
      </w:pPr>
    </w:p>
    <w:p w:rsidR="004352AB" w:rsidRPr="0069584F" w:rsidRDefault="004352AB" w:rsidP="004352AB">
      <w:pPr>
        <w:ind w:firstLine="720"/>
        <w:rPr>
          <w:rStyle w:val="CommentReference"/>
          <w:rFonts w:ascii="Arial Narrow" w:hAnsi="Arial Narrow" w:cs="Arial"/>
          <w:b/>
          <w:sz w:val="22"/>
        </w:rPr>
      </w:pPr>
      <w:r w:rsidRPr="0069584F">
        <w:rPr>
          <w:rStyle w:val="CommentReference"/>
          <w:rFonts w:ascii="Arial Narrow" w:hAnsi="Arial Narrow" w:cs="Arial"/>
          <w:b/>
          <w:sz w:val="22"/>
        </w:rPr>
        <w:t>Summary of the previous submission and current re-submission</w:t>
      </w:r>
    </w:p>
    <w:tbl>
      <w:tblPr>
        <w:tblW w:w="844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34"/>
        <w:gridCol w:w="3969"/>
        <w:gridCol w:w="3340"/>
      </w:tblGrid>
      <w:tr w:rsidR="004352AB" w:rsidRPr="00365B3C" w:rsidTr="00343AF3">
        <w:trPr>
          <w:trHeight w:val="220"/>
          <w:tblHeader/>
        </w:trPr>
        <w:tc>
          <w:tcPr>
            <w:tcW w:w="1134" w:type="dxa"/>
          </w:tcPr>
          <w:p w:rsidR="004352AB" w:rsidRPr="00365B3C" w:rsidRDefault="004352AB" w:rsidP="004352AB">
            <w:pPr>
              <w:rPr>
                <w:rFonts w:ascii="Arial Narrow" w:hAnsi="Arial Narrow"/>
                <w:sz w:val="20"/>
                <w:szCs w:val="20"/>
              </w:rPr>
            </w:pPr>
          </w:p>
        </w:tc>
        <w:tc>
          <w:tcPr>
            <w:tcW w:w="3969" w:type="dxa"/>
            <w:vAlign w:val="center"/>
          </w:tcPr>
          <w:p w:rsidR="004352AB" w:rsidRPr="00365B3C" w:rsidRDefault="0069584F" w:rsidP="004352AB">
            <w:pPr>
              <w:jc w:val="center"/>
              <w:rPr>
                <w:rFonts w:ascii="Arial Narrow" w:hAnsi="Arial Narrow"/>
                <w:b/>
                <w:sz w:val="20"/>
                <w:szCs w:val="20"/>
              </w:rPr>
            </w:pPr>
            <w:r w:rsidRPr="00365B3C">
              <w:rPr>
                <w:rFonts w:ascii="Arial Narrow" w:hAnsi="Arial Narrow"/>
                <w:b/>
                <w:sz w:val="20"/>
                <w:szCs w:val="20"/>
              </w:rPr>
              <w:t>Aprepitant, November 2015</w:t>
            </w:r>
          </w:p>
        </w:tc>
        <w:tc>
          <w:tcPr>
            <w:tcW w:w="3340" w:type="dxa"/>
            <w:vAlign w:val="center"/>
          </w:tcPr>
          <w:p w:rsidR="004352AB" w:rsidRPr="00365B3C" w:rsidRDefault="004352AB" w:rsidP="004352AB">
            <w:pPr>
              <w:jc w:val="center"/>
              <w:rPr>
                <w:rFonts w:ascii="Arial Narrow" w:hAnsi="Arial Narrow"/>
                <w:b/>
                <w:sz w:val="20"/>
                <w:szCs w:val="20"/>
              </w:rPr>
            </w:pPr>
            <w:r w:rsidRPr="00365B3C">
              <w:rPr>
                <w:rFonts w:ascii="Arial Narrow" w:hAnsi="Arial Narrow"/>
                <w:b/>
                <w:sz w:val="20"/>
                <w:szCs w:val="20"/>
              </w:rPr>
              <w:t>Current re-submission</w:t>
            </w:r>
          </w:p>
        </w:tc>
      </w:tr>
      <w:tr w:rsidR="004352AB" w:rsidRPr="00365B3C" w:rsidTr="00343AF3">
        <w:trPr>
          <w:trHeight w:val="794"/>
        </w:trPr>
        <w:tc>
          <w:tcPr>
            <w:tcW w:w="1134" w:type="dxa"/>
          </w:tcPr>
          <w:p w:rsidR="004352AB" w:rsidRPr="00365B3C" w:rsidRDefault="004352AB" w:rsidP="004352AB">
            <w:pPr>
              <w:rPr>
                <w:rFonts w:ascii="Arial Narrow" w:hAnsi="Arial Narrow"/>
                <w:sz w:val="20"/>
                <w:szCs w:val="20"/>
              </w:rPr>
            </w:pPr>
            <w:r w:rsidRPr="00365B3C">
              <w:rPr>
                <w:rFonts w:ascii="Arial Narrow" w:hAnsi="Arial Narrow"/>
                <w:sz w:val="20"/>
                <w:szCs w:val="20"/>
              </w:rPr>
              <w:t>Requested PBS listing</w:t>
            </w:r>
          </w:p>
        </w:tc>
        <w:tc>
          <w:tcPr>
            <w:tcW w:w="3969" w:type="dxa"/>
          </w:tcPr>
          <w:p w:rsidR="003369D7" w:rsidRPr="00365B3C" w:rsidRDefault="003369D7" w:rsidP="004352AB">
            <w:pPr>
              <w:rPr>
                <w:rFonts w:ascii="Arial Narrow" w:hAnsi="Arial Narrow"/>
                <w:sz w:val="20"/>
                <w:szCs w:val="20"/>
              </w:rPr>
            </w:pPr>
            <w:r w:rsidRPr="00365B3C">
              <w:rPr>
                <w:rFonts w:ascii="Arial Narrow" w:hAnsi="Arial Narrow"/>
                <w:sz w:val="20"/>
                <w:szCs w:val="20"/>
              </w:rPr>
              <w:t>General schedule and Section 100 (CT), Authority Required (STREAMLINED) listing for aprepitant for the prevention of acute and delayed chemotherapy induced nausea and vomiting (CINV) associated with carboplatin/oxaliplatin based chemotherapy regimens.</w:t>
            </w:r>
          </w:p>
          <w:p w:rsidR="004352AB" w:rsidRPr="00365B3C" w:rsidRDefault="004352AB" w:rsidP="003369D7">
            <w:pPr>
              <w:rPr>
                <w:rFonts w:ascii="Arial Narrow" w:hAnsi="Arial Narrow"/>
                <w:sz w:val="20"/>
                <w:szCs w:val="20"/>
              </w:rPr>
            </w:pPr>
            <w:r w:rsidRPr="00365B3C">
              <w:rPr>
                <w:rFonts w:ascii="Arial Narrow" w:hAnsi="Arial Narrow"/>
                <w:b/>
                <w:sz w:val="20"/>
                <w:szCs w:val="20"/>
              </w:rPr>
              <w:t xml:space="preserve">PBAC Comment: </w:t>
            </w:r>
            <w:r w:rsidR="003369D7" w:rsidRPr="00365B3C">
              <w:rPr>
                <w:rFonts w:ascii="Arial Narrow" w:hAnsi="Arial Narrow"/>
                <w:sz w:val="20"/>
                <w:szCs w:val="20"/>
              </w:rPr>
              <w:t>None</w:t>
            </w:r>
          </w:p>
        </w:tc>
        <w:tc>
          <w:tcPr>
            <w:tcW w:w="3340" w:type="dxa"/>
          </w:tcPr>
          <w:p w:rsidR="004352AB" w:rsidRPr="00365B3C" w:rsidRDefault="003369D7" w:rsidP="007A364A">
            <w:pPr>
              <w:rPr>
                <w:rFonts w:ascii="Arial Narrow" w:hAnsi="Arial Narrow"/>
                <w:sz w:val="20"/>
                <w:szCs w:val="20"/>
              </w:rPr>
            </w:pPr>
            <w:r w:rsidRPr="00365B3C">
              <w:rPr>
                <w:rFonts w:ascii="Arial Narrow" w:hAnsi="Arial Narrow"/>
                <w:sz w:val="20"/>
                <w:szCs w:val="20"/>
              </w:rPr>
              <w:t xml:space="preserve">Same as previously, although requested as a separate item code rather than included under current listings, for the purposes of monitoring the proposed </w:t>
            </w:r>
            <w:r w:rsidR="007A364A">
              <w:rPr>
                <w:rFonts w:ascii="Arial Narrow" w:hAnsi="Arial Narrow"/>
                <w:sz w:val="20"/>
                <w:szCs w:val="20"/>
              </w:rPr>
              <w:t>Risk Share Agreement</w:t>
            </w:r>
            <w:r w:rsidRPr="00365B3C">
              <w:rPr>
                <w:rFonts w:ascii="Arial Narrow" w:hAnsi="Arial Narrow"/>
                <w:sz w:val="20"/>
                <w:szCs w:val="20"/>
              </w:rPr>
              <w:t>.</w:t>
            </w:r>
          </w:p>
        </w:tc>
      </w:tr>
      <w:tr w:rsidR="004352AB" w:rsidRPr="00365B3C" w:rsidTr="00343AF3">
        <w:trPr>
          <w:trHeight w:val="422"/>
        </w:trPr>
        <w:tc>
          <w:tcPr>
            <w:tcW w:w="1134" w:type="dxa"/>
          </w:tcPr>
          <w:p w:rsidR="0018638D" w:rsidRPr="00365B3C" w:rsidRDefault="004352AB" w:rsidP="004352AB">
            <w:pPr>
              <w:rPr>
                <w:rFonts w:ascii="Arial Narrow" w:hAnsi="Arial Narrow"/>
                <w:sz w:val="20"/>
                <w:szCs w:val="20"/>
              </w:rPr>
            </w:pPr>
            <w:r w:rsidRPr="00365B3C">
              <w:rPr>
                <w:rFonts w:ascii="Arial Narrow" w:hAnsi="Arial Narrow"/>
                <w:sz w:val="20"/>
                <w:szCs w:val="20"/>
              </w:rPr>
              <w:t xml:space="preserve">Requested </w:t>
            </w:r>
          </w:p>
          <w:p w:rsidR="004352AB" w:rsidRPr="00365B3C" w:rsidRDefault="0018638D" w:rsidP="004352AB">
            <w:pPr>
              <w:rPr>
                <w:rFonts w:ascii="Arial Narrow" w:hAnsi="Arial Narrow"/>
                <w:sz w:val="20"/>
                <w:szCs w:val="20"/>
              </w:rPr>
            </w:pPr>
            <w:r w:rsidRPr="00365B3C">
              <w:rPr>
                <w:rFonts w:ascii="Arial Narrow" w:hAnsi="Arial Narrow"/>
                <w:sz w:val="20"/>
                <w:szCs w:val="20"/>
              </w:rPr>
              <w:t xml:space="preserve">Ex-manufacturer </w:t>
            </w:r>
            <w:r w:rsidR="004352AB" w:rsidRPr="00365B3C">
              <w:rPr>
                <w:rFonts w:ascii="Arial Narrow" w:hAnsi="Arial Narrow"/>
                <w:sz w:val="20"/>
                <w:szCs w:val="20"/>
              </w:rPr>
              <w:t>price</w:t>
            </w:r>
          </w:p>
        </w:tc>
        <w:tc>
          <w:tcPr>
            <w:tcW w:w="3969" w:type="dxa"/>
          </w:tcPr>
          <w:p w:rsidR="0018638D" w:rsidRPr="00365B3C" w:rsidRDefault="0018638D" w:rsidP="003369D7">
            <w:pPr>
              <w:rPr>
                <w:rFonts w:ascii="Arial Narrow" w:hAnsi="Arial Narrow"/>
                <w:sz w:val="20"/>
                <w:szCs w:val="20"/>
              </w:rPr>
            </w:pPr>
            <w:r w:rsidRPr="00365B3C">
              <w:rPr>
                <w:rFonts w:ascii="Arial Narrow" w:eastAsiaTheme="majorEastAsia" w:hAnsi="Arial Narrow" w:cs="Arial"/>
                <w:bCs/>
                <w:sz w:val="20"/>
                <w:szCs w:val="20"/>
              </w:rPr>
              <w:t>$</w:t>
            </w:r>
            <w:r w:rsidR="00D03668">
              <w:rPr>
                <w:rFonts w:ascii="Arial Narrow" w:eastAsiaTheme="majorEastAsia" w:hAnsi="Arial Narrow" w:cs="Arial"/>
                <w:bCs/>
                <w:noProof/>
                <w:color w:val="000000"/>
                <w:sz w:val="20"/>
                <w:szCs w:val="20"/>
                <w:highlight w:val="black"/>
              </w:rPr>
              <w:t>'''''''''''''''''</w:t>
            </w:r>
          </w:p>
        </w:tc>
        <w:tc>
          <w:tcPr>
            <w:tcW w:w="3340" w:type="dxa"/>
          </w:tcPr>
          <w:p w:rsidR="00365B3C" w:rsidRPr="00365B3C" w:rsidRDefault="0018638D" w:rsidP="003369D7">
            <w:pPr>
              <w:rPr>
                <w:rFonts w:ascii="Arial Narrow" w:hAnsi="Arial Narrow" w:cs="Arial"/>
                <w:sz w:val="20"/>
                <w:szCs w:val="20"/>
                <w:lang w:val="en-GB" w:eastAsia="en-GB"/>
              </w:rPr>
            </w:pPr>
            <w:r w:rsidRPr="00365B3C">
              <w:rPr>
                <w:rFonts w:ascii="Arial Narrow" w:hAnsi="Arial Narrow" w:cs="Arial"/>
                <w:sz w:val="20"/>
                <w:szCs w:val="20"/>
                <w:lang w:val="en-GB" w:eastAsia="en-GB"/>
              </w:rPr>
              <w:t>$</w:t>
            </w:r>
            <w:r w:rsidR="00D03668">
              <w:rPr>
                <w:rFonts w:ascii="Arial Narrow" w:hAnsi="Arial Narrow" w:cs="Arial"/>
                <w:noProof/>
                <w:color w:val="000000"/>
                <w:sz w:val="20"/>
                <w:szCs w:val="20"/>
                <w:highlight w:val="black"/>
                <w:lang w:val="en-GB" w:eastAsia="en-GB"/>
              </w:rPr>
              <w:t>''''''''''''''</w:t>
            </w:r>
            <w:r w:rsidRPr="00365B3C">
              <w:rPr>
                <w:rFonts w:ascii="Arial Narrow" w:hAnsi="Arial Narrow" w:cs="Arial"/>
                <w:sz w:val="20"/>
                <w:szCs w:val="20"/>
                <w:lang w:val="en-GB" w:eastAsia="en-GB"/>
              </w:rPr>
              <w:t xml:space="preserve"> </w:t>
            </w:r>
            <w:r w:rsidR="00365B3C" w:rsidRPr="00365B3C">
              <w:rPr>
                <w:rFonts w:ascii="Arial Narrow" w:hAnsi="Arial Narrow" w:cs="Arial"/>
                <w:sz w:val="20"/>
                <w:szCs w:val="20"/>
                <w:lang w:val="en-GB" w:eastAsia="en-GB"/>
              </w:rPr>
              <w:t xml:space="preserve">proposed </w:t>
            </w:r>
            <w:r w:rsidRPr="00365B3C">
              <w:rPr>
                <w:rFonts w:ascii="Arial Narrow" w:hAnsi="Arial Narrow" w:cs="Arial"/>
                <w:sz w:val="20"/>
                <w:szCs w:val="20"/>
                <w:lang w:val="en-GB" w:eastAsia="en-GB"/>
              </w:rPr>
              <w:t xml:space="preserve">for the </w:t>
            </w:r>
            <w:r w:rsidR="0072327E" w:rsidRPr="00365B3C">
              <w:rPr>
                <w:rFonts w:ascii="Arial Narrow" w:hAnsi="Arial Narrow" w:cs="Arial"/>
                <w:sz w:val="20"/>
                <w:szCs w:val="20"/>
                <w:lang w:val="en-GB" w:eastAsia="en-GB"/>
              </w:rPr>
              <w:t>extension to</w:t>
            </w:r>
            <w:r w:rsidRPr="00365B3C">
              <w:rPr>
                <w:rFonts w:ascii="Arial Narrow" w:hAnsi="Arial Narrow" w:cs="Arial"/>
                <w:sz w:val="20"/>
                <w:szCs w:val="20"/>
                <w:lang w:val="en-GB" w:eastAsia="en-GB"/>
              </w:rPr>
              <w:t xml:space="preserve"> indication</w:t>
            </w:r>
            <w:r w:rsidR="00365B3C" w:rsidRPr="00365B3C">
              <w:rPr>
                <w:rFonts w:ascii="Arial Narrow" w:hAnsi="Arial Narrow" w:cs="Arial"/>
                <w:sz w:val="20"/>
                <w:szCs w:val="20"/>
                <w:lang w:val="en-GB" w:eastAsia="en-GB"/>
              </w:rPr>
              <w:t>; and</w:t>
            </w:r>
          </w:p>
          <w:p w:rsidR="0018638D" w:rsidRPr="00365B3C" w:rsidRDefault="0018638D" w:rsidP="003369D7">
            <w:pPr>
              <w:rPr>
                <w:rFonts w:ascii="Arial Narrow" w:hAnsi="Arial Narrow"/>
                <w:sz w:val="20"/>
                <w:szCs w:val="20"/>
              </w:rPr>
            </w:pPr>
            <w:r w:rsidRPr="00365B3C">
              <w:rPr>
                <w:rFonts w:ascii="Arial Narrow" w:hAnsi="Arial Narrow" w:cs="Arial"/>
                <w:sz w:val="20"/>
                <w:szCs w:val="20"/>
              </w:rPr>
              <w:t>$</w:t>
            </w:r>
            <w:r w:rsidR="00D03668">
              <w:rPr>
                <w:rFonts w:ascii="Arial Narrow" w:hAnsi="Arial Narrow" w:cs="Arial"/>
                <w:noProof/>
                <w:color w:val="000000"/>
                <w:sz w:val="20"/>
                <w:szCs w:val="20"/>
                <w:highlight w:val="black"/>
              </w:rPr>
              <w:t>''''''''''''''''</w:t>
            </w:r>
            <w:r w:rsidRPr="00365B3C">
              <w:rPr>
                <w:rFonts w:ascii="Arial Narrow" w:hAnsi="Arial Narrow" w:cs="Arial"/>
                <w:sz w:val="20"/>
                <w:szCs w:val="20"/>
              </w:rPr>
              <w:t xml:space="preserve"> </w:t>
            </w:r>
            <w:r w:rsidR="00365B3C" w:rsidRPr="00365B3C">
              <w:rPr>
                <w:rFonts w:ascii="Arial Narrow" w:hAnsi="Arial Narrow" w:cs="Arial"/>
                <w:sz w:val="20"/>
                <w:szCs w:val="20"/>
              </w:rPr>
              <w:t xml:space="preserve">proposed </w:t>
            </w:r>
            <w:r w:rsidRPr="00365B3C">
              <w:rPr>
                <w:rFonts w:ascii="Arial Narrow" w:hAnsi="Arial Narrow" w:cs="Arial"/>
                <w:sz w:val="20"/>
                <w:szCs w:val="20"/>
              </w:rPr>
              <w:t>as a weighted price for all aprepitant use</w:t>
            </w:r>
            <w:r w:rsidR="00365B3C">
              <w:rPr>
                <w:rFonts w:ascii="Arial Narrow" w:hAnsi="Arial Narrow" w:cs="Arial"/>
                <w:sz w:val="20"/>
                <w:szCs w:val="20"/>
              </w:rPr>
              <w:t>.</w:t>
            </w:r>
          </w:p>
          <w:p w:rsidR="003369D7" w:rsidRPr="00365B3C" w:rsidRDefault="003369D7" w:rsidP="003369D7">
            <w:pPr>
              <w:rPr>
                <w:rFonts w:ascii="Arial Narrow" w:hAnsi="Arial Narrow"/>
                <w:sz w:val="20"/>
                <w:szCs w:val="20"/>
              </w:rPr>
            </w:pPr>
          </w:p>
          <w:p w:rsidR="003369D7" w:rsidRPr="00365B3C" w:rsidRDefault="00122EB7" w:rsidP="003369D7">
            <w:pPr>
              <w:rPr>
                <w:rFonts w:ascii="Arial Narrow" w:hAnsi="Arial Narrow"/>
                <w:sz w:val="20"/>
                <w:szCs w:val="20"/>
              </w:rPr>
            </w:pPr>
            <w:r w:rsidRPr="00365B3C">
              <w:rPr>
                <w:rFonts w:ascii="Arial Narrow" w:hAnsi="Arial Narrow"/>
                <w:sz w:val="20"/>
                <w:szCs w:val="20"/>
              </w:rPr>
              <w:t xml:space="preserve">This </w:t>
            </w:r>
            <w:r w:rsidR="00365B3C" w:rsidRPr="00365B3C">
              <w:rPr>
                <w:rFonts w:ascii="Arial Narrow" w:hAnsi="Arial Narrow"/>
                <w:sz w:val="20"/>
                <w:szCs w:val="20"/>
              </w:rPr>
              <w:t>i</w:t>
            </w:r>
            <w:r w:rsidR="003369D7" w:rsidRPr="00365B3C">
              <w:rPr>
                <w:rFonts w:ascii="Arial Narrow" w:hAnsi="Arial Narrow"/>
                <w:sz w:val="20"/>
                <w:szCs w:val="20"/>
              </w:rPr>
              <w:t>ncludes a 5% statutory price reduction from 1 April 2016.</w:t>
            </w:r>
          </w:p>
        </w:tc>
      </w:tr>
      <w:tr w:rsidR="004352AB" w:rsidRPr="00365B3C" w:rsidTr="00343AF3">
        <w:trPr>
          <w:trHeight w:val="642"/>
        </w:trPr>
        <w:tc>
          <w:tcPr>
            <w:tcW w:w="1134" w:type="dxa"/>
          </w:tcPr>
          <w:p w:rsidR="004352AB" w:rsidRPr="00365B3C" w:rsidRDefault="004352AB" w:rsidP="004352AB">
            <w:pPr>
              <w:rPr>
                <w:rFonts w:ascii="Arial Narrow" w:hAnsi="Arial Narrow"/>
                <w:sz w:val="20"/>
                <w:szCs w:val="20"/>
              </w:rPr>
            </w:pPr>
            <w:r w:rsidRPr="00365B3C">
              <w:rPr>
                <w:rFonts w:ascii="Arial Narrow" w:hAnsi="Arial Narrow"/>
                <w:sz w:val="20"/>
                <w:szCs w:val="20"/>
              </w:rPr>
              <w:t>Main comparator</w:t>
            </w:r>
          </w:p>
        </w:tc>
        <w:tc>
          <w:tcPr>
            <w:tcW w:w="3969" w:type="dxa"/>
          </w:tcPr>
          <w:p w:rsidR="004352AB" w:rsidRPr="00365B3C" w:rsidRDefault="006466B6" w:rsidP="004352AB">
            <w:pPr>
              <w:rPr>
                <w:rFonts w:ascii="Arial Narrow" w:hAnsi="Arial Narrow"/>
                <w:sz w:val="20"/>
                <w:szCs w:val="20"/>
              </w:rPr>
            </w:pPr>
            <w:r w:rsidRPr="00365B3C">
              <w:rPr>
                <w:rFonts w:ascii="Arial Narrow" w:hAnsi="Arial Narrow"/>
                <w:sz w:val="20"/>
                <w:szCs w:val="20"/>
              </w:rPr>
              <w:t>Standard treatment, comprising of dexamethasone plus ondansetron,</w:t>
            </w:r>
          </w:p>
          <w:p w:rsidR="004352AB" w:rsidRPr="00365B3C" w:rsidRDefault="004352AB" w:rsidP="00A66D5D">
            <w:pPr>
              <w:rPr>
                <w:rFonts w:ascii="Arial Narrow" w:hAnsi="Arial Narrow"/>
                <w:sz w:val="20"/>
                <w:szCs w:val="20"/>
              </w:rPr>
            </w:pPr>
            <w:r w:rsidRPr="00365B3C">
              <w:rPr>
                <w:rFonts w:ascii="Arial Narrow" w:hAnsi="Arial Narrow"/>
                <w:b/>
                <w:sz w:val="20"/>
                <w:szCs w:val="20"/>
              </w:rPr>
              <w:t>PBAC Comment:</w:t>
            </w:r>
            <w:r w:rsidRPr="00365B3C">
              <w:rPr>
                <w:rFonts w:ascii="Arial Narrow" w:hAnsi="Arial Narrow"/>
                <w:sz w:val="20"/>
                <w:szCs w:val="20"/>
              </w:rPr>
              <w:t xml:space="preserve"> </w:t>
            </w:r>
            <w:r w:rsidR="006466B6" w:rsidRPr="00365B3C">
              <w:rPr>
                <w:rFonts w:ascii="Arial Narrow" w:hAnsi="Arial Narrow"/>
                <w:sz w:val="20"/>
                <w:szCs w:val="20"/>
              </w:rPr>
              <w:t xml:space="preserve">The appropriate comparator would be secondary prophylaxis, i.e. aprepitant after experiencing CINV, as this is the therapy that would most likely be replaced. </w:t>
            </w:r>
            <w:r w:rsidR="00A66D5D" w:rsidRPr="00365B3C">
              <w:rPr>
                <w:rFonts w:ascii="Arial Narrow" w:hAnsi="Arial Narrow"/>
                <w:sz w:val="20"/>
                <w:szCs w:val="20"/>
              </w:rPr>
              <w:t>[Para 7.2</w:t>
            </w:r>
            <w:r w:rsidR="006466B6" w:rsidRPr="00365B3C">
              <w:rPr>
                <w:rFonts w:ascii="Arial Narrow" w:hAnsi="Arial Narrow"/>
                <w:sz w:val="20"/>
                <w:szCs w:val="20"/>
              </w:rPr>
              <w:t>]</w:t>
            </w:r>
          </w:p>
        </w:tc>
        <w:tc>
          <w:tcPr>
            <w:tcW w:w="3340" w:type="dxa"/>
          </w:tcPr>
          <w:p w:rsidR="004352AB" w:rsidRPr="00365B3C" w:rsidRDefault="00A104C2" w:rsidP="00A104C2">
            <w:pPr>
              <w:rPr>
                <w:rFonts w:ascii="Arial Narrow" w:hAnsi="Arial Narrow"/>
                <w:sz w:val="20"/>
                <w:szCs w:val="20"/>
              </w:rPr>
            </w:pPr>
            <w:r w:rsidRPr="00365B3C">
              <w:rPr>
                <w:rFonts w:ascii="Arial Narrow" w:hAnsi="Arial Narrow"/>
                <w:sz w:val="20"/>
                <w:szCs w:val="20"/>
              </w:rPr>
              <w:t>Not stated, although t</w:t>
            </w:r>
            <w:r w:rsidR="00A66D5D" w:rsidRPr="00365B3C">
              <w:rPr>
                <w:rFonts w:ascii="Arial Narrow" w:hAnsi="Arial Narrow"/>
                <w:sz w:val="20"/>
                <w:szCs w:val="20"/>
              </w:rPr>
              <w:t xml:space="preserve">he </w:t>
            </w:r>
            <w:r w:rsidR="00E84E9D" w:rsidRPr="00365B3C">
              <w:rPr>
                <w:rFonts w:ascii="Arial Narrow" w:hAnsi="Arial Narrow"/>
                <w:sz w:val="20"/>
                <w:szCs w:val="20"/>
              </w:rPr>
              <w:t xml:space="preserve">submission requests a consistent </w:t>
            </w:r>
            <w:r w:rsidRPr="00365B3C">
              <w:rPr>
                <w:rFonts w:ascii="Arial Narrow" w:hAnsi="Arial Narrow"/>
                <w:sz w:val="20"/>
                <w:szCs w:val="20"/>
              </w:rPr>
              <w:t>aprepitant price for use as</w:t>
            </w:r>
            <w:r w:rsidR="00E84E9D" w:rsidRPr="00365B3C">
              <w:rPr>
                <w:rFonts w:ascii="Arial Narrow" w:hAnsi="Arial Narrow"/>
                <w:sz w:val="20"/>
                <w:szCs w:val="20"/>
              </w:rPr>
              <w:t xml:space="preserve"> primary </w:t>
            </w:r>
            <w:r w:rsidRPr="00365B3C">
              <w:rPr>
                <w:rFonts w:ascii="Arial Narrow" w:hAnsi="Arial Narrow"/>
                <w:sz w:val="20"/>
                <w:szCs w:val="20"/>
              </w:rPr>
              <w:t>or</w:t>
            </w:r>
            <w:r w:rsidR="00E84E9D" w:rsidRPr="00365B3C">
              <w:rPr>
                <w:rFonts w:ascii="Arial Narrow" w:hAnsi="Arial Narrow"/>
                <w:sz w:val="20"/>
                <w:szCs w:val="20"/>
              </w:rPr>
              <w:t xml:space="preserve"> secondary prophylaxis</w:t>
            </w:r>
            <w:r w:rsidRPr="00365B3C">
              <w:rPr>
                <w:rFonts w:ascii="Arial Narrow" w:hAnsi="Arial Narrow"/>
                <w:sz w:val="20"/>
                <w:szCs w:val="20"/>
              </w:rPr>
              <w:t xml:space="preserve"> of CINV associated with MEC regimens.</w:t>
            </w:r>
          </w:p>
        </w:tc>
      </w:tr>
      <w:tr w:rsidR="004352AB" w:rsidRPr="00365B3C" w:rsidTr="00343AF3">
        <w:trPr>
          <w:trHeight w:val="860"/>
        </w:trPr>
        <w:tc>
          <w:tcPr>
            <w:tcW w:w="1134" w:type="dxa"/>
          </w:tcPr>
          <w:p w:rsidR="004352AB" w:rsidRPr="00365B3C" w:rsidRDefault="004352AB" w:rsidP="004352AB">
            <w:pPr>
              <w:rPr>
                <w:rFonts w:ascii="Arial Narrow" w:hAnsi="Arial Narrow"/>
                <w:sz w:val="20"/>
                <w:szCs w:val="20"/>
              </w:rPr>
            </w:pPr>
            <w:r w:rsidRPr="00365B3C">
              <w:rPr>
                <w:rFonts w:ascii="Arial Narrow" w:hAnsi="Arial Narrow"/>
                <w:sz w:val="20"/>
                <w:szCs w:val="20"/>
              </w:rPr>
              <w:t>Clinical evidence</w:t>
            </w:r>
          </w:p>
        </w:tc>
        <w:tc>
          <w:tcPr>
            <w:tcW w:w="3969" w:type="dxa"/>
          </w:tcPr>
          <w:p w:rsidR="004352AB" w:rsidRPr="00365B3C" w:rsidRDefault="006466B6" w:rsidP="004352AB">
            <w:pPr>
              <w:rPr>
                <w:rFonts w:ascii="Arial Narrow" w:hAnsi="Arial Narrow"/>
                <w:sz w:val="20"/>
                <w:szCs w:val="20"/>
              </w:rPr>
            </w:pPr>
            <w:r w:rsidRPr="00365B3C">
              <w:rPr>
                <w:rFonts w:ascii="Arial Narrow" w:hAnsi="Arial Narrow"/>
                <w:sz w:val="20"/>
                <w:szCs w:val="20"/>
              </w:rPr>
              <w:t>A series of meta-analyses of four head-to-head trials comparing a regimen containing aprepitant or fosaprepitant, to one not containing these drugs.</w:t>
            </w:r>
          </w:p>
          <w:p w:rsidR="004352AB" w:rsidRPr="00365B3C" w:rsidRDefault="004352AB" w:rsidP="006466B6">
            <w:pPr>
              <w:rPr>
                <w:rFonts w:ascii="Arial Narrow" w:hAnsi="Arial Narrow"/>
                <w:sz w:val="20"/>
                <w:szCs w:val="20"/>
              </w:rPr>
            </w:pPr>
            <w:r w:rsidRPr="00365B3C">
              <w:rPr>
                <w:rFonts w:ascii="Arial Narrow" w:hAnsi="Arial Narrow"/>
                <w:b/>
                <w:sz w:val="20"/>
                <w:szCs w:val="20"/>
              </w:rPr>
              <w:t>PBAC Comment:</w:t>
            </w:r>
            <w:r w:rsidRPr="00365B3C">
              <w:rPr>
                <w:rFonts w:ascii="Arial Narrow" w:hAnsi="Arial Narrow"/>
                <w:sz w:val="20"/>
                <w:szCs w:val="20"/>
              </w:rPr>
              <w:t xml:space="preserve"> </w:t>
            </w:r>
            <w:r w:rsidR="006466B6" w:rsidRPr="00365B3C">
              <w:rPr>
                <w:rFonts w:ascii="Arial Narrow" w:hAnsi="Arial Narrow"/>
                <w:sz w:val="20"/>
                <w:szCs w:val="20"/>
              </w:rPr>
              <w:t>None</w:t>
            </w:r>
          </w:p>
        </w:tc>
        <w:tc>
          <w:tcPr>
            <w:tcW w:w="3340" w:type="dxa"/>
          </w:tcPr>
          <w:p w:rsidR="004352AB" w:rsidRPr="00365B3C" w:rsidRDefault="006466B6" w:rsidP="004352AB">
            <w:pPr>
              <w:rPr>
                <w:rFonts w:ascii="Arial Narrow" w:hAnsi="Arial Narrow"/>
                <w:sz w:val="20"/>
                <w:szCs w:val="20"/>
              </w:rPr>
            </w:pPr>
            <w:r w:rsidRPr="00365B3C">
              <w:rPr>
                <w:rFonts w:ascii="Arial Narrow" w:hAnsi="Arial Narrow"/>
                <w:sz w:val="20"/>
                <w:szCs w:val="20"/>
              </w:rPr>
              <w:t>No new evidence.</w:t>
            </w:r>
          </w:p>
        </w:tc>
      </w:tr>
      <w:tr w:rsidR="005D3F58" w:rsidRPr="00365B3C" w:rsidTr="00BA5530">
        <w:trPr>
          <w:trHeight w:val="370"/>
        </w:trPr>
        <w:tc>
          <w:tcPr>
            <w:tcW w:w="1134" w:type="dxa"/>
          </w:tcPr>
          <w:p w:rsidR="004352AB" w:rsidRPr="00365B3C" w:rsidRDefault="004352AB" w:rsidP="004352AB">
            <w:pPr>
              <w:rPr>
                <w:rFonts w:ascii="Arial Narrow" w:hAnsi="Arial Narrow"/>
                <w:sz w:val="20"/>
                <w:szCs w:val="20"/>
              </w:rPr>
            </w:pPr>
            <w:r w:rsidRPr="00365B3C">
              <w:rPr>
                <w:rFonts w:ascii="Arial Narrow" w:hAnsi="Arial Narrow"/>
                <w:sz w:val="20"/>
                <w:szCs w:val="20"/>
              </w:rPr>
              <w:t>Key effectiveness data</w:t>
            </w:r>
          </w:p>
        </w:tc>
        <w:tc>
          <w:tcPr>
            <w:tcW w:w="3969" w:type="dxa"/>
          </w:tcPr>
          <w:p w:rsidR="004352AB" w:rsidRPr="00365B3C" w:rsidRDefault="00B2381A" w:rsidP="004352AB">
            <w:pPr>
              <w:rPr>
                <w:rFonts w:ascii="Arial Narrow" w:hAnsi="Arial Narrow"/>
                <w:sz w:val="20"/>
                <w:szCs w:val="20"/>
              </w:rPr>
            </w:pPr>
            <w:r w:rsidRPr="00365B3C">
              <w:rPr>
                <w:rFonts w:ascii="Arial Narrow" w:hAnsi="Arial Narrow"/>
                <w:sz w:val="20"/>
                <w:szCs w:val="20"/>
              </w:rPr>
              <w:t>A statistically significantly higher proportion of patients treated with aprepitant compared with those receiving the control: reported complete response across all time phases; reported no vomiting consistently across all times phases; and did not require rescue medication in the overall phase. Time to first vomiting was statistically significantly longer in patients treated with aprepitant than with the control regimen, and the impact of chemotherapy on daily life was also reduced in aprepitant patients compared to the control regimen.</w:t>
            </w:r>
          </w:p>
          <w:p w:rsidR="004352AB" w:rsidRPr="00365B3C" w:rsidRDefault="004352AB" w:rsidP="005D3F58">
            <w:pPr>
              <w:rPr>
                <w:rFonts w:ascii="Arial Narrow" w:hAnsi="Arial Narrow"/>
                <w:sz w:val="20"/>
                <w:szCs w:val="20"/>
              </w:rPr>
            </w:pPr>
            <w:r w:rsidRPr="00365B3C">
              <w:rPr>
                <w:rFonts w:ascii="Arial Narrow" w:hAnsi="Arial Narrow"/>
                <w:b/>
                <w:sz w:val="20"/>
                <w:szCs w:val="20"/>
              </w:rPr>
              <w:lastRenderedPageBreak/>
              <w:t>PBAC Comment:</w:t>
            </w:r>
            <w:r w:rsidRPr="00365B3C">
              <w:rPr>
                <w:rFonts w:ascii="Arial Narrow" w:hAnsi="Arial Narrow"/>
                <w:sz w:val="20"/>
                <w:szCs w:val="20"/>
              </w:rPr>
              <w:t xml:space="preserve"> </w:t>
            </w:r>
            <w:r w:rsidR="005D3F58" w:rsidRPr="00365B3C">
              <w:rPr>
                <w:rFonts w:ascii="Arial Narrow" w:hAnsi="Arial Narrow"/>
                <w:sz w:val="20"/>
                <w:szCs w:val="20"/>
              </w:rPr>
              <w:t>See Clinical claim</w:t>
            </w:r>
          </w:p>
        </w:tc>
        <w:tc>
          <w:tcPr>
            <w:tcW w:w="3340" w:type="dxa"/>
          </w:tcPr>
          <w:p w:rsidR="005D3F58" w:rsidRPr="00365B3C" w:rsidRDefault="006466B6" w:rsidP="005D3F58">
            <w:pPr>
              <w:rPr>
                <w:rFonts w:ascii="Arial Narrow" w:hAnsi="Arial Narrow"/>
                <w:sz w:val="20"/>
                <w:szCs w:val="20"/>
              </w:rPr>
            </w:pPr>
            <w:r w:rsidRPr="00365B3C">
              <w:rPr>
                <w:rFonts w:ascii="Arial Narrow" w:hAnsi="Arial Narrow"/>
                <w:sz w:val="20"/>
                <w:szCs w:val="20"/>
              </w:rPr>
              <w:lastRenderedPageBreak/>
              <w:t>No new data presented</w:t>
            </w:r>
            <w:r w:rsidR="005D3F58" w:rsidRPr="00365B3C">
              <w:rPr>
                <w:rFonts w:ascii="Arial Narrow" w:hAnsi="Arial Narrow"/>
                <w:sz w:val="20"/>
                <w:szCs w:val="20"/>
              </w:rPr>
              <w:t>.</w:t>
            </w:r>
          </w:p>
          <w:p w:rsidR="005D3F58" w:rsidRPr="00365B3C" w:rsidRDefault="005D3F58" w:rsidP="004352AB">
            <w:pPr>
              <w:rPr>
                <w:rFonts w:ascii="Arial Narrow" w:hAnsi="Arial Narrow"/>
                <w:sz w:val="20"/>
                <w:szCs w:val="20"/>
              </w:rPr>
            </w:pPr>
          </w:p>
        </w:tc>
      </w:tr>
      <w:tr w:rsidR="004352AB" w:rsidRPr="00365B3C" w:rsidTr="00343AF3">
        <w:trPr>
          <w:trHeight w:val="860"/>
        </w:trPr>
        <w:tc>
          <w:tcPr>
            <w:tcW w:w="1134" w:type="dxa"/>
          </w:tcPr>
          <w:p w:rsidR="004352AB" w:rsidRPr="00365B3C" w:rsidRDefault="004352AB" w:rsidP="004352AB">
            <w:pPr>
              <w:rPr>
                <w:rFonts w:ascii="Arial Narrow" w:hAnsi="Arial Narrow"/>
                <w:sz w:val="20"/>
                <w:szCs w:val="20"/>
              </w:rPr>
            </w:pPr>
            <w:r w:rsidRPr="00365B3C">
              <w:rPr>
                <w:rFonts w:ascii="Arial Narrow" w:hAnsi="Arial Narrow"/>
                <w:sz w:val="20"/>
                <w:szCs w:val="20"/>
              </w:rPr>
              <w:lastRenderedPageBreak/>
              <w:t>Key safety data</w:t>
            </w:r>
          </w:p>
        </w:tc>
        <w:tc>
          <w:tcPr>
            <w:tcW w:w="3969" w:type="dxa"/>
          </w:tcPr>
          <w:p w:rsidR="004352AB" w:rsidRPr="00365B3C" w:rsidRDefault="00FE3D56" w:rsidP="004352AB">
            <w:pPr>
              <w:rPr>
                <w:rFonts w:ascii="Arial Narrow" w:hAnsi="Arial Narrow"/>
                <w:sz w:val="20"/>
                <w:szCs w:val="20"/>
              </w:rPr>
            </w:pPr>
            <w:r w:rsidRPr="00365B3C">
              <w:rPr>
                <w:rFonts w:ascii="Arial Narrow" w:hAnsi="Arial Narrow"/>
                <w:sz w:val="20"/>
                <w:szCs w:val="20"/>
              </w:rPr>
              <w:t>The meta-analyses showed that there were no statistically significant differences between the aprepitant and control regimen with respect to any of the safety outcomes, and the types of adverse events reported across the RCTs were similar between treatment groups and were comparable to the types of adverse events observed in subjects with cancer receiving emetogenic chemotherapy.</w:t>
            </w:r>
            <w:r w:rsidR="0044679C" w:rsidRPr="00365B3C">
              <w:rPr>
                <w:rFonts w:ascii="Arial Narrow" w:hAnsi="Arial Narrow"/>
                <w:b/>
                <w:color w:val="FF00FF"/>
                <w:sz w:val="20"/>
                <w:szCs w:val="20"/>
              </w:rPr>
              <w:t xml:space="preserve"> </w:t>
            </w:r>
          </w:p>
          <w:p w:rsidR="004352AB" w:rsidRPr="00365B3C" w:rsidRDefault="004352AB" w:rsidP="005D3F58">
            <w:pPr>
              <w:rPr>
                <w:rFonts w:ascii="Arial Narrow" w:hAnsi="Arial Narrow"/>
                <w:sz w:val="20"/>
                <w:szCs w:val="20"/>
              </w:rPr>
            </w:pPr>
            <w:r w:rsidRPr="00365B3C">
              <w:rPr>
                <w:rFonts w:ascii="Arial Narrow" w:hAnsi="Arial Narrow"/>
                <w:b/>
                <w:sz w:val="20"/>
                <w:szCs w:val="20"/>
              </w:rPr>
              <w:t>PBAC Comment:</w:t>
            </w:r>
            <w:r w:rsidRPr="00365B3C">
              <w:rPr>
                <w:rFonts w:ascii="Arial Narrow" w:hAnsi="Arial Narrow"/>
                <w:sz w:val="20"/>
                <w:szCs w:val="20"/>
              </w:rPr>
              <w:t xml:space="preserve"> </w:t>
            </w:r>
            <w:r w:rsidR="005D3F58" w:rsidRPr="00365B3C">
              <w:rPr>
                <w:rFonts w:ascii="Arial Narrow" w:hAnsi="Arial Narrow"/>
                <w:sz w:val="20"/>
                <w:szCs w:val="20"/>
              </w:rPr>
              <w:t>See Clinical claim</w:t>
            </w:r>
          </w:p>
        </w:tc>
        <w:tc>
          <w:tcPr>
            <w:tcW w:w="3340" w:type="dxa"/>
          </w:tcPr>
          <w:p w:rsidR="004352AB" w:rsidRPr="00365B3C" w:rsidRDefault="00FE3D56" w:rsidP="004352AB">
            <w:pPr>
              <w:rPr>
                <w:rFonts w:ascii="Arial Narrow" w:hAnsi="Arial Narrow"/>
                <w:sz w:val="20"/>
                <w:szCs w:val="20"/>
              </w:rPr>
            </w:pPr>
            <w:r w:rsidRPr="00365B3C">
              <w:rPr>
                <w:rFonts w:ascii="Arial Narrow" w:hAnsi="Arial Narrow"/>
                <w:sz w:val="20"/>
                <w:szCs w:val="20"/>
              </w:rPr>
              <w:t>No new data presented.</w:t>
            </w:r>
          </w:p>
        </w:tc>
      </w:tr>
      <w:tr w:rsidR="004352AB" w:rsidRPr="00365B3C" w:rsidTr="00343AF3">
        <w:trPr>
          <w:trHeight w:val="369"/>
        </w:trPr>
        <w:tc>
          <w:tcPr>
            <w:tcW w:w="1134" w:type="dxa"/>
          </w:tcPr>
          <w:p w:rsidR="004352AB" w:rsidRPr="00365B3C" w:rsidRDefault="004352AB" w:rsidP="004352AB">
            <w:pPr>
              <w:rPr>
                <w:rFonts w:ascii="Arial Narrow" w:hAnsi="Arial Narrow"/>
                <w:sz w:val="20"/>
                <w:szCs w:val="20"/>
              </w:rPr>
            </w:pPr>
            <w:r w:rsidRPr="00365B3C">
              <w:rPr>
                <w:rFonts w:ascii="Arial Narrow" w:hAnsi="Arial Narrow"/>
                <w:sz w:val="20"/>
                <w:szCs w:val="20"/>
              </w:rPr>
              <w:t>Clinical claim</w:t>
            </w:r>
          </w:p>
        </w:tc>
        <w:tc>
          <w:tcPr>
            <w:tcW w:w="3969" w:type="dxa"/>
          </w:tcPr>
          <w:p w:rsidR="004352AB" w:rsidRPr="003759B4" w:rsidRDefault="00B2381A" w:rsidP="004352AB">
            <w:pPr>
              <w:rPr>
                <w:rFonts w:ascii="Arial Narrow" w:hAnsi="Arial Narrow"/>
                <w:sz w:val="20"/>
                <w:szCs w:val="20"/>
              </w:rPr>
            </w:pPr>
            <w:r w:rsidRPr="00365B3C">
              <w:rPr>
                <w:rFonts w:ascii="Arial Narrow" w:hAnsi="Arial Narrow"/>
                <w:sz w:val="20"/>
                <w:szCs w:val="20"/>
              </w:rPr>
              <w:t xml:space="preserve">The submission described </w:t>
            </w:r>
            <w:r w:rsidR="005D3F58" w:rsidRPr="00365B3C">
              <w:rPr>
                <w:rFonts w:ascii="Arial Narrow" w:hAnsi="Arial Narrow"/>
                <w:sz w:val="20"/>
                <w:szCs w:val="20"/>
              </w:rPr>
              <w:t>aprepitant plus standard antiemetic therapy</w:t>
            </w:r>
            <w:r w:rsidRPr="00365B3C">
              <w:rPr>
                <w:rFonts w:ascii="Arial Narrow" w:hAnsi="Arial Narrow"/>
                <w:sz w:val="20"/>
                <w:szCs w:val="20"/>
              </w:rPr>
              <w:t xml:space="preserve"> as superior in terms of comparative effectiveness and similar in terms of comparative safety over standard </w:t>
            </w:r>
            <w:r w:rsidR="005D3F58" w:rsidRPr="00365B3C">
              <w:rPr>
                <w:rFonts w:ascii="Arial Narrow" w:hAnsi="Arial Narrow"/>
                <w:sz w:val="20"/>
                <w:szCs w:val="20"/>
              </w:rPr>
              <w:t>therapy alone</w:t>
            </w:r>
            <w:r w:rsidRPr="00365B3C">
              <w:rPr>
                <w:rFonts w:ascii="Arial Narrow" w:hAnsi="Arial Narrow"/>
                <w:color w:val="0000FF"/>
                <w:sz w:val="20"/>
                <w:szCs w:val="20"/>
              </w:rPr>
              <w:t>.</w:t>
            </w:r>
          </w:p>
          <w:p w:rsidR="004352AB" w:rsidRPr="00365B3C" w:rsidRDefault="004352AB" w:rsidP="0044679C">
            <w:pPr>
              <w:rPr>
                <w:rFonts w:ascii="Arial Narrow" w:hAnsi="Arial Narrow"/>
                <w:sz w:val="20"/>
                <w:szCs w:val="20"/>
              </w:rPr>
            </w:pPr>
            <w:r w:rsidRPr="00365B3C">
              <w:rPr>
                <w:rFonts w:ascii="Arial Narrow" w:hAnsi="Arial Narrow"/>
                <w:b/>
                <w:sz w:val="20"/>
                <w:szCs w:val="20"/>
              </w:rPr>
              <w:t>PBAC Comment:</w:t>
            </w:r>
            <w:r w:rsidRPr="00365B3C">
              <w:rPr>
                <w:rFonts w:ascii="Arial Narrow" w:hAnsi="Arial Narrow"/>
                <w:sz w:val="20"/>
                <w:szCs w:val="20"/>
              </w:rPr>
              <w:t xml:space="preserve"> </w:t>
            </w:r>
            <w:r w:rsidR="005D3F58" w:rsidRPr="00365B3C">
              <w:rPr>
                <w:rFonts w:ascii="Arial Narrow" w:hAnsi="Arial Narrow"/>
                <w:sz w:val="20"/>
                <w:szCs w:val="20"/>
              </w:rPr>
              <w:t>The claim was considered reasonable, however the magnitude of the benefit was uncertain in the specific subgroup of patients treated with carboplatin and oxaliplatin based chemotherapy regimens.</w:t>
            </w:r>
            <w:r w:rsidR="0044679C" w:rsidRPr="00365B3C">
              <w:rPr>
                <w:rFonts w:ascii="Arial Narrow" w:hAnsi="Arial Narrow"/>
                <w:sz w:val="20"/>
                <w:szCs w:val="20"/>
              </w:rPr>
              <w:t xml:space="preserve"> [Para 6.11]</w:t>
            </w:r>
          </w:p>
        </w:tc>
        <w:tc>
          <w:tcPr>
            <w:tcW w:w="3340" w:type="dxa"/>
          </w:tcPr>
          <w:p w:rsidR="004352AB" w:rsidRPr="00365B3C" w:rsidRDefault="005D3F58" w:rsidP="005D3F58">
            <w:pPr>
              <w:rPr>
                <w:rFonts w:ascii="Arial Narrow" w:hAnsi="Arial Narrow"/>
                <w:color w:val="0000FF"/>
                <w:sz w:val="20"/>
                <w:szCs w:val="20"/>
              </w:rPr>
            </w:pPr>
            <w:r w:rsidRPr="00365B3C">
              <w:rPr>
                <w:rFonts w:ascii="Arial Narrow" w:hAnsi="Arial Narrow"/>
                <w:sz w:val="20"/>
                <w:szCs w:val="20"/>
              </w:rPr>
              <w:t>Same as previously.</w:t>
            </w:r>
          </w:p>
        </w:tc>
      </w:tr>
      <w:tr w:rsidR="004352AB" w:rsidRPr="00365B3C" w:rsidTr="003B2F70">
        <w:trPr>
          <w:trHeight w:val="228"/>
        </w:trPr>
        <w:tc>
          <w:tcPr>
            <w:tcW w:w="1134" w:type="dxa"/>
          </w:tcPr>
          <w:p w:rsidR="004352AB" w:rsidRPr="00365B3C" w:rsidRDefault="004352AB" w:rsidP="004352AB">
            <w:pPr>
              <w:rPr>
                <w:rFonts w:ascii="Arial Narrow" w:hAnsi="Arial Narrow"/>
                <w:sz w:val="20"/>
                <w:szCs w:val="20"/>
              </w:rPr>
            </w:pPr>
            <w:r w:rsidRPr="00365B3C">
              <w:rPr>
                <w:rFonts w:ascii="Arial Narrow" w:hAnsi="Arial Narrow"/>
                <w:sz w:val="20"/>
                <w:szCs w:val="20"/>
              </w:rPr>
              <w:t>Economic evaluation</w:t>
            </w:r>
          </w:p>
        </w:tc>
        <w:tc>
          <w:tcPr>
            <w:tcW w:w="3969" w:type="dxa"/>
          </w:tcPr>
          <w:p w:rsidR="004352AB" w:rsidRPr="00365B3C" w:rsidRDefault="005D3F58" w:rsidP="004352AB">
            <w:pPr>
              <w:rPr>
                <w:rFonts w:ascii="Arial Narrow" w:hAnsi="Arial Narrow"/>
                <w:sz w:val="20"/>
                <w:szCs w:val="20"/>
              </w:rPr>
            </w:pPr>
            <w:r w:rsidRPr="00365B3C">
              <w:rPr>
                <w:rFonts w:ascii="Arial Narrow" w:hAnsi="Arial Narrow"/>
                <w:sz w:val="20"/>
                <w:szCs w:val="20"/>
              </w:rPr>
              <w:t xml:space="preserve">The submission did not provide </w:t>
            </w:r>
            <w:r w:rsidR="00F903B0" w:rsidRPr="00365B3C">
              <w:rPr>
                <w:rFonts w:ascii="Arial Narrow" w:hAnsi="Arial Narrow"/>
                <w:sz w:val="20"/>
                <w:szCs w:val="20"/>
              </w:rPr>
              <w:t>a formal economic evaluation, but claimed that since the PBAC had previously determined aprepitant to be cost-effective for management of CINV associated with cyclophosphamide plus an anthracycline being used to treat breast cancer, aprepitant for the proposed population could be considered at least as cost-effective, as the risk difference for management of CINV in the proposed population is greater than that shown for the cyclophosphamide plus an anthracycline regimen.</w:t>
            </w:r>
          </w:p>
          <w:p w:rsidR="005D3F58" w:rsidRPr="00365B3C" w:rsidRDefault="005D3F58" w:rsidP="004352AB">
            <w:pPr>
              <w:rPr>
                <w:rFonts w:ascii="Arial Narrow" w:hAnsi="Arial Narrow"/>
                <w:b/>
                <w:sz w:val="20"/>
                <w:szCs w:val="20"/>
              </w:rPr>
            </w:pPr>
          </w:p>
          <w:p w:rsidR="00F903B0" w:rsidRPr="00365B3C" w:rsidRDefault="004352AB" w:rsidP="005D3F58">
            <w:pPr>
              <w:rPr>
                <w:rFonts w:ascii="Arial Narrow" w:hAnsi="Arial Narrow"/>
                <w:sz w:val="20"/>
                <w:szCs w:val="20"/>
              </w:rPr>
            </w:pPr>
            <w:r w:rsidRPr="00365B3C">
              <w:rPr>
                <w:rFonts w:ascii="Arial Narrow" w:hAnsi="Arial Narrow"/>
                <w:b/>
                <w:sz w:val="20"/>
                <w:szCs w:val="20"/>
              </w:rPr>
              <w:t>PBAC Comment:</w:t>
            </w:r>
            <w:r w:rsidRPr="00365B3C">
              <w:rPr>
                <w:rFonts w:ascii="Arial Narrow" w:hAnsi="Arial Narrow"/>
                <w:sz w:val="20"/>
                <w:szCs w:val="20"/>
              </w:rPr>
              <w:t xml:space="preserve"> </w:t>
            </w:r>
          </w:p>
          <w:p w:rsidR="004352AB" w:rsidRPr="00365B3C" w:rsidRDefault="005D3F58" w:rsidP="003B2F70">
            <w:pPr>
              <w:rPr>
                <w:rFonts w:ascii="Arial Narrow" w:hAnsi="Arial Narrow"/>
                <w:sz w:val="20"/>
                <w:szCs w:val="20"/>
              </w:rPr>
            </w:pPr>
            <w:r w:rsidRPr="00365B3C">
              <w:rPr>
                <w:rFonts w:ascii="Arial Narrow" w:hAnsi="Arial Narrow"/>
                <w:sz w:val="20"/>
                <w:szCs w:val="20"/>
              </w:rPr>
              <w:t xml:space="preserve">In the absence of an economic analysis, the cost-effectiveness of aprepitant in the broader population requested could not be determined. If the submission, wished to </w:t>
            </w:r>
            <w:r w:rsidR="0044679C" w:rsidRPr="00365B3C">
              <w:rPr>
                <w:rFonts w:ascii="Arial Narrow" w:hAnsi="Arial Narrow"/>
                <w:sz w:val="20"/>
                <w:szCs w:val="20"/>
              </w:rPr>
              <w:t>pursue the</w:t>
            </w:r>
            <w:r w:rsidRPr="00365B3C">
              <w:rPr>
                <w:rFonts w:ascii="Arial Narrow" w:hAnsi="Arial Narrow"/>
                <w:sz w:val="20"/>
                <w:szCs w:val="20"/>
              </w:rPr>
              <w:t xml:space="preserve"> </w:t>
            </w:r>
            <w:r w:rsidR="0044679C" w:rsidRPr="00365B3C">
              <w:rPr>
                <w:rFonts w:ascii="Arial Narrow" w:hAnsi="Arial Narrow"/>
                <w:sz w:val="20"/>
                <w:szCs w:val="20"/>
              </w:rPr>
              <w:t>requested price</w:t>
            </w:r>
            <w:r w:rsidRPr="00365B3C">
              <w:rPr>
                <w:rFonts w:ascii="Arial Narrow" w:hAnsi="Arial Narrow"/>
                <w:sz w:val="20"/>
                <w:szCs w:val="20"/>
              </w:rPr>
              <w:t xml:space="preserve"> increase for aprepitant when used as primary prophylaxis with oxaliplatin or carboplatin compared to the current secondary prophylaxis listing, a major re-submission with an appropriate economic evaluation to support a claim of cost-effectiveness would be required.</w:t>
            </w:r>
            <w:r w:rsidR="0044679C" w:rsidRPr="00365B3C">
              <w:rPr>
                <w:rFonts w:ascii="Arial Narrow" w:hAnsi="Arial Narrow"/>
                <w:sz w:val="20"/>
                <w:szCs w:val="20"/>
              </w:rPr>
              <w:t xml:space="preserve"> Alternatively, the</w:t>
            </w:r>
            <w:r w:rsidRPr="00365B3C">
              <w:rPr>
                <w:rFonts w:ascii="Arial Narrow" w:hAnsi="Arial Narrow"/>
                <w:sz w:val="20"/>
                <w:szCs w:val="20"/>
              </w:rPr>
              <w:t xml:space="preserve"> PBAC considered that a pragmatic way forward would be to cost-minimise the price of aprepitant in the proposed population to the price of aprepitant when used with moderately emetogenic chemotherapy.</w:t>
            </w:r>
            <w:r w:rsidR="003B2F70" w:rsidRPr="00365B3C">
              <w:rPr>
                <w:rFonts w:ascii="Arial Narrow" w:hAnsi="Arial Narrow"/>
                <w:sz w:val="20"/>
                <w:szCs w:val="20"/>
              </w:rPr>
              <w:t xml:space="preserve"> [Para 7.4 &amp; 7.7]  </w:t>
            </w:r>
          </w:p>
        </w:tc>
        <w:tc>
          <w:tcPr>
            <w:tcW w:w="3340" w:type="dxa"/>
          </w:tcPr>
          <w:p w:rsidR="004352AB" w:rsidRPr="00365B3C" w:rsidRDefault="003B2F70" w:rsidP="003B2F70">
            <w:pPr>
              <w:rPr>
                <w:rFonts w:ascii="Arial Narrow" w:hAnsi="Arial Narrow"/>
                <w:color w:val="0000FF"/>
                <w:sz w:val="20"/>
                <w:szCs w:val="20"/>
              </w:rPr>
            </w:pPr>
            <w:r w:rsidRPr="00365B3C">
              <w:rPr>
                <w:rFonts w:ascii="Arial Narrow" w:hAnsi="Arial Narrow"/>
                <w:sz w:val="20"/>
                <w:szCs w:val="20"/>
              </w:rPr>
              <w:t xml:space="preserve">Requests the same </w:t>
            </w:r>
            <w:r w:rsidR="0044679C" w:rsidRPr="00365B3C">
              <w:rPr>
                <w:rFonts w:ascii="Arial Narrow" w:hAnsi="Arial Narrow"/>
                <w:sz w:val="20"/>
                <w:szCs w:val="20"/>
              </w:rPr>
              <w:t>aprepitant price in the proposed population (</w:t>
            </w:r>
            <w:r w:rsidRPr="00365B3C">
              <w:rPr>
                <w:rFonts w:ascii="Arial Narrow" w:hAnsi="Arial Narrow"/>
                <w:sz w:val="20"/>
                <w:szCs w:val="20"/>
              </w:rPr>
              <w:t xml:space="preserve">i.e. for </w:t>
            </w:r>
            <w:r w:rsidR="0044679C" w:rsidRPr="00365B3C">
              <w:rPr>
                <w:rFonts w:ascii="Arial Narrow" w:hAnsi="Arial Narrow"/>
                <w:sz w:val="20"/>
                <w:szCs w:val="20"/>
              </w:rPr>
              <w:t xml:space="preserve">primary prophylaxis) </w:t>
            </w:r>
            <w:r w:rsidRPr="00BA5530">
              <w:rPr>
                <w:rFonts w:ascii="Arial Narrow" w:hAnsi="Arial Narrow"/>
                <w:sz w:val="20"/>
                <w:szCs w:val="20"/>
              </w:rPr>
              <w:t xml:space="preserve">as when </w:t>
            </w:r>
            <w:r w:rsidR="0044679C" w:rsidRPr="00BA5530">
              <w:rPr>
                <w:rFonts w:ascii="Arial Narrow" w:hAnsi="Arial Narrow"/>
                <w:sz w:val="20"/>
                <w:szCs w:val="20"/>
              </w:rPr>
              <w:t xml:space="preserve">used with moderately emetogenic chemotherapy for secondary </w:t>
            </w:r>
            <w:r w:rsidRPr="00BA5530">
              <w:rPr>
                <w:rFonts w:ascii="Arial Narrow" w:hAnsi="Arial Narrow"/>
                <w:sz w:val="20"/>
                <w:szCs w:val="20"/>
              </w:rPr>
              <w:t>prophylaxis of CINV.</w:t>
            </w:r>
          </w:p>
        </w:tc>
      </w:tr>
      <w:tr w:rsidR="004352AB" w:rsidRPr="00365B3C" w:rsidTr="003B2F70">
        <w:trPr>
          <w:trHeight w:val="680"/>
        </w:trPr>
        <w:tc>
          <w:tcPr>
            <w:tcW w:w="1134" w:type="dxa"/>
          </w:tcPr>
          <w:p w:rsidR="004352AB" w:rsidRPr="00365B3C" w:rsidRDefault="004352AB" w:rsidP="00F903B0">
            <w:pPr>
              <w:rPr>
                <w:rFonts w:ascii="Arial Narrow" w:hAnsi="Arial Narrow"/>
                <w:sz w:val="20"/>
                <w:szCs w:val="20"/>
              </w:rPr>
            </w:pPr>
            <w:r w:rsidRPr="00365B3C">
              <w:rPr>
                <w:rFonts w:ascii="Arial Narrow" w:hAnsi="Arial Narrow"/>
                <w:sz w:val="20"/>
                <w:szCs w:val="20"/>
              </w:rPr>
              <w:t xml:space="preserve">Number of </w:t>
            </w:r>
            <w:r w:rsidR="00F903B0" w:rsidRPr="00365B3C">
              <w:rPr>
                <w:rFonts w:ascii="Arial Narrow" w:hAnsi="Arial Narrow"/>
                <w:sz w:val="20"/>
                <w:szCs w:val="20"/>
              </w:rPr>
              <w:t>chemotherapy journeys</w:t>
            </w:r>
          </w:p>
        </w:tc>
        <w:tc>
          <w:tcPr>
            <w:tcW w:w="3969" w:type="dxa"/>
          </w:tcPr>
          <w:p w:rsidR="004352AB" w:rsidRPr="00365B3C" w:rsidRDefault="00F41455" w:rsidP="004352AB">
            <w:pPr>
              <w:rPr>
                <w:rFonts w:ascii="Arial Narrow" w:hAnsi="Arial Narrow"/>
                <w:sz w:val="20"/>
                <w:szCs w:val="20"/>
              </w:rPr>
            </w:pPr>
            <w:r>
              <w:rPr>
                <w:rFonts w:ascii="Arial Narrow" w:hAnsi="Arial Narrow"/>
                <w:sz w:val="20"/>
                <w:szCs w:val="20"/>
              </w:rPr>
              <w:t xml:space="preserve">10,000 – 50,000 </w:t>
            </w:r>
            <w:r w:rsidR="004352AB" w:rsidRPr="00365B3C">
              <w:rPr>
                <w:rFonts w:ascii="Arial Narrow" w:hAnsi="Arial Narrow"/>
                <w:sz w:val="20"/>
                <w:szCs w:val="20"/>
              </w:rPr>
              <w:t xml:space="preserve">in Year 1 increasing to </w:t>
            </w:r>
            <w:r>
              <w:rPr>
                <w:rFonts w:ascii="Arial Narrow" w:hAnsi="Arial Narrow"/>
                <w:sz w:val="20"/>
                <w:szCs w:val="20"/>
              </w:rPr>
              <w:t>10,000 – 50,000</w:t>
            </w:r>
            <w:r w:rsidR="004352AB" w:rsidRPr="00365B3C">
              <w:rPr>
                <w:rFonts w:ascii="Arial Narrow" w:hAnsi="Arial Narrow"/>
                <w:sz w:val="20"/>
                <w:szCs w:val="20"/>
              </w:rPr>
              <w:t xml:space="preserve"> in Year 5.</w:t>
            </w:r>
          </w:p>
          <w:p w:rsidR="004352AB" w:rsidRPr="00365B3C" w:rsidRDefault="004352AB" w:rsidP="00F903B0">
            <w:pPr>
              <w:rPr>
                <w:rFonts w:ascii="Arial Narrow" w:hAnsi="Arial Narrow"/>
                <w:sz w:val="20"/>
                <w:szCs w:val="20"/>
              </w:rPr>
            </w:pPr>
            <w:r w:rsidRPr="00365B3C">
              <w:rPr>
                <w:rFonts w:ascii="Arial Narrow" w:hAnsi="Arial Narrow"/>
                <w:b/>
                <w:sz w:val="20"/>
                <w:szCs w:val="20"/>
              </w:rPr>
              <w:t>PBAC Comment:</w:t>
            </w:r>
            <w:r w:rsidRPr="00365B3C">
              <w:rPr>
                <w:rFonts w:ascii="Arial Narrow" w:hAnsi="Arial Narrow"/>
                <w:sz w:val="20"/>
                <w:szCs w:val="20"/>
              </w:rPr>
              <w:t xml:space="preserve"> </w:t>
            </w:r>
            <w:r w:rsidR="00F903B0" w:rsidRPr="00365B3C">
              <w:rPr>
                <w:rFonts w:ascii="Arial Narrow" w:hAnsi="Arial Narrow"/>
                <w:sz w:val="20"/>
                <w:szCs w:val="20"/>
              </w:rPr>
              <w:t>None.</w:t>
            </w:r>
          </w:p>
        </w:tc>
        <w:tc>
          <w:tcPr>
            <w:tcW w:w="3340" w:type="dxa"/>
          </w:tcPr>
          <w:p w:rsidR="004352AB" w:rsidRPr="003759B4" w:rsidRDefault="00F903B0" w:rsidP="004352AB">
            <w:pPr>
              <w:rPr>
                <w:rFonts w:ascii="Arial Narrow" w:hAnsi="Arial Narrow"/>
                <w:sz w:val="20"/>
                <w:szCs w:val="20"/>
              </w:rPr>
            </w:pPr>
            <w:r w:rsidRPr="00365B3C">
              <w:rPr>
                <w:rFonts w:ascii="Arial Narrow" w:hAnsi="Arial Narrow"/>
                <w:sz w:val="20"/>
                <w:szCs w:val="20"/>
              </w:rPr>
              <w:t>Same as previously.</w:t>
            </w:r>
          </w:p>
        </w:tc>
      </w:tr>
      <w:tr w:rsidR="004352AB" w:rsidRPr="00365B3C" w:rsidTr="00343AF3">
        <w:trPr>
          <w:trHeight w:val="1080"/>
        </w:trPr>
        <w:tc>
          <w:tcPr>
            <w:tcW w:w="1134" w:type="dxa"/>
          </w:tcPr>
          <w:p w:rsidR="004352AB" w:rsidRPr="00365B3C" w:rsidRDefault="004352AB" w:rsidP="004352AB">
            <w:pPr>
              <w:rPr>
                <w:rFonts w:ascii="Arial Narrow" w:hAnsi="Arial Narrow"/>
                <w:sz w:val="20"/>
                <w:szCs w:val="20"/>
              </w:rPr>
            </w:pPr>
            <w:r w:rsidRPr="00365B3C">
              <w:rPr>
                <w:rFonts w:ascii="Arial Narrow" w:hAnsi="Arial Narrow"/>
                <w:sz w:val="20"/>
                <w:szCs w:val="20"/>
              </w:rPr>
              <w:t>Estimated cost to PBS</w:t>
            </w:r>
          </w:p>
        </w:tc>
        <w:tc>
          <w:tcPr>
            <w:tcW w:w="3969" w:type="dxa"/>
          </w:tcPr>
          <w:p w:rsidR="004352AB" w:rsidRPr="00365B3C" w:rsidRDefault="002D6241" w:rsidP="004352AB">
            <w:pPr>
              <w:rPr>
                <w:rFonts w:ascii="Arial Narrow" w:hAnsi="Arial Narrow"/>
                <w:sz w:val="20"/>
                <w:szCs w:val="20"/>
              </w:rPr>
            </w:pPr>
            <w:r>
              <w:rPr>
                <w:rFonts w:ascii="Arial Narrow" w:hAnsi="Arial Narrow"/>
                <w:sz w:val="20"/>
                <w:szCs w:val="20"/>
              </w:rPr>
              <w:t xml:space="preserve">Less than $10 million </w:t>
            </w:r>
            <w:r w:rsidR="004352AB" w:rsidRPr="00365B3C">
              <w:rPr>
                <w:rFonts w:ascii="Arial Narrow" w:hAnsi="Arial Narrow"/>
                <w:sz w:val="20"/>
                <w:szCs w:val="20"/>
              </w:rPr>
              <w:t xml:space="preserve">in Year 1 increasing to </w:t>
            </w:r>
            <w:r>
              <w:rPr>
                <w:rFonts w:ascii="Arial Narrow" w:hAnsi="Arial Narrow"/>
                <w:sz w:val="20"/>
                <w:szCs w:val="20"/>
              </w:rPr>
              <w:t xml:space="preserve"> less than $10 million</w:t>
            </w:r>
            <w:r w:rsidR="004352AB" w:rsidRPr="00365B3C">
              <w:rPr>
                <w:rFonts w:ascii="Arial Narrow" w:hAnsi="Arial Narrow"/>
                <w:sz w:val="20"/>
                <w:szCs w:val="20"/>
              </w:rPr>
              <w:t xml:space="preserve"> in Year 5 for a total of </w:t>
            </w:r>
            <w:r>
              <w:rPr>
                <w:rFonts w:ascii="Arial Narrow" w:hAnsi="Arial Narrow"/>
                <w:sz w:val="20"/>
                <w:szCs w:val="20"/>
              </w:rPr>
              <w:t>$10 - $20 million</w:t>
            </w:r>
            <w:r w:rsidR="004352AB" w:rsidRPr="00365B3C">
              <w:rPr>
                <w:rFonts w:ascii="Arial Narrow" w:hAnsi="Arial Narrow"/>
                <w:sz w:val="20"/>
                <w:szCs w:val="20"/>
              </w:rPr>
              <w:t xml:space="preserve"> over the first 5 years of listing.</w:t>
            </w:r>
            <w:r w:rsidR="00F903B0" w:rsidRPr="00365B3C">
              <w:rPr>
                <w:rFonts w:ascii="Arial Narrow" w:hAnsi="Arial Narrow"/>
                <w:sz w:val="20"/>
                <w:szCs w:val="20"/>
              </w:rPr>
              <w:t xml:space="preserve"> In the Pre-PBAC Response, this was revised to </w:t>
            </w:r>
            <w:r>
              <w:rPr>
                <w:rFonts w:ascii="Arial Narrow" w:hAnsi="Arial Narrow"/>
                <w:sz w:val="20"/>
                <w:szCs w:val="20"/>
              </w:rPr>
              <w:t>less than $10 million</w:t>
            </w:r>
            <w:r w:rsidR="00F903B0" w:rsidRPr="00365B3C">
              <w:rPr>
                <w:rFonts w:ascii="Arial Narrow" w:hAnsi="Arial Narrow"/>
                <w:sz w:val="20"/>
                <w:szCs w:val="20"/>
              </w:rPr>
              <w:t xml:space="preserve"> in Year 1 increasing to </w:t>
            </w:r>
            <w:r>
              <w:rPr>
                <w:rFonts w:ascii="Arial Narrow" w:hAnsi="Arial Narrow"/>
                <w:sz w:val="20"/>
                <w:szCs w:val="20"/>
              </w:rPr>
              <w:t>less than $10 million</w:t>
            </w:r>
            <w:r w:rsidR="00F903B0" w:rsidRPr="00365B3C">
              <w:rPr>
                <w:rFonts w:ascii="Arial Narrow" w:hAnsi="Arial Narrow"/>
                <w:sz w:val="20"/>
                <w:szCs w:val="20"/>
              </w:rPr>
              <w:t xml:space="preserve"> in </w:t>
            </w:r>
            <w:r w:rsidR="00F903B0" w:rsidRPr="00365B3C">
              <w:rPr>
                <w:rFonts w:ascii="Arial Narrow" w:hAnsi="Arial Narrow"/>
                <w:sz w:val="20"/>
                <w:szCs w:val="20"/>
              </w:rPr>
              <w:lastRenderedPageBreak/>
              <w:t xml:space="preserve">Year 5 for a total of </w:t>
            </w:r>
            <w:r>
              <w:rPr>
                <w:rFonts w:ascii="Arial Narrow" w:hAnsi="Arial Narrow"/>
                <w:sz w:val="20"/>
                <w:szCs w:val="20"/>
              </w:rPr>
              <w:t>$10 - $20 million</w:t>
            </w:r>
            <w:r w:rsidR="00F903B0" w:rsidRPr="00365B3C">
              <w:rPr>
                <w:rFonts w:ascii="Arial Narrow" w:hAnsi="Arial Narrow"/>
                <w:sz w:val="20"/>
                <w:szCs w:val="20"/>
              </w:rPr>
              <w:t xml:space="preserve"> over the first 5 years of listing</w:t>
            </w:r>
            <w:r w:rsidR="003B2F70" w:rsidRPr="00365B3C">
              <w:rPr>
                <w:rFonts w:ascii="Arial Narrow" w:hAnsi="Arial Narrow"/>
                <w:sz w:val="20"/>
                <w:szCs w:val="20"/>
              </w:rPr>
              <w:t>.</w:t>
            </w:r>
          </w:p>
          <w:p w:rsidR="004352AB" w:rsidRPr="00365B3C" w:rsidRDefault="004352AB" w:rsidP="004352AB">
            <w:pPr>
              <w:rPr>
                <w:rFonts w:ascii="Arial Narrow" w:hAnsi="Arial Narrow"/>
                <w:sz w:val="20"/>
                <w:szCs w:val="20"/>
              </w:rPr>
            </w:pPr>
          </w:p>
          <w:p w:rsidR="004352AB" w:rsidRPr="00365B3C" w:rsidRDefault="004352AB" w:rsidP="003B2F70">
            <w:pPr>
              <w:rPr>
                <w:rFonts w:ascii="Arial Narrow" w:hAnsi="Arial Narrow"/>
                <w:sz w:val="20"/>
                <w:szCs w:val="20"/>
              </w:rPr>
            </w:pPr>
            <w:r w:rsidRPr="00365B3C">
              <w:rPr>
                <w:rFonts w:ascii="Arial Narrow" w:hAnsi="Arial Narrow"/>
                <w:b/>
                <w:sz w:val="20"/>
                <w:szCs w:val="20"/>
              </w:rPr>
              <w:t>PBAC Comment:</w:t>
            </w:r>
            <w:r w:rsidRPr="00365B3C">
              <w:rPr>
                <w:rFonts w:ascii="Arial Narrow" w:hAnsi="Arial Narrow"/>
                <w:sz w:val="20"/>
                <w:szCs w:val="20"/>
              </w:rPr>
              <w:t xml:space="preserve"> </w:t>
            </w:r>
            <w:r w:rsidR="00F903B0" w:rsidRPr="00365B3C">
              <w:rPr>
                <w:rFonts w:ascii="Arial Narrow" w:hAnsi="Arial Narrow"/>
                <w:sz w:val="20"/>
                <w:szCs w:val="20"/>
              </w:rPr>
              <w:t>The requested listing would make aprepitant available to a substantially broader population of patients and the financial implications of such an extension to listing were uncertain. The PBAC considered that if the listing was extended in the future, there should be a risk sharing mechanism to manage for potential use beyond the estimated patient numbers.</w:t>
            </w:r>
            <w:r w:rsidR="003B2F70" w:rsidRPr="00365B3C">
              <w:rPr>
                <w:rFonts w:ascii="Arial Narrow" w:hAnsi="Arial Narrow"/>
                <w:sz w:val="20"/>
                <w:szCs w:val="20"/>
              </w:rPr>
              <w:t xml:space="preserve"> [Para 7.6]  </w:t>
            </w:r>
          </w:p>
        </w:tc>
        <w:tc>
          <w:tcPr>
            <w:tcW w:w="3340" w:type="dxa"/>
          </w:tcPr>
          <w:p w:rsidR="004352AB" w:rsidRPr="003759B4" w:rsidRDefault="0056112A" w:rsidP="0056112A">
            <w:pPr>
              <w:rPr>
                <w:rFonts w:ascii="Arial Narrow" w:hAnsi="Arial Narrow"/>
                <w:sz w:val="20"/>
                <w:szCs w:val="20"/>
              </w:rPr>
            </w:pPr>
            <w:r>
              <w:rPr>
                <w:rFonts w:ascii="Arial Narrow" w:hAnsi="Arial Narrow"/>
                <w:sz w:val="20"/>
                <w:szCs w:val="20"/>
              </w:rPr>
              <w:lastRenderedPageBreak/>
              <w:t>Less than $10 million</w:t>
            </w:r>
            <w:r w:rsidR="00F903B0" w:rsidRPr="00365B3C">
              <w:rPr>
                <w:rFonts w:ascii="Arial Narrow" w:hAnsi="Arial Narrow"/>
                <w:sz w:val="20"/>
                <w:szCs w:val="20"/>
              </w:rPr>
              <w:t xml:space="preserve"> </w:t>
            </w:r>
            <w:r w:rsidR="004352AB" w:rsidRPr="00365B3C">
              <w:rPr>
                <w:rFonts w:ascii="Arial Narrow" w:hAnsi="Arial Narrow"/>
                <w:sz w:val="20"/>
                <w:szCs w:val="20"/>
              </w:rPr>
              <w:t xml:space="preserve">in Year 1 increasing to </w:t>
            </w:r>
            <w:r>
              <w:rPr>
                <w:rFonts w:ascii="Arial Narrow" w:hAnsi="Arial Narrow"/>
                <w:sz w:val="20"/>
                <w:szCs w:val="20"/>
              </w:rPr>
              <w:t>less than $10 million</w:t>
            </w:r>
            <w:r w:rsidR="00F903B0" w:rsidRPr="00365B3C">
              <w:rPr>
                <w:rFonts w:ascii="Arial Narrow" w:hAnsi="Arial Narrow"/>
                <w:sz w:val="20"/>
                <w:szCs w:val="20"/>
              </w:rPr>
              <w:t xml:space="preserve"> </w:t>
            </w:r>
            <w:r w:rsidR="004352AB" w:rsidRPr="00365B3C">
              <w:rPr>
                <w:rFonts w:ascii="Arial Narrow" w:hAnsi="Arial Narrow"/>
                <w:sz w:val="20"/>
                <w:szCs w:val="20"/>
              </w:rPr>
              <w:t xml:space="preserve">in Year 5 for a total of </w:t>
            </w:r>
            <w:r>
              <w:rPr>
                <w:rFonts w:ascii="Arial Narrow" w:hAnsi="Arial Narrow"/>
                <w:sz w:val="20"/>
                <w:szCs w:val="20"/>
              </w:rPr>
              <w:t>$10 - $20 million</w:t>
            </w:r>
            <w:r w:rsidR="00F903B0" w:rsidRPr="00365B3C">
              <w:rPr>
                <w:rFonts w:ascii="Arial Narrow" w:hAnsi="Arial Narrow"/>
                <w:sz w:val="20"/>
                <w:szCs w:val="20"/>
              </w:rPr>
              <w:t xml:space="preserve"> </w:t>
            </w:r>
            <w:r w:rsidR="004352AB" w:rsidRPr="00365B3C">
              <w:rPr>
                <w:rFonts w:ascii="Arial Narrow" w:hAnsi="Arial Narrow"/>
                <w:sz w:val="20"/>
                <w:szCs w:val="20"/>
              </w:rPr>
              <w:t>over the first 5 years of listing.</w:t>
            </w:r>
          </w:p>
        </w:tc>
      </w:tr>
      <w:tr w:rsidR="004352AB" w:rsidRPr="00365B3C" w:rsidTr="00343AF3">
        <w:trPr>
          <w:trHeight w:val="438"/>
        </w:trPr>
        <w:tc>
          <w:tcPr>
            <w:tcW w:w="1134" w:type="dxa"/>
          </w:tcPr>
          <w:p w:rsidR="004352AB" w:rsidRPr="00365B3C" w:rsidRDefault="004352AB" w:rsidP="004352AB">
            <w:pPr>
              <w:rPr>
                <w:rFonts w:ascii="Arial Narrow" w:hAnsi="Arial Narrow"/>
                <w:sz w:val="20"/>
                <w:szCs w:val="20"/>
              </w:rPr>
            </w:pPr>
            <w:r w:rsidRPr="00365B3C">
              <w:rPr>
                <w:rFonts w:ascii="Arial Narrow" w:hAnsi="Arial Narrow"/>
                <w:sz w:val="20"/>
                <w:szCs w:val="20"/>
              </w:rPr>
              <w:lastRenderedPageBreak/>
              <w:br w:type="page"/>
              <w:t>PBAC decision</w:t>
            </w:r>
          </w:p>
        </w:tc>
        <w:tc>
          <w:tcPr>
            <w:tcW w:w="3969" w:type="dxa"/>
          </w:tcPr>
          <w:p w:rsidR="004352AB" w:rsidRPr="00365B3C" w:rsidRDefault="00F903B0" w:rsidP="003B2F70">
            <w:pPr>
              <w:rPr>
                <w:rFonts w:ascii="Arial Narrow" w:hAnsi="Arial Narrow"/>
                <w:sz w:val="20"/>
                <w:szCs w:val="20"/>
              </w:rPr>
            </w:pPr>
            <w:r w:rsidRPr="00365B3C">
              <w:rPr>
                <w:rFonts w:ascii="Arial Narrow" w:hAnsi="Arial Narrow"/>
                <w:sz w:val="20"/>
                <w:szCs w:val="20"/>
              </w:rPr>
              <w:t>Rejected. In making its recommendation, the PBAC considered that the cost-effectiveness of aprepitant in the proposed population had not been adequately demonstrated by the submission. [</w:t>
            </w:r>
            <w:r w:rsidR="003B2F70" w:rsidRPr="00365B3C">
              <w:rPr>
                <w:rFonts w:ascii="Arial Narrow" w:hAnsi="Arial Narrow"/>
                <w:sz w:val="20"/>
                <w:szCs w:val="20"/>
              </w:rPr>
              <w:t>Para</w:t>
            </w:r>
            <w:r w:rsidRPr="00365B3C">
              <w:rPr>
                <w:rFonts w:ascii="Arial Narrow" w:hAnsi="Arial Narrow"/>
                <w:sz w:val="20"/>
                <w:szCs w:val="20"/>
              </w:rPr>
              <w:t xml:space="preserve"> 7.1]  </w:t>
            </w:r>
          </w:p>
        </w:tc>
        <w:tc>
          <w:tcPr>
            <w:tcW w:w="3340" w:type="dxa"/>
          </w:tcPr>
          <w:p w:rsidR="004352AB" w:rsidRPr="00365B3C" w:rsidRDefault="004352AB" w:rsidP="004352AB">
            <w:pPr>
              <w:rPr>
                <w:rFonts w:ascii="Arial Narrow" w:hAnsi="Arial Narrow"/>
                <w:color w:val="0000FF"/>
                <w:sz w:val="20"/>
                <w:szCs w:val="20"/>
              </w:rPr>
            </w:pPr>
            <w:r w:rsidRPr="00365B3C">
              <w:rPr>
                <w:rFonts w:ascii="Arial Narrow" w:hAnsi="Arial Narrow"/>
                <w:sz w:val="20"/>
                <w:szCs w:val="20"/>
              </w:rPr>
              <w:t>-</w:t>
            </w:r>
          </w:p>
        </w:tc>
      </w:tr>
    </w:tbl>
    <w:p w:rsidR="004352AB" w:rsidRPr="001D112E" w:rsidRDefault="004352AB" w:rsidP="004352AB">
      <w:pPr>
        <w:pStyle w:val="TableFooter"/>
        <w:ind w:firstLine="720"/>
      </w:pPr>
      <w:r w:rsidRPr="001D112E">
        <w:t xml:space="preserve">Source: Compiled during the </w:t>
      </w:r>
      <w:r w:rsidR="0069584F">
        <w:t>Minor Overview</w:t>
      </w:r>
    </w:p>
    <w:p w:rsidR="00000805" w:rsidRDefault="00000805" w:rsidP="00882085">
      <w:pPr>
        <w:jc w:val="both"/>
        <w:rPr>
          <w:rFonts w:ascii="Arial" w:hAnsi="Arial"/>
          <w:b/>
          <w:sz w:val="22"/>
          <w:szCs w:val="22"/>
        </w:rPr>
      </w:pPr>
    </w:p>
    <w:p w:rsidR="00C52221" w:rsidRPr="00882085" w:rsidRDefault="00C52221" w:rsidP="00882085">
      <w:pPr>
        <w:jc w:val="both"/>
        <w:rPr>
          <w:rFonts w:ascii="Arial" w:hAnsi="Arial"/>
          <w:b/>
          <w:sz w:val="22"/>
          <w:szCs w:val="22"/>
        </w:rPr>
      </w:pPr>
    </w:p>
    <w:p w:rsidR="00CE10C4" w:rsidRPr="00A00B38" w:rsidRDefault="00CE10C4" w:rsidP="00A00B38">
      <w:pPr>
        <w:pStyle w:val="Heading1"/>
      </w:pPr>
      <w:r w:rsidRPr="00A00B38">
        <w:t>Clinical place for the proposed ther</w:t>
      </w:r>
      <w:r w:rsidR="006A12A5" w:rsidRPr="00A00B38">
        <w:t>apy</w:t>
      </w:r>
    </w:p>
    <w:p w:rsidR="00CE10C4" w:rsidRPr="00882085" w:rsidRDefault="00CE10C4" w:rsidP="00882085">
      <w:pPr>
        <w:jc w:val="both"/>
        <w:rPr>
          <w:rFonts w:ascii="Arial" w:hAnsi="Arial"/>
          <w:sz w:val="22"/>
          <w:szCs w:val="22"/>
        </w:rPr>
      </w:pPr>
    </w:p>
    <w:p w:rsidR="006A12A5" w:rsidRPr="00882085" w:rsidRDefault="0065402E" w:rsidP="00045346">
      <w:pPr>
        <w:pStyle w:val="ListParagraph"/>
        <w:numPr>
          <w:ilvl w:val="1"/>
          <w:numId w:val="2"/>
        </w:numPr>
        <w:jc w:val="both"/>
        <w:rPr>
          <w:rFonts w:ascii="Arial" w:hAnsi="Arial"/>
          <w:sz w:val="22"/>
          <w:szCs w:val="22"/>
        </w:rPr>
      </w:pPr>
      <w:r>
        <w:rPr>
          <w:rFonts w:ascii="Arial" w:hAnsi="Arial"/>
          <w:sz w:val="22"/>
          <w:szCs w:val="22"/>
        </w:rPr>
        <w:t>The clinical place in therapy was unchanged from the November 2015</w:t>
      </w:r>
      <w:r w:rsidR="00EE22D5">
        <w:rPr>
          <w:rFonts w:ascii="Arial" w:hAnsi="Arial"/>
          <w:sz w:val="22"/>
          <w:szCs w:val="22"/>
        </w:rPr>
        <w:t xml:space="preserve"> major</w:t>
      </w:r>
      <w:r>
        <w:rPr>
          <w:rFonts w:ascii="Arial" w:hAnsi="Arial"/>
          <w:sz w:val="22"/>
          <w:szCs w:val="22"/>
        </w:rPr>
        <w:t xml:space="preserve"> submission</w:t>
      </w:r>
      <w:r w:rsidR="00A5117E">
        <w:rPr>
          <w:rFonts w:ascii="Arial" w:hAnsi="Arial"/>
          <w:sz w:val="22"/>
          <w:szCs w:val="22"/>
        </w:rPr>
        <w:t>.</w:t>
      </w:r>
    </w:p>
    <w:p w:rsidR="005B51F7" w:rsidRDefault="005B51F7" w:rsidP="005B51F7">
      <w:pPr>
        <w:jc w:val="both"/>
        <w:rPr>
          <w:rFonts w:ascii="Arial" w:hAnsi="Arial"/>
          <w:sz w:val="22"/>
          <w:szCs w:val="22"/>
        </w:rPr>
      </w:pPr>
    </w:p>
    <w:p w:rsidR="005B51F7" w:rsidRPr="002D1FDC" w:rsidRDefault="005B51F7" w:rsidP="005B51F7">
      <w:pPr>
        <w:widowControl w:val="0"/>
        <w:ind w:left="709"/>
        <w:contextualSpacing/>
        <w:jc w:val="both"/>
        <w:rPr>
          <w:rFonts w:ascii="Arial" w:hAnsi="Arial" w:cs="Arial"/>
          <w:i/>
          <w:snapToGrid w:val="0"/>
          <w:sz w:val="22"/>
          <w:szCs w:val="22"/>
          <w:lang w:eastAsia="en-US"/>
        </w:rPr>
      </w:pPr>
      <w:r w:rsidRPr="007903C6">
        <w:rPr>
          <w:rFonts w:ascii="Arial" w:hAnsi="Arial" w:cs="Arial"/>
          <w:i/>
          <w:snapToGrid w:val="0"/>
          <w:sz w:val="22"/>
          <w:szCs w:val="22"/>
          <w:lang w:eastAsia="en-US"/>
        </w:rPr>
        <w:t>For more detail on PBAC’s view, see section 7 “PBAC outcome”</w:t>
      </w:r>
    </w:p>
    <w:p w:rsidR="00C35996" w:rsidRDefault="00C35996" w:rsidP="00882085">
      <w:pPr>
        <w:pStyle w:val="ListParagraph"/>
        <w:jc w:val="both"/>
        <w:rPr>
          <w:rFonts w:ascii="Arial" w:hAnsi="Arial"/>
          <w:sz w:val="22"/>
          <w:szCs w:val="22"/>
        </w:rPr>
      </w:pPr>
    </w:p>
    <w:p w:rsidR="0065402E" w:rsidRPr="00882085" w:rsidRDefault="0065402E" w:rsidP="00882085">
      <w:pPr>
        <w:pStyle w:val="ListParagraph"/>
        <w:jc w:val="both"/>
        <w:rPr>
          <w:rFonts w:ascii="Arial" w:hAnsi="Arial"/>
          <w:sz w:val="22"/>
          <w:szCs w:val="22"/>
        </w:rPr>
      </w:pPr>
    </w:p>
    <w:p w:rsidR="005A3173" w:rsidRPr="00A00B38" w:rsidRDefault="005A3173" w:rsidP="00A00B38">
      <w:pPr>
        <w:pStyle w:val="Heading1"/>
      </w:pPr>
      <w:r w:rsidRPr="00A00B38">
        <w:t>Comparator</w:t>
      </w:r>
    </w:p>
    <w:p w:rsidR="005A3173" w:rsidRPr="00882085" w:rsidRDefault="005A3173" w:rsidP="00882085">
      <w:pPr>
        <w:pStyle w:val="Header"/>
        <w:tabs>
          <w:tab w:val="clear" w:pos="4153"/>
          <w:tab w:val="clear" w:pos="8306"/>
        </w:tabs>
        <w:jc w:val="both"/>
        <w:rPr>
          <w:rFonts w:ascii="Arial" w:hAnsi="Arial"/>
          <w:b/>
          <w:sz w:val="22"/>
          <w:szCs w:val="22"/>
        </w:rPr>
      </w:pPr>
    </w:p>
    <w:p w:rsidR="00AC20E7" w:rsidRPr="003759B4" w:rsidRDefault="00DF02FF" w:rsidP="00AC20E7">
      <w:pPr>
        <w:pStyle w:val="ListParagraph"/>
        <w:numPr>
          <w:ilvl w:val="1"/>
          <w:numId w:val="2"/>
        </w:numPr>
        <w:jc w:val="both"/>
        <w:rPr>
          <w:rFonts w:ascii="Arial" w:hAnsi="Arial" w:cs="Arial"/>
          <w:sz w:val="22"/>
          <w:szCs w:val="22"/>
          <w:lang w:val="en-GB"/>
        </w:rPr>
      </w:pPr>
      <w:r w:rsidRPr="00365B3C">
        <w:rPr>
          <w:rFonts w:ascii="Arial" w:hAnsi="Arial" w:cs="Arial"/>
          <w:sz w:val="22"/>
          <w:szCs w:val="22"/>
        </w:rPr>
        <w:t>The</w:t>
      </w:r>
      <w:r w:rsidR="002D0798" w:rsidRPr="00365B3C">
        <w:rPr>
          <w:rFonts w:ascii="Arial" w:hAnsi="Arial" w:cs="Arial"/>
          <w:sz w:val="22"/>
          <w:szCs w:val="22"/>
        </w:rPr>
        <w:t xml:space="preserve"> previous</w:t>
      </w:r>
      <w:r w:rsidRPr="00365B3C">
        <w:rPr>
          <w:rFonts w:ascii="Arial" w:hAnsi="Arial" w:cs="Arial"/>
          <w:sz w:val="22"/>
          <w:szCs w:val="22"/>
        </w:rPr>
        <w:t xml:space="preserve"> </w:t>
      </w:r>
      <w:r w:rsidR="002D0798" w:rsidRPr="00365B3C">
        <w:rPr>
          <w:rFonts w:ascii="Arial" w:hAnsi="Arial" w:cs="Arial"/>
          <w:sz w:val="22"/>
          <w:szCs w:val="22"/>
        </w:rPr>
        <w:t xml:space="preserve">major </w:t>
      </w:r>
      <w:r w:rsidRPr="00365B3C">
        <w:rPr>
          <w:rFonts w:ascii="Arial" w:hAnsi="Arial" w:cs="Arial"/>
          <w:sz w:val="22"/>
          <w:szCs w:val="22"/>
        </w:rPr>
        <w:t xml:space="preserve">submission </w:t>
      </w:r>
      <w:r w:rsidR="002D0798" w:rsidRPr="00365B3C">
        <w:rPr>
          <w:rFonts w:ascii="Arial" w:hAnsi="Arial" w:cs="Arial"/>
          <w:sz w:val="22"/>
          <w:szCs w:val="22"/>
        </w:rPr>
        <w:t xml:space="preserve">considered by the PBAC in November 2015 </w:t>
      </w:r>
      <w:r w:rsidRPr="00365B3C">
        <w:rPr>
          <w:rFonts w:ascii="Arial" w:hAnsi="Arial" w:cs="Arial"/>
          <w:sz w:val="22"/>
          <w:szCs w:val="22"/>
        </w:rPr>
        <w:t xml:space="preserve">nominated standard treatment, comprising of dexamethasone plus ondansetron, as the comparator. </w:t>
      </w:r>
      <w:r w:rsidR="00CA45DD" w:rsidRPr="00365B3C">
        <w:rPr>
          <w:rFonts w:ascii="Arial" w:hAnsi="Arial" w:cs="Arial"/>
          <w:sz w:val="22"/>
          <w:szCs w:val="22"/>
        </w:rPr>
        <w:t xml:space="preserve">As </w:t>
      </w:r>
      <w:r w:rsidR="0036663C" w:rsidRPr="00365B3C">
        <w:rPr>
          <w:rFonts w:ascii="Arial" w:hAnsi="Arial" w:cs="Arial"/>
          <w:sz w:val="22"/>
          <w:szCs w:val="22"/>
        </w:rPr>
        <w:t>noted above</w:t>
      </w:r>
      <w:r w:rsidRPr="00365B3C">
        <w:rPr>
          <w:rFonts w:ascii="Arial" w:hAnsi="Arial" w:cs="Arial"/>
          <w:sz w:val="22"/>
          <w:szCs w:val="22"/>
        </w:rPr>
        <w:t xml:space="preserve">, the PBAC considered that the appropriate comparator would be secondary prophylaxis, i.e. aprepitant after experiencing </w:t>
      </w:r>
      <w:r w:rsidR="00365B3C" w:rsidRPr="00365B3C">
        <w:rPr>
          <w:rFonts w:ascii="Arial" w:hAnsi="Arial" w:cs="Arial"/>
          <w:sz w:val="22"/>
          <w:szCs w:val="22"/>
          <w:lang w:val="en-GB" w:eastAsia="en-GB"/>
        </w:rPr>
        <w:t>CINV</w:t>
      </w:r>
      <w:r w:rsidRPr="00365B3C">
        <w:rPr>
          <w:rFonts w:ascii="Arial" w:hAnsi="Arial" w:cs="Arial"/>
          <w:sz w:val="22"/>
          <w:szCs w:val="22"/>
        </w:rPr>
        <w:t>, as this is the therapy that would most likely be replaced.</w:t>
      </w:r>
    </w:p>
    <w:p w:rsidR="00365B3C" w:rsidRPr="003759B4" w:rsidRDefault="00365B3C" w:rsidP="00365B3C">
      <w:pPr>
        <w:pStyle w:val="ListParagraph"/>
        <w:jc w:val="both"/>
        <w:rPr>
          <w:rFonts w:ascii="Arial" w:hAnsi="Arial" w:cs="Arial"/>
          <w:sz w:val="22"/>
          <w:szCs w:val="22"/>
          <w:lang w:val="en-GB"/>
        </w:rPr>
      </w:pPr>
    </w:p>
    <w:p w:rsidR="00DF02FF" w:rsidRPr="00365B3C" w:rsidRDefault="00AC20E7" w:rsidP="00CA45DD">
      <w:pPr>
        <w:pStyle w:val="ListParagraph"/>
        <w:numPr>
          <w:ilvl w:val="1"/>
          <w:numId w:val="2"/>
        </w:numPr>
        <w:jc w:val="both"/>
        <w:rPr>
          <w:rFonts w:ascii="Arial" w:hAnsi="Arial" w:cs="Arial"/>
          <w:sz w:val="22"/>
          <w:szCs w:val="22"/>
          <w:lang w:val="en-GB"/>
        </w:rPr>
      </w:pPr>
      <w:r w:rsidRPr="00365B3C">
        <w:rPr>
          <w:rFonts w:ascii="Arial" w:hAnsi="Arial"/>
          <w:sz w:val="22"/>
          <w:szCs w:val="22"/>
        </w:rPr>
        <w:t xml:space="preserve">This </w:t>
      </w:r>
      <w:r w:rsidR="00BD5F34">
        <w:rPr>
          <w:rFonts w:ascii="Arial" w:hAnsi="Arial"/>
          <w:sz w:val="22"/>
          <w:szCs w:val="22"/>
        </w:rPr>
        <w:t>re</w:t>
      </w:r>
      <w:r w:rsidR="00CA45DD" w:rsidRPr="00365B3C">
        <w:rPr>
          <w:rFonts w:ascii="Arial" w:hAnsi="Arial"/>
          <w:sz w:val="22"/>
          <w:szCs w:val="22"/>
        </w:rPr>
        <w:t xml:space="preserve">submission </w:t>
      </w:r>
      <w:r w:rsidR="00BD5F34">
        <w:rPr>
          <w:rFonts w:ascii="Arial" w:hAnsi="Arial"/>
          <w:sz w:val="22"/>
          <w:szCs w:val="22"/>
        </w:rPr>
        <w:t>proposed that</w:t>
      </w:r>
      <w:r w:rsidR="00CA45DD" w:rsidRPr="00365B3C">
        <w:rPr>
          <w:rFonts w:ascii="Arial" w:hAnsi="Arial"/>
          <w:sz w:val="22"/>
          <w:szCs w:val="22"/>
        </w:rPr>
        <w:t xml:space="preserve"> the price of aprepitant in the </w:t>
      </w:r>
      <w:r w:rsidR="00BD5F34">
        <w:rPr>
          <w:rFonts w:ascii="Arial" w:hAnsi="Arial"/>
          <w:sz w:val="22"/>
          <w:szCs w:val="22"/>
        </w:rPr>
        <w:t>requested</w:t>
      </w:r>
      <w:r w:rsidR="00CA45DD" w:rsidRPr="00365B3C">
        <w:rPr>
          <w:rFonts w:ascii="Arial" w:hAnsi="Arial"/>
          <w:sz w:val="22"/>
          <w:szCs w:val="22"/>
        </w:rPr>
        <w:t xml:space="preserve"> population</w:t>
      </w:r>
      <w:r w:rsidR="00BD5F34">
        <w:rPr>
          <w:rFonts w:ascii="Arial" w:hAnsi="Arial"/>
          <w:sz w:val="22"/>
          <w:szCs w:val="22"/>
        </w:rPr>
        <w:t xml:space="preserve"> be</w:t>
      </w:r>
      <w:r w:rsidR="00CA45DD" w:rsidRPr="00365B3C">
        <w:rPr>
          <w:rFonts w:ascii="Arial" w:hAnsi="Arial"/>
          <w:sz w:val="22"/>
          <w:szCs w:val="22"/>
        </w:rPr>
        <w:t xml:space="preserve"> </w:t>
      </w:r>
      <w:r w:rsidR="00BD5F34">
        <w:rPr>
          <w:rFonts w:ascii="Arial" w:hAnsi="Arial"/>
          <w:sz w:val="22"/>
          <w:szCs w:val="22"/>
        </w:rPr>
        <w:t>cost-minimised</w:t>
      </w:r>
      <w:r w:rsidR="00BD5F34" w:rsidRPr="00365B3C">
        <w:rPr>
          <w:rFonts w:ascii="Arial" w:hAnsi="Arial"/>
          <w:sz w:val="22"/>
          <w:szCs w:val="22"/>
        </w:rPr>
        <w:t xml:space="preserve"> </w:t>
      </w:r>
      <w:r w:rsidR="00CA45DD" w:rsidRPr="00365B3C">
        <w:rPr>
          <w:rFonts w:ascii="Arial" w:hAnsi="Arial"/>
          <w:sz w:val="22"/>
          <w:szCs w:val="22"/>
        </w:rPr>
        <w:t>to the price of aprepitant when used with moderately emetogenic chemotherapy.</w:t>
      </w:r>
    </w:p>
    <w:p w:rsidR="005B51F7" w:rsidRDefault="005B51F7" w:rsidP="005B51F7">
      <w:pPr>
        <w:jc w:val="both"/>
        <w:rPr>
          <w:rFonts w:ascii="Arial" w:hAnsi="Arial"/>
          <w:sz w:val="22"/>
          <w:szCs w:val="22"/>
        </w:rPr>
      </w:pPr>
    </w:p>
    <w:p w:rsidR="005B51F7" w:rsidRPr="002D1FDC" w:rsidRDefault="005B51F7" w:rsidP="005B51F7">
      <w:pPr>
        <w:widowControl w:val="0"/>
        <w:ind w:left="709"/>
        <w:contextualSpacing/>
        <w:jc w:val="both"/>
        <w:rPr>
          <w:rFonts w:ascii="Arial" w:hAnsi="Arial" w:cs="Arial"/>
          <w:i/>
          <w:snapToGrid w:val="0"/>
          <w:sz w:val="22"/>
          <w:szCs w:val="22"/>
          <w:lang w:eastAsia="en-US"/>
        </w:rPr>
      </w:pPr>
      <w:r w:rsidRPr="007903C6">
        <w:rPr>
          <w:rFonts w:ascii="Arial" w:hAnsi="Arial" w:cs="Arial"/>
          <w:i/>
          <w:snapToGrid w:val="0"/>
          <w:sz w:val="22"/>
          <w:szCs w:val="22"/>
          <w:lang w:eastAsia="en-US"/>
        </w:rPr>
        <w:t>For more detail on PBAC’s view, see section 7 “PBAC outcome”</w:t>
      </w:r>
    </w:p>
    <w:p w:rsidR="00DF02FF" w:rsidRDefault="00DF02FF" w:rsidP="00476245">
      <w:pPr>
        <w:jc w:val="both"/>
        <w:rPr>
          <w:rFonts w:ascii="Arial" w:hAnsi="Arial"/>
          <w:sz w:val="22"/>
          <w:szCs w:val="22"/>
        </w:rPr>
      </w:pPr>
    </w:p>
    <w:p w:rsidR="008A1956" w:rsidRPr="00476245" w:rsidRDefault="008A1956" w:rsidP="00476245">
      <w:pPr>
        <w:jc w:val="both"/>
        <w:rPr>
          <w:rFonts w:ascii="Arial" w:hAnsi="Arial"/>
          <w:sz w:val="22"/>
          <w:szCs w:val="22"/>
        </w:rPr>
      </w:pPr>
    </w:p>
    <w:p w:rsidR="000B558D" w:rsidRPr="00882085" w:rsidRDefault="008D7A41" w:rsidP="00A00B38">
      <w:pPr>
        <w:pStyle w:val="Heading1"/>
        <w:rPr>
          <w:b w:val="0"/>
        </w:rPr>
      </w:pPr>
      <w:r w:rsidRPr="00A00B38">
        <w:t>C</w:t>
      </w:r>
      <w:r w:rsidR="00D84934" w:rsidRPr="00A00B38">
        <w:t>onsideration of the evidence</w:t>
      </w:r>
    </w:p>
    <w:p w:rsidR="005B51F7" w:rsidRPr="002367C7" w:rsidRDefault="005B51F7" w:rsidP="005B51F7">
      <w:pPr>
        <w:ind w:left="720"/>
        <w:rPr>
          <w:rFonts w:ascii="Arial" w:hAnsi="Arial" w:cs="Arial"/>
          <w:b/>
          <w:snapToGrid w:val="0"/>
          <w:sz w:val="22"/>
          <w:szCs w:val="22"/>
          <w:lang w:eastAsia="en-US"/>
        </w:rPr>
      </w:pPr>
    </w:p>
    <w:p w:rsidR="005B51F7" w:rsidRPr="00A00B38" w:rsidRDefault="005B51F7" w:rsidP="00A00B38">
      <w:pPr>
        <w:pStyle w:val="Heading2"/>
      </w:pPr>
      <w:r w:rsidRPr="00A00B38">
        <w:t>Sponsor hearing</w:t>
      </w:r>
    </w:p>
    <w:p w:rsidR="00A00B38" w:rsidRPr="00A00B38" w:rsidRDefault="00A00B38" w:rsidP="00A00B38">
      <w:pPr>
        <w:jc w:val="both"/>
        <w:rPr>
          <w:rFonts w:ascii="Arial" w:hAnsi="Arial"/>
          <w:b/>
          <w:i/>
          <w:sz w:val="22"/>
          <w:szCs w:val="22"/>
        </w:rPr>
      </w:pPr>
    </w:p>
    <w:p w:rsidR="005B51F7" w:rsidRPr="003B5AE4" w:rsidRDefault="005B51F7" w:rsidP="007903C6">
      <w:pPr>
        <w:widowControl w:val="0"/>
        <w:numPr>
          <w:ilvl w:val="1"/>
          <w:numId w:val="2"/>
        </w:numPr>
        <w:contextualSpacing/>
        <w:jc w:val="both"/>
        <w:rPr>
          <w:rFonts w:ascii="Arial" w:hAnsi="Arial" w:cs="Arial"/>
          <w:bCs/>
          <w:snapToGrid w:val="0"/>
          <w:sz w:val="22"/>
          <w:szCs w:val="22"/>
          <w:lang w:eastAsia="en-US"/>
        </w:rPr>
      </w:pPr>
      <w:r w:rsidRPr="003B5AE4">
        <w:rPr>
          <w:rFonts w:ascii="Arial" w:hAnsi="Arial" w:cs="Arial"/>
          <w:bCs/>
          <w:snapToGrid w:val="0"/>
          <w:sz w:val="22"/>
          <w:szCs w:val="22"/>
          <w:lang w:eastAsia="en-US"/>
        </w:rPr>
        <w:t>The</w:t>
      </w:r>
      <w:r w:rsidR="007903C6" w:rsidRPr="003B5AE4">
        <w:rPr>
          <w:rFonts w:ascii="Arial" w:hAnsi="Arial" w:cs="Arial"/>
          <w:bCs/>
          <w:snapToGrid w:val="0"/>
          <w:sz w:val="22"/>
          <w:szCs w:val="22"/>
          <w:lang w:eastAsia="en-US"/>
        </w:rPr>
        <w:t>re was no hearing for this item</w:t>
      </w:r>
      <w:r w:rsidRPr="003B5AE4">
        <w:rPr>
          <w:rFonts w:ascii="Arial" w:hAnsi="Arial" w:cs="Arial"/>
          <w:bCs/>
          <w:snapToGrid w:val="0"/>
          <w:sz w:val="22"/>
          <w:szCs w:val="22"/>
          <w:lang w:eastAsia="en-US"/>
        </w:rPr>
        <w:t>.</w:t>
      </w:r>
    </w:p>
    <w:p w:rsidR="005B51F7" w:rsidRPr="003B5AE4" w:rsidRDefault="005B51F7" w:rsidP="007903C6">
      <w:pPr>
        <w:widowControl w:val="0"/>
        <w:jc w:val="both"/>
        <w:rPr>
          <w:rFonts w:ascii="Arial" w:hAnsi="Arial" w:cs="Arial"/>
          <w:bCs/>
          <w:snapToGrid w:val="0"/>
          <w:sz w:val="22"/>
          <w:szCs w:val="22"/>
          <w:lang w:eastAsia="en-US"/>
        </w:rPr>
      </w:pPr>
    </w:p>
    <w:p w:rsidR="005B51F7" w:rsidRPr="00A00B38" w:rsidRDefault="005B51F7" w:rsidP="00A00B38">
      <w:pPr>
        <w:pStyle w:val="Heading2"/>
      </w:pPr>
      <w:r w:rsidRPr="00A00B38">
        <w:t>Consumer comments</w:t>
      </w:r>
    </w:p>
    <w:p w:rsidR="00A00B38" w:rsidRPr="00A00B38" w:rsidRDefault="00A00B38" w:rsidP="00A00B38">
      <w:pPr>
        <w:jc w:val="both"/>
        <w:rPr>
          <w:rFonts w:ascii="Arial" w:hAnsi="Arial"/>
          <w:b/>
          <w:i/>
          <w:sz w:val="22"/>
          <w:szCs w:val="22"/>
        </w:rPr>
      </w:pPr>
    </w:p>
    <w:p w:rsidR="005B51F7" w:rsidRPr="003B5AE4" w:rsidRDefault="005B51F7" w:rsidP="007903C6">
      <w:pPr>
        <w:widowControl w:val="0"/>
        <w:numPr>
          <w:ilvl w:val="1"/>
          <w:numId w:val="2"/>
        </w:numPr>
        <w:contextualSpacing/>
        <w:jc w:val="both"/>
        <w:rPr>
          <w:rFonts w:ascii="Arial" w:hAnsi="Arial" w:cs="Arial"/>
          <w:bCs/>
          <w:snapToGrid w:val="0"/>
          <w:sz w:val="22"/>
          <w:szCs w:val="22"/>
          <w:lang w:eastAsia="en-US"/>
        </w:rPr>
      </w:pPr>
      <w:r w:rsidRPr="003B5AE4">
        <w:rPr>
          <w:rFonts w:ascii="Arial" w:hAnsi="Arial" w:cs="Arial"/>
          <w:bCs/>
          <w:snapToGrid w:val="0"/>
          <w:sz w:val="22"/>
          <w:szCs w:val="22"/>
          <w:lang w:eastAsia="en-US"/>
        </w:rPr>
        <w:t>The PBAC noted that no consumer comme</w:t>
      </w:r>
      <w:r w:rsidR="007903C6" w:rsidRPr="003B5AE4">
        <w:rPr>
          <w:rFonts w:ascii="Arial" w:hAnsi="Arial" w:cs="Arial"/>
          <w:bCs/>
          <w:snapToGrid w:val="0"/>
          <w:sz w:val="22"/>
          <w:szCs w:val="22"/>
          <w:lang w:eastAsia="en-US"/>
        </w:rPr>
        <w:t>nts were received for this item</w:t>
      </w:r>
      <w:r w:rsidRPr="003B5AE4">
        <w:rPr>
          <w:rFonts w:ascii="Arial" w:hAnsi="Arial" w:cs="Arial"/>
          <w:bCs/>
          <w:snapToGrid w:val="0"/>
          <w:sz w:val="22"/>
          <w:szCs w:val="22"/>
          <w:lang w:eastAsia="en-US"/>
        </w:rPr>
        <w:t>.</w:t>
      </w:r>
    </w:p>
    <w:p w:rsidR="005B51F7" w:rsidRPr="003B5AE4" w:rsidRDefault="005B51F7" w:rsidP="007903C6">
      <w:pPr>
        <w:widowControl w:val="0"/>
        <w:jc w:val="both"/>
        <w:rPr>
          <w:rFonts w:ascii="Arial" w:hAnsi="Arial" w:cs="Arial"/>
          <w:bCs/>
          <w:snapToGrid w:val="0"/>
          <w:sz w:val="22"/>
          <w:szCs w:val="22"/>
          <w:lang w:eastAsia="en-US"/>
        </w:rPr>
      </w:pPr>
    </w:p>
    <w:p w:rsidR="00D84934" w:rsidRPr="00A00B38" w:rsidRDefault="00D84934" w:rsidP="00A00B38">
      <w:pPr>
        <w:pStyle w:val="Heading2"/>
      </w:pPr>
      <w:r w:rsidRPr="00A00B38">
        <w:lastRenderedPageBreak/>
        <w:t>Clinical trials</w:t>
      </w:r>
    </w:p>
    <w:p w:rsidR="00D84934" w:rsidRPr="00F9629A" w:rsidRDefault="00D84934" w:rsidP="00F9629A">
      <w:pPr>
        <w:jc w:val="both"/>
        <w:rPr>
          <w:rFonts w:ascii="Arial" w:hAnsi="Arial"/>
          <w:sz w:val="22"/>
          <w:szCs w:val="22"/>
        </w:rPr>
      </w:pPr>
    </w:p>
    <w:p w:rsidR="0076420C" w:rsidRDefault="0076420C" w:rsidP="00045346">
      <w:pPr>
        <w:pStyle w:val="ListParagraph"/>
        <w:numPr>
          <w:ilvl w:val="1"/>
          <w:numId w:val="2"/>
        </w:numPr>
        <w:jc w:val="both"/>
        <w:rPr>
          <w:rFonts w:ascii="Arial" w:hAnsi="Arial"/>
          <w:sz w:val="22"/>
          <w:szCs w:val="22"/>
        </w:rPr>
      </w:pPr>
      <w:r>
        <w:rPr>
          <w:rFonts w:ascii="Arial" w:hAnsi="Arial"/>
          <w:sz w:val="22"/>
          <w:szCs w:val="22"/>
        </w:rPr>
        <w:t xml:space="preserve">As a minor submission, no </w:t>
      </w:r>
      <w:r w:rsidR="00794EBF">
        <w:rPr>
          <w:rFonts w:ascii="Arial" w:hAnsi="Arial"/>
          <w:sz w:val="22"/>
          <w:szCs w:val="22"/>
        </w:rPr>
        <w:t>new</w:t>
      </w:r>
      <w:r>
        <w:rPr>
          <w:rFonts w:ascii="Arial" w:hAnsi="Arial"/>
          <w:sz w:val="22"/>
          <w:szCs w:val="22"/>
        </w:rPr>
        <w:t xml:space="preserve"> clinical trials </w:t>
      </w:r>
      <w:r w:rsidR="00FF2801">
        <w:rPr>
          <w:rFonts w:ascii="Arial" w:hAnsi="Arial"/>
          <w:sz w:val="22"/>
          <w:szCs w:val="22"/>
        </w:rPr>
        <w:t>were</w:t>
      </w:r>
      <w:r w:rsidR="00794EBF">
        <w:rPr>
          <w:rFonts w:ascii="Arial" w:hAnsi="Arial"/>
          <w:sz w:val="22"/>
          <w:szCs w:val="22"/>
        </w:rPr>
        <w:t xml:space="preserve"> presented in the </w:t>
      </w:r>
      <w:r>
        <w:rPr>
          <w:rFonts w:ascii="Arial" w:hAnsi="Arial"/>
          <w:sz w:val="22"/>
          <w:szCs w:val="22"/>
        </w:rPr>
        <w:t>re-submission.</w:t>
      </w:r>
    </w:p>
    <w:p w:rsidR="0076420C" w:rsidRDefault="0076420C" w:rsidP="0076420C">
      <w:pPr>
        <w:pStyle w:val="ListParagraph"/>
        <w:ind w:left="709"/>
        <w:jc w:val="both"/>
        <w:rPr>
          <w:rFonts w:ascii="Arial" w:hAnsi="Arial"/>
          <w:sz w:val="22"/>
          <w:szCs w:val="22"/>
        </w:rPr>
      </w:pPr>
    </w:p>
    <w:p w:rsidR="00FD6461" w:rsidRPr="00FD6461" w:rsidRDefault="0076420C" w:rsidP="00FD6461">
      <w:pPr>
        <w:pStyle w:val="ListParagraph"/>
        <w:numPr>
          <w:ilvl w:val="1"/>
          <w:numId w:val="2"/>
        </w:numPr>
        <w:jc w:val="both"/>
        <w:rPr>
          <w:rFonts w:ascii="Arial" w:hAnsi="Arial"/>
          <w:sz w:val="22"/>
          <w:szCs w:val="22"/>
        </w:rPr>
      </w:pPr>
      <w:r w:rsidRPr="00FD6461">
        <w:rPr>
          <w:rFonts w:ascii="Arial" w:hAnsi="Arial"/>
          <w:sz w:val="22"/>
          <w:szCs w:val="22"/>
        </w:rPr>
        <w:t xml:space="preserve">The basis of the minor submission’s request </w:t>
      </w:r>
      <w:r w:rsidR="00FF2801" w:rsidRPr="00FD6461">
        <w:rPr>
          <w:rFonts w:ascii="Arial" w:hAnsi="Arial"/>
          <w:sz w:val="22"/>
          <w:szCs w:val="22"/>
        </w:rPr>
        <w:t>wa</w:t>
      </w:r>
      <w:r w:rsidRPr="00FD6461">
        <w:rPr>
          <w:rFonts w:ascii="Arial" w:hAnsi="Arial"/>
          <w:sz w:val="22"/>
          <w:szCs w:val="22"/>
        </w:rPr>
        <w:t>s</w:t>
      </w:r>
      <w:r w:rsidR="00FD6461" w:rsidRPr="00FD6461">
        <w:rPr>
          <w:rFonts w:ascii="Arial" w:hAnsi="Arial"/>
          <w:sz w:val="22"/>
          <w:szCs w:val="22"/>
        </w:rPr>
        <w:t xml:space="preserve"> to propose:</w:t>
      </w:r>
    </w:p>
    <w:p w:rsidR="00FD6461" w:rsidRPr="00FD6461" w:rsidRDefault="00FD6461" w:rsidP="00FD6461">
      <w:pPr>
        <w:pStyle w:val="ListParagraph"/>
        <w:numPr>
          <w:ilvl w:val="0"/>
          <w:numId w:val="9"/>
        </w:numPr>
        <w:jc w:val="both"/>
        <w:rPr>
          <w:rFonts w:ascii="Arial" w:hAnsi="Arial"/>
          <w:sz w:val="22"/>
          <w:szCs w:val="22"/>
        </w:rPr>
      </w:pPr>
      <w:r w:rsidRPr="00FD6461">
        <w:rPr>
          <w:rFonts w:ascii="Arial" w:hAnsi="Arial"/>
          <w:sz w:val="22"/>
          <w:szCs w:val="22"/>
        </w:rPr>
        <w:t xml:space="preserve">a new (lower) price for </w:t>
      </w:r>
      <w:r w:rsidR="003B2F70">
        <w:rPr>
          <w:rFonts w:ascii="Arial" w:hAnsi="Arial"/>
          <w:sz w:val="22"/>
          <w:szCs w:val="22"/>
        </w:rPr>
        <w:t xml:space="preserve">aprepitant </w:t>
      </w:r>
      <w:r w:rsidRPr="00FD6461">
        <w:rPr>
          <w:rFonts w:ascii="Arial" w:hAnsi="Arial"/>
          <w:sz w:val="22"/>
          <w:szCs w:val="22"/>
        </w:rPr>
        <w:t>when used in the proposed population which is consistent with the current price of aprepitant when used with moderately emetogenic chemotherapy (MEC); and</w:t>
      </w:r>
    </w:p>
    <w:p w:rsidR="00FD6461" w:rsidRPr="003759B4" w:rsidRDefault="00FD6461" w:rsidP="00FD6461">
      <w:pPr>
        <w:pStyle w:val="ListParagraph"/>
        <w:numPr>
          <w:ilvl w:val="0"/>
          <w:numId w:val="9"/>
        </w:numPr>
        <w:rPr>
          <w:rFonts w:ascii="Arial" w:hAnsi="Arial"/>
          <w:b/>
          <w:sz w:val="22"/>
          <w:szCs w:val="22"/>
        </w:rPr>
      </w:pPr>
      <w:r w:rsidRPr="003759B4">
        <w:rPr>
          <w:rFonts w:ascii="Arial" w:hAnsi="Arial"/>
          <w:sz w:val="22"/>
          <w:szCs w:val="22"/>
        </w:rPr>
        <w:t>that the</w:t>
      </w:r>
      <w:r w:rsidRPr="003759B4">
        <w:t xml:space="preserve"> </w:t>
      </w:r>
      <w:r w:rsidRPr="003759B4">
        <w:rPr>
          <w:rFonts w:ascii="Arial" w:hAnsi="Arial"/>
          <w:sz w:val="22"/>
          <w:szCs w:val="22"/>
        </w:rPr>
        <w:t xml:space="preserve">risks of potential use beyond the estimated patient numbers be shared between the sponsor and the Commonwealth through a Risk Sharing Agreement (RSA) </w:t>
      </w:r>
    </w:p>
    <w:p w:rsidR="00BB7EC3" w:rsidRPr="00882085" w:rsidRDefault="00BB7EC3" w:rsidP="009B0F67">
      <w:pPr>
        <w:jc w:val="both"/>
        <w:rPr>
          <w:rFonts w:ascii="Arial" w:hAnsi="Arial"/>
          <w:sz w:val="22"/>
          <w:szCs w:val="22"/>
        </w:rPr>
      </w:pPr>
    </w:p>
    <w:p w:rsidR="005A3173" w:rsidRPr="00A00B38" w:rsidRDefault="005A3173" w:rsidP="00A00B38">
      <w:pPr>
        <w:pStyle w:val="Heading2"/>
      </w:pPr>
      <w:r w:rsidRPr="00A00B38">
        <w:t>Comparative effectiveness</w:t>
      </w:r>
    </w:p>
    <w:p w:rsidR="005A3173" w:rsidRPr="00882085" w:rsidRDefault="005A3173" w:rsidP="00882085">
      <w:pPr>
        <w:jc w:val="both"/>
        <w:rPr>
          <w:rFonts w:ascii="Arial" w:hAnsi="Arial"/>
          <w:sz w:val="22"/>
          <w:szCs w:val="22"/>
        </w:rPr>
      </w:pPr>
    </w:p>
    <w:p w:rsidR="009B0F67" w:rsidRPr="003759B4" w:rsidRDefault="009B0F67" w:rsidP="00965238">
      <w:pPr>
        <w:pStyle w:val="ListParagraph"/>
        <w:numPr>
          <w:ilvl w:val="1"/>
          <w:numId w:val="2"/>
        </w:numPr>
        <w:jc w:val="both"/>
        <w:rPr>
          <w:rFonts w:ascii="Arial" w:hAnsi="Arial"/>
          <w:sz w:val="22"/>
          <w:szCs w:val="22"/>
        </w:rPr>
      </w:pPr>
      <w:r w:rsidRPr="003759B4">
        <w:rPr>
          <w:rFonts w:ascii="Arial" w:hAnsi="Arial"/>
          <w:sz w:val="22"/>
          <w:szCs w:val="22"/>
        </w:rPr>
        <w:t xml:space="preserve">The trial results remain unchanged from the previous major submission considered in </w:t>
      </w:r>
      <w:r w:rsidR="00794EBF" w:rsidRPr="003759B4">
        <w:rPr>
          <w:rFonts w:ascii="Arial" w:hAnsi="Arial"/>
          <w:sz w:val="22"/>
          <w:szCs w:val="22"/>
        </w:rPr>
        <w:t>November 2015</w:t>
      </w:r>
      <w:r w:rsidR="00965238" w:rsidRPr="003759B4">
        <w:rPr>
          <w:rFonts w:ascii="Arial" w:hAnsi="Arial"/>
          <w:sz w:val="22"/>
          <w:szCs w:val="22"/>
        </w:rPr>
        <w:t xml:space="preserve">. </w:t>
      </w:r>
    </w:p>
    <w:p w:rsidR="00DF26A7" w:rsidRPr="003759B4" w:rsidRDefault="00DF26A7" w:rsidP="00882085">
      <w:pPr>
        <w:jc w:val="both"/>
        <w:rPr>
          <w:rFonts w:ascii="Arial" w:hAnsi="Arial"/>
          <w:sz w:val="22"/>
          <w:szCs w:val="22"/>
        </w:rPr>
      </w:pPr>
    </w:p>
    <w:p w:rsidR="005A3173" w:rsidRPr="00A00B38" w:rsidRDefault="005A3173" w:rsidP="00A00B38">
      <w:pPr>
        <w:pStyle w:val="Heading2"/>
      </w:pPr>
      <w:r w:rsidRPr="00A00B38">
        <w:t>Comparative harms</w:t>
      </w:r>
    </w:p>
    <w:p w:rsidR="005A3173" w:rsidRPr="003759B4" w:rsidRDefault="005A3173" w:rsidP="00882085">
      <w:pPr>
        <w:ind w:left="720" w:hanging="720"/>
        <w:jc w:val="both"/>
        <w:rPr>
          <w:rFonts w:ascii="Arial" w:hAnsi="Arial"/>
          <w:sz w:val="22"/>
          <w:szCs w:val="22"/>
        </w:rPr>
      </w:pPr>
    </w:p>
    <w:p w:rsidR="009B0F67" w:rsidRPr="003759B4" w:rsidRDefault="00965238" w:rsidP="00965238">
      <w:pPr>
        <w:pStyle w:val="ListParagraph"/>
        <w:numPr>
          <w:ilvl w:val="1"/>
          <w:numId w:val="2"/>
        </w:numPr>
        <w:jc w:val="both"/>
        <w:rPr>
          <w:rFonts w:ascii="Arial" w:hAnsi="Arial"/>
          <w:sz w:val="22"/>
          <w:szCs w:val="22"/>
        </w:rPr>
      </w:pPr>
      <w:r w:rsidRPr="003759B4">
        <w:rPr>
          <w:rFonts w:ascii="Arial" w:hAnsi="Arial"/>
          <w:sz w:val="22"/>
          <w:szCs w:val="22"/>
        </w:rPr>
        <w:t>The trial results remain unchanged from the previous major submission considered in November 2015</w:t>
      </w:r>
      <w:r w:rsidR="00A5117E" w:rsidRPr="003759B4">
        <w:rPr>
          <w:rFonts w:ascii="Arial" w:hAnsi="Arial"/>
          <w:sz w:val="22"/>
          <w:szCs w:val="22"/>
        </w:rPr>
        <w:t>.</w:t>
      </w:r>
    </w:p>
    <w:p w:rsidR="00FA6055" w:rsidRPr="003759B4" w:rsidRDefault="00FA6055" w:rsidP="00B6773F">
      <w:pPr>
        <w:jc w:val="both"/>
        <w:rPr>
          <w:rFonts w:ascii="Arial" w:hAnsi="Arial"/>
          <w:sz w:val="22"/>
          <w:szCs w:val="22"/>
        </w:rPr>
      </w:pPr>
    </w:p>
    <w:p w:rsidR="005A3173" w:rsidRPr="00A00B38" w:rsidRDefault="005A3173" w:rsidP="00A00B38">
      <w:pPr>
        <w:pStyle w:val="Heading2"/>
      </w:pPr>
      <w:r w:rsidRPr="00A00B38">
        <w:t>Clinical claim</w:t>
      </w:r>
    </w:p>
    <w:p w:rsidR="005A3173" w:rsidRPr="003759B4" w:rsidRDefault="005A3173" w:rsidP="00882085">
      <w:pPr>
        <w:ind w:left="720" w:hanging="720"/>
        <w:jc w:val="both"/>
        <w:rPr>
          <w:rFonts w:ascii="Arial" w:hAnsi="Arial"/>
          <w:sz w:val="22"/>
          <w:szCs w:val="22"/>
        </w:rPr>
      </w:pPr>
    </w:p>
    <w:p w:rsidR="00EE74A0" w:rsidRPr="005B51F7" w:rsidRDefault="00FF2801" w:rsidP="00EE74A0">
      <w:pPr>
        <w:pStyle w:val="ListParagraph"/>
        <w:numPr>
          <w:ilvl w:val="1"/>
          <w:numId w:val="2"/>
        </w:numPr>
        <w:jc w:val="both"/>
        <w:rPr>
          <w:rFonts w:ascii="Arial" w:hAnsi="Arial" w:cs="Arial"/>
          <w:sz w:val="22"/>
          <w:szCs w:val="22"/>
        </w:rPr>
      </w:pPr>
      <w:r w:rsidRPr="003759B4">
        <w:rPr>
          <w:rFonts w:ascii="Arial" w:hAnsi="Arial" w:cs="Arial"/>
          <w:sz w:val="22"/>
          <w:szCs w:val="22"/>
        </w:rPr>
        <w:t xml:space="preserve">The </w:t>
      </w:r>
      <w:r w:rsidR="00EE22D5" w:rsidRPr="003759B4">
        <w:rPr>
          <w:rFonts w:ascii="Arial" w:hAnsi="Arial" w:cs="Arial"/>
          <w:sz w:val="22"/>
          <w:szCs w:val="22"/>
        </w:rPr>
        <w:t xml:space="preserve">clinical claim remains unchanged from the previous major submission considered in November 2015. </w:t>
      </w:r>
      <w:r w:rsidR="00606CB7" w:rsidRPr="003759B4">
        <w:rPr>
          <w:rFonts w:ascii="Arial" w:hAnsi="Arial" w:cs="Arial"/>
          <w:sz w:val="22"/>
          <w:szCs w:val="22"/>
        </w:rPr>
        <w:t xml:space="preserve">As </w:t>
      </w:r>
      <w:r w:rsidR="00343AF3" w:rsidRPr="003759B4">
        <w:rPr>
          <w:rFonts w:ascii="Arial" w:hAnsi="Arial" w:cs="Arial"/>
          <w:sz w:val="22"/>
          <w:szCs w:val="22"/>
        </w:rPr>
        <w:t>noted above</w:t>
      </w:r>
      <w:r w:rsidR="00606CB7" w:rsidRPr="003759B4">
        <w:rPr>
          <w:rFonts w:ascii="Arial" w:hAnsi="Arial" w:cs="Arial"/>
          <w:sz w:val="22"/>
          <w:szCs w:val="22"/>
        </w:rPr>
        <w:t>, t</w:t>
      </w:r>
      <w:r w:rsidR="00EE22D5" w:rsidRPr="003759B4">
        <w:rPr>
          <w:rFonts w:ascii="Arial" w:hAnsi="Arial" w:cs="Arial"/>
          <w:sz w:val="22"/>
          <w:szCs w:val="22"/>
        </w:rPr>
        <w:t>he previous</w:t>
      </w:r>
      <w:r w:rsidR="0065402E" w:rsidRPr="003759B4">
        <w:rPr>
          <w:rFonts w:ascii="Arial" w:hAnsi="Arial" w:cs="Arial"/>
          <w:sz w:val="22"/>
          <w:szCs w:val="22"/>
        </w:rPr>
        <w:t xml:space="preserve"> </w:t>
      </w:r>
      <w:r w:rsidRPr="003759B4">
        <w:rPr>
          <w:rFonts w:ascii="Arial" w:hAnsi="Arial" w:cs="Arial"/>
          <w:sz w:val="22"/>
          <w:szCs w:val="22"/>
        </w:rPr>
        <w:t>submission claimed</w:t>
      </w:r>
      <w:r w:rsidR="00BB7EC3" w:rsidRPr="003759B4">
        <w:rPr>
          <w:rFonts w:ascii="Arial" w:hAnsi="Arial" w:cs="Arial"/>
          <w:sz w:val="22"/>
          <w:szCs w:val="22"/>
        </w:rPr>
        <w:t xml:space="preserve"> </w:t>
      </w:r>
      <w:r w:rsidR="0065402E" w:rsidRPr="003759B4">
        <w:rPr>
          <w:rFonts w:ascii="Arial" w:hAnsi="Arial" w:cs="Arial"/>
          <w:sz w:val="22"/>
          <w:szCs w:val="22"/>
        </w:rPr>
        <w:t xml:space="preserve">aprepitant </w:t>
      </w:r>
      <w:r w:rsidR="00DF02FF" w:rsidRPr="003759B4">
        <w:rPr>
          <w:rFonts w:ascii="Arial" w:hAnsi="Arial" w:cs="Arial"/>
          <w:sz w:val="22"/>
          <w:szCs w:val="22"/>
          <w:lang w:val="en-GB"/>
        </w:rPr>
        <w:t xml:space="preserve">plus standard antiemetic therapy </w:t>
      </w:r>
      <w:r w:rsidR="0065402E" w:rsidRPr="003759B4">
        <w:rPr>
          <w:rFonts w:ascii="Arial" w:hAnsi="Arial" w:cs="Arial"/>
          <w:sz w:val="22"/>
          <w:szCs w:val="22"/>
        </w:rPr>
        <w:t xml:space="preserve">was </w:t>
      </w:r>
      <w:r w:rsidR="00BB7EC3" w:rsidRPr="003759B4">
        <w:rPr>
          <w:rFonts w:ascii="Arial" w:hAnsi="Arial" w:cs="Arial"/>
          <w:sz w:val="22"/>
          <w:szCs w:val="22"/>
        </w:rPr>
        <w:t xml:space="preserve">superior </w:t>
      </w:r>
      <w:r w:rsidR="0065402E" w:rsidRPr="003759B4">
        <w:rPr>
          <w:rFonts w:ascii="Arial" w:hAnsi="Arial" w:cs="Arial"/>
          <w:sz w:val="22"/>
          <w:szCs w:val="22"/>
        </w:rPr>
        <w:t xml:space="preserve">in terms of </w:t>
      </w:r>
      <w:r w:rsidR="00BB7EC3" w:rsidRPr="003759B4">
        <w:rPr>
          <w:rFonts w:ascii="Arial" w:hAnsi="Arial" w:cs="Arial"/>
          <w:sz w:val="22"/>
          <w:szCs w:val="22"/>
        </w:rPr>
        <w:t xml:space="preserve">comparative effectiveness and </w:t>
      </w:r>
      <w:r w:rsidR="0065402E" w:rsidRPr="003759B4">
        <w:rPr>
          <w:rFonts w:ascii="Arial" w:hAnsi="Arial" w:cs="Arial"/>
          <w:sz w:val="22"/>
          <w:szCs w:val="22"/>
        </w:rPr>
        <w:t>similar</w:t>
      </w:r>
      <w:r w:rsidR="00BB7EC3" w:rsidRPr="003759B4">
        <w:rPr>
          <w:rFonts w:ascii="Arial" w:hAnsi="Arial" w:cs="Arial"/>
          <w:sz w:val="22"/>
          <w:szCs w:val="22"/>
        </w:rPr>
        <w:t xml:space="preserve"> </w:t>
      </w:r>
      <w:r w:rsidR="0065402E" w:rsidRPr="003759B4">
        <w:rPr>
          <w:rFonts w:ascii="Arial" w:hAnsi="Arial" w:cs="Arial"/>
          <w:sz w:val="22"/>
          <w:szCs w:val="22"/>
        </w:rPr>
        <w:t xml:space="preserve">in terms of </w:t>
      </w:r>
      <w:r w:rsidR="00BB7EC3" w:rsidRPr="003759B4">
        <w:rPr>
          <w:rFonts w:ascii="Arial" w:hAnsi="Arial" w:cs="Arial"/>
          <w:sz w:val="22"/>
          <w:szCs w:val="22"/>
        </w:rPr>
        <w:t xml:space="preserve">comparative safety </w:t>
      </w:r>
      <w:r w:rsidR="0065402E" w:rsidRPr="003759B4">
        <w:rPr>
          <w:rFonts w:ascii="Arial" w:hAnsi="Arial" w:cs="Arial"/>
          <w:sz w:val="22"/>
          <w:szCs w:val="22"/>
        </w:rPr>
        <w:t xml:space="preserve">when compared with standard </w:t>
      </w:r>
      <w:r w:rsidR="00DF02FF" w:rsidRPr="003759B4">
        <w:rPr>
          <w:rFonts w:ascii="Arial" w:hAnsi="Arial" w:cs="Arial"/>
          <w:sz w:val="22"/>
          <w:szCs w:val="22"/>
          <w:lang w:val="en-GB"/>
        </w:rPr>
        <w:t>therapy alon</w:t>
      </w:r>
      <w:r w:rsidR="00606CB7" w:rsidRPr="003759B4">
        <w:rPr>
          <w:rFonts w:ascii="Arial" w:hAnsi="Arial" w:cs="Arial"/>
          <w:sz w:val="22"/>
          <w:szCs w:val="22"/>
          <w:lang w:val="en-GB"/>
        </w:rPr>
        <w:t>e</w:t>
      </w:r>
      <w:r w:rsidR="00BB7EC3" w:rsidRPr="003759B4">
        <w:rPr>
          <w:rFonts w:ascii="Arial" w:hAnsi="Arial" w:cs="Arial"/>
          <w:i/>
          <w:sz w:val="22"/>
          <w:szCs w:val="22"/>
        </w:rPr>
        <w:t>.</w:t>
      </w:r>
      <w:r w:rsidR="0065402E" w:rsidRPr="003759B4">
        <w:rPr>
          <w:rFonts w:ascii="Arial" w:hAnsi="Arial" w:cs="Arial"/>
          <w:i/>
          <w:sz w:val="22"/>
          <w:szCs w:val="22"/>
        </w:rPr>
        <w:t xml:space="preserve"> </w:t>
      </w:r>
      <w:r w:rsidR="0065402E" w:rsidRPr="003759B4">
        <w:rPr>
          <w:rFonts w:ascii="Arial" w:hAnsi="Arial" w:cs="Arial"/>
          <w:sz w:val="22"/>
          <w:szCs w:val="22"/>
        </w:rPr>
        <w:t>The</w:t>
      </w:r>
      <w:r w:rsidR="00EE22D5" w:rsidRPr="003759B4">
        <w:rPr>
          <w:rFonts w:ascii="Arial" w:hAnsi="Arial" w:cs="Arial"/>
          <w:sz w:val="22"/>
          <w:szCs w:val="22"/>
        </w:rPr>
        <w:t xml:space="preserve"> PBAC considered that this claim may be reasonable, however noted that the magnitude</w:t>
      </w:r>
      <w:r w:rsidR="00DF02FF" w:rsidRPr="003759B4">
        <w:rPr>
          <w:rFonts w:ascii="Arial" w:hAnsi="Arial" w:cs="Arial"/>
          <w:sz w:val="22"/>
          <w:szCs w:val="22"/>
        </w:rPr>
        <w:t xml:space="preserve"> </w:t>
      </w:r>
      <w:r w:rsidR="00DF02FF" w:rsidRPr="003759B4">
        <w:rPr>
          <w:rFonts w:ascii="Arial" w:hAnsi="Arial" w:cs="Arial"/>
          <w:sz w:val="22"/>
          <w:szCs w:val="22"/>
          <w:lang w:val="en-GB"/>
        </w:rPr>
        <w:t>of the benefit was uncertain in the specific subgroup of patients treated with carboplatin and oxaliplatin based chemotherapy regimens</w:t>
      </w:r>
      <w:r w:rsidR="00606CB7" w:rsidRPr="003759B4">
        <w:rPr>
          <w:rFonts w:ascii="Arial" w:hAnsi="Arial" w:cs="Arial"/>
          <w:sz w:val="22"/>
          <w:szCs w:val="22"/>
          <w:lang w:val="en-GB"/>
        </w:rPr>
        <w:t xml:space="preserve">. </w:t>
      </w:r>
    </w:p>
    <w:p w:rsidR="005B51F7" w:rsidRPr="00CF318A" w:rsidRDefault="005B51F7" w:rsidP="005B51F7">
      <w:pPr>
        <w:pStyle w:val="ListParagraph"/>
        <w:jc w:val="both"/>
        <w:rPr>
          <w:rFonts w:ascii="Arial" w:hAnsi="Arial" w:cs="Arial"/>
          <w:sz w:val="22"/>
          <w:szCs w:val="22"/>
        </w:rPr>
      </w:pPr>
    </w:p>
    <w:p w:rsidR="005B51F7" w:rsidRPr="00CF318A" w:rsidRDefault="00406704" w:rsidP="005B51F7">
      <w:pPr>
        <w:pStyle w:val="ListParagraph"/>
        <w:numPr>
          <w:ilvl w:val="1"/>
          <w:numId w:val="2"/>
        </w:numPr>
        <w:jc w:val="both"/>
        <w:rPr>
          <w:rFonts w:ascii="Arial" w:hAnsi="Arial" w:cs="Arial"/>
          <w:sz w:val="22"/>
          <w:szCs w:val="22"/>
        </w:rPr>
      </w:pPr>
      <w:r w:rsidRPr="00CF318A">
        <w:rPr>
          <w:rFonts w:ascii="Arial" w:hAnsi="Arial" w:cs="Arial"/>
          <w:bCs/>
          <w:sz w:val="22"/>
          <w:szCs w:val="22"/>
        </w:rPr>
        <w:t>The PBAC consideration of the clinical claim remained unchanged from its November 2015 meeting.</w:t>
      </w:r>
    </w:p>
    <w:p w:rsidR="00DF02FF" w:rsidRPr="003759B4" w:rsidRDefault="00DF02FF" w:rsidP="00DF02FF">
      <w:pPr>
        <w:pStyle w:val="ListParagraph"/>
        <w:jc w:val="both"/>
        <w:rPr>
          <w:rFonts w:ascii="Arial" w:hAnsi="Arial" w:cs="Arial"/>
          <w:sz w:val="22"/>
          <w:szCs w:val="22"/>
        </w:rPr>
      </w:pPr>
    </w:p>
    <w:p w:rsidR="005A3173" w:rsidRPr="00A00B38" w:rsidRDefault="005A3173" w:rsidP="00A00B38">
      <w:pPr>
        <w:pStyle w:val="Heading2"/>
      </w:pPr>
      <w:r w:rsidRPr="00A00B38">
        <w:t>Economic analysis</w:t>
      </w:r>
    </w:p>
    <w:p w:rsidR="005A3173" w:rsidRPr="003759B4" w:rsidRDefault="005A3173" w:rsidP="00D84934">
      <w:pPr>
        <w:pStyle w:val="NoSpacing"/>
      </w:pPr>
    </w:p>
    <w:p w:rsidR="00352293" w:rsidRPr="003759B4" w:rsidRDefault="009B0F67" w:rsidP="00352293">
      <w:pPr>
        <w:pStyle w:val="ListParagraph"/>
        <w:numPr>
          <w:ilvl w:val="1"/>
          <w:numId w:val="2"/>
        </w:numPr>
        <w:jc w:val="both"/>
        <w:rPr>
          <w:rFonts w:ascii="Arial" w:hAnsi="Arial" w:cs="Arial"/>
          <w:sz w:val="22"/>
          <w:szCs w:val="22"/>
        </w:rPr>
      </w:pPr>
      <w:r w:rsidRPr="003759B4">
        <w:rPr>
          <w:rFonts w:ascii="Arial" w:hAnsi="Arial"/>
          <w:sz w:val="22"/>
          <w:szCs w:val="22"/>
        </w:rPr>
        <w:t xml:space="preserve">In the previous major submission considered by PBAC in </w:t>
      </w:r>
      <w:r w:rsidR="000D3CDE" w:rsidRPr="003759B4">
        <w:rPr>
          <w:rFonts w:ascii="Arial" w:hAnsi="Arial"/>
          <w:sz w:val="22"/>
          <w:szCs w:val="22"/>
        </w:rPr>
        <w:t>November 2015</w:t>
      </w:r>
      <w:r w:rsidRPr="003759B4">
        <w:rPr>
          <w:rFonts w:ascii="Arial" w:hAnsi="Arial"/>
          <w:sz w:val="22"/>
          <w:szCs w:val="22"/>
        </w:rPr>
        <w:t xml:space="preserve">, the submission </w:t>
      </w:r>
      <w:r w:rsidR="00D466A5" w:rsidRPr="003759B4">
        <w:rPr>
          <w:rFonts w:ascii="Arial" w:hAnsi="Arial"/>
          <w:sz w:val="22"/>
          <w:szCs w:val="22"/>
        </w:rPr>
        <w:t>did not present a formal economic evaluation.</w:t>
      </w:r>
      <w:r w:rsidRPr="003759B4">
        <w:rPr>
          <w:rFonts w:ascii="Arial" w:hAnsi="Arial"/>
          <w:sz w:val="22"/>
          <w:szCs w:val="22"/>
        </w:rPr>
        <w:t xml:space="preserve"> </w:t>
      </w:r>
      <w:r w:rsidR="00D466A5" w:rsidRPr="003759B4">
        <w:rPr>
          <w:rFonts w:ascii="Arial" w:hAnsi="Arial"/>
          <w:sz w:val="22"/>
          <w:szCs w:val="22"/>
        </w:rPr>
        <w:t>The PBAC considered that in the absence of an economic evaluation, the cost-effectiveness of aprepitant in the broader population requested could not be determined</w:t>
      </w:r>
      <w:r w:rsidR="00C875A8" w:rsidRPr="003759B4">
        <w:rPr>
          <w:rFonts w:ascii="Arial" w:hAnsi="Arial"/>
          <w:sz w:val="22"/>
          <w:szCs w:val="22"/>
        </w:rPr>
        <w:t>.</w:t>
      </w:r>
      <w:r w:rsidR="00D466A5" w:rsidRPr="003759B4">
        <w:rPr>
          <w:rFonts w:ascii="Arial" w:hAnsi="Arial"/>
          <w:sz w:val="22"/>
          <w:szCs w:val="22"/>
        </w:rPr>
        <w:t xml:space="preserve"> The PBAC considered that a pragmatic way forward would be to cost-minimise the price of aprepitant in the proposed population to the price of aprepitant when used with moderately emetogenic chemotherapy</w:t>
      </w:r>
      <w:r w:rsidR="00C875A8" w:rsidRPr="003759B4">
        <w:rPr>
          <w:rFonts w:ascii="Arial" w:hAnsi="Arial"/>
          <w:sz w:val="22"/>
          <w:szCs w:val="22"/>
        </w:rPr>
        <w:t>.</w:t>
      </w:r>
    </w:p>
    <w:p w:rsidR="00352293" w:rsidRPr="003759B4" w:rsidRDefault="00352293" w:rsidP="00352293">
      <w:pPr>
        <w:pStyle w:val="ListParagraph"/>
        <w:rPr>
          <w:rFonts w:ascii="Arial" w:hAnsi="Arial"/>
          <w:sz w:val="22"/>
          <w:szCs w:val="22"/>
        </w:rPr>
      </w:pPr>
    </w:p>
    <w:p w:rsidR="004E0270" w:rsidRDefault="009B0F67" w:rsidP="00B66AB5">
      <w:pPr>
        <w:pStyle w:val="ListParagraph"/>
        <w:numPr>
          <w:ilvl w:val="1"/>
          <w:numId w:val="2"/>
        </w:numPr>
        <w:ind w:left="709"/>
        <w:jc w:val="both"/>
        <w:rPr>
          <w:rFonts w:ascii="Arial" w:hAnsi="Arial"/>
          <w:sz w:val="22"/>
          <w:szCs w:val="22"/>
        </w:rPr>
      </w:pPr>
      <w:r w:rsidRPr="00343AF3">
        <w:rPr>
          <w:rFonts w:ascii="Arial" w:hAnsi="Arial"/>
          <w:sz w:val="22"/>
          <w:szCs w:val="22"/>
        </w:rPr>
        <w:t xml:space="preserve">The re-submission </w:t>
      </w:r>
      <w:r w:rsidR="00343AF3" w:rsidRPr="00343AF3">
        <w:rPr>
          <w:rFonts w:ascii="Arial" w:hAnsi="Arial"/>
          <w:sz w:val="22"/>
          <w:szCs w:val="22"/>
        </w:rPr>
        <w:t>proposed a new lower</w:t>
      </w:r>
      <w:r w:rsidR="00D466A5" w:rsidRPr="00343AF3">
        <w:rPr>
          <w:rFonts w:ascii="Arial" w:hAnsi="Arial"/>
          <w:sz w:val="22"/>
          <w:szCs w:val="22"/>
        </w:rPr>
        <w:t xml:space="preserve"> price</w:t>
      </w:r>
      <w:r w:rsidR="001805C1">
        <w:rPr>
          <w:rFonts w:ascii="Arial" w:hAnsi="Arial"/>
          <w:sz w:val="22"/>
          <w:szCs w:val="22"/>
        </w:rPr>
        <w:t xml:space="preserve"> for this listing</w:t>
      </w:r>
      <w:r w:rsidR="00D466A5" w:rsidRPr="00343AF3">
        <w:rPr>
          <w:rFonts w:ascii="Arial" w:hAnsi="Arial"/>
          <w:sz w:val="22"/>
          <w:szCs w:val="22"/>
        </w:rPr>
        <w:t xml:space="preserve"> consistent with </w:t>
      </w:r>
      <w:r w:rsidR="00094320">
        <w:rPr>
          <w:rFonts w:ascii="Arial" w:hAnsi="Arial"/>
          <w:sz w:val="22"/>
          <w:szCs w:val="22"/>
        </w:rPr>
        <w:t>the</w:t>
      </w:r>
      <w:r w:rsidR="00D466A5" w:rsidRPr="00343AF3">
        <w:rPr>
          <w:rFonts w:ascii="Arial" w:hAnsi="Arial"/>
          <w:sz w:val="22"/>
          <w:szCs w:val="22"/>
        </w:rPr>
        <w:t xml:space="preserve"> price of aprepitant when used with moderately emetogenic </w:t>
      </w:r>
      <w:r w:rsidR="00343AF3" w:rsidRPr="00343AF3">
        <w:rPr>
          <w:rFonts w:ascii="Arial" w:hAnsi="Arial"/>
          <w:sz w:val="22"/>
          <w:szCs w:val="22"/>
        </w:rPr>
        <w:t>chemotherapy</w:t>
      </w:r>
      <w:r w:rsidR="00094320">
        <w:rPr>
          <w:rFonts w:ascii="Arial" w:hAnsi="Arial"/>
          <w:sz w:val="22"/>
          <w:szCs w:val="22"/>
        </w:rPr>
        <w:t xml:space="preserve">, re-weighted at </w:t>
      </w:r>
      <w:r w:rsidR="00D03668">
        <w:rPr>
          <w:rFonts w:ascii="Arial" w:hAnsi="Arial"/>
          <w:noProof/>
          <w:color w:val="000000"/>
          <w:sz w:val="22"/>
          <w:szCs w:val="22"/>
          <w:highlight w:val="black"/>
        </w:rPr>
        <w:t>'''''''</w:t>
      </w:r>
      <w:r w:rsidR="00094320">
        <w:rPr>
          <w:rFonts w:ascii="Arial" w:hAnsi="Arial"/>
          <w:sz w:val="22"/>
          <w:szCs w:val="22"/>
        </w:rPr>
        <w:t xml:space="preserve">% and </w:t>
      </w:r>
      <w:r w:rsidR="00D03668">
        <w:rPr>
          <w:rFonts w:ascii="Arial" w:hAnsi="Arial"/>
          <w:noProof/>
          <w:color w:val="000000"/>
          <w:sz w:val="22"/>
          <w:szCs w:val="22"/>
          <w:highlight w:val="black"/>
        </w:rPr>
        <w:t>''''''</w:t>
      </w:r>
      <w:r w:rsidR="00094320">
        <w:rPr>
          <w:rFonts w:ascii="Arial" w:hAnsi="Arial"/>
          <w:sz w:val="22"/>
          <w:szCs w:val="22"/>
        </w:rPr>
        <w:t xml:space="preserve">% respectively across </w:t>
      </w:r>
      <w:r w:rsidR="00D6029C">
        <w:rPr>
          <w:rFonts w:ascii="Arial" w:hAnsi="Arial"/>
          <w:sz w:val="22"/>
          <w:szCs w:val="22"/>
        </w:rPr>
        <w:t xml:space="preserve">use in </w:t>
      </w:r>
      <w:r w:rsidR="00094320">
        <w:rPr>
          <w:rFonts w:ascii="Arial" w:hAnsi="Arial"/>
          <w:sz w:val="22"/>
          <w:szCs w:val="22"/>
        </w:rPr>
        <w:t xml:space="preserve">MEC and HEC regimens. </w:t>
      </w:r>
      <w:r w:rsidR="007E73BC">
        <w:rPr>
          <w:rFonts w:ascii="Arial" w:hAnsi="Arial"/>
          <w:sz w:val="22"/>
          <w:szCs w:val="22"/>
        </w:rPr>
        <w:t>The submission also applied a statutory 5% price reduction expected from 1 April 2016.</w:t>
      </w:r>
    </w:p>
    <w:p w:rsidR="00B66AB5" w:rsidRPr="00B66AB5" w:rsidRDefault="00B66AB5" w:rsidP="00B66AB5">
      <w:pPr>
        <w:pStyle w:val="ListParagraph"/>
        <w:rPr>
          <w:rFonts w:ascii="Arial" w:hAnsi="Arial"/>
          <w:sz w:val="22"/>
          <w:szCs w:val="22"/>
        </w:rPr>
      </w:pPr>
    </w:p>
    <w:p w:rsidR="004E0270" w:rsidRPr="00F029AC" w:rsidRDefault="00B66AB5" w:rsidP="003165E9">
      <w:pPr>
        <w:pStyle w:val="ListParagraph"/>
        <w:numPr>
          <w:ilvl w:val="1"/>
          <w:numId w:val="2"/>
        </w:numPr>
        <w:jc w:val="both"/>
        <w:rPr>
          <w:rFonts w:ascii="Arial" w:hAnsi="Arial" w:cs="Arial"/>
          <w:sz w:val="22"/>
          <w:szCs w:val="22"/>
        </w:rPr>
      </w:pPr>
      <w:r w:rsidRPr="00F029AC">
        <w:rPr>
          <w:rFonts w:ascii="Arial" w:hAnsi="Arial" w:cs="Arial"/>
          <w:sz w:val="22"/>
          <w:szCs w:val="22"/>
        </w:rPr>
        <w:lastRenderedPageBreak/>
        <w:t xml:space="preserve">The table below shows the current and proposed pricing of aprepitant as calculated in the re-submission. In the calculation of costs to the PBS, </w:t>
      </w:r>
      <w:r w:rsidR="00F029AC" w:rsidRPr="00F029AC">
        <w:rPr>
          <w:rFonts w:ascii="Arial" w:hAnsi="Arial" w:cs="Arial"/>
          <w:sz w:val="22"/>
          <w:szCs w:val="22"/>
        </w:rPr>
        <w:t>a</w:t>
      </w:r>
      <w:r w:rsidRPr="00F029AC">
        <w:rPr>
          <w:rFonts w:ascii="Arial" w:hAnsi="Arial" w:cs="Arial"/>
          <w:sz w:val="22"/>
          <w:szCs w:val="22"/>
        </w:rPr>
        <w:t xml:space="preserve"> “weighted across s85/s100”</w:t>
      </w:r>
      <w:r w:rsidR="00F029AC" w:rsidRPr="00F029AC">
        <w:rPr>
          <w:rFonts w:ascii="Arial" w:hAnsi="Arial" w:cs="Arial"/>
          <w:sz w:val="22"/>
          <w:szCs w:val="22"/>
        </w:rPr>
        <w:t xml:space="preserve"> (79%/21%)</w:t>
      </w:r>
      <w:r w:rsidRPr="00F029AC">
        <w:rPr>
          <w:rFonts w:ascii="Arial" w:hAnsi="Arial" w:cs="Arial"/>
          <w:sz w:val="22"/>
          <w:szCs w:val="22"/>
        </w:rPr>
        <w:t xml:space="preserve"> price was applied.</w:t>
      </w:r>
      <w:r w:rsidR="003165E9" w:rsidRPr="00F029AC">
        <w:rPr>
          <w:rFonts w:ascii="Arial" w:hAnsi="Arial" w:cs="Arial"/>
          <w:sz w:val="22"/>
          <w:szCs w:val="22"/>
        </w:rPr>
        <w:t xml:space="preserve"> </w:t>
      </w:r>
      <w:r w:rsidR="00365B3C" w:rsidRPr="00F029AC">
        <w:rPr>
          <w:rFonts w:ascii="Arial" w:hAnsi="Arial" w:cs="Arial"/>
          <w:sz w:val="22"/>
          <w:szCs w:val="22"/>
        </w:rPr>
        <w:t>The submission proposed</w:t>
      </w:r>
      <w:r w:rsidR="003165E9" w:rsidRPr="00F029AC">
        <w:rPr>
          <w:rFonts w:ascii="Arial" w:hAnsi="Arial" w:cs="Arial"/>
          <w:sz w:val="22"/>
          <w:szCs w:val="22"/>
        </w:rPr>
        <w:t xml:space="preserve"> an ex-man price of $</w:t>
      </w:r>
      <w:r w:rsidR="00D03668">
        <w:rPr>
          <w:rFonts w:ascii="Arial" w:hAnsi="Arial" w:cs="Arial"/>
          <w:noProof/>
          <w:color w:val="000000"/>
          <w:sz w:val="22"/>
          <w:szCs w:val="22"/>
          <w:highlight w:val="black"/>
        </w:rPr>
        <w:t>''''''''''''''</w:t>
      </w:r>
      <w:r w:rsidR="003165E9" w:rsidRPr="00F029AC">
        <w:rPr>
          <w:rFonts w:ascii="Arial" w:hAnsi="Arial" w:cs="Arial"/>
          <w:sz w:val="22"/>
          <w:szCs w:val="22"/>
        </w:rPr>
        <w:t xml:space="preserve"> for the extension to indication</w:t>
      </w:r>
      <w:r w:rsidR="00365B3C" w:rsidRPr="00F029AC">
        <w:rPr>
          <w:rFonts w:ascii="Arial" w:hAnsi="Arial" w:cs="Arial"/>
          <w:sz w:val="22"/>
          <w:szCs w:val="22"/>
        </w:rPr>
        <w:t>, and proposed</w:t>
      </w:r>
      <w:r w:rsidR="003165E9" w:rsidRPr="00F029AC">
        <w:rPr>
          <w:rFonts w:ascii="Arial" w:hAnsi="Arial" w:cs="Arial"/>
          <w:sz w:val="22"/>
          <w:szCs w:val="22"/>
        </w:rPr>
        <w:t xml:space="preserve"> a weighted ex-man price of $</w:t>
      </w:r>
      <w:r w:rsidR="00D03668">
        <w:rPr>
          <w:rFonts w:ascii="Arial" w:hAnsi="Arial" w:cs="Arial"/>
          <w:noProof/>
          <w:color w:val="000000"/>
          <w:sz w:val="22"/>
          <w:szCs w:val="22"/>
          <w:highlight w:val="black"/>
        </w:rPr>
        <w:t>'''''''''''''''</w:t>
      </w:r>
      <w:r w:rsidR="003165E9" w:rsidRPr="00F029AC">
        <w:rPr>
          <w:rFonts w:ascii="Arial" w:hAnsi="Arial" w:cs="Arial"/>
          <w:sz w:val="22"/>
          <w:szCs w:val="22"/>
        </w:rPr>
        <w:t>.</w:t>
      </w:r>
    </w:p>
    <w:p w:rsidR="004E0270" w:rsidRDefault="004E0270" w:rsidP="001805C1">
      <w:pPr>
        <w:pStyle w:val="ListParagraph"/>
        <w:rPr>
          <w:rFonts w:ascii="Arial" w:hAnsi="Arial"/>
          <w:sz w:val="22"/>
          <w:szCs w:val="22"/>
        </w:rPr>
      </w:pPr>
    </w:p>
    <w:p w:rsidR="004E0270" w:rsidRPr="00594CFB" w:rsidRDefault="003C2E7E" w:rsidP="001805C1">
      <w:pPr>
        <w:pStyle w:val="ListParagraph"/>
        <w:rPr>
          <w:rFonts w:ascii="Arial Narrow" w:hAnsi="Arial Narrow"/>
          <w:b/>
          <w:sz w:val="20"/>
          <w:szCs w:val="20"/>
        </w:rPr>
      </w:pPr>
      <w:r>
        <w:rPr>
          <w:rFonts w:ascii="Arial Narrow" w:hAnsi="Arial Narrow"/>
          <w:b/>
          <w:sz w:val="20"/>
          <w:szCs w:val="20"/>
        </w:rPr>
        <w:t>Table 1</w:t>
      </w:r>
      <w:r w:rsidR="00B66AB5" w:rsidRPr="00594CFB">
        <w:rPr>
          <w:rFonts w:ascii="Arial Narrow" w:hAnsi="Arial Narrow"/>
          <w:b/>
          <w:sz w:val="20"/>
          <w:szCs w:val="20"/>
        </w:rPr>
        <w:t>:</w:t>
      </w:r>
      <w:r w:rsidR="00594CFB" w:rsidRPr="00594CFB">
        <w:rPr>
          <w:rFonts w:ascii="Arial Narrow" w:hAnsi="Arial Narrow"/>
          <w:b/>
          <w:sz w:val="20"/>
          <w:szCs w:val="20"/>
        </w:rPr>
        <w:t xml:space="preserve"> Current and proposed pricing, minor re-submission</w:t>
      </w:r>
    </w:p>
    <w:tbl>
      <w:tblPr>
        <w:tblStyle w:val="TableGrid"/>
        <w:tblW w:w="3893" w:type="pct"/>
        <w:tblInd w:w="709" w:type="dxa"/>
        <w:tblLayout w:type="fixed"/>
        <w:tblLook w:val="04A0" w:firstRow="1" w:lastRow="0" w:firstColumn="1" w:lastColumn="0" w:noHBand="0" w:noVBand="1"/>
        <w:tblCaption w:val="Table 1: Current and proposed pricing, minor re-submission"/>
      </w:tblPr>
      <w:tblGrid>
        <w:gridCol w:w="2801"/>
        <w:gridCol w:w="1079"/>
        <w:gridCol w:w="1078"/>
        <w:gridCol w:w="1104"/>
        <w:gridCol w:w="1134"/>
      </w:tblGrid>
      <w:tr w:rsidR="00B66AB5" w:rsidRPr="004313DE" w:rsidTr="007317FE">
        <w:trPr>
          <w:tblHeader/>
        </w:trPr>
        <w:tc>
          <w:tcPr>
            <w:tcW w:w="1946" w:type="pct"/>
            <w:vMerge w:val="restart"/>
            <w:vAlign w:val="center"/>
          </w:tcPr>
          <w:p w:rsidR="004E0270" w:rsidRPr="007903C6" w:rsidRDefault="004E0270" w:rsidP="00594CFB">
            <w:pPr>
              <w:jc w:val="center"/>
              <w:rPr>
                <w:rFonts w:ascii="Arial Narrow" w:hAnsi="Arial Narrow"/>
                <w:b/>
                <w:sz w:val="20"/>
                <w:szCs w:val="22"/>
                <w:highlight w:val="cyan"/>
              </w:rPr>
            </w:pPr>
          </w:p>
        </w:tc>
        <w:tc>
          <w:tcPr>
            <w:tcW w:w="750" w:type="pct"/>
            <w:vMerge w:val="restart"/>
            <w:vAlign w:val="center"/>
          </w:tcPr>
          <w:p w:rsidR="004E0270" w:rsidRPr="004313DE" w:rsidRDefault="004E0270" w:rsidP="00594CFB">
            <w:pPr>
              <w:jc w:val="center"/>
              <w:rPr>
                <w:rFonts w:ascii="Arial Narrow" w:hAnsi="Arial Narrow" w:cs="Arial"/>
                <w:b/>
                <w:sz w:val="20"/>
                <w:szCs w:val="22"/>
              </w:rPr>
            </w:pPr>
            <w:r w:rsidRPr="004313DE">
              <w:rPr>
                <w:rFonts w:ascii="Arial Narrow" w:hAnsi="Arial Narrow" w:cs="Arial"/>
                <w:b/>
                <w:sz w:val="20"/>
                <w:szCs w:val="22"/>
              </w:rPr>
              <w:t>HEC effective price</w:t>
            </w:r>
          </w:p>
        </w:tc>
        <w:tc>
          <w:tcPr>
            <w:tcW w:w="749" w:type="pct"/>
            <w:vMerge w:val="restart"/>
            <w:vAlign w:val="center"/>
          </w:tcPr>
          <w:p w:rsidR="004E0270" w:rsidRPr="004313DE" w:rsidRDefault="004E0270" w:rsidP="00594CFB">
            <w:pPr>
              <w:jc w:val="center"/>
              <w:rPr>
                <w:rFonts w:ascii="Arial Narrow" w:hAnsi="Arial Narrow" w:cs="Arial"/>
                <w:b/>
                <w:sz w:val="20"/>
                <w:szCs w:val="22"/>
              </w:rPr>
            </w:pPr>
            <w:r w:rsidRPr="004313DE">
              <w:rPr>
                <w:rFonts w:ascii="Arial Narrow" w:hAnsi="Arial Narrow" w:cs="Arial"/>
                <w:b/>
                <w:sz w:val="20"/>
                <w:szCs w:val="22"/>
              </w:rPr>
              <w:t>MEC effective price</w:t>
            </w:r>
          </w:p>
        </w:tc>
        <w:tc>
          <w:tcPr>
            <w:tcW w:w="1555" w:type="pct"/>
            <w:gridSpan w:val="2"/>
            <w:vAlign w:val="center"/>
          </w:tcPr>
          <w:p w:rsidR="004E0270" w:rsidRPr="004313DE" w:rsidRDefault="004E0270" w:rsidP="00594CFB">
            <w:pPr>
              <w:jc w:val="center"/>
              <w:rPr>
                <w:rFonts w:ascii="Arial Narrow" w:hAnsi="Arial Narrow" w:cs="Arial"/>
                <w:b/>
                <w:sz w:val="20"/>
                <w:szCs w:val="22"/>
              </w:rPr>
            </w:pPr>
            <w:r w:rsidRPr="004313DE">
              <w:rPr>
                <w:rFonts w:ascii="Arial Narrow" w:hAnsi="Arial Narrow" w:cs="Arial"/>
                <w:b/>
                <w:sz w:val="20"/>
                <w:szCs w:val="22"/>
              </w:rPr>
              <w:t>Weighted published price</w:t>
            </w:r>
          </w:p>
        </w:tc>
      </w:tr>
      <w:tr w:rsidR="00B66AB5" w:rsidRPr="004E0270" w:rsidTr="007317FE">
        <w:trPr>
          <w:tblHeader/>
        </w:trPr>
        <w:tc>
          <w:tcPr>
            <w:tcW w:w="1946" w:type="pct"/>
            <w:vMerge/>
          </w:tcPr>
          <w:p w:rsidR="004E0270" w:rsidRPr="007903C6" w:rsidRDefault="004E0270" w:rsidP="004E0270">
            <w:pPr>
              <w:jc w:val="both"/>
              <w:rPr>
                <w:rFonts w:ascii="Arial Narrow" w:hAnsi="Arial Narrow"/>
                <w:sz w:val="20"/>
                <w:szCs w:val="22"/>
                <w:highlight w:val="cyan"/>
              </w:rPr>
            </w:pPr>
          </w:p>
        </w:tc>
        <w:tc>
          <w:tcPr>
            <w:tcW w:w="750" w:type="pct"/>
            <w:vMerge/>
            <w:vAlign w:val="bottom"/>
          </w:tcPr>
          <w:p w:rsidR="004E0270" w:rsidRPr="004E0270" w:rsidRDefault="004E0270" w:rsidP="003704FA">
            <w:pPr>
              <w:rPr>
                <w:rFonts w:ascii="Arial Narrow" w:hAnsi="Arial Narrow" w:cs="Arial"/>
                <w:sz w:val="20"/>
                <w:szCs w:val="22"/>
              </w:rPr>
            </w:pPr>
          </w:p>
        </w:tc>
        <w:tc>
          <w:tcPr>
            <w:tcW w:w="749" w:type="pct"/>
            <w:vMerge/>
            <w:vAlign w:val="bottom"/>
          </w:tcPr>
          <w:p w:rsidR="004E0270" w:rsidRPr="004E0270" w:rsidRDefault="004E0270" w:rsidP="003704FA">
            <w:pPr>
              <w:rPr>
                <w:rFonts w:ascii="Arial Narrow" w:hAnsi="Arial Narrow" w:cs="Arial"/>
                <w:sz w:val="20"/>
                <w:szCs w:val="22"/>
              </w:rPr>
            </w:pPr>
          </w:p>
        </w:tc>
        <w:tc>
          <w:tcPr>
            <w:tcW w:w="767" w:type="pct"/>
            <w:vAlign w:val="center"/>
          </w:tcPr>
          <w:p w:rsidR="004E0270" w:rsidRPr="004313DE" w:rsidRDefault="004E0270" w:rsidP="00594CFB">
            <w:pPr>
              <w:jc w:val="center"/>
              <w:rPr>
                <w:rFonts w:ascii="Arial Narrow" w:hAnsi="Arial Narrow" w:cs="Arial"/>
                <w:b/>
                <w:sz w:val="20"/>
                <w:szCs w:val="22"/>
              </w:rPr>
            </w:pPr>
            <w:r w:rsidRPr="004313DE">
              <w:rPr>
                <w:rFonts w:ascii="Arial Narrow" w:hAnsi="Arial Narrow" w:cs="Arial"/>
                <w:b/>
                <w:sz w:val="20"/>
                <w:szCs w:val="22"/>
              </w:rPr>
              <w:t>Current</w:t>
            </w:r>
            <w:r w:rsidR="004313DE" w:rsidRPr="004313DE">
              <w:rPr>
                <w:rFonts w:ascii="Arial Narrow" w:hAnsi="Arial Narrow" w:cs="Arial"/>
                <w:b/>
                <w:sz w:val="20"/>
                <w:szCs w:val="22"/>
              </w:rPr>
              <w:t xml:space="preserve"> (33%/67%)</w:t>
            </w:r>
          </w:p>
        </w:tc>
        <w:tc>
          <w:tcPr>
            <w:tcW w:w="788" w:type="pct"/>
            <w:vAlign w:val="center"/>
          </w:tcPr>
          <w:p w:rsidR="004E0270" w:rsidRPr="004313DE" w:rsidRDefault="004E0270" w:rsidP="00594CFB">
            <w:pPr>
              <w:jc w:val="center"/>
              <w:rPr>
                <w:rFonts w:ascii="Arial Narrow" w:hAnsi="Arial Narrow" w:cs="Arial"/>
                <w:b/>
                <w:sz w:val="20"/>
                <w:szCs w:val="22"/>
              </w:rPr>
            </w:pPr>
            <w:r w:rsidRPr="004313DE">
              <w:rPr>
                <w:rFonts w:ascii="Arial Narrow" w:hAnsi="Arial Narrow" w:cs="Arial"/>
                <w:b/>
                <w:sz w:val="20"/>
                <w:szCs w:val="22"/>
              </w:rPr>
              <w:t>Proposed</w:t>
            </w:r>
          </w:p>
          <w:p w:rsidR="004313DE" w:rsidRPr="004313DE" w:rsidRDefault="004313DE" w:rsidP="00594CFB">
            <w:pPr>
              <w:jc w:val="center"/>
              <w:rPr>
                <w:rFonts w:ascii="Arial Narrow" w:hAnsi="Arial Narrow" w:cs="Arial"/>
                <w:b/>
                <w:sz w:val="20"/>
                <w:szCs w:val="22"/>
              </w:rPr>
            </w:pPr>
            <w:r w:rsidRPr="004313DE">
              <w:rPr>
                <w:rFonts w:ascii="Arial Narrow" w:hAnsi="Arial Narrow" w:cs="Arial"/>
                <w:b/>
                <w:sz w:val="20"/>
                <w:szCs w:val="22"/>
              </w:rPr>
              <w:t>(</w:t>
            </w:r>
            <w:r w:rsidR="00D03668">
              <w:rPr>
                <w:rFonts w:ascii="Arial Narrow" w:hAnsi="Arial Narrow" w:cs="Arial"/>
                <w:b/>
                <w:noProof/>
                <w:color w:val="000000"/>
                <w:sz w:val="20"/>
                <w:szCs w:val="22"/>
                <w:highlight w:val="black"/>
              </w:rPr>
              <w:t>'''''</w:t>
            </w:r>
            <w:r w:rsidRPr="004313DE">
              <w:rPr>
                <w:rFonts w:ascii="Arial Narrow" w:hAnsi="Arial Narrow" w:cs="Arial"/>
                <w:b/>
                <w:sz w:val="20"/>
                <w:szCs w:val="22"/>
              </w:rPr>
              <w:t>%/</w:t>
            </w:r>
            <w:r w:rsidR="00D03668">
              <w:rPr>
                <w:rFonts w:ascii="Arial Narrow" w:hAnsi="Arial Narrow" w:cs="Arial"/>
                <w:b/>
                <w:noProof/>
                <w:color w:val="000000"/>
                <w:sz w:val="20"/>
                <w:szCs w:val="22"/>
                <w:highlight w:val="black"/>
              </w:rPr>
              <w:t>'''''</w:t>
            </w:r>
            <w:r w:rsidRPr="004313DE">
              <w:rPr>
                <w:rFonts w:ascii="Arial Narrow" w:hAnsi="Arial Narrow" w:cs="Arial"/>
                <w:b/>
                <w:sz w:val="20"/>
                <w:szCs w:val="22"/>
              </w:rPr>
              <w:t>%)</w:t>
            </w:r>
          </w:p>
        </w:tc>
      </w:tr>
      <w:tr w:rsidR="00B66AB5" w:rsidRPr="004E0270" w:rsidTr="00F029AC">
        <w:trPr>
          <w:trHeight w:val="255"/>
        </w:trPr>
        <w:tc>
          <w:tcPr>
            <w:tcW w:w="1946" w:type="pct"/>
            <w:noWrap/>
            <w:vAlign w:val="center"/>
            <w:hideMark/>
          </w:tcPr>
          <w:p w:rsidR="004E0270" w:rsidRPr="007903C6" w:rsidRDefault="000069F4" w:rsidP="00594CFB">
            <w:pPr>
              <w:rPr>
                <w:rFonts w:ascii="Arial Narrow" w:hAnsi="Arial Narrow" w:cs="Arial"/>
                <w:b/>
                <w:sz w:val="20"/>
                <w:szCs w:val="22"/>
                <w:highlight w:val="cyan"/>
              </w:rPr>
            </w:pPr>
            <w:r w:rsidRPr="00AB5419">
              <w:rPr>
                <w:rFonts w:ascii="Arial Narrow" w:hAnsi="Arial Narrow" w:cs="Arial"/>
                <w:b/>
                <w:sz w:val="20"/>
                <w:szCs w:val="22"/>
              </w:rPr>
              <w:t>E</w:t>
            </w:r>
            <w:r w:rsidR="004E0270" w:rsidRPr="00AB5419">
              <w:rPr>
                <w:rFonts w:ascii="Arial Narrow" w:hAnsi="Arial Narrow" w:cs="Arial"/>
                <w:b/>
                <w:sz w:val="20"/>
                <w:szCs w:val="22"/>
              </w:rPr>
              <w:t>x-man</w:t>
            </w:r>
            <w:r w:rsidR="004313DE" w:rsidRPr="00AB5419">
              <w:rPr>
                <w:rFonts w:ascii="Arial Narrow" w:hAnsi="Arial Narrow" w:cs="Arial"/>
                <w:b/>
                <w:sz w:val="20"/>
                <w:szCs w:val="22"/>
              </w:rPr>
              <w:t xml:space="preserve"> (updated for 5% statutory price reduction Apr 16)</w:t>
            </w:r>
          </w:p>
        </w:tc>
        <w:tc>
          <w:tcPr>
            <w:tcW w:w="750" w:type="pct"/>
            <w:noWrap/>
            <w:vAlign w:val="center"/>
            <w:hideMark/>
          </w:tcPr>
          <w:p w:rsidR="004E0270" w:rsidRPr="004E0270" w:rsidRDefault="004E0270" w:rsidP="00594CFB">
            <w:pPr>
              <w:rPr>
                <w:rFonts w:ascii="Arial Narrow" w:hAnsi="Arial Narrow" w:cs="Arial"/>
                <w:sz w:val="20"/>
                <w:szCs w:val="22"/>
              </w:rPr>
            </w:pPr>
            <w:r w:rsidRPr="004E0270">
              <w:rPr>
                <w:rFonts w:ascii="Arial Narrow" w:hAnsi="Arial Narrow" w:cs="Arial"/>
                <w:sz w:val="20"/>
                <w:szCs w:val="22"/>
              </w:rPr>
              <w:t>$</w:t>
            </w:r>
            <w:r w:rsidR="00D03668">
              <w:rPr>
                <w:rFonts w:ascii="Arial Narrow" w:hAnsi="Arial Narrow" w:cs="Arial"/>
                <w:noProof/>
                <w:color w:val="000000"/>
                <w:sz w:val="20"/>
                <w:szCs w:val="22"/>
                <w:highlight w:val="black"/>
              </w:rPr>
              <w:t xml:space="preserve">'''''''''''''''' </w:t>
            </w:r>
          </w:p>
        </w:tc>
        <w:tc>
          <w:tcPr>
            <w:tcW w:w="749" w:type="pct"/>
            <w:noWrap/>
            <w:vAlign w:val="center"/>
            <w:hideMark/>
          </w:tcPr>
          <w:p w:rsidR="004E0270" w:rsidRPr="004E0270" w:rsidRDefault="004E0270" w:rsidP="00594CFB">
            <w:pPr>
              <w:rPr>
                <w:rFonts w:ascii="Arial Narrow" w:hAnsi="Arial Narrow" w:cs="Arial"/>
                <w:sz w:val="20"/>
                <w:szCs w:val="22"/>
              </w:rPr>
            </w:pPr>
            <w:r w:rsidRPr="004E0270">
              <w:rPr>
                <w:rFonts w:ascii="Arial Narrow" w:hAnsi="Arial Narrow" w:cs="Arial"/>
                <w:sz w:val="20"/>
                <w:szCs w:val="22"/>
              </w:rPr>
              <w:t>$</w:t>
            </w:r>
            <w:r w:rsidR="00D03668">
              <w:rPr>
                <w:rFonts w:ascii="Arial Narrow" w:hAnsi="Arial Narrow" w:cs="Arial"/>
                <w:noProof/>
                <w:color w:val="000000"/>
                <w:sz w:val="20"/>
                <w:szCs w:val="22"/>
                <w:highlight w:val="black"/>
              </w:rPr>
              <w:t>'''''''''''''''</w:t>
            </w:r>
            <w:r w:rsidRPr="004E0270">
              <w:rPr>
                <w:rFonts w:ascii="Arial Narrow" w:hAnsi="Arial Narrow" w:cs="Arial"/>
                <w:sz w:val="20"/>
                <w:szCs w:val="22"/>
              </w:rPr>
              <w:t xml:space="preserve"> </w:t>
            </w:r>
          </w:p>
        </w:tc>
        <w:tc>
          <w:tcPr>
            <w:tcW w:w="767" w:type="pct"/>
            <w:noWrap/>
            <w:vAlign w:val="center"/>
            <w:hideMark/>
          </w:tcPr>
          <w:p w:rsidR="004E0270" w:rsidRPr="004E0270" w:rsidRDefault="004E0270" w:rsidP="00594CFB">
            <w:pPr>
              <w:rPr>
                <w:rFonts w:ascii="Arial Narrow" w:hAnsi="Arial Narrow" w:cs="Arial"/>
                <w:sz w:val="20"/>
                <w:szCs w:val="22"/>
              </w:rPr>
            </w:pPr>
            <w:r w:rsidRPr="004E0270">
              <w:rPr>
                <w:rFonts w:ascii="Arial Narrow" w:hAnsi="Arial Narrow" w:cs="Arial"/>
                <w:sz w:val="20"/>
                <w:szCs w:val="22"/>
              </w:rPr>
              <w:t>$</w:t>
            </w:r>
            <w:r w:rsidRPr="003B4A9F">
              <w:rPr>
                <w:rFonts w:ascii="Arial Narrow" w:hAnsi="Arial Narrow" w:cs="Arial"/>
                <w:sz w:val="20"/>
                <w:szCs w:val="22"/>
              </w:rPr>
              <w:t>105.53</w:t>
            </w:r>
            <w:r w:rsidRPr="004E0270">
              <w:rPr>
                <w:rFonts w:ascii="Arial Narrow" w:hAnsi="Arial Narrow" w:cs="Arial"/>
                <w:sz w:val="20"/>
                <w:szCs w:val="22"/>
              </w:rPr>
              <w:t xml:space="preserve"> </w:t>
            </w:r>
          </w:p>
        </w:tc>
        <w:tc>
          <w:tcPr>
            <w:tcW w:w="788" w:type="pct"/>
            <w:noWrap/>
            <w:vAlign w:val="center"/>
            <w:hideMark/>
          </w:tcPr>
          <w:p w:rsidR="004E0270" w:rsidRPr="004E0270" w:rsidRDefault="004E0270" w:rsidP="00594CFB">
            <w:pPr>
              <w:rPr>
                <w:rFonts w:ascii="Arial Narrow" w:hAnsi="Arial Narrow" w:cs="Arial"/>
                <w:sz w:val="20"/>
                <w:szCs w:val="22"/>
              </w:rPr>
            </w:pPr>
            <w:r w:rsidRPr="004E0270">
              <w:rPr>
                <w:rFonts w:ascii="Arial Narrow" w:hAnsi="Arial Narrow" w:cs="Arial"/>
                <w:sz w:val="20"/>
                <w:szCs w:val="22"/>
              </w:rPr>
              <w:t>$</w:t>
            </w:r>
            <w:r w:rsidR="00D03668">
              <w:rPr>
                <w:rFonts w:ascii="Arial Narrow" w:hAnsi="Arial Narrow" w:cs="Arial"/>
                <w:noProof/>
                <w:color w:val="000000"/>
                <w:sz w:val="20"/>
                <w:szCs w:val="22"/>
                <w:highlight w:val="black"/>
              </w:rPr>
              <w:t>''''''''''''''''</w:t>
            </w:r>
            <w:r w:rsidRPr="004E0270">
              <w:rPr>
                <w:rFonts w:ascii="Arial Narrow" w:hAnsi="Arial Narrow" w:cs="Arial"/>
                <w:sz w:val="20"/>
                <w:szCs w:val="22"/>
              </w:rPr>
              <w:t xml:space="preserve"> </w:t>
            </w:r>
          </w:p>
        </w:tc>
      </w:tr>
    </w:tbl>
    <w:p w:rsidR="00594CFB" w:rsidRDefault="00594CFB" w:rsidP="00594CFB">
      <w:pPr>
        <w:pStyle w:val="ListParagraph"/>
        <w:rPr>
          <w:rFonts w:ascii="Arial Narrow" w:hAnsi="Arial Narrow"/>
          <w:sz w:val="20"/>
          <w:szCs w:val="20"/>
        </w:rPr>
      </w:pPr>
      <w:r>
        <w:rPr>
          <w:rFonts w:ascii="Arial Narrow" w:hAnsi="Arial Narrow"/>
          <w:sz w:val="20"/>
          <w:szCs w:val="20"/>
        </w:rPr>
        <w:t>Source: EMEND Financial Estimates.xlsx, March 2016 minor re-submission</w:t>
      </w:r>
    </w:p>
    <w:p w:rsidR="00406704" w:rsidRDefault="00406704" w:rsidP="00594CFB">
      <w:pPr>
        <w:pStyle w:val="ListParagraph"/>
        <w:rPr>
          <w:rFonts w:ascii="Arial Narrow" w:hAnsi="Arial Narrow"/>
          <w:sz w:val="20"/>
          <w:szCs w:val="20"/>
        </w:rPr>
      </w:pPr>
    </w:p>
    <w:p w:rsidR="00406704" w:rsidRPr="00AB5419" w:rsidRDefault="00406704" w:rsidP="00406704">
      <w:pPr>
        <w:pStyle w:val="ListParagraph"/>
        <w:numPr>
          <w:ilvl w:val="1"/>
          <w:numId w:val="2"/>
        </w:numPr>
        <w:jc w:val="both"/>
        <w:rPr>
          <w:rFonts w:ascii="Arial" w:hAnsi="Arial" w:cs="Arial"/>
          <w:sz w:val="22"/>
          <w:szCs w:val="22"/>
        </w:rPr>
      </w:pPr>
      <w:r w:rsidRPr="00AB5419">
        <w:rPr>
          <w:rFonts w:ascii="Arial" w:hAnsi="Arial" w:cs="Arial"/>
          <w:sz w:val="22"/>
          <w:szCs w:val="22"/>
        </w:rPr>
        <w:t xml:space="preserve">The PBAC noted that price of aprepitant in the proposed population was the same as when used with moderately emetogenic chemotherapy. The PBAC considered this approach </w:t>
      </w:r>
      <w:r w:rsidR="00AB5419" w:rsidRPr="00AB5419">
        <w:rPr>
          <w:rFonts w:ascii="Arial" w:hAnsi="Arial" w:cs="Arial"/>
          <w:sz w:val="22"/>
          <w:szCs w:val="22"/>
        </w:rPr>
        <w:t>consistent with</w:t>
      </w:r>
      <w:r w:rsidRPr="00AB5419">
        <w:rPr>
          <w:rFonts w:ascii="Arial" w:hAnsi="Arial" w:cs="Arial"/>
          <w:sz w:val="22"/>
          <w:szCs w:val="22"/>
        </w:rPr>
        <w:t xml:space="preserve"> its previous </w:t>
      </w:r>
      <w:r w:rsidR="00AB5419" w:rsidRPr="00AB5419">
        <w:rPr>
          <w:rFonts w:ascii="Arial" w:hAnsi="Arial" w:cs="Arial"/>
          <w:sz w:val="22"/>
          <w:szCs w:val="22"/>
        </w:rPr>
        <w:t>advice</w:t>
      </w:r>
      <w:r w:rsidRPr="00AB5419">
        <w:rPr>
          <w:rFonts w:ascii="Arial" w:hAnsi="Arial" w:cs="Arial"/>
          <w:sz w:val="22"/>
          <w:szCs w:val="22"/>
        </w:rPr>
        <w:t xml:space="preserve"> in November 2015. </w:t>
      </w:r>
    </w:p>
    <w:p w:rsidR="003759B4" w:rsidRPr="005B51F7" w:rsidRDefault="003759B4">
      <w:pPr>
        <w:rPr>
          <w:rFonts w:ascii="Arial" w:hAnsi="Arial"/>
          <w:b/>
          <w:sz w:val="22"/>
          <w:szCs w:val="22"/>
        </w:rPr>
      </w:pPr>
    </w:p>
    <w:p w:rsidR="00A55FEE" w:rsidRPr="00A55FEE" w:rsidRDefault="00A55FEE" w:rsidP="00A55FEE">
      <w:pPr>
        <w:ind w:left="720" w:hanging="720"/>
        <w:jc w:val="both"/>
        <w:rPr>
          <w:rFonts w:ascii="Arial" w:hAnsi="Arial"/>
          <w:b/>
          <w:i/>
          <w:sz w:val="22"/>
          <w:szCs w:val="22"/>
        </w:rPr>
      </w:pPr>
      <w:r w:rsidRPr="00A55FEE">
        <w:rPr>
          <w:rFonts w:ascii="Arial" w:hAnsi="Arial"/>
          <w:b/>
          <w:i/>
          <w:sz w:val="22"/>
          <w:szCs w:val="22"/>
        </w:rPr>
        <w:t>Drug cost/</w:t>
      </w:r>
      <w:r w:rsidR="00CE7ADF">
        <w:rPr>
          <w:rFonts w:ascii="Arial" w:hAnsi="Arial"/>
          <w:b/>
          <w:i/>
          <w:sz w:val="22"/>
          <w:szCs w:val="22"/>
        </w:rPr>
        <w:t xml:space="preserve"> chemotherapy ‘journey’ with oxaliplatin/carboplatin</w:t>
      </w:r>
      <w:r w:rsidRPr="00A55FEE">
        <w:rPr>
          <w:rFonts w:ascii="Arial" w:hAnsi="Arial"/>
          <w:b/>
          <w:i/>
          <w:sz w:val="22"/>
          <w:szCs w:val="22"/>
        </w:rPr>
        <w:t>: $</w:t>
      </w:r>
      <w:r w:rsidR="00D03668">
        <w:rPr>
          <w:rFonts w:ascii="Arial" w:hAnsi="Arial"/>
          <w:b/>
          <w:i/>
          <w:noProof/>
          <w:color w:val="000000"/>
          <w:sz w:val="22"/>
          <w:szCs w:val="22"/>
          <w:highlight w:val="black"/>
        </w:rPr>
        <w:t>''''''''''''</w:t>
      </w:r>
      <w:r w:rsidR="00CE7ADF">
        <w:rPr>
          <w:rFonts w:ascii="Arial" w:hAnsi="Arial"/>
          <w:b/>
          <w:i/>
          <w:sz w:val="22"/>
          <w:szCs w:val="22"/>
        </w:rPr>
        <w:t>/ $</w:t>
      </w:r>
      <w:r w:rsidR="00D03668">
        <w:rPr>
          <w:rFonts w:ascii="Arial" w:hAnsi="Arial"/>
          <w:b/>
          <w:i/>
          <w:noProof/>
          <w:color w:val="000000"/>
          <w:sz w:val="22"/>
          <w:szCs w:val="22"/>
          <w:highlight w:val="black"/>
        </w:rPr>
        <w:t>'''''''''''''</w:t>
      </w:r>
    </w:p>
    <w:p w:rsidR="00A55FEE" w:rsidRPr="00A55FEE" w:rsidRDefault="00A55FEE" w:rsidP="00A55FEE">
      <w:pPr>
        <w:ind w:left="720" w:hanging="720"/>
        <w:jc w:val="both"/>
        <w:rPr>
          <w:rFonts w:ascii="Arial" w:hAnsi="Arial"/>
          <w:b/>
          <w:i/>
          <w:sz w:val="22"/>
          <w:szCs w:val="22"/>
        </w:rPr>
      </w:pPr>
    </w:p>
    <w:p w:rsidR="00CE7ADF" w:rsidRDefault="00CE7ADF" w:rsidP="00CE7ADF">
      <w:pPr>
        <w:pStyle w:val="ListParagraph"/>
        <w:numPr>
          <w:ilvl w:val="1"/>
          <w:numId w:val="2"/>
        </w:numPr>
        <w:jc w:val="both"/>
        <w:rPr>
          <w:rFonts w:ascii="Arial" w:hAnsi="Arial"/>
          <w:sz w:val="22"/>
          <w:szCs w:val="22"/>
        </w:rPr>
      </w:pPr>
      <w:r w:rsidRPr="00CE7ADF">
        <w:rPr>
          <w:rFonts w:ascii="Arial" w:hAnsi="Arial"/>
          <w:sz w:val="22"/>
          <w:szCs w:val="22"/>
        </w:rPr>
        <w:t xml:space="preserve">The estimate was based on 4.35 cycles and 7.28 cycles per chemotherapy journey with carboplatin and oxaliplatin, 93.7% of chemotherapy cycles where aprepitant is used, assuming that one script of aprepitant is administered per </w:t>
      </w:r>
      <w:r w:rsidRPr="00A30DD5">
        <w:rPr>
          <w:rFonts w:ascii="Arial" w:hAnsi="Arial"/>
          <w:sz w:val="22"/>
          <w:szCs w:val="22"/>
        </w:rPr>
        <w:t>cycle (</w:t>
      </w:r>
      <w:r w:rsidR="00A30DD5" w:rsidRPr="00A30DD5">
        <w:rPr>
          <w:rFonts w:ascii="Arial" w:hAnsi="Arial"/>
          <w:sz w:val="22"/>
          <w:szCs w:val="22"/>
        </w:rPr>
        <w:t>EMEND</w:t>
      </w:r>
      <w:r w:rsidRPr="00A30DD5">
        <w:rPr>
          <w:rFonts w:ascii="Arial" w:hAnsi="Arial"/>
          <w:sz w:val="22"/>
          <w:szCs w:val="22"/>
        </w:rPr>
        <w:t xml:space="preserve"> </w:t>
      </w:r>
      <w:r w:rsidR="00A30DD5" w:rsidRPr="00A30DD5">
        <w:rPr>
          <w:rFonts w:ascii="Arial" w:hAnsi="Arial"/>
          <w:sz w:val="22"/>
          <w:szCs w:val="22"/>
        </w:rPr>
        <w:t>Financial Estimates</w:t>
      </w:r>
      <w:r w:rsidRPr="00A30DD5">
        <w:rPr>
          <w:rFonts w:ascii="Arial" w:hAnsi="Arial"/>
          <w:sz w:val="22"/>
          <w:szCs w:val="22"/>
        </w:rPr>
        <w:t xml:space="preserve">.xls), and a cost per script of </w:t>
      </w:r>
      <w:r w:rsidR="00A30DD5" w:rsidRPr="00A30DD5">
        <w:rPr>
          <w:rFonts w:ascii="Arial" w:hAnsi="Arial"/>
          <w:sz w:val="22"/>
          <w:szCs w:val="22"/>
        </w:rPr>
        <w:t>$</w:t>
      </w:r>
      <w:r w:rsidR="00D03668">
        <w:rPr>
          <w:rFonts w:ascii="Arial" w:hAnsi="Arial"/>
          <w:noProof/>
          <w:color w:val="000000"/>
          <w:sz w:val="22"/>
          <w:szCs w:val="22"/>
          <w:highlight w:val="black"/>
        </w:rPr>
        <w:t>'''''''''''''''</w:t>
      </w:r>
      <w:r w:rsidRPr="00A30DD5">
        <w:rPr>
          <w:rFonts w:ascii="Arial" w:hAnsi="Arial"/>
          <w:sz w:val="22"/>
          <w:szCs w:val="22"/>
        </w:rPr>
        <w:t xml:space="preserve"> (including co-payments</w:t>
      </w:r>
      <w:r w:rsidRPr="00CE7ADF">
        <w:rPr>
          <w:rFonts w:ascii="Arial" w:hAnsi="Arial"/>
          <w:sz w:val="22"/>
          <w:szCs w:val="22"/>
        </w:rPr>
        <w:t>).</w:t>
      </w:r>
    </w:p>
    <w:p w:rsidR="00CE7ADF" w:rsidRPr="00CE7ADF" w:rsidRDefault="00CE7ADF" w:rsidP="00CE7ADF">
      <w:pPr>
        <w:jc w:val="both"/>
        <w:rPr>
          <w:rFonts w:ascii="Arial" w:hAnsi="Arial"/>
          <w:sz w:val="22"/>
          <w:szCs w:val="22"/>
        </w:rPr>
      </w:pPr>
    </w:p>
    <w:p w:rsidR="005A3173" w:rsidRPr="00A00B38" w:rsidRDefault="005A3173" w:rsidP="00A00B38">
      <w:pPr>
        <w:pStyle w:val="Heading2"/>
      </w:pPr>
      <w:r w:rsidRPr="00A00B38">
        <w:t>Estimated PBS usage &amp; financial implications</w:t>
      </w:r>
    </w:p>
    <w:p w:rsidR="005A3173" w:rsidRPr="00882085" w:rsidRDefault="005A3173" w:rsidP="00882085">
      <w:pPr>
        <w:ind w:left="720" w:hanging="720"/>
        <w:jc w:val="both"/>
        <w:rPr>
          <w:rFonts w:ascii="Arial" w:hAnsi="Arial"/>
          <w:b/>
          <w:i/>
          <w:sz w:val="22"/>
          <w:szCs w:val="22"/>
        </w:rPr>
      </w:pPr>
    </w:p>
    <w:p w:rsidR="00C00DA7" w:rsidRDefault="00FF2801" w:rsidP="009451FF">
      <w:pPr>
        <w:pStyle w:val="ListParagraph"/>
        <w:numPr>
          <w:ilvl w:val="1"/>
          <w:numId w:val="2"/>
        </w:numPr>
        <w:jc w:val="both"/>
        <w:rPr>
          <w:rFonts w:ascii="Arial" w:hAnsi="Arial"/>
          <w:sz w:val="22"/>
          <w:szCs w:val="22"/>
        </w:rPr>
      </w:pPr>
      <w:r w:rsidRPr="009451FF">
        <w:rPr>
          <w:rFonts w:ascii="Arial" w:hAnsi="Arial"/>
          <w:sz w:val="22"/>
          <w:szCs w:val="22"/>
        </w:rPr>
        <w:t>The minor submission estimated</w:t>
      </w:r>
      <w:r w:rsidR="00794EBF" w:rsidRPr="009451FF">
        <w:rPr>
          <w:rFonts w:ascii="Arial" w:hAnsi="Arial"/>
          <w:sz w:val="22"/>
          <w:szCs w:val="22"/>
        </w:rPr>
        <w:t xml:space="preserve"> a net cost</w:t>
      </w:r>
      <w:r w:rsidR="00C00DA7" w:rsidRPr="009451FF">
        <w:rPr>
          <w:rFonts w:ascii="Arial" w:hAnsi="Arial"/>
          <w:sz w:val="22"/>
          <w:szCs w:val="22"/>
        </w:rPr>
        <w:t xml:space="preserve"> to</w:t>
      </w:r>
      <w:r w:rsidR="00794EBF" w:rsidRPr="009451FF">
        <w:rPr>
          <w:rFonts w:ascii="Arial" w:hAnsi="Arial"/>
          <w:sz w:val="22"/>
          <w:szCs w:val="22"/>
        </w:rPr>
        <w:t xml:space="preserve"> the PBS of </w:t>
      </w:r>
      <w:r w:rsidR="008909C2">
        <w:rPr>
          <w:rFonts w:ascii="Arial" w:hAnsi="Arial"/>
          <w:sz w:val="22"/>
          <w:szCs w:val="22"/>
        </w:rPr>
        <w:t>less than $10 million</w:t>
      </w:r>
      <w:r w:rsidR="00F029AC" w:rsidRPr="009451FF">
        <w:rPr>
          <w:rFonts w:ascii="Arial" w:hAnsi="Arial"/>
          <w:sz w:val="22"/>
          <w:szCs w:val="22"/>
        </w:rPr>
        <w:t xml:space="preserve"> in</w:t>
      </w:r>
      <w:r w:rsidR="00C00DA7" w:rsidRPr="009451FF">
        <w:rPr>
          <w:rFonts w:ascii="Arial" w:hAnsi="Arial"/>
          <w:sz w:val="22"/>
          <w:szCs w:val="22"/>
        </w:rPr>
        <w:t xml:space="preserve"> Year 5 of</w:t>
      </w:r>
      <w:r w:rsidR="009870C5" w:rsidRPr="009451FF">
        <w:rPr>
          <w:rFonts w:ascii="Arial" w:hAnsi="Arial"/>
          <w:sz w:val="22"/>
          <w:szCs w:val="22"/>
        </w:rPr>
        <w:t xml:space="preserve"> listing, with a total net cost</w:t>
      </w:r>
      <w:r w:rsidR="00C00DA7" w:rsidRPr="009451FF">
        <w:rPr>
          <w:rFonts w:ascii="Arial" w:hAnsi="Arial"/>
          <w:sz w:val="22"/>
          <w:szCs w:val="22"/>
        </w:rPr>
        <w:t xml:space="preserve"> to the PBS of </w:t>
      </w:r>
      <w:r w:rsidR="008909C2">
        <w:rPr>
          <w:rFonts w:ascii="Arial" w:hAnsi="Arial"/>
          <w:sz w:val="22"/>
          <w:szCs w:val="22"/>
        </w:rPr>
        <w:t>$10 - $20 million</w:t>
      </w:r>
      <w:r w:rsidR="009870C5" w:rsidRPr="009451FF">
        <w:rPr>
          <w:rFonts w:ascii="Arial" w:hAnsi="Arial"/>
          <w:sz w:val="22"/>
          <w:szCs w:val="22"/>
        </w:rPr>
        <w:t xml:space="preserve"> </w:t>
      </w:r>
      <w:r w:rsidR="00C00DA7" w:rsidRPr="009451FF">
        <w:rPr>
          <w:rFonts w:ascii="Arial" w:hAnsi="Arial"/>
          <w:sz w:val="22"/>
          <w:szCs w:val="22"/>
        </w:rPr>
        <w:t>over the first 5 years of listing.  This is summarised in the table below</w:t>
      </w:r>
      <w:r w:rsidR="009451FF">
        <w:rPr>
          <w:rFonts w:ascii="Arial" w:hAnsi="Arial"/>
          <w:sz w:val="22"/>
          <w:szCs w:val="22"/>
        </w:rPr>
        <w:t>, with comparison to the previous</w:t>
      </w:r>
      <w:r w:rsidR="00014AE1">
        <w:rPr>
          <w:rFonts w:ascii="Arial" w:hAnsi="Arial"/>
          <w:sz w:val="22"/>
          <w:szCs w:val="22"/>
        </w:rPr>
        <w:t xml:space="preserve"> submission financial estimates, as well as the revised estimates proposed by the sponsor in the pre-PBAC Response.</w:t>
      </w:r>
      <w:r w:rsidR="009451FF">
        <w:rPr>
          <w:rFonts w:ascii="Arial" w:hAnsi="Arial"/>
          <w:sz w:val="22"/>
          <w:szCs w:val="22"/>
        </w:rPr>
        <w:t xml:space="preserve"> The </w:t>
      </w:r>
      <w:r w:rsidR="00C00DA7" w:rsidRPr="009451FF">
        <w:rPr>
          <w:rFonts w:ascii="Arial" w:hAnsi="Arial"/>
          <w:sz w:val="22"/>
          <w:szCs w:val="22"/>
        </w:rPr>
        <w:t xml:space="preserve">expected </w:t>
      </w:r>
      <w:r w:rsidR="00F66BE9" w:rsidRPr="009451FF">
        <w:rPr>
          <w:rFonts w:ascii="Arial" w:hAnsi="Arial"/>
          <w:sz w:val="22"/>
          <w:szCs w:val="22"/>
        </w:rPr>
        <w:t xml:space="preserve">number of chemotherapy journeys and </w:t>
      </w:r>
      <w:r w:rsidR="00C00DA7" w:rsidRPr="009451FF">
        <w:rPr>
          <w:rFonts w:ascii="Arial" w:hAnsi="Arial"/>
          <w:sz w:val="22"/>
          <w:szCs w:val="22"/>
        </w:rPr>
        <w:t>prescription numbers</w:t>
      </w:r>
      <w:r w:rsidR="009451FF">
        <w:rPr>
          <w:rFonts w:ascii="Arial" w:hAnsi="Arial"/>
          <w:sz w:val="22"/>
          <w:szCs w:val="22"/>
        </w:rPr>
        <w:t xml:space="preserve"> are also present</w:t>
      </w:r>
      <w:r w:rsidR="00014AE1">
        <w:rPr>
          <w:rFonts w:ascii="Arial" w:hAnsi="Arial"/>
          <w:sz w:val="22"/>
          <w:szCs w:val="22"/>
        </w:rPr>
        <w:t>ed</w:t>
      </w:r>
      <w:r w:rsidR="009451FF">
        <w:rPr>
          <w:rFonts w:ascii="Arial" w:hAnsi="Arial"/>
          <w:sz w:val="22"/>
          <w:szCs w:val="22"/>
        </w:rPr>
        <w:t xml:space="preserve"> below, and remain</w:t>
      </w:r>
      <w:r w:rsidR="00F029AC">
        <w:rPr>
          <w:rFonts w:ascii="Arial" w:hAnsi="Arial"/>
          <w:sz w:val="22"/>
          <w:szCs w:val="22"/>
        </w:rPr>
        <w:t>ed</w:t>
      </w:r>
      <w:r w:rsidR="009451FF">
        <w:rPr>
          <w:rFonts w:ascii="Arial" w:hAnsi="Arial"/>
          <w:sz w:val="22"/>
          <w:szCs w:val="22"/>
        </w:rPr>
        <w:t xml:space="preserve"> unchanged from the previous submission.</w:t>
      </w:r>
    </w:p>
    <w:p w:rsidR="00BB7EC3" w:rsidRPr="00C00DA7" w:rsidRDefault="00BB7EC3" w:rsidP="00C00DA7">
      <w:pPr>
        <w:jc w:val="both"/>
        <w:rPr>
          <w:rFonts w:ascii="Arial" w:hAnsi="Arial"/>
          <w:sz w:val="22"/>
          <w:szCs w:val="22"/>
        </w:rPr>
      </w:pPr>
    </w:p>
    <w:p w:rsidR="00A02025" w:rsidRPr="009451FF" w:rsidRDefault="003C2E7E" w:rsidP="00A02025">
      <w:pPr>
        <w:ind w:firstLine="709"/>
        <w:rPr>
          <w:rStyle w:val="CommentReference"/>
          <w:rFonts w:ascii="Arial Narrow" w:hAnsi="Arial Narrow"/>
          <w:b/>
          <w:sz w:val="22"/>
        </w:rPr>
      </w:pPr>
      <w:r>
        <w:rPr>
          <w:rStyle w:val="CommentReference"/>
          <w:rFonts w:ascii="Arial Narrow" w:hAnsi="Arial Narrow"/>
          <w:b/>
          <w:sz w:val="22"/>
        </w:rPr>
        <w:t>Table 2</w:t>
      </w:r>
      <w:r w:rsidR="00A02025" w:rsidRPr="004A2E88">
        <w:rPr>
          <w:rStyle w:val="CommentReference"/>
          <w:rFonts w:ascii="Arial Narrow" w:hAnsi="Arial Narrow"/>
          <w:b/>
          <w:sz w:val="22"/>
        </w:rPr>
        <w:t>: 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9"/>
        <w:gridCol w:w="1134"/>
        <w:gridCol w:w="1133"/>
        <w:gridCol w:w="1275"/>
        <w:gridCol w:w="1275"/>
        <w:gridCol w:w="1260"/>
      </w:tblGrid>
      <w:tr w:rsidR="00A02025" w:rsidRPr="009451FF" w:rsidTr="004352AB">
        <w:trPr>
          <w:tblHeader/>
        </w:trPr>
        <w:tc>
          <w:tcPr>
            <w:tcW w:w="1359" w:type="pct"/>
            <w:shd w:val="clear" w:color="auto" w:fill="auto"/>
            <w:vAlign w:val="center"/>
          </w:tcPr>
          <w:p w:rsidR="00A02025" w:rsidRPr="009451FF" w:rsidRDefault="00A02025" w:rsidP="004352AB">
            <w:pPr>
              <w:tabs>
                <w:tab w:val="left" w:pos="142"/>
              </w:tabs>
              <w:rPr>
                <w:rFonts w:ascii="Arial Narrow" w:hAnsi="Arial Narrow"/>
                <w:b/>
                <w:sz w:val="20"/>
              </w:rPr>
            </w:pPr>
          </w:p>
        </w:tc>
        <w:tc>
          <w:tcPr>
            <w:tcW w:w="679" w:type="pct"/>
            <w:shd w:val="clear" w:color="auto" w:fill="auto"/>
            <w:vAlign w:val="center"/>
          </w:tcPr>
          <w:p w:rsidR="00A02025" w:rsidRPr="009451FF" w:rsidRDefault="00A02025" w:rsidP="004352AB">
            <w:pPr>
              <w:jc w:val="center"/>
              <w:rPr>
                <w:rFonts w:ascii="Arial Narrow" w:hAnsi="Arial Narrow"/>
                <w:b/>
                <w:sz w:val="20"/>
              </w:rPr>
            </w:pPr>
            <w:r w:rsidRPr="009451FF">
              <w:rPr>
                <w:rFonts w:ascii="Arial Narrow" w:hAnsi="Arial Narrow"/>
                <w:b/>
                <w:sz w:val="20"/>
              </w:rPr>
              <w:t>Year 1</w:t>
            </w:r>
          </w:p>
        </w:tc>
        <w:tc>
          <w:tcPr>
            <w:tcW w:w="679" w:type="pct"/>
            <w:shd w:val="clear" w:color="auto" w:fill="auto"/>
            <w:vAlign w:val="center"/>
          </w:tcPr>
          <w:p w:rsidR="00A02025" w:rsidRPr="009451FF" w:rsidRDefault="00A02025" w:rsidP="004352AB">
            <w:pPr>
              <w:jc w:val="center"/>
              <w:rPr>
                <w:rFonts w:ascii="Arial Narrow" w:hAnsi="Arial Narrow"/>
                <w:b/>
                <w:sz w:val="20"/>
              </w:rPr>
            </w:pPr>
            <w:r w:rsidRPr="009451FF">
              <w:rPr>
                <w:rFonts w:ascii="Arial Narrow" w:hAnsi="Arial Narrow"/>
                <w:b/>
                <w:sz w:val="20"/>
              </w:rPr>
              <w:t>Year 2</w:t>
            </w:r>
          </w:p>
        </w:tc>
        <w:tc>
          <w:tcPr>
            <w:tcW w:w="764" w:type="pct"/>
            <w:shd w:val="clear" w:color="auto" w:fill="auto"/>
            <w:vAlign w:val="center"/>
          </w:tcPr>
          <w:p w:rsidR="00A02025" w:rsidRPr="009451FF" w:rsidRDefault="00A02025" w:rsidP="004352AB">
            <w:pPr>
              <w:jc w:val="center"/>
              <w:rPr>
                <w:rFonts w:ascii="Arial Narrow" w:hAnsi="Arial Narrow"/>
                <w:b/>
                <w:sz w:val="20"/>
              </w:rPr>
            </w:pPr>
            <w:r w:rsidRPr="009451FF">
              <w:rPr>
                <w:rFonts w:ascii="Arial Narrow" w:hAnsi="Arial Narrow"/>
                <w:b/>
                <w:sz w:val="20"/>
              </w:rPr>
              <w:t>Year 3</w:t>
            </w:r>
          </w:p>
        </w:tc>
        <w:tc>
          <w:tcPr>
            <w:tcW w:w="764" w:type="pct"/>
            <w:shd w:val="clear" w:color="auto" w:fill="auto"/>
            <w:vAlign w:val="center"/>
          </w:tcPr>
          <w:p w:rsidR="00A02025" w:rsidRPr="009451FF" w:rsidRDefault="00A02025" w:rsidP="004352AB">
            <w:pPr>
              <w:jc w:val="center"/>
              <w:rPr>
                <w:rFonts w:ascii="Arial Narrow" w:hAnsi="Arial Narrow"/>
                <w:b/>
                <w:sz w:val="20"/>
              </w:rPr>
            </w:pPr>
            <w:r w:rsidRPr="009451FF">
              <w:rPr>
                <w:rFonts w:ascii="Arial Narrow" w:hAnsi="Arial Narrow"/>
                <w:b/>
                <w:sz w:val="20"/>
              </w:rPr>
              <w:t>Year 4</w:t>
            </w:r>
          </w:p>
        </w:tc>
        <w:tc>
          <w:tcPr>
            <w:tcW w:w="755" w:type="pct"/>
            <w:shd w:val="clear" w:color="auto" w:fill="auto"/>
            <w:vAlign w:val="center"/>
          </w:tcPr>
          <w:p w:rsidR="00A02025" w:rsidRPr="009451FF" w:rsidRDefault="00A02025" w:rsidP="004352AB">
            <w:pPr>
              <w:jc w:val="center"/>
              <w:rPr>
                <w:rFonts w:ascii="Arial Narrow" w:hAnsi="Arial Narrow"/>
                <w:b/>
                <w:sz w:val="20"/>
              </w:rPr>
            </w:pPr>
            <w:r w:rsidRPr="009451FF">
              <w:rPr>
                <w:rFonts w:ascii="Arial Narrow" w:hAnsi="Arial Narrow"/>
                <w:b/>
                <w:sz w:val="20"/>
              </w:rPr>
              <w:t>Year 5</w:t>
            </w:r>
          </w:p>
        </w:tc>
      </w:tr>
      <w:tr w:rsidR="00A02025" w:rsidRPr="00A02025" w:rsidTr="004352AB">
        <w:tc>
          <w:tcPr>
            <w:tcW w:w="5000" w:type="pct"/>
            <w:gridSpan w:val="6"/>
            <w:shd w:val="clear" w:color="auto" w:fill="auto"/>
            <w:vAlign w:val="center"/>
          </w:tcPr>
          <w:p w:rsidR="00A02025" w:rsidRPr="009451FF" w:rsidRDefault="00A02025" w:rsidP="004352AB">
            <w:pPr>
              <w:rPr>
                <w:rFonts w:ascii="Arial Narrow" w:hAnsi="Arial Narrow"/>
                <w:b/>
                <w:bCs/>
                <w:color w:val="000000"/>
                <w:sz w:val="20"/>
              </w:rPr>
            </w:pPr>
            <w:r w:rsidRPr="009451FF">
              <w:rPr>
                <w:rFonts w:ascii="Arial Narrow" w:hAnsi="Arial Narrow"/>
                <w:b/>
                <w:bCs/>
                <w:color w:val="000000"/>
                <w:sz w:val="20"/>
              </w:rPr>
              <w:t>Estimated extent of use with a change to the PBS listing</w:t>
            </w:r>
          </w:p>
        </w:tc>
      </w:tr>
      <w:tr w:rsidR="00A02025" w:rsidRPr="00DF6655" w:rsidTr="004352AB">
        <w:tc>
          <w:tcPr>
            <w:tcW w:w="1359" w:type="pct"/>
            <w:shd w:val="clear" w:color="auto" w:fill="auto"/>
            <w:vAlign w:val="center"/>
          </w:tcPr>
          <w:p w:rsidR="00A02025" w:rsidRPr="00DF6655" w:rsidRDefault="00A02025" w:rsidP="004352AB">
            <w:pPr>
              <w:tabs>
                <w:tab w:val="left" w:pos="142"/>
              </w:tabs>
              <w:rPr>
                <w:rFonts w:ascii="Arial Narrow" w:hAnsi="Arial Narrow"/>
                <w:sz w:val="20"/>
              </w:rPr>
            </w:pPr>
            <w:r w:rsidRPr="00DF6655">
              <w:rPr>
                <w:rFonts w:ascii="Arial Narrow" w:hAnsi="Arial Narrow"/>
                <w:sz w:val="20"/>
              </w:rPr>
              <w:t>Total chemotherapy journeys</w:t>
            </w:r>
          </w:p>
        </w:tc>
        <w:tc>
          <w:tcPr>
            <w:tcW w:w="679" w:type="pct"/>
            <w:shd w:val="clear" w:color="auto" w:fill="auto"/>
            <w:vAlign w:val="center"/>
          </w:tcPr>
          <w:p w:rsidR="00A02025" w:rsidRPr="00D03668" w:rsidRDefault="00D03668" w:rsidP="004352AB">
            <w:pPr>
              <w:tabs>
                <w:tab w:val="left" w:pos="142"/>
              </w:tabs>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center"/>
          </w:tcPr>
          <w:p w:rsidR="00A02025" w:rsidRPr="00D03668" w:rsidRDefault="00D03668" w:rsidP="004352AB">
            <w:pPr>
              <w:tabs>
                <w:tab w:val="left" w:pos="142"/>
              </w:tabs>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A02025" w:rsidRPr="00D03668" w:rsidRDefault="00D03668" w:rsidP="004352AB">
            <w:pPr>
              <w:tabs>
                <w:tab w:val="left" w:pos="142"/>
              </w:tabs>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A02025" w:rsidRPr="00D03668" w:rsidRDefault="00D03668" w:rsidP="004352AB">
            <w:pPr>
              <w:tabs>
                <w:tab w:val="left" w:pos="142"/>
              </w:tabs>
              <w:jc w:val="center"/>
              <w:rPr>
                <w:rFonts w:ascii="Arial Narrow" w:hAnsi="Arial Narrow"/>
                <w:sz w:val="20"/>
                <w:highlight w:val="black"/>
              </w:rPr>
            </w:pPr>
            <w:r>
              <w:rPr>
                <w:rFonts w:ascii="Arial Narrow" w:hAnsi="Arial Narrow"/>
                <w:noProof/>
                <w:color w:val="000000"/>
                <w:sz w:val="20"/>
                <w:highlight w:val="black"/>
              </w:rPr>
              <w:t>'''''''''''''''</w:t>
            </w:r>
          </w:p>
        </w:tc>
        <w:tc>
          <w:tcPr>
            <w:tcW w:w="755" w:type="pct"/>
            <w:shd w:val="clear" w:color="auto" w:fill="auto"/>
            <w:vAlign w:val="center"/>
          </w:tcPr>
          <w:p w:rsidR="00A02025" w:rsidRPr="00D03668" w:rsidRDefault="00D03668" w:rsidP="004352AB">
            <w:pPr>
              <w:tabs>
                <w:tab w:val="left" w:pos="142"/>
              </w:tabs>
              <w:jc w:val="center"/>
              <w:rPr>
                <w:rFonts w:ascii="Arial Narrow" w:hAnsi="Arial Narrow"/>
                <w:sz w:val="20"/>
                <w:highlight w:val="black"/>
              </w:rPr>
            </w:pPr>
            <w:r>
              <w:rPr>
                <w:rFonts w:ascii="Arial Narrow" w:hAnsi="Arial Narrow"/>
                <w:noProof/>
                <w:color w:val="000000"/>
                <w:sz w:val="20"/>
                <w:highlight w:val="black"/>
              </w:rPr>
              <w:t>'''''''''''''''''</w:t>
            </w:r>
          </w:p>
        </w:tc>
      </w:tr>
      <w:tr w:rsidR="00A02025" w:rsidRPr="00A02025" w:rsidTr="004352AB">
        <w:tc>
          <w:tcPr>
            <w:tcW w:w="1359" w:type="pct"/>
            <w:shd w:val="clear" w:color="auto" w:fill="auto"/>
            <w:vAlign w:val="center"/>
          </w:tcPr>
          <w:p w:rsidR="00A02025" w:rsidRPr="009451FF" w:rsidRDefault="00A02025" w:rsidP="009451FF">
            <w:pPr>
              <w:tabs>
                <w:tab w:val="left" w:pos="142"/>
              </w:tabs>
              <w:rPr>
                <w:rFonts w:ascii="Arial Narrow" w:hAnsi="Arial Narrow"/>
                <w:sz w:val="20"/>
              </w:rPr>
            </w:pPr>
            <w:r w:rsidRPr="009451FF">
              <w:rPr>
                <w:rFonts w:ascii="Arial Narrow" w:hAnsi="Arial Narrow"/>
                <w:sz w:val="20"/>
              </w:rPr>
              <w:t>Proportion of chemotherapy journeys with aprepitant</w:t>
            </w:r>
            <w:r w:rsidR="00DF6655" w:rsidRPr="009451FF">
              <w:rPr>
                <w:rFonts w:ascii="Arial Narrow" w:hAnsi="Arial Narrow"/>
                <w:sz w:val="20"/>
              </w:rPr>
              <w:t xml:space="preserve"> </w:t>
            </w:r>
          </w:p>
        </w:tc>
        <w:tc>
          <w:tcPr>
            <w:tcW w:w="679" w:type="pct"/>
            <w:shd w:val="clear" w:color="auto" w:fill="auto"/>
            <w:vAlign w:val="center"/>
          </w:tcPr>
          <w:p w:rsidR="00A02025" w:rsidRPr="009451FF" w:rsidRDefault="00A02025" w:rsidP="004352AB">
            <w:pPr>
              <w:tabs>
                <w:tab w:val="left" w:pos="142"/>
              </w:tabs>
              <w:jc w:val="center"/>
              <w:rPr>
                <w:rFonts w:ascii="Arial Narrow" w:hAnsi="Arial Narrow"/>
                <w:sz w:val="20"/>
              </w:rPr>
            </w:pPr>
            <w:r w:rsidRPr="009451FF">
              <w:rPr>
                <w:rFonts w:ascii="Arial Narrow" w:hAnsi="Arial Narrow"/>
                <w:sz w:val="20"/>
              </w:rPr>
              <w:t>41.4%</w:t>
            </w:r>
          </w:p>
        </w:tc>
        <w:tc>
          <w:tcPr>
            <w:tcW w:w="679" w:type="pct"/>
            <w:shd w:val="clear" w:color="auto" w:fill="auto"/>
            <w:vAlign w:val="center"/>
          </w:tcPr>
          <w:p w:rsidR="00A02025" w:rsidRPr="009451FF" w:rsidRDefault="00A02025" w:rsidP="004352AB">
            <w:pPr>
              <w:tabs>
                <w:tab w:val="left" w:pos="142"/>
              </w:tabs>
              <w:jc w:val="center"/>
              <w:rPr>
                <w:rFonts w:ascii="Arial Narrow" w:hAnsi="Arial Narrow"/>
                <w:sz w:val="20"/>
              </w:rPr>
            </w:pPr>
            <w:r w:rsidRPr="009451FF">
              <w:rPr>
                <w:rFonts w:ascii="Arial Narrow" w:hAnsi="Arial Narrow"/>
                <w:sz w:val="20"/>
              </w:rPr>
              <w:t>50.2%</w:t>
            </w:r>
          </w:p>
        </w:tc>
        <w:tc>
          <w:tcPr>
            <w:tcW w:w="764" w:type="pct"/>
            <w:shd w:val="clear" w:color="auto" w:fill="auto"/>
            <w:vAlign w:val="center"/>
          </w:tcPr>
          <w:p w:rsidR="00A02025" w:rsidRPr="009451FF" w:rsidRDefault="00A02025" w:rsidP="004352AB">
            <w:pPr>
              <w:tabs>
                <w:tab w:val="left" w:pos="142"/>
              </w:tabs>
              <w:jc w:val="center"/>
              <w:rPr>
                <w:rFonts w:ascii="Arial Narrow" w:hAnsi="Arial Narrow"/>
                <w:sz w:val="20"/>
              </w:rPr>
            </w:pPr>
            <w:r w:rsidRPr="009451FF">
              <w:rPr>
                <w:rFonts w:ascii="Arial Narrow" w:hAnsi="Arial Narrow"/>
                <w:sz w:val="20"/>
              </w:rPr>
              <w:t>53.8%</w:t>
            </w:r>
          </w:p>
        </w:tc>
        <w:tc>
          <w:tcPr>
            <w:tcW w:w="764" w:type="pct"/>
            <w:shd w:val="clear" w:color="auto" w:fill="auto"/>
            <w:vAlign w:val="center"/>
          </w:tcPr>
          <w:p w:rsidR="00A02025" w:rsidRPr="009451FF" w:rsidRDefault="00A02025" w:rsidP="004352AB">
            <w:pPr>
              <w:tabs>
                <w:tab w:val="left" w:pos="142"/>
              </w:tabs>
              <w:jc w:val="center"/>
              <w:rPr>
                <w:rFonts w:ascii="Arial Narrow" w:hAnsi="Arial Narrow"/>
                <w:sz w:val="20"/>
              </w:rPr>
            </w:pPr>
            <w:r w:rsidRPr="009451FF">
              <w:rPr>
                <w:rFonts w:ascii="Arial Narrow" w:hAnsi="Arial Narrow"/>
                <w:sz w:val="20"/>
              </w:rPr>
              <w:t>56.3%</w:t>
            </w:r>
          </w:p>
        </w:tc>
        <w:tc>
          <w:tcPr>
            <w:tcW w:w="755" w:type="pct"/>
            <w:shd w:val="clear" w:color="auto" w:fill="auto"/>
            <w:vAlign w:val="center"/>
          </w:tcPr>
          <w:p w:rsidR="00A02025" w:rsidRPr="009451FF" w:rsidRDefault="00A02025" w:rsidP="004352AB">
            <w:pPr>
              <w:tabs>
                <w:tab w:val="left" w:pos="142"/>
              </w:tabs>
              <w:jc w:val="center"/>
              <w:rPr>
                <w:rFonts w:ascii="Arial Narrow" w:hAnsi="Arial Narrow"/>
                <w:sz w:val="20"/>
              </w:rPr>
            </w:pPr>
            <w:r w:rsidRPr="009451FF">
              <w:rPr>
                <w:rFonts w:ascii="Arial Narrow" w:hAnsi="Arial Narrow"/>
                <w:sz w:val="20"/>
              </w:rPr>
              <w:t>57.2%</w:t>
            </w:r>
          </w:p>
        </w:tc>
      </w:tr>
      <w:tr w:rsidR="00A02025" w:rsidRPr="00DF6655" w:rsidTr="004352AB">
        <w:tc>
          <w:tcPr>
            <w:tcW w:w="1359" w:type="pct"/>
            <w:shd w:val="clear" w:color="auto" w:fill="auto"/>
            <w:vAlign w:val="center"/>
          </w:tcPr>
          <w:p w:rsidR="00A02025" w:rsidRPr="00DF6655" w:rsidRDefault="00A02025" w:rsidP="004352AB">
            <w:pPr>
              <w:tabs>
                <w:tab w:val="left" w:pos="142"/>
              </w:tabs>
              <w:rPr>
                <w:rFonts w:ascii="Arial Narrow" w:hAnsi="Arial Narrow"/>
                <w:sz w:val="20"/>
              </w:rPr>
            </w:pPr>
            <w:r w:rsidRPr="00DF6655">
              <w:rPr>
                <w:rFonts w:ascii="Arial Narrow" w:hAnsi="Arial Narrow"/>
                <w:sz w:val="20"/>
              </w:rPr>
              <w:t>Scripts of aprepitant*</w:t>
            </w:r>
          </w:p>
        </w:tc>
        <w:tc>
          <w:tcPr>
            <w:tcW w:w="679" w:type="pct"/>
            <w:shd w:val="clear" w:color="auto" w:fill="auto"/>
            <w:vAlign w:val="center"/>
          </w:tcPr>
          <w:p w:rsidR="00A02025" w:rsidRPr="00D03668" w:rsidRDefault="00D03668" w:rsidP="004352AB">
            <w:pPr>
              <w:tabs>
                <w:tab w:val="left" w:pos="142"/>
              </w:tabs>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center"/>
          </w:tcPr>
          <w:p w:rsidR="00A02025" w:rsidRPr="00D03668" w:rsidRDefault="00D03668" w:rsidP="004352AB">
            <w:pPr>
              <w:tabs>
                <w:tab w:val="left" w:pos="142"/>
              </w:tabs>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A02025" w:rsidRPr="00D03668" w:rsidRDefault="00D03668" w:rsidP="004352AB">
            <w:pPr>
              <w:tabs>
                <w:tab w:val="left" w:pos="142"/>
              </w:tabs>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A02025" w:rsidRPr="00D03668" w:rsidRDefault="00D03668" w:rsidP="004352AB">
            <w:pPr>
              <w:tabs>
                <w:tab w:val="left" w:pos="142"/>
              </w:tabs>
              <w:jc w:val="center"/>
              <w:rPr>
                <w:rFonts w:ascii="Arial Narrow" w:hAnsi="Arial Narrow"/>
                <w:sz w:val="20"/>
                <w:highlight w:val="black"/>
              </w:rPr>
            </w:pPr>
            <w:r>
              <w:rPr>
                <w:rFonts w:ascii="Arial Narrow" w:hAnsi="Arial Narrow"/>
                <w:noProof/>
                <w:color w:val="000000"/>
                <w:sz w:val="20"/>
                <w:highlight w:val="black"/>
              </w:rPr>
              <w:t>'''''''''''''''</w:t>
            </w:r>
          </w:p>
        </w:tc>
        <w:tc>
          <w:tcPr>
            <w:tcW w:w="755" w:type="pct"/>
            <w:shd w:val="clear" w:color="auto" w:fill="auto"/>
            <w:vAlign w:val="center"/>
          </w:tcPr>
          <w:p w:rsidR="00A02025" w:rsidRPr="00D03668" w:rsidRDefault="00D03668" w:rsidP="004352AB">
            <w:pPr>
              <w:tabs>
                <w:tab w:val="left" w:pos="142"/>
              </w:tabs>
              <w:jc w:val="center"/>
              <w:rPr>
                <w:rFonts w:ascii="Arial Narrow" w:hAnsi="Arial Narrow"/>
                <w:sz w:val="20"/>
                <w:highlight w:val="black"/>
              </w:rPr>
            </w:pPr>
            <w:r>
              <w:rPr>
                <w:rFonts w:ascii="Arial Narrow" w:hAnsi="Arial Narrow"/>
                <w:noProof/>
                <w:color w:val="000000"/>
                <w:sz w:val="20"/>
                <w:highlight w:val="black"/>
              </w:rPr>
              <w:t>'''''''''''''''</w:t>
            </w:r>
          </w:p>
        </w:tc>
      </w:tr>
      <w:tr w:rsidR="00A02025" w:rsidRPr="00032524" w:rsidTr="004352AB">
        <w:tc>
          <w:tcPr>
            <w:tcW w:w="5000" w:type="pct"/>
            <w:gridSpan w:val="6"/>
            <w:shd w:val="clear" w:color="auto" w:fill="auto"/>
            <w:vAlign w:val="center"/>
          </w:tcPr>
          <w:p w:rsidR="00A02025" w:rsidRPr="00032524" w:rsidRDefault="00A02025" w:rsidP="004352AB">
            <w:pPr>
              <w:rPr>
                <w:rFonts w:ascii="Arial Narrow" w:hAnsi="Arial Narrow"/>
                <w:b/>
                <w:bCs/>
                <w:color w:val="000000"/>
                <w:sz w:val="20"/>
              </w:rPr>
            </w:pPr>
            <w:r w:rsidRPr="00032524">
              <w:rPr>
                <w:rFonts w:ascii="Arial Narrow" w:hAnsi="Arial Narrow"/>
                <w:b/>
                <w:bCs/>
                <w:color w:val="000000"/>
                <w:sz w:val="20"/>
              </w:rPr>
              <w:t>Estimated net cost to PBS/RPBS/MBS</w:t>
            </w:r>
          </w:p>
        </w:tc>
      </w:tr>
      <w:tr w:rsidR="00032524" w:rsidRPr="00032524" w:rsidTr="004352AB">
        <w:tc>
          <w:tcPr>
            <w:tcW w:w="1359" w:type="pct"/>
            <w:shd w:val="clear" w:color="auto" w:fill="auto"/>
            <w:vAlign w:val="center"/>
          </w:tcPr>
          <w:p w:rsidR="00032524" w:rsidRPr="00032524" w:rsidRDefault="00032524" w:rsidP="004352AB">
            <w:pPr>
              <w:tabs>
                <w:tab w:val="left" w:pos="142"/>
              </w:tabs>
              <w:rPr>
                <w:rFonts w:ascii="Arial Narrow" w:hAnsi="Arial Narrow"/>
                <w:sz w:val="20"/>
              </w:rPr>
            </w:pPr>
            <w:r w:rsidRPr="00032524">
              <w:rPr>
                <w:rFonts w:ascii="Arial Narrow" w:hAnsi="Arial Narrow"/>
                <w:sz w:val="19"/>
                <w:szCs w:val="19"/>
              </w:rPr>
              <w:t>Net cost to PBS/RPBS (excluding co-payments)</w:t>
            </w:r>
          </w:p>
        </w:tc>
        <w:tc>
          <w:tcPr>
            <w:tcW w:w="679" w:type="pct"/>
            <w:shd w:val="clear" w:color="auto" w:fill="auto"/>
            <w:vAlign w:val="center"/>
          </w:tcPr>
          <w:p w:rsidR="00032524" w:rsidRPr="00032524" w:rsidRDefault="00032524" w:rsidP="004352AB">
            <w:pPr>
              <w:tabs>
                <w:tab w:val="left" w:pos="416"/>
                <w:tab w:val="left" w:pos="582"/>
              </w:tabs>
              <w:spacing w:before="40" w:after="20" w:line="360" w:lineRule="auto"/>
              <w:jc w:val="center"/>
              <w:rPr>
                <w:rFonts w:ascii="Arial Narrow" w:hAnsi="Arial Narrow" w:cs="Arial"/>
                <w:b/>
                <w:sz w:val="20"/>
                <w:szCs w:val="18"/>
              </w:rPr>
            </w:pPr>
            <w:r w:rsidRPr="00032524">
              <w:rPr>
                <w:rFonts w:ascii="Arial Narrow" w:hAnsi="Arial Narrow" w:cs="Arial"/>
                <w:b/>
                <w:sz w:val="20"/>
              </w:rPr>
              <w:t>$</w:t>
            </w:r>
            <w:r w:rsidR="00D03668">
              <w:rPr>
                <w:rFonts w:ascii="Arial Narrow" w:hAnsi="Arial Narrow" w:cs="Arial"/>
                <w:b/>
                <w:noProof/>
                <w:color w:val="000000"/>
                <w:sz w:val="20"/>
                <w:highlight w:val="black"/>
              </w:rPr>
              <w:t>''''''''''''''''''''</w:t>
            </w:r>
          </w:p>
        </w:tc>
        <w:tc>
          <w:tcPr>
            <w:tcW w:w="679" w:type="pct"/>
            <w:shd w:val="clear" w:color="auto" w:fill="auto"/>
            <w:vAlign w:val="center"/>
          </w:tcPr>
          <w:p w:rsidR="00032524" w:rsidRPr="00032524" w:rsidRDefault="00032524" w:rsidP="004352AB">
            <w:pPr>
              <w:tabs>
                <w:tab w:val="left" w:pos="416"/>
                <w:tab w:val="left" w:pos="582"/>
              </w:tabs>
              <w:spacing w:before="40" w:after="20" w:line="360" w:lineRule="auto"/>
              <w:jc w:val="center"/>
              <w:rPr>
                <w:rFonts w:ascii="Arial Narrow" w:hAnsi="Arial Narrow" w:cs="Arial"/>
                <w:b/>
                <w:sz w:val="20"/>
                <w:szCs w:val="18"/>
              </w:rPr>
            </w:pPr>
            <w:r w:rsidRPr="00032524">
              <w:rPr>
                <w:rFonts w:ascii="Arial Narrow" w:hAnsi="Arial Narrow" w:cs="Arial"/>
                <w:b/>
                <w:sz w:val="20"/>
              </w:rPr>
              <w:t>$</w:t>
            </w:r>
            <w:r w:rsidR="00D03668">
              <w:rPr>
                <w:rFonts w:ascii="Arial Narrow" w:hAnsi="Arial Narrow" w:cs="Arial"/>
                <w:b/>
                <w:noProof/>
                <w:color w:val="000000"/>
                <w:sz w:val="20"/>
                <w:highlight w:val="black"/>
              </w:rPr>
              <w:t>'''''''''''''''''''''</w:t>
            </w:r>
          </w:p>
        </w:tc>
        <w:tc>
          <w:tcPr>
            <w:tcW w:w="764" w:type="pct"/>
            <w:shd w:val="clear" w:color="auto" w:fill="auto"/>
            <w:vAlign w:val="center"/>
          </w:tcPr>
          <w:p w:rsidR="00032524" w:rsidRPr="00032524" w:rsidRDefault="00032524" w:rsidP="004352AB">
            <w:pPr>
              <w:tabs>
                <w:tab w:val="left" w:pos="416"/>
                <w:tab w:val="left" w:pos="582"/>
              </w:tabs>
              <w:spacing w:before="40" w:after="20" w:line="360" w:lineRule="auto"/>
              <w:jc w:val="center"/>
              <w:rPr>
                <w:rFonts w:ascii="Arial Narrow" w:hAnsi="Arial Narrow" w:cs="Arial"/>
                <w:b/>
                <w:sz w:val="20"/>
                <w:szCs w:val="18"/>
              </w:rPr>
            </w:pPr>
            <w:r w:rsidRPr="00032524">
              <w:rPr>
                <w:rFonts w:ascii="Arial Narrow" w:hAnsi="Arial Narrow" w:cs="Arial"/>
                <w:b/>
                <w:sz w:val="20"/>
              </w:rPr>
              <w:t>$</w:t>
            </w:r>
            <w:r w:rsidR="00D03668">
              <w:rPr>
                <w:rFonts w:ascii="Arial Narrow" w:hAnsi="Arial Narrow" w:cs="Arial"/>
                <w:b/>
                <w:noProof/>
                <w:color w:val="000000"/>
                <w:sz w:val="20"/>
                <w:highlight w:val="black"/>
              </w:rPr>
              <w:t>''''''''''''''''''''</w:t>
            </w:r>
          </w:p>
        </w:tc>
        <w:tc>
          <w:tcPr>
            <w:tcW w:w="764" w:type="pct"/>
            <w:shd w:val="clear" w:color="auto" w:fill="auto"/>
            <w:vAlign w:val="center"/>
          </w:tcPr>
          <w:p w:rsidR="00032524" w:rsidRPr="00032524" w:rsidRDefault="00032524" w:rsidP="004352AB">
            <w:pPr>
              <w:tabs>
                <w:tab w:val="left" w:pos="416"/>
                <w:tab w:val="left" w:pos="582"/>
              </w:tabs>
              <w:spacing w:before="40" w:after="20" w:line="360" w:lineRule="auto"/>
              <w:jc w:val="center"/>
              <w:rPr>
                <w:rFonts w:ascii="Arial Narrow" w:hAnsi="Arial Narrow" w:cs="Arial"/>
                <w:b/>
                <w:sz w:val="20"/>
                <w:szCs w:val="18"/>
              </w:rPr>
            </w:pPr>
            <w:r w:rsidRPr="00032524">
              <w:rPr>
                <w:rFonts w:ascii="Arial Narrow" w:hAnsi="Arial Narrow" w:cs="Arial"/>
                <w:b/>
                <w:sz w:val="20"/>
              </w:rPr>
              <w:t>$</w:t>
            </w:r>
            <w:r w:rsidR="00D03668">
              <w:rPr>
                <w:rFonts w:ascii="Arial Narrow" w:hAnsi="Arial Narrow" w:cs="Arial"/>
                <w:b/>
                <w:noProof/>
                <w:color w:val="000000"/>
                <w:sz w:val="20"/>
                <w:highlight w:val="black"/>
              </w:rPr>
              <w:t>''''''''''''''''''</w:t>
            </w:r>
          </w:p>
        </w:tc>
        <w:tc>
          <w:tcPr>
            <w:tcW w:w="755" w:type="pct"/>
            <w:shd w:val="clear" w:color="auto" w:fill="auto"/>
            <w:vAlign w:val="center"/>
          </w:tcPr>
          <w:p w:rsidR="00032524" w:rsidRPr="00032524" w:rsidRDefault="00032524" w:rsidP="004352AB">
            <w:pPr>
              <w:tabs>
                <w:tab w:val="left" w:pos="416"/>
                <w:tab w:val="left" w:pos="582"/>
              </w:tabs>
              <w:spacing w:before="40" w:after="20" w:line="360" w:lineRule="auto"/>
              <w:jc w:val="center"/>
              <w:rPr>
                <w:rFonts w:ascii="Arial Narrow" w:hAnsi="Arial Narrow" w:cs="Arial"/>
                <w:b/>
                <w:sz w:val="20"/>
                <w:szCs w:val="18"/>
              </w:rPr>
            </w:pPr>
            <w:r w:rsidRPr="00032524">
              <w:rPr>
                <w:rFonts w:ascii="Arial Narrow" w:hAnsi="Arial Narrow" w:cs="Arial"/>
                <w:b/>
                <w:sz w:val="20"/>
              </w:rPr>
              <w:t>$</w:t>
            </w:r>
            <w:r w:rsidR="00D03668">
              <w:rPr>
                <w:rFonts w:ascii="Arial Narrow" w:hAnsi="Arial Narrow" w:cs="Arial"/>
                <w:b/>
                <w:noProof/>
                <w:color w:val="000000"/>
                <w:sz w:val="20"/>
                <w:highlight w:val="black"/>
              </w:rPr>
              <w:t>''''''''''''''''''''</w:t>
            </w:r>
          </w:p>
        </w:tc>
      </w:tr>
      <w:tr w:rsidR="00A02025" w:rsidRPr="00A02025" w:rsidTr="004352AB">
        <w:tc>
          <w:tcPr>
            <w:tcW w:w="1359" w:type="pct"/>
            <w:shd w:val="clear" w:color="auto" w:fill="auto"/>
            <w:vAlign w:val="center"/>
          </w:tcPr>
          <w:p w:rsidR="00A02025" w:rsidRPr="00032524" w:rsidRDefault="00A02025" w:rsidP="004352AB">
            <w:pPr>
              <w:tabs>
                <w:tab w:val="left" w:pos="142"/>
              </w:tabs>
              <w:rPr>
                <w:rFonts w:ascii="Arial Narrow" w:hAnsi="Arial Narrow"/>
                <w:sz w:val="20"/>
              </w:rPr>
            </w:pPr>
            <w:r w:rsidRPr="00032524">
              <w:rPr>
                <w:rFonts w:ascii="Arial Narrow" w:hAnsi="Arial Narrow"/>
                <w:sz w:val="19"/>
                <w:szCs w:val="19"/>
              </w:rPr>
              <w:t>Net cost to MBS</w:t>
            </w:r>
          </w:p>
        </w:tc>
        <w:tc>
          <w:tcPr>
            <w:tcW w:w="679" w:type="pct"/>
            <w:shd w:val="clear" w:color="auto" w:fill="auto"/>
            <w:vAlign w:val="center"/>
          </w:tcPr>
          <w:p w:rsidR="00A02025" w:rsidRPr="00032524" w:rsidRDefault="00A02025" w:rsidP="004352AB">
            <w:pPr>
              <w:jc w:val="center"/>
              <w:rPr>
                <w:rFonts w:ascii="Arial Narrow" w:hAnsi="Arial Narrow"/>
                <w:bCs/>
                <w:color w:val="000000"/>
                <w:sz w:val="20"/>
              </w:rPr>
            </w:pPr>
            <w:r w:rsidRPr="00032524">
              <w:rPr>
                <w:rFonts w:ascii="Arial Narrow" w:hAnsi="Arial Narrow"/>
                <w:bCs/>
                <w:sz w:val="19"/>
                <w:szCs w:val="19"/>
              </w:rPr>
              <w:t>-</w:t>
            </w:r>
          </w:p>
        </w:tc>
        <w:tc>
          <w:tcPr>
            <w:tcW w:w="679" w:type="pct"/>
            <w:shd w:val="clear" w:color="auto" w:fill="auto"/>
          </w:tcPr>
          <w:p w:rsidR="00A02025" w:rsidRPr="00032524" w:rsidRDefault="00A02025" w:rsidP="004352AB">
            <w:pPr>
              <w:jc w:val="center"/>
              <w:rPr>
                <w:rFonts w:ascii="Arial Narrow" w:hAnsi="Arial Narrow"/>
                <w:bCs/>
                <w:color w:val="000000"/>
                <w:sz w:val="20"/>
              </w:rPr>
            </w:pPr>
            <w:r w:rsidRPr="00032524">
              <w:rPr>
                <w:rFonts w:ascii="Arial Narrow" w:hAnsi="Arial Narrow"/>
                <w:bCs/>
                <w:sz w:val="19"/>
                <w:szCs w:val="19"/>
              </w:rPr>
              <w:t>-</w:t>
            </w:r>
          </w:p>
        </w:tc>
        <w:tc>
          <w:tcPr>
            <w:tcW w:w="764" w:type="pct"/>
            <w:shd w:val="clear" w:color="auto" w:fill="auto"/>
          </w:tcPr>
          <w:p w:rsidR="00A02025" w:rsidRPr="00032524" w:rsidRDefault="00A02025" w:rsidP="004352AB">
            <w:pPr>
              <w:jc w:val="center"/>
              <w:rPr>
                <w:rFonts w:ascii="Arial Narrow" w:hAnsi="Arial Narrow"/>
                <w:bCs/>
                <w:color w:val="000000"/>
                <w:sz w:val="20"/>
              </w:rPr>
            </w:pPr>
            <w:r w:rsidRPr="00032524">
              <w:rPr>
                <w:rFonts w:ascii="Arial Narrow" w:hAnsi="Arial Narrow"/>
                <w:bCs/>
                <w:sz w:val="19"/>
                <w:szCs w:val="19"/>
              </w:rPr>
              <w:t>-</w:t>
            </w:r>
          </w:p>
        </w:tc>
        <w:tc>
          <w:tcPr>
            <w:tcW w:w="764" w:type="pct"/>
            <w:shd w:val="clear" w:color="auto" w:fill="auto"/>
          </w:tcPr>
          <w:p w:rsidR="00A02025" w:rsidRPr="00032524" w:rsidRDefault="00A02025" w:rsidP="004352AB">
            <w:pPr>
              <w:jc w:val="center"/>
              <w:rPr>
                <w:rFonts w:ascii="Arial Narrow" w:hAnsi="Arial Narrow"/>
                <w:bCs/>
                <w:color w:val="000000"/>
                <w:sz w:val="20"/>
              </w:rPr>
            </w:pPr>
            <w:r w:rsidRPr="00032524">
              <w:rPr>
                <w:rFonts w:ascii="Arial Narrow" w:hAnsi="Arial Narrow"/>
                <w:bCs/>
                <w:sz w:val="19"/>
                <w:szCs w:val="19"/>
              </w:rPr>
              <w:t>-</w:t>
            </w:r>
          </w:p>
        </w:tc>
        <w:tc>
          <w:tcPr>
            <w:tcW w:w="755" w:type="pct"/>
            <w:shd w:val="clear" w:color="auto" w:fill="auto"/>
          </w:tcPr>
          <w:p w:rsidR="00A02025" w:rsidRPr="00032524" w:rsidRDefault="00A02025" w:rsidP="004352AB">
            <w:pPr>
              <w:jc w:val="center"/>
              <w:rPr>
                <w:rFonts w:ascii="Arial Narrow" w:hAnsi="Arial Narrow"/>
                <w:bCs/>
                <w:color w:val="000000"/>
                <w:sz w:val="20"/>
              </w:rPr>
            </w:pPr>
            <w:r w:rsidRPr="00032524">
              <w:rPr>
                <w:rFonts w:ascii="Arial Narrow" w:hAnsi="Arial Narrow"/>
                <w:bCs/>
                <w:sz w:val="19"/>
                <w:szCs w:val="19"/>
              </w:rPr>
              <w:t>-</w:t>
            </w:r>
          </w:p>
        </w:tc>
      </w:tr>
      <w:tr w:rsidR="00A02025" w:rsidRPr="00A02025" w:rsidTr="004352AB">
        <w:tc>
          <w:tcPr>
            <w:tcW w:w="5000" w:type="pct"/>
            <w:gridSpan w:val="6"/>
            <w:shd w:val="clear" w:color="auto" w:fill="auto"/>
            <w:vAlign w:val="center"/>
          </w:tcPr>
          <w:p w:rsidR="00A02025" w:rsidRPr="00032524" w:rsidRDefault="00A02025" w:rsidP="004352AB">
            <w:pPr>
              <w:rPr>
                <w:rFonts w:ascii="Arial Narrow" w:hAnsi="Arial Narrow"/>
                <w:b/>
                <w:color w:val="000000"/>
                <w:sz w:val="20"/>
              </w:rPr>
            </w:pPr>
            <w:r w:rsidRPr="00032524">
              <w:rPr>
                <w:rFonts w:ascii="Arial Narrow" w:hAnsi="Arial Narrow"/>
                <w:b/>
                <w:color w:val="000000"/>
                <w:sz w:val="20"/>
              </w:rPr>
              <w:t>Estimated total net cost</w:t>
            </w:r>
          </w:p>
        </w:tc>
      </w:tr>
      <w:tr w:rsidR="00032524" w:rsidRPr="00014AE1" w:rsidTr="004352AB">
        <w:tc>
          <w:tcPr>
            <w:tcW w:w="1359" w:type="pct"/>
            <w:shd w:val="clear" w:color="auto" w:fill="auto"/>
            <w:vAlign w:val="center"/>
          </w:tcPr>
          <w:p w:rsidR="00032524" w:rsidRPr="00014AE1" w:rsidRDefault="00032524" w:rsidP="004352AB">
            <w:pPr>
              <w:tabs>
                <w:tab w:val="left" w:pos="142"/>
              </w:tabs>
              <w:rPr>
                <w:rFonts w:ascii="Arial Narrow" w:hAnsi="Arial Narrow"/>
                <w:b/>
                <w:bCs/>
                <w:color w:val="000000"/>
                <w:sz w:val="20"/>
              </w:rPr>
            </w:pPr>
            <w:r w:rsidRPr="00014AE1">
              <w:rPr>
                <w:rFonts w:ascii="Arial Narrow" w:hAnsi="Arial Narrow"/>
                <w:b/>
                <w:bCs/>
                <w:color w:val="000000"/>
                <w:sz w:val="20"/>
              </w:rPr>
              <w:t>Net cost to PBS/RPBS/MBS</w:t>
            </w:r>
            <w:r w:rsidR="009451FF" w:rsidRPr="00014AE1">
              <w:rPr>
                <w:rFonts w:ascii="Arial Narrow" w:hAnsi="Arial Narrow"/>
                <w:b/>
                <w:bCs/>
                <w:color w:val="000000"/>
                <w:sz w:val="20"/>
              </w:rPr>
              <w:t xml:space="preserve"> </w:t>
            </w:r>
          </w:p>
          <w:p w:rsidR="009451FF" w:rsidRPr="00014AE1" w:rsidRDefault="00D35DD9" w:rsidP="004352AB">
            <w:pPr>
              <w:tabs>
                <w:tab w:val="left" w:pos="142"/>
              </w:tabs>
              <w:rPr>
                <w:rFonts w:ascii="Arial Narrow" w:hAnsi="Arial Narrow"/>
                <w:b/>
                <w:sz w:val="20"/>
              </w:rPr>
            </w:pPr>
            <w:r w:rsidRPr="00014AE1">
              <w:rPr>
                <w:rFonts w:ascii="Arial Narrow" w:hAnsi="Arial Narrow"/>
                <w:b/>
                <w:bCs/>
                <w:color w:val="000000"/>
                <w:sz w:val="20"/>
              </w:rPr>
              <w:t>(this submission)</w:t>
            </w:r>
          </w:p>
        </w:tc>
        <w:tc>
          <w:tcPr>
            <w:tcW w:w="679" w:type="pct"/>
            <w:shd w:val="clear" w:color="auto" w:fill="auto"/>
            <w:vAlign w:val="center"/>
          </w:tcPr>
          <w:p w:rsidR="00032524" w:rsidRPr="00014AE1" w:rsidRDefault="00032524" w:rsidP="004352AB">
            <w:pPr>
              <w:tabs>
                <w:tab w:val="left" w:pos="416"/>
                <w:tab w:val="left" w:pos="582"/>
              </w:tabs>
              <w:spacing w:before="40" w:after="20" w:line="360" w:lineRule="auto"/>
              <w:jc w:val="center"/>
              <w:rPr>
                <w:rFonts w:ascii="Arial Narrow" w:hAnsi="Arial Narrow" w:cs="Arial"/>
                <w:b/>
                <w:sz w:val="20"/>
                <w:szCs w:val="18"/>
              </w:rPr>
            </w:pPr>
            <w:r w:rsidRPr="00014AE1">
              <w:rPr>
                <w:rFonts w:ascii="Arial Narrow" w:hAnsi="Arial Narrow" w:cs="Arial"/>
                <w:b/>
                <w:sz w:val="20"/>
              </w:rPr>
              <w:t>$</w:t>
            </w:r>
            <w:r w:rsidR="00D03668">
              <w:rPr>
                <w:rFonts w:ascii="Arial Narrow" w:hAnsi="Arial Narrow" w:cs="Arial"/>
                <w:b/>
                <w:noProof/>
                <w:color w:val="000000"/>
                <w:sz w:val="20"/>
                <w:highlight w:val="black"/>
              </w:rPr>
              <w:t>'''''''''''''''''''''</w:t>
            </w:r>
          </w:p>
        </w:tc>
        <w:tc>
          <w:tcPr>
            <w:tcW w:w="679" w:type="pct"/>
            <w:shd w:val="clear" w:color="auto" w:fill="auto"/>
            <w:vAlign w:val="center"/>
          </w:tcPr>
          <w:p w:rsidR="00032524" w:rsidRPr="00014AE1" w:rsidRDefault="00032524" w:rsidP="004352AB">
            <w:pPr>
              <w:tabs>
                <w:tab w:val="left" w:pos="416"/>
                <w:tab w:val="left" w:pos="582"/>
              </w:tabs>
              <w:spacing w:before="40" w:after="20" w:line="360" w:lineRule="auto"/>
              <w:jc w:val="center"/>
              <w:rPr>
                <w:rFonts w:ascii="Arial Narrow" w:hAnsi="Arial Narrow" w:cs="Arial"/>
                <w:b/>
                <w:sz w:val="20"/>
                <w:szCs w:val="18"/>
              </w:rPr>
            </w:pPr>
            <w:r w:rsidRPr="00014AE1">
              <w:rPr>
                <w:rFonts w:ascii="Arial Narrow" w:hAnsi="Arial Narrow" w:cs="Arial"/>
                <w:b/>
                <w:sz w:val="20"/>
              </w:rPr>
              <w:t>$</w:t>
            </w:r>
            <w:r w:rsidR="00D03668">
              <w:rPr>
                <w:rFonts w:ascii="Arial Narrow" w:hAnsi="Arial Narrow" w:cs="Arial"/>
                <w:b/>
                <w:noProof/>
                <w:color w:val="000000"/>
                <w:sz w:val="20"/>
                <w:highlight w:val="black"/>
              </w:rPr>
              <w:t>'''''''''''''''''''</w:t>
            </w:r>
          </w:p>
        </w:tc>
        <w:tc>
          <w:tcPr>
            <w:tcW w:w="764" w:type="pct"/>
            <w:shd w:val="clear" w:color="auto" w:fill="auto"/>
            <w:vAlign w:val="center"/>
          </w:tcPr>
          <w:p w:rsidR="00032524" w:rsidRPr="00014AE1" w:rsidRDefault="00032524" w:rsidP="004352AB">
            <w:pPr>
              <w:tabs>
                <w:tab w:val="left" w:pos="416"/>
                <w:tab w:val="left" w:pos="582"/>
              </w:tabs>
              <w:spacing w:before="40" w:after="20" w:line="360" w:lineRule="auto"/>
              <w:jc w:val="center"/>
              <w:rPr>
                <w:rFonts w:ascii="Arial Narrow" w:hAnsi="Arial Narrow" w:cs="Arial"/>
                <w:b/>
                <w:sz w:val="20"/>
                <w:szCs w:val="18"/>
              </w:rPr>
            </w:pPr>
            <w:r w:rsidRPr="00014AE1">
              <w:rPr>
                <w:rFonts w:ascii="Arial Narrow" w:hAnsi="Arial Narrow" w:cs="Arial"/>
                <w:b/>
                <w:sz w:val="20"/>
              </w:rPr>
              <w:t>$</w:t>
            </w:r>
            <w:r w:rsidR="00D03668">
              <w:rPr>
                <w:rFonts w:ascii="Arial Narrow" w:hAnsi="Arial Narrow" w:cs="Arial"/>
                <w:b/>
                <w:noProof/>
                <w:color w:val="000000"/>
                <w:sz w:val="20"/>
                <w:highlight w:val="black"/>
              </w:rPr>
              <w:t>'''''''''''''''''''''</w:t>
            </w:r>
          </w:p>
        </w:tc>
        <w:tc>
          <w:tcPr>
            <w:tcW w:w="764" w:type="pct"/>
            <w:shd w:val="clear" w:color="auto" w:fill="auto"/>
            <w:vAlign w:val="center"/>
          </w:tcPr>
          <w:p w:rsidR="00032524" w:rsidRPr="00014AE1" w:rsidRDefault="00032524" w:rsidP="004352AB">
            <w:pPr>
              <w:tabs>
                <w:tab w:val="left" w:pos="416"/>
                <w:tab w:val="left" w:pos="582"/>
              </w:tabs>
              <w:spacing w:before="40" w:after="20" w:line="360" w:lineRule="auto"/>
              <w:jc w:val="center"/>
              <w:rPr>
                <w:rFonts w:ascii="Arial Narrow" w:hAnsi="Arial Narrow" w:cs="Arial"/>
                <w:b/>
                <w:sz w:val="20"/>
                <w:szCs w:val="18"/>
              </w:rPr>
            </w:pPr>
            <w:r w:rsidRPr="00014AE1">
              <w:rPr>
                <w:rFonts w:ascii="Arial Narrow" w:hAnsi="Arial Narrow" w:cs="Arial"/>
                <w:b/>
                <w:sz w:val="20"/>
              </w:rPr>
              <w:t>$</w:t>
            </w:r>
            <w:r w:rsidR="00D03668">
              <w:rPr>
                <w:rFonts w:ascii="Arial Narrow" w:hAnsi="Arial Narrow" w:cs="Arial"/>
                <w:b/>
                <w:noProof/>
                <w:color w:val="000000"/>
                <w:sz w:val="20"/>
                <w:highlight w:val="black"/>
              </w:rPr>
              <w:t>''''''''''''''''''''</w:t>
            </w:r>
          </w:p>
        </w:tc>
        <w:tc>
          <w:tcPr>
            <w:tcW w:w="755" w:type="pct"/>
            <w:shd w:val="clear" w:color="auto" w:fill="auto"/>
            <w:vAlign w:val="center"/>
          </w:tcPr>
          <w:p w:rsidR="00032524" w:rsidRPr="00014AE1" w:rsidRDefault="00032524" w:rsidP="004352AB">
            <w:pPr>
              <w:tabs>
                <w:tab w:val="left" w:pos="416"/>
                <w:tab w:val="left" w:pos="582"/>
              </w:tabs>
              <w:spacing w:before="40" w:after="20" w:line="360" w:lineRule="auto"/>
              <w:jc w:val="center"/>
              <w:rPr>
                <w:rFonts w:ascii="Arial Narrow" w:hAnsi="Arial Narrow" w:cs="Arial"/>
                <w:b/>
                <w:sz w:val="20"/>
                <w:szCs w:val="18"/>
              </w:rPr>
            </w:pPr>
            <w:r w:rsidRPr="00014AE1">
              <w:rPr>
                <w:rFonts w:ascii="Arial Narrow" w:hAnsi="Arial Narrow" w:cs="Arial"/>
                <w:b/>
                <w:sz w:val="20"/>
              </w:rPr>
              <w:t>$</w:t>
            </w:r>
            <w:r w:rsidR="00D03668">
              <w:rPr>
                <w:rFonts w:ascii="Arial Narrow" w:hAnsi="Arial Narrow" w:cs="Arial"/>
                <w:b/>
                <w:noProof/>
                <w:color w:val="000000"/>
                <w:sz w:val="20"/>
                <w:highlight w:val="black"/>
              </w:rPr>
              <w:t>''''''''''''''''''</w:t>
            </w:r>
          </w:p>
        </w:tc>
      </w:tr>
      <w:tr w:rsidR="00F903B0" w:rsidRPr="00F029AC" w:rsidTr="00343AF3">
        <w:tc>
          <w:tcPr>
            <w:tcW w:w="1359" w:type="pct"/>
            <w:shd w:val="clear" w:color="auto" w:fill="auto"/>
            <w:vAlign w:val="center"/>
          </w:tcPr>
          <w:p w:rsidR="00F903B0" w:rsidRPr="00F029AC" w:rsidRDefault="00F903B0" w:rsidP="00014AE1">
            <w:pPr>
              <w:tabs>
                <w:tab w:val="left" w:pos="142"/>
              </w:tabs>
              <w:rPr>
                <w:rFonts w:ascii="Arial Narrow" w:hAnsi="Arial Narrow"/>
                <w:bCs/>
                <w:color w:val="000000"/>
                <w:sz w:val="20"/>
              </w:rPr>
            </w:pPr>
            <w:r w:rsidRPr="00F029AC">
              <w:rPr>
                <w:rFonts w:ascii="Arial Narrow" w:hAnsi="Arial Narrow"/>
                <w:bCs/>
                <w:color w:val="000000"/>
                <w:sz w:val="20"/>
              </w:rPr>
              <w:t>Net cost to PBS/RPBS/MBS (Pre-PBAC Response</w:t>
            </w:r>
            <w:r w:rsidR="00014AE1" w:rsidRPr="00F029AC">
              <w:rPr>
                <w:rFonts w:ascii="Arial Narrow" w:hAnsi="Arial Narrow"/>
                <w:bCs/>
                <w:color w:val="000000"/>
                <w:sz w:val="20"/>
              </w:rPr>
              <w:t>, Nov 2015</w:t>
            </w:r>
            <w:r w:rsidRPr="00F029AC">
              <w:rPr>
                <w:rFonts w:ascii="Arial Narrow" w:hAnsi="Arial Narrow"/>
                <w:bCs/>
                <w:color w:val="000000"/>
                <w:sz w:val="20"/>
              </w:rPr>
              <w:t>)</w:t>
            </w:r>
          </w:p>
        </w:tc>
        <w:tc>
          <w:tcPr>
            <w:tcW w:w="679" w:type="pct"/>
            <w:shd w:val="clear" w:color="auto" w:fill="auto"/>
            <w:vAlign w:val="center"/>
          </w:tcPr>
          <w:p w:rsidR="00F903B0" w:rsidRPr="00F029AC" w:rsidRDefault="00F903B0" w:rsidP="00343AF3">
            <w:pPr>
              <w:jc w:val="center"/>
              <w:rPr>
                <w:rFonts w:ascii="Arial Narrow" w:hAnsi="Arial Narrow"/>
                <w:sz w:val="20"/>
              </w:rPr>
            </w:pPr>
            <w:r w:rsidRPr="00F029AC">
              <w:rPr>
                <w:rFonts w:ascii="Arial Narrow" w:hAnsi="Arial Narrow"/>
                <w:sz w:val="20"/>
              </w:rPr>
              <w:t>$</w:t>
            </w:r>
            <w:r w:rsidR="00D03668">
              <w:rPr>
                <w:rFonts w:ascii="Arial Narrow" w:hAnsi="Arial Narrow"/>
                <w:noProof/>
                <w:color w:val="000000"/>
                <w:sz w:val="20"/>
                <w:highlight w:val="black"/>
              </w:rPr>
              <w:t>'''''''''''''''''''''''</w:t>
            </w:r>
          </w:p>
        </w:tc>
        <w:tc>
          <w:tcPr>
            <w:tcW w:w="679" w:type="pct"/>
            <w:shd w:val="clear" w:color="auto" w:fill="auto"/>
            <w:vAlign w:val="center"/>
          </w:tcPr>
          <w:p w:rsidR="00F903B0" w:rsidRPr="00F029AC" w:rsidRDefault="00F903B0" w:rsidP="00343AF3">
            <w:pPr>
              <w:jc w:val="center"/>
              <w:rPr>
                <w:rFonts w:ascii="Arial Narrow" w:hAnsi="Arial Narrow"/>
                <w:sz w:val="20"/>
              </w:rPr>
            </w:pPr>
            <w:r w:rsidRPr="00F029AC">
              <w:rPr>
                <w:rFonts w:ascii="Arial Narrow" w:hAnsi="Arial Narrow"/>
                <w:sz w:val="20"/>
              </w:rPr>
              <w:t>$</w:t>
            </w:r>
            <w:r w:rsidR="00D03668">
              <w:rPr>
                <w:rFonts w:ascii="Arial Narrow" w:hAnsi="Arial Narrow"/>
                <w:noProof/>
                <w:color w:val="000000"/>
                <w:sz w:val="20"/>
                <w:highlight w:val="black"/>
              </w:rPr>
              <w:t>'''''''''''''''''''''''</w:t>
            </w:r>
          </w:p>
        </w:tc>
        <w:tc>
          <w:tcPr>
            <w:tcW w:w="764" w:type="pct"/>
            <w:shd w:val="clear" w:color="auto" w:fill="auto"/>
            <w:vAlign w:val="center"/>
          </w:tcPr>
          <w:p w:rsidR="00F903B0" w:rsidRPr="00F029AC" w:rsidRDefault="00F903B0" w:rsidP="00343AF3">
            <w:pPr>
              <w:jc w:val="center"/>
              <w:rPr>
                <w:rFonts w:ascii="Arial Narrow" w:hAnsi="Arial Narrow"/>
                <w:sz w:val="20"/>
              </w:rPr>
            </w:pPr>
            <w:r w:rsidRPr="00F029AC">
              <w:rPr>
                <w:rFonts w:ascii="Arial Narrow" w:hAnsi="Arial Narrow"/>
                <w:sz w:val="20"/>
              </w:rPr>
              <w:t>$</w:t>
            </w:r>
            <w:r w:rsidR="00D03668">
              <w:rPr>
                <w:rFonts w:ascii="Arial Narrow" w:hAnsi="Arial Narrow"/>
                <w:noProof/>
                <w:color w:val="000000"/>
                <w:sz w:val="20"/>
                <w:highlight w:val="black"/>
              </w:rPr>
              <w:t>''''''''''''''''''''''</w:t>
            </w:r>
          </w:p>
        </w:tc>
        <w:tc>
          <w:tcPr>
            <w:tcW w:w="764" w:type="pct"/>
            <w:shd w:val="clear" w:color="auto" w:fill="auto"/>
            <w:vAlign w:val="center"/>
          </w:tcPr>
          <w:p w:rsidR="00F903B0" w:rsidRPr="00F029AC" w:rsidRDefault="00F903B0" w:rsidP="00343AF3">
            <w:pPr>
              <w:jc w:val="center"/>
              <w:rPr>
                <w:rFonts w:ascii="Arial Narrow" w:hAnsi="Arial Narrow"/>
                <w:sz w:val="20"/>
              </w:rPr>
            </w:pPr>
            <w:r w:rsidRPr="00F029AC">
              <w:rPr>
                <w:rFonts w:ascii="Arial Narrow" w:hAnsi="Arial Narrow"/>
                <w:sz w:val="20"/>
              </w:rPr>
              <w:t>$</w:t>
            </w:r>
            <w:r w:rsidR="00D03668">
              <w:rPr>
                <w:rFonts w:ascii="Arial Narrow" w:hAnsi="Arial Narrow"/>
                <w:noProof/>
                <w:color w:val="000000"/>
                <w:sz w:val="20"/>
                <w:highlight w:val="black"/>
              </w:rPr>
              <w:t>''''''''''''''''''''''''</w:t>
            </w:r>
          </w:p>
        </w:tc>
        <w:tc>
          <w:tcPr>
            <w:tcW w:w="755" w:type="pct"/>
            <w:shd w:val="clear" w:color="auto" w:fill="auto"/>
            <w:vAlign w:val="center"/>
          </w:tcPr>
          <w:p w:rsidR="00F903B0" w:rsidRPr="00F029AC" w:rsidRDefault="00F903B0" w:rsidP="00343AF3">
            <w:pPr>
              <w:jc w:val="center"/>
              <w:rPr>
                <w:rFonts w:ascii="Arial Narrow" w:hAnsi="Arial Narrow"/>
                <w:sz w:val="20"/>
              </w:rPr>
            </w:pPr>
            <w:r w:rsidRPr="00F029AC">
              <w:rPr>
                <w:rFonts w:ascii="Arial Narrow" w:hAnsi="Arial Narrow"/>
                <w:sz w:val="20"/>
              </w:rPr>
              <w:t>$</w:t>
            </w:r>
            <w:r w:rsidR="00D03668">
              <w:rPr>
                <w:rFonts w:ascii="Arial Narrow" w:hAnsi="Arial Narrow"/>
                <w:noProof/>
                <w:color w:val="000000"/>
                <w:sz w:val="20"/>
                <w:highlight w:val="black"/>
              </w:rPr>
              <w:t>''''''''''''''''''''''</w:t>
            </w:r>
          </w:p>
        </w:tc>
      </w:tr>
      <w:tr w:rsidR="00D35DD9" w:rsidRPr="00F029AC" w:rsidTr="004352AB">
        <w:tc>
          <w:tcPr>
            <w:tcW w:w="1359" w:type="pct"/>
            <w:shd w:val="clear" w:color="auto" w:fill="auto"/>
            <w:vAlign w:val="center"/>
          </w:tcPr>
          <w:p w:rsidR="00D35DD9" w:rsidRPr="00F029AC" w:rsidRDefault="00D35DD9" w:rsidP="00D35DD9">
            <w:pPr>
              <w:tabs>
                <w:tab w:val="left" w:pos="142"/>
              </w:tabs>
              <w:rPr>
                <w:rFonts w:ascii="Arial Narrow" w:hAnsi="Arial Narrow"/>
                <w:bCs/>
                <w:color w:val="000000"/>
                <w:sz w:val="20"/>
              </w:rPr>
            </w:pPr>
            <w:r w:rsidRPr="00F029AC">
              <w:rPr>
                <w:rFonts w:ascii="Arial Narrow" w:hAnsi="Arial Narrow"/>
                <w:bCs/>
                <w:color w:val="000000"/>
                <w:sz w:val="20"/>
              </w:rPr>
              <w:t xml:space="preserve">Net cost to PBS/RPBS/MBS </w:t>
            </w:r>
          </w:p>
          <w:p w:rsidR="00D35DD9" w:rsidRPr="00F029AC" w:rsidRDefault="00D35DD9" w:rsidP="00014AE1">
            <w:pPr>
              <w:tabs>
                <w:tab w:val="left" w:pos="142"/>
              </w:tabs>
              <w:rPr>
                <w:rFonts w:ascii="Arial Narrow" w:hAnsi="Arial Narrow"/>
                <w:bCs/>
                <w:color w:val="000000"/>
                <w:sz w:val="20"/>
              </w:rPr>
            </w:pPr>
            <w:r w:rsidRPr="00F029AC">
              <w:rPr>
                <w:rFonts w:ascii="Arial Narrow" w:hAnsi="Arial Narrow"/>
                <w:bCs/>
                <w:color w:val="000000"/>
                <w:sz w:val="20"/>
              </w:rPr>
              <w:lastRenderedPageBreak/>
              <w:t>(</w:t>
            </w:r>
            <w:r w:rsidR="00014AE1" w:rsidRPr="00F029AC">
              <w:rPr>
                <w:rFonts w:ascii="Arial Narrow" w:hAnsi="Arial Narrow"/>
                <w:bCs/>
                <w:color w:val="000000"/>
                <w:sz w:val="20"/>
              </w:rPr>
              <w:t>Nov 2015</w:t>
            </w:r>
            <w:r w:rsidRPr="00F029AC">
              <w:rPr>
                <w:rFonts w:ascii="Arial Narrow" w:hAnsi="Arial Narrow"/>
                <w:bCs/>
                <w:color w:val="000000"/>
                <w:sz w:val="20"/>
              </w:rPr>
              <w:t xml:space="preserve"> submission)</w:t>
            </w:r>
          </w:p>
        </w:tc>
        <w:tc>
          <w:tcPr>
            <w:tcW w:w="679" w:type="pct"/>
            <w:shd w:val="clear" w:color="auto" w:fill="auto"/>
            <w:vAlign w:val="center"/>
          </w:tcPr>
          <w:p w:rsidR="00D35DD9" w:rsidRPr="00F029AC" w:rsidRDefault="00D35DD9" w:rsidP="00174AC9">
            <w:pPr>
              <w:jc w:val="center"/>
              <w:rPr>
                <w:rFonts w:ascii="Arial Narrow" w:hAnsi="Arial Narrow"/>
                <w:color w:val="000000"/>
                <w:sz w:val="20"/>
              </w:rPr>
            </w:pPr>
            <w:r w:rsidRPr="00F029AC">
              <w:rPr>
                <w:rFonts w:ascii="Arial Narrow" w:hAnsi="Arial Narrow"/>
                <w:sz w:val="20"/>
              </w:rPr>
              <w:lastRenderedPageBreak/>
              <w:t>$</w:t>
            </w:r>
            <w:r w:rsidR="00D03668">
              <w:rPr>
                <w:rFonts w:ascii="Arial Narrow" w:hAnsi="Arial Narrow"/>
                <w:noProof/>
                <w:color w:val="000000"/>
                <w:sz w:val="20"/>
                <w:highlight w:val="black"/>
              </w:rPr>
              <w:t>'''''''''''''''''''''''</w:t>
            </w:r>
          </w:p>
        </w:tc>
        <w:tc>
          <w:tcPr>
            <w:tcW w:w="679" w:type="pct"/>
            <w:shd w:val="clear" w:color="auto" w:fill="auto"/>
            <w:vAlign w:val="center"/>
          </w:tcPr>
          <w:p w:rsidR="00D35DD9" w:rsidRPr="00F029AC" w:rsidRDefault="00D35DD9" w:rsidP="00174AC9">
            <w:pPr>
              <w:jc w:val="center"/>
              <w:rPr>
                <w:rFonts w:ascii="Arial Narrow" w:hAnsi="Arial Narrow"/>
                <w:color w:val="000000"/>
                <w:sz w:val="20"/>
              </w:rPr>
            </w:pPr>
            <w:r w:rsidRPr="00F029AC">
              <w:rPr>
                <w:rFonts w:ascii="Arial Narrow" w:hAnsi="Arial Narrow"/>
                <w:sz w:val="20"/>
              </w:rPr>
              <w:t>$</w:t>
            </w:r>
            <w:r w:rsidR="00D03668">
              <w:rPr>
                <w:rFonts w:ascii="Arial Narrow" w:hAnsi="Arial Narrow"/>
                <w:noProof/>
                <w:color w:val="000000"/>
                <w:sz w:val="20"/>
                <w:highlight w:val="black"/>
              </w:rPr>
              <w:t>'''''''''''''''''''''</w:t>
            </w:r>
          </w:p>
        </w:tc>
        <w:tc>
          <w:tcPr>
            <w:tcW w:w="764" w:type="pct"/>
            <w:shd w:val="clear" w:color="auto" w:fill="auto"/>
            <w:vAlign w:val="center"/>
          </w:tcPr>
          <w:p w:rsidR="00D35DD9" w:rsidRPr="00F029AC" w:rsidRDefault="00D35DD9" w:rsidP="00174AC9">
            <w:pPr>
              <w:jc w:val="center"/>
              <w:rPr>
                <w:rFonts w:ascii="Arial Narrow" w:hAnsi="Arial Narrow"/>
                <w:color w:val="000000"/>
                <w:sz w:val="20"/>
              </w:rPr>
            </w:pPr>
            <w:r w:rsidRPr="00F029AC">
              <w:rPr>
                <w:rFonts w:ascii="Arial Narrow" w:hAnsi="Arial Narrow"/>
                <w:sz w:val="20"/>
              </w:rPr>
              <w:t>$</w:t>
            </w:r>
            <w:r w:rsidR="00D03668">
              <w:rPr>
                <w:rFonts w:ascii="Arial Narrow" w:hAnsi="Arial Narrow"/>
                <w:noProof/>
                <w:color w:val="000000"/>
                <w:sz w:val="20"/>
                <w:highlight w:val="black"/>
              </w:rPr>
              <w:t>'''''''''''''''''''''''</w:t>
            </w:r>
          </w:p>
        </w:tc>
        <w:tc>
          <w:tcPr>
            <w:tcW w:w="764" w:type="pct"/>
            <w:shd w:val="clear" w:color="auto" w:fill="auto"/>
            <w:vAlign w:val="center"/>
          </w:tcPr>
          <w:p w:rsidR="00D35DD9" w:rsidRPr="00F029AC" w:rsidRDefault="00D35DD9" w:rsidP="00174AC9">
            <w:pPr>
              <w:jc w:val="center"/>
              <w:rPr>
                <w:rFonts w:ascii="Arial Narrow" w:hAnsi="Arial Narrow"/>
                <w:color w:val="000000"/>
                <w:sz w:val="20"/>
              </w:rPr>
            </w:pPr>
            <w:r w:rsidRPr="00F029AC">
              <w:rPr>
                <w:rFonts w:ascii="Arial Narrow" w:hAnsi="Arial Narrow"/>
                <w:sz w:val="20"/>
              </w:rPr>
              <w:t>$</w:t>
            </w:r>
            <w:r w:rsidR="00D03668">
              <w:rPr>
                <w:rFonts w:ascii="Arial Narrow" w:hAnsi="Arial Narrow"/>
                <w:noProof/>
                <w:color w:val="000000"/>
                <w:sz w:val="20"/>
                <w:highlight w:val="black"/>
              </w:rPr>
              <w:t>'''''''''''''''''''''''</w:t>
            </w:r>
          </w:p>
        </w:tc>
        <w:tc>
          <w:tcPr>
            <w:tcW w:w="755" w:type="pct"/>
            <w:shd w:val="clear" w:color="auto" w:fill="auto"/>
            <w:vAlign w:val="center"/>
          </w:tcPr>
          <w:p w:rsidR="00D35DD9" w:rsidRPr="00F029AC" w:rsidRDefault="00D35DD9" w:rsidP="00174AC9">
            <w:pPr>
              <w:jc w:val="center"/>
              <w:rPr>
                <w:rFonts w:ascii="Arial Narrow" w:hAnsi="Arial Narrow"/>
                <w:color w:val="000000"/>
                <w:sz w:val="20"/>
              </w:rPr>
            </w:pPr>
            <w:r w:rsidRPr="00F029AC">
              <w:rPr>
                <w:rFonts w:ascii="Arial Narrow" w:hAnsi="Arial Narrow"/>
                <w:sz w:val="20"/>
              </w:rPr>
              <w:t>$</w:t>
            </w:r>
            <w:r w:rsidR="00D03668">
              <w:rPr>
                <w:rFonts w:ascii="Arial Narrow" w:hAnsi="Arial Narrow"/>
                <w:noProof/>
                <w:color w:val="000000"/>
                <w:sz w:val="20"/>
                <w:highlight w:val="black"/>
              </w:rPr>
              <w:t>''''''''''''''''''''''</w:t>
            </w:r>
          </w:p>
        </w:tc>
      </w:tr>
    </w:tbl>
    <w:p w:rsidR="00A02025" w:rsidRPr="00DF6655" w:rsidRDefault="00A02025" w:rsidP="00A02025">
      <w:pPr>
        <w:pStyle w:val="TableFooter"/>
        <w:ind w:left="709"/>
        <w:rPr>
          <w:i/>
          <w:szCs w:val="22"/>
        </w:rPr>
      </w:pPr>
      <w:r w:rsidRPr="00DF6655">
        <w:rPr>
          <w:sz w:val="16"/>
          <w:szCs w:val="18"/>
        </w:rPr>
        <w:lastRenderedPageBreak/>
        <w:t>*</w:t>
      </w:r>
      <w:r w:rsidRPr="00DF6655">
        <w:rPr>
          <w:i/>
          <w:szCs w:val="22"/>
        </w:rPr>
        <w:t xml:space="preserve"> Based on 4.35 cycles and 7.28 cycles per chemotherapy journey with carboplatin and oxaliplatin, 93.7% of chemotherapy cycles where aprepitant is used, assuming that one script of aprepitant is administered per cycle (Section E Spreadsheet.xls), </w:t>
      </w:r>
    </w:p>
    <w:p w:rsidR="00A02025" w:rsidRPr="003C2E7E" w:rsidRDefault="00A02025" w:rsidP="00A02025">
      <w:pPr>
        <w:pStyle w:val="TableFooter"/>
        <w:ind w:firstLine="720"/>
        <w:rPr>
          <w:szCs w:val="22"/>
        </w:rPr>
      </w:pPr>
      <w:r w:rsidRPr="003C2E7E">
        <w:rPr>
          <w:sz w:val="16"/>
          <w:szCs w:val="18"/>
        </w:rPr>
        <w:t xml:space="preserve">Source: </w:t>
      </w:r>
      <w:r w:rsidR="003C2E7E">
        <w:rPr>
          <w:szCs w:val="18"/>
        </w:rPr>
        <w:t>EMEND Financial Estimates.xlsx; 6.02 aprepitant Pre-PBAC Response, November 2015.</w:t>
      </w:r>
    </w:p>
    <w:p w:rsidR="00A02025" w:rsidRDefault="00A02025">
      <w:pPr>
        <w:rPr>
          <w:rFonts w:ascii="Arial" w:hAnsi="Arial"/>
          <w:sz w:val="22"/>
          <w:szCs w:val="22"/>
        </w:rPr>
      </w:pPr>
    </w:p>
    <w:p w:rsidR="00CD32FF" w:rsidRPr="002C45B5" w:rsidRDefault="000A0DCA" w:rsidP="00CD32FF">
      <w:pPr>
        <w:pStyle w:val="ListParagraph"/>
        <w:numPr>
          <w:ilvl w:val="1"/>
          <w:numId w:val="2"/>
        </w:numPr>
        <w:jc w:val="both"/>
        <w:rPr>
          <w:rFonts w:ascii="Arial" w:hAnsi="Arial"/>
          <w:sz w:val="22"/>
          <w:szCs w:val="22"/>
        </w:rPr>
      </w:pPr>
      <w:r w:rsidRPr="002C45B5">
        <w:rPr>
          <w:rFonts w:ascii="Arial" w:hAnsi="Arial"/>
          <w:sz w:val="22"/>
          <w:szCs w:val="22"/>
        </w:rPr>
        <w:t>In</w:t>
      </w:r>
      <w:r w:rsidR="00CD32FF" w:rsidRPr="002C45B5">
        <w:rPr>
          <w:rFonts w:ascii="Arial" w:hAnsi="Arial"/>
          <w:sz w:val="22"/>
          <w:szCs w:val="22"/>
        </w:rPr>
        <w:t xml:space="preserve"> Table 5 of the minor re-submission</w:t>
      </w:r>
      <w:r w:rsidR="002C45B5" w:rsidRPr="002C45B5">
        <w:rPr>
          <w:rFonts w:ascii="Arial" w:hAnsi="Arial"/>
          <w:sz w:val="22"/>
          <w:szCs w:val="22"/>
        </w:rPr>
        <w:t xml:space="preserve"> (p.8)</w:t>
      </w:r>
      <w:r w:rsidR="00CD32FF" w:rsidRPr="002C45B5">
        <w:rPr>
          <w:rFonts w:ascii="Arial" w:hAnsi="Arial"/>
          <w:sz w:val="22"/>
          <w:szCs w:val="22"/>
        </w:rPr>
        <w:t xml:space="preserve">, the </w:t>
      </w:r>
      <w:r w:rsidRPr="002C45B5">
        <w:rPr>
          <w:rFonts w:ascii="Arial" w:hAnsi="Arial"/>
          <w:sz w:val="22"/>
          <w:szCs w:val="22"/>
        </w:rPr>
        <w:t xml:space="preserve">projected </w:t>
      </w:r>
      <w:r w:rsidR="002C45B5" w:rsidRPr="002C45B5">
        <w:rPr>
          <w:rFonts w:ascii="Arial" w:hAnsi="Arial"/>
          <w:sz w:val="22"/>
          <w:szCs w:val="22"/>
        </w:rPr>
        <w:t xml:space="preserve">‘HEC </w:t>
      </w:r>
      <w:r w:rsidRPr="002C45B5">
        <w:rPr>
          <w:rFonts w:ascii="Arial" w:hAnsi="Arial"/>
          <w:sz w:val="22"/>
          <w:szCs w:val="22"/>
        </w:rPr>
        <w:t>use</w:t>
      </w:r>
      <w:r w:rsidR="002C45B5" w:rsidRPr="002C45B5">
        <w:rPr>
          <w:rFonts w:ascii="Arial" w:hAnsi="Arial"/>
          <w:sz w:val="22"/>
          <w:szCs w:val="22"/>
        </w:rPr>
        <w:t>’</w:t>
      </w:r>
      <w:r w:rsidRPr="002C45B5">
        <w:rPr>
          <w:rFonts w:ascii="Arial" w:hAnsi="Arial"/>
          <w:sz w:val="22"/>
          <w:szCs w:val="22"/>
        </w:rPr>
        <w:t xml:space="preserve"> without listing </w:t>
      </w:r>
      <w:r w:rsidR="00F029AC">
        <w:rPr>
          <w:rFonts w:ascii="Arial" w:hAnsi="Arial"/>
          <w:sz w:val="22"/>
          <w:szCs w:val="22"/>
        </w:rPr>
        <w:t>was</w:t>
      </w:r>
      <w:r w:rsidRPr="002C45B5">
        <w:rPr>
          <w:rFonts w:ascii="Arial" w:hAnsi="Arial"/>
          <w:sz w:val="22"/>
          <w:szCs w:val="22"/>
        </w:rPr>
        <w:t xml:space="preserve"> </w:t>
      </w:r>
      <w:r w:rsidR="00A87FB7">
        <w:rPr>
          <w:rFonts w:ascii="Arial" w:hAnsi="Arial"/>
          <w:sz w:val="22"/>
          <w:szCs w:val="22"/>
        </w:rPr>
        <w:t>over 200,000</w:t>
      </w:r>
      <w:r w:rsidR="002C45B5" w:rsidRPr="002C45B5">
        <w:rPr>
          <w:rFonts w:ascii="Arial" w:hAnsi="Arial"/>
          <w:sz w:val="22"/>
          <w:szCs w:val="22"/>
        </w:rPr>
        <w:t xml:space="preserve"> (Row C), the predicted impact of listing on HEC </w:t>
      </w:r>
      <w:r w:rsidR="002C45B5">
        <w:rPr>
          <w:rFonts w:ascii="Arial" w:hAnsi="Arial"/>
          <w:sz w:val="22"/>
          <w:szCs w:val="22"/>
        </w:rPr>
        <w:t>use</w:t>
      </w:r>
      <w:r w:rsidR="002C45B5" w:rsidRPr="002C45B5">
        <w:rPr>
          <w:rFonts w:ascii="Arial" w:hAnsi="Arial"/>
          <w:sz w:val="22"/>
          <w:szCs w:val="22"/>
        </w:rPr>
        <w:t xml:space="preserve"> </w:t>
      </w:r>
      <w:r w:rsidR="00F029AC">
        <w:rPr>
          <w:rFonts w:ascii="Arial" w:hAnsi="Arial"/>
          <w:sz w:val="22"/>
          <w:szCs w:val="22"/>
        </w:rPr>
        <w:t>was</w:t>
      </w:r>
      <w:r w:rsidR="002C45B5" w:rsidRPr="002C45B5">
        <w:rPr>
          <w:rFonts w:ascii="Arial" w:hAnsi="Arial"/>
          <w:sz w:val="22"/>
          <w:szCs w:val="22"/>
        </w:rPr>
        <w:t xml:space="preserve"> zero (Row D), but the projected HEC use following the proposed PBS listing i</w:t>
      </w:r>
      <w:r w:rsidR="002C45B5">
        <w:rPr>
          <w:rFonts w:ascii="Arial" w:hAnsi="Arial"/>
          <w:sz w:val="22"/>
          <w:szCs w:val="22"/>
        </w:rPr>
        <w:t>ncrease</w:t>
      </w:r>
      <w:r w:rsidR="00F029AC">
        <w:rPr>
          <w:rFonts w:ascii="Arial" w:hAnsi="Arial"/>
          <w:sz w:val="22"/>
          <w:szCs w:val="22"/>
        </w:rPr>
        <w:t>d</w:t>
      </w:r>
      <w:r w:rsidR="002C45B5">
        <w:rPr>
          <w:rFonts w:ascii="Arial" w:hAnsi="Arial"/>
          <w:sz w:val="22"/>
          <w:szCs w:val="22"/>
        </w:rPr>
        <w:t xml:space="preserve"> to</w:t>
      </w:r>
      <w:r w:rsidR="002C45B5" w:rsidRPr="002C45B5">
        <w:rPr>
          <w:rFonts w:ascii="Arial" w:hAnsi="Arial"/>
          <w:sz w:val="22"/>
          <w:szCs w:val="22"/>
        </w:rPr>
        <w:t xml:space="preserve"> </w:t>
      </w:r>
      <w:r w:rsidR="00A87FB7">
        <w:rPr>
          <w:rFonts w:ascii="Arial" w:hAnsi="Arial"/>
          <w:sz w:val="22"/>
          <w:szCs w:val="22"/>
        </w:rPr>
        <w:t>over 200,000</w:t>
      </w:r>
      <w:r w:rsidR="002C45B5" w:rsidRPr="002C45B5">
        <w:rPr>
          <w:rFonts w:ascii="Arial" w:hAnsi="Arial"/>
          <w:sz w:val="22"/>
          <w:szCs w:val="22"/>
        </w:rPr>
        <w:t xml:space="preserve"> (Row E).</w:t>
      </w:r>
      <w:r w:rsidRPr="002C45B5">
        <w:rPr>
          <w:rFonts w:ascii="Arial" w:hAnsi="Arial"/>
          <w:sz w:val="22"/>
          <w:szCs w:val="22"/>
        </w:rPr>
        <w:t xml:space="preserve"> </w:t>
      </w:r>
      <w:r w:rsidR="002C45B5">
        <w:rPr>
          <w:rFonts w:ascii="Arial" w:hAnsi="Arial"/>
          <w:sz w:val="22"/>
          <w:szCs w:val="22"/>
        </w:rPr>
        <w:t>At the same time</w:t>
      </w:r>
      <w:r w:rsidR="00CD32FF" w:rsidRPr="002C45B5">
        <w:rPr>
          <w:rFonts w:ascii="Arial" w:hAnsi="Arial"/>
          <w:sz w:val="22"/>
          <w:szCs w:val="22"/>
        </w:rPr>
        <w:t xml:space="preserve">, </w:t>
      </w:r>
      <w:r w:rsidRPr="002C45B5">
        <w:rPr>
          <w:rFonts w:ascii="Arial" w:hAnsi="Arial"/>
          <w:sz w:val="22"/>
          <w:szCs w:val="22"/>
        </w:rPr>
        <w:t>in the spreadsheet provided,</w:t>
      </w:r>
      <w:r w:rsidR="00CD32FF" w:rsidRPr="002C45B5">
        <w:rPr>
          <w:rFonts w:ascii="Arial" w:hAnsi="Arial"/>
          <w:sz w:val="22"/>
          <w:szCs w:val="22"/>
        </w:rPr>
        <w:t xml:space="preserve"> </w:t>
      </w:r>
      <w:r w:rsidRPr="002C45B5">
        <w:rPr>
          <w:rFonts w:ascii="Arial" w:hAnsi="Arial"/>
          <w:sz w:val="22"/>
          <w:szCs w:val="22"/>
        </w:rPr>
        <w:t xml:space="preserve">projected HEC use with listing </w:t>
      </w:r>
      <w:r w:rsidR="00F029AC">
        <w:rPr>
          <w:rFonts w:ascii="Arial" w:hAnsi="Arial"/>
          <w:sz w:val="22"/>
          <w:szCs w:val="22"/>
        </w:rPr>
        <w:t>was</w:t>
      </w:r>
      <w:r w:rsidRPr="002C45B5">
        <w:rPr>
          <w:rFonts w:ascii="Arial" w:hAnsi="Arial"/>
          <w:sz w:val="22"/>
          <w:szCs w:val="22"/>
        </w:rPr>
        <w:t xml:space="preserve"> shown as</w:t>
      </w:r>
      <w:r w:rsidR="00CD32FF" w:rsidRPr="002C45B5">
        <w:rPr>
          <w:rFonts w:ascii="Arial" w:hAnsi="Arial"/>
          <w:sz w:val="22"/>
          <w:szCs w:val="22"/>
        </w:rPr>
        <w:t xml:space="preserve"> </w:t>
      </w:r>
      <w:r w:rsidR="00A87FB7">
        <w:rPr>
          <w:rFonts w:ascii="Arial" w:hAnsi="Arial"/>
          <w:sz w:val="22"/>
          <w:szCs w:val="22"/>
        </w:rPr>
        <w:t>over 200,000</w:t>
      </w:r>
      <w:r w:rsidR="00CD32FF" w:rsidRPr="002C45B5">
        <w:rPr>
          <w:rFonts w:ascii="Arial" w:hAnsi="Arial"/>
          <w:sz w:val="22"/>
          <w:szCs w:val="22"/>
        </w:rPr>
        <w:t xml:space="preserve">, which </w:t>
      </w:r>
      <w:r w:rsidR="00F029AC">
        <w:rPr>
          <w:rFonts w:ascii="Arial" w:hAnsi="Arial"/>
          <w:sz w:val="22"/>
          <w:szCs w:val="22"/>
        </w:rPr>
        <w:t>was</w:t>
      </w:r>
      <w:r w:rsidR="00CD32FF" w:rsidRPr="002C45B5">
        <w:rPr>
          <w:rFonts w:ascii="Arial" w:hAnsi="Arial"/>
          <w:sz w:val="22"/>
          <w:szCs w:val="22"/>
        </w:rPr>
        <w:t xml:space="preserve"> consistent with the nil impact predicted on HEC usage in the re-submission</w:t>
      </w:r>
      <w:r w:rsidRPr="002C45B5">
        <w:rPr>
          <w:rFonts w:ascii="Arial" w:hAnsi="Arial"/>
          <w:sz w:val="22"/>
          <w:szCs w:val="22"/>
        </w:rPr>
        <w:t xml:space="preserve"> </w:t>
      </w:r>
      <w:r w:rsidR="00CD32FF" w:rsidRPr="002C45B5">
        <w:rPr>
          <w:rFonts w:ascii="Arial" w:hAnsi="Arial"/>
          <w:sz w:val="22"/>
          <w:szCs w:val="22"/>
        </w:rPr>
        <w:t>.</w:t>
      </w:r>
    </w:p>
    <w:p w:rsidR="00174AC9" w:rsidRDefault="00174AC9" w:rsidP="00D84934">
      <w:pPr>
        <w:jc w:val="both"/>
        <w:rPr>
          <w:rFonts w:ascii="Arial" w:hAnsi="Arial"/>
          <w:sz w:val="22"/>
          <w:szCs w:val="22"/>
        </w:rPr>
      </w:pPr>
    </w:p>
    <w:p w:rsidR="00C52221" w:rsidRDefault="00C52221" w:rsidP="00D84934">
      <w:pPr>
        <w:jc w:val="both"/>
        <w:rPr>
          <w:rFonts w:ascii="Arial" w:hAnsi="Arial"/>
          <w:sz w:val="22"/>
          <w:szCs w:val="22"/>
        </w:rPr>
      </w:pPr>
    </w:p>
    <w:p w:rsidR="00CE10C4" w:rsidRPr="00A00B38" w:rsidRDefault="00435D73" w:rsidP="00A00B38">
      <w:pPr>
        <w:pStyle w:val="Heading2"/>
      </w:pPr>
      <w:r w:rsidRPr="00A00B38">
        <w:t>Financial Management – Risk Sharing Arrangements</w:t>
      </w:r>
    </w:p>
    <w:p w:rsidR="00435D73" w:rsidRDefault="00435D73" w:rsidP="00045346">
      <w:pPr>
        <w:jc w:val="both"/>
        <w:rPr>
          <w:rFonts w:ascii="Arial" w:hAnsi="Arial"/>
          <w:b/>
          <w:i/>
          <w:sz w:val="22"/>
          <w:szCs w:val="22"/>
        </w:rPr>
      </w:pPr>
    </w:p>
    <w:p w:rsidR="008D2B33" w:rsidRPr="003759B4" w:rsidRDefault="001E6EFE" w:rsidP="00045346">
      <w:pPr>
        <w:widowControl w:val="0"/>
        <w:numPr>
          <w:ilvl w:val="1"/>
          <w:numId w:val="2"/>
        </w:numPr>
        <w:contextualSpacing/>
        <w:jc w:val="both"/>
        <w:rPr>
          <w:rFonts w:ascii="Arial" w:hAnsi="Arial"/>
          <w:b/>
          <w:sz w:val="22"/>
          <w:szCs w:val="22"/>
        </w:rPr>
      </w:pPr>
      <w:r w:rsidRPr="008D2B33">
        <w:rPr>
          <w:rFonts w:ascii="Arial" w:hAnsi="Arial" w:cs="Arial"/>
          <w:sz w:val="22"/>
          <w:szCs w:val="22"/>
          <w:lang w:val="en-GB"/>
        </w:rPr>
        <w:t>As noted above, t</w:t>
      </w:r>
      <w:r w:rsidR="00DF02FF" w:rsidRPr="008D2B33">
        <w:rPr>
          <w:rFonts w:ascii="Arial" w:hAnsi="Arial" w:cs="Arial"/>
          <w:sz w:val="22"/>
          <w:szCs w:val="22"/>
          <w:lang w:val="en-GB"/>
        </w:rPr>
        <w:t xml:space="preserve">he PBAC </w:t>
      </w:r>
      <w:r w:rsidR="00F07C3F">
        <w:rPr>
          <w:rFonts w:ascii="Arial" w:hAnsi="Arial" w:cs="Arial"/>
          <w:sz w:val="22"/>
          <w:szCs w:val="22"/>
          <w:lang w:val="en-GB"/>
        </w:rPr>
        <w:t xml:space="preserve">previously </w:t>
      </w:r>
      <w:r w:rsidR="00DF02FF" w:rsidRPr="008D2B33">
        <w:rPr>
          <w:rFonts w:ascii="Arial" w:hAnsi="Arial" w:cs="Arial"/>
          <w:sz w:val="22"/>
          <w:szCs w:val="22"/>
          <w:lang w:val="en-GB"/>
        </w:rPr>
        <w:t>considered that the requested listing would make aprepitant available to a substantially broader population of patients and the financial implications of such an extension to listing were uncertain. The PBAC considered that if the listing was extended in the future, there should be a risk sharing mechanism to manage for potential use beyond the estimated patient numbers</w:t>
      </w:r>
      <w:r w:rsidR="00F029AC">
        <w:rPr>
          <w:rFonts w:ascii="Arial" w:hAnsi="Arial" w:cs="Arial"/>
          <w:sz w:val="22"/>
          <w:szCs w:val="22"/>
          <w:lang w:val="en-GB"/>
        </w:rPr>
        <w:t>.</w:t>
      </w:r>
    </w:p>
    <w:p w:rsidR="008D2B33" w:rsidRPr="003759B4" w:rsidRDefault="008D2B33" w:rsidP="008D2B33">
      <w:pPr>
        <w:widowControl w:val="0"/>
        <w:ind w:left="720"/>
        <w:contextualSpacing/>
        <w:jc w:val="both"/>
        <w:rPr>
          <w:rFonts w:ascii="Arial" w:hAnsi="Arial" w:cs="Arial"/>
          <w:i/>
          <w:sz w:val="22"/>
          <w:szCs w:val="22"/>
          <w:lang w:val="en-GB"/>
        </w:rPr>
      </w:pPr>
    </w:p>
    <w:p w:rsidR="008D2B33" w:rsidRPr="00013DEA" w:rsidRDefault="008D2B33" w:rsidP="00045346">
      <w:pPr>
        <w:widowControl w:val="0"/>
        <w:numPr>
          <w:ilvl w:val="1"/>
          <w:numId w:val="2"/>
        </w:numPr>
        <w:contextualSpacing/>
        <w:jc w:val="both"/>
        <w:rPr>
          <w:rFonts w:ascii="Arial" w:hAnsi="Arial" w:cs="Arial"/>
          <w:i/>
          <w:sz w:val="22"/>
          <w:szCs w:val="22"/>
          <w:lang w:val="en-GB"/>
        </w:rPr>
      </w:pPr>
      <w:r w:rsidRPr="008D2B33">
        <w:rPr>
          <w:rFonts w:ascii="Arial" w:hAnsi="Arial" w:cs="Arial"/>
          <w:sz w:val="22"/>
          <w:szCs w:val="22"/>
          <w:lang w:val="en-GB"/>
        </w:rPr>
        <w:t xml:space="preserve">In accordance with the PBAC recommendation, the minor re-submission proposed </w:t>
      </w:r>
      <w:r w:rsidR="007A364A">
        <w:rPr>
          <w:rFonts w:ascii="Arial" w:hAnsi="Arial" w:cs="Arial"/>
          <w:sz w:val="22"/>
          <w:szCs w:val="22"/>
          <w:lang w:val="en-GB"/>
        </w:rPr>
        <w:t>RSA</w:t>
      </w:r>
      <w:r w:rsidRPr="008D2B33">
        <w:rPr>
          <w:rFonts w:ascii="Arial" w:hAnsi="Arial" w:cs="Arial"/>
          <w:sz w:val="22"/>
          <w:szCs w:val="22"/>
          <w:lang w:val="en-GB"/>
        </w:rPr>
        <w:t xml:space="preserve"> parameters which would be acceptable to the sponsor (Minor resubmission, pp. 9-10)</w:t>
      </w:r>
      <w:r w:rsidR="00F07C3F">
        <w:rPr>
          <w:rFonts w:ascii="Arial" w:hAnsi="Arial" w:cs="Arial"/>
          <w:sz w:val="22"/>
          <w:szCs w:val="22"/>
          <w:lang w:val="en-GB"/>
        </w:rPr>
        <w:t>, including:</w:t>
      </w:r>
    </w:p>
    <w:p w:rsidR="00013DEA" w:rsidRPr="00F07C3F" w:rsidRDefault="00F07C3F" w:rsidP="00F07C3F">
      <w:pPr>
        <w:pStyle w:val="ListParagraph"/>
        <w:widowControl w:val="0"/>
        <w:numPr>
          <w:ilvl w:val="0"/>
          <w:numId w:val="7"/>
        </w:numPr>
        <w:tabs>
          <w:tab w:val="left" w:pos="6300"/>
        </w:tabs>
        <w:ind w:left="1134"/>
        <w:jc w:val="both"/>
        <w:rPr>
          <w:rFonts w:ascii="Arial" w:hAnsi="Arial" w:cs="Arial"/>
          <w:sz w:val="22"/>
          <w:szCs w:val="22"/>
        </w:rPr>
      </w:pPr>
      <w:r>
        <w:rPr>
          <w:rFonts w:ascii="Arial" w:hAnsi="Arial" w:cs="Arial"/>
          <w:sz w:val="22"/>
          <w:szCs w:val="22"/>
        </w:rPr>
        <w:t>y</w:t>
      </w:r>
      <w:r w:rsidR="00013DEA" w:rsidRPr="00F07C3F">
        <w:rPr>
          <w:rFonts w:ascii="Arial" w:hAnsi="Arial" w:cs="Arial"/>
          <w:sz w:val="22"/>
          <w:szCs w:val="22"/>
        </w:rPr>
        <w:t>early caps (up to five years) based on the financial estim</w:t>
      </w:r>
      <w:r w:rsidRPr="00F07C3F">
        <w:rPr>
          <w:rFonts w:ascii="Arial" w:hAnsi="Arial" w:cs="Arial"/>
          <w:sz w:val="22"/>
          <w:szCs w:val="22"/>
        </w:rPr>
        <w:t>ates provided in the re-submission</w:t>
      </w:r>
      <w:r>
        <w:rPr>
          <w:rFonts w:ascii="Arial" w:hAnsi="Arial" w:cs="Arial"/>
          <w:sz w:val="22"/>
          <w:szCs w:val="22"/>
        </w:rPr>
        <w:t>; and</w:t>
      </w:r>
    </w:p>
    <w:p w:rsidR="00013DEA" w:rsidRDefault="00F07C3F" w:rsidP="00F07C3F">
      <w:pPr>
        <w:pStyle w:val="ListParagraph"/>
        <w:widowControl w:val="0"/>
        <w:numPr>
          <w:ilvl w:val="0"/>
          <w:numId w:val="7"/>
        </w:numPr>
        <w:tabs>
          <w:tab w:val="left" w:pos="6300"/>
        </w:tabs>
        <w:ind w:left="1134"/>
        <w:jc w:val="both"/>
        <w:rPr>
          <w:rFonts w:ascii="Arial" w:hAnsi="Arial" w:cs="Arial"/>
          <w:sz w:val="22"/>
          <w:szCs w:val="22"/>
        </w:rPr>
      </w:pPr>
      <w:r>
        <w:rPr>
          <w:rFonts w:ascii="Arial" w:hAnsi="Arial" w:cs="Arial"/>
          <w:sz w:val="22"/>
          <w:szCs w:val="22"/>
        </w:rPr>
        <w:t>r</w:t>
      </w:r>
      <w:r w:rsidR="00013DEA" w:rsidRPr="00F07C3F">
        <w:rPr>
          <w:rFonts w:ascii="Arial" w:hAnsi="Arial" w:cs="Arial"/>
          <w:sz w:val="22"/>
          <w:szCs w:val="22"/>
        </w:rPr>
        <w:t>ebates for any increme</w:t>
      </w:r>
      <w:r>
        <w:rPr>
          <w:rFonts w:ascii="Arial" w:hAnsi="Arial" w:cs="Arial"/>
          <w:sz w:val="22"/>
          <w:szCs w:val="22"/>
        </w:rPr>
        <w:t xml:space="preserve">ntal sales over the caps of </w:t>
      </w:r>
      <w:r w:rsidR="00D03668">
        <w:rPr>
          <w:rFonts w:ascii="Arial" w:hAnsi="Arial" w:cs="Arial"/>
          <w:noProof/>
          <w:color w:val="000000"/>
          <w:sz w:val="22"/>
          <w:szCs w:val="22"/>
          <w:highlight w:val="black"/>
        </w:rPr>
        <w:t>'''''''</w:t>
      </w:r>
      <w:r>
        <w:rPr>
          <w:rFonts w:ascii="Arial" w:hAnsi="Arial" w:cs="Arial"/>
          <w:sz w:val="22"/>
          <w:szCs w:val="22"/>
        </w:rPr>
        <w:t>%.</w:t>
      </w:r>
    </w:p>
    <w:p w:rsidR="005B51F7" w:rsidRPr="00AB5419" w:rsidRDefault="005B51F7" w:rsidP="005B51F7">
      <w:pPr>
        <w:jc w:val="both"/>
        <w:rPr>
          <w:rFonts w:ascii="Arial" w:hAnsi="Arial"/>
          <w:sz w:val="22"/>
          <w:szCs w:val="22"/>
        </w:rPr>
      </w:pPr>
    </w:p>
    <w:p w:rsidR="007A364A" w:rsidRPr="00AB5419" w:rsidRDefault="00810584" w:rsidP="00F4041F">
      <w:pPr>
        <w:widowControl w:val="0"/>
        <w:numPr>
          <w:ilvl w:val="1"/>
          <w:numId w:val="2"/>
        </w:numPr>
        <w:contextualSpacing/>
        <w:jc w:val="both"/>
        <w:rPr>
          <w:rFonts w:ascii="Arial" w:hAnsi="Arial"/>
          <w:sz w:val="22"/>
          <w:szCs w:val="22"/>
        </w:rPr>
      </w:pPr>
      <w:r w:rsidRPr="00AB5419">
        <w:rPr>
          <w:rFonts w:ascii="Arial" w:hAnsi="Arial"/>
          <w:sz w:val="22"/>
          <w:szCs w:val="22"/>
        </w:rPr>
        <w:t xml:space="preserve">In line with its previous advice, the PBAC recommended an RSA to manage the risk for potential use beyond the estimated patient numbers. The PBAC noted that </w:t>
      </w:r>
      <w:r w:rsidR="00F4041F">
        <w:rPr>
          <w:rFonts w:ascii="Arial" w:hAnsi="Arial"/>
          <w:sz w:val="22"/>
          <w:szCs w:val="22"/>
        </w:rPr>
        <w:t>resubmission</w:t>
      </w:r>
      <w:r w:rsidRPr="00AB5419">
        <w:rPr>
          <w:rFonts w:ascii="Arial" w:hAnsi="Arial"/>
          <w:sz w:val="22"/>
          <w:szCs w:val="22"/>
        </w:rPr>
        <w:t xml:space="preserve"> proposed </w:t>
      </w:r>
      <w:r w:rsidR="00F4041F">
        <w:rPr>
          <w:rFonts w:ascii="Arial" w:hAnsi="Arial"/>
          <w:sz w:val="22"/>
          <w:szCs w:val="22"/>
        </w:rPr>
        <w:t>yearly caps (up to five years) based on the financial estimates provided and r</w:t>
      </w:r>
      <w:r w:rsidR="00F4041F" w:rsidRPr="00F4041F">
        <w:rPr>
          <w:rFonts w:ascii="Arial" w:hAnsi="Arial"/>
          <w:sz w:val="22"/>
          <w:szCs w:val="22"/>
        </w:rPr>
        <w:t xml:space="preserve">ebates for any incremental sales over the caps of </w:t>
      </w:r>
      <w:r w:rsidR="00D03668">
        <w:rPr>
          <w:rFonts w:ascii="Arial" w:hAnsi="Arial"/>
          <w:noProof/>
          <w:color w:val="000000"/>
          <w:sz w:val="22"/>
          <w:szCs w:val="22"/>
          <w:highlight w:val="black"/>
        </w:rPr>
        <w:t>'''''''</w:t>
      </w:r>
      <w:r w:rsidR="00F4041F" w:rsidRPr="00F4041F">
        <w:rPr>
          <w:rFonts w:ascii="Arial" w:hAnsi="Arial"/>
          <w:sz w:val="22"/>
          <w:szCs w:val="22"/>
        </w:rPr>
        <w:t xml:space="preserve">%. </w:t>
      </w:r>
    </w:p>
    <w:p w:rsidR="007A364A" w:rsidRDefault="007A364A" w:rsidP="005B51F7">
      <w:pPr>
        <w:jc w:val="both"/>
        <w:rPr>
          <w:rFonts w:ascii="Arial" w:hAnsi="Arial"/>
          <w:sz w:val="22"/>
          <w:szCs w:val="22"/>
        </w:rPr>
      </w:pPr>
    </w:p>
    <w:p w:rsidR="005B51F7" w:rsidRPr="002D1FDC" w:rsidRDefault="005B51F7" w:rsidP="005B51F7">
      <w:pPr>
        <w:widowControl w:val="0"/>
        <w:ind w:left="709"/>
        <w:contextualSpacing/>
        <w:jc w:val="both"/>
        <w:rPr>
          <w:rFonts w:ascii="Arial" w:hAnsi="Arial" w:cs="Arial"/>
          <w:i/>
          <w:snapToGrid w:val="0"/>
          <w:sz w:val="22"/>
          <w:szCs w:val="22"/>
          <w:lang w:eastAsia="en-US"/>
        </w:rPr>
      </w:pPr>
      <w:r w:rsidRPr="007903C6">
        <w:rPr>
          <w:rFonts w:ascii="Arial" w:hAnsi="Arial" w:cs="Arial"/>
          <w:i/>
          <w:snapToGrid w:val="0"/>
          <w:sz w:val="22"/>
          <w:szCs w:val="22"/>
          <w:lang w:eastAsia="en-US"/>
        </w:rPr>
        <w:t>For more detail on PBAC’s view, see section 7 “PBAC outcome”</w:t>
      </w:r>
    </w:p>
    <w:p w:rsidR="005B51F7" w:rsidRDefault="005B51F7" w:rsidP="005B51F7">
      <w:pPr>
        <w:widowControl w:val="0"/>
        <w:tabs>
          <w:tab w:val="left" w:pos="6300"/>
        </w:tabs>
        <w:jc w:val="both"/>
        <w:rPr>
          <w:rFonts w:ascii="Arial" w:hAnsi="Arial" w:cs="Arial"/>
          <w:sz w:val="22"/>
          <w:szCs w:val="22"/>
        </w:rPr>
      </w:pPr>
    </w:p>
    <w:p w:rsidR="005B51F7" w:rsidRPr="009630D9" w:rsidRDefault="005B51F7" w:rsidP="005B51F7">
      <w:pPr>
        <w:ind w:firstLine="709"/>
        <w:rPr>
          <w:rFonts w:ascii="Arial Narrow" w:hAnsi="Arial Narrow"/>
          <w:sz w:val="22"/>
          <w:szCs w:val="22"/>
        </w:rPr>
      </w:pPr>
    </w:p>
    <w:p w:rsidR="005B51F7" w:rsidRPr="007903C6" w:rsidRDefault="005B51F7" w:rsidP="00A00B38">
      <w:pPr>
        <w:pStyle w:val="Heading1"/>
      </w:pPr>
      <w:r w:rsidRPr="007903C6">
        <w:t>PBAC Outcome</w:t>
      </w:r>
    </w:p>
    <w:p w:rsidR="005B51F7" w:rsidRPr="009630D9" w:rsidRDefault="005B51F7" w:rsidP="005B51F7">
      <w:pPr>
        <w:contextualSpacing/>
        <w:rPr>
          <w:rFonts w:ascii="Arial" w:hAnsi="Arial" w:cs="Arial"/>
          <w:b/>
          <w:bCs/>
          <w:sz w:val="22"/>
          <w:szCs w:val="22"/>
          <w:highlight w:val="yellow"/>
          <w:lang w:val="en-GB"/>
        </w:rPr>
      </w:pPr>
    </w:p>
    <w:p w:rsidR="00CC6C3F" w:rsidRPr="00CC6C3F" w:rsidRDefault="00B84F84" w:rsidP="00CC6C3F">
      <w:pPr>
        <w:pStyle w:val="ListParagraph"/>
        <w:numPr>
          <w:ilvl w:val="1"/>
          <w:numId w:val="2"/>
        </w:numPr>
        <w:jc w:val="both"/>
      </w:pPr>
      <w:r w:rsidRPr="003B5AE4">
        <w:rPr>
          <w:rFonts w:ascii="Arial" w:hAnsi="Arial" w:cs="Arial"/>
          <w:bCs/>
          <w:sz w:val="22"/>
          <w:szCs w:val="22"/>
          <w:lang w:val="en-GB"/>
        </w:rPr>
        <w:t xml:space="preserve">The </w:t>
      </w:r>
      <w:r w:rsidRPr="003B5AE4">
        <w:rPr>
          <w:rFonts w:ascii="Arial" w:hAnsi="Arial"/>
          <w:sz w:val="22"/>
          <w:szCs w:val="22"/>
        </w:rPr>
        <w:t xml:space="preserve">PBAC recommended listing aprepitant as an </w:t>
      </w:r>
      <w:r w:rsidRPr="003B5AE4">
        <w:rPr>
          <w:rFonts w:ascii="Arial" w:hAnsi="Arial" w:cs="Arial"/>
          <w:bCs/>
          <w:snapToGrid w:val="0"/>
          <w:sz w:val="22"/>
          <w:szCs w:val="22"/>
          <w:lang w:val="en-GB" w:eastAsia="en-US"/>
        </w:rPr>
        <w:t xml:space="preserve">Authority Required (Streamlined) benefit on the General Schedule and under the Section 100 program Efficient Funding of Chemotherapy – Related Benefits, for use with </w:t>
      </w:r>
      <w:r w:rsidRPr="003B5AE4">
        <w:rPr>
          <w:rFonts w:ascii="Arial" w:hAnsi="Arial"/>
          <w:sz w:val="22"/>
          <w:szCs w:val="22"/>
        </w:rPr>
        <w:t>carboplatin/oxaliplatin regimens from the first chemotherapy cycle, without having a prior episode of chemotherapy induced nausea and vomiting (CINV).</w:t>
      </w:r>
    </w:p>
    <w:p w:rsidR="00CC6C3F" w:rsidRPr="00CC6C3F" w:rsidRDefault="00CC6C3F" w:rsidP="00CC6C3F">
      <w:pPr>
        <w:pStyle w:val="ListParagraph"/>
        <w:jc w:val="both"/>
      </w:pPr>
    </w:p>
    <w:p w:rsidR="00CC6C3F" w:rsidRDefault="00CC6C3F" w:rsidP="00CC6C3F">
      <w:pPr>
        <w:pStyle w:val="ListParagraph"/>
        <w:numPr>
          <w:ilvl w:val="1"/>
          <w:numId w:val="2"/>
        </w:numPr>
        <w:jc w:val="both"/>
        <w:rPr>
          <w:rFonts w:ascii="Arial" w:hAnsi="Arial" w:cs="Arial"/>
          <w:bCs/>
          <w:snapToGrid w:val="0"/>
          <w:sz w:val="22"/>
          <w:szCs w:val="22"/>
          <w:lang w:val="en-GB" w:eastAsia="en-US"/>
        </w:rPr>
      </w:pPr>
      <w:r>
        <w:rPr>
          <w:rFonts w:ascii="Arial" w:hAnsi="Arial" w:cs="Arial"/>
          <w:bCs/>
          <w:snapToGrid w:val="0"/>
          <w:sz w:val="22"/>
          <w:szCs w:val="22"/>
          <w:lang w:val="en-GB" w:eastAsia="en-US"/>
        </w:rPr>
        <w:t xml:space="preserve">In making its recommendation, the PBAC noted that the resubmission proposed a price for aprepitant for this indication that was cost-minimised to the price of aprepitant when used with moderately emetogenic chemotherapy, as per </w:t>
      </w:r>
      <w:r w:rsidR="00B0494B">
        <w:rPr>
          <w:rFonts w:ascii="Arial" w:hAnsi="Arial" w:cs="Arial"/>
          <w:bCs/>
          <w:snapToGrid w:val="0"/>
          <w:sz w:val="22"/>
          <w:szCs w:val="22"/>
          <w:lang w:val="en-GB" w:eastAsia="en-US"/>
        </w:rPr>
        <w:t xml:space="preserve">the </w:t>
      </w:r>
      <w:r>
        <w:rPr>
          <w:rFonts w:ascii="Arial" w:hAnsi="Arial" w:cs="Arial"/>
          <w:bCs/>
          <w:snapToGrid w:val="0"/>
          <w:sz w:val="22"/>
          <w:szCs w:val="22"/>
          <w:lang w:val="en-GB" w:eastAsia="en-US"/>
        </w:rPr>
        <w:t>PBAC’s advice from November 2015.</w:t>
      </w:r>
    </w:p>
    <w:p w:rsidR="00290324" w:rsidRPr="00290324" w:rsidRDefault="00290324" w:rsidP="00290324">
      <w:pPr>
        <w:jc w:val="both"/>
        <w:rPr>
          <w:rFonts w:ascii="Arial" w:hAnsi="Arial" w:cs="Arial"/>
          <w:bCs/>
          <w:snapToGrid w:val="0"/>
          <w:sz w:val="22"/>
          <w:szCs w:val="22"/>
          <w:lang w:val="en-GB" w:eastAsia="en-US"/>
        </w:rPr>
      </w:pPr>
    </w:p>
    <w:p w:rsidR="00290324" w:rsidRPr="003B5AE4" w:rsidRDefault="00290324" w:rsidP="00290324">
      <w:pPr>
        <w:widowControl w:val="0"/>
        <w:numPr>
          <w:ilvl w:val="1"/>
          <w:numId w:val="2"/>
        </w:numPr>
        <w:spacing w:after="240"/>
        <w:contextualSpacing/>
        <w:jc w:val="both"/>
        <w:rPr>
          <w:rFonts w:ascii="Arial" w:hAnsi="Arial"/>
          <w:sz w:val="22"/>
          <w:szCs w:val="22"/>
        </w:rPr>
      </w:pPr>
      <w:r w:rsidRPr="003B5AE4">
        <w:rPr>
          <w:rFonts w:ascii="Arial" w:hAnsi="Arial"/>
          <w:sz w:val="22"/>
          <w:szCs w:val="22"/>
        </w:rPr>
        <w:lastRenderedPageBreak/>
        <w:t xml:space="preserve">The PBAC </w:t>
      </w:r>
      <w:r>
        <w:rPr>
          <w:rFonts w:ascii="Arial" w:hAnsi="Arial"/>
          <w:sz w:val="22"/>
          <w:szCs w:val="22"/>
        </w:rPr>
        <w:t>agreed with the Secretariat’s suggested changes to the proposed restriction</w:t>
      </w:r>
      <w:r w:rsidRPr="003B5AE4">
        <w:rPr>
          <w:rFonts w:ascii="Arial" w:hAnsi="Arial"/>
          <w:sz w:val="22"/>
          <w:szCs w:val="22"/>
        </w:rPr>
        <w:t>, consistent with the current listing for second-line therapy for nausea and vomiting associated with moderately emetogenic cytotoxic chemotherapy</w:t>
      </w:r>
      <w:r>
        <w:rPr>
          <w:rFonts w:ascii="Arial" w:hAnsi="Arial"/>
          <w:sz w:val="22"/>
          <w:szCs w:val="22"/>
        </w:rPr>
        <w:t xml:space="preserve"> including</w:t>
      </w:r>
      <w:r w:rsidRPr="003B5AE4">
        <w:rPr>
          <w:rFonts w:ascii="Arial" w:hAnsi="Arial"/>
          <w:sz w:val="22"/>
          <w:szCs w:val="22"/>
        </w:rPr>
        <w:t>:</w:t>
      </w:r>
    </w:p>
    <w:p w:rsidR="00290324" w:rsidRPr="003B5AE4" w:rsidRDefault="00290324" w:rsidP="00290324">
      <w:pPr>
        <w:widowControl w:val="0"/>
        <w:numPr>
          <w:ilvl w:val="0"/>
          <w:numId w:val="20"/>
        </w:numPr>
        <w:spacing w:after="240"/>
        <w:ind w:left="1134" w:hanging="425"/>
        <w:contextualSpacing/>
        <w:jc w:val="both"/>
        <w:rPr>
          <w:rFonts w:ascii="Arial" w:hAnsi="Arial"/>
          <w:sz w:val="22"/>
          <w:szCs w:val="22"/>
          <w:u w:val="single"/>
        </w:rPr>
      </w:pPr>
      <w:r>
        <w:rPr>
          <w:rFonts w:ascii="Arial" w:hAnsi="Arial"/>
          <w:sz w:val="22"/>
          <w:szCs w:val="22"/>
        </w:rPr>
        <w:t xml:space="preserve">specifying that </w:t>
      </w:r>
      <w:r w:rsidRPr="003B5AE4">
        <w:rPr>
          <w:rFonts w:ascii="Arial" w:hAnsi="Arial"/>
          <w:sz w:val="22"/>
          <w:szCs w:val="22"/>
        </w:rPr>
        <w:t>treatment must be in combination with a 5-hydroxytryptamine receptor (5HT3) antagonist and dexamethason</w:t>
      </w:r>
      <w:r w:rsidRPr="00370C02">
        <w:rPr>
          <w:rFonts w:ascii="Arial" w:hAnsi="Arial"/>
          <w:sz w:val="22"/>
          <w:szCs w:val="22"/>
        </w:rPr>
        <w:t>e on day 1 of a chemotherapy cycle</w:t>
      </w:r>
      <w:r>
        <w:rPr>
          <w:rFonts w:ascii="Arial" w:hAnsi="Arial"/>
          <w:sz w:val="22"/>
          <w:szCs w:val="22"/>
        </w:rPr>
        <w:t>; and</w:t>
      </w:r>
    </w:p>
    <w:p w:rsidR="00290324" w:rsidRPr="003B5AE4" w:rsidRDefault="00290324" w:rsidP="00290324">
      <w:pPr>
        <w:widowControl w:val="0"/>
        <w:numPr>
          <w:ilvl w:val="0"/>
          <w:numId w:val="20"/>
        </w:numPr>
        <w:spacing w:after="240"/>
        <w:ind w:left="1134" w:hanging="425"/>
        <w:contextualSpacing/>
        <w:jc w:val="both"/>
        <w:rPr>
          <w:rFonts w:ascii="Arial" w:hAnsi="Arial"/>
          <w:sz w:val="22"/>
          <w:szCs w:val="22"/>
        </w:rPr>
      </w:pPr>
      <w:r>
        <w:rPr>
          <w:rFonts w:ascii="Arial" w:hAnsi="Arial"/>
          <w:sz w:val="22"/>
          <w:szCs w:val="22"/>
        </w:rPr>
        <w:t>adding a</w:t>
      </w:r>
      <w:r w:rsidRPr="003B5AE4">
        <w:rPr>
          <w:rFonts w:ascii="Arial" w:hAnsi="Arial"/>
          <w:sz w:val="22"/>
          <w:szCs w:val="22"/>
        </w:rPr>
        <w:t xml:space="preserve"> Prescriber Instruction: </w:t>
      </w:r>
      <w:r w:rsidRPr="00290324">
        <w:rPr>
          <w:rFonts w:ascii="Arial" w:hAnsi="Arial"/>
          <w:sz w:val="22"/>
          <w:szCs w:val="22"/>
        </w:rPr>
        <w:t>“Concomitant use of a 5HT3 antagonist should not occur with aprepitant on days 2 and 3 of any chemotherapy cycle”.</w:t>
      </w:r>
    </w:p>
    <w:p w:rsidR="00B0494B" w:rsidRPr="00B0494B" w:rsidRDefault="00B0494B" w:rsidP="00B0494B">
      <w:pPr>
        <w:pStyle w:val="ListParagraph"/>
        <w:rPr>
          <w:rFonts w:ascii="Arial" w:hAnsi="Arial" w:cs="Arial"/>
          <w:bCs/>
          <w:snapToGrid w:val="0"/>
          <w:sz w:val="22"/>
          <w:szCs w:val="22"/>
          <w:lang w:val="en-GB" w:eastAsia="en-US"/>
        </w:rPr>
      </w:pPr>
    </w:p>
    <w:p w:rsidR="00B0494B" w:rsidRDefault="00B0494B" w:rsidP="00CC6C3F">
      <w:pPr>
        <w:pStyle w:val="ListParagraph"/>
        <w:numPr>
          <w:ilvl w:val="1"/>
          <w:numId w:val="2"/>
        </w:numPr>
        <w:jc w:val="both"/>
        <w:rPr>
          <w:rFonts w:ascii="Arial" w:hAnsi="Arial" w:cs="Arial"/>
          <w:bCs/>
          <w:snapToGrid w:val="0"/>
          <w:sz w:val="22"/>
          <w:szCs w:val="22"/>
          <w:lang w:val="en-GB" w:eastAsia="en-US"/>
        </w:rPr>
      </w:pPr>
      <w:r>
        <w:rPr>
          <w:rFonts w:ascii="Arial" w:hAnsi="Arial" w:cs="Arial"/>
          <w:bCs/>
          <w:snapToGrid w:val="0"/>
          <w:sz w:val="22"/>
          <w:szCs w:val="22"/>
          <w:lang w:val="en-GB" w:eastAsia="en-US"/>
        </w:rPr>
        <w:t>The PBAC noted that no new clinical data was presented in the resubmission, and that the PBAC’s consideration of the clinical claim remained unchanged</w:t>
      </w:r>
      <w:r w:rsidR="00536B33">
        <w:rPr>
          <w:rFonts w:ascii="Arial" w:hAnsi="Arial" w:cs="Arial"/>
          <w:bCs/>
          <w:snapToGrid w:val="0"/>
          <w:sz w:val="22"/>
          <w:szCs w:val="22"/>
          <w:lang w:val="en-GB" w:eastAsia="en-US"/>
        </w:rPr>
        <w:t xml:space="preserve"> from November 2015</w:t>
      </w:r>
      <w:r>
        <w:rPr>
          <w:rFonts w:ascii="Arial" w:hAnsi="Arial" w:cs="Arial"/>
          <w:bCs/>
          <w:snapToGrid w:val="0"/>
          <w:sz w:val="22"/>
          <w:szCs w:val="22"/>
          <w:lang w:val="en-GB" w:eastAsia="en-US"/>
        </w:rPr>
        <w:t>.</w:t>
      </w:r>
    </w:p>
    <w:p w:rsidR="00E27E8E" w:rsidRPr="00E27E8E" w:rsidRDefault="00E27E8E" w:rsidP="00E27E8E">
      <w:pPr>
        <w:pStyle w:val="ListParagraph"/>
        <w:rPr>
          <w:rFonts w:ascii="Arial" w:hAnsi="Arial" w:cs="Arial"/>
          <w:bCs/>
          <w:snapToGrid w:val="0"/>
          <w:sz w:val="22"/>
          <w:szCs w:val="22"/>
          <w:lang w:val="en-GB" w:eastAsia="en-US"/>
        </w:rPr>
      </w:pPr>
    </w:p>
    <w:p w:rsidR="00CF318A" w:rsidRPr="00290324" w:rsidRDefault="00EE16E2" w:rsidP="00CF318A">
      <w:pPr>
        <w:pStyle w:val="ListParagraph"/>
        <w:numPr>
          <w:ilvl w:val="1"/>
          <w:numId w:val="2"/>
        </w:numPr>
        <w:jc w:val="both"/>
        <w:rPr>
          <w:rFonts w:ascii="Arial" w:hAnsi="Arial" w:cs="Arial"/>
          <w:bCs/>
          <w:snapToGrid w:val="0"/>
          <w:sz w:val="22"/>
          <w:szCs w:val="22"/>
          <w:lang w:val="en-GB" w:eastAsia="en-US"/>
        </w:rPr>
      </w:pPr>
      <w:r>
        <w:rPr>
          <w:rFonts w:ascii="Arial" w:hAnsi="Arial" w:cs="Arial"/>
          <w:bCs/>
          <w:snapToGrid w:val="0"/>
          <w:sz w:val="22"/>
          <w:szCs w:val="22"/>
          <w:lang w:val="en-GB" w:eastAsia="en-US"/>
        </w:rPr>
        <w:t xml:space="preserve">The PBAC noted </w:t>
      </w:r>
      <w:r>
        <w:rPr>
          <w:rFonts w:ascii="Arial" w:hAnsi="Arial"/>
          <w:sz w:val="22"/>
          <w:szCs w:val="22"/>
        </w:rPr>
        <w:t>that the re-</w:t>
      </w:r>
      <w:r w:rsidRPr="009451FF">
        <w:rPr>
          <w:rFonts w:ascii="Arial" w:hAnsi="Arial"/>
          <w:sz w:val="22"/>
          <w:szCs w:val="22"/>
        </w:rPr>
        <w:t xml:space="preserve">submission estimated a total net cost to the PBS of </w:t>
      </w:r>
      <w:r w:rsidR="009A2849">
        <w:rPr>
          <w:rFonts w:ascii="Arial" w:hAnsi="Arial"/>
          <w:sz w:val="22"/>
          <w:szCs w:val="22"/>
        </w:rPr>
        <w:t xml:space="preserve"> $10  $20 million</w:t>
      </w:r>
      <w:r w:rsidRPr="009451FF">
        <w:rPr>
          <w:rFonts w:ascii="Arial" w:hAnsi="Arial"/>
          <w:sz w:val="22"/>
          <w:szCs w:val="22"/>
        </w:rPr>
        <w:t xml:space="preserve"> over the first 5 years of listing</w:t>
      </w:r>
      <w:r w:rsidR="00B0494B">
        <w:rPr>
          <w:rFonts w:ascii="Arial" w:hAnsi="Arial"/>
          <w:sz w:val="22"/>
          <w:szCs w:val="22"/>
        </w:rPr>
        <w:t xml:space="preserve"> </w:t>
      </w:r>
      <w:r>
        <w:rPr>
          <w:rFonts w:ascii="Arial" w:hAnsi="Arial"/>
          <w:sz w:val="22"/>
          <w:szCs w:val="22"/>
        </w:rPr>
        <w:t xml:space="preserve">compared with the original submission, which estimated a total net cost to the PBS of </w:t>
      </w:r>
      <w:r w:rsidR="009A2849">
        <w:rPr>
          <w:rFonts w:ascii="Arial" w:hAnsi="Arial"/>
          <w:sz w:val="22"/>
          <w:szCs w:val="22"/>
        </w:rPr>
        <w:t>$10 - $20 million</w:t>
      </w:r>
      <w:r>
        <w:rPr>
          <w:rFonts w:ascii="Arial" w:hAnsi="Arial"/>
          <w:sz w:val="22"/>
          <w:szCs w:val="22"/>
        </w:rPr>
        <w:t xml:space="preserve"> over the first 5 years of listing.</w:t>
      </w:r>
    </w:p>
    <w:p w:rsidR="002438E2" w:rsidRPr="00EB7AF7" w:rsidRDefault="002438E2" w:rsidP="002438E2">
      <w:pPr>
        <w:widowControl w:val="0"/>
        <w:ind w:left="720"/>
        <w:contextualSpacing/>
        <w:jc w:val="both"/>
        <w:rPr>
          <w:rFonts w:ascii="Arial" w:hAnsi="Arial" w:cs="Arial"/>
          <w:bCs/>
          <w:sz w:val="22"/>
          <w:szCs w:val="22"/>
          <w:lang w:val="en-GB"/>
        </w:rPr>
      </w:pPr>
    </w:p>
    <w:p w:rsidR="00FF0D75" w:rsidRPr="00290324" w:rsidRDefault="00FF0D75" w:rsidP="005B51F7">
      <w:pPr>
        <w:widowControl w:val="0"/>
        <w:numPr>
          <w:ilvl w:val="1"/>
          <w:numId w:val="2"/>
        </w:numPr>
        <w:contextualSpacing/>
        <w:jc w:val="both"/>
        <w:rPr>
          <w:rFonts w:ascii="Arial" w:hAnsi="Arial" w:cs="Arial"/>
          <w:bCs/>
          <w:sz w:val="22"/>
          <w:szCs w:val="22"/>
          <w:lang w:val="en-GB"/>
        </w:rPr>
      </w:pPr>
      <w:r w:rsidRPr="00290324">
        <w:rPr>
          <w:rFonts w:ascii="Arial" w:hAnsi="Arial" w:cs="Arial"/>
          <w:bCs/>
          <w:sz w:val="22"/>
          <w:szCs w:val="22"/>
          <w:lang w:val="en-GB"/>
        </w:rPr>
        <w:t xml:space="preserve">Under section 101 (3BA) of the </w:t>
      </w:r>
      <w:r w:rsidRPr="00C37E9D">
        <w:rPr>
          <w:rFonts w:ascii="Arial" w:hAnsi="Arial" w:cs="Arial"/>
          <w:bCs/>
          <w:i/>
          <w:sz w:val="22"/>
          <w:szCs w:val="22"/>
          <w:lang w:val="en-GB"/>
        </w:rPr>
        <w:t>National Health Act</w:t>
      </w:r>
      <w:r w:rsidRPr="00290324">
        <w:rPr>
          <w:rFonts w:ascii="Arial" w:hAnsi="Arial" w:cs="Arial"/>
          <w:bCs/>
          <w:sz w:val="22"/>
          <w:szCs w:val="22"/>
          <w:lang w:val="en-GB"/>
        </w:rPr>
        <w:t xml:space="preserve">, the PBAC advised that aprepitant should be not treated as interchangeable with any other drugs. The PBAC recalled its previous advice in November 2015 that </w:t>
      </w:r>
      <w:r w:rsidRPr="00290324">
        <w:rPr>
          <w:rFonts w:ascii="Arial" w:hAnsi="Arial" w:cs="Arial"/>
          <w:bCs/>
          <w:snapToGrid w:val="0"/>
          <w:sz w:val="22"/>
          <w:szCs w:val="22"/>
          <w:lang w:val="en-GB"/>
        </w:rPr>
        <w:t xml:space="preserve">therapeutically, </w:t>
      </w:r>
      <w:r w:rsidR="00802801" w:rsidRPr="00290324">
        <w:rPr>
          <w:rFonts w:ascii="Arial" w:hAnsi="Arial" w:cs="Arial"/>
          <w:sz w:val="22"/>
          <w:szCs w:val="22"/>
        </w:rPr>
        <w:t xml:space="preserve">netupitant + palonosetron </w:t>
      </w:r>
      <w:r w:rsidRPr="00290324">
        <w:rPr>
          <w:rFonts w:ascii="Arial" w:hAnsi="Arial" w:cs="Arial"/>
          <w:bCs/>
          <w:snapToGrid w:val="0"/>
          <w:sz w:val="22"/>
          <w:szCs w:val="22"/>
          <w:lang w:val="en-GB"/>
        </w:rPr>
        <w:t>FDC could be considered interchangeable with the free combination of aprepitant with a 5-HT</w:t>
      </w:r>
      <w:r w:rsidRPr="00290324">
        <w:rPr>
          <w:rFonts w:ascii="Arial" w:hAnsi="Arial" w:cs="Arial"/>
          <w:bCs/>
          <w:snapToGrid w:val="0"/>
          <w:sz w:val="22"/>
          <w:szCs w:val="22"/>
          <w:vertAlign w:val="subscript"/>
          <w:lang w:val="en-GB"/>
        </w:rPr>
        <w:t>3</w:t>
      </w:r>
      <w:r w:rsidRPr="00290324">
        <w:rPr>
          <w:rFonts w:ascii="Arial" w:hAnsi="Arial" w:cs="Arial"/>
          <w:bCs/>
          <w:snapToGrid w:val="0"/>
          <w:sz w:val="22"/>
          <w:szCs w:val="22"/>
          <w:lang w:val="en-GB"/>
        </w:rPr>
        <w:t xml:space="preserve"> RA. (</w:t>
      </w:r>
      <w:r w:rsidR="00802801" w:rsidRPr="00290324">
        <w:rPr>
          <w:rFonts w:ascii="Arial" w:hAnsi="Arial" w:cs="Arial"/>
          <w:sz w:val="22"/>
          <w:szCs w:val="22"/>
        </w:rPr>
        <w:t xml:space="preserve">netupitant + palonosetron </w:t>
      </w:r>
      <w:r w:rsidR="00290324">
        <w:rPr>
          <w:rFonts w:ascii="Arial" w:hAnsi="Arial" w:cs="Arial"/>
          <w:sz w:val="22"/>
          <w:szCs w:val="22"/>
        </w:rPr>
        <w:t>PSD</w:t>
      </w:r>
      <w:r w:rsidR="00802801" w:rsidRPr="00290324">
        <w:rPr>
          <w:rFonts w:ascii="Arial" w:hAnsi="Arial" w:cs="Arial"/>
          <w:sz w:val="22"/>
          <w:szCs w:val="22"/>
        </w:rPr>
        <w:t>, Nov 2015).</w:t>
      </w:r>
    </w:p>
    <w:p w:rsidR="00FF0D75" w:rsidRDefault="00FF0D75" w:rsidP="00FF0D75">
      <w:pPr>
        <w:pStyle w:val="ListParagraph"/>
        <w:rPr>
          <w:rFonts w:ascii="Arial" w:hAnsi="Arial" w:cs="Arial"/>
          <w:bCs/>
          <w:sz w:val="22"/>
          <w:szCs w:val="22"/>
          <w:highlight w:val="yellow"/>
          <w:lang w:val="en-GB"/>
        </w:rPr>
      </w:pPr>
    </w:p>
    <w:p w:rsidR="005B51F7" w:rsidRPr="009A1871" w:rsidRDefault="00802801" w:rsidP="005B51F7">
      <w:pPr>
        <w:widowControl w:val="0"/>
        <w:numPr>
          <w:ilvl w:val="1"/>
          <w:numId w:val="2"/>
        </w:numPr>
        <w:contextualSpacing/>
        <w:jc w:val="both"/>
        <w:rPr>
          <w:rFonts w:ascii="Arial" w:hAnsi="Arial" w:cs="Arial"/>
          <w:bCs/>
          <w:sz w:val="22"/>
          <w:szCs w:val="22"/>
          <w:lang w:val="en-GB"/>
        </w:rPr>
      </w:pPr>
      <w:r w:rsidRPr="009A1871">
        <w:rPr>
          <w:rFonts w:ascii="Arial" w:hAnsi="Arial" w:cs="Arial"/>
          <w:bCs/>
          <w:sz w:val="22"/>
          <w:szCs w:val="22"/>
          <w:lang w:val="en-GB"/>
        </w:rPr>
        <w:t>The PBAC advised that aprepitant</w:t>
      </w:r>
      <w:r w:rsidR="005B51F7" w:rsidRPr="009A1871">
        <w:rPr>
          <w:rFonts w:ascii="Arial" w:hAnsi="Arial" w:cs="Arial"/>
          <w:bCs/>
          <w:sz w:val="22"/>
          <w:szCs w:val="22"/>
          <w:lang w:val="en-GB"/>
        </w:rPr>
        <w:t xml:space="preserve"> is suitable for prescribing by nurse practitioners</w:t>
      </w:r>
      <w:r w:rsidRPr="009A1871">
        <w:rPr>
          <w:rFonts w:ascii="Arial" w:hAnsi="Arial" w:cs="Arial"/>
          <w:bCs/>
          <w:sz w:val="22"/>
          <w:szCs w:val="22"/>
          <w:lang w:val="en-GB"/>
        </w:rPr>
        <w:t xml:space="preserve"> on the General Schedule. The PBAC noted that </w:t>
      </w:r>
      <w:r w:rsidRPr="009A1871">
        <w:rPr>
          <w:rFonts w:ascii="Arial" w:hAnsi="Arial"/>
          <w:sz w:val="22"/>
          <w:szCs w:val="22"/>
        </w:rPr>
        <w:t>currently, nurse practitioners are able to prescribe aprepitant under the General Schedule but not under Section 100 (CT).</w:t>
      </w:r>
    </w:p>
    <w:p w:rsidR="005B51F7" w:rsidRPr="00BA0930" w:rsidRDefault="005B51F7" w:rsidP="005B51F7">
      <w:pPr>
        <w:ind w:left="720"/>
        <w:contextualSpacing/>
        <w:rPr>
          <w:rFonts w:ascii="Arial" w:hAnsi="Arial" w:cs="Arial"/>
          <w:bCs/>
          <w:i/>
          <w:sz w:val="22"/>
          <w:szCs w:val="22"/>
          <w:lang w:val="en-GB"/>
        </w:rPr>
      </w:pPr>
    </w:p>
    <w:p w:rsidR="002438E2" w:rsidRPr="009A1871" w:rsidRDefault="005B51F7" w:rsidP="002438E2">
      <w:pPr>
        <w:widowControl w:val="0"/>
        <w:numPr>
          <w:ilvl w:val="1"/>
          <w:numId w:val="2"/>
        </w:numPr>
        <w:contextualSpacing/>
        <w:jc w:val="both"/>
        <w:rPr>
          <w:rFonts w:ascii="Arial" w:hAnsi="Arial" w:cs="Arial"/>
          <w:bCs/>
          <w:sz w:val="22"/>
          <w:szCs w:val="22"/>
          <w:lang w:val="en-GB"/>
        </w:rPr>
      </w:pPr>
      <w:r w:rsidRPr="009A1871">
        <w:rPr>
          <w:rFonts w:ascii="Arial" w:hAnsi="Arial" w:cs="Arial"/>
          <w:bCs/>
          <w:sz w:val="22"/>
          <w:szCs w:val="22"/>
          <w:lang w:val="en-GB"/>
        </w:rPr>
        <w:t xml:space="preserve">The PBAC recommended that the </w:t>
      </w:r>
      <w:r w:rsidR="00802801" w:rsidRPr="009A1871">
        <w:rPr>
          <w:rFonts w:ascii="Arial" w:hAnsi="Arial" w:cs="Arial"/>
          <w:bCs/>
          <w:sz w:val="22"/>
          <w:szCs w:val="22"/>
          <w:lang w:val="en-GB"/>
        </w:rPr>
        <w:t>Early Supply</w:t>
      </w:r>
      <w:r w:rsidRPr="009A1871">
        <w:rPr>
          <w:rFonts w:ascii="Arial" w:hAnsi="Arial" w:cs="Arial"/>
          <w:bCs/>
          <w:sz w:val="22"/>
          <w:szCs w:val="22"/>
          <w:lang w:val="en-GB"/>
        </w:rPr>
        <w:t xml:space="preserve"> Rule should </w:t>
      </w:r>
      <w:r w:rsidR="00AB5419">
        <w:rPr>
          <w:rFonts w:ascii="Arial" w:hAnsi="Arial" w:cs="Arial"/>
          <w:bCs/>
          <w:sz w:val="22"/>
          <w:szCs w:val="22"/>
          <w:lang w:val="en-GB"/>
        </w:rPr>
        <w:t xml:space="preserve">not </w:t>
      </w:r>
      <w:r w:rsidRPr="009A1871">
        <w:rPr>
          <w:rFonts w:ascii="Arial" w:hAnsi="Arial" w:cs="Arial"/>
          <w:bCs/>
          <w:sz w:val="22"/>
          <w:szCs w:val="22"/>
          <w:lang w:val="en-GB"/>
        </w:rPr>
        <w:t xml:space="preserve">apply. </w:t>
      </w:r>
    </w:p>
    <w:p w:rsidR="002438E2" w:rsidRDefault="002438E2" w:rsidP="002438E2">
      <w:pPr>
        <w:pStyle w:val="ListParagraph"/>
        <w:rPr>
          <w:rFonts w:ascii="Arial" w:hAnsi="Arial" w:cs="Arial"/>
          <w:bCs/>
          <w:sz w:val="22"/>
          <w:szCs w:val="22"/>
          <w:highlight w:val="yellow"/>
          <w:lang w:val="en-GB"/>
        </w:rPr>
      </w:pPr>
    </w:p>
    <w:p w:rsidR="002438E2" w:rsidRPr="003316C2" w:rsidRDefault="005B51F7" w:rsidP="00A10C24">
      <w:pPr>
        <w:widowControl w:val="0"/>
        <w:numPr>
          <w:ilvl w:val="1"/>
          <w:numId w:val="2"/>
        </w:numPr>
        <w:contextualSpacing/>
        <w:jc w:val="both"/>
        <w:rPr>
          <w:rFonts w:ascii="Arial" w:hAnsi="Arial" w:cs="Arial"/>
          <w:i/>
          <w:szCs w:val="22"/>
        </w:rPr>
      </w:pPr>
      <w:r w:rsidRPr="00A10C24">
        <w:rPr>
          <w:rFonts w:ascii="Arial" w:hAnsi="Arial" w:cs="Arial"/>
          <w:bCs/>
          <w:sz w:val="22"/>
          <w:szCs w:val="22"/>
          <w:lang w:val="en-GB"/>
        </w:rPr>
        <w:t xml:space="preserve">The PBAC noted </w:t>
      </w:r>
      <w:r w:rsidR="00A10C24">
        <w:rPr>
          <w:rFonts w:ascii="Arial" w:hAnsi="Arial" w:cs="Arial"/>
          <w:bCs/>
          <w:sz w:val="22"/>
          <w:szCs w:val="22"/>
          <w:lang w:val="en-GB"/>
        </w:rPr>
        <w:t>that as a result of the recommended amendment to the aprepitant listing,</w:t>
      </w:r>
      <w:r w:rsidRPr="00A10C24">
        <w:rPr>
          <w:rFonts w:ascii="Arial" w:hAnsi="Arial" w:cs="Arial"/>
          <w:bCs/>
          <w:sz w:val="22"/>
          <w:szCs w:val="22"/>
          <w:lang w:val="en-GB"/>
        </w:rPr>
        <w:t xml:space="preserve"> flow-on </w:t>
      </w:r>
      <w:r w:rsidR="002438E2" w:rsidRPr="00A10C24">
        <w:rPr>
          <w:rFonts w:ascii="Arial" w:hAnsi="Arial" w:cs="Arial"/>
          <w:bCs/>
          <w:sz w:val="22"/>
          <w:szCs w:val="22"/>
          <w:lang w:val="en-GB"/>
        </w:rPr>
        <w:t>restriction changes</w:t>
      </w:r>
      <w:r w:rsidR="00A10C24">
        <w:rPr>
          <w:rFonts w:ascii="Arial" w:hAnsi="Arial" w:cs="Arial"/>
          <w:bCs/>
          <w:sz w:val="22"/>
          <w:szCs w:val="22"/>
          <w:lang w:val="en-GB"/>
        </w:rPr>
        <w:t xml:space="preserve"> would be</w:t>
      </w:r>
      <w:r w:rsidRPr="00A10C24">
        <w:rPr>
          <w:rFonts w:ascii="Arial" w:hAnsi="Arial" w:cs="Arial"/>
          <w:bCs/>
          <w:sz w:val="22"/>
          <w:szCs w:val="22"/>
          <w:lang w:val="en-GB"/>
        </w:rPr>
        <w:t xml:space="preserve"> </w:t>
      </w:r>
      <w:r w:rsidR="002438E2" w:rsidRPr="00A10C24">
        <w:rPr>
          <w:rFonts w:ascii="Arial" w:hAnsi="Arial" w:cs="Arial"/>
          <w:bCs/>
          <w:sz w:val="22"/>
          <w:szCs w:val="22"/>
          <w:lang w:val="en-GB"/>
        </w:rPr>
        <w:t xml:space="preserve">required </w:t>
      </w:r>
      <w:r w:rsidR="00A10C24">
        <w:rPr>
          <w:rFonts w:ascii="Arial" w:hAnsi="Arial" w:cs="Arial"/>
          <w:bCs/>
          <w:sz w:val="22"/>
          <w:szCs w:val="22"/>
          <w:lang w:val="en-GB"/>
        </w:rPr>
        <w:t>for</w:t>
      </w:r>
      <w:r w:rsidR="002438E2" w:rsidRPr="00A10C24">
        <w:rPr>
          <w:rFonts w:ascii="Arial" w:hAnsi="Arial" w:cs="Arial"/>
          <w:bCs/>
          <w:sz w:val="22"/>
          <w:szCs w:val="22"/>
          <w:lang w:val="en-GB"/>
        </w:rPr>
        <w:t xml:space="preserve"> the current </w:t>
      </w:r>
      <w:r w:rsidR="00A10C24">
        <w:rPr>
          <w:rFonts w:ascii="Arial" w:hAnsi="Arial" w:cs="Arial"/>
          <w:sz w:val="22"/>
          <w:szCs w:val="22"/>
        </w:rPr>
        <w:t>aprepitant listing</w:t>
      </w:r>
      <w:r w:rsidR="002438E2" w:rsidRPr="00A10C24">
        <w:rPr>
          <w:rFonts w:ascii="Arial" w:hAnsi="Arial" w:cs="Arial"/>
          <w:sz w:val="22"/>
          <w:szCs w:val="22"/>
        </w:rPr>
        <w:t xml:space="preserve"> for nausea and vomiting associated with moderately emetogenic cytotoxic chemotherapy</w:t>
      </w:r>
      <w:r w:rsidR="00A10C24">
        <w:rPr>
          <w:rFonts w:ascii="Arial" w:hAnsi="Arial" w:cs="Arial"/>
          <w:sz w:val="22"/>
          <w:szCs w:val="22"/>
        </w:rPr>
        <w:t xml:space="preserve"> to remove carboplatin and oxaliplatin.</w:t>
      </w:r>
    </w:p>
    <w:p w:rsidR="005B51F7" w:rsidRDefault="005B51F7" w:rsidP="005B51F7">
      <w:pPr>
        <w:contextualSpacing/>
        <w:rPr>
          <w:rFonts w:ascii="Arial" w:hAnsi="Arial" w:cs="Arial"/>
          <w:b/>
          <w:bCs/>
          <w:sz w:val="22"/>
          <w:szCs w:val="22"/>
          <w:highlight w:val="yellow"/>
          <w:lang w:val="en-GB"/>
        </w:rPr>
      </w:pPr>
    </w:p>
    <w:p w:rsidR="003316C2" w:rsidRPr="009630D9" w:rsidRDefault="003316C2" w:rsidP="005B51F7">
      <w:pPr>
        <w:contextualSpacing/>
        <w:rPr>
          <w:rFonts w:ascii="Arial" w:hAnsi="Arial" w:cs="Arial"/>
          <w:b/>
          <w:bCs/>
          <w:sz w:val="22"/>
          <w:szCs w:val="22"/>
          <w:highlight w:val="yellow"/>
          <w:lang w:val="en-GB"/>
        </w:rPr>
      </w:pPr>
    </w:p>
    <w:p w:rsidR="005B51F7" w:rsidRPr="00C220E0" w:rsidRDefault="005B51F7" w:rsidP="005B51F7">
      <w:pPr>
        <w:rPr>
          <w:rFonts w:ascii="Arial" w:hAnsi="Arial" w:cs="Arial"/>
          <w:b/>
          <w:bCs/>
          <w:sz w:val="22"/>
          <w:szCs w:val="22"/>
          <w:lang w:val="en-GB"/>
        </w:rPr>
      </w:pPr>
      <w:r w:rsidRPr="00C220E0">
        <w:rPr>
          <w:rFonts w:ascii="Arial" w:hAnsi="Arial" w:cs="Arial"/>
          <w:b/>
          <w:bCs/>
          <w:sz w:val="22"/>
          <w:szCs w:val="22"/>
          <w:lang w:val="en-GB"/>
        </w:rPr>
        <w:t>Outcome:</w:t>
      </w:r>
    </w:p>
    <w:p w:rsidR="005B51F7" w:rsidRPr="00C220E0" w:rsidRDefault="00C220E0" w:rsidP="005B51F7">
      <w:pPr>
        <w:rPr>
          <w:rFonts w:ascii="Arial" w:hAnsi="Arial" w:cs="Arial"/>
          <w:bCs/>
          <w:sz w:val="22"/>
          <w:szCs w:val="22"/>
          <w:lang w:val="en-GB"/>
        </w:rPr>
      </w:pPr>
      <w:r w:rsidRPr="00C220E0">
        <w:rPr>
          <w:rFonts w:ascii="Arial" w:hAnsi="Arial" w:cs="Arial"/>
          <w:bCs/>
          <w:sz w:val="22"/>
          <w:szCs w:val="22"/>
          <w:lang w:val="en-GB"/>
        </w:rPr>
        <w:t>Recommended</w:t>
      </w:r>
    </w:p>
    <w:p w:rsidR="005B51F7" w:rsidRPr="00C220E0" w:rsidRDefault="005B51F7" w:rsidP="005B51F7">
      <w:pPr>
        <w:rPr>
          <w:rFonts w:ascii="Arial" w:hAnsi="Arial" w:cs="Arial"/>
          <w:bCs/>
          <w:sz w:val="22"/>
          <w:szCs w:val="22"/>
        </w:rPr>
      </w:pPr>
    </w:p>
    <w:p w:rsidR="005B51F7" w:rsidRPr="00A00B38" w:rsidRDefault="005B51F7" w:rsidP="00A00B38">
      <w:pPr>
        <w:pStyle w:val="Heading1"/>
      </w:pPr>
      <w:r w:rsidRPr="00A00B38">
        <w:t>Recommended listing</w:t>
      </w:r>
    </w:p>
    <w:p w:rsidR="005B51F7" w:rsidRPr="00C220E0" w:rsidRDefault="005B51F7" w:rsidP="005B51F7">
      <w:pPr>
        <w:rPr>
          <w:rFonts w:ascii="Arial" w:hAnsi="Arial" w:cs="Arial"/>
          <w:b/>
          <w:bCs/>
          <w:i/>
          <w:sz w:val="22"/>
          <w:szCs w:val="22"/>
          <w:lang w:val="en-GB"/>
        </w:rPr>
      </w:pPr>
    </w:p>
    <w:p w:rsidR="005B51F7" w:rsidRPr="00C220E0" w:rsidRDefault="005B51F7" w:rsidP="00C220E0">
      <w:pPr>
        <w:widowControl w:val="0"/>
        <w:numPr>
          <w:ilvl w:val="1"/>
          <w:numId w:val="2"/>
        </w:numPr>
        <w:contextualSpacing/>
        <w:jc w:val="both"/>
        <w:rPr>
          <w:rFonts w:ascii="Arial" w:hAnsi="Arial" w:cs="Arial"/>
          <w:bCs/>
          <w:sz w:val="22"/>
          <w:szCs w:val="22"/>
        </w:rPr>
      </w:pPr>
      <w:r w:rsidRPr="00C220E0">
        <w:rPr>
          <w:rFonts w:ascii="Arial" w:hAnsi="Arial" w:cs="Arial"/>
          <w:bCs/>
          <w:sz w:val="22"/>
          <w:szCs w:val="22"/>
        </w:rPr>
        <w:t>Amend existing/recommended listing as follows:</w:t>
      </w:r>
    </w:p>
    <w:p w:rsidR="005B51F7" w:rsidRPr="009630D9" w:rsidRDefault="005B51F7" w:rsidP="005B51F7">
      <w:pPr>
        <w:ind w:firstLine="709"/>
        <w:rPr>
          <w:rFonts w:ascii="Arial" w:hAnsi="Arial" w:cs="Arial"/>
          <w:bCs/>
          <w:sz w:val="22"/>
          <w:szCs w:val="22"/>
          <w:highlight w:val="yellow"/>
        </w:rPr>
      </w:pPr>
    </w:p>
    <w:p w:rsidR="005B51F7" w:rsidRPr="009630D9" w:rsidRDefault="005B51F7" w:rsidP="005B51F7">
      <w:pPr>
        <w:rPr>
          <w:rFonts w:ascii="Arial" w:hAnsi="Arial" w:cs="Arial"/>
          <w:b/>
          <w:bCs/>
          <w:sz w:val="22"/>
          <w:szCs w:val="22"/>
          <w:highlight w:val="yellow"/>
        </w:rPr>
      </w:pPr>
    </w:p>
    <w:tbl>
      <w:tblPr>
        <w:tblW w:w="8363" w:type="dxa"/>
        <w:tblInd w:w="817" w:type="dxa"/>
        <w:tblLayout w:type="fixed"/>
        <w:tblLook w:val="0000" w:firstRow="0" w:lastRow="0" w:firstColumn="0" w:lastColumn="0" w:noHBand="0" w:noVBand="0"/>
      </w:tblPr>
      <w:tblGrid>
        <w:gridCol w:w="1985"/>
        <w:gridCol w:w="1134"/>
        <w:gridCol w:w="850"/>
        <w:gridCol w:w="709"/>
        <w:gridCol w:w="1275"/>
        <w:gridCol w:w="1134"/>
        <w:gridCol w:w="1276"/>
      </w:tblGrid>
      <w:tr w:rsidR="00C220E0" w:rsidRPr="0039782C" w:rsidTr="00884D7B">
        <w:trPr>
          <w:gridAfter w:val="1"/>
          <w:wAfter w:w="1276" w:type="dxa"/>
          <w:cantSplit/>
          <w:trHeight w:val="471"/>
        </w:trPr>
        <w:tc>
          <w:tcPr>
            <w:tcW w:w="3119" w:type="dxa"/>
            <w:gridSpan w:val="2"/>
            <w:tcBorders>
              <w:bottom w:val="single" w:sz="4" w:space="0" w:color="auto"/>
            </w:tcBorders>
          </w:tcPr>
          <w:p w:rsidR="00C220E0" w:rsidRPr="0039782C" w:rsidRDefault="00C220E0" w:rsidP="00884D7B">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C220E0" w:rsidRPr="0039782C" w:rsidRDefault="00C220E0" w:rsidP="00884D7B">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C220E0" w:rsidRPr="0039782C" w:rsidRDefault="00C220E0" w:rsidP="00884D7B">
            <w:pPr>
              <w:keepNext/>
              <w:ind w:left="-108"/>
              <w:jc w:val="both"/>
              <w:rPr>
                <w:rFonts w:ascii="Arial Narrow" w:hAnsi="Arial Narrow" w:cs="Arial"/>
                <w:b/>
                <w:sz w:val="20"/>
                <w:szCs w:val="20"/>
              </w:rPr>
            </w:pPr>
            <w:r w:rsidRPr="0039782C">
              <w:rPr>
                <w:rFonts w:ascii="Arial Narrow" w:hAnsi="Arial Narrow" w:cs="Arial"/>
                <w:b/>
                <w:sz w:val="20"/>
                <w:szCs w:val="20"/>
              </w:rPr>
              <w:t>Max.</w:t>
            </w:r>
          </w:p>
          <w:p w:rsidR="00C220E0" w:rsidRPr="0039782C" w:rsidRDefault="00C220E0" w:rsidP="00884D7B">
            <w:pPr>
              <w:keepNext/>
              <w:ind w:left="-108"/>
              <w:jc w:val="both"/>
              <w:rPr>
                <w:rFonts w:ascii="Arial Narrow" w:hAnsi="Arial Narrow" w:cs="Arial"/>
                <w:b/>
                <w:sz w:val="20"/>
                <w:szCs w:val="20"/>
              </w:rPr>
            </w:pPr>
            <w:r w:rsidRPr="0039782C">
              <w:rPr>
                <w:rFonts w:ascii="Arial Narrow" w:hAnsi="Arial Narrow" w:cs="Arial"/>
                <w:b/>
                <w:sz w:val="20"/>
                <w:szCs w:val="20"/>
              </w:rPr>
              <w:t>Qty</w:t>
            </w:r>
          </w:p>
        </w:tc>
        <w:tc>
          <w:tcPr>
            <w:tcW w:w="709" w:type="dxa"/>
            <w:tcBorders>
              <w:bottom w:val="single" w:sz="4" w:space="0" w:color="auto"/>
            </w:tcBorders>
          </w:tcPr>
          <w:p w:rsidR="00C220E0" w:rsidRPr="0039782C" w:rsidRDefault="00C220E0" w:rsidP="00884D7B">
            <w:pPr>
              <w:keepNext/>
              <w:ind w:left="-108"/>
              <w:jc w:val="both"/>
              <w:rPr>
                <w:rFonts w:ascii="Arial Narrow" w:hAnsi="Arial Narrow" w:cs="Arial"/>
                <w:b/>
                <w:sz w:val="20"/>
                <w:szCs w:val="20"/>
              </w:rPr>
            </w:pPr>
            <w:r w:rsidRPr="0039782C">
              <w:rPr>
                <w:rFonts w:ascii="Arial Narrow" w:hAnsi="Arial Narrow" w:cs="Arial"/>
                <w:b/>
                <w:sz w:val="20"/>
                <w:szCs w:val="20"/>
              </w:rPr>
              <w:t>№.of</w:t>
            </w:r>
          </w:p>
          <w:p w:rsidR="00C220E0" w:rsidRPr="0039782C" w:rsidRDefault="00C220E0" w:rsidP="00884D7B">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2409" w:type="dxa"/>
            <w:gridSpan w:val="2"/>
            <w:tcBorders>
              <w:bottom w:val="single" w:sz="4" w:space="0" w:color="auto"/>
            </w:tcBorders>
          </w:tcPr>
          <w:p w:rsidR="00C220E0" w:rsidRPr="0039782C" w:rsidRDefault="00C220E0" w:rsidP="00884D7B">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C220E0" w:rsidRPr="00260CE3" w:rsidTr="00884D7B">
        <w:trPr>
          <w:gridAfter w:val="1"/>
          <w:wAfter w:w="1276" w:type="dxa"/>
          <w:cantSplit/>
          <w:trHeight w:val="577"/>
        </w:trPr>
        <w:tc>
          <w:tcPr>
            <w:tcW w:w="3119" w:type="dxa"/>
            <w:gridSpan w:val="2"/>
          </w:tcPr>
          <w:p w:rsidR="00C220E0" w:rsidRPr="00260CE3" w:rsidRDefault="00C220E0" w:rsidP="00884D7B">
            <w:pPr>
              <w:keepNext/>
              <w:ind w:left="-108"/>
              <w:jc w:val="both"/>
              <w:rPr>
                <w:rFonts w:ascii="Arial Narrow" w:hAnsi="Arial Narrow" w:cs="Arial"/>
                <w:sz w:val="20"/>
                <w:szCs w:val="20"/>
              </w:rPr>
            </w:pPr>
            <w:r>
              <w:rPr>
                <w:rFonts w:ascii="Arial Narrow" w:hAnsi="Arial Narrow" w:cs="Arial"/>
                <w:smallCaps/>
                <w:sz w:val="20"/>
                <w:szCs w:val="20"/>
              </w:rPr>
              <w:t>APREPITANT</w:t>
            </w:r>
          </w:p>
          <w:p w:rsidR="00C220E0" w:rsidRPr="00260CE3" w:rsidRDefault="00C220E0" w:rsidP="00884D7B">
            <w:pPr>
              <w:keepNext/>
              <w:ind w:left="-108"/>
              <w:jc w:val="both"/>
              <w:rPr>
                <w:rFonts w:ascii="Arial Narrow" w:hAnsi="Arial Narrow" w:cs="Arial"/>
                <w:sz w:val="20"/>
                <w:szCs w:val="20"/>
              </w:rPr>
            </w:pPr>
            <w:r>
              <w:rPr>
                <w:rFonts w:ascii="Arial Narrow" w:hAnsi="Arial Narrow" w:cs="Arial"/>
                <w:sz w:val="20"/>
                <w:szCs w:val="20"/>
              </w:rPr>
              <w:t>165 mg capsule, 1</w:t>
            </w:r>
          </w:p>
        </w:tc>
        <w:tc>
          <w:tcPr>
            <w:tcW w:w="850" w:type="dxa"/>
          </w:tcPr>
          <w:p w:rsidR="00C220E0" w:rsidRPr="00260CE3" w:rsidRDefault="00C220E0" w:rsidP="00884D7B">
            <w:pPr>
              <w:keepNext/>
              <w:ind w:left="-108"/>
              <w:jc w:val="both"/>
              <w:rPr>
                <w:rFonts w:ascii="Arial Narrow" w:hAnsi="Arial Narrow" w:cs="Arial"/>
                <w:sz w:val="20"/>
                <w:szCs w:val="20"/>
              </w:rPr>
            </w:pPr>
          </w:p>
          <w:p w:rsidR="00C220E0" w:rsidRPr="00260CE3" w:rsidRDefault="00C220E0" w:rsidP="00884D7B">
            <w:pPr>
              <w:keepNext/>
              <w:ind w:left="-108"/>
              <w:jc w:val="both"/>
              <w:rPr>
                <w:rFonts w:ascii="Arial Narrow" w:hAnsi="Arial Narrow" w:cs="Arial"/>
                <w:sz w:val="20"/>
                <w:szCs w:val="20"/>
              </w:rPr>
            </w:pPr>
            <w:r>
              <w:rPr>
                <w:rFonts w:ascii="Arial Narrow" w:hAnsi="Arial Narrow" w:cs="Arial"/>
                <w:sz w:val="20"/>
                <w:szCs w:val="20"/>
              </w:rPr>
              <w:t>1</w:t>
            </w:r>
          </w:p>
        </w:tc>
        <w:tc>
          <w:tcPr>
            <w:tcW w:w="709" w:type="dxa"/>
          </w:tcPr>
          <w:p w:rsidR="00C220E0" w:rsidRDefault="00C220E0" w:rsidP="00884D7B">
            <w:pPr>
              <w:keepNext/>
              <w:ind w:left="-108"/>
              <w:jc w:val="both"/>
              <w:rPr>
                <w:rFonts w:ascii="Arial Narrow" w:hAnsi="Arial Narrow" w:cs="Arial"/>
                <w:sz w:val="20"/>
                <w:szCs w:val="20"/>
              </w:rPr>
            </w:pPr>
          </w:p>
          <w:p w:rsidR="00C220E0" w:rsidRPr="00260CE3" w:rsidRDefault="00C220E0" w:rsidP="00884D7B">
            <w:pPr>
              <w:keepNext/>
              <w:ind w:left="-108"/>
              <w:jc w:val="both"/>
              <w:rPr>
                <w:rFonts w:ascii="Arial Narrow" w:hAnsi="Arial Narrow" w:cs="Arial"/>
                <w:sz w:val="20"/>
                <w:szCs w:val="20"/>
              </w:rPr>
            </w:pPr>
            <w:r>
              <w:rPr>
                <w:rFonts w:ascii="Arial Narrow" w:hAnsi="Arial Narrow" w:cs="Arial"/>
                <w:sz w:val="20"/>
                <w:szCs w:val="20"/>
              </w:rPr>
              <w:t>5</w:t>
            </w:r>
          </w:p>
        </w:tc>
        <w:tc>
          <w:tcPr>
            <w:tcW w:w="1275" w:type="dxa"/>
          </w:tcPr>
          <w:p w:rsidR="00C220E0" w:rsidRPr="00260CE3" w:rsidRDefault="00C220E0" w:rsidP="00884D7B">
            <w:pPr>
              <w:keepNext/>
              <w:jc w:val="both"/>
              <w:rPr>
                <w:rFonts w:ascii="Arial Narrow" w:hAnsi="Arial Narrow" w:cs="Arial"/>
                <w:sz w:val="20"/>
                <w:szCs w:val="20"/>
              </w:rPr>
            </w:pPr>
            <w:r>
              <w:rPr>
                <w:rFonts w:ascii="Arial Narrow" w:hAnsi="Arial Narrow" w:cs="Arial"/>
                <w:sz w:val="20"/>
                <w:szCs w:val="20"/>
              </w:rPr>
              <w:t>Emend®</w:t>
            </w:r>
          </w:p>
        </w:tc>
        <w:tc>
          <w:tcPr>
            <w:tcW w:w="1134" w:type="dxa"/>
          </w:tcPr>
          <w:p w:rsidR="00C220E0" w:rsidRPr="00260CE3" w:rsidRDefault="00C220E0" w:rsidP="00884D7B">
            <w:pPr>
              <w:keepNext/>
              <w:jc w:val="both"/>
              <w:rPr>
                <w:rFonts w:ascii="Arial Narrow" w:hAnsi="Arial Narrow" w:cs="Arial"/>
                <w:sz w:val="20"/>
                <w:szCs w:val="20"/>
              </w:rPr>
            </w:pPr>
            <w:r>
              <w:rPr>
                <w:rFonts w:ascii="Arial Narrow" w:hAnsi="Arial Narrow" w:cs="Arial"/>
                <w:sz w:val="20"/>
                <w:szCs w:val="20"/>
              </w:rPr>
              <w:t>MK</w:t>
            </w:r>
          </w:p>
        </w:tc>
      </w:tr>
      <w:tr w:rsidR="00A86AD3" w:rsidRPr="00260CE3" w:rsidTr="00884D7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86AD3" w:rsidRPr="00260CE3" w:rsidRDefault="00A86AD3" w:rsidP="00884D7B">
            <w:pPr>
              <w:jc w:val="both"/>
              <w:rPr>
                <w:rFonts w:ascii="Arial Narrow" w:hAnsi="Arial Narrow" w:cs="Arial"/>
                <w:b/>
                <w:sz w:val="20"/>
                <w:szCs w:val="20"/>
              </w:rPr>
            </w:pPr>
            <w:r w:rsidRPr="00260CE3">
              <w:rPr>
                <w:rFonts w:ascii="Arial Narrow" w:hAnsi="Arial Narrow" w:cs="Arial"/>
                <w:b/>
                <w:sz w:val="20"/>
                <w:szCs w:val="20"/>
              </w:rPr>
              <w:t xml:space="preserve">Category / </w:t>
            </w:r>
          </w:p>
          <w:p w:rsidR="00A86AD3" w:rsidRPr="00260CE3" w:rsidRDefault="00A86AD3" w:rsidP="00884D7B">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A86AD3" w:rsidRPr="00910DE9" w:rsidRDefault="00A86AD3" w:rsidP="00884D7B">
            <w:pPr>
              <w:rPr>
                <w:rFonts w:ascii="Arial Narrow" w:hAnsi="Arial Narrow" w:cs="Arial"/>
                <w:sz w:val="20"/>
                <w:szCs w:val="20"/>
              </w:rPr>
            </w:pPr>
            <w:r w:rsidRPr="00910DE9">
              <w:rPr>
                <w:rFonts w:ascii="Arial Narrow" w:hAnsi="Arial Narrow" w:cs="Arial"/>
                <w:sz w:val="20"/>
                <w:szCs w:val="20"/>
              </w:rPr>
              <w:t>GENERAL – General Schedule (Code GE)</w:t>
            </w:r>
          </w:p>
          <w:p w:rsidR="00A86AD3" w:rsidRPr="00910DE9" w:rsidRDefault="00A86AD3" w:rsidP="00884D7B">
            <w:pPr>
              <w:rPr>
                <w:rFonts w:ascii="Arial Narrow" w:hAnsi="Arial Narrow" w:cs="Arial"/>
                <w:sz w:val="20"/>
                <w:szCs w:val="20"/>
              </w:rPr>
            </w:pPr>
            <w:r w:rsidRPr="00910DE9">
              <w:rPr>
                <w:rFonts w:ascii="Arial Narrow" w:hAnsi="Arial Narrow" w:cs="Arial"/>
                <w:sz w:val="20"/>
                <w:szCs w:val="20"/>
              </w:rPr>
              <w:t>Section 100 – Chemotherapy – related benefits (CT)</w:t>
            </w:r>
          </w:p>
        </w:tc>
      </w:tr>
      <w:tr w:rsidR="00A86AD3" w:rsidRPr="00260CE3" w:rsidTr="00884D7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86AD3" w:rsidRPr="00260CE3" w:rsidRDefault="00A86AD3" w:rsidP="00884D7B">
            <w:pPr>
              <w:jc w:val="both"/>
              <w:rPr>
                <w:rFonts w:ascii="Arial Narrow" w:hAnsi="Arial Narrow" w:cs="Arial"/>
                <w:b/>
                <w:sz w:val="20"/>
                <w:szCs w:val="20"/>
              </w:rPr>
            </w:pPr>
            <w:r w:rsidRPr="00260CE3">
              <w:rPr>
                <w:rFonts w:ascii="Arial Narrow" w:hAnsi="Arial Narrow" w:cs="Arial"/>
                <w:b/>
                <w:sz w:val="20"/>
                <w:szCs w:val="20"/>
              </w:rPr>
              <w:lastRenderedPageBreak/>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A86AD3" w:rsidRPr="00260CE3" w:rsidRDefault="00A86AD3" w:rsidP="00884D7B">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E82DEE">
              <w:rPr>
                <w:rFonts w:ascii="Arial Narrow" w:hAnsi="Arial Narrow" w:cs="Arial"/>
                <w:sz w:val="20"/>
                <w:szCs w:val="20"/>
              </w:rPr>
            </w:r>
            <w:r w:rsidR="00E82DE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E82DEE">
              <w:rPr>
                <w:rFonts w:ascii="Arial Narrow" w:hAnsi="Arial Narrow" w:cs="Arial"/>
                <w:sz w:val="20"/>
                <w:szCs w:val="20"/>
              </w:rPr>
            </w:r>
            <w:r w:rsidR="00E82DEE">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E82DEE">
              <w:rPr>
                <w:rFonts w:ascii="Arial Narrow" w:hAnsi="Arial Narrow" w:cs="Arial"/>
                <w:sz w:val="20"/>
                <w:szCs w:val="20"/>
              </w:rPr>
            </w:r>
            <w:r w:rsidR="00E82DEE">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E82DEE">
              <w:rPr>
                <w:rFonts w:ascii="Arial Narrow" w:hAnsi="Arial Narrow" w:cs="Arial"/>
                <w:sz w:val="20"/>
                <w:szCs w:val="20"/>
              </w:rPr>
            </w:r>
            <w:r w:rsidR="00E82DE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A86AD3" w:rsidRPr="00260CE3" w:rsidRDefault="00A86AD3" w:rsidP="00884D7B">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E82DEE">
              <w:rPr>
                <w:rFonts w:ascii="Arial Narrow" w:hAnsi="Arial Narrow" w:cs="Arial"/>
                <w:sz w:val="20"/>
                <w:szCs w:val="20"/>
              </w:rPr>
            </w:r>
            <w:r w:rsidR="00E82DE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A86AD3" w:rsidRPr="00260CE3" w:rsidTr="00884D7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86AD3" w:rsidRPr="00260CE3" w:rsidRDefault="00A86AD3" w:rsidP="00884D7B">
            <w:pPr>
              <w:jc w:val="both"/>
              <w:rPr>
                <w:rFonts w:ascii="Arial Narrow" w:hAnsi="Arial Narrow" w:cs="Arial"/>
                <w:b/>
                <w:sz w:val="20"/>
                <w:szCs w:val="20"/>
              </w:rPr>
            </w:pPr>
            <w:r w:rsidRPr="00260CE3">
              <w:rPr>
                <w:rFonts w:ascii="Arial Narrow" w:hAnsi="Arial Narrow" w:cs="Arial"/>
                <w:b/>
                <w:sz w:val="20"/>
                <w:szCs w:val="20"/>
              </w:rPr>
              <w:t>Episodicity:</w:t>
            </w:r>
          </w:p>
        </w:tc>
        <w:tc>
          <w:tcPr>
            <w:tcW w:w="6378" w:type="dxa"/>
            <w:gridSpan w:val="6"/>
            <w:tcBorders>
              <w:top w:val="single" w:sz="4" w:space="0" w:color="auto"/>
              <w:left w:val="single" w:sz="4" w:space="0" w:color="auto"/>
              <w:bottom w:val="single" w:sz="4" w:space="0" w:color="auto"/>
              <w:right w:val="single" w:sz="4" w:space="0" w:color="auto"/>
            </w:tcBorders>
          </w:tcPr>
          <w:p w:rsidR="00A86AD3" w:rsidRPr="00260CE3" w:rsidRDefault="00A86AD3" w:rsidP="00884D7B">
            <w:pPr>
              <w:rPr>
                <w:rFonts w:ascii="Arial Narrow" w:hAnsi="Arial Narrow" w:cs="Arial"/>
                <w:sz w:val="20"/>
                <w:szCs w:val="20"/>
              </w:rPr>
            </w:pPr>
            <w:r>
              <w:rPr>
                <w:rFonts w:ascii="Arial Narrow" w:hAnsi="Arial Narrow" w:cs="Arial"/>
                <w:sz w:val="20"/>
                <w:szCs w:val="20"/>
              </w:rPr>
              <w:t>-</w:t>
            </w:r>
          </w:p>
        </w:tc>
      </w:tr>
      <w:tr w:rsidR="00A86AD3" w:rsidRPr="00260CE3" w:rsidTr="00884D7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86AD3" w:rsidRPr="00260CE3" w:rsidRDefault="00A86AD3" w:rsidP="00884D7B">
            <w:pPr>
              <w:jc w:val="both"/>
              <w:rPr>
                <w:rFonts w:ascii="Arial Narrow" w:hAnsi="Arial Narrow" w:cs="Arial"/>
                <w:b/>
                <w:sz w:val="20"/>
                <w:szCs w:val="20"/>
              </w:rPr>
            </w:pPr>
            <w:r w:rsidRPr="00260CE3">
              <w:rPr>
                <w:rFonts w:ascii="Arial Narrow" w:hAnsi="Arial Narrow" w:cs="Arial"/>
                <w:b/>
                <w:sz w:val="20"/>
                <w:szCs w:val="20"/>
              </w:rPr>
              <w:t>Severity:</w:t>
            </w:r>
          </w:p>
        </w:tc>
        <w:tc>
          <w:tcPr>
            <w:tcW w:w="6378" w:type="dxa"/>
            <w:gridSpan w:val="6"/>
            <w:tcBorders>
              <w:top w:val="single" w:sz="4" w:space="0" w:color="auto"/>
              <w:left w:val="single" w:sz="4" w:space="0" w:color="auto"/>
              <w:bottom w:val="single" w:sz="4" w:space="0" w:color="auto"/>
              <w:right w:val="single" w:sz="4" w:space="0" w:color="auto"/>
            </w:tcBorders>
          </w:tcPr>
          <w:p w:rsidR="00A86AD3" w:rsidRPr="00260CE3" w:rsidRDefault="00A86AD3" w:rsidP="00884D7B">
            <w:pPr>
              <w:rPr>
                <w:rFonts w:ascii="Arial Narrow" w:hAnsi="Arial Narrow" w:cs="Arial"/>
                <w:sz w:val="20"/>
                <w:szCs w:val="20"/>
              </w:rPr>
            </w:pPr>
            <w:r>
              <w:rPr>
                <w:rFonts w:ascii="Arial Narrow" w:hAnsi="Arial Narrow" w:cs="Arial"/>
                <w:sz w:val="20"/>
                <w:szCs w:val="20"/>
              </w:rPr>
              <w:t>-</w:t>
            </w:r>
          </w:p>
        </w:tc>
      </w:tr>
      <w:tr w:rsidR="00A86AD3" w:rsidRPr="00260CE3" w:rsidTr="00884D7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86AD3" w:rsidRPr="00260CE3" w:rsidRDefault="00A86AD3" w:rsidP="00884D7B">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A86AD3" w:rsidRPr="00260CE3" w:rsidRDefault="00A86AD3" w:rsidP="00884D7B">
            <w:pPr>
              <w:rPr>
                <w:rFonts w:ascii="Arial Narrow" w:hAnsi="Arial Narrow" w:cs="Arial"/>
                <w:sz w:val="20"/>
                <w:szCs w:val="20"/>
              </w:rPr>
            </w:pPr>
            <w:r>
              <w:rPr>
                <w:rFonts w:ascii="Arial Narrow" w:hAnsi="Arial Narrow" w:cs="Arial"/>
                <w:sz w:val="20"/>
                <w:szCs w:val="20"/>
              </w:rPr>
              <w:t>Nausea and vomiting</w:t>
            </w:r>
          </w:p>
        </w:tc>
      </w:tr>
      <w:tr w:rsidR="00A86AD3" w:rsidRPr="00260CE3" w:rsidTr="00884D7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86AD3" w:rsidRPr="00260CE3" w:rsidRDefault="00A86AD3" w:rsidP="00884D7B">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A86AD3" w:rsidRPr="00260CE3" w:rsidRDefault="00A86AD3" w:rsidP="00884D7B">
            <w:pPr>
              <w:rPr>
                <w:rFonts w:ascii="Arial Narrow" w:hAnsi="Arial Narrow" w:cs="Arial"/>
                <w:sz w:val="20"/>
                <w:szCs w:val="20"/>
              </w:rPr>
            </w:pPr>
            <w:r>
              <w:rPr>
                <w:rFonts w:ascii="Arial Narrow" w:hAnsi="Arial Narrow" w:cs="Arial"/>
                <w:sz w:val="20"/>
                <w:szCs w:val="20"/>
              </w:rPr>
              <w:t>Nausea and vomiting</w:t>
            </w:r>
          </w:p>
        </w:tc>
      </w:tr>
      <w:tr w:rsidR="00A86AD3" w:rsidRPr="00260CE3" w:rsidTr="00884D7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86AD3" w:rsidRPr="00176312" w:rsidRDefault="00A86AD3" w:rsidP="00884D7B">
            <w:pPr>
              <w:jc w:val="both"/>
              <w:rPr>
                <w:rFonts w:ascii="Arial Narrow" w:hAnsi="Arial Narrow" w:cs="Arial"/>
                <w:b/>
                <w:sz w:val="20"/>
                <w:szCs w:val="20"/>
              </w:rPr>
            </w:pPr>
            <w:r w:rsidRPr="00260CE3">
              <w:rPr>
                <w:rFonts w:ascii="Arial Narrow" w:hAnsi="Arial Narrow" w:cs="Arial"/>
                <w:b/>
                <w:sz w:val="20"/>
                <w:szCs w:val="20"/>
              </w:rPr>
              <w:t>Treatment phase:</w:t>
            </w:r>
          </w:p>
        </w:tc>
        <w:tc>
          <w:tcPr>
            <w:tcW w:w="6378" w:type="dxa"/>
            <w:gridSpan w:val="6"/>
            <w:tcBorders>
              <w:top w:val="single" w:sz="4" w:space="0" w:color="auto"/>
              <w:left w:val="single" w:sz="4" w:space="0" w:color="auto"/>
              <w:bottom w:val="single" w:sz="4" w:space="0" w:color="auto"/>
              <w:right w:val="single" w:sz="4" w:space="0" w:color="auto"/>
            </w:tcBorders>
          </w:tcPr>
          <w:p w:rsidR="00A86AD3" w:rsidRPr="00260CE3" w:rsidRDefault="00A86AD3" w:rsidP="00884D7B">
            <w:pPr>
              <w:rPr>
                <w:rFonts w:ascii="Arial Narrow" w:hAnsi="Arial Narrow" w:cs="Arial"/>
                <w:sz w:val="20"/>
                <w:szCs w:val="20"/>
              </w:rPr>
            </w:pPr>
            <w:r>
              <w:rPr>
                <w:rFonts w:ascii="Arial Narrow" w:hAnsi="Arial Narrow" w:cs="Arial"/>
                <w:sz w:val="20"/>
                <w:szCs w:val="20"/>
              </w:rPr>
              <w:t>-</w:t>
            </w:r>
          </w:p>
        </w:tc>
      </w:tr>
      <w:tr w:rsidR="00A86AD3" w:rsidRPr="00260CE3" w:rsidTr="00884D7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86AD3" w:rsidRPr="00260CE3" w:rsidRDefault="00A86AD3" w:rsidP="00884D7B">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A86AD3" w:rsidRPr="00260CE3" w:rsidRDefault="00A86AD3" w:rsidP="00884D7B">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A86AD3" w:rsidRPr="00106BCF" w:rsidRDefault="00A86AD3" w:rsidP="00884D7B">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E82DEE">
              <w:rPr>
                <w:rFonts w:ascii="Arial Narrow" w:hAnsi="Arial Narrow" w:cs="Arial"/>
                <w:sz w:val="20"/>
                <w:szCs w:val="20"/>
              </w:rPr>
            </w:r>
            <w:r w:rsidR="00E82DE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A86AD3" w:rsidRPr="00106BCF" w:rsidRDefault="00A86AD3" w:rsidP="00884D7B">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E82DEE">
              <w:rPr>
                <w:rFonts w:ascii="Arial Narrow" w:hAnsi="Arial Narrow" w:cs="Arial"/>
                <w:sz w:val="20"/>
                <w:szCs w:val="20"/>
              </w:rPr>
            </w:r>
            <w:r w:rsidR="00E82DE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A86AD3" w:rsidRPr="00106BCF" w:rsidRDefault="00A86AD3" w:rsidP="00884D7B">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E82DEE">
              <w:rPr>
                <w:rFonts w:ascii="Arial Narrow" w:hAnsi="Arial Narrow" w:cs="Arial"/>
                <w:sz w:val="20"/>
                <w:szCs w:val="20"/>
              </w:rPr>
            </w:r>
            <w:r w:rsidR="00E82DE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A86AD3" w:rsidRPr="00106BCF" w:rsidRDefault="00A86AD3" w:rsidP="00884D7B">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E82DEE">
              <w:rPr>
                <w:rFonts w:ascii="Arial Narrow" w:hAnsi="Arial Narrow" w:cs="Arial"/>
                <w:sz w:val="20"/>
                <w:szCs w:val="20"/>
              </w:rPr>
            </w:r>
            <w:r w:rsidR="00E82DE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A86AD3" w:rsidRPr="00106BCF" w:rsidRDefault="00A86AD3" w:rsidP="00884D7B">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E82DEE">
              <w:rPr>
                <w:rFonts w:ascii="Arial Narrow" w:hAnsi="Arial Narrow" w:cs="Arial"/>
                <w:sz w:val="20"/>
                <w:szCs w:val="20"/>
              </w:rPr>
            </w:r>
            <w:r w:rsidR="00E82DE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A86AD3" w:rsidRPr="00260CE3" w:rsidRDefault="00A86AD3" w:rsidP="00884D7B">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E82DEE">
              <w:rPr>
                <w:rFonts w:ascii="Arial Narrow" w:hAnsi="Arial Narrow" w:cs="Arial"/>
                <w:sz w:val="20"/>
                <w:szCs w:val="20"/>
              </w:rPr>
            </w:r>
            <w:r w:rsidR="00E82DEE">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A86AD3" w:rsidRPr="00260CE3" w:rsidTr="00884D7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86AD3" w:rsidRPr="00260CE3" w:rsidRDefault="00A86AD3" w:rsidP="00884D7B">
            <w:pPr>
              <w:jc w:val="both"/>
              <w:rPr>
                <w:rFonts w:ascii="Arial Narrow" w:hAnsi="Arial Narrow" w:cs="Arial"/>
                <w:b/>
                <w:sz w:val="20"/>
                <w:szCs w:val="20"/>
              </w:rPr>
            </w:pPr>
            <w:r w:rsidRPr="00260CE3">
              <w:rPr>
                <w:rFonts w:ascii="Arial Narrow" w:hAnsi="Arial Narrow" w:cs="Arial"/>
                <w:b/>
                <w:sz w:val="20"/>
                <w:szCs w:val="20"/>
              </w:rPr>
              <w:t>Clinical criteria:</w:t>
            </w:r>
          </w:p>
          <w:p w:rsidR="00A86AD3" w:rsidRPr="00260CE3" w:rsidRDefault="00A86AD3" w:rsidP="00884D7B">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A86AD3" w:rsidRPr="00A521A4" w:rsidRDefault="00A86AD3" w:rsidP="00884D7B">
            <w:pPr>
              <w:rPr>
                <w:rFonts w:ascii="Arial Narrow" w:hAnsi="Arial Narrow"/>
                <w:sz w:val="20"/>
                <w:lang w:val="en-US"/>
              </w:rPr>
            </w:pPr>
            <w:r w:rsidRPr="00A521A4">
              <w:rPr>
                <w:rFonts w:ascii="Arial Narrow" w:hAnsi="Arial Narrow"/>
                <w:sz w:val="20"/>
                <w:lang w:val="en-US"/>
              </w:rPr>
              <w:t>The condition must be associated with cytotoxic chemotherapy being used to treat malignancy;</w:t>
            </w:r>
          </w:p>
          <w:p w:rsidR="00A86AD3" w:rsidRPr="00A521A4" w:rsidRDefault="00A86AD3" w:rsidP="00884D7B">
            <w:pPr>
              <w:rPr>
                <w:rFonts w:ascii="Arial Narrow" w:hAnsi="Arial Narrow"/>
                <w:sz w:val="20"/>
                <w:lang w:val="en-US"/>
              </w:rPr>
            </w:pPr>
          </w:p>
          <w:p w:rsidR="00A86AD3" w:rsidRPr="00A521A4" w:rsidRDefault="00A86AD3" w:rsidP="00884D7B">
            <w:pPr>
              <w:rPr>
                <w:rFonts w:ascii="Arial Narrow" w:hAnsi="Arial Narrow"/>
                <w:sz w:val="20"/>
                <w:lang w:val="en-US"/>
              </w:rPr>
            </w:pPr>
            <w:r w:rsidRPr="00A521A4">
              <w:rPr>
                <w:rFonts w:ascii="Arial Narrow" w:hAnsi="Arial Narrow"/>
                <w:sz w:val="20"/>
                <w:lang w:val="en-US"/>
              </w:rPr>
              <w:t>AND</w:t>
            </w:r>
          </w:p>
          <w:p w:rsidR="00A86AD3" w:rsidRPr="00A521A4" w:rsidRDefault="00A86AD3" w:rsidP="00884D7B">
            <w:pPr>
              <w:rPr>
                <w:rFonts w:ascii="Arial Narrow" w:hAnsi="Arial Narrow"/>
                <w:sz w:val="20"/>
                <w:lang w:val="en-US"/>
              </w:rPr>
            </w:pPr>
          </w:p>
          <w:p w:rsidR="00A86AD3" w:rsidRPr="00A521A4" w:rsidRDefault="00A86AD3" w:rsidP="00884D7B">
            <w:pPr>
              <w:rPr>
                <w:rFonts w:ascii="Arial Narrow" w:hAnsi="Arial Narrow"/>
                <w:sz w:val="20"/>
                <w:lang w:val="en-US"/>
              </w:rPr>
            </w:pPr>
            <w:r w:rsidRPr="00A521A4">
              <w:rPr>
                <w:rFonts w:ascii="Arial Narrow" w:hAnsi="Arial Narrow"/>
                <w:sz w:val="20"/>
                <w:lang w:val="en-US"/>
              </w:rPr>
              <w:t>The treatment must be in combination with a 5-hydroxytryptamine receptor (5HT</w:t>
            </w:r>
            <w:r w:rsidRPr="00A521A4">
              <w:rPr>
                <w:rFonts w:ascii="Arial Narrow" w:hAnsi="Arial Narrow"/>
                <w:sz w:val="20"/>
                <w:vertAlign w:val="subscript"/>
                <w:lang w:val="en-US"/>
              </w:rPr>
              <w:t>3</w:t>
            </w:r>
            <w:r w:rsidRPr="00A521A4">
              <w:rPr>
                <w:rFonts w:ascii="Arial Narrow" w:hAnsi="Arial Narrow"/>
                <w:sz w:val="20"/>
                <w:lang w:val="en-US"/>
              </w:rPr>
              <w:t>) antagonist and dexamethasone on day 1 of a chemotherapy cycle;</w:t>
            </w:r>
          </w:p>
          <w:p w:rsidR="00A86AD3" w:rsidRPr="00A521A4" w:rsidRDefault="00A86AD3" w:rsidP="00884D7B">
            <w:pPr>
              <w:rPr>
                <w:rFonts w:ascii="Arial Narrow" w:hAnsi="Arial Narrow"/>
                <w:sz w:val="20"/>
                <w:lang w:val="en-US"/>
              </w:rPr>
            </w:pPr>
          </w:p>
          <w:p w:rsidR="00A86AD3" w:rsidRPr="00A521A4" w:rsidRDefault="00A86AD3" w:rsidP="00884D7B">
            <w:pPr>
              <w:rPr>
                <w:rFonts w:ascii="Arial Narrow" w:hAnsi="Arial Narrow"/>
                <w:sz w:val="20"/>
                <w:lang w:val="en-US"/>
              </w:rPr>
            </w:pPr>
            <w:r w:rsidRPr="00A521A4">
              <w:rPr>
                <w:rFonts w:ascii="Arial Narrow" w:hAnsi="Arial Narrow"/>
                <w:sz w:val="20"/>
                <w:lang w:val="en-US"/>
              </w:rPr>
              <w:t>AND</w:t>
            </w:r>
          </w:p>
          <w:p w:rsidR="00A86AD3" w:rsidRPr="00A521A4" w:rsidRDefault="00A86AD3" w:rsidP="00884D7B">
            <w:pPr>
              <w:rPr>
                <w:rFonts w:ascii="Arial Narrow" w:hAnsi="Arial Narrow"/>
                <w:sz w:val="20"/>
                <w:lang w:val="en-US"/>
              </w:rPr>
            </w:pPr>
          </w:p>
          <w:p w:rsidR="00A86AD3" w:rsidRPr="00A521A4" w:rsidRDefault="00A86AD3" w:rsidP="00884D7B">
            <w:pPr>
              <w:jc w:val="both"/>
              <w:rPr>
                <w:rFonts w:ascii="Arial Narrow" w:hAnsi="Arial Narrow" w:cs="Arial"/>
                <w:sz w:val="20"/>
                <w:szCs w:val="20"/>
              </w:rPr>
            </w:pPr>
            <w:r w:rsidRPr="00A521A4">
              <w:rPr>
                <w:rFonts w:ascii="Arial Narrow" w:hAnsi="Arial Narrow"/>
                <w:sz w:val="20"/>
                <w:lang w:val="en-US"/>
              </w:rPr>
              <w:t>Patient must be scheduled to be administered a chemotherapy regimen that includes either carboplatin or oxaliplatin.</w:t>
            </w:r>
          </w:p>
        </w:tc>
      </w:tr>
      <w:tr w:rsidR="00A86AD3" w:rsidRPr="00260CE3" w:rsidTr="00884D7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86AD3" w:rsidRPr="00BD58AB" w:rsidRDefault="00A86AD3" w:rsidP="00884D7B">
            <w:pPr>
              <w:jc w:val="both"/>
              <w:rPr>
                <w:rFonts w:ascii="Arial Narrow" w:hAnsi="Arial Narrow" w:cs="Arial"/>
                <w:b/>
                <w:sz w:val="20"/>
                <w:szCs w:val="20"/>
              </w:rPr>
            </w:pPr>
            <w:r w:rsidRPr="00260CE3">
              <w:rPr>
                <w:rFonts w:ascii="Arial Narrow" w:hAnsi="Arial Narrow" w:cs="Arial"/>
                <w:b/>
                <w:sz w:val="20"/>
                <w:szCs w:val="20"/>
              </w:rPr>
              <w:t>Prescriber Instructions</w:t>
            </w:r>
          </w:p>
          <w:p w:rsidR="00A86AD3" w:rsidRPr="00260CE3" w:rsidRDefault="00A86AD3" w:rsidP="00884D7B">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A86AD3" w:rsidRPr="00A521A4" w:rsidRDefault="00A86AD3" w:rsidP="00884D7B">
            <w:pPr>
              <w:rPr>
                <w:rFonts w:ascii="Arial Narrow" w:hAnsi="Arial Narrow" w:cs="Arial"/>
                <w:sz w:val="20"/>
                <w:szCs w:val="20"/>
              </w:rPr>
            </w:pPr>
            <w:r w:rsidRPr="00A521A4">
              <w:rPr>
                <w:rFonts w:ascii="Arial Narrow" w:hAnsi="Arial Narrow" w:cs="Arial"/>
                <w:sz w:val="20"/>
                <w:szCs w:val="20"/>
              </w:rPr>
              <w:t>No more than 1 capsule of aprepitant 165 mg will be authorised per cycle of cytotoxic chemotherapy.</w:t>
            </w:r>
          </w:p>
          <w:p w:rsidR="00A86AD3" w:rsidRPr="00A521A4" w:rsidRDefault="00A86AD3" w:rsidP="00884D7B">
            <w:pPr>
              <w:rPr>
                <w:rFonts w:ascii="Arial Narrow" w:hAnsi="Arial Narrow" w:cs="Arial"/>
                <w:sz w:val="20"/>
                <w:szCs w:val="20"/>
              </w:rPr>
            </w:pPr>
          </w:p>
          <w:p w:rsidR="00A86AD3" w:rsidRPr="00A521A4" w:rsidRDefault="00A86AD3" w:rsidP="00884D7B">
            <w:pPr>
              <w:rPr>
                <w:rFonts w:ascii="Arial Narrow" w:hAnsi="Arial Narrow" w:cs="Arial"/>
                <w:sz w:val="20"/>
                <w:szCs w:val="20"/>
              </w:rPr>
            </w:pPr>
            <w:r w:rsidRPr="00A521A4">
              <w:rPr>
                <w:rFonts w:ascii="Arial Narrow" w:hAnsi="Arial Narrow" w:cs="Arial"/>
                <w:sz w:val="20"/>
                <w:szCs w:val="20"/>
              </w:rPr>
              <w:t>Concomitant use of a 5HT3 antagonist should not occur with aprepitant on days 2 and 3 of any chemotherapy cycle.</w:t>
            </w:r>
          </w:p>
        </w:tc>
      </w:tr>
      <w:tr w:rsidR="00A86AD3" w:rsidRPr="00260CE3" w:rsidTr="00884D7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86AD3" w:rsidRPr="00260CE3" w:rsidRDefault="00A86AD3" w:rsidP="00884D7B">
            <w:pPr>
              <w:jc w:val="both"/>
              <w:rPr>
                <w:rFonts w:ascii="Arial Narrow" w:hAnsi="Arial Narrow" w:cs="Arial"/>
                <w:b/>
                <w:sz w:val="20"/>
                <w:szCs w:val="20"/>
              </w:rPr>
            </w:pPr>
            <w:r w:rsidRPr="00260CE3">
              <w:rPr>
                <w:rFonts w:ascii="Arial Narrow" w:hAnsi="Arial Narrow" w:cs="Arial"/>
                <w:b/>
                <w:sz w:val="20"/>
                <w:szCs w:val="20"/>
              </w:rPr>
              <w:t>Administrative Advice</w:t>
            </w:r>
          </w:p>
          <w:p w:rsidR="00A86AD3" w:rsidRPr="00260CE3" w:rsidRDefault="00A86AD3" w:rsidP="00884D7B">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A86AD3" w:rsidRPr="00341F66" w:rsidRDefault="00A86AD3" w:rsidP="00884D7B">
            <w:pPr>
              <w:rPr>
                <w:rFonts w:ascii="Arial Narrow" w:hAnsi="Arial Narrow" w:cs="Arial"/>
                <w:sz w:val="20"/>
                <w:szCs w:val="20"/>
              </w:rPr>
            </w:pPr>
            <w:r w:rsidRPr="00341F66">
              <w:rPr>
                <w:rFonts w:ascii="Arial Narrow" w:hAnsi="Arial Narrow" w:cs="Arial"/>
                <w:sz w:val="20"/>
                <w:szCs w:val="20"/>
              </w:rPr>
              <w:t xml:space="preserve">Aprepitant is not PBS-subsidised for nausea and vomiting associated with radiotherapy being used to treat malignancy. </w:t>
            </w:r>
          </w:p>
          <w:p w:rsidR="00A86AD3" w:rsidRPr="00341F66" w:rsidRDefault="00A86AD3" w:rsidP="00884D7B">
            <w:pPr>
              <w:rPr>
                <w:rFonts w:ascii="Arial Narrow" w:hAnsi="Arial Narrow" w:cs="Arial"/>
                <w:sz w:val="20"/>
                <w:szCs w:val="20"/>
              </w:rPr>
            </w:pPr>
          </w:p>
          <w:p w:rsidR="00A86AD3" w:rsidRPr="00341F66" w:rsidRDefault="00A86AD3" w:rsidP="00884D7B">
            <w:pPr>
              <w:rPr>
                <w:rFonts w:ascii="Arial Narrow" w:hAnsi="Arial Narrow" w:cs="Arial"/>
                <w:sz w:val="20"/>
                <w:szCs w:val="20"/>
              </w:rPr>
            </w:pPr>
            <w:r w:rsidRPr="00341F66">
              <w:rPr>
                <w:rFonts w:ascii="Arial Narrow" w:hAnsi="Arial Narrow" w:cs="Arial"/>
                <w:sz w:val="20"/>
                <w:szCs w:val="20"/>
              </w:rPr>
              <w:t xml:space="preserve">No increase in the maximum quantity or number of units may be authorised. </w:t>
            </w:r>
          </w:p>
          <w:p w:rsidR="00A86AD3" w:rsidRPr="00341F66" w:rsidRDefault="00A86AD3" w:rsidP="00884D7B">
            <w:pPr>
              <w:rPr>
                <w:rFonts w:ascii="Arial Narrow" w:hAnsi="Arial Narrow" w:cs="Arial"/>
                <w:sz w:val="20"/>
                <w:szCs w:val="20"/>
              </w:rPr>
            </w:pPr>
          </w:p>
          <w:p w:rsidR="00A86AD3" w:rsidRPr="00260CE3" w:rsidRDefault="00A86AD3" w:rsidP="00884D7B">
            <w:pPr>
              <w:rPr>
                <w:rFonts w:ascii="Arial Narrow" w:hAnsi="Arial Narrow" w:cs="Arial"/>
                <w:sz w:val="20"/>
                <w:szCs w:val="20"/>
              </w:rPr>
            </w:pPr>
            <w:r w:rsidRPr="00341F66">
              <w:rPr>
                <w:rFonts w:ascii="Arial Narrow" w:hAnsi="Arial Narrow" w:cs="Arial"/>
                <w:sz w:val="20"/>
                <w:szCs w:val="20"/>
              </w:rPr>
              <w:t>No increase in the maximum number of repeats may be authorised.</w:t>
            </w:r>
          </w:p>
        </w:tc>
      </w:tr>
    </w:tbl>
    <w:p w:rsidR="005B51F7" w:rsidRDefault="005B51F7" w:rsidP="005B51F7">
      <w:pPr>
        <w:pStyle w:val="ListParagraph"/>
        <w:ind w:left="360"/>
        <w:rPr>
          <w:rFonts w:ascii="Arial" w:hAnsi="Arial" w:cs="Arial"/>
          <w:bCs/>
          <w:sz w:val="22"/>
          <w:szCs w:val="22"/>
        </w:rPr>
      </w:pPr>
    </w:p>
    <w:p w:rsidR="00C220E0" w:rsidRDefault="00C220E0" w:rsidP="005B51F7">
      <w:pPr>
        <w:pStyle w:val="ListParagraph"/>
        <w:ind w:left="360"/>
        <w:rPr>
          <w:rFonts w:ascii="Arial" w:hAnsi="Arial" w:cs="Arial"/>
          <w:bCs/>
          <w:sz w:val="22"/>
          <w:szCs w:val="22"/>
        </w:rPr>
      </w:pPr>
    </w:p>
    <w:p w:rsidR="00FA4FC2" w:rsidRPr="00A81C85" w:rsidRDefault="00FA4FC2" w:rsidP="00FA4FC2">
      <w:pPr>
        <w:pStyle w:val="Heading1"/>
      </w:pPr>
      <w:r w:rsidRPr="00A81C85">
        <w:t>Context for Decision</w:t>
      </w:r>
    </w:p>
    <w:p w:rsidR="00FA4FC2" w:rsidRPr="006B3CD8" w:rsidRDefault="00FA4FC2" w:rsidP="00FA4FC2"/>
    <w:p w:rsidR="00FA4FC2" w:rsidRDefault="00FA4FC2" w:rsidP="00FA4FC2">
      <w:pPr>
        <w:ind w:left="720"/>
      </w:pPr>
      <w:r w:rsidRPr="004304F6">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A4FC2" w:rsidRDefault="00FA4FC2" w:rsidP="00FA4FC2">
      <w:pPr>
        <w:ind w:left="720"/>
      </w:pPr>
    </w:p>
    <w:p w:rsidR="00FA4FC2" w:rsidRDefault="00FA4FC2" w:rsidP="00FA4FC2">
      <w:pPr>
        <w:ind w:left="720"/>
      </w:pPr>
    </w:p>
    <w:p w:rsidR="00FA4FC2" w:rsidRPr="004304F6" w:rsidRDefault="00FA4FC2" w:rsidP="00FA4FC2">
      <w:pPr>
        <w:pStyle w:val="Heading1"/>
      </w:pPr>
      <w:r w:rsidRPr="004304F6">
        <w:t>Sponsor’s Comment</w:t>
      </w:r>
    </w:p>
    <w:p w:rsidR="00FA4FC2" w:rsidRDefault="00FA4FC2" w:rsidP="005B51F7">
      <w:pPr>
        <w:pStyle w:val="ListParagraph"/>
        <w:ind w:left="360"/>
        <w:rPr>
          <w:rFonts w:ascii="Arial" w:hAnsi="Arial" w:cs="Arial"/>
          <w:bCs/>
          <w:sz w:val="22"/>
          <w:szCs w:val="22"/>
        </w:rPr>
      </w:pPr>
    </w:p>
    <w:p w:rsidR="00C01831" w:rsidRDefault="00C01831" w:rsidP="00C01831">
      <w:pPr>
        <w:spacing w:after="120"/>
        <w:ind w:left="720"/>
        <w:jc w:val="both"/>
        <w:rPr>
          <w:rFonts w:ascii="Arial" w:hAnsi="Arial" w:cs="Arial"/>
          <w:bCs/>
          <w:sz w:val="22"/>
        </w:rPr>
      </w:pPr>
      <w:r>
        <w:rPr>
          <w:rFonts w:ascii="Arial" w:hAnsi="Arial" w:cs="Arial"/>
          <w:bCs/>
          <w:sz w:val="22"/>
          <w:lang w:val="en-GB"/>
        </w:rPr>
        <w:t xml:space="preserve">MSD is pleased that the PBAC has recommended aprepitant for patients receiving carboplatin or oxaliplatin chemotherapy regimens without requiring the patient to </w:t>
      </w:r>
      <w:r>
        <w:rPr>
          <w:rFonts w:ascii="Arial" w:hAnsi="Arial" w:cs="Arial"/>
          <w:bCs/>
          <w:sz w:val="22"/>
          <w:lang w:val="en-GB"/>
        </w:rPr>
        <w:lastRenderedPageBreak/>
        <w:t>experience an episode of chemotherapy induced nausea or vomiting first.  This will mean that patients on these regimens will have access to aprepitant before their first chemotherapy dose, which will enable them to reduce one of the debilitating side effects of chemotherapy, and therefore improve their quality of life.</w:t>
      </w:r>
    </w:p>
    <w:p w:rsidR="00C220E0" w:rsidRPr="00FA4FC2" w:rsidRDefault="00C220E0" w:rsidP="00FA4FC2">
      <w:pPr>
        <w:tabs>
          <w:tab w:val="left" w:pos="2446"/>
        </w:tabs>
      </w:pPr>
    </w:p>
    <w:sectPr w:rsidR="00C220E0" w:rsidRPr="00FA4FC2"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DF57AC" w15:done="0"/>
  <w15:commentEx w15:paraId="5033594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668" w:rsidRDefault="00D03668">
      <w:r>
        <w:separator/>
      </w:r>
    </w:p>
    <w:p w:rsidR="00D03668" w:rsidRDefault="00D03668"/>
  </w:endnote>
  <w:endnote w:type="continuationSeparator" w:id="0">
    <w:p w:rsidR="00D03668" w:rsidRDefault="00D03668">
      <w:r>
        <w:continuationSeparator/>
      </w:r>
    </w:p>
    <w:p w:rsidR="00D03668" w:rsidRDefault="00D036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E77D3" w:rsidTr="005A3173">
      <w:trPr>
        <w:trHeight w:val="151"/>
      </w:trPr>
      <w:tc>
        <w:tcPr>
          <w:tcW w:w="2250" w:type="pct"/>
          <w:tcBorders>
            <w:top w:val="nil"/>
            <w:left w:val="nil"/>
            <w:bottom w:val="single" w:sz="4" w:space="0" w:color="4F81BD"/>
            <w:right w:val="nil"/>
          </w:tcBorders>
        </w:tcPr>
        <w:p w:rsidR="00FE77D3" w:rsidRPr="005A3173" w:rsidRDefault="00FE77D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E77D3" w:rsidRPr="005A3173" w:rsidRDefault="00FE77D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E77D3" w:rsidRPr="005A3173" w:rsidRDefault="00FE77D3" w:rsidP="005A3173">
          <w:pPr>
            <w:pStyle w:val="Header"/>
            <w:spacing w:line="276" w:lineRule="auto"/>
            <w:rPr>
              <w:rFonts w:ascii="Calibri" w:eastAsia="MS Gothic" w:hAnsi="Calibri"/>
              <w:b/>
              <w:bCs/>
              <w:color w:val="4F81BD"/>
            </w:rPr>
          </w:pPr>
        </w:p>
      </w:tc>
    </w:tr>
    <w:tr w:rsidR="00FE77D3" w:rsidTr="005A3173">
      <w:trPr>
        <w:trHeight w:val="150"/>
      </w:trPr>
      <w:tc>
        <w:tcPr>
          <w:tcW w:w="2250" w:type="pct"/>
          <w:tcBorders>
            <w:top w:val="single" w:sz="4" w:space="0" w:color="4F81BD"/>
            <w:left w:val="nil"/>
            <w:bottom w:val="nil"/>
            <w:right w:val="nil"/>
          </w:tcBorders>
        </w:tcPr>
        <w:p w:rsidR="00FE77D3" w:rsidRPr="005A3173" w:rsidRDefault="00FE77D3" w:rsidP="005A3173">
          <w:pPr>
            <w:pStyle w:val="Header"/>
            <w:spacing w:line="276" w:lineRule="auto"/>
            <w:rPr>
              <w:rFonts w:ascii="Calibri" w:eastAsia="MS Gothic" w:hAnsi="Calibri"/>
              <w:b/>
              <w:bCs/>
              <w:color w:val="4F81BD"/>
            </w:rPr>
          </w:pPr>
        </w:p>
      </w:tc>
      <w:tc>
        <w:tcPr>
          <w:tcW w:w="0" w:type="auto"/>
          <w:vMerge/>
          <w:vAlign w:val="center"/>
          <w:hideMark/>
        </w:tcPr>
        <w:p w:rsidR="00FE77D3" w:rsidRPr="005A3173" w:rsidRDefault="00FE77D3" w:rsidP="005A3173">
          <w:pPr>
            <w:rPr>
              <w:rFonts w:ascii="Calibri" w:hAnsi="Calibri"/>
              <w:color w:val="365F91"/>
              <w:sz w:val="22"/>
              <w:szCs w:val="22"/>
            </w:rPr>
          </w:pPr>
        </w:p>
      </w:tc>
      <w:tc>
        <w:tcPr>
          <w:tcW w:w="2250" w:type="pct"/>
          <w:tcBorders>
            <w:top w:val="single" w:sz="4" w:space="0" w:color="4F81BD"/>
            <w:left w:val="nil"/>
            <w:bottom w:val="nil"/>
            <w:right w:val="nil"/>
          </w:tcBorders>
        </w:tcPr>
        <w:p w:rsidR="00FE77D3" w:rsidRPr="005A3173" w:rsidRDefault="00FE77D3" w:rsidP="005A3173">
          <w:pPr>
            <w:pStyle w:val="Header"/>
            <w:spacing w:line="276" w:lineRule="auto"/>
            <w:rPr>
              <w:rFonts w:ascii="Calibri" w:eastAsia="MS Gothic" w:hAnsi="Calibri"/>
              <w:b/>
              <w:bCs/>
              <w:color w:val="4F81BD"/>
            </w:rPr>
          </w:pPr>
        </w:p>
      </w:tc>
    </w:tr>
  </w:tbl>
  <w:p w:rsidR="00FE77D3" w:rsidRDefault="00FE77D3"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E77D3" w:rsidRDefault="00FE77D3">
    <w:pPr>
      <w:pStyle w:val="Footer"/>
    </w:pPr>
  </w:p>
  <w:p w:rsidR="00FE77D3" w:rsidRDefault="00FE77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rPr>
      <w:id w:val="1971941540"/>
      <w:docPartObj>
        <w:docPartGallery w:val="Page Numbers (Bottom of Page)"/>
        <w:docPartUnique/>
      </w:docPartObj>
    </w:sdtPr>
    <w:sdtEndPr>
      <w:rPr>
        <w:noProof/>
      </w:rPr>
    </w:sdtEndPr>
    <w:sdtContent>
      <w:p w:rsidR="00FE77D3" w:rsidRPr="005B51F7" w:rsidRDefault="00FE77D3">
        <w:pPr>
          <w:pStyle w:val="Footer"/>
          <w:jc w:val="center"/>
          <w:rPr>
            <w:rFonts w:ascii="Arial" w:hAnsi="Arial" w:cs="Arial"/>
            <w:sz w:val="22"/>
          </w:rPr>
        </w:pPr>
        <w:r w:rsidRPr="005B51F7">
          <w:rPr>
            <w:rFonts w:ascii="Arial" w:hAnsi="Arial" w:cs="Arial"/>
            <w:sz w:val="22"/>
          </w:rPr>
          <w:fldChar w:fldCharType="begin"/>
        </w:r>
        <w:r w:rsidRPr="005B51F7">
          <w:rPr>
            <w:rFonts w:ascii="Arial" w:hAnsi="Arial" w:cs="Arial"/>
            <w:sz w:val="22"/>
          </w:rPr>
          <w:instrText xml:space="preserve"> PAGE   \* MERGEFORMAT </w:instrText>
        </w:r>
        <w:r w:rsidRPr="005B51F7">
          <w:rPr>
            <w:rFonts w:ascii="Arial" w:hAnsi="Arial" w:cs="Arial"/>
            <w:sz w:val="22"/>
          </w:rPr>
          <w:fldChar w:fldCharType="separate"/>
        </w:r>
        <w:r w:rsidR="00E82DEE">
          <w:rPr>
            <w:rFonts w:ascii="Arial" w:hAnsi="Arial" w:cs="Arial"/>
            <w:noProof/>
            <w:sz w:val="22"/>
          </w:rPr>
          <w:t>8</w:t>
        </w:r>
        <w:r w:rsidRPr="005B51F7">
          <w:rPr>
            <w:rFonts w:ascii="Arial" w:hAnsi="Arial" w:cs="Arial"/>
            <w:noProof/>
            <w:sz w:val="22"/>
          </w:rPr>
          <w:fldChar w:fldCharType="end"/>
        </w:r>
      </w:p>
    </w:sdtContent>
  </w:sdt>
  <w:p w:rsidR="00FE77D3" w:rsidRDefault="00FE77D3" w:rsidP="00EF44A0">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FE77D3" w:rsidTr="005A3173">
      <w:trPr>
        <w:trHeight w:val="151"/>
      </w:trPr>
      <w:tc>
        <w:tcPr>
          <w:tcW w:w="2250" w:type="pct"/>
          <w:tcBorders>
            <w:top w:val="nil"/>
            <w:left w:val="nil"/>
            <w:bottom w:val="single" w:sz="4" w:space="0" w:color="4F81BD"/>
            <w:right w:val="nil"/>
          </w:tcBorders>
        </w:tcPr>
        <w:p w:rsidR="00FE77D3" w:rsidRPr="005A3173" w:rsidRDefault="00FE77D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E77D3" w:rsidRPr="005A3173" w:rsidRDefault="00FE77D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E77D3" w:rsidRPr="005A3173" w:rsidRDefault="00FE77D3" w:rsidP="005A3173">
          <w:pPr>
            <w:pStyle w:val="Header"/>
            <w:spacing w:line="276" w:lineRule="auto"/>
            <w:rPr>
              <w:rFonts w:ascii="Calibri" w:eastAsia="MS Gothic" w:hAnsi="Calibri"/>
              <w:b/>
              <w:bCs/>
              <w:color w:val="4F81BD"/>
            </w:rPr>
          </w:pPr>
        </w:p>
      </w:tc>
    </w:tr>
    <w:tr w:rsidR="00FE77D3" w:rsidTr="005A3173">
      <w:trPr>
        <w:trHeight w:val="150"/>
      </w:trPr>
      <w:tc>
        <w:tcPr>
          <w:tcW w:w="2250" w:type="pct"/>
          <w:tcBorders>
            <w:top w:val="single" w:sz="4" w:space="0" w:color="4F81BD"/>
            <w:left w:val="nil"/>
            <w:bottom w:val="nil"/>
            <w:right w:val="nil"/>
          </w:tcBorders>
        </w:tcPr>
        <w:p w:rsidR="00FE77D3" w:rsidRPr="005A3173" w:rsidRDefault="00FE77D3" w:rsidP="005A3173">
          <w:pPr>
            <w:pStyle w:val="Header"/>
            <w:spacing w:line="276" w:lineRule="auto"/>
            <w:rPr>
              <w:rFonts w:ascii="Calibri" w:eastAsia="MS Gothic" w:hAnsi="Calibri"/>
              <w:b/>
              <w:bCs/>
              <w:color w:val="4F81BD"/>
            </w:rPr>
          </w:pPr>
        </w:p>
      </w:tc>
      <w:tc>
        <w:tcPr>
          <w:tcW w:w="0" w:type="auto"/>
          <w:vMerge/>
          <w:vAlign w:val="center"/>
          <w:hideMark/>
        </w:tcPr>
        <w:p w:rsidR="00FE77D3" w:rsidRPr="005A3173" w:rsidRDefault="00FE77D3" w:rsidP="005A3173">
          <w:pPr>
            <w:rPr>
              <w:rFonts w:ascii="Calibri" w:hAnsi="Calibri"/>
              <w:color w:val="365F91"/>
              <w:sz w:val="22"/>
              <w:szCs w:val="22"/>
            </w:rPr>
          </w:pPr>
        </w:p>
      </w:tc>
      <w:tc>
        <w:tcPr>
          <w:tcW w:w="2250" w:type="pct"/>
          <w:tcBorders>
            <w:top w:val="single" w:sz="4" w:space="0" w:color="4F81BD"/>
            <w:left w:val="nil"/>
            <w:bottom w:val="nil"/>
            <w:right w:val="nil"/>
          </w:tcBorders>
        </w:tcPr>
        <w:p w:rsidR="00FE77D3" w:rsidRPr="005A3173" w:rsidRDefault="00FE77D3"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E77D3" w:rsidTr="005A3173">
      <w:trPr>
        <w:trHeight w:val="151"/>
      </w:trPr>
      <w:tc>
        <w:tcPr>
          <w:tcW w:w="2250" w:type="pct"/>
          <w:tcBorders>
            <w:top w:val="nil"/>
            <w:left w:val="nil"/>
            <w:bottom w:val="single" w:sz="4" w:space="0" w:color="4F81BD"/>
            <w:right w:val="nil"/>
          </w:tcBorders>
        </w:tcPr>
        <w:p w:rsidR="00FE77D3" w:rsidRPr="005A3173" w:rsidRDefault="00FE77D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E77D3" w:rsidRPr="005A3173" w:rsidRDefault="00FE77D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E77D3" w:rsidRPr="005A3173" w:rsidRDefault="00FE77D3" w:rsidP="005A3173">
          <w:pPr>
            <w:pStyle w:val="Header"/>
            <w:spacing w:line="276" w:lineRule="auto"/>
            <w:rPr>
              <w:rFonts w:ascii="Calibri" w:eastAsia="MS Gothic" w:hAnsi="Calibri"/>
              <w:b/>
              <w:bCs/>
              <w:color w:val="4F81BD"/>
            </w:rPr>
          </w:pPr>
        </w:p>
      </w:tc>
    </w:tr>
    <w:tr w:rsidR="00FE77D3" w:rsidTr="005A3173">
      <w:trPr>
        <w:trHeight w:val="150"/>
      </w:trPr>
      <w:tc>
        <w:tcPr>
          <w:tcW w:w="2250" w:type="pct"/>
          <w:tcBorders>
            <w:top w:val="single" w:sz="4" w:space="0" w:color="4F81BD"/>
            <w:left w:val="nil"/>
            <w:bottom w:val="nil"/>
            <w:right w:val="nil"/>
          </w:tcBorders>
        </w:tcPr>
        <w:p w:rsidR="00FE77D3" w:rsidRPr="005A3173" w:rsidRDefault="00FE77D3" w:rsidP="005A3173">
          <w:pPr>
            <w:pStyle w:val="Header"/>
            <w:spacing w:line="276" w:lineRule="auto"/>
            <w:rPr>
              <w:rFonts w:ascii="Calibri" w:eastAsia="MS Gothic" w:hAnsi="Calibri"/>
              <w:b/>
              <w:bCs/>
              <w:color w:val="4F81BD"/>
            </w:rPr>
          </w:pPr>
        </w:p>
      </w:tc>
      <w:tc>
        <w:tcPr>
          <w:tcW w:w="0" w:type="auto"/>
          <w:vMerge/>
          <w:vAlign w:val="center"/>
          <w:hideMark/>
        </w:tcPr>
        <w:p w:rsidR="00FE77D3" w:rsidRPr="005A3173" w:rsidRDefault="00FE77D3" w:rsidP="005A3173">
          <w:pPr>
            <w:rPr>
              <w:rFonts w:ascii="Calibri" w:hAnsi="Calibri"/>
              <w:color w:val="365F91"/>
              <w:sz w:val="22"/>
              <w:szCs w:val="22"/>
            </w:rPr>
          </w:pPr>
        </w:p>
      </w:tc>
      <w:tc>
        <w:tcPr>
          <w:tcW w:w="2250" w:type="pct"/>
          <w:tcBorders>
            <w:top w:val="single" w:sz="4" w:space="0" w:color="4F81BD"/>
            <w:left w:val="nil"/>
            <w:bottom w:val="nil"/>
            <w:right w:val="nil"/>
          </w:tcBorders>
        </w:tcPr>
        <w:p w:rsidR="00FE77D3" w:rsidRPr="005A3173" w:rsidRDefault="00FE77D3" w:rsidP="005A3173">
          <w:pPr>
            <w:pStyle w:val="Header"/>
            <w:spacing w:line="276" w:lineRule="auto"/>
            <w:rPr>
              <w:rFonts w:ascii="Calibri" w:eastAsia="MS Gothic" w:hAnsi="Calibri"/>
              <w:b/>
              <w:bCs/>
              <w:color w:val="4F81BD"/>
            </w:rPr>
          </w:pPr>
        </w:p>
      </w:tc>
    </w:tr>
  </w:tbl>
  <w:p w:rsidR="00FE77D3" w:rsidRPr="007C0F57" w:rsidRDefault="00FE77D3"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FE77D3" w:rsidRPr="007C0F57" w:rsidRDefault="00FE77D3" w:rsidP="007C0F57">
    <w:pPr>
      <w:pStyle w:val="Footer"/>
      <w:jc w:val="center"/>
      <w:rPr>
        <w:b/>
        <w:i/>
        <w:sz w:val="20"/>
        <w:szCs w:val="20"/>
      </w:rPr>
    </w:pPr>
    <w:r w:rsidRPr="007C0F57">
      <w:rPr>
        <w:b/>
        <w:i/>
        <w:sz w:val="20"/>
        <w:szCs w:val="20"/>
      </w:rPr>
      <w:t>Commercial-in-Confidence</w:t>
    </w:r>
  </w:p>
  <w:p w:rsidR="00FE77D3" w:rsidRDefault="00FE77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668" w:rsidRDefault="00D03668">
      <w:r>
        <w:separator/>
      </w:r>
    </w:p>
    <w:p w:rsidR="00D03668" w:rsidRDefault="00D03668"/>
  </w:footnote>
  <w:footnote w:type="continuationSeparator" w:id="0">
    <w:p w:rsidR="00D03668" w:rsidRDefault="00D03668">
      <w:r>
        <w:continuationSeparator/>
      </w:r>
    </w:p>
    <w:p w:rsidR="00D03668" w:rsidRDefault="00D036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FE77D3" w:rsidRPr="008E0D90" w:rsidTr="00A06225">
      <w:trPr>
        <w:trHeight w:val="151"/>
      </w:trPr>
      <w:tc>
        <w:tcPr>
          <w:tcW w:w="2389" w:type="pct"/>
          <w:tcBorders>
            <w:top w:val="nil"/>
            <w:left w:val="nil"/>
            <w:bottom w:val="single" w:sz="4" w:space="0" w:color="4F81BD"/>
            <w:right w:val="nil"/>
          </w:tcBorders>
        </w:tcPr>
        <w:p w:rsidR="00FE77D3" w:rsidRPr="00A06225" w:rsidRDefault="00FE77D3">
          <w:pPr>
            <w:pStyle w:val="Header"/>
            <w:spacing w:line="276" w:lineRule="auto"/>
            <w:rPr>
              <w:rFonts w:ascii="Cambria" w:eastAsia="MS Gothic" w:hAnsi="Cambria"/>
              <w:b/>
              <w:bCs/>
              <w:color w:val="4F81BD"/>
            </w:rPr>
          </w:pPr>
          <w:bookmarkStart w:id="2" w:name="_GoBack" w:colFirst="0" w:colLast="3"/>
        </w:p>
      </w:tc>
      <w:tc>
        <w:tcPr>
          <w:tcW w:w="333" w:type="pct"/>
          <w:vMerge w:val="restart"/>
          <w:noWrap/>
          <w:vAlign w:val="center"/>
          <w:hideMark/>
        </w:tcPr>
        <w:p w:rsidR="00FE77D3" w:rsidRPr="00A06225" w:rsidRDefault="00FE77D3"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FE77D3" w:rsidRPr="00A06225" w:rsidRDefault="00FE77D3">
          <w:pPr>
            <w:pStyle w:val="Header"/>
            <w:spacing w:line="276" w:lineRule="auto"/>
            <w:rPr>
              <w:rFonts w:ascii="Cambria" w:eastAsia="MS Gothic" w:hAnsi="Cambria"/>
              <w:b/>
              <w:bCs/>
              <w:color w:val="4F81BD"/>
            </w:rPr>
          </w:pPr>
        </w:p>
      </w:tc>
    </w:tr>
    <w:tr w:rsidR="00FE77D3" w:rsidRPr="008E0D90" w:rsidTr="00A06225">
      <w:trPr>
        <w:trHeight w:val="150"/>
      </w:trPr>
      <w:tc>
        <w:tcPr>
          <w:tcW w:w="2389" w:type="pct"/>
          <w:tcBorders>
            <w:top w:val="single" w:sz="4" w:space="0" w:color="4F81BD"/>
            <w:left w:val="nil"/>
            <w:bottom w:val="nil"/>
            <w:right w:val="nil"/>
          </w:tcBorders>
        </w:tcPr>
        <w:p w:rsidR="00FE77D3" w:rsidRPr="00A06225" w:rsidRDefault="00FE77D3">
          <w:pPr>
            <w:pStyle w:val="Header"/>
            <w:spacing w:line="276" w:lineRule="auto"/>
            <w:rPr>
              <w:rFonts w:ascii="Cambria" w:eastAsia="MS Gothic" w:hAnsi="Cambria"/>
              <w:b/>
              <w:bCs/>
              <w:color w:val="4F81BD"/>
            </w:rPr>
          </w:pPr>
        </w:p>
      </w:tc>
      <w:tc>
        <w:tcPr>
          <w:tcW w:w="0" w:type="auto"/>
          <w:vMerge/>
          <w:vAlign w:val="center"/>
          <w:hideMark/>
        </w:tcPr>
        <w:p w:rsidR="00FE77D3" w:rsidRPr="00A06225" w:rsidRDefault="00FE77D3">
          <w:pPr>
            <w:rPr>
              <w:rFonts w:ascii="Cambria" w:hAnsi="Cambria"/>
              <w:color w:val="4F81BD"/>
              <w:sz w:val="22"/>
              <w:szCs w:val="22"/>
            </w:rPr>
          </w:pPr>
        </w:p>
      </w:tc>
      <w:tc>
        <w:tcPr>
          <w:tcW w:w="2278" w:type="pct"/>
          <w:tcBorders>
            <w:top w:val="single" w:sz="4" w:space="0" w:color="4F81BD"/>
            <w:left w:val="nil"/>
            <w:bottom w:val="nil"/>
            <w:right w:val="nil"/>
          </w:tcBorders>
        </w:tcPr>
        <w:p w:rsidR="00FE77D3" w:rsidRPr="00A06225" w:rsidRDefault="00FE77D3">
          <w:pPr>
            <w:pStyle w:val="Header"/>
            <w:spacing w:line="276" w:lineRule="auto"/>
            <w:rPr>
              <w:rFonts w:ascii="Cambria" w:eastAsia="MS Gothic" w:hAnsi="Cambria"/>
              <w:b/>
              <w:bCs/>
              <w:color w:val="4F81BD"/>
            </w:rPr>
          </w:pPr>
        </w:p>
      </w:tc>
    </w:tr>
    <w:bookmarkEnd w:id="2"/>
  </w:tbl>
  <w:p w:rsidR="00FE77D3" w:rsidRDefault="00FE77D3">
    <w:pPr>
      <w:pStyle w:val="Header"/>
    </w:pPr>
  </w:p>
  <w:p w:rsidR="00FE77D3" w:rsidRDefault="00FE77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FC2" w:rsidRPr="00150152" w:rsidRDefault="00FA4FC2" w:rsidP="00FA4FC2">
    <w:pPr>
      <w:pStyle w:val="Header"/>
      <w:ind w:left="360"/>
      <w:jc w:val="center"/>
      <w:rPr>
        <w:rFonts w:ascii="Arial" w:hAnsi="Arial" w:cs="Arial"/>
        <w:i/>
        <w:color w:val="808080"/>
        <w:sz w:val="22"/>
      </w:rPr>
    </w:pPr>
    <w:r>
      <w:rPr>
        <w:rFonts w:ascii="Arial" w:hAnsi="Arial" w:cs="Arial"/>
        <w:i/>
        <w:color w:val="808080"/>
        <w:sz w:val="22"/>
      </w:rPr>
      <w:t>Public Summary Document –</w:t>
    </w:r>
    <w:r w:rsidRPr="00DF217D">
      <w:rPr>
        <w:rFonts w:ascii="Arial" w:hAnsi="Arial" w:cs="Arial"/>
        <w:i/>
        <w:color w:val="808080"/>
        <w:sz w:val="22"/>
      </w:rPr>
      <w:t xml:space="preserve"> </w:t>
    </w:r>
    <w:r>
      <w:rPr>
        <w:rFonts w:ascii="Arial" w:hAnsi="Arial" w:cs="Arial"/>
        <w:i/>
        <w:color w:val="808080"/>
        <w:sz w:val="22"/>
      </w:rPr>
      <w:t xml:space="preserve">March 2016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FE77D3" w:rsidRDefault="00FE77D3"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668" w:rsidRDefault="00D036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B3B09FD"/>
    <w:multiLevelType w:val="hybridMultilevel"/>
    <w:tmpl w:val="7E12DE04"/>
    <w:lvl w:ilvl="0" w:tplc="FE606342">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CC05B2A"/>
    <w:multiLevelType w:val="hybridMultilevel"/>
    <w:tmpl w:val="311C5A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19AA37BE"/>
    <w:multiLevelType w:val="hybridMultilevel"/>
    <w:tmpl w:val="42983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3B4BF1"/>
    <w:multiLevelType w:val="hybridMultilevel"/>
    <w:tmpl w:val="24B46D4A"/>
    <w:lvl w:ilvl="0" w:tplc="DB0E551C">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20C965ED"/>
    <w:multiLevelType w:val="hybridMultilevel"/>
    <w:tmpl w:val="F0348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85041AE"/>
    <w:multiLevelType w:val="hybridMultilevel"/>
    <w:tmpl w:val="C6183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10">
    <w:nsid w:val="2BAD3627"/>
    <w:multiLevelType w:val="hybridMultilevel"/>
    <w:tmpl w:val="45B231C0"/>
    <w:lvl w:ilvl="0" w:tplc="0C090019">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EAD5C5D"/>
    <w:multiLevelType w:val="multilevel"/>
    <w:tmpl w:val="6C902A8A"/>
    <w:lvl w:ilvl="0">
      <w:start w:val="1"/>
      <w:numFmt w:val="bullet"/>
      <w:lvlText w:val=""/>
      <w:lvlJc w:val="left"/>
      <w:pPr>
        <w:ind w:left="720" w:hanging="720"/>
      </w:pPr>
      <w:rPr>
        <w:rFonts w:ascii="Symbol" w:hAnsi="Symbol" w:hint="default"/>
        <w:b/>
      </w:rPr>
    </w:lvl>
    <w:lvl w:ilvl="1">
      <w:start w:val="1"/>
      <w:numFmt w:val="decimal"/>
      <w:lvlText w:val="%1.%2"/>
      <w:lvlJc w:val="left"/>
      <w:pPr>
        <w:ind w:left="720" w:hanging="720"/>
      </w:pPr>
      <w:rPr>
        <w:rFonts w:ascii="Arial" w:hAnsi="Arial" w:cs="Arial"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1125E1F"/>
    <w:multiLevelType w:val="hybridMultilevel"/>
    <w:tmpl w:val="4912C6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52A83B94"/>
    <w:multiLevelType w:val="hybridMultilevel"/>
    <w:tmpl w:val="504E5354"/>
    <w:lvl w:ilvl="0" w:tplc="457AE0E4">
      <w:start w:val="1"/>
      <w:numFmt w:val="lowerLetter"/>
      <w:lvlText w:val="%1."/>
      <w:lvlJc w:val="left"/>
      <w:pPr>
        <w:ind w:left="1080" w:hanging="360"/>
      </w:pPr>
      <w:rPr>
        <w:b w:val="0"/>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A24724D"/>
    <w:multiLevelType w:val="hybridMultilevel"/>
    <w:tmpl w:val="7E0C0F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DBA0381"/>
    <w:multiLevelType w:val="hybridMultilevel"/>
    <w:tmpl w:val="510CBFE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2824FF0"/>
    <w:multiLevelType w:val="hybridMultilevel"/>
    <w:tmpl w:val="000E6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F6B33F2"/>
    <w:multiLevelType w:val="hybridMultilevel"/>
    <w:tmpl w:val="8EA02EA2"/>
    <w:lvl w:ilvl="0" w:tplc="2B20F226">
      <w:start w:val="1"/>
      <w:numFmt w:val="decimal"/>
      <w:lvlText w:val="%1."/>
      <w:lvlJc w:val="left"/>
      <w:pPr>
        <w:ind w:left="720" w:hanging="360"/>
      </w:pPr>
      <w:rPr>
        <w:i/>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84D033C"/>
    <w:multiLevelType w:val="multilevel"/>
    <w:tmpl w:val="29446420"/>
    <w:lvl w:ilvl="0">
      <w:start w:val="1"/>
      <w:numFmt w:val="decimal"/>
      <w:pStyle w:val="Heading1"/>
      <w:lvlText w:val="%1"/>
      <w:lvlJc w:val="left"/>
      <w:pPr>
        <w:ind w:left="720" w:hanging="720"/>
      </w:pPr>
      <w:rPr>
        <w:rFonts w:hint="default"/>
        <w:b/>
        <w:i w:val="0"/>
      </w:rPr>
    </w:lvl>
    <w:lvl w:ilvl="1">
      <w:start w:val="1"/>
      <w:numFmt w:val="decimal"/>
      <w:lvlText w:val="%1.%2"/>
      <w:lvlJc w:val="left"/>
      <w:pPr>
        <w:ind w:left="720" w:hanging="720"/>
      </w:pPr>
      <w:rPr>
        <w:rFonts w:ascii="Arial" w:hAnsi="Arial" w:cs="Arial" w:hint="default"/>
        <w:b w:val="0"/>
        <w:i w:val="0"/>
        <w:color w:val="auto"/>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0"/>
  </w:num>
  <w:num w:numId="3">
    <w:abstractNumId w:val="12"/>
  </w:num>
  <w:num w:numId="4">
    <w:abstractNumId w:val="19"/>
  </w:num>
  <w:num w:numId="5">
    <w:abstractNumId w:val="3"/>
  </w:num>
  <w:num w:numId="6">
    <w:abstractNumId w:val="17"/>
  </w:num>
  <w:num w:numId="7">
    <w:abstractNumId w:val="9"/>
  </w:num>
  <w:num w:numId="8">
    <w:abstractNumId w:val="4"/>
  </w:num>
  <w:num w:numId="9">
    <w:abstractNumId w:val="14"/>
  </w:num>
  <w:num w:numId="10">
    <w:abstractNumId w:val="7"/>
  </w:num>
  <w:num w:numId="11">
    <w:abstractNumId w:val="18"/>
  </w:num>
  <w:num w:numId="12">
    <w:abstractNumId w:val="5"/>
  </w:num>
  <w:num w:numId="13">
    <w:abstractNumId w:val="11"/>
  </w:num>
  <w:num w:numId="14">
    <w:abstractNumId w:val="10"/>
  </w:num>
  <w:num w:numId="15">
    <w:abstractNumId w:val="15"/>
  </w:num>
  <w:num w:numId="16">
    <w:abstractNumId w:val="2"/>
  </w:num>
  <w:num w:numId="17">
    <w:abstractNumId w:val="0"/>
  </w:num>
  <w:num w:numId="18">
    <w:abstractNumId w:val="8"/>
  </w:num>
  <w:num w:numId="19">
    <w:abstractNumId w:val="6"/>
  </w:num>
  <w:num w:numId="20">
    <w:abstractNumId w:val="16"/>
  </w:num>
  <w:num w:numId="21">
    <w:abstractNumId w:val="20"/>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13"/>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opher Etherton-Beer">
    <w15:presenceInfo w15:providerId="None" w15:userId="Christopher Etherton-Be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0805"/>
    <w:rsid w:val="000025AD"/>
    <w:rsid w:val="000069F4"/>
    <w:rsid w:val="00013DEA"/>
    <w:rsid w:val="00014AE1"/>
    <w:rsid w:val="0002464A"/>
    <w:rsid w:val="0003106B"/>
    <w:rsid w:val="00032524"/>
    <w:rsid w:val="000421A1"/>
    <w:rsid w:val="0004240E"/>
    <w:rsid w:val="00042E9B"/>
    <w:rsid w:val="00045346"/>
    <w:rsid w:val="00045E26"/>
    <w:rsid w:val="000514B5"/>
    <w:rsid w:val="00060E64"/>
    <w:rsid w:val="00066755"/>
    <w:rsid w:val="00067C38"/>
    <w:rsid w:val="00070E8D"/>
    <w:rsid w:val="00071F05"/>
    <w:rsid w:val="00094320"/>
    <w:rsid w:val="000969AD"/>
    <w:rsid w:val="000A0DCA"/>
    <w:rsid w:val="000B2CE5"/>
    <w:rsid w:val="000B3183"/>
    <w:rsid w:val="000B558D"/>
    <w:rsid w:val="000B7FF8"/>
    <w:rsid w:val="000C6996"/>
    <w:rsid w:val="000D23BA"/>
    <w:rsid w:val="000D3CDE"/>
    <w:rsid w:val="000E3080"/>
    <w:rsid w:val="000E681E"/>
    <w:rsid w:val="000F0ABB"/>
    <w:rsid w:val="000F4E6A"/>
    <w:rsid w:val="001046B3"/>
    <w:rsid w:val="001107BF"/>
    <w:rsid w:val="001113A7"/>
    <w:rsid w:val="00122EB7"/>
    <w:rsid w:val="0012417C"/>
    <w:rsid w:val="00140390"/>
    <w:rsid w:val="00142395"/>
    <w:rsid w:val="00142714"/>
    <w:rsid w:val="001427F4"/>
    <w:rsid w:val="001452ED"/>
    <w:rsid w:val="001729FD"/>
    <w:rsid w:val="00174AC9"/>
    <w:rsid w:val="00176312"/>
    <w:rsid w:val="001805C1"/>
    <w:rsid w:val="00182F07"/>
    <w:rsid w:val="001830CE"/>
    <w:rsid w:val="0018638D"/>
    <w:rsid w:val="00196307"/>
    <w:rsid w:val="001B017F"/>
    <w:rsid w:val="001B09CC"/>
    <w:rsid w:val="001B5129"/>
    <w:rsid w:val="001B54EA"/>
    <w:rsid w:val="001C1195"/>
    <w:rsid w:val="001E6EFE"/>
    <w:rsid w:val="00211B46"/>
    <w:rsid w:val="00213CFB"/>
    <w:rsid w:val="002438E2"/>
    <w:rsid w:val="00251DBF"/>
    <w:rsid w:val="00271BA1"/>
    <w:rsid w:val="00277505"/>
    <w:rsid w:val="00287BA7"/>
    <w:rsid w:val="00290324"/>
    <w:rsid w:val="00290925"/>
    <w:rsid w:val="0029458F"/>
    <w:rsid w:val="00297584"/>
    <w:rsid w:val="002A104C"/>
    <w:rsid w:val="002A4960"/>
    <w:rsid w:val="002B1AE6"/>
    <w:rsid w:val="002B2CA2"/>
    <w:rsid w:val="002B30F8"/>
    <w:rsid w:val="002B45B6"/>
    <w:rsid w:val="002C212F"/>
    <w:rsid w:val="002C45B5"/>
    <w:rsid w:val="002D0798"/>
    <w:rsid w:val="002D6241"/>
    <w:rsid w:val="002E3153"/>
    <w:rsid w:val="002E72CA"/>
    <w:rsid w:val="002F08ED"/>
    <w:rsid w:val="002F22AD"/>
    <w:rsid w:val="0030306F"/>
    <w:rsid w:val="003165E9"/>
    <w:rsid w:val="00326E79"/>
    <w:rsid w:val="0033075E"/>
    <w:rsid w:val="003316C2"/>
    <w:rsid w:val="003324C2"/>
    <w:rsid w:val="003367EF"/>
    <w:rsid w:val="003369D7"/>
    <w:rsid w:val="00341AE4"/>
    <w:rsid w:val="00341F66"/>
    <w:rsid w:val="00343AF3"/>
    <w:rsid w:val="00350E9E"/>
    <w:rsid w:val="00352293"/>
    <w:rsid w:val="003603BE"/>
    <w:rsid w:val="00365882"/>
    <w:rsid w:val="00365B3C"/>
    <w:rsid w:val="0036663C"/>
    <w:rsid w:val="003704FA"/>
    <w:rsid w:val="00370C02"/>
    <w:rsid w:val="003759B4"/>
    <w:rsid w:val="003872CF"/>
    <w:rsid w:val="0039782C"/>
    <w:rsid w:val="003A5B4A"/>
    <w:rsid w:val="003B23C5"/>
    <w:rsid w:val="003B2A75"/>
    <w:rsid w:val="003B2F70"/>
    <w:rsid w:val="003B4A9F"/>
    <w:rsid w:val="003B5AE4"/>
    <w:rsid w:val="003B77F8"/>
    <w:rsid w:val="003C0432"/>
    <w:rsid w:val="003C2E7E"/>
    <w:rsid w:val="003D0AE8"/>
    <w:rsid w:val="003D42CA"/>
    <w:rsid w:val="003D4AC4"/>
    <w:rsid w:val="003D63B7"/>
    <w:rsid w:val="003E468B"/>
    <w:rsid w:val="003F5C8C"/>
    <w:rsid w:val="00406704"/>
    <w:rsid w:val="004313DE"/>
    <w:rsid w:val="004352AB"/>
    <w:rsid w:val="00435D73"/>
    <w:rsid w:val="004414A4"/>
    <w:rsid w:val="004465BD"/>
    <w:rsid w:val="0044679C"/>
    <w:rsid w:val="0045760F"/>
    <w:rsid w:val="00465294"/>
    <w:rsid w:val="00466ADA"/>
    <w:rsid w:val="00467CA8"/>
    <w:rsid w:val="00476245"/>
    <w:rsid w:val="00485940"/>
    <w:rsid w:val="004865FB"/>
    <w:rsid w:val="0049482F"/>
    <w:rsid w:val="00495413"/>
    <w:rsid w:val="004A2E88"/>
    <w:rsid w:val="004A5A2A"/>
    <w:rsid w:val="004A5A85"/>
    <w:rsid w:val="004B5640"/>
    <w:rsid w:val="004C1BD7"/>
    <w:rsid w:val="004C53CF"/>
    <w:rsid w:val="004C5598"/>
    <w:rsid w:val="004C691D"/>
    <w:rsid w:val="004D38D4"/>
    <w:rsid w:val="004E0270"/>
    <w:rsid w:val="004E692D"/>
    <w:rsid w:val="00501554"/>
    <w:rsid w:val="005051B9"/>
    <w:rsid w:val="005145F2"/>
    <w:rsid w:val="00514CD7"/>
    <w:rsid w:val="005319B2"/>
    <w:rsid w:val="00532C74"/>
    <w:rsid w:val="00534E2E"/>
    <w:rsid w:val="00536B33"/>
    <w:rsid w:val="00544552"/>
    <w:rsid w:val="00546B37"/>
    <w:rsid w:val="00546FB8"/>
    <w:rsid w:val="00554B61"/>
    <w:rsid w:val="0056112A"/>
    <w:rsid w:val="00581932"/>
    <w:rsid w:val="005876F0"/>
    <w:rsid w:val="00594CFB"/>
    <w:rsid w:val="005963BB"/>
    <w:rsid w:val="005A3173"/>
    <w:rsid w:val="005A3223"/>
    <w:rsid w:val="005A3DA3"/>
    <w:rsid w:val="005A52C4"/>
    <w:rsid w:val="005B2454"/>
    <w:rsid w:val="005B51F7"/>
    <w:rsid w:val="005D03AB"/>
    <w:rsid w:val="005D3F58"/>
    <w:rsid w:val="005D5017"/>
    <w:rsid w:val="005E4206"/>
    <w:rsid w:val="00601A91"/>
    <w:rsid w:val="00602BA3"/>
    <w:rsid w:val="00606CB7"/>
    <w:rsid w:val="00614159"/>
    <w:rsid w:val="00617095"/>
    <w:rsid w:val="00617C00"/>
    <w:rsid w:val="006263BF"/>
    <w:rsid w:val="0062748A"/>
    <w:rsid w:val="00630A2C"/>
    <w:rsid w:val="006466B6"/>
    <w:rsid w:val="00651169"/>
    <w:rsid w:val="00653D69"/>
    <w:rsid w:val="0065402E"/>
    <w:rsid w:val="00670A76"/>
    <w:rsid w:val="006711AA"/>
    <w:rsid w:val="006719A7"/>
    <w:rsid w:val="00672B57"/>
    <w:rsid w:val="00675622"/>
    <w:rsid w:val="006906DB"/>
    <w:rsid w:val="0069584F"/>
    <w:rsid w:val="006A02CB"/>
    <w:rsid w:val="006A12A5"/>
    <w:rsid w:val="006B0D94"/>
    <w:rsid w:val="006B485D"/>
    <w:rsid w:val="006C5418"/>
    <w:rsid w:val="006C708E"/>
    <w:rsid w:val="006D6EC7"/>
    <w:rsid w:val="006F0C1B"/>
    <w:rsid w:val="006F32D6"/>
    <w:rsid w:val="006F5125"/>
    <w:rsid w:val="007035D8"/>
    <w:rsid w:val="00711812"/>
    <w:rsid w:val="007174BB"/>
    <w:rsid w:val="00721022"/>
    <w:rsid w:val="0072327E"/>
    <w:rsid w:val="007317FE"/>
    <w:rsid w:val="00732DAD"/>
    <w:rsid w:val="00734EB4"/>
    <w:rsid w:val="00735507"/>
    <w:rsid w:val="00750599"/>
    <w:rsid w:val="0076420C"/>
    <w:rsid w:val="007753C2"/>
    <w:rsid w:val="007809C8"/>
    <w:rsid w:val="007838B8"/>
    <w:rsid w:val="007903C6"/>
    <w:rsid w:val="00794EBF"/>
    <w:rsid w:val="007A364A"/>
    <w:rsid w:val="007A58DE"/>
    <w:rsid w:val="007C0F57"/>
    <w:rsid w:val="007C2CC0"/>
    <w:rsid w:val="007C40B6"/>
    <w:rsid w:val="007C729F"/>
    <w:rsid w:val="007E1D28"/>
    <w:rsid w:val="007E6FB3"/>
    <w:rsid w:val="007E73BC"/>
    <w:rsid w:val="007F2641"/>
    <w:rsid w:val="007F7C36"/>
    <w:rsid w:val="00802801"/>
    <w:rsid w:val="00806796"/>
    <w:rsid w:val="0080722D"/>
    <w:rsid w:val="00810584"/>
    <w:rsid w:val="0081151D"/>
    <w:rsid w:val="00826F6D"/>
    <w:rsid w:val="00844537"/>
    <w:rsid w:val="0084752E"/>
    <w:rsid w:val="00856DDD"/>
    <w:rsid w:val="00863E68"/>
    <w:rsid w:val="00882085"/>
    <w:rsid w:val="00883188"/>
    <w:rsid w:val="00884D7B"/>
    <w:rsid w:val="008909C2"/>
    <w:rsid w:val="00897D58"/>
    <w:rsid w:val="008A1956"/>
    <w:rsid w:val="008A4937"/>
    <w:rsid w:val="008A7C2E"/>
    <w:rsid w:val="008D1505"/>
    <w:rsid w:val="008D1CBF"/>
    <w:rsid w:val="008D2B33"/>
    <w:rsid w:val="008D3C82"/>
    <w:rsid w:val="008D447E"/>
    <w:rsid w:val="008D4D25"/>
    <w:rsid w:val="008D7A41"/>
    <w:rsid w:val="008E3680"/>
    <w:rsid w:val="008E5870"/>
    <w:rsid w:val="008F1434"/>
    <w:rsid w:val="008F7355"/>
    <w:rsid w:val="009067B7"/>
    <w:rsid w:val="00910DE9"/>
    <w:rsid w:val="00920470"/>
    <w:rsid w:val="009279E3"/>
    <w:rsid w:val="00930937"/>
    <w:rsid w:val="00933E6C"/>
    <w:rsid w:val="00942160"/>
    <w:rsid w:val="009451FF"/>
    <w:rsid w:val="009602C5"/>
    <w:rsid w:val="00963A11"/>
    <w:rsid w:val="00965238"/>
    <w:rsid w:val="00974C21"/>
    <w:rsid w:val="009870C5"/>
    <w:rsid w:val="00987EEF"/>
    <w:rsid w:val="009A1871"/>
    <w:rsid w:val="009A2849"/>
    <w:rsid w:val="009A303B"/>
    <w:rsid w:val="009A62F6"/>
    <w:rsid w:val="009B0F67"/>
    <w:rsid w:val="009C703C"/>
    <w:rsid w:val="009D3CAA"/>
    <w:rsid w:val="009D61D9"/>
    <w:rsid w:val="009F4E46"/>
    <w:rsid w:val="009F5B65"/>
    <w:rsid w:val="009F5F2E"/>
    <w:rsid w:val="00A00B38"/>
    <w:rsid w:val="00A02025"/>
    <w:rsid w:val="00A06225"/>
    <w:rsid w:val="00A104C2"/>
    <w:rsid w:val="00A10C24"/>
    <w:rsid w:val="00A128E6"/>
    <w:rsid w:val="00A30DD5"/>
    <w:rsid w:val="00A36C57"/>
    <w:rsid w:val="00A37C8D"/>
    <w:rsid w:val="00A42A78"/>
    <w:rsid w:val="00A5117E"/>
    <w:rsid w:val="00A521A4"/>
    <w:rsid w:val="00A5273B"/>
    <w:rsid w:val="00A53A9D"/>
    <w:rsid w:val="00A55FEE"/>
    <w:rsid w:val="00A62C1A"/>
    <w:rsid w:val="00A6426D"/>
    <w:rsid w:val="00A66D5D"/>
    <w:rsid w:val="00A70622"/>
    <w:rsid w:val="00A70977"/>
    <w:rsid w:val="00A76023"/>
    <w:rsid w:val="00A801F2"/>
    <w:rsid w:val="00A8390C"/>
    <w:rsid w:val="00A85186"/>
    <w:rsid w:val="00A86AD3"/>
    <w:rsid w:val="00A87FB7"/>
    <w:rsid w:val="00A928BD"/>
    <w:rsid w:val="00AA4D1C"/>
    <w:rsid w:val="00AA5C61"/>
    <w:rsid w:val="00AB5419"/>
    <w:rsid w:val="00AC193C"/>
    <w:rsid w:val="00AC20E7"/>
    <w:rsid w:val="00AC5206"/>
    <w:rsid w:val="00AC540D"/>
    <w:rsid w:val="00AD5153"/>
    <w:rsid w:val="00AE11A5"/>
    <w:rsid w:val="00AE13E2"/>
    <w:rsid w:val="00AE33FA"/>
    <w:rsid w:val="00AF68CC"/>
    <w:rsid w:val="00B0494B"/>
    <w:rsid w:val="00B05264"/>
    <w:rsid w:val="00B205AA"/>
    <w:rsid w:val="00B22E84"/>
    <w:rsid w:val="00B2381A"/>
    <w:rsid w:val="00B25F75"/>
    <w:rsid w:val="00B43E90"/>
    <w:rsid w:val="00B467DC"/>
    <w:rsid w:val="00B56118"/>
    <w:rsid w:val="00B61326"/>
    <w:rsid w:val="00B62F78"/>
    <w:rsid w:val="00B66AB5"/>
    <w:rsid w:val="00B6773F"/>
    <w:rsid w:val="00B67A82"/>
    <w:rsid w:val="00B801BA"/>
    <w:rsid w:val="00B80857"/>
    <w:rsid w:val="00B84F84"/>
    <w:rsid w:val="00BA0930"/>
    <w:rsid w:val="00BA5530"/>
    <w:rsid w:val="00BB69F5"/>
    <w:rsid w:val="00BB7EC3"/>
    <w:rsid w:val="00BC4B9A"/>
    <w:rsid w:val="00BC7CD1"/>
    <w:rsid w:val="00BD2527"/>
    <w:rsid w:val="00BD2D7C"/>
    <w:rsid w:val="00BD58AB"/>
    <w:rsid w:val="00BD5F34"/>
    <w:rsid w:val="00BD784C"/>
    <w:rsid w:val="00BE412B"/>
    <w:rsid w:val="00BF4CB6"/>
    <w:rsid w:val="00C00DA7"/>
    <w:rsid w:val="00C01831"/>
    <w:rsid w:val="00C06B78"/>
    <w:rsid w:val="00C12768"/>
    <w:rsid w:val="00C1406E"/>
    <w:rsid w:val="00C142B3"/>
    <w:rsid w:val="00C220E0"/>
    <w:rsid w:val="00C27B58"/>
    <w:rsid w:val="00C33F6C"/>
    <w:rsid w:val="00C34232"/>
    <w:rsid w:val="00C35996"/>
    <w:rsid w:val="00C37E9D"/>
    <w:rsid w:val="00C52221"/>
    <w:rsid w:val="00C5342C"/>
    <w:rsid w:val="00C62218"/>
    <w:rsid w:val="00C6256A"/>
    <w:rsid w:val="00C875A8"/>
    <w:rsid w:val="00C90723"/>
    <w:rsid w:val="00C91449"/>
    <w:rsid w:val="00C92D10"/>
    <w:rsid w:val="00CA45DD"/>
    <w:rsid w:val="00CA7763"/>
    <w:rsid w:val="00CC6C3F"/>
    <w:rsid w:val="00CD32FF"/>
    <w:rsid w:val="00CE0D8D"/>
    <w:rsid w:val="00CE10C4"/>
    <w:rsid w:val="00CE27B5"/>
    <w:rsid w:val="00CE7ADF"/>
    <w:rsid w:val="00CF318A"/>
    <w:rsid w:val="00D0321E"/>
    <w:rsid w:val="00D03668"/>
    <w:rsid w:val="00D1455A"/>
    <w:rsid w:val="00D173D3"/>
    <w:rsid w:val="00D3280C"/>
    <w:rsid w:val="00D3406A"/>
    <w:rsid w:val="00D35DD9"/>
    <w:rsid w:val="00D466A5"/>
    <w:rsid w:val="00D469B2"/>
    <w:rsid w:val="00D50FB7"/>
    <w:rsid w:val="00D536AA"/>
    <w:rsid w:val="00D6029C"/>
    <w:rsid w:val="00D6284D"/>
    <w:rsid w:val="00D741EB"/>
    <w:rsid w:val="00D838A0"/>
    <w:rsid w:val="00D84934"/>
    <w:rsid w:val="00D91271"/>
    <w:rsid w:val="00DA2CB5"/>
    <w:rsid w:val="00DA4BAC"/>
    <w:rsid w:val="00DD424F"/>
    <w:rsid w:val="00DE6D27"/>
    <w:rsid w:val="00DF02FF"/>
    <w:rsid w:val="00DF217D"/>
    <w:rsid w:val="00DF26A7"/>
    <w:rsid w:val="00DF6655"/>
    <w:rsid w:val="00E164B3"/>
    <w:rsid w:val="00E16910"/>
    <w:rsid w:val="00E27E8E"/>
    <w:rsid w:val="00E30AE0"/>
    <w:rsid w:val="00E3399C"/>
    <w:rsid w:val="00E3446F"/>
    <w:rsid w:val="00E61826"/>
    <w:rsid w:val="00E65E54"/>
    <w:rsid w:val="00E6744C"/>
    <w:rsid w:val="00E70BE3"/>
    <w:rsid w:val="00E74B04"/>
    <w:rsid w:val="00E80155"/>
    <w:rsid w:val="00E82DEE"/>
    <w:rsid w:val="00E848C0"/>
    <w:rsid w:val="00E84E9D"/>
    <w:rsid w:val="00E91B96"/>
    <w:rsid w:val="00E941A1"/>
    <w:rsid w:val="00E95CE3"/>
    <w:rsid w:val="00EA2825"/>
    <w:rsid w:val="00EB5088"/>
    <w:rsid w:val="00EB7AF7"/>
    <w:rsid w:val="00EB7F9B"/>
    <w:rsid w:val="00EC3A5A"/>
    <w:rsid w:val="00ED1644"/>
    <w:rsid w:val="00EE16E2"/>
    <w:rsid w:val="00EE22D5"/>
    <w:rsid w:val="00EE74A0"/>
    <w:rsid w:val="00EF44A0"/>
    <w:rsid w:val="00EF4FED"/>
    <w:rsid w:val="00F0252C"/>
    <w:rsid w:val="00F029AC"/>
    <w:rsid w:val="00F03AAC"/>
    <w:rsid w:val="00F050BD"/>
    <w:rsid w:val="00F05657"/>
    <w:rsid w:val="00F07B42"/>
    <w:rsid w:val="00F07C3F"/>
    <w:rsid w:val="00F13958"/>
    <w:rsid w:val="00F175AD"/>
    <w:rsid w:val="00F20F54"/>
    <w:rsid w:val="00F25578"/>
    <w:rsid w:val="00F258E5"/>
    <w:rsid w:val="00F300BC"/>
    <w:rsid w:val="00F3334E"/>
    <w:rsid w:val="00F4041F"/>
    <w:rsid w:val="00F41455"/>
    <w:rsid w:val="00F47A30"/>
    <w:rsid w:val="00F50EC4"/>
    <w:rsid w:val="00F57A6D"/>
    <w:rsid w:val="00F638CC"/>
    <w:rsid w:val="00F64CC1"/>
    <w:rsid w:val="00F66BE9"/>
    <w:rsid w:val="00F80D8D"/>
    <w:rsid w:val="00F8247A"/>
    <w:rsid w:val="00F903B0"/>
    <w:rsid w:val="00F9629A"/>
    <w:rsid w:val="00F96E02"/>
    <w:rsid w:val="00FA4FC2"/>
    <w:rsid w:val="00FA5883"/>
    <w:rsid w:val="00FA6055"/>
    <w:rsid w:val="00FB322F"/>
    <w:rsid w:val="00FB4373"/>
    <w:rsid w:val="00FB442F"/>
    <w:rsid w:val="00FB6196"/>
    <w:rsid w:val="00FC1929"/>
    <w:rsid w:val="00FC5B46"/>
    <w:rsid w:val="00FD6461"/>
    <w:rsid w:val="00FE3D56"/>
    <w:rsid w:val="00FE77D3"/>
    <w:rsid w:val="00FF00BD"/>
    <w:rsid w:val="00FF0D75"/>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32"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qFormat/>
    <w:rsid w:val="00A00B38"/>
    <w:pPr>
      <w:numPr>
        <w:numId w:val="2"/>
      </w:numPr>
      <w:jc w:val="both"/>
      <w:outlineLvl w:val="0"/>
    </w:pPr>
    <w:rPr>
      <w:rFonts w:ascii="Arial" w:hAnsi="Arial"/>
      <w:b/>
      <w:sz w:val="22"/>
      <w:szCs w:val="22"/>
    </w:rPr>
  </w:style>
  <w:style w:type="paragraph" w:styleId="Heading2">
    <w:name w:val="heading 2"/>
    <w:basedOn w:val="Normal"/>
    <w:next w:val="Normal"/>
    <w:qFormat/>
    <w:rsid w:val="00A00B38"/>
    <w:pPr>
      <w:jc w:val="both"/>
      <w:outlineLvl w:val="1"/>
    </w:pPr>
    <w:rPr>
      <w:rFonts w:ascii="Arial" w:hAnsi="Arial"/>
      <w:b/>
      <w:i/>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character" w:styleId="FollowedHyperlink">
    <w:name w:val="FollowedHyperlink"/>
    <w:basedOn w:val="DefaultParagraphFont"/>
    <w:rsid w:val="00711812"/>
    <w:rPr>
      <w:color w:val="800080" w:themeColor="followedHyperlink"/>
      <w:u w:val="single"/>
    </w:rPr>
  </w:style>
  <w:style w:type="paragraph" w:styleId="Revision">
    <w:name w:val="Revision"/>
    <w:hidden/>
    <w:uiPriority w:val="71"/>
    <w:rsid w:val="00D536AA"/>
    <w:rPr>
      <w:sz w:val="24"/>
      <w:szCs w:val="24"/>
    </w:rPr>
  </w:style>
  <w:style w:type="paragraph" w:customStyle="1" w:styleId="TableFooter">
    <w:name w:val="Table Footer"/>
    <w:basedOn w:val="Normal"/>
    <w:qFormat/>
    <w:rsid w:val="00A02025"/>
    <w:pPr>
      <w:widowControl w:val="0"/>
      <w:jc w:val="both"/>
    </w:pPr>
    <w:rPr>
      <w:rFonts w:ascii="Arial Narrow" w:hAnsi="Arial Narrow" w:cs="Arial"/>
      <w:snapToGrid w:val="0"/>
      <w:sz w:val="18"/>
      <w:szCs w:val="20"/>
      <w:lang w:eastAsia="en-US"/>
    </w:rPr>
  </w:style>
  <w:style w:type="paragraph" w:customStyle="1" w:styleId="PBACHeading1">
    <w:name w:val="PBAC Heading 1"/>
    <w:qFormat/>
    <w:rsid w:val="00A02025"/>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
    <w:link w:val="ListParagraph"/>
    <w:uiPriority w:val="72"/>
    <w:rsid w:val="00A02025"/>
    <w:rPr>
      <w:sz w:val="24"/>
      <w:szCs w:val="24"/>
    </w:rPr>
  </w:style>
  <w:style w:type="character" w:styleId="IntenseReference">
    <w:name w:val="Intense Reference"/>
    <w:basedOn w:val="DefaultParagraphFont"/>
    <w:uiPriority w:val="32"/>
    <w:qFormat/>
    <w:rsid w:val="005B51F7"/>
    <w:rPr>
      <w:b/>
      <w:bCs/>
      <w:i/>
      <w:smallCaps/>
      <w:color w:val="C0504D" w:themeColor="accent2"/>
      <w:spacing w:val="5"/>
      <w:u w:val="none"/>
    </w:rPr>
  </w:style>
  <w:style w:type="paragraph" w:styleId="Title">
    <w:name w:val="Title"/>
    <w:basedOn w:val="Normal"/>
    <w:next w:val="Normal"/>
    <w:link w:val="TitleChar"/>
    <w:qFormat/>
    <w:rsid w:val="00FA4FC2"/>
    <w:pPr>
      <w:ind w:left="720" w:hanging="720"/>
      <w:outlineLvl w:val="0"/>
    </w:pPr>
    <w:rPr>
      <w:rFonts w:ascii="Arial" w:hAnsi="Arial"/>
      <w:b/>
      <w:sz w:val="28"/>
      <w:szCs w:val="28"/>
    </w:rPr>
  </w:style>
  <w:style w:type="character" w:customStyle="1" w:styleId="TitleChar">
    <w:name w:val="Title Char"/>
    <w:basedOn w:val="DefaultParagraphFont"/>
    <w:link w:val="Title"/>
    <w:rsid w:val="00FA4FC2"/>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32"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qFormat/>
    <w:rsid w:val="00A00B38"/>
    <w:pPr>
      <w:numPr>
        <w:numId w:val="2"/>
      </w:numPr>
      <w:jc w:val="both"/>
      <w:outlineLvl w:val="0"/>
    </w:pPr>
    <w:rPr>
      <w:rFonts w:ascii="Arial" w:hAnsi="Arial"/>
      <w:b/>
      <w:sz w:val="22"/>
      <w:szCs w:val="22"/>
    </w:rPr>
  </w:style>
  <w:style w:type="paragraph" w:styleId="Heading2">
    <w:name w:val="heading 2"/>
    <w:basedOn w:val="Normal"/>
    <w:next w:val="Normal"/>
    <w:qFormat/>
    <w:rsid w:val="00A00B38"/>
    <w:pPr>
      <w:jc w:val="both"/>
      <w:outlineLvl w:val="1"/>
    </w:pPr>
    <w:rPr>
      <w:rFonts w:ascii="Arial" w:hAnsi="Arial"/>
      <w:b/>
      <w:i/>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character" w:styleId="FollowedHyperlink">
    <w:name w:val="FollowedHyperlink"/>
    <w:basedOn w:val="DefaultParagraphFont"/>
    <w:rsid w:val="00711812"/>
    <w:rPr>
      <w:color w:val="800080" w:themeColor="followedHyperlink"/>
      <w:u w:val="single"/>
    </w:rPr>
  </w:style>
  <w:style w:type="paragraph" w:styleId="Revision">
    <w:name w:val="Revision"/>
    <w:hidden/>
    <w:uiPriority w:val="71"/>
    <w:rsid w:val="00D536AA"/>
    <w:rPr>
      <w:sz w:val="24"/>
      <w:szCs w:val="24"/>
    </w:rPr>
  </w:style>
  <w:style w:type="paragraph" w:customStyle="1" w:styleId="TableFooter">
    <w:name w:val="Table Footer"/>
    <w:basedOn w:val="Normal"/>
    <w:qFormat/>
    <w:rsid w:val="00A02025"/>
    <w:pPr>
      <w:widowControl w:val="0"/>
      <w:jc w:val="both"/>
    </w:pPr>
    <w:rPr>
      <w:rFonts w:ascii="Arial Narrow" w:hAnsi="Arial Narrow" w:cs="Arial"/>
      <w:snapToGrid w:val="0"/>
      <w:sz w:val="18"/>
      <w:szCs w:val="20"/>
      <w:lang w:eastAsia="en-US"/>
    </w:rPr>
  </w:style>
  <w:style w:type="paragraph" w:customStyle="1" w:styleId="PBACHeading1">
    <w:name w:val="PBAC Heading 1"/>
    <w:qFormat/>
    <w:rsid w:val="00A02025"/>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
    <w:link w:val="ListParagraph"/>
    <w:uiPriority w:val="72"/>
    <w:rsid w:val="00A02025"/>
    <w:rPr>
      <w:sz w:val="24"/>
      <w:szCs w:val="24"/>
    </w:rPr>
  </w:style>
  <w:style w:type="character" w:styleId="IntenseReference">
    <w:name w:val="Intense Reference"/>
    <w:basedOn w:val="DefaultParagraphFont"/>
    <w:uiPriority w:val="32"/>
    <w:qFormat/>
    <w:rsid w:val="005B51F7"/>
    <w:rPr>
      <w:b/>
      <w:bCs/>
      <w:i/>
      <w:smallCaps/>
      <w:color w:val="C0504D" w:themeColor="accent2"/>
      <w:spacing w:val="5"/>
      <w:u w:val="none"/>
    </w:rPr>
  </w:style>
  <w:style w:type="paragraph" w:styleId="Title">
    <w:name w:val="Title"/>
    <w:basedOn w:val="Normal"/>
    <w:next w:val="Normal"/>
    <w:link w:val="TitleChar"/>
    <w:qFormat/>
    <w:rsid w:val="00FA4FC2"/>
    <w:pPr>
      <w:ind w:left="720" w:hanging="720"/>
      <w:outlineLvl w:val="0"/>
    </w:pPr>
    <w:rPr>
      <w:rFonts w:ascii="Arial" w:hAnsi="Arial"/>
      <w:b/>
      <w:sz w:val="28"/>
      <w:szCs w:val="28"/>
    </w:rPr>
  </w:style>
  <w:style w:type="character" w:customStyle="1" w:styleId="TitleChar">
    <w:name w:val="Title Char"/>
    <w:basedOn w:val="DefaultParagraphFont"/>
    <w:link w:val="Title"/>
    <w:rsid w:val="00FA4FC2"/>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581985131">
      <w:bodyDiv w:val="1"/>
      <w:marLeft w:val="0"/>
      <w:marRight w:val="0"/>
      <w:marTop w:val="0"/>
      <w:marBottom w:val="0"/>
      <w:divBdr>
        <w:top w:val="none" w:sz="0" w:space="0" w:color="auto"/>
        <w:left w:val="none" w:sz="0" w:space="0" w:color="auto"/>
        <w:bottom w:val="none" w:sz="0" w:space="0" w:color="auto"/>
        <w:right w:val="none" w:sz="0" w:space="0" w:color="auto"/>
      </w:divBdr>
    </w:div>
    <w:div w:id="608858186">
      <w:bodyDiv w:val="1"/>
      <w:marLeft w:val="0"/>
      <w:marRight w:val="0"/>
      <w:marTop w:val="0"/>
      <w:marBottom w:val="0"/>
      <w:divBdr>
        <w:top w:val="none" w:sz="0" w:space="0" w:color="auto"/>
        <w:left w:val="none" w:sz="0" w:space="0" w:color="auto"/>
        <w:bottom w:val="none" w:sz="0" w:space="0" w:color="auto"/>
        <w:right w:val="none" w:sz="0" w:space="0" w:color="auto"/>
      </w:divBdr>
    </w:div>
    <w:div w:id="745759814">
      <w:bodyDiv w:val="1"/>
      <w:marLeft w:val="0"/>
      <w:marRight w:val="0"/>
      <w:marTop w:val="0"/>
      <w:marBottom w:val="0"/>
      <w:divBdr>
        <w:top w:val="none" w:sz="0" w:space="0" w:color="auto"/>
        <w:left w:val="none" w:sz="0" w:space="0" w:color="auto"/>
        <w:bottom w:val="none" w:sz="0" w:space="0" w:color="auto"/>
        <w:right w:val="none" w:sz="0" w:space="0" w:color="auto"/>
      </w:divBdr>
    </w:div>
    <w:div w:id="756248472">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37573660">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10128446">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60528220">
      <w:bodyDiv w:val="1"/>
      <w:marLeft w:val="0"/>
      <w:marRight w:val="0"/>
      <w:marTop w:val="0"/>
      <w:marBottom w:val="0"/>
      <w:divBdr>
        <w:top w:val="none" w:sz="0" w:space="0" w:color="auto"/>
        <w:left w:val="none" w:sz="0" w:space="0" w:color="auto"/>
        <w:bottom w:val="none" w:sz="0" w:space="0" w:color="auto"/>
        <w:right w:val="none" w:sz="0" w:space="0" w:color="auto"/>
      </w:divBdr>
    </w:div>
    <w:div w:id="200608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01CE2-5F90-4495-97AD-69DF5FCB0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3513</Words>
  <Characters>20936</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2016-06-21T05:20:00Z</dcterms:created>
  <dcterms:modified xsi:type="dcterms:W3CDTF">2016-06-22T00:30:00Z</dcterms:modified>
</cp:coreProperties>
</file>