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464A56" w:rsidRDefault="00511E6E" w:rsidP="00464A56">
      <w:pPr>
        <w:pStyle w:val="Title"/>
      </w:pPr>
      <w:bookmarkStart w:id="0" w:name="_Toc440970677"/>
      <w:bookmarkStart w:id="1" w:name="_GoBack"/>
      <w:bookmarkEnd w:id="1"/>
      <w:r w:rsidRPr="00464A56">
        <w:t>7.01</w:t>
      </w:r>
      <w:r w:rsidR="00B60939" w:rsidRPr="00464A56">
        <w:tab/>
      </w:r>
      <w:r w:rsidR="00C3252D" w:rsidRPr="00464A56">
        <w:t>DEXAMETHASONE, implant, 700</w:t>
      </w:r>
      <w:r w:rsidR="004C4374" w:rsidRPr="00464A56">
        <w:rPr>
          <w:rFonts w:hint="eastAsia"/>
        </w:rPr>
        <w:t> </w:t>
      </w:r>
      <w:r w:rsidR="00C3252D" w:rsidRPr="00464A56">
        <w:t>µg, Ozurdex®, Allergan.</w:t>
      </w:r>
      <w:bookmarkEnd w:id="0"/>
    </w:p>
    <w:p w:rsidR="00F338FF" w:rsidRDefault="00F338FF" w:rsidP="00577717"/>
    <w:p w:rsidR="00EC2BED" w:rsidRPr="006D6EC7" w:rsidRDefault="00EC2BED" w:rsidP="00577717"/>
    <w:p w:rsidR="003A6BD3" w:rsidRDefault="00F338FF" w:rsidP="00A9453C">
      <w:pPr>
        <w:pStyle w:val="Heading1"/>
        <w:widowControl/>
        <w:numPr>
          <w:ilvl w:val="0"/>
          <w:numId w:val="3"/>
        </w:numPr>
        <w:rPr>
          <w:b w:val="0"/>
        </w:rPr>
      </w:pPr>
      <w:bookmarkStart w:id="2" w:name="_Toc440970679"/>
      <w:r w:rsidRPr="00407F2D">
        <w:t>Purpose of Application</w:t>
      </w:r>
      <w:bookmarkEnd w:id="2"/>
    </w:p>
    <w:p w:rsidR="003A6BD3" w:rsidRPr="00AD2F5C" w:rsidRDefault="003A6BD3" w:rsidP="00AD2F5C">
      <w:pPr>
        <w:pStyle w:val="PBACheading1"/>
        <w:numPr>
          <w:ilvl w:val="0"/>
          <w:numId w:val="0"/>
        </w:numPr>
        <w:jc w:val="both"/>
      </w:pPr>
    </w:p>
    <w:p w:rsidR="003A6BD3" w:rsidRPr="003A6BD3" w:rsidRDefault="00C3252D" w:rsidP="00D06055">
      <w:pPr>
        <w:pStyle w:val="PBACheading1"/>
        <w:numPr>
          <w:ilvl w:val="1"/>
          <w:numId w:val="3"/>
        </w:numPr>
        <w:jc w:val="both"/>
        <w:rPr>
          <w:b/>
        </w:rPr>
      </w:pPr>
      <w:r>
        <w:t xml:space="preserve">The resubmission requested an Authority Required listing for dexamethasone posterior segment drug delivery system (PS DDS) (referred to in the </w:t>
      </w:r>
      <w:r w:rsidR="0087434A">
        <w:t>re</w:t>
      </w:r>
      <w:r>
        <w:t>submission as dexamethasone implant) for the treatment of vision impairment due to centre-involving diabetic macular oedema (</w:t>
      </w:r>
      <w:r w:rsidR="00E06EBF">
        <w:t>DME</w:t>
      </w:r>
      <w:r>
        <w:t xml:space="preserve">). The first submission for dexamethasone implant was considered at the March 2015 PBAC </w:t>
      </w:r>
      <w:r w:rsidR="004C4374">
        <w:t>m</w:t>
      </w:r>
      <w:r>
        <w:t>eeting.</w:t>
      </w:r>
    </w:p>
    <w:p w:rsidR="003A6BD3" w:rsidRPr="003A6BD3" w:rsidRDefault="003A6BD3" w:rsidP="00AD2F5C">
      <w:pPr>
        <w:pStyle w:val="PBACheading1"/>
        <w:numPr>
          <w:ilvl w:val="0"/>
          <w:numId w:val="0"/>
        </w:numPr>
        <w:jc w:val="both"/>
        <w:rPr>
          <w:b/>
        </w:rPr>
      </w:pPr>
    </w:p>
    <w:p w:rsidR="007E07AF" w:rsidRPr="003A6BD3" w:rsidRDefault="00A01989" w:rsidP="00D06055">
      <w:pPr>
        <w:pStyle w:val="PBACheading1"/>
        <w:numPr>
          <w:ilvl w:val="1"/>
          <w:numId w:val="3"/>
        </w:numPr>
        <w:jc w:val="both"/>
        <w:rPr>
          <w:b/>
        </w:rPr>
      </w:pPr>
      <w:r w:rsidRPr="003A6BD3">
        <w:t xml:space="preserve">A coordinated </w:t>
      </w:r>
      <w:r w:rsidR="0069271D" w:rsidRPr="003A6BD3">
        <w:t>re</w:t>
      </w:r>
      <w:r w:rsidRPr="003A6BD3">
        <w:t xml:space="preserve">submission </w:t>
      </w:r>
      <w:r w:rsidR="004C4374" w:rsidRPr="003A6BD3">
        <w:t xml:space="preserve">to MSAC </w:t>
      </w:r>
      <w:r w:rsidRPr="003A6BD3">
        <w:t>(MSAC Application</w:t>
      </w:r>
      <w:r w:rsidR="004C4374" w:rsidRPr="003A6BD3">
        <w:t xml:space="preserve"> 1377.1</w:t>
      </w:r>
      <w:r w:rsidRPr="003A6BD3">
        <w:t xml:space="preserve">) was lodged by the </w:t>
      </w:r>
      <w:r w:rsidR="003A6BD3">
        <w:t>s</w:t>
      </w:r>
      <w:r w:rsidRPr="003A6BD3">
        <w:t xml:space="preserve">ponsor </w:t>
      </w:r>
      <w:r w:rsidR="004C4374" w:rsidRPr="003A6BD3">
        <w:t xml:space="preserve">in </w:t>
      </w:r>
      <w:r w:rsidR="00CF6585">
        <w:t>November 2015</w:t>
      </w:r>
      <w:r w:rsidR="004C4374" w:rsidRPr="003A6BD3">
        <w:t xml:space="preserve"> </w:t>
      </w:r>
      <w:r w:rsidRPr="003A6BD3">
        <w:t xml:space="preserve">for the subsidy of optical coherence tomography (OCT) for the purposes of confirming eligibility for treatment with dexamethasone implant. MSAC </w:t>
      </w:r>
      <w:r w:rsidR="00CF6585">
        <w:t xml:space="preserve">had </w:t>
      </w:r>
      <w:r w:rsidRPr="003A6BD3">
        <w:t xml:space="preserve">deferred the application for the requested MBS item until such time as PBAC makes a positive recommendation regarding the corresponding PBS listing of the dexamethasone implant. MSAC supported the use of OCT to confirm the presence of macular oedema once a decision has been made to treat (or retreat) with dexamethasone. However, </w:t>
      </w:r>
      <w:r w:rsidR="004C4374" w:rsidRPr="003A6BD3">
        <w:t>the current resubmission</w:t>
      </w:r>
      <w:r w:rsidRPr="003A6BD3">
        <w:t xml:space="preserve"> </w:t>
      </w:r>
      <w:r w:rsidR="0069271D" w:rsidRPr="003A6BD3">
        <w:t xml:space="preserve">to PBAC </w:t>
      </w:r>
      <w:r w:rsidRPr="003A6BD3">
        <w:t xml:space="preserve">specified </w:t>
      </w:r>
      <w:r w:rsidR="004C4374" w:rsidRPr="003A6BD3">
        <w:t xml:space="preserve">fluorescein angiography (FA) </w:t>
      </w:r>
      <w:r w:rsidRPr="003A6BD3">
        <w:t>as the diagnostic</w:t>
      </w:r>
      <w:r w:rsidR="000641E0" w:rsidRPr="003A6BD3">
        <w:t xml:space="preserve"> </w:t>
      </w:r>
      <w:r w:rsidR="004B33D4" w:rsidRPr="003A6BD3">
        <w:t xml:space="preserve">tool for determining </w:t>
      </w:r>
      <w:r w:rsidR="00E06EBF" w:rsidRPr="003A6BD3">
        <w:t>DME</w:t>
      </w:r>
      <w:r w:rsidR="000641E0" w:rsidRPr="003A6BD3">
        <w:t xml:space="preserve">, rather than OCT. The use of OCT to confirm </w:t>
      </w:r>
      <w:r w:rsidR="00E06EBF" w:rsidRPr="003A6BD3">
        <w:t>DME</w:t>
      </w:r>
      <w:r w:rsidR="000641E0" w:rsidRPr="003A6BD3">
        <w:t xml:space="preserve"> in continuing patients </w:t>
      </w:r>
      <w:r w:rsidR="004C4374" w:rsidRPr="003A6BD3">
        <w:t>wa</w:t>
      </w:r>
      <w:r w:rsidR="000641E0" w:rsidRPr="003A6BD3">
        <w:t>s implied in the financial estimates</w:t>
      </w:r>
      <w:r w:rsidR="00E36042" w:rsidRPr="003A6BD3">
        <w:t xml:space="preserve"> in the submission</w:t>
      </w:r>
      <w:r w:rsidR="000641E0" w:rsidRPr="003A6BD3">
        <w:t xml:space="preserve">, although confirmation of </w:t>
      </w:r>
      <w:r w:rsidR="00E06EBF" w:rsidRPr="003A6BD3">
        <w:t>DME</w:t>
      </w:r>
      <w:r w:rsidR="000641E0" w:rsidRPr="003A6BD3">
        <w:t xml:space="preserve"> prior to continuing treatment was not specified in the requested listing for continuing treatment.</w:t>
      </w:r>
    </w:p>
    <w:p w:rsidR="001B6188" w:rsidRDefault="001B6188" w:rsidP="00AD2F5C"/>
    <w:p w:rsidR="00ED5ED1" w:rsidRPr="00DF2BE5" w:rsidRDefault="00ED5ED1" w:rsidP="00497F10"/>
    <w:p w:rsidR="00F338FF" w:rsidRPr="00DF2BE5" w:rsidRDefault="00F338FF" w:rsidP="00A9453C">
      <w:pPr>
        <w:pStyle w:val="Heading1"/>
        <w:widowControl/>
        <w:numPr>
          <w:ilvl w:val="0"/>
          <w:numId w:val="3"/>
        </w:numPr>
        <w:rPr>
          <w:b w:val="0"/>
        </w:rPr>
      </w:pPr>
      <w:bookmarkStart w:id="3" w:name="_Toc440970680"/>
      <w:r w:rsidRPr="00DF2BE5">
        <w:t>Requested listing</w:t>
      </w:r>
      <w:bookmarkEnd w:id="3"/>
    </w:p>
    <w:p w:rsidR="00B60939" w:rsidRPr="00DF2BE5" w:rsidRDefault="00B60939" w:rsidP="00497F10"/>
    <w:p w:rsidR="00F2788D" w:rsidRPr="00CF6585" w:rsidRDefault="00CF6585" w:rsidP="00D06055">
      <w:pPr>
        <w:pStyle w:val="ListParagraph"/>
        <w:widowControl/>
        <w:numPr>
          <w:ilvl w:val="1"/>
          <w:numId w:val="2"/>
        </w:numPr>
        <w:rPr>
          <w:szCs w:val="22"/>
        </w:rPr>
      </w:pPr>
      <w:r>
        <w:rPr>
          <w:rFonts w:eastAsia="SimSun"/>
          <w:iCs/>
          <w:color w:val="000000"/>
          <w:szCs w:val="22"/>
        </w:rPr>
        <w:t>T</w:t>
      </w:r>
      <w:r w:rsidR="00930677" w:rsidRPr="00CF6585">
        <w:rPr>
          <w:rFonts w:eastAsia="SimSun"/>
          <w:iCs/>
          <w:color w:val="000000"/>
          <w:szCs w:val="22"/>
        </w:rPr>
        <w:t xml:space="preserve">he requested listing </w:t>
      </w:r>
      <w:r>
        <w:rPr>
          <w:rFonts w:eastAsia="SimSun"/>
          <w:iCs/>
          <w:color w:val="000000"/>
          <w:szCs w:val="22"/>
        </w:rPr>
        <w:t xml:space="preserve">is presented below with new text </w:t>
      </w:r>
      <w:r w:rsidRPr="00CF6585">
        <w:rPr>
          <w:rFonts w:eastAsia="SimSun"/>
          <w:iCs/>
          <w:color w:val="000000"/>
          <w:szCs w:val="22"/>
        </w:rPr>
        <w:t xml:space="preserve">proposed by the Secretariat </w:t>
      </w:r>
      <w:r w:rsidR="00930677" w:rsidRPr="00CF6585">
        <w:rPr>
          <w:rFonts w:eastAsia="SimSun"/>
          <w:iCs/>
          <w:color w:val="000000"/>
          <w:szCs w:val="22"/>
        </w:rPr>
        <w:t>added in italics and suggested deletions are crossed out with strikethrough.</w:t>
      </w:r>
      <w:r w:rsidR="00AC7A17" w:rsidRPr="00CF6585">
        <w:rPr>
          <w:rFonts w:eastAsia="SimSun"/>
          <w:iCs/>
          <w:color w:val="000000"/>
          <w:szCs w:val="22"/>
        </w:rPr>
        <w:t xml:space="preserve"> </w:t>
      </w:r>
      <w:r w:rsidR="003733F9" w:rsidRPr="00CF6585">
        <w:rPr>
          <w:rFonts w:eastAsia="SimSun"/>
          <w:iCs/>
          <w:color w:val="000000"/>
          <w:szCs w:val="22"/>
        </w:rPr>
        <w:t xml:space="preserve">The </w:t>
      </w:r>
      <w:r w:rsidR="00CA6CE0">
        <w:rPr>
          <w:rFonts w:eastAsia="SimSun"/>
          <w:iCs/>
          <w:color w:val="000000"/>
          <w:szCs w:val="22"/>
        </w:rPr>
        <w:t>Pre</w:t>
      </w:r>
      <w:r w:rsidR="00CA6CE0">
        <w:rPr>
          <w:rFonts w:eastAsia="SimSun"/>
          <w:iCs/>
          <w:color w:val="000000"/>
          <w:szCs w:val="22"/>
        </w:rPr>
        <w:noBreakHyphen/>
      </w:r>
      <w:r w:rsidR="00AC7A17" w:rsidRPr="00CF6585">
        <w:rPr>
          <w:rFonts w:eastAsia="SimSun"/>
          <w:iCs/>
          <w:color w:val="000000"/>
          <w:szCs w:val="22"/>
        </w:rPr>
        <w:t xml:space="preserve">PBAC Response (p1) </w:t>
      </w:r>
      <w:r>
        <w:rPr>
          <w:rFonts w:eastAsia="SimSun"/>
          <w:iCs/>
          <w:color w:val="000000"/>
          <w:szCs w:val="22"/>
        </w:rPr>
        <w:t>offered</w:t>
      </w:r>
      <w:r w:rsidR="00AC7A17" w:rsidRPr="00CF6585">
        <w:rPr>
          <w:rFonts w:eastAsia="SimSun"/>
          <w:iCs/>
          <w:color w:val="000000"/>
          <w:szCs w:val="22"/>
        </w:rPr>
        <w:t xml:space="preserve"> no objections to these suggestions.</w:t>
      </w:r>
    </w:p>
    <w:p w:rsidR="003A6BD3" w:rsidRPr="00CF6585" w:rsidRDefault="003A6BD3" w:rsidP="003A6BD3">
      <w:pPr>
        <w:widowControl/>
        <w:rPr>
          <w:szCs w:val="22"/>
        </w:rPr>
      </w:pPr>
    </w:p>
    <w:tbl>
      <w:tblPr>
        <w:tblW w:w="4572" w:type="pct"/>
        <w:tblInd w:w="730" w:type="dxa"/>
        <w:tblCellMar>
          <w:left w:w="28" w:type="dxa"/>
          <w:right w:w="28" w:type="dxa"/>
        </w:tblCellMar>
        <w:tblLook w:val="0000" w:firstRow="0" w:lastRow="0" w:firstColumn="0" w:lastColumn="0" w:noHBand="0" w:noVBand="0"/>
      </w:tblPr>
      <w:tblGrid>
        <w:gridCol w:w="3164"/>
        <w:gridCol w:w="537"/>
        <w:gridCol w:w="817"/>
        <w:gridCol w:w="1644"/>
        <w:gridCol w:w="909"/>
        <w:gridCol w:w="1234"/>
      </w:tblGrid>
      <w:tr w:rsidR="00A93C4D" w:rsidRPr="007A5B06" w:rsidTr="00A93C4D">
        <w:trPr>
          <w:cantSplit/>
          <w:trHeight w:val="421"/>
        </w:trPr>
        <w:tc>
          <w:tcPr>
            <w:tcW w:w="1905" w:type="pct"/>
            <w:tcBorders>
              <w:bottom w:val="single" w:sz="4" w:space="0" w:color="auto"/>
            </w:tcBorders>
          </w:tcPr>
          <w:p w:rsidR="00A93C4D" w:rsidRPr="007A5B06" w:rsidRDefault="00A93C4D" w:rsidP="00A93C4D">
            <w:pPr>
              <w:keepNext/>
              <w:rPr>
                <w:sz w:val="20"/>
              </w:rPr>
            </w:pPr>
            <w:r w:rsidRPr="007A5B06">
              <w:rPr>
                <w:sz w:val="20"/>
              </w:rPr>
              <w:t>Name, Restriction,</w:t>
            </w:r>
          </w:p>
          <w:p w:rsidR="00A93C4D" w:rsidRPr="007A5B06" w:rsidRDefault="00A93C4D" w:rsidP="00A93C4D">
            <w:pPr>
              <w:keepNext/>
              <w:rPr>
                <w:sz w:val="20"/>
              </w:rPr>
            </w:pPr>
            <w:r w:rsidRPr="007A5B06">
              <w:rPr>
                <w:sz w:val="20"/>
              </w:rPr>
              <w:t>Manner of administration and form</w:t>
            </w:r>
          </w:p>
        </w:tc>
        <w:tc>
          <w:tcPr>
            <w:tcW w:w="323" w:type="pct"/>
            <w:tcBorders>
              <w:bottom w:val="single" w:sz="4" w:space="0" w:color="auto"/>
            </w:tcBorders>
          </w:tcPr>
          <w:p w:rsidR="00A93C4D" w:rsidRPr="007A5B06" w:rsidRDefault="00A93C4D" w:rsidP="00A93C4D">
            <w:pPr>
              <w:keepNext/>
              <w:jc w:val="center"/>
              <w:rPr>
                <w:sz w:val="20"/>
              </w:rPr>
            </w:pPr>
            <w:r w:rsidRPr="007A5B06">
              <w:rPr>
                <w:sz w:val="20"/>
              </w:rPr>
              <w:t>Max.</w:t>
            </w:r>
          </w:p>
          <w:p w:rsidR="00A93C4D" w:rsidRPr="007A5B06" w:rsidRDefault="00A93C4D" w:rsidP="00A93C4D">
            <w:pPr>
              <w:keepNext/>
              <w:jc w:val="center"/>
              <w:rPr>
                <w:sz w:val="20"/>
              </w:rPr>
            </w:pPr>
            <w:r w:rsidRPr="007A5B06">
              <w:rPr>
                <w:sz w:val="20"/>
              </w:rPr>
              <w:t>Qty</w:t>
            </w:r>
          </w:p>
        </w:tc>
        <w:tc>
          <w:tcPr>
            <w:tcW w:w="492" w:type="pct"/>
            <w:tcBorders>
              <w:bottom w:val="single" w:sz="4" w:space="0" w:color="auto"/>
            </w:tcBorders>
          </w:tcPr>
          <w:p w:rsidR="00A93C4D" w:rsidRPr="007A5B06" w:rsidRDefault="00A93C4D" w:rsidP="00A93C4D">
            <w:pPr>
              <w:keepNext/>
              <w:jc w:val="center"/>
              <w:rPr>
                <w:sz w:val="20"/>
              </w:rPr>
            </w:pPr>
            <w:r w:rsidRPr="007A5B06">
              <w:rPr>
                <w:sz w:val="20"/>
              </w:rPr>
              <w:t>№.of</w:t>
            </w:r>
          </w:p>
          <w:p w:rsidR="00A93C4D" w:rsidRPr="007A5B06" w:rsidRDefault="00A93C4D" w:rsidP="00A93C4D">
            <w:pPr>
              <w:keepNext/>
              <w:jc w:val="center"/>
              <w:rPr>
                <w:sz w:val="20"/>
              </w:rPr>
            </w:pPr>
            <w:r w:rsidRPr="007A5B06">
              <w:rPr>
                <w:sz w:val="20"/>
              </w:rPr>
              <w:t>Rpts</w:t>
            </w:r>
          </w:p>
        </w:tc>
        <w:tc>
          <w:tcPr>
            <w:tcW w:w="990" w:type="pct"/>
            <w:tcBorders>
              <w:bottom w:val="single" w:sz="4" w:space="0" w:color="auto"/>
            </w:tcBorders>
          </w:tcPr>
          <w:p w:rsidR="00A93C4D" w:rsidRPr="007A5B06" w:rsidRDefault="00A93C4D" w:rsidP="00A93C4D">
            <w:pPr>
              <w:keepNext/>
              <w:jc w:val="center"/>
              <w:rPr>
                <w:sz w:val="20"/>
                <w:vertAlign w:val="superscript"/>
              </w:rPr>
            </w:pPr>
            <w:r w:rsidRPr="007A5B06">
              <w:rPr>
                <w:sz w:val="20"/>
              </w:rPr>
              <w:t>Dispensed Price for Max. Qty</w:t>
            </w:r>
            <w:r w:rsidRPr="007A5B06">
              <w:rPr>
                <w:sz w:val="20"/>
                <w:vertAlign w:val="superscript"/>
              </w:rPr>
              <w:t>a</w:t>
            </w:r>
          </w:p>
        </w:tc>
        <w:tc>
          <w:tcPr>
            <w:tcW w:w="1290" w:type="pct"/>
            <w:gridSpan w:val="2"/>
            <w:tcBorders>
              <w:bottom w:val="single" w:sz="4" w:space="0" w:color="auto"/>
            </w:tcBorders>
          </w:tcPr>
          <w:p w:rsidR="00A93C4D" w:rsidRPr="007A5B06" w:rsidRDefault="00A93C4D" w:rsidP="00A93C4D">
            <w:pPr>
              <w:keepNext/>
              <w:jc w:val="center"/>
              <w:rPr>
                <w:sz w:val="20"/>
                <w:lang w:val="fr-FR"/>
              </w:rPr>
            </w:pPr>
            <w:r w:rsidRPr="007A5B06">
              <w:rPr>
                <w:sz w:val="20"/>
              </w:rPr>
              <w:t>Proprietary Name and Manufacturer</w:t>
            </w:r>
          </w:p>
        </w:tc>
      </w:tr>
      <w:tr w:rsidR="00A93C4D" w:rsidRPr="00E229C3" w:rsidTr="00A93C4D">
        <w:trPr>
          <w:cantSplit/>
          <w:trHeight w:val="516"/>
        </w:trPr>
        <w:tc>
          <w:tcPr>
            <w:tcW w:w="1905" w:type="pct"/>
          </w:tcPr>
          <w:p w:rsidR="007A5B06" w:rsidRPr="00260CE3" w:rsidRDefault="007A5B06" w:rsidP="007A5B06">
            <w:pPr>
              <w:keepNext/>
              <w:rPr>
                <w:rFonts w:ascii="Arial Narrow" w:hAnsi="Arial Narrow"/>
                <w:sz w:val="20"/>
              </w:rPr>
            </w:pPr>
            <w:r>
              <w:rPr>
                <w:rFonts w:ascii="Arial Narrow" w:hAnsi="Arial Narrow"/>
                <w:smallCaps/>
                <w:sz w:val="20"/>
              </w:rPr>
              <w:t xml:space="preserve">Dexamethasone </w:t>
            </w:r>
          </w:p>
          <w:p w:rsidR="00A93C4D" w:rsidRPr="007A5B06" w:rsidRDefault="007A5B06" w:rsidP="007A5B06">
            <w:pPr>
              <w:keepNext/>
              <w:rPr>
                <w:sz w:val="20"/>
                <w:highlight w:val="yellow"/>
              </w:rPr>
            </w:pPr>
            <w:r w:rsidRPr="00DA257C">
              <w:rPr>
                <w:rFonts w:ascii="Arial Narrow" w:hAnsi="Arial Narrow"/>
                <w:sz w:val="20"/>
              </w:rPr>
              <w:t>700</w:t>
            </w:r>
            <w:r>
              <w:rPr>
                <w:rFonts w:ascii="Arial Narrow" w:hAnsi="Arial Narrow"/>
                <w:sz w:val="20"/>
              </w:rPr>
              <w:t> </w:t>
            </w:r>
            <w:r w:rsidRPr="00DA257C">
              <w:rPr>
                <w:rFonts w:ascii="Arial Narrow" w:hAnsi="Arial Narrow"/>
                <w:sz w:val="20"/>
              </w:rPr>
              <w:t>microgram implant, 1</w:t>
            </w:r>
          </w:p>
        </w:tc>
        <w:tc>
          <w:tcPr>
            <w:tcW w:w="323" w:type="pct"/>
          </w:tcPr>
          <w:p w:rsidR="00A93C4D" w:rsidRPr="007A5B06" w:rsidRDefault="00A93C4D" w:rsidP="00A93C4D">
            <w:pPr>
              <w:keepNext/>
              <w:jc w:val="center"/>
              <w:rPr>
                <w:sz w:val="20"/>
              </w:rPr>
            </w:pPr>
          </w:p>
          <w:p w:rsidR="00A93C4D" w:rsidRPr="007A5B06" w:rsidRDefault="00A93C4D" w:rsidP="00A93C4D">
            <w:pPr>
              <w:keepNext/>
              <w:jc w:val="center"/>
              <w:rPr>
                <w:sz w:val="20"/>
              </w:rPr>
            </w:pPr>
            <w:r w:rsidRPr="007A5B06">
              <w:rPr>
                <w:sz w:val="20"/>
              </w:rPr>
              <w:t>1</w:t>
            </w:r>
          </w:p>
        </w:tc>
        <w:tc>
          <w:tcPr>
            <w:tcW w:w="492" w:type="pct"/>
          </w:tcPr>
          <w:p w:rsidR="00A93C4D" w:rsidRPr="007A5B06" w:rsidRDefault="00A93C4D" w:rsidP="00A93C4D">
            <w:pPr>
              <w:keepNext/>
              <w:jc w:val="center"/>
              <w:rPr>
                <w:sz w:val="20"/>
              </w:rPr>
            </w:pPr>
          </w:p>
          <w:p w:rsidR="00A93C4D" w:rsidRPr="007A5B06" w:rsidRDefault="00A93C4D" w:rsidP="00A93C4D">
            <w:pPr>
              <w:keepNext/>
              <w:jc w:val="center"/>
              <w:rPr>
                <w:sz w:val="20"/>
              </w:rPr>
            </w:pPr>
            <w:r w:rsidRPr="007A5B06">
              <w:rPr>
                <w:sz w:val="20"/>
              </w:rPr>
              <w:t>1</w:t>
            </w:r>
          </w:p>
        </w:tc>
        <w:tc>
          <w:tcPr>
            <w:tcW w:w="990" w:type="pct"/>
          </w:tcPr>
          <w:p w:rsidR="00A93C4D" w:rsidRPr="00E229C3" w:rsidRDefault="00A93C4D" w:rsidP="00A93C4D">
            <w:pPr>
              <w:keepNext/>
              <w:jc w:val="center"/>
              <w:rPr>
                <w:sz w:val="20"/>
              </w:rPr>
            </w:pPr>
          </w:p>
          <w:p w:rsidR="00A93C4D" w:rsidRPr="00E229C3" w:rsidRDefault="00A93C4D" w:rsidP="00CF6585">
            <w:pPr>
              <w:keepNext/>
              <w:jc w:val="center"/>
              <w:rPr>
                <w:i/>
                <w:sz w:val="20"/>
              </w:rPr>
            </w:pPr>
            <w:r w:rsidRPr="00E229C3">
              <w:rPr>
                <w:sz w:val="20"/>
              </w:rPr>
              <w:t>$</w:t>
            </w:r>
            <w:r w:rsidR="008B6DFF">
              <w:rPr>
                <w:noProof/>
                <w:color w:val="000000"/>
                <w:sz w:val="20"/>
                <w:highlight w:val="black"/>
              </w:rPr>
              <w:t>''''''''''''''''''''''</w:t>
            </w:r>
            <w:r w:rsidRPr="00E229C3">
              <w:rPr>
                <w:i/>
                <w:sz w:val="20"/>
              </w:rPr>
              <w:t xml:space="preserve"> </w:t>
            </w:r>
          </w:p>
        </w:tc>
        <w:tc>
          <w:tcPr>
            <w:tcW w:w="547" w:type="pct"/>
          </w:tcPr>
          <w:p w:rsidR="00A93C4D" w:rsidRPr="00E229C3" w:rsidRDefault="00A93C4D" w:rsidP="00A93C4D">
            <w:pPr>
              <w:keepNext/>
              <w:jc w:val="center"/>
              <w:rPr>
                <w:sz w:val="20"/>
              </w:rPr>
            </w:pPr>
            <w:r w:rsidRPr="00E229C3">
              <w:rPr>
                <w:sz w:val="20"/>
              </w:rPr>
              <w:t>Ozurdex</w:t>
            </w:r>
            <w:r w:rsidRPr="00E229C3">
              <w:rPr>
                <w:sz w:val="20"/>
                <w:vertAlign w:val="superscript"/>
              </w:rPr>
              <w:t>®</w:t>
            </w:r>
          </w:p>
        </w:tc>
        <w:tc>
          <w:tcPr>
            <w:tcW w:w="743" w:type="pct"/>
          </w:tcPr>
          <w:p w:rsidR="00A93C4D" w:rsidRPr="00E229C3" w:rsidRDefault="00A93C4D" w:rsidP="00A93C4D">
            <w:pPr>
              <w:keepNext/>
              <w:jc w:val="center"/>
              <w:rPr>
                <w:sz w:val="20"/>
              </w:rPr>
            </w:pPr>
            <w:r w:rsidRPr="00E229C3">
              <w:rPr>
                <w:sz w:val="20"/>
              </w:rPr>
              <w:t>Allergan</w:t>
            </w:r>
          </w:p>
        </w:tc>
      </w:tr>
      <w:tr w:rsidR="00A93C4D" w:rsidRPr="00E229C3" w:rsidTr="00416966">
        <w:trPr>
          <w:cantSplit/>
          <w:trHeight w:val="322"/>
        </w:trPr>
        <w:tc>
          <w:tcPr>
            <w:tcW w:w="5000" w:type="pct"/>
            <w:gridSpan w:val="6"/>
            <w:shd w:val="clear" w:color="auto" w:fill="auto"/>
          </w:tcPr>
          <w:p w:rsidR="00A93C4D" w:rsidRPr="00E229C3" w:rsidRDefault="00A93C4D" w:rsidP="00A93C4D">
            <w:pPr>
              <w:rPr>
                <w:rFonts w:ascii="Arial Narrow" w:hAnsi="Arial Narrow"/>
                <w:sz w:val="20"/>
              </w:rPr>
            </w:pPr>
            <w:r w:rsidRPr="00E229C3">
              <w:rPr>
                <w:rFonts w:ascii="Arial Narrow" w:hAnsi="Arial Narrow"/>
                <w:sz w:val="20"/>
                <w:vertAlign w:val="superscript"/>
              </w:rPr>
              <w:t>a</w:t>
            </w:r>
            <w:r w:rsidR="0033392B" w:rsidRPr="00E229C3">
              <w:rPr>
                <w:rFonts w:ascii="Arial Narrow" w:hAnsi="Arial Narrow"/>
                <w:sz w:val="20"/>
                <w:vertAlign w:val="superscript"/>
              </w:rPr>
              <w:t xml:space="preserve"> </w:t>
            </w:r>
            <w:r w:rsidRPr="00E229C3">
              <w:rPr>
                <w:rFonts w:ascii="Arial Narrow" w:hAnsi="Arial Narrow"/>
                <w:sz w:val="20"/>
              </w:rPr>
              <w:t>Published price. Note: Special pricing arrangements are proposed.</w:t>
            </w:r>
          </w:p>
          <w:p w:rsidR="00521475" w:rsidRPr="00E229C3" w:rsidRDefault="00521475" w:rsidP="00E229C3">
            <w:pPr>
              <w:rPr>
                <w:sz w:val="20"/>
              </w:rPr>
            </w:pPr>
          </w:p>
        </w:tc>
      </w:tr>
    </w:tbl>
    <w:p w:rsidR="00521475" w:rsidRPr="00521475" w:rsidRDefault="00521475" w:rsidP="00CA6CE0">
      <w:pPr>
        <w:keepNext/>
        <w:ind w:firstLine="720"/>
        <w:rPr>
          <w:sz w:val="20"/>
        </w:rPr>
      </w:pPr>
      <w:r w:rsidRPr="00521475">
        <w:rPr>
          <w:b/>
          <w:sz w:val="20"/>
          <w:u w:val="single"/>
        </w:rPr>
        <w:t>Authority required General Schedule</w:t>
      </w:r>
    </w:p>
    <w:p w:rsidR="00521475" w:rsidRDefault="00521475" w:rsidP="00521475">
      <w:pPr>
        <w:rPr>
          <w:szCs w:val="22"/>
        </w:rPr>
      </w:pPr>
    </w:p>
    <w:tbl>
      <w:tblPr>
        <w:tblW w:w="4524" w:type="pct"/>
        <w:tblInd w:w="817" w:type="dxa"/>
        <w:tblLayout w:type="fixed"/>
        <w:tblLook w:val="0000" w:firstRow="0" w:lastRow="0" w:firstColumn="0" w:lastColumn="0" w:noHBand="0" w:noVBand="0"/>
      </w:tblPr>
      <w:tblGrid>
        <w:gridCol w:w="2135"/>
        <w:gridCol w:w="6228"/>
      </w:tblGrid>
      <w:tr w:rsidR="00521475" w:rsidRPr="00260CE3" w:rsidTr="00C1589F">
        <w:trPr>
          <w:cantSplit/>
          <w:trHeight w:val="360"/>
        </w:trPr>
        <w:tc>
          <w:tcPr>
            <w:tcW w:w="2135" w:type="dxa"/>
            <w:tcBorders>
              <w:top w:val="single" w:sz="4" w:space="0" w:color="auto"/>
              <w:left w:val="single" w:sz="4" w:space="0" w:color="auto"/>
              <w:bottom w:val="single" w:sz="4" w:space="0" w:color="auto"/>
              <w:right w:val="single" w:sz="4" w:space="0" w:color="auto"/>
            </w:tcBorders>
          </w:tcPr>
          <w:p w:rsidR="00521475" w:rsidRPr="005B5CAD" w:rsidRDefault="00521475" w:rsidP="005141FA">
            <w:pPr>
              <w:rPr>
                <w:rFonts w:ascii="Arial Narrow" w:hAnsi="Arial Narrow"/>
                <w:b/>
                <w:sz w:val="20"/>
              </w:rPr>
            </w:pPr>
            <w:r w:rsidRPr="00260CE3">
              <w:rPr>
                <w:rFonts w:ascii="Arial Narrow" w:hAnsi="Arial Narrow"/>
                <w:b/>
                <w:sz w:val="20"/>
              </w:rPr>
              <w:t>PBS Indication:</w:t>
            </w:r>
          </w:p>
        </w:tc>
        <w:tc>
          <w:tcPr>
            <w:tcW w:w="6228" w:type="dxa"/>
            <w:tcBorders>
              <w:top w:val="single" w:sz="4" w:space="0" w:color="auto"/>
              <w:left w:val="single" w:sz="4" w:space="0" w:color="auto"/>
              <w:bottom w:val="single" w:sz="4" w:space="0" w:color="auto"/>
              <w:right w:val="single" w:sz="4" w:space="0" w:color="auto"/>
            </w:tcBorders>
          </w:tcPr>
          <w:p w:rsidR="00521475" w:rsidRPr="00260CE3" w:rsidRDefault="00521475" w:rsidP="005141FA">
            <w:pPr>
              <w:rPr>
                <w:rFonts w:ascii="Arial Narrow" w:hAnsi="Arial Narrow"/>
                <w:sz w:val="20"/>
              </w:rPr>
            </w:pPr>
            <w:r>
              <w:rPr>
                <w:rFonts w:ascii="Arial Narrow" w:hAnsi="Arial Narrow"/>
                <w:sz w:val="20"/>
              </w:rPr>
              <w:t>Diabetic macular oedema (DMO)</w:t>
            </w:r>
          </w:p>
        </w:tc>
      </w:tr>
      <w:tr w:rsidR="00521475" w:rsidRPr="00260CE3" w:rsidTr="00C1589F">
        <w:trPr>
          <w:cantSplit/>
          <w:trHeight w:val="360"/>
        </w:trPr>
        <w:tc>
          <w:tcPr>
            <w:tcW w:w="2135" w:type="dxa"/>
            <w:tcBorders>
              <w:top w:val="single" w:sz="4" w:space="0" w:color="auto"/>
              <w:left w:val="single" w:sz="4" w:space="0" w:color="auto"/>
              <w:bottom w:val="single" w:sz="4" w:space="0" w:color="auto"/>
              <w:right w:val="single" w:sz="4" w:space="0" w:color="auto"/>
            </w:tcBorders>
          </w:tcPr>
          <w:p w:rsidR="00521475" w:rsidRPr="00260CE3" w:rsidRDefault="00521475" w:rsidP="005141FA">
            <w:pPr>
              <w:rPr>
                <w:rFonts w:ascii="Arial Narrow" w:hAnsi="Arial Narrow"/>
                <w:i/>
                <w:sz w:val="20"/>
              </w:rPr>
            </w:pPr>
            <w:r w:rsidRPr="00260CE3">
              <w:rPr>
                <w:rFonts w:ascii="Arial Narrow" w:hAnsi="Arial Narrow"/>
                <w:b/>
                <w:sz w:val="20"/>
              </w:rPr>
              <w:t>Treatment phase:</w:t>
            </w:r>
          </w:p>
        </w:tc>
        <w:tc>
          <w:tcPr>
            <w:tcW w:w="6228" w:type="dxa"/>
            <w:tcBorders>
              <w:top w:val="single" w:sz="4" w:space="0" w:color="auto"/>
              <w:left w:val="single" w:sz="4" w:space="0" w:color="auto"/>
              <w:bottom w:val="single" w:sz="4" w:space="0" w:color="auto"/>
              <w:right w:val="single" w:sz="4" w:space="0" w:color="auto"/>
            </w:tcBorders>
          </w:tcPr>
          <w:p w:rsidR="00521475" w:rsidRPr="00260CE3" w:rsidRDefault="00521475" w:rsidP="005141FA">
            <w:pPr>
              <w:rPr>
                <w:rFonts w:ascii="Arial Narrow" w:hAnsi="Arial Narrow"/>
                <w:sz w:val="20"/>
              </w:rPr>
            </w:pPr>
            <w:r>
              <w:rPr>
                <w:rFonts w:ascii="Arial Narrow" w:hAnsi="Arial Narrow"/>
                <w:sz w:val="20"/>
              </w:rPr>
              <w:t>Initial</w:t>
            </w:r>
          </w:p>
        </w:tc>
      </w:tr>
      <w:tr w:rsidR="00521475" w:rsidRPr="00260CE3" w:rsidTr="00C1589F">
        <w:trPr>
          <w:cantSplit/>
          <w:trHeight w:val="360"/>
        </w:trPr>
        <w:tc>
          <w:tcPr>
            <w:tcW w:w="2135" w:type="dxa"/>
            <w:tcBorders>
              <w:top w:val="single" w:sz="4" w:space="0" w:color="auto"/>
              <w:left w:val="single" w:sz="4" w:space="0" w:color="auto"/>
              <w:bottom w:val="single" w:sz="4" w:space="0" w:color="auto"/>
              <w:right w:val="single" w:sz="4" w:space="0" w:color="auto"/>
            </w:tcBorders>
          </w:tcPr>
          <w:p w:rsidR="00521475" w:rsidRPr="00B97C57" w:rsidRDefault="00521475" w:rsidP="005141FA">
            <w:pPr>
              <w:rPr>
                <w:rFonts w:ascii="Arial Narrow" w:hAnsi="Arial Narrow"/>
                <w:b/>
                <w:sz w:val="20"/>
              </w:rPr>
            </w:pPr>
            <w:r w:rsidRPr="00260CE3">
              <w:rPr>
                <w:rFonts w:ascii="Arial Narrow" w:hAnsi="Arial Narrow"/>
                <w:b/>
                <w:sz w:val="20"/>
              </w:rPr>
              <w:t>Treatment criteria:</w:t>
            </w:r>
          </w:p>
        </w:tc>
        <w:tc>
          <w:tcPr>
            <w:tcW w:w="6228" w:type="dxa"/>
            <w:tcBorders>
              <w:top w:val="single" w:sz="4" w:space="0" w:color="auto"/>
              <w:left w:val="single" w:sz="4" w:space="0" w:color="auto"/>
              <w:bottom w:val="single" w:sz="4" w:space="0" w:color="auto"/>
              <w:right w:val="single" w:sz="4" w:space="0" w:color="auto"/>
            </w:tcBorders>
          </w:tcPr>
          <w:p w:rsidR="00521475" w:rsidRPr="00260CE3" w:rsidRDefault="00521475" w:rsidP="005141FA">
            <w:pPr>
              <w:rPr>
                <w:rFonts w:ascii="Arial Narrow" w:hAnsi="Arial Narrow"/>
                <w:sz w:val="20"/>
              </w:rPr>
            </w:pPr>
            <w:r w:rsidRPr="009007F8">
              <w:rPr>
                <w:rFonts w:ascii="Arial Narrow" w:hAnsi="Arial Narrow"/>
                <w:sz w:val="20"/>
              </w:rPr>
              <w:t>Must be treated by an ophthalmologist.</w:t>
            </w:r>
          </w:p>
        </w:tc>
      </w:tr>
      <w:tr w:rsidR="00521475" w:rsidRPr="00260CE3" w:rsidTr="00C1589F">
        <w:trPr>
          <w:cantSplit/>
          <w:trHeight w:val="360"/>
        </w:trPr>
        <w:tc>
          <w:tcPr>
            <w:tcW w:w="2135" w:type="dxa"/>
            <w:tcBorders>
              <w:top w:val="single" w:sz="4" w:space="0" w:color="auto"/>
              <w:left w:val="single" w:sz="4" w:space="0" w:color="auto"/>
              <w:bottom w:val="single" w:sz="4" w:space="0" w:color="auto"/>
              <w:right w:val="single" w:sz="4" w:space="0" w:color="auto"/>
            </w:tcBorders>
          </w:tcPr>
          <w:p w:rsidR="00521475" w:rsidRPr="00260CE3" w:rsidRDefault="00521475" w:rsidP="005141FA">
            <w:pPr>
              <w:rPr>
                <w:rFonts w:ascii="Arial Narrow" w:hAnsi="Arial Narrow"/>
                <w:sz w:val="20"/>
              </w:rPr>
            </w:pPr>
            <w:r w:rsidRPr="00260CE3">
              <w:rPr>
                <w:rFonts w:ascii="Arial Narrow" w:hAnsi="Arial Narrow"/>
                <w:b/>
                <w:sz w:val="20"/>
              </w:rPr>
              <w:lastRenderedPageBreak/>
              <w:t>Clinical criteria:</w:t>
            </w:r>
          </w:p>
        </w:tc>
        <w:tc>
          <w:tcPr>
            <w:tcW w:w="6228" w:type="dxa"/>
            <w:tcBorders>
              <w:top w:val="single" w:sz="4" w:space="0" w:color="auto"/>
              <w:left w:val="single" w:sz="4" w:space="0" w:color="auto"/>
              <w:bottom w:val="single" w:sz="4" w:space="0" w:color="auto"/>
              <w:right w:val="single" w:sz="4" w:space="0" w:color="auto"/>
            </w:tcBorders>
          </w:tcPr>
          <w:p w:rsidR="00521475" w:rsidRDefault="00521475" w:rsidP="005141FA">
            <w:pPr>
              <w:rPr>
                <w:rFonts w:ascii="Arial Narrow" w:hAnsi="Arial Narrow"/>
                <w:sz w:val="20"/>
              </w:rPr>
            </w:pPr>
            <w:r w:rsidRPr="00B97C57">
              <w:rPr>
                <w:rFonts w:ascii="Arial Narrow" w:hAnsi="Arial Narrow"/>
                <w:sz w:val="20"/>
              </w:rPr>
              <w:t>Patient must have visual impairment due to diabetic macular oedema,</w:t>
            </w:r>
          </w:p>
          <w:p w:rsidR="00521475" w:rsidRDefault="00521475" w:rsidP="005141FA">
            <w:pPr>
              <w:rPr>
                <w:rFonts w:ascii="Arial Narrow" w:hAnsi="Arial Narrow"/>
                <w:sz w:val="20"/>
              </w:rPr>
            </w:pPr>
            <w:r>
              <w:rPr>
                <w:rFonts w:ascii="Arial Narrow" w:hAnsi="Arial Narrow"/>
                <w:sz w:val="20"/>
              </w:rPr>
              <w:t>AND</w:t>
            </w:r>
          </w:p>
          <w:p w:rsidR="00521475" w:rsidRDefault="00521475" w:rsidP="005141FA">
            <w:pPr>
              <w:rPr>
                <w:rFonts w:ascii="Arial Narrow" w:hAnsi="Arial Narrow"/>
                <w:sz w:val="20"/>
              </w:rPr>
            </w:pPr>
            <w:r w:rsidRPr="00B97C57">
              <w:rPr>
                <w:rFonts w:ascii="Arial Narrow" w:hAnsi="Arial Narrow"/>
                <w:sz w:val="20"/>
              </w:rPr>
              <w:t>Patient must have documented visual impairment defined as a best corrected visual acuity score between 78 and 39 letters based on the early treatment diabetic retinopathy study chart administered at a distance of 4 metres (approximate Snellen equivalent 20/32 to 20/160), in the eye proposed for treatment</w:t>
            </w:r>
            <w:r>
              <w:rPr>
                <w:rFonts w:ascii="Arial Narrow" w:hAnsi="Arial Narrow"/>
                <w:sz w:val="20"/>
              </w:rPr>
              <w:t>,</w:t>
            </w:r>
          </w:p>
          <w:p w:rsidR="00521475" w:rsidRDefault="00521475" w:rsidP="005141FA">
            <w:pPr>
              <w:rPr>
                <w:rFonts w:ascii="Arial Narrow" w:hAnsi="Arial Narrow"/>
                <w:sz w:val="20"/>
              </w:rPr>
            </w:pPr>
            <w:r w:rsidRPr="00B97C57">
              <w:rPr>
                <w:rFonts w:ascii="Arial Narrow" w:hAnsi="Arial Narrow"/>
                <w:sz w:val="20"/>
              </w:rPr>
              <w:t>AND</w:t>
            </w:r>
          </w:p>
          <w:p w:rsidR="00F2788D" w:rsidRDefault="003B0217" w:rsidP="00F2788D">
            <w:pPr>
              <w:rPr>
                <w:rFonts w:ascii="Arial Narrow" w:hAnsi="Arial Narrow"/>
                <w:sz w:val="20"/>
              </w:rPr>
            </w:pPr>
            <w:r w:rsidRPr="00811692">
              <w:rPr>
                <w:rFonts w:ascii="Arial Narrow" w:hAnsi="Arial Narrow"/>
                <w:i/>
                <w:sz w:val="20"/>
              </w:rPr>
              <w:t>The condition must be confirmed</w:t>
            </w:r>
            <w:r>
              <w:rPr>
                <w:rFonts w:ascii="Arial Narrow" w:hAnsi="Arial Narrow"/>
                <w:i/>
                <w:sz w:val="20"/>
              </w:rPr>
              <w:t xml:space="preserve"> by optical coherence tomography</w:t>
            </w:r>
            <w:r w:rsidR="00F2788D">
              <w:rPr>
                <w:rFonts w:ascii="Arial Narrow" w:hAnsi="Arial Narrow"/>
                <w:i/>
                <w:sz w:val="20"/>
              </w:rPr>
              <w:t>; OR</w:t>
            </w:r>
          </w:p>
          <w:p w:rsidR="00811692" w:rsidRPr="00811692" w:rsidRDefault="00F2788D" w:rsidP="00811692">
            <w:pPr>
              <w:rPr>
                <w:rFonts w:ascii="Arial Narrow" w:hAnsi="Arial Narrow"/>
                <w:sz w:val="20"/>
              </w:rPr>
            </w:pPr>
            <w:r>
              <w:rPr>
                <w:rFonts w:ascii="Arial Narrow" w:hAnsi="Arial Narrow"/>
                <w:sz w:val="20"/>
              </w:rPr>
              <w:t xml:space="preserve">The condition </w:t>
            </w:r>
            <w:r w:rsidRPr="003B0217">
              <w:rPr>
                <w:rFonts w:ascii="Arial Narrow" w:hAnsi="Arial Narrow"/>
                <w:sz w:val="20"/>
              </w:rPr>
              <w:t>must be</w:t>
            </w:r>
            <w:r>
              <w:rPr>
                <w:rFonts w:ascii="Arial Narrow" w:hAnsi="Arial Narrow"/>
                <w:i/>
                <w:sz w:val="20"/>
              </w:rPr>
              <w:t xml:space="preserve"> </w:t>
            </w:r>
            <w:r w:rsidR="00811692" w:rsidRPr="00811692">
              <w:rPr>
                <w:rFonts w:ascii="Arial Narrow" w:hAnsi="Arial Narrow"/>
                <w:strike/>
                <w:sz w:val="20"/>
              </w:rPr>
              <w:t xml:space="preserve">diagnosed </w:t>
            </w:r>
            <w:r w:rsidRPr="00811692">
              <w:rPr>
                <w:rFonts w:ascii="Arial Narrow" w:hAnsi="Arial Narrow"/>
                <w:i/>
                <w:sz w:val="20"/>
              </w:rPr>
              <w:t>confirmed</w:t>
            </w:r>
            <w:r w:rsidRPr="00F2788D">
              <w:rPr>
                <w:rFonts w:ascii="Arial Narrow" w:hAnsi="Arial Narrow"/>
                <w:sz w:val="20"/>
              </w:rPr>
              <w:t xml:space="preserve"> by </w:t>
            </w:r>
            <w:r w:rsidR="00521475" w:rsidRPr="00F2788D">
              <w:rPr>
                <w:rFonts w:ascii="Arial Narrow" w:hAnsi="Arial Narrow"/>
                <w:sz w:val="20"/>
              </w:rPr>
              <w:t>fluorescein angiography</w:t>
            </w:r>
            <w:r w:rsidR="00811692" w:rsidRPr="00B83071">
              <w:rPr>
                <w:rFonts w:ascii="Arial Narrow" w:hAnsi="Arial Narrow"/>
                <w:strike/>
                <w:sz w:val="20"/>
              </w:rPr>
              <w:t>; OR</w:t>
            </w:r>
          </w:p>
          <w:p w:rsidR="00811692" w:rsidRDefault="00811692" w:rsidP="00811692">
            <w:pPr>
              <w:rPr>
                <w:rFonts w:ascii="Arial Narrow" w:hAnsi="Arial Narrow"/>
                <w:sz w:val="20"/>
              </w:rPr>
            </w:pPr>
            <w:r w:rsidRPr="00B83071">
              <w:rPr>
                <w:rFonts w:ascii="Arial Narrow" w:hAnsi="Arial Narrow"/>
                <w:strike/>
                <w:sz w:val="20"/>
              </w:rPr>
              <w:t>Patient must have a contraindication to fluorescein angiography</w:t>
            </w:r>
            <w:r w:rsidRPr="00173ACA">
              <w:rPr>
                <w:rFonts w:ascii="Arial Narrow" w:hAnsi="Arial Narrow"/>
                <w:strike/>
                <w:sz w:val="20"/>
              </w:rPr>
              <w:t>,</w:t>
            </w:r>
          </w:p>
          <w:p w:rsidR="00521475" w:rsidRPr="00B83071" w:rsidRDefault="00521475" w:rsidP="005141FA">
            <w:pPr>
              <w:rPr>
                <w:rFonts w:ascii="Arial Narrow" w:hAnsi="Arial Narrow"/>
                <w:i/>
                <w:sz w:val="20"/>
              </w:rPr>
            </w:pPr>
            <w:r w:rsidRPr="00B83071">
              <w:rPr>
                <w:rFonts w:ascii="Arial Narrow" w:hAnsi="Arial Narrow"/>
                <w:i/>
                <w:sz w:val="20"/>
              </w:rPr>
              <w:t>AND</w:t>
            </w:r>
          </w:p>
          <w:p w:rsidR="00521475" w:rsidRPr="00B83071" w:rsidRDefault="00521475" w:rsidP="005141FA">
            <w:pPr>
              <w:rPr>
                <w:rFonts w:ascii="Arial Narrow" w:hAnsi="Arial Narrow"/>
                <w:i/>
                <w:sz w:val="20"/>
              </w:rPr>
            </w:pPr>
            <w:r w:rsidRPr="00B83071">
              <w:rPr>
                <w:rFonts w:ascii="Arial Narrow" w:hAnsi="Arial Narrow"/>
                <w:i/>
                <w:sz w:val="20"/>
              </w:rPr>
              <w:t>Patient must be contraindicated, unsuitable for, or have failed prior treatment with vascular endothelial growth factor (VEGF) inhibitors,</w:t>
            </w:r>
          </w:p>
          <w:p w:rsidR="00521475" w:rsidRPr="00B83071" w:rsidRDefault="00521475" w:rsidP="005141FA">
            <w:pPr>
              <w:rPr>
                <w:rFonts w:ascii="Arial Narrow" w:hAnsi="Arial Narrow"/>
                <w:sz w:val="20"/>
              </w:rPr>
            </w:pPr>
            <w:r w:rsidRPr="00B83071">
              <w:rPr>
                <w:rFonts w:ascii="Arial Narrow" w:hAnsi="Arial Narrow"/>
                <w:sz w:val="20"/>
              </w:rPr>
              <w:t>AND</w:t>
            </w:r>
          </w:p>
          <w:p w:rsidR="00521475" w:rsidRPr="00B83071" w:rsidRDefault="00521475" w:rsidP="005141FA">
            <w:pPr>
              <w:rPr>
                <w:rFonts w:ascii="Arial Narrow" w:hAnsi="Arial Narrow"/>
                <w:i/>
                <w:sz w:val="20"/>
              </w:rPr>
            </w:pPr>
            <w:r w:rsidRPr="00B83071">
              <w:rPr>
                <w:rFonts w:ascii="Arial Narrow" w:hAnsi="Arial Narrow"/>
                <w:sz w:val="20"/>
              </w:rPr>
              <w:t xml:space="preserve">The treatment must be as monotherapy; </w:t>
            </w:r>
            <w:r w:rsidRPr="00B83071">
              <w:rPr>
                <w:rFonts w:ascii="Arial Narrow" w:hAnsi="Arial Narrow"/>
                <w:i/>
                <w:sz w:val="20"/>
              </w:rPr>
              <w:t xml:space="preserve">OR </w:t>
            </w:r>
          </w:p>
          <w:p w:rsidR="00521475" w:rsidRPr="00807C2E" w:rsidRDefault="00521475" w:rsidP="005141FA">
            <w:pPr>
              <w:rPr>
                <w:rFonts w:ascii="Arial Narrow" w:hAnsi="Arial Narrow"/>
                <w:i/>
                <w:sz w:val="20"/>
              </w:rPr>
            </w:pPr>
            <w:r w:rsidRPr="00B83071">
              <w:rPr>
                <w:rFonts w:ascii="Arial Narrow" w:hAnsi="Arial Narrow"/>
                <w:i/>
                <w:sz w:val="20"/>
              </w:rPr>
              <w:t>The treatment must be in combination with laser photocoagulation,</w:t>
            </w:r>
          </w:p>
          <w:p w:rsidR="00521475" w:rsidRDefault="00521475" w:rsidP="005141FA">
            <w:pPr>
              <w:rPr>
                <w:rFonts w:ascii="Arial Narrow" w:hAnsi="Arial Narrow"/>
                <w:sz w:val="20"/>
              </w:rPr>
            </w:pPr>
            <w:r w:rsidRPr="00B97C57">
              <w:rPr>
                <w:rFonts w:ascii="Arial Narrow" w:hAnsi="Arial Narrow"/>
                <w:sz w:val="20"/>
              </w:rPr>
              <w:t>AND</w:t>
            </w:r>
          </w:p>
          <w:p w:rsidR="00521475" w:rsidRPr="00260CE3" w:rsidRDefault="00521475" w:rsidP="005141FA">
            <w:pPr>
              <w:rPr>
                <w:rFonts w:ascii="Arial Narrow" w:hAnsi="Arial Narrow"/>
                <w:sz w:val="20"/>
              </w:rPr>
            </w:pPr>
            <w:r w:rsidRPr="00B97C57">
              <w:rPr>
                <w:rFonts w:ascii="Arial Narrow" w:hAnsi="Arial Narrow"/>
                <w:sz w:val="20"/>
              </w:rPr>
              <w:t>The treatment must be the sole PBS-subsidised therapy for this condition.</w:t>
            </w:r>
          </w:p>
        </w:tc>
      </w:tr>
      <w:tr w:rsidR="00521475" w:rsidRPr="00260CE3" w:rsidTr="00C1589F">
        <w:trPr>
          <w:cantSplit/>
          <w:trHeight w:val="236"/>
        </w:trPr>
        <w:tc>
          <w:tcPr>
            <w:tcW w:w="2135" w:type="dxa"/>
            <w:tcBorders>
              <w:top w:val="single" w:sz="4" w:space="0" w:color="auto"/>
              <w:left w:val="single" w:sz="4" w:space="0" w:color="auto"/>
              <w:bottom w:val="single" w:sz="4" w:space="0" w:color="auto"/>
              <w:right w:val="single" w:sz="4" w:space="0" w:color="auto"/>
            </w:tcBorders>
          </w:tcPr>
          <w:p w:rsidR="00521475" w:rsidRPr="00260CE3" w:rsidRDefault="00521475" w:rsidP="005141FA">
            <w:pPr>
              <w:rPr>
                <w:rFonts w:ascii="Arial Narrow" w:hAnsi="Arial Narrow"/>
                <w:sz w:val="20"/>
              </w:rPr>
            </w:pPr>
            <w:r w:rsidRPr="00260CE3">
              <w:rPr>
                <w:rFonts w:ascii="Arial Narrow" w:hAnsi="Arial Narrow"/>
                <w:b/>
                <w:sz w:val="20"/>
              </w:rPr>
              <w:t>Population criteria:</w:t>
            </w:r>
          </w:p>
        </w:tc>
        <w:tc>
          <w:tcPr>
            <w:tcW w:w="6228" w:type="dxa"/>
            <w:tcBorders>
              <w:top w:val="single" w:sz="4" w:space="0" w:color="auto"/>
              <w:left w:val="single" w:sz="4" w:space="0" w:color="auto"/>
              <w:bottom w:val="single" w:sz="4" w:space="0" w:color="auto"/>
              <w:right w:val="single" w:sz="4" w:space="0" w:color="auto"/>
            </w:tcBorders>
          </w:tcPr>
          <w:p w:rsidR="00521475" w:rsidRPr="00B97C57" w:rsidRDefault="00521475" w:rsidP="005141FA">
            <w:pPr>
              <w:rPr>
                <w:rFonts w:ascii="Arial Narrow" w:hAnsi="Arial Narrow"/>
                <w:sz w:val="20"/>
              </w:rPr>
            </w:pPr>
            <w:r w:rsidRPr="00B97C57">
              <w:rPr>
                <w:rFonts w:ascii="Arial Narrow" w:hAnsi="Arial Narrow"/>
                <w:sz w:val="20"/>
              </w:rPr>
              <w:t xml:space="preserve">Patient must have a pseudophakic lens in the </w:t>
            </w:r>
            <w:r w:rsidRPr="00CD19FA">
              <w:rPr>
                <w:rFonts w:ascii="Arial Narrow" w:hAnsi="Arial Narrow"/>
                <w:strike/>
                <w:sz w:val="20"/>
              </w:rPr>
              <w:t>treatment</w:t>
            </w:r>
            <w:r>
              <w:rPr>
                <w:rFonts w:ascii="Arial Narrow" w:hAnsi="Arial Narrow"/>
                <w:sz w:val="20"/>
              </w:rPr>
              <w:t xml:space="preserve"> </w:t>
            </w:r>
            <w:r w:rsidRPr="00CD19FA">
              <w:rPr>
                <w:rFonts w:ascii="Arial Narrow" w:hAnsi="Arial Narrow"/>
                <w:i/>
                <w:sz w:val="20"/>
              </w:rPr>
              <w:t>treated</w:t>
            </w:r>
            <w:r w:rsidRPr="00B97C57">
              <w:rPr>
                <w:rFonts w:ascii="Arial Narrow" w:hAnsi="Arial Narrow"/>
                <w:sz w:val="20"/>
              </w:rPr>
              <w:t xml:space="preserve"> eye; OR</w:t>
            </w:r>
          </w:p>
          <w:p w:rsidR="00521475" w:rsidRPr="00260CE3" w:rsidRDefault="00521475" w:rsidP="005141FA">
            <w:pPr>
              <w:rPr>
                <w:rFonts w:ascii="Arial Narrow" w:hAnsi="Arial Narrow"/>
                <w:sz w:val="20"/>
              </w:rPr>
            </w:pPr>
            <w:r w:rsidRPr="00B97C57">
              <w:rPr>
                <w:rFonts w:ascii="Arial Narrow" w:hAnsi="Arial Narrow"/>
                <w:sz w:val="20"/>
              </w:rPr>
              <w:t>Patient must be scheduled for cataract surgery</w:t>
            </w:r>
            <w:r>
              <w:rPr>
                <w:rFonts w:ascii="Arial Narrow" w:hAnsi="Arial Narrow"/>
                <w:sz w:val="20"/>
              </w:rPr>
              <w:t xml:space="preserve"> </w:t>
            </w:r>
            <w:r w:rsidRPr="00CD19FA">
              <w:rPr>
                <w:rFonts w:ascii="Arial Narrow" w:hAnsi="Arial Narrow"/>
                <w:i/>
                <w:sz w:val="20"/>
              </w:rPr>
              <w:t>in the treated eye</w:t>
            </w:r>
            <w:r w:rsidRPr="00CD19FA">
              <w:rPr>
                <w:rFonts w:ascii="Arial Narrow" w:hAnsi="Arial Narrow"/>
                <w:sz w:val="20"/>
              </w:rPr>
              <w:t>.</w:t>
            </w:r>
          </w:p>
        </w:tc>
      </w:tr>
      <w:tr w:rsidR="00521475" w:rsidRPr="00260CE3" w:rsidTr="00C1589F">
        <w:trPr>
          <w:cantSplit/>
          <w:trHeight w:val="360"/>
        </w:trPr>
        <w:tc>
          <w:tcPr>
            <w:tcW w:w="2135" w:type="dxa"/>
            <w:tcBorders>
              <w:top w:val="single" w:sz="4" w:space="0" w:color="auto"/>
              <w:left w:val="single" w:sz="4" w:space="0" w:color="auto"/>
              <w:bottom w:val="single" w:sz="4" w:space="0" w:color="auto"/>
              <w:right w:val="single" w:sz="4" w:space="0" w:color="auto"/>
            </w:tcBorders>
          </w:tcPr>
          <w:p w:rsidR="00521475" w:rsidRPr="00B97C57" w:rsidRDefault="00521475" w:rsidP="005141FA">
            <w:pPr>
              <w:rPr>
                <w:rFonts w:ascii="Arial Narrow" w:hAnsi="Arial Narrow"/>
                <w:b/>
                <w:sz w:val="20"/>
                <w:highlight w:val="yellow"/>
              </w:rPr>
            </w:pPr>
            <w:r w:rsidRPr="00633164">
              <w:rPr>
                <w:rFonts w:ascii="Arial Narrow" w:hAnsi="Arial Narrow"/>
                <w:b/>
                <w:sz w:val="20"/>
              </w:rPr>
              <w:t>Prescriber Instructions</w:t>
            </w:r>
          </w:p>
        </w:tc>
        <w:tc>
          <w:tcPr>
            <w:tcW w:w="6228" w:type="dxa"/>
            <w:tcBorders>
              <w:top w:val="single" w:sz="4" w:space="0" w:color="auto"/>
              <w:left w:val="single" w:sz="4" w:space="0" w:color="auto"/>
              <w:bottom w:val="single" w:sz="4" w:space="0" w:color="auto"/>
              <w:right w:val="single" w:sz="4" w:space="0" w:color="auto"/>
            </w:tcBorders>
          </w:tcPr>
          <w:p w:rsidR="00521475" w:rsidRPr="00F4353B" w:rsidRDefault="00521475" w:rsidP="005141FA">
            <w:pPr>
              <w:rPr>
                <w:rFonts w:ascii="Arial Narrow" w:hAnsi="Arial Narrow"/>
                <w:sz w:val="20"/>
              </w:rPr>
            </w:pPr>
            <w:r w:rsidRPr="00F4353B">
              <w:rPr>
                <w:rFonts w:ascii="Arial Narrow" w:hAnsi="Arial Narrow"/>
                <w:sz w:val="20"/>
              </w:rPr>
              <w:t>Authority approval for initial treatment of each eye must be sought.</w:t>
            </w:r>
          </w:p>
          <w:p w:rsidR="00521475" w:rsidRPr="00F4353B" w:rsidRDefault="00521475" w:rsidP="005141FA">
            <w:pPr>
              <w:rPr>
                <w:rFonts w:ascii="Arial Narrow" w:hAnsi="Arial Narrow"/>
                <w:sz w:val="20"/>
              </w:rPr>
            </w:pPr>
            <w:r w:rsidRPr="00F4353B">
              <w:rPr>
                <w:rFonts w:ascii="Arial Narrow" w:hAnsi="Arial Narrow"/>
                <w:sz w:val="20"/>
              </w:rPr>
              <w:t xml:space="preserve">The first authority application for each eye must be made in writing or by telephone. </w:t>
            </w:r>
          </w:p>
          <w:p w:rsidR="00521475" w:rsidRPr="00F4353B" w:rsidRDefault="00521475" w:rsidP="005141FA">
            <w:pPr>
              <w:rPr>
                <w:rFonts w:ascii="Arial Narrow" w:hAnsi="Arial Narrow"/>
                <w:sz w:val="20"/>
              </w:rPr>
            </w:pPr>
            <w:r w:rsidRPr="00F4353B">
              <w:rPr>
                <w:rFonts w:ascii="Arial Narrow" w:hAnsi="Arial Narrow"/>
                <w:sz w:val="20"/>
              </w:rPr>
              <w:t>A written application must include:</w:t>
            </w:r>
          </w:p>
          <w:p w:rsidR="00521475" w:rsidRPr="00F4353B" w:rsidRDefault="00521475" w:rsidP="005141FA">
            <w:pPr>
              <w:rPr>
                <w:rFonts w:ascii="Arial Narrow" w:hAnsi="Arial Narrow"/>
                <w:sz w:val="20"/>
              </w:rPr>
            </w:pPr>
            <w:r w:rsidRPr="00F4353B">
              <w:rPr>
                <w:rFonts w:ascii="Arial Narrow" w:hAnsi="Arial Narrow"/>
                <w:sz w:val="20"/>
              </w:rPr>
              <w:t>a) a completed authority prescription form;</w:t>
            </w:r>
          </w:p>
          <w:p w:rsidR="00521475" w:rsidRPr="00F4353B" w:rsidRDefault="00521475" w:rsidP="005141FA">
            <w:pPr>
              <w:rPr>
                <w:rFonts w:ascii="Arial Narrow" w:hAnsi="Arial Narrow"/>
                <w:sz w:val="20"/>
              </w:rPr>
            </w:pPr>
            <w:r w:rsidRPr="00F4353B">
              <w:rPr>
                <w:rFonts w:ascii="Arial Narrow" w:hAnsi="Arial Narrow"/>
                <w:sz w:val="20"/>
              </w:rPr>
              <w:t>b) a completed Diabetic Macular Oedema (DMO) - PBS Supporting Information Form; and</w:t>
            </w:r>
          </w:p>
          <w:p w:rsidR="00521475" w:rsidRPr="00F4353B" w:rsidRDefault="00521475" w:rsidP="005141FA">
            <w:pPr>
              <w:rPr>
                <w:rFonts w:ascii="Arial Narrow" w:hAnsi="Arial Narrow"/>
                <w:sz w:val="20"/>
              </w:rPr>
            </w:pPr>
            <w:r w:rsidRPr="00F4353B">
              <w:rPr>
                <w:rFonts w:ascii="Arial Narrow" w:hAnsi="Arial Narrow"/>
                <w:sz w:val="20"/>
              </w:rPr>
              <w:t xml:space="preserve">c) a copy of the </w:t>
            </w:r>
            <w:r w:rsidRPr="00173ACA">
              <w:rPr>
                <w:rFonts w:ascii="Arial Narrow" w:hAnsi="Arial Narrow"/>
                <w:i/>
                <w:sz w:val="20"/>
              </w:rPr>
              <w:t>optical coherence tomography report</w:t>
            </w:r>
            <w:r>
              <w:rPr>
                <w:rFonts w:ascii="Arial Narrow" w:hAnsi="Arial Narrow"/>
                <w:sz w:val="20"/>
              </w:rPr>
              <w:t xml:space="preserve"> </w:t>
            </w:r>
            <w:r w:rsidR="003B5D39" w:rsidRPr="003378D6">
              <w:rPr>
                <w:rFonts w:ascii="Arial Narrow" w:hAnsi="Arial Narrow"/>
                <w:i/>
                <w:sz w:val="20"/>
              </w:rPr>
              <w:t xml:space="preserve">or </w:t>
            </w:r>
            <w:r w:rsidRPr="003B5D39">
              <w:rPr>
                <w:rFonts w:ascii="Arial Narrow" w:hAnsi="Arial Narrow"/>
                <w:sz w:val="20"/>
              </w:rPr>
              <w:t>fluorescein angiogram</w:t>
            </w:r>
            <w:r w:rsidR="003378D6">
              <w:rPr>
                <w:rFonts w:ascii="Arial Narrow" w:hAnsi="Arial Narrow"/>
                <w:sz w:val="20"/>
              </w:rPr>
              <w:t xml:space="preserve"> </w:t>
            </w:r>
            <w:r w:rsidR="003378D6" w:rsidRPr="00173ACA">
              <w:rPr>
                <w:rFonts w:ascii="Arial Narrow" w:hAnsi="Arial Narrow"/>
                <w:strike/>
                <w:sz w:val="20"/>
              </w:rPr>
              <w:t>or alternative method of diagnosis where applicable</w:t>
            </w:r>
            <w:r w:rsidR="003378D6">
              <w:rPr>
                <w:rFonts w:ascii="Arial Narrow" w:hAnsi="Arial Narrow"/>
                <w:sz w:val="20"/>
              </w:rPr>
              <w:t>.</w:t>
            </w:r>
          </w:p>
          <w:p w:rsidR="00521475" w:rsidRPr="00F4353B" w:rsidRDefault="00521475" w:rsidP="005141FA">
            <w:pPr>
              <w:rPr>
                <w:rFonts w:ascii="Arial Narrow" w:hAnsi="Arial Narrow"/>
                <w:sz w:val="20"/>
              </w:rPr>
            </w:pPr>
            <w:r w:rsidRPr="00F4353B">
              <w:rPr>
                <w:rFonts w:ascii="Arial Narrow" w:hAnsi="Arial Narrow"/>
                <w:sz w:val="20"/>
              </w:rPr>
              <w:t xml:space="preserve">A telephone application must be made following submission by facsimile of a copy of a completed Diabetic Macular Oedema (DMO) - PBS Supporting Information Form and a copy of the </w:t>
            </w:r>
            <w:r w:rsidR="003B0217">
              <w:rPr>
                <w:rFonts w:ascii="Arial Narrow" w:hAnsi="Arial Narrow"/>
                <w:i/>
                <w:sz w:val="20"/>
              </w:rPr>
              <w:t xml:space="preserve">optical coherence tomography </w:t>
            </w:r>
            <w:r w:rsidR="003B5D39">
              <w:rPr>
                <w:rFonts w:ascii="Arial Narrow" w:hAnsi="Arial Narrow"/>
                <w:sz w:val="20"/>
              </w:rPr>
              <w:t xml:space="preserve">or </w:t>
            </w:r>
            <w:r w:rsidR="003B5D39" w:rsidRPr="003B5D39">
              <w:rPr>
                <w:rFonts w:ascii="Arial Narrow" w:hAnsi="Arial Narrow"/>
                <w:sz w:val="20"/>
              </w:rPr>
              <w:t xml:space="preserve">fluorescein angiogram </w:t>
            </w:r>
            <w:r w:rsidRPr="00F4353B">
              <w:rPr>
                <w:rFonts w:ascii="Arial Narrow" w:hAnsi="Arial Narrow"/>
                <w:sz w:val="20"/>
              </w:rPr>
              <w:t xml:space="preserve">report. The original documentation must be submitted to the Chief Executive Medicare by post after the application has been authorised. </w:t>
            </w:r>
          </w:p>
          <w:p w:rsidR="00521475" w:rsidRPr="00173ACA" w:rsidRDefault="00521475" w:rsidP="005141FA">
            <w:pPr>
              <w:rPr>
                <w:rFonts w:ascii="Arial Narrow" w:hAnsi="Arial Narrow"/>
                <w:strike/>
                <w:sz w:val="20"/>
              </w:rPr>
            </w:pPr>
            <w:r w:rsidRPr="00173ACA">
              <w:rPr>
                <w:rFonts w:ascii="Arial Narrow" w:hAnsi="Arial Narrow"/>
                <w:strike/>
                <w:sz w:val="20"/>
              </w:rPr>
              <w:t>Where a fluorescein angiogram cannot be performed due to a contraindication as listed in the TGA-approved product information, details of the contraindication must be provided. A copy of the report of an alternative method of diagnosis must be included in the application, for example optical coherence tomography or red free photography.</w:t>
            </w:r>
          </w:p>
        </w:tc>
      </w:tr>
      <w:tr w:rsidR="00521475" w:rsidRPr="00260CE3" w:rsidTr="00C1589F">
        <w:trPr>
          <w:cantSplit/>
          <w:trHeight w:val="360"/>
        </w:trPr>
        <w:tc>
          <w:tcPr>
            <w:tcW w:w="2135" w:type="dxa"/>
            <w:tcBorders>
              <w:top w:val="single" w:sz="4" w:space="0" w:color="auto"/>
              <w:left w:val="single" w:sz="4" w:space="0" w:color="auto"/>
              <w:bottom w:val="single" w:sz="4" w:space="0" w:color="auto"/>
              <w:right w:val="single" w:sz="4" w:space="0" w:color="auto"/>
            </w:tcBorders>
          </w:tcPr>
          <w:p w:rsidR="00521475" w:rsidRPr="00B97C57" w:rsidRDefault="00521475" w:rsidP="005141FA">
            <w:pPr>
              <w:rPr>
                <w:rFonts w:ascii="Arial Narrow" w:hAnsi="Arial Narrow"/>
                <w:i/>
                <w:sz w:val="20"/>
                <w:highlight w:val="yellow"/>
              </w:rPr>
            </w:pPr>
            <w:r w:rsidRPr="005073F4">
              <w:rPr>
                <w:rFonts w:ascii="Arial Narrow" w:hAnsi="Arial Narrow"/>
                <w:b/>
                <w:sz w:val="20"/>
              </w:rPr>
              <w:lastRenderedPageBreak/>
              <w:t>Administrative Advice</w:t>
            </w:r>
          </w:p>
        </w:tc>
        <w:tc>
          <w:tcPr>
            <w:tcW w:w="6228" w:type="dxa"/>
            <w:tcBorders>
              <w:top w:val="single" w:sz="4" w:space="0" w:color="auto"/>
              <w:left w:val="single" w:sz="4" w:space="0" w:color="auto"/>
              <w:bottom w:val="single" w:sz="4" w:space="0" w:color="auto"/>
              <w:right w:val="single" w:sz="4" w:space="0" w:color="auto"/>
            </w:tcBorders>
          </w:tcPr>
          <w:p w:rsidR="00521475" w:rsidRPr="00B83071" w:rsidRDefault="00521475" w:rsidP="005141FA">
            <w:pPr>
              <w:rPr>
                <w:rFonts w:ascii="Arial Narrow" w:hAnsi="Arial Narrow"/>
                <w:sz w:val="20"/>
                <w:u w:val="single"/>
              </w:rPr>
            </w:pPr>
            <w:r w:rsidRPr="00B83071">
              <w:rPr>
                <w:rFonts w:ascii="Arial Narrow" w:hAnsi="Arial Narrow"/>
                <w:sz w:val="20"/>
                <w:u w:val="single"/>
              </w:rPr>
              <w:t>Note</w:t>
            </w:r>
          </w:p>
          <w:p w:rsidR="00521475" w:rsidRPr="00B83071" w:rsidRDefault="00521475" w:rsidP="005141FA">
            <w:pPr>
              <w:rPr>
                <w:rFonts w:ascii="Arial Narrow" w:hAnsi="Arial Narrow"/>
                <w:sz w:val="20"/>
              </w:rPr>
            </w:pPr>
            <w:r w:rsidRPr="00B83071">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521475" w:rsidRPr="00B83071" w:rsidRDefault="00521475" w:rsidP="005141FA">
            <w:pPr>
              <w:rPr>
                <w:rFonts w:ascii="Arial Narrow" w:hAnsi="Arial Narrow"/>
                <w:sz w:val="20"/>
              </w:rPr>
            </w:pPr>
          </w:p>
          <w:p w:rsidR="00521475" w:rsidRPr="00B83071" w:rsidRDefault="00521475" w:rsidP="005141FA">
            <w:pPr>
              <w:rPr>
                <w:rFonts w:ascii="Arial Narrow" w:hAnsi="Arial Narrow"/>
                <w:sz w:val="20"/>
              </w:rPr>
            </w:pPr>
            <w:r w:rsidRPr="00B83071">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521475" w:rsidRPr="00B83071" w:rsidRDefault="00521475" w:rsidP="005141FA">
            <w:pPr>
              <w:rPr>
                <w:rFonts w:ascii="Arial Narrow" w:hAnsi="Arial Narrow"/>
                <w:sz w:val="20"/>
              </w:rPr>
            </w:pPr>
          </w:p>
          <w:p w:rsidR="00521475" w:rsidRPr="00B83071" w:rsidRDefault="00521475" w:rsidP="005141FA">
            <w:pPr>
              <w:rPr>
                <w:rFonts w:ascii="Arial Narrow" w:hAnsi="Arial Narrow"/>
                <w:sz w:val="20"/>
              </w:rPr>
            </w:pPr>
            <w:r w:rsidRPr="00B83071">
              <w:rPr>
                <w:rFonts w:ascii="Arial Narrow" w:hAnsi="Arial Narrow"/>
                <w:sz w:val="20"/>
              </w:rPr>
              <w:t>Applications for authority to prescribe should be forwarded to:</w:t>
            </w:r>
          </w:p>
          <w:p w:rsidR="00521475" w:rsidRPr="00B83071" w:rsidRDefault="00521475" w:rsidP="005141FA">
            <w:pPr>
              <w:rPr>
                <w:rFonts w:ascii="Arial Narrow" w:hAnsi="Arial Narrow"/>
                <w:sz w:val="20"/>
              </w:rPr>
            </w:pPr>
          </w:p>
          <w:p w:rsidR="00521475" w:rsidRPr="00B83071" w:rsidRDefault="00521475" w:rsidP="005141FA">
            <w:pPr>
              <w:rPr>
                <w:rFonts w:ascii="Arial Narrow" w:hAnsi="Arial Narrow"/>
                <w:sz w:val="20"/>
              </w:rPr>
            </w:pPr>
            <w:r w:rsidRPr="00B83071">
              <w:rPr>
                <w:rFonts w:ascii="Arial Narrow" w:hAnsi="Arial Narrow"/>
                <w:sz w:val="20"/>
              </w:rPr>
              <w:t xml:space="preserve">Department of Human Services </w:t>
            </w:r>
          </w:p>
          <w:p w:rsidR="00521475" w:rsidRPr="00B83071" w:rsidRDefault="00521475" w:rsidP="005141FA">
            <w:pPr>
              <w:rPr>
                <w:rFonts w:ascii="Arial Narrow" w:hAnsi="Arial Narrow"/>
                <w:sz w:val="20"/>
              </w:rPr>
            </w:pPr>
            <w:r w:rsidRPr="00B83071">
              <w:rPr>
                <w:rFonts w:ascii="Arial Narrow" w:hAnsi="Arial Narrow"/>
                <w:sz w:val="20"/>
              </w:rPr>
              <w:t>Prior Written Approval of Complex Drugs</w:t>
            </w:r>
          </w:p>
          <w:p w:rsidR="00521475" w:rsidRPr="00B83071" w:rsidRDefault="00521475" w:rsidP="005141FA">
            <w:pPr>
              <w:rPr>
                <w:rFonts w:ascii="Arial Narrow" w:hAnsi="Arial Narrow"/>
                <w:sz w:val="20"/>
              </w:rPr>
            </w:pPr>
            <w:r w:rsidRPr="00B83071">
              <w:rPr>
                <w:rFonts w:ascii="Arial Narrow" w:hAnsi="Arial Narrow"/>
                <w:sz w:val="20"/>
              </w:rPr>
              <w:t>Reply Paid 9826</w:t>
            </w:r>
          </w:p>
          <w:p w:rsidR="00521475" w:rsidRPr="00B83071" w:rsidRDefault="00521475" w:rsidP="005141FA">
            <w:pPr>
              <w:rPr>
                <w:rFonts w:ascii="Arial Narrow" w:hAnsi="Arial Narrow"/>
                <w:sz w:val="20"/>
              </w:rPr>
            </w:pPr>
            <w:r w:rsidRPr="00B83071">
              <w:rPr>
                <w:rFonts w:ascii="Arial Narrow" w:hAnsi="Arial Narrow"/>
                <w:sz w:val="20"/>
              </w:rPr>
              <w:t>HOBART TAS 7001</w:t>
            </w:r>
          </w:p>
          <w:p w:rsidR="00521475" w:rsidRPr="00B83071" w:rsidRDefault="00521475" w:rsidP="005141FA">
            <w:pPr>
              <w:rPr>
                <w:rFonts w:ascii="Arial Narrow" w:hAnsi="Arial Narrow"/>
                <w:sz w:val="20"/>
              </w:rPr>
            </w:pPr>
          </w:p>
          <w:p w:rsidR="00521475" w:rsidRPr="00B83071" w:rsidRDefault="00521475" w:rsidP="005141FA">
            <w:pPr>
              <w:rPr>
                <w:rFonts w:ascii="Arial Narrow" w:hAnsi="Arial Narrow"/>
                <w:sz w:val="20"/>
                <w:u w:val="single"/>
              </w:rPr>
            </w:pPr>
            <w:r w:rsidRPr="00B83071">
              <w:rPr>
                <w:rFonts w:ascii="Arial Narrow" w:hAnsi="Arial Narrow"/>
                <w:sz w:val="20"/>
                <w:u w:val="single"/>
              </w:rPr>
              <w:t>Note</w:t>
            </w:r>
          </w:p>
          <w:p w:rsidR="00521475" w:rsidRPr="00B83071" w:rsidRDefault="00521475" w:rsidP="005141FA">
            <w:pPr>
              <w:rPr>
                <w:rFonts w:ascii="Arial Narrow" w:hAnsi="Arial Narrow"/>
                <w:sz w:val="20"/>
              </w:rPr>
            </w:pPr>
            <w:r w:rsidRPr="00B83071">
              <w:rPr>
                <w:rFonts w:ascii="Arial Narrow" w:hAnsi="Arial Narrow"/>
                <w:sz w:val="20"/>
              </w:rPr>
              <w:t>The first authority application may be faxed to the Department of Human Services on 1300 093 177 (hours of operation 8 a.m. to 5 p.m. EST Monday to Friday). The Department will then contact the prescriber by telephone.</w:t>
            </w:r>
          </w:p>
          <w:p w:rsidR="00521475" w:rsidRPr="00B83071" w:rsidRDefault="00521475" w:rsidP="005141FA">
            <w:pPr>
              <w:rPr>
                <w:rFonts w:ascii="Arial Narrow" w:hAnsi="Arial Narrow"/>
                <w:sz w:val="20"/>
              </w:rPr>
            </w:pPr>
          </w:p>
          <w:p w:rsidR="00521475" w:rsidRPr="00B83071" w:rsidRDefault="00521475" w:rsidP="005141FA">
            <w:pPr>
              <w:rPr>
                <w:rFonts w:ascii="Arial Narrow" w:hAnsi="Arial Narrow"/>
                <w:i/>
                <w:sz w:val="20"/>
                <w:u w:val="single"/>
              </w:rPr>
            </w:pPr>
            <w:r w:rsidRPr="00B83071">
              <w:rPr>
                <w:rFonts w:ascii="Arial Narrow" w:hAnsi="Arial Narrow"/>
                <w:i/>
                <w:sz w:val="20"/>
                <w:u w:val="single"/>
              </w:rPr>
              <w:t>Note</w:t>
            </w:r>
          </w:p>
          <w:p w:rsidR="00521475" w:rsidRPr="00B83071" w:rsidRDefault="00521475" w:rsidP="005141FA">
            <w:pPr>
              <w:rPr>
                <w:rFonts w:ascii="Arial Narrow" w:hAnsi="Arial Narrow"/>
                <w:i/>
                <w:sz w:val="20"/>
              </w:rPr>
            </w:pPr>
            <w:r w:rsidRPr="00B83071">
              <w:rPr>
                <w:rFonts w:ascii="Arial Narrow" w:hAnsi="Arial Narrow"/>
                <w:i/>
                <w:sz w:val="20"/>
              </w:rPr>
              <w:t>Special Pricing Arrangements apply</w:t>
            </w:r>
            <w:r>
              <w:rPr>
                <w:rFonts w:ascii="Arial Narrow" w:hAnsi="Arial Narrow"/>
                <w:i/>
                <w:sz w:val="20"/>
              </w:rPr>
              <w:t>.</w:t>
            </w:r>
          </w:p>
        </w:tc>
      </w:tr>
    </w:tbl>
    <w:p w:rsidR="00521475" w:rsidRPr="00552722" w:rsidRDefault="00521475" w:rsidP="00521475">
      <w:pPr>
        <w:rPr>
          <w:szCs w:val="22"/>
        </w:rPr>
      </w:pPr>
    </w:p>
    <w:tbl>
      <w:tblPr>
        <w:tblW w:w="8363" w:type="dxa"/>
        <w:tblInd w:w="817" w:type="dxa"/>
        <w:tblLayout w:type="fixed"/>
        <w:tblLook w:val="0000" w:firstRow="0" w:lastRow="0" w:firstColumn="0" w:lastColumn="0" w:noHBand="0" w:noVBand="0"/>
      </w:tblPr>
      <w:tblGrid>
        <w:gridCol w:w="2126"/>
        <w:gridCol w:w="6237"/>
      </w:tblGrid>
      <w:tr w:rsidR="00521475" w:rsidRPr="00260CE3" w:rsidTr="00BC36B7">
        <w:trPr>
          <w:cantSplit/>
          <w:trHeight w:val="360"/>
        </w:trPr>
        <w:tc>
          <w:tcPr>
            <w:tcW w:w="2126" w:type="dxa"/>
            <w:tcBorders>
              <w:top w:val="single" w:sz="4" w:space="0" w:color="auto"/>
              <w:left w:val="single" w:sz="4" w:space="0" w:color="auto"/>
              <w:bottom w:val="single" w:sz="4" w:space="0" w:color="auto"/>
              <w:right w:val="single" w:sz="4" w:space="0" w:color="auto"/>
            </w:tcBorders>
          </w:tcPr>
          <w:p w:rsidR="00521475" w:rsidRPr="00636D14" w:rsidRDefault="00521475" w:rsidP="005141FA">
            <w:pPr>
              <w:rPr>
                <w:rFonts w:ascii="Arial Narrow" w:hAnsi="Arial Narrow"/>
                <w:b/>
                <w:sz w:val="20"/>
              </w:rPr>
            </w:pPr>
            <w:r w:rsidRPr="00260CE3">
              <w:rPr>
                <w:rFonts w:ascii="Arial Narrow" w:hAnsi="Arial Narrow"/>
                <w:b/>
                <w:sz w:val="20"/>
              </w:rPr>
              <w:t>PBS Indication:</w:t>
            </w:r>
          </w:p>
        </w:tc>
        <w:tc>
          <w:tcPr>
            <w:tcW w:w="6237" w:type="dxa"/>
            <w:tcBorders>
              <w:top w:val="single" w:sz="4" w:space="0" w:color="auto"/>
              <w:left w:val="single" w:sz="4" w:space="0" w:color="auto"/>
              <w:bottom w:val="single" w:sz="4" w:space="0" w:color="auto"/>
              <w:right w:val="single" w:sz="4" w:space="0" w:color="auto"/>
            </w:tcBorders>
          </w:tcPr>
          <w:p w:rsidR="00521475" w:rsidRPr="00260CE3" w:rsidRDefault="00521475" w:rsidP="005141FA">
            <w:pPr>
              <w:rPr>
                <w:rFonts w:ascii="Arial Narrow" w:hAnsi="Arial Narrow"/>
                <w:sz w:val="20"/>
              </w:rPr>
            </w:pPr>
            <w:r w:rsidRPr="00636D14">
              <w:rPr>
                <w:rFonts w:ascii="Arial Narrow" w:hAnsi="Arial Narrow"/>
                <w:sz w:val="20"/>
              </w:rPr>
              <w:t>Diabetic macular oedema (DMO)</w:t>
            </w:r>
          </w:p>
        </w:tc>
      </w:tr>
      <w:tr w:rsidR="00521475" w:rsidRPr="00260CE3" w:rsidTr="00BC36B7">
        <w:trPr>
          <w:cantSplit/>
          <w:trHeight w:val="360"/>
        </w:trPr>
        <w:tc>
          <w:tcPr>
            <w:tcW w:w="2126" w:type="dxa"/>
            <w:tcBorders>
              <w:top w:val="single" w:sz="4" w:space="0" w:color="auto"/>
              <w:left w:val="single" w:sz="4" w:space="0" w:color="auto"/>
              <w:bottom w:val="single" w:sz="4" w:space="0" w:color="auto"/>
              <w:right w:val="single" w:sz="4" w:space="0" w:color="auto"/>
            </w:tcBorders>
          </w:tcPr>
          <w:p w:rsidR="00521475" w:rsidRPr="00636D14" w:rsidRDefault="00521475" w:rsidP="005141FA">
            <w:pPr>
              <w:rPr>
                <w:rFonts w:ascii="Arial Narrow" w:hAnsi="Arial Narrow"/>
                <w:b/>
                <w:sz w:val="20"/>
              </w:rPr>
            </w:pPr>
            <w:r w:rsidRPr="00260CE3">
              <w:rPr>
                <w:rFonts w:ascii="Arial Narrow" w:hAnsi="Arial Narrow"/>
                <w:b/>
                <w:sz w:val="20"/>
              </w:rPr>
              <w:t>Treatment phase:</w:t>
            </w:r>
          </w:p>
        </w:tc>
        <w:tc>
          <w:tcPr>
            <w:tcW w:w="6237" w:type="dxa"/>
            <w:tcBorders>
              <w:top w:val="single" w:sz="4" w:space="0" w:color="auto"/>
              <w:left w:val="single" w:sz="4" w:space="0" w:color="auto"/>
              <w:bottom w:val="single" w:sz="4" w:space="0" w:color="auto"/>
              <w:right w:val="single" w:sz="4" w:space="0" w:color="auto"/>
            </w:tcBorders>
          </w:tcPr>
          <w:p w:rsidR="00521475" w:rsidRPr="00260CE3" w:rsidRDefault="00521475" w:rsidP="005141FA">
            <w:pPr>
              <w:rPr>
                <w:rFonts w:ascii="Arial Narrow" w:hAnsi="Arial Narrow"/>
                <w:sz w:val="20"/>
              </w:rPr>
            </w:pPr>
            <w:r>
              <w:rPr>
                <w:rFonts w:ascii="Arial Narrow" w:hAnsi="Arial Narrow"/>
                <w:sz w:val="20"/>
              </w:rPr>
              <w:t>Continuing</w:t>
            </w:r>
          </w:p>
        </w:tc>
      </w:tr>
      <w:tr w:rsidR="00521475" w:rsidRPr="00260CE3" w:rsidTr="00BC36B7">
        <w:trPr>
          <w:cantSplit/>
          <w:trHeight w:val="360"/>
        </w:trPr>
        <w:tc>
          <w:tcPr>
            <w:tcW w:w="2126" w:type="dxa"/>
            <w:tcBorders>
              <w:top w:val="single" w:sz="4" w:space="0" w:color="auto"/>
              <w:left w:val="single" w:sz="4" w:space="0" w:color="auto"/>
              <w:bottom w:val="single" w:sz="4" w:space="0" w:color="auto"/>
              <w:right w:val="single" w:sz="4" w:space="0" w:color="auto"/>
            </w:tcBorders>
          </w:tcPr>
          <w:p w:rsidR="00521475" w:rsidRPr="008D2A70" w:rsidRDefault="00521475" w:rsidP="005141FA">
            <w:pPr>
              <w:rPr>
                <w:rFonts w:ascii="Arial Narrow" w:hAnsi="Arial Narrow"/>
                <w:b/>
                <w:sz w:val="20"/>
              </w:rPr>
            </w:pPr>
            <w:r w:rsidRPr="00260CE3">
              <w:rPr>
                <w:rFonts w:ascii="Arial Narrow" w:hAnsi="Arial Narrow"/>
                <w:b/>
                <w:sz w:val="20"/>
              </w:rPr>
              <w:t>Treatment criteria:</w:t>
            </w:r>
          </w:p>
        </w:tc>
        <w:tc>
          <w:tcPr>
            <w:tcW w:w="6237" w:type="dxa"/>
            <w:tcBorders>
              <w:top w:val="single" w:sz="4" w:space="0" w:color="auto"/>
              <w:left w:val="single" w:sz="4" w:space="0" w:color="auto"/>
              <w:bottom w:val="single" w:sz="4" w:space="0" w:color="auto"/>
              <w:right w:val="single" w:sz="4" w:space="0" w:color="auto"/>
            </w:tcBorders>
          </w:tcPr>
          <w:p w:rsidR="00521475" w:rsidRPr="00260CE3" w:rsidRDefault="00521475" w:rsidP="005141FA">
            <w:pPr>
              <w:rPr>
                <w:rFonts w:ascii="Arial Narrow" w:hAnsi="Arial Narrow"/>
                <w:sz w:val="20"/>
              </w:rPr>
            </w:pPr>
            <w:r w:rsidRPr="008D2A70">
              <w:rPr>
                <w:rFonts w:ascii="Arial Narrow" w:hAnsi="Arial Narrow"/>
                <w:sz w:val="20"/>
              </w:rPr>
              <w:t>Must be treated by an ophthalmologist.</w:t>
            </w:r>
          </w:p>
        </w:tc>
      </w:tr>
      <w:tr w:rsidR="00521475" w:rsidRPr="00260CE3" w:rsidTr="00BC36B7">
        <w:trPr>
          <w:cantSplit/>
          <w:trHeight w:val="360"/>
        </w:trPr>
        <w:tc>
          <w:tcPr>
            <w:tcW w:w="2126" w:type="dxa"/>
            <w:tcBorders>
              <w:top w:val="single" w:sz="4" w:space="0" w:color="auto"/>
              <w:left w:val="single" w:sz="4" w:space="0" w:color="auto"/>
              <w:bottom w:val="single" w:sz="4" w:space="0" w:color="auto"/>
              <w:right w:val="single" w:sz="4" w:space="0" w:color="auto"/>
            </w:tcBorders>
          </w:tcPr>
          <w:p w:rsidR="00521475" w:rsidRPr="00260CE3" w:rsidRDefault="00521475" w:rsidP="005141FA">
            <w:pPr>
              <w:rPr>
                <w:rFonts w:ascii="Arial Narrow" w:hAnsi="Arial Narrow"/>
                <w:sz w:val="20"/>
              </w:rPr>
            </w:pPr>
            <w:r w:rsidRPr="00260CE3">
              <w:rPr>
                <w:rFonts w:ascii="Arial Narrow" w:hAnsi="Arial Narrow"/>
                <w:b/>
                <w:sz w:val="20"/>
              </w:rPr>
              <w:t>Clinical criteria:</w:t>
            </w:r>
          </w:p>
        </w:tc>
        <w:tc>
          <w:tcPr>
            <w:tcW w:w="6237" w:type="dxa"/>
            <w:tcBorders>
              <w:top w:val="single" w:sz="4" w:space="0" w:color="auto"/>
              <w:left w:val="single" w:sz="4" w:space="0" w:color="auto"/>
              <w:bottom w:val="single" w:sz="4" w:space="0" w:color="auto"/>
              <w:right w:val="single" w:sz="4" w:space="0" w:color="auto"/>
            </w:tcBorders>
          </w:tcPr>
          <w:p w:rsidR="00521475" w:rsidRDefault="00521475" w:rsidP="005141FA">
            <w:pPr>
              <w:rPr>
                <w:rFonts w:ascii="Arial Narrow" w:hAnsi="Arial Narrow"/>
                <w:sz w:val="20"/>
              </w:rPr>
            </w:pPr>
            <w:r w:rsidRPr="008D2A70">
              <w:rPr>
                <w:rFonts w:ascii="Arial Narrow" w:hAnsi="Arial Narrow"/>
                <w:sz w:val="20"/>
              </w:rPr>
              <w:t>Patient must have previously been issued with an authority prescription</w:t>
            </w:r>
            <w:r>
              <w:rPr>
                <w:rFonts w:ascii="Arial Narrow" w:hAnsi="Arial Narrow"/>
                <w:sz w:val="20"/>
              </w:rPr>
              <w:t xml:space="preserve"> for this drug for the same eye,</w:t>
            </w:r>
          </w:p>
          <w:p w:rsidR="00521475" w:rsidRPr="008D2A70" w:rsidRDefault="00521475" w:rsidP="005141FA">
            <w:pPr>
              <w:rPr>
                <w:rFonts w:ascii="Arial Narrow" w:hAnsi="Arial Narrow"/>
                <w:sz w:val="20"/>
              </w:rPr>
            </w:pPr>
            <w:r w:rsidRPr="008D2A70">
              <w:rPr>
                <w:rFonts w:ascii="Arial Narrow" w:hAnsi="Arial Narrow"/>
                <w:sz w:val="20"/>
              </w:rPr>
              <w:t>AND</w:t>
            </w:r>
          </w:p>
          <w:p w:rsidR="003B5D39" w:rsidRDefault="003B5D39" w:rsidP="003B5D39">
            <w:pPr>
              <w:rPr>
                <w:rFonts w:ascii="Arial Narrow" w:hAnsi="Arial Narrow"/>
                <w:sz w:val="20"/>
              </w:rPr>
            </w:pPr>
            <w:r w:rsidRPr="00880965">
              <w:rPr>
                <w:rFonts w:ascii="Arial Narrow" w:hAnsi="Arial Narrow"/>
                <w:i/>
                <w:sz w:val="20"/>
              </w:rPr>
              <w:t>The condition must be re</w:t>
            </w:r>
            <w:r>
              <w:rPr>
                <w:rFonts w:ascii="Arial Narrow" w:hAnsi="Arial Narrow"/>
                <w:i/>
                <w:sz w:val="20"/>
              </w:rPr>
              <w:t>-confirmed by optical coherence tomography</w:t>
            </w:r>
            <w:r w:rsidRPr="00F2788D">
              <w:rPr>
                <w:rFonts w:ascii="Arial Narrow" w:hAnsi="Arial Narrow"/>
                <w:sz w:val="20"/>
              </w:rPr>
              <w:t>,</w:t>
            </w:r>
          </w:p>
          <w:p w:rsidR="00521475" w:rsidRDefault="00521475" w:rsidP="005141FA">
            <w:pPr>
              <w:rPr>
                <w:rFonts w:ascii="Arial Narrow" w:hAnsi="Arial Narrow"/>
                <w:sz w:val="20"/>
              </w:rPr>
            </w:pPr>
            <w:r>
              <w:rPr>
                <w:rFonts w:ascii="Arial Narrow" w:hAnsi="Arial Narrow"/>
                <w:sz w:val="20"/>
              </w:rPr>
              <w:t>AND</w:t>
            </w:r>
          </w:p>
          <w:p w:rsidR="00521475" w:rsidRPr="00B83071" w:rsidRDefault="00521475" w:rsidP="005141FA">
            <w:pPr>
              <w:rPr>
                <w:rFonts w:ascii="Arial Narrow" w:hAnsi="Arial Narrow"/>
                <w:i/>
                <w:sz w:val="20"/>
              </w:rPr>
            </w:pPr>
            <w:r w:rsidRPr="00B83071">
              <w:rPr>
                <w:rFonts w:ascii="Arial Narrow" w:hAnsi="Arial Narrow"/>
                <w:sz w:val="20"/>
              </w:rPr>
              <w:t xml:space="preserve">The treatment must be as monotherapy; </w:t>
            </w:r>
            <w:r w:rsidRPr="00B83071">
              <w:rPr>
                <w:rFonts w:ascii="Arial Narrow" w:hAnsi="Arial Narrow"/>
                <w:i/>
                <w:sz w:val="20"/>
              </w:rPr>
              <w:t xml:space="preserve">OR </w:t>
            </w:r>
          </w:p>
          <w:p w:rsidR="00521475" w:rsidRPr="00807C2E" w:rsidRDefault="00521475" w:rsidP="005141FA">
            <w:pPr>
              <w:rPr>
                <w:rFonts w:ascii="Arial Narrow" w:hAnsi="Arial Narrow"/>
                <w:i/>
                <w:sz w:val="20"/>
              </w:rPr>
            </w:pPr>
            <w:r w:rsidRPr="00B83071">
              <w:rPr>
                <w:rFonts w:ascii="Arial Narrow" w:hAnsi="Arial Narrow"/>
                <w:i/>
                <w:sz w:val="20"/>
              </w:rPr>
              <w:t>The treatment must be in combination with laser photocoagulation,</w:t>
            </w:r>
          </w:p>
          <w:p w:rsidR="00521475" w:rsidRPr="008D2A70" w:rsidRDefault="00521475" w:rsidP="005141FA">
            <w:pPr>
              <w:rPr>
                <w:rFonts w:ascii="Arial Narrow" w:hAnsi="Arial Narrow"/>
                <w:sz w:val="20"/>
              </w:rPr>
            </w:pPr>
            <w:r w:rsidRPr="008D2A70">
              <w:rPr>
                <w:rFonts w:ascii="Arial Narrow" w:hAnsi="Arial Narrow"/>
                <w:sz w:val="20"/>
              </w:rPr>
              <w:t>AND</w:t>
            </w:r>
          </w:p>
          <w:p w:rsidR="00521475" w:rsidRPr="00260CE3" w:rsidRDefault="00521475" w:rsidP="005141FA">
            <w:pPr>
              <w:rPr>
                <w:rFonts w:ascii="Arial Narrow" w:hAnsi="Arial Narrow"/>
                <w:sz w:val="20"/>
              </w:rPr>
            </w:pPr>
            <w:r w:rsidRPr="008D2A70">
              <w:rPr>
                <w:rFonts w:ascii="Arial Narrow" w:hAnsi="Arial Narrow"/>
                <w:sz w:val="20"/>
              </w:rPr>
              <w:t xml:space="preserve">The treatment </w:t>
            </w:r>
            <w:r w:rsidR="009574B1">
              <w:rPr>
                <w:rFonts w:ascii="Arial Narrow" w:hAnsi="Arial Narrow"/>
                <w:sz w:val="20"/>
              </w:rPr>
              <w:t xml:space="preserve">must be the sole PBS-subsidised </w:t>
            </w:r>
            <w:r w:rsidRPr="008D2A70">
              <w:rPr>
                <w:rFonts w:ascii="Arial Narrow" w:hAnsi="Arial Narrow"/>
                <w:sz w:val="20"/>
              </w:rPr>
              <w:t>therapy for this condition.</w:t>
            </w:r>
          </w:p>
        </w:tc>
      </w:tr>
      <w:tr w:rsidR="00521475" w:rsidRPr="00260CE3" w:rsidTr="00BC36B7">
        <w:trPr>
          <w:cantSplit/>
          <w:trHeight w:val="360"/>
        </w:trPr>
        <w:tc>
          <w:tcPr>
            <w:tcW w:w="2126" w:type="dxa"/>
            <w:tcBorders>
              <w:top w:val="single" w:sz="4" w:space="0" w:color="auto"/>
              <w:left w:val="single" w:sz="4" w:space="0" w:color="auto"/>
              <w:bottom w:val="single" w:sz="4" w:space="0" w:color="auto"/>
              <w:right w:val="single" w:sz="4" w:space="0" w:color="auto"/>
            </w:tcBorders>
          </w:tcPr>
          <w:p w:rsidR="00521475" w:rsidRPr="00260CE3" w:rsidRDefault="00521475" w:rsidP="005141FA">
            <w:pPr>
              <w:rPr>
                <w:rFonts w:ascii="Arial Narrow" w:hAnsi="Arial Narrow"/>
                <w:sz w:val="20"/>
              </w:rPr>
            </w:pPr>
            <w:r w:rsidRPr="00260CE3">
              <w:rPr>
                <w:rFonts w:ascii="Arial Narrow" w:hAnsi="Arial Narrow"/>
                <w:b/>
                <w:sz w:val="20"/>
              </w:rPr>
              <w:t>Population criteria:</w:t>
            </w:r>
          </w:p>
        </w:tc>
        <w:tc>
          <w:tcPr>
            <w:tcW w:w="6237" w:type="dxa"/>
            <w:tcBorders>
              <w:top w:val="single" w:sz="4" w:space="0" w:color="auto"/>
              <w:left w:val="single" w:sz="4" w:space="0" w:color="auto"/>
              <w:bottom w:val="single" w:sz="4" w:space="0" w:color="auto"/>
              <w:right w:val="single" w:sz="4" w:space="0" w:color="auto"/>
            </w:tcBorders>
          </w:tcPr>
          <w:p w:rsidR="00521475" w:rsidRPr="008D2A70" w:rsidRDefault="00521475" w:rsidP="005141FA">
            <w:pPr>
              <w:rPr>
                <w:rFonts w:ascii="Arial Narrow" w:hAnsi="Arial Narrow"/>
                <w:sz w:val="20"/>
              </w:rPr>
            </w:pPr>
            <w:r w:rsidRPr="008D2A70">
              <w:rPr>
                <w:rFonts w:ascii="Arial Narrow" w:hAnsi="Arial Narrow"/>
                <w:sz w:val="20"/>
              </w:rPr>
              <w:t xml:space="preserve">Patient must have a pseudophakic lens in the </w:t>
            </w:r>
            <w:r w:rsidRPr="00CD19FA">
              <w:rPr>
                <w:rFonts w:ascii="Arial Narrow" w:hAnsi="Arial Narrow"/>
                <w:strike/>
                <w:sz w:val="20"/>
              </w:rPr>
              <w:t>treatment</w:t>
            </w:r>
            <w:r w:rsidRPr="008D2A70">
              <w:rPr>
                <w:rFonts w:ascii="Arial Narrow" w:hAnsi="Arial Narrow"/>
                <w:sz w:val="20"/>
              </w:rPr>
              <w:t xml:space="preserve"> </w:t>
            </w:r>
            <w:r w:rsidRPr="00CD19FA">
              <w:rPr>
                <w:rFonts w:ascii="Arial Narrow" w:hAnsi="Arial Narrow"/>
                <w:i/>
                <w:sz w:val="20"/>
              </w:rPr>
              <w:t>treated</w:t>
            </w:r>
            <w:r w:rsidRPr="00B97C57">
              <w:rPr>
                <w:rFonts w:ascii="Arial Narrow" w:hAnsi="Arial Narrow"/>
                <w:sz w:val="20"/>
              </w:rPr>
              <w:t xml:space="preserve"> </w:t>
            </w:r>
            <w:r w:rsidRPr="008D2A70">
              <w:rPr>
                <w:rFonts w:ascii="Arial Narrow" w:hAnsi="Arial Narrow"/>
                <w:sz w:val="20"/>
              </w:rPr>
              <w:t>eye; OR</w:t>
            </w:r>
          </w:p>
          <w:p w:rsidR="00521475" w:rsidRPr="00260CE3" w:rsidRDefault="00521475" w:rsidP="005141FA">
            <w:pPr>
              <w:rPr>
                <w:rFonts w:ascii="Arial Narrow" w:hAnsi="Arial Narrow"/>
                <w:sz w:val="20"/>
              </w:rPr>
            </w:pPr>
            <w:r w:rsidRPr="008D2A70">
              <w:rPr>
                <w:rFonts w:ascii="Arial Narrow" w:hAnsi="Arial Narrow"/>
                <w:sz w:val="20"/>
              </w:rPr>
              <w:t>Patient must be scheduled for cataract surgery</w:t>
            </w:r>
            <w:r w:rsidRPr="00B97C57">
              <w:rPr>
                <w:rFonts w:ascii="Arial Narrow" w:hAnsi="Arial Narrow"/>
                <w:sz w:val="20"/>
              </w:rPr>
              <w:t xml:space="preserve"> </w:t>
            </w:r>
            <w:r w:rsidRPr="00CD19FA">
              <w:rPr>
                <w:rFonts w:ascii="Arial Narrow" w:hAnsi="Arial Narrow"/>
                <w:i/>
                <w:sz w:val="20"/>
              </w:rPr>
              <w:t>in the treated eye</w:t>
            </w:r>
            <w:r>
              <w:rPr>
                <w:rFonts w:ascii="Arial Narrow" w:hAnsi="Arial Narrow"/>
                <w:sz w:val="20"/>
              </w:rPr>
              <w:t>.</w:t>
            </w:r>
          </w:p>
        </w:tc>
      </w:tr>
      <w:tr w:rsidR="00521475" w:rsidRPr="00260CE3" w:rsidTr="00BC36B7">
        <w:trPr>
          <w:cantSplit/>
          <w:trHeight w:val="360"/>
        </w:trPr>
        <w:tc>
          <w:tcPr>
            <w:tcW w:w="2126" w:type="dxa"/>
            <w:tcBorders>
              <w:top w:val="single" w:sz="4" w:space="0" w:color="auto"/>
              <w:left w:val="single" w:sz="4" w:space="0" w:color="auto"/>
              <w:bottom w:val="single" w:sz="4" w:space="0" w:color="auto"/>
              <w:right w:val="single" w:sz="4" w:space="0" w:color="auto"/>
            </w:tcBorders>
          </w:tcPr>
          <w:p w:rsidR="00521475" w:rsidRPr="00260CE3" w:rsidRDefault="00521475" w:rsidP="005141FA">
            <w:pPr>
              <w:rPr>
                <w:rFonts w:ascii="Arial Narrow" w:hAnsi="Arial Narrow"/>
                <w:sz w:val="20"/>
              </w:rPr>
            </w:pPr>
            <w:r w:rsidRPr="00260CE3">
              <w:rPr>
                <w:rFonts w:ascii="Arial Narrow" w:hAnsi="Arial Narrow"/>
                <w:b/>
                <w:sz w:val="20"/>
              </w:rPr>
              <w:t>Prescriber Instructions</w:t>
            </w:r>
          </w:p>
        </w:tc>
        <w:tc>
          <w:tcPr>
            <w:tcW w:w="6237" w:type="dxa"/>
            <w:tcBorders>
              <w:top w:val="single" w:sz="4" w:space="0" w:color="auto"/>
              <w:left w:val="single" w:sz="4" w:space="0" w:color="auto"/>
              <w:bottom w:val="single" w:sz="4" w:space="0" w:color="auto"/>
              <w:right w:val="single" w:sz="4" w:space="0" w:color="auto"/>
            </w:tcBorders>
          </w:tcPr>
          <w:p w:rsidR="00521475" w:rsidRPr="00260CE3" w:rsidRDefault="00521475" w:rsidP="005141FA">
            <w:pPr>
              <w:rPr>
                <w:rFonts w:ascii="Arial Narrow" w:hAnsi="Arial Narrow"/>
                <w:sz w:val="20"/>
              </w:rPr>
            </w:pPr>
            <w:r>
              <w:rPr>
                <w:rFonts w:ascii="Arial Narrow" w:hAnsi="Arial Narrow"/>
                <w:sz w:val="20"/>
              </w:rPr>
              <w:t>-</w:t>
            </w:r>
          </w:p>
        </w:tc>
      </w:tr>
      <w:tr w:rsidR="00521475" w:rsidRPr="00260CE3" w:rsidTr="00BC36B7">
        <w:trPr>
          <w:cantSplit/>
          <w:trHeight w:val="360"/>
        </w:trPr>
        <w:tc>
          <w:tcPr>
            <w:tcW w:w="2126" w:type="dxa"/>
            <w:tcBorders>
              <w:top w:val="single" w:sz="4" w:space="0" w:color="auto"/>
              <w:left w:val="single" w:sz="4" w:space="0" w:color="auto"/>
              <w:bottom w:val="single" w:sz="4" w:space="0" w:color="auto"/>
              <w:right w:val="single" w:sz="4" w:space="0" w:color="auto"/>
            </w:tcBorders>
          </w:tcPr>
          <w:p w:rsidR="00521475" w:rsidRPr="00260CE3" w:rsidRDefault="00521475" w:rsidP="005141FA">
            <w:pPr>
              <w:rPr>
                <w:rFonts w:ascii="Arial Narrow" w:hAnsi="Arial Narrow"/>
                <w:i/>
                <w:sz w:val="20"/>
              </w:rPr>
            </w:pPr>
            <w:r w:rsidRPr="00260CE3">
              <w:rPr>
                <w:rFonts w:ascii="Arial Narrow" w:hAnsi="Arial Narrow"/>
                <w:b/>
                <w:sz w:val="20"/>
              </w:rPr>
              <w:t>Administrative Advice</w:t>
            </w:r>
          </w:p>
        </w:tc>
        <w:tc>
          <w:tcPr>
            <w:tcW w:w="6237" w:type="dxa"/>
            <w:tcBorders>
              <w:top w:val="single" w:sz="4" w:space="0" w:color="auto"/>
              <w:left w:val="single" w:sz="4" w:space="0" w:color="auto"/>
              <w:bottom w:val="single" w:sz="4" w:space="0" w:color="auto"/>
              <w:right w:val="single" w:sz="4" w:space="0" w:color="auto"/>
            </w:tcBorders>
          </w:tcPr>
          <w:p w:rsidR="00521475" w:rsidRPr="00173ACA" w:rsidRDefault="00521475" w:rsidP="005141FA">
            <w:pPr>
              <w:rPr>
                <w:rFonts w:ascii="Arial Narrow" w:hAnsi="Arial Narrow"/>
                <w:sz w:val="20"/>
                <w:u w:val="single"/>
              </w:rPr>
            </w:pPr>
            <w:r w:rsidRPr="00173ACA">
              <w:rPr>
                <w:rFonts w:ascii="Arial Narrow" w:hAnsi="Arial Narrow"/>
                <w:sz w:val="20"/>
                <w:u w:val="single"/>
              </w:rPr>
              <w:t>Note</w:t>
            </w:r>
          </w:p>
          <w:p w:rsidR="00521475" w:rsidRPr="00173ACA" w:rsidRDefault="00521475" w:rsidP="005141FA">
            <w:pPr>
              <w:rPr>
                <w:rFonts w:ascii="Arial Narrow" w:hAnsi="Arial Narrow"/>
                <w:sz w:val="20"/>
              </w:rPr>
            </w:pPr>
            <w:r w:rsidRPr="00173ACA">
              <w:rPr>
                <w:rFonts w:ascii="Arial Narrow" w:hAnsi="Arial Narrow"/>
                <w:sz w:val="20"/>
              </w:rPr>
              <w:t>Authority applications for continuing treatment in the same eye may be made by telephone on 1800 700 270 (hours of operation 8 a.m. to 5 p.m. EST Monday to Friday).</w:t>
            </w:r>
          </w:p>
          <w:p w:rsidR="00521475" w:rsidRPr="00173ACA" w:rsidRDefault="00521475" w:rsidP="005141FA">
            <w:pPr>
              <w:rPr>
                <w:rFonts w:ascii="Arial Narrow" w:hAnsi="Arial Narrow"/>
                <w:sz w:val="20"/>
              </w:rPr>
            </w:pPr>
          </w:p>
          <w:p w:rsidR="00521475" w:rsidRPr="00173ACA" w:rsidRDefault="00521475" w:rsidP="005141FA">
            <w:pPr>
              <w:rPr>
                <w:rFonts w:ascii="Arial Narrow" w:hAnsi="Arial Narrow"/>
                <w:i/>
                <w:sz w:val="20"/>
                <w:u w:val="single"/>
              </w:rPr>
            </w:pPr>
            <w:r w:rsidRPr="00173ACA">
              <w:rPr>
                <w:rFonts w:ascii="Arial Narrow" w:hAnsi="Arial Narrow"/>
                <w:i/>
                <w:sz w:val="20"/>
                <w:u w:val="single"/>
              </w:rPr>
              <w:t>Note</w:t>
            </w:r>
          </w:p>
          <w:p w:rsidR="00521475" w:rsidRPr="00173ACA" w:rsidRDefault="00521475" w:rsidP="005141FA">
            <w:pPr>
              <w:rPr>
                <w:rFonts w:ascii="Arial Narrow" w:hAnsi="Arial Narrow"/>
                <w:i/>
                <w:sz w:val="20"/>
              </w:rPr>
            </w:pPr>
            <w:r w:rsidRPr="00173ACA">
              <w:rPr>
                <w:rFonts w:ascii="Arial Narrow" w:hAnsi="Arial Narrow"/>
                <w:i/>
                <w:sz w:val="20"/>
              </w:rPr>
              <w:t>Special Pricing Arrangements apply</w:t>
            </w:r>
            <w:r>
              <w:rPr>
                <w:rFonts w:ascii="Arial Narrow" w:hAnsi="Arial Narrow"/>
                <w:i/>
                <w:sz w:val="20"/>
              </w:rPr>
              <w:t>.</w:t>
            </w:r>
          </w:p>
        </w:tc>
      </w:tr>
    </w:tbl>
    <w:p w:rsidR="00521475" w:rsidRPr="00552722" w:rsidRDefault="00521475" w:rsidP="00521475">
      <w:pPr>
        <w:rPr>
          <w:szCs w:val="22"/>
        </w:rPr>
      </w:pPr>
    </w:p>
    <w:tbl>
      <w:tblPr>
        <w:tblW w:w="8363" w:type="dxa"/>
        <w:tblInd w:w="817" w:type="dxa"/>
        <w:tblLayout w:type="fixed"/>
        <w:tblLook w:val="0000" w:firstRow="0" w:lastRow="0" w:firstColumn="0" w:lastColumn="0" w:noHBand="0" w:noVBand="0"/>
      </w:tblPr>
      <w:tblGrid>
        <w:gridCol w:w="2126"/>
        <w:gridCol w:w="6237"/>
      </w:tblGrid>
      <w:tr w:rsidR="00521475" w:rsidRPr="00260CE3" w:rsidTr="00BC36B7">
        <w:trPr>
          <w:cantSplit/>
          <w:trHeight w:val="360"/>
        </w:trPr>
        <w:tc>
          <w:tcPr>
            <w:tcW w:w="2126" w:type="dxa"/>
            <w:tcBorders>
              <w:top w:val="single" w:sz="4" w:space="0" w:color="auto"/>
              <w:left w:val="single" w:sz="4" w:space="0" w:color="auto"/>
              <w:bottom w:val="single" w:sz="4" w:space="0" w:color="auto"/>
              <w:right w:val="single" w:sz="4" w:space="0" w:color="auto"/>
            </w:tcBorders>
          </w:tcPr>
          <w:p w:rsidR="00521475" w:rsidRPr="00046108" w:rsidRDefault="00521475" w:rsidP="005141FA">
            <w:pPr>
              <w:rPr>
                <w:rFonts w:ascii="Arial Narrow" w:hAnsi="Arial Narrow"/>
                <w:b/>
                <w:sz w:val="20"/>
              </w:rPr>
            </w:pPr>
            <w:r w:rsidRPr="00260CE3">
              <w:rPr>
                <w:rFonts w:ascii="Arial Narrow" w:hAnsi="Arial Narrow"/>
                <w:b/>
                <w:sz w:val="20"/>
              </w:rPr>
              <w:t>PBS Indication:</w:t>
            </w:r>
          </w:p>
        </w:tc>
        <w:tc>
          <w:tcPr>
            <w:tcW w:w="6237" w:type="dxa"/>
            <w:tcBorders>
              <w:top w:val="single" w:sz="4" w:space="0" w:color="auto"/>
              <w:left w:val="single" w:sz="4" w:space="0" w:color="auto"/>
              <w:bottom w:val="single" w:sz="4" w:space="0" w:color="auto"/>
              <w:right w:val="single" w:sz="4" w:space="0" w:color="auto"/>
            </w:tcBorders>
          </w:tcPr>
          <w:p w:rsidR="00521475" w:rsidRPr="00260CE3" w:rsidRDefault="00521475" w:rsidP="005141FA">
            <w:pPr>
              <w:rPr>
                <w:rFonts w:ascii="Arial Narrow" w:hAnsi="Arial Narrow"/>
                <w:sz w:val="20"/>
              </w:rPr>
            </w:pPr>
            <w:r w:rsidRPr="00046108">
              <w:rPr>
                <w:rFonts w:ascii="Arial Narrow" w:hAnsi="Arial Narrow"/>
                <w:sz w:val="20"/>
              </w:rPr>
              <w:t>Diabetic macular oedema (DMO)</w:t>
            </w:r>
          </w:p>
        </w:tc>
      </w:tr>
      <w:tr w:rsidR="00521475" w:rsidRPr="00260CE3" w:rsidTr="00BC36B7">
        <w:trPr>
          <w:cantSplit/>
          <w:trHeight w:val="360"/>
        </w:trPr>
        <w:tc>
          <w:tcPr>
            <w:tcW w:w="2126" w:type="dxa"/>
            <w:tcBorders>
              <w:top w:val="single" w:sz="4" w:space="0" w:color="auto"/>
              <w:left w:val="single" w:sz="4" w:space="0" w:color="auto"/>
              <w:bottom w:val="single" w:sz="4" w:space="0" w:color="auto"/>
              <w:right w:val="single" w:sz="4" w:space="0" w:color="auto"/>
            </w:tcBorders>
          </w:tcPr>
          <w:p w:rsidR="00521475" w:rsidRPr="00163657" w:rsidRDefault="00521475" w:rsidP="005141FA">
            <w:pPr>
              <w:rPr>
                <w:rFonts w:ascii="Arial Narrow" w:hAnsi="Arial Narrow"/>
                <w:b/>
                <w:sz w:val="20"/>
              </w:rPr>
            </w:pPr>
            <w:r w:rsidRPr="00260CE3">
              <w:rPr>
                <w:rFonts w:ascii="Arial Narrow" w:hAnsi="Arial Narrow"/>
                <w:b/>
                <w:sz w:val="20"/>
              </w:rPr>
              <w:t>Treatment phase:</w:t>
            </w:r>
          </w:p>
        </w:tc>
        <w:tc>
          <w:tcPr>
            <w:tcW w:w="6237" w:type="dxa"/>
            <w:tcBorders>
              <w:top w:val="single" w:sz="4" w:space="0" w:color="auto"/>
              <w:left w:val="single" w:sz="4" w:space="0" w:color="auto"/>
              <w:bottom w:val="single" w:sz="4" w:space="0" w:color="auto"/>
              <w:right w:val="single" w:sz="4" w:space="0" w:color="auto"/>
            </w:tcBorders>
          </w:tcPr>
          <w:p w:rsidR="00521475" w:rsidRPr="00260CE3" w:rsidRDefault="00521475" w:rsidP="005141FA">
            <w:pPr>
              <w:rPr>
                <w:rFonts w:ascii="Arial Narrow" w:hAnsi="Arial Narrow"/>
                <w:sz w:val="20"/>
              </w:rPr>
            </w:pPr>
            <w:r>
              <w:rPr>
                <w:rFonts w:ascii="Arial Narrow" w:hAnsi="Arial Narrow"/>
                <w:sz w:val="20"/>
              </w:rPr>
              <w:t>Grandfathering</w:t>
            </w:r>
          </w:p>
        </w:tc>
      </w:tr>
      <w:tr w:rsidR="00521475" w:rsidRPr="00260CE3" w:rsidTr="00BC36B7">
        <w:trPr>
          <w:cantSplit/>
          <w:trHeight w:val="360"/>
        </w:trPr>
        <w:tc>
          <w:tcPr>
            <w:tcW w:w="2126" w:type="dxa"/>
            <w:tcBorders>
              <w:top w:val="single" w:sz="4" w:space="0" w:color="auto"/>
              <w:left w:val="single" w:sz="4" w:space="0" w:color="auto"/>
              <w:bottom w:val="single" w:sz="4" w:space="0" w:color="auto"/>
              <w:right w:val="single" w:sz="4" w:space="0" w:color="auto"/>
            </w:tcBorders>
          </w:tcPr>
          <w:p w:rsidR="00521475" w:rsidRPr="00260CE3" w:rsidRDefault="00521475" w:rsidP="005141FA">
            <w:pPr>
              <w:rPr>
                <w:rFonts w:ascii="Arial Narrow" w:hAnsi="Arial Narrow"/>
                <w:sz w:val="20"/>
              </w:rPr>
            </w:pPr>
            <w:r w:rsidRPr="00260CE3">
              <w:rPr>
                <w:rFonts w:ascii="Arial Narrow" w:hAnsi="Arial Narrow"/>
                <w:b/>
                <w:sz w:val="20"/>
              </w:rPr>
              <w:t>Treatment criteria:</w:t>
            </w:r>
          </w:p>
        </w:tc>
        <w:tc>
          <w:tcPr>
            <w:tcW w:w="6237" w:type="dxa"/>
            <w:tcBorders>
              <w:top w:val="single" w:sz="4" w:space="0" w:color="auto"/>
              <w:left w:val="single" w:sz="4" w:space="0" w:color="auto"/>
              <w:bottom w:val="single" w:sz="4" w:space="0" w:color="auto"/>
              <w:right w:val="single" w:sz="4" w:space="0" w:color="auto"/>
            </w:tcBorders>
          </w:tcPr>
          <w:p w:rsidR="00521475" w:rsidRPr="00260CE3" w:rsidRDefault="00521475" w:rsidP="005141FA">
            <w:pPr>
              <w:rPr>
                <w:rFonts w:ascii="Arial Narrow" w:hAnsi="Arial Narrow"/>
                <w:sz w:val="20"/>
              </w:rPr>
            </w:pPr>
            <w:r w:rsidRPr="00163657">
              <w:rPr>
                <w:rFonts w:ascii="Arial Narrow" w:hAnsi="Arial Narrow"/>
                <w:sz w:val="20"/>
              </w:rPr>
              <w:t>Must be treated by an ophthalmologist.</w:t>
            </w:r>
          </w:p>
        </w:tc>
      </w:tr>
      <w:tr w:rsidR="00521475" w:rsidRPr="00260CE3" w:rsidTr="00BC36B7">
        <w:trPr>
          <w:cantSplit/>
          <w:trHeight w:val="360"/>
        </w:trPr>
        <w:tc>
          <w:tcPr>
            <w:tcW w:w="2126" w:type="dxa"/>
            <w:tcBorders>
              <w:top w:val="single" w:sz="4" w:space="0" w:color="auto"/>
              <w:left w:val="single" w:sz="4" w:space="0" w:color="auto"/>
              <w:bottom w:val="single" w:sz="4" w:space="0" w:color="auto"/>
              <w:right w:val="single" w:sz="4" w:space="0" w:color="auto"/>
            </w:tcBorders>
          </w:tcPr>
          <w:p w:rsidR="00521475" w:rsidRPr="00CD19FA" w:rsidRDefault="00521475" w:rsidP="005141FA">
            <w:pPr>
              <w:rPr>
                <w:rFonts w:ascii="Arial Narrow" w:hAnsi="Arial Narrow"/>
                <w:b/>
                <w:sz w:val="20"/>
              </w:rPr>
            </w:pPr>
            <w:r w:rsidRPr="00260CE3">
              <w:rPr>
                <w:rFonts w:ascii="Arial Narrow" w:hAnsi="Arial Narrow"/>
                <w:b/>
                <w:sz w:val="20"/>
              </w:rPr>
              <w:lastRenderedPageBreak/>
              <w:t>Clinical criteria:</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521475" w:rsidRPr="00173ACA" w:rsidRDefault="00521475" w:rsidP="005141FA">
            <w:pPr>
              <w:rPr>
                <w:rFonts w:ascii="Arial Narrow" w:hAnsi="Arial Narrow"/>
                <w:i/>
                <w:sz w:val="20"/>
              </w:rPr>
            </w:pPr>
            <w:r w:rsidRPr="00173ACA">
              <w:rPr>
                <w:rFonts w:ascii="Arial Narrow" w:hAnsi="Arial Narrow"/>
                <w:sz w:val="20"/>
              </w:rPr>
              <w:t xml:space="preserve">Patient must have previously received non-PBS-subsidised treatment with this drug for this condition before </w:t>
            </w:r>
            <w:r w:rsidRPr="00173ACA">
              <w:rPr>
                <w:rFonts w:ascii="Arial Narrow" w:hAnsi="Arial Narrow"/>
                <w:strike/>
                <w:sz w:val="20"/>
              </w:rPr>
              <w:t>PBS-listing of treatment</w:t>
            </w:r>
            <w:r w:rsidRPr="00173ACA">
              <w:rPr>
                <w:rFonts w:ascii="Arial Narrow" w:hAnsi="Arial Narrow"/>
                <w:sz w:val="20"/>
              </w:rPr>
              <w:t xml:space="preserve"> </w:t>
            </w:r>
            <w:r w:rsidRPr="00173ACA">
              <w:rPr>
                <w:rFonts w:ascii="Arial Narrow" w:hAnsi="Arial Narrow"/>
                <w:i/>
                <w:sz w:val="20"/>
              </w:rPr>
              <w:t>DD MM YYYY [date of PBS listing],</w:t>
            </w:r>
          </w:p>
          <w:p w:rsidR="00521475" w:rsidRPr="00173ACA" w:rsidRDefault="00521475" w:rsidP="005141FA">
            <w:pPr>
              <w:rPr>
                <w:rFonts w:ascii="Arial Narrow" w:hAnsi="Arial Narrow"/>
                <w:i/>
                <w:sz w:val="20"/>
              </w:rPr>
            </w:pPr>
            <w:r w:rsidRPr="00173ACA">
              <w:rPr>
                <w:rFonts w:ascii="Arial Narrow" w:hAnsi="Arial Narrow"/>
                <w:i/>
                <w:sz w:val="20"/>
              </w:rPr>
              <w:t xml:space="preserve">AND </w:t>
            </w:r>
          </w:p>
          <w:p w:rsidR="00521475" w:rsidRPr="00173ACA" w:rsidRDefault="00521475" w:rsidP="005141FA">
            <w:pPr>
              <w:rPr>
                <w:rFonts w:ascii="Arial Narrow" w:hAnsi="Arial Narrow"/>
                <w:i/>
                <w:sz w:val="20"/>
              </w:rPr>
            </w:pPr>
            <w:r w:rsidRPr="00173ACA">
              <w:rPr>
                <w:rFonts w:ascii="Arial Narrow" w:hAnsi="Arial Narrow"/>
                <w:i/>
                <w:sz w:val="20"/>
              </w:rPr>
              <w:t>Patient must not have received non-PBS-subsidised treatment with this drug for this condition before 1 October 2015,</w:t>
            </w:r>
          </w:p>
          <w:p w:rsidR="00521475" w:rsidRPr="00173ACA" w:rsidRDefault="00521475" w:rsidP="005141FA">
            <w:pPr>
              <w:rPr>
                <w:rFonts w:ascii="Arial Narrow" w:hAnsi="Arial Narrow"/>
                <w:sz w:val="20"/>
              </w:rPr>
            </w:pPr>
            <w:r w:rsidRPr="00173ACA">
              <w:rPr>
                <w:rFonts w:ascii="Arial Narrow" w:hAnsi="Arial Narrow"/>
                <w:sz w:val="20"/>
              </w:rPr>
              <w:t>AND</w:t>
            </w:r>
          </w:p>
          <w:p w:rsidR="00521475" w:rsidRPr="00173ACA" w:rsidRDefault="00521475" w:rsidP="005141FA">
            <w:pPr>
              <w:rPr>
                <w:rFonts w:ascii="Arial Narrow" w:hAnsi="Arial Narrow"/>
                <w:i/>
                <w:sz w:val="20"/>
              </w:rPr>
            </w:pPr>
            <w:r w:rsidRPr="00173ACA">
              <w:rPr>
                <w:rFonts w:ascii="Arial Narrow" w:hAnsi="Arial Narrow"/>
                <w:sz w:val="20"/>
              </w:rPr>
              <w:t xml:space="preserve">The treatment must be as monotherapy; </w:t>
            </w:r>
            <w:r w:rsidRPr="00173ACA">
              <w:rPr>
                <w:rFonts w:ascii="Arial Narrow" w:hAnsi="Arial Narrow"/>
                <w:i/>
                <w:sz w:val="20"/>
              </w:rPr>
              <w:t xml:space="preserve">OR </w:t>
            </w:r>
          </w:p>
          <w:p w:rsidR="00521475" w:rsidRPr="00173ACA" w:rsidRDefault="00521475" w:rsidP="005141FA">
            <w:pPr>
              <w:rPr>
                <w:rFonts w:ascii="Arial Narrow" w:hAnsi="Arial Narrow"/>
                <w:i/>
                <w:sz w:val="20"/>
              </w:rPr>
            </w:pPr>
            <w:r w:rsidRPr="00173ACA">
              <w:rPr>
                <w:rFonts w:ascii="Arial Narrow" w:hAnsi="Arial Narrow"/>
                <w:i/>
                <w:sz w:val="20"/>
              </w:rPr>
              <w:t>The treatment must be in combination with laser photocoagulation,</w:t>
            </w:r>
          </w:p>
          <w:p w:rsidR="00521475" w:rsidRPr="00173ACA" w:rsidRDefault="00521475" w:rsidP="005141FA">
            <w:pPr>
              <w:rPr>
                <w:rFonts w:ascii="Arial Narrow" w:hAnsi="Arial Narrow"/>
                <w:sz w:val="20"/>
              </w:rPr>
            </w:pPr>
            <w:r w:rsidRPr="00173ACA">
              <w:rPr>
                <w:rFonts w:ascii="Arial Narrow" w:hAnsi="Arial Narrow"/>
                <w:sz w:val="20"/>
              </w:rPr>
              <w:t>AND</w:t>
            </w:r>
          </w:p>
          <w:p w:rsidR="00521475" w:rsidRPr="00173ACA" w:rsidRDefault="00521475" w:rsidP="005141FA">
            <w:pPr>
              <w:rPr>
                <w:rFonts w:ascii="Arial Narrow" w:hAnsi="Arial Narrow"/>
                <w:sz w:val="20"/>
              </w:rPr>
            </w:pPr>
            <w:r w:rsidRPr="00173ACA">
              <w:rPr>
                <w:rFonts w:ascii="Arial Narrow" w:hAnsi="Arial Narrow"/>
                <w:sz w:val="20"/>
              </w:rPr>
              <w:t>The treatment must be the sole PBS-subsidised therapy for this condition.</w:t>
            </w:r>
          </w:p>
        </w:tc>
      </w:tr>
      <w:tr w:rsidR="00521475" w:rsidRPr="00260CE3" w:rsidTr="00BC36B7">
        <w:trPr>
          <w:cantSplit/>
          <w:trHeight w:val="360"/>
        </w:trPr>
        <w:tc>
          <w:tcPr>
            <w:tcW w:w="2126" w:type="dxa"/>
            <w:tcBorders>
              <w:top w:val="single" w:sz="4" w:space="0" w:color="auto"/>
              <w:left w:val="single" w:sz="4" w:space="0" w:color="auto"/>
              <w:bottom w:val="single" w:sz="4" w:space="0" w:color="auto"/>
              <w:right w:val="single" w:sz="4" w:space="0" w:color="auto"/>
            </w:tcBorders>
          </w:tcPr>
          <w:p w:rsidR="00521475" w:rsidRPr="00CD19FA" w:rsidRDefault="00521475" w:rsidP="005141FA">
            <w:pPr>
              <w:rPr>
                <w:rFonts w:ascii="Arial Narrow" w:hAnsi="Arial Narrow"/>
                <w:b/>
                <w:sz w:val="20"/>
              </w:rPr>
            </w:pPr>
            <w:r w:rsidRPr="00260CE3">
              <w:rPr>
                <w:rFonts w:ascii="Arial Narrow" w:hAnsi="Arial Narrow"/>
                <w:b/>
                <w:sz w:val="20"/>
              </w:rPr>
              <w:t>Population criteria:</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521475" w:rsidRPr="00173ACA" w:rsidRDefault="00521475" w:rsidP="005141FA">
            <w:pPr>
              <w:rPr>
                <w:rFonts w:ascii="Arial Narrow" w:hAnsi="Arial Narrow"/>
                <w:sz w:val="20"/>
              </w:rPr>
            </w:pPr>
            <w:r w:rsidRPr="00173ACA">
              <w:rPr>
                <w:rFonts w:ascii="Arial Narrow" w:hAnsi="Arial Narrow"/>
                <w:sz w:val="20"/>
              </w:rPr>
              <w:t xml:space="preserve">Patient must have a pseudophakic lens in the </w:t>
            </w:r>
            <w:r w:rsidRPr="00173ACA">
              <w:rPr>
                <w:rFonts w:ascii="Arial Narrow" w:hAnsi="Arial Narrow"/>
                <w:strike/>
                <w:sz w:val="20"/>
              </w:rPr>
              <w:t>treatment</w:t>
            </w:r>
            <w:r w:rsidRPr="00173ACA">
              <w:rPr>
                <w:rFonts w:ascii="Arial Narrow" w:hAnsi="Arial Narrow"/>
                <w:sz w:val="20"/>
              </w:rPr>
              <w:t xml:space="preserve"> </w:t>
            </w:r>
            <w:r w:rsidRPr="00173ACA">
              <w:rPr>
                <w:rFonts w:ascii="Arial Narrow" w:hAnsi="Arial Narrow"/>
                <w:i/>
                <w:sz w:val="20"/>
              </w:rPr>
              <w:t>treated</w:t>
            </w:r>
            <w:r w:rsidRPr="00173ACA">
              <w:rPr>
                <w:rFonts w:ascii="Arial Narrow" w:hAnsi="Arial Narrow"/>
                <w:sz w:val="20"/>
              </w:rPr>
              <w:t xml:space="preserve"> eye; OR</w:t>
            </w:r>
          </w:p>
          <w:p w:rsidR="00521475" w:rsidRPr="00173ACA" w:rsidRDefault="00521475" w:rsidP="005141FA">
            <w:pPr>
              <w:rPr>
                <w:rFonts w:ascii="Arial Narrow" w:hAnsi="Arial Narrow"/>
                <w:sz w:val="20"/>
              </w:rPr>
            </w:pPr>
            <w:r w:rsidRPr="00173ACA">
              <w:rPr>
                <w:rFonts w:ascii="Arial Narrow" w:hAnsi="Arial Narrow"/>
                <w:sz w:val="20"/>
              </w:rPr>
              <w:t xml:space="preserve">Patient must be scheduled for cataract surgery </w:t>
            </w:r>
            <w:r w:rsidRPr="00173ACA">
              <w:rPr>
                <w:rFonts w:ascii="Arial Narrow" w:hAnsi="Arial Narrow"/>
                <w:i/>
                <w:sz w:val="20"/>
              </w:rPr>
              <w:t>in the treated eye</w:t>
            </w:r>
            <w:r w:rsidRPr="00173ACA">
              <w:rPr>
                <w:rFonts w:ascii="Arial Narrow" w:hAnsi="Arial Narrow"/>
                <w:sz w:val="20"/>
              </w:rPr>
              <w:t>.</w:t>
            </w:r>
          </w:p>
        </w:tc>
      </w:tr>
      <w:tr w:rsidR="00521475" w:rsidRPr="00260CE3" w:rsidTr="00BC36B7">
        <w:trPr>
          <w:cantSplit/>
          <w:trHeight w:val="360"/>
        </w:trPr>
        <w:tc>
          <w:tcPr>
            <w:tcW w:w="2126" w:type="dxa"/>
            <w:tcBorders>
              <w:top w:val="single" w:sz="4" w:space="0" w:color="auto"/>
              <w:left w:val="single" w:sz="4" w:space="0" w:color="auto"/>
              <w:bottom w:val="single" w:sz="4" w:space="0" w:color="auto"/>
              <w:right w:val="single" w:sz="4" w:space="0" w:color="auto"/>
            </w:tcBorders>
          </w:tcPr>
          <w:p w:rsidR="00521475" w:rsidRPr="00163657" w:rsidRDefault="00521475" w:rsidP="005141FA">
            <w:pPr>
              <w:rPr>
                <w:rFonts w:ascii="Arial Narrow" w:hAnsi="Arial Narrow"/>
                <w:b/>
                <w:sz w:val="20"/>
              </w:rPr>
            </w:pPr>
            <w:r w:rsidRPr="00260CE3">
              <w:rPr>
                <w:rFonts w:ascii="Arial Narrow" w:hAnsi="Arial Narrow"/>
                <w:b/>
                <w:sz w:val="20"/>
              </w:rPr>
              <w:t>Prescriber Instructions</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521475" w:rsidRPr="00173ACA" w:rsidRDefault="009574B1" w:rsidP="005141FA">
            <w:pPr>
              <w:rPr>
                <w:rFonts w:ascii="Arial Narrow" w:hAnsi="Arial Narrow"/>
                <w:sz w:val="20"/>
              </w:rPr>
            </w:pPr>
            <w:r w:rsidRPr="00173ACA">
              <w:rPr>
                <w:rFonts w:ascii="Arial Narrow" w:hAnsi="Arial Narrow"/>
                <w:sz w:val="20"/>
              </w:rPr>
              <w:t>Authority approval for initial treatment of each eye must be sought.</w:t>
            </w:r>
          </w:p>
        </w:tc>
      </w:tr>
      <w:tr w:rsidR="00521475" w:rsidRPr="00260CE3" w:rsidTr="00BC36B7">
        <w:trPr>
          <w:cantSplit/>
          <w:trHeight w:val="360"/>
        </w:trPr>
        <w:tc>
          <w:tcPr>
            <w:tcW w:w="2126" w:type="dxa"/>
            <w:tcBorders>
              <w:top w:val="single" w:sz="4" w:space="0" w:color="auto"/>
              <w:left w:val="single" w:sz="4" w:space="0" w:color="auto"/>
              <w:bottom w:val="single" w:sz="4" w:space="0" w:color="auto"/>
              <w:right w:val="single" w:sz="4" w:space="0" w:color="auto"/>
            </w:tcBorders>
          </w:tcPr>
          <w:p w:rsidR="00521475" w:rsidRPr="00163657" w:rsidRDefault="00521475" w:rsidP="005141FA">
            <w:pPr>
              <w:rPr>
                <w:rFonts w:ascii="Arial Narrow" w:hAnsi="Arial Narrow"/>
                <w:b/>
                <w:sz w:val="20"/>
              </w:rPr>
            </w:pPr>
            <w:r w:rsidRPr="00260CE3">
              <w:rPr>
                <w:rFonts w:ascii="Arial Narrow" w:hAnsi="Arial Narrow"/>
                <w:b/>
                <w:sz w:val="20"/>
              </w:rPr>
              <w:t>Administrative Advice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521475" w:rsidRPr="00173ACA" w:rsidRDefault="00521475" w:rsidP="005141FA">
            <w:pPr>
              <w:rPr>
                <w:rFonts w:ascii="Arial Narrow" w:hAnsi="Arial Narrow"/>
                <w:i/>
                <w:sz w:val="20"/>
              </w:rPr>
            </w:pPr>
            <w:r w:rsidRPr="00173ACA">
              <w:rPr>
                <w:rFonts w:ascii="Arial Narrow" w:hAnsi="Arial Narrow"/>
                <w:i/>
                <w:sz w:val="20"/>
                <w:u w:val="single"/>
              </w:rPr>
              <w:t>Note</w:t>
            </w:r>
          </w:p>
          <w:p w:rsidR="00521475" w:rsidRPr="00173ACA" w:rsidRDefault="00521475" w:rsidP="005141FA">
            <w:pPr>
              <w:rPr>
                <w:rFonts w:ascii="Arial Narrow" w:hAnsi="Arial Narrow"/>
                <w:i/>
                <w:sz w:val="20"/>
              </w:rPr>
            </w:pPr>
            <w:r w:rsidRPr="00173ACA">
              <w:rPr>
                <w:rFonts w:ascii="Arial Narrow" w:hAnsi="Arial Narrow"/>
                <w:i/>
                <w:sz w:val="20"/>
              </w:rPr>
              <w:t>Special Pricing Arrangements apply</w:t>
            </w:r>
            <w:r>
              <w:rPr>
                <w:rFonts w:ascii="Arial Narrow" w:hAnsi="Arial Narrow"/>
                <w:i/>
                <w:sz w:val="20"/>
              </w:rPr>
              <w:t>.</w:t>
            </w:r>
          </w:p>
        </w:tc>
      </w:tr>
    </w:tbl>
    <w:p w:rsidR="00521475" w:rsidRPr="00882085" w:rsidRDefault="00521475" w:rsidP="00497F10"/>
    <w:p w:rsidR="00F2788D" w:rsidRDefault="00F2788D" w:rsidP="00D06055">
      <w:pPr>
        <w:pStyle w:val="ListParagraph"/>
        <w:widowControl/>
        <w:numPr>
          <w:ilvl w:val="1"/>
          <w:numId w:val="2"/>
        </w:numPr>
        <w:rPr>
          <w:szCs w:val="22"/>
        </w:rPr>
      </w:pPr>
      <w:r w:rsidRPr="009A30D6">
        <w:rPr>
          <w:szCs w:val="22"/>
        </w:rPr>
        <w:t>Consistent with the previous submission, the sponsor proposed an ex-manufacturer price of $</w:t>
      </w:r>
      <w:r w:rsidR="008B6DFF">
        <w:rPr>
          <w:noProof/>
          <w:color w:val="000000"/>
          <w:szCs w:val="22"/>
          <w:highlight w:val="black"/>
        </w:rPr>
        <w:t>'''''''''''''''</w:t>
      </w:r>
      <w:r w:rsidRPr="009A30D6">
        <w:rPr>
          <w:szCs w:val="22"/>
        </w:rPr>
        <w:t xml:space="preserve">. </w:t>
      </w:r>
      <w:r w:rsidRPr="00000FC9">
        <w:rPr>
          <w:szCs w:val="22"/>
        </w:rPr>
        <w:t>Furthermore, a</w:t>
      </w:r>
      <w:r w:rsidR="00000FC9" w:rsidRPr="00000FC9">
        <w:rPr>
          <w:szCs w:val="22"/>
        </w:rPr>
        <w:t xml:space="preserve"> confidential</w:t>
      </w:r>
      <w:r w:rsidRPr="00000FC9">
        <w:rPr>
          <w:szCs w:val="22"/>
        </w:rPr>
        <w:t xml:space="preserve"> $</w:t>
      </w:r>
      <w:r w:rsidR="008B6DFF">
        <w:rPr>
          <w:noProof/>
          <w:color w:val="000000"/>
          <w:szCs w:val="22"/>
          <w:highlight w:val="black"/>
        </w:rPr>
        <w:t>''''''''''</w:t>
      </w:r>
      <w:r w:rsidRPr="00000FC9">
        <w:rPr>
          <w:szCs w:val="22"/>
        </w:rPr>
        <w:t xml:space="preserve"> rebate per prescription was proposed through </w:t>
      </w:r>
      <w:r w:rsidR="00000FC9" w:rsidRPr="00000FC9">
        <w:rPr>
          <w:szCs w:val="22"/>
        </w:rPr>
        <w:t xml:space="preserve">a </w:t>
      </w:r>
      <w:r w:rsidRPr="00000FC9">
        <w:rPr>
          <w:szCs w:val="22"/>
        </w:rPr>
        <w:t>special pricing arrangement, making the effective DPMQ price to government $</w:t>
      </w:r>
      <w:r w:rsidR="008B6DFF">
        <w:rPr>
          <w:noProof/>
          <w:color w:val="000000"/>
          <w:szCs w:val="22"/>
          <w:highlight w:val="black"/>
        </w:rPr>
        <w:t>'''''''''''''''</w:t>
      </w:r>
      <w:r w:rsidRPr="00000FC9">
        <w:rPr>
          <w:szCs w:val="22"/>
        </w:rPr>
        <w:t xml:space="preserve"> (</w:t>
      </w:r>
      <w:r w:rsidRPr="00000FC9">
        <w:t xml:space="preserve">corrected </w:t>
      </w:r>
      <w:r w:rsidR="00000FC9" w:rsidRPr="00000FC9">
        <w:t xml:space="preserve">to </w:t>
      </w:r>
      <w:r w:rsidRPr="00000FC9">
        <w:t>$</w:t>
      </w:r>
      <w:r w:rsidR="008B6DFF">
        <w:rPr>
          <w:noProof/>
          <w:color w:val="000000"/>
          <w:highlight w:val="black"/>
        </w:rPr>
        <w:t>'''''''''''''''</w:t>
      </w:r>
      <w:r w:rsidRPr="00000FC9">
        <w:t>)</w:t>
      </w:r>
      <w:r w:rsidRPr="00000FC9">
        <w:rPr>
          <w:szCs w:val="22"/>
        </w:rPr>
        <w:t>.</w:t>
      </w:r>
      <w:r w:rsidRPr="008020FB">
        <w:rPr>
          <w:szCs w:val="22"/>
        </w:rPr>
        <w:t xml:space="preserve"> Yearly subsidisation caps were also proposed</w:t>
      </w:r>
      <w:r w:rsidRPr="009A30D6">
        <w:rPr>
          <w:szCs w:val="22"/>
        </w:rPr>
        <w:t>. If the Commonwealth Payment exceed</w:t>
      </w:r>
      <w:r>
        <w:rPr>
          <w:szCs w:val="22"/>
        </w:rPr>
        <w:t>ed</w:t>
      </w:r>
      <w:r w:rsidRPr="009A30D6">
        <w:rPr>
          <w:szCs w:val="22"/>
        </w:rPr>
        <w:t xml:space="preserve"> the subsidisation cap in any year, the sponsor proposed to reimburse the Commonwealth 50% of the amount exceeded.</w:t>
      </w:r>
    </w:p>
    <w:p w:rsidR="00F2788D" w:rsidRPr="00F2788D" w:rsidRDefault="00F2788D" w:rsidP="00F2788D">
      <w:pPr>
        <w:widowControl/>
        <w:rPr>
          <w:szCs w:val="22"/>
        </w:rPr>
      </w:pPr>
    </w:p>
    <w:p w:rsidR="00B60939" w:rsidRPr="008621C5" w:rsidRDefault="00E36042" w:rsidP="00D06055">
      <w:pPr>
        <w:pStyle w:val="ListParagraph"/>
        <w:widowControl/>
        <w:numPr>
          <w:ilvl w:val="1"/>
          <w:numId w:val="2"/>
        </w:numPr>
        <w:rPr>
          <w:szCs w:val="22"/>
        </w:rPr>
      </w:pPr>
      <w:r w:rsidRPr="008621C5">
        <w:t>The k</w:t>
      </w:r>
      <w:r w:rsidR="002A44C3" w:rsidRPr="008621C5">
        <w:t xml:space="preserve">ey differences </w:t>
      </w:r>
      <w:r w:rsidRPr="008621C5">
        <w:t>between the proposed listing in the</w:t>
      </w:r>
      <w:r w:rsidR="003A6BD3">
        <w:t xml:space="preserve"> original submission and the re</w:t>
      </w:r>
      <w:r w:rsidRPr="008621C5">
        <w:t xml:space="preserve">submission </w:t>
      </w:r>
      <w:r w:rsidR="002A44C3" w:rsidRPr="008621C5">
        <w:t>are</w:t>
      </w:r>
      <w:r w:rsidR="0069271D" w:rsidRPr="008621C5">
        <w:t xml:space="preserve"> as follows</w:t>
      </w:r>
      <w:r w:rsidR="00C4713A" w:rsidRPr="008621C5">
        <w:t>:</w:t>
      </w:r>
    </w:p>
    <w:p w:rsidR="00C4713A" w:rsidRPr="008621C5" w:rsidRDefault="00C4713A" w:rsidP="00916D5F">
      <w:pPr>
        <w:pStyle w:val="ListParagraph"/>
        <w:widowControl/>
        <w:numPr>
          <w:ilvl w:val="0"/>
          <w:numId w:val="1"/>
        </w:numPr>
        <w:ind w:left="1134"/>
      </w:pPr>
      <w:r w:rsidRPr="008621C5">
        <w:t>Treatment with dexamethasone implant must be as monotherapy and must be the sole PBS-subsidised therapy for this condition, as foreshadowed by the PBAC (</w:t>
      </w:r>
      <w:r w:rsidR="005A0497">
        <w:t xml:space="preserve">paragraph </w:t>
      </w:r>
      <w:r w:rsidRPr="008621C5">
        <w:t xml:space="preserve">7.3, </w:t>
      </w:r>
      <w:r w:rsidR="00D81EA2">
        <w:t>d</w:t>
      </w:r>
      <w:r w:rsidRPr="008621C5">
        <w:t xml:space="preserve">examethasone </w:t>
      </w:r>
      <w:r w:rsidR="00D81EA2">
        <w:t xml:space="preserve">implant </w:t>
      </w:r>
      <w:r w:rsidR="005A0497" w:rsidRPr="008020FB">
        <w:rPr>
          <w:szCs w:val="22"/>
        </w:rPr>
        <w:t>Public Summary Document (</w:t>
      </w:r>
      <w:r w:rsidR="00D81EA2">
        <w:t>PSD</w:t>
      </w:r>
      <w:r w:rsidR="005A0497">
        <w:t>)</w:t>
      </w:r>
      <w:r w:rsidR="0069271D" w:rsidRPr="008621C5">
        <w:t>, March 2015 PBAC Meeting).</w:t>
      </w:r>
    </w:p>
    <w:p w:rsidR="00C4713A" w:rsidRPr="008621C5" w:rsidRDefault="00C4713A" w:rsidP="00916D5F">
      <w:pPr>
        <w:pStyle w:val="ListParagraph"/>
        <w:widowControl/>
        <w:numPr>
          <w:ilvl w:val="0"/>
          <w:numId w:val="1"/>
        </w:numPr>
        <w:ind w:left="1134"/>
      </w:pPr>
      <w:r w:rsidRPr="008621C5">
        <w:t xml:space="preserve">Discontinuation criteria are no longer specified. </w:t>
      </w:r>
      <w:r w:rsidR="00C532D9" w:rsidRPr="008621C5">
        <w:t>The</w:t>
      </w:r>
      <w:r w:rsidR="00E7777D" w:rsidRPr="008621C5">
        <w:t xml:space="preserve"> </w:t>
      </w:r>
      <w:r w:rsidRPr="008621C5">
        <w:t xml:space="preserve">PBAC </w:t>
      </w:r>
      <w:r w:rsidR="00C532D9" w:rsidRPr="008621C5">
        <w:t xml:space="preserve">noted </w:t>
      </w:r>
      <w:r w:rsidRPr="008621C5">
        <w:t>that the discontinuation criteria provided in the original submission (</w:t>
      </w:r>
      <w:r w:rsidR="00977A3F" w:rsidRPr="008621C5">
        <w:t>≥</w:t>
      </w:r>
      <w:r w:rsidRPr="008621C5">
        <w:t xml:space="preserve">15 letter decrease in </w:t>
      </w:r>
      <w:r w:rsidR="00977A3F" w:rsidRPr="003A6BD3">
        <w:t xml:space="preserve">best corrected visual acuity </w:t>
      </w:r>
      <w:r w:rsidR="00977A3F">
        <w:t>(</w:t>
      </w:r>
      <w:r w:rsidRPr="008621C5">
        <w:t>BCVA</w:t>
      </w:r>
      <w:r w:rsidR="00977A3F">
        <w:t>)</w:t>
      </w:r>
      <w:r w:rsidRPr="008621C5">
        <w:t xml:space="preserve"> since the last assessment within 3-6 months of treatment initiation) was larger than a lower non-inferiority limit of -5 letters that was specified for the differences between dexamethasone implant and ranibizumab (</w:t>
      </w:r>
      <w:r w:rsidR="005A0497">
        <w:t xml:space="preserve">paragraph </w:t>
      </w:r>
      <w:r w:rsidRPr="008621C5">
        <w:t xml:space="preserve">7.5, </w:t>
      </w:r>
      <w:r w:rsidR="00D81EA2">
        <w:t>d</w:t>
      </w:r>
      <w:r w:rsidRPr="008621C5">
        <w:t xml:space="preserve">examethasone </w:t>
      </w:r>
      <w:r w:rsidR="00D81EA2">
        <w:t>implant PSD</w:t>
      </w:r>
      <w:r w:rsidRPr="008621C5">
        <w:t>, March 2015 PBAC Meeting)</w:t>
      </w:r>
      <w:r w:rsidR="00E7777D" w:rsidRPr="008621C5">
        <w:t>.</w:t>
      </w:r>
      <w:r w:rsidR="00FF5FDF" w:rsidRPr="008621C5">
        <w:t xml:space="preserve"> </w:t>
      </w:r>
      <w:r w:rsidR="00C532D9" w:rsidRPr="008621C5">
        <w:t xml:space="preserve">In </w:t>
      </w:r>
      <w:r w:rsidR="00E36042" w:rsidRPr="008621C5">
        <w:t>the</w:t>
      </w:r>
      <w:r w:rsidR="00C532D9" w:rsidRPr="008621C5">
        <w:t xml:space="preserve"> resubmission, the </w:t>
      </w:r>
      <w:r w:rsidR="00977A3F">
        <w:t>s</w:t>
      </w:r>
      <w:r w:rsidR="00C532D9" w:rsidRPr="008621C5">
        <w:t xml:space="preserve">ponsor indicated that </w:t>
      </w:r>
      <w:r w:rsidR="0069271D" w:rsidRPr="008621C5">
        <w:t>i</w:t>
      </w:r>
      <w:r w:rsidR="00C532D9" w:rsidRPr="008621C5">
        <w:t>t would be willing to consider a continuation criteria for dexamethasone implant, with only those patients achieving a ≥5 letter gain in visual acuity at 3 months following administration permitted to continue treatment</w:t>
      </w:r>
      <w:r w:rsidR="0069271D" w:rsidRPr="008621C5">
        <w:t>.</w:t>
      </w:r>
      <w:r w:rsidR="00B41118" w:rsidRPr="008621C5">
        <w:t xml:space="preserve"> The ESC considered that a stopping rule may be appropriate (see ‘Estimated PBS usage and financial implications’).</w:t>
      </w:r>
    </w:p>
    <w:p w:rsidR="001C1FC1" w:rsidRPr="008621C5" w:rsidRDefault="001C1FC1" w:rsidP="00916D5F">
      <w:pPr>
        <w:pStyle w:val="ListParagraph"/>
        <w:widowControl/>
        <w:numPr>
          <w:ilvl w:val="0"/>
          <w:numId w:val="1"/>
        </w:numPr>
        <w:ind w:left="1134"/>
      </w:pPr>
      <w:r w:rsidRPr="008621C5">
        <w:t xml:space="preserve">The diagnostic method for </w:t>
      </w:r>
      <w:r w:rsidR="00E06EBF" w:rsidRPr="008621C5">
        <w:t>DME</w:t>
      </w:r>
      <w:r w:rsidRPr="008621C5">
        <w:t xml:space="preserve"> has been speci</w:t>
      </w:r>
      <w:r w:rsidR="002A44C3" w:rsidRPr="008621C5">
        <w:t>fied as fluorescein angiography, previously unspecified (</w:t>
      </w:r>
      <w:r w:rsidR="005A0497">
        <w:t xml:space="preserve">paragraph </w:t>
      </w:r>
      <w:r w:rsidR="002A44C3" w:rsidRPr="008621C5">
        <w:t xml:space="preserve">2.3, </w:t>
      </w:r>
      <w:r w:rsidR="00D81EA2">
        <w:t>d</w:t>
      </w:r>
      <w:r w:rsidR="002A44C3" w:rsidRPr="008621C5">
        <w:t xml:space="preserve">examethasone </w:t>
      </w:r>
      <w:r w:rsidR="00D81EA2">
        <w:t>implant PSD</w:t>
      </w:r>
      <w:r w:rsidR="002A44C3" w:rsidRPr="008621C5">
        <w:t xml:space="preserve">, March 2015 PBAC Meeting). This method of diagnosis is consistent with both the ranibizumab and aflibercept </w:t>
      </w:r>
      <w:r w:rsidR="00E7777D" w:rsidRPr="008621C5">
        <w:t>listings;</w:t>
      </w:r>
      <w:r w:rsidR="002A44C3" w:rsidRPr="008621C5">
        <w:t xml:space="preserve"> however, the dexamethasone, aflibercept and ranibizumab trials</w:t>
      </w:r>
      <w:r w:rsidR="004B33D4" w:rsidRPr="008621C5">
        <w:t xml:space="preserve"> all use</w:t>
      </w:r>
      <w:r w:rsidR="0069271D" w:rsidRPr="008621C5">
        <w:t>d</w:t>
      </w:r>
      <w:r w:rsidR="004B33D4" w:rsidRPr="008621C5">
        <w:t xml:space="preserve"> OCT</w:t>
      </w:r>
      <w:r w:rsidR="0069271D" w:rsidRPr="008621C5">
        <w:t xml:space="preserve"> to diagnose DME</w:t>
      </w:r>
      <w:r w:rsidR="002A44C3" w:rsidRPr="008621C5">
        <w:t>.</w:t>
      </w:r>
    </w:p>
    <w:p w:rsidR="002A44C3" w:rsidRPr="008621C5" w:rsidRDefault="002A44C3" w:rsidP="00916D5F">
      <w:pPr>
        <w:pStyle w:val="ListParagraph"/>
        <w:widowControl/>
        <w:numPr>
          <w:ilvl w:val="0"/>
          <w:numId w:val="1"/>
        </w:numPr>
        <w:ind w:left="1134"/>
      </w:pPr>
      <w:r w:rsidRPr="008621C5">
        <w:t xml:space="preserve">The definition of visual impairment has changed from a visual acuity of ≤ 6/12 Snellen fraction to a BCVA between 78 and 39 letters based on the early treatment diabetic retinopathy study (ETDRS) chart administered at a distance of </w:t>
      </w:r>
      <w:r w:rsidRPr="008621C5">
        <w:lastRenderedPageBreak/>
        <w:t>4 metres (approximate Snellen equivalent 20/32 to 20/160), in the eye proposed for treatment. This is consistent with both the ranibi</w:t>
      </w:r>
      <w:r w:rsidR="0069271D" w:rsidRPr="008621C5">
        <w:t>zumab and aflibercept listings.</w:t>
      </w:r>
    </w:p>
    <w:p w:rsidR="002A44C3" w:rsidRPr="008621C5" w:rsidRDefault="002A44C3" w:rsidP="00373552"/>
    <w:p w:rsidR="009A30D6" w:rsidRPr="008621C5" w:rsidRDefault="009A30D6" w:rsidP="00D06055">
      <w:pPr>
        <w:pStyle w:val="ListParagraph"/>
        <w:numPr>
          <w:ilvl w:val="1"/>
          <w:numId w:val="2"/>
        </w:numPr>
      </w:pPr>
      <w:r w:rsidRPr="008621C5">
        <w:t xml:space="preserve">While the requested listing restricts usage to patients with pseudophakic lenses, it does not restrict use in patients where </w:t>
      </w:r>
      <w:r w:rsidR="004652CF" w:rsidRPr="008621C5">
        <w:t xml:space="preserve">vascular endothelial growth factor </w:t>
      </w:r>
      <w:r w:rsidR="004652CF">
        <w:t>(</w:t>
      </w:r>
      <w:r w:rsidRPr="008621C5">
        <w:t>VEGF</w:t>
      </w:r>
      <w:r w:rsidR="004652CF">
        <w:t>)</w:t>
      </w:r>
      <w:r w:rsidRPr="008621C5">
        <w:t xml:space="preserve"> </w:t>
      </w:r>
      <w:r w:rsidR="00E229C3">
        <w:t>inhibitors</w:t>
      </w:r>
      <w:r w:rsidRPr="008621C5">
        <w:t xml:space="preserve"> are not the preferred treatment. This may be particularly important if PBAC consider</w:t>
      </w:r>
      <w:r w:rsidR="0069271D" w:rsidRPr="008621C5">
        <w:t>s</w:t>
      </w:r>
      <w:r w:rsidRPr="008621C5">
        <w:t xml:space="preserve"> that the dexamethasone implant is not as effective as VEGF inhibitors in the overall pseudophakic population</w:t>
      </w:r>
      <w:r w:rsidR="004B33D4" w:rsidRPr="008621C5">
        <w:t xml:space="preserve"> who would otherwise be suitable for treatment with VEGF inhibitors</w:t>
      </w:r>
      <w:r w:rsidRPr="008621C5">
        <w:t>.</w:t>
      </w:r>
      <w:r w:rsidR="00227B82" w:rsidRPr="008621C5">
        <w:t xml:space="preserve"> The </w:t>
      </w:r>
      <w:r w:rsidR="00CF6585">
        <w:t>Pre-Sub-Committee Response (</w:t>
      </w:r>
      <w:r w:rsidR="00227B82" w:rsidRPr="008621C5">
        <w:t>PSCR</w:t>
      </w:r>
      <w:r w:rsidR="00CF6585">
        <w:t>)</w:t>
      </w:r>
      <w:r w:rsidR="00227B82" w:rsidRPr="008621C5">
        <w:t xml:space="preserve"> (p1-2) argued that any such restriction would be redundant as clinicians would ‘automatically’ prescribe the preferred treatment. The ESC did not agree with th</w:t>
      </w:r>
      <w:r w:rsidR="003B5D39" w:rsidRPr="008621C5">
        <w:t>is argument</w:t>
      </w:r>
      <w:r w:rsidR="00227B82" w:rsidRPr="008621C5">
        <w:t>, and considered it would be necessary to restrict the listing.</w:t>
      </w:r>
    </w:p>
    <w:p w:rsidR="009A30D6" w:rsidRPr="008621C5" w:rsidRDefault="009A30D6" w:rsidP="009A30D6">
      <w:pPr>
        <w:widowControl/>
      </w:pPr>
    </w:p>
    <w:p w:rsidR="00003341" w:rsidRPr="002B45A5" w:rsidRDefault="009A30D6" w:rsidP="00D06055">
      <w:pPr>
        <w:pStyle w:val="ListParagraph"/>
        <w:widowControl/>
        <w:numPr>
          <w:ilvl w:val="1"/>
          <w:numId w:val="2"/>
        </w:numPr>
      </w:pPr>
      <w:r w:rsidRPr="008621C5">
        <w:t xml:space="preserve">The requested listing </w:t>
      </w:r>
      <w:r w:rsidR="0069271D" w:rsidRPr="008621C5">
        <w:t xml:space="preserve">also </w:t>
      </w:r>
      <w:r w:rsidRPr="008621C5">
        <w:t xml:space="preserve">specifies that dexamethasone implant must be as monotherapy, which excludes the concomitant use of laser </w:t>
      </w:r>
      <w:r w:rsidR="004652CF">
        <w:t>photo</w:t>
      </w:r>
      <w:r w:rsidRPr="008621C5">
        <w:t xml:space="preserve">coagulation. </w:t>
      </w:r>
      <w:r w:rsidR="00C14EE8" w:rsidRPr="008621C5">
        <w:t xml:space="preserve">This </w:t>
      </w:r>
      <w:r w:rsidR="0069271D" w:rsidRPr="008621C5">
        <w:t>wa</w:t>
      </w:r>
      <w:r w:rsidR="00C14EE8" w:rsidRPr="008621C5">
        <w:t>s consistent with the key dexamethasone implant trials, MEAD and BEVORDEX trials. However, u</w:t>
      </w:r>
      <w:r w:rsidRPr="008621C5">
        <w:t>se of dexamethasone implant vs VEGF</w:t>
      </w:r>
      <w:r w:rsidR="00E229C3">
        <w:t xml:space="preserve"> inhibitor</w:t>
      </w:r>
      <w:r w:rsidRPr="008621C5">
        <w:t>s may be limited given that a similar restriction was not included in the ranibizumab and aflibercept PBS listings.</w:t>
      </w:r>
      <w:r w:rsidR="00003341" w:rsidRPr="008621C5">
        <w:t xml:space="preserve"> </w:t>
      </w:r>
      <w:r w:rsidR="00905296" w:rsidRPr="008621C5">
        <w:t xml:space="preserve">The ESC noted that there was no evidence provided on the effects of treatment with both dexamethasone implant and laser photocoagulation. </w:t>
      </w:r>
      <w:r w:rsidR="00003341" w:rsidRPr="008621C5">
        <w:t xml:space="preserve">The PSCR </w:t>
      </w:r>
      <w:r w:rsidR="00E46E8D" w:rsidRPr="008621C5">
        <w:t xml:space="preserve">(p3) </w:t>
      </w:r>
      <w:r w:rsidR="003B5D39" w:rsidRPr="008621C5">
        <w:t>clarified</w:t>
      </w:r>
      <w:r w:rsidR="00003341" w:rsidRPr="008621C5">
        <w:t xml:space="preserve"> that laser </w:t>
      </w:r>
      <w:r w:rsidR="00E46E8D" w:rsidRPr="008621C5">
        <w:t xml:space="preserve">photocoagulation </w:t>
      </w:r>
      <w:r w:rsidR="00003341" w:rsidRPr="008621C5">
        <w:t xml:space="preserve">is for </w:t>
      </w:r>
      <w:r w:rsidR="00E46E8D" w:rsidRPr="008621C5">
        <w:t xml:space="preserve">treating </w:t>
      </w:r>
      <w:r w:rsidR="00003341" w:rsidRPr="008621C5">
        <w:t>peripheral DM</w:t>
      </w:r>
      <w:r w:rsidR="00E46E8D" w:rsidRPr="008621C5">
        <w:t>E</w:t>
      </w:r>
      <w:r w:rsidR="00003341" w:rsidRPr="008621C5">
        <w:t xml:space="preserve"> </w:t>
      </w:r>
      <w:r w:rsidR="00E46E8D" w:rsidRPr="008621C5">
        <w:t>while</w:t>
      </w:r>
      <w:r w:rsidR="00003341" w:rsidRPr="008621C5">
        <w:t xml:space="preserve"> dexamethasone </w:t>
      </w:r>
      <w:r w:rsidR="00E46E8D" w:rsidRPr="008621C5">
        <w:t xml:space="preserve">implant is </w:t>
      </w:r>
      <w:r w:rsidR="00003341" w:rsidRPr="008621C5">
        <w:t>for</w:t>
      </w:r>
      <w:r w:rsidR="00E46E8D" w:rsidRPr="008621C5">
        <w:t xml:space="preserve"> treating central</w:t>
      </w:r>
      <w:r w:rsidR="00003341" w:rsidRPr="008621C5">
        <w:t xml:space="preserve"> DM</w:t>
      </w:r>
      <w:r w:rsidR="00E46E8D" w:rsidRPr="008621C5">
        <w:t>E</w:t>
      </w:r>
      <w:r w:rsidR="00003341" w:rsidRPr="008621C5">
        <w:t xml:space="preserve">. </w:t>
      </w:r>
      <w:r w:rsidR="00E46E8D" w:rsidRPr="008621C5">
        <w:t xml:space="preserve">The ESC considered that it would be informative for the PBAC to know </w:t>
      </w:r>
      <w:r w:rsidR="00003341" w:rsidRPr="008621C5">
        <w:t>what proportion of patients had</w:t>
      </w:r>
      <w:r w:rsidR="00E46E8D" w:rsidRPr="008621C5">
        <w:t xml:space="preserve"> both peripheral and central DME</w:t>
      </w:r>
      <w:r w:rsidR="00CF0C53" w:rsidRPr="008621C5">
        <w:t>,</w:t>
      </w:r>
      <w:r w:rsidR="00003341" w:rsidRPr="008621C5">
        <w:t xml:space="preserve"> and whether there would be additional benefit to vision from treating peripheral DM</w:t>
      </w:r>
      <w:r w:rsidR="00E46E8D" w:rsidRPr="008621C5">
        <w:t>E.</w:t>
      </w:r>
      <w:r w:rsidR="00C9608E" w:rsidRPr="002B45A5">
        <w:t xml:space="preserve"> The Pre-PBAC Response (p2) noted that</w:t>
      </w:r>
      <w:r w:rsidR="00E229C3" w:rsidRPr="002B45A5">
        <w:t>,</w:t>
      </w:r>
      <w:r w:rsidR="00C9608E" w:rsidRPr="002B45A5">
        <w:t xml:space="preserve"> in Trial 024, there was no significant difference in the incidence of concurrent laser photocoagulation therapy over the 12 months of the trial </w:t>
      </w:r>
      <w:r w:rsidR="00E229C3" w:rsidRPr="002B45A5">
        <w:t>between</w:t>
      </w:r>
      <w:r w:rsidR="00C9608E" w:rsidRPr="002B45A5">
        <w:t xml:space="preserve"> the dexamethasone implant </w:t>
      </w:r>
      <w:r w:rsidR="00E229C3" w:rsidRPr="002B45A5">
        <w:t xml:space="preserve">and </w:t>
      </w:r>
      <w:r w:rsidR="00C9608E" w:rsidRPr="002B45A5">
        <w:t>ranibizumab injection arms. Overall, 6.1% of patients had concomitant laser photocoagulation.</w:t>
      </w:r>
    </w:p>
    <w:p w:rsidR="009A30D6" w:rsidRPr="008621C5" w:rsidRDefault="009A30D6" w:rsidP="00003341">
      <w:pPr>
        <w:widowControl/>
      </w:pPr>
    </w:p>
    <w:p w:rsidR="002A44C3" w:rsidRPr="008020FB" w:rsidRDefault="002A44C3" w:rsidP="00D06055">
      <w:pPr>
        <w:pStyle w:val="ListParagraph"/>
        <w:widowControl/>
        <w:numPr>
          <w:ilvl w:val="1"/>
          <w:numId w:val="2"/>
        </w:numPr>
        <w:rPr>
          <w:szCs w:val="22"/>
        </w:rPr>
      </w:pPr>
      <w:r w:rsidRPr="008621C5">
        <w:t>Listing was sought based on a comparison of the cost of treatment with dexamethasone implant with the costs of treatment with</w:t>
      </w:r>
      <w:r w:rsidR="008326C7" w:rsidRPr="008621C5">
        <w:t xml:space="preserve"> </w:t>
      </w:r>
      <w:r w:rsidRPr="008621C5">
        <w:t>VEGF inhibitors</w:t>
      </w:r>
      <w:r w:rsidR="008326C7" w:rsidRPr="008621C5">
        <w:t>, specifically aflibercept and ranibizumab</w:t>
      </w:r>
      <w:r w:rsidRPr="008621C5">
        <w:t xml:space="preserve">. </w:t>
      </w:r>
      <w:r w:rsidR="004B33D4" w:rsidRPr="008621C5">
        <w:t xml:space="preserve">This is inappropriate for patients who </w:t>
      </w:r>
      <w:r w:rsidR="005A05AA" w:rsidRPr="008621C5">
        <w:t xml:space="preserve">have </w:t>
      </w:r>
      <w:r w:rsidR="00AA149C">
        <w:t xml:space="preserve">a </w:t>
      </w:r>
      <w:r w:rsidR="005A05AA" w:rsidRPr="008621C5">
        <w:t>contraindication to</w:t>
      </w:r>
      <w:r w:rsidR="004B33D4" w:rsidRPr="008621C5">
        <w:t xml:space="preserve"> or who have failed prior </w:t>
      </w:r>
      <w:r w:rsidR="004652CF">
        <w:t xml:space="preserve">treatment with </w:t>
      </w:r>
      <w:r w:rsidR="004B33D4" w:rsidRPr="008621C5">
        <w:t xml:space="preserve">VEGF inhibitors. Furthermore, it </w:t>
      </w:r>
      <w:r w:rsidR="00C532D9" w:rsidRPr="008621C5">
        <w:t>may be</w:t>
      </w:r>
      <w:r w:rsidR="004B33D4" w:rsidRPr="008621C5">
        <w:t xml:space="preserve"> inappropriate to compare the cost of dexamethasone implant with VEGF inhibitors</w:t>
      </w:r>
      <w:r w:rsidR="001E6192" w:rsidRPr="008621C5">
        <w:t xml:space="preserve"> for th</w:t>
      </w:r>
      <w:r w:rsidR="0069271D" w:rsidRPr="008621C5">
        <w:t>os</w:t>
      </w:r>
      <w:r w:rsidR="001E6192" w:rsidRPr="008621C5">
        <w:t>e p</w:t>
      </w:r>
      <w:r w:rsidR="0069271D" w:rsidRPr="008621C5">
        <w:t>atients</w:t>
      </w:r>
      <w:r w:rsidR="001E6192" w:rsidRPr="008621C5">
        <w:t xml:space="preserve"> who are determined to be non-compliant </w:t>
      </w:r>
      <w:r w:rsidR="00CF0C53" w:rsidRPr="008621C5">
        <w:t>with</w:t>
      </w:r>
      <w:r w:rsidR="005A05AA" w:rsidRPr="008621C5">
        <w:t xml:space="preserve"> </w:t>
      </w:r>
      <w:r w:rsidR="001E6192" w:rsidRPr="008621C5">
        <w:t>VEGF inhibitors</w:t>
      </w:r>
      <w:r w:rsidR="005A05AA" w:rsidRPr="008621C5">
        <w:t>,</w:t>
      </w:r>
      <w:r w:rsidR="001E6192" w:rsidRPr="008621C5">
        <w:t xml:space="preserve"> unless the reduced cost due to non-compliance is </w:t>
      </w:r>
      <w:r w:rsidR="00AB261C">
        <w:t xml:space="preserve">also </w:t>
      </w:r>
      <w:r w:rsidR="001E6192" w:rsidRPr="008621C5">
        <w:t>considered.</w:t>
      </w:r>
    </w:p>
    <w:p w:rsidR="00BC0614" w:rsidRDefault="00BC0614" w:rsidP="00BC0614">
      <w:pPr>
        <w:pStyle w:val="BodyText"/>
      </w:pPr>
    </w:p>
    <w:p w:rsidR="007A4B25" w:rsidRDefault="00D55C29" w:rsidP="008D7437">
      <w:pPr>
        <w:pStyle w:val="BodyText"/>
        <w:ind w:firstLine="720"/>
        <w:rPr>
          <w:szCs w:val="22"/>
        </w:rPr>
      </w:pPr>
      <w:r w:rsidRPr="008D7437">
        <w:rPr>
          <w:i/>
          <w:szCs w:val="22"/>
        </w:rPr>
        <w:t>For more detail on PBAC’s view, see section 7 “PBAC outcome”</w:t>
      </w:r>
      <w:r w:rsidR="002B45A5">
        <w:rPr>
          <w:i/>
          <w:szCs w:val="22"/>
        </w:rPr>
        <w:t>.</w:t>
      </w:r>
    </w:p>
    <w:p w:rsidR="00D55C29" w:rsidRDefault="00D55C29" w:rsidP="00BC0614">
      <w:pPr>
        <w:pStyle w:val="BodyText"/>
      </w:pPr>
    </w:p>
    <w:p w:rsidR="00D55C29" w:rsidRPr="00D55C29" w:rsidRDefault="00D55C29" w:rsidP="00BC0614">
      <w:pPr>
        <w:pStyle w:val="BodyText"/>
      </w:pPr>
    </w:p>
    <w:p w:rsidR="00F338FF" w:rsidRPr="00BC0614" w:rsidRDefault="00F338FF" w:rsidP="00A9453C">
      <w:pPr>
        <w:pStyle w:val="Heading1"/>
        <w:widowControl/>
        <w:numPr>
          <w:ilvl w:val="0"/>
          <w:numId w:val="3"/>
        </w:numPr>
        <w:rPr>
          <w:b w:val="0"/>
        </w:rPr>
      </w:pPr>
      <w:bookmarkStart w:id="4" w:name="_Toc440970681"/>
      <w:r w:rsidRPr="00BC0614">
        <w:rPr>
          <w:b w:val="0"/>
        </w:rPr>
        <w:t>Background</w:t>
      </w:r>
      <w:bookmarkEnd w:id="4"/>
    </w:p>
    <w:p w:rsidR="00BC0614" w:rsidRPr="0069271D" w:rsidRDefault="00BC0614" w:rsidP="00BC0614">
      <w:pPr>
        <w:widowControl/>
        <w:rPr>
          <w:szCs w:val="22"/>
        </w:rPr>
      </w:pPr>
    </w:p>
    <w:p w:rsidR="002A44C3" w:rsidRPr="007416E9" w:rsidRDefault="007B09F3" w:rsidP="00D06055">
      <w:pPr>
        <w:pStyle w:val="ListParagraph"/>
        <w:widowControl/>
        <w:numPr>
          <w:ilvl w:val="1"/>
          <w:numId w:val="5"/>
        </w:numPr>
        <w:rPr>
          <w:szCs w:val="22"/>
        </w:rPr>
      </w:pPr>
      <w:r w:rsidRPr="007416E9">
        <w:rPr>
          <w:bCs/>
          <w:szCs w:val="22"/>
        </w:rPr>
        <w:t xml:space="preserve">TGA status at time of </w:t>
      </w:r>
      <w:r w:rsidR="007416E9" w:rsidRPr="007416E9">
        <w:rPr>
          <w:bCs/>
          <w:szCs w:val="22"/>
        </w:rPr>
        <w:t>PBAC consideration</w:t>
      </w:r>
      <w:r w:rsidRPr="007416E9">
        <w:rPr>
          <w:bCs/>
          <w:szCs w:val="22"/>
        </w:rPr>
        <w:t xml:space="preserve">: </w:t>
      </w:r>
      <w:r w:rsidR="00E641A3">
        <w:rPr>
          <w:bCs/>
          <w:szCs w:val="22"/>
        </w:rPr>
        <w:t>D</w:t>
      </w:r>
      <w:r w:rsidR="002A44C3" w:rsidRPr="007416E9">
        <w:rPr>
          <w:szCs w:val="22"/>
        </w:rPr>
        <w:t xml:space="preserve">examethasone </w:t>
      </w:r>
      <w:r w:rsidR="00E641A3">
        <w:rPr>
          <w:szCs w:val="22"/>
        </w:rPr>
        <w:t xml:space="preserve">implant </w:t>
      </w:r>
      <w:r w:rsidR="002A44C3" w:rsidRPr="007416E9">
        <w:rPr>
          <w:szCs w:val="22"/>
        </w:rPr>
        <w:t>was approved for registration by the TGA for the treatment of diabetic macular oedema (</w:t>
      </w:r>
      <w:r w:rsidR="00E06EBF" w:rsidRPr="007416E9">
        <w:rPr>
          <w:szCs w:val="22"/>
        </w:rPr>
        <w:t>DME</w:t>
      </w:r>
      <w:r w:rsidR="002A44C3" w:rsidRPr="007416E9">
        <w:rPr>
          <w:szCs w:val="22"/>
        </w:rPr>
        <w:t>) in June 2015.</w:t>
      </w:r>
    </w:p>
    <w:p w:rsidR="00B60939" w:rsidRPr="001971A6" w:rsidRDefault="00B60939" w:rsidP="002A44C3">
      <w:pPr>
        <w:widowControl/>
      </w:pPr>
    </w:p>
    <w:p w:rsidR="00000527" w:rsidRDefault="00000527" w:rsidP="00000527">
      <w:pPr>
        <w:pStyle w:val="ListParagraph"/>
        <w:widowControl/>
        <w:numPr>
          <w:ilvl w:val="1"/>
          <w:numId w:val="5"/>
        </w:numPr>
        <w:rPr>
          <w:szCs w:val="22"/>
        </w:rPr>
      </w:pPr>
      <w:r w:rsidRPr="008621C5">
        <w:rPr>
          <w:szCs w:val="22"/>
        </w:rPr>
        <w:t>The intravitreal implant itself consists of 700 µg dexamethasone in a solid polymer drug delivery system (DDS).</w:t>
      </w:r>
    </w:p>
    <w:p w:rsidR="00000527" w:rsidRPr="00000527" w:rsidRDefault="00000527" w:rsidP="00000527">
      <w:pPr>
        <w:widowControl/>
        <w:rPr>
          <w:szCs w:val="22"/>
        </w:rPr>
      </w:pPr>
    </w:p>
    <w:p w:rsidR="003B4D65" w:rsidRPr="00E46E8D" w:rsidRDefault="00B64512" w:rsidP="00D06055">
      <w:pPr>
        <w:pStyle w:val="ListParagraph"/>
        <w:widowControl/>
        <w:numPr>
          <w:ilvl w:val="1"/>
          <w:numId w:val="5"/>
        </w:numPr>
        <w:rPr>
          <w:szCs w:val="22"/>
        </w:rPr>
      </w:pPr>
      <w:r w:rsidRPr="00B64512">
        <w:rPr>
          <w:szCs w:val="22"/>
        </w:rPr>
        <w:lastRenderedPageBreak/>
        <w:t xml:space="preserve">This was the second consideration by the PBAC of dexamethasone implant for the treatment of vision impairment due to DME in patients who have </w:t>
      </w:r>
      <w:r w:rsidR="004652CF">
        <w:rPr>
          <w:szCs w:val="22"/>
        </w:rPr>
        <w:t xml:space="preserve">an </w:t>
      </w:r>
      <w:r w:rsidRPr="00B64512">
        <w:rPr>
          <w:szCs w:val="22"/>
        </w:rPr>
        <w:t xml:space="preserve">artificial lens implant or who are scheduled for cataract surgery. </w:t>
      </w:r>
      <w:r w:rsidR="009C6BA2">
        <w:rPr>
          <w:szCs w:val="22"/>
        </w:rPr>
        <w:t xml:space="preserve">The PBAC considered the original submission at its March 2015 </w:t>
      </w:r>
      <w:r w:rsidR="0069271D">
        <w:rPr>
          <w:szCs w:val="22"/>
        </w:rPr>
        <w:t>m</w:t>
      </w:r>
      <w:r w:rsidR="009C6BA2">
        <w:rPr>
          <w:szCs w:val="22"/>
        </w:rPr>
        <w:t>eeting</w:t>
      </w:r>
      <w:r w:rsidR="00CF0C53">
        <w:rPr>
          <w:szCs w:val="22"/>
        </w:rPr>
        <w:t>.</w:t>
      </w:r>
    </w:p>
    <w:p w:rsidR="003B4D65" w:rsidRPr="0069271D" w:rsidRDefault="003B4D65" w:rsidP="003B4D65">
      <w:pPr>
        <w:rPr>
          <w:szCs w:val="22"/>
        </w:rPr>
      </w:pPr>
    </w:p>
    <w:p w:rsidR="00B60939" w:rsidRPr="00B64512" w:rsidRDefault="00B64512" w:rsidP="00D06055">
      <w:pPr>
        <w:pStyle w:val="ListParagraph"/>
        <w:widowControl/>
        <w:numPr>
          <w:ilvl w:val="1"/>
          <w:numId w:val="5"/>
        </w:numPr>
        <w:rPr>
          <w:szCs w:val="22"/>
        </w:rPr>
      </w:pPr>
      <w:r w:rsidRPr="00B64512">
        <w:rPr>
          <w:szCs w:val="22"/>
        </w:rPr>
        <w:t xml:space="preserve">Ranibizumab was </w:t>
      </w:r>
      <w:r>
        <w:rPr>
          <w:szCs w:val="22"/>
        </w:rPr>
        <w:t>recommended by the PBAC for the treatment of vision impai</w:t>
      </w:r>
      <w:r w:rsidR="009C6BA2">
        <w:rPr>
          <w:szCs w:val="22"/>
        </w:rPr>
        <w:t xml:space="preserve">rment caused by </w:t>
      </w:r>
      <w:r w:rsidR="00E06EBF">
        <w:rPr>
          <w:szCs w:val="22"/>
        </w:rPr>
        <w:t>DME</w:t>
      </w:r>
      <w:r w:rsidR="009C6BA2">
        <w:rPr>
          <w:szCs w:val="22"/>
        </w:rPr>
        <w:t xml:space="preserve"> in July 2014</w:t>
      </w:r>
      <w:r>
        <w:rPr>
          <w:szCs w:val="22"/>
        </w:rPr>
        <w:t xml:space="preserve">. Aflibercept was recommended by the PBAC for the treatment of vision impairment caused by </w:t>
      </w:r>
      <w:r w:rsidR="00E06EBF">
        <w:rPr>
          <w:szCs w:val="22"/>
        </w:rPr>
        <w:t>DME</w:t>
      </w:r>
      <w:r w:rsidR="0069271D">
        <w:rPr>
          <w:szCs w:val="22"/>
        </w:rPr>
        <w:t xml:space="preserve"> in November 2014.</w:t>
      </w:r>
    </w:p>
    <w:p w:rsidR="00D55C29" w:rsidRPr="008D7437" w:rsidRDefault="00D55C29" w:rsidP="00D55C29">
      <w:pPr>
        <w:pStyle w:val="BodyText"/>
        <w:rPr>
          <w:szCs w:val="22"/>
          <w:highlight w:val="yellow"/>
        </w:rPr>
      </w:pPr>
    </w:p>
    <w:p w:rsidR="00D55C29" w:rsidRPr="00BC0614" w:rsidRDefault="00D55C29" w:rsidP="00BC0614">
      <w:pPr>
        <w:pStyle w:val="BodyText"/>
      </w:pPr>
    </w:p>
    <w:p w:rsidR="00F338FF" w:rsidRPr="00BC0614" w:rsidRDefault="00F338FF" w:rsidP="00A9453C">
      <w:pPr>
        <w:pStyle w:val="Heading1"/>
        <w:widowControl/>
        <w:numPr>
          <w:ilvl w:val="0"/>
          <w:numId w:val="3"/>
        </w:numPr>
        <w:rPr>
          <w:b w:val="0"/>
        </w:rPr>
      </w:pPr>
      <w:bookmarkStart w:id="5" w:name="_Toc440970682"/>
      <w:r w:rsidRPr="00BC0614">
        <w:rPr>
          <w:b w:val="0"/>
        </w:rPr>
        <w:t>Clinical place for the proposed therapy</w:t>
      </w:r>
      <w:bookmarkEnd w:id="5"/>
    </w:p>
    <w:p w:rsidR="00B60939" w:rsidRPr="00BC0614" w:rsidRDefault="00B60939" w:rsidP="00BC0614">
      <w:pPr>
        <w:pStyle w:val="BodyText"/>
      </w:pPr>
    </w:p>
    <w:p w:rsidR="00F35155" w:rsidRPr="001A6A68" w:rsidRDefault="00F35155" w:rsidP="00D06055">
      <w:pPr>
        <w:pStyle w:val="ListParagraph"/>
        <w:widowControl/>
        <w:numPr>
          <w:ilvl w:val="1"/>
          <w:numId w:val="4"/>
        </w:numPr>
        <w:rPr>
          <w:szCs w:val="22"/>
        </w:rPr>
      </w:pPr>
      <w:r>
        <w:t>DME</w:t>
      </w:r>
      <w:r w:rsidRPr="005D39EA">
        <w:t xml:space="preserve"> is a severe complication that can develop at any stage of diabetic retinopathy </w:t>
      </w:r>
      <w:r w:rsidRPr="00A17017">
        <w:t>(DR). DME</w:t>
      </w:r>
      <w:r w:rsidRPr="005D39EA">
        <w:t xml:space="preserve"> leads to impaired vision and possibly blindness and impacts the patient’s quality of life.</w:t>
      </w:r>
    </w:p>
    <w:p w:rsidR="00F35155" w:rsidRPr="0069271D" w:rsidRDefault="00F35155" w:rsidP="00F35155">
      <w:pPr>
        <w:widowControl/>
        <w:rPr>
          <w:szCs w:val="22"/>
        </w:rPr>
      </w:pPr>
    </w:p>
    <w:p w:rsidR="00F35155" w:rsidRDefault="00F35155" w:rsidP="00D06055">
      <w:pPr>
        <w:pStyle w:val="ListParagraph"/>
        <w:widowControl/>
        <w:numPr>
          <w:ilvl w:val="1"/>
          <w:numId w:val="4"/>
        </w:numPr>
        <w:rPr>
          <w:szCs w:val="22"/>
        </w:rPr>
      </w:pPr>
      <w:r w:rsidRPr="009E523A">
        <w:rPr>
          <w:szCs w:val="22"/>
        </w:rPr>
        <w:t>The dexamethasone implant enables the sustained release of dexamethasone, a potent corticosteroid that suppresses inflammation by inhibiting multiple inflammatory cytokines. This decreases fibrin deposition, capillary leakage, and migration of the inflammatory cells, which in turn reduces macular oedema</w:t>
      </w:r>
      <w:r>
        <w:rPr>
          <w:szCs w:val="22"/>
        </w:rPr>
        <w:t>.</w:t>
      </w:r>
    </w:p>
    <w:p w:rsidR="00F35155" w:rsidRPr="008621C5" w:rsidRDefault="00F35155" w:rsidP="00F35155"/>
    <w:p w:rsidR="009A30D6" w:rsidRPr="008621C5" w:rsidRDefault="009A30D6" w:rsidP="00D06055">
      <w:pPr>
        <w:pStyle w:val="ListParagraph"/>
        <w:widowControl/>
        <w:numPr>
          <w:ilvl w:val="1"/>
          <w:numId w:val="4"/>
        </w:numPr>
        <w:rPr>
          <w:szCs w:val="22"/>
        </w:rPr>
      </w:pPr>
      <w:r w:rsidRPr="008621C5">
        <w:t>The resubmission proposed that the dexamethasone implant would be used as an alternative to VEGF inhibitors, for the treatment of DME patients with pseudophakic eyes for whom VEGF</w:t>
      </w:r>
      <w:r w:rsidR="00E229C3">
        <w:t xml:space="preserve"> inhibition</w:t>
      </w:r>
      <w:r w:rsidRPr="008621C5">
        <w:t xml:space="preserve"> is </w:t>
      </w:r>
      <w:r w:rsidRPr="00E229C3">
        <w:t>not the preferred treatment</w:t>
      </w:r>
      <w:r w:rsidRPr="008621C5">
        <w:t xml:space="preserve">. The resubmission suggested that this population would include those who </w:t>
      </w:r>
      <w:r w:rsidR="005A05AA" w:rsidRPr="008621C5">
        <w:t xml:space="preserve">have </w:t>
      </w:r>
      <w:r w:rsidR="00AA149C">
        <w:t xml:space="preserve">a </w:t>
      </w:r>
      <w:r w:rsidR="005A05AA" w:rsidRPr="008621C5">
        <w:t xml:space="preserve">contraindication to </w:t>
      </w:r>
      <w:r w:rsidRPr="008621C5">
        <w:t xml:space="preserve">or have failed to respond to VEGF </w:t>
      </w:r>
      <w:r w:rsidR="00D019E7">
        <w:t>inhibitors</w:t>
      </w:r>
      <w:r w:rsidRPr="008621C5">
        <w:t xml:space="preserve">, or where a patient may be unsuitable for treatment with VEGF </w:t>
      </w:r>
      <w:r w:rsidR="00D019E7">
        <w:t>inhibitors</w:t>
      </w:r>
      <w:r w:rsidRPr="008621C5">
        <w:t xml:space="preserve"> because of a likelihood of failure to attend the clinic on the number of occasions required. The perceived advantage of using the dexamethasone implant was the reduced requirement for injections. This would benefit patients who were unlikely to be compliant with frequent injections or who may benefit from alternative treatments with longer duration of action (such as in the rural setting), however this should be considered in the context of the potential risk</w:t>
      </w:r>
      <w:r w:rsidR="0069271D" w:rsidRPr="008621C5">
        <w:t xml:space="preserve"> of </w:t>
      </w:r>
      <w:r w:rsidRPr="008621C5">
        <w:t>harm, including:</w:t>
      </w:r>
    </w:p>
    <w:p w:rsidR="009A30D6" w:rsidRPr="008621C5" w:rsidRDefault="0069271D" w:rsidP="00D06055">
      <w:pPr>
        <w:pStyle w:val="ListParagraph"/>
        <w:widowControl/>
        <w:numPr>
          <w:ilvl w:val="0"/>
          <w:numId w:val="10"/>
        </w:numPr>
        <w:rPr>
          <w:szCs w:val="22"/>
        </w:rPr>
      </w:pPr>
      <w:r w:rsidRPr="008621C5">
        <w:rPr>
          <w:szCs w:val="22"/>
        </w:rPr>
        <w:t>t</w:t>
      </w:r>
      <w:r w:rsidR="009A30D6" w:rsidRPr="008621C5">
        <w:rPr>
          <w:szCs w:val="22"/>
        </w:rPr>
        <w:t>he requirement of monitoring for or management of elevated intraocular pressure (IOP) following d</w:t>
      </w:r>
      <w:r w:rsidRPr="008621C5">
        <w:rPr>
          <w:szCs w:val="22"/>
        </w:rPr>
        <w:t>examethasone implant;</w:t>
      </w:r>
      <w:r w:rsidR="00502856">
        <w:rPr>
          <w:szCs w:val="22"/>
        </w:rPr>
        <w:t xml:space="preserve"> and</w:t>
      </w:r>
    </w:p>
    <w:p w:rsidR="009A30D6" w:rsidRPr="008621C5" w:rsidRDefault="0069271D" w:rsidP="00502856">
      <w:pPr>
        <w:pStyle w:val="ListParagraph"/>
        <w:widowControl/>
        <w:numPr>
          <w:ilvl w:val="0"/>
          <w:numId w:val="10"/>
        </w:numPr>
        <w:rPr>
          <w:szCs w:val="22"/>
        </w:rPr>
      </w:pPr>
      <w:r w:rsidRPr="008621C5">
        <w:rPr>
          <w:szCs w:val="22"/>
        </w:rPr>
        <w:t>t</w:t>
      </w:r>
      <w:r w:rsidR="009A30D6" w:rsidRPr="008621C5">
        <w:rPr>
          <w:szCs w:val="22"/>
        </w:rPr>
        <w:t xml:space="preserve">he inferior treatment effect in terms of visual acuity associated with dexamethasone versus VEGF </w:t>
      </w:r>
      <w:r w:rsidR="00D019E7">
        <w:t>inhibitors</w:t>
      </w:r>
      <w:r w:rsidR="009A30D6" w:rsidRPr="008621C5">
        <w:rPr>
          <w:szCs w:val="22"/>
        </w:rPr>
        <w:t>.</w:t>
      </w:r>
    </w:p>
    <w:p w:rsidR="009A30D6" w:rsidRPr="008621C5" w:rsidRDefault="009A30D6" w:rsidP="0069271D">
      <w:pPr>
        <w:rPr>
          <w:szCs w:val="22"/>
        </w:rPr>
      </w:pPr>
    </w:p>
    <w:p w:rsidR="009A30D6" w:rsidRDefault="009A30D6" w:rsidP="00D06055">
      <w:pPr>
        <w:pStyle w:val="ListParagraph"/>
        <w:widowControl/>
        <w:numPr>
          <w:ilvl w:val="1"/>
          <w:numId w:val="4"/>
        </w:numPr>
        <w:rPr>
          <w:szCs w:val="22"/>
        </w:rPr>
      </w:pPr>
      <w:r w:rsidRPr="008621C5">
        <w:rPr>
          <w:szCs w:val="22"/>
        </w:rPr>
        <w:t xml:space="preserve">The proposed clinical management algorithm does not indicate the use of dexamethasone to patients where </w:t>
      </w:r>
      <w:r w:rsidR="00D019E7">
        <w:rPr>
          <w:szCs w:val="22"/>
        </w:rPr>
        <w:t xml:space="preserve">a </w:t>
      </w:r>
      <w:r w:rsidRPr="008621C5">
        <w:rPr>
          <w:szCs w:val="22"/>
        </w:rPr>
        <w:t xml:space="preserve">VEGF </w:t>
      </w:r>
      <w:r w:rsidR="00D019E7">
        <w:rPr>
          <w:szCs w:val="22"/>
        </w:rPr>
        <w:t xml:space="preserve">inhibitor </w:t>
      </w:r>
      <w:r w:rsidRPr="008621C5">
        <w:rPr>
          <w:szCs w:val="22"/>
        </w:rPr>
        <w:t xml:space="preserve">is not the preferred treatment </w:t>
      </w:r>
      <w:r w:rsidR="00376D84">
        <w:rPr>
          <w:szCs w:val="22"/>
        </w:rPr>
        <w:t>–</w:t>
      </w:r>
      <w:r w:rsidRPr="008621C5">
        <w:rPr>
          <w:szCs w:val="22"/>
        </w:rPr>
        <w:t xml:space="preserve"> the algorithm simply shows dexamethasone as a jo</w:t>
      </w:r>
      <w:r w:rsidR="00D019E7">
        <w:rPr>
          <w:szCs w:val="22"/>
        </w:rPr>
        <w:t xml:space="preserve">int first-line therapy with a </w:t>
      </w:r>
      <w:r w:rsidRPr="008621C5">
        <w:rPr>
          <w:szCs w:val="22"/>
        </w:rPr>
        <w:t>VEGF</w:t>
      </w:r>
      <w:r w:rsidR="00D019E7">
        <w:rPr>
          <w:szCs w:val="22"/>
        </w:rPr>
        <w:t xml:space="preserve"> </w:t>
      </w:r>
      <w:r w:rsidR="00D019E7">
        <w:t>inhibitor</w:t>
      </w:r>
      <w:r w:rsidR="0069271D" w:rsidRPr="008621C5">
        <w:rPr>
          <w:szCs w:val="22"/>
        </w:rPr>
        <w:t>.</w:t>
      </w:r>
      <w:r w:rsidR="001F4411" w:rsidRPr="008621C5">
        <w:rPr>
          <w:szCs w:val="22"/>
        </w:rPr>
        <w:t xml:space="preserve"> The PSCR (p1) </w:t>
      </w:r>
      <w:r w:rsidR="001E5C5A" w:rsidRPr="008621C5">
        <w:rPr>
          <w:szCs w:val="22"/>
        </w:rPr>
        <w:t>re-affirmed</w:t>
      </w:r>
      <w:r w:rsidR="001F4411" w:rsidRPr="008621C5">
        <w:rPr>
          <w:szCs w:val="22"/>
        </w:rPr>
        <w:t xml:space="preserve"> that the proposed place of dexamethasone treatment is for the treatment of a DME patient with a pseudophakic lens for whom </w:t>
      </w:r>
      <w:r w:rsidR="00D019E7">
        <w:rPr>
          <w:szCs w:val="22"/>
        </w:rPr>
        <w:t xml:space="preserve">a </w:t>
      </w:r>
      <w:r w:rsidR="001F4411" w:rsidRPr="008621C5">
        <w:rPr>
          <w:szCs w:val="22"/>
        </w:rPr>
        <w:t xml:space="preserve">VEGF </w:t>
      </w:r>
      <w:r w:rsidR="00D019E7">
        <w:t>inhibitor</w:t>
      </w:r>
      <w:r w:rsidR="001F4411" w:rsidRPr="008621C5">
        <w:rPr>
          <w:szCs w:val="22"/>
        </w:rPr>
        <w:t xml:space="preserve"> is not the preferred treatment.</w:t>
      </w:r>
    </w:p>
    <w:p w:rsidR="00536DE5" w:rsidRPr="00536DE5" w:rsidRDefault="00536DE5" w:rsidP="00536DE5">
      <w:pPr>
        <w:widowControl/>
        <w:rPr>
          <w:szCs w:val="22"/>
        </w:rPr>
      </w:pPr>
    </w:p>
    <w:p w:rsidR="00536DE5" w:rsidRPr="008020FB" w:rsidRDefault="00536DE5" w:rsidP="00D06055">
      <w:pPr>
        <w:pStyle w:val="ListParagraph"/>
        <w:widowControl/>
        <w:numPr>
          <w:ilvl w:val="1"/>
          <w:numId w:val="4"/>
        </w:numPr>
        <w:rPr>
          <w:szCs w:val="22"/>
        </w:rPr>
      </w:pPr>
      <w:r>
        <w:rPr>
          <w:szCs w:val="22"/>
        </w:rPr>
        <w:t>The PBAC agreed that there would be unmet clinical need for patients with DME for whom a VEGF inhibitor is unsuitable for some reason, however, noted that such patients would not generate any cost off-sets from reduced use of VEGF inhibitors.</w:t>
      </w:r>
    </w:p>
    <w:p w:rsidR="007A4B25" w:rsidRPr="002B45A5" w:rsidRDefault="007A4B25" w:rsidP="007A4B25">
      <w:pPr>
        <w:rPr>
          <w:szCs w:val="22"/>
        </w:rPr>
      </w:pPr>
    </w:p>
    <w:p w:rsidR="00D55C29" w:rsidRDefault="00D55C29" w:rsidP="008D7437">
      <w:pPr>
        <w:pStyle w:val="BodyText"/>
        <w:ind w:firstLine="720"/>
        <w:rPr>
          <w:szCs w:val="22"/>
        </w:rPr>
      </w:pPr>
      <w:r w:rsidRPr="008D7437">
        <w:rPr>
          <w:i/>
          <w:szCs w:val="22"/>
        </w:rPr>
        <w:t>For more detail on PBAC’s view, see section 7 “PBAC outcome”</w:t>
      </w:r>
      <w:r w:rsidR="00E641A3">
        <w:rPr>
          <w:i/>
          <w:szCs w:val="22"/>
        </w:rPr>
        <w:t>.</w:t>
      </w:r>
    </w:p>
    <w:p w:rsidR="009A30D6" w:rsidRPr="00D019E7" w:rsidRDefault="009A30D6" w:rsidP="009A30D6">
      <w:pPr>
        <w:pStyle w:val="ListParagraph"/>
        <w:ind w:left="0"/>
        <w:rPr>
          <w:szCs w:val="22"/>
        </w:rPr>
      </w:pPr>
    </w:p>
    <w:p w:rsidR="00D55C29" w:rsidRPr="008020FB" w:rsidRDefault="00D55C29" w:rsidP="009A30D6">
      <w:pPr>
        <w:pStyle w:val="ListParagraph"/>
        <w:ind w:left="0"/>
        <w:rPr>
          <w:szCs w:val="22"/>
        </w:rPr>
      </w:pPr>
    </w:p>
    <w:p w:rsidR="009A30D6" w:rsidRPr="009A30D6" w:rsidRDefault="009A30D6" w:rsidP="00A9453C">
      <w:pPr>
        <w:pStyle w:val="Heading1"/>
        <w:widowControl/>
        <w:numPr>
          <w:ilvl w:val="0"/>
          <w:numId w:val="3"/>
        </w:numPr>
        <w:rPr>
          <w:b w:val="0"/>
        </w:rPr>
      </w:pPr>
      <w:bookmarkStart w:id="6" w:name="_Toc440970683"/>
      <w:r w:rsidRPr="009A30D6">
        <w:rPr>
          <w:b w:val="0"/>
        </w:rPr>
        <w:t>Comparator</w:t>
      </w:r>
      <w:bookmarkEnd w:id="6"/>
    </w:p>
    <w:p w:rsidR="009A30D6" w:rsidRPr="009A30D6" w:rsidRDefault="009A30D6" w:rsidP="009A30D6">
      <w:pPr>
        <w:pStyle w:val="BodyText"/>
      </w:pPr>
    </w:p>
    <w:p w:rsidR="00C61D68" w:rsidRPr="008621C5" w:rsidRDefault="009A30D6" w:rsidP="00D06055">
      <w:pPr>
        <w:pStyle w:val="ListParagraph"/>
        <w:widowControl/>
        <w:numPr>
          <w:ilvl w:val="1"/>
          <w:numId w:val="6"/>
        </w:numPr>
      </w:pPr>
      <w:r w:rsidRPr="008621C5">
        <w:t xml:space="preserve">The resubmission nominated ranibizumab and aflibercept as the main comparators. Off-label use of bevacizumab was no longer considered as an alternative comparator. Although not explicitly stated in the proposed listing, the </w:t>
      </w:r>
      <w:r w:rsidR="0087434A" w:rsidRPr="008621C5">
        <w:t>re</w:t>
      </w:r>
      <w:r w:rsidRPr="008621C5">
        <w:t>submission nominated the eligible population as those for whom treatment with VEGF inhibitors is not the preferred treatment option. Therefore, the proposed population contain</w:t>
      </w:r>
      <w:r w:rsidR="00795FBA" w:rsidRPr="008621C5">
        <w:t>s</w:t>
      </w:r>
      <w:r w:rsidRPr="008621C5">
        <w:t xml:space="preserve"> patients who woul</w:t>
      </w:r>
      <w:r w:rsidR="00D019E7">
        <w:t xml:space="preserve">d otherwise be treated with a </w:t>
      </w:r>
      <w:r w:rsidRPr="008621C5">
        <w:t xml:space="preserve">VEGF </w:t>
      </w:r>
      <w:r w:rsidR="00D019E7">
        <w:t>inhibitor</w:t>
      </w:r>
      <w:r w:rsidRPr="008621C5">
        <w:t xml:space="preserve"> in the absence of an alternative, as well as those who </w:t>
      </w:r>
      <w:r w:rsidR="009713D2" w:rsidRPr="008621C5">
        <w:t xml:space="preserve">have </w:t>
      </w:r>
      <w:r w:rsidR="00AA149C">
        <w:t>a contraindication</w:t>
      </w:r>
      <w:r w:rsidR="009713D2" w:rsidRPr="008621C5">
        <w:t xml:space="preserve"> to </w:t>
      </w:r>
      <w:r w:rsidRPr="008621C5">
        <w:t>or wh</w:t>
      </w:r>
      <w:r w:rsidR="00D019E7">
        <w:t xml:space="preserve">o have failed to respond to a </w:t>
      </w:r>
      <w:r w:rsidRPr="008621C5">
        <w:t xml:space="preserve">VEGF </w:t>
      </w:r>
      <w:r w:rsidR="00D019E7">
        <w:t>inhibitor</w:t>
      </w:r>
      <w:r w:rsidRPr="008621C5">
        <w:t xml:space="preserve">. Ranibizumab and aflibercept are appropriate comparators for patients </w:t>
      </w:r>
      <w:r w:rsidR="00D019E7">
        <w:t xml:space="preserve">suitable for treatment with a </w:t>
      </w:r>
      <w:r w:rsidRPr="008621C5">
        <w:t xml:space="preserve">VEGF </w:t>
      </w:r>
      <w:r w:rsidR="00D019E7">
        <w:t xml:space="preserve">inhibitor </w:t>
      </w:r>
      <w:r w:rsidR="00795FBA" w:rsidRPr="008621C5">
        <w:t xml:space="preserve">and may be appropriate comparators for patients </w:t>
      </w:r>
      <w:r w:rsidRPr="008621C5">
        <w:t xml:space="preserve">for whom </w:t>
      </w:r>
      <w:r w:rsidR="00D019E7">
        <w:t xml:space="preserve">a </w:t>
      </w:r>
      <w:r w:rsidR="00795FBA" w:rsidRPr="008621C5">
        <w:t xml:space="preserve">VEGF </w:t>
      </w:r>
      <w:r w:rsidR="00D019E7">
        <w:t xml:space="preserve">inhibitor </w:t>
      </w:r>
      <w:r w:rsidR="00795FBA" w:rsidRPr="008621C5">
        <w:t>is</w:t>
      </w:r>
      <w:r w:rsidRPr="008621C5">
        <w:t xml:space="preserve"> not the preferred treatment (poor compliance due to the frequency of VEGF </w:t>
      </w:r>
      <w:r w:rsidR="00D019E7">
        <w:t>inhibitor injections</w:t>
      </w:r>
      <w:r w:rsidRPr="008621C5">
        <w:t>)</w:t>
      </w:r>
      <w:r w:rsidR="00795FBA" w:rsidRPr="008621C5">
        <w:t>, or those who are unlikely to attend the clinic on the number of occasions required</w:t>
      </w:r>
      <w:r w:rsidRPr="008621C5">
        <w:t xml:space="preserve">. </w:t>
      </w:r>
      <w:r w:rsidR="00795FBA" w:rsidRPr="008621C5">
        <w:t xml:space="preserve">“No treatment” is </w:t>
      </w:r>
      <w:r w:rsidRPr="008621C5">
        <w:t>the appropriate comparator for patients who either</w:t>
      </w:r>
      <w:r w:rsidR="009713D2" w:rsidRPr="008621C5">
        <w:t xml:space="preserve"> have </w:t>
      </w:r>
      <w:r w:rsidR="00AA149C">
        <w:t>a contraindication</w:t>
      </w:r>
      <w:r w:rsidR="009713D2" w:rsidRPr="008621C5">
        <w:t xml:space="preserve"> to</w:t>
      </w:r>
      <w:r w:rsidR="00795FBA" w:rsidRPr="008621C5">
        <w:t xml:space="preserve"> </w:t>
      </w:r>
      <w:r w:rsidRPr="008621C5">
        <w:t>or have failed</w:t>
      </w:r>
      <w:r w:rsidR="00795FBA" w:rsidRPr="008621C5">
        <w:t xml:space="preserve"> to respond to a</w:t>
      </w:r>
      <w:r w:rsidR="00D019E7">
        <w:t xml:space="preserve"> </w:t>
      </w:r>
      <w:r w:rsidR="00795FBA" w:rsidRPr="008621C5">
        <w:t xml:space="preserve">VEGF </w:t>
      </w:r>
      <w:r w:rsidR="00D019E7">
        <w:t>inhibitor</w:t>
      </w:r>
      <w:r w:rsidRPr="008621C5">
        <w:t>.</w:t>
      </w:r>
      <w:r w:rsidR="009713D2" w:rsidRPr="008621C5">
        <w:t xml:space="preserve"> The PSCR </w:t>
      </w:r>
      <w:r w:rsidR="0086279A" w:rsidRPr="008621C5">
        <w:t>(p2) suggested</w:t>
      </w:r>
      <w:r w:rsidR="009713D2" w:rsidRPr="008621C5">
        <w:t xml:space="preserve"> that </w:t>
      </w:r>
      <w:r w:rsidR="00361458" w:rsidRPr="008621C5">
        <w:t xml:space="preserve">patients who </w:t>
      </w:r>
      <w:r w:rsidR="00CF0C53" w:rsidRPr="008621C5">
        <w:t xml:space="preserve">have </w:t>
      </w:r>
      <w:r w:rsidR="00AA149C">
        <w:t xml:space="preserve">a </w:t>
      </w:r>
      <w:r w:rsidR="00361458" w:rsidRPr="008621C5">
        <w:t>contraindicat</w:t>
      </w:r>
      <w:r w:rsidR="00AA149C">
        <w:t>ion</w:t>
      </w:r>
      <w:r w:rsidR="00CF0C53" w:rsidRPr="008621C5">
        <w:t xml:space="preserve"> </w:t>
      </w:r>
      <w:r w:rsidR="00D019E7">
        <w:t xml:space="preserve">to, or who have failed, a </w:t>
      </w:r>
      <w:r w:rsidR="00361458" w:rsidRPr="008621C5">
        <w:t xml:space="preserve">VEGF </w:t>
      </w:r>
      <w:r w:rsidR="00D019E7">
        <w:t>inhibitor</w:t>
      </w:r>
      <w:r w:rsidR="00361458" w:rsidRPr="008621C5">
        <w:t>, are</w:t>
      </w:r>
      <w:r w:rsidR="009713D2" w:rsidRPr="008621C5">
        <w:t xml:space="preserve"> likely to be a minority of patients who would be treated in practice. </w:t>
      </w:r>
      <w:r w:rsidR="0086279A" w:rsidRPr="008621C5">
        <w:t xml:space="preserve">The </w:t>
      </w:r>
      <w:r w:rsidR="009713D2" w:rsidRPr="008621C5">
        <w:t xml:space="preserve">ESC did not find evidence to </w:t>
      </w:r>
      <w:r w:rsidR="00CF0C53" w:rsidRPr="008621C5">
        <w:t>quantify the size of this minority</w:t>
      </w:r>
      <w:r w:rsidR="009713D2" w:rsidRPr="008621C5">
        <w:t>.</w:t>
      </w:r>
    </w:p>
    <w:p w:rsidR="00C61D68" w:rsidRPr="008621C5" w:rsidRDefault="00C61D68" w:rsidP="00C61D68">
      <w:pPr>
        <w:widowControl/>
      </w:pPr>
    </w:p>
    <w:p w:rsidR="001B6188" w:rsidRDefault="00C61D68" w:rsidP="00D06055">
      <w:pPr>
        <w:pStyle w:val="ListParagraph"/>
        <w:widowControl/>
        <w:numPr>
          <w:ilvl w:val="1"/>
          <w:numId w:val="6"/>
        </w:numPr>
      </w:pPr>
      <w:r w:rsidRPr="008621C5">
        <w:t>The ESC noted that intravitreal triamcinolone, provided through the TGA’s Special Access Scheme, may also be a relevant comparator because, although it is not PBS-listed, it is a closer pharmacological analogue than any of the PBS-listed comparators.</w:t>
      </w:r>
    </w:p>
    <w:p w:rsidR="007A4B25" w:rsidRDefault="007A4B25" w:rsidP="00497F10"/>
    <w:p w:rsidR="00D55C29" w:rsidRDefault="00D55C29" w:rsidP="008D7437">
      <w:pPr>
        <w:pStyle w:val="BodyText"/>
        <w:ind w:firstLine="720"/>
        <w:rPr>
          <w:szCs w:val="22"/>
        </w:rPr>
      </w:pPr>
      <w:r w:rsidRPr="008D7437">
        <w:rPr>
          <w:i/>
          <w:szCs w:val="22"/>
        </w:rPr>
        <w:t>For more detail on PBAC’s view, see section 7 “PBAC outcome”</w:t>
      </w:r>
      <w:r w:rsidR="00E641A3">
        <w:rPr>
          <w:i/>
          <w:szCs w:val="22"/>
        </w:rPr>
        <w:t>.</w:t>
      </w:r>
    </w:p>
    <w:p w:rsidR="00D55C29" w:rsidRDefault="00D55C29" w:rsidP="00497F10"/>
    <w:p w:rsidR="00D55C29" w:rsidRPr="00506E16" w:rsidRDefault="00D55C29" w:rsidP="00497F10"/>
    <w:p w:rsidR="00D06FD4" w:rsidRPr="00407F2D" w:rsidRDefault="00472359" w:rsidP="00A9453C">
      <w:pPr>
        <w:pStyle w:val="Heading1"/>
        <w:widowControl/>
        <w:numPr>
          <w:ilvl w:val="0"/>
          <w:numId w:val="3"/>
        </w:numPr>
        <w:rPr>
          <w:b w:val="0"/>
        </w:rPr>
      </w:pPr>
      <w:bookmarkStart w:id="7" w:name="_Toc440970684"/>
      <w:r>
        <w:rPr>
          <w:b w:val="0"/>
        </w:rPr>
        <w:t>C</w:t>
      </w:r>
      <w:r w:rsidR="00D06FD4" w:rsidRPr="00407F2D">
        <w:rPr>
          <w:b w:val="0"/>
        </w:rPr>
        <w:t>onsideration of the evidence</w:t>
      </w:r>
      <w:bookmarkEnd w:id="7"/>
    </w:p>
    <w:p w:rsidR="009C55AB" w:rsidRDefault="009C55AB" w:rsidP="002B45A5">
      <w:pPr>
        <w:pStyle w:val="PBACheading1"/>
        <w:numPr>
          <w:ilvl w:val="0"/>
          <w:numId w:val="0"/>
        </w:numPr>
        <w:jc w:val="both"/>
        <w:rPr>
          <w:highlight w:val="yellow"/>
        </w:rPr>
      </w:pPr>
      <w:bookmarkStart w:id="8" w:name="_Toc440970685"/>
    </w:p>
    <w:p w:rsidR="00DA56F3" w:rsidRPr="00234584" w:rsidRDefault="009C55AB" w:rsidP="009E321C">
      <w:pPr>
        <w:pStyle w:val="Heading2"/>
      </w:pPr>
      <w:r w:rsidRPr="00234584">
        <w:t>Sponsor hearing</w:t>
      </w:r>
    </w:p>
    <w:p w:rsidR="00DA56F3" w:rsidRPr="00E641A3" w:rsidRDefault="00DA56F3" w:rsidP="002B45A5">
      <w:pPr>
        <w:pStyle w:val="PBACheading1"/>
        <w:numPr>
          <w:ilvl w:val="0"/>
          <w:numId w:val="0"/>
        </w:numPr>
        <w:ind w:left="720" w:hanging="720"/>
        <w:jc w:val="both"/>
        <w:rPr>
          <w:highlight w:val="yellow"/>
        </w:rPr>
      </w:pPr>
    </w:p>
    <w:p w:rsidR="008143EA" w:rsidRPr="00E641A3" w:rsidRDefault="00234584" w:rsidP="00D06055">
      <w:pPr>
        <w:pStyle w:val="PBACheading1"/>
        <w:numPr>
          <w:ilvl w:val="1"/>
          <w:numId w:val="11"/>
        </w:numPr>
        <w:jc w:val="both"/>
      </w:pPr>
      <w:r w:rsidRPr="00E641A3">
        <w:t xml:space="preserve">The sponsor requested a hearing for this item. </w:t>
      </w:r>
      <w:r w:rsidR="009C55AB" w:rsidRPr="00E641A3">
        <w:rPr>
          <w:bCs/>
        </w:rPr>
        <w:t xml:space="preserve">The clinician </w:t>
      </w:r>
      <w:r w:rsidR="008143EA" w:rsidRPr="00E641A3">
        <w:rPr>
          <w:bCs/>
        </w:rPr>
        <w:t xml:space="preserve">discussed the clinical need and positioning of this therapy, outlined the comparative effectiveness and safety of dexamethasone implant, and addressed other matters in response to the Committee’s questions. </w:t>
      </w:r>
      <w:r w:rsidR="009C55AB" w:rsidRPr="00E641A3">
        <w:rPr>
          <w:bCs/>
        </w:rPr>
        <w:t>The PBAC considered that the hearing was not informative as it did not add substantively to the evidence presented in the submission</w:t>
      </w:r>
      <w:r w:rsidR="008143EA" w:rsidRPr="00E641A3">
        <w:rPr>
          <w:bCs/>
        </w:rPr>
        <w:t>.</w:t>
      </w:r>
    </w:p>
    <w:p w:rsidR="008143EA" w:rsidRPr="00E641A3" w:rsidRDefault="008143EA" w:rsidP="002B45A5">
      <w:pPr>
        <w:pStyle w:val="PBACheading1"/>
        <w:numPr>
          <w:ilvl w:val="0"/>
          <w:numId w:val="0"/>
        </w:numPr>
        <w:jc w:val="both"/>
      </w:pPr>
    </w:p>
    <w:p w:rsidR="009C55AB" w:rsidRPr="009E321C" w:rsidRDefault="009C55AB" w:rsidP="009E321C">
      <w:pPr>
        <w:pStyle w:val="Heading2"/>
      </w:pPr>
      <w:r w:rsidRPr="009E321C">
        <w:t>Consumer comments</w:t>
      </w:r>
    </w:p>
    <w:p w:rsidR="009C55AB" w:rsidRPr="00E641A3" w:rsidRDefault="009C55AB" w:rsidP="009C55AB">
      <w:pPr>
        <w:widowControl/>
        <w:rPr>
          <w:bCs/>
          <w:szCs w:val="22"/>
          <w:highlight w:val="yellow"/>
        </w:rPr>
      </w:pPr>
    </w:p>
    <w:p w:rsidR="00C71CBF" w:rsidRPr="00E641A3" w:rsidRDefault="00C71CBF" w:rsidP="00D06055">
      <w:pPr>
        <w:pStyle w:val="ListParagraph"/>
        <w:widowControl/>
        <w:numPr>
          <w:ilvl w:val="1"/>
          <w:numId w:val="9"/>
        </w:numPr>
        <w:rPr>
          <w:bCs/>
          <w:szCs w:val="22"/>
        </w:rPr>
      </w:pPr>
      <w:r w:rsidRPr="00E641A3">
        <w:rPr>
          <w:bCs/>
          <w:szCs w:val="22"/>
        </w:rPr>
        <w:t>The PBAC noted and welcomed the input from individuals (2), health care professionals (15)</w:t>
      </w:r>
      <w:r w:rsidR="00E641A3" w:rsidRPr="00E641A3">
        <w:rPr>
          <w:bCs/>
          <w:szCs w:val="22"/>
        </w:rPr>
        <w:t>,</w:t>
      </w:r>
      <w:r w:rsidRPr="00E641A3">
        <w:rPr>
          <w:bCs/>
          <w:szCs w:val="22"/>
        </w:rPr>
        <w:t xml:space="preserve"> and organisations (2) via the Consumer Comments facility on the PBS website. The comments described a range of benefits of treatment with dexamethasone implant including </w:t>
      </w:r>
      <w:r w:rsidR="004C1F4B" w:rsidRPr="00E641A3">
        <w:rPr>
          <w:bCs/>
          <w:szCs w:val="22"/>
        </w:rPr>
        <w:t xml:space="preserve">less frequent injections compared with VEGF </w:t>
      </w:r>
      <w:r w:rsidR="00E641A3" w:rsidRPr="00E641A3">
        <w:t>inhibitor</w:t>
      </w:r>
      <w:r w:rsidR="004C1F4B" w:rsidRPr="00E641A3">
        <w:rPr>
          <w:bCs/>
          <w:szCs w:val="22"/>
        </w:rPr>
        <w:t xml:space="preserve">s. This was considered particularly beneficial </w:t>
      </w:r>
      <w:r w:rsidR="00972166" w:rsidRPr="00E641A3">
        <w:rPr>
          <w:bCs/>
          <w:szCs w:val="22"/>
        </w:rPr>
        <w:t>for patients in rural and remote areas, especially the Aboriginal and Torres Strait Islander populations.</w:t>
      </w:r>
      <w:r w:rsidR="00653B2A" w:rsidRPr="00E641A3">
        <w:rPr>
          <w:bCs/>
          <w:szCs w:val="22"/>
        </w:rPr>
        <w:t xml:space="preserve"> The benefits of less frequent injections were described in terms of compliance with treatment, patient acceptability and reduced financial burden.</w:t>
      </w:r>
    </w:p>
    <w:p w:rsidR="00C71CBF" w:rsidRPr="00E641A3" w:rsidRDefault="00C71CBF" w:rsidP="00C71CBF">
      <w:pPr>
        <w:widowControl/>
        <w:rPr>
          <w:bCs/>
          <w:szCs w:val="22"/>
        </w:rPr>
      </w:pPr>
    </w:p>
    <w:p w:rsidR="00653B2A" w:rsidRPr="00E641A3" w:rsidRDefault="00653B2A" w:rsidP="00D06055">
      <w:pPr>
        <w:pStyle w:val="ListParagraph"/>
        <w:widowControl/>
        <w:numPr>
          <w:ilvl w:val="1"/>
          <w:numId w:val="9"/>
        </w:numPr>
        <w:rPr>
          <w:bCs/>
          <w:szCs w:val="22"/>
        </w:rPr>
      </w:pPr>
      <w:r w:rsidRPr="00E641A3">
        <w:rPr>
          <w:bCs/>
          <w:szCs w:val="22"/>
        </w:rPr>
        <w:lastRenderedPageBreak/>
        <w:t xml:space="preserve">The PBAC noted the advice received from the Royal Australian and New Zealand College of </w:t>
      </w:r>
      <w:r w:rsidR="001F17EA" w:rsidRPr="00E641A3">
        <w:rPr>
          <w:bCs/>
          <w:szCs w:val="22"/>
        </w:rPr>
        <w:t>Ophthalmologists</w:t>
      </w:r>
      <w:r w:rsidR="0004262C" w:rsidRPr="00E641A3">
        <w:rPr>
          <w:bCs/>
          <w:szCs w:val="22"/>
        </w:rPr>
        <w:t xml:space="preserve"> (RANZCO)</w:t>
      </w:r>
      <w:r w:rsidRPr="00E641A3">
        <w:rPr>
          <w:bCs/>
          <w:szCs w:val="22"/>
        </w:rPr>
        <w:t xml:space="preserve"> and the Macular Disease Foundation of Australia</w:t>
      </w:r>
      <w:r w:rsidR="00744B45" w:rsidRPr="00E641A3">
        <w:rPr>
          <w:bCs/>
          <w:szCs w:val="22"/>
        </w:rPr>
        <w:t xml:space="preserve"> (the Foundation)</w:t>
      </w:r>
      <w:r w:rsidR="00F429BB" w:rsidRPr="00E641A3">
        <w:rPr>
          <w:bCs/>
          <w:szCs w:val="22"/>
        </w:rPr>
        <w:t xml:space="preserve"> clarifying the likely use of dexamethasone implant in clinical practice. The PBAC specifically noted the RANZCO advice that the use of dexamethasone implant has proved a safe and effective treatment for centre-involving </w:t>
      </w:r>
      <w:r w:rsidR="00744B45" w:rsidRPr="00E641A3">
        <w:rPr>
          <w:bCs/>
          <w:szCs w:val="22"/>
        </w:rPr>
        <w:t>DME</w:t>
      </w:r>
      <w:r w:rsidR="00F429BB" w:rsidRPr="00E641A3">
        <w:rPr>
          <w:bCs/>
          <w:szCs w:val="22"/>
        </w:rPr>
        <w:t>, with its alternative mechanism of action from VEGF inhibitors making it a useful addition to existing ophthalmic treatments</w:t>
      </w:r>
      <w:r w:rsidR="0016606C" w:rsidRPr="00E641A3">
        <w:rPr>
          <w:bCs/>
          <w:szCs w:val="22"/>
        </w:rPr>
        <w:t>.</w:t>
      </w:r>
      <w:r w:rsidR="004A0256" w:rsidRPr="00E641A3">
        <w:rPr>
          <w:bCs/>
          <w:szCs w:val="22"/>
        </w:rPr>
        <w:t xml:space="preserve"> The PBAC noted the Foundation’s advice that</w:t>
      </w:r>
      <w:r w:rsidR="001C035D" w:rsidRPr="00E641A3">
        <w:rPr>
          <w:bCs/>
          <w:szCs w:val="22"/>
        </w:rPr>
        <w:t xml:space="preserve"> </w:t>
      </w:r>
      <w:r w:rsidR="00744B45" w:rsidRPr="00E641A3">
        <w:rPr>
          <w:bCs/>
          <w:szCs w:val="22"/>
        </w:rPr>
        <w:t>dexamethasone implant provides a safe and effective treatmen</w:t>
      </w:r>
      <w:r w:rsidR="00E641A3" w:rsidRPr="00E641A3">
        <w:rPr>
          <w:bCs/>
          <w:szCs w:val="22"/>
        </w:rPr>
        <w:t xml:space="preserve">t option for patients with DME </w:t>
      </w:r>
      <w:r w:rsidR="00744B45" w:rsidRPr="00E641A3">
        <w:rPr>
          <w:bCs/>
          <w:szCs w:val="22"/>
        </w:rPr>
        <w:t xml:space="preserve">who have </w:t>
      </w:r>
      <w:r w:rsidR="00AA149C">
        <w:rPr>
          <w:bCs/>
          <w:szCs w:val="22"/>
        </w:rPr>
        <w:t>a contraindication</w:t>
      </w:r>
      <w:r w:rsidR="00744B45" w:rsidRPr="00E641A3">
        <w:rPr>
          <w:bCs/>
          <w:szCs w:val="22"/>
        </w:rPr>
        <w:t xml:space="preserve"> to, who have failed treatment with, or who are otherwise unsuitable for VEGF </w:t>
      </w:r>
      <w:r w:rsidR="00E641A3" w:rsidRPr="00E641A3">
        <w:rPr>
          <w:bCs/>
          <w:szCs w:val="22"/>
        </w:rPr>
        <w:t>inhibitors</w:t>
      </w:r>
      <w:r w:rsidR="00744B45" w:rsidRPr="00E641A3">
        <w:rPr>
          <w:bCs/>
          <w:szCs w:val="22"/>
        </w:rPr>
        <w:t xml:space="preserve">. The Foundation described how dexamethasone implant, with its lower frequency of injections, reduced the burden of care on patients, their carers, and the public hospital system. The Foundation also highlighted that patients currently using off-label intravitreal triamcinolone are expected to switch to dexamethasone implant if it is PBS listed, due to its improved safety profile. </w:t>
      </w:r>
      <w:r w:rsidR="00D9750C" w:rsidRPr="00E641A3">
        <w:rPr>
          <w:bCs/>
          <w:szCs w:val="22"/>
        </w:rPr>
        <w:t xml:space="preserve">The PBAC noted that </w:t>
      </w:r>
      <w:r w:rsidR="00744B45" w:rsidRPr="00E641A3">
        <w:rPr>
          <w:bCs/>
          <w:szCs w:val="22"/>
        </w:rPr>
        <w:t>these organisations’</w:t>
      </w:r>
      <w:r w:rsidR="00D9750C" w:rsidRPr="00E641A3">
        <w:rPr>
          <w:bCs/>
          <w:szCs w:val="22"/>
        </w:rPr>
        <w:t xml:space="preserve"> advice</w:t>
      </w:r>
      <w:r w:rsidR="00744B45" w:rsidRPr="00E641A3">
        <w:rPr>
          <w:bCs/>
          <w:szCs w:val="22"/>
        </w:rPr>
        <w:t>s</w:t>
      </w:r>
      <w:r w:rsidR="00D9750C" w:rsidRPr="00E641A3">
        <w:rPr>
          <w:bCs/>
          <w:szCs w:val="22"/>
        </w:rPr>
        <w:t xml:space="preserve"> w</w:t>
      </w:r>
      <w:r w:rsidR="00744B45" w:rsidRPr="00E641A3">
        <w:rPr>
          <w:bCs/>
          <w:szCs w:val="22"/>
        </w:rPr>
        <w:t>ere</w:t>
      </w:r>
      <w:r w:rsidR="00D9750C" w:rsidRPr="00E641A3">
        <w:rPr>
          <w:bCs/>
          <w:szCs w:val="22"/>
        </w:rPr>
        <w:t xml:space="preserve"> supportive of the evidence provided in the submission.</w:t>
      </w:r>
    </w:p>
    <w:p w:rsidR="00D2025B" w:rsidRPr="00E641A3" w:rsidRDefault="00D2025B" w:rsidP="00234584"/>
    <w:p w:rsidR="00D16346" w:rsidRPr="00497F10" w:rsidRDefault="00D16346" w:rsidP="009E321C">
      <w:pPr>
        <w:pStyle w:val="Heading2"/>
      </w:pPr>
      <w:r w:rsidRPr="00497F10">
        <w:t>Clinical trials</w:t>
      </w:r>
      <w:bookmarkEnd w:id="8"/>
    </w:p>
    <w:p w:rsidR="00D16346" w:rsidRPr="00882085" w:rsidRDefault="00D16346" w:rsidP="00D16346">
      <w:pPr>
        <w:rPr>
          <w:szCs w:val="22"/>
        </w:rPr>
      </w:pPr>
    </w:p>
    <w:p w:rsidR="00D16346" w:rsidRDefault="00386E02" w:rsidP="00D06055">
      <w:pPr>
        <w:pStyle w:val="ListParagraph"/>
        <w:widowControl/>
        <w:numPr>
          <w:ilvl w:val="1"/>
          <w:numId w:val="9"/>
        </w:numPr>
        <w:rPr>
          <w:szCs w:val="22"/>
        </w:rPr>
      </w:pPr>
      <w:r>
        <w:rPr>
          <w:szCs w:val="22"/>
        </w:rPr>
        <w:t xml:space="preserve">No additional direct trials comparing dexamethasone implant </w:t>
      </w:r>
      <w:r w:rsidR="0009517F">
        <w:rPr>
          <w:szCs w:val="22"/>
        </w:rPr>
        <w:t>with</w:t>
      </w:r>
      <w:r>
        <w:rPr>
          <w:szCs w:val="22"/>
        </w:rPr>
        <w:t xml:space="preserve"> ranibizumab injection were </w:t>
      </w:r>
      <w:r w:rsidR="002E14D0">
        <w:rPr>
          <w:szCs w:val="22"/>
        </w:rPr>
        <w:t>identified by the resubmission.</w:t>
      </w:r>
    </w:p>
    <w:p w:rsidR="00D16346" w:rsidRPr="00795FBA" w:rsidRDefault="00D16346" w:rsidP="00D16346">
      <w:pPr>
        <w:widowControl/>
        <w:rPr>
          <w:szCs w:val="22"/>
        </w:rPr>
      </w:pPr>
    </w:p>
    <w:p w:rsidR="00D16346" w:rsidRPr="00DB5A6C" w:rsidRDefault="00D16346" w:rsidP="00D06055">
      <w:pPr>
        <w:pStyle w:val="ListParagraph"/>
        <w:widowControl/>
        <w:numPr>
          <w:ilvl w:val="1"/>
          <w:numId w:val="9"/>
        </w:numPr>
        <w:rPr>
          <w:szCs w:val="22"/>
        </w:rPr>
      </w:pPr>
      <w:r w:rsidRPr="00862502">
        <w:t xml:space="preserve">The </w:t>
      </w:r>
      <w:r>
        <w:t>re</w:t>
      </w:r>
      <w:r w:rsidRPr="00862502">
        <w:t xml:space="preserve">submission </w:t>
      </w:r>
      <w:r w:rsidR="00386E02">
        <w:t xml:space="preserve">presented indirect comparisons of dexamethasone implant </w:t>
      </w:r>
      <w:r w:rsidR="00386E02" w:rsidRPr="0009517F">
        <w:rPr>
          <w:i/>
        </w:rPr>
        <w:t xml:space="preserve">versus </w:t>
      </w:r>
      <w:r w:rsidR="002F6B53">
        <w:t xml:space="preserve">aflibercept injection </w:t>
      </w:r>
      <w:r w:rsidRPr="00862502">
        <w:t xml:space="preserve">based on </w:t>
      </w:r>
      <w:r w:rsidR="002F6B53">
        <w:t xml:space="preserve">eight trials </w:t>
      </w:r>
      <w:r>
        <w:t xml:space="preserve">involving </w:t>
      </w:r>
      <w:r w:rsidR="002F6B53">
        <w:t xml:space="preserve">either </w:t>
      </w:r>
      <w:r>
        <w:t xml:space="preserve">dexamethasone implant </w:t>
      </w:r>
      <w:r w:rsidR="002F6B53">
        <w:t xml:space="preserve">or </w:t>
      </w:r>
      <w:r>
        <w:t>aflibercept injection</w:t>
      </w:r>
      <w:r w:rsidR="0009517F">
        <w:t xml:space="preserve"> for treatment of visual impairment due to DME</w:t>
      </w:r>
      <w:r w:rsidR="00795FBA">
        <w:t>:</w:t>
      </w:r>
    </w:p>
    <w:p w:rsidR="00D16346" w:rsidRPr="00DB5A6C" w:rsidRDefault="00795FBA" w:rsidP="00D06055">
      <w:pPr>
        <w:pStyle w:val="ListParagraph"/>
        <w:widowControl/>
        <w:numPr>
          <w:ilvl w:val="1"/>
          <w:numId w:val="8"/>
        </w:numPr>
        <w:ind w:left="1276" w:hanging="283"/>
        <w:rPr>
          <w:szCs w:val="22"/>
        </w:rPr>
      </w:pPr>
      <w:r w:rsidRPr="00DB5A6C">
        <w:rPr>
          <w:szCs w:val="22"/>
        </w:rPr>
        <w:t>o</w:t>
      </w:r>
      <w:r w:rsidR="00D16346" w:rsidRPr="00DB5A6C">
        <w:rPr>
          <w:szCs w:val="22"/>
        </w:rPr>
        <w:t>ne trial (Trial 024) comparing dexamethasone implant with ranibizumab injection;</w:t>
      </w:r>
    </w:p>
    <w:p w:rsidR="00D16346" w:rsidRPr="00DB5A6C" w:rsidRDefault="00795FBA" w:rsidP="00D06055">
      <w:pPr>
        <w:pStyle w:val="ListParagraph"/>
        <w:widowControl/>
        <w:numPr>
          <w:ilvl w:val="1"/>
          <w:numId w:val="8"/>
        </w:numPr>
        <w:ind w:left="1276" w:hanging="283"/>
        <w:rPr>
          <w:szCs w:val="22"/>
        </w:rPr>
      </w:pPr>
      <w:r w:rsidRPr="00DB5A6C">
        <w:rPr>
          <w:szCs w:val="22"/>
        </w:rPr>
        <w:t>o</w:t>
      </w:r>
      <w:r w:rsidR="00D16346" w:rsidRPr="00DB5A6C">
        <w:rPr>
          <w:szCs w:val="22"/>
        </w:rPr>
        <w:t>ne trial (BEVORDEX) comparing dexamethasone implant with bevacizumab injection;</w:t>
      </w:r>
    </w:p>
    <w:p w:rsidR="00D16346" w:rsidRPr="00DB5A6C" w:rsidRDefault="00795FBA" w:rsidP="00D06055">
      <w:pPr>
        <w:pStyle w:val="ListParagraph"/>
        <w:widowControl/>
        <w:numPr>
          <w:ilvl w:val="1"/>
          <w:numId w:val="8"/>
        </w:numPr>
        <w:ind w:left="1276" w:hanging="283"/>
        <w:rPr>
          <w:szCs w:val="22"/>
        </w:rPr>
      </w:pPr>
      <w:r w:rsidRPr="00DB5A6C">
        <w:rPr>
          <w:szCs w:val="22"/>
        </w:rPr>
        <w:t>t</w:t>
      </w:r>
      <w:r w:rsidR="00D16346" w:rsidRPr="00DB5A6C">
        <w:rPr>
          <w:szCs w:val="22"/>
        </w:rPr>
        <w:t>wo trials (MEAD trials) comparing dexamethasone implant with sham (placebo);</w:t>
      </w:r>
    </w:p>
    <w:p w:rsidR="00D16346" w:rsidRPr="00DB5A6C" w:rsidRDefault="00795FBA" w:rsidP="00D06055">
      <w:pPr>
        <w:pStyle w:val="ListParagraph"/>
        <w:widowControl/>
        <w:numPr>
          <w:ilvl w:val="1"/>
          <w:numId w:val="8"/>
        </w:numPr>
        <w:ind w:left="1276" w:hanging="283"/>
        <w:rPr>
          <w:szCs w:val="22"/>
        </w:rPr>
      </w:pPr>
      <w:r w:rsidRPr="00DB5A6C">
        <w:rPr>
          <w:szCs w:val="22"/>
        </w:rPr>
        <w:t>o</w:t>
      </w:r>
      <w:r w:rsidR="00D16346" w:rsidRPr="00DB5A6C">
        <w:rPr>
          <w:szCs w:val="22"/>
        </w:rPr>
        <w:t xml:space="preserve">ne trial (Protocol T) comparing </w:t>
      </w:r>
      <w:r w:rsidR="00541038">
        <w:rPr>
          <w:szCs w:val="22"/>
        </w:rPr>
        <w:t xml:space="preserve">the </w:t>
      </w:r>
      <w:r w:rsidR="00D16346" w:rsidRPr="00DB5A6C">
        <w:rPr>
          <w:szCs w:val="22"/>
        </w:rPr>
        <w:t>three VEGF in</w:t>
      </w:r>
      <w:r w:rsidR="0009517F">
        <w:rPr>
          <w:szCs w:val="22"/>
        </w:rPr>
        <w:t>hibitors</w:t>
      </w:r>
      <w:r w:rsidR="00D16346" w:rsidRPr="00DB5A6C">
        <w:rPr>
          <w:szCs w:val="22"/>
        </w:rPr>
        <w:t xml:space="preserve">, aflibercept injection, ranibizumab injection and bevacizumab injection; and </w:t>
      </w:r>
    </w:p>
    <w:p w:rsidR="00D16346" w:rsidRPr="00DB5A6C" w:rsidRDefault="00795FBA" w:rsidP="00D06055">
      <w:pPr>
        <w:pStyle w:val="ListParagraph"/>
        <w:widowControl/>
        <w:numPr>
          <w:ilvl w:val="1"/>
          <w:numId w:val="8"/>
        </w:numPr>
        <w:ind w:left="1276" w:hanging="283"/>
        <w:rPr>
          <w:szCs w:val="22"/>
        </w:rPr>
      </w:pPr>
      <w:r w:rsidRPr="00DB5A6C">
        <w:rPr>
          <w:szCs w:val="22"/>
        </w:rPr>
        <w:t>t</w:t>
      </w:r>
      <w:r w:rsidR="00D16346" w:rsidRPr="00DB5A6C">
        <w:rPr>
          <w:szCs w:val="22"/>
        </w:rPr>
        <w:t>hree trials (VIVID, VISTA and DA VINCI) comparing afliberce</w:t>
      </w:r>
      <w:r>
        <w:rPr>
          <w:szCs w:val="22"/>
        </w:rPr>
        <w:t>pt with laser photocoagulation.</w:t>
      </w:r>
    </w:p>
    <w:p w:rsidR="00D16346" w:rsidRPr="001B6188" w:rsidRDefault="00D16346" w:rsidP="00D16346">
      <w:pPr>
        <w:widowControl/>
        <w:rPr>
          <w:szCs w:val="22"/>
        </w:rPr>
      </w:pPr>
    </w:p>
    <w:p w:rsidR="00D16346" w:rsidRDefault="00D16346" w:rsidP="00D06055">
      <w:pPr>
        <w:pStyle w:val="ListParagraph"/>
        <w:widowControl/>
        <w:numPr>
          <w:ilvl w:val="1"/>
          <w:numId w:val="9"/>
        </w:numPr>
        <w:rPr>
          <w:szCs w:val="22"/>
        </w:rPr>
      </w:pPr>
      <w:r w:rsidRPr="001939ED">
        <w:rPr>
          <w:szCs w:val="22"/>
        </w:rPr>
        <w:t>Details of</w:t>
      </w:r>
      <w:r>
        <w:rPr>
          <w:szCs w:val="22"/>
        </w:rPr>
        <w:t xml:space="preserve"> the trials presented in the re</w:t>
      </w:r>
      <w:r w:rsidRPr="001939ED">
        <w:rPr>
          <w:szCs w:val="22"/>
        </w:rPr>
        <w:t xml:space="preserve">submission are provided in </w:t>
      </w:r>
      <w:r>
        <w:rPr>
          <w:szCs w:val="22"/>
        </w:rPr>
        <w:t>Table 1</w:t>
      </w:r>
      <w:r w:rsidR="00795FBA">
        <w:rPr>
          <w:szCs w:val="22"/>
        </w:rPr>
        <w:t>.</w:t>
      </w:r>
    </w:p>
    <w:p w:rsidR="00D16346" w:rsidRPr="001939ED" w:rsidRDefault="00D16346" w:rsidP="00D16346">
      <w:pPr>
        <w:widowControl/>
        <w:rPr>
          <w:szCs w:val="22"/>
        </w:rPr>
      </w:pPr>
    </w:p>
    <w:p w:rsidR="00302FC5" w:rsidRDefault="00302FC5" w:rsidP="00CA6CE0">
      <w:pPr>
        <w:keepNext/>
        <w:ind w:firstLine="720"/>
        <w:rPr>
          <w:rStyle w:val="CommentReference"/>
        </w:rPr>
      </w:pPr>
      <w:r>
        <w:rPr>
          <w:rStyle w:val="CommentReference"/>
        </w:rPr>
        <w:br w:type="page"/>
      </w:r>
    </w:p>
    <w:p w:rsidR="00D16346" w:rsidRDefault="00D16346" w:rsidP="00CA6CE0">
      <w:pPr>
        <w:keepNext/>
        <w:ind w:firstLine="720"/>
        <w:rPr>
          <w:rStyle w:val="CommentReference"/>
        </w:rPr>
      </w:pPr>
      <w:r w:rsidRPr="000812CA">
        <w:rPr>
          <w:rStyle w:val="CommentReference"/>
        </w:rPr>
        <w:lastRenderedPageBreak/>
        <w:t xml:space="preserve">Table </w:t>
      </w:r>
      <w:r>
        <w:rPr>
          <w:rStyle w:val="CommentReference"/>
        </w:rPr>
        <w:t>1</w:t>
      </w:r>
      <w:r w:rsidRPr="000812CA">
        <w:rPr>
          <w:rStyle w:val="CommentReference"/>
        </w:rPr>
        <w:t xml:space="preserve">: Trials and associated reports presented in the </w:t>
      </w:r>
      <w:r>
        <w:rPr>
          <w:rStyle w:val="CommentReference"/>
        </w:rPr>
        <w:t>re</w:t>
      </w:r>
      <w:r w:rsidRPr="000812CA">
        <w:rPr>
          <w:rStyle w:val="CommentReference"/>
        </w:rPr>
        <w:t>submission</w:t>
      </w:r>
    </w:p>
    <w:tbl>
      <w:tblPr>
        <w:tblW w:w="4692"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31"/>
        <w:gridCol w:w="4865"/>
        <w:gridCol w:w="2127"/>
      </w:tblGrid>
      <w:tr w:rsidR="00D16346" w:rsidRPr="004E2ADC" w:rsidTr="00795FBA">
        <w:tc>
          <w:tcPr>
            <w:tcW w:w="898" w:type="pct"/>
          </w:tcPr>
          <w:p w:rsidR="00D16346" w:rsidRPr="004E2ADC" w:rsidRDefault="00D16346" w:rsidP="00CA6CE0">
            <w:pPr>
              <w:keepNext/>
              <w:jc w:val="left"/>
              <w:rPr>
                <w:rFonts w:ascii="Arial Narrow" w:hAnsi="Arial Narrow"/>
                <w:b/>
                <w:sz w:val="20"/>
              </w:rPr>
            </w:pPr>
            <w:r w:rsidRPr="004E2ADC">
              <w:rPr>
                <w:rFonts w:ascii="Arial Narrow" w:hAnsi="Arial Narrow"/>
                <w:b/>
                <w:sz w:val="20"/>
              </w:rPr>
              <w:t>Trial ID</w:t>
            </w:r>
          </w:p>
        </w:tc>
        <w:tc>
          <w:tcPr>
            <w:tcW w:w="2854" w:type="pct"/>
          </w:tcPr>
          <w:p w:rsidR="00D16346" w:rsidRPr="004E2ADC" w:rsidRDefault="00D16346" w:rsidP="00CA6CE0">
            <w:pPr>
              <w:keepNext/>
              <w:jc w:val="center"/>
              <w:rPr>
                <w:rFonts w:ascii="Arial Narrow" w:hAnsi="Arial Narrow"/>
                <w:b/>
                <w:sz w:val="20"/>
              </w:rPr>
            </w:pPr>
            <w:r w:rsidRPr="004E2ADC">
              <w:rPr>
                <w:rFonts w:ascii="Arial Narrow" w:hAnsi="Arial Narrow"/>
                <w:b/>
                <w:sz w:val="20"/>
              </w:rPr>
              <w:t>Protocol title/ Publication title</w:t>
            </w:r>
          </w:p>
        </w:tc>
        <w:tc>
          <w:tcPr>
            <w:tcW w:w="1248" w:type="pct"/>
          </w:tcPr>
          <w:p w:rsidR="00D16346" w:rsidRPr="004E2ADC" w:rsidRDefault="00D16346" w:rsidP="00CA6CE0">
            <w:pPr>
              <w:keepNext/>
              <w:jc w:val="center"/>
              <w:rPr>
                <w:rFonts w:ascii="Arial Narrow" w:hAnsi="Arial Narrow"/>
                <w:b/>
                <w:sz w:val="20"/>
              </w:rPr>
            </w:pPr>
            <w:r w:rsidRPr="004E2ADC">
              <w:rPr>
                <w:rFonts w:ascii="Arial Narrow" w:hAnsi="Arial Narrow"/>
                <w:b/>
                <w:sz w:val="20"/>
              </w:rPr>
              <w:t>Publication citation</w:t>
            </w:r>
          </w:p>
        </w:tc>
      </w:tr>
      <w:tr w:rsidR="00D16346" w:rsidRPr="004E2ADC" w:rsidTr="00D16346">
        <w:tc>
          <w:tcPr>
            <w:tcW w:w="5000" w:type="pct"/>
            <w:gridSpan w:val="3"/>
          </w:tcPr>
          <w:p w:rsidR="00D16346" w:rsidRPr="004E2ADC" w:rsidRDefault="00D16346" w:rsidP="00CA6CE0">
            <w:pPr>
              <w:keepNext/>
              <w:jc w:val="left"/>
              <w:rPr>
                <w:rFonts w:ascii="Arial Narrow" w:hAnsi="Arial Narrow"/>
                <w:b/>
                <w:sz w:val="20"/>
              </w:rPr>
            </w:pPr>
            <w:r>
              <w:rPr>
                <w:rFonts w:ascii="Arial Narrow" w:hAnsi="Arial Narrow"/>
                <w:b/>
                <w:sz w:val="20"/>
              </w:rPr>
              <w:t>Dexamethasone implant trials</w:t>
            </w:r>
          </w:p>
        </w:tc>
      </w:tr>
      <w:tr w:rsidR="00D16346" w:rsidRPr="004E2ADC" w:rsidTr="00795FBA">
        <w:tc>
          <w:tcPr>
            <w:tcW w:w="898" w:type="pct"/>
            <w:tcBorders>
              <w:bottom w:val="single" w:sz="4" w:space="0" w:color="auto"/>
            </w:tcBorders>
          </w:tcPr>
          <w:p w:rsidR="00D16346" w:rsidRPr="004E2ADC" w:rsidRDefault="00D16346" w:rsidP="00CA6CE0">
            <w:pPr>
              <w:keepNext/>
              <w:jc w:val="left"/>
              <w:rPr>
                <w:rFonts w:ascii="Arial Narrow" w:hAnsi="Arial Narrow"/>
                <w:sz w:val="20"/>
              </w:rPr>
            </w:pPr>
            <w:r>
              <w:rPr>
                <w:rFonts w:ascii="Arial Narrow" w:hAnsi="Arial Narrow"/>
                <w:sz w:val="20"/>
              </w:rPr>
              <w:t>Trial 024</w:t>
            </w:r>
          </w:p>
        </w:tc>
        <w:tc>
          <w:tcPr>
            <w:tcW w:w="2854" w:type="pct"/>
            <w:tcBorders>
              <w:bottom w:val="single" w:sz="4" w:space="0" w:color="auto"/>
            </w:tcBorders>
          </w:tcPr>
          <w:p w:rsidR="00D16346" w:rsidRPr="00DD3398" w:rsidRDefault="00D16346" w:rsidP="00CA6CE0">
            <w:pPr>
              <w:keepNext/>
              <w:jc w:val="left"/>
              <w:rPr>
                <w:rFonts w:ascii="Arial Narrow" w:hAnsi="Arial Narrow"/>
                <w:sz w:val="20"/>
              </w:rPr>
            </w:pPr>
            <w:r>
              <w:rPr>
                <w:rFonts w:ascii="Arial Narrow" w:hAnsi="Arial Narrow"/>
                <w:sz w:val="20"/>
              </w:rPr>
              <w:t xml:space="preserve">Clinical Study Report </w:t>
            </w:r>
            <w:r w:rsidRPr="0045023C">
              <w:rPr>
                <w:rFonts w:ascii="Arial Narrow" w:hAnsi="Arial Narrow"/>
                <w:sz w:val="20"/>
              </w:rPr>
              <w:t>206207-024</w:t>
            </w:r>
            <w:r>
              <w:rPr>
                <w:rFonts w:ascii="Arial Narrow" w:hAnsi="Arial Narrow"/>
                <w:sz w:val="20"/>
              </w:rPr>
              <w:t xml:space="preserve">: </w:t>
            </w:r>
            <w:r w:rsidRPr="0045023C">
              <w:rPr>
                <w:rFonts w:ascii="Arial Narrow" w:hAnsi="Arial Narrow"/>
                <w:sz w:val="20"/>
              </w:rPr>
              <w:t>A multicentre, open-label, randomized trial comparing</w:t>
            </w:r>
            <w:r w:rsidR="0009517F">
              <w:rPr>
                <w:rFonts w:ascii="Arial Narrow" w:hAnsi="Arial Narrow"/>
                <w:sz w:val="20"/>
              </w:rPr>
              <w:t xml:space="preserve"> the efficacy and safety of 700</w:t>
            </w:r>
            <w:r w:rsidRPr="0045023C">
              <w:rPr>
                <w:rFonts w:ascii="Arial Narrow" w:hAnsi="Arial Narrow"/>
                <w:sz w:val="20"/>
              </w:rPr>
              <w:t>μg dexamethasone posterior segment drug delivery system (DEX PS DDS) to ranibizumab in patients with diabetic macular edema</w:t>
            </w:r>
            <w:r>
              <w:rPr>
                <w:rFonts w:ascii="Arial Narrow" w:hAnsi="Arial Narrow"/>
                <w:sz w:val="20"/>
              </w:rPr>
              <w:t>.</w:t>
            </w:r>
          </w:p>
        </w:tc>
        <w:tc>
          <w:tcPr>
            <w:tcW w:w="1248" w:type="pct"/>
            <w:tcBorders>
              <w:bottom w:val="single" w:sz="4" w:space="0" w:color="auto"/>
            </w:tcBorders>
          </w:tcPr>
          <w:p w:rsidR="00D16346" w:rsidRPr="00DD3398" w:rsidRDefault="00D16346" w:rsidP="00CA6CE0">
            <w:pPr>
              <w:keepNext/>
              <w:jc w:val="left"/>
              <w:rPr>
                <w:rFonts w:ascii="Arial Narrow" w:hAnsi="Arial Narrow"/>
                <w:sz w:val="20"/>
              </w:rPr>
            </w:pPr>
            <w:r>
              <w:rPr>
                <w:rFonts w:ascii="Arial Narrow" w:hAnsi="Arial Narrow"/>
                <w:sz w:val="20"/>
              </w:rPr>
              <w:t>July 2014</w:t>
            </w:r>
          </w:p>
        </w:tc>
      </w:tr>
      <w:tr w:rsidR="00D16346" w:rsidRPr="004E2ADC" w:rsidTr="00795FBA">
        <w:tc>
          <w:tcPr>
            <w:tcW w:w="898" w:type="pct"/>
            <w:tcBorders>
              <w:bottom w:val="nil"/>
            </w:tcBorders>
          </w:tcPr>
          <w:p w:rsidR="00D16346" w:rsidRPr="004E2ADC" w:rsidRDefault="00D16346" w:rsidP="00CA6CE0">
            <w:pPr>
              <w:keepNext/>
              <w:jc w:val="left"/>
              <w:rPr>
                <w:rFonts w:ascii="Arial Narrow" w:hAnsi="Arial Narrow"/>
                <w:sz w:val="20"/>
              </w:rPr>
            </w:pPr>
            <w:r>
              <w:rPr>
                <w:rFonts w:ascii="Arial Narrow" w:hAnsi="Arial Narrow"/>
                <w:sz w:val="20"/>
              </w:rPr>
              <w:t>BEVORDEX</w:t>
            </w:r>
          </w:p>
        </w:tc>
        <w:tc>
          <w:tcPr>
            <w:tcW w:w="2854" w:type="pct"/>
            <w:tcBorders>
              <w:bottom w:val="dotted" w:sz="4" w:space="0" w:color="auto"/>
            </w:tcBorders>
          </w:tcPr>
          <w:p w:rsidR="00D16346" w:rsidRPr="008F253E" w:rsidRDefault="00D16346" w:rsidP="00CA6CE0">
            <w:pPr>
              <w:keepNext/>
              <w:jc w:val="left"/>
              <w:rPr>
                <w:rFonts w:ascii="Arial Narrow" w:hAnsi="Arial Narrow"/>
                <w:sz w:val="20"/>
              </w:rPr>
            </w:pPr>
            <w:r w:rsidRPr="000D1D23">
              <w:rPr>
                <w:rFonts w:ascii="Arial Narrow" w:hAnsi="Arial Narrow"/>
                <w:sz w:val="20"/>
              </w:rPr>
              <w:t xml:space="preserve">Gillies MC., Lim LL., Campain AE., </w:t>
            </w:r>
            <w:r w:rsidRPr="000D1D23">
              <w:rPr>
                <w:rFonts w:ascii="Arial Narrow" w:hAnsi="Arial Narrow"/>
                <w:i/>
                <w:sz w:val="20"/>
              </w:rPr>
              <w:t>et al</w:t>
            </w:r>
            <w:r w:rsidRPr="000D1D23">
              <w:rPr>
                <w:rFonts w:ascii="Arial Narrow" w:hAnsi="Arial Narrow"/>
                <w:sz w:val="20"/>
              </w:rPr>
              <w:t xml:space="preserve">. </w:t>
            </w:r>
            <w:r w:rsidRPr="0045023C">
              <w:rPr>
                <w:rFonts w:ascii="Arial Narrow" w:hAnsi="Arial Narrow"/>
                <w:sz w:val="20"/>
              </w:rPr>
              <w:t>A multicentre randomized clinical trial of intravitreal bevacizumab versus intravitreal dexa</w:t>
            </w:r>
            <w:r>
              <w:rPr>
                <w:rFonts w:ascii="Arial Narrow" w:hAnsi="Arial Narrow"/>
                <w:sz w:val="20"/>
              </w:rPr>
              <w:t xml:space="preserve">methasone for diabetic macular </w:t>
            </w:r>
            <w:r w:rsidRPr="0045023C">
              <w:rPr>
                <w:rFonts w:ascii="Arial Narrow" w:hAnsi="Arial Narrow"/>
                <w:sz w:val="20"/>
              </w:rPr>
              <w:t>edema</w:t>
            </w:r>
            <w:r>
              <w:rPr>
                <w:rFonts w:ascii="Arial Narrow" w:hAnsi="Arial Narrow"/>
                <w:sz w:val="20"/>
              </w:rPr>
              <w:t>: the BEVORDEX study.</w:t>
            </w:r>
          </w:p>
        </w:tc>
        <w:tc>
          <w:tcPr>
            <w:tcW w:w="1248" w:type="pct"/>
            <w:tcBorders>
              <w:bottom w:val="dotted" w:sz="4" w:space="0" w:color="auto"/>
            </w:tcBorders>
          </w:tcPr>
          <w:p w:rsidR="00D16346" w:rsidRPr="000F2F44" w:rsidRDefault="00D16346" w:rsidP="00CA6CE0">
            <w:pPr>
              <w:keepNext/>
              <w:jc w:val="left"/>
              <w:rPr>
                <w:rFonts w:ascii="Arial Narrow" w:hAnsi="Arial Narrow"/>
                <w:sz w:val="20"/>
              </w:rPr>
            </w:pPr>
            <w:r w:rsidRPr="0045023C">
              <w:rPr>
                <w:rFonts w:ascii="Arial Narrow" w:hAnsi="Arial Narrow"/>
                <w:i/>
                <w:sz w:val="20"/>
              </w:rPr>
              <w:t>Ophthalmology</w:t>
            </w:r>
            <w:r>
              <w:rPr>
                <w:rFonts w:ascii="Arial Narrow" w:hAnsi="Arial Narrow"/>
                <w:i/>
                <w:sz w:val="20"/>
              </w:rPr>
              <w:t xml:space="preserve"> </w:t>
            </w:r>
            <w:r>
              <w:rPr>
                <w:rFonts w:ascii="Arial Narrow" w:hAnsi="Arial Narrow"/>
                <w:sz w:val="20"/>
              </w:rPr>
              <w:t>2014; 121(12):2473-81</w:t>
            </w:r>
          </w:p>
        </w:tc>
      </w:tr>
      <w:tr w:rsidR="00D16346" w:rsidRPr="00252F22" w:rsidTr="00795FBA">
        <w:tc>
          <w:tcPr>
            <w:tcW w:w="898" w:type="pct"/>
            <w:tcBorders>
              <w:top w:val="nil"/>
              <w:bottom w:val="single" w:sz="4" w:space="0" w:color="auto"/>
            </w:tcBorders>
          </w:tcPr>
          <w:p w:rsidR="00D16346" w:rsidRDefault="00D16346" w:rsidP="00D16346">
            <w:pPr>
              <w:jc w:val="left"/>
              <w:rPr>
                <w:rFonts w:ascii="Arial Narrow" w:hAnsi="Arial Narrow"/>
                <w:sz w:val="20"/>
              </w:rPr>
            </w:pPr>
          </w:p>
        </w:tc>
        <w:tc>
          <w:tcPr>
            <w:tcW w:w="2854" w:type="pct"/>
            <w:tcBorders>
              <w:top w:val="dotted" w:sz="4" w:space="0" w:color="auto"/>
              <w:bottom w:val="single" w:sz="4" w:space="0" w:color="auto"/>
            </w:tcBorders>
          </w:tcPr>
          <w:p w:rsidR="00D16346" w:rsidRPr="00252F22" w:rsidRDefault="00D16346" w:rsidP="00D16346">
            <w:pPr>
              <w:jc w:val="left"/>
              <w:rPr>
                <w:rFonts w:ascii="Arial Narrow" w:hAnsi="Arial Narrow"/>
                <w:sz w:val="20"/>
              </w:rPr>
            </w:pPr>
            <w:r w:rsidRPr="000D1D23">
              <w:rPr>
                <w:rFonts w:ascii="Arial Narrow" w:hAnsi="Arial Narrow"/>
                <w:sz w:val="20"/>
              </w:rPr>
              <w:t xml:space="preserve">Gillies MC., Lim LL., Campain AE., </w:t>
            </w:r>
            <w:r w:rsidRPr="000D1D23">
              <w:rPr>
                <w:rFonts w:ascii="Arial Narrow" w:hAnsi="Arial Narrow"/>
                <w:i/>
                <w:sz w:val="20"/>
              </w:rPr>
              <w:t>et al</w:t>
            </w:r>
            <w:r w:rsidRPr="000D1D23">
              <w:rPr>
                <w:rFonts w:ascii="Arial Narrow" w:hAnsi="Arial Narrow"/>
                <w:sz w:val="20"/>
              </w:rPr>
              <w:t xml:space="preserve">. </w:t>
            </w:r>
            <w:r w:rsidRPr="00076172">
              <w:rPr>
                <w:rFonts w:ascii="Arial Narrow" w:hAnsi="Arial Narrow"/>
                <w:sz w:val="20"/>
              </w:rPr>
              <w:t xml:space="preserve">BEVORDEX - </w:t>
            </w:r>
            <w:r w:rsidRPr="00252F22">
              <w:rPr>
                <w:rFonts w:ascii="Arial Narrow" w:hAnsi="Arial Narrow"/>
                <w:sz w:val="20"/>
              </w:rPr>
              <w:t>A multicentre randomized clinical trial of</w:t>
            </w:r>
            <w:r>
              <w:rPr>
                <w:rFonts w:ascii="Arial Narrow" w:hAnsi="Arial Narrow"/>
                <w:sz w:val="20"/>
              </w:rPr>
              <w:t xml:space="preserve"> </w:t>
            </w:r>
            <w:r w:rsidRPr="00252F22">
              <w:rPr>
                <w:rFonts w:ascii="Arial Narrow" w:hAnsi="Arial Narrow"/>
                <w:sz w:val="20"/>
              </w:rPr>
              <w:t>intravitreal dexamethasone versus intravitreal bevacizumab for</w:t>
            </w:r>
            <w:r>
              <w:rPr>
                <w:rFonts w:ascii="Arial Narrow" w:hAnsi="Arial Narrow"/>
                <w:sz w:val="20"/>
              </w:rPr>
              <w:t xml:space="preserve"> </w:t>
            </w:r>
            <w:r w:rsidRPr="00252F22">
              <w:rPr>
                <w:rFonts w:ascii="Arial Narrow" w:hAnsi="Arial Narrow"/>
                <w:sz w:val="20"/>
              </w:rPr>
              <w:t>persistent diabetic macular edema</w:t>
            </w:r>
            <w:r>
              <w:rPr>
                <w:rFonts w:ascii="Arial Narrow" w:hAnsi="Arial Narrow"/>
                <w:sz w:val="20"/>
              </w:rPr>
              <w:t xml:space="preserve"> (abstract).</w:t>
            </w:r>
          </w:p>
        </w:tc>
        <w:tc>
          <w:tcPr>
            <w:tcW w:w="1248" w:type="pct"/>
            <w:tcBorders>
              <w:top w:val="dotted" w:sz="4" w:space="0" w:color="auto"/>
              <w:bottom w:val="single" w:sz="4" w:space="0" w:color="auto"/>
            </w:tcBorders>
          </w:tcPr>
          <w:p w:rsidR="00D16346" w:rsidRPr="00076172" w:rsidRDefault="00D16346" w:rsidP="00D16346">
            <w:pPr>
              <w:jc w:val="left"/>
              <w:rPr>
                <w:rFonts w:ascii="Arial Narrow" w:hAnsi="Arial Narrow"/>
                <w:sz w:val="20"/>
              </w:rPr>
            </w:pPr>
            <w:r>
              <w:rPr>
                <w:rFonts w:ascii="Arial Narrow" w:hAnsi="Arial Narrow"/>
                <w:sz w:val="20"/>
              </w:rPr>
              <w:t xml:space="preserve">2015 ARVO Annual Meeting </w:t>
            </w:r>
          </w:p>
        </w:tc>
      </w:tr>
      <w:tr w:rsidR="00D16346" w:rsidRPr="004E2ADC" w:rsidTr="00795FBA">
        <w:tc>
          <w:tcPr>
            <w:tcW w:w="898" w:type="pct"/>
            <w:tcBorders>
              <w:bottom w:val="nil"/>
            </w:tcBorders>
          </w:tcPr>
          <w:p w:rsidR="00D16346" w:rsidRPr="004E2ADC" w:rsidRDefault="00D16346" w:rsidP="00D16346">
            <w:pPr>
              <w:jc w:val="left"/>
              <w:rPr>
                <w:rFonts w:ascii="Arial Narrow" w:hAnsi="Arial Narrow"/>
                <w:sz w:val="20"/>
              </w:rPr>
            </w:pPr>
            <w:r>
              <w:rPr>
                <w:rFonts w:ascii="Arial Narrow" w:hAnsi="Arial Narrow"/>
                <w:sz w:val="20"/>
              </w:rPr>
              <w:t>MEAD (Trials 010 and 011)</w:t>
            </w:r>
          </w:p>
        </w:tc>
        <w:tc>
          <w:tcPr>
            <w:tcW w:w="2854" w:type="pct"/>
            <w:tcBorders>
              <w:bottom w:val="dotted" w:sz="4" w:space="0" w:color="auto"/>
            </w:tcBorders>
          </w:tcPr>
          <w:p w:rsidR="00D16346" w:rsidRPr="00076172" w:rsidRDefault="00D16346" w:rsidP="0009517F">
            <w:pPr>
              <w:jc w:val="left"/>
              <w:rPr>
                <w:rFonts w:ascii="Arial Narrow" w:hAnsi="Arial Narrow"/>
                <w:sz w:val="20"/>
              </w:rPr>
            </w:pPr>
            <w:r w:rsidRPr="000F2F44">
              <w:rPr>
                <w:rFonts w:ascii="Arial Narrow" w:hAnsi="Arial Narrow"/>
                <w:sz w:val="20"/>
              </w:rPr>
              <w:t>Clinica</w:t>
            </w:r>
            <w:r>
              <w:rPr>
                <w:rFonts w:ascii="Arial Narrow" w:hAnsi="Arial Narrow"/>
                <w:sz w:val="20"/>
              </w:rPr>
              <w:t>l Study Report</w:t>
            </w:r>
            <w:r w:rsidRPr="000F2F44">
              <w:rPr>
                <w:rFonts w:ascii="Arial Narrow" w:hAnsi="Arial Narrow"/>
                <w:sz w:val="20"/>
              </w:rPr>
              <w:t xml:space="preserve"> 206207-010: A 3-year, phase 3, mu</w:t>
            </w:r>
            <w:r w:rsidR="00380746">
              <w:rPr>
                <w:rFonts w:ascii="Arial Narrow" w:hAnsi="Arial Narrow"/>
                <w:sz w:val="20"/>
              </w:rPr>
              <w:t xml:space="preserve">lticentre, masked, randomized, </w:t>
            </w:r>
            <w:r w:rsidRPr="000F2F44">
              <w:rPr>
                <w:rFonts w:ascii="Arial Narrow" w:hAnsi="Arial Narrow"/>
                <w:sz w:val="20"/>
              </w:rPr>
              <w:t>sham-controlled trial to assess the safety</w:t>
            </w:r>
            <w:r w:rsidR="0009517F">
              <w:rPr>
                <w:rFonts w:ascii="Arial Narrow" w:hAnsi="Arial Narrow"/>
                <w:sz w:val="20"/>
              </w:rPr>
              <w:t xml:space="preserve"> and efficacy of 700µg and 350</w:t>
            </w:r>
            <w:r w:rsidRPr="000F2F44">
              <w:rPr>
                <w:rFonts w:ascii="Arial Narrow" w:hAnsi="Arial Narrow"/>
                <w:sz w:val="20"/>
              </w:rPr>
              <w:t>µg dexamethasone posterior segment drug delivery system (DEX PS DDS) applicator system in the treatment of patients with diabetic macular edema.</w:t>
            </w:r>
          </w:p>
        </w:tc>
        <w:tc>
          <w:tcPr>
            <w:tcW w:w="1248" w:type="pct"/>
            <w:tcBorders>
              <w:bottom w:val="dotted" w:sz="4" w:space="0" w:color="auto"/>
            </w:tcBorders>
          </w:tcPr>
          <w:p w:rsidR="00D16346" w:rsidRPr="004E2ADC" w:rsidRDefault="00D16346" w:rsidP="00D16346">
            <w:pPr>
              <w:jc w:val="left"/>
              <w:rPr>
                <w:rFonts w:ascii="Arial Narrow" w:hAnsi="Arial Narrow"/>
                <w:sz w:val="20"/>
              </w:rPr>
            </w:pPr>
            <w:r>
              <w:rPr>
                <w:rFonts w:ascii="Arial Narrow" w:hAnsi="Arial Narrow"/>
                <w:sz w:val="20"/>
              </w:rPr>
              <w:t>May 2013</w:t>
            </w:r>
          </w:p>
          <w:p w:rsidR="00D16346" w:rsidRPr="004E2ADC" w:rsidRDefault="00D16346" w:rsidP="00D16346">
            <w:pPr>
              <w:jc w:val="left"/>
              <w:rPr>
                <w:rFonts w:ascii="Arial Narrow" w:hAnsi="Arial Narrow"/>
                <w:b/>
                <w:sz w:val="20"/>
              </w:rPr>
            </w:pPr>
          </w:p>
        </w:tc>
      </w:tr>
      <w:tr w:rsidR="00D16346" w:rsidRPr="004E2ADC" w:rsidTr="00795FBA">
        <w:tc>
          <w:tcPr>
            <w:tcW w:w="898" w:type="pct"/>
            <w:tcBorders>
              <w:top w:val="nil"/>
              <w:bottom w:val="nil"/>
            </w:tcBorders>
          </w:tcPr>
          <w:p w:rsidR="00D16346" w:rsidRDefault="00D16346" w:rsidP="00D16346">
            <w:pPr>
              <w:jc w:val="left"/>
              <w:rPr>
                <w:rFonts w:ascii="Arial Narrow" w:hAnsi="Arial Narrow"/>
                <w:sz w:val="20"/>
              </w:rPr>
            </w:pPr>
          </w:p>
        </w:tc>
        <w:tc>
          <w:tcPr>
            <w:tcW w:w="2854" w:type="pct"/>
            <w:tcBorders>
              <w:top w:val="dotted" w:sz="4" w:space="0" w:color="auto"/>
              <w:bottom w:val="dotted" w:sz="4" w:space="0" w:color="auto"/>
            </w:tcBorders>
          </w:tcPr>
          <w:p w:rsidR="00D16346" w:rsidRPr="000F2F44" w:rsidRDefault="00D16346" w:rsidP="00D16346">
            <w:pPr>
              <w:jc w:val="left"/>
              <w:rPr>
                <w:rFonts w:ascii="Arial Narrow" w:hAnsi="Arial Narrow"/>
                <w:sz w:val="20"/>
              </w:rPr>
            </w:pPr>
            <w:r w:rsidRPr="000F2F44">
              <w:rPr>
                <w:rFonts w:ascii="Arial Narrow" w:hAnsi="Arial Narrow"/>
                <w:sz w:val="20"/>
              </w:rPr>
              <w:t>Clinical Study Report 206207-011: A 3-year, phase 3, mu</w:t>
            </w:r>
            <w:r w:rsidR="0009517F">
              <w:rPr>
                <w:rFonts w:ascii="Arial Narrow" w:hAnsi="Arial Narrow"/>
                <w:sz w:val="20"/>
              </w:rPr>
              <w:t xml:space="preserve">lticentre, masked, randomized, </w:t>
            </w:r>
            <w:r w:rsidRPr="000F2F44">
              <w:rPr>
                <w:rFonts w:ascii="Arial Narrow" w:hAnsi="Arial Narrow"/>
                <w:sz w:val="20"/>
              </w:rPr>
              <w:t>sham-controlled trial to assess</w:t>
            </w:r>
            <w:r>
              <w:rPr>
                <w:rFonts w:ascii="Arial Narrow" w:hAnsi="Arial Narrow"/>
                <w:sz w:val="20"/>
              </w:rPr>
              <w:t xml:space="preserve"> the safety and efficacy of 700µg and 350</w:t>
            </w:r>
            <w:r w:rsidRPr="000F2F44">
              <w:rPr>
                <w:rFonts w:ascii="Arial Narrow" w:hAnsi="Arial Narrow"/>
                <w:sz w:val="20"/>
              </w:rPr>
              <w:t>µg dexamethasone posterior segment drug delivery system (DEX PS DDS) applicator system in the treatment of patients with diabetic macular edema.</w:t>
            </w:r>
            <w:r>
              <w:rPr>
                <w:rFonts w:ascii="Arial Narrow" w:hAnsi="Arial Narrow"/>
                <w:sz w:val="20"/>
              </w:rPr>
              <w:t xml:space="preserve"> </w:t>
            </w:r>
          </w:p>
        </w:tc>
        <w:tc>
          <w:tcPr>
            <w:tcW w:w="1248" w:type="pct"/>
            <w:tcBorders>
              <w:top w:val="dotted" w:sz="4" w:space="0" w:color="auto"/>
              <w:bottom w:val="dotted" w:sz="4" w:space="0" w:color="auto"/>
            </w:tcBorders>
          </w:tcPr>
          <w:p w:rsidR="00D16346" w:rsidRPr="004E2ADC" w:rsidRDefault="00D16346" w:rsidP="00D16346">
            <w:pPr>
              <w:jc w:val="left"/>
              <w:rPr>
                <w:rFonts w:ascii="Arial Narrow" w:hAnsi="Arial Narrow"/>
                <w:sz w:val="20"/>
              </w:rPr>
            </w:pPr>
            <w:r>
              <w:rPr>
                <w:rFonts w:ascii="Arial Narrow" w:hAnsi="Arial Narrow"/>
                <w:sz w:val="20"/>
              </w:rPr>
              <w:t>May 2013</w:t>
            </w:r>
          </w:p>
          <w:p w:rsidR="00D16346" w:rsidRDefault="00D16346" w:rsidP="00D16346">
            <w:pPr>
              <w:jc w:val="left"/>
              <w:rPr>
                <w:rFonts w:ascii="Arial Narrow" w:hAnsi="Arial Narrow"/>
                <w:sz w:val="20"/>
              </w:rPr>
            </w:pPr>
          </w:p>
        </w:tc>
      </w:tr>
      <w:tr w:rsidR="00D16346" w:rsidRPr="004E2ADC" w:rsidTr="00795FBA">
        <w:tc>
          <w:tcPr>
            <w:tcW w:w="898" w:type="pct"/>
            <w:tcBorders>
              <w:top w:val="nil"/>
            </w:tcBorders>
          </w:tcPr>
          <w:p w:rsidR="00D16346" w:rsidRDefault="00D16346" w:rsidP="00D16346">
            <w:pPr>
              <w:jc w:val="left"/>
              <w:rPr>
                <w:rFonts w:ascii="Arial Narrow" w:hAnsi="Arial Narrow"/>
                <w:sz w:val="20"/>
              </w:rPr>
            </w:pPr>
          </w:p>
        </w:tc>
        <w:tc>
          <w:tcPr>
            <w:tcW w:w="2854" w:type="pct"/>
            <w:tcBorders>
              <w:top w:val="dotted" w:sz="4" w:space="0" w:color="auto"/>
            </w:tcBorders>
          </w:tcPr>
          <w:p w:rsidR="00D16346" w:rsidRPr="000F2F44" w:rsidRDefault="00D16346" w:rsidP="00D16346">
            <w:pPr>
              <w:jc w:val="left"/>
              <w:rPr>
                <w:rFonts w:ascii="Arial Narrow" w:hAnsi="Arial Narrow"/>
                <w:sz w:val="20"/>
              </w:rPr>
            </w:pPr>
            <w:r w:rsidRPr="000D1D23">
              <w:rPr>
                <w:rFonts w:ascii="Arial Narrow" w:hAnsi="Arial Narrow"/>
                <w:sz w:val="20"/>
              </w:rPr>
              <w:t xml:space="preserve">Boyer DS., Yoon YH., Belfort R., </w:t>
            </w:r>
            <w:r w:rsidRPr="000D1D23">
              <w:rPr>
                <w:rFonts w:ascii="Arial Narrow" w:hAnsi="Arial Narrow"/>
                <w:i/>
                <w:sz w:val="20"/>
              </w:rPr>
              <w:t>et al</w:t>
            </w:r>
            <w:r w:rsidRPr="000D1D23">
              <w:rPr>
                <w:rFonts w:ascii="Arial Narrow" w:hAnsi="Arial Narrow"/>
                <w:sz w:val="20"/>
              </w:rPr>
              <w:t xml:space="preserve">. </w:t>
            </w:r>
            <w:r w:rsidRPr="000F2F44">
              <w:rPr>
                <w:rFonts w:ascii="Arial Narrow" w:hAnsi="Arial Narrow"/>
                <w:sz w:val="20"/>
              </w:rPr>
              <w:t>(2014). Three-year, randomized, sham-controlled trial of dexamethasone intravitreal implant in patients with diabetic macular edema.</w:t>
            </w:r>
          </w:p>
        </w:tc>
        <w:tc>
          <w:tcPr>
            <w:tcW w:w="1248" w:type="pct"/>
            <w:tcBorders>
              <w:top w:val="dotted" w:sz="4" w:space="0" w:color="auto"/>
            </w:tcBorders>
          </w:tcPr>
          <w:p w:rsidR="00D16346" w:rsidRDefault="00D16346" w:rsidP="00D16346">
            <w:pPr>
              <w:jc w:val="left"/>
              <w:rPr>
                <w:rFonts w:ascii="Arial Narrow" w:hAnsi="Arial Narrow"/>
                <w:sz w:val="20"/>
              </w:rPr>
            </w:pPr>
            <w:r w:rsidRPr="0045023C">
              <w:rPr>
                <w:rFonts w:ascii="Arial Narrow" w:hAnsi="Arial Narrow"/>
                <w:i/>
                <w:sz w:val="20"/>
              </w:rPr>
              <w:t>Ophthalmology</w:t>
            </w:r>
            <w:r>
              <w:rPr>
                <w:rFonts w:ascii="Arial Narrow" w:hAnsi="Arial Narrow"/>
                <w:i/>
                <w:sz w:val="20"/>
              </w:rPr>
              <w:t xml:space="preserve"> </w:t>
            </w:r>
            <w:r>
              <w:rPr>
                <w:rFonts w:ascii="Arial Narrow" w:hAnsi="Arial Narrow"/>
                <w:sz w:val="20"/>
              </w:rPr>
              <w:t>2014; 121(10):1904-14</w:t>
            </w:r>
          </w:p>
        </w:tc>
      </w:tr>
      <w:tr w:rsidR="00D16346" w:rsidRPr="004E2ADC" w:rsidTr="00D16346">
        <w:tc>
          <w:tcPr>
            <w:tcW w:w="5000" w:type="pct"/>
            <w:gridSpan w:val="3"/>
          </w:tcPr>
          <w:p w:rsidR="00D16346" w:rsidRPr="004E2ADC" w:rsidRDefault="00D16346" w:rsidP="00D16346">
            <w:pPr>
              <w:jc w:val="left"/>
              <w:rPr>
                <w:rFonts w:ascii="Arial Narrow" w:hAnsi="Arial Narrow"/>
                <w:b/>
                <w:sz w:val="20"/>
              </w:rPr>
            </w:pPr>
            <w:r>
              <w:rPr>
                <w:rFonts w:ascii="Arial Narrow" w:hAnsi="Arial Narrow"/>
                <w:b/>
                <w:sz w:val="20"/>
              </w:rPr>
              <w:t>Aflibercept injection trials</w:t>
            </w:r>
          </w:p>
        </w:tc>
      </w:tr>
      <w:tr w:rsidR="00D16346" w:rsidRPr="004E2ADC" w:rsidTr="00795FBA">
        <w:tc>
          <w:tcPr>
            <w:tcW w:w="898" w:type="pct"/>
            <w:tcBorders>
              <w:bottom w:val="single" w:sz="4" w:space="0" w:color="auto"/>
            </w:tcBorders>
          </w:tcPr>
          <w:p w:rsidR="00D16346" w:rsidRPr="004E2ADC" w:rsidRDefault="00D16346" w:rsidP="00D16346">
            <w:pPr>
              <w:jc w:val="left"/>
              <w:rPr>
                <w:rFonts w:ascii="Arial Narrow" w:hAnsi="Arial Narrow"/>
                <w:sz w:val="20"/>
              </w:rPr>
            </w:pPr>
            <w:r>
              <w:rPr>
                <w:rFonts w:ascii="Arial Narrow" w:hAnsi="Arial Narrow"/>
                <w:sz w:val="20"/>
              </w:rPr>
              <w:t>VIVID/VISTA</w:t>
            </w:r>
          </w:p>
        </w:tc>
        <w:tc>
          <w:tcPr>
            <w:tcW w:w="2854" w:type="pct"/>
            <w:tcBorders>
              <w:bottom w:val="single" w:sz="4" w:space="0" w:color="auto"/>
            </w:tcBorders>
          </w:tcPr>
          <w:p w:rsidR="00D16346" w:rsidRPr="00DD3398" w:rsidRDefault="00D16346" w:rsidP="00D16346">
            <w:pPr>
              <w:jc w:val="left"/>
              <w:rPr>
                <w:rFonts w:ascii="Arial Narrow" w:hAnsi="Arial Narrow"/>
                <w:sz w:val="20"/>
              </w:rPr>
            </w:pPr>
            <w:r>
              <w:rPr>
                <w:rFonts w:ascii="Arial Narrow" w:hAnsi="Arial Narrow"/>
                <w:sz w:val="20"/>
              </w:rPr>
              <w:t xml:space="preserve">Korobelnik JF., Do DV., Schmidt-Erfurth, U. </w:t>
            </w:r>
            <w:r w:rsidRPr="0058283D">
              <w:rPr>
                <w:rFonts w:ascii="Arial Narrow" w:hAnsi="Arial Narrow"/>
                <w:i/>
                <w:sz w:val="20"/>
              </w:rPr>
              <w:t>et al</w:t>
            </w:r>
            <w:r w:rsidRPr="0058283D">
              <w:rPr>
                <w:rFonts w:ascii="Arial Narrow" w:hAnsi="Arial Narrow"/>
                <w:sz w:val="20"/>
              </w:rPr>
              <w:t xml:space="preserve">. Intravitreal aflibercept for diabetic macular edema. </w:t>
            </w:r>
          </w:p>
        </w:tc>
        <w:tc>
          <w:tcPr>
            <w:tcW w:w="1248" w:type="pct"/>
            <w:tcBorders>
              <w:bottom w:val="single" w:sz="4" w:space="0" w:color="auto"/>
            </w:tcBorders>
          </w:tcPr>
          <w:p w:rsidR="00D16346" w:rsidRPr="00DD3398" w:rsidRDefault="00D16346" w:rsidP="00D16346">
            <w:pPr>
              <w:jc w:val="left"/>
              <w:rPr>
                <w:rFonts w:ascii="Arial Narrow" w:hAnsi="Arial Narrow"/>
                <w:sz w:val="20"/>
              </w:rPr>
            </w:pPr>
            <w:r w:rsidRPr="0058283D">
              <w:rPr>
                <w:rFonts w:ascii="Arial Narrow" w:hAnsi="Arial Narrow"/>
                <w:i/>
                <w:sz w:val="20"/>
              </w:rPr>
              <w:t>Ophthalmology</w:t>
            </w:r>
            <w:r>
              <w:rPr>
                <w:rFonts w:ascii="Arial Narrow" w:hAnsi="Arial Narrow"/>
                <w:sz w:val="20"/>
              </w:rPr>
              <w:t xml:space="preserve"> 2014, 121(11):2247-</w:t>
            </w:r>
            <w:r w:rsidRPr="0058283D">
              <w:rPr>
                <w:rFonts w:ascii="Arial Narrow" w:hAnsi="Arial Narrow"/>
                <w:sz w:val="20"/>
              </w:rPr>
              <w:t>54.</w:t>
            </w:r>
          </w:p>
        </w:tc>
      </w:tr>
      <w:tr w:rsidR="00D16346" w:rsidRPr="004E2ADC" w:rsidTr="00795FBA">
        <w:tc>
          <w:tcPr>
            <w:tcW w:w="898" w:type="pct"/>
            <w:tcBorders>
              <w:bottom w:val="nil"/>
            </w:tcBorders>
          </w:tcPr>
          <w:p w:rsidR="00D16346" w:rsidRPr="004E2ADC" w:rsidRDefault="00D16346" w:rsidP="00D16346">
            <w:pPr>
              <w:jc w:val="left"/>
              <w:rPr>
                <w:rFonts w:ascii="Arial Narrow" w:hAnsi="Arial Narrow"/>
                <w:sz w:val="20"/>
              </w:rPr>
            </w:pPr>
            <w:r>
              <w:rPr>
                <w:rFonts w:ascii="Arial Narrow" w:hAnsi="Arial Narrow"/>
                <w:sz w:val="20"/>
              </w:rPr>
              <w:t>DA VINCI</w:t>
            </w:r>
          </w:p>
        </w:tc>
        <w:tc>
          <w:tcPr>
            <w:tcW w:w="2854" w:type="pct"/>
            <w:tcBorders>
              <w:bottom w:val="dotted" w:sz="4" w:space="0" w:color="auto"/>
            </w:tcBorders>
          </w:tcPr>
          <w:p w:rsidR="00D16346" w:rsidRPr="008F253E" w:rsidRDefault="00D16346" w:rsidP="00D16346">
            <w:pPr>
              <w:jc w:val="left"/>
              <w:rPr>
                <w:rFonts w:ascii="Arial Narrow" w:hAnsi="Arial Narrow"/>
                <w:sz w:val="20"/>
              </w:rPr>
            </w:pPr>
            <w:r w:rsidRPr="00605BFE">
              <w:rPr>
                <w:rFonts w:ascii="Arial Narrow" w:hAnsi="Arial Narrow"/>
                <w:sz w:val="20"/>
              </w:rPr>
              <w:t>Do</w:t>
            </w:r>
            <w:r>
              <w:rPr>
                <w:rFonts w:ascii="Arial Narrow" w:hAnsi="Arial Narrow"/>
                <w:sz w:val="20"/>
              </w:rPr>
              <w:t xml:space="preserve"> DV., Schmidt-Erfurth, U., Gonzalez, VH.,</w:t>
            </w:r>
            <w:r w:rsidRPr="00605BFE">
              <w:rPr>
                <w:rFonts w:ascii="Arial Narrow" w:hAnsi="Arial Narrow"/>
                <w:sz w:val="20"/>
              </w:rPr>
              <w:t xml:space="preserve"> </w:t>
            </w:r>
            <w:r w:rsidRPr="00605BFE">
              <w:rPr>
                <w:rFonts w:ascii="Arial Narrow" w:hAnsi="Arial Narrow"/>
                <w:i/>
                <w:sz w:val="20"/>
              </w:rPr>
              <w:t>et al.</w:t>
            </w:r>
            <w:r w:rsidRPr="00605BFE">
              <w:rPr>
                <w:rFonts w:ascii="Arial Narrow" w:hAnsi="Arial Narrow"/>
                <w:sz w:val="20"/>
              </w:rPr>
              <w:t xml:space="preserve"> The DA VINCI Study: phase 2 primary results of VEGF Trap-Eye in patients with diabetic macular edema.</w:t>
            </w:r>
          </w:p>
        </w:tc>
        <w:tc>
          <w:tcPr>
            <w:tcW w:w="1248" w:type="pct"/>
            <w:tcBorders>
              <w:bottom w:val="dotted" w:sz="4" w:space="0" w:color="auto"/>
            </w:tcBorders>
          </w:tcPr>
          <w:p w:rsidR="00D16346" w:rsidRPr="000F2F44" w:rsidRDefault="00D16346" w:rsidP="00D16346">
            <w:pPr>
              <w:jc w:val="left"/>
              <w:rPr>
                <w:rFonts w:ascii="Arial Narrow" w:hAnsi="Arial Narrow"/>
                <w:sz w:val="20"/>
              </w:rPr>
            </w:pPr>
            <w:r w:rsidRPr="00605BFE">
              <w:rPr>
                <w:rFonts w:ascii="Arial Narrow" w:hAnsi="Arial Narrow"/>
                <w:i/>
                <w:sz w:val="20"/>
              </w:rPr>
              <w:t>Ophthalmology</w:t>
            </w:r>
            <w:r>
              <w:rPr>
                <w:rFonts w:ascii="Arial Narrow" w:hAnsi="Arial Narrow"/>
                <w:sz w:val="20"/>
              </w:rPr>
              <w:t xml:space="preserve"> 2011; 118(9): 1819-</w:t>
            </w:r>
            <w:r w:rsidRPr="00605BFE">
              <w:rPr>
                <w:rFonts w:ascii="Arial Narrow" w:hAnsi="Arial Narrow"/>
                <w:sz w:val="20"/>
              </w:rPr>
              <w:t>26</w:t>
            </w:r>
          </w:p>
        </w:tc>
      </w:tr>
      <w:tr w:rsidR="00D16346" w:rsidRPr="00252F22" w:rsidTr="00795FBA">
        <w:tc>
          <w:tcPr>
            <w:tcW w:w="898" w:type="pct"/>
            <w:tcBorders>
              <w:top w:val="nil"/>
              <w:bottom w:val="single" w:sz="4" w:space="0" w:color="auto"/>
            </w:tcBorders>
          </w:tcPr>
          <w:p w:rsidR="00D16346" w:rsidRDefault="00D16346" w:rsidP="00D16346">
            <w:pPr>
              <w:jc w:val="left"/>
              <w:rPr>
                <w:rFonts w:ascii="Arial Narrow" w:hAnsi="Arial Narrow"/>
                <w:sz w:val="20"/>
              </w:rPr>
            </w:pPr>
          </w:p>
        </w:tc>
        <w:tc>
          <w:tcPr>
            <w:tcW w:w="2854" w:type="pct"/>
            <w:tcBorders>
              <w:top w:val="dotted" w:sz="4" w:space="0" w:color="auto"/>
              <w:bottom w:val="single" w:sz="4" w:space="0" w:color="auto"/>
            </w:tcBorders>
          </w:tcPr>
          <w:p w:rsidR="00D16346" w:rsidRPr="00252F22" w:rsidRDefault="00D16346" w:rsidP="00D16346">
            <w:pPr>
              <w:jc w:val="left"/>
              <w:rPr>
                <w:rFonts w:ascii="Arial Narrow" w:hAnsi="Arial Narrow"/>
                <w:sz w:val="20"/>
              </w:rPr>
            </w:pPr>
            <w:r w:rsidRPr="00605BFE">
              <w:rPr>
                <w:rFonts w:ascii="Arial Narrow" w:hAnsi="Arial Narrow"/>
                <w:sz w:val="20"/>
                <w:lang w:val="fr-FR"/>
              </w:rPr>
              <w:t>Do DV., Nguyen QD, Boyer D.</w:t>
            </w:r>
            <w:r>
              <w:rPr>
                <w:rFonts w:ascii="Arial Narrow" w:hAnsi="Arial Narrow"/>
                <w:sz w:val="20"/>
                <w:lang w:val="fr-FR"/>
              </w:rPr>
              <w:t>,</w:t>
            </w:r>
            <w:r w:rsidRPr="00605BFE">
              <w:rPr>
                <w:rFonts w:ascii="Arial Narrow" w:hAnsi="Arial Narrow"/>
                <w:sz w:val="20"/>
                <w:lang w:val="fr-FR"/>
              </w:rPr>
              <w:t xml:space="preserve"> </w:t>
            </w:r>
            <w:r w:rsidRPr="00605BFE">
              <w:rPr>
                <w:rFonts w:ascii="Arial Narrow" w:hAnsi="Arial Narrow"/>
                <w:i/>
                <w:sz w:val="20"/>
                <w:lang w:val="fr-FR"/>
              </w:rPr>
              <w:t>et al.</w:t>
            </w:r>
            <w:r w:rsidRPr="00605BFE">
              <w:rPr>
                <w:rFonts w:ascii="Arial Narrow" w:hAnsi="Arial Narrow"/>
                <w:sz w:val="20"/>
                <w:lang w:val="fr-FR"/>
              </w:rPr>
              <w:t xml:space="preserve"> 2012. </w:t>
            </w:r>
            <w:r w:rsidRPr="00605BFE">
              <w:rPr>
                <w:rFonts w:ascii="Arial Narrow" w:hAnsi="Arial Narrow"/>
                <w:sz w:val="20"/>
              </w:rPr>
              <w:t xml:space="preserve">One-year outcomes of the DA VINCI study of VEGF trap-eye in eyes with diabetic macular edema. </w:t>
            </w:r>
          </w:p>
        </w:tc>
        <w:tc>
          <w:tcPr>
            <w:tcW w:w="1248" w:type="pct"/>
            <w:tcBorders>
              <w:top w:val="dotted" w:sz="4" w:space="0" w:color="auto"/>
              <w:bottom w:val="single" w:sz="4" w:space="0" w:color="auto"/>
            </w:tcBorders>
          </w:tcPr>
          <w:p w:rsidR="00D16346" w:rsidRPr="00076172" w:rsidRDefault="00D16346" w:rsidP="00D16346">
            <w:pPr>
              <w:jc w:val="left"/>
              <w:rPr>
                <w:rFonts w:ascii="Arial Narrow" w:hAnsi="Arial Narrow"/>
                <w:sz w:val="20"/>
              </w:rPr>
            </w:pPr>
            <w:r w:rsidRPr="00605BFE">
              <w:rPr>
                <w:rFonts w:ascii="Arial Narrow" w:hAnsi="Arial Narrow"/>
                <w:i/>
                <w:sz w:val="20"/>
              </w:rPr>
              <w:t>Ophthalmology</w:t>
            </w:r>
            <w:r w:rsidRPr="00605BFE">
              <w:rPr>
                <w:rFonts w:ascii="Arial Narrow" w:hAnsi="Arial Narrow"/>
                <w:sz w:val="20"/>
              </w:rPr>
              <w:t xml:space="preserve"> 2012;</w:t>
            </w:r>
            <w:r>
              <w:rPr>
                <w:rFonts w:ascii="Arial Narrow" w:hAnsi="Arial Narrow"/>
                <w:sz w:val="20"/>
              </w:rPr>
              <w:t xml:space="preserve"> 119:1658-</w:t>
            </w:r>
            <w:r w:rsidRPr="00605BFE">
              <w:rPr>
                <w:rFonts w:ascii="Arial Narrow" w:hAnsi="Arial Narrow"/>
                <w:sz w:val="20"/>
              </w:rPr>
              <w:t>65</w:t>
            </w:r>
          </w:p>
        </w:tc>
      </w:tr>
      <w:tr w:rsidR="00D16346" w:rsidRPr="004E2ADC" w:rsidTr="00795FBA">
        <w:trPr>
          <w:trHeight w:val="369"/>
        </w:trPr>
        <w:tc>
          <w:tcPr>
            <w:tcW w:w="898" w:type="pct"/>
          </w:tcPr>
          <w:p w:rsidR="00D16346" w:rsidRPr="004E2ADC" w:rsidRDefault="00D16346" w:rsidP="00D16346">
            <w:pPr>
              <w:jc w:val="left"/>
              <w:rPr>
                <w:rFonts w:ascii="Arial Narrow" w:hAnsi="Arial Narrow"/>
                <w:sz w:val="20"/>
              </w:rPr>
            </w:pPr>
            <w:r>
              <w:rPr>
                <w:rFonts w:ascii="Arial Narrow" w:hAnsi="Arial Narrow"/>
                <w:sz w:val="20"/>
              </w:rPr>
              <w:t>Protocol T</w:t>
            </w:r>
          </w:p>
        </w:tc>
        <w:tc>
          <w:tcPr>
            <w:tcW w:w="2854" w:type="pct"/>
          </w:tcPr>
          <w:p w:rsidR="00D16346" w:rsidRPr="00076172" w:rsidRDefault="00D16346" w:rsidP="00D16346">
            <w:pPr>
              <w:jc w:val="left"/>
              <w:rPr>
                <w:rFonts w:ascii="Arial Narrow" w:hAnsi="Arial Narrow"/>
                <w:sz w:val="20"/>
              </w:rPr>
            </w:pPr>
            <w:r>
              <w:rPr>
                <w:rFonts w:ascii="Arial Narrow" w:hAnsi="Arial Narrow"/>
                <w:sz w:val="20"/>
              </w:rPr>
              <w:t xml:space="preserve">DRCR Network, Wells JA., Glassman AR, </w:t>
            </w:r>
            <w:r>
              <w:rPr>
                <w:rFonts w:ascii="Arial Narrow" w:hAnsi="Arial Narrow"/>
                <w:i/>
                <w:sz w:val="20"/>
              </w:rPr>
              <w:t>et al</w:t>
            </w:r>
            <w:r w:rsidRPr="00605BFE">
              <w:rPr>
                <w:rFonts w:ascii="Arial Narrow" w:hAnsi="Arial Narrow"/>
                <w:sz w:val="20"/>
              </w:rPr>
              <w:t>. Aflibercept, bevacizumab, or ranibizumab for diabetic macular edema.</w:t>
            </w:r>
          </w:p>
        </w:tc>
        <w:tc>
          <w:tcPr>
            <w:tcW w:w="1248" w:type="pct"/>
          </w:tcPr>
          <w:p w:rsidR="00D16346" w:rsidRPr="004E2ADC" w:rsidRDefault="00D16346" w:rsidP="00D16346">
            <w:pPr>
              <w:jc w:val="left"/>
              <w:rPr>
                <w:rFonts w:ascii="Arial Narrow" w:hAnsi="Arial Narrow"/>
                <w:b/>
                <w:sz w:val="20"/>
              </w:rPr>
            </w:pPr>
            <w:r>
              <w:rPr>
                <w:rFonts w:ascii="Arial Narrow" w:hAnsi="Arial Narrow"/>
                <w:i/>
                <w:sz w:val="20"/>
              </w:rPr>
              <w:t xml:space="preserve">New England Journal of Medicine </w:t>
            </w:r>
            <w:r w:rsidRPr="00605BFE">
              <w:rPr>
                <w:rFonts w:ascii="Arial Narrow" w:hAnsi="Arial Narrow"/>
                <w:sz w:val="20"/>
              </w:rPr>
              <w:t>2015</w:t>
            </w:r>
            <w:r>
              <w:rPr>
                <w:rFonts w:ascii="Arial Narrow" w:hAnsi="Arial Narrow"/>
                <w:sz w:val="20"/>
              </w:rPr>
              <w:t>; 372(13): 1193-203</w:t>
            </w:r>
          </w:p>
        </w:tc>
      </w:tr>
    </w:tbl>
    <w:p w:rsidR="00D16346" w:rsidRDefault="00D16346" w:rsidP="00D16346">
      <w:pPr>
        <w:pStyle w:val="TableFooter"/>
        <w:ind w:left="720"/>
      </w:pPr>
      <w:r>
        <w:t>DRCR = Diabetic Retinopathy Clinical Research</w:t>
      </w:r>
    </w:p>
    <w:p w:rsidR="00D16346" w:rsidRPr="00D13A3E" w:rsidRDefault="00D16346" w:rsidP="00D16346">
      <w:pPr>
        <w:pStyle w:val="TableFooter"/>
        <w:ind w:left="720"/>
      </w:pPr>
      <w:r w:rsidRPr="00D13A3E">
        <w:t xml:space="preserve">Source: </w:t>
      </w:r>
      <w:r>
        <w:t>Table B-9, pp60-61 of the resubmission</w:t>
      </w:r>
    </w:p>
    <w:p w:rsidR="00D16346" w:rsidRPr="001939ED" w:rsidRDefault="00D16346" w:rsidP="00D16346">
      <w:pPr>
        <w:widowControl/>
        <w:rPr>
          <w:szCs w:val="22"/>
        </w:rPr>
      </w:pPr>
    </w:p>
    <w:p w:rsidR="00D16346" w:rsidRDefault="00380746" w:rsidP="00D06055">
      <w:pPr>
        <w:pStyle w:val="ListParagraph"/>
        <w:widowControl/>
        <w:numPr>
          <w:ilvl w:val="1"/>
          <w:numId w:val="9"/>
        </w:numPr>
        <w:rPr>
          <w:szCs w:val="22"/>
        </w:rPr>
      </w:pPr>
      <w:r>
        <w:rPr>
          <w:szCs w:val="22"/>
        </w:rPr>
        <w:t xml:space="preserve">All trials, except for Protocol T, </w:t>
      </w:r>
      <w:r w:rsidR="00D16346">
        <w:rPr>
          <w:szCs w:val="22"/>
        </w:rPr>
        <w:t>were included in the previous dexamethasone implant or aflibercept submission</w:t>
      </w:r>
      <w:r>
        <w:rPr>
          <w:szCs w:val="22"/>
        </w:rPr>
        <w:t>s</w:t>
      </w:r>
      <w:r w:rsidR="00D16346">
        <w:rPr>
          <w:szCs w:val="22"/>
        </w:rPr>
        <w:t xml:space="preserve"> and </w:t>
      </w:r>
      <w:r w:rsidR="00541038">
        <w:rPr>
          <w:szCs w:val="22"/>
        </w:rPr>
        <w:t>ha</w:t>
      </w:r>
      <w:r>
        <w:rPr>
          <w:szCs w:val="22"/>
        </w:rPr>
        <w:t>ve</w:t>
      </w:r>
      <w:r w:rsidR="00541038">
        <w:rPr>
          <w:szCs w:val="22"/>
        </w:rPr>
        <w:t xml:space="preserve"> been </w:t>
      </w:r>
      <w:r w:rsidR="00D16346">
        <w:rPr>
          <w:szCs w:val="22"/>
        </w:rPr>
        <w:t>considered by th</w:t>
      </w:r>
      <w:r w:rsidR="00795FBA">
        <w:rPr>
          <w:szCs w:val="22"/>
        </w:rPr>
        <w:t>e PBAC.</w:t>
      </w:r>
    </w:p>
    <w:p w:rsidR="00D16346" w:rsidRPr="00795FBA" w:rsidRDefault="00D16346" w:rsidP="00D16346">
      <w:pPr>
        <w:widowControl/>
        <w:rPr>
          <w:szCs w:val="22"/>
        </w:rPr>
      </w:pPr>
    </w:p>
    <w:p w:rsidR="00D16346" w:rsidRDefault="00D16346" w:rsidP="00D06055">
      <w:pPr>
        <w:pStyle w:val="ListParagraph"/>
        <w:widowControl/>
        <w:numPr>
          <w:ilvl w:val="1"/>
          <w:numId w:val="9"/>
        </w:numPr>
        <w:rPr>
          <w:szCs w:val="22"/>
        </w:rPr>
      </w:pPr>
      <w:r w:rsidRPr="001939ED">
        <w:rPr>
          <w:szCs w:val="22"/>
        </w:rPr>
        <w:t xml:space="preserve">The key features of the randomised trials are summarised in </w:t>
      </w:r>
      <w:r>
        <w:rPr>
          <w:szCs w:val="22"/>
        </w:rPr>
        <w:t>Table 2</w:t>
      </w:r>
      <w:r w:rsidR="00795FBA">
        <w:rPr>
          <w:szCs w:val="22"/>
        </w:rPr>
        <w:t>.</w:t>
      </w:r>
    </w:p>
    <w:p w:rsidR="00D16346" w:rsidRPr="001939ED" w:rsidRDefault="00D16346" w:rsidP="00D16346">
      <w:pPr>
        <w:widowControl/>
        <w:rPr>
          <w:szCs w:val="22"/>
        </w:rPr>
      </w:pPr>
    </w:p>
    <w:p w:rsidR="00D16346" w:rsidRPr="00E2771E" w:rsidRDefault="00D16346" w:rsidP="00CA6CE0">
      <w:pPr>
        <w:keepNext/>
        <w:ind w:firstLine="720"/>
        <w:rPr>
          <w:rStyle w:val="CommentReference"/>
        </w:rPr>
      </w:pPr>
      <w:r w:rsidRPr="00E2771E">
        <w:rPr>
          <w:rStyle w:val="CommentReference"/>
        </w:rPr>
        <w:lastRenderedPageBreak/>
        <w:t xml:space="preserve">Table </w:t>
      </w:r>
      <w:r>
        <w:rPr>
          <w:rStyle w:val="CommentReference"/>
        </w:rPr>
        <w:t>2</w:t>
      </w:r>
      <w:r w:rsidRPr="00E2771E">
        <w:rPr>
          <w:rStyle w:val="CommentReference"/>
        </w:rPr>
        <w:t>: Key features of the included evidence</w:t>
      </w:r>
    </w:p>
    <w:tbl>
      <w:tblPr>
        <w:tblW w:w="468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3"/>
        <w:gridCol w:w="570"/>
        <w:gridCol w:w="990"/>
        <w:gridCol w:w="709"/>
        <w:gridCol w:w="2267"/>
        <w:gridCol w:w="1570"/>
        <w:gridCol w:w="1266"/>
      </w:tblGrid>
      <w:tr w:rsidR="00153604" w:rsidRPr="001939ED" w:rsidTr="00384541">
        <w:tc>
          <w:tcPr>
            <w:tcW w:w="666" w:type="pct"/>
            <w:shd w:val="clear" w:color="auto" w:fill="auto"/>
            <w:vAlign w:val="center"/>
          </w:tcPr>
          <w:p w:rsidR="00D16346" w:rsidRPr="001939ED" w:rsidRDefault="00D16346" w:rsidP="00CA6CE0">
            <w:pPr>
              <w:keepNext/>
              <w:jc w:val="left"/>
              <w:rPr>
                <w:rFonts w:ascii="Arial Narrow" w:hAnsi="Arial Narrow"/>
                <w:b/>
                <w:sz w:val="20"/>
              </w:rPr>
            </w:pPr>
            <w:r w:rsidRPr="001939ED">
              <w:rPr>
                <w:rFonts w:ascii="Arial Narrow" w:hAnsi="Arial Narrow"/>
                <w:b/>
                <w:sz w:val="20"/>
              </w:rPr>
              <w:t>Trial</w:t>
            </w:r>
          </w:p>
        </w:tc>
        <w:tc>
          <w:tcPr>
            <w:tcW w:w="335" w:type="pct"/>
            <w:shd w:val="clear" w:color="auto" w:fill="auto"/>
            <w:vAlign w:val="center"/>
          </w:tcPr>
          <w:p w:rsidR="00D16346" w:rsidRPr="001939ED" w:rsidRDefault="00D16346" w:rsidP="00CA6CE0">
            <w:pPr>
              <w:keepNext/>
              <w:jc w:val="center"/>
              <w:rPr>
                <w:rFonts w:ascii="Arial Narrow" w:hAnsi="Arial Narrow"/>
                <w:b/>
                <w:sz w:val="20"/>
              </w:rPr>
            </w:pPr>
            <w:r w:rsidRPr="001939ED">
              <w:rPr>
                <w:rFonts w:ascii="Arial Narrow" w:hAnsi="Arial Narrow"/>
                <w:b/>
                <w:sz w:val="20"/>
              </w:rPr>
              <w:t>N</w:t>
            </w:r>
            <w:r w:rsidRPr="001939ED">
              <w:rPr>
                <w:rFonts w:ascii="Arial Narrow" w:hAnsi="Arial Narrow"/>
                <w:b/>
                <w:sz w:val="20"/>
                <w:vertAlign w:val="superscript"/>
              </w:rPr>
              <w:t>a</w:t>
            </w:r>
          </w:p>
        </w:tc>
        <w:tc>
          <w:tcPr>
            <w:tcW w:w="582" w:type="pct"/>
            <w:shd w:val="clear" w:color="auto" w:fill="auto"/>
            <w:vAlign w:val="center"/>
          </w:tcPr>
          <w:p w:rsidR="00D16346" w:rsidRPr="001939ED" w:rsidRDefault="00D16346" w:rsidP="00CA6CE0">
            <w:pPr>
              <w:keepNext/>
              <w:jc w:val="center"/>
              <w:rPr>
                <w:rFonts w:ascii="Arial Narrow" w:hAnsi="Arial Narrow"/>
                <w:b/>
                <w:sz w:val="20"/>
              </w:rPr>
            </w:pPr>
            <w:r w:rsidRPr="001939ED">
              <w:rPr>
                <w:rFonts w:ascii="Arial Narrow" w:hAnsi="Arial Narrow"/>
                <w:b/>
                <w:sz w:val="20"/>
              </w:rPr>
              <w:t>Design/ duration</w:t>
            </w:r>
          </w:p>
        </w:tc>
        <w:tc>
          <w:tcPr>
            <w:tcW w:w="417" w:type="pct"/>
            <w:shd w:val="clear" w:color="auto" w:fill="auto"/>
            <w:vAlign w:val="center"/>
          </w:tcPr>
          <w:p w:rsidR="00D16346" w:rsidRPr="001939ED" w:rsidRDefault="00D16346" w:rsidP="00CA6CE0">
            <w:pPr>
              <w:keepNext/>
              <w:jc w:val="center"/>
              <w:rPr>
                <w:rFonts w:ascii="Arial Narrow" w:hAnsi="Arial Narrow"/>
                <w:b/>
                <w:sz w:val="20"/>
              </w:rPr>
            </w:pPr>
            <w:r w:rsidRPr="001939ED">
              <w:rPr>
                <w:rFonts w:ascii="Arial Narrow" w:hAnsi="Arial Narrow"/>
                <w:b/>
                <w:sz w:val="20"/>
              </w:rPr>
              <w:t>Risk of bias</w:t>
            </w:r>
            <w:r w:rsidRPr="003C09ED">
              <w:rPr>
                <w:rFonts w:ascii="Arial Narrow" w:hAnsi="Arial Narrow"/>
                <w:b/>
                <w:sz w:val="20"/>
                <w:vertAlign w:val="superscript"/>
              </w:rPr>
              <w:t>b</w:t>
            </w:r>
          </w:p>
        </w:tc>
        <w:tc>
          <w:tcPr>
            <w:tcW w:w="1333" w:type="pct"/>
            <w:shd w:val="clear" w:color="auto" w:fill="auto"/>
            <w:vAlign w:val="center"/>
          </w:tcPr>
          <w:p w:rsidR="00D16346" w:rsidRPr="001939ED" w:rsidRDefault="00D16346" w:rsidP="00CA6CE0">
            <w:pPr>
              <w:keepNext/>
              <w:jc w:val="center"/>
              <w:rPr>
                <w:rFonts w:ascii="Arial Narrow" w:hAnsi="Arial Narrow"/>
                <w:b/>
                <w:sz w:val="20"/>
              </w:rPr>
            </w:pPr>
            <w:r w:rsidRPr="001939ED">
              <w:rPr>
                <w:rFonts w:ascii="Arial Narrow" w:hAnsi="Arial Narrow"/>
                <w:b/>
                <w:sz w:val="20"/>
              </w:rPr>
              <w:t>Patient population</w:t>
            </w:r>
            <w:r w:rsidR="00F5439B" w:rsidRPr="00F5439B">
              <w:rPr>
                <w:rFonts w:ascii="Arial Narrow" w:hAnsi="Arial Narrow"/>
                <w:sz w:val="20"/>
                <w:vertAlign w:val="superscript"/>
              </w:rPr>
              <w:t>a</w:t>
            </w:r>
          </w:p>
        </w:tc>
        <w:tc>
          <w:tcPr>
            <w:tcW w:w="923" w:type="pct"/>
            <w:shd w:val="clear" w:color="auto" w:fill="auto"/>
            <w:vAlign w:val="center"/>
          </w:tcPr>
          <w:p w:rsidR="00D16346" w:rsidRPr="001939ED" w:rsidRDefault="00D16346" w:rsidP="00CA6CE0">
            <w:pPr>
              <w:keepNext/>
              <w:jc w:val="center"/>
              <w:rPr>
                <w:rFonts w:ascii="Arial Narrow" w:hAnsi="Arial Narrow"/>
                <w:b/>
                <w:sz w:val="20"/>
              </w:rPr>
            </w:pPr>
            <w:r>
              <w:rPr>
                <w:rFonts w:ascii="Arial Narrow" w:hAnsi="Arial Narrow"/>
                <w:b/>
                <w:sz w:val="20"/>
              </w:rPr>
              <w:t>Outcome</w:t>
            </w:r>
          </w:p>
        </w:tc>
        <w:tc>
          <w:tcPr>
            <w:tcW w:w="744" w:type="pct"/>
            <w:shd w:val="clear" w:color="auto" w:fill="auto"/>
            <w:vAlign w:val="center"/>
          </w:tcPr>
          <w:p w:rsidR="00D16346" w:rsidRPr="001939ED" w:rsidRDefault="00D16346" w:rsidP="00CA6CE0">
            <w:pPr>
              <w:keepNext/>
              <w:jc w:val="center"/>
              <w:rPr>
                <w:rFonts w:ascii="Arial Narrow" w:hAnsi="Arial Narrow"/>
                <w:b/>
                <w:sz w:val="20"/>
              </w:rPr>
            </w:pPr>
            <w:r w:rsidRPr="001939ED">
              <w:rPr>
                <w:rFonts w:ascii="Arial Narrow" w:hAnsi="Arial Narrow"/>
                <w:b/>
                <w:sz w:val="20"/>
              </w:rPr>
              <w:t>Use in modelled evaluation</w:t>
            </w:r>
          </w:p>
        </w:tc>
      </w:tr>
      <w:tr w:rsidR="00D16346" w:rsidRPr="001939ED" w:rsidTr="00D16346">
        <w:tc>
          <w:tcPr>
            <w:tcW w:w="5000" w:type="pct"/>
            <w:gridSpan w:val="7"/>
            <w:shd w:val="clear" w:color="auto" w:fill="auto"/>
            <w:vAlign w:val="center"/>
          </w:tcPr>
          <w:p w:rsidR="00D16346" w:rsidRPr="001939ED" w:rsidRDefault="00D16346" w:rsidP="00CA6CE0">
            <w:pPr>
              <w:keepNext/>
              <w:jc w:val="left"/>
              <w:rPr>
                <w:rFonts w:ascii="Arial Narrow" w:hAnsi="Arial Narrow"/>
                <w:b/>
                <w:sz w:val="20"/>
              </w:rPr>
            </w:pPr>
            <w:r w:rsidRPr="001939ED">
              <w:rPr>
                <w:rFonts w:ascii="Arial Narrow" w:hAnsi="Arial Narrow"/>
                <w:b/>
                <w:sz w:val="20"/>
              </w:rPr>
              <w:t xml:space="preserve">Dexamethasone implant </w:t>
            </w:r>
            <w:r w:rsidRPr="001939ED">
              <w:rPr>
                <w:rFonts w:ascii="Arial Narrow" w:hAnsi="Arial Narrow"/>
                <w:b/>
                <w:i/>
                <w:sz w:val="20"/>
              </w:rPr>
              <w:t xml:space="preserve">vs </w:t>
            </w:r>
            <w:r>
              <w:rPr>
                <w:rFonts w:ascii="Arial Narrow" w:hAnsi="Arial Narrow"/>
                <w:b/>
                <w:sz w:val="20"/>
              </w:rPr>
              <w:t xml:space="preserve">ranibizumab injection </w:t>
            </w:r>
          </w:p>
        </w:tc>
      </w:tr>
      <w:tr w:rsidR="00153604" w:rsidRPr="001939ED" w:rsidTr="00384541">
        <w:tc>
          <w:tcPr>
            <w:tcW w:w="666" w:type="pct"/>
            <w:shd w:val="clear" w:color="auto" w:fill="auto"/>
            <w:vAlign w:val="center"/>
          </w:tcPr>
          <w:p w:rsidR="00D16346" w:rsidRPr="001939ED" w:rsidRDefault="00D16346" w:rsidP="00CA6CE0">
            <w:pPr>
              <w:keepNext/>
              <w:jc w:val="left"/>
              <w:rPr>
                <w:rFonts w:ascii="Arial Narrow" w:hAnsi="Arial Narrow"/>
                <w:sz w:val="20"/>
              </w:rPr>
            </w:pPr>
            <w:r>
              <w:rPr>
                <w:rFonts w:ascii="Arial Narrow" w:hAnsi="Arial Narrow"/>
                <w:sz w:val="20"/>
              </w:rPr>
              <w:t>Trial 024</w:t>
            </w:r>
          </w:p>
        </w:tc>
        <w:tc>
          <w:tcPr>
            <w:tcW w:w="335" w:type="pct"/>
            <w:shd w:val="clear" w:color="auto" w:fill="auto"/>
            <w:vAlign w:val="center"/>
          </w:tcPr>
          <w:p w:rsidR="00D16346" w:rsidRPr="001939ED" w:rsidRDefault="00D16346" w:rsidP="00CA6CE0">
            <w:pPr>
              <w:keepNext/>
              <w:jc w:val="center"/>
              <w:rPr>
                <w:rFonts w:ascii="Arial Narrow" w:hAnsi="Arial Narrow"/>
                <w:sz w:val="20"/>
              </w:rPr>
            </w:pPr>
            <w:r>
              <w:rPr>
                <w:rFonts w:ascii="Arial Narrow" w:hAnsi="Arial Narrow"/>
                <w:sz w:val="20"/>
              </w:rPr>
              <w:t>116</w:t>
            </w:r>
          </w:p>
        </w:tc>
        <w:tc>
          <w:tcPr>
            <w:tcW w:w="582" w:type="pct"/>
            <w:shd w:val="clear" w:color="auto" w:fill="auto"/>
            <w:vAlign w:val="center"/>
          </w:tcPr>
          <w:p w:rsidR="00D16346" w:rsidRPr="00E2771E" w:rsidRDefault="00D16346" w:rsidP="00CA6CE0">
            <w:pPr>
              <w:keepNext/>
              <w:keepLines/>
              <w:jc w:val="center"/>
              <w:rPr>
                <w:rFonts w:ascii="Arial Narrow" w:hAnsi="Arial Narrow"/>
                <w:sz w:val="20"/>
                <w:lang w:val="en-US"/>
              </w:rPr>
            </w:pPr>
            <w:r w:rsidRPr="00E2771E">
              <w:rPr>
                <w:rFonts w:ascii="Arial Narrow" w:hAnsi="Arial Narrow"/>
                <w:sz w:val="20"/>
                <w:lang w:val="en-US"/>
              </w:rPr>
              <w:t xml:space="preserve">R, </w:t>
            </w:r>
            <w:r>
              <w:rPr>
                <w:rFonts w:ascii="Arial Narrow" w:hAnsi="Arial Narrow"/>
                <w:sz w:val="20"/>
                <w:lang w:val="en-US"/>
              </w:rPr>
              <w:t>S</w:t>
            </w:r>
            <w:r w:rsidRPr="00E2771E">
              <w:rPr>
                <w:rFonts w:ascii="Arial Narrow" w:hAnsi="Arial Narrow"/>
                <w:sz w:val="20"/>
                <w:lang w:val="en-US"/>
              </w:rPr>
              <w:t>B</w:t>
            </w:r>
            <w:r>
              <w:rPr>
                <w:rFonts w:ascii="Arial Narrow" w:hAnsi="Arial Narrow"/>
                <w:sz w:val="20"/>
                <w:lang w:val="en-US"/>
              </w:rPr>
              <w:t>, MC</w:t>
            </w:r>
          </w:p>
          <w:p w:rsidR="00D16346" w:rsidRPr="001939ED" w:rsidRDefault="00D16346" w:rsidP="00CA6CE0">
            <w:pPr>
              <w:keepNext/>
              <w:jc w:val="center"/>
              <w:rPr>
                <w:rFonts w:ascii="Arial Narrow" w:hAnsi="Arial Narrow"/>
                <w:sz w:val="20"/>
              </w:rPr>
            </w:pPr>
            <w:r>
              <w:rPr>
                <w:rFonts w:ascii="Arial Narrow" w:hAnsi="Arial Narrow"/>
                <w:sz w:val="20"/>
                <w:lang w:val="en-US"/>
              </w:rPr>
              <w:t>12</w:t>
            </w:r>
            <w:r w:rsidRPr="00E2771E">
              <w:rPr>
                <w:rFonts w:ascii="Arial Narrow" w:hAnsi="Arial Narrow"/>
                <w:sz w:val="20"/>
                <w:lang w:val="en-US"/>
              </w:rPr>
              <w:t xml:space="preserve"> mths</w:t>
            </w:r>
          </w:p>
        </w:tc>
        <w:tc>
          <w:tcPr>
            <w:tcW w:w="417" w:type="pct"/>
            <w:shd w:val="clear" w:color="auto" w:fill="auto"/>
            <w:vAlign w:val="center"/>
          </w:tcPr>
          <w:p w:rsidR="00D16346" w:rsidRPr="001939ED" w:rsidRDefault="00D16346" w:rsidP="00CA6CE0">
            <w:pPr>
              <w:keepNext/>
              <w:jc w:val="center"/>
              <w:rPr>
                <w:rFonts w:ascii="Arial Narrow" w:hAnsi="Arial Narrow"/>
                <w:sz w:val="20"/>
              </w:rPr>
            </w:pPr>
            <w:r>
              <w:rPr>
                <w:rFonts w:ascii="Arial Narrow" w:hAnsi="Arial Narrow"/>
                <w:sz w:val="20"/>
              </w:rPr>
              <w:t>High</w:t>
            </w:r>
          </w:p>
        </w:tc>
        <w:tc>
          <w:tcPr>
            <w:tcW w:w="1333" w:type="pct"/>
            <w:shd w:val="clear" w:color="auto" w:fill="auto"/>
            <w:vAlign w:val="center"/>
          </w:tcPr>
          <w:p w:rsidR="00F5439B" w:rsidRPr="001939ED" w:rsidRDefault="00F5439B" w:rsidP="00CA6CE0">
            <w:pPr>
              <w:keepNext/>
              <w:jc w:val="center"/>
              <w:rPr>
                <w:rFonts w:ascii="Arial Narrow" w:hAnsi="Arial Narrow"/>
                <w:sz w:val="20"/>
              </w:rPr>
            </w:pPr>
            <w:r>
              <w:rPr>
                <w:rFonts w:ascii="Arial Narrow" w:hAnsi="Arial Narrow"/>
                <w:sz w:val="20"/>
                <w:lang w:val="en-US"/>
              </w:rPr>
              <w:t>Subgroup of p</w:t>
            </w:r>
            <w:r w:rsidR="00D16346">
              <w:rPr>
                <w:rFonts w:ascii="Arial Narrow" w:hAnsi="Arial Narrow"/>
                <w:sz w:val="20"/>
                <w:lang w:val="en-US"/>
              </w:rPr>
              <w:t>atients with pseudophakic lens with vision impairment due to DME</w:t>
            </w:r>
            <w:r>
              <w:rPr>
                <w:rFonts w:ascii="Arial Narrow" w:hAnsi="Arial Narrow"/>
                <w:sz w:val="20"/>
                <w:lang w:val="en-US"/>
              </w:rPr>
              <w:br/>
              <w:t>(ITT: p</w:t>
            </w:r>
            <w:r w:rsidRPr="00F5439B">
              <w:rPr>
                <w:rFonts w:ascii="Arial Narrow" w:hAnsi="Arial Narrow"/>
                <w:sz w:val="20"/>
                <w:lang w:val="en-US"/>
              </w:rPr>
              <w:t>atients with vision impairment due to DME</w:t>
            </w:r>
            <w:r>
              <w:rPr>
                <w:rFonts w:ascii="Arial Narrow" w:hAnsi="Arial Narrow"/>
                <w:sz w:val="20"/>
                <w:lang w:val="en-US"/>
              </w:rPr>
              <w:t>)</w:t>
            </w:r>
          </w:p>
        </w:tc>
        <w:tc>
          <w:tcPr>
            <w:tcW w:w="923" w:type="pct"/>
            <w:shd w:val="clear" w:color="auto" w:fill="auto"/>
            <w:vAlign w:val="center"/>
          </w:tcPr>
          <w:p w:rsidR="00D16346" w:rsidRPr="009030DE" w:rsidRDefault="00D16346" w:rsidP="00CA6CE0">
            <w:pPr>
              <w:keepNext/>
              <w:jc w:val="center"/>
              <w:rPr>
                <w:rFonts w:ascii="Arial Narrow" w:hAnsi="Arial Narrow"/>
                <w:sz w:val="20"/>
                <w:lang w:val="en-US"/>
              </w:rPr>
            </w:pPr>
            <w:r>
              <w:rPr>
                <w:rFonts w:ascii="Arial Narrow" w:hAnsi="Arial Narrow"/>
                <w:sz w:val="20"/>
                <w:lang w:val="en-US"/>
              </w:rPr>
              <w:t>BCVA change in ETDRS letters from baseline at Month 12</w:t>
            </w:r>
          </w:p>
        </w:tc>
        <w:tc>
          <w:tcPr>
            <w:tcW w:w="744" w:type="pct"/>
            <w:shd w:val="clear" w:color="auto" w:fill="auto"/>
            <w:vAlign w:val="center"/>
          </w:tcPr>
          <w:p w:rsidR="00D16346" w:rsidRPr="001939ED" w:rsidRDefault="00D16346" w:rsidP="00CA6CE0">
            <w:pPr>
              <w:keepNext/>
              <w:jc w:val="center"/>
              <w:rPr>
                <w:rFonts w:ascii="Arial Narrow" w:hAnsi="Arial Narrow"/>
                <w:sz w:val="20"/>
              </w:rPr>
            </w:pPr>
            <w:r>
              <w:rPr>
                <w:rFonts w:ascii="Arial Narrow" w:hAnsi="Arial Narrow"/>
                <w:sz w:val="20"/>
                <w:lang w:val="en-US"/>
              </w:rPr>
              <w:t>The number of injections</w:t>
            </w:r>
            <w:r w:rsidR="00B12096">
              <w:rPr>
                <w:rFonts w:ascii="Arial Narrow" w:hAnsi="Arial Narrow"/>
                <w:sz w:val="20"/>
                <w:lang w:val="en-US"/>
              </w:rPr>
              <w:t xml:space="preserve"> in Year 1</w:t>
            </w:r>
          </w:p>
        </w:tc>
      </w:tr>
      <w:tr w:rsidR="00D16346" w:rsidRPr="001939ED" w:rsidTr="00D16346">
        <w:tc>
          <w:tcPr>
            <w:tcW w:w="5000" w:type="pct"/>
            <w:gridSpan w:val="7"/>
            <w:shd w:val="clear" w:color="auto" w:fill="auto"/>
            <w:vAlign w:val="center"/>
          </w:tcPr>
          <w:p w:rsidR="00D16346" w:rsidRPr="001939ED" w:rsidRDefault="00D16346" w:rsidP="00CA6CE0">
            <w:pPr>
              <w:keepNext/>
              <w:jc w:val="left"/>
              <w:rPr>
                <w:rFonts w:ascii="Arial Narrow" w:hAnsi="Arial Narrow"/>
                <w:b/>
                <w:sz w:val="20"/>
              </w:rPr>
            </w:pPr>
            <w:r w:rsidRPr="001939ED">
              <w:rPr>
                <w:rFonts w:ascii="Arial Narrow" w:hAnsi="Arial Narrow"/>
                <w:b/>
                <w:sz w:val="20"/>
              </w:rPr>
              <w:t xml:space="preserve">Dexamethasone implant </w:t>
            </w:r>
            <w:r w:rsidRPr="001939ED">
              <w:rPr>
                <w:rFonts w:ascii="Arial Narrow" w:hAnsi="Arial Narrow"/>
                <w:b/>
                <w:i/>
                <w:sz w:val="20"/>
              </w:rPr>
              <w:t xml:space="preserve">vs </w:t>
            </w:r>
            <w:r>
              <w:rPr>
                <w:rFonts w:ascii="Arial Narrow" w:hAnsi="Arial Narrow"/>
                <w:b/>
                <w:sz w:val="20"/>
              </w:rPr>
              <w:t xml:space="preserve">bevacizumab injection </w:t>
            </w:r>
          </w:p>
        </w:tc>
      </w:tr>
      <w:tr w:rsidR="00153604" w:rsidRPr="001939ED" w:rsidTr="00384541">
        <w:tc>
          <w:tcPr>
            <w:tcW w:w="666" w:type="pct"/>
            <w:shd w:val="clear" w:color="auto" w:fill="auto"/>
            <w:vAlign w:val="center"/>
          </w:tcPr>
          <w:p w:rsidR="00D16346" w:rsidRPr="001939ED" w:rsidRDefault="00D16346" w:rsidP="00D16346">
            <w:pPr>
              <w:jc w:val="left"/>
              <w:rPr>
                <w:rFonts w:ascii="Arial Narrow" w:hAnsi="Arial Narrow"/>
                <w:sz w:val="20"/>
              </w:rPr>
            </w:pPr>
            <w:r>
              <w:rPr>
                <w:rFonts w:ascii="Arial Narrow" w:hAnsi="Arial Narrow"/>
                <w:sz w:val="20"/>
              </w:rPr>
              <w:t>BEVORDEX</w:t>
            </w:r>
          </w:p>
        </w:tc>
        <w:tc>
          <w:tcPr>
            <w:tcW w:w="335" w:type="pct"/>
            <w:shd w:val="clear" w:color="auto" w:fill="auto"/>
            <w:vAlign w:val="center"/>
          </w:tcPr>
          <w:p w:rsidR="00D16346" w:rsidRPr="001939ED" w:rsidRDefault="00D16346" w:rsidP="00D16346">
            <w:pPr>
              <w:jc w:val="center"/>
              <w:rPr>
                <w:rFonts w:ascii="Arial Narrow" w:hAnsi="Arial Narrow"/>
                <w:sz w:val="20"/>
              </w:rPr>
            </w:pPr>
            <w:r>
              <w:rPr>
                <w:rFonts w:ascii="Arial Narrow" w:hAnsi="Arial Narrow"/>
                <w:sz w:val="20"/>
              </w:rPr>
              <w:t>26</w:t>
            </w:r>
          </w:p>
        </w:tc>
        <w:tc>
          <w:tcPr>
            <w:tcW w:w="582" w:type="pct"/>
            <w:shd w:val="clear" w:color="auto" w:fill="auto"/>
            <w:vAlign w:val="center"/>
          </w:tcPr>
          <w:p w:rsidR="00D16346" w:rsidRPr="00E2771E" w:rsidRDefault="00D16346" w:rsidP="00D16346">
            <w:pPr>
              <w:keepNext/>
              <w:keepLines/>
              <w:jc w:val="center"/>
              <w:rPr>
                <w:rFonts w:ascii="Arial Narrow" w:hAnsi="Arial Narrow"/>
                <w:sz w:val="20"/>
                <w:lang w:val="en-US"/>
              </w:rPr>
            </w:pPr>
            <w:r w:rsidRPr="00E2771E">
              <w:rPr>
                <w:rFonts w:ascii="Arial Narrow" w:hAnsi="Arial Narrow"/>
                <w:sz w:val="20"/>
                <w:lang w:val="en-US"/>
              </w:rPr>
              <w:t xml:space="preserve">R, </w:t>
            </w:r>
            <w:r>
              <w:rPr>
                <w:rFonts w:ascii="Arial Narrow" w:hAnsi="Arial Narrow"/>
                <w:sz w:val="20"/>
                <w:lang w:val="en-US"/>
              </w:rPr>
              <w:t>SB, MC</w:t>
            </w:r>
          </w:p>
          <w:p w:rsidR="00D16346" w:rsidRPr="001939ED" w:rsidRDefault="00D16346" w:rsidP="00D16346">
            <w:pPr>
              <w:jc w:val="center"/>
              <w:rPr>
                <w:rFonts w:ascii="Arial Narrow" w:hAnsi="Arial Narrow"/>
                <w:sz w:val="20"/>
              </w:rPr>
            </w:pPr>
            <w:r>
              <w:rPr>
                <w:rFonts w:ascii="Arial Narrow" w:hAnsi="Arial Narrow"/>
                <w:sz w:val="20"/>
                <w:lang w:val="en-US"/>
              </w:rPr>
              <w:t>12</w:t>
            </w:r>
            <w:r w:rsidRPr="00E2771E">
              <w:rPr>
                <w:rFonts w:ascii="Arial Narrow" w:hAnsi="Arial Narrow"/>
                <w:sz w:val="20"/>
                <w:lang w:val="en-US"/>
              </w:rPr>
              <w:t xml:space="preserve"> mths</w:t>
            </w:r>
          </w:p>
        </w:tc>
        <w:tc>
          <w:tcPr>
            <w:tcW w:w="417" w:type="pct"/>
            <w:shd w:val="clear" w:color="auto" w:fill="auto"/>
            <w:vAlign w:val="center"/>
          </w:tcPr>
          <w:p w:rsidR="00D16346" w:rsidRPr="001939ED" w:rsidRDefault="00D16346" w:rsidP="00D16346">
            <w:pPr>
              <w:jc w:val="center"/>
              <w:rPr>
                <w:rFonts w:ascii="Arial Narrow" w:hAnsi="Arial Narrow"/>
                <w:sz w:val="20"/>
              </w:rPr>
            </w:pPr>
            <w:r>
              <w:rPr>
                <w:rFonts w:ascii="Arial Narrow" w:hAnsi="Arial Narrow"/>
                <w:sz w:val="20"/>
              </w:rPr>
              <w:t>High</w:t>
            </w:r>
          </w:p>
        </w:tc>
        <w:tc>
          <w:tcPr>
            <w:tcW w:w="1333" w:type="pct"/>
            <w:shd w:val="clear" w:color="auto" w:fill="auto"/>
            <w:vAlign w:val="center"/>
          </w:tcPr>
          <w:p w:rsidR="00D16346" w:rsidRPr="001939ED" w:rsidRDefault="00F5439B" w:rsidP="00D16346">
            <w:pPr>
              <w:jc w:val="center"/>
              <w:rPr>
                <w:rFonts w:ascii="Arial Narrow" w:hAnsi="Arial Narrow"/>
                <w:sz w:val="20"/>
              </w:rPr>
            </w:pPr>
            <w:r>
              <w:rPr>
                <w:rFonts w:ascii="Arial Narrow" w:hAnsi="Arial Narrow"/>
                <w:sz w:val="20"/>
                <w:lang w:val="en-US"/>
              </w:rPr>
              <w:t>Subgroup of p</w:t>
            </w:r>
            <w:r w:rsidR="00D16346">
              <w:rPr>
                <w:rFonts w:ascii="Arial Narrow" w:hAnsi="Arial Narrow"/>
                <w:sz w:val="20"/>
                <w:lang w:val="en-US"/>
              </w:rPr>
              <w:t>atients with pseudophakic lens with vision impairment due to DME</w:t>
            </w:r>
            <w:r>
              <w:rPr>
                <w:rFonts w:ascii="Arial Narrow" w:hAnsi="Arial Narrow"/>
                <w:sz w:val="20"/>
                <w:lang w:val="en-US"/>
              </w:rPr>
              <w:br/>
              <w:t>(ITT: p</w:t>
            </w:r>
            <w:r w:rsidRPr="00F5439B">
              <w:rPr>
                <w:rFonts w:ascii="Arial Narrow" w:hAnsi="Arial Narrow"/>
                <w:sz w:val="20"/>
                <w:lang w:val="en-US"/>
              </w:rPr>
              <w:t>atients with vision impairment due to DME</w:t>
            </w:r>
            <w:r>
              <w:rPr>
                <w:rFonts w:ascii="Arial Narrow" w:hAnsi="Arial Narrow"/>
                <w:sz w:val="20"/>
                <w:lang w:val="en-US"/>
              </w:rPr>
              <w:t>)</w:t>
            </w:r>
          </w:p>
        </w:tc>
        <w:tc>
          <w:tcPr>
            <w:tcW w:w="923" w:type="pct"/>
            <w:shd w:val="clear" w:color="auto" w:fill="auto"/>
            <w:vAlign w:val="center"/>
          </w:tcPr>
          <w:p w:rsidR="00D16346" w:rsidRPr="001939ED" w:rsidRDefault="00D16346" w:rsidP="00D16346">
            <w:pPr>
              <w:jc w:val="center"/>
              <w:rPr>
                <w:rFonts w:ascii="Arial Narrow" w:hAnsi="Arial Narrow"/>
                <w:sz w:val="20"/>
              </w:rPr>
            </w:pPr>
            <w:r>
              <w:rPr>
                <w:rFonts w:ascii="Arial Narrow" w:hAnsi="Arial Narrow"/>
                <w:sz w:val="20"/>
                <w:lang w:val="en-US"/>
              </w:rPr>
              <w:t>BCVA change in ETDRS letters from baseline at Month 12</w:t>
            </w:r>
          </w:p>
        </w:tc>
        <w:tc>
          <w:tcPr>
            <w:tcW w:w="744" w:type="pct"/>
            <w:shd w:val="clear" w:color="auto" w:fill="auto"/>
            <w:vAlign w:val="center"/>
          </w:tcPr>
          <w:p w:rsidR="00D16346" w:rsidRPr="001939ED" w:rsidRDefault="00D16346" w:rsidP="00D16346">
            <w:pPr>
              <w:jc w:val="center"/>
              <w:rPr>
                <w:rFonts w:ascii="Arial Narrow" w:hAnsi="Arial Narrow"/>
                <w:sz w:val="20"/>
              </w:rPr>
            </w:pPr>
            <w:r>
              <w:rPr>
                <w:rFonts w:ascii="Arial Narrow" w:hAnsi="Arial Narrow"/>
                <w:sz w:val="20"/>
              </w:rPr>
              <w:t>No</w:t>
            </w:r>
          </w:p>
        </w:tc>
      </w:tr>
      <w:tr w:rsidR="00D16346" w:rsidRPr="001939ED" w:rsidTr="00D16346">
        <w:tc>
          <w:tcPr>
            <w:tcW w:w="5000" w:type="pct"/>
            <w:gridSpan w:val="7"/>
            <w:shd w:val="clear" w:color="auto" w:fill="auto"/>
            <w:vAlign w:val="center"/>
          </w:tcPr>
          <w:p w:rsidR="00D16346" w:rsidRPr="001939ED" w:rsidRDefault="00D16346" w:rsidP="005F3887">
            <w:pPr>
              <w:jc w:val="left"/>
              <w:rPr>
                <w:rFonts w:ascii="Arial Narrow" w:hAnsi="Arial Narrow"/>
                <w:b/>
                <w:sz w:val="20"/>
              </w:rPr>
            </w:pPr>
            <w:r w:rsidRPr="001939ED">
              <w:rPr>
                <w:rFonts w:ascii="Arial Narrow" w:hAnsi="Arial Narrow"/>
                <w:b/>
                <w:sz w:val="20"/>
              </w:rPr>
              <w:t xml:space="preserve">Dexamethasone implant </w:t>
            </w:r>
            <w:r w:rsidRPr="001939ED">
              <w:rPr>
                <w:rFonts w:ascii="Arial Narrow" w:hAnsi="Arial Narrow"/>
                <w:b/>
                <w:i/>
                <w:sz w:val="20"/>
              </w:rPr>
              <w:t xml:space="preserve">vs </w:t>
            </w:r>
            <w:r w:rsidR="005F3887">
              <w:rPr>
                <w:rFonts w:ascii="Arial Narrow" w:hAnsi="Arial Narrow"/>
                <w:b/>
                <w:sz w:val="20"/>
              </w:rPr>
              <w:t>sham</w:t>
            </w:r>
            <w:r>
              <w:rPr>
                <w:rFonts w:ascii="Arial Narrow" w:hAnsi="Arial Narrow"/>
                <w:b/>
                <w:sz w:val="20"/>
              </w:rPr>
              <w:t xml:space="preserve"> </w:t>
            </w:r>
          </w:p>
        </w:tc>
      </w:tr>
      <w:tr w:rsidR="00153604" w:rsidRPr="001939ED" w:rsidTr="00384541">
        <w:tc>
          <w:tcPr>
            <w:tcW w:w="666" w:type="pct"/>
            <w:shd w:val="clear" w:color="auto" w:fill="auto"/>
            <w:vAlign w:val="center"/>
          </w:tcPr>
          <w:p w:rsidR="00D16346" w:rsidRPr="001939ED" w:rsidRDefault="00D16346" w:rsidP="00D16346">
            <w:pPr>
              <w:jc w:val="left"/>
              <w:rPr>
                <w:rFonts w:ascii="Arial Narrow" w:hAnsi="Arial Narrow"/>
                <w:sz w:val="20"/>
              </w:rPr>
            </w:pPr>
            <w:r>
              <w:rPr>
                <w:rFonts w:ascii="Arial Narrow" w:hAnsi="Arial Narrow"/>
                <w:sz w:val="20"/>
              </w:rPr>
              <w:t>MEAD trials</w:t>
            </w:r>
          </w:p>
        </w:tc>
        <w:tc>
          <w:tcPr>
            <w:tcW w:w="335" w:type="pct"/>
            <w:shd w:val="clear" w:color="auto" w:fill="auto"/>
            <w:vAlign w:val="center"/>
          </w:tcPr>
          <w:p w:rsidR="00D16346" w:rsidRPr="001939ED" w:rsidRDefault="00D16346" w:rsidP="00D16346">
            <w:pPr>
              <w:jc w:val="center"/>
              <w:rPr>
                <w:rFonts w:ascii="Arial Narrow" w:hAnsi="Arial Narrow"/>
                <w:sz w:val="20"/>
              </w:rPr>
            </w:pPr>
            <w:r>
              <w:rPr>
                <w:rFonts w:ascii="Arial Narrow" w:hAnsi="Arial Narrow"/>
                <w:sz w:val="20"/>
              </w:rPr>
              <w:t>187</w:t>
            </w:r>
          </w:p>
        </w:tc>
        <w:tc>
          <w:tcPr>
            <w:tcW w:w="582" w:type="pct"/>
            <w:shd w:val="clear" w:color="auto" w:fill="auto"/>
            <w:vAlign w:val="center"/>
          </w:tcPr>
          <w:p w:rsidR="00D16346" w:rsidRDefault="00D16346" w:rsidP="00D16346">
            <w:pPr>
              <w:keepNext/>
              <w:keepLines/>
              <w:jc w:val="center"/>
              <w:rPr>
                <w:rFonts w:ascii="Arial Narrow" w:hAnsi="Arial Narrow"/>
                <w:sz w:val="20"/>
                <w:lang w:val="en-US"/>
              </w:rPr>
            </w:pPr>
            <w:r>
              <w:rPr>
                <w:rFonts w:ascii="Arial Narrow" w:hAnsi="Arial Narrow"/>
                <w:sz w:val="20"/>
                <w:lang w:val="en-US"/>
              </w:rPr>
              <w:t>R, DB, MC</w:t>
            </w:r>
          </w:p>
          <w:p w:rsidR="00D16346" w:rsidRPr="001939ED" w:rsidRDefault="00D16346" w:rsidP="00D16346">
            <w:pPr>
              <w:jc w:val="center"/>
              <w:rPr>
                <w:rFonts w:ascii="Arial Narrow" w:hAnsi="Arial Narrow"/>
                <w:sz w:val="20"/>
              </w:rPr>
            </w:pPr>
            <w:r>
              <w:rPr>
                <w:rFonts w:ascii="Arial Narrow" w:hAnsi="Arial Narrow"/>
                <w:sz w:val="20"/>
                <w:lang w:val="en-US"/>
              </w:rPr>
              <w:t>36 mths</w:t>
            </w:r>
          </w:p>
        </w:tc>
        <w:tc>
          <w:tcPr>
            <w:tcW w:w="417" w:type="pct"/>
            <w:shd w:val="clear" w:color="auto" w:fill="auto"/>
            <w:vAlign w:val="center"/>
          </w:tcPr>
          <w:p w:rsidR="00D16346" w:rsidRPr="001939ED" w:rsidRDefault="00D16346" w:rsidP="00D16346">
            <w:pPr>
              <w:jc w:val="center"/>
              <w:rPr>
                <w:rFonts w:ascii="Arial Narrow" w:hAnsi="Arial Narrow"/>
                <w:sz w:val="20"/>
              </w:rPr>
            </w:pPr>
            <w:r>
              <w:rPr>
                <w:rFonts w:ascii="Arial Narrow" w:hAnsi="Arial Narrow"/>
                <w:sz w:val="20"/>
              </w:rPr>
              <w:t>High</w:t>
            </w:r>
          </w:p>
        </w:tc>
        <w:tc>
          <w:tcPr>
            <w:tcW w:w="1333" w:type="pct"/>
            <w:shd w:val="clear" w:color="auto" w:fill="auto"/>
            <w:vAlign w:val="center"/>
          </w:tcPr>
          <w:p w:rsidR="00D16346" w:rsidRPr="001939ED" w:rsidRDefault="00F5439B" w:rsidP="00F5439B">
            <w:pPr>
              <w:jc w:val="center"/>
              <w:rPr>
                <w:rFonts w:ascii="Arial Narrow" w:hAnsi="Arial Narrow"/>
                <w:sz w:val="20"/>
              </w:rPr>
            </w:pPr>
            <w:r>
              <w:rPr>
                <w:rFonts w:ascii="Arial Narrow" w:hAnsi="Arial Narrow"/>
                <w:sz w:val="20"/>
                <w:lang w:val="en-US"/>
              </w:rPr>
              <w:t>Subgroup of p</w:t>
            </w:r>
            <w:r w:rsidR="00D16346">
              <w:rPr>
                <w:rFonts w:ascii="Arial Narrow" w:hAnsi="Arial Narrow"/>
                <w:sz w:val="20"/>
                <w:lang w:val="en-US"/>
              </w:rPr>
              <w:t>atients with pseudophakic lens with vision impairment due to DME</w:t>
            </w:r>
            <w:r>
              <w:rPr>
                <w:rFonts w:ascii="Arial Narrow" w:hAnsi="Arial Narrow"/>
                <w:sz w:val="20"/>
                <w:lang w:val="en-US"/>
              </w:rPr>
              <w:br/>
              <w:t>(ITT: p</w:t>
            </w:r>
            <w:r w:rsidRPr="00F5439B">
              <w:rPr>
                <w:rFonts w:ascii="Arial Narrow" w:hAnsi="Arial Narrow"/>
                <w:sz w:val="20"/>
                <w:lang w:val="en-US"/>
              </w:rPr>
              <w:t>atients with vision impairment due to DME</w:t>
            </w:r>
            <w:r>
              <w:rPr>
                <w:rFonts w:ascii="Arial Narrow" w:hAnsi="Arial Narrow"/>
                <w:sz w:val="20"/>
                <w:lang w:val="en-US"/>
              </w:rPr>
              <w:t>)</w:t>
            </w:r>
          </w:p>
        </w:tc>
        <w:tc>
          <w:tcPr>
            <w:tcW w:w="923" w:type="pct"/>
            <w:shd w:val="clear" w:color="auto" w:fill="auto"/>
            <w:vAlign w:val="center"/>
          </w:tcPr>
          <w:p w:rsidR="00D16346" w:rsidRPr="001939ED" w:rsidRDefault="00D16346" w:rsidP="00D16346">
            <w:pPr>
              <w:jc w:val="center"/>
              <w:rPr>
                <w:rFonts w:ascii="Arial Narrow" w:hAnsi="Arial Narrow"/>
                <w:sz w:val="20"/>
              </w:rPr>
            </w:pPr>
            <w:r>
              <w:rPr>
                <w:rFonts w:ascii="Arial Narrow" w:hAnsi="Arial Narrow"/>
                <w:sz w:val="20"/>
                <w:lang w:val="en-US"/>
              </w:rPr>
              <w:t>BCVA change in ETDRS letters from baseline at Month 12</w:t>
            </w:r>
          </w:p>
        </w:tc>
        <w:tc>
          <w:tcPr>
            <w:tcW w:w="744" w:type="pct"/>
            <w:shd w:val="clear" w:color="auto" w:fill="auto"/>
            <w:vAlign w:val="center"/>
          </w:tcPr>
          <w:p w:rsidR="00D16346" w:rsidRPr="001939ED" w:rsidRDefault="00D16346" w:rsidP="00D16346">
            <w:pPr>
              <w:jc w:val="center"/>
              <w:rPr>
                <w:rFonts w:ascii="Arial Narrow" w:hAnsi="Arial Narrow"/>
                <w:sz w:val="20"/>
              </w:rPr>
            </w:pPr>
            <w:r>
              <w:rPr>
                <w:rFonts w:ascii="Arial Narrow" w:hAnsi="Arial Narrow"/>
                <w:sz w:val="20"/>
                <w:lang w:val="en-US"/>
              </w:rPr>
              <w:t>The number of injections beyond Year 1</w:t>
            </w:r>
          </w:p>
        </w:tc>
      </w:tr>
      <w:tr w:rsidR="00D16346" w:rsidRPr="000140D1" w:rsidTr="00D16346">
        <w:tc>
          <w:tcPr>
            <w:tcW w:w="5000" w:type="pct"/>
            <w:gridSpan w:val="7"/>
            <w:shd w:val="clear" w:color="auto" w:fill="auto"/>
            <w:vAlign w:val="center"/>
          </w:tcPr>
          <w:p w:rsidR="00D16346" w:rsidRPr="003C09ED" w:rsidRDefault="00D16346" w:rsidP="00D16346">
            <w:pPr>
              <w:jc w:val="left"/>
              <w:rPr>
                <w:rFonts w:ascii="Arial Narrow" w:hAnsi="Arial Narrow"/>
                <w:b/>
                <w:sz w:val="20"/>
                <w:lang w:val="fr-FR"/>
              </w:rPr>
            </w:pPr>
            <w:r w:rsidRPr="003C09ED">
              <w:rPr>
                <w:rFonts w:ascii="Arial Narrow" w:hAnsi="Arial Narrow"/>
                <w:b/>
                <w:sz w:val="20"/>
                <w:lang w:val="fr-FR"/>
              </w:rPr>
              <w:t xml:space="preserve">Aflibercept injection </w:t>
            </w:r>
            <w:r w:rsidRPr="003C09ED">
              <w:rPr>
                <w:rFonts w:ascii="Arial Narrow" w:hAnsi="Arial Narrow"/>
                <w:b/>
                <w:i/>
                <w:sz w:val="20"/>
                <w:lang w:val="fr-FR"/>
              </w:rPr>
              <w:t xml:space="preserve">vs </w:t>
            </w:r>
            <w:r w:rsidRPr="003C09ED">
              <w:rPr>
                <w:rFonts w:ascii="Arial Narrow" w:hAnsi="Arial Narrow"/>
                <w:b/>
                <w:sz w:val="20"/>
                <w:lang w:val="fr-FR"/>
              </w:rPr>
              <w:t xml:space="preserve">ranibizumab injection </w:t>
            </w:r>
            <w:r w:rsidRPr="003C09ED">
              <w:rPr>
                <w:rFonts w:ascii="Arial Narrow" w:hAnsi="Arial Narrow"/>
                <w:b/>
                <w:i/>
                <w:sz w:val="20"/>
                <w:lang w:val="fr-FR"/>
              </w:rPr>
              <w:t xml:space="preserve">vs </w:t>
            </w:r>
            <w:r w:rsidRPr="003C09ED">
              <w:rPr>
                <w:rFonts w:ascii="Arial Narrow" w:hAnsi="Arial Narrow"/>
                <w:b/>
                <w:sz w:val="20"/>
                <w:lang w:val="fr-FR"/>
              </w:rPr>
              <w:t xml:space="preserve">bevacizumab injection </w:t>
            </w:r>
          </w:p>
        </w:tc>
      </w:tr>
      <w:tr w:rsidR="00153604" w:rsidRPr="001939ED" w:rsidTr="00384541">
        <w:tc>
          <w:tcPr>
            <w:tcW w:w="666" w:type="pct"/>
            <w:shd w:val="clear" w:color="auto" w:fill="auto"/>
            <w:vAlign w:val="center"/>
          </w:tcPr>
          <w:p w:rsidR="00D16346" w:rsidRPr="001939ED" w:rsidRDefault="00D16346" w:rsidP="00D16346">
            <w:pPr>
              <w:jc w:val="left"/>
              <w:rPr>
                <w:rFonts w:ascii="Arial Narrow" w:hAnsi="Arial Narrow"/>
                <w:sz w:val="20"/>
              </w:rPr>
            </w:pPr>
            <w:r>
              <w:rPr>
                <w:rFonts w:ascii="Arial Narrow" w:hAnsi="Arial Narrow"/>
                <w:sz w:val="20"/>
              </w:rPr>
              <w:t>Protocol T</w:t>
            </w:r>
          </w:p>
        </w:tc>
        <w:tc>
          <w:tcPr>
            <w:tcW w:w="335" w:type="pct"/>
            <w:shd w:val="clear" w:color="auto" w:fill="auto"/>
            <w:vAlign w:val="center"/>
          </w:tcPr>
          <w:p w:rsidR="00D16346" w:rsidRPr="001939ED" w:rsidRDefault="00D16346" w:rsidP="00D16346">
            <w:pPr>
              <w:jc w:val="center"/>
              <w:rPr>
                <w:rFonts w:ascii="Arial Narrow" w:hAnsi="Arial Narrow"/>
                <w:sz w:val="20"/>
              </w:rPr>
            </w:pPr>
            <w:r>
              <w:rPr>
                <w:rFonts w:ascii="Arial Narrow" w:hAnsi="Arial Narrow"/>
                <w:sz w:val="20"/>
              </w:rPr>
              <w:t>620</w:t>
            </w:r>
          </w:p>
        </w:tc>
        <w:tc>
          <w:tcPr>
            <w:tcW w:w="582" w:type="pct"/>
            <w:shd w:val="clear" w:color="auto" w:fill="auto"/>
            <w:vAlign w:val="center"/>
          </w:tcPr>
          <w:p w:rsidR="00D16346" w:rsidRPr="00E2771E" w:rsidRDefault="00D16346" w:rsidP="00D16346">
            <w:pPr>
              <w:keepNext/>
              <w:keepLines/>
              <w:jc w:val="center"/>
              <w:rPr>
                <w:rFonts w:ascii="Arial Narrow" w:hAnsi="Arial Narrow"/>
                <w:sz w:val="20"/>
                <w:lang w:val="en-US"/>
              </w:rPr>
            </w:pPr>
            <w:r>
              <w:rPr>
                <w:rFonts w:ascii="Arial Narrow" w:hAnsi="Arial Narrow"/>
                <w:sz w:val="20"/>
                <w:lang w:val="en-US"/>
              </w:rPr>
              <w:t>R, DB, MC</w:t>
            </w:r>
          </w:p>
          <w:p w:rsidR="00D16346" w:rsidRPr="001939ED" w:rsidRDefault="00D16346" w:rsidP="00D16346">
            <w:pPr>
              <w:jc w:val="center"/>
              <w:rPr>
                <w:rFonts w:ascii="Arial Narrow" w:hAnsi="Arial Narrow"/>
                <w:sz w:val="20"/>
              </w:rPr>
            </w:pPr>
            <w:r>
              <w:rPr>
                <w:rFonts w:ascii="Arial Narrow" w:hAnsi="Arial Narrow"/>
                <w:sz w:val="20"/>
                <w:lang w:val="en-US"/>
              </w:rPr>
              <w:t>24</w:t>
            </w:r>
            <w:r w:rsidRPr="00E2771E">
              <w:rPr>
                <w:rFonts w:ascii="Arial Narrow" w:hAnsi="Arial Narrow"/>
                <w:sz w:val="20"/>
                <w:lang w:val="en-US"/>
              </w:rPr>
              <w:t xml:space="preserve"> mths</w:t>
            </w:r>
          </w:p>
        </w:tc>
        <w:tc>
          <w:tcPr>
            <w:tcW w:w="417" w:type="pct"/>
            <w:shd w:val="clear" w:color="auto" w:fill="auto"/>
            <w:vAlign w:val="center"/>
          </w:tcPr>
          <w:p w:rsidR="00D16346" w:rsidRPr="001939ED" w:rsidRDefault="00D16346" w:rsidP="00D16346">
            <w:pPr>
              <w:jc w:val="center"/>
              <w:rPr>
                <w:rFonts w:ascii="Arial Narrow" w:hAnsi="Arial Narrow"/>
                <w:sz w:val="20"/>
              </w:rPr>
            </w:pPr>
            <w:r>
              <w:rPr>
                <w:rFonts w:ascii="Arial Narrow" w:hAnsi="Arial Narrow"/>
                <w:sz w:val="20"/>
              </w:rPr>
              <w:t>High</w:t>
            </w:r>
          </w:p>
        </w:tc>
        <w:tc>
          <w:tcPr>
            <w:tcW w:w="1333" w:type="pct"/>
            <w:shd w:val="clear" w:color="auto" w:fill="auto"/>
            <w:vAlign w:val="center"/>
          </w:tcPr>
          <w:p w:rsidR="00D16346" w:rsidRPr="001939ED" w:rsidRDefault="00F5439B" w:rsidP="00F5439B">
            <w:pPr>
              <w:jc w:val="center"/>
              <w:rPr>
                <w:rFonts w:ascii="Arial Narrow" w:hAnsi="Arial Narrow"/>
                <w:sz w:val="20"/>
              </w:rPr>
            </w:pPr>
            <w:r>
              <w:rPr>
                <w:rFonts w:ascii="Arial Narrow" w:hAnsi="Arial Narrow"/>
                <w:sz w:val="20"/>
                <w:lang w:val="en-US"/>
              </w:rPr>
              <w:t>Subgroup of p</w:t>
            </w:r>
            <w:r w:rsidR="00D16346">
              <w:rPr>
                <w:rFonts w:ascii="Arial Narrow" w:hAnsi="Arial Narrow"/>
                <w:sz w:val="20"/>
                <w:lang w:val="en-US"/>
              </w:rPr>
              <w:t>atients with vision impairment due to DME</w:t>
            </w:r>
            <w:r>
              <w:rPr>
                <w:rFonts w:ascii="Arial Narrow" w:hAnsi="Arial Narrow"/>
                <w:sz w:val="20"/>
                <w:lang w:val="en-US"/>
              </w:rPr>
              <w:br/>
              <w:t>(ITT: p</w:t>
            </w:r>
            <w:r w:rsidRPr="00F5439B">
              <w:rPr>
                <w:rFonts w:ascii="Arial Narrow" w:hAnsi="Arial Narrow"/>
                <w:sz w:val="20"/>
                <w:lang w:val="en-US"/>
              </w:rPr>
              <w:t>atients with vision impairment due to DME</w:t>
            </w:r>
            <w:r>
              <w:rPr>
                <w:rFonts w:ascii="Arial Narrow" w:hAnsi="Arial Narrow"/>
                <w:sz w:val="20"/>
                <w:lang w:val="en-US"/>
              </w:rPr>
              <w:t>)</w:t>
            </w:r>
          </w:p>
        </w:tc>
        <w:tc>
          <w:tcPr>
            <w:tcW w:w="923" w:type="pct"/>
            <w:shd w:val="clear" w:color="auto" w:fill="auto"/>
            <w:vAlign w:val="center"/>
          </w:tcPr>
          <w:p w:rsidR="00D16346" w:rsidRPr="001939ED" w:rsidRDefault="00D16346" w:rsidP="00D16346">
            <w:pPr>
              <w:jc w:val="center"/>
              <w:rPr>
                <w:rFonts w:ascii="Arial Narrow" w:hAnsi="Arial Narrow"/>
                <w:sz w:val="20"/>
              </w:rPr>
            </w:pPr>
            <w:r>
              <w:rPr>
                <w:rFonts w:ascii="Arial Narrow" w:hAnsi="Arial Narrow"/>
                <w:sz w:val="20"/>
                <w:lang w:val="en-US"/>
              </w:rPr>
              <w:t>BCVA change in ETDRS letters from baseline at Month 12</w:t>
            </w:r>
          </w:p>
        </w:tc>
        <w:tc>
          <w:tcPr>
            <w:tcW w:w="744" w:type="pct"/>
            <w:shd w:val="clear" w:color="auto" w:fill="auto"/>
            <w:vAlign w:val="center"/>
          </w:tcPr>
          <w:p w:rsidR="00D16346" w:rsidRPr="001939ED" w:rsidRDefault="00D16346" w:rsidP="00D16346">
            <w:pPr>
              <w:jc w:val="center"/>
              <w:rPr>
                <w:rFonts w:ascii="Arial Narrow" w:hAnsi="Arial Narrow"/>
                <w:sz w:val="20"/>
              </w:rPr>
            </w:pPr>
            <w:r>
              <w:rPr>
                <w:rFonts w:ascii="Arial Narrow" w:hAnsi="Arial Narrow"/>
                <w:sz w:val="20"/>
              </w:rPr>
              <w:t>No</w:t>
            </w:r>
          </w:p>
        </w:tc>
      </w:tr>
      <w:tr w:rsidR="00D16346" w:rsidRPr="003C09ED" w:rsidTr="00D16346">
        <w:tc>
          <w:tcPr>
            <w:tcW w:w="5000" w:type="pct"/>
            <w:gridSpan w:val="7"/>
            <w:shd w:val="clear" w:color="auto" w:fill="auto"/>
            <w:vAlign w:val="center"/>
          </w:tcPr>
          <w:p w:rsidR="00D16346" w:rsidRPr="00557A36" w:rsidRDefault="00D16346" w:rsidP="00D16346">
            <w:pPr>
              <w:jc w:val="left"/>
              <w:rPr>
                <w:rFonts w:ascii="Arial Narrow" w:hAnsi="Arial Narrow"/>
                <w:b/>
                <w:sz w:val="20"/>
                <w:lang w:val="fr-FR"/>
              </w:rPr>
            </w:pPr>
            <w:r w:rsidRPr="003C09ED">
              <w:rPr>
                <w:rFonts w:ascii="Arial Narrow" w:hAnsi="Arial Narrow"/>
                <w:b/>
                <w:sz w:val="20"/>
                <w:lang w:val="fr-FR"/>
              </w:rPr>
              <w:t xml:space="preserve">Aflibercept injection </w:t>
            </w:r>
            <w:r w:rsidRPr="003C09ED">
              <w:rPr>
                <w:rFonts w:ascii="Arial Narrow" w:hAnsi="Arial Narrow"/>
                <w:b/>
                <w:i/>
                <w:sz w:val="20"/>
                <w:lang w:val="fr-FR"/>
              </w:rPr>
              <w:t xml:space="preserve">vs </w:t>
            </w:r>
            <w:r>
              <w:rPr>
                <w:rFonts w:ascii="Arial Narrow" w:hAnsi="Arial Narrow"/>
                <w:b/>
                <w:sz w:val="20"/>
                <w:lang w:val="fr-FR"/>
              </w:rPr>
              <w:t>laser photocoagulation</w:t>
            </w:r>
          </w:p>
        </w:tc>
      </w:tr>
      <w:tr w:rsidR="00153604" w:rsidRPr="001939ED" w:rsidTr="00384541">
        <w:tc>
          <w:tcPr>
            <w:tcW w:w="666" w:type="pct"/>
            <w:shd w:val="clear" w:color="auto" w:fill="auto"/>
            <w:vAlign w:val="center"/>
          </w:tcPr>
          <w:p w:rsidR="00D16346" w:rsidRPr="001939ED" w:rsidRDefault="00D16346" w:rsidP="00D16346">
            <w:pPr>
              <w:jc w:val="left"/>
              <w:rPr>
                <w:rFonts w:ascii="Arial Narrow" w:hAnsi="Arial Narrow"/>
                <w:sz w:val="20"/>
              </w:rPr>
            </w:pPr>
            <w:r>
              <w:rPr>
                <w:rFonts w:ascii="Arial Narrow" w:hAnsi="Arial Narrow"/>
                <w:sz w:val="20"/>
              </w:rPr>
              <w:t>VIVID</w:t>
            </w:r>
          </w:p>
        </w:tc>
        <w:tc>
          <w:tcPr>
            <w:tcW w:w="335" w:type="pct"/>
            <w:shd w:val="clear" w:color="auto" w:fill="auto"/>
            <w:vAlign w:val="center"/>
          </w:tcPr>
          <w:p w:rsidR="00D16346" w:rsidRPr="001939ED" w:rsidRDefault="00D16346" w:rsidP="00D16346">
            <w:pPr>
              <w:jc w:val="center"/>
              <w:rPr>
                <w:rFonts w:ascii="Arial Narrow" w:hAnsi="Arial Narrow"/>
                <w:sz w:val="20"/>
              </w:rPr>
            </w:pPr>
            <w:r>
              <w:rPr>
                <w:rFonts w:ascii="Arial Narrow" w:hAnsi="Arial Narrow"/>
                <w:sz w:val="20"/>
              </w:rPr>
              <w:t>267</w:t>
            </w:r>
          </w:p>
        </w:tc>
        <w:tc>
          <w:tcPr>
            <w:tcW w:w="582" w:type="pct"/>
            <w:shd w:val="clear" w:color="auto" w:fill="auto"/>
            <w:vAlign w:val="center"/>
          </w:tcPr>
          <w:p w:rsidR="00D16346" w:rsidRPr="00E2771E" w:rsidRDefault="00D16346" w:rsidP="00D16346">
            <w:pPr>
              <w:keepNext/>
              <w:keepLines/>
              <w:jc w:val="center"/>
              <w:rPr>
                <w:rFonts w:ascii="Arial Narrow" w:hAnsi="Arial Narrow"/>
                <w:sz w:val="20"/>
                <w:lang w:val="en-US"/>
              </w:rPr>
            </w:pPr>
            <w:r>
              <w:rPr>
                <w:rFonts w:ascii="Arial Narrow" w:hAnsi="Arial Narrow"/>
                <w:sz w:val="20"/>
                <w:lang w:val="en-US"/>
              </w:rPr>
              <w:t>R, DB, MC</w:t>
            </w:r>
          </w:p>
          <w:p w:rsidR="00D16346" w:rsidRPr="001939ED" w:rsidRDefault="00D16346" w:rsidP="00D16346">
            <w:pPr>
              <w:jc w:val="center"/>
              <w:rPr>
                <w:rFonts w:ascii="Arial Narrow" w:hAnsi="Arial Narrow"/>
                <w:sz w:val="20"/>
              </w:rPr>
            </w:pPr>
            <w:r>
              <w:rPr>
                <w:rFonts w:ascii="Arial Narrow" w:hAnsi="Arial Narrow"/>
                <w:sz w:val="20"/>
                <w:lang w:val="en-US"/>
              </w:rPr>
              <w:t>12</w:t>
            </w:r>
            <w:r w:rsidRPr="00E2771E">
              <w:rPr>
                <w:rFonts w:ascii="Arial Narrow" w:hAnsi="Arial Narrow"/>
                <w:sz w:val="20"/>
                <w:lang w:val="en-US"/>
              </w:rPr>
              <w:t xml:space="preserve"> mths</w:t>
            </w:r>
          </w:p>
        </w:tc>
        <w:tc>
          <w:tcPr>
            <w:tcW w:w="417" w:type="pct"/>
            <w:shd w:val="clear" w:color="auto" w:fill="auto"/>
            <w:vAlign w:val="center"/>
          </w:tcPr>
          <w:p w:rsidR="00D16346" w:rsidRPr="001939ED" w:rsidRDefault="00D16346" w:rsidP="00D16346">
            <w:pPr>
              <w:jc w:val="center"/>
              <w:rPr>
                <w:rFonts w:ascii="Arial Narrow" w:hAnsi="Arial Narrow"/>
                <w:sz w:val="20"/>
              </w:rPr>
            </w:pPr>
            <w:r>
              <w:rPr>
                <w:rFonts w:ascii="Arial Narrow" w:hAnsi="Arial Narrow"/>
                <w:sz w:val="20"/>
              </w:rPr>
              <w:t>High</w:t>
            </w:r>
          </w:p>
        </w:tc>
        <w:tc>
          <w:tcPr>
            <w:tcW w:w="1333" w:type="pct"/>
            <w:vMerge w:val="restart"/>
            <w:shd w:val="clear" w:color="auto" w:fill="auto"/>
            <w:vAlign w:val="center"/>
          </w:tcPr>
          <w:p w:rsidR="00D16346" w:rsidRPr="001939ED" w:rsidRDefault="00D16346" w:rsidP="00D16346">
            <w:pPr>
              <w:jc w:val="center"/>
              <w:rPr>
                <w:rFonts w:ascii="Arial Narrow" w:hAnsi="Arial Narrow"/>
                <w:sz w:val="20"/>
              </w:rPr>
            </w:pPr>
            <w:r>
              <w:rPr>
                <w:rFonts w:ascii="Arial Narrow" w:hAnsi="Arial Narrow"/>
                <w:sz w:val="20"/>
                <w:lang w:val="en-US"/>
              </w:rPr>
              <w:t>Patients with vision impairment due to DME</w:t>
            </w:r>
          </w:p>
        </w:tc>
        <w:tc>
          <w:tcPr>
            <w:tcW w:w="923" w:type="pct"/>
            <w:vMerge w:val="restart"/>
            <w:shd w:val="clear" w:color="auto" w:fill="auto"/>
            <w:vAlign w:val="center"/>
          </w:tcPr>
          <w:p w:rsidR="00D16346" w:rsidRPr="001939ED" w:rsidRDefault="00D16346" w:rsidP="00D16346">
            <w:pPr>
              <w:jc w:val="center"/>
              <w:rPr>
                <w:rFonts w:ascii="Arial Narrow" w:hAnsi="Arial Narrow"/>
                <w:sz w:val="20"/>
              </w:rPr>
            </w:pPr>
            <w:r>
              <w:rPr>
                <w:rFonts w:ascii="Arial Narrow" w:hAnsi="Arial Narrow"/>
                <w:sz w:val="20"/>
                <w:lang w:val="en-US"/>
              </w:rPr>
              <w:t>BCVA change in ETDRS letters from baseline at Month 12</w:t>
            </w:r>
          </w:p>
        </w:tc>
        <w:tc>
          <w:tcPr>
            <w:tcW w:w="744" w:type="pct"/>
            <w:vMerge w:val="restart"/>
            <w:shd w:val="clear" w:color="auto" w:fill="auto"/>
            <w:vAlign w:val="center"/>
          </w:tcPr>
          <w:p w:rsidR="00D16346" w:rsidRPr="001939ED" w:rsidRDefault="00D16346" w:rsidP="00D16346">
            <w:pPr>
              <w:jc w:val="center"/>
              <w:rPr>
                <w:rFonts w:ascii="Arial Narrow" w:hAnsi="Arial Narrow"/>
                <w:sz w:val="20"/>
              </w:rPr>
            </w:pPr>
            <w:r>
              <w:rPr>
                <w:rFonts w:ascii="Arial Narrow" w:hAnsi="Arial Narrow"/>
                <w:sz w:val="20"/>
              </w:rPr>
              <w:t>No</w:t>
            </w:r>
          </w:p>
        </w:tc>
      </w:tr>
      <w:tr w:rsidR="00153604" w:rsidRPr="001939ED" w:rsidTr="00384541">
        <w:tc>
          <w:tcPr>
            <w:tcW w:w="666" w:type="pct"/>
            <w:shd w:val="clear" w:color="auto" w:fill="auto"/>
            <w:vAlign w:val="center"/>
          </w:tcPr>
          <w:p w:rsidR="00D16346" w:rsidRDefault="00D16346" w:rsidP="00D16346">
            <w:pPr>
              <w:jc w:val="left"/>
              <w:rPr>
                <w:rFonts w:ascii="Arial Narrow" w:hAnsi="Arial Narrow"/>
                <w:sz w:val="20"/>
              </w:rPr>
            </w:pPr>
            <w:r>
              <w:rPr>
                <w:rFonts w:ascii="Arial Narrow" w:hAnsi="Arial Narrow"/>
                <w:sz w:val="20"/>
              </w:rPr>
              <w:t>VISTA</w:t>
            </w:r>
          </w:p>
        </w:tc>
        <w:tc>
          <w:tcPr>
            <w:tcW w:w="335" w:type="pct"/>
            <w:shd w:val="clear" w:color="auto" w:fill="auto"/>
            <w:vAlign w:val="center"/>
          </w:tcPr>
          <w:p w:rsidR="00D16346" w:rsidRPr="001939ED" w:rsidRDefault="00D16346" w:rsidP="00D16346">
            <w:pPr>
              <w:jc w:val="center"/>
              <w:rPr>
                <w:rFonts w:ascii="Arial Narrow" w:hAnsi="Arial Narrow"/>
                <w:sz w:val="20"/>
              </w:rPr>
            </w:pPr>
            <w:r>
              <w:rPr>
                <w:rFonts w:ascii="Arial Narrow" w:hAnsi="Arial Narrow"/>
                <w:sz w:val="20"/>
              </w:rPr>
              <w:t>305</w:t>
            </w:r>
          </w:p>
        </w:tc>
        <w:tc>
          <w:tcPr>
            <w:tcW w:w="582" w:type="pct"/>
            <w:shd w:val="clear" w:color="auto" w:fill="auto"/>
            <w:vAlign w:val="center"/>
          </w:tcPr>
          <w:p w:rsidR="00D16346" w:rsidRPr="00E2771E" w:rsidRDefault="00D16346" w:rsidP="00D16346">
            <w:pPr>
              <w:keepNext/>
              <w:keepLines/>
              <w:jc w:val="center"/>
              <w:rPr>
                <w:rFonts w:ascii="Arial Narrow" w:hAnsi="Arial Narrow"/>
                <w:sz w:val="20"/>
                <w:lang w:val="en-US"/>
              </w:rPr>
            </w:pPr>
            <w:r>
              <w:rPr>
                <w:rFonts w:ascii="Arial Narrow" w:hAnsi="Arial Narrow"/>
                <w:sz w:val="20"/>
                <w:lang w:val="en-US"/>
              </w:rPr>
              <w:t>R, DB, MC</w:t>
            </w:r>
          </w:p>
          <w:p w:rsidR="00D16346" w:rsidRPr="00E2771E" w:rsidRDefault="00D16346" w:rsidP="00D16346">
            <w:pPr>
              <w:keepNext/>
              <w:keepLines/>
              <w:jc w:val="center"/>
              <w:rPr>
                <w:rFonts w:ascii="Arial Narrow" w:hAnsi="Arial Narrow"/>
                <w:sz w:val="20"/>
                <w:lang w:val="en-US"/>
              </w:rPr>
            </w:pPr>
            <w:r>
              <w:rPr>
                <w:rFonts w:ascii="Arial Narrow" w:hAnsi="Arial Narrow"/>
                <w:sz w:val="20"/>
                <w:lang w:val="en-US"/>
              </w:rPr>
              <w:t>12</w:t>
            </w:r>
            <w:r w:rsidRPr="00E2771E">
              <w:rPr>
                <w:rFonts w:ascii="Arial Narrow" w:hAnsi="Arial Narrow"/>
                <w:sz w:val="20"/>
                <w:lang w:val="en-US"/>
              </w:rPr>
              <w:t xml:space="preserve"> mths</w:t>
            </w:r>
          </w:p>
        </w:tc>
        <w:tc>
          <w:tcPr>
            <w:tcW w:w="417" w:type="pct"/>
            <w:shd w:val="clear" w:color="auto" w:fill="auto"/>
            <w:vAlign w:val="center"/>
          </w:tcPr>
          <w:p w:rsidR="00D16346" w:rsidRDefault="00D16346" w:rsidP="00D16346">
            <w:pPr>
              <w:jc w:val="center"/>
              <w:rPr>
                <w:rFonts w:ascii="Arial Narrow" w:hAnsi="Arial Narrow"/>
                <w:sz w:val="20"/>
              </w:rPr>
            </w:pPr>
            <w:r>
              <w:rPr>
                <w:rFonts w:ascii="Arial Narrow" w:hAnsi="Arial Narrow"/>
                <w:sz w:val="20"/>
              </w:rPr>
              <w:t>High</w:t>
            </w:r>
          </w:p>
        </w:tc>
        <w:tc>
          <w:tcPr>
            <w:tcW w:w="1333" w:type="pct"/>
            <w:vMerge/>
            <w:shd w:val="clear" w:color="auto" w:fill="auto"/>
            <w:vAlign w:val="center"/>
          </w:tcPr>
          <w:p w:rsidR="00D16346" w:rsidRDefault="00D16346" w:rsidP="00D16346">
            <w:pPr>
              <w:jc w:val="center"/>
              <w:rPr>
                <w:rFonts w:ascii="Arial Narrow" w:hAnsi="Arial Narrow"/>
                <w:sz w:val="20"/>
                <w:lang w:val="en-US"/>
              </w:rPr>
            </w:pPr>
          </w:p>
        </w:tc>
        <w:tc>
          <w:tcPr>
            <w:tcW w:w="923" w:type="pct"/>
            <w:vMerge/>
            <w:shd w:val="clear" w:color="auto" w:fill="auto"/>
            <w:vAlign w:val="center"/>
          </w:tcPr>
          <w:p w:rsidR="00D16346" w:rsidRDefault="00D16346" w:rsidP="00D16346">
            <w:pPr>
              <w:jc w:val="center"/>
              <w:rPr>
                <w:rFonts w:ascii="Arial Narrow" w:hAnsi="Arial Narrow"/>
                <w:sz w:val="20"/>
                <w:lang w:val="en-US"/>
              </w:rPr>
            </w:pPr>
          </w:p>
        </w:tc>
        <w:tc>
          <w:tcPr>
            <w:tcW w:w="744" w:type="pct"/>
            <w:vMerge/>
            <w:shd w:val="clear" w:color="auto" w:fill="auto"/>
            <w:vAlign w:val="center"/>
          </w:tcPr>
          <w:p w:rsidR="00D16346" w:rsidRDefault="00D16346" w:rsidP="00D16346">
            <w:pPr>
              <w:jc w:val="center"/>
              <w:rPr>
                <w:rFonts w:ascii="Arial Narrow" w:hAnsi="Arial Narrow"/>
                <w:sz w:val="20"/>
              </w:rPr>
            </w:pPr>
          </w:p>
        </w:tc>
      </w:tr>
      <w:tr w:rsidR="00153604" w:rsidRPr="001939ED" w:rsidTr="00384541">
        <w:tc>
          <w:tcPr>
            <w:tcW w:w="666" w:type="pct"/>
            <w:shd w:val="clear" w:color="auto" w:fill="auto"/>
            <w:vAlign w:val="center"/>
          </w:tcPr>
          <w:p w:rsidR="00D16346" w:rsidRDefault="00D16346" w:rsidP="00D16346">
            <w:pPr>
              <w:jc w:val="left"/>
              <w:rPr>
                <w:rFonts w:ascii="Arial Narrow" w:hAnsi="Arial Narrow"/>
                <w:sz w:val="20"/>
              </w:rPr>
            </w:pPr>
            <w:r>
              <w:rPr>
                <w:rFonts w:ascii="Arial Narrow" w:hAnsi="Arial Narrow"/>
                <w:sz w:val="20"/>
              </w:rPr>
              <w:t>DA VINCI</w:t>
            </w:r>
          </w:p>
        </w:tc>
        <w:tc>
          <w:tcPr>
            <w:tcW w:w="335" w:type="pct"/>
            <w:shd w:val="clear" w:color="auto" w:fill="auto"/>
            <w:vAlign w:val="center"/>
          </w:tcPr>
          <w:p w:rsidR="00D16346" w:rsidRPr="001939ED" w:rsidRDefault="00D16346" w:rsidP="00D16346">
            <w:pPr>
              <w:jc w:val="center"/>
              <w:rPr>
                <w:rFonts w:ascii="Arial Narrow" w:hAnsi="Arial Narrow"/>
                <w:sz w:val="20"/>
              </w:rPr>
            </w:pPr>
            <w:r>
              <w:rPr>
                <w:rFonts w:ascii="Arial Narrow" w:hAnsi="Arial Narrow"/>
                <w:sz w:val="20"/>
              </w:rPr>
              <w:t>86</w:t>
            </w:r>
          </w:p>
        </w:tc>
        <w:tc>
          <w:tcPr>
            <w:tcW w:w="582" w:type="pct"/>
            <w:shd w:val="clear" w:color="auto" w:fill="auto"/>
            <w:vAlign w:val="center"/>
          </w:tcPr>
          <w:p w:rsidR="00D16346" w:rsidRPr="00E2771E" w:rsidRDefault="00D16346" w:rsidP="00D16346">
            <w:pPr>
              <w:keepNext/>
              <w:keepLines/>
              <w:jc w:val="center"/>
              <w:rPr>
                <w:rFonts w:ascii="Arial Narrow" w:hAnsi="Arial Narrow"/>
                <w:sz w:val="20"/>
                <w:lang w:val="en-US"/>
              </w:rPr>
            </w:pPr>
            <w:r>
              <w:rPr>
                <w:rFonts w:ascii="Arial Narrow" w:hAnsi="Arial Narrow"/>
                <w:sz w:val="20"/>
                <w:lang w:val="en-US"/>
              </w:rPr>
              <w:t>R, DB, MC</w:t>
            </w:r>
          </w:p>
          <w:p w:rsidR="00D16346" w:rsidRPr="00E2771E" w:rsidRDefault="00D16346" w:rsidP="00D16346">
            <w:pPr>
              <w:keepNext/>
              <w:keepLines/>
              <w:jc w:val="center"/>
              <w:rPr>
                <w:rFonts w:ascii="Arial Narrow" w:hAnsi="Arial Narrow"/>
                <w:sz w:val="20"/>
                <w:lang w:val="en-US"/>
              </w:rPr>
            </w:pPr>
            <w:r>
              <w:rPr>
                <w:rFonts w:ascii="Arial Narrow" w:hAnsi="Arial Narrow"/>
                <w:sz w:val="20"/>
                <w:lang w:val="en-US"/>
              </w:rPr>
              <w:t>12</w:t>
            </w:r>
            <w:r w:rsidRPr="00E2771E">
              <w:rPr>
                <w:rFonts w:ascii="Arial Narrow" w:hAnsi="Arial Narrow"/>
                <w:sz w:val="20"/>
                <w:lang w:val="en-US"/>
              </w:rPr>
              <w:t xml:space="preserve"> mths</w:t>
            </w:r>
          </w:p>
        </w:tc>
        <w:tc>
          <w:tcPr>
            <w:tcW w:w="417" w:type="pct"/>
            <w:shd w:val="clear" w:color="auto" w:fill="auto"/>
            <w:vAlign w:val="center"/>
          </w:tcPr>
          <w:p w:rsidR="00D16346" w:rsidRDefault="00D16346" w:rsidP="00D16346">
            <w:pPr>
              <w:jc w:val="center"/>
              <w:rPr>
                <w:rFonts w:ascii="Arial Narrow" w:hAnsi="Arial Narrow"/>
                <w:sz w:val="20"/>
              </w:rPr>
            </w:pPr>
            <w:r>
              <w:rPr>
                <w:rFonts w:ascii="Arial Narrow" w:hAnsi="Arial Narrow"/>
                <w:sz w:val="20"/>
              </w:rPr>
              <w:t>High</w:t>
            </w:r>
          </w:p>
        </w:tc>
        <w:tc>
          <w:tcPr>
            <w:tcW w:w="1333" w:type="pct"/>
            <w:vMerge/>
            <w:shd w:val="clear" w:color="auto" w:fill="auto"/>
            <w:vAlign w:val="center"/>
          </w:tcPr>
          <w:p w:rsidR="00D16346" w:rsidRDefault="00D16346" w:rsidP="00D16346">
            <w:pPr>
              <w:jc w:val="center"/>
              <w:rPr>
                <w:rFonts w:ascii="Arial Narrow" w:hAnsi="Arial Narrow"/>
                <w:sz w:val="20"/>
                <w:lang w:val="en-US"/>
              </w:rPr>
            </w:pPr>
          </w:p>
        </w:tc>
        <w:tc>
          <w:tcPr>
            <w:tcW w:w="923" w:type="pct"/>
            <w:vMerge/>
            <w:shd w:val="clear" w:color="auto" w:fill="auto"/>
            <w:vAlign w:val="center"/>
          </w:tcPr>
          <w:p w:rsidR="00D16346" w:rsidRDefault="00D16346" w:rsidP="00D16346">
            <w:pPr>
              <w:jc w:val="center"/>
              <w:rPr>
                <w:rFonts w:ascii="Arial Narrow" w:hAnsi="Arial Narrow"/>
                <w:sz w:val="20"/>
                <w:lang w:val="en-US"/>
              </w:rPr>
            </w:pPr>
          </w:p>
        </w:tc>
        <w:tc>
          <w:tcPr>
            <w:tcW w:w="744" w:type="pct"/>
            <w:vMerge/>
            <w:shd w:val="clear" w:color="auto" w:fill="auto"/>
            <w:vAlign w:val="center"/>
          </w:tcPr>
          <w:p w:rsidR="00D16346" w:rsidRDefault="00D16346" w:rsidP="00D16346">
            <w:pPr>
              <w:jc w:val="center"/>
              <w:rPr>
                <w:rFonts w:ascii="Arial Narrow" w:hAnsi="Arial Narrow"/>
                <w:sz w:val="20"/>
              </w:rPr>
            </w:pPr>
          </w:p>
        </w:tc>
      </w:tr>
      <w:tr w:rsidR="00D16346" w:rsidRPr="001939ED" w:rsidTr="00153604">
        <w:tc>
          <w:tcPr>
            <w:tcW w:w="666" w:type="pct"/>
            <w:shd w:val="clear" w:color="auto" w:fill="auto"/>
            <w:vAlign w:val="center"/>
          </w:tcPr>
          <w:p w:rsidR="00D16346" w:rsidRPr="001939ED" w:rsidRDefault="00D16346" w:rsidP="00D16346">
            <w:pPr>
              <w:jc w:val="left"/>
              <w:rPr>
                <w:rFonts w:ascii="Arial Narrow" w:hAnsi="Arial Narrow"/>
                <w:sz w:val="20"/>
              </w:rPr>
            </w:pPr>
            <w:r w:rsidRPr="001939ED">
              <w:rPr>
                <w:rFonts w:ascii="Arial Narrow" w:hAnsi="Arial Narrow"/>
                <w:sz w:val="20"/>
              </w:rPr>
              <w:t>Meta-analysis</w:t>
            </w:r>
          </w:p>
        </w:tc>
        <w:tc>
          <w:tcPr>
            <w:tcW w:w="335" w:type="pct"/>
            <w:shd w:val="clear" w:color="auto" w:fill="auto"/>
            <w:vAlign w:val="center"/>
          </w:tcPr>
          <w:p w:rsidR="00D16346" w:rsidRPr="001939ED" w:rsidRDefault="00D16346" w:rsidP="00D16346">
            <w:pPr>
              <w:jc w:val="center"/>
              <w:rPr>
                <w:rFonts w:ascii="Arial Narrow" w:hAnsi="Arial Narrow"/>
                <w:sz w:val="20"/>
              </w:rPr>
            </w:pPr>
            <w:r>
              <w:rPr>
                <w:rFonts w:ascii="Arial Narrow" w:hAnsi="Arial Narrow"/>
                <w:sz w:val="20"/>
              </w:rPr>
              <w:t>658</w:t>
            </w:r>
          </w:p>
        </w:tc>
        <w:tc>
          <w:tcPr>
            <w:tcW w:w="3255" w:type="pct"/>
            <w:gridSpan w:val="4"/>
            <w:shd w:val="clear" w:color="auto" w:fill="auto"/>
            <w:vAlign w:val="center"/>
          </w:tcPr>
          <w:p w:rsidR="00D16346" w:rsidRPr="001939ED" w:rsidRDefault="00D16346" w:rsidP="00D16346">
            <w:pPr>
              <w:jc w:val="center"/>
              <w:rPr>
                <w:rFonts w:ascii="Arial Narrow" w:hAnsi="Arial Narrow"/>
                <w:sz w:val="20"/>
              </w:rPr>
            </w:pPr>
            <w:r w:rsidRPr="001939ED">
              <w:rPr>
                <w:rFonts w:ascii="Arial Narrow" w:hAnsi="Arial Narrow"/>
                <w:sz w:val="20"/>
              </w:rPr>
              <w:t>Included</w:t>
            </w:r>
            <w:r>
              <w:rPr>
                <w:rFonts w:ascii="Arial Narrow" w:hAnsi="Arial Narrow"/>
                <w:sz w:val="20"/>
              </w:rPr>
              <w:t xml:space="preserve"> VIVID, VISTA and DA VINCI</w:t>
            </w:r>
            <w:r w:rsidRPr="001939ED">
              <w:rPr>
                <w:rFonts w:ascii="Arial Narrow" w:hAnsi="Arial Narrow"/>
                <w:sz w:val="20"/>
              </w:rPr>
              <w:t xml:space="preserve">; assessed </w:t>
            </w:r>
            <w:r>
              <w:rPr>
                <w:rFonts w:ascii="Arial Narrow" w:hAnsi="Arial Narrow"/>
                <w:sz w:val="20"/>
              </w:rPr>
              <w:t>BCVA</w:t>
            </w:r>
          </w:p>
        </w:tc>
        <w:tc>
          <w:tcPr>
            <w:tcW w:w="744" w:type="pct"/>
            <w:shd w:val="clear" w:color="auto" w:fill="auto"/>
            <w:vAlign w:val="center"/>
          </w:tcPr>
          <w:p w:rsidR="00D16346" w:rsidRPr="001939ED" w:rsidRDefault="00D16346" w:rsidP="00D16346">
            <w:pPr>
              <w:jc w:val="center"/>
              <w:rPr>
                <w:rFonts w:ascii="Arial Narrow" w:hAnsi="Arial Narrow"/>
                <w:sz w:val="20"/>
              </w:rPr>
            </w:pPr>
            <w:r>
              <w:rPr>
                <w:rFonts w:ascii="Arial Narrow" w:hAnsi="Arial Narrow"/>
                <w:sz w:val="20"/>
              </w:rPr>
              <w:t>No</w:t>
            </w:r>
          </w:p>
        </w:tc>
      </w:tr>
    </w:tbl>
    <w:p w:rsidR="00D16346" w:rsidRPr="001939ED" w:rsidRDefault="00D16346" w:rsidP="00D16346">
      <w:pPr>
        <w:pStyle w:val="TableFooter"/>
        <w:keepLines/>
        <w:widowControl/>
        <w:ind w:left="720"/>
      </w:pPr>
      <w:r w:rsidRPr="00431430">
        <w:t xml:space="preserve">BCVA = best corrected visual acuity; </w:t>
      </w:r>
      <w:r w:rsidRPr="001939ED">
        <w:t>DB</w:t>
      </w:r>
      <w:r>
        <w:t xml:space="preserve"> </w:t>
      </w:r>
      <w:r w:rsidRPr="001939ED">
        <w:t>=</w:t>
      </w:r>
      <w:r>
        <w:t xml:space="preserve"> blinded to patients and outcome assessor but not to treating investigators</w:t>
      </w:r>
      <w:r w:rsidRPr="001939ED">
        <w:t xml:space="preserve">; </w:t>
      </w:r>
      <w:r>
        <w:t xml:space="preserve">ETDRS = </w:t>
      </w:r>
      <w:r w:rsidRPr="009030DE">
        <w:t>Early Treatment Diabetic Retinopathy Study</w:t>
      </w:r>
      <w:r>
        <w:t xml:space="preserve">; </w:t>
      </w:r>
      <w:r w:rsidR="00F5439B">
        <w:t xml:space="preserve">ITT = intention-to-treat; </w:t>
      </w:r>
      <w:r w:rsidRPr="001939ED">
        <w:t>MC</w:t>
      </w:r>
      <w:r>
        <w:t xml:space="preserve"> </w:t>
      </w:r>
      <w:r w:rsidRPr="001939ED">
        <w:t>=</w:t>
      </w:r>
      <w:r>
        <w:t xml:space="preserve"> </w:t>
      </w:r>
      <w:r w:rsidRPr="001939ED">
        <w:t>multi-centre; R</w:t>
      </w:r>
      <w:r>
        <w:t xml:space="preserve"> </w:t>
      </w:r>
      <w:r w:rsidRPr="001939ED">
        <w:t>=</w:t>
      </w:r>
      <w:r>
        <w:t xml:space="preserve"> randomised; SB = blinded to outcome assessor but not to participants or investigators</w:t>
      </w:r>
    </w:p>
    <w:p w:rsidR="00D16346" w:rsidRDefault="00D16346" w:rsidP="00D16346">
      <w:pPr>
        <w:pStyle w:val="TableFooter"/>
        <w:ind w:left="737"/>
      </w:pPr>
      <w:r>
        <w:rPr>
          <w:vertAlign w:val="superscript"/>
        </w:rPr>
        <w:t>a</w:t>
      </w:r>
      <w:r w:rsidRPr="000372CA">
        <w:rPr>
          <w:vertAlign w:val="superscript"/>
        </w:rPr>
        <w:t xml:space="preserve"> </w:t>
      </w:r>
      <w:r>
        <w:t xml:space="preserve">Number of </w:t>
      </w:r>
      <w:r w:rsidRPr="00666A65">
        <w:t>patient</w:t>
      </w:r>
      <w:r>
        <w:t>s</w:t>
      </w:r>
      <w:r w:rsidRPr="00666A65">
        <w:t xml:space="preserve"> </w:t>
      </w:r>
      <w:r>
        <w:t xml:space="preserve">included for </w:t>
      </w:r>
      <w:r w:rsidR="004F4787">
        <w:t xml:space="preserve">the indirect comparisons of change in </w:t>
      </w:r>
      <w:r w:rsidR="00920768">
        <w:t xml:space="preserve">BCVA </w:t>
      </w:r>
      <w:r>
        <w:t>from baseline</w:t>
      </w:r>
      <w:r w:rsidRPr="00666A65">
        <w:t>.</w:t>
      </w:r>
      <w:r w:rsidRPr="00DF740C">
        <w:t xml:space="preserve"> </w:t>
      </w:r>
      <w:r>
        <w:t xml:space="preserve">For dexamethasone trials, DME patients without a pseudophakic lens were excluded from </w:t>
      </w:r>
      <w:r w:rsidR="00920768">
        <w:t>analysis of</w:t>
      </w:r>
      <w:r>
        <w:t xml:space="preserve"> BCVA </w:t>
      </w:r>
      <w:r w:rsidR="00920768">
        <w:t>change</w:t>
      </w:r>
      <w:r>
        <w:t>, but included for safety analysis. P</w:t>
      </w:r>
      <w:r w:rsidRPr="00DF740C">
        <w:t xml:space="preserve">atients who did not receive the recommended treatment regimens </w:t>
      </w:r>
      <w:r w:rsidR="00920768">
        <w:t>(</w:t>
      </w:r>
      <w:r w:rsidR="00920768">
        <w:rPr>
          <w:i/>
        </w:rPr>
        <w:t xml:space="preserve">eg </w:t>
      </w:r>
      <w:r w:rsidR="00920768">
        <w:t xml:space="preserve">patients </w:t>
      </w:r>
      <w:r w:rsidR="004F4787">
        <w:t xml:space="preserve">in the 2Q4 (2mg </w:t>
      </w:r>
      <w:r w:rsidR="00FC74C9">
        <w:t xml:space="preserve">aflibercept </w:t>
      </w:r>
      <w:r w:rsidR="004F4787">
        <w:t xml:space="preserve">every 4 weeks) arms </w:t>
      </w:r>
      <w:r w:rsidR="00603331">
        <w:t xml:space="preserve">in </w:t>
      </w:r>
      <w:r w:rsidR="004F4787">
        <w:t>VIVID, VISTA and DA VINCI)</w:t>
      </w:r>
      <w:r w:rsidR="00920768">
        <w:t xml:space="preserve"> </w:t>
      </w:r>
      <w:r w:rsidRPr="00DF740C">
        <w:t>were excluded</w:t>
      </w:r>
      <w:r>
        <w:t xml:space="preserve"> for both effectiveness and safety analysis</w:t>
      </w:r>
      <w:r w:rsidRPr="00DF740C">
        <w:t>.</w:t>
      </w:r>
      <w:r>
        <w:t xml:space="preserve"> </w:t>
      </w:r>
    </w:p>
    <w:p w:rsidR="00D16346" w:rsidRPr="00E641A3" w:rsidRDefault="00D16346" w:rsidP="00D16346">
      <w:pPr>
        <w:pStyle w:val="TableFooter"/>
        <w:ind w:left="737"/>
      </w:pPr>
      <w:r>
        <w:rPr>
          <w:vertAlign w:val="superscript"/>
        </w:rPr>
        <w:t>b</w:t>
      </w:r>
      <w:r>
        <w:t xml:space="preserve"> R</w:t>
      </w:r>
      <w:r w:rsidRPr="00CB3DB2">
        <w:t>efers to bias associated with indirect comparison</w:t>
      </w:r>
      <w:r w:rsidR="00FC74C9">
        <w:t>s</w:t>
      </w:r>
      <w:r w:rsidRPr="00CB3DB2">
        <w:t xml:space="preserve"> between </w:t>
      </w:r>
      <w:r>
        <w:t>dexamethasone implant and aflibercept injection.</w:t>
      </w:r>
      <w:r w:rsidRPr="00E641A3">
        <w:t xml:space="preserve"> There is a high risk of bias associated with the indirect comparisons as the trials involved were not </w:t>
      </w:r>
      <w:r w:rsidR="00E641A3">
        <w:t>exchangeable.</w:t>
      </w:r>
    </w:p>
    <w:p w:rsidR="00D16346" w:rsidRDefault="00D16346" w:rsidP="00D16346">
      <w:pPr>
        <w:pStyle w:val="TableFooter"/>
        <w:ind w:left="737"/>
      </w:pPr>
      <w:r w:rsidRPr="004A6673">
        <w:t>Source: compiled during the evaluation</w:t>
      </w:r>
    </w:p>
    <w:p w:rsidR="00D16346" w:rsidRPr="001939ED" w:rsidRDefault="00D16346" w:rsidP="00153604"/>
    <w:p w:rsidR="00D16346" w:rsidRPr="008020FB" w:rsidRDefault="00D16346" w:rsidP="00D06055">
      <w:pPr>
        <w:pStyle w:val="ListParagraph"/>
        <w:widowControl/>
        <w:numPr>
          <w:ilvl w:val="1"/>
          <w:numId w:val="9"/>
        </w:numPr>
        <w:rPr>
          <w:szCs w:val="22"/>
        </w:rPr>
      </w:pPr>
      <w:r w:rsidRPr="008020FB">
        <w:rPr>
          <w:szCs w:val="22"/>
        </w:rPr>
        <w:t>Adjusted indirect comparisons were performed using three common references: ranibizumab injection, bevacizumab injection and sham/laser.</w:t>
      </w:r>
      <w:r w:rsidRPr="008020FB">
        <w:t xml:space="preserve"> </w:t>
      </w:r>
      <w:r w:rsidRPr="008020FB">
        <w:rPr>
          <w:szCs w:val="22"/>
        </w:rPr>
        <w:t>The interventions in the so-called ‘common reference groups’ were either different treatments (eg sham injection in MEAD trials vs laser photocoagulation in VIVID/VISTA and DA VINCI) or with different retreatment criteria and/or dosage of one study drug (eg ranibizumab arm</w:t>
      </w:r>
      <w:r w:rsidR="005F3887" w:rsidRPr="008020FB">
        <w:rPr>
          <w:szCs w:val="22"/>
        </w:rPr>
        <w:t>s</w:t>
      </w:r>
      <w:r w:rsidRPr="008020FB">
        <w:rPr>
          <w:szCs w:val="22"/>
        </w:rPr>
        <w:t xml:space="preserve"> in Trial 024 vs Protocol T; bevacizumab arms in BEVORDEX vs Protocol T). In addition, indirect comparisons of the primary efficacy outcome, ie mean change in BCVA from baseline, were performed between the pseudophakic subgroups from the dexamethasone trials and the overall DME populations from the </w:t>
      </w:r>
      <w:r w:rsidR="001A4D99" w:rsidRPr="008020FB">
        <w:rPr>
          <w:szCs w:val="22"/>
        </w:rPr>
        <w:t xml:space="preserve">aflibercept </w:t>
      </w:r>
      <w:r w:rsidRPr="008020FB">
        <w:rPr>
          <w:szCs w:val="22"/>
        </w:rPr>
        <w:t xml:space="preserve">trials. </w:t>
      </w:r>
      <w:r w:rsidRPr="008020FB">
        <w:rPr>
          <w:szCs w:val="22"/>
        </w:rPr>
        <w:lastRenderedPageBreak/>
        <w:t xml:space="preserve">Given the major exchangeability concerns outlined above, along with other </w:t>
      </w:r>
      <w:r w:rsidR="00B80A61" w:rsidRPr="008020FB">
        <w:rPr>
          <w:szCs w:val="22"/>
        </w:rPr>
        <w:t>observed heterogeneities</w:t>
      </w:r>
      <w:r w:rsidRPr="008020FB">
        <w:rPr>
          <w:szCs w:val="22"/>
        </w:rPr>
        <w:t xml:space="preserve"> </w:t>
      </w:r>
      <w:r w:rsidR="00B80A61" w:rsidRPr="008020FB">
        <w:rPr>
          <w:szCs w:val="22"/>
        </w:rPr>
        <w:t>among the included trials</w:t>
      </w:r>
      <w:r w:rsidRPr="008020FB">
        <w:rPr>
          <w:szCs w:val="22"/>
        </w:rPr>
        <w:t xml:space="preserve">, </w:t>
      </w:r>
      <w:r w:rsidR="00B80A61" w:rsidRPr="008020FB">
        <w:rPr>
          <w:szCs w:val="22"/>
        </w:rPr>
        <w:t xml:space="preserve">common reference-based </w:t>
      </w:r>
      <w:r w:rsidRPr="008020FB">
        <w:rPr>
          <w:szCs w:val="22"/>
        </w:rPr>
        <w:t xml:space="preserve">indirect comparisons presented in the resubmission </w:t>
      </w:r>
      <w:r w:rsidRPr="002B45A5">
        <w:rPr>
          <w:szCs w:val="22"/>
        </w:rPr>
        <w:t>cannot</w:t>
      </w:r>
      <w:r w:rsidRPr="008020FB">
        <w:rPr>
          <w:szCs w:val="22"/>
        </w:rPr>
        <w:t xml:space="preserve"> reliably determine the comparative effectiveness and safety for dexamethasone implant versus aflibercept injection.</w:t>
      </w:r>
    </w:p>
    <w:p w:rsidR="00D16346" w:rsidRPr="008020FB" w:rsidRDefault="00D16346" w:rsidP="00D16346">
      <w:pPr>
        <w:widowControl/>
        <w:rPr>
          <w:szCs w:val="22"/>
        </w:rPr>
      </w:pPr>
    </w:p>
    <w:p w:rsidR="00D16346" w:rsidRPr="008020FB" w:rsidRDefault="00D16346" w:rsidP="00D06055">
      <w:pPr>
        <w:pStyle w:val="ListParagraph"/>
        <w:widowControl/>
        <w:numPr>
          <w:ilvl w:val="1"/>
          <w:numId w:val="9"/>
        </w:numPr>
        <w:rPr>
          <w:szCs w:val="22"/>
        </w:rPr>
      </w:pPr>
      <w:r w:rsidRPr="008020FB">
        <w:rPr>
          <w:szCs w:val="22"/>
        </w:rPr>
        <w:t xml:space="preserve">The </w:t>
      </w:r>
      <w:r w:rsidR="007B09C4" w:rsidRPr="008020FB">
        <w:rPr>
          <w:szCs w:val="22"/>
        </w:rPr>
        <w:t xml:space="preserve">non-inferiority margin </w:t>
      </w:r>
      <w:r w:rsidRPr="008020FB">
        <w:rPr>
          <w:szCs w:val="22"/>
        </w:rPr>
        <w:t xml:space="preserve">proposed in the </w:t>
      </w:r>
      <w:r w:rsidR="00A415B5" w:rsidRPr="008020FB">
        <w:rPr>
          <w:szCs w:val="22"/>
        </w:rPr>
        <w:t>re</w:t>
      </w:r>
      <w:r w:rsidRPr="008020FB">
        <w:rPr>
          <w:szCs w:val="22"/>
        </w:rPr>
        <w:t xml:space="preserve">submission was </w:t>
      </w:r>
      <w:r w:rsidR="007B09C4" w:rsidRPr="008020FB">
        <w:rPr>
          <w:szCs w:val="22"/>
        </w:rPr>
        <w:t>-</w:t>
      </w:r>
      <w:r w:rsidRPr="008020FB">
        <w:rPr>
          <w:szCs w:val="22"/>
        </w:rPr>
        <w:t xml:space="preserve">5 letters change in BCVA from baseline at Month 12. </w:t>
      </w:r>
      <w:r w:rsidR="0021301F" w:rsidRPr="008020FB">
        <w:rPr>
          <w:szCs w:val="22"/>
        </w:rPr>
        <w:t>When</w:t>
      </w:r>
      <w:r w:rsidR="00A54DB0" w:rsidRPr="008020FB">
        <w:rPr>
          <w:szCs w:val="22"/>
        </w:rPr>
        <w:t xml:space="preserve"> the PBAC considered the claim of superior comparative effectiveness of ranibizumab injection versus laser photocoagulation in the </w:t>
      </w:r>
      <w:r w:rsidR="0021301F" w:rsidRPr="008020FB">
        <w:rPr>
          <w:szCs w:val="22"/>
        </w:rPr>
        <w:t>ranibizumab submission</w:t>
      </w:r>
      <w:r w:rsidR="00A54DB0" w:rsidRPr="008020FB">
        <w:rPr>
          <w:szCs w:val="22"/>
        </w:rPr>
        <w:t xml:space="preserve"> </w:t>
      </w:r>
      <w:r w:rsidR="0021301F" w:rsidRPr="008020FB">
        <w:rPr>
          <w:szCs w:val="22"/>
        </w:rPr>
        <w:t xml:space="preserve">at the March 2013 meeting, the PBAC “recalled it had previously accepted that an improvement in visual acuity of 10 letters represented a clinically important result. The PBAC was uncertain as to whether an improvement in visual acuity of 5-6 letters could also be considered clinically important. The PBAC agreed that an increase of 5 letters or more might represent a clinically meaningful difference for some patients in treatment of DME, but the clinical importance will also depend on the baseline visual acuity of each eye” (p5, </w:t>
      </w:r>
      <w:r w:rsidR="00153604" w:rsidRPr="008020FB">
        <w:rPr>
          <w:szCs w:val="22"/>
        </w:rPr>
        <w:t>r</w:t>
      </w:r>
      <w:r w:rsidR="0021301F" w:rsidRPr="008020FB">
        <w:rPr>
          <w:szCs w:val="22"/>
        </w:rPr>
        <w:t xml:space="preserve">anibizumab injection PSD, March 2013 PBAC meeting). </w:t>
      </w:r>
      <w:r w:rsidR="00A54DB0" w:rsidRPr="008020FB">
        <w:rPr>
          <w:szCs w:val="22"/>
        </w:rPr>
        <w:t>T</w:t>
      </w:r>
      <w:r w:rsidR="0021301F" w:rsidRPr="008020FB">
        <w:rPr>
          <w:szCs w:val="22"/>
        </w:rPr>
        <w:t xml:space="preserve">he PBAC </w:t>
      </w:r>
      <w:r w:rsidR="00AB3836" w:rsidRPr="008020FB">
        <w:rPr>
          <w:szCs w:val="22"/>
        </w:rPr>
        <w:t>indicat</w:t>
      </w:r>
      <w:r w:rsidR="0021301F" w:rsidRPr="008020FB">
        <w:rPr>
          <w:szCs w:val="22"/>
        </w:rPr>
        <w:t>ed that “a mean BCVA change of -5 letters in the lower bound non-inferiority limit was probably reasonable</w:t>
      </w:r>
      <w:r w:rsidR="006F6D8A" w:rsidRPr="008020FB">
        <w:rPr>
          <w:szCs w:val="22"/>
        </w:rPr>
        <w:t>”</w:t>
      </w:r>
      <w:r w:rsidR="0021301F" w:rsidRPr="008020FB">
        <w:rPr>
          <w:szCs w:val="22"/>
        </w:rPr>
        <w:t xml:space="preserve"> </w:t>
      </w:r>
      <w:r w:rsidR="00AB3836" w:rsidRPr="008020FB">
        <w:rPr>
          <w:szCs w:val="22"/>
        </w:rPr>
        <w:t xml:space="preserve">when it considered the previous dexamethasone implant submission </w:t>
      </w:r>
      <w:r w:rsidR="001564E4" w:rsidRPr="008020FB">
        <w:rPr>
          <w:szCs w:val="22"/>
        </w:rPr>
        <w:t>(</w:t>
      </w:r>
      <w:r w:rsidR="005A0497">
        <w:t xml:space="preserve">paragraph </w:t>
      </w:r>
      <w:r w:rsidR="005A0497">
        <w:rPr>
          <w:szCs w:val="22"/>
        </w:rPr>
        <w:t>7.5</w:t>
      </w:r>
      <w:r w:rsidR="001564E4" w:rsidRPr="008020FB">
        <w:rPr>
          <w:szCs w:val="22"/>
        </w:rPr>
        <w:t xml:space="preserve">, </w:t>
      </w:r>
      <w:r w:rsidR="00153604" w:rsidRPr="008020FB">
        <w:rPr>
          <w:szCs w:val="22"/>
        </w:rPr>
        <w:t>d</w:t>
      </w:r>
      <w:r w:rsidR="001564E4" w:rsidRPr="008020FB">
        <w:rPr>
          <w:szCs w:val="22"/>
        </w:rPr>
        <w:t>examethasone implant</w:t>
      </w:r>
      <w:r w:rsidR="005A0497">
        <w:rPr>
          <w:szCs w:val="22"/>
        </w:rPr>
        <w:t xml:space="preserve"> PSD</w:t>
      </w:r>
      <w:r w:rsidR="001564E4" w:rsidRPr="008020FB">
        <w:rPr>
          <w:szCs w:val="22"/>
        </w:rPr>
        <w:t>, March 2015 PBAC meeting).</w:t>
      </w:r>
    </w:p>
    <w:p w:rsidR="00D16346" w:rsidRPr="00882085" w:rsidRDefault="00D16346" w:rsidP="00D16346">
      <w:pPr>
        <w:rPr>
          <w:szCs w:val="22"/>
        </w:rPr>
      </w:pPr>
    </w:p>
    <w:p w:rsidR="00D16346" w:rsidRPr="00497F10" w:rsidRDefault="00D16346" w:rsidP="009E321C">
      <w:pPr>
        <w:pStyle w:val="Heading2"/>
      </w:pPr>
      <w:bookmarkStart w:id="9" w:name="_Toc440970686"/>
      <w:r w:rsidRPr="00497F10">
        <w:t>Comparative effectiveness</w:t>
      </w:r>
      <w:bookmarkEnd w:id="9"/>
    </w:p>
    <w:p w:rsidR="00D16346" w:rsidRPr="00882085" w:rsidRDefault="00D16346" w:rsidP="00D16346">
      <w:pPr>
        <w:rPr>
          <w:szCs w:val="22"/>
        </w:rPr>
      </w:pPr>
    </w:p>
    <w:p w:rsidR="00D16346" w:rsidRPr="00B50DB8" w:rsidRDefault="00D16346" w:rsidP="00D06055">
      <w:pPr>
        <w:pStyle w:val="ListParagraph"/>
        <w:widowControl/>
        <w:numPr>
          <w:ilvl w:val="1"/>
          <w:numId w:val="9"/>
        </w:numPr>
        <w:rPr>
          <w:szCs w:val="22"/>
        </w:rPr>
      </w:pPr>
      <w:r>
        <w:rPr>
          <w:szCs w:val="22"/>
        </w:rPr>
        <w:t xml:space="preserve">Key results of indirect </w:t>
      </w:r>
      <w:r w:rsidR="00EB5CB9">
        <w:rPr>
          <w:szCs w:val="22"/>
        </w:rPr>
        <w:t>comparison</w:t>
      </w:r>
      <w:r>
        <w:rPr>
          <w:szCs w:val="22"/>
        </w:rPr>
        <w:t xml:space="preserve">s of dexamethasone implant and aflibercept </w:t>
      </w:r>
      <w:r w:rsidRPr="008621C5">
        <w:rPr>
          <w:szCs w:val="22"/>
        </w:rPr>
        <w:t>injection in terms of BCVA change from baseline at Mont</w:t>
      </w:r>
      <w:r w:rsidR="00CA6CE0">
        <w:rPr>
          <w:szCs w:val="22"/>
        </w:rPr>
        <w:t>h 12 are presented in Table </w:t>
      </w:r>
      <w:r w:rsidR="00153604" w:rsidRPr="008621C5">
        <w:rPr>
          <w:szCs w:val="22"/>
        </w:rPr>
        <w:t>3.</w:t>
      </w:r>
    </w:p>
    <w:p w:rsidR="00D16346" w:rsidRDefault="00D16346" w:rsidP="00D16346">
      <w:pPr>
        <w:rPr>
          <w:szCs w:val="22"/>
        </w:rPr>
      </w:pPr>
    </w:p>
    <w:p w:rsidR="0085692A" w:rsidRDefault="0085692A">
      <w:pPr>
        <w:widowControl/>
        <w:jc w:val="left"/>
        <w:rPr>
          <w:rStyle w:val="CommentReference"/>
        </w:rPr>
      </w:pPr>
      <w:r>
        <w:rPr>
          <w:rStyle w:val="CommentReference"/>
        </w:rPr>
        <w:br w:type="page"/>
      </w:r>
    </w:p>
    <w:p w:rsidR="00D16346" w:rsidRDefault="00D16346" w:rsidP="00D16346">
      <w:pPr>
        <w:ind w:firstLine="720"/>
        <w:rPr>
          <w:rStyle w:val="CommentReference"/>
        </w:rPr>
      </w:pPr>
      <w:r w:rsidRPr="001F7361">
        <w:rPr>
          <w:rStyle w:val="CommentReference"/>
        </w:rPr>
        <w:lastRenderedPageBreak/>
        <w:t xml:space="preserve">Table </w:t>
      </w:r>
      <w:r>
        <w:rPr>
          <w:rStyle w:val="CommentReference"/>
        </w:rPr>
        <w:t xml:space="preserve">3: </w:t>
      </w:r>
      <w:r w:rsidRPr="001F7361">
        <w:rPr>
          <w:rStyle w:val="CommentReference"/>
        </w:rPr>
        <w:t xml:space="preserve">Results of </w:t>
      </w:r>
      <w:r>
        <w:rPr>
          <w:rStyle w:val="CommentReference"/>
        </w:rPr>
        <w:t>change in BCVA from baseline at Month 12</w:t>
      </w:r>
      <w:r w:rsidRPr="001F7361">
        <w:rPr>
          <w:rStyle w:val="CommentReference"/>
        </w:rPr>
        <w:t xml:space="preserve"> across the randomised trials </w:t>
      </w:r>
    </w:p>
    <w:tbl>
      <w:tblPr>
        <w:tblW w:w="4687"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977"/>
        <w:gridCol w:w="1352"/>
        <w:gridCol w:w="1099"/>
        <w:gridCol w:w="1086"/>
        <w:gridCol w:w="1092"/>
        <w:gridCol w:w="903"/>
        <w:gridCol w:w="1066"/>
      </w:tblGrid>
      <w:tr w:rsidR="00D16346" w:rsidRPr="000B6765" w:rsidTr="00D16346">
        <w:tc>
          <w:tcPr>
            <w:tcW w:w="629" w:type="pct"/>
            <w:vMerge w:val="restart"/>
            <w:tcBorders>
              <w:top w:val="single" w:sz="4" w:space="0" w:color="auto"/>
              <w:left w:val="single" w:sz="4" w:space="0" w:color="auto"/>
              <w:bottom w:val="single" w:sz="4" w:space="0" w:color="auto"/>
              <w:right w:val="single" w:sz="4" w:space="0" w:color="auto"/>
            </w:tcBorders>
            <w:tcMar>
              <w:right w:w="28" w:type="dxa"/>
            </w:tcMar>
            <w:vAlign w:val="center"/>
          </w:tcPr>
          <w:p w:rsidR="00D16346" w:rsidRPr="000B6765" w:rsidRDefault="00D16346" w:rsidP="00D16346">
            <w:pPr>
              <w:pStyle w:val="TableText1"/>
              <w:ind w:right="-57"/>
              <w:rPr>
                <w:b/>
              </w:rPr>
            </w:pPr>
            <w:r w:rsidRPr="000B6765">
              <w:rPr>
                <w:b/>
              </w:rPr>
              <w:t>Trial ID</w:t>
            </w:r>
          </w:p>
        </w:tc>
        <w:tc>
          <w:tcPr>
            <w:tcW w:w="1978" w:type="pct"/>
            <w:gridSpan w:val="3"/>
            <w:tcBorders>
              <w:top w:val="single" w:sz="4" w:space="0" w:color="auto"/>
              <w:left w:val="nil"/>
              <w:bottom w:val="single" w:sz="4" w:space="0" w:color="auto"/>
              <w:right w:val="double" w:sz="4" w:space="0" w:color="auto"/>
            </w:tcBorders>
            <w:vAlign w:val="center"/>
          </w:tcPr>
          <w:p w:rsidR="00D16346" w:rsidRPr="000B6765" w:rsidRDefault="00D16346" w:rsidP="00D16346">
            <w:pPr>
              <w:pStyle w:val="TableText1"/>
              <w:ind w:left="-57" w:right="-57"/>
              <w:jc w:val="center"/>
              <w:rPr>
                <w:b/>
              </w:rPr>
            </w:pPr>
            <w:r w:rsidRPr="000B6765">
              <w:rPr>
                <w:b/>
              </w:rPr>
              <w:t>Trial of dexamethasone implant (pseudophakic subgroup)</w:t>
            </w:r>
          </w:p>
        </w:tc>
        <w:tc>
          <w:tcPr>
            <w:tcW w:w="1778" w:type="pct"/>
            <w:gridSpan w:val="3"/>
            <w:tcBorders>
              <w:top w:val="single" w:sz="4" w:space="0" w:color="auto"/>
              <w:left w:val="nil"/>
              <w:bottom w:val="single" w:sz="4" w:space="0" w:color="auto"/>
              <w:right w:val="single" w:sz="4" w:space="0" w:color="auto"/>
            </w:tcBorders>
            <w:vAlign w:val="center"/>
          </w:tcPr>
          <w:p w:rsidR="00D16346" w:rsidRPr="000B6765" w:rsidRDefault="00D16346" w:rsidP="00D16346">
            <w:pPr>
              <w:pStyle w:val="TableText1"/>
              <w:ind w:left="-57" w:right="-57"/>
              <w:jc w:val="center"/>
              <w:rPr>
                <w:b/>
              </w:rPr>
            </w:pPr>
            <w:r w:rsidRPr="000B6765">
              <w:rPr>
                <w:b/>
              </w:rPr>
              <w:t>Trial of aflibercept injection</w:t>
            </w:r>
          </w:p>
          <w:p w:rsidR="00D16346" w:rsidRPr="000B6765" w:rsidRDefault="00D16346" w:rsidP="00D16346">
            <w:pPr>
              <w:pStyle w:val="TableText1"/>
              <w:ind w:left="-57" w:right="-57"/>
              <w:jc w:val="center"/>
              <w:rPr>
                <w:b/>
              </w:rPr>
            </w:pPr>
            <w:r w:rsidRPr="000B6765">
              <w:rPr>
                <w:b/>
              </w:rPr>
              <w:t>(overall DME population)</w:t>
            </w:r>
          </w:p>
        </w:tc>
        <w:tc>
          <w:tcPr>
            <w:tcW w:w="616" w:type="pct"/>
            <w:vMerge w:val="restar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113" w:right="-113"/>
              <w:jc w:val="center"/>
              <w:rPr>
                <w:b/>
              </w:rPr>
            </w:pPr>
            <w:r w:rsidRPr="000B6765">
              <w:rPr>
                <w:b/>
              </w:rPr>
              <w:t>Indirect comparison</w:t>
            </w:r>
            <w:r w:rsidRPr="000B6765">
              <w:rPr>
                <w:b/>
                <w:vertAlign w:val="superscript"/>
              </w:rPr>
              <w:t>c</w:t>
            </w:r>
            <w:r w:rsidRPr="000B6765">
              <w:rPr>
                <w:b/>
              </w:rPr>
              <w:br/>
              <w:t>AD (letters)</w:t>
            </w:r>
            <w:r w:rsidRPr="000B6765">
              <w:rPr>
                <w:b/>
              </w:rPr>
              <w:br/>
              <w:t>[95% CI]</w:t>
            </w:r>
          </w:p>
        </w:tc>
      </w:tr>
      <w:tr w:rsidR="00D16346" w:rsidRPr="000B6765" w:rsidTr="00D16346">
        <w:tc>
          <w:tcPr>
            <w:tcW w:w="629" w:type="pct"/>
            <w:vMerge/>
            <w:tcBorders>
              <w:top w:val="single" w:sz="4" w:space="0" w:color="auto"/>
              <w:left w:val="single" w:sz="4" w:space="0" w:color="auto"/>
              <w:bottom w:val="single" w:sz="4" w:space="0" w:color="auto"/>
              <w:right w:val="single" w:sz="4" w:space="0" w:color="auto"/>
            </w:tcBorders>
            <w:tcMar>
              <w:right w:w="28" w:type="dxa"/>
            </w:tcMar>
            <w:vAlign w:val="center"/>
          </w:tcPr>
          <w:p w:rsidR="00D16346" w:rsidRPr="000B6765" w:rsidRDefault="00D16346" w:rsidP="00D16346">
            <w:pPr>
              <w:pStyle w:val="TableText1"/>
              <w:ind w:left="-57" w:right="-57"/>
              <w:rPr>
                <w:b/>
              </w:rPr>
            </w:pPr>
          </w:p>
        </w:tc>
        <w:tc>
          <w:tcPr>
            <w:tcW w:w="564"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rPr>
                <w:b/>
              </w:rPr>
            </w:pPr>
            <w:r w:rsidRPr="000B6765">
              <w:rPr>
                <w:b/>
              </w:rPr>
              <w:t>AD (letters)</w:t>
            </w:r>
            <w:r w:rsidRPr="000B6765">
              <w:rPr>
                <w:b/>
                <w:vertAlign w:val="superscript"/>
              </w:rPr>
              <w:t>a</w:t>
            </w:r>
            <w:r w:rsidRPr="000B6765">
              <w:rPr>
                <w:b/>
              </w:rPr>
              <w:br/>
              <w:t>[95% CI]</w:t>
            </w:r>
          </w:p>
        </w:tc>
        <w:tc>
          <w:tcPr>
            <w:tcW w:w="780"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113" w:right="-113"/>
              <w:jc w:val="center"/>
              <w:rPr>
                <w:b/>
                <w:i/>
                <w:iCs/>
              </w:rPr>
            </w:pPr>
            <w:r w:rsidRPr="000B6765">
              <w:rPr>
                <w:b/>
              </w:rPr>
              <w:t>Dexamethasone implant</w:t>
            </w:r>
            <w:r w:rsidRPr="000B6765">
              <w:rPr>
                <w:b/>
              </w:rPr>
              <w:br/>
            </w:r>
            <w:r w:rsidRPr="0082637B">
              <w:rPr>
                <w:b/>
                <w:iCs/>
              </w:rPr>
              <w:t>N</w:t>
            </w:r>
          </w:p>
          <w:p w:rsidR="00D16346" w:rsidRPr="000B6765" w:rsidRDefault="00D16346" w:rsidP="00D16346">
            <w:pPr>
              <w:pStyle w:val="TableText1"/>
              <w:ind w:left="-113" w:right="-113"/>
              <w:jc w:val="center"/>
              <w:rPr>
                <w:b/>
              </w:rPr>
            </w:pPr>
            <w:r w:rsidRPr="000B6765">
              <w:rPr>
                <w:b/>
              </w:rPr>
              <w:t>Mean (SD)</w:t>
            </w:r>
          </w:p>
        </w:tc>
        <w:tc>
          <w:tcPr>
            <w:tcW w:w="634" w:type="pct"/>
            <w:tcBorders>
              <w:top w:val="single" w:sz="4" w:space="0" w:color="auto"/>
              <w:left w:val="single" w:sz="4" w:space="0" w:color="auto"/>
              <w:bottom w:val="single" w:sz="4" w:space="0" w:color="auto"/>
              <w:right w:val="double" w:sz="4" w:space="0" w:color="auto"/>
            </w:tcBorders>
            <w:vAlign w:val="center"/>
          </w:tcPr>
          <w:p w:rsidR="00D16346" w:rsidRPr="000B6765" w:rsidRDefault="00D16346" w:rsidP="00D16346">
            <w:pPr>
              <w:pStyle w:val="TableText1"/>
              <w:ind w:left="-57" w:right="-57"/>
              <w:jc w:val="center"/>
              <w:rPr>
                <w:b/>
              </w:rPr>
            </w:pPr>
            <w:r w:rsidRPr="000B6765">
              <w:rPr>
                <w:b/>
              </w:rPr>
              <w:t>Common comparator</w:t>
            </w:r>
          </w:p>
          <w:p w:rsidR="00D16346" w:rsidRPr="000B6765" w:rsidRDefault="00D16346" w:rsidP="00D16346">
            <w:pPr>
              <w:pStyle w:val="TableText1"/>
              <w:ind w:left="-57" w:right="-57"/>
              <w:jc w:val="center"/>
              <w:rPr>
                <w:b/>
              </w:rPr>
            </w:pPr>
            <w:r w:rsidRPr="000B6765">
              <w:rPr>
                <w:b/>
              </w:rPr>
              <w:t>N</w:t>
            </w:r>
          </w:p>
          <w:p w:rsidR="00D16346" w:rsidRPr="000B6765" w:rsidRDefault="00D16346" w:rsidP="00D16346">
            <w:pPr>
              <w:pStyle w:val="TableText1"/>
              <w:ind w:left="-57" w:right="-57"/>
              <w:jc w:val="center"/>
              <w:rPr>
                <w:b/>
              </w:rPr>
            </w:pPr>
            <w:r w:rsidRPr="000B6765">
              <w:rPr>
                <w:b/>
              </w:rPr>
              <w:t>Mean (SD)</w:t>
            </w:r>
          </w:p>
        </w:tc>
        <w:tc>
          <w:tcPr>
            <w:tcW w:w="627" w:type="pct"/>
            <w:tcBorders>
              <w:top w:val="single" w:sz="4" w:space="0" w:color="auto"/>
              <w:left w:val="doub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rPr>
                <w:b/>
              </w:rPr>
            </w:pPr>
            <w:r w:rsidRPr="000B6765">
              <w:rPr>
                <w:b/>
              </w:rPr>
              <w:t>Common comparator</w:t>
            </w:r>
          </w:p>
          <w:p w:rsidR="00D16346" w:rsidRPr="000B6765" w:rsidRDefault="00D16346" w:rsidP="00D16346">
            <w:pPr>
              <w:pStyle w:val="TableText1"/>
              <w:ind w:left="-57" w:right="-57"/>
              <w:jc w:val="center"/>
              <w:rPr>
                <w:b/>
              </w:rPr>
            </w:pPr>
            <w:r w:rsidRPr="000B6765">
              <w:rPr>
                <w:b/>
              </w:rPr>
              <w:t>N</w:t>
            </w:r>
          </w:p>
          <w:p w:rsidR="00D16346" w:rsidRPr="000B6765" w:rsidRDefault="00D16346" w:rsidP="00D16346">
            <w:pPr>
              <w:pStyle w:val="TableText1"/>
              <w:ind w:left="-57" w:right="-57"/>
              <w:jc w:val="center"/>
              <w:rPr>
                <w:b/>
              </w:rPr>
            </w:pPr>
            <w:r w:rsidRPr="000B6765">
              <w:rPr>
                <w:b/>
              </w:rPr>
              <w:t>Mean (SD)</w:t>
            </w:r>
          </w:p>
        </w:tc>
        <w:tc>
          <w:tcPr>
            <w:tcW w:w="630"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rPr>
                <w:b/>
                <w:i/>
                <w:iCs/>
              </w:rPr>
            </w:pPr>
            <w:r w:rsidRPr="000B6765">
              <w:rPr>
                <w:b/>
              </w:rPr>
              <w:t>Aflibercept  injection</w:t>
            </w:r>
            <w:r w:rsidRPr="000B6765">
              <w:rPr>
                <w:b/>
              </w:rPr>
              <w:br/>
            </w:r>
            <w:r w:rsidRPr="0082637B">
              <w:rPr>
                <w:b/>
                <w:iCs/>
              </w:rPr>
              <w:t>N</w:t>
            </w:r>
          </w:p>
          <w:p w:rsidR="00D16346" w:rsidRPr="000B6765" w:rsidRDefault="00D16346" w:rsidP="00D16346">
            <w:pPr>
              <w:pStyle w:val="TableText1"/>
              <w:ind w:left="-57" w:right="-57"/>
              <w:jc w:val="center"/>
              <w:rPr>
                <w:b/>
              </w:rPr>
            </w:pPr>
            <w:r w:rsidRPr="000B6765">
              <w:rPr>
                <w:b/>
              </w:rPr>
              <w:t>Mean (SD)</w:t>
            </w:r>
          </w:p>
        </w:tc>
        <w:tc>
          <w:tcPr>
            <w:tcW w:w="521"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rPr>
                <w:b/>
              </w:rPr>
            </w:pPr>
            <w:r w:rsidRPr="000B6765">
              <w:rPr>
                <w:b/>
              </w:rPr>
              <w:t>AD (letters)</w:t>
            </w:r>
            <w:r w:rsidRPr="000B6765">
              <w:rPr>
                <w:b/>
                <w:vertAlign w:val="superscript"/>
              </w:rPr>
              <w:t>b</w:t>
            </w:r>
            <w:r w:rsidRPr="000B6765">
              <w:rPr>
                <w:b/>
                <w:vertAlign w:val="superscript"/>
              </w:rPr>
              <w:br/>
            </w:r>
            <w:r w:rsidRPr="000B6765">
              <w:rPr>
                <w:b/>
              </w:rPr>
              <w:t>[95% CI]</w:t>
            </w:r>
          </w:p>
        </w:tc>
        <w:tc>
          <w:tcPr>
            <w:tcW w:w="616" w:type="pct"/>
            <w:vMerge/>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rPr>
                <w:b/>
              </w:rPr>
            </w:pPr>
          </w:p>
        </w:tc>
      </w:tr>
      <w:tr w:rsidR="00D16346" w:rsidRPr="000B6765" w:rsidTr="00D16346">
        <w:tc>
          <w:tcPr>
            <w:tcW w:w="5000" w:type="pct"/>
            <w:gridSpan w:val="8"/>
            <w:tcBorders>
              <w:top w:val="single" w:sz="4" w:space="0" w:color="auto"/>
              <w:left w:val="single" w:sz="4" w:space="0" w:color="auto"/>
              <w:bottom w:val="single" w:sz="4" w:space="0" w:color="auto"/>
              <w:right w:val="single" w:sz="4" w:space="0" w:color="auto"/>
            </w:tcBorders>
            <w:tcMar>
              <w:right w:w="28" w:type="dxa"/>
            </w:tcMar>
            <w:vAlign w:val="center"/>
          </w:tcPr>
          <w:p w:rsidR="00D16346" w:rsidRPr="000B6765" w:rsidRDefault="00D16346" w:rsidP="00D16346">
            <w:pPr>
              <w:pStyle w:val="TableText1"/>
              <w:rPr>
                <w:b/>
              </w:rPr>
            </w:pPr>
            <w:r w:rsidRPr="000B6765">
              <w:rPr>
                <w:b/>
              </w:rPr>
              <w:t>Ranibizumab as the common comparator</w:t>
            </w:r>
          </w:p>
        </w:tc>
      </w:tr>
      <w:tr w:rsidR="00D16346" w:rsidRPr="000B6765" w:rsidTr="00D16346">
        <w:trPr>
          <w:trHeight w:val="375"/>
        </w:trPr>
        <w:tc>
          <w:tcPr>
            <w:tcW w:w="629" w:type="pct"/>
            <w:tcBorders>
              <w:top w:val="single" w:sz="4" w:space="0" w:color="auto"/>
              <w:left w:val="single" w:sz="4" w:space="0" w:color="auto"/>
              <w:bottom w:val="single" w:sz="4" w:space="0" w:color="auto"/>
              <w:right w:val="single" w:sz="4" w:space="0" w:color="auto"/>
            </w:tcBorders>
            <w:tcMar>
              <w:right w:w="28" w:type="dxa"/>
            </w:tcMar>
            <w:vAlign w:val="center"/>
          </w:tcPr>
          <w:p w:rsidR="00D16346" w:rsidRPr="000B6765" w:rsidRDefault="00D16346" w:rsidP="00D16346">
            <w:pPr>
              <w:pStyle w:val="TableText1"/>
            </w:pPr>
            <w:r w:rsidRPr="000B6765">
              <w:t>Trial 024</w:t>
            </w:r>
          </w:p>
        </w:tc>
        <w:tc>
          <w:tcPr>
            <w:tcW w:w="564" w:type="pct"/>
            <w:tcBorders>
              <w:top w:val="single" w:sz="4" w:space="0" w:color="auto"/>
              <w:left w:val="single" w:sz="4" w:space="0" w:color="auto"/>
              <w:bottom w:val="single" w:sz="4" w:space="0" w:color="auto"/>
              <w:right w:val="single" w:sz="4" w:space="0" w:color="auto"/>
            </w:tcBorders>
          </w:tcPr>
          <w:p w:rsidR="00D16346" w:rsidRPr="008B6DFF" w:rsidRDefault="008B6DFF" w:rsidP="00D16346">
            <w:pPr>
              <w:pStyle w:val="TableText1"/>
              <w:ind w:left="-57" w:right="-57"/>
              <w:jc w:val="center"/>
              <w:rPr>
                <w:highlight w:val="black"/>
              </w:rPr>
            </w:pPr>
            <w:r>
              <w:rPr>
                <w:noProof/>
                <w:color w:val="000000"/>
                <w:highlight w:val="black"/>
              </w:rPr>
              <w:t xml:space="preserve">'''''''''' </w:t>
            </w:r>
            <w:r>
              <w:rPr>
                <w:noProof/>
                <w:color w:val="000000"/>
                <w:highlight w:val="black"/>
              </w:rPr>
              <w:br/>
              <w:t>'''''''''''''' ''''''''</w:t>
            </w:r>
          </w:p>
        </w:tc>
        <w:tc>
          <w:tcPr>
            <w:tcW w:w="780" w:type="pct"/>
            <w:tcBorders>
              <w:top w:val="single" w:sz="4" w:space="0" w:color="auto"/>
              <w:left w:val="single" w:sz="4" w:space="0" w:color="auto"/>
              <w:bottom w:val="single" w:sz="4" w:space="0" w:color="auto"/>
              <w:right w:val="single" w:sz="4" w:space="0" w:color="auto"/>
            </w:tcBorders>
          </w:tcPr>
          <w:p w:rsidR="00D16346" w:rsidRPr="000B6765" w:rsidRDefault="00D16346" w:rsidP="00D16346">
            <w:pPr>
              <w:pStyle w:val="TableText1"/>
              <w:ind w:left="-57" w:right="-57"/>
              <w:jc w:val="center"/>
            </w:pPr>
            <w:r w:rsidRPr="000B6765">
              <w:t>N=54</w:t>
            </w:r>
          </w:p>
          <w:p w:rsidR="00D16346" w:rsidRPr="008B6DFF" w:rsidRDefault="008B6DFF" w:rsidP="00D16346">
            <w:pPr>
              <w:pStyle w:val="TableText1"/>
              <w:ind w:left="-57" w:right="-57"/>
              <w:jc w:val="center"/>
              <w:rPr>
                <w:highlight w:val="black"/>
              </w:rPr>
            </w:pPr>
            <w:r>
              <w:rPr>
                <w:noProof/>
                <w:color w:val="000000"/>
                <w:highlight w:val="black"/>
              </w:rPr>
              <w:t>'''''''' '''''''''''</w:t>
            </w:r>
          </w:p>
        </w:tc>
        <w:tc>
          <w:tcPr>
            <w:tcW w:w="634" w:type="pct"/>
            <w:tcBorders>
              <w:top w:val="single" w:sz="4" w:space="0" w:color="auto"/>
              <w:left w:val="single" w:sz="4" w:space="0" w:color="auto"/>
              <w:bottom w:val="single" w:sz="4" w:space="0" w:color="auto"/>
              <w:right w:val="double" w:sz="4" w:space="0" w:color="auto"/>
            </w:tcBorders>
          </w:tcPr>
          <w:p w:rsidR="00D16346" w:rsidRPr="000B6765" w:rsidRDefault="00D16346" w:rsidP="00D16346">
            <w:pPr>
              <w:pStyle w:val="TableText1"/>
              <w:ind w:left="-57" w:right="-57"/>
              <w:jc w:val="center"/>
            </w:pPr>
            <w:r w:rsidRPr="000B6765">
              <w:t>N=62</w:t>
            </w:r>
          </w:p>
          <w:p w:rsidR="00D16346" w:rsidRPr="008B6DFF" w:rsidRDefault="008B6DFF" w:rsidP="00D16346">
            <w:pPr>
              <w:pStyle w:val="TableText1"/>
              <w:ind w:left="-57" w:right="-57"/>
              <w:jc w:val="center"/>
              <w:rPr>
                <w:highlight w:val="black"/>
              </w:rPr>
            </w:pPr>
            <w:r>
              <w:rPr>
                <w:noProof/>
                <w:color w:val="000000"/>
                <w:highlight w:val="black"/>
              </w:rPr>
              <w:t>''''''''' '''''''''''</w:t>
            </w:r>
          </w:p>
        </w:tc>
        <w:tc>
          <w:tcPr>
            <w:tcW w:w="627" w:type="pct"/>
            <w:tcBorders>
              <w:top w:val="single" w:sz="4" w:space="0" w:color="auto"/>
              <w:left w:val="doub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pPr>
            <w:r w:rsidRPr="000B6765">
              <w:t>–</w:t>
            </w:r>
          </w:p>
        </w:tc>
        <w:tc>
          <w:tcPr>
            <w:tcW w:w="630"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pPr>
            <w:r w:rsidRPr="000B6765">
              <w:t>–</w:t>
            </w:r>
          </w:p>
        </w:tc>
        <w:tc>
          <w:tcPr>
            <w:tcW w:w="521"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pPr>
            <w:r w:rsidRPr="000B6765">
              <w:t>–</w:t>
            </w:r>
          </w:p>
        </w:tc>
        <w:tc>
          <w:tcPr>
            <w:tcW w:w="616" w:type="pct"/>
            <w:vMerge w:val="restart"/>
            <w:tcBorders>
              <w:top w:val="single" w:sz="4" w:space="0" w:color="auto"/>
              <w:left w:val="single" w:sz="4" w:space="0" w:color="auto"/>
              <w:right w:val="single" w:sz="4" w:space="0" w:color="auto"/>
            </w:tcBorders>
            <w:vAlign w:val="center"/>
          </w:tcPr>
          <w:p w:rsidR="00D16346" w:rsidRPr="008B6DFF" w:rsidRDefault="008B6DFF" w:rsidP="00D16346">
            <w:pPr>
              <w:pStyle w:val="TableText1"/>
              <w:jc w:val="center"/>
              <w:rPr>
                <w:b/>
                <w:highlight w:val="black"/>
              </w:rPr>
            </w:pPr>
            <w:r>
              <w:rPr>
                <w:b/>
                <w:noProof/>
                <w:color w:val="000000"/>
                <w:highlight w:val="black"/>
              </w:rPr>
              <w:t xml:space="preserve">''''''' </w:t>
            </w:r>
            <w:r>
              <w:rPr>
                <w:b/>
                <w:noProof/>
                <w:color w:val="000000"/>
                <w:highlight w:val="black"/>
              </w:rPr>
              <w:br/>
              <w:t>''''''''' ''''''''''</w:t>
            </w:r>
          </w:p>
        </w:tc>
      </w:tr>
      <w:tr w:rsidR="00D16346" w:rsidRPr="000B6765" w:rsidTr="00D16346">
        <w:trPr>
          <w:trHeight w:val="338"/>
        </w:trPr>
        <w:tc>
          <w:tcPr>
            <w:tcW w:w="629" w:type="pct"/>
            <w:tcBorders>
              <w:top w:val="single" w:sz="4" w:space="0" w:color="auto"/>
              <w:left w:val="single" w:sz="4" w:space="0" w:color="auto"/>
              <w:bottom w:val="single" w:sz="4" w:space="0" w:color="auto"/>
              <w:right w:val="single" w:sz="4" w:space="0" w:color="auto"/>
            </w:tcBorders>
            <w:tcMar>
              <w:right w:w="28" w:type="dxa"/>
            </w:tcMar>
            <w:vAlign w:val="center"/>
          </w:tcPr>
          <w:p w:rsidR="00D16346" w:rsidRPr="000B6765" w:rsidRDefault="00D16346" w:rsidP="00D16346">
            <w:pPr>
              <w:pStyle w:val="TableText1"/>
            </w:pPr>
            <w:r w:rsidRPr="000B6765">
              <w:rPr>
                <w:bCs/>
                <w:color w:val="000000"/>
              </w:rPr>
              <w:t>Protocol T</w:t>
            </w:r>
          </w:p>
        </w:tc>
        <w:tc>
          <w:tcPr>
            <w:tcW w:w="564"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pPr>
            <w:r w:rsidRPr="000B6765">
              <w:t>–</w:t>
            </w:r>
          </w:p>
        </w:tc>
        <w:tc>
          <w:tcPr>
            <w:tcW w:w="780"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pPr>
            <w:r w:rsidRPr="000B6765">
              <w:t>–</w:t>
            </w:r>
          </w:p>
        </w:tc>
        <w:tc>
          <w:tcPr>
            <w:tcW w:w="634" w:type="pct"/>
            <w:tcBorders>
              <w:top w:val="single" w:sz="4" w:space="0" w:color="auto"/>
              <w:left w:val="single" w:sz="4" w:space="0" w:color="auto"/>
              <w:bottom w:val="single" w:sz="4" w:space="0" w:color="auto"/>
              <w:right w:val="double" w:sz="4" w:space="0" w:color="auto"/>
            </w:tcBorders>
            <w:vAlign w:val="center"/>
          </w:tcPr>
          <w:p w:rsidR="00D16346" w:rsidRPr="000B6765" w:rsidRDefault="00D16346" w:rsidP="00D16346">
            <w:pPr>
              <w:pStyle w:val="TableText1"/>
              <w:ind w:left="-57" w:right="-57"/>
              <w:jc w:val="center"/>
            </w:pPr>
            <w:r w:rsidRPr="000B6765">
              <w:t>–</w:t>
            </w:r>
          </w:p>
        </w:tc>
        <w:tc>
          <w:tcPr>
            <w:tcW w:w="627" w:type="pct"/>
            <w:tcBorders>
              <w:top w:val="single" w:sz="4" w:space="0" w:color="auto"/>
              <w:left w:val="doub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rPr>
                <w:color w:val="000000"/>
              </w:rPr>
            </w:pPr>
            <w:r w:rsidRPr="000B6765">
              <w:rPr>
                <w:color w:val="000000"/>
              </w:rPr>
              <w:t>N=206</w:t>
            </w:r>
          </w:p>
          <w:p w:rsidR="00D16346" w:rsidRPr="000B6765" w:rsidRDefault="00D16346" w:rsidP="00D16346">
            <w:pPr>
              <w:pStyle w:val="TableText1"/>
              <w:ind w:right="-57"/>
              <w:jc w:val="center"/>
            </w:pPr>
            <w:r w:rsidRPr="000B6765">
              <w:rPr>
                <w:color w:val="000000"/>
              </w:rPr>
              <w:t>11.2 (9.4)</w:t>
            </w:r>
          </w:p>
        </w:tc>
        <w:tc>
          <w:tcPr>
            <w:tcW w:w="630"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rPr>
                <w:color w:val="000000"/>
              </w:rPr>
            </w:pPr>
            <w:r w:rsidRPr="000B6765">
              <w:rPr>
                <w:color w:val="000000"/>
              </w:rPr>
              <w:t>N=208</w:t>
            </w:r>
          </w:p>
          <w:p w:rsidR="00D16346" w:rsidRPr="000B6765" w:rsidRDefault="00D16346" w:rsidP="00D16346">
            <w:pPr>
              <w:pStyle w:val="TableText1"/>
              <w:ind w:left="-57" w:right="-57"/>
              <w:jc w:val="center"/>
              <w:rPr>
                <w:color w:val="000000"/>
              </w:rPr>
            </w:pPr>
            <w:r w:rsidRPr="000B6765">
              <w:rPr>
                <w:color w:val="000000"/>
              </w:rPr>
              <w:t>13.3 (11.1)</w:t>
            </w:r>
          </w:p>
        </w:tc>
        <w:tc>
          <w:tcPr>
            <w:tcW w:w="521"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rPr>
                <w:color w:val="000000"/>
              </w:rPr>
            </w:pPr>
            <w:r w:rsidRPr="000B6765">
              <w:rPr>
                <w:color w:val="000000"/>
              </w:rPr>
              <w:t>2.1</w:t>
            </w:r>
          </w:p>
          <w:p w:rsidR="00D16346" w:rsidRPr="000B6765" w:rsidRDefault="00D16346" w:rsidP="00D16346">
            <w:pPr>
              <w:pStyle w:val="TableText1"/>
              <w:ind w:left="-57" w:right="-57"/>
              <w:jc w:val="center"/>
              <w:rPr>
                <w:color w:val="000000"/>
              </w:rPr>
            </w:pPr>
            <w:r w:rsidRPr="000B6765">
              <w:rPr>
                <w:color w:val="000000"/>
              </w:rPr>
              <w:t>[0.1, 4.1]</w:t>
            </w:r>
          </w:p>
        </w:tc>
        <w:tc>
          <w:tcPr>
            <w:tcW w:w="616" w:type="pct"/>
            <w:vMerge/>
            <w:tcBorders>
              <w:left w:val="single" w:sz="4" w:space="0" w:color="auto"/>
              <w:right w:val="single" w:sz="4" w:space="0" w:color="auto"/>
            </w:tcBorders>
          </w:tcPr>
          <w:p w:rsidR="00D16346" w:rsidRPr="000B6765" w:rsidRDefault="00D16346" w:rsidP="00D16346">
            <w:pPr>
              <w:pStyle w:val="TableText1"/>
            </w:pPr>
          </w:p>
        </w:tc>
      </w:tr>
      <w:tr w:rsidR="00D16346" w:rsidRPr="000B6765" w:rsidTr="00D16346">
        <w:tc>
          <w:tcPr>
            <w:tcW w:w="5000" w:type="pct"/>
            <w:gridSpan w:val="8"/>
            <w:tcBorders>
              <w:top w:val="single" w:sz="4" w:space="0" w:color="auto"/>
              <w:left w:val="single" w:sz="4" w:space="0" w:color="auto"/>
              <w:bottom w:val="single" w:sz="4" w:space="0" w:color="auto"/>
              <w:right w:val="single" w:sz="4" w:space="0" w:color="auto"/>
            </w:tcBorders>
            <w:tcMar>
              <w:right w:w="28" w:type="dxa"/>
            </w:tcMar>
            <w:vAlign w:val="center"/>
          </w:tcPr>
          <w:p w:rsidR="00D16346" w:rsidRPr="000B6765" w:rsidRDefault="00D16346" w:rsidP="00D16346">
            <w:pPr>
              <w:pStyle w:val="TableText1"/>
              <w:rPr>
                <w:b/>
              </w:rPr>
            </w:pPr>
            <w:r w:rsidRPr="000B6765">
              <w:rPr>
                <w:b/>
              </w:rPr>
              <w:t>Bevacizumab as the common comparator</w:t>
            </w:r>
          </w:p>
        </w:tc>
      </w:tr>
      <w:tr w:rsidR="00D16346" w:rsidRPr="000B6765" w:rsidTr="00D16346">
        <w:trPr>
          <w:trHeight w:val="338"/>
        </w:trPr>
        <w:tc>
          <w:tcPr>
            <w:tcW w:w="629" w:type="pct"/>
            <w:tcBorders>
              <w:top w:val="single" w:sz="4" w:space="0" w:color="auto"/>
              <w:left w:val="single" w:sz="4" w:space="0" w:color="auto"/>
              <w:bottom w:val="single" w:sz="4" w:space="0" w:color="auto"/>
              <w:right w:val="single" w:sz="4" w:space="0" w:color="auto"/>
            </w:tcBorders>
            <w:tcMar>
              <w:right w:w="28" w:type="dxa"/>
            </w:tcMar>
            <w:vAlign w:val="center"/>
          </w:tcPr>
          <w:p w:rsidR="00D16346" w:rsidRPr="000B6765" w:rsidRDefault="00D16346" w:rsidP="00D16346">
            <w:pPr>
              <w:pStyle w:val="TableText1"/>
              <w:rPr>
                <w:bCs/>
                <w:color w:val="000000"/>
              </w:rPr>
            </w:pPr>
            <w:r w:rsidRPr="000B6765">
              <w:t>BEVORDEX</w:t>
            </w:r>
          </w:p>
        </w:tc>
        <w:tc>
          <w:tcPr>
            <w:tcW w:w="564" w:type="pct"/>
            <w:tcBorders>
              <w:top w:val="single" w:sz="4" w:space="0" w:color="auto"/>
              <w:left w:val="single" w:sz="4" w:space="0" w:color="auto"/>
              <w:bottom w:val="single" w:sz="4" w:space="0" w:color="auto"/>
              <w:right w:val="single" w:sz="4" w:space="0" w:color="auto"/>
            </w:tcBorders>
          </w:tcPr>
          <w:p w:rsidR="00D16346" w:rsidRPr="000B6765" w:rsidRDefault="00D16346" w:rsidP="00D16346">
            <w:pPr>
              <w:pStyle w:val="TableText1"/>
              <w:ind w:left="-113" w:right="-113"/>
              <w:jc w:val="center"/>
            </w:pPr>
            <w:r w:rsidRPr="000B6765">
              <w:t xml:space="preserve">2.7 </w:t>
            </w:r>
            <w:r w:rsidRPr="000B6765">
              <w:br/>
              <w:t>[-7.5, 12.9]</w:t>
            </w:r>
          </w:p>
        </w:tc>
        <w:tc>
          <w:tcPr>
            <w:tcW w:w="780" w:type="pct"/>
            <w:tcBorders>
              <w:top w:val="single" w:sz="4" w:space="0" w:color="auto"/>
              <w:left w:val="single" w:sz="4" w:space="0" w:color="auto"/>
              <w:bottom w:val="single" w:sz="4" w:space="0" w:color="auto"/>
              <w:right w:val="single" w:sz="4" w:space="0" w:color="auto"/>
            </w:tcBorders>
          </w:tcPr>
          <w:p w:rsidR="00D16346" w:rsidRPr="000B6765" w:rsidRDefault="00D16346" w:rsidP="00D16346">
            <w:pPr>
              <w:pStyle w:val="TableText1"/>
              <w:ind w:left="-57" w:right="-57"/>
              <w:jc w:val="center"/>
            </w:pPr>
            <w:r w:rsidRPr="000B6765">
              <w:t>N=16</w:t>
            </w:r>
          </w:p>
          <w:p w:rsidR="00D16346" w:rsidRPr="000B6765" w:rsidRDefault="00D16346" w:rsidP="00D16346">
            <w:pPr>
              <w:pStyle w:val="TableText1"/>
              <w:ind w:left="-57" w:right="-57"/>
              <w:jc w:val="center"/>
            </w:pPr>
            <w:r w:rsidRPr="000B6765">
              <w:rPr>
                <w:color w:val="000000"/>
              </w:rPr>
              <w:t>10.4 (14.7)</w:t>
            </w:r>
          </w:p>
        </w:tc>
        <w:tc>
          <w:tcPr>
            <w:tcW w:w="634" w:type="pct"/>
            <w:tcBorders>
              <w:top w:val="single" w:sz="4" w:space="0" w:color="auto"/>
              <w:left w:val="single" w:sz="4" w:space="0" w:color="auto"/>
              <w:bottom w:val="single" w:sz="4" w:space="0" w:color="auto"/>
              <w:right w:val="double" w:sz="4" w:space="0" w:color="auto"/>
            </w:tcBorders>
          </w:tcPr>
          <w:p w:rsidR="00D16346" w:rsidRPr="000B6765" w:rsidRDefault="00D16346" w:rsidP="00D16346">
            <w:pPr>
              <w:pStyle w:val="TableText1"/>
              <w:ind w:left="-57" w:right="-57"/>
              <w:jc w:val="center"/>
            </w:pPr>
            <w:r w:rsidRPr="000B6765">
              <w:t>N=10</w:t>
            </w:r>
          </w:p>
          <w:p w:rsidR="00D16346" w:rsidRPr="000B6765" w:rsidRDefault="00D16346" w:rsidP="00D16346">
            <w:pPr>
              <w:pStyle w:val="TableText1"/>
              <w:ind w:left="-57" w:right="-57"/>
              <w:jc w:val="center"/>
            </w:pPr>
            <w:r w:rsidRPr="000B6765">
              <w:t>7.7 (11.6)</w:t>
            </w:r>
          </w:p>
        </w:tc>
        <w:tc>
          <w:tcPr>
            <w:tcW w:w="627" w:type="pct"/>
            <w:tcBorders>
              <w:top w:val="single" w:sz="4" w:space="0" w:color="auto"/>
              <w:left w:val="doub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rPr>
                <w:color w:val="000000"/>
              </w:rPr>
            </w:pPr>
            <w:r w:rsidRPr="000B6765">
              <w:t>–</w:t>
            </w:r>
          </w:p>
        </w:tc>
        <w:tc>
          <w:tcPr>
            <w:tcW w:w="630"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rPr>
                <w:color w:val="000000"/>
              </w:rPr>
            </w:pPr>
            <w:r w:rsidRPr="000B6765">
              <w:t>–</w:t>
            </w:r>
          </w:p>
        </w:tc>
        <w:tc>
          <w:tcPr>
            <w:tcW w:w="521"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rPr>
                <w:color w:val="000000"/>
              </w:rPr>
            </w:pPr>
            <w:r w:rsidRPr="000B6765">
              <w:t>–</w:t>
            </w:r>
          </w:p>
        </w:tc>
        <w:tc>
          <w:tcPr>
            <w:tcW w:w="616" w:type="pct"/>
            <w:vMerge w:val="restart"/>
            <w:tcBorders>
              <w:left w:val="single" w:sz="4" w:space="0" w:color="auto"/>
              <w:right w:val="single" w:sz="4" w:space="0" w:color="auto"/>
            </w:tcBorders>
            <w:vAlign w:val="center"/>
          </w:tcPr>
          <w:p w:rsidR="00D16346" w:rsidRPr="000B6765" w:rsidRDefault="00D16346" w:rsidP="00D16346">
            <w:pPr>
              <w:pStyle w:val="TableText1"/>
              <w:jc w:val="center"/>
              <w:rPr>
                <w:b/>
              </w:rPr>
            </w:pPr>
            <w:r w:rsidRPr="000B6765">
              <w:rPr>
                <w:b/>
              </w:rPr>
              <w:t xml:space="preserve">-0.8 </w:t>
            </w:r>
            <w:r w:rsidRPr="000B6765">
              <w:rPr>
                <w:b/>
              </w:rPr>
              <w:br/>
              <w:t>[-11.2, 9.6]</w:t>
            </w:r>
          </w:p>
        </w:tc>
      </w:tr>
      <w:tr w:rsidR="00D16346" w:rsidRPr="000B6765" w:rsidTr="00D16346">
        <w:trPr>
          <w:trHeight w:val="338"/>
        </w:trPr>
        <w:tc>
          <w:tcPr>
            <w:tcW w:w="629" w:type="pct"/>
            <w:tcBorders>
              <w:top w:val="single" w:sz="4" w:space="0" w:color="auto"/>
              <w:left w:val="single" w:sz="4" w:space="0" w:color="auto"/>
              <w:bottom w:val="single" w:sz="4" w:space="0" w:color="auto"/>
              <w:right w:val="single" w:sz="4" w:space="0" w:color="auto"/>
            </w:tcBorders>
            <w:tcMar>
              <w:right w:w="28" w:type="dxa"/>
            </w:tcMar>
            <w:vAlign w:val="center"/>
          </w:tcPr>
          <w:p w:rsidR="00D16346" w:rsidRPr="000B6765" w:rsidRDefault="00D16346" w:rsidP="00D16346">
            <w:pPr>
              <w:pStyle w:val="TableText1"/>
              <w:rPr>
                <w:bCs/>
                <w:color w:val="000000"/>
              </w:rPr>
            </w:pPr>
            <w:r w:rsidRPr="000B6765">
              <w:rPr>
                <w:bCs/>
                <w:color w:val="000000"/>
              </w:rPr>
              <w:t>Protocol T</w:t>
            </w:r>
          </w:p>
        </w:tc>
        <w:tc>
          <w:tcPr>
            <w:tcW w:w="564"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pPr>
            <w:r w:rsidRPr="000B6765">
              <w:t>–</w:t>
            </w:r>
          </w:p>
        </w:tc>
        <w:tc>
          <w:tcPr>
            <w:tcW w:w="780"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pPr>
            <w:r w:rsidRPr="000B6765">
              <w:t>–</w:t>
            </w:r>
          </w:p>
        </w:tc>
        <w:tc>
          <w:tcPr>
            <w:tcW w:w="634" w:type="pct"/>
            <w:tcBorders>
              <w:top w:val="single" w:sz="4" w:space="0" w:color="auto"/>
              <w:left w:val="single" w:sz="4" w:space="0" w:color="auto"/>
              <w:bottom w:val="single" w:sz="4" w:space="0" w:color="auto"/>
              <w:right w:val="double" w:sz="4" w:space="0" w:color="auto"/>
            </w:tcBorders>
            <w:vAlign w:val="center"/>
          </w:tcPr>
          <w:p w:rsidR="00D16346" w:rsidRPr="000B6765" w:rsidRDefault="00D16346" w:rsidP="00D16346">
            <w:pPr>
              <w:pStyle w:val="TableText1"/>
              <w:ind w:left="-57" w:right="-57"/>
              <w:jc w:val="center"/>
            </w:pPr>
            <w:r w:rsidRPr="000B6765">
              <w:t>–</w:t>
            </w:r>
          </w:p>
        </w:tc>
        <w:tc>
          <w:tcPr>
            <w:tcW w:w="627" w:type="pct"/>
            <w:tcBorders>
              <w:top w:val="single" w:sz="4" w:space="0" w:color="auto"/>
              <w:left w:val="doub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rPr>
                <w:color w:val="000000"/>
              </w:rPr>
            </w:pPr>
            <w:r w:rsidRPr="000B6765">
              <w:rPr>
                <w:color w:val="000000"/>
              </w:rPr>
              <w:t>N=206</w:t>
            </w:r>
          </w:p>
          <w:p w:rsidR="00D16346" w:rsidRPr="000B6765" w:rsidRDefault="00D16346" w:rsidP="00D16346">
            <w:pPr>
              <w:pStyle w:val="TableText1"/>
              <w:ind w:left="-57" w:right="-57"/>
              <w:jc w:val="center"/>
              <w:rPr>
                <w:color w:val="000000"/>
              </w:rPr>
            </w:pPr>
            <w:r w:rsidRPr="000B6765">
              <w:rPr>
                <w:color w:val="000000"/>
              </w:rPr>
              <w:t>9.7 (10.1)</w:t>
            </w:r>
          </w:p>
        </w:tc>
        <w:tc>
          <w:tcPr>
            <w:tcW w:w="630"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rPr>
                <w:color w:val="000000"/>
              </w:rPr>
            </w:pPr>
            <w:r w:rsidRPr="000B6765">
              <w:rPr>
                <w:color w:val="000000"/>
              </w:rPr>
              <w:t>N=208</w:t>
            </w:r>
          </w:p>
          <w:p w:rsidR="00D16346" w:rsidRPr="000B6765" w:rsidRDefault="00D16346" w:rsidP="00D16346">
            <w:pPr>
              <w:pStyle w:val="TableText1"/>
              <w:ind w:left="-57" w:right="-57"/>
              <w:jc w:val="center"/>
              <w:rPr>
                <w:color w:val="000000"/>
              </w:rPr>
            </w:pPr>
            <w:r w:rsidRPr="000B6765">
              <w:rPr>
                <w:color w:val="000000"/>
              </w:rPr>
              <w:t>13.3 (11.1)</w:t>
            </w:r>
          </w:p>
        </w:tc>
        <w:tc>
          <w:tcPr>
            <w:tcW w:w="521"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rPr>
                <w:color w:val="000000"/>
              </w:rPr>
            </w:pPr>
            <w:r w:rsidRPr="000B6765">
              <w:rPr>
                <w:color w:val="000000"/>
              </w:rPr>
              <w:t xml:space="preserve">3.5 </w:t>
            </w:r>
            <w:r w:rsidRPr="000B6765">
              <w:rPr>
                <w:color w:val="000000"/>
              </w:rPr>
              <w:br/>
              <w:t>[1.4, 5.7]</w:t>
            </w:r>
          </w:p>
        </w:tc>
        <w:tc>
          <w:tcPr>
            <w:tcW w:w="616" w:type="pct"/>
            <w:vMerge/>
            <w:tcBorders>
              <w:left w:val="single" w:sz="4" w:space="0" w:color="auto"/>
              <w:right w:val="single" w:sz="4" w:space="0" w:color="auto"/>
            </w:tcBorders>
          </w:tcPr>
          <w:p w:rsidR="00D16346" w:rsidRPr="000B6765" w:rsidRDefault="00D16346" w:rsidP="00D16346">
            <w:pPr>
              <w:pStyle w:val="TableText1"/>
            </w:pPr>
          </w:p>
        </w:tc>
      </w:tr>
      <w:tr w:rsidR="00D16346" w:rsidRPr="000B6765" w:rsidTr="00D16346">
        <w:tc>
          <w:tcPr>
            <w:tcW w:w="5000" w:type="pct"/>
            <w:gridSpan w:val="8"/>
            <w:tcBorders>
              <w:top w:val="single" w:sz="4" w:space="0" w:color="auto"/>
              <w:left w:val="single" w:sz="4" w:space="0" w:color="auto"/>
              <w:bottom w:val="single" w:sz="4" w:space="0" w:color="auto"/>
              <w:right w:val="single" w:sz="4" w:space="0" w:color="auto"/>
            </w:tcBorders>
            <w:tcMar>
              <w:right w:w="28" w:type="dxa"/>
            </w:tcMar>
            <w:vAlign w:val="center"/>
          </w:tcPr>
          <w:p w:rsidR="00D16346" w:rsidRPr="000B6765" w:rsidRDefault="00D16346" w:rsidP="00D16346">
            <w:pPr>
              <w:pStyle w:val="TableText1"/>
              <w:rPr>
                <w:b/>
              </w:rPr>
            </w:pPr>
            <w:r w:rsidRPr="000B6765">
              <w:rPr>
                <w:b/>
              </w:rPr>
              <w:t>Sham/laser as</w:t>
            </w:r>
            <w:r w:rsidR="009913A5">
              <w:rPr>
                <w:b/>
              </w:rPr>
              <w:t xml:space="preserve"> the</w:t>
            </w:r>
            <w:r w:rsidRPr="000B6765">
              <w:rPr>
                <w:b/>
              </w:rPr>
              <w:t xml:space="preserve"> common reference</w:t>
            </w:r>
          </w:p>
        </w:tc>
      </w:tr>
      <w:tr w:rsidR="00D16346" w:rsidRPr="000B6765" w:rsidTr="00D16346">
        <w:trPr>
          <w:trHeight w:val="338"/>
        </w:trPr>
        <w:tc>
          <w:tcPr>
            <w:tcW w:w="629" w:type="pct"/>
            <w:tcBorders>
              <w:top w:val="single" w:sz="4" w:space="0" w:color="auto"/>
              <w:left w:val="single" w:sz="4" w:space="0" w:color="auto"/>
              <w:bottom w:val="single" w:sz="4" w:space="0" w:color="auto"/>
              <w:right w:val="single" w:sz="4" w:space="0" w:color="auto"/>
            </w:tcBorders>
            <w:tcMar>
              <w:right w:w="28" w:type="dxa"/>
            </w:tcMar>
            <w:vAlign w:val="center"/>
          </w:tcPr>
          <w:p w:rsidR="00D16346" w:rsidRPr="000B6765" w:rsidRDefault="00D16346" w:rsidP="00D16346">
            <w:pPr>
              <w:pStyle w:val="TableText1"/>
              <w:rPr>
                <w:bCs/>
                <w:color w:val="000000"/>
              </w:rPr>
            </w:pPr>
            <w:r w:rsidRPr="000B6765">
              <w:t>MEAD trials</w:t>
            </w:r>
          </w:p>
        </w:tc>
        <w:tc>
          <w:tcPr>
            <w:tcW w:w="564" w:type="pct"/>
            <w:tcBorders>
              <w:top w:val="single" w:sz="4" w:space="0" w:color="auto"/>
              <w:left w:val="single" w:sz="4" w:space="0" w:color="auto"/>
              <w:bottom w:val="single" w:sz="4" w:space="0" w:color="auto"/>
              <w:right w:val="single" w:sz="4" w:space="0" w:color="auto"/>
            </w:tcBorders>
          </w:tcPr>
          <w:p w:rsidR="00D16346" w:rsidRPr="000B6765" w:rsidRDefault="00D16346" w:rsidP="00D16346">
            <w:pPr>
              <w:pStyle w:val="TableText1"/>
              <w:ind w:left="-57" w:right="-57"/>
              <w:jc w:val="center"/>
            </w:pPr>
            <w:r w:rsidRPr="000B6765">
              <w:t>4.7</w:t>
            </w:r>
            <w:r w:rsidRPr="000B6765">
              <w:br/>
              <w:t>[2.6, 6.8]</w:t>
            </w:r>
          </w:p>
        </w:tc>
        <w:tc>
          <w:tcPr>
            <w:tcW w:w="780" w:type="pct"/>
            <w:tcBorders>
              <w:top w:val="single" w:sz="4" w:space="0" w:color="auto"/>
              <w:left w:val="single" w:sz="4" w:space="0" w:color="auto"/>
              <w:bottom w:val="single" w:sz="4" w:space="0" w:color="auto"/>
              <w:right w:val="single" w:sz="4" w:space="0" w:color="auto"/>
            </w:tcBorders>
          </w:tcPr>
          <w:p w:rsidR="00D16346" w:rsidRPr="000B6765" w:rsidRDefault="00D16346" w:rsidP="00D16346">
            <w:pPr>
              <w:pStyle w:val="TableText1"/>
              <w:ind w:left="-57" w:right="-57"/>
              <w:jc w:val="center"/>
            </w:pPr>
            <w:r w:rsidRPr="000B6765">
              <w:t>N=86</w:t>
            </w:r>
          </w:p>
          <w:p w:rsidR="00D16346" w:rsidRPr="000B6765" w:rsidRDefault="00D16346" w:rsidP="00D16346">
            <w:pPr>
              <w:pStyle w:val="TableText1"/>
              <w:ind w:left="-57" w:right="-57"/>
              <w:jc w:val="center"/>
            </w:pPr>
            <w:r w:rsidRPr="000B6765">
              <w:t>6.5 (8.1)</w:t>
            </w:r>
          </w:p>
        </w:tc>
        <w:tc>
          <w:tcPr>
            <w:tcW w:w="634" w:type="pct"/>
            <w:tcBorders>
              <w:top w:val="single" w:sz="4" w:space="0" w:color="auto"/>
              <w:left w:val="single" w:sz="4" w:space="0" w:color="auto"/>
              <w:bottom w:val="single" w:sz="4" w:space="0" w:color="auto"/>
              <w:right w:val="double" w:sz="4" w:space="0" w:color="auto"/>
            </w:tcBorders>
          </w:tcPr>
          <w:p w:rsidR="00D16346" w:rsidRPr="000B6765" w:rsidRDefault="00D16346" w:rsidP="00D16346">
            <w:pPr>
              <w:pStyle w:val="TableText1"/>
              <w:ind w:left="-57" w:right="-57"/>
              <w:jc w:val="center"/>
            </w:pPr>
            <w:r w:rsidRPr="000B6765">
              <w:t>N=101</w:t>
            </w:r>
            <w:r w:rsidRPr="000B6765">
              <w:br/>
              <w:t>1.7 (7.1)</w:t>
            </w:r>
          </w:p>
        </w:tc>
        <w:tc>
          <w:tcPr>
            <w:tcW w:w="627" w:type="pct"/>
            <w:tcBorders>
              <w:top w:val="single" w:sz="4" w:space="0" w:color="auto"/>
              <w:left w:val="doub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rPr>
                <w:color w:val="000000"/>
              </w:rPr>
            </w:pPr>
            <w:r w:rsidRPr="000B6765">
              <w:t>–</w:t>
            </w:r>
          </w:p>
        </w:tc>
        <w:tc>
          <w:tcPr>
            <w:tcW w:w="630"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rPr>
                <w:color w:val="000000"/>
              </w:rPr>
            </w:pPr>
            <w:r w:rsidRPr="000B6765">
              <w:t>–</w:t>
            </w:r>
          </w:p>
        </w:tc>
        <w:tc>
          <w:tcPr>
            <w:tcW w:w="521"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rPr>
                <w:color w:val="000000"/>
              </w:rPr>
            </w:pPr>
            <w:r w:rsidRPr="000B6765">
              <w:t>–</w:t>
            </w:r>
          </w:p>
        </w:tc>
        <w:tc>
          <w:tcPr>
            <w:tcW w:w="616" w:type="pct"/>
            <w:vMerge w:val="restart"/>
            <w:tcBorders>
              <w:left w:val="single" w:sz="4" w:space="0" w:color="auto"/>
              <w:right w:val="single" w:sz="4" w:space="0" w:color="auto"/>
            </w:tcBorders>
            <w:vAlign w:val="center"/>
          </w:tcPr>
          <w:p w:rsidR="00D16346" w:rsidRPr="000B6765" w:rsidRDefault="00D16346" w:rsidP="00D16346">
            <w:pPr>
              <w:pStyle w:val="TableText1"/>
              <w:jc w:val="center"/>
            </w:pPr>
            <w:r w:rsidRPr="000B6765">
              <w:rPr>
                <w:b/>
              </w:rPr>
              <w:t xml:space="preserve">-5.4 </w:t>
            </w:r>
            <w:r w:rsidRPr="000B6765">
              <w:rPr>
                <w:b/>
              </w:rPr>
              <w:br/>
              <w:t>[-8.1, -2.8]</w:t>
            </w:r>
          </w:p>
        </w:tc>
      </w:tr>
      <w:tr w:rsidR="00D16346" w:rsidRPr="000B6765" w:rsidTr="00D16346">
        <w:trPr>
          <w:trHeight w:val="338"/>
        </w:trPr>
        <w:tc>
          <w:tcPr>
            <w:tcW w:w="629" w:type="pct"/>
            <w:tcBorders>
              <w:top w:val="single" w:sz="4" w:space="0" w:color="auto"/>
              <w:left w:val="single" w:sz="4" w:space="0" w:color="auto"/>
              <w:bottom w:val="single" w:sz="4" w:space="0" w:color="auto"/>
              <w:right w:val="single" w:sz="4" w:space="0" w:color="auto"/>
            </w:tcBorders>
            <w:tcMar>
              <w:right w:w="28" w:type="dxa"/>
            </w:tcMar>
            <w:vAlign w:val="center"/>
          </w:tcPr>
          <w:p w:rsidR="00D16346" w:rsidRPr="000B6765" w:rsidRDefault="00D16346" w:rsidP="00D16346">
            <w:pPr>
              <w:pStyle w:val="TableText1"/>
              <w:rPr>
                <w:bCs/>
                <w:color w:val="000000"/>
              </w:rPr>
            </w:pPr>
            <w:r w:rsidRPr="000B6765">
              <w:rPr>
                <w:bCs/>
                <w:color w:val="000000"/>
              </w:rPr>
              <w:t>VIVID</w:t>
            </w:r>
          </w:p>
        </w:tc>
        <w:tc>
          <w:tcPr>
            <w:tcW w:w="564"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pPr>
            <w:r w:rsidRPr="000B6765">
              <w:t>–</w:t>
            </w:r>
          </w:p>
        </w:tc>
        <w:tc>
          <w:tcPr>
            <w:tcW w:w="780"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pPr>
            <w:r w:rsidRPr="000B6765">
              <w:t>–</w:t>
            </w:r>
          </w:p>
        </w:tc>
        <w:tc>
          <w:tcPr>
            <w:tcW w:w="634" w:type="pct"/>
            <w:tcBorders>
              <w:top w:val="single" w:sz="4" w:space="0" w:color="auto"/>
              <w:left w:val="single" w:sz="4" w:space="0" w:color="auto"/>
              <w:bottom w:val="single" w:sz="4" w:space="0" w:color="auto"/>
              <w:right w:val="double" w:sz="4" w:space="0" w:color="auto"/>
            </w:tcBorders>
            <w:vAlign w:val="center"/>
          </w:tcPr>
          <w:p w:rsidR="00D16346" w:rsidRPr="000B6765" w:rsidRDefault="00D16346" w:rsidP="00D16346">
            <w:pPr>
              <w:pStyle w:val="TableText1"/>
              <w:ind w:left="-57" w:right="-57"/>
              <w:jc w:val="center"/>
            </w:pPr>
            <w:r w:rsidRPr="000B6765">
              <w:t>–</w:t>
            </w:r>
          </w:p>
        </w:tc>
        <w:tc>
          <w:tcPr>
            <w:tcW w:w="627" w:type="pct"/>
            <w:tcBorders>
              <w:top w:val="single" w:sz="4" w:space="0" w:color="auto"/>
              <w:left w:val="doub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rPr>
                <w:color w:val="000000"/>
              </w:rPr>
            </w:pPr>
            <w:r w:rsidRPr="000B6765">
              <w:rPr>
                <w:color w:val="000000"/>
              </w:rPr>
              <w:t>N=132</w:t>
            </w:r>
          </w:p>
          <w:p w:rsidR="00D16346" w:rsidRPr="000B6765" w:rsidRDefault="00D16346" w:rsidP="00D16346">
            <w:pPr>
              <w:pStyle w:val="TableText1"/>
              <w:ind w:left="-57" w:right="-57"/>
              <w:jc w:val="center"/>
              <w:rPr>
                <w:color w:val="000000"/>
              </w:rPr>
            </w:pPr>
            <w:r w:rsidRPr="000B6765">
              <w:t>1.2 (10.6)</w:t>
            </w:r>
          </w:p>
        </w:tc>
        <w:tc>
          <w:tcPr>
            <w:tcW w:w="630"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rPr>
                <w:color w:val="000000"/>
              </w:rPr>
            </w:pPr>
            <w:r w:rsidRPr="000B6765">
              <w:rPr>
                <w:color w:val="000000"/>
              </w:rPr>
              <w:t>N=135</w:t>
            </w:r>
          </w:p>
          <w:p w:rsidR="00D16346" w:rsidRPr="000B6765" w:rsidRDefault="00D16346" w:rsidP="00D16346">
            <w:pPr>
              <w:pStyle w:val="TableText1"/>
              <w:ind w:left="-57" w:right="-57"/>
              <w:jc w:val="center"/>
              <w:rPr>
                <w:color w:val="000000"/>
              </w:rPr>
            </w:pPr>
            <w:r w:rsidRPr="000B6765">
              <w:rPr>
                <w:color w:val="000000"/>
              </w:rPr>
              <w:t>10.7 (9.3)</w:t>
            </w:r>
          </w:p>
        </w:tc>
        <w:tc>
          <w:tcPr>
            <w:tcW w:w="521"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rPr>
                <w:color w:val="000000"/>
              </w:rPr>
            </w:pPr>
            <w:r w:rsidRPr="000B6765">
              <w:rPr>
                <w:color w:val="000000"/>
              </w:rPr>
              <w:t xml:space="preserve">9.5 </w:t>
            </w:r>
            <w:r w:rsidRPr="000B6765">
              <w:rPr>
                <w:color w:val="000000"/>
              </w:rPr>
              <w:br/>
              <w:t>[7.1, 11.9]</w:t>
            </w:r>
          </w:p>
        </w:tc>
        <w:tc>
          <w:tcPr>
            <w:tcW w:w="616" w:type="pct"/>
            <w:vMerge/>
            <w:tcBorders>
              <w:left w:val="single" w:sz="4" w:space="0" w:color="auto"/>
              <w:right w:val="single" w:sz="4" w:space="0" w:color="auto"/>
            </w:tcBorders>
          </w:tcPr>
          <w:p w:rsidR="00D16346" w:rsidRPr="000B6765" w:rsidRDefault="00D16346" w:rsidP="00D16346">
            <w:pPr>
              <w:pStyle w:val="TableText1"/>
            </w:pPr>
          </w:p>
        </w:tc>
      </w:tr>
      <w:tr w:rsidR="00D16346" w:rsidRPr="000B6765" w:rsidTr="00D16346">
        <w:trPr>
          <w:trHeight w:val="338"/>
        </w:trPr>
        <w:tc>
          <w:tcPr>
            <w:tcW w:w="629" w:type="pct"/>
            <w:tcBorders>
              <w:top w:val="single" w:sz="4" w:space="0" w:color="auto"/>
              <w:left w:val="single" w:sz="4" w:space="0" w:color="auto"/>
              <w:bottom w:val="single" w:sz="4" w:space="0" w:color="auto"/>
              <w:right w:val="single" w:sz="4" w:space="0" w:color="auto"/>
            </w:tcBorders>
            <w:tcMar>
              <w:right w:w="28" w:type="dxa"/>
            </w:tcMar>
            <w:vAlign w:val="center"/>
          </w:tcPr>
          <w:p w:rsidR="00D16346" w:rsidRPr="000B6765" w:rsidRDefault="00D16346" w:rsidP="00D16346">
            <w:pPr>
              <w:pStyle w:val="TableText1"/>
              <w:rPr>
                <w:bCs/>
                <w:color w:val="000000"/>
              </w:rPr>
            </w:pPr>
            <w:r w:rsidRPr="000B6765">
              <w:rPr>
                <w:bCs/>
                <w:color w:val="000000"/>
              </w:rPr>
              <w:t>VISTA</w:t>
            </w:r>
          </w:p>
        </w:tc>
        <w:tc>
          <w:tcPr>
            <w:tcW w:w="564"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pPr>
            <w:r w:rsidRPr="000B6765">
              <w:t>–</w:t>
            </w:r>
          </w:p>
        </w:tc>
        <w:tc>
          <w:tcPr>
            <w:tcW w:w="780"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pPr>
            <w:r w:rsidRPr="000B6765">
              <w:t>–</w:t>
            </w:r>
          </w:p>
        </w:tc>
        <w:tc>
          <w:tcPr>
            <w:tcW w:w="634" w:type="pct"/>
            <w:tcBorders>
              <w:top w:val="single" w:sz="4" w:space="0" w:color="auto"/>
              <w:left w:val="single" w:sz="4" w:space="0" w:color="auto"/>
              <w:bottom w:val="single" w:sz="4" w:space="0" w:color="auto"/>
              <w:right w:val="double" w:sz="4" w:space="0" w:color="auto"/>
            </w:tcBorders>
            <w:vAlign w:val="center"/>
          </w:tcPr>
          <w:p w:rsidR="00D16346" w:rsidRPr="000B6765" w:rsidRDefault="00D16346" w:rsidP="00D16346">
            <w:pPr>
              <w:pStyle w:val="TableText1"/>
              <w:ind w:left="-57" w:right="-57"/>
              <w:jc w:val="center"/>
            </w:pPr>
            <w:r w:rsidRPr="000B6765">
              <w:t>–</w:t>
            </w:r>
          </w:p>
        </w:tc>
        <w:tc>
          <w:tcPr>
            <w:tcW w:w="627" w:type="pct"/>
            <w:tcBorders>
              <w:top w:val="single" w:sz="4" w:space="0" w:color="auto"/>
              <w:left w:val="doub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rPr>
                <w:color w:val="000000"/>
              </w:rPr>
            </w:pPr>
            <w:r w:rsidRPr="000B6765">
              <w:rPr>
                <w:color w:val="000000"/>
              </w:rPr>
              <w:t>N=154</w:t>
            </w:r>
          </w:p>
          <w:p w:rsidR="00D16346" w:rsidRPr="000B6765" w:rsidRDefault="00D16346" w:rsidP="00D16346">
            <w:pPr>
              <w:pStyle w:val="TableText1"/>
              <w:ind w:left="-57" w:right="-57"/>
              <w:jc w:val="center"/>
              <w:rPr>
                <w:color w:val="000000"/>
              </w:rPr>
            </w:pPr>
            <w:r w:rsidRPr="000B6765">
              <w:t>0.2 (12.5)</w:t>
            </w:r>
          </w:p>
        </w:tc>
        <w:tc>
          <w:tcPr>
            <w:tcW w:w="630"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rPr>
                <w:color w:val="000000"/>
              </w:rPr>
            </w:pPr>
            <w:r w:rsidRPr="000B6765">
              <w:rPr>
                <w:color w:val="000000"/>
              </w:rPr>
              <w:t>N=151</w:t>
            </w:r>
          </w:p>
          <w:p w:rsidR="00D16346" w:rsidRPr="000B6765" w:rsidRDefault="00D16346" w:rsidP="00D16346">
            <w:pPr>
              <w:pStyle w:val="TableText1"/>
              <w:ind w:left="-57" w:right="-57"/>
              <w:jc w:val="center"/>
              <w:rPr>
                <w:color w:val="000000"/>
              </w:rPr>
            </w:pPr>
            <w:r w:rsidRPr="000B6765">
              <w:rPr>
                <w:color w:val="000000"/>
              </w:rPr>
              <w:t>10.7 (8.2)</w:t>
            </w:r>
          </w:p>
        </w:tc>
        <w:tc>
          <w:tcPr>
            <w:tcW w:w="521"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rPr>
                <w:color w:val="000000"/>
              </w:rPr>
            </w:pPr>
            <w:r w:rsidRPr="000B6765">
              <w:rPr>
                <w:color w:val="000000"/>
              </w:rPr>
              <w:t xml:space="preserve">10.5 </w:t>
            </w:r>
            <w:r w:rsidRPr="000B6765">
              <w:rPr>
                <w:color w:val="000000"/>
              </w:rPr>
              <w:br/>
              <w:t>[8.1, 12.9]</w:t>
            </w:r>
          </w:p>
        </w:tc>
        <w:tc>
          <w:tcPr>
            <w:tcW w:w="616" w:type="pct"/>
            <w:vMerge/>
            <w:tcBorders>
              <w:left w:val="single" w:sz="4" w:space="0" w:color="auto"/>
              <w:right w:val="single" w:sz="4" w:space="0" w:color="auto"/>
            </w:tcBorders>
          </w:tcPr>
          <w:p w:rsidR="00D16346" w:rsidRPr="000B6765" w:rsidRDefault="00D16346" w:rsidP="00D16346">
            <w:pPr>
              <w:pStyle w:val="TableText1"/>
            </w:pPr>
          </w:p>
        </w:tc>
      </w:tr>
      <w:tr w:rsidR="00D16346" w:rsidRPr="000B6765" w:rsidTr="00D16346">
        <w:trPr>
          <w:trHeight w:val="338"/>
        </w:trPr>
        <w:tc>
          <w:tcPr>
            <w:tcW w:w="629" w:type="pct"/>
            <w:tcBorders>
              <w:top w:val="single" w:sz="4" w:space="0" w:color="auto"/>
              <w:left w:val="single" w:sz="4" w:space="0" w:color="auto"/>
              <w:bottom w:val="single" w:sz="4" w:space="0" w:color="auto"/>
              <w:right w:val="single" w:sz="4" w:space="0" w:color="auto"/>
            </w:tcBorders>
            <w:tcMar>
              <w:right w:w="28" w:type="dxa"/>
            </w:tcMar>
            <w:vAlign w:val="center"/>
          </w:tcPr>
          <w:p w:rsidR="00D16346" w:rsidRPr="000B6765" w:rsidRDefault="00D16346" w:rsidP="00D16346">
            <w:pPr>
              <w:pStyle w:val="TableText1"/>
              <w:rPr>
                <w:bCs/>
                <w:color w:val="000000"/>
              </w:rPr>
            </w:pPr>
            <w:r w:rsidRPr="000B6765">
              <w:rPr>
                <w:bCs/>
                <w:color w:val="000000"/>
              </w:rPr>
              <w:t>DA VINCI</w:t>
            </w:r>
          </w:p>
        </w:tc>
        <w:tc>
          <w:tcPr>
            <w:tcW w:w="564"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pPr>
            <w:r w:rsidRPr="000B6765">
              <w:t>–</w:t>
            </w:r>
          </w:p>
        </w:tc>
        <w:tc>
          <w:tcPr>
            <w:tcW w:w="780"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pPr>
            <w:r w:rsidRPr="000B6765">
              <w:t>–</w:t>
            </w:r>
          </w:p>
        </w:tc>
        <w:tc>
          <w:tcPr>
            <w:tcW w:w="634" w:type="pct"/>
            <w:tcBorders>
              <w:top w:val="single" w:sz="4" w:space="0" w:color="auto"/>
              <w:left w:val="single" w:sz="4" w:space="0" w:color="auto"/>
              <w:bottom w:val="single" w:sz="4" w:space="0" w:color="auto"/>
              <w:right w:val="double" w:sz="4" w:space="0" w:color="auto"/>
            </w:tcBorders>
            <w:vAlign w:val="center"/>
          </w:tcPr>
          <w:p w:rsidR="00D16346" w:rsidRPr="000B6765" w:rsidRDefault="00D16346" w:rsidP="00D16346">
            <w:pPr>
              <w:pStyle w:val="TableText1"/>
              <w:ind w:left="-57" w:right="-57"/>
              <w:jc w:val="center"/>
            </w:pPr>
            <w:r w:rsidRPr="000B6765">
              <w:t>–</w:t>
            </w:r>
          </w:p>
        </w:tc>
        <w:tc>
          <w:tcPr>
            <w:tcW w:w="627" w:type="pct"/>
            <w:tcBorders>
              <w:top w:val="single" w:sz="4" w:space="0" w:color="auto"/>
              <w:left w:val="doub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rPr>
                <w:color w:val="000000"/>
              </w:rPr>
            </w:pPr>
            <w:r w:rsidRPr="000B6765">
              <w:rPr>
                <w:color w:val="000000"/>
              </w:rPr>
              <w:t>N=44</w:t>
            </w:r>
          </w:p>
          <w:p w:rsidR="00D16346" w:rsidRPr="000B6765" w:rsidRDefault="00D16346" w:rsidP="00D16346">
            <w:pPr>
              <w:pStyle w:val="TableText1"/>
              <w:ind w:left="-57" w:right="-57"/>
              <w:jc w:val="center"/>
              <w:rPr>
                <w:color w:val="000000"/>
              </w:rPr>
            </w:pPr>
            <w:r w:rsidRPr="000B6765">
              <w:t>-1.3 (2.0)</w:t>
            </w:r>
          </w:p>
        </w:tc>
        <w:tc>
          <w:tcPr>
            <w:tcW w:w="630"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rPr>
                <w:color w:val="000000"/>
              </w:rPr>
            </w:pPr>
            <w:r w:rsidRPr="000B6765">
              <w:rPr>
                <w:color w:val="000000"/>
              </w:rPr>
              <w:t>N=42</w:t>
            </w:r>
          </w:p>
          <w:p w:rsidR="00D16346" w:rsidRPr="000B6765" w:rsidRDefault="00D16346" w:rsidP="00D16346">
            <w:pPr>
              <w:pStyle w:val="TableText1"/>
              <w:ind w:left="-57" w:right="-57"/>
              <w:jc w:val="center"/>
              <w:rPr>
                <w:color w:val="000000"/>
              </w:rPr>
            </w:pPr>
            <w:r w:rsidRPr="000B6765">
              <w:rPr>
                <w:color w:val="000000"/>
              </w:rPr>
              <w:t>9.7 (14.6)</w:t>
            </w:r>
          </w:p>
        </w:tc>
        <w:tc>
          <w:tcPr>
            <w:tcW w:w="521"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rPr>
                <w:color w:val="000000"/>
              </w:rPr>
            </w:pPr>
            <w:r w:rsidRPr="000B6765">
              <w:rPr>
                <w:color w:val="000000"/>
              </w:rPr>
              <w:t xml:space="preserve">11.0 </w:t>
            </w:r>
            <w:r w:rsidRPr="000B6765">
              <w:rPr>
                <w:color w:val="000000"/>
              </w:rPr>
              <w:br/>
              <w:t>[6.6, 15.5]</w:t>
            </w:r>
          </w:p>
        </w:tc>
        <w:tc>
          <w:tcPr>
            <w:tcW w:w="616" w:type="pct"/>
            <w:vMerge/>
            <w:tcBorders>
              <w:left w:val="single" w:sz="4" w:space="0" w:color="auto"/>
              <w:right w:val="single" w:sz="4" w:space="0" w:color="auto"/>
            </w:tcBorders>
          </w:tcPr>
          <w:p w:rsidR="00D16346" w:rsidRPr="000B6765" w:rsidRDefault="00D16346" w:rsidP="00D16346">
            <w:pPr>
              <w:pStyle w:val="TableText1"/>
            </w:pPr>
          </w:p>
        </w:tc>
      </w:tr>
      <w:tr w:rsidR="00D16346" w:rsidRPr="000B6765" w:rsidTr="00D16346">
        <w:trPr>
          <w:trHeight w:val="338"/>
        </w:trPr>
        <w:tc>
          <w:tcPr>
            <w:tcW w:w="629" w:type="pct"/>
            <w:tcBorders>
              <w:top w:val="single" w:sz="4" w:space="0" w:color="auto"/>
              <w:left w:val="single" w:sz="4" w:space="0" w:color="auto"/>
              <w:bottom w:val="single" w:sz="4" w:space="0" w:color="auto"/>
              <w:right w:val="single" w:sz="4" w:space="0" w:color="auto"/>
            </w:tcBorders>
            <w:tcMar>
              <w:right w:w="28" w:type="dxa"/>
            </w:tcMar>
            <w:vAlign w:val="center"/>
          </w:tcPr>
          <w:p w:rsidR="00D16346" w:rsidRPr="000B6765" w:rsidRDefault="00D16346" w:rsidP="00D16346">
            <w:pPr>
              <w:pStyle w:val="TableText1"/>
              <w:rPr>
                <w:bCs/>
                <w:color w:val="000000"/>
              </w:rPr>
            </w:pPr>
            <w:r w:rsidRPr="000B6765">
              <w:rPr>
                <w:bCs/>
                <w:color w:val="000000"/>
              </w:rPr>
              <w:t>Pooled AD</w:t>
            </w:r>
            <w:r w:rsidRPr="000B6765">
              <w:rPr>
                <w:bCs/>
                <w:color w:val="000000"/>
                <w:vertAlign w:val="superscript"/>
              </w:rPr>
              <w:t>d</w:t>
            </w:r>
            <w:r w:rsidRPr="000B6765">
              <w:rPr>
                <w:bCs/>
                <w:color w:val="000000"/>
              </w:rPr>
              <w:t xml:space="preserve"> (letters) [95% CI]</w:t>
            </w:r>
          </w:p>
        </w:tc>
        <w:tc>
          <w:tcPr>
            <w:tcW w:w="564"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pPr>
            <w:r w:rsidRPr="000B6765">
              <w:t>–</w:t>
            </w:r>
          </w:p>
        </w:tc>
        <w:tc>
          <w:tcPr>
            <w:tcW w:w="780" w:type="pct"/>
            <w:tcBorders>
              <w:top w:val="single" w:sz="4" w:space="0" w:color="auto"/>
              <w:left w:val="single" w:sz="4" w:space="0" w:color="auto"/>
              <w:bottom w:val="single" w:sz="4" w:space="0" w:color="auto"/>
              <w:right w:val="single" w:sz="4" w:space="0" w:color="auto"/>
            </w:tcBorders>
            <w:vAlign w:val="center"/>
          </w:tcPr>
          <w:p w:rsidR="00D16346" w:rsidRPr="000B6765" w:rsidRDefault="00D16346" w:rsidP="00D16346">
            <w:pPr>
              <w:pStyle w:val="TableText1"/>
              <w:ind w:left="-57" w:right="-57"/>
              <w:jc w:val="center"/>
            </w:pPr>
            <w:r w:rsidRPr="000B6765">
              <w:t>–</w:t>
            </w:r>
          </w:p>
        </w:tc>
        <w:tc>
          <w:tcPr>
            <w:tcW w:w="634" w:type="pct"/>
            <w:tcBorders>
              <w:top w:val="single" w:sz="4" w:space="0" w:color="auto"/>
              <w:left w:val="single" w:sz="4" w:space="0" w:color="auto"/>
              <w:bottom w:val="single" w:sz="4" w:space="0" w:color="auto"/>
              <w:right w:val="double" w:sz="4" w:space="0" w:color="auto"/>
            </w:tcBorders>
            <w:vAlign w:val="center"/>
          </w:tcPr>
          <w:p w:rsidR="00D16346" w:rsidRPr="000B6765" w:rsidRDefault="00D16346" w:rsidP="00D16346">
            <w:pPr>
              <w:pStyle w:val="TableText1"/>
              <w:ind w:left="-57" w:right="-57"/>
              <w:jc w:val="center"/>
            </w:pPr>
            <w:r w:rsidRPr="000B6765">
              <w:t>–</w:t>
            </w:r>
          </w:p>
        </w:tc>
        <w:tc>
          <w:tcPr>
            <w:tcW w:w="1778" w:type="pct"/>
            <w:gridSpan w:val="3"/>
            <w:tcBorders>
              <w:top w:val="single" w:sz="4" w:space="0" w:color="auto"/>
              <w:left w:val="double" w:sz="4" w:space="0" w:color="auto"/>
              <w:bottom w:val="single" w:sz="4" w:space="0" w:color="auto"/>
              <w:right w:val="single" w:sz="4" w:space="0" w:color="auto"/>
            </w:tcBorders>
            <w:vAlign w:val="center"/>
          </w:tcPr>
          <w:p w:rsidR="00D16346" w:rsidRPr="00AD2F5C" w:rsidRDefault="00D16346" w:rsidP="00D16346">
            <w:pPr>
              <w:pStyle w:val="TableText1"/>
              <w:ind w:left="-57" w:right="-57"/>
              <w:jc w:val="center"/>
              <w:rPr>
                <w:color w:val="000000"/>
              </w:rPr>
            </w:pPr>
            <w:r w:rsidRPr="00AD2F5C">
              <w:rPr>
                <w:color w:val="000000"/>
              </w:rPr>
              <w:t>10.1 [8.6, 11.7]</w:t>
            </w:r>
          </w:p>
          <w:p w:rsidR="00D16346" w:rsidRPr="00AD2F5C" w:rsidRDefault="00D16346" w:rsidP="00D16346">
            <w:pPr>
              <w:pStyle w:val="TableText1"/>
              <w:ind w:left="-57" w:right="-57"/>
              <w:jc w:val="center"/>
              <w:rPr>
                <w:color w:val="000000"/>
              </w:rPr>
            </w:pPr>
            <w:r w:rsidRPr="00AD2F5C">
              <w:rPr>
                <w:color w:val="000000"/>
              </w:rPr>
              <w:t>χ</w:t>
            </w:r>
            <w:r w:rsidRPr="00AD2F5C">
              <w:rPr>
                <w:color w:val="000000"/>
                <w:vertAlign w:val="superscript"/>
              </w:rPr>
              <w:t>2</w:t>
            </w:r>
            <w:r w:rsidRPr="00AD2F5C">
              <w:rPr>
                <w:color w:val="000000"/>
              </w:rPr>
              <w:t>: 0.51, df: 2, p-value: 0.776</w:t>
            </w:r>
          </w:p>
        </w:tc>
        <w:tc>
          <w:tcPr>
            <w:tcW w:w="616" w:type="pct"/>
            <w:vMerge/>
            <w:tcBorders>
              <w:left w:val="single" w:sz="4" w:space="0" w:color="auto"/>
              <w:right w:val="single" w:sz="4" w:space="0" w:color="auto"/>
            </w:tcBorders>
          </w:tcPr>
          <w:p w:rsidR="00D16346" w:rsidRPr="000B6765" w:rsidRDefault="00D16346" w:rsidP="00D16346">
            <w:pPr>
              <w:pStyle w:val="TableText1"/>
            </w:pPr>
          </w:p>
        </w:tc>
      </w:tr>
    </w:tbl>
    <w:p w:rsidR="00D16346" w:rsidRPr="000B6765" w:rsidRDefault="00D16346" w:rsidP="00D16346">
      <w:pPr>
        <w:pStyle w:val="TableFooter"/>
        <w:ind w:left="720"/>
        <w:rPr>
          <w:szCs w:val="18"/>
        </w:rPr>
      </w:pPr>
      <w:r w:rsidRPr="000B6765">
        <w:rPr>
          <w:szCs w:val="18"/>
        </w:rPr>
        <w:t>AD = absolute difference; CI = confidence interval; DME = diabetic macular oedema; SD = standard deviation</w:t>
      </w:r>
    </w:p>
    <w:p w:rsidR="00D16346" w:rsidRPr="0030375B" w:rsidRDefault="00D16346" w:rsidP="00D16346">
      <w:pPr>
        <w:pStyle w:val="TableNotes0"/>
        <w:keepNext w:val="0"/>
        <w:jc w:val="both"/>
        <w:rPr>
          <w:rFonts w:cs="Arial"/>
        </w:rPr>
      </w:pPr>
      <w:r w:rsidRPr="000B6765">
        <w:rPr>
          <w:rFonts w:cs="Arial"/>
          <w:bCs/>
          <w:vertAlign w:val="superscript"/>
        </w:rPr>
        <w:t>a</w:t>
      </w:r>
      <w:r w:rsidRPr="000B6765">
        <w:rPr>
          <w:rFonts w:cs="Arial"/>
        </w:rPr>
        <w:t xml:space="preserve"> Dexamethasone implant </w:t>
      </w:r>
      <w:r w:rsidRPr="000B6765">
        <w:rPr>
          <w:rFonts w:cs="Arial"/>
          <w:i/>
        </w:rPr>
        <w:t xml:space="preserve">vs </w:t>
      </w:r>
      <w:r w:rsidRPr="000B6765">
        <w:rPr>
          <w:rFonts w:cs="Arial"/>
        </w:rPr>
        <w:t xml:space="preserve">common comparator. A </w:t>
      </w:r>
      <w:r>
        <w:rPr>
          <w:rFonts w:cs="Arial"/>
        </w:rPr>
        <w:t xml:space="preserve">positive </w:t>
      </w:r>
      <w:r w:rsidRPr="000B6765">
        <w:rPr>
          <w:rFonts w:cs="Arial"/>
        </w:rPr>
        <w:t xml:space="preserve">result indicates treatment effect </w:t>
      </w:r>
      <w:r>
        <w:rPr>
          <w:rFonts w:cs="Arial"/>
        </w:rPr>
        <w:t>favouring</w:t>
      </w:r>
      <w:r w:rsidRPr="000B6765">
        <w:rPr>
          <w:rFonts w:cs="Arial"/>
        </w:rPr>
        <w:t xml:space="preserve"> dexamethasone </w:t>
      </w:r>
      <w:r w:rsidRPr="0030375B">
        <w:rPr>
          <w:rFonts w:cs="Arial"/>
        </w:rPr>
        <w:t xml:space="preserve">implant. </w:t>
      </w:r>
    </w:p>
    <w:p w:rsidR="00D16346" w:rsidRPr="0030375B" w:rsidRDefault="00D16346" w:rsidP="00D16346">
      <w:pPr>
        <w:pStyle w:val="tabletext2"/>
        <w:keepNext w:val="0"/>
        <w:keepLines/>
        <w:ind w:left="720"/>
        <w:jc w:val="both"/>
        <w:rPr>
          <w:sz w:val="18"/>
          <w:szCs w:val="18"/>
        </w:rPr>
      </w:pPr>
      <w:r w:rsidRPr="0030375B">
        <w:rPr>
          <w:bCs/>
          <w:sz w:val="18"/>
          <w:szCs w:val="18"/>
          <w:vertAlign w:val="superscript"/>
        </w:rPr>
        <w:t>b</w:t>
      </w:r>
      <w:r w:rsidRPr="0030375B">
        <w:rPr>
          <w:sz w:val="18"/>
          <w:szCs w:val="18"/>
        </w:rPr>
        <w:t xml:space="preserve"> Aflibercept injection </w:t>
      </w:r>
      <w:r w:rsidRPr="0030375B">
        <w:rPr>
          <w:i/>
          <w:sz w:val="18"/>
          <w:szCs w:val="18"/>
        </w:rPr>
        <w:t xml:space="preserve">vs </w:t>
      </w:r>
      <w:r w:rsidRPr="0030375B">
        <w:rPr>
          <w:sz w:val="18"/>
          <w:szCs w:val="18"/>
        </w:rPr>
        <w:t>common comparator. A positive result indicates treatment effect favouring aflibercept injection.</w:t>
      </w:r>
    </w:p>
    <w:p w:rsidR="00D16346" w:rsidRPr="0030375B" w:rsidRDefault="00D16346" w:rsidP="00D16346">
      <w:pPr>
        <w:pStyle w:val="tabletext2"/>
        <w:keepNext w:val="0"/>
        <w:keepLines/>
        <w:ind w:left="720"/>
        <w:jc w:val="both"/>
        <w:rPr>
          <w:sz w:val="18"/>
          <w:szCs w:val="18"/>
        </w:rPr>
      </w:pPr>
      <w:r w:rsidRPr="0030375B">
        <w:rPr>
          <w:sz w:val="18"/>
          <w:szCs w:val="18"/>
          <w:vertAlign w:val="superscript"/>
        </w:rPr>
        <w:t>c</w:t>
      </w:r>
      <w:r w:rsidRPr="0030375B">
        <w:rPr>
          <w:sz w:val="18"/>
          <w:szCs w:val="18"/>
        </w:rPr>
        <w:t xml:space="preserve"> Dexamethasone implant </w:t>
      </w:r>
      <w:r w:rsidRPr="0030375B">
        <w:rPr>
          <w:i/>
          <w:sz w:val="18"/>
          <w:szCs w:val="18"/>
        </w:rPr>
        <w:t xml:space="preserve">vs </w:t>
      </w:r>
      <w:r w:rsidRPr="0030375B">
        <w:rPr>
          <w:sz w:val="18"/>
          <w:szCs w:val="18"/>
        </w:rPr>
        <w:t>aflibercept injection. A negative result indicates treatment effect against dexamethasone implant.</w:t>
      </w:r>
    </w:p>
    <w:p w:rsidR="00D16346" w:rsidRPr="00BC2515" w:rsidRDefault="00D16346" w:rsidP="00D16346">
      <w:pPr>
        <w:pStyle w:val="tabletext2"/>
        <w:keepNext w:val="0"/>
        <w:keepLines/>
        <w:ind w:left="720"/>
        <w:jc w:val="both"/>
        <w:rPr>
          <w:sz w:val="18"/>
          <w:szCs w:val="18"/>
        </w:rPr>
      </w:pPr>
      <w:r w:rsidRPr="0030375B">
        <w:rPr>
          <w:sz w:val="18"/>
          <w:szCs w:val="18"/>
          <w:vertAlign w:val="superscript"/>
        </w:rPr>
        <w:t>d</w:t>
      </w:r>
      <w:r w:rsidRPr="0030375B">
        <w:rPr>
          <w:sz w:val="18"/>
          <w:szCs w:val="18"/>
        </w:rPr>
        <w:t xml:space="preserve"> Pooled using random effects model.</w:t>
      </w:r>
      <w:r w:rsidRPr="00BC2515">
        <w:rPr>
          <w:sz w:val="18"/>
          <w:szCs w:val="18"/>
        </w:rPr>
        <w:t xml:space="preserve"> T</w:t>
      </w:r>
      <w:r w:rsidR="002B45A5" w:rsidRPr="00BC2515">
        <w:rPr>
          <w:sz w:val="18"/>
          <w:szCs w:val="18"/>
        </w:rPr>
        <w:t>he t</w:t>
      </w:r>
      <w:r w:rsidRPr="00BC2515">
        <w:rPr>
          <w:sz w:val="18"/>
          <w:szCs w:val="18"/>
        </w:rPr>
        <w:t>est of heterogeneity was conducted during the evaluation.</w:t>
      </w:r>
    </w:p>
    <w:p w:rsidR="00D16346" w:rsidRPr="0030375B" w:rsidRDefault="00D16346" w:rsidP="00D16346">
      <w:pPr>
        <w:pStyle w:val="tabletext2"/>
        <w:keepNext w:val="0"/>
        <w:keepLines/>
        <w:ind w:left="720"/>
        <w:jc w:val="both"/>
        <w:rPr>
          <w:i/>
          <w:sz w:val="18"/>
          <w:szCs w:val="18"/>
        </w:rPr>
      </w:pPr>
      <w:r w:rsidRPr="0030375B">
        <w:rPr>
          <w:sz w:val="18"/>
          <w:szCs w:val="18"/>
        </w:rPr>
        <w:t>Source: Table B-21</w:t>
      </w:r>
      <w:r w:rsidR="00DD6B50" w:rsidRPr="0030375B">
        <w:rPr>
          <w:sz w:val="18"/>
          <w:szCs w:val="18"/>
        </w:rPr>
        <w:t xml:space="preserve"> to Table B-23, p103-105 </w:t>
      </w:r>
      <w:r w:rsidRPr="0030375B">
        <w:rPr>
          <w:sz w:val="18"/>
          <w:szCs w:val="18"/>
        </w:rPr>
        <w:t>of the resubmission</w:t>
      </w:r>
    </w:p>
    <w:p w:rsidR="00D16346" w:rsidRPr="0030375B" w:rsidRDefault="00D16346" w:rsidP="00153604">
      <w:pPr>
        <w:rPr>
          <w:rStyle w:val="CommentReference"/>
          <w:rFonts w:ascii="Arial" w:hAnsi="Arial"/>
          <w:b w:val="0"/>
          <w:sz w:val="22"/>
          <w:szCs w:val="22"/>
        </w:rPr>
      </w:pPr>
    </w:p>
    <w:p w:rsidR="00D16346" w:rsidRPr="008621C5" w:rsidRDefault="00D16346" w:rsidP="00D06055">
      <w:pPr>
        <w:pStyle w:val="ListParagraph"/>
        <w:widowControl/>
        <w:numPr>
          <w:ilvl w:val="1"/>
          <w:numId w:val="9"/>
        </w:numPr>
        <w:rPr>
          <w:szCs w:val="22"/>
        </w:rPr>
      </w:pPr>
      <w:r w:rsidRPr="008621C5">
        <w:rPr>
          <w:szCs w:val="22"/>
        </w:rPr>
        <w:t xml:space="preserve">The results of indirect comparisons, using ranibizumab injection, bevacizumab injection or sham/laser as </w:t>
      </w:r>
      <w:r w:rsidR="006C66B8" w:rsidRPr="008621C5">
        <w:rPr>
          <w:szCs w:val="22"/>
        </w:rPr>
        <w:t xml:space="preserve">the </w:t>
      </w:r>
      <w:r w:rsidRPr="008621C5">
        <w:rPr>
          <w:szCs w:val="22"/>
        </w:rPr>
        <w:t>common reference, consistently indicate</w:t>
      </w:r>
      <w:r w:rsidR="00E36B63" w:rsidRPr="008621C5">
        <w:rPr>
          <w:szCs w:val="22"/>
        </w:rPr>
        <w:t>d</w:t>
      </w:r>
      <w:r w:rsidRPr="008621C5">
        <w:rPr>
          <w:szCs w:val="22"/>
        </w:rPr>
        <w:t xml:space="preserve"> a lower improvement in BCVA in patients receiving dexamethasone implant </w:t>
      </w:r>
      <w:r w:rsidR="003955BD" w:rsidRPr="008621C5">
        <w:rPr>
          <w:szCs w:val="22"/>
        </w:rPr>
        <w:t>compared</w:t>
      </w:r>
      <w:r w:rsidRPr="008621C5">
        <w:rPr>
          <w:szCs w:val="22"/>
        </w:rPr>
        <w:t xml:space="preserve"> </w:t>
      </w:r>
      <w:r w:rsidR="00DD6B50" w:rsidRPr="008621C5">
        <w:rPr>
          <w:szCs w:val="22"/>
        </w:rPr>
        <w:t xml:space="preserve">with </w:t>
      </w:r>
      <w:r w:rsidRPr="008621C5">
        <w:rPr>
          <w:szCs w:val="22"/>
        </w:rPr>
        <w:t xml:space="preserve">those treated with aflibercept injection. </w:t>
      </w:r>
      <w:r w:rsidR="006C66B8" w:rsidRPr="008621C5">
        <w:rPr>
          <w:szCs w:val="22"/>
        </w:rPr>
        <w:t xml:space="preserve">For all indirect comparisons, the lower bounds of the 95% </w:t>
      </w:r>
      <w:r w:rsidR="00223C1F" w:rsidRPr="008621C5">
        <w:rPr>
          <w:szCs w:val="22"/>
        </w:rPr>
        <w:t>confidence intervals (</w:t>
      </w:r>
      <w:r w:rsidR="006C66B8" w:rsidRPr="008621C5">
        <w:rPr>
          <w:szCs w:val="22"/>
        </w:rPr>
        <w:t>C</w:t>
      </w:r>
      <w:r w:rsidR="00223C1F" w:rsidRPr="008621C5">
        <w:rPr>
          <w:szCs w:val="22"/>
        </w:rPr>
        <w:t>I</w:t>
      </w:r>
      <w:r w:rsidR="006C66B8" w:rsidRPr="008621C5">
        <w:rPr>
          <w:szCs w:val="22"/>
        </w:rPr>
        <w:t>s</w:t>
      </w:r>
      <w:r w:rsidR="00223C1F" w:rsidRPr="008621C5">
        <w:rPr>
          <w:szCs w:val="22"/>
        </w:rPr>
        <w:t>)</w:t>
      </w:r>
      <w:r w:rsidR="006C66B8" w:rsidRPr="008621C5">
        <w:rPr>
          <w:szCs w:val="22"/>
        </w:rPr>
        <w:t xml:space="preserve"> (-7.3 to -11.2 letters) were below the </w:t>
      </w:r>
      <w:r w:rsidR="00A31308" w:rsidRPr="008621C5">
        <w:rPr>
          <w:szCs w:val="22"/>
        </w:rPr>
        <w:t xml:space="preserve">nominated </w:t>
      </w:r>
      <w:r w:rsidR="006C66B8" w:rsidRPr="008621C5">
        <w:rPr>
          <w:szCs w:val="22"/>
        </w:rPr>
        <w:t xml:space="preserve">non-inferiority </w:t>
      </w:r>
      <w:r w:rsidR="00223C1F" w:rsidRPr="008621C5">
        <w:rPr>
          <w:szCs w:val="22"/>
        </w:rPr>
        <w:t>margin</w:t>
      </w:r>
      <w:r w:rsidR="006C66B8" w:rsidRPr="008621C5">
        <w:rPr>
          <w:szCs w:val="22"/>
        </w:rPr>
        <w:t xml:space="preserve"> of -5 letters. </w:t>
      </w:r>
      <w:r w:rsidRPr="008621C5">
        <w:rPr>
          <w:szCs w:val="22"/>
        </w:rPr>
        <w:t xml:space="preserve">The differences </w:t>
      </w:r>
      <w:r w:rsidR="00DD6B50" w:rsidRPr="008621C5">
        <w:rPr>
          <w:szCs w:val="22"/>
        </w:rPr>
        <w:t xml:space="preserve">reached statistical significance </w:t>
      </w:r>
      <w:r w:rsidR="006C66B8" w:rsidRPr="008621C5">
        <w:rPr>
          <w:szCs w:val="22"/>
        </w:rPr>
        <w:t>in</w:t>
      </w:r>
      <w:r w:rsidRPr="008621C5">
        <w:rPr>
          <w:szCs w:val="22"/>
        </w:rPr>
        <w:t xml:space="preserve"> </w:t>
      </w:r>
      <w:r w:rsidR="006C66B8" w:rsidRPr="008621C5">
        <w:rPr>
          <w:szCs w:val="22"/>
        </w:rPr>
        <w:t xml:space="preserve">the </w:t>
      </w:r>
      <w:r w:rsidRPr="008621C5">
        <w:rPr>
          <w:szCs w:val="22"/>
        </w:rPr>
        <w:t xml:space="preserve">indirect comparisons </w:t>
      </w:r>
      <w:r w:rsidR="006C66B8" w:rsidRPr="008621C5">
        <w:rPr>
          <w:szCs w:val="22"/>
        </w:rPr>
        <w:t xml:space="preserve">with </w:t>
      </w:r>
      <w:r w:rsidRPr="008621C5">
        <w:rPr>
          <w:szCs w:val="22"/>
        </w:rPr>
        <w:t>ranibizumab injection or sham/laser</w:t>
      </w:r>
      <w:r w:rsidR="006C66B8" w:rsidRPr="008621C5">
        <w:rPr>
          <w:szCs w:val="22"/>
        </w:rPr>
        <w:t xml:space="preserve"> as the common reference</w:t>
      </w:r>
      <w:r w:rsidRPr="008621C5">
        <w:rPr>
          <w:szCs w:val="22"/>
        </w:rPr>
        <w:t xml:space="preserve">. </w:t>
      </w:r>
      <w:r w:rsidR="006C66B8" w:rsidRPr="008621C5">
        <w:t>The results of the indirect comparison</w:t>
      </w:r>
      <w:r w:rsidR="00B0457C" w:rsidRPr="008621C5">
        <w:t>s</w:t>
      </w:r>
      <w:r w:rsidR="006C66B8" w:rsidRPr="008621C5">
        <w:t xml:space="preserve"> should be interpreted with caution given the lack of exchangeability of the trials, which is particularly noticeable when comparing the change from baseline in BCVA across reference arms</w:t>
      </w:r>
      <w:r w:rsidR="00F12627" w:rsidRPr="008621C5">
        <w:t xml:space="preserve"> (eg </w:t>
      </w:r>
      <w:r w:rsidR="00F12627" w:rsidRPr="008621C5">
        <w:rPr>
          <w:szCs w:val="24"/>
        </w:rPr>
        <w:t xml:space="preserve">ranibizumab arms: </w:t>
      </w:r>
      <w:r w:rsidR="008B6DFF">
        <w:rPr>
          <w:noProof/>
          <w:color w:val="000000"/>
          <w:szCs w:val="24"/>
          <w:highlight w:val="black"/>
        </w:rPr>
        <w:t>'''''''''</w:t>
      </w:r>
      <w:r w:rsidR="006C66B8" w:rsidRPr="008621C5">
        <w:rPr>
          <w:szCs w:val="24"/>
        </w:rPr>
        <w:t xml:space="preserve"> letters in Trial 024 versus 11.2 letters in Protocol T).</w:t>
      </w:r>
      <w:r w:rsidR="009713D2" w:rsidRPr="008621C5">
        <w:rPr>
          <w:szCs w:val="24"/>
        </w:rPr>
        <w:t xml:space="preserve"> The PSCR </w:t>
      </w:r>
      <w:r w:rsidR="0030375B" w:rsidRPr="008621C5">
        <w:rPr>
          <w:szCs w:val="24"/>
        </w:rPr>
        <w:t xml:space="preserve">(p2) </w:t>
      </w:r>
      <w:r w:rsidR="009713D2" w:rsidRPr="008621C5">
        <w:rPr>
          <w:szCs w:val="24"/>
        </w:rPr>
        <w:t>recognise</w:t>
      </w:r>
      <w:r w:rsidR="002E14D0" w:rsidRPr="008621C5">
        <w:rPr>
          <w:szCs w:val="24"/>
        </w:rPr>
        <w:t>d</w:t>
      </w:r>
      <w:r w:rsidR="009713D2" w:rsidRPr="008621C5">
        <w:rPr>
          <w:szCs w:val="24"/>
        </w:rPr>
        <w:t xml:space="preserve"> that dexamethasone implant may be inferior to aflibercept injection in a population in whom an intensive </w:t>
      </w:r>
      <w:r w:rsidR="002E14D0" w:rsidRPr="008621C5">
        <w:rPr>
          <w:szCs w:val="24"/>
        </w:rPr>
        <w:t xml:space="preserve">VEGF </w:t>
      </w:r>
      <w:r w:rsidR="00D019E7">
        <w:t xml:space="preserve">inhibitor </w:t>
      </w:r>
      <w:r w:rsidR="002E14D0" w:rsidRPr="008621C5">
        <w:rPr>
          <w:szCs w:val="24"/>
        </w:rPr>
        <w:t xml:space="preserve">regimen poses no issues. </w:t>
      </w:r>
      <w:r w:rsidR="0030375B" w:rsidRPr="008621C5">
        <w:rPr>
          <w:szCs w:val="24"/>
        </w:rPr>
        <w:t>The ESC agreed with this view.</w:t>
      </w:r>
    </w:p>
    <w:p w:rsidR="00D16346" w:rsidRPr="002E14D0" w:rsidRDefault="00D16346" w:rsidP="00D16346">
      <w:pPr>
        <w:widowControl/>
        <w:rPr>
          <w:szCs w:val="22"/>
        </w:rPr>
      </w:pPr>
    </w:p>
    <w:p w:rsidR="007030FF" w:rsidRPr="008621C5" w:rsidRDefault="008720A9" w:rsidP="00D06055">
      <w:pPr>
        <w:pStyle w:val="ListParagraph"/>
        <w:widowControl/>
        <w:numPr>
          <w:ilvl w:val="1"/>
          <w:numId w:val="9"/>
        </w:numPr>
        <w:rPr>
          <w:szCs w:val="22"/>
        </w:rPr>
      </w:pPr>
      <w:r w:rsidRPr="008621C5">
        <w:rPr>
          <w:szCs w:val="22"/>
        </w:rPr>
        <w:t xml:space="preserve">The resubmission indicated that one of the challenges facing DME patients and care providers in clinical practice is the frequent administration of VEGF </w:t>
      </w:r>
      <w:r w:rsidR="00D019E7">
        <w:t xml:space="preserve">inhibitor </w:t>
      </w:r>
      <w:r w:rsidRPr="008621C5">
        <w:rPr>
          <w:szCs w:val="22"/>
        </w:rPr>
        <w:lastRenderedPageBreak/>
        <w:t xml:space="preserve">intravitreal injections and, thus, the potential for poor compliance. </w:t>
      </w:r>
      <w:r w:rsidR="007030FF" w:rsidRPr="008621C5">
        <w:rPr>
          <w:szCs w:val="22"/>
        </w:rPr>
        <w:t>Based on results from observational studies on the use of ranibizumab for treatment of DME, the resubmission concluded that t</w:t>
      </w:r>
      <w:r w:rsidRPr="008621C5">
        <w:rPr>
          <w:szCs w:val="22"/>
        </w:rPr>
        <w:t xml:space="preserve">he mean number of </w:t>
      </w:r>
      <w:r w:rsidR="000B75BE" w:rsidRPr="008621C5">
        <w:rPr>
          <w:szCs w:val="22"/>
        </w:rPr>
        <w:t xml:space="preserve">ranibizumab </w:t>
      </w:r>
      <w:r w:rsidRPr="008621C5">
        <w:rPr>
          <w:szCs w:val="22"/>
        </w:rPr>
        <w:t xml:space="preserve">injections </w:t>
      </w:r>
      <w:r w:rsidR="007030FF" w:rsidRPr="008621C5">
        <w:rPr>
          <w:szCs w:val="22"/>
        </w:rPr>
        <w:t xml:space="preserve">in clinical practice </w:t>
      </w:r>
      <w:r w:rsidR="00894F9A" w:rsidRPr="008621C5">
        <w:rPr>
          <w:szCs w:val="22"/>
        </w:rPr>
        <w:t>was</w:t>
      </w:r>
      <w:r w:rsidRPr="008621C5">
        <w:rPr>
          <w:szCs w:val="22"/>
        </w:rPr>
        <w:t xml:space="preserve"> less than th</w:t>
      </w:r>
      <w:r w:rsidR="007030FF" w:rsidRPr="008621C5">
        <w:rPr>
          <w:szCs w:val="22"/>
        </w:rPr>
        <w:t>at reported</w:t>
      </w:r>
      <w:r w:rsidRPr="008621C5">
        <w:rPr>
          <w:szCs w:val="22"/>
        </w:rPr>
        <w:t xml:space="preserve"> in the </w:t>
      </w:r>
      <w:r w:rsidR="00894F9A" w:rsidRPr="008621C5">
        <w:rPr>
          <w:szCs w:val="22"/>
        </w:rPr>
        <w:t>clinical trials and was</w:t>
      </w:r>
      <w:r w:rsidRPr="008621C5">
        <w:rPr>
          <w:szCs w:val="22"/>
        </w:rPr>
        <w:t xml:space="preserve"> associated with a reduced clinical benefit in visual acuity.</w:t>
      </w:r>
      <w:r w:rsidR="00894F9A" w:rsidRPr="008621C5">
        <w:rPr>
          <w:szCs w:val="22"/>
        </w:rPr>
        <w:t xml:space="preserve"> </w:t>
      </w:r>
      <w:r w:rsidR="00C45335" w:rsidRPr="008621C5">
        <w:rPr>
          <w:szCs w:val="22"/>
        </w:rPr>
        <w:t>T</w:t>
      </w:r>
      <w:r w:rsidR="005124F4" w:rsidRPr="008621C5">
        <w:rPr>
          <w:szCs w:val="22"/>
        </w:rPr>
        <w:t>reatment frequency of ranibizumab and</w:t>
      </w:r>
      <w:r w:rsidR="000078D9" w:rsidRPr="008621C5">
        <w:rPr>
          <w:szCs w:val="22"/>
        </w:rPr>
        <w:t xml:space="preserve"> </w:t>
      </w:r>
      <w:r w:rsidR="003E38F5" w:rsidRPr="008621C5">
        <w:rPr>
          <w:szCs w:val="22"/>
        </w:rPr>
        <w:t xml:space="preserve">change </w:t>
      </w:r>
      <w:r w:rsidR="004F163F" w:rsidRPr="008621C5">
        <w:rPr>
          <w:szCs w:val="22"/>
        </w:rPr>
        <w:t xml:space="preserve">in visual acuity </w:t>
      </w:r>
      <w:r w:rsidR="005124F4" w:rsidRPr="008621C5">
        <w:rPr>
          <w:szCs w:val="22"/>
        </w:rPr>
        <w:t xml:space="preserve">are </w:t>
      </w:r>
      <w:r w:rsidR="000078D9" w:rsidRPr="008621C5">
        <w:rPr>
          <w:szCs w:val="22"/>
        </w:rPr>
        <w:t xml:space="preserve">both </w:t>
      </w:r>
      <w:r w:rsidR="005124F4" w:rsidRPr="008621C5">
        <w:rPr>
          <w:szCs w:val="22"/>
        </w:rPr>
        <w:t xml:space="preserve">likely to be affected by multiple factors, </w:t>
      </w:r>
      <w:r w:rsidR="00DD3262" w:rsidRPr="008621C5">
        <w:rPr>
          <w:szCs w:val="22"/>
        </w:rPr>
        <w:t xml:space="preserve">such as </w:t>
      </w:r>
      <w:r w:rsidR="005124F4" w:rsidRPr="008621C5">
        <w:rPr>
          <w:szCs w:val="22"/>
        </w:rPr>
        <w:t xml:space="preserve">treatment compliance, the </w:t>
      </w:r>
      <w:r w:rsidR="007030FF" w:rsidRPr="008621C5">
        <w:rPr>
          <w:szCs w:val="22"/>
        </w:rPr>
        <w:t xml:space="preserve">treatment protocol </w:t>
      </w:r>
      <w:r w:rsidR="005124F4" w:rsidRPr="008621C5">
        <w:rPr>
          <w:szCs w:val="22"/>
        </w:rPr>
        <w:t xml:space="preserve">specified in a clinical study/trial, and </w:t>
      </w:r>
      <w:r w:rsidR="007030FF" w:rsidRPr="008621C5">
        <w:rPr>
          <w:szCs w:val="22"/>
        </w:rPr>
        <w:t xml:space="preserve">patients’ history of previous VEGF </w:t>
      </w:r>
      <w:r w:rsidR="00D019E7">
        <w:t xml:space="preserve">inhibitor </w:t>
      </w:r>
      <w:r w:rsidR="007030FF" w:rsidRPr="008621C5">
        <w:rPr>
          <w:szCs w:val="22"/>
        </w:rPr>
        <w:t xml:space="preserve">treatment. The </w:t>
      </w:r>
      <w:r w:rsidR="005124F4" w:rsidRPr="008621C5">
        <w:rPr>
          <w:szCs w:val="22"/>
        </w:rPr>
        <w:t xml:space="preserve">ranibizumab </w:t>
      </w:r>
      <w:r w:rsidR="007030FF" w:rsidRPr="008621C5">
        <w:rPr>
          <w:szCs w:val="22"/>
        </w:rPr>
        <w:t xml:space="preserve">retreatment criteria in two of the observational studies (Pearce et al 2014 and Patrao et al 2015) differed from those in </w:t>
      </w:r>
      <w:r w:rsidR="005124F4" w:rsidRPr="008621C5">
        <w:rPr>
          <w:szCs w:val="22"/>
        </w:rPr>
        <w:t>Trial 024</w:t>
      </w:r>
      <w:r w:rsidR="007030FF" w:rsidRPr="008621C5">
        <w:rPr>
          <w:szCs w:val="22"/>
        </w:rPr>
        <w:t xml:space="preserve">. Information on the treatment regimens in the remaining DME studies </w:t>
      </w:r>
      <w:r w:rsidR="005124F4" w:rsidRPr="008621C5">
        <w:rPr>
          <w:szCs w:val="22"/>
        </w:rPr>
        <w:t>i</w:t>
      </w:r>
      <w:r w:rsidR="007030FF" w:rsidRPr="008621C5">
        <w:rPr>
          <w:szCs w:val="22"/>
        </w:rPr>
        <w:t xml:space="preserve">s </w:t>
      </w:r>
      <w:r w:rsidR="005124F4" w:rsidRPr="008621C5">
        <w:rPr>
          <w:szCs w:val="22"/>
        </w:rPr>
        <w:t>absent</w:t>
      </w:r>
      <w:r w:rsidR="007030FF" w:rsidRPr="008621C5">
        <w:rPr>
          <w:szCs w:val="22"/>
        </w:rPr>
        <w:t xml:space="preserve">. In addition, </w:t>
      </w:r>
      <w:r w:rsidR="00DD3262" w:rsidRPr="008621C5">
        <w:rPr>
          <w:szCs w:val="22"/>
        </w:rPr>
        <w:t xml:space="preserve">data on </w:t>
      </w:r>
      <w:r w:rsidR="007030FF" w:rsidRPr="008621C5">
        <w:rPr>
          <w:szCs w:val="22"/>
        </w:rPr>
        <w:t xml:space="preserve">prior </w:t>
      </w:r>
      <w:r w:rsidR="00DD3262" w:rsidRPr="008621C5">
        <w:rPr>
          <w:szCs w:val="22"/>
        </w:rPr>
        <w:t xml:space="preserve">use of </w:t>
      </w:r>
      <w:r w:rsidR="007030FF" w:rsidRPr="008621C5">
        <w:rPr>
          <w:szCs w:val="22"/>
        </w:rPr>
        <w:t xml:space="preserve">VEGF </w:t>
      </w:r>
      <w:r w:rsidR="00DD3262" w:rsidRPr="008621C5">
        <w:rPr>
          <w:szCs w:val="22"/>
        </w:rPr>
        <w:t>inhibitors in the DME studies were not provided</w:t>
      </w:r>
      <w:r w:rsidR="007030FF" w:rsidRPr="008621C5">
        <w:rPr>
          <w:szCs w:val="22"/>
        </w:rPr>
        <w:t>.</w:t>
      </w:r>
      <w:r w:rsidR="005124F4" w:rsidRPr="008621C5">
        <w:rPr>
          <w:szCs w:val="22"/>
        </w:rPr>
        <w:t xml:space="preserve"> </w:t>
      </w:r>
      <w:r w:rsidR="009713D2" w:rsidRPr="008621C5">
        <w:rPr>
          <w:szCs w:val="22"/>
        </w:rPr>
        <w:t xml:space="preserve">The direction of causation for the association between lower number of injections and smaller average letter gain over a year is unknown. </w:t>
      </w:r>
      <w:r w:rsidR="00DD3262" w:rsidRPr="008621C5">
        <w:rPr>
          <w:szCs w:val="22"/>
        </w:rPr>
        <w:t>Overall, poo</w:t>
      </w:r>
      <w:r w:rsidR="00D019E7">
        <w:rPr>
          <w:szCs w:val="22"/>
        </w:rPr>
        <w:t xml:space="preserve">r treatment compliance with a </w:t>
      </w:r>
      <w:r w:rsidR="00DD3262" w:rsidRPr="008621C5">
        <w:rPr>
          <w:szCs w:val="22"/>
        </w:rPr>
        <w:t xml:space="preserve">VEGF </w:t>
      </w:r>
      <w:r w:rsidR="00D019E7">
        <w:t>inhibitor</w:t>
      </w:r>
      <w:r w:rsidR="00DD3262" w:rsidRPr="008621C5">
        <w:rPr>
          <w:szCs w:val="22"/>
        </w:rPr>
        <w:t xml:space="preserve"> in clinical practice, although plausible, has not been adequately supported by the evidence presented in the resubmission. </w:t>
      </w:r>
      <w:r w:rsidR="00EC136A" w:rsidRPr="008621C5">
        <w:rPr>
          <w:szCs w:val="22"/>
        </w:rPr>
        <w:t xml:space="preserve">The resubmission </w:t>
      </w:r>
      <w:r w:rsidR="00D926A7" w:rsidRPr="008621C5">
        <w:rPr>
          <w:szCs w:val="22"/>
        </w:rPr>
        <w:t xml:space="preserve">also </w:t>
      </w:r>
      <w:r w:rsidR="00EC136A" w:rsidRPr="008621C5">
        <w:rPr>
          <w:szCs w:val="22"/>
        </w:rPr>
        <w:t xml:space="preserve">did not provide convincing evidence </w:t>
      </w:r>
      <w:r w:rsidR="00D926A7" w:rsidRPr="008621C5">
        <w:rPr>
          <w:szCs w:val="22"/>
        </w:rPr>
        <w:t>indicating</w:t>
      </w:r>
      <w:r w:rsidR="00EC136A" w:rsidRPr="008621C5">
        <w:rPr>
          <w:szCs w:val="22"/>
        </w:rPr>
        <w:t xml:space="preserve"> </w:t>
      </w:r>
      <w:r w:rsidR="00D926A7" w:rsidRPr="008621C5">
        <w:rPr>
          <w:szCs w:val="22"/>
        </w:rPr>
        <w:t>improved</w:t>
      </w:r>
      <w:r w:rsidR="00EC136A" w:rsidRPr="008621C5">
        <w:rPr>
          <w:szCs w:val="22"/>
        </w:rPr>
        <w:t xml:space="preserve"> treatment compliance with dexamethasone implant</w:t>
      </w:r>
      <w:r w:rsidR="00D926A7" w:rsidRPr="008621C5">
        <w:rPr>
          <w:szCs w:val="22"/>
        </w:rPr>
        <w:t xml:space="preserve"> in a real-world setting</w:t>
      </w:r>
      <w:r w:rsidR="00EC136A" w:rsidRPr="008621C5">
        <w:rPr>
          <w:szCs w:val="22"/>
        </w:rPr>
        <w:t xml:space="preserve">. </w:t>
      </w:r>
      <w:r w:rsidR="00B47B95" w:rsidRPr="008621C5">
        <w:rPr>
          <w:szCs w:val="22"/>
        </w:rPr>
        <w:t xml:space="preserve">Dose-response curves (where dose is determined by frequency) were not provided for any of the medicines. </w:t>
      </w:r>
      <w:r w:rsidR="00D926A7" w:rsidRPr="008621C5">
        <w:rPr>
          <w:szCs w:val="22"/>
        </w:rPr>
        <w:t xml:space="preserve">Therefore, it cannot be reliably determined whether or to what extent </w:t>
      </w:r>
      <w:r w:rsidR="00EC136A" w:rsidRPr="008621C5">
        <w:rPr>
          <w:szCs w:val="22"/>
        </w:rPr>
        <w:t xml:space="preserve">the </w:t>
      </w:r>
      <w:r w:rsidR="00D926A7" w:rsidRPr="008621C5">
        <w:rPr>
          <w:szCs w:val="22"/>
        </w:rPr>
        <w:t xml:space="preserve">difference, if any, in the </w:t>
      </w:r>
      <w:r w:rsidR="00EC136A" w:rsidRPr="008621C5">
        <w:rPr>
          <w:szCs w:val="22"/>
        </w:rPr>
        <w:t xml:space="preserve">treatment compliance </w:t>
      </w:r>
      <w:r w:rsidR="00D926A7" w:rsidRPr="008621C5">
        <w:rPr>
          <w:szCs w:val="22"/>
        </w:rPr>
        <w:t>with dexamethasone implant versus VEGF</w:t>
      </w:r>
      <w:r w:rsidR="00D019E7">
        <w:rPr>
          <w:szCs w:val="22"/>
        </w:rPr>
        <w:t xml:space="preserve"> </w:t>
      </w:r>
      <w:r w:rsidR="00D019E7">
        <w:t>inhibitor</w:t>
      </w:r>
      <w:r w:rsidR="00D926A7" w:rsidRPr="008621C5">
        <w:rPr>
          <w:szCs w:val="22"/>
        </w:rPr>
        <w:t xml:space="preserve">s would </w:t>
      </w:r>
      <w:r w:rsidR="000078D9" w:rsidRPr="008621C5">
        <w:rPr>
          <w:szCs w:val="22"/>
        </w:rPr>
        <w:t xml:space="preserve">affect </w:t>
      </w:r>
      <w:r w:rsidR="002A4CFB" w:rsidRPr="008621C5">
        <w:rPr>
          <w:szCs w:val="22"/>
        </w:rPr>
        <w:t xml:space="preserve">the </w:t>
      </w:r>
      <w:r w:rsidR="000078D9" w:rsidRPr="008621C5">
        <w:rPr>
          <w:szCs w:val="22"/>
        </w:rPr>
        <w:t>comparative</w:t>
      </w:r>
      <w:r w:rsidR="002A4CFB" w:rsidRPr="008621C5">
        <w:rPr>
          <w:szCs w:val="22"/>
        </w:rPr>
        <w:t xml:space="preserve"> treatment effect.</w:t>
      </w:r>
    </w:p>
    <w:p w:rsidR="00D16346" w:rsidRPr="002A4CFB" w:rsidRDefault="00D16346" w:rsidP="00D16346">
      <w:pPr>
        <w:widowControl/>
        <w:rPr>
          <w:szCs w:val="22"/>
        </w:rPr>
      </w:pPr>
    </w:p>
    <w:p w:rsidR="00D16346" w:rsidRPr="00497F10" w:rsidRDefault="00D16346" w:rsidP="009E321C">
      <w:pPr>
        <w:pStyle w:val="Heading2"/>
      </w:pPr>
      <w:bookmarkStart w:id="10" w:name="_Toc440970687"/>
      <w:r w:rsidRPr="00497F10">
        <w:t>Comparative harms</w:t>
      </w:r>
      <w:bookmarkEnd w:id="10"/>
    </w:p>
    <w:p w:rsidR="00D16346" w:rsidRPr="00882085" w:rsidRDefault="00D16346" w:rsidP="00D16346">
      <w:pPr>
        <w:ind w:left="720" w:hanging="720"/>
        <w:rPr>
          <w:szCs w:val="22"/>
        </w:rPr>
      </w:pPr>
    </w:p>
    <w:p w:rsidR="00D16346" w:rsidRPr="008020FB" w:rsidRDefault="00D16346" w:rsidP="00D06055">
      <w:pPr>
        <w:pStyle w:val="ListParagraph"/>
        <w:widowControl/>
        <w:numPr>
          <w:ilvl w:val="1"/>
          <w:numId w:val="9"/>
        </w:numPr>
        <w:rPr>
          <w:szCs w:val="22"/>
        </w:rPr>
      </w:pPr>
      <w:r w:rsidRPr="008020FB">
        <w:rPr>
          <w:szCs w:val="22"/>
        </w:rPr>
        <w:t xml:space="preserve">Indirect comparisons of </w:t>
      </w:r>
      <w:r w:rsidR="00BB6B1B" w:rsidRPr="008020FB">
        <w:rPr>
          <w:szCs w:val="22"/>
        </w:rPr>
        <w:t xml:space="preserve">the </w:t>
      </w:r>
      <w:r w:rsidRPr="008020FB">
        <w:rPr>
          <w:szCs w:val="22"/>
        </w:rPr>
        <w:t xml:space="preserve">safety </w:t>
      </w:r>
      <w:r w:rsidR="00BB6B1B" w:rsidRPr="008020FB">
        <w:rPr>
          <w:szCs w:val="22"/>
        </w:rPr>
        <w:t>results</w:t>
      </w:r>
      <w:r w:rsidRPr="008020FB">
        <w:rPr>
          <w:szCs w:val="22"/>
        </w:rPr>
        <w:t xml:space="preserve"> between dexamethasone implant and aflibercept injection were based on overall DME patients who received at least one dose of the study drug, </w:t>
      </w:r>
      <w:r w:rsidR="001978D4" w:rsidRPr="008020FB">
        <w:rPr>
          <w:szCs w:val="22"/>
        </w:rPr>
        <w:t>due to</w:t>
      </w:r>
      <w:r w:rsidRPr="008020FB">
        <w:rPr>
          <w:szCs w:val="22"/>
        </w:rPr>
        <w:t xml:space="preserve"> the insufficient safety </w:t>
      </w:r>
      <w:r w:rsidR="00BB6B1B" w:rsidRPr="008020FB">
        <w:rPr>
          <w:szCs w:val="22"/>
        </w:rPr>
        <w:t>data</w:t>
      </w:r>
      <w:r w:rsidRPr="008020FB">
        <w:rPr>
          <w:szCs w:val="22"/>
        </w:rPr>
        <w:t xml:space="preserve"> for the pseudophakic subgroup from the </w:t>
      </w:r>
      <w:r w:rsidR="00BB6B1B" w:rsidRPr="008020FB">
        <w:rPr>
          <w:szCs w:val="22"/>
        </w:rPr>
        <w:t xml:space="preserve">included </w:t>
      </w:r>
      <w:r w:rsidRPr="008020FB">
        <w:rPr>
          <w:szCs w:val="22"/>
        </w:rPr>
        <w:t>trials</w:t>
      </w:r>
      <w:r w:rsidR="00BB6B1B" w:rsidRPr="008020FB">
        <w:rPr>
          <w:szCs w:val="22"/>
        </w:rPr>
        <w:t>.</w:t>
      </w:r>
      <w:r w:rsidRPr="008020FB">
        <w:rPr>
          <w:szCs w:val="22"/>
        </w:rPr>
        <w:t xml:space="preserve"> Interpretation of the safety results, particularly the risk of ocular </w:t>
      </w:r>
      <w:r w:rsidR="001978D4" w:rsidRPr="008020FB">
        <w:rPr>
          <w:szCs w:val="22"/>
        </w:rPr>
        <w:t xml:space="preserve">adverse events </w:t>
      </w:r>
      <w:r w:rsidRPr="008020FB">
        <w:rPr>
          <w:szCs w:val="22"/>
        </w:rPr>
        <w:t>likely to be associated with development of cataracts, should consider that listing is proposed for patients with an artificial lens (pseudophakic eye) and thus may have limited applicability. The other major concern is the lack of exchangeability between the trial sets</w:t>
      </w:r>
      <w:r w:rsidR="00FC353B" w:rsidRPr="008020FB">
        <w:rPr>
          <w:szCs w:val="22"/>
        </w:rPr>
        <w:t xml:space="preserve">, particularly the </w:t>
      </w:r>
      <w:r w:rsidR="005E11F1" w:rsidRPr="008020FB">
        <w:rPr>
          <w:szCs w:val="22"/>
        </w:rPr>
        <w:t>varying</w:t>
      </w:r>
      <w:r w:rsidRPr="008020FB">
        <w:rPr>
          <w:szCs w:val="22"/>
        </w:rPr>
        <w:t xml:space="preserve"> treatment</w:t>
      </w:r>
      <w:r w:rsidR="002C4F32" w:rsidRPr="008020FB">
        <w:rPr>
          <w:szCs w:val="22"/>
        </w:rPr>
        <w:t>s</w:t>
      </w:r>
      <w:r w:rsidRPr="008020FB">
        <w:rPr>
          <w:szCs w:val="22"/>
        </w:rPr>
        <w:t xml:space="preserve"> in the common reference groups.</w:t>
      </w:r>
    </w:p>
    <w:p w:rsidR="00D16346" w:rsidRPr="008020FB" w:rsidRDefault="00D16346" w:rsidP="00D16346">
      <w:pPr>
        <w:widowControl/>
        <w:rPr>
          <w:szCs w:val="22"/>
        </w:rPr>
      </w:pPr>
    </w:p>
    <w:p w:rsidR="00D16346" w:rsidRPr="008020FB" w:rsidRDefault="00D16346" w:rsidP="00D06055">
      <w:pPr>
        <w:pStyle w:val="ListParagraph"/>
        <w:widowControl/>
        <w:numPr>
          <w:ilvl w:val="1"/>
          <w:numId w:val="9"/>
        </w:numPr>
        <w:rPr>
          <w:szCs w:val="22"/>
        </w:rPr>
      </w:pPr>
      <w:r w:rsidRPr="008020FB">
        <w:rPr>
          <w:szCs w:val="22"/>
        </w:rPr>
        <w:t xml:space="preserve">Results of all indirect comparisons </w:t>
      </w:r>
      <w:r w:rsidR="007E41A1" w:rsidRPr="008020FB">
        <w:rPr>
          <w:szCs w:val="22"/>
        </w:rPr>
        <w:t>indicated</w:t>
      </w:r>
      <w:r w:rsidRPr="008020FB">
        <w:rPr>
          <w:szCs w:val="22"/>
        </w:rPr>
        <w:t xml:space="preserve"> a higher rate </w:t>
      </w:r>
      <w:r w:rsidR="00A71145" w:rsidRPr="008020FB">
        <w:rPr>
          <w:szCs w:val="22"/>
        </w:rPr>
        <w:t xml:space="preserve">of </w:t>
      </w:r>
      <w:r w:rsidRPr="008020FB">
        <w:rPr>
          <w:szCs w:val="22"/>
        </w:rPr>
        <w:t xml:space="preserve">elevated IOP with dexamethasone implant compared </w:t>
      </w:r>
      <w:r w:rsidR="00381C18" w:rsidRPr="008020FB">
        <w:rPr>
          <w:szCs w:val="22"/>
        </w:rPr>
        <w:t>to</w:t>
      </w:r>
      <w:r w:rsidRPr="008020FB">
        <w:rPr>
          <w:szCs w:val="22"/>
        </w:rPr>
        <w:t xml:space="preserve"> aflibercept injection (indirect relative risks (RRs): 4.31 [1.29, 14.43], 2.47 [0.62, 9.29] and 6.16 [1.88, 20.20], using ranibizumab, bevacizumab and sham/laser, respecti</w:t>
      </w:r>
      <w:r w:rsidR="00700925" w:rsidRPr="008020FB">
        <w:rPr>
          <w:szCs w:val="22"/>
        </w:rPr>
        <w:t xml:space="preserve">vely, as the common reference). </w:t>
      </w:r>
      <w:r w:rsidR="008B094B" w:rsidRPr="008020FB">
        <w:rPr>
          <w:szCs w:val="22"/>
        </w:rPr>
        <w:t xml:space="preserve">In comparison with aflibercept injection, dexamethasone implant was associated with a significantly higher incidence of overall ocular adverse events (indirect RR: 1.58 [1.28, 1.95] and vitreous floaters (indirect RR: 7.61 [1.63, 35.47]), using sham/laser and ranibizumab, respectively, as the common reference. </w:t>
      </w:r>
      <w:r w:rsidRPr="008020FB">
        <w:rPr>
          <w:szCs w:val="22"/>
        </w:rPr>
        <w:t xml:space="preserve">The risk for conjunctival haemorrhage was </w:t>
      </w:r>
      <w:r w:rsidR="008B094B" w:rsidRPr="008020FB">
        <w:rPr>
          <w:szCs w:val="22"/>
        </w:rPr>
        <w:t xml:space="preserve">numerically </w:t>
      </w:r>
      <w:r w:rsidR="00381C18" w:rsidRPr="008020FB">
        <w:rPr>
          <w:szCs w:val="22"/>
        </w:rPr>
        <w:t>great</w:t>
      </w:r>
      <w:r w:rsidRPr="008020FB">
        <w:rPr>
          <w:szCs w:val="22"/>
        </w:rPr>
        <w:t xml:space="preserve">er in patients receiving dexamethasone implant than those </w:t>
      </w:r>
      <w:r w:rsidR="00A71145" w:rsidRPr="008020FB">
        <w:rPr>
          <w:szCs w:val="22"/>
        </w:rPr>
        <w:t>in the</w:t>
      </w:r>
      <w:r w:rsidRPr="008020FB">
        <w:rPr>
          <w:szCs w:val="22"/>
        </w:rPr>
        <w:t xml:space="preserve"> aflibercept injection</w:t>
      </w:r>
      <w:r w:rsidR="00A71145" w:rsidRPr="008020FB">
        <w:rPr>
          <w:szCs w:val="22"/>
        </w:rPr>
        <w:t xml:space="preserve"> arms</w:t>
      </w:r>
      <w:r w:rsidRPr="008020FB">
        <w:rPr>
          <w:szCs w:val="22"/>
        </w:rPr>
        <w:t xml:space="preserve">, </w:t>
      </w:r>
      <w:r w:rsidR="007E41A1" w:rsidRPr="008020FB">
        <w:rPr>
          <w:szCs w:val="22"/>
        </w:rPr>
        <w:t xml:space="preserve">when compared </w:t>
      </w:r>
      <w:r w:rsidR="00C17AE4">
        <w:rPr>
          <w:szCs w:val="22"/>
        </w:rPr>
        <w:t xml:space="preserve">with </w:t>
      </w:r>
      <w:r w:rsidR="007E41A1" w:rsidRPr="008020FB">
        <w:rPr>
          <w:szCs w:val="22"/>
        </w:rPr>
        <w:t>the results from Trial 024 and Protocol T using ranibizumab as the common reference</w:t>
      </w:r>
      <w:r w:rsidRPr="008020FB">
        <w:rPr>
          <w:szCs w:val="22"/>
        </w:rPr>
        <w:t xml:space="preserve"> (indirect RR: 1.43 [0.70, 2.91]). </w:t>
      </w:r>
      <w:r w:rsidR="00D03000" w:rsidRPr="008020FB">
        <w:rPr>
          <w:szCs w:val="22"/>
        </w:rPr>
        <w:t>R</w:t>
      </w:r>
      <w:r w:rsidRPr="008020FB">
        <w:rPr>
          <w:szCs w:val="22"/>
        </w:rPr>
        <w:t>e</w:t>
      </w:r>
      <w:r w:rsidR="00D03000" w:rsidRPr="008020FB">
        <w:rPr>
          <w:szCs w:val="22"/>
        </w:rPr>
        <w:t xml:space="preserve">sults from indirect comparisons, although lacking exchangeability, suggest </w:t>
      </w:r>
      <w:r w:rsidRPr="008020FB">
        <w:rPr>
          <w:szCs w:val="22"/>
        </w:rPr>
        <w:t>an inferior safety profile of dexamethasone implant compared with a</w:t>
      </w:r>
      <w:r w:rsidR="00D019E7">
        <w:rPr>
          <w:szCs w:val="22"/>
        </w:rPr>
        <w:t xml:space="preserve"> </w:t>
      </w:r>
      <w:r w:rsidRPr="008020FB">
        <w:rPr>
          <w:szCs w:val="22"/>
        </w:rPr>
        <w:t xml:space="preserve">VEGF </w:t>
      </w:r>
      <w:r w:rsidR="00D019E7">
        <w:t>inhibitor</w:t>
      </w:r>
      <w:r w:rsidR="00D03000" w:rsidRPr="008020FB">
        <w:rPr>
          <w:szCs w:val="22"/>
        </w:rPr>
        <w:t xml:space="preserve"> for some important adverse events</w:t>
      </w:r>
      <w:r w:rsidR="00B47B95" w:rsidRPr="008020FB">
        <w:rPr>
          <w:szCs w:val="22"/>
        </w:rPr>
        <w:t>.</w:t>
      </w:r>
    </w:p>
    <w:p w:rsidR="00D16346" w:rsidRDefault="00D16346" w:rsidP="00D16346">
      <w:pPr>
        <w:widowControl/>
        <w:rPr>
          <w:szCs w:val="22"/>
        </w:rPr>
      </w:pPr>
    </w:p>
    <w:p w:rsidR="00302FC5" w:rsidRPr="00B47B95" w:rsidRDefault="00302FC5" w:rsidP="00D16346">
      <w:pPr>
        <w:widowControl/>
        <w:rPr>
          <w:szCs w:val="22"/>
        </w:rPr>
      </w:pPr>
    </w:p>
    <w:p w:rsidR="00D16346" w:rsidRPr="00497F10" w:rsidRDefault="00D16346" w:rsidP="009E321C">
      <w:pPr>
        <w:pStyle w:val="Heading2"/>
      </w:pPr>
      <w:bookmarkStart w:id="11" w:name="_Toc440970688"/>
      <w:r w:rsidRPr="00497F10">
        <w:lastRenderedPageBreak/>
        <w:t>Benefits/harms</w:t>
      </w:r>
      <w:bookmarkEnd w:id="11"/>
    </w:p>
    <w:p w:rsidR="00D16346" w:rsidRPr="007F1017" w:rsidRDefault="00D16346" w:rsidP="00D16346">
      <w:pPr>
        <w:pStyle w:val="ListParagraph"/>
        <w:ind w:left="0"/>
        <w:rPr>
          <w:szCs w:val="22"/>
        </w:rPr>
      </w:pPr>
    </w:p>
    <w:p w:rsidR="00D16346" w:rsidRPr="00C34594" w:rsidRDefault="00D16346" w:rsidP="00D06055">
      <w:pPr>
        <w:pStyle w:val="ListParagraph"/>
        <w:widowControl/>
        <w:numPr>
          <w:ilvl w:val="1"/>
          <w:numId w:val="9"/>
        </w:numPr>
        <w:rPr>
          <w:szCs w:val="22"/>
        </w:rPr>
      </w:pPr>
      <w:r w:rsidRPr="00C34594">
        <w:rPr>
          <w:szCs w:val="22"/>
        </w:rPr>
        <w:t xml:space="preserve">Given the lack </w:t>
      </w:r>
      <w:r w:rsidR="00700925">
        <w:rPr>
          <w:szCs w:val="22"/>
        </w:rPr>
        <w:t xml:space="preserve">of </w:t>
      </w:r>
      <w:r w:rsidRPr="00C34594">
        <w:rPr>
          <w:szCs w:val="22"/>
        </w:rPr>
        <w:t xml:space="preserve">comparative evidence from head-to-head trials and the major concerns regarding the indirect comparisons </w:t>
      </w:r>
      <w:r w:rsidR="002F5928">
        <w:rPr>
          <w:szCs w:val="22"/>
        </w:rPr>
        <w:t xml:space="preserve">of </w:t>
      </w:r>
      <w:r w:rsidRPr="00C34594">
        <w:rPr>
          <w:szCs w:val="22"/>
        </w:rPr>
        <w:t xml:space="preserve">clinical studies with exchangeability issues, </w:t>
      </w:r>
      <w:r w:rsidR="002F5928">
        <w:rPr>
          <w:szCs w:val="22"/>
        </w:rPr>
        <w:t>a</w:t>
      </w:r>
      <w:r w:rsidR="002F5928" w:rsidRPr="00C34594">
        <w:rPr>
          <w:szCs w:val="22"/>
        </w:rPr>
        <w:t xml:space="preserve"> summary table of benefits and harms </w:t>
      </w:r>
      <w:r w:rsidR="002F5928">
        <w:rPr>
          <w:szCs w:val="22"/>
        </w:rPr>
        <w:t xml:space="preserve">for dexamethasone implant relative to aflibercept injection was not </w:t>
      </w:r>
      <w:r w:rsidR="002F5928" w:rsidRPr="00C34594">
        <w:rPr>
          <w:szCs w:val="22"/>
        </w:rPr>
        <w:t>formulated</w:t>
      </w:r>
      <w:r w:rsidR="002F5928">
        <w:rPr>
          <w:szCs w:val="22"/>
        </w:rPr>
        <w:t xml:space="preserve"> as it </w:t>
      </w:r>
      <w:r w:rsidR="00B47B95">
        <w:rPr>
          <w:szCs w:val="22"/>
        </w:rPr>
        <w:t>would</w:t>
      </w:r>
      <w:r w:rsidR="002F5928">
        <w:rPr>
          <w:szCs w:val="22"/>
        </w:rPr>
        <w:t xml:space="preserve"> likely be misleading.</w:t>
      </w:r>
    </w:p>
    <w:p w:rsidR="00D16346" w:rsidRDefault="00D16346" w:rsidP="00D16346">
      <w:pPr>
        <w:ind w:left="720" w:hanging="720"/>
        <w:rPr>
          <w:szCs w:val="22"/>
        </w:rPr>
      </w:pPr>
    </w:p>
    <w:p w:rsidR="00D16346" w:rsidRPr="00C34594" w:rsidRDefault="00D16346" w:rsidP="00D16346">
      <w:pPr>
        <w:outlineLvl w:val="1"/>
        <w:rPr>
          <w:b/>
          <w:i/>
        </w:rPr>
      </w:pPr>
      <w:bookmarkStart w:id="12" w:name="_Toc437888562"/>
      <w:r w:rsidRPr="00C34594">
        <w:rPr>
          <w:b/>
          <w:i/>
        </w:rPr>
        <w:t>Clinical claim</w:t>
      </w:r>
      <w:bookmarkEnd w:id="12"/>
    </w:p>
    <w:p w:rsidR="00D16346" w:rsidRPr="00C34594" w:rsidRDefault="00D16346" w:rsidP="00D16346">
      <w:pPr>
        <w:ind w:left="720" w:hanging="720"/>
        <w:rPr>
          <w:szCs w:val="22"/>
        </w:rPr>
      </w:pPr>
    </w:p>
    <w:p w:rsidR="00D16346" w:rsidRPr="008020FB" w:rsidRDefault="00D16346" w:rsidP="00D06055">
      <w:pPr>
        <w:numPr>
          <w:ilvl w:val="1"/>
          <w:numId w:val="9"/>
        </w:numPr>
        <w:contextualSpacing/>
      </w:pPr>
      <w:r w:rsidRPr="00C34594">
        <w:t xml:space="preserve">The </w:t>
      </w:r>
      <w:r>
        <w:t>re</w:t>
      </w:r>
      <w:r w:rsidRPr="00C34594">
        <w:t>submission describe</w:t>
      </w:r>
      <w:r w:rsidR="002D475A">
        <w:t>d</w:t>
      </w:r>
      <w:r>
        <w:t xml:space="preserve"> </w:t>
      </w:r>
      <w:r w:rsidRPr="008F4D3D">
        <w:t xml:space="preserve">dexamethasone implant </w:t>
      </w:r>
      <w:r w:rsidR="002F5928">
        <w:t>as</w:t>
      </w:r>
      <w:r w:rsidRPr="008F4D3D">
        <w:t xml:space="preserve"> non-inferior to ranibizumab injection, but acknowledge</w:t>
      </w:r>
      <w:r w:rsidR="002D475A">
        <w:t>d</w:t>
      </w:r>
      <w:r w:rsidRPr="008F4D3D">
        <w:t xml:space="preserve"> that dexamethasone implant m</w:t>
      </w:r>
      <w:r w:rsidR="002D475A">
        <w:t>ight</w:t>
      </w:r>
      <w:r w:rsidRPr="008F4D3D">
        <w:t xml:space="preserve"> be inferior to aflibercept injection</w:t>
      </w:r>
      <w:r w:rsidR="002B45A5">
        <w:t xml:space="preserve">, </w:t>
      </w:r>
      <w:r w:rsidR="002B45A5" w:rsidRPr="008F4D3D">
        <w:t xml:space="preserve">in </w:t>
      </w:r>
      <w:r w:rsidR="002B45A5">
        <w:t>terms of effectiveness</w:t>
      </w:r>
      <w:r w:rsidRPr="008F4D3D">
        <w:t xml:space="preserve"> in </w:t>
      </w:r>
      <w:r>
        <w:t xml:space="preserve">DME patients with </w:t>
      </w:r>
      <w:r w:rsidRPr="004A1C38">
        <w:t xml:space="preserve">pseudophakic </w:t>
      </w:r>
      <w:r w:rsidR="002D475A">
        <w:t>eye</w:t>
      </w:r>
      <w:r w:rsidRPr="004A1C38">
        <w:t>s (or eyes scheduled for cataract surgery)</w:t>
      </w:r>
      <w:r w:rsidRPr="008F4D3D">
        <w:t>.</w:t>
      </w:r>
      <w:r>
        <w:t xml:space="preserve"> </w:t>
      </w:r>
      <w:r w:rsidRPr="00E42CDF">
        <w:t xml:space="preserve">The </w:t>
      </w:r>
      <w:r w:rsidR="0087434A">
        <w:t>re</w:t>
      </w:r>
      <w:r w:rsidRPr="00E42CDF">
        <w:t>submission describe</w:t>
      </w:r>
      <w:r w:rsidR="002D475A">
        <w:t>d</w:t>
      </w:r>
      <w:r w:rsidRPr="00E42CDF">
        <w:t xml:space="preserve"> dexamethasone implant </w:t>
      </w:r>
      <w:r w:rsidR="002D475A">
        <w:t>as</w:t>
      </w:r>
      <w:r w:rsidRPr="00E42CDF">
        <w:t xml:space="preserve"> inferior to ranibizumab injection and aflibercept injection </w:t>
      </w:r>
      <w:r w:rsidRPr="008020FB">
        <w:t>in terms of safety.</w:t>
      </w:r>
    </w:p>
    <w:p w:rsidR="00D16346" w:rsidRPr="008020FB" w:rsidRDefault="00D16346" w:rsidP="00B47B95">
      <w:pPr>
        <w:contextualSpacing/>
      </w:pPr>
    </w:p>
    <w:p w:rsidR="00D16346" w:rsidRPr="008020FB" w:rsidRDefault="00D16346" w:rsidP="00D06055">
      <w:pPr>
        <w:numPr>
          <w:ilvl w:val="1"/>
          <w:numId w:val="9"/>
        </w:numPr>
        <w:contextualSpacing/>
      </w:pPr>
      <w:r w:rsidRPr="008020FB">
        <w:t xml:space="preserve">The claim of </w:t>
      </w:r>
      <w:r w:rsidR="002F5928" w:rsidRPr="008020FB">
        <w:t xml:space="preserve">non-inferior comparative effectiveness </w:t>
      </w:r>
      <w:r w:rsidR="00055509" w:rsidRPr="008020FB">
        <w:t>of</w:t>
      </w:r>
      <w:r w:rsidR="002F5928" w:rsidRPr="008020FB">
        <w:t xml:space="preserve"> </w:t>
      </w:r>
      <w:r w:rsidRPr="008020FB">
        <w:t xml:space="preserve">dexamethasone implant </w:t>
      </w:r>
      <w:r w:rsidR="00055509" w:rsidRPr="008020FB">
        <w:t xml:space="preserve">versus </w:t>
      </w:r>
      <w:r w:rsidRPr="008020FB">
        <w:t xml:space="preserve">ranibizumab injection </w:t>
      </w:r>
      <w:r w:rsidR="002F5928" w:rsidRPr="008020FB">
        <w:t>w</w:t>
      </w:r>
      <w:r w:rsidRPr="008020FB">
        <w:t>as previously rejected by the PBAC based on the direct Trial 024</w:t>
      </w:r>
      <w:r w:rsidR="008F20CF" w:rsidRPr="008020FB">
        <w:t>. No new direct evidence was presented in the current resubmission</w:t>
      </w:r>
      <w:r w:rsidR="00000527">
        <w:t xml:space="preserve"> which could change this conclusion</w:t>
      </w:r>
      <w:r w:rsidR="008F20CF" w:rsidRPr="008020FB">
        <w:t xml:space="preserve">. </w:t>
      </w:r>
      <w:r w:rsidRPr="008020FB">
        <w:t>The inferior</w:t>
      </w:r>
      <w:r w:rsidR="00DC4B1D" w:rsidRPr="008020FB">
        <w:t>ity</w:t>
      </w:r>
      <w:r w:rsidRPr="008020FB">
        <w:t xml:space="preserve"> claim of dexamethasone implant </w:t>
      </w:r>
      <w:r w:rsidR="00A31308" w:rsidRPr="008020FB">
        <w:t xml:space="preserve">compared with </w:t>
      </w:r>
      <w:r w:rsidRPr="008020FB">
        <w:t xml:space="preserve">aflibercept injection in terms of effectiveness is appropriate. The claim of inferior safety profile of dexamethasone implant versus </w:t>
      </w:r>
      <w:r w:rsidR="00352CB3" w:rsidRPr="008020FB">
        <w:t xml:space="preserve">the </w:t>
      </w:r>
      <w:r w:rsidRPr="008020FB">
        <w:t xml:space="preserve">PBS-listed VEGF </w:t>
      </w:r>
      <w:r w:rsidR="00D019E7">
        <w:t>inhibitor</w:t>
      </w:r>
      <w:r w:rsidRPr="008020FB">
        <w:t>s</w:t>
      </w:r>
      <w:r w:rsidR="00055509" w:rsidRPr="008020FB">
        <w:t>, ie ranibizumab and aflibercept,</w:t>
      </w:r>
      <w:r w:rsidRPr="008020FB">
        <w:t xml:space="preserve"> has been supported by the clinical evidence presented in the previous submission and </w:t>
      </w:r>
      <w:r w:rsidR="00352CB3" w:rsidRPr="008020FB">
        <w:t xml:space="preserve">in </w:t>
      </w:r>
      <w:r w:rsidRPr="008020FB">
        <w:t>the current resubmission.</w:t>
      </w:r>
    </w:p>
    <w:p w:rsidR="00D16346" w:rsidRPr="008020FB" w:rsidRDefault="00D16346" w:rsidP="00D16346"/>
    <w:p w:rsidR="00B25B10" w:rsidRDefault="00352CB3" w:rsidP="00D06055">
      <w:pPr>
        <w:pStyle w:val="ListParagraph"/>
        <w:numPr>
          <w:ilvl w:val="1"/>
          <w:numId w:val="9"/>
        </w:numPr>
      </w:pPr>
      <w:r w:rsidRPr="008020FB">
        <w:t>T</w:t>
      </w:r>
      <w:r w:rsidR="00D16346" w:rsidRPr="008020FB">
        <w:t xml:space="preserve">he resubmission maintained that dexamethasone implant is non-inferior to ranibizumab and aflibercept injections in a subgroup </w:t>
      </w:r>
      <w:r w:rsidR="00CA6CE0">
        <w:t xml:space="preserve">of patients </w:t>
      </w:r>
      <w:r w:rsidR="00D16346" w:rsidRPr="008020FB">
        <w:t>for whom a</w:t>
      </w:r>
      <w:r w:rsidR="00E641A3">
        <w:t xml:space="preserve"> </w:t>
      </w:r>
      <w:r w:rsidR="00D16346" w:rsidRPr="008020FB">
        <w:t xml:space="preserve">VEGF </w:t>
      </w:r>
      <w:r w:rsidR="00E641A3">
        <w:t>inhibitor</w:t>
      </w:r>
      <w:r w:rsidR="00D16346" w:rsidRPr="008020FB">
        <w:t xml:space="preserve"> is not the preferred option. </w:t>
      </w:r>
      <w:r w:rsidR="00B25B10" w:rsidRPr="008020FB">
        <w:t xml:space="preserve">This clinical claim has not been justified. VEGF inhibitors are not the appropriate comparator for dexamethasone implant for patients who </w:t>
      </w:r>
      <w:r w:rsidR="00AA149C">
        <w:t>have a contraindication</w:t>
      </w:r>
      <w:r w:rsidR="00B25B10" w:rsidRPr="008020FB">
        <w:t xml:space="preserve"> to or have failed a</w:t>
      </w:r>
      <w:r w:rsidR="00E641A3">
        <w:t xml:space="preserve"> </w:t>
      </w:r>
      <w:r w:rsidR="00B25B10" w:rsidRPr="008020FB">
        <w:t xml:space="preserve">VEGF </w:t>
      </w:r>
      <w:r w:rsidR="00E641A3">
        <w:t>inhibitor</w:t>
      </w:r>
      <w:r w:rsidR="00B25B10" w:rsidRPr="008020FB">
        <w:t>. In patients for whom a</w:t>
      </w:r>
      <w:r w:rsidR="00E641A3">
        <w:t xml:space="preserve"> </w:t>
      </w:r>
      <w:r w:rsidR="00B25B10" w:rsidRPr="008020FB">
        <w:t xml:space="preserve">VEGF </w:t>
      </w:r>
      <w:r w:rsidR="00E641A3">
        <w:t xml:space="preserve">inhibitor </w:t>
      </w:r>
      <w:r w:rsidR="00B25B10" w:rsidRPr="008020FB">
        <w:t>is not preferred due to concerns surrounding compliance, a</w:t>
      </w:r>
      <w:r w:rsidR="00E641A3">
        <w:t xml:space="preserve"> </w:t>
      </w:r>
      <w:r w:rsidR="00B25B10" w:rsidRPr="008020FB">
        <w:t xml:space="preserve">VEGF </w:t>
      </w:r>
      <w:r w:rsidR="00E641A3">
        <w:t xml:space="preserve">inhibitor </w:t>
      </w:r>
      <w:r w:rsidR="00B25B10" w:rsidRPr="008020FB">
        <w:t>may be an appropriate comparator</w:t>
      </w:r>
      <w:r w:rsidR="00CE3AA4" w:rsidRPr="008020FB">
        <w:t>. However, the resubmission did not conduct any formal direct or indirect comparisons of dexamethasone implant versus ranibizumab or aflibercept in the non-compliant patients to determine the comparative treatment effect of these drugs</w:t>
      </w:r>
      <w:r w:rsidR="00B47B95" w:rsidRPr="008020FB">
        <w:t>.</w:t>
      </w:r>
    </w:p>
    <w:p w:rsidR="007A4B25" w:rsidRPr="008020FB" w:rsidRDefault="007A4B25" w:rsidP="007A4B25"/>
    <w:p w:rsidR="00122323" w:rsidRPr="002B45A5" w:rsidRDefault="00122323" w:rsidP="00D06055">
      <w:pPr>
        <w:pStyle w:val="ListParagraph"/>
        <w:widowControl/>
        <w:numPr>
          <w:ilvl w:val="1"/>
          <w:numId w:val="9"/>
        </w:numPr>
        <w:rPr>
          <w:bCs/>
        </w:rPr>
      </w:pPr>
      <w:r w:rsidRPr="002B45A5">
        <w:rPr>
          <w:bCs/>
        </w:rPr>
        <w:t>Consistent with its previous finding, the PBAC considered that the claim of non-inferior comparative effectiveness to ranibizumab was not adequately supported by the data. The PBAC considered that the claim of inferior comparative effectiveness to aflibercept injection was reasonable.</w:t>
      </w:r>
      <w:r w:rsidR="0035561C">
        <w:rPr>
          <w:bCs/>
        </w:rPr>
        <w:t xml:space="preserve"> Overall</w:t>
      </w:r>
      <w:r w:rsidR="0035561C">
        <w:t xml:space="preserve">, the PBAC concluded from the evidence provided that </w:t>
      </w:r>
      <w:r w:rsidR="0035561C" w:rsidRPr="005F1B21">
        <w:t xml:space="preserve">dexamethasone implant </w:t>
      </w:r>
      <w:r w:rsidR="0035561C">
        <w:t>is less effective than</w:t>
      </w:r>
      <w:r w:rsidR="0035561C" w:rsidRPr="005F1B21">
        <w:t xml:space="preserve"> </w:t>
      </w:r>
      <w:r w:rsidR="0035561C">
        <w:t xml:space="preserve">either </w:t>
      </w:r>
      <w:r w:rsidR="0035561C" w:rsidRPr="005F1B21">
        <w:t>ranibizumab or aflibercept injection</w:t>
      </w:r>
      <w:r w:rsidR="0035561C">
        <w:t>.</w:t>
      </w:r>
    </w:p>
    <w:p w:rsidR="00122323" w:rsidRPr="002B45A5" w:rsidRDefault="00122323" w:rsidP="00122323">
      <w:pPr>
        <w:rPr>
          <w:bCs/>
          <w:szCs w:val="22"/>
        </w:rPr>
      </w:pPr>
    </w:p>
    <w:p w:rsidR="007A4B25" w:rsidRPr="00BC2515" w:rsidRDefault="007A4B25" w:rsidP="00D06055">
      <w:pPr>
        <w:pStyle w:val="ListParagraph"/>
        <w:widowControl/>
        <w:numPr>
          <w:ilvl w:val="1"/>
          <w:numId w:val="9"/>
        </w:numPr>
        <w:rPr>
          <w:szCs w:val="22"/>
        </w:rPr>
      </w:pPr>
      <w:r w:rsidRPr="00BC2515">
        <w:rPr>
          <w:szCs w:val="22"/>
        </w:rPr>
        <w:t>The PBAC considered that the claim of inferior comparative safety</w:t>
      </w:r>
      <w:r w:rsidR="00122323" w:rsidRPr="00BC2515">
        <w:rPr>
          <w:szCs w:val="22"/>
        </w:rPr>
        <w:t xml:space="preserve"> between dexamethasone and ranibizumab</w:t>
      </w:r>
      <w:r w:rsidR="00BC2515">
        <w:rPr>
          <w:szCs w:val="22"/>
        </w:rPr>
        <w:t xml:space="preserve"> or </w:t>
      </w:r>
      <w:r w:rsidR="00122323" w:rsidRPr="00BC2515">
        <w:rPr>
          <w:szCs w:val="22"/>
        </w:rPr>
        <w:t>aflibercept injections</w:t>
      </w:r>
      <w:r w:rsidRPr="00BC2515">
        <w:rPr>
          <w:szCs w:val="22"/>
        </w:rPr>
        <w:t xml:space="preserve"> was reasonable.</w:t>
      </w:r>
    </w:p>
    <w:p w:rsidR="00B25B10" w:rsidRPr="00BC2515" w:rsidRDefault="00B25B10" w:rsidP="00B47B95">
      <w:pPr>
        <w:contextualSpacing/>
      </w:pPr>
    </w:p>
    <w:p w:rsidR="00B60939" w:rsidRPr="00497F10" w:rsidRDefault="00B60939" w:rsidP="009E321C">
      <w:pPr>
        <w:pStyle w:val="Heading2"/>
      </w:pPr>
      <w:bookmarkStart w:id="13" w:name="_Toc440970689"/>
      <w:r w:rsidRPr="00497F10">
        <w:t>Economic analysis</w:t>
      </w:r>
      <w:bookmarkEnd w:id="13"/>
    </w:p>
    <w:p w:rsidR="00A86E8B" w:rsidRPr="00A86E8B" w:rsidRDefault="00A86E8B" w:rsidP="00CA6CE0">
      <w:pPr>
        <w:keepNext/>
        <w:widowControl/>
        <w:rPr>
          <w:szCs w:val="22"/>
        </w:rPr>
      </w:pPr>
    </w:p>
    <w:p w:rsidR="00FB2D8E" w:rsidRPr="008020FB" w:rsidRDefault="00FB2D8E" w:rsidP="00D06055">
      <w:pPr>
        <w:numPr>
          <w:ilvl w:val="1"/>
          <w:numId w:val="9"/>
        </w:numPr>
        <w:contextualSpacing/>
      </w:pPr>
      <w:r>
        <w:t>The resubmission compare</w:t>
      </w:r>
      <w:r w:rsidR="00F11C9A">
        <w:t>d</w:t>
      </w:r>
      <w:r>
        <w:t xml:space="preserve"> </w:t>
      </w:r>
      <w:r w:rsidRPr="005B5DE5">
        <w:t>the cost</w:t>
      </w:r>
      <w:r>
        <w:t>s</w:t>
      </w:r>
      <w:r w:rsidRPr="005B5DE5">
        <w:t xml:space="preserve"> of treatment with dexamethasone implant with </w:t>
      </w:r>
      <w:r w:rsidRPr="008020FB">
        <w:t xml:space="preserve">the costs of treatment with ranibizumab and aflibercept injections. Costs of managing elevated IOP, associated with dexamethasone implant, were included in the </w:t>
      </w:r>
      <w:r w:rsidR="00F11C9A" w:rsidRPr="008020FB">
        <w:lastRenderedPageBreak/>
        <w:t>re</w:t>
      </w:r>
      <w:r w:rsidRPr="008020FB">
        <w:t>submission. The cost of administration of each interventional drug was also included. The approach presented in the resubmission is identical to that presented in the previous submission.</w:t>
      </w:r>
    </w:p>
    <w:p w:rsidR="00D10F1D" w:rsidRPr="008020FB" w:rsidRDefault="00D10F1D" w:rsidP="00D10F1D">
      <w:pPr>
        <w:widowControl/>
        <w:rPr>
          <w:szCs w:val="22"/>
        </w:rPr>
      </w:pPr>
    </w:p>
    <w:p w:rsidR="00187D10" w:rsidRPr="003B4D65" w:rsidRDefault="00D10F1D" w:rsidP="00D06055">
      <w:pPr>
        <w:numPr>
          <w:ilvl w:val="1"/>
          <w:numId w:val="9"/>
        </w:numPr>
        <w:contextualSpacing/>
      </w:pPr>
      <w:r w:rsidRPr="008020FB">
        <w:t>Consistent with the original submission, the resubmission present</w:t>
      </w:r>
      <w:r w:rsidR="00B47B95" w:rsidRPr="008020FB">
        <w:t>ed</w:t>
      </w:r>
      <w:r w:rsidRPr="008020FB">
        <w:t xml:space="preserve"> the </w:t>
      </w:r>
      <w:r w:rsidR="00320CFB">
        <w:t>“</w:t>
      </w:r>
      <w:r w:rsidRPr="008020FB">
        <w:t>equi-effective doses</w:t>
      </w:r>
      <w:r w:rsidR="006F30AA">
        <w:t>”</w:t>
      </w:r>
      <w:r w:rsidRPr="008020FB">
        <w:t xml:space="preserve"> of dexamethasone versus comparator drugs</w:t>
      </w:r>
      <w:r w:rsidR="00B47B95" w:rsidRPr="008020FB">
        <w:t xml:space="preserve"> as </w:t>
      </w:r>
      <w:r w:rsidRPr="008020FB">
        <w:t>the numbers of injections of dexamethasone implant 700</w:t>
      </w:r>
      <w:r w:rsidR="00B47B95" w:rsidRPr="008020FB">
        <w:t> </w:t>
      </w:r>
      <w:r w:rsidRPr="008020FB">
        <w:t>µg versus ranibizumab 0.5</w:t>
      </w:r>
      <w:r w:rsidR="00B47B95" w:rsidRPr="008020FB">
        <w:t> </w:t>
      </w:r>
      <w:r w:rsidRPr="008020FB">
        <w:t>mg,</w:t>
      </w:r>
      <w:r w:rsidRPr="003B4D65">
        <w:t xml:space="preserve"> and versus aflibercept 2</w:t>
      </w:r>
      <w:r w:rsidR="00B47B95">
        <w:t> </w:t>
      </w:r>
      <w:r w:rsidRPr="003B4D65">
        <w:t>mg</w:t>
      </w:r>
      <w:r w:rsidR="00BC2515">
        <w:t xml:space="preserve"> in a given time period</w:t>
      </w:r>
      <w:r>
        <w:t xml:space="preserve">. </w:t>
      </w:r>
      <w:r w:rsidR="00D16346" w:rsidRPr="00D16346">
        <w:t>The</w:t>
      </w:r>
      <w:r w:rsidR="00BC2515">
        <w:t>se</w:t>
      </w:r>
      <w:r w:rsidR="00D16346" w:rsidRPr="00D16346">
        <w:t xml:space="preserve"> number</w:t>
      </w:r>
      <w:r w:rsidR="00BC2515">
        <w:t>s</w:t>
      </w:r>
      <w:r w:rsidR="00D16346" w:rsidRPr="00D16346">
        <w:t xml:space="preserve"> of injections used in the </w:t>
      </w:r>
      <w:r w:rsidR="00D16346">
        <w:t>re</w:t>
      </w:r>
      <w:r w:rsidR="00D16346" w:rsidRPr="00D16346">
        <w:t xml:space="preserve">submission </w:t>
      </w:r>
      <w:r w:rsidR="00BC2515">
        <w:t xml:space="preserve">for each time period </w:t>
      </w:r>
      <w:r w:rsidR="00D16346" w:rsidRPr="00D16346">
        <w:t xml:space="preserve">are summarised </w:t>
      </w:r>
      <w:r w:rsidR="00D16346">
        <w:t xml:space="preserve">in Table </w:t>
      </w:r>
      <w:r w:rsidR="003B4D65">
        <w:t>4</w:t>
      </w:r>
      <w:r w:rsidR="00D16346" w:rsidRPr="00D16346">
        <w:t>.</w:t>
      </w:r>
    </w:p>
    <w:p w:rsidR="0085692A" w:rsidRPr="005A0497" w:rsidRDefault="0085692A">
      <w:pPr>
        <w:widowControl/>
        <w:jc w:val="left"/>
        <w:rPr>
          <w:szCs w:val="22"/>
        </w:rPr>
      </w:pPr>
    </w:p>
    <w:p w:rsidR="00D16346" w:rsidRDefault="00D16346" w:rsidP="009C7E72">
      <w:pPr>
        <w:widowControl/>
        <w:ind w:left="720"/>
        <w:contextualSpacing/>
        <w:rPr>
          <w:rFonts w:ascii="Arial Narrow" w:hAnsi="Arial Narrow"/>
          <w:sz w:val="18"/>
        </w:rPr>
      </w:pPr>
      <w:r w:rsidRPr="00D16346">
        <w:rPr>
          <w:rFonts w:ascii="Arial Narrow" w:hAnsi="Arial Narrow"/>
          <w:b/>
          <w:sz w:val="20"/>
          <w:szCs w:val="16"/>
        </w:rPr>
        <w:t xml:space="preserve">Table </w:t>
      </w:r>
      <w:r w:rsidR="003B4D65">
        <w:rPr>
          <w:rFonts w:ascii="Arial Narrow" w:hAnsi="Arial Narrow"/>
          <w:b/>
          <w:sz w:val="20"/>
          <w:szCs w:val="16"/>
        </w:rPr>
        <w:t>4</w:t>
      </w:r>
      <w:r w:rsidRPr="00D16346">
        <w:rPr>
          <w:rFonts w:ascii="Arial Narrow" w:hAnsi="Arial Narrow"/>
          <w:b/>
          <w:sz w:val="20"/>
          <w:szCs w:val="16"/>
        </w:rPr>
        <w:t xml:space="preserve">: The number of injections </w:t>
      </w:r>
      <w:r w:rsidR="00DD38E7">
        <w:rPr>
          <w:rFonts w:ascii="Arial Narrow" w:hAnsi="Arial Narrow"/>
          <w:b/>
          <w:sz w:val="20"/>
          <w:szCs w:val="16"/>
        </w:rPr>
        <w:t>used</w:t>
      </w:r>
      <w:r w:rsidRPr="00D16346">
        <w:rPr>
          <w:rFonts w:ascii="Arial Narrow" w:hAnsi="Arial Narrow"/>
          <w:b/>
          <w:sz w:val="20"/>
          <w:szCs w:val="16"/>
        </w:rPr>
        <w:t xml:space="preserve"> when comparing the costs associated with dexamethasone implant with the costs associated with ranibizumab and aflibercept</w:t>
      </w:r>
    </w:p>
    <w:tbl>
      <w:tblPr>
        <w:tblStyle w:val="TableGrid"/>
        <w:tblW w:w="8625" w:type="dxa"/>
        <w:tblInd w:w="720" w:type="dxa"/>
        <w:tblLook w:val="04A0" w:firstRow="1" w:lastRow="0" w:firstColumn="1" w:lastColumn="0" w:noHBand="0" w:noVBand="1"/>
        <w:tblCaption w:val="Table 4: The number of injections used when comparing the costs associated with dexamethasone implant with the costs associated with ranibizumab and aflibercept"/>
      </w:tblPr>
      <w:tblGrid>
        <w:gridCol w:w="1656"/>
        <w:gridCol w:w="2433"/>
        <w:gridCol w:w="2126"/>
        <w:gridCol w:w="2410"/>
      </w:tblGrid>
      <w:tr w:rsidR="00DD38E7" w:rsidRPr="00D16346" w:rsidTr="00B47B95">
        <w:tc>
          <w:tcPr>
            <w:tcW w:w="1656" w:type="dxa"/>
          </w:tcPr>
          <w:p w:rsidR="00DD38E7" w:rsidRPr="00D16346" w:rsidRDefault="00DD38E7" w:rsidP="00A93C4D">
            <w:pPr>
              <w:adjustRightInd w:val="0"/>
              <w:jc w:val="left"/>
              <w:textAlignment w:val="baseline"/>
              <w:rPr>
                <w:rFonts w:ascii="Arial Narrow" w:eastAsia="SimSun" w:hAnsi="Arial Narrow" w:cs="Calibri"/>
                <w:b/>
                <w:sz w:val="20"/>
              </w:rPr>
            </w:pPr>
            <w:r w:rsidRPr="00D16346">
              <w:rPr>
                <w:rFonts w:ascii="Arial Narrow" w:eastAsia="SimSun" w:hAnsi="Arial Narrow" w:cs="Calibri"/>
                <w:b/>
                <w:sz w:val="20"/>
              </w:rPr>
              <w:t>Treatment period</w:t>
            </w:r>
          </w:p>
        </w:tc>
        <w:tc>
          <w:tcPr>
            <w:tcW w:w="2433" w:type="dxa"/>
          </w:tcPr>
          <w:p w:rsidR="00DD38E7" w:rsidRPr="00D16346" w:rsidRDefault="00DD38E7" w:rsidP="00B47B95">
            <w:pPr>
              <w:adjustRightInd w:val="0"/>
              <w:jc w:val="center"/>
              <w:textAlignment w:val="baseline"/>
              <w:rPr>
                <w:rFonts w:ascii="Arial Narrow" w:eastAsia="SimSun" w:hAnsi="Arial Narrow" w:cs="Calibri"/>
                <w:b/>
                <w:sz w:val="20"/>
              </w:rPr>
            </w:pPr>
            <w:r w:rsidRPr="00D16346">
              <w:rPr>
                <w:rFonts w:ascii="Arial Narrow" w:eastAsia="SimSun" w:hAnsi="Arial Narrow" w:cs="Calibri"/>
                <w:b/>
                <w:sz w:val="20"/>
              </w:rPr>
              <w:t>Dexamethasone implant</w:t>
            </w:r>
            <w:r>
              <w:rPr>
                <w:rFonts w:ascii="Arial Narrow" w:eastAsia="SimSun" w:hAnsi="Arial Narrow" w:cs="Calibri"/>
                <w:b/>
                <w:sz w:val="20"/>
              </w:rPr>
              <w:t xml:space="preserve"> 700</w:t>
            </w:r>
            <w:r w:rsidR="00B47B95">
              <w:rPr>
                <w:rFonts w:ascii="Arial Narrow" w:eastAsia="SimSun" w:hAnsi="Arial Narrow" w:cs="Calibri"/>
                <w:b/>
                <w:sz w:val="20"/>
              </w:rPr>
              <w:t> </w:t>
            </w:r>
            <w:r>
              <w:rPr>
                <w:rFonts w:ascii="Arial Narrow" w:eastAsia="SimSun" w:hAnsi="Arial Narrow" w:cs="Calibri"/>
                <w:b/>
                <w:sz w:val="20"/>
              </w:rPr>
              <w:t>μg</w:t>
            </w:r>
          </w:p>
        </w:tc>
        <w:tc>
          <w:tcPr>
            <w:tcW w:w="2126" w:type="dxa"/>
          </w:tcPr>
          <w:p w:rsidR="00DD38E7" w:rsidRPr="00D16346" w:rsidRDefault="00DD38E7" w:rsidP="00A93C4D">
            <w:pPr>
              <w:adjustRightInd w:val="0"/>
              <w:jc w:val="center"/>
              <w:textAlignment w:val="baseline"/>
              <w:rPr>
                <w:rFonts w:ascii="Arial Narrow" w:eastAsia="SimSun" w:hAnsi="Arial Narrow" w:cs="Calibri"/>
                <w:b/>
                <w:sz w:val="20"/>
              </w:rPr>
            </w:pPr>
            <w:r w:rsidRPr="00D16346">
              <w:rPr>
                <w:rFonts w:ascii="Arial Narrow" w:eastAsia="SimSun" w:hAnsi="Arial Narrow" w:cs="Calibri"/>
                <w:b/>
                <w:sz w:val="20"/>
              </w:rPr>
              <w:t>Ranibizumab injection</w:t>
            </w:r>
            <w:r>
              <w:rPr>
                <w:rFonts w:ascii="Arial Narrow" w:eastAsia="SimSun" w:hAnsi="Arial Narrow" w:cs="Calibri"/>
                <w:b/>
                <w:sz w:val="20"/>
              </w:rPr>
              <w:br/>
              <w:t>0.5</w:t>
            </w:r>
            <w:r w:rsidR="00B47B95">
              <w:rPr>
                <w:rFonts w:ascii="Arial Narrow" w:eastAsia="SimSun" w:hAnsi="Arial Narrow" w:cs="Calibri"/>
                <w:b/>
                <w:sz w:val="20"/>
              </w:rPr>
              <w:t> </w:t>
            </w:r>
            <w:r>
              <w:rPr>
                <w:rFonts w:ascii="Arial Narrow" w:eastAsia="SimSun" w:hAnsi="Arial Narrow" w:cs="Calibri"/>
                <w:b/>
                <w:sz w:val="20"/>
              </w:rPr>
              <w:t>mg</w:t>
            </w:r>
          </w:p>
        </w:tc>
        <w:tc>
          <w:tcPr>
            <w:tcW w:w="2410" w:type="dxa"/>
          </w:tcPr>
          <w:p w:rsidR="00DD38E7" w:rsidRPr="00D16346" w:rsidRDefault="00DD38E7" w:rsidP="00A93C4D">
            <w:pPr>
              <w:adjustRightInd w:val="0"/>
              <w:jc w:val="center"/>
              <w:textAlignment w:val="baseline"/>
              <w:rPr>
                <w:rFonts w:ascii="Arial Narrow" w:eastAsia="SimSun" w:hAnsi="Arial Narrow" w:cs="Calibri"/>
                <w:b/>
                <w:sz w:val="20"/>
              </w:rPr>
            </w:pPr>
            <w:r w:rsidRPr="00D16346">
              <w:rPr>
                <w:rFonts w:ascii="Arial Narrow" w:eastAsia="SimSun" w:hAnsi="Arial Narrow" w:cs="Calibri"/>
                <w:b/>
                <w:sz w:val="20"/>
              </w:rPr>
              <w:t>Aflibercept injection</w:t>
            </w:r>
            <w:r>
              <w:rPr>
                <w:rFonts w:ascii="Arial Narrow" w:eastAsia="SimSun" w:hAnsi="Arial Narrow" w:cs="Calibri"/>
                <w:b/>
                <w:sz w:val="20"/>
              </w:rPr>
              <w:br/>
              <w:t>2</w:t>
            </w:r>
            <w:r w:rsidR="00B47B95">
              <w:rPr>
                <w:rFonts w:ascii="Arial Narrow" w:eastAsia="SimSun" w:hAnsi="Arial Narrow" w:cs="Calibri"/>
                <w:b/>
                <w:sz w:val="20"/>
              </w:rPr>
              <w:t> </w:t>
            </w:r>
            <w:r>
              <w:rPr>
                <w:rFonts w:ascii="Arial Narrow" w:eastAsia="SimSun" w:hAnsi="Arial Narrow" w:cs="Calibri"/>
                <w:b/>
                <w:sz w:val="20"/>
              </w:rPr>
              <w:t>mg</w:t>
            </w:r>
          </w:p>
        </w:tc>
      </w:tr>
      <w:tr w:rsidR="00DD38E7" w:rsidRPr="00D16346" w:rsidTr="00B47B95">
        <w:tc>
          <w:tcPr>
            <w:tcW w:w="1656" w:type="dxa"/>
          </w:tcPr>
          <w:p w:rsidR="00DD38E7" w:rsidRPr="00D16346" w:rsidRDefault="00DD38E7" w:rsidP="00A93C4D">
            <w:pPr>
              <w:adjustRightInd w:val="0"/>
              <w:jc w:val="left"/>
              <w:textAlignment w:val="baseline"/>
              <w:rPr>
                <w:rFonts w:ascii="Arial Narrow" w:eastAsia="SimSun" w:hAnsi="Arial Narrow" w:cs="Calibri"/>
                <w:sz w:val="20"/>
              </w:rPr>
            </w:pPr>
            <w:r w:rsidRPr="00D16346">
              <w:rPr>
                <w:rFonts w:ascii="Arial Narrow" w:eastAsia="SimSun" w:hAnsi="Arial Narrow" w:cs="Calibri"/>
                <w:sz w:val="20"/>
              </w:rPr>
              <w:t>Months 1-12</w:t>
            </w:r>
          </w:p>
        </w:tc>
        <w:tc>
          <w:tcPr>
            <w:tcW w:w="2433" w:type="dxa"/>
          </w:tcPr>
          <w:p w:rsidR="00DD38E7" w:rsidRPr="00D16346" w:rsidRDefault="00DD38E7" w:rsidP="00A93C4D">
            <w:pPr>
              <w:adjustRightInd w:val="0"/>
              <w:jc w:val="center"/>
              <w:textAlignment w:val="baseline"/>
              <w:rPr>
                <w:rFonts w:ascii="Arial Narrow" w:eastAsia="SimSun" w:hAnsi="Arial Narrow" w:cs="Calibri"/>
                <w:sz w:val="20"/>
              </w:rPr>
            </w:pPr>
            <w:r w:rsidRPr="00D16346">
              <w:rPr>
                <w:rFonts w:ascii="Arial Narrow" w:eastAsia="SimSun" w:hAnsi="Arial Narrow" w:cs="Calibri"/>
                <w:sz w:val="20"/>
              </w:rPr>
              <w:t>2.76</w:t>
            </w:r>
          </w:p>
        </w:tc>
        <w:tc>
          <w:tcPr>
            <w:tcW w:w="2126" w:type="dxa"/>
          </w:tcPr>
          <w:p w:rsidR="00DD38E7" w:rsidRPr="00D16346" w:rsidRDefault="00DD38E7" w:rsidP="00A93C4D">
            <w:pPr>
              <w:adjustRightInd w:val="0"/>
              <w:jc w:val="center"/>
              <w:textAlignment w:val="baseline"/>
              <w:rPr>
                <w:rFonts w:ascii="Arial Narrow" w:eastAsia="SimSun" w:hAnsi="Arial Narrow" w:cs="Calibri"/>
                <w:sz w:val="20"/>
              </w:rPr>
            </w:pPr>
            <w:r w:rsidRPr="00D16346">
              <w:rPr>
                <w:rFonts w:ascii="Arial Narrow" w:eastAsia="SimSun" w:hAnsi="Arial Narrow" w:cs="Calibri"/>
                <w:sz w:val="20"/>
              </w:rPr>
              <w:t>8.60</w:t>
            </w:r>
          </w:p>
        </w:tc>
        <w:tc>
          <w:tcPr>
            <w:tcW w:w="2410" w:type="dxa"/>
          </w:tcPr>
          <w:p w:rsidR="00DD38E7" w:rsidRPr="00D16346" w:rsidRDefault="00DD38E7" w:rsidP="00A93C4D">
            <w:pPr>
              <w:adjustRightInd w:val="0"/>
              <w:jc w:val="center"/>
              <w:textAlignment w:val="baseline"/>
              <w:rPr>
                <w:rFonts w:ascii="Arial Narrow" w:eastAsia="SimSun" w:hAnsi="Arial Narrow" w:cs="Calibri"/>
                <w:sz w:val="20"/>
              </w:rPr>
            </w:pPr>
            <w:r w:rsidRPr="00D16346">
              <w:rPr>
                <w:rFonts w:ascii="Arial Narrow" w:eastAsia="SimSun" w:hAnsi="Arial Narrow" w:cs="Calibri"/>
                <w:sz w:val="20"/>
              </w:rPr>
              <w:t>8.60</w:t>
            </w:r>
            <w:r w:rsidRPr="00524EB9">
              <w:rPr>
                <w:rFonts w:ascii="Arial Narrow" w:eastAsia="SimSun" w:hAnsi="Arial Narrow" w:cs="Calibri"/>
                <w:sz w:val="20"/>
                <w:vertAlign w:val="superscript"/>
              </w:rPr>
              <w:t>a</w:t>
            </w:r>
          </w:p>
        </w:tc>
      </w:tr>
      <w:tr w:rsidR="00DD38E7" w:rsidRPr="00D16346" w:rsidTr="00B47B95">
        <w:tc>
          <w:tcPr>
            <w:tcW w:w="1656" w:type="dxa"/>
          </w:tcPr>
          <w:p w:rsidR="00DD38E7" w:rsidRPr="00D16346" w:rsidRDefault="00DD38E7" w:rsidP="00A93C4D">
            <w:pPr>
              <w:adjustRightInd w:val="0"/>
              <w:jc w:val="left"/>
              <w:textAlignment w:val="baseline"/>
              <w:rPr>
                <w:rFonts w:ascii="Arial Narrow" w:eastAsia="SimSun" w:hAnsi="Arial Narrow" w:cs="Calibri"/>
                <w:sz w:val="20"/>
              </w:rPr>
            </w:pPr>
            <w:r w:rsidRPr="00D16346">
              <w:rPr>
                <w:rFonts w:ascii="Arial Narrow" w:eastAsia="SimSun" w:hAnsi="Arial Narrow" w:cs="Calibri"/>
                <w:sz w:val="20"/>
              </w:rPr>
              <w:t>Months 12-23</w:t>
            </w:r>
          </w:p>
        </w:tc>
        <w:tc>
          <w:tcPr>
            <w:tcW w:w="2433" w:type="dxa"/>
          </w:tcPr>
          <w:p w:rsidR="00DD38E7" w:rsidRPr="00D16346" w:rsidRDefault="00DD38E7" w:rsidP="00A93C4D">
            <w:pPr>
              <w:adjustRightInd w:val="0"/>
              <w:jc w:val="center"/>
              <w:textAlignment w:val="baseline"/>
              <w:rPr>
                <w:rFonts w:ascii="Arial Narrow" w:eastAsia="SimSun" w:hAnsi="Arial Narrow" w:cs="Calibri"/>
                <w:sz w:val="20"/>
              </w:rPr>
            </w:pPr>
            <w:r w:rsidRPr="00D16346">
              <w:rPr>
                <w:rFonts w:ascii="Arial Narrow" w:eastAsia="SimSun" w:hAnsi="Arial Narrow" w:cs="Calibri"/>
                <w:sz w:val="20"/>
              </w:rPr>
              <w:t>1.92</w:t>
            </w:r>
          </w:p>
        </w:tc>
        <w:tc>
          <w:tcPr>
            <w:tcW w:w="2126" w:type="dxa"/>
          </w:tcPr>
          <w:p w:rsidR="00DD38E7" w:rsidRPr="00D16346" w:rsidRDefault="00DD38E7" w:rsidP="00A93C4D">
            <w:pPr>
              <w:adjustRightInd w:val="0"/>
              <w:jc w:val="center"/>
              <w:textAlignment w:val="baseline"/>
              <w:rPr>
                <w:rFonts w:ascii="Arial Narrow" w:eastAsia="SimSun" w:hAnsi="Arial Narrow" w:cs="Calibri"/>
                <w:sz w:val="20"/>
              </w:rPr>
            </w:pPr>
            <w:r w:rsidRPr="00D16346">
              <w:rPr>
                <w:rFonts w:ascii="Arial Narrow" w:eastAsia="SimSun" w:hAnsi="Arial Narrow" w:cs="Calibri"/>
                <w:sz w:val="20"/>
              </w:rPr>
              <w:t>3.7</w:t>
            </w:r>
          </w:p>
        </w:tc>
        <w:tc>
          <w:tcPr>
            <w:tcW w:w="2410" w:type="dxa"/>
          </w:tcPr>
          <w:p w:rsidR="00DD38E7" w:rsidRPr="00D16346" w:rsidRDefault="00DD38E7" w:rsidP="00A93C4D">
            <w:pPr>
              <w:adjustRightInd w:val="0"/>
              <w:jc w:val="center"/>
              <w:textAlignment w:val="baseline"/>
              <w:rPr>
                <w:rFonts w:ascii="Arial Narrow" w:eastAsia="SimSun" w:hAnsi="Arial Narrow" w:cs="Calibri"/>
                <w:sz w:val="20"/>
              </w:rPr>
            </w:pPr>
            <w:r w:rsidRPr="00D16346">
              <w:rPr>
                <w:rFonts w:ascii="Arial Narrow" w:eastAsia="SimSun" w:hAnsi="Arial Narrow" w:cs="Calibri"/>
                <w:sz w:val="20"/>
              </w:rPr>
              <w:t>3.7</w:t>
            </w:r>
            <w:r w:rsidRPr="00524EB9">
              <w:rPr>
                <w:rFonts w:ascii="Arial Narrow" w:eastAsia="SimSun" w:hAnsi="Arial Narrow" w:cs="Calibri"/>
                <w:sz w:val="20"/>
                <w:vertAlign w:val="superscript"/>
              </w:rPr>
              <w:t>a</w:t>
            </w:r>
          </w:p>
        </w:tc>
      </w:tr>
      <w:tr w:rsidR="00DD38E7" w:rsidRPr="00D16346" w:rsidTr="00B47B95">
        <w:tc>
          <w:tcPr>
            <w:tcW w:w="1656" w:type="dxa"/>
          </w:tcPr>
          <w:p w:rsidR="00DD38E7" w:rsidRPr="00D16346" w:rsidRDefault="00DD38E7" w:rsidP="00A93C4D">
            <w:pPr>
              <w:adjustRightInd w:val="0"/>
              <w:jc w:val="left"/>
              <w:textAlignment w:val="baseline"/>
              <w:rPr>
                <w:rFonts w:ascii="Arial Narrow" w:eastAsia="SimSun" w:hAnsi="Arial Narrow" w:cs="Calibri"/>
                <w:sz w:val="20"/>
              </w:rPr>
            </w:pPr>
            <w:r w:rsidRPr="00D16346">
              <w:rPr>
                <w:rFonts w:ascii="Arial Narrow" w:eastAsia="SimSun" w:hAnsi="Arial Narrow" w:cs="Calibri"/>
                <w:sz w:val="20"/>
              </w:rPr>
              <w:t>Months 24-36</w:t>
            </w:r>
          </w:p>
        </w:tc>
        <w:tc>
          <w:tcPr>
            <w:tcW w:w="2433" w:type="dxa"/>
          </w:tcPr>
          <w:p w:rsidR="00DD38E7" w:rsidRPr="00D16346" w:rsidRDefault="00DD38E7" w:rsidP="00A93C4D">
            <w:pPr>
              <w:adjustRightInd w:val="0"/>
              <w:jc w:val="center"/>
              <w:textAlignment w:val="baseline"/>
              <w:rPr>
                <w:rFonts w:ascii="Arial Narrow" w:eastAsia="SimSun" w:hAnsi="Arial Narrow" w:cs="Calibri"/>
                <w:sz w:val="20"/>
              </w:rPr>
            </w:pPr>
            <w:r w:rsidRPr="00D16346">
              <w:rPr>
                <w:rFonts w:ascii="Arial Narrow" w:eastAsia="SimSun" w:hAnsi="Arial Narrow" w:cs="Calibri"/>
                <w:sz w:val="20"/>
              </w:rPr>
              <w:t>1.80</w:t>
            </w:r>
          </w:p>
        </w:tc>
        <w:tc>
          <w:tcPr>
            <w:tcW w:w="2126" w:type="dxa"/>
          </w:tcPr>
          <w:p w:rsidR="00DD38E7" w:rsidRPr="00D16346" w:rsidRDefault="00DD38E7" w:rsidP="00A93C4D">
            <w:pPr>
              <w:adjustRightInd w:val="0"/>
              <w:jc w:val="center"/>
              <w:textAlignment w:val="baseline"/>
              <w:rPr>
                <w:rFonts w:ascii="Arial Narrow" w:eastAsia="SimSun" w:hAnsi="Arial Narrow" w:cs="Calibri"/>
                <w:sz w:val="20"/>
              </w:rPr>
            </w:pPr>
            <w:r w:rsidRPr="00D16346">
              <w:rPr>
                <w:rFonts w:ascii="Arial Narrow" w:eastAsia="SimSun" w:hAnsi="Arial Narrow" w:cs="Calibri"/>
                <w:sz w:val="20"/>
              </w:rPr>
              <w:t>2.7</w:t>
            </w:r>
          </w:p>
        </w:tc>
        <w:tc>
          <w:tcPr>
            <w:tcW w:w="2410" w:type="dxa"/>
          </w:tcPr>
          <w:p w:rsidR="00DD38E7" w:rsidRPr="00D16346" w:rsidRDefault="00DD38E7" w:rsidP="00A93C4D">
            <w:pPr>
              <w:adjustRightInd w:val="0"/>
              <w:jc w:val="center"/>
              <w:textAlignment w:val="baseline"/>
              <w:rPr>
                <w:rFonts w:ascii="Arial Narrow" w:eastAsia="SimSun" w:hAnsi="Arial Narrow" w:cs="Calibri"/>
                <w:sz w:val="20"/>
              </w:rPr>
            </w:pPr>
            <w:r w:rsidRPr="00D16346">
              <w:rPr>
                <w:rFonts w:ascii="Arial Narrow" w:eastAsia="SimSun" w:hAnsi="Arial Narrow" w:cs="Calibri"/>
                <w:sz w:val="20"/>
              </w:rPr>
              <w:t>2.7</w:t>
            </w:r>
            <w:r w:rsidRPr="00524EB9">
              <w:rPr>
                <w:rFonts w:ascii="Arial Narrow" w:eastAsia="SimSun" w:hAnsi="Arial Narrow" w:cs="Calibri"/>
                <w:sz w:val="20"/>
                <w:vertAlign w:val="superscript"/>
              </w:rPr>
              <w:t>a</w:t>
            </w:r>
          </w:p>
        </w:tc>
      </w:tr>
      <w:tr w:rsidR="004655A1" w:rsidRPr="00D16346" w:rsidTr="00B47B95">
        <w:tc>
          <w:tcPr>
            <w:tcW w:w="1656" w:type="dxa"/>
          </w:tcPr>
          <w:p w:rsidR="004655A1" w:rsidRPr="00D16346" w:rsidRDefault="004655A1" w:rsidP="00A93C4D">
            <w:pPr>
              <w:adjustRightInd w:val="0"/>
              <w:jc w:val="left"/>
              <w:textAlignment w:val="baseline"/>
              <w:rPr>
                <w:rFonts w:ascii="Arial Narrow" w:eastAsia="SimSun" w:hAnsi="Arial Narrow" w:cs="Calibri"/>
                <w:sz w:val="20"/>
              </w:rPr>
            </w:pPr>
            <w:r>
              <w:rPr>
                <w:rFonts w:ascii="Arial Narrow" w:eastAsia="SimSun" w:hAnsi="Arial Narrow" w:cs="Calibri"/>
                <w:sz w:val="20"/>
              </w:rPr>
              <w:t>Total Months 1-36</w:t>
            </w:r>
          </w:p>
        </w:tc>
        <w:tc>
          <w:tcPr>
            <w:tcW w:w="2433" w:type="dxa"/>
          </w:tcPr>
          <w:p w:rsidR="004655A1" w:rsidRPr="00D16346" w:rsidRDefault="004655A1" w:rsidP="00A93C4D">
            <w:pPr>
              <w:adjustRightInd w:val="0"/>
              <w:jc w:val="center"/>
              <w:textAlignment w:val="baseline"/>
              <w:rPr>
                <w:rFonts w:ascii="Arial Narrow" w:eastAsia="SimSun" w:hAnsi="Arial Narrow" w:cs="Calibri"/>
                <w:sz w:val="20"/>
              </w:rPr>
            </w:pPr>
            <w:r>
              <w:rPr>
                <w:rFonts w:ascii="Arial Narrow" w:eastAsia="SimSun" w:hAnsi="Arial Narrow" w:cs="Calibri"/>
                <w:sz w:val="20"/>
              </w:rPr>
              <w:t>6.48</w:t>
            </w:r>
          </w:p>
        </w:tc>
        <w:tc>
          <w:tcPr>
            <w:tcW w:w="2126" w:type="dxa"/>
          </w:tcPr>
          <w:p w:rsidR="004655A1" w:rsidRPr="00D16346" w:rsidRDefault="004655A1" w:rsidP="00A93C4D">
            <w:pPr>
              <w:adjustRightInd w:val="0"/>
              <w:jc w:val="center"/>
              <w:textAlignment w:val="baseline"/>
              <w:rPr>
                <w:rFonts w:ascii="Arial Narrow" w:eastAsia="SimSun" w:hAnsi="Arial Narrow" w:cs="Calibri"/>
                <w:sz w:val="20"/>
              </w:rPr>
            </w:pPr>
            <w:r>
              <w:rPr>
                <w:rFonts w:ascii="Arial Narrow" w:eastAsia="SimSun" w:hAnsi="Arial Narrow" w:cs="Calibri"/>
                <w:sz w:val="20"/>
              </w:rPr>
              <w:t>15.0</w:t>
            </w:r>
          </w:p>
        </w:tc>
        <w:tc>
          <w:tcPr>
            <w:tcW w:w="2410" w:type="dxa"/>
          </w:tcPr>
          <w:p w:rsidR="004655A1" w:rsidRPr="00D16346" w:rsidRDefault="004655A1" w:rsidP="00A93C4D">
            <w:pPr>
              <w:adjustRightInd w:val="0"/>
              <w:jc w:val="center"/>
              <w:textAlignment w:val="baseline"/>
              <w:rPr>
                <w:rFonts w:ascii="Arial Narrow" w:eastAsia="SimSun" w:hAnsi="Arial Narrow" w:cs="Calibri"/>
                <w:sz w:val="20"/>
              </w:rPr>
            </w:pPr>
            <w:r>
              <w:rPr>
                <w:rFonts w:ascii="Arial Narrow" w:eastAsia="SimSun" w:hAnsi="Arial Narrow" w:cs="Calibri"/>
                <w:sz w:val="20"/>
              </w:rPr>
              <w:t>15.0</w:t>
            </w:r>
            <w:r w:rsidRPr="00524EB9">
              <w:rPr>
                <w:rFonts w:ascii="Arial Narrow" w:eastAsia="SimSun" w:hAnsi="Arial Narrow" w:cs="Calibri"/>
                <w:sz w:val="20"/>
                <w:vertAlign w:val="superscript"/>
              </w:rPr>
              <w:t xml:space="preserve"> a</w:t>
            </w:r>
          </w:p>
        </w:tc>
      </w:tr>
    </w:tbl>
    <w:p w:rsidR="00DD38E7" w:rsidRDefault="00DD38E7" w:rsidP="00F25321">
      <w:pPr>
        <w:ind w:left="720"/>
        <w:rPr>
          <w:rFonts w:ascii="Arial Narrow" w:hAnsi="Arial Narrow"/>
          <w:sz w:val="18"/>
        </w:rPr>
      </w:pPr>
      <w:r w:rsidRPr="00524EB9">
        <w:rPr>
          <w:rFonts w:ascii="Arial Narrow" w:hAnsi="Arial Narrow"/>
          <w:sz w:val="18"/>
          <w:vertAlign w:val="superscript"/>
        </w:rPr>
        <w:t>a</w:t>
      </w:r>
      <w:r>
        <w:rPr>
          <w:rFonts w:ascii="Arial Narrow" w:hAnsi="Arial Narrow"/>
          <w:sz w:val="18"/>
        </w:rPr>
        <w:t xml:space="preserve"> The resubmission assumed that the number of administrations for aflibercept is the same as that for ranibizumab.</w:t>
      </w:r>
    </w:p>
    <w:p w:rsidR="00DD38E7" w:rsidRPr="00D16346" w:rsidRDefault="00DD38E7" w:rsidP="00F25321">
      <w:pPr>
        <w:ind w:left="720"/>
        <w:rPr>
          <w:rFonts w:ascii="Arial Narrow" w:hAnsi="Arial Narrow"/>
          <w:sz w:val="20"/>
          <w:szCs w:val="16"/>
        </w:rPr>
      </w:pPr>
      <w:r w:rsidRPr="00D16346">
        <w:rPr>
          <w:rFonts w:ascii="Arial Narrow" w:hAnsi="Arial Narrow"/>
          <w:sz w:val="18"/>
        </w:rPr>
        <w:t>Source: Table C.2-3, p150 of the resubmission</w:t>
      </w:r>
    </w:p>
    <w:p w:rsidR="00D16346" w:rsidRPr="00D16346" w:rsidRDefault="00D16346" w:rsidP="00D16346">
      <w:pPr>
        <w:widowControl/>
        <w:rPr>
          <w:szCs w:val="22"/>
        </w:rPr>
      </w:pPr>
    </w:p>
    <w:p w:rsidR="00D16346" w:rsidRPr="008020FB" w:rsidRDefault="00D16346" w:rsidP="00D06055">
      <w:pPr>
        <w:numPr>
          <w:ilvl w:val="1"/>
          <w:numId w:val="9"/>
        </w:numPr>
        <w:contextualSpacing/>
      </w:pPr>
      <w:r w:rsidRPr="008020FB">
        <w:t xml:space="preserve">The relative numbers of </w:t>
      </w:r>
      <w:r w:rsidR="00B47B95" w:rsidRPr="008020FB">
        <w:t>injections</w:t>
      </w:r>
      <w:r w:rsidRPr="008020FB">
        <w:t xml:space="preserve"> between dexamethasone implant and ranibizumab </w:t>
      </w:r>
      <w:r w:rsidR="00F25321" w:rsidRPr="008020FB">
        <w:t>remain</w:t>
      </w:r>
      <w:r w:rsidR="00FF4CEF" w:rsidRPr="008020FB">
        <w:t>ed</w:t>
      </w:r>
      <w:r w:rsidR="00F25321" w:rsidRPr="008020FB">
        <w:t xml:space="preserve"> unchanged</w:t>
      </w:r>
      <w:r w:rsidR="00FF4CEF" w:rsidRPr="008020FB">
        <w:t xml:space="preserve"> from the original submission</w:t>
      </w:r>
      <w:r w:rsidRPr="008020FB">
        <w:t>. At the March 2015 meeting, the PBAC considered that the approach taken by the previous submission in estimating the</w:t>
      </w:r>
      <w:r w:rsidR="001B2A9A" w:rsidRPr="008020FB">
        <w:t xml:space="preserve"> </w:t>
      </w:r>
      <w:r w:rsidR="00A17017">
        <w:t>“</w:t>
      </w:r>
      <w:r w:rsidR="001B2A9A" w:rsidRPr="008020FB">
        <w:t>equi-effective</w:t>
      </w:r>
      <w:r w:rsidR="00A17017">
        <w:t>”</w:t>
      </w:r>
      <w:r w:rsidR="001B2A9A" w:rsidRPr="008020FB">
        <w:t xml:space="preserve"> frequency of re</w:t>
      </w:r>
      <w:r w:rsidRPr="008020FB">
        <w:t xml:space="preserve">treatments of dexamethasone implants compared with VEGF inhibitor injections </w:t>
      </w:r>
      <w:r w:rsidR="006F30AA" w:rsidRPr="006F30AA">
        <w:t>in a given time period (rather than “equi-effective doses”)</w:t>
      </w:r>
      <w:r w:rsidR="006F30AA">
        <w:t xml:space="preserve"> </w:t>
      </w:r>
      <w:r w:rsidRPr="008020FB">
        <w:t>was unreliable due to problems with the sample size, exchangeability and applicability of the data sources (</w:t>
      </w:r>
      <w:r w:rsidR="005A0497">
        <w:t xml:space="preserve">paragraph </w:t>
      </w:r>
      <w:r w:rsidR="00D81EA2">
        <w:t xml:space="preserve">7.9, </w:t>
      </w:r>
      <w:r w:rsidR="00153604" w:rsidRPr="008020FB">
        <w:t>d</w:t>
      </w:r>
      <w:r w:rsidRPr="008020FB">
        <w:t>examethasone implant PSD, March 2015 PBAC meeting).</w:t>
      </w:r>
    </w:p>
    <w:p w:rsidR="00D16346" w:rsidRPr="008020FB" w:rsidRDefault="00D16346" w:rsidP="00B47B95">
      <w:pPr>
        <w:widowControl/>
        <w:contextualSpacing/>
        <w:rPr>
          <w:szCs w:val="22"/>
        </w:rPr>
      </w:pPr>
    </w:p>
    <w:p w:rsidR="00D16346" w:rsidRPr="008020FB" w:rsidRDefault="00D16346" w:rsidP="00D06055">
      <w:pPr>
        <w:numPr>
          <w:ilvl w:val="1"/>
          <w:numId w:val="9"/>
        </w:numPr>
        <w:contextualSpacing/>
      </w:pPr>
      <w:r w:rsidRPr="008020FB">
        <w:t xml:space="preserve">The resubmission assumed </w:t>
      </w:r>
      <w:r w:rsidR="00386E02" w:rsidRPr="008020FB">
        <w:t>identical number</w:t>
      </w:r>
      <w:r w:rsidR="00B14D52" w:rsidRPr="008020FB">
        <w:t>s</w:t>
      </w:r>
      <w:r w:rsidR="00386E02" w:rsidRPr="008020FB">
        <w:t xml:space="preserve"> of </w:t>
      </w:r>
      <w:r w:rsidR="00B14D52" w:rsidRPr="008020FB">
        <w:t xml:space="preserve">injection </w:t>
      </w:r>
      <w:r w:rsidR="00386E02" w:rsidRPr="008020FB">
        <w:t xml:space="preserve">per year </w:t>
      </w:r>
      <w:r w:rsidR="00B14D52" w:rsidRPr="008020FB">
        <w:t xml:space="preserve">across </w:t>
      </w:r>
      <w:r w:rsidRPr="008020FB">
        <w:t xml:space="preserve">aflibercept </w:t>
      </w:r>
      <w:r w:rsidR="00386E02" w:rsidRPr="008020FB">
        <w:t xml:space="preserve">and </w:t>
      </w:r>
      <w:r w:rsidRPr="008020FB">
        <w:t xml:space="preserve">ranibizumab. This </w:t>
      </w:r>
      <w:r w:rsidR="001B2A9A" w:rsidRPr="008020FB">
        <w:t xml:space="preserve">assumption </w:t>
      </w:r>
      <w:r w:rsidR="00386E02" w:rsidRPr="008020FB">
        <w:t>appear</w:t>
      </w:r>
      <w:r w:rsidR="00BC2515">
        <w:t>ed</w:t>
      </w:r>
      <w:r w:rsidR="001B2A9A" w:rsidRPr="008020FB">
        <w:t xml:space="preserve"> reasonable</w:t>
      </w:r>
      <w:r w:rsidR="00BC2515">
        <w:t>, being</w:t>
      </w:r>
      <w:r w:rsidR="00386E02" w:rsidRPr="008020FB">
        <w:t xml:space="preserve"> </w:t>
      </w:r>
      <w:r w:rsidR="001B2A9A" w:rsidRPr="008020FB">
        <w:t xml:space="preserve">consistent with </w:t>
      </w:r>
      <w:r w:rsidRPr="008020FB">
        <w:t xml:space="preserve">previous PBAC </w:t>
      </w:r>
      <w:r w:rsidR="00386E02" w:rsidRPr="008020FB">
        <w:t>advice</w:t>
      </w:r>
      <w:r w:rsidRPr="008020FB">
        <w:t xml:space="preserve"> on </w:t>
      </w:r>
      <w:r w:rsidR="00386E02" w:rsidRPr="008020FB">
        <w:t xml:space="preserve">the relative </w:t>
      </w:r>
      <w:r w:rsidR="00BC2515">
        <w:t>injection</w:t>
      </w:r>
      <w:r w:rsidR="001B2A9A" w:rsidRPr="008020FB">
        <w:t xml:space="preserve"> frequency </w:t>
      </w:r>
      <w:r w:rsidR="00E641A3">
        <w:t xml:space="preserve">across </w:t>
      </w:r>
      <w:r w:rsidR="00386E02" w:rsidRPr="008020FB">
        <w:t xml:space="preserve">VEGF </w:t>
      </w:r>
      <w:r w:rsidR="00E641A3">
        <w:t xml:space="preserve">inhibitor </w:t>
      </w:r>
      <w:r w:rsidR="00386E02" w:rsidRPr="008020FB">
        <w:t xml:space="preserve">injections </w:t>
      </w:r>
      <w:r w:rsidR="001B2A9A" w:rsidRPr="008020FB">
        <w:t xml:space="preserve">for </w:t>
      </w:r>
      <w:r w:rsidR="00386E02" w:rsidRPr="008020FB">
        <w:t xml:space="preserve">treatment of </w:t>
      </w:r>
      <w:r w:rsidR="001B2A9A" w:rsidRPr="008020FB">
        <w:t>DME</w:t>
      </w:r>
      <w:r w:rsidR="00386E02" w:rsidRPr="008020FB">
        <w:t xml:space="preserve">, when the PBAC considered </w:t>
      </w:r>
      <w:r w:rsidRPr="008020FB">
        <w:t>the aflibercept submission at the November 2014 meeting (</w:t>
      </w:r>
      <w:r w:rsidR="00153604" w:rsidRPr="008020FB">
        <w:t>a</w:t>
      </w:r>
      <w:r w:rsidRPr="008020FB">
        <w:t xml:space="preserve">flibercept PSD, November 2014 PBAC meeting). However, due to the concern surrounding the </w:t>
      </w:r>
      <w:r w:rsidR="00386E02" w:rsidRPr="008020FB">
        <w:t xml:space="preserve">estimation </w:t>
      </w:r>
      <w:r w:rsidRPr="008020FB">
        <w:t>of the relative treatment frequenc</w:t>
      </w:r>
      <w:r w:rsidR="00FF4CEF" w:rsidRPr="008020FB">
        <w:t>ies</w:t>
      </w:r>
      <w:r w:rsidRPr="008020FB">
        <w:t xml:space="preserve"> between dexamethasone implant and ranibizumab, the estimated number</w:t>
      </w:r>
      <w:r w:rsidR="00FF4CEF" w:rsidRPr="008020FB">
        <w:t>s</w:t>
      </w:r>
      <w:r w:rsidRPr="008020FB">
        <w:t xml:space="preserve"> of injections of dexamethasone implant versus aflibercept w</w:t>
      </w:r>
      <w:r w:rsidR="00BC2515">
        <w:t xml:space="preserve">ere </w:t>
      </w:r>
      <w:r w:rsidR="00B14D52" w:rsidRPr="008020FB">
        <w:t>also subject to uncertainty.</w:t>
      </w:r>
    </w:p>
    <w:p w:rsidR="00187D10" w:rsidRPr="008020FB" w:rsidRDefault="00187D10" w:rsidP="00187D10">
      <w:pPr>
        <w:rPr>
          <w:szCs w:val="22"/>
        </w:rPr>
      </w:pPr>
    </w:p>
    <w:p w:rsidR="00187D10" w:rsidRPr="008020FB" w:rsidRDefault="00D16346" w:rsidP="00D06055">
      <w:pPr>
        <w:numPr>
          <w:ilvl w:val="1"/>
          <w:numId w:val="9"/>
        </w:numPr>
        <w:contextualSpacing/>
      </w:pPr>
      <w:r w:rsidRPr="008020FB">
        <w:t>T</w:t>
      </w:r>
      <w:r w:rsidR="00187D10" w:rsidRPr="008020FB">
        <w:t>he resubmission estimated the costs of administration of each drug, specialist visit and OCT use based on a survey of five ophthalmologists in the base case analysis. The PBAC previously considered that this was inappropriate (</w:t>
      </w:r>
      <w:r w:rsidR="005A0497">
        <w:t xml:space="preserve">paragraph </w:t>
      </w:r>
      <w:r w:rsidR="008326C7" w:rsidRPr="008020FB">
        <w:t>6.3</w:t>
      </w:r>
      <w:r w:rsidR="00D81EA2">
        <w:t>0</w:t>
      </w:r>
      <w:r w:rsidR="008326C7" w:rsidRPr="008020FB">
        <w:t xml:space="preserve">, </w:t>
      </w:r>
      <w:r w:rsidR="00153604" w:rsidRPr="008020FB">
        <w:t>d</w:t>
      </w:r>
      <w:r w:rsidR="008326C7" w:rsidRPr="008020FB">
        <w:t xml:space="preserve">examethasone </w:t>
      </w:r>
      <w:r w:rsidR="00D81EA2">
        <w:t>implant PSD</w:t>
      </w:r>
      <w:r w:rsidR="008326C7" w:rsidRPr="008020FB">
        <w:t>, March 2015 PBAC Meeting)</w:t>
      </w:r>
      <w:r w:rsidR="00187D10" w:rsidRPr="008020FB">
        <w:t xml:space="preserve">. The MBS schedule fee or proposed schedule fee (for OCT) should have been based on the Manual of Resource Items and their Associated Costs for use in submissions to the PBAC </w:t>
      </w:r>
      <w:r w:rsidR="00DB0448" w:rsidRPr="008020FB">
        <w:t xml:space="preserve">involving economic evaluation </w:t>
      </w:r>
      <w:r w:rsidR="00187D10" w:rsidRPr="008020FB">
        <w:t>(December 2009). Using the surveyed average cost per administration, per specialist visit and per OCT introduced uncertainty given the very small number of ophthalmologists and biased the results favouring dexamethasone implant. The</w:t>
      </w:r>
      <w:r w:rsidR="0087434A" w:rsidRPr="008020FB">
        <w:t xml:space="preserve"> resubmission</w:t>
      </w:r>
      <w:r w:rsidR="00187D10" w:rsidRPr="008020FB">
        <w:t xml:space="preserve"> provided sensitivity analyses using the MBS schedule fee.</w:t>
      </w:r>
    </w:p>
    <w:p w:rsidR="00187D10" w:rsidRPr="008020FB" w:rsidRDefault="00187D10" w:rsidP="00187D10">
      <w:pPr>
        <w:widowControl/>
        <w:rPr>
          <w:szCs w:val="22"/>
        </w:rPr>
      </w:pPr>
    </w:p>
    <w:p w:rsidR="00FB2D8E" w:rsidRPr="008020FB" w:rsidRDefault="00FB2D8E" w:rsidP="00D06055">
      <w:pPr>
        <w:numPr>
          <w:ilvl w:val="1"/>
          <w:numId w:val="9"/>
        </w:numPr>
        <w:contextualSpacing/>
      </w:pPr>
      <w:r w:rsidRPr="008020FB">
        <w:lastRenderedPageBreak/>
        <w:t xml:space="preserve">The resubmission presented an additional sensitivity </w:t>
      </w:r>
      <w:r w:rsidR="00DD3A31" w:rsidRPr="008020FB">
        <w:t xml:space="preserve">analysis that calculated the cost-effectiveness of dexamethasone implant vs ranibizumab/aflibercept injection, using the results of the cost-minimisation analysis above and treatment effect (BCVA letters gained) from the indirect comparison. Results should be interpreted as a cost saving per letter lost, given the inferior treatment effect of dexamethasone implant compared to ranibizumab and aflibercept. These results should be interpreted with caution given the concerns regarding the estimation of the </w:t>
      </w:r>
      <w:r w:rsidR="00D81EA2">
        <w:t xml:space="preserve">relative frequency of injections </w:t>
      </w:r>
      <w:r w:rsidR="00DD3A31" w:rsidRPr="008020FB">
        <w:t xml:space="preserve">and concerns regarding exchangeability of </w:t>
      </w:r>
      <w:r w:rsidR="00187D10" w:rsidRPr="008020FB">
        <w:t>patient</w:t>
      </w:r>
      <w:r w:rsidR="00DD3A31" w:rsidRPr="008020FB">
        <w:t xml:space="preserve"> populations in the indirect comparison.</w:t>
      </w:r>
    </w:p>
    <w:p w:rsidR="0049103F" w:rsidRPr="008020FB" w:rsidRDefault="0049103F" w:rsidP="0049103F">
      <w:pPr>
        <w:rPr>
          <w:szCs w:val="22"/>
        </w:rPr>
      </w:pPr>
    </w:p>
    <w:p w:rsidR="0049103F" w:rsidRPr="008020FB" w:rsidRDefault="0049103F" w:rsidP="00D06055">
      <w:pPr>
        <w:numPr>
          <w:ilvl w:val="1"/>
          <w:numId w:val="9"/>
        </w:numPr>
        <w:contextualSpacing/>
      </w:pPr>
      <w:r w:rsidRPr="008020FB">
        <w:t>The</w:t>
      </w:r>
      <w:r w:rsidR="0087434A" w:rsidRPr="008020FB">
        <w:t xml:space="preserve"> resubmission</w:t>
      </w:r>
      <w:r w:rsidRPr="008020FB">
        <w:t xml:space="preserve">’s </w:t>
      </w:r>
      <w:r w:rsidR="002931BB">
        <w:t xml:space="preserve">cost-minimisation </w:t>
      </w:r>
      <w:r w:rsidRPr="008020FB">
        <w:t>analysis indicated that the dexamethasone implant would result in cost</w:t>
      </w:r>
      <w:r w:rsidR="00CC21B7">
        <w:t xml:space="preserve"> </w:t>
      </w:r>
      <w:r w:rsidRPr="008020FB">
        <w:t xml:space="preserve">savings compared with the VEGF inhibitors. During the evaluation, the total costs for the administration of each drug </w:t>
      </w:r>
      <w:r w:rsidR="00CC21B7">
        <w:t>used</w:t>
      </w:r>
      <w:r w:rsidRPr="008020FB">
        <w:t xml:space="preserve"> the MBS schedule fees only and the results indicate</w:t>
      </w:r>
      <w:r w:rsidR="002E14D0">
        <w:t>d</w:t>
      </w:r>
      <w:r w:rsidRPr="008020FB">
        <w:t xml:space="preserve"> that the savings from the substitution of VEGF inhibitors by dexamethasone implant </w:t>
      </w:r>
      <w:r w:rsidR="002E14D0">
        <w:t>were</w:t>
      </w:r>
      <w:r w:rsidRPr="008020FB">
        <w:t xml:space="preserve"> overestimated in the</w:t>
      </w:r>
      <w:r w:rsidR="0087434A" w:rsidRPr="008020FB">
        <w:t xml:space="preserve"> resubmission</w:t>
      </w:r>
      <w:r w:rsidRPr="008020FB">
        <w:t xml:space="preserve">. </w:t>
      </w:r>
      <w:r w:rsidR="002E14D0">
        <w:t xml:space="preserve">Further, </w:t>
      </w:r>
      <w:r w:rsidRPr="008020FB">
        <w:t>the effective price of ranibizumab is unknown to the</w:t>
      </w:r>
      <w:r w:rsidR="0087434A" w:rsidRPr="008020FB">
        <w:t xml:space="preserve"> resubmission</w:t>
      </w:r>
      <w:r w:rsidRPr="008020FB">
        <w:t xml:space="preserve"> and thus the cost comparison is not accurate.</w:t>
      </w:r>
    </w:p>
    <w:p w:rsidR="00EC3474" w:rsidRPr="008020FB" w:rsidRDefault="00EC3474" w:rsidP="00EC3474">
      <w:pPr>
        <w:rPr>
          <w:szCs w:val="22"/>
        </w:rPr>
      </w:pPr>
    </w:p>
    <w:p w:rsidR="00346774" w:rsidRDefault="00622212" w:rsidP="00D06055">
      <w:pPr>
        <w:numPr>
          <w:ilvl w:val="1"/>
          <w:numId w:val="9"/>
        </w:numPr>
        <w:contextualSpacing/>
      </w:pPr>
      <w:r>
        <w:t>The r</w:t>
      </w:r>
      <w:r w:rsidR="00246C2D" w:rsidRPr="008020FB">
        <w:t>esults of th</w:t>
      </w:r>
      <w:r w:rsidR="002931BB">
        <w:t>e</w:t>
      </w:r>
      <w:r w:rsidR="00246C2D" w:rsidRPr="008020FB">
        <w:t xml:space="preserve"> </w:t>
      </w:r>
      <w:r w:rsidR="002931BB">
        <w:t xml:space="preserve">cost-effectiveness </w:t>
      </w:r>
      <w:r w:rsidR="00246C2D" w:rsidRPr="008020FB">
        <w:t>analys</w:t>
      </w:r>
      <w:r w:rsidR="00DE3340">
        <w:t>e</w:t>
      </w:r>
      <w:r w:rsidR="00246C2D" w:rsidRPr="008020FB">
        <w:t xml:space="preserve">s </w:t>
      </w:r>
      <w:r>
        <w:t>were</w:t>
      </w:r>
      <w:r w:rsidR="00246C2D" w:rsidRPr="008020FB">
        <w:t xml:space="preserve"> interpreted with caution due to concerns regarding</w:t>
      </w:r>
      <w:r w:rsidR="00346774" w:rsidRPr="008020FB">
        <w:t xml:space="preserve"> the estimation of</w:t>
      </w:r>
      <w:r w:rsidR="005A0497">
        <w:t xml:space="preserve"> </w:t>
      </w:r>
      <w:r w:rsidR="005A0497" w:rsidRPr="008020FB">
        <w:t xml:space="preserve">the </w:t>
      </w:r>
      <w:r w:rsidR="005A0497">
        <w:t>relative frequency of injections</w:t>
      </w:r>
      <w:r w:rsidR="00346774" w:rsidRPr="008020FB">
        <w:t xml:space="preserve">, exchangeability of patient populations used in the indirect comparison, and inclusion of </w:t>
      </w:r>
      <w:r w:rsidR="00280A43" w:rsidRPr="008020FB">
        <w:t xml:space="preserve">additional </w:t>
      </w:r>
      <w:r w:rsidR="00346774" w:rsidRPr="008020FB">
        <w:t>patient expenses</w:t>
      </w:r>
      <w:r w:rsidR="00C755E1" w:rsidRPr="008020FB">
        <w:t xml:space="preserve"> which are not necessarily justified</w:t>
      </w:r>
      <w:r w:rsidR="00346774" w:rsidRPr="008020FB">
        <w:t>.</w:t>
      </w:r>
    </w:p>
    <w:p w:rsidR="00CB5F47" w:rsidRPr="005F1B21" w:rsidRDefault="00CB5F47" w:rsidP="005F1B21"/>
    <w:p w:rsidR="007867F2" w:rsidRPr="005F1B21" w:rsidRDefault="00351EE1" w:rsidP="00D06055">
      <w:pPr>
        <w:pStyle w:val="ListParagraph"/>
        <w:numPr>
          <w:ilvl w:val="1"/>
          <w:numId w:val="9"/>
        </w:numPr>
      </w:pPr>
      <w:r w:rsidRPr="005F1B21">
        <w:t>The PBAC considered</w:t>
      </w:r>
      <w:r w:rsidR="007867F2" w:rsidRPr="005F1B21">
        <w:t xml:space="preserve"> that the resubmission’s cost-minimisation approach was not justified because the claim of non-inferiority of </w:t>
      </w:r>
      <w:r w:rsidR="005F1B21" w:rsidRPr="005F1B21">
        <w:t xml:space="preserve">dexamethasone implant verses ranibizumab or aflibercept injection </w:t>
      </w:r>
      <w:r w:rsidR="007867F2" w:rsidRPr="005F1B21">
        <w:t>was not supported by the clinical evidence presented in the original submission or the resubmission.</w:t>
      </w:r>
    </w:p>
    <w:p w:rsidR="007867F2" w:rsidRPr="005F1B21" w:rsidRDefault="007867F2" w:rsidP="005F1B21"/>
    <w:p w:rsidR="00D201A4" w:rsidRPr="005F1B21" w:rsidRDefault="00A17017" w:rsidP="00D06055">
      <w:pPr>
        <w:numPr>
          <w:ilvl w:val="1"/>
          <w:numId w:val="9"/>
        </w:numPr>
        <w:contextualSpacing/>
      </w:pPr>
      <w:r w:rsidRPr="005F1B21">
        <w:t>Furthermore</w:t>
      </w:r>
      <w:r w:rsidR="007867F2" w:rsidRPr="005F1B21">
        <w:t>, bas</w:t>
      </w:r>
      <w:r w:rsidR="005F1B21">
        <w:t>ed on the conclusion</w:t>
      </w:r>
      <w:r w:rsidR="007867F2" w:rsidRPr="005F1B21">
        <w:t xml:space="preserve"> that dexamethasone implant </w:t>
      </w:r>
      <w:r w:rsidR="005F1B21">
        <w:t xml:space="preserve">is associated with increased costs compared with </w:t>
      </w:r>
      <w:r w:rsidRPr="005F1B21">
        <w:t>to</w:t>
      </w:r>
      <w:r w:rsidR="007867F2" w:rsidRPr="005F1B21">
        <w:t xml:space="preserve"> ranibizumab</w:t>
      </w:r>
      <w:r w:rsidRPr="005F1B21">
        <w:t xml:space="preserve"> and aflibercept injection</w:t>
      </w:r>
      <w:r w:rsidR="005F1B21">
        <w:t xml:space="preserve"> due to the need to manage increased intraocular pressure</w:t>
      </w:r>
      <w:r w:rsidR="00502856">
        <w:t xml:space="preserve"> (IOP)</w:t>
      </w:r>
      <w:r w:rsidR="00AB261C">
        <w:t>, and as included in the economic evaluation in the resubmission</w:t>
      </w:r>
      <w:r w:rsidRPr="005F1B21">
        <w:t xml:space="preserve">, the </w:t>
      </w:r>
      <w:r w:rsidR="007867F2" w:rsidRPr="005F1B21">
        <w:t xml:space="preserve">PBAC considered that </w:t>
      </w:r>
      <w:r w:rsidR="005F1B21">
        <w:t xml:space="preserve">it would be appropriate to correspondingly reduce the price of </w:t>
      </w:r>
      <w:r w:rsidR="00D1358C" w:rsidRPr="005F1B21">
        <w:t xml:space="preserve">dexamethasone implant </w:t>
      </w:r>
      <w:r w:rsidR="005F1B21">
        <w:t xml:space="preserve">compared to </w:t>
      </w:r>
      <w:r w:rsidR="00D1358C" w:rsidRPr="005F1B21">
        <w:t xml:space="preserve">the cheapest PBS-listed VEGF </w:t>
      </w:r>
      <w:r w:rsidR="005F1B21">
        <w:t>inhibitor</w:t>
      </w:r>
      <w:r w:rsidR="00F00003" w:rsidRPr="005F1B21">
        <w:t>.</w:t>
      </w:r>
    </w:p>
    <w:p w:rsidR="00D201A4" w:rsidRPr="005F1B21" w:rsidRDefault="00D201A4" w:rsidP="005F1B21"/>
    <w:p w:rsidR="00E64328" w:rsidRPr="005F1B21" w:rsidRDefault="00BF0EAB" w:rsidP="00D06055">
      <w:pPr>
        <w:numPr>
          <w:ilvl w:val="1"/>
          <w:numId w:val="9"/>
        </w:numPr>
        <w:contextualSpacing/>
      </w:pPr>
      <w:r w:rsidRPr="005F1B21">
        <w:t xml:space="preserve">The PBAC re-affirmed its previous view that the estimates of the </w:t>
      </w:r>
      <w:r w:rsidR="005F1B21">
        <w:t xml:space="preserve">relative </w:t>
      </w:r>
      <w:r w:rsidRPr="005F1B21">
        <w:t xml:space="preserve">frequency of retreatments of dexamethasone implants compared with VEGF inhibitor injections in a given time period are unreliable due to problems with the sample size, exchangeability and applicability of the data sources. </w:t>
      </w:r>
      <w:r w:rsidR="009301A9" w:rsidRPr="005F1B21">
        <w:t>Nonetheless, the PBAC</w:t>
      </w:r>
      <w:r w:rsidR="009176D6" w:rsidRPr="005F1B21">
        <w:t xml:space="preserve"> recognised the unmet clinical need</w:t>
      </w:r>
      <w:r w:rsidR="008A1EBF" w:rsidRPr="005F1B21">
        <w:t xml:space="preserve"> for this therapy </w:t>
      </w:r>
      <w:r w:rsidR="009D3C10" w:rsidRPr="005F1B21">
        <w:t>among pat</w:t>
      </w:r>
      <w:r w:rsidR="00083B4A">
        <w:t xml:space="preserve">ients who have </w:t>
      </w:r>
      <w:r w:rsidR="00AA149C">
        <w:t>a contraindication</w:t>
      </w:r>
      <w:r w:rsidR="000D4CFE" w:rsidRPr="005F1B21">
        <w:t xml:space="preserve"> to a</w:t>
      </w:r>
      <w:r w:rsidR="00F32FBD">
        <w:t xml:space="preserve"> </w:t>
      </w:r>
      <w:r w:rsidR="000D4CFE" w:rsidRPr="005F1B21">
        <w:t xml:space="preserve">VEGF </w:t>
      </w:r>
      <w:r w:rsidR="00F32FBD">
        <w:t>inhibitor</w:t>
      </w:r>
      <w:r w:rsidR="000D4CFE" w:rsidRPr="005F1B21">
        <w:t>, or where a</w:t>
      </w:r>
      <w:r w:rsidR="00F32FBD">
        <w:t xml:space="preserve"> </w:t>
      </w:r>
      <w:r w:rsidR="000D4CFE" w:rsidRPr="005F1B21">
        <w:t xml:space="preserve">VEGF </w:t>
      </w:r>
      <w:r w:rsidR="00F32FBD">
        <w:t>inhibitor</w:t>
      </w:r>
      <w:r w:rsidR="000D4CFE" w:rsidRPr="005F1B21">
        <w:t xml:space="preserve"> is unsuitable for reasons relating to </w:t>
      </w:r>
      <w:r w:rsidR="00083B4A">
        <w:t>frequency of administration</w:t>
      </w:r>
      <w:r w:rsidR="000D4CFE" w:rsidRPr="005F1B21">
        <w:t>.</w:t>
      </w:r>
      <w:r w:rsidR="009301A9" w:rsidRPr="005F1B21">
        <w:t xml:space="preserve"> </w:t>
      </w:r>
      <w:r w:rsidR="001D3A66" w:rsidRPr="005F1B21">
        <w:t xml:space="preserve">The PBAC </w:t>
      </w:r>
      <w:r w:rsidR="009301A9" w:rsidRPr="005F1B21">
        <w:t>noted that the resubmission estimated that</w:t>
      </w:r>
      <w:r w:rsidR="002E0E87">
        <w:t>,</w:t>
      </w:r>
      <w:r w:rsidR="009301A9" w:rsidRPr="005F1B21">
        <w:t xml:space="preserve"> </w:t>
      </w:r>
      <w:r w:rsidR="00B456BE">
        <w:t>over a 36</w:t>
      </w:r>
      <w:r w:rsidR="002E0E87">
        <w:t>-</w:t>
      </w:r>
      <w:r w:rsidR="00B456BE">
        <w:t>month period</w:t>
      </w:r>
      <w:r w:rsidR="002E0E87">
        <w:t>,</w:t>
      </w:r>
      <w:r w:rsidR="00B456BE">
        <w:t xml:space="preserve"> </w:t>
      </w:r>
      <w:r w:rsidR="009301A9" w:rsidRPr="005F1B21">
        <w:t xml:space="preserve">dexamethasone implant would be </w:t>
      </w:r>
      <w:r w:rsidR="003276AC" w:rsidRPr="00594708">
        <w:t>administered 6.48</w:t>
      </w:r>
      <w:r w:rsidR="00B456BE" w:rsidRPr="00594708">
        <w:t xml:space="preserve"> times compared to 15.0 times for ranibizumab or aflibercept</w:t>
      </w:r>
      <w:r w:rsidR="004655A1" w:rsidRPr="00594708">
        <w:t xml:space="preserve"> (see Table 4)</w:t>
      </w:r>
      <w:r w:rsidR="009301A9" w:rsidRPr="00594708">
        <w:t>. The PBAC therefore consider</w:t>
      </w:r>
      <w:r w:rsidR="00452F4B" w:rsidRPr="00594708">
        <w:t>ed that</w:t>
      </w:r>
      <w:r w:rsidR="009301A9" w:rsidRPr="00594708">
        <w:t xml:space="preserve"> a pragmatic way forward would </w:t>
      </w:r>
      <w:r w:rsidR="00452F4B" w:rsidRPr="00594708">
        <w:t xml:space="preserve">be to price </w:t>
      </w:r>
      <w:r w:rsidR="009301A9" w:rsidRPr="00594708">
        <w:t xml:space="preserve">dexamethasone implant lower than the cost </w:t>
      </w:r>
      <w:r w:rsidR="005F1B21" w:rsidRPr="00594708">
        <w:t xml:space="preserve">of the cheapest PBS-listed </w:t>
      </w:r>
      <w:r w:rsidR="009301A9" w:rsidRPr="00594708">
        <w:t xml:space="preserve">VEGF </w:t>
      </w:r>
      <w:r w:rsidR="005F1B21" w:rsidRPr="00594708">
        <w:t>inhibitor</w:t>
      </w:r>
      <w:r w:rsidR="009301A9" w:rsidRPr="00594708">
        <w:t xml:space="preserve"> </w:t>
      </w:r>
      <w:r w:rsidR="004655A1" w:rsidRPr="00594708">
        <w:t xml:space="preserve">treatment </w:t>
      </w:r>
      <w:r w:rsidR="003276AC" w:rsidRPr="00594708">
        <w:t>over 36</w:t>
      </w:r>
      <w:r w:rsidR="00B64725" w:rsidRPr="00594708">
        <w:t xml:space="preserve"> months (see Table 4). </w:t>
      </w:r>
      <w:r w:rsidR="009301A9" w:rsidRPr="005F1B21">
        <w:t xml:space="preserve">The PBAC </w:t>
      </w:r>
      <w:r w:rsidR="005212F0" w:rsidRPr="005F1B21">
        <w:t xml:space="preserve">noted that retreatment frequencies declined in subsequent years, but </w:t>
      </w:r>
      <w:r w:rsidR="009301A9" w:rsidRPr="005F1B21">
        <w:t>considered this approach</w:t>
      </w:r>
      <w:r w:rsidR="00F21247" w:rsidRPr="005F1B21">
        <w:t xml:space="preserve"> remained</w:t>
      </w:r>
      <w:r w:rsidR="009301A9" w:rsidRPr="005F1B21">
        <w:t xml:space="preserve"> reasonable</w:t>
      </w:r>
      <w:r w:rsidR="005212F0" w:rsidRPr="005F1B21">
        <w:t xml:space="preserve"> </w:t>
      </w:r>
      <w:r w:rsidR="00F21247" w:rsidRPr="005F1B21">
        <w:t xml:space="preserve">in view of the greater estimated reduction in retreatment frequency for VEGF </w:t>
      </w:r>
      <w:r w:rsidR="005F1B21">
        <w:t>inhibitors</w:t>
      </w:r>
      <w:r w:rsidR="00F21247" w:rsidRPr="005F1B21">
        <w:t xml:space="preserve"> than for dexamethasone implant over </w:t>
      </w:r>
      <w:r w:rsidR="005212F0" w:rsidRPr="005F1B21">
        <w:t>years 2 and 3</w:t>
      </w:r>
      <w:r w:rsidR="00F21247" w:rsidRPr="005F1B21">
        <w:t>.</w:t>
      </w:r>
      <w:r w:rsidR="00B64725">
        <w:t xml:space="preserve"> The PBAC further </w:t>
      </w:r>
      <w:r w:rsidR="002E0E87">
        <w:t>considered</w:t>
      </w:r>
      <w:r w:rsidR="00B64725">
        <w:t xml:space="preserve"> that</w:t>
      </w:r>
      <w:r w:rsidR="002E0E87">
        <w:t>,</w:t>
      </w:r>
      <w:r w:rsidR="00B64725">
        <w:t xml:space="preserve"> given the positioning of a substantial proportion of </w:t>
      </w:r>
      <w:r w:rsidR="00B64725" w:rsidRPr="00322F4A">
        <w:rPr>
          <w:szCs w:val="22"/>
        </w:rPr>
        <w:lastRenderedPageBreak/>
        <w:t xml:space="preserve">dexamethasone </w:t>
      </w:r>
      <w:r w:rsidR="00B64725">
        <w:rPr>
          <w:szCs w:val="22"/>
        </w:rPr>
        <w:t xml:space="preserve">for use in patients who </w:t>
      </w:r>
      <w:r w:rsidR="00786574">
        <w:rPr>
          <w:szCs w:val="22"/>
        </w:rPr>
        <w:t>have</w:t>
      </w:r>
      <w:r w:rsidR="00B64725" w:rsidRPr="00322F4A">
        <w:rPr>
          <w:szCs w:val="22"/>
        </w:rPr>
        <w:t xml:space="preserve"> </w:t>
      </w:r>
      <w:r w:rsidR="00AA149C">
        <w:rPr>
          <w:szCs w:val="22"/>
        </w:rPr>
        <w:t xml:space="preserve">a </w:t>
      </w:r>
      <w:r w:rsidR="00B64725" w:rsidRPr="00322F4A">
        <w:rPr>
          <w:szCs w:val="22"/>
        </w:rPr>
        <w:t>contraindicat</w:t>
      </w:r>
      <w:r w:rsidR="00786574">
        <w:rPr>
          <w:szCs w:val="22"/>
        </w:rPr>
        <w:t>ion</w:t>
      </w:r>
      <w:r w:rsidR="00B64725">
        <w:rPr>
          <w:szCs w:val="22"/>
        </w:rPr>
        <w:t xml:space="preserve"> to</w:t>
      </w:r>
      <w:r w:rsidR="00B64725" w:rsidRPr="00322F4A">
        <w:rPr>
          <w:szCs w:val="22"/>
        </w:rPr>
        <w:t xml:space="preserve">, </w:t>
      </w:r>
      <w:r w:rsidR="003276AC">
        <w:rPr>
          <w:szCs w:val="22"/>
        </w:rPr>
        <w:t xml:space="preserve">are </w:t>
      </w:r>
      <w:r w:rsidR="00B64725" w:rsidRPr="00322F4A">
        <w:rPr>
          <w:szCs w:val="22"/>
        </w:rPr>
        <w:t xml:space="preserve">unsuitable for, or have failed prior treatment with </w:t>
      </w:r>
      <w:r w:rsidR="00B64725">
        <w:rPr>
          <w:szCs w:val="22"/>
        </w:rPr>
        <w:t>VEGF</w:t>
      </w:r>
      <w:r w:rsidR="00B64725" w:rsidRPr="00322F4A">
        <w:rPr>
          <w:szCs w:val="22"/>
        </w:rPr>
        <w:t xml:space="preserve"> inhibitors</w:t>
      </w:r>
      <w:r w:rsidR="00B64725">
        <w:rPr>
          <w:szCs w:val="22"/>
        </w:rPr>
        <w:t>,</w:t>
      </w:r>
      <w:r w:rsidR="00B64725">
        <w:t xml:space="preserve"> the pragmatic way forward was to exclude the MBS costs of administration in the calculation of the price.</w:t>
      </w:r>
    </w:p>
    <w:p w:rsidR="00E64328" w:rsidRPr="005F1B21" w:rsidRDefault="00E64328" w:rsidP="005F1B21"/>
    <w:p w:rsidR="00D201A4" w:rsidRPr="0035561C" w:rsidRDefault="00EC2BED" w:rsidP="00D06055">
      <w:pPr>
        <w:numPr>
          <w:ilvl w:val="1"/>
          <w:numId w:val="9"/>
        </w:numPr>
        <w:contextualSpacing/>
      </w:pPr>
      <w:r w:rsidRPr="0035561C">
        <w:t>The PBAC also considered that the results of the additional sensitivity analysis of the cost-effectiveness of dexamethasone implant versus ranibizumab/aflibercept injection in terms of cost-saving per letter loss in BCVA were both difficult to interpret and unreliable as they were based on indirect comparisons of clinical trials lacking exchangeability. Rather</w:t>
      </w:r>
      <w:r w:rsidR="00CF69D4">
        <w:t>,</w:t>
      </w:r>
      <w:r w:rsidRPr="0035561C">
        <w:t xml:space="preserve"> t</w:t>
      </w:r>
      <w:r w:rsidR="00D201A4" w:rsidRPr="0035561C">
        <w:t>he PB</w:t>
      </w:r>
      <w:r w:rsidRPr="0035561C">
        <w:t>AC</w:t>
      </w:r>
      <w:r w:rsidR="001F1D61" w:rsidRPr="0035561C">
        <w:t xml:space="preserve"> advised</w:t>
      </w:r>
      <w:r w:rsidR="00D201A4" w:rsidRPr="0035561C">
        <w:t xml:space="preserve"> that</w:t>
      </w:r>
      <w:r w:rsidR="00CF69D4">
        <w:t>,</w:t>
      </w:r>
      <w:r w:rsidR="001F1D61" w:rsidRPr="0035561C">
        <w:t xml:space="preserve"> consistent with its pragmatic approach,</w:t>
      </w:r>
      <w:r w:rsidR="00D201A4" w:rsidRPr="0035561C">
        <w:t xml:space="preserve"> a price reduction in the order of </w:t>
      </w:r>
      <w:r w:rsidR="008B6DFF">
        <w:rPr>
          <w:noProof/>
          <w:color w:val="000000"/>
          <w:highlight w:val="black"/>
        </w:rPr>
        <w:t>'''''</w:t>
      </w:r>
      <w:r w:rsidR="001F1D61" w:rsidRPr="0035561C">
        <w:t xml:space="preserve">% to </w:t>
      </w:r>
      <w:r w:rsidR="008B6DFF">
        <w:rPr>
          <w:noProof/>
          <w:color w:val="000000"/>
          <w:highlight w:val="black"/>
        </w:rPr>
        <w:t>'''''''</w:t>
      </w:r>
      <w:r w:rsidR="00D201A4" w:rsidRPr="0035561C">
        <w:t xml:space="preserve">% would be </w:t>
      </w:r>
      <w:r w:rsidR="00E64328" w:rsidRPr="0035561C">
        <w:t>required to satisfactorily account for the inferior safety</w:t>
      </w:r>
      <w:r w:rsidR="00A119D9" w:rsidRPr="0035561C">
        <w:t xml:space="preserve"> and eff</w:t>
      </w:r>
      <w:r w:rsidR="0035561C" w:rsidRPr="0035561C">
        <w:t>ectiveness</w:t>
      </w:r>
      <w:r w:rsidR="00E64328" w:rsidRPr="0035561C">
        <w:t xml:space="preserve"> of dexamethasone implant compared with the </w:t>
      </w:r>
      <w:r w:rsidR="00FF6B0A" w:rsidRPr="0035561C">
        <w:t xml:space="preserve">cheapest </w:t>
      </w:r>
      <w:r w:rsidR="001F1D61" w:rsidRPr="0035561C">
        <w:t xml:space="preserve">PBS-listed </w:t>
      </w:r>
      <w:r w:rsidR="00FF6B0A" w:rsidRPr="0035561C">
        <w:t xml:space="preserve">VEGF </w:t>
      </w:r>
      <w:r w:rsidR="00F32FBD" w:rsidRPr="0035561C">
        <w:t>inhibitor</w:t>
      </w:r>
      <w:r w:rsidR="00FF6B0A" w:rsidRPr="0035561C">
        <w:t>.</w:t>
      </w:r>
      <w:r w:rsidR="001F1D61" w:rsidRPr="0035561C">
        <w:t xml:space="preserve"> The alternative </w:t>
      </w:r>
      <w:r w:rsidR="00000FC9">
        <w:t xml:space="preserve">approach </w:t>
      </w:r>
      <w:r w:rsidR="001F1D61" w:rsidRPr="0035561C">
        <w:t xml:space="preserve">would be to consider a cost-effectiveness analysis </w:t>
      </w:r>
      <w:r w:rsidR="00932622" w:rsidRPr="0035561C">
        <w:t xml:space="preserve">or cost-consequences analysis </w:t>
      </w:r>
      <w:r w:rsidR="001F1D61" w:rsidRPr="0035561C">
        <w:t xml:space="preserve">comparing a reduced cost of using dexamethasone in place of this comparator against the </w:t>
      </w:r>
      <w:r w:rsidR="00932622" w:rsidRPr="0035561C">
        <w:t xml:space="preserve">set of </w:t>
      </w:r>
      <w:r w:rsidR="001F1D61" w:rsidRPr="0035561C">
        <w:t>reduced health outcomes to formally address this difficult value judgement.</w:t>
      </w:r>
    </w:p>
    <w:p w:rsidR="007867F2" w:rsidRPr="005F1B21" w:rsidRDefault="007867F2" w:rsidP="005F1B21">
      <w:pPr>
        <w:rPr>
          <w:highlight w:val="yellow"/>
        </w:rPr>
      </w:pPr>
    </w:p>
    <w:p w:rsidR="00C25D9C" w:rsidRPr="00497F10" w:rsidRDefault="00C25D9C" w:rsidP="009E321C">
      <w:pPr>
        <w:pStyle w:val="Heading2"/>
      </w:pPr>
      <w:bookmarkStart w:id="14" w:name="_Toc440970690"/>
      <w:r w:rsidRPr="00497F10">
        <w:t>Drug cost/patient/</w:t>
      </w:r>
      <w:r w:rsidR="00346774">
        <w:t>year</w:t>
      </w:r>
      <w:bookmarkEnd w:id="14"/>
    </w:p>
    <w:p w:rsidR="00C25D9C" w:rsidRPr="00C25D9C" w:rsidRDefault="00C25D9C" w:rsidP="00C25D9C">
      <w:pPr>
        <w:widowControl/>
        <w:rPr>
          <w:szCs w:val="22"/>
        </w:rPr>
      </w:pPr>
    </w:p>
    <w:p w:rsidR="00472359" w:rsidRPr="003B4D65" w:rsidRDefault="00292E70" w:rsidP="00D06055">
      <w:pPr>
        <w:numPr>
          <w:ilvl w:val="1"/>
          <w:numId w:val="9"/>
        </w:numPr>
        <w:contextualSpacing/>
      </w:pPr>
      <w:r w:rsidRPr="003B4D65">
        <w:t>The cost of dexamethasone implant/eye was estimated to be $</w:t>
      </w:r>
      <w:r w:rsidR="008B6DFF">
        <w:rPr>
          <w:noProof/>
          <w:color w:val="000000"/>
          <w:highlight w:val="black"/>
        </w:rPr>
        <w:t>'''''''''''''''''''''</w:t>
      </w:r>
      <w:r w:rsidRPr="003B4D65">
        <w:t xml:space="preserve"> for the first year</w:t>
      </w:r>
      <w:r w:rsidR="00D16346" w:rsidRPr="003B4D65">
        <w:t xml:space="preserve"> </w:t>
      </w:r>
      <w:r w:rsidRPr="003B4D65">
        <w:t>(assuming 3 implants required), and $</w:t>
      </w:r>
      <w:r w:rsidR="008B6DFF">
        <w:rPr>
          <w:noProof/>
          <w:color w:val="000000"/>
          <w:highlight w:val="black"/>
        </w:rPr>
        <w:t>'''''''''''''''</w:t>
      </w:r>
      <w:r w:rsidRPr="003B4D65">
        <w:t xml:space="preserve"> for years 2 and 3 (assuming 2 implants required</w:t>
      </w:r>
      <w:r w:rsidR="00DE3340">
        <w:t>)</w:t>
      </w:r>
      <w:r w:rsidRPr="003B4D65">
        <w:t>.</w:t>
      </w:r>
    </w:p>
    <w:p w:rsidR="00B60939" w:rsidRPr="00882085" w:rsidRDefault="00B60939" w:rsidP="001456B0">
      <w:pPr>
        <w:rPr>
          <w:szCs w:val="22"/>
        </w:rPr>
      </w:pPr>
    </w:p>
    <w:p w:rsidR="00B60939" w:rsidRDefault="00B60939" w:rsidP="009E321C">
      <w:pPr>
        <w:pStyle w:val="Heading2"/>
      </w:pPr>
      <w:bookmarkStart w:id="15" w:name="_Toc440970691"/>
      <w:r w:rsidRPr="00497F10">
        <w:t>Estimated PBS usage &amp; financial implications</w:t>
      </w:r>
      <w:bookmarkEnd w:id="15"/>
    </w:p>
    <w:p w:rsidR="00E07713" w:rsidRPr="00E07713" w:rsidRDefault="00E07713" w:rsidP="00E07713"/>
    <w:p w:rsidR="00E07713" w:rsidRPr="005F1B21" w:rsidRDefault="003A6BD3" w:rsidP="00D06055">
      <w:pPr>
        <w:numPr>
          <w:ilvl w:val="1"/>
          <w:numId w:val="9"/>
        </w:numPr>
        <w:contextualSpacing/>
      </w:pPr>
      <w:r>
        <w:t>This re</w:t>
      </w:r>
      <w:r w:rsidR="00E07713" w:rsidRPr="008621C5">
        <w:t xml:space="preserve">submission </w:t>
      </w:r>
      <w:r w:rsidR="007B09F3" w:rsidRPr="008621C5">
        <w:t>was</w:t>
      </w:r>
      <w:r w:rsidR="00E07713" w:rsidRPr="008621C5">
        <w:t xml:space="preserve"> not considered by DUSC. The</w:t>
      </w:r>
      <w:r w:rsidR="0087434A" w:rsidRPr="008621C5">
        <w:t xml:space="preserve"> resubmission</w:t>
      </w:r>
      <w:r w:rsidR="00E07713" w:rsidRPr="008621C5">
        <w:t xml:space="preserve"> used a combination of epidemiological and market share approaches to estimate the extent of use and the financial implications associated with the PBS listing of dexamethasone implant for the treatment of DME. The</w:t>
      </w:r>
      <w:r w:rsidR="0087434A" w:rsidRPr="008621C5">
        <w:t xml:space="preserve"> resubmission</w:t>
      </w:r>
      <w:r w:rsidR="00E07713" w:rsidRPr="008621C5">
        <w:t xml:space="preserve"> assumed that patients likely to be treated with dexamethasone implant would otherwise receive ranibizumab/aflibercept injection. Given that the resubmission claimed the clinical place of dexamethasone implant </w:t>
      </w:r>
      <w:r w:rsidR="00AD281A">
        <w:t>is among</w:t>
      </w:r>
      <w:r w:rsidR="00E07713" w:rsidRPr="008621C5">
        <w:t xml:space="preserve"> those who are uns</w:t>
      </w:r>
      <w:r w:rsidR="00D019E7">
        <w:t xml:space="preserve">uitable for treatment with VEGF </w:t>
      </w:r>
      <w:r w:rsidR="00E07713" w:rsidRPr="008621C5">
        <w:t xml:space="preserve">inhibitors (patients who </w:t>
      </w:r>
      <w:r w:rsidR="006B56D3">
        <w:t>have</w:t>
      </w:r>
      <w:r w:rsidR="006B56D3" w:rsidRPr="008621C5">
        <w:t xml:space="preserve"> </w:t>
      </w:r>
      <w:r w:rsidR="00AA149C">
        <w:t xml:space="preserve">a </w:t>
      </w:r>
      <w:r w:rsidR="006B56D3" w:rsidRPr="008621C5">
        <w:t>contraindicat</w:t>
      </w:r>
      <w:r w:rsidR="00AA149C">
        <w:t>ion</w:t>
      </w:r>
      <w:r w:rsidR="006B56D3">
        <w:t xml:space="preserve"> to, </w:t>
      </w:r>
      <w:r w:rsidR="00E07713" w:rsidRPr="008621C5">
        <w:t>o</w:t>
      </w:r>
      <w:r w:rsidR="00F32FBD">
        <w:t xml:space="preserve">r have failed to respond to a </w:t>
      </w:r>
      <w:r w:rsidR="00E07713" w:rsidRPr="008621C5">
        <w:t xml:space="preserve">VEGF </w:t>
      </w:r>
      <w:r w:rsidR="00F32FBD">
        <w:t>inhibitor</w:t>
      </w:r>
      <w:r w:rsidR="00E07713" w:rsidRPr="008621C5">
        <w:t xml:space="preserve">; or where a patient may be unsuitable for treatment with </w:t>
      </w:r>
      <w:r w:rsidR="00F32FBD">
        <w:t xml:space="preserve">a </w:t>
      </w:r>
      <w:r w:rsidR="00E07713" w:rsidRPr="008621C5">
        <w:t xml:space="preserve">VEGF </w:t>
      </w:r>
      <w:r w:rsidR="00F32FBD">
        <w:t>inhibitor</w:t>
      </w:r>
      <w:r w:rsidR="00F32FBD" w:rsidRPr="008621C5">
        <w:t xml:space="preserve"> </w:t>
      </w:r>
      <w:r w:rsidR="00E07713" w:rsidRPr="008621C5">
        <w:t xml:space="preserve">because of a likelihood of failure to attend the clinic on the number of occasions), it </w:t>
      </w:r>
      <w:r w:rsidR="00EF0966" w:rsidRPr="008621C5">
        <w:t>is</w:t>
      </w:r>
      <w:r w:rsidR="00E07713" w:rsidRPr="008621C5">
        <w:t xml:space="preserve"> reasonable to expect some growth in the current market.</w:t>
      </w:r>
      <w:r w:rsidR="0086279A" w:rsidRPr="008621C5">
        <w:t xml:space="preserve"> The ESC noted that the submission and the PSCR (p1) claimed that the clinical place for dexamethasone implant is in treating those patients who have </w:t>
      </w:r>
      <w:r w:rsidR="00AA149C">
        <w:t>a contraindication</w:t>
      </w:r>
      <w:r w:rsidR="0086279A" w:rsidRPr="008621C5">
        <w:t xml:space="preserve"> or are unwilling to undertake treatment with currently listed VEGF </w:t>
      </w:r>
      <w:r w:rsidR="00F32FBD">
        <w:t>inhibitor</w:t>
      </w:r>
      <w:r w:rsidR="0086279A" w:rsidRPr="008621C5">
        <w:t xml:space="preserve">s. At the same time, the submission claimed that uptake of dexamethasone will result in </w:t>
      </w:r>
      <w:r w:rsidR="00DE3340" w:rsidRPr="008621C5">
        <w:t xml:space="preserve">cost off-sets of greater than </w:t>
      </w:r>
      <w:r w:rsidR="00305835">
        <w:t>$20 – $30 million</w:t>
      </w:r>
      <w:r w:rsidR="00DE3340" w:rsidRPr="008621C5">
        <w:t xml:space="preserve"> per year by reducing the use of VEGF </w:t>
      </w:r>
      <w:r w:rsidR="00F32FBD">
        <w:t>inhibitors</w:t>
      </w:r>
      <w:r w:rsidR="00DE3340" w:rsidRPr="008621C5">
        <w:t>. The ESC considered that this was incompatible with the likely consequences of the proposed niche market</w:t>
      </w:r>
      <w:r w:rsidR="0086279A" w:rsidRPr="008621C5">
        <w:t>.</w:t>
      </w:r>
      <w:r w:rsidR="00E07713" w:rsidRPr="008621C5">
        <w:t xml:space="preserve"> The estimated use and financial implications as estimated in the</w:t>
      </w:r>
      <w:r w:rsidR="0087434A" w:rsidRPr="008621C5">
        <w:t xml:space="preserve"> resubmission</w:t>
      </w:r>
      <w:r w:rsidR="00E07713" w:rsidRPr="008621C5">
        <w:t xml:space="preserve"> are summarised below</w:t>
      </w:r>
      <w:r w:rsidR="0085692A" w:rsidRPr="008621C5">
        <w:t xml:space="preserve"> in Table 5</w:t>
      </w:r>
      <w:r w:rsidR="00E07713" w:rsidRPr="008621C5">
        <w:t>.</w:t>
      </w:r>
      <w:r w:rsidR="004266C0" w:rsidRPr="005F1B21">
        <w:t xml:space="preserve"> The Pre-PBAC Response (p</w:t>
      </w:r>
      <w:r w:rsidR="00203E6B" w:rsidRPr="005F1B21">
        <w:t>2</w:t>
      </w:r>
      <w:r w:rsidR="004266C0" w:rsidRPr="005F1B21">
        <w:t>) acknowledged the uncertainty with respect to the update of dexamethasone implant in Australia.</w:t>
      </w:r>
    </w:p>
    <w:p w:rsidR="003970E2" w:rsidRDefault="003970E2" w:rsidP="003970E2">
      <w:pPr>
        <w:widowControl/>
        <w:ind w:firstLine="363"/>
        <w:jc w:val="left"/>
        <w:rPr>
          <w:szCs w:val="22"/>
        </w:rPr>
      </w:pPr>
    </w:p>
    <w:p w:rsidR="00305835" w:rsidRDefault="00305835" w:rsidP="00AD281A">
      <w:pPr>
        <w:widowControl/>
        <w:ind w:firstLine="720"/>
        <w:jc w:val="left"/>
        <w:rPr>
          <w:rStyle w:val="CommentReference"/>
        </w:rPr>
      </w:pPr>
      <w:r>
        <w:rPr>
          <w:rStyle w:val="CommentReference"/>
        </w:rPr>
        <w:br w:type="page"/>
      </w:r>
    </w:p>
    <w:p w:rsidR="00E07713" w:rsidRPr="00E07713" w:rsidRDefault="00E07713" w:rsidP="00AD281A">
      <w:pPr>
        <w:widowControl/>
        <w:ind w:firstLine="720"/>
        <w:jc w:val="left"/>
        <w:rPr>
          <w:rStyle w:val="CommentReference"/>
        </w:rPr>
      </w:pPr>
      <w:r w:rsidRPr="00E07713">
        <w:rPr>
          <w:rStyle w:val="CommentReference"/>
        </w:rPr>
        <w:lastRenderedPageBreak/>
        <w:t>Table 5: Estimated use and financial implications</w:t>
      </w:r>
    </w:p>
    <w:tbl>
      <w:tblPr>
        <w:tblStyle w:val="StandardTable"/>
        <w:tblW w:w="4574" w:type="pct"/>
        <w:tblInd w:w="766" w:type="dxa"/>
        <w:tblLayout w:type="fixed"/>
        <w:tblLook w:val="0000" w:firstRow="0" w:lastRow="0" w:firstColumn="0" w:lastColumn="0" w:noHBand="0" w:noVBand="0"/>
        <w:tblCaption w:val="Table 5: Estimated use and financial implications"/>
      </w:tblPr>
      <w:tblGrid>
        <w:gridCol w:w="2411"/>
        <w:gridCol w:w="1191"/>
        <w:gridCol w:w="1191"/>
        <w:gridCol w:w="1191"/>
        <w:gridCol w:w="1191"/>
        <w:gridCol w:w="1187"/>
      </w:tblGrid>
      <w:tr w:rsidR="00E07713" w:rsidRPr="00E07713" w:rsidTr="00126595">
        <w:tc>
          <w:tcPr>
            <w:tcW w:w="1442" w:type="pct"/>
          </w:tcPr>
          <w:p w:rsidR="00E07713" w:rsidRPr="00E07713" w:rsidRDefault="00E07713" w:rsidP="008D3CF5">
            <w:pPr>
              <w:pStyle w:val="TableText1"/>
              <w:rPr>
                <w:b/>
              </w:rPr>
            </w:pPr>
            <w:r w:rsidRPr="00E07713">
              <w:rPr>
                <w:b/>
              </w:rPr>
              <w:t>Estimate</w:t>
            </w:r>
          </w:p>
        </w:tc>
        <w:tc>
          <w:tcPr>
            <w:tcW w:w="712" w:type="pct"/>
          </w:tcPr>
          <w:p w:rsidR="00E07713" w:rsidRPr="00E07713" w:rsidRDefault="00E07713" w:rsidP="008D3CF5">
            <w:pPr>
              <w:pStyle w:val="TableText1"/>
              <w:jc w:val="center"/>
              <w:rPr>
                <w:b/>
              </w:rPr>
            </w:pPr>
            <w:r w:rsidRPr="00E07713">
              <w:rPr>
                <w:b/>
              </w:rPr>
              <w:t>Year 1</w:t>
            </w:r>
          </w:p>
        </w:tc>
        <w:tc>
          <w:tcPr>
            <w:tcW w:w="712" w:type="pct"/>
          </w:tcPr>
          <w:p w:rsidR="00E07713" w:rsidRPr="00E07713" w:rsidRDefault="00E07713" w:rsidP="008D3CF5">
            <w:pPr>
              <w:pStyle w:val="TableText1"/>
              <w:jc w:val="center"/>
              <w:rPr>
                <w:b/>
              </w:rPr>
            </w:pPr>
            <w:r w:rsidRPr="00E07713">
              <w:rPr>
                <w:b/>
              </w:rPr>
              <w:t>Year 2</w:t>
            </w:r>
          </w:p>
        </w:tc>
        <w:tc>
          <w:tcPr>
            <w:tcW w:w="712" w:type="pct"/>
          </w:tcPr>
          <w:p w:rsidR="00E07713" w:rsidRPr="00E07713" w:rsidRDefault="00E07713" w:rsidP="008D3CF5">
            <w:pPr>
              <w:pStyle w:val="TableText1"/>
              <w:jc w:val="center"/>
              <w:rPr>
                <w:b/>
              </w:rPr>
            </w:pPr>
            <w:r w:rsidRPr="00E07713">
              <w:rPr>
                <w:b/>
              </w:rPr>
              <w:t>Year 3</w:t>
            </w:r>
          </w:p>
        </w:tc>
        <w:tc>
          <w:tcPr>
            <w:tcW w:w="712" w:type="pct"/>
          </w:tcPr>
          <w:p w:rsidR="00E07713" w:rsidRPr="00E07713" w:rsidRDefault="00E07713" w:rsidP="008D3CF5">
            <w:pPr>
              <w:pStyle w:val="TableText1"/>
              <w:jc w:val="center"/>
              <w:rPr>
                <w:b/>
              </w:rPr>
            </w:pPr>
            <w:r w:rsidRPr="00E07713">
              <w:rPr>
                <w:b/>
              </w:rPr>
              <w:t>Year 4</w:t>
            </w:r>
          </w:p>
        </w:tc>
        <w:tc>
          <w:tcPr>
            <w:tcW w:w="712" w:type="pct"/>
          </w:tcPr>
          <w:p w:rsidR="00E07713" w:rsidRPr="00E07713" w:rsidRDefault="00E07713" w:rsidP="008D3CF5">
            <w:pPr>
              <w:pStyle w:val="TableText1"/>
              <w:jc w:val="center"/>
              <w:rPr>
                <w:b/>
              </w:rPr>
            </w:pPr>
            <w:r w:rsidRPr="00E07713">
              <w:rPr>
                <w:b/>
              </w:rPr>
              <w:t>Year 5</w:t>
            </w:r>
          </w:p>
        </w:tc>
      </w:tr>
      <w:tr w:rsidR="00E07713" w:rsidRPr="00E07713" w:rsidTr="00126595">
        <w:tc>
          <w:tcPr>
            <w:tcW w:w="5000" w:type="pct"/>
            <w:gridSpan w:val="6"/>
          </w:tcPr>
          <w:p w:rsidR="00E07713" w:rsidRPr="00E07713" w:rsidRDefault="00E07713" w:rsidP="008D3CF5">
            <w:pPr>
              <w:pStyle w:val="TableText1"/>
              <w:rPr>
                <w:b/>
                <w:bCs/>
                <w:color w:val="000000"/>
              </w:rPr>
            </w:pPr>
            <w:r w:rsidRPr="00E07713">
              <w:rPr>
                <w:b/>
                <w:bCs/>
                <w:color w:val="000000"/>
              </w:rPr>
              <w:t>Estimated extent of use</w:t>
            </w:r>
          </w:p>
        </w:tc>
      </w:tr>
      <w:tr w:rsidR="00E07713" w:rsidRPr="00E07713" w:rsidTr="00126595">
        <w:tc>
          <w:tcPr>
            <w:tcW w:w="1442" w:type="pct"/>
          </w:tcPr>
          <w:p w:rsidR="00E07713" w:rsidRPr="00E07713" w:rsidRDefault="00E07713" w:rsidP="008D3CF5">
            <w:pPr>
              <w:pStyle w:val="TableText1"/>
            </w:pPr>
            <w:r w:rsidRPr="00E07713">
              <w:t>Total number of patients treated</w:t>
            </w:r>
          </w:p>
        </w:tc>
        <w:tc>
          <w:tcPr>
            <w:tcW w:w="712" w:type="pct"/>
          </w:tcPr>
          <w:p w:rsidR="00E07713" w:rsidRPr="008B6DFF" w:rsidRDefault="008B6DFF" w:rsidP="008D3CF5">
            <w:pPr>
              <w:pStyle w:val="TableText1"/>
              <w:jc w:val="center"/>
              <w:rPr>
                <w:bCs/>
                <w:color w:val="000000"/>
                <w:highlight w:val="black"/>
              </w:rPr>
            </w:pPr>
            <w:r>
              <w:rPr>
                <w:noProof/>
                <w:color w:val="000000"/>
                <w:highlight w:val="black"/>
              </w:rPr>
              <w:t>'''''''''''''</w:t>
            </w:r>
          </w:p>
        </w:tc>
        <w:tc>
          <w:tcPr>
            <w:tcW w:w="712" w:type="pct"/>
          </w:tcPr>
          <w:p w:rsidR="00E07713" w:rsidRPr="008B6DFF" w:rsidRDefault="008B6DFF" w:rsidP="008D3CF5">
            <w:pPr>
              <w:pStyle w:val="TableText1"/>
              <w:jc w:val="center"/>
              <w:rPr>
                <w:bCs/>
                <w:color w:val="000000"/>
                <w:highlight w:val="black"/>
              </w:rPr>
            </w:pPr>
            <w:r>
              <w:rPr>
                <w:noProof/>
                <w:color w:val="000000"/>
                <w:highlight w:val="black"/>
              </w:rPr>
              <w:t>''''''''''''''</w:t>
            </w:r>
          </w:p>
        </w:tc>
        <w:tc>
          <w:tcPr>
            <w:tcW w:w="712" w:type="pct"/>
          </w:tcPr>
          <w:p w:rsidR="00E07713" w:rsidRPr="008B6DFF" w:rsidRDefault="008B6DFF" w:rsidP="008D3CF5">
            <w:pPr>
              <w:pStyle w:val="TableText1"/>
              <w:jc w:val="center"/>
              <w:rPr>
                <w:bCs/>
                <w:color w:val="000000"/>
                <w:highlight w:val="black"/>
              </w:rPr>
            </w:pPr>
            <w:r>
              <w:rPr>
                <w:noProof/>
                <w:color w:val="000000"/>
                <w:highlight w:val="black"/>
              </w:rPr>
              <w:t>''''''''''''</w:t>
            </w:r>
          </w:p>
        </w:tc>
        <w:tc>
          <w:tcPr>
            <w:tcW w:w="712" w:type="pct"/>
          </w:tcPr>
          <w:p w:rsidR="00E07713" w:rsidRPr="008B6DFF" w:rsidRDefault="008B6DFF" w:rsidP="008D3CF5">
            <w:pPr>
              <w:pStyle w:val="TableText1"/>
              <w:jc w:val="center"/>
              <w:rPr>
                <w:bCs/>
                <w:color w:val="000000"/>
                <w:highlight w:val="black"/>
              </w:rPr>
            </w:pPr>
            <w:r>
              <w:rPr>
                <w:noProof/>
                <w:color w:val="000000"/>
                <w:highlight w:val="black"/>
              </w:rPr>
              <w:t>''''''''''''</w:t>
            </w:r>
          </w:p>
        </w:tc>
        <w:tc>
          <w:tcPr>
            <w:tcW w:w="712" w:type="pct"/>
          </w:tcPr>
          <w:p w:rsidR="00E07713" w:rsidRPr="008B6DFF" w:rsidRDefault="008B6DFF" w:rsidP="008D3CF5">
            <w:pPr>
              <w:pStyle w:val="TableText1"/>
              <w:jc w:val="center"/>
              <w:rPr>
                <w:bCs/>
                <w:color w:val="000000"/>
                <w:highlight w:val="black"/>
              </w:rPr>
            </w:pPr>
            <w:r>
              <w:rPr>
                <w:noProof/>
                <w:color w:val="000000"/>
                <w:highlight w:val="black"/>
              </w:rPr>
              <w:t>''''''''''''''''</w:t>
            </w:r>
          </w:p>
        </w:tc>
      </w:tr>
      <w:tr w:rsidR="00E07713" w:rsidRPr="00E07713" w:rsidTr="00126595">
        <w:tc>
          <w:tcPr>
            <w:tcW w:w="1442" w:type="pct"/>
          </w:tcPr>
          <w:p w:rsidR="00E07713" w:rsidRPr="00E07713" w:rsidRDefault="00E07713" w:rsidP="008D3CF5">
            <w:pPr>
              <w:pStyle w:val="TableText1"/>
            </w:pPr>
            <w:r w:rsidRPr="00E07713">
              <w:t>Total number of scripts</w:t>
            </w:r>
            <w:r w:rsidR="00AF15D4" w:rsidRPr="00E07713">
              <w:rPr>
                <w:vertAlign w:val="superscript"/>
              </w:rPr>
              <w:t>a</w:t>
            </w:r>
          </w:p>
        </w:tc>
        <w:tc>
          <w:tcPr>
            <w:tcW w:w="712" w:type="pct"/>
          </w:tcPr>
          <w:p w:rsidR="00E07713" w:rsidRPr="008B6DFF" w:rsidRDefault="008B6DFF" w:rsidP="008D3CF5">
            <w:pPr>
              <w:pStyle w:val="TableText1"/>
              <w:jc w:val="center"/>
              <w:rPr>
                <w:bCs/>
                <w:color w:val="000000"/>
                <w:highlight w:val="black"/>
              </w:rPr>
            </w:pPr>
            <w:r>
              <w:rPr>
                <w:bCs/>
                <w:noProof/>
                <w:color w:val="000000"/>
                <w:highlight w:val="black"/>
              </w:rPr>
              <w:t>'''''''''''''''''</w:t>
            </w:r>
          </w:p>
        </w:tc>
        <w:tc>
          <w:tcPr>
            <w:tcW w:w="712" w:type="pct"/>
          </w:tcPr>
          <w:p w:rsidR="00E07713" w:rsidRPr="008B6DFF" w:rsidRDefault="008B6DFF" w:rsidP="008D3CF5">
            <w:pPr>
              <w:pStyle w:val="TableText1"/>
              <w:jc w:val="center"/>
              <w:rPr>
                <w:bCs/>
                <w:color w:val="000000"/>
                <w:highlight w:val="black"/>
              </w:rPr>
            </w:pPr>
            <w:r>
              <w:rPr>
                <w:bCs/>
                <w:noProof/>
                <w:color w:val="000000"/>
                <w:highlight w:val="black"/>
              </w:rPr>
              <w:t>'''''''''''''''''</w:t>
            </w:r>
          </w:p>
        </w:tc>
        <w:tc>
          <w:tcPr>
            <w:tcW w:w="712" w:type="pct"/>
          </w:tcPr>
          <w:p w:rsidR="00E07713" w:rsidRPr="008B6DFF" w:rsidRDefault="008B6DFF" w:rsidP="008D3CF5">
            <w:pPr>
              <w:pStyle w:val="TableText1"/>
              <w:jc w:val="center"/>
              <w:rPr>
                <w:bCs/>
                <w:color w:val="000000"/>
                <w:highlight w:val="black"/>
              </w:rPr>
            </w:pPr>
            <w:r>
              <w:rPr>
                <w:bCs/>
                <w:noProof/>
                <w:color w:val="000000"/>
                <w:highlight w:val="black"/>
              </w:rPr>
              <w:t>'''''''''''''''</w:t>
            </w:r>
          </w:p>
        </w:tc>
        <w:tc>
          <w:tcPr>
            <w:tcW w:w="712" w:type="pct"/>
          </w:tcPr>
          <w:p w:rsidR="00E07713" w:rsidRPr="008B6DFF" w:rsidRDefault="008B6DFF" w:rsidP="008D3CF5">
            <w:pPr>
              <w:pStyle w:val="TableText1"/>
              <w:jc w:val="center"/>
              <w:rPr>
                <w:bCs/>
                <w:color w:val="000000"/>
                <w:highlight w:val="black"/>
              </w:rPr>
            </w:pPr>
            <w:r>
              <w:rPr>
                <w:bCs/>
                <w:noProof/>
                <w:color w:val="000000"/>
                <w:highlight w:val="black"/>
              </w:rPr>
              <w:t>''''''''''''''''</w:t>
            </w:r>
          </w:p>
        </w:tc>
        <w:tc>
          <w:tcPr>
            <w:tcW w:w="712" w:type="pct"/>
          </w:tcPr>
          <w:p w:rsidR="00E07713" w:rsidRPr="008B6DFF" w:rsidRDefault="008B6DFF" w:rsidP="008D3CF5">
            <w:pPr>
              <w:pStyle w:val="TableText1"/>
              <w:jc w:val="center"/>
              <w:rPr>
                <w:bCs/>
                <w:color w:val="000000"/>
                <w:highlight w:val="black"/>
              </w:rPr>
            </w:pPr>
            <w:r>
              <w:rPr>
                <w:bCs/>
                <w:noProof/>
                <w:color w:val="000000"/>
                <w:highlight w:val="black"/>
              </w:rPr>
              <w:t>''''''''''''''''</w:t>
            </w:r>
          </w:p>
        </w:tc>
      </w:tr>
      <w:tr w:rsidR="00E07713" w:rsidRPr="00E07713" w:rsidTr="00126595">
        <w:tc>
          <w:tcPr>
            <w:tcW w:w="5000" w:type="pct"/>
            <w:gridSpan w:val="6"/>
          </w:tcPr>
          <w:p w:rsidR="00E07713" w:rsidRPr="00E07713" w:rsidRDefault="00E07713" w:rsidP="008D3CF5">
            <w:pPr>
              <w:pStyle w:val="TableText1"/>
              <w:rPr>
                <w:bCs/>
                <w:color w:val="000000"/>
              </w:rPr>
            </w:pPr>
            <w:r w:rsidRPr="00E07713">
              <w:rPr>
                <w:b/>
                <w:bCs/>
                <w:color w:val="000000"/>
              </w:rPr>
              <w:t>Estimated net cost to PBS/RPBS/MBS</w:t>
            </w:r>
          </w:p>
        </w:tc>
      </w:tr>
      <w:tr w:rsidR="00E07713" w:rsidRPr="00E07713" w:rsidTr="00126595">
        <w:tc>
          <w:tcPr>
            <w:tcW w:w="1442" w:type="pct"/>
          </w:tcPr>
          <w:p w:rsidR="00E07713" w:rsidRPr="00E07713" w:rsidRDefault="00E07713" w:rsidP="008D3CF5">
            <w:pPr>
              <w:pStyle w:val="TableText1"/>
            </w:pPr>
            <w:r w:rsidRPr="00E07713">
              <w:t>Net cost to the PBS</w:t>
            </w:r>
          </w:p>
        </w:tc>
        <w:tc>
          <w:tcPr>
            <w:tcW w:w="712" w:type="pct"/>
          </w:tcPr>
          <w:p w:rsidR="00E07713" w:rsidRPr="00E07713" w:rsidRDefault="00E07713" w:rsidP="008D3CF5">
            <w:pPr>
              <w:pStyle w:val="TableText1"/>
              <w:jc w:val="center"/>
              <w:rPr>
                <w:bCs/>
                <w:color w:val="000000"/>
              </w:rPr>
            </w:pPr>
            <w:r w:rsidRPr="00E07713">
              <w:rPr>
                <w:bCs/>
                <w:color w:val="000000"/>
              </w:rPr>
              <w:t>-$</w:t>
            </w:r>
            <w:r w:rsidR="008B6DFF">
              <w:rPr>
                <w:bCs/>
                <w:noProof/>
                <w:color w:val="000000"/>
                <w:highlight w:val="black"/>
              </w:rPr>
              <w:t>''''''''''''''''''''''''''</w:t>
            </w:r>
          </w:p>
        </w:tc>
        <w:tc>
          <w:tcPr>
            <w:tcW w:w="712" w:type="pct"/>
          </w:tcPr>
          <w:p w:rsidR="00E07713" w:rsidRPr="00E07713" w:rsidRDefault="00E07713" w:rsidP="008D3CF5">
            <w:pPr>
              <w:pStyle w:val="TableText1"/>
              <w:jc w:val="center"/>
              <w:rPr>
                <w:bCs/>
                <w:color w:val="000000"/>
              </w:rPr>
            </w:pPr>
            <w:r w:rsidRPr="00E07713">
              <w:rPr>
                <w:bCs/>
                <w:color w:val="000000"/>
              </w:rPr>
              <w:t>-$</w:t>
            </w:r>
            <w:r w:rsidR="008B6DFF">
              <w:rPr>
                <w:bCs/>
                <w:noProof/>
                <w:color w:val="000000"/>
                <w:highlight w:val="black"/>
              </w:rPr>
              <w:t>'''''''''''''''''''''''''</w:t>
            </w:r>
          </w:p>
        </w:tc>
        <w:tc>
          <w:tcPr>
            <w:tcW w:w="712" w:type="pct"/>
          </w:tcPr>
          <w:p w:rsidR="00E07713" w:rsidRPr="00E07713" w:rsidRDefault="00E07713" w:rsidP="008D3CF5">
            <w:pPr>
              <w:pStyle w:val="TableText1"/>
              <w:jc w:val="center"/>
              <w:rPr>
                <w:bCs/>
                <w:color w:val="000000"/>
              </w:rPr>
            </w:pPr>
            <w:r w:rsidRPr="00E07713">
              <w:rPr>
                <w:bCs/>
                <w:color w:val="000000"/>
              </w:rPr>
              <w:t>-$</w:t>
            </w:r>
            <w:r w:rsidR="008B6DFF">
              <w:rPr>
                <w:bCs/>
                <w:noProof/>
                <w:color w:val="000000"/>
                <w:highlight w:val="black"/>
              </w:rPr>
              <w:t>''''''''''''''''''''''''</w:t>
            </w:r>
          </w:p>
        </w:tc>
        <w:tc>
          <w:tcPr>
            <w:tcW w:w="712" w:type="pct"/>
          </w:tcPr>
          <w:p w:rsidR="00E07713" w:rsidRPr="00E07713" w:rsidRDefault="00E07713" w:rsidP="008D3CF5">
            <w:pPr>
              <w:pStyle w:val="TableText1"/>
              <w:jc w:val="center"/>
              <w:rPr>
                <w:bCs/>
                <w:color w:val="000000"/>
              </w:rPr>
            </w:pPr>
            <w:r w:rsidRPr="00E07713">
              <w:rPr>
                <w:bCs/>
                <w:color w:val="000000"/>
              </w:rPr>
              <w:t>-$</w:t>
            </w:r>
            <w:r w:rsidR="008B6DFF">
              <w:rPr>
                <w:bCs/>
                <w:noProof/>
                <w:color w:val="000000"/>
                <w:highlight w:val="black"/>
              </w:rPr>
              <w:t>'''''''''''''''''''''''''''</w:t>
            </w:r>
          </w:p>
        </w:tc>
        <w:tc>
          <w:tcPr>
            <w:tcW w:w="712" w:type="pct"/>
          </w:tcPr>
          <w:p w:rsidR="00E07713" w:rsidRPr="00E07713" w:rsidRDefault="00E07713" w:rsidP="008D3CF5">
            <w:pPr>
              <w:pStyle w:val="TableText1"/>
              <w:jc w:val="center"/>
              <w:rPr>
                <w:bCs/>
                <w:color w:val="000000"/>
              </w:rPr>
            </w:pPr>
            <w:r w:rsidRPr="00E07713">
              <w:rPr>
                <w:bCs/>
                <w:color w:val="000000"/>
              </w:rPr>
              <w:t>-$</w:t>
            </w:r>
            <w:r w:rsidR="008B6DFF">
              <w:rPr>
                <w:bCs/>
                <w:noProof/>
                <w:color w:val="000000"/>
                <w:highlight w:val="black"/>
              </w:rPr>
              <w:t>'''''''''''''''''''''''</w:t>
            </w:r>
          </w:p>
        </w:tc>
      </w:tr>
      <w:tr w:rsidR="00E07713" w:rsidRPr="00E07713" w:rsidTr="00126595">
        <w:tc>
          <w:tcPr>
            <w:tcW w:w="1442" w:type="pct"/>
          </w:tcPr>
          <w:p w:rsidR="00E07713" w:rsidRPr="00E07713" w:rsidRDefault="00E07713" w:rsidP="008D3CF5">
            <w:pPr>
              <w:pStyle w:val="TableText1"/>
            </w:pPr>
            <w:r w:rsidRPr="00E07713">
              <w:t>Net cost to the MBS</w:t>
            </w:r>
          </w:p>
        </w:tc>
        <w:tc>
          <w:tcPr>
            <w:tcW w:w="712" w:type="pct"/>
          </w:tcPr>
          <w:p w:rsidR="00E07713" w:rsidRPr="00E07713" w:rsidRDefault="00E07713" w:rsidP="008D3CF5">
            <w:pPr>
              <w:pStyle w:val="TableText1"/>
              <w:jc w:val="center"/>
              <w:rPr>
                <w:bCs/>
                <w:color w:val="000000"/>
              </w:rPr>
            </w:pPr>
            <w:r w:rsidRPr="00E07713">
              <w:rPr>
                <w:bCs/>
                <w:color w:val="000000"/>
              </w:rPr>
              <w:t>-$</w:t>
            </w:r>
            <w:r w:rsidR="008B6DFF">
              <w:rPr>
                <w:bCs/>
                <w:noProof/>
                <w:color w:val="000000"/>
                <w:highlight w:val="black"/>
              </w:rPr>
              <w:t>''''''''''''''''''''''''''</w:t>
            </w:r>
          </w:p>
        </w:tc>
        <w:tc>
          <w:tcPr>
            <w:tcW w:w="712" w:type="pct"/>
          </w:tcPr>
          <w:p w:rsidR="00E07713" w:rsidRPr="00E07713" w:rsidRDefault="00E07713" w:rsidP="008D3CF5">
            <w:pPr>
              <w:pStyle w:val="TableText1"/>
              <w:jc w:val="center"/>
              <w:rPr>
                <w:bCs/>
                <w:color w:val="000000"/>
              </w:rPr>
            </w:pPr>
            <w:r w:rsidRPr="00E07713">
              <w:rPr>
                <w:bCs/>
                <w:color w:val="000000"/>
              </w:rPr>
              <w:t>-$</w:t>
            </w:r>
            <w:r w:rsidR="008B6DFF">
              <w:rPr>
                <w:bCs/>
                <w:noProof/>
                <w:color w:val="000000"/>
                <w:highlight w:val="black"/>
              </w:rPr>
              <w:t>''''''''''''''''''''''''</w:t>
            </w:r>
          </w:p>
        </w:tc>
        <w:tc>
          <w:tcPr>
            <w:tcW w:w="712" w:type="pct"/>
          </w:tcPr>
          <w:p w:rsidR="00E07713" w:rsidRPr="00E07713" w:rsidRDefault="00E07713" w:rsidP="008D3CF5">
            <w:pPr>
              <w:pStyle w:val="TableText1"/>
              <w:jc w:val="center"/>
              <w:rPr>
                <w:bCs/>
                <w:color w:val="000000"/>
              </w:rPr>
            </w:pPr>
            <w:r w:rsidRPr="00E07713">
              <w:rPr>
                <w:bCs/>
                <w:color w:val="000000"/>
              </w:rPr>
              <w:t>-$</w:t>
            </w:r>
            <w:r w:rsidR="008B6DFF">
              <w:rPr>
                <w:bCs/>
                <w:noProof/>
                <w:color w:val="000000"/>
                <w:highlight w:val="black"/>
              </w:rPr>
              <w:t>''''''''''''''''''''''''''</w:t>
            </w:r>
          </w:p>
        </w:tc>
        <w:tc>
          <w:tcPr>
            <w:tcW w:w="712" w:type="pct"/>
          </w:tcPr>
          <w:p w:rsidR="00E07713" w:rsidRPr="00E07713" w:rsidRDefault="00E07713" w:rsidP="008D3CF5">
            <w:pPr>
              <w:pStyle w:val="TableText1"/>
              <w:jc w:val="center"/>
              <w:rPr>
                <w:bCs/>
                <w:color w:val="000000"/>
              </w:rPr>
            </w:pPr>
            <w:r w:rsidRPr="00E07713">
              <w:rPr>
                <w:bCs/>
                <w:color w:val="000000"/>
              </w:rPr>
              <w:t>-$</w:t>
            </w:r>
            <w:r w:rsidR="008B6DFF">
              <w:rPr>
                <w:bCs/>
                <w:noProof/>
                <w:color w:val="000000"/>
                <w:highlight w:val="black"/>
              </w:rPr>
              <w:t>''''''''''''''''''''''''''''</w:t>
            </w:r>
          </w:p>
        </w:tc>
        <w:tc>
          <w:tcPr>
            <w:tcW w:w="712" w:type="pct"/>
          </w:tcPr>
          <w:p w:rsidR="00E07713" w:rsidRPr="00E07713" w:rsidRDefault="00E07713" w:rsidP="008D3CF5">
            <w:pPr>
              <w:pStyle w:val="TableText1"/>
              <w:jc w:val="center"/>
              <w:rPr>
                <w:bCs/>
                <w:color w:val="000000"/>
              </w:rPr>
            </w:pPr>
            <w:r w:rsidRPr="00E07713">
              <w:rPr>
                <w:bCs/>
                <w:color w:val="000000"/>
              </w:rPr>
              <w:t>-$</w:t>
            </w:r>
            <w:r w:rsidR="008B6DFF">
              <w:rPr>
                <w:bCs/>
                <w:noProof/>
                <w:color w:val="000000"/>
                <w:highlight w:val="black"/>
              </w:rPr>
              <w:t>'''''''''''''''''''''''''''</w:t>
            </w:r>
          </w:p>
        </w:tc>
      </w:tr>
      <w:tr w:rsidR="00E07713" w:rsidRPr="00E07713" w:rsidTr="00126595">
        <w:tc>
          <w:tcPr>
            <w:tcW w:w="1442" w:type="pct"/>
          </w:tcPr>
          <w:p w:rsidR="00E07713" w:rsidRPr="00E07713" w:rsidRDefault="00E07713" w:rsidP="008D3CF5">
            <w:pPr>
              <w:pStyle w:val="TableText1"/>
            </w:pPr>
            <w:r w:rsidRPr="00E07713">
              <w:t>Net cost to other</w:t>
            </w:r>
            <w:r w:rsidR="00C755E1" w:rsidRPr="00E07713">
              <w:t xml:space="preserve"> government health budgets</w:t>
            </w:r>
          </w:p>
        </w:tc>
        <w:tc>
          <w:tcPr>
            <w:tcW w:w="712" w:type="pct"/>
          </w:tcPr>
          <w:p w:rsidR="00E07713" w:rsidRPr="00E07713" w:rsidRDefault="00E07713" w:rsidP="008D3CF5">
            <w:pPr>
              <w:pStyle w:val="TableText1"/>
              <w:jc w:val="center"/>
              <w:rPr>
                <w:bCs/>
                <w:color w:val="000000"/>
              </w:rPr>
            </w:pPr>
            <w:r w:rsidRPr="00E07713">
              <w:rPr>
                <w:szCs w:val="20"/>
              </w:rPr>
              <w:t>$</w:t>
            </w:r>
            <w:r w:rsidR="008B6DFF">
              <w:rPr>
                <w:noProof/>
                <w:color w:val="000000"/>
                <w:szCs w:val="20"/>
                <w:highlight w:val="black"/>
              </w:rPr>
              <w:t>'''''''''''''''</w:t>
            </w:r>
          </w:p>
        </w:tc>
        <w:tc>
          <w:tcPr>
            <w:tcW w:w="712" w:type="pct"/>
          </w:tcPr>
          <w:p w:rsidR="00E07713" w:rsidRPr="00E07713" w:rsidRDefault="00E07713" w:rsidP="008D3CF5">
            <w:pPr>
              <w:pStyle w:val="TableText1"/>
              <w:jc w:val="center"/>
              <w:rPr>
                <w:bCs/>
                <w:color w:val="000000"/>
              </w:rPr>
            </w:pPr>
            <w:r w:rsidRPr="00E07713">
              <w:rPr>
                <w:szCs w:val="20"/>
              </w:rPr>
              <w:t>$</w:t>
            </w:r>
            <w:r w:rsidR="008B6DFF">
              <w:rPr>
                <w:noProof/>
                <w:color w:val="000000"/>
                <w:szCs w:val="20"/>
                <w:highlight w:val="black"/>
              </w:rPr>
              <w:t>'''''''''''''''''''''</w:t>
            </w:r>
          </w:p>
        </w:tc>
        <w:tc>
          <w:tcPr>
            <w:tcW w:w="712" w:type="pct"/>
          </w:tcPr>
          <w:p w:rsidR="00E07713" w:rsidRPr="00E07713" w:rsidRDefault="00E07713" w:rsidP="008D3CF5">
            <w:pPr>
              <w:pStyle w:val="TableText1"/>
              <w:jc w:val="center"/>
              <w:rPr>
                <w:bCs/>
                <w:color w:val="000000"/>
              </w:rPr>
            </w:pPr>
            <w:r w:rsidRPr="00E07713">
              <w:rPr>
                <w:szCs w:val="20"/>
              </w:rPr>
              <w:t>$</w:t>
            </w:r>
            <w:r w:rsidR="008B6DFF">
              <w:rPr>
                <w:noProof/>
                <w:color w:val="000000"/>
                <w:szCs w:val="20"/>
                <w:highlight w:val="black"/>
              </w:rPr>
              <w:t>''''''''''''''''''''</w:t>
            </w:r>
          </w:p>
        </w:tc>
        <w:tc>
          <w:tcPr>
            <w:tcW w:w="712" w:type="pct"/>
          </w:tcPr>
          <w:p w:rsidR="00E07713" w:rsidRPr="00E07713" w:rsidRDefault="00E07713" w:rsidP="008D3CF5">
            <w:pPr>
              <w:pStyle w:val="TableText1"/>
              <w:jc w:val="center"/>
              <w:rPr>
                <w:bCs/>
                <w:color w:val="000000"/>
              </w:rPr>
            </w:pPr>
            <w:r w:rsidRPr="00E07713">
              <w:rPr>
                <w:szCs w:val="20"/>
              </w:rPr>
              <w:t>$</w:t>
            </w:r>
            <w:r w:rsidR="008B6DFF">
              <w:rPr>
                <w:noProof/>
                <w:color w:val="000000"/>
                <w:szCs w:val="20"/>
                <w:highlight w:val="black"/>
              </w:rPr>
              <w:t>''''''''''''''''''</w:t>
            </w:r>
          </w:p>
        </w:tc>
        <w:tc>
          <w:tcPr>
            <w:tcW w:w="712" w:type="pct"/>
          </w:tcPr>
          <w:p w:rsidR="00E07713" w:rsidRPr="00E07713" w:rsidRDefault="00E07713" w:rsidP="008D3CF5">
            <w:pPr>
              <w:pStyle w:val="TableText1"/>
              <w:jc w:val="center"/>
              <w:rPr>
                <w:bCs/>
                <w:color w:val="000000"/>
              </w:rPr>
            </w:pPr>
            <w:r w:rsidRPr="00E07713">
              <w:rPr>
                <w:szCs w:val="20"/>
              </w:rPr>
              <w:t>$</w:t>
            </w:r>
            <w:r w:rsidR="008B6DFF">
              <w:rPr>
                <w:noProof/>
                <w:color w:val="000000"/>
                <w:szCs w:val="20"/>
                <w:highlight w:val="black"/>
              </w:rPr>
              <w:t>''''''''''''''''''''</w:t>
            </w:r>
          </w:p>
        </w:tc>
      </w:tr>
      <w:tr w:rsidR="00E07713" w:rsidRPr="00E07713" w:rsidTr="00126595">
        <w:tc>
          <w:tcPr>
            <w:tcW w:w="1442" w:type="pct"/>
          </w:tcPr>
          <w:p w:rsidR="00E07713" w:rsidRPr="00E07713" w:rsidRDefault="00E07713" w:rsidP="008D3CF5">
            <w:pPr>
              <w:pStyle w:val="TableText1"/>
            </w:pPr>
            <w:r w:rsidRPr="00E07713">
              <w:t>Overall net cost to government health budgets</w:t>
            </w:r>
          </w:p>
        </w:tc>
        <w:tc>
          <w:tcPr>
            <w:tcW w:w="712" w:type="pct"/>
          </w:tcPr>
          <w:p w:rsidR="00E07713" w:rsidRPr="00E07713" w:rsidRDefault="00E07713" w:rsidP="008D3CF5">
            <w:pPr>
              <w:pStyle w:val="TableText1"/>
              <w:jc w:val="center"/>
              <w:rPr>
                <w:bCs/>
                <w:color w:val="000000"/>
              </w:rPr>
            </w:pPr>
            <w:r w:rsidRPr="00E07713">
              <w:rPr>
                <w:bCs/>
                <w:color w:val="000000"/>
              </w:rPr>
              <w:t>-$</w:t>
            </w:r>
            <w:r w:rsidR="008B6DFF">
              <w:rPr>
                <w:bCs/>
                <w:noProof/>
                <w:color w:val="000000"/>
                <w:highlight w:val="black"/>
              </w:rPr>
              <w:t>'''''''''''''''''''''''''</w:t>
            </w:r>
          </w:p>
        </w:tc>
        <w:tc>
          <w:tcPr>
            <w:tcW w:w="712" w:type="pct"/>
          </w:tcPr>
          <w:p w:rsidR="00E07713" w:rsidRPr="00E07713" w:rsidRDefault="00E07713" w:rsidP="008D3CF5">
            <w:pPr>
              <w:pStyle w:val="TableText1"/>
              <w:jc w:val="center"/>
              <w:rPr>
                <w:bCs/>
                <w:color w:val="000000"/>
              </w:rPr>
            </w:pPr>
            <w:r w:rsidRPr="00E07713">
              <w:rPr>
                <w:bCs/>
                <w:color w:val="000000"/>
              </w:rPr>
              <w:t>-$</w:t>
            </w:r>
            <w:r w:rsidR="008B6DFF">
              <w:rPr>
                <w:bCs/>
                <w:noProof/>
                <w:color w:val="000000"/>
                <w:highlight w:val="black"/>
              </w:rPr>
              <w:t>''''''''''''''''''''''''''''</w:t>
            </w:r>
          </w:p>
        </w:tc>
        <w:tc>
          <w:tcPr>
            <w:tcW w:w="712" w:type="pct"/>
          </w:tcPr>
          <w:p w:rsidR="00E07713" w:rsidRPr="00E07713" w:rsidRDefault="00E07713" w:rsidP="008D3CF5">
            <w:pPr>
              <w:pStyle w:val="TableText1"/>
              <w:jc w:val="center"/>
              <w:rPr>
                <w:bCs/>
                <w:color w:val="000000"/>
              </w:rPr>
            </w:pPr>
            <w:r w:rsidRPr="00E07713">
              <w:rPr>
                <w:bCs/>
                <w:color w:val="000000"/>
              </w:rPr>
              <w:t>-$</w:t>
            </w:r>
            <w:r w:rsidR="008B6DFF">
              <w:rPr>
                <w:bCs/>
                <w:noProof/>
                <w:color w:val="000000"/>
                <w:highlight w:val="black"/>
              </w:rPr>
              <w:t>''''''''''''''''''''''''''''</w:t>
            </w:r>
          </w:p>
        </w:tc>
        <w:tc>
          <w:tcPr>
            <w:tcW w:w="712" w:type="pct"/>
          </w:tcPr>
          <w:p w:rsidR="00E07713" w:rsidRPr="00E07713" w:rsidRDefault="00E07713" w:rsidP="008D3CF5">
            <w:pPr>
              <w:pStyle w:val="TableText1"/>
              <w:jc w:val="center"/>
              <w:rPr>
                <w:bCs/>
                <w:color w:val="000000"/>
              </w:rPr>
            </w:pPr>
            <w:r w:rsidRPr="00E07713">
              <w:rPr>
                <w:bCs/>
                <w:color w:val="000000"/>
              </w:rPr>
              <w:t>-$</w:t>
            </w:r>
            <w:r w:rsidR="008B6DFF">
              <w:rPr>
                <w:bCs/>
                <w:noProof/>
                <w:color w:val="000000"/>
                <w:highlight w:val="black"/>
              </w:rPr>
              <w:t>'''''''''''''''''''''''''</w:t>
            </w:r>
          </w:p>
        </w:tc>
        <w:tc>
          <w:tcPr>
            <w:tcW w:w="712" w:type="pct"/>
          </w:tcPr>
          <w:p w:rsidR="00E07713" w:rsidRPr="00E07713" w:rsidRDefault="00E07713" w:rsidP="008D3CF5">
            <w:pPr>
              <w:pStyle w:val="TableText1"/>
              <w:jc w:val="center"/>
              <w:rPr>
                <w:bCs/>
                <w:color w:val="000000"/>
              </w:rPr>
            </w:pPr>
            <w:r w:rsidRPr="00E07713">
              <w:rPr>
                <w:bCs/>
                <w:color w:val="000000"/>
              </w:rPr>
              <w:t>-$</w:t>
            </w:r>
            <w:r w:rsidR="008B6DFF">
              <w:rPr>
                <w:bCs/>
                <w:noProof/>
                <w:color w:val="000000"/>
                <w:highlight w:val="black"/>
              </w:rPr>
              <w:t>''''''''''''''''''''''''''''</w:t>
            </w:r>
          </w:p>
        </w:tc>
      </w:tr>
    </w:tbl>
    <w:p w:rsidR="00E07713" w:rsidRPr="00E07713" w:rsidRDefault="00E07713" w:rsidP="00E07713">
      <w:pPr>
        <w:pStyle w:val="TableFooter"/>
        <w:ind w:left="709"/>
        <w:rPr>
          <w:sz w:val="16"/>
          <w:szCs w:val="18"/>
        </w:rPr>
      </w:pPr>
      <w:r w:rsidRPr="00E07713">
        <w:rPr>
          <w:vertAlign w:val="superscript"/>
        </w:rPr>
        <w:t>a</w:t>
      </w:r>
      <w:r w:rsidRPr="00E07713">
        <w:t xml:space="preserve"> Assuming: 1) 2.76 scripts per patient in 1</w:t>
      </w:r>
      <w:r w:rsidRPr="00E07713">
        <w:rPr>
          <w:vertAlign w:val="superscript"/>
        </w:rPr>
        <w:t>st</w:t>
      </w:r>
      <w:r w:rsidRPr="00E07713">
        <w:t xml:space="preserve"> year of treatment, 1.9 scripts per patient in 2</w:t>
      </w:r>
      <w:r w:rsidRPr="00E07713">
        <w:rPr>
          <w:vertAlign w:val="superscript"/>
        </w:rPr>
        <w:t>nd</w:t>
      </w:r>
      <w:r w:rsidRPr="00E07713">
        <w:t xml:space="preserve"> year of treatment and 1.8 scripts per patient in 3</w:t>
      </w:r>
      <w:r w:rsidRPr="00E07713">
        <w:rPr>
          <w:vertAlign w:val="superscript"/>
        </w:rPr>
        <w:t>rd</w:t>
      </w:r>
      <w:r w:rsidRPr="00E07713">
        <w:t xml:space="preserve"> – 5</w:t>
      </w:r>
      <w:r w:rsidRPr="00E07713">
        <w:rPr>
          <w:vertAlign w:val="superscript"/>
        </w:rPr>
        <w:t>th</w:t>
      </w:r>
      <w:r w:rsidRPr="00E07713">
        <w:t xml:space="preserve"> years of treatment; and 2) 56% patients with bilateral DME.</w:t>
      </w:r>
    </w:p>
    <w:p w:rsidR="00E07713" w:rsidRPr="00E07713" w:rsidRDefault="00E07713" w:rsidP="00E07713">
      <w:pPr>
        <w:pStyle w:val="TableFooter"/>
        <w:ind w:left="709"/>
      </w:pPr>
      <w:r w:rsidRPr="00E07713">
        <w:rPr>
          <w:szCs w:val="22"/>
        </w:rPr>
        <w:t>Source:</w:t>
      </w:r>
      <w:r w:rsidRPr="00E07713">
        <w:t xml:space="preserve"> Table E8 and E-9, and E-19 Section E of the resubmission</w:t>
      </w:r>
    </w:p>
    <w:p w:rsidR="00E07713" w:rsidRPr="00E07713" w:rsidRDefault="00E07713" w:rsidP="00E07713"/>
    <w:p w:rsidR="00E07713" w:rsidRDefault="00E07713" w:rsidP="00D06055">
      <w:pPr>
        <w:numPr>
          <w:ilvl w:val="1"/>
          <w:numId w:val="9"/>
        </w:numPr>
        <w:contextualSpacing/>
      </w:pPr>
      <w:r w:rsidRPr="008621C5">
        <w:t>Results from sensitivity analyses indicated that the net financial implications for government health budgets were most sensitive to the uptake rate. When the uptake of dexamethasone implant dropped from 17% (base case) to 10%, the net cost savings to the government decreased by around 40%.</w:t>
      </w:r>
      <w:r w:rsidR="00B41118" w:rsidRPr="008621C5">
        <w:t xml:space="preserve"> The ESC noted that the sensitivity analysis including a stopping rule for the 43% of patients who </w:t>
      </w:r>
      <w:r w:rsidR="005F1B21">
        <w:t>would</w:t>
      </w:r>
      <w:r w:rsidR="00B41118" w:rsidRPr="008621C5">
        <w:t xml:space="preserve"> not gain at least 5 letters of visual acuity at 3 months reduc</w:t>
      </w:r>
      <w:r w:rsidR="0073069F">
        <w:t>ed savings to Government by 40%.</w:t>
      </w:r>
      <w:r w:rsidR="00B41118" w:rsidRPr="008621C5">
        <w:t xml:space="preserve"> The ESC suggested that inclusion of discontinuation criteria in the restriction may be appropriate.</w:t>
      </w:r>
      <w:r w:rsidR="00AB261C">
        <w:t xml:space="preserve"> The PBAC raised no objection to omitting the previously proposed stopping rule.</w:t>
      </w:r>
    </w:p>
    <w:p w:rsidR="00FB2506" w:rsidRPr="00F32FBD" w:rsidRDefault="00FB2506" w:rsidP="005F1B21">
      <w:pPr>
        <w:contextualSpacing/>
      </w:pPr>
    </w:p>
    <w:p w:rsidR="00FB2506" w:rsidRPr="00F32FBD" w:rsidRDefault="00FB2506" w:rsidP="00D06055">
      <w:pPr>
        <w:numPr>
          <w:ilvl w:val="1"/>
          <w:numId w:val="9"/>
        </w:numPr>
        <w:contextualSpacing/>
      </w:pPr>
      <w:r w:rsidRPr="00F32FBD">
        <w:t xml:space="preserve">At year 1, the estimated number of patients was </w:t>
      </w:r>
      <w:r w:rsidR="009F6A34">
        <w:t>less than 10,000</w:t>
      </w:r>
      <w:r w:rsidRPr="00F32FBD">
        <w:t xml:space="preserve"> and the net cost to the PBS would be </w:t>
      </w:r>
      <w:r w:rsidR="009F6A34">
        <w:t>$20 – $30 million</w:t>
      </w:r>
      <w:r w:rsidRPr="00F32FBD">
        <w:t xml:space="preserve">. At year 5, the estimated number of patients was </w:t>
      </w:r>
      <w:r w:rsidR="009F6A34">
        <w:t>10,000 – 50,000</w:t>
      </w:r>
      <w:r w:rsidRPr="00F32FBD">
        <w:t xml:space="preserve"> and the </w:t>
      </w:r>
      <w:r w:rsidR="00F32FBD" w:rsidRPr="00F32FBD">
        <w:t xml:space="preserve">estimated </w:t>
      </w:r>
      <w:r w:rsidRPr="00F32FBD">
        <w:t xml:space="preserve">net </w:t>
      </w:r>
      <w:r w:rsidR="00F32FBD" w:rsidRPr="00F32FBD">
        <w:t xml:space="preserve">saving </w:t>
      </w:r>
      <w:r w:rsidRPr="00F32FBD">
        <w:t xml:space="preserve">to the PBS would be </w:t>
      </w:r>
      <w:r w:rsidR="00EC3B2A">
        <w:t>$10 – $20 million</w:t>
      </w:r>
      <w:r w:rsidRPr="00F32FBD">
        <w:t>.</w:t>
      </w:r>
    </w:p>
    <w:p w:rsidR="00576972" w:rsidRDefault="00576972" w:rsidP="00576972">
      <w:pPr>
        <w:widowControl/>
        <w:rPr>
          <w:szCs w:val="22"/>
        </w:rPr>
      </w:pPr>
    </w:p>
    <w:p w:rsidR="00B25814" w:rsidRPr="00B25814" w:rsidRDefault="00B25814" w:rsidP="009E321C">
      <w:pPr>
        <w:pStyle w:val="Heading2"/>
      </w:pPr>
      <w:bookmarkStart w:id="16" w:name="_Toc440970693"/>
      <w:r w:rsidRPr="00B25814">
        <w:t>Financial Management – Risk Sharing Arrangements</w:t>
      </w:r>
      <w:bookmarkEnd w:id="16"/>
    </w:p>
    <w:p w:rsidR="00B25814" w:rsidRPr="00B25814" w:rsidRDefault="00B25814" w:rsidP="00B25814">
      <w:pPr>
        <w:widowControl/>
        <w:rPr>
          <w:szCs w:val="22"/>
        </w:rPr>
      </w:pPr>
    </w:p>
    <w:p w:rsidR="00B25814" w:rsidRDefault="00B25814" w:rsidP="00D06055">
      <w:pPr>
        <w:widowControl/>
        <w:numPr>
          <w:ilvl w:val="1"/>
          <w:numId w:val="9"/>
        </w:numPr>
        <w:contextualSpacing/>
      </w:pPr>
      <w:r w:rsidRPr="00B25814">
        <w:t>The sponsor offered a rebate of $</w:t>
      </w:r>
      <w:r w:rsidR="008B6DFF">
        <w:rPr>
          <w:noProof/>
          <w:color w:val="000000"/>
          <w:highlight w:val="black"/>
        </w:rPr>
        <w:t>''''''''''</w:t>
      </w:r>
      <w:r w:rsidRPr="00B25814">
        <w:t xml:space="preserve"> per prescription through special pricing arrangement and proposed a risk sharing agreement, offering </w:t>
      </w:r>
      <w:r w:rsidR="001732C2">
        <w:t xml:space="preserve">a </w:t>
      </w:r>
      <w:r w:rsidR="008B6DFF">
        <w:rPr>
          <w:noProof/>
          <w:color w:val="000000"/>
          <w:highlight w:val="black"/>
        </w:rPr>
        <w:t>''''''</w:t>
      </w:r>
      <w:r w:rsidRPr="00B25814">
        <w:t>% rebate for utilisation beyond an agreed subsidisation cap. The subsidisation cap is based on the</w:t>
      </w:r>
      <w:r w:rsidR="0087434A">
        <w:t xml:space="preserve"> resubmission</w:t>
      </w:r>
      <w:r w:rsidRPr="00B25814">
        <w:t>’s financial and utilisation esti</w:t>
      </w:r>
      <w:r w:rsidR="00C755E1">
        <w:t>mates of dexamethasone implant.</w:t>
      </w:r>
    </w:p>
    <w:p w:rsidR="00351EE1" w:rsidRPr="00F32FBD" w:rsidRDefault="00351EE1" w:rsidP="00F32FBD">
      <w:pPr>
        <w:widowControl/>
        <w:contextualSpacing/>
      </w:pPr>
    </w:p>
    <w:p w:rsidR="00351EE1" w:rsidRPr="00F32FBD" w:rsidRDefault="00351EE1" w:rsidP="00D06055">
      <w:pPr>
        <w:widowControl/>
        <w:numPr>
          <w:ilvl w:val="1"/>
          <w:numId w:val="9"/>
        </w:numPr>
        <w:contextualSpacing/>
      </w:pPr>
      <w:r w:rsidRPr="00F32FBD">
        <w:t xml:space="preserve">The PBAC recommended that </w:t>
      </w:r>
      <w:r w:rsidR="00F32FBD">
        <w:t xml:space="preserve">the department negotiate </w:t>
      </w:r>
      <w:r w:rsidRPr="00F32FBD">
        <w:t xml:space="preserve">a Risk Share Arrangement </w:t>
      </w:r>
      <w:r w:rsidR="00F32FBD">
        <w:t xml:space="preserve">with </w:t>
      </w:r>
      <w:r w:rsidRPr="00F32FBD">
        <w:t>the sponsor due to</w:t>
      </w:r>
      <w:r w:rsidR="00F80354" w:rsidRPr="00F32FBD">
        <w:t xml:space="preserve"> the uncertainty in the uptake of this therapy. </w:t>
      </w:r>
      <w:r w:rsidRPr="00F32FBD">
        <w:t xml:space="preserve">The PBAC recommended that a </w:t>
      </w:r>
      <w:r w:rsidR="008B6DFF">
        <w:rPr>
          <w:noProof/>
          <w:color w:val="000000"/>
          <w:highlight w:val="black"/>
        </w:rPr>
        <w:t>'''''</w:t>
      </w:r>
      <w:r w:rsidRPr="00F32FBD">
        <w:t xml:space="preserve">% rebate </w:t>
      </w:r>
      <w:r w:rsidR="00F80354" w:rsidRPr="00F32FBD">
        <w:t>should apply for use beyond subsidisation caps based on the utilisation estimates presented in the submission.</w:t>
      </w:r>
    </w:p>
    <w:p w:rsidR="009C55AB" w:rsidRPr="00F32FBD" w:rsidRDefault="009C55AB" w:rsidP="00DA56F3">
      <w:pPr>
        <w:rPr>
          <w:szCs w:val="22"/>
        </w:rPr>
      </w:pPr>
    </w:p>
    <w:p w:rsidR="00D55C29" w:rsidRDefault="00D55C29" w:rsidP="00351EE1">
      <w:pPr>
        <w:pStyle w:val="BodyText"/>
        <w:ind w:firstLine="720"/>
        <w:rPr>
          <w:szCs w:val="22"/>
        </w:rPr>
      </w:pPr>
      <w:r w:rsidRPr="00351EE1">
        <w:rPr>
          <w:i/>
          <w:szCs w:val="22"/>
        </w:rPr>
        <w:t>For more detail on PBAC’s view, see section 7 “PBAC outcome”</w:t>
      </w:r>
      <w:r w:rsidR="00F32FBD">
        <w:rPr>
          <w:i/>
          <w:szCs w:val="22"/>
        </w:rPr>
        <w:t>.</w:t>
      </w:r>
    </w:p>
    <w:p w:rsidR="00D55C29" w:rsidRDefault="00D55C29" w:rsidP="00F32FBD">
      <w:pPr>
        <w:pStyle w:val="BodyText"/>
        <w:jc w:val="both"/>
      </w:pPr>
    </w:p>
    <w:p w:rsidR="00F32FBD" w:rsidRDefault="00F32FBD" w:rsidP="00F32FBD">
      <w:pPr>
        <w:pStyle w:val="BodyText"/>
        <w:jc w:val="both"/>
      </w:pPr>
    </w:p>
    <w:p w:rsidR="00DA56F3" w:rsidRPr="006725FB" w:rsidRDefault="00DA56F3" w:rsidP="00A9453C">
      <w:pPr>
        <w:pStyle w:val="Heading1"/>
        <w:widowControl/>
        <w:numPr>
          <w:ilvl w:val="0"/>
          <w:numId w:val="3"/>
        </w:numPr>
        <w:rPr>
          <w:b w:val="0"/>
          <w:bCs/>
          <w:szCs w:val="22"/>
        </w:rPr>
      </w:pPr>
      <w:r w:rsidRPr="006725FB">
        <w:rPr>
          <w:b w:val="0"/>
          <w:bCs/>
          <w:szCs w:val="22"/>
        </w:rPr>
        <w:t>PBAC Outcome</w:t>
      </w:r>
    </w:p>
    <w:p w:rsidR="00DA56F3" w:rsidRPr="00F32FBD" w:rsidRDefault="00DA56F3" w:rsidP="00CA6CE0">
      <w:pPr>
        <w:keepNext/>
        <w:contextualSpacing/>
        <w:rPr>
          <w:bCs/>
          <w:szCs w:val="22"/>
          <w:lang w:val="en-GB"/>
        </w:rPr>
      </w:pPr>
    </w:p>
    <w:p w:rsidR="00896982" w:rsidRPr="00F32FBD" w:rsidRDefault="00DA56F3" w:rsidP="00D06055">
      <w:pPr>
        <w:numPr>
          <w:ilvl w:val="1"/>
          <w:numId w:val="12"/>
        </w:numPr>
        <w:contextualSpacing/>
        <w:rPr>
          <w:bCs/>
          <w:szCs w:val="22"/>
          <w:lang w:val="en-GB"/>
        </w:rPr>
      </w:pPr>
      <w:r w:rsidRPr="00F32FBD">
        <w:rPr>
          <w:bCs/>
          <w:szCs w:val="22"/>
          <w:lang w:val="en-GB"/>
        </w:rPr>
        <w:t xml:space="preserve">The PBAC recommended </w:t>
      </w:r>
      <w:r w:rsidR="002029E1" w:rsidRPr="00F32FBD">
        <w:rPr>
          <w:bCs/>
          <w:szCs w:val="22"/>
          <w:lang w:val="en-GB"/>
        </w:rPr>
        <w:t xml:space="preserve">an </w:t>
      </w:r>
      <w:r w:rsidR="00A546C9" w:rsidRPr="00F32FBD">
        <w:rPr>
          <w:bCs/>
          <w:szCs w:val="22"/>
          <w:lang w:val="en-GB"/>
        </w:rPr>
        <w:t xml:space="preserve">Authority Required </w:t>
      </w:r>
      <w:r w:rsidRPr="00F32FBD">
        <w:rPr>
          <w:bCs/>
          <w:szCs w:val="22"/>
          <w:lang w:val="en-GB"/>
        </w:rPr>
        <w:t xml:space="preserve">listing of </w:t>
      </w:r>
      <w:r w:rsidR="00A546C9" w:rsidRPr="00F32FBD">
        <w:rPr>
          <w:bCs/>
          <w:szCs w:val="22"/>
          <w:lang w:val="en-GB"/>
        </w:rPr>
        <w:t>dexamethasone implant</w:t>
      </w:r>
      <w:r w:rsidRPr="00F32FBD">
        <w:rPr>
          <w:bCs/>
          <w:szCs w:val="22"/>
          <w:lang w:val="en-GB"/>
        </w:rPr>
        <w:t xml:space="preserve">, </w:t>
      </w:r>
      <w:r w:rsidR="00EF7C5C" w:rsidRPr="00F32FBD">
        <w:rPr>
          <w:bCs/>
          <w:szCs w:val="22"/>
          <w:lang w:val="en-GB"/>
        </w:rPr>
        <w:t>on the basis of inferior effectiveness and inferior safety compared to ranibizumab and aflibercept</w:t>
      </w:r>
      <w:r w:rsidR="00A14FA5">
        <w:rPr>
          <w:bCs/>
          <w:szCs w:val="22"/>
          <w:lang w:val="en-GB"/>
        </w:rPr>
        <w:t xml:space="preserve"> and thus on appropriately adjusted estimates of cost-effectiveness</w:t>
      </w:r>
      <w:r w:rsidR="00EF7C5C" w:rsidRPr="00F32FBD">
        <w:rPr>
          <w:bCs/>
          <w:szCs w:val="22"/>
          <w:lang w:val="en-GB"/>
        </w:rPr>
        <w:t>.</w:t>
      </w:r>
    </w:p>
    <w:p w:rsidR="00896982" w:rsidRPr="00F32FBD" w:rsidRDefault="00896982" w:rsidP="00F32FBD">
      <w:pPr>
        <w:rPr>
          <w:bCs/>
          <w:szCs w:val="22"/>
          <w:lang w:val="en-GB"/>
        </w:rPr>
      </w:pPr>
    </w:p>
    <w:p w:rsidR="00864CF3" w:rsidRPr="00536DE5" w:rsidRDefault="00864CF3" w:rsidP="00536DE5">
      <w:pPr>
        <w:pStyle w:val="ListParagraph"/>
        <w:numPr>
          <w:ilvl w:val="1"/>
          <w:numId w:val="12"/>
        </w:numPr>
      </w:pPr>
      <w:r w:rsidRPr="00F32FBD">
        <w:lastRenderedPageBreak/>
        <w:t xml:space="preserve">The PBAC recognised </w:t>
      </w:r>
      <w:r w:rsidR="00C24F45" w:rsidRPr="00F32FBD">
        <w:t>an</w:t>
      </w:r>
      <w:r w:rsidRPr="00F32FBD">
        <w:t xml:space="preserve"> unmet clinical need for this therapy among patients who have </w:t>
      </w:r>
      <w:r w:rsidR="00AA149C">
        <w:t>a contraindication</w:t>
      </w:r>
      <w:r w:rsidRPr="00F32FBD">
        <w:t xml:space="preserve"> to, o</w:t>
      </w:r>
      <w:r w:rsidR="00F32FBD">
        <w:t xml:space="preserve">r have failed to respond to a </w:t>
      </w:r>
      <w:r w:rsidRPr="00F32FBD">
        <w:t xml:space="preserve">VEGF </w:t>
      </w:r>
      <w:r w:rsidR="00F32FBD">
        <w:t>inhibitor</w:t>
      </w:r>
      <w:r w:rsidRPr="00F32FBD">
        <w:t>, or where a</w:t>
      </w:r>
      <w:r w:rsidR="00F32FBD">
        <w:t xml:space="preserve"> </w:t>
      </w:r>
      <w:r w:rsidRPr="00F32FBD">
        <w:t xml:space="preserve">VEGF </w:t>
      </w:r>
      <w:r w:rsidR="00F32FBD">
        <w:t>inhibitor</w:t>
      </w:r>
      <w:r w:rsidR="00F32FBD" w:rsidRPr="00F32FBD">
        <w:t xml:space="preserve"> </w:t>
      </w:r>
      <w:r w:rsidRPr="00F32FBD">
        <w:t xml:space="preserve">is unsuitable </w:t>
      </w:r>
      <w:r w:rsidR="00083B4A">
        <w:t>due to frequency of administration</w:t>
      </w:r>
      <w:r w:rsidR="00F32FBD" w:rsidRPr="00F32FBD">
        <w:t>.</w:t>
      </w:r>
      <w:r w:rsidR="00536DE5">
        <w:t xml:space="preserve"> However, the PBAC also noted that patients with DME for whom a VEGF inhibitor is unsuitable for some reason would not generate any cost off-sets from reduced use of VEGF inhibitors.</w:t>
      </w:r>
    </w:p>
    <w:p w:rsidR="00864CF3" w:rsidRPr="00F32FBD" w:rsidRDefault="00864CF3" w:rsidP="00F32FBD">
      <w:pPr>
        <w:rPr>
          <w:bCs/>
          <w:szCs w:val="22"/>
          <w:lang w:val="en-GB"/>
        </w:rPr>
      </w:pPr>
    </w:p>
    <w:p w:rsidR="00D471C3" w:rsidRPr="00F32FBD" w:rsidRDefault="00D471C3" w:rsidP="00D06055">
      <w:pPr>
        <w:widowControl/>
        <w:numPr>
          <w:ilvl w:val="1"/>
          <w:numId w:val="12"/>
        </w:numPr>
        <w:contextualSpacing/>
        <w:rPr>
          <w:bCs/>
          <w:szCs w:val="22"/>
          <w:lang w:val="en-GB"/>
        </w:rPr>
      </w:pPr>
      <w:r w:rsidRPr="00F32FBD">
        <w:rPr>
          <w:bCs/>
          <w:szCs w:val="22"/>
          <w:lang w:val="en-GB"/>
        </w:rPr>
        <w:t>The PBAC recommended the PBS restriction as suggested by the Secretariat</w:t>
      </w:r>
      <w:r w:rsidR="00AB261C">
        <w:rPr>
          <w:bCs/>
          <w:szCs w:val="22"/>
          <w:lang w:val="en-GB"/>
        </w:rPr>
        <w:t xml:space="preserve">, including omitting reference to a stopping rule </w:t>
      </w:r>
      <w:r w:rsidR="00622212">
        <w:rPr>
          <w:bCs/>
          <w:szCs w:val="22"/>
          <w:lang w:val="en-GB"/>
        </w:rPr>
        <w:t xml:space="preserve">as </w:t>
      </w:r>
      <w:r w:rsidR="00AB261C">
        <w:rPr>
          <w:bCs/>
          <w:szCs w:val="22"/>
          <w:lang w:val="en-GB"/>
        </w:rPr>
        <w:t>proposed in the previous submission</w:t>
      </w:r>
      <w:r w:rsidRPr="00F32FBD">
        <w:rPr>
          <w:bCs/>
          <w:szCs w:val="22"/>
          <w:lang w:val="en-GB"/>
        </w:rPr>
        <w:t>. The PBAC noted that as Complex Authority Required item</w:t>
      </w:r>
      <w:r w:rsidRPr="00F32FBD">
        <w:rPr>
          <w:szCs w:val="22"/>
        </w:rPr>
        <w:t xml:space="preserve">, the Department of Human Services (DHS) would be responsible for the administration of the written authority approvals. The DHS ‘Diabetic Macular Oedema (DMO) - PBS Supporting Information Form’ would require amendments for use with this listing. The PBAC </w:t>
      </w:r>
      <w:r w:rsidR="00264586">
        <w:rPr>
          <w:szCs w:val="22"/>
        </w:rPr>
        <w:t xml:space="preserve">therefore </w:t>
      </w:r>
      <w:r w:rsidRPr="00F32FBD">
        <w:rPr>
          <w:szCs w:val="22"/>
        </w:rPr>
        <w:t>noted that t</w:t>
      </w:r>
      <w:r w:rsidRPr="00F32FBD">
        <w:rPr>
          <w:bCs/>
          <w:szCs w:val="22"/>
          <w:lang w:val="en-GB"/>
        </w:rPr>
        <w:t>he restricti</w:t>
      </w:r>
      <w:r w:rsidR="00F32FBD" w:rsidRPr="00F32FBD">
        <w:rPr>
          <w:bCs/>
          <w:szCs w:val="22"/>
          <w:lang w:val="en-GB"/>
        </w:rPr>
        <w:t>on is considered to be complex</w:t>
      </w:r>
      <w:r w:rsidR="00D15AAC">
        <w:rPr>
          <w:bCs/>
          <w:szCs w:val="22"/>
          <w:lang w:val="en-GB"/>
        </w:rPr>
        <w:t xml:space="preserve"> and may be influenced by the outcome of the MSAC deliberations regarding OCT</w:t>
      </w:r>
      <w:r w:rsidR="00F32FBD" w:rsidRPr="00F32FBD">
        <w:rPr>
          <w:bCs/>
          <w:szCs w:val="22"/>
          <w:lang w:val="en-GB"/>
        </w:rPr>
        <w:t>.</w:t>
      </w:r>
    </w:p>
    <w:p w:rsidR="00AC7A17" w:rsidRPr="00F32FBD" w:rsidRDefault="00AC7A17" w:rsidP="00F32FBD">
      <w:pPr>
        <w:contextualSpacing/>
        <w:rPr>
          <w:bCs/>
          <w:szCs w:val="22"/>
          <w:lang w:val="en-GB"/>
        </w:rPr>
      </w:pPr>
    </w:p>
    <w:p w:rsidR="00EC21CA" w:rsidRPr="00F32FBD" w:rsidRDefault="00EC21CA" w:rsidP="00D06055">
      <w:pPr>
        <w:numPr>
          <w:ilvl w:val="1"/>
          <w:numId w:val="12"/>
        </w:numPr>
        <w:contextualSpacing/>
        <w:rPr>
          <w:bCs/>
          <w:szCs w:val="22"/>
          <w:lang w:val="en-GB"/>
        </w:rPr>
      </w:pPr>
      <w:r w:rsidRPr="00F32FBD">
        <w:rPr>
          <w:bCs/>
          <w:szCs w:val="22"/>
          <w:lang w:val="en-GB"/>
        </w:rPr>
        <w:t xml:space="preserve">The PBAC considered that ranibizumab and aflibercept are appropriate comparators for patients suitable for treatment with </w:t>
      </w:r>
      <w:r w:rsidR="00F32FBD">
        <w:rPr>
          <w:bCs/>
          <w:szCs w:val="22"/>
          <w:lang w:val="en-GB"/>
        </w:rPr>
        <w:t xml:space="preserve">a </w:t>
      </w:r>
      <w:r w:rsidRPr="00F32FBD">
        <w:rPr>
          <w:bCs/>
          <w:szCs w:val="22"/>
          <w:lang w:val="en-GB"/>
        </w:rPr>
        <w:t xml:space="preserve">VEGF </w:t>
      </w:r>
      <w:r w:rsidR="00F32FBD">
        <w:t>inhibitor</w:t>
      </w:r>
      <w:r w:rsidR="00F32FBD" w:rsidRPr="00F32FBD">
        <w:rPr>
          <w:bCs/>
          <w:szCs w:val="22"/>
          <w:lang w:val="en-GB"/>
        </w:rPr>
        <w:t xml:space="preserve"> </w:t>
      </w:r>
      <w:r w:rsidRPr="00F32FBD">
        <w:rPr>
          <w:bCs/>
          <w:szCs w:val="22"/>
          <w:lang w:val="en-GB"/>
        </w:rPr>
        <w:t xml:space="preserve">and for patients for whom </w:t>
      </w:r>
      <w:r w:rsidR="00F32FBD">
        <w:rPr>
          <w:bCs/>
          <w:szCs w:val="22"/>
          <w:lang w:val="en-GB"/>
        </w:rPr>
        <w:t xml:space="preserve">a </w:t>
      </w:r>
      <w:r w:rsidRPr="00F32FBD">
        <w:rPr>
          <w:bCs/>
          <w:szCs w:val="22"/>
          <w:lang w:val="en-GB"/>
        </w:rPr>
        <w:t xml:space="preserve">VEGF </w:t>
      </w:r>
      <w:r w:rsidR="00F32FBD">
        <w:t>inhibitor</w:t>
      </w:r>
      <w:r w:rsidR="00F32FBD" w:rsidRPr="00F32FBD">
        <w:rPr>
          <w:bCs/>
          <w:szCs w:val="22"/>
          <w:lang w:val="en-GB"/>
        </w:rPr>
        <w:t xml:space="preserve"> </w:t>
      </w:r>
      <w:r w:rsidR="00E5210D" w:rsidRPr="00F32FBD">
        <w:rPr>
          <w:bCs/>
          <w:szCs w:val="22"/>
          <w:lang w:val="en-GB"/>
        </w:rPr>
        <w:t xml:space="preserve">is not the preferred treatment (due to patient preference or logistical reasons relating to the frequency of VEGF </w:t>
      </w:r>
      <w:r w:rsidR="00F32FBD">
        <w:t>inhibitor</w:t>
      </w:r>
      <w:r w:rsidR="00F32FBD" w:rsidRPr="00F32FBD">
        <w:rPr>
          <w:bCs/>
          <w:szCs w:val="22"/>
          <w:lang w:val="en-GB"/>
        </w:rPr>
        <w:t xml:space="preserve"> </w:t>
      </w:r>
      <w:r w:rsidR="00E5210D" w:rsidRPr="00F32FBD">
        <w:rPr>
          <w:bCs/>
          <w:szCs w:val="22"/>
          <w:lang w:val="en-GB"/>
        </w:rPr>
        <w:t>injections)</w:t>
      </w:r>
      <w:r w:rsidRPr="00F32FBD">
        <w:rPr>
          <w:bCs/>
          <w:szCs w:val="22"/>
          <w:lang w:val="en-GB"/>
        </w:rPr>
        <w:t xml:space="preserve">. </w:t>
      </w:r>
      <w:r w:rsidR="00E5210D" w:rsidRPr="00F32FBD">
        <w:rPr>
          <w:bCs/>
          <w:szCs w:val="22"/>
          <w:lang w:val="en-GB"/>
        </w:rPr>
        <w:t xml:space="preserve">The PBAC considered that </w:t>
      </w:r>
      <w:r w:rsidRPr="00F32FBD">
        <w:rPr>
          <w:bCs/>
          <w:szCs w:val="22"/>
          <w:lang w:val="en-GB"/>
        </w:rPr>
        <w:t>“</w:t>
      </w:r>
      <w:r w:rsidR="00E5210D" w:rsidRPr="00F32FBD">
        <w:rPr>
          <w:bCs/>
          <w:szCs w:val="22"/>
          <w:lang w:val="en-GB"/>
        </w:rPr>
        <w:t>n</w:t>
      </w:r>
      <w:r w:rsidRPr="00F32FBD">
        <w:rPr>
          <w:bCs/>
          <w:szCs w:val="22"/>
          <w:lang w:val="en-GB"/>
        </w:rPr>
        <w:t xml:space="preserve">o treatment” is the appropriate comparator for patients who either have </w:t>
      </w:r>
      <w:r w:rsidR="00AA149C">
        <w:rPr>
          <w:bCs/>
          <w:szCs w:val="22"/>
          <w:lang w:val="en-GB"/>
        </w:rPr>
        <w:t>a contraindication</w:t>
      </w:r>
      <w:r w:rsidRPr="00F32FBD">
        <w:rPr>
          <w:bCs/>
          <w:szCs w:val="22"/>
          <w:lang w:val="en-GB"/>
        </w:rPr>
        <w:t xml:space="preserve"> to or have failed to respond to </w:t>
      </w:r>
      <w:r w:rsidR="00F32FBD">
        <w:rPr>
          <w:bCs/>
          <w:szCs w:val="22"/>
          <w:lang w:val="en-GB"/>
        </w:rPr>
        <w:t xml:space="preserve">a </w:t>
      </w:r>
      <w:r w:rsidRPr="00F32FBD">
        <w:rPr>
          <w:bCs/>
          <w:szCs w:val="22"/>
          <w:lang w:val="en-GB"/>
        </w:rPr>
        <w:t xml:space="preserve">VEGF </w:t>
      </w:r>
      <w:r w:rsidR="00F32FBD">
        <w:t>inhibitor</w:t>
      </w:r>
      <w:r w:rsidR="00622212">
        <w:t>,</w:t>
      </w:r>
      <w:r w:rsidR="00502856">
        <w:t xml:space="preserve"> or for whom a VEGF inhibitor is otherwise unsuitable</w:t>
      </w:r>
      <w:r w:rsidR="00E5210D" w:rsidRPr="00F32FBD">
        <w:rPr>
          <w:bCs/>
          <w:szCs w:val="22"/>
          <w:lang w:val="en-GB"/>
        </w:rPr>
        <w:t>.</w:t>
      </w:r>
    </w:p>
    <w:p w:rsidR="00EC21CA" w:rsidRPr="00F32FBD" w:rsidRDefault="00EC21CA" w:rsidP="00F32FBD">
      <w:pPr>
        <w:rPr>
          <w:bCs/>
          <w:szCs w:val="22"/>
          <w:lang w:val="en-GB"/>
        </w:rPr>
      </w:pPr>
    </w:p>
    <w:p w:rsidR="009236CB" w:rsidRPr="00F32FBD" w:rsidRDefault="00CE2B87" w:rsidP="00D06055">
      <w:pPr>
        <w:numPr>
          <w:ilvl w:val="1"/>
          <w:numId w:val="12"/>
        </w:numPr>
        <w:contextualSpacing/>
        <w:rPr>
          <w:bCs/>
          <w:szCs w:val="22"/>
          <w:lang w:val="en-GB"/>
        </w:rPr>
      </w:pPr>
      <w:r w:rsidRPr="00F32FBD">
        <w:t xml:space="preserve">The PBAC noted that the </w:t>
      </w:r>
      <w:r w:rsidR="009236CB" w:rsidRPr="00F32FBD">
        <w:t>resubmission presented indirect comparisons of dexamethasone implant versus aflibercept injection based on eight trials involving either dexamethasone implant or aflibercept injection for treatment of visual impairment due to DME</w:t>
      </w:r>
      <w:r w:rsidRPr="00F32FBD">
        <w:t xml:space="preserve">. </w:t>
      </w:r>
      <w:r w:rsidR="00D34AF4" w:rsidRPr="00F32FBD">
        <w:t>The PBAC had concerns around the exchangeability of the trials, primarily due to the differences in the study populations included for analysis of change in best corrected visual acuity from baseline and in the interventions of the common reference groups.</w:t>
      </w:r>
    </w:p>
    <w:p w:rsidR="00CE2B87" w:rsidRPr="00F32FBD" w:rsidRDefault="00CE2B87" w:rsidP="00F32FBD">
      <w:pPr>
        <w:rPr>
          <w:bCs/>
          <w:szCs w:val="22"/>
          <w:lang w:val="en-GB"/>
        </w:rPr>
      </w:pPr>
    </w:p>
    <w:p w:rsidR="00A713B1" w:rsidRPr="00F32FBD" w:rsidRDefault="00A713B1" w:rsidP="00D06055">
      <w:pPr>
        <w:numPr>
          <w:ilvl w:val="1"/>
          <w:numId w:val="12"/>
        </w:numPr>
        <w:contextualSpacing/>
        <w:rPr>
          <w:bCs/>
          <w:szCs w:val="22"/>
          <w:lang w:val="en-GB"/>
        </w:rPr>
      </w:pPr>
      <w:r w:rsidRPr="00F32FBD">
        <w:rPr>
          <w:bCs/>
          <w:szCs w:val="22"/>
          <w:lang w:val="en-GB"/>
        </w:rPr>
        <w:t>Consistent with its previous finding, the PBAC considered that the claim of non-inferior comparative effectiveness to ranibizumab was not adequately supported by the data. The PBAC considered that the claim of inferior comparative effectiveness to aflibe</w:t>
      </w:r>
      <w:r w:rsidR="00066CF0" w:rsidRPr="00F32FBD">
        <w:rPr>
          <w:bCs/>
          <w:szCs w:val="22"/>
          <w:lang w:val="en-GB"/>
        </w:rPr>
        <w:t>rcept injection was reasonable.</w:t>
      </w:r>
      <w:r w:rsidR="0035561C">
        <w:rPr>
          <w:bCs/>
          <w:szCs w:val="22"/>
          <w:lang w:val="en-GB"/>
        </w:rPr>
        <w:t xml:space="preserve"> </w:t>
      </w:r>
      <w:r w:rsidR="0035561C">
        <w:rPr>
          <w:bCs/>
        </w:rPr>
        <w:t>Overall</w:t>
      </w:r>
      <w:r w:rsidR="0035561C">
        <w:t xml:space="preserve">, the PBAC concluded from the evidence provided that </w:t>
      </w:r>
      <w:r w:rsidR="0035561C" w:rsidRPr="005F1B21">
        <w:t xml:space="preserve">dexamethasone implant </w:t>
      </w:r>
      <w:r w:rsidR="0035561C">
        <w:t>is less effective than</w:t>
      </w:r>
      <w:r w:rsidR="0035561C" w:rsidRPr="005F1B21">
        <w:t xml:space="preserve"> </w:t>
      </w:r>
      <w:r w:rsidR="0035561C">
        <w:t xml:space="preserve">either </w:t>
      </w:r>
      <w:r w:rsidR="0035561C" w:rsidRPr="005F1B21">
        <w:t>ranibizumab or aflibercept injection</w:t>
      </w:r>
      <w:r w:rsidR="0035561C">
        <w:t>.</w:t>
      </w:r>
    </w:p>
    <w:p w:rsidR="00A713B1" w:rsidRPr="00F32FBD" w:rsidRDefault="00A713B1" w:rsidP="00F32FBD">
      <w:pPr>
        <w:contextualSpacing/>
        <w:rPr>
          <w:bCs/>
          <w:szCs w:val="22"/>
          <w:lang w:val="en-GB"/>
        </w:rPr>
      </w:pPr>
    </w:p>
    <w:p w:rsidR="00A713B1" w:rsidRPr="00F32FBD" w:rsidRDefault="00A713B1" w:rsidP="00D06055">
      <w:pPr>
        <w:numPr>
          <w:ilvl w:val="1"/>
          <w:numId w:val="12"/>
        </w:numPr>
        <w:contextualSpacing/>
        <w:rPr>
          <w:bCs/>
          <w:szCs w:val="22"/>
          <w:lang w:val="en-GB"/>
        </w:rPr>
      </w:pPr>
      <w:r w:rsidRPr="00F32FBD">
        <w:rPr>
          <w:bCs/>
          <w:szCs w:val="22"/>
          <w:lang w:val="en-GB"/>
        </w:rPr>
        <w:t>The PBAC considered that the claim of inferior comparative safety between dexamethasone and ranibizumab/aflibercept injections was reasonable.</w:t>
      </w:r>
    </w:p>
    <w:p w:rsidR="00A713B1" w:rsidRPr="00F32FBD" w:rsidRDefault="00A713B1" w:rsidP="00F32FBD">
      <w:pPr>
        <w:contextualSpacing/>
        <w:rPr>
          <w:bCs/>
          <w:szCs w:val="22"/>
          <w:lang w:val="en-GB"/>
        </w:rPr>
      </w:pPr>
    </w:p>
    <w:p w:rsidR="00864CF3" w:rsidRPr="00F32FBD" w:rsidRDefault="00864CF3" w:rsidP="00D06055">
      <w:pPr>
        <w:numPr>
          <w:ilvl w:val="1"/>
          <w:numId w:val="12"/>
        </w:numPr>
        <w:contextualSpacing/>
      </w:pPr>
      <w:r w:rsidRPr="00F32FBD">
        <w:t>The PBAC considered that the resubmission’s cost-minimisation approach was not justified because the claim of non-inferiority of dexamethasone implant verses ranibizumab or aflibercept injection was not supported by the clinical evidence presented in the original submission or the resubmission.</w:t>
      </w:r>
      <w:r w:rsidR="00A14FA5">
        <w:t xml:space="preserve"> Thus the approach taken did not form a suitable basis for PBAC consideration.</w:t>
      </w:r>
    </w:p>
    <w:p w:rsidR="00864CF3" w:rsidRPr="00F32FBD" w:rsidRDefault="00864CF3" w:rsidP="00F32FBD"/>
    <w:p w:rsidR="00864CF3" w:rsidRPr="00F32FBD" w:rsidRDefault="00864CF3" w:rsidP="00D06055">
      <w:pPr>
        <w:pStyle w:val="ListParagraph"/>
        <w:numPr>
          <w:ilvl w:val="1"/>
          <w:numId w:val="12"/>
        </w:numPr>
      </w:pPr>
      <w:r w:rsidRPr="00F32FBD">
        <w:t>Given that the clinical place of dexamethasone implant is among those who are unsuitable for treatment with</w:t>
      </w:r>
      <w:r w:rsidR="00D019E7" w:rsidRPr="00F32FBD">
        <w:t xml:space="preserve"> VEGF </w:t>
      </w:r>
      <w:r w:rsidRPr="00F32FBD">
        <w:t>inhibitors, the PBAC considered that it would be reasonable to expect some growth in the current market</w:t>
      </w:r>
      <w:r w:rsidR="00502856">
        <w:t xml:space="preserve">, rather </w:t>
      </w:r>
      <w:r w:rsidR="004A5067">
        <w:t>than assuming substitution for V</w:t>
      </w:r>
      <w:r w:rsidR="00502856">
        <w:t>EGF inhibitors as the basis for claiming overall cost savings</w:t>
      </w:r>
      <w:r w:rsidRPr="00F32FBD">
        <w:t xml:space="preserve">. The </w:t>
      </w:r>
      <w:r w:rsidRPr="00F32FBD">
        <w:lastRenderedPageBreak/>
        <w:t>PBAC also noted that the financial estimates were most sensitive to the uptake rate. Therefore, PBAC recommended that a Risk Share Arrangement be agreed between the sponsor and the Department of Health due to this uncertainty</w:t>
      </w:r>
      <w:r w:rsidR="001F1D61">
        <w:t xml:space="preserve"> </w:t>
      </w:r>
      <w:r w:rsidR="004A5067">
        <w:t>regarding</w:t>
      </w:r>
      <w:r w:rsidR="001F1D61">
        <w:t xml:space="preserve"> uptake rates</w:t>
      </w:r>
      <w:r w:rsidRPr="00F32FBD">
        <w:t xml:space="preserve">. The PBAC recommended that a </w:t>
      </w:r>
      <w:r w:rsidR="008B6DFF">
        <w:rPr>
          <w:noProof/>
          <w:color w:val="000000"/>
          <w:highlight w:val="black"/>
        </w:rPr>
        <w:t>'''''''</w:t>
      </w:r>
      <w:r w:rsidRPr="00F32FBD">
        <w:t>% rebate should apply for use beyond subsidisation caps based on the utilisation estimates presented in the submission.</w:t>
      </w:r>
    </w:p>
    <w:p w:rsidR="00864CF3" w:rsidRPr="00F32FBD" w:rsidRDefault="00864CF3" w:rsidP="00F32FBD">
      <w:pPr>
        <w:contextualSpacing/>
        <w:rPr>
          <w:bCs/>
          <w:szCs w:val="22"/>
          <w:lang w:val="en-GB"/>
        </w:rPr>
      </w:pPr>
    </w:p>
    <w:p w:rsidR="00DA56F3" w:rsidRPr="00F32FBD" w:rsidRDefault="00CF4626" w:rsidP="00D06055">
      <w:pPr>
        <w:numPr>
          <w:ilvl w:val="1"/>
          <w:numId w:val="12"/>
        </w:numPr>
        <w:contextualSpacing/>
        <w:rPr>
          <w:bCs/>
          <w:szCs w:val="22"/>
          <w:lang w:val="en-GB"/>
        </w:rPr>
      </w:pPr>
      <w:r w:rsidRPr="00F32FBD">
        <w:rPr>
          <w:bCs/>
          <w:szCs w:val="22"/>
          <w:lang w:val="en-GB"/>
        </w:rPr>
        <w:t xml:space="preserve">Under section 101(3BA) of the </w:t>
      </w:r>
      <w:r w:rsidRPr="00AD2F5C">
        <w:rPr>
          <w:bCs/>
          <w:i/>
          <w:szCs w:val="22"/>
          <w:lang w:val="en-GB"/>
        </w:rPr>
        <w:t>National Health Act 1953</w:t>
      </w:r>
      <w:r w:rsidRPr="00F32FBD">
        <w:rPr>
          <w:bCs/>
          <w:szCs w:val="22"/>
          <w:lang w:val="en-GB"/>
        </w:rPr>
        <w:t>, t</w:t>
      </w:r>
      <w:r w:rsidR="00DA56F3" w:rsidRPr="00F32FBD">
        <w:rPr>
          <w:bCs/>
          <w:szCs w:val="22"/>
          <w:lang w:val="en-GB"/>
        </w:rPr>
        <w:t xml:space="preserve">he PBAC recommended that </w:t>
      </w:r>
      <w:r w:rsidRPr="00F32FBD">
        <w:rPr>
          <w:bCs/>
          <w:szCs w:val="22"/>
          <w:lang w:val="en-GB"/>
        </w:rPr>
        <w:t>dexamethasone implant</w:t>
      </w:r>
      <w:r w:rsidR="00DA56F3" w:rsidRPr="00F32FBD">
        <w:rPr>
          <w:bCs/>
          <w:szCs w:val="22"/>
          <w:lang w:val="en-GB"/>
        </w:rPr>
        <w:t xml:space="preserve"> </w:t>
      </w:r>
      <w:r w:rsidRPr="00F32FBD">
        <w:rPr>
          <w:bCs/>
          <w:szCs w:val="22"/>
          <w:lang w:val="en-GB"/>
        </w:rPr>
        <w:t>should</w:t>
      </w:r>
      <w:r w:rsidR="00DA56F3" w:rsidRPr="00F32FBD">
        <w:rPr>
          <w:bCs/>
          <w:szCs w:val="22"/>
          <w:lang w:val="en-GB"/>
        </w:rPr>
        <w:t xml:space="preserve"> </w:t>
      </w:r>
      <w:r w:rsidRPr="00F32FBD">
        <w:rPr>
          <w:bCs/>
          <w:szCs w:val="22"/>
          <w:lang w:val="en-GB"/>
        </w:rPr>
        <w:t xml:space="preserve">not </w:t>
      </w:r>
      <w:r w:rsidR="00DA56F3" w:rsidRPr="00F32FBD">
        <w:rPr>
          <w:bCs/>
          <w:szCs w:val="22"/>
          <w:lang w:val="en-GB"/>
        </w:rPr>
        <w:t xml:space="preserve">be treated as interchangeable on an individual patient basis </w:t>
      </w:r>
      <w:r w:rsidR="00A14FA5">
        <w:rPr>
          <w:bCs/>
          <w:szCs w:val="22"/>
          <w:lang w:val="en-GB"/>
        </w:rPr>
        <w:t xml:space="preserve">with </w:t>
      </w:r>
      <w:r w:rsidRPr="00F32FBD">
        <w:rPr>
          <w:bCs/>
          <w:szCs w:val="22"/>
          <w:lang w:val="en-GB"/>
        </w:rPr>
        <w:t xml:space="preserve">any other </w:t>
      </w:r>
      <w:r w:rsidR="00A14FA5">
        <w:rPr>
          <w:bCs/>
          <w:szCs w:val="22"/>
          <w:lang w:val="en-GB"/>
        </w:rPr>
        <w:t>medicine listed in the PBS</w:t>
      </w:r>
      <w:r w:rsidRPr="00F32FBD">
        <w:rPr>
          <w:bCs/>
          <w:szCs w:val="22"/>
          <w:lang w:val="en-GB"/>
        </w:rPr>
        <w:t>.</w:t>
      </w:r>
    </w:p>
    <w:p w:rsidR="00CF4626" w:rsidRPr="00F32FBD" w:rsidRDefault="00CF4626" w:rsidP="00F32FBD">
      <w:pPr>
        <w:contextualSpacing/>
        <w:rPr>
          <w:bCs/>
          <w:szCs w:val="22"/>
          <w:lang w:val="en-GB"/>
        </w:rPr>
      </w:pPr>
    </w:p>
    <w:p w:rsidR="00DA56F3" w:rsidRPr="00F32FBD" w:rsidRDefault="00DA56F3" w:rsidP="00D06055">
      <w:pPr>
        <w:numPr>
          <w:ilvl w:val="1"/>
          <w:numId w:val="12"/>
        </w:numPr>
        <w:contextualSpacing/>
        <w:rPr>
          <w:bCs/>
          <w:szCs w:val="22"/>
          <w:lang w:val="en-GB"/>
        </w:rPr>
      </w:pPr>
      <w:r w:rsidRPr="00F32FBD">
        <w:rPr>
          <w:bCs/>
          <w:szCs w:val="22"/>
          <w:lang w:val="en-GB"/>
        </w:rPr>
        <w:t xml:space="preserve">The PBAC advised that </w:t>
      </w:r>
      <w:r w:rsidR="00FF5B14" w:rsidRPr="00F32FBD">
        <w:rPr>
          <w:bCs/>
          <w:szCs w:val="22"/>
          <w:lang w:val="en-GB"/>
        </w:rPr>
        <w:t>dexamethasone implant</w:t>
      </w:r>
      <w:r w:rsidRPr="00F32FBD">
        <w:rPr>
          <w:bCs/>
          <w:szCs w:val="22"/>
          <w:lang w:val="en-GB"/>
        </w:rPr>
        <w:t xml:space="preserve"> is not suitable for prescribing by nurse practitioners</w:t>
      </w:r>
      <w:r w:rsidR="00FF5B14" w:rsidRPr="00F32FBD">
        <w:rPr>
          <w:bCs/>
          <w:szCs w:val="22"/>
          <w:lang w:val="en-GB"/>
        </w:rPr>
        <w:t>, as it must prescribed by an ophthalmologist.</w:t>
      </w:r>
    </w:p>
    <w:p w:rsidR="00DA56F3" w:rsidRPr="00F32FBD" w:rsidRDefault="00DA56F3" w:rsidP="00F32FBD">
      <w:pPr>
        <w:contextualSpacing/>
        <w:rPr>
          <w:bCs/>
          <w:szCs w:val="22"/>
          <w:lang w:val="en-GB"/>
        </w:rPr>
      </w:pPr>
    </w:p>
    <w:p w:rsidR="00DA56F3" w:rsidRPr="00F32FBD" w:rsidRDefault="00DA56F3" w:rsidP="00D06055">
      <w:pPr>
        <w:numPr>
          <w:ilvl w:val="1"/>
          <w:numId w:val="12"/>
        </w:numPr>
        <w:contextualSpacing/>
        <w:rPr>
          <w:bCs/>
          <w:szCs w:val="22"/>
          <w:lang w:val="en-GB"/>
        </w:rPr>
      </w:pPr>
      <w:r w:rsidRPr="00F32FBD">
        <w:rPr>
          <w:bCs/>
          <w:szCs w:val="22"/>
          <w:lang w:val="en-GB"/>
        </w:rPr>
        <w:t xml:space="preserve">The PBAC recommended that the </w:t>
      </w:r>
      <w:r w:rsidR="003028BF" w:rsidRPr="00F32FBD">
        <w:rPr>
          <w:bCs/>
          <w:szCs w:val="22"/>
          <w:lang w:val="en-GB"/>
        </w:rPr>
        <w:t>Early</w:t>
      </w:r>
      <w:r w:rsidRPr="00F32FBD">
        <w:rPr>
          <w:bCs/>
          <w:szCs w:val="22"/>
          <w:lang w:val="en-GB"/>
        </w:rPr>
        <w:t xml:space="preserve"> </w:t>
      </w:r>
      <w:r w:rsidR="003028BF" w:rsidRPr="00F32FBD">
        <w:rPr>
          <w:bCs/>
          <w:szCs w:val="22"/>
          <w:lang w:val="en-GB"/>
        </w:rPr>
        <w:t xml:space="preserve">Supply </w:t>
      </w:r>
      <w:r w:rsidR="00F32FBD" w:rsidRPr="00F32FBD">
        <w:rPr>
          <w:bCs/>
          <w:szCs w:val="22"/>
          <w:lang w:val="en-GB"/>
        </w:rPr>
        <w:t>Rule should apply.</w:t>
      </w:r>
    </w:p>
    <w:p w:rsidR="0055615A" w:rsidRPr="001D335C" w:rsidRDefault="0055615A" w:rsidP="0055615A">
      <w:pPr>
        <w:rPr>
          <w:bCs/>
          <w:szCs w:val="22"/>
          <w:lang w:val="en-GB"/>
        </w:rPr>
      </w:pPr>
    </w:p>
    <w:p w:rsidR="0055615A" w:rsidRPr="00243DEC" w:rsidRDefault="0055615A" w:rsidP="0055615A">
      <w:pPr>
        <w:numPr>
          <w:ilvl w:val="1"/>
          <w:numId w:val="12"/>
        </w:numPr>
        <w:contextualSpacing/>
        <w:rPr>
          <w:bCs/>
          <w:szCs w:val="22"/>
          <w:lang w:val="en-GB"/>
        </w:rPr>
      </w:pPr>
      <w:r w:rsidRPr="00AA5A00">
        <w:rPr>
          <w:bCs/>
          <w:szCs w:val="22"/>
          <w:lang w:val="en-GB"/>
        </w:rPr>
        <w:t>The re</w:t>
      </w:r>
      <w:r>
        <w:rPr>
          <w:bCs/>
          <w:szCs w:val="22"/>
          <w:lang w:val="en-GB"/>
        </w:rPr>
        <w:t>-</w:t>
      </w:r>
      <w:r w:rsidRPr="00AA5A00">
        <w:rPr>
          <w:bCs/>
          <w:szCs w:val="22"/>
          <w:lang w:val="en-GB"/>
        </w:rPr>
        <w:t>submission is not eligible for an Independent Review, because the PBAC made a positive recommendation</w:t>
      </w:r>
      <w:r>
        <w:rPr>
          <w:bCs/>
          <w:szCs w:val="22"/>
          <w:lang w:val="en-GB"/>
        </w:rPr>
        <w:t>.</w:t>
      </w:r>
    </w:p>
    <w:p w:rsidR="00DA56F3" w:rsidRPr="00F32FBD" w:rsidRDefault="00DA56F3" w:rsidP="00F32FBD">
      <w:pPr>
        <w:rPr>
          <w:bCs/>
          <w:szCs w:val="22"/>
          <w:highlight w:val="yellow"/>
          <w:lang w:val="en-GB"/>
        </w:rPr>
      </w:pPr>
    </w:p>
    <w:p w:rsidR="00DA56F3" w:rsidRPr="0005213F" w:rsidRDefault="00DA56F3" w:rsidP="00DA56F3">
      <w:pPr>
        <w:rPr>
          <w:b/>
          <w:bCs/>
          <w:szCs w:val="22"/>
          <w:lang w:val="en-GB"/>
        </w:rPr>
      </w:pPr>
      <w:r w:rsidRPr="0005213F">
        <w:rPr>
          <w:b/>
          <w:bCs/>
          <w:szCs w:val="22"/>
          <w:lang w:val="en-GB"/>
        </w:rPr>
        <w:t>Outcome:</w:t>
      </w:r>
    </w:p>
    <w:p w:rsidR="00DA56F3" w:rsidRPr="0005213F" w:rsidRDefault="00DA56F3" w:rsidP="00DA56F3">
      <w:pPr>
        <w:rPr>
          <w:bCs/>
          <w:szCs w:val="22"/>
          <w:lang w:val="en-GB"/>
        </w:rPr>
      </w:pPr>
      <w:r w:rsidRPr="0005213F">
        <w:rPr>
          <w:bCs/>
          <w:szCs w:val="22"/>
          <w:lang w:val="en-GB"/>
        </w:rPr>
        <w:t>Recommended</w:t>
      </w:r>
    </w:p>
    <w:p w:rsidR="00DA56F3" w:rsidRPr="00EA0EDA" w:rsidRDefault="00DA56F3" w:rsidP="00DA56F3">
      <w:pPr>
        <w:rPr>
          <w:bCs/>
          <w:szCs w:val="22"/>
          <w:highlight w:val="yellow"/>
          <w:lang w:val="en-GB"/>
        </w:rPr>
      </w:pPr>
    </w:p>
    <w:p w:rsidR="00F32FBD" w:rsidRPr="00EA0EDA" w:rsidRDefault="00F32FBD" w:rsidP="00DA56F3">
      <w:pPr>
        <w:rPr>
          <w:bCs/>
          <w:szCs w:val="22"/>
          <w:highlight w:val="yellow"/>
        </w:rPr>
      </w:pPr>
    </w:p>
    <w:p w:rsidR="00DA56F3" w:rsidRPr="0005213F" w:rsidRDefault="00DA56F3" w:rsidP="00A9453C">
      <w:pPr>
        <w:pStyle w:val="Heading1"/>
        <w:widowControl/>
        <w:numPr>
          <w:ilvl w:val="0"/>
          <w:numId w:val="3"/>
        </w:numPr>
        <w:rPr>
          <w:b w:val="0"/>
          <w:bCs/>
          <w:szCs w:val="22"/>
          <w:lang w:val="en-GB"/>
        </w:rPr>
      </w:pPr>
      <w:r w:rsidRPr="0005213F">
        <w:rPr>
          <w:b w:val="0"/>
          <w:bCs/>
          <w:szCs w:val="22"/>
          <w:lang w:val="en-GB"/>
        </w:rPr>
        <w:t>Recommended listing</w:t>
      </w:r>
    </w:p>
    <w:p w:rsidR="00DA56F3" w:rsidRDefault="00DA56F3" w:rsidP="00DA56F3">
      <w:pPr>
        <w:rPr>
          <w:bCs/>
          <w:i/>
          <w:szCs w:val="22"/>
          <w:highlight w:val="yellow"/>
          <w:lang w:val="en-GB"/>
        </w:rPr>
      </w:pPr>
    </w:p>
    <w:p w:rsidR="003A6BD3" w:rsidRDefault="00DA56F3" w:rsidP="00CA6CE0">
      <w:pPr>
        <w:numPr>
          <w:ilvl w:val="1"/>
          <w:numId w:val="13"/>
        </w:numPr>
        <w:contextualSpacing/>
        <w:rPr>
          <w:bCs/>
          <w:szCs w:val="22"/>
        </w:rPr>
      </w:pPr>
      <w:r w:rsidRPr="00454078">
        <w:rPr>
          <w:bCs/>
          <w:szCs w:val="22"/>
        </w:rPr>
        <w:t>Add new item:</w:t>
      </w:r>
      <w:r w:rsidR="00CA6CE0">
        <w:rPr>
          <w:bCs/>
          <w:szCs w:val="22"/>
        </w:rPr>
        <w:t xml:space="preserve"> </w:t>
      </w:r>
      <w:r w:rsidR="00D15AAC" w:rsidRPr="00CA6CE0">
        <w:rPr>
          <w:bCs/>
          <w:szCs w:val="22"/>
        </w:rPr>
        <w:t>Restriction to be finalised</w:t>
      </w:r>
    </w:p>
    <w:p w:rsidR="00A9453C" w:rsidRDefault="00A9453C" w:rsidP="00A9453C">
      <w:pPr>
        <w:contextualSpacing/>
        <w:rPr>
          <w:bCs/>
          <w:szCs w:val="22"/>
        </w:rPr>
      </w:pPr>
    </w:p>
    <w:p w:rsidR="00993CFB" w:rsidRDefault="00993CFB" w:rsidP="00A9453C">
      <w:pPr>
        <w:contextualSpacing/>
        <w:rPr>
          <w:bCs/>
          <w:szCs w:val="22"/>
        </w:rPr>
      </w:pPr>
    </w:p>
    <w:p w:rsidR="00A9453C" w:rsidRDefault="00A9453C" w:rsidP="006078E0">
      <w:pPr>
        <w:pStyle w:val="Heading1"/>
        <w:widowControl/>
        <w:numPr>
          <w:ilvl w:val="0"/>
          <w:numId w:val="3"/>
        </w:numPr>
        <w:rPr>
          <w:rFonts w:ascii="Arial" w:hAnsi="Arial"/>
        </w:rPr>
      </w:pPr>
      <w:r w:rsidRPr="004304F6">
        <w:rPr>
          <w:rFonts w:ascii="Arial" w:hAnsi="Arial"/>
        </w:rPr>
        <w:t>Context for Decision</w:t>
      </w:r>
    </w:p>
    <w:p w:rsidR="006B3CD8" w:rsidRPr="006B3CD8" w:rsidRDefault="006B3CD8" w:rsidP="006B3CD8"/>
    <w:p w:rsidR="006078E0" w:rsidRDefault="00A9453C" w:rsidP="006078E0">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078E0" w:rsidRDefault="006078E0" w:rsidP="006078E0">
      <w:pPr>
        <w:ind w:left="720"/>
      </w:pPr>
    </w:p>
    <w:p w:rsidR="004F6684" w:rsidRDefault="004F6684" w:rsidP="006078E0">
      <w:pPr>
        <w:ind w:left="720"/>
      </w:pPr>
    </w:p>
    <w:p w:rsidR="00A9453C" w:rsidRPr="004304F6" w:rsidRDefault="00A9453C" w:rsidP="006078E0">
      <w:pPr>
        <w:pStyle w:val="Heading1"/>
        <w:widowControl/>
        <w:numPr>
          <w:ilvl w:val="0"/>
          <w:numId w:val="3"/>
        </w:numPr>
        <w:rPr>
          <w:rFonts w:ascii="Arial" w:hAnsi="Arial"/>
        </w:rPr>
      </w:pPr>
      <w:r w:rsidRPr="004304F6">
        <w:rPr>
          <w:rFonts w:ascii="Arial" w:hAnsi="Arial"/>
        </w:rPr>
        <w:t>Sponsor’s Comment</w:t>
      </w:r>
    </w:p>
    <w:p w:rsidR="00A9453C" w:rsidRPr="00CA6CE0" w:rsidRDefault="00A9453C" w:rsidP="00A9453C">
      <w:pPr>
        <w:contextualSpacing/>
        <w:rPr>
          <w:bCs/>
          <w:szCs w:val="22"/>
        </w:rPr>
      </w:pPr>
    </w:p>
    <w:p w:rsidR="00D15AAC" w:rsidRPr="00F32FBD" w:rsidRDefault="00824960" w:rsidP="00D15AAC">
      <w:pPr>
        <w:ind w:left="720"/>
        <w:rPr>
          <w:bCs/>
          <w:szCs w:val="22"/>
          <w:highlight w:val="yellow"/>
        </w:rPr>
      </w:pPr>
      <w:r>
        <w:rPr>
          <w:bCs/>
          <w:lang w:val="en-GB"/>
        </w:rPr>
        <w:t xml:space="preserve">Allergan welcomes the recommendation by the PBAC. PBS listing of dexamethasone implant will </w:t>
      </w:r>
      <w:r w:rsidRPr="00ED42B0">
        <w:rPr>
          <w:bCs/>
          <w:lang w:val="en-GB"/>
        </w:rPr>
        <w:t>expand the options available to ophthalmologists to individualise treatment based on patient</w:t>
      </w:r>
      <w:r>
        <w:rPr>
          <w:bCs/>
          <w:lang w:val="en-GB"/>
        </w:rPr>
        <w:t>s’</w:t>
      </w:r>
      <w:r w:rsidRPr="00ED42B0">
        <w:rPr>
          <w:bCs/>
          <w:lang w:val="en-GB"/>
        </w:rPr>
        <w:t xml:space="preserve"> circumstances</w:t>
      </w:r>
      <w:r>
        <w:rPr>
          <w:bCs/>
          <w:lang w:val="en-GB"/>
        </w:rPr>
        <w:t>.</w:t>
      </w:r>
    </w:p>
    <w:p w:rsidR="00DA56F3" w:rsidRPr="00DA56F3" w:rsidRDefault="00DA56F3" w:rsidP="00DA56F3">
      <w:pPr>
        <w:rPr>
          <w:bCs/>
          <w:szCs w:val="22"/>
        </w:rPr>
      </w:pPr>
    </w:p>
    <w:sectPr w:rsidR="00DA56F3" w:rsidRPr="00DA56F3" w:rsidSect="00E21358">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DFF" w:rsidRDefault="008B6DFF" w:rsidP="00124A51">
      <w:r>
        <w:separator/>
      </w:r>
    </w:p>
  </w:endnote>
  <w:endnote w:type="continuationSeparator" w:id="0">
    <w:p w:rsidR="008B6DFF" w:rsidRDefault="008B6DFF"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DFF" w:rsidRDefault="008B6D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520115"/>
      <w:docPartObj>
        <w:docPartGallery w:val="Page Numbers (Bottom of Page)"/>
        <w:docPartUnique/>
      </w:docPartObj>
    </w:sdtPr>
    <w:sdtEndPr>
      <w:rPr>
        <w:noProof/>
      </w:rPr>
    </w:sdtEndPr>
    <w:sdtContent>
      <w:p w:rsidR="0063163B" w:rsidRDefault="0063163B">
        <w:pPr>
          <w:pStyle w:val="Footer"/>
          <w:jc w:val="center"/>
        </w:pPr>
        <w:r>
          <w:fldChar w:fldCharType="begin"/>
        </w:r>
        <w:r>
          <w:instrText xml:space="preserve"> PAGE   \* MERGEFORMAT </w:instrText>
        </w:r>
        <w:r>
          <w:fldChar w:fldCharType="separate"/>
        </w:r>
        <w:r w:rsidR="00EC05F0">
          <w:rPr>
            <w:noProof/>
          </w:rPr>
          <w:t>2</w:t>
        </w:r>
        <w:r>
          <w:rPr>
            <w:noProof/>
          </w:rPr>
          <w:fldChar w:fldCharType="end"/>
        </w:r>
      </w:p>
    </w:sdtContent>
  </w:sdt>
  <w:p w:rsidR="0063163B" w:rsidRPr="0084255C" w:rsidRDefault="0063163B" w:rsidP="0084255C">
    <w:pPr>
      <w:ind w:right="360"/>
      <w:jc w:val="center"/>
      <w:rPr>
        <w:b/>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DFF" w:rsidRDefault="008B6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DFF" w:rsidRDefault="008B6DFF" w:rsidP="00124A51">
      <w:r>
        <w:separator/>
      </w:r>
    </w:p>
  </w:footnote>
  <w:footnote w:type="continuationSeparator" w:id="0">
    <w:p w:rsidR="008B6DFF" w:rsidRDefault="008B6DFF"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DFF" w:rsidRDefault="008B6D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63B" w:rsidRDefault="0063163B" w:rsidP="007A4B25">
    <w:pPr>
      <w:pStyle w:val="Header"/>
      <w:jc w:val="center"/>
      <w:rPr>
        <w:i/>
        <w:color w:val="808080"/>
      </w:rPr>
    </w:pPr>
    <w:r>
      <w:rPr>
        <w:i/>
        <w:color w:val="808080"/>
      </w:rPr>
      <w:t xml:space="preserve">Public Summary Document </w:t>
    </w:r>
    <w:r w:rsidRPr="00DF217D">
      <w:rPr>
        <w:i/>
        <w:color w:val="808080"/>
      </w:rPr>
      <w:t xml:space="preserve">– </w:t>
    </w:r>
    <w:r>
      <w:rPr>
        <w:i/>
        <w:color w:val="808080"/>
      </w:rPr>
      <w:t xml:space="preserve">March 2016 </w:t>
    </w:r>
    <w:r w:rsidRPr="00DF217D">
      <w:rPr>
        <w:i/>
        <w:color w:val="808080"/>
      </w:rPr>
      <w:t>PBAC</w:t>
    </w:r>
    <w:r>
      <w:rPr>
        <w:i/>
        <w:color w:val="808080"/>
      </w:rPr>
      <w:t xml:space="preserve"> Meeting</w:t>
    </w:r>
  </w:p>
  <w:p w:rsidR="0063163B" w:rsidRDefault="0063163B" w:rsidP="007A4B2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DFF" w:rsidRDefault="008B6D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752E"/>
    <w:multiLevelType w:val="multilevel"/>
    <w:tmpl w:val="BCBACECC"/>
    <w:lvl w:ilvl="0">
      <w:start w:val="3"/>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3234754"/>
    <w:multiLevelType w:val="hybridMultilevel"/>
    <w:tmpl w:val="3FE47B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0B7B80"/>
    <w:multiLevelType w:val="hybridMultilevel"/>
    <w:tmpl w:val="DBC004B2"/>
    <w:lvl w:ilvl="0" w:tplc="2B28058A">
      <w:start w:val="3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C3F64C5"/>
    <w:multiLevelType w:val="multilevel"/>
    <w:tmpl w:val="7E66AC6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55F4A5B"/>
    <w:multiLevelType w:val="multilevel"/>
    <w:tmpl w:val="F8EC3158"/>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9970E58"/>
    <w:multiLevelType w:val="multilevel"/>
    <w:tmpl w:val="E62A9ACC"/>
    <w:lvl w:ilvl="0">
      <w:start w:val="7"/>
      <w:numFmt w:val="decimal"/>
      <w:lvlText w:val="%1"/>
      <w:lvlJc w:val="left"/>
      <w:pPr>
        <w:ind w:left="720" w:hanging="720"/>
      </w:pPr>
      <w:rPr>
        <w:rFonts w:hint="default"/>
        <w:b/>
      </w:rPr>
    </w:lvl>
    <w:lvl w:ilvl="1">
      <w:start w:val="1"/>
      <w:numFmt w:val="decimal"/>
      <w:lvlRestart w:val="0"/>
      <w:lvlText w:val="7.%2"/>
      <w:lvlJc w:val="left"/>
      <w:pPr>
        <w:ind w:left="720" w:hanging="720"/>
      </w:pPr>
      <w:rPr>
        <w:rFonts w:hint="default"/>
        <w:b w:val="0"/>
        <w:i w:val="0"/>
        <w:lang w:val="en-A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90C1E3E"/>
    <w:multiLevelType w:val="multilevel"/>
    <w:tmpl w:val="4F5865A8"/>
    <w:lvl w:ilvl="0">
      <w:start w:val="3"/>
      <w:numFmt w:val="decimal"/>
      <w:lvlText w:val="%1"/>
      <w:lvlJc w:val="left"/>
      <w:pPr>
        <w:ind w:left="720" w:hanging="720"/>
      </w:pPr>
      <w:rPr>
        <w:rFonts w:hint="default"/>
        <w:b/>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BF07F59"/>
    <w:multiLevelType w:val="multilevel"/>
    <w:tmpl w:val="7F6CB768"/>
    <w:lvl w:ilvl="0">
      <w:start w:val="3"/>
      <w:numFmt w:val="decimal"/>
      <w:lvlText w:val="%1"/>
      <w:lvlJc w:val="left"/>
      <w:pPr>
        <w:ind w:left="720" w:hanging="720"/>
      </w:pPr>
      <w:rPr>
        <w:rFonts w:hint="default"/>
        <w:b/>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81B5AE2"/>
    <w:multiLevelType w:val="multilevel"/>
    <w:tmpl w:val="D326FB18"/>
    <w:lvl w:ilvl="0">
      <w:start w:val="1"/>
      <w:numFmt w:val="bullet"/>
      <w:lvlText w:val=""/>
      <w:lvlJc w:val="left"/>
      <w:pPr>
        <w:ind w:left="1440" w:hanging="720"/>
      </w:pPr>
      <w:rPr>
        <w:rFonts w:ascii="Symbol" w:hAnsi="Symbol" w:hint="default"/>
        <w:b/>
      </w:rPr>
    </w:lvl>
    <w:lvl w:ilvl="1">
      <w:start w:val="1"/>
      <w:numFmt w:val="bullet"/>
      <w:lvlText w:val=""/>
      <w:lvlJc w:val="left"/>
      <w:pPr>
        <w:ind w:left="144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9">
    <w:nsid w:val="5D2A5396"/>
    <w:multiLevelType w:val="multilevel"/>
    <w:tmpl w:val="4DE849D2"/>
    <w:lvl w:ilvl="0">
      <w:start w:val="1"/>
      <w:numFmt w:val="decimal"/>
      <w:lvlText w:val="%1"/>
      <w:lvlJc w:val="left"/>
      <w:pPr>
        <w:ind w:left="720" w:hanging="720"/>
      </w:pPr>
      <w:rPr>
        <w:rFonts w:hint="default"/>
        <w:b/>
      </w:rPr>
    </w:lvl>
    <w:lvl w:ilvl="1">
      <w:start w:val="4"/>
      <w:numFmt w:val="decimal"/>
      <w:lvlRestart w:val="0"/>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ED00A85"/>
    <w:multiLevelType w:val="hybridMultilevel"/>
    <w:tmpl w:val="2C0882B8"/>
    <w:lvl w:ilvl="0" w:tplc="0C090001">
      <w:start w:val="1"/>
      <w:numFmt w:val="bullet"/>
      <w:lvlText w:val=""/>
      <w:lvlJc w:val="left"/>
      <w:pPr>
        <w:ind w:left="720" w:hanging="360"/>
      </w:pPr>
      <w:rPr>
        <w:rFonts w:ascii="Symbol" w:hAnsi="Symbol" w:hint="default"/>
      </w:rPr>
    </w:lvl>
    <w:lvl w:ilvl="1" w:tplc="43F6C5C2">
      <w:numFmt w:val="bullet"/>
      <w:lvlText w:val="•"/>
      <w:lvlJc w:val="left"/>
      <w:pPr>
        <w:ind w:left="1800" w:hanging="720"/>
      </w:pPr>
      <w:rPr>
        <w:rFonts w:ascii="Arial Narrow" w:eastAsia="Times New Roman" w:hAnsi="Arial Narro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BAD1D42"/>
    <w:multiLevelType w:val="multilevel"/>
    <w:tmpl w:val="5A4C84A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C704F98"/>
    <w:multiLevelType w:val="multilevel"/>
    <w:tmpl w:val="6610E1EC"/>
    <w:lvl w:ilvl="0">
      <w:start w:val="8"/>
      <w:numFmt w:val="decimal"/>
      <w:lvlText w:val="%1"/>
      <w:lvlJc w:val="left"/>
      <w:pPr>
        <w:ind w:left="720" w:hanging="720"/>
      </w:pPr>
      <w:rPr>
        <w:rFonts w:hint="default"/>
        <w:b/>
      </w:rPr>
    </w:lvl>
    <w:lvl w:ilvl="1">
      <w:start w:val="1"/>
      <w:numFmt w:val="decimal"/>
      <w:lvlRestart w:val="0"/>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2DB005A"/>
    <w:multiLevelType w:val="multilevel"/>
    <w:tmpl w:val="D646BD54"/>
    <w:lvl w:ilvl="0">
      <w:start w:val="1"/>
      <w:numFmt w:val="decimal"/>
      <w:lvlText w:val="%1"/>
      <w:lvlJc w:val="left"/>
      <w:pPr>
        <w:ind w:left="720" w:hanging="720"/>
      </w:pPr>
      <w:rPr>
        <w:rFonts w:hint="default"/>
        <w:b/>
      </w:rPr>
    </w:lvl>
    <w:lvl w:ilvl="1">
      <w:start w:val="1"/>
      <w:numFmt w:val="decimal"/>
      <w:lvlRestart w:val="0"/>
      <w:lvlText w:val="6.%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3"/>
  </w:num>
  <w:num w:numId="4">
    <w:abstractNumId w:val="7"/>
  </w:num>
  <w:num w:numId="5">
    <w:abstractNumId w:val="0"/>
  </w:num>
  <w:num w:numId="6">
    <w:abstractNumId w:val="6"/>
  </w:num>
  <w:num w:numId="7">
    <w:abstractNumId w:val="1"/>
  </w:num>
  <w:num w:numId="8">
    <w:abstractNumId w:val="11"/>
  </w:num>
  <w:num w:numId="9">
    <w:abstractNumId w:val="9"/>
  </w:num>
  <w:num w:numId="10">
    <w:abstractNumId w:val="8"/>
  </w:num>
  <w:num w:numId="11">
    <w:abstractNumId w:val="13"/>
  </w:num>
  <w:num w:numId="12">
    <w:abstractNumId w:val="5"/>
  </w:num>
  <w:num w:numId="13">
    <w:abstractNumId w:val="1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modified&lt;/Style&gt;&lt;LeftDelim&gt;{&lt;/LeftDelim&gt;&lt;RightDelim&gt;}&lt;/RightDelim&gt;&lt;FontName&gt;Arial Bold&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pzszf5ac0pp2xez5vpvsaxnt0xpvdpfvsew&quot;&gt;OCT retina Copy&lt;record-ids&gt;&lt;item&gt;84&lt;/item&gt;&lt;item&gt;85&lt;/item&gt;&lt;item&gt;86&lt;/item&gt;&lt;item&gt;88&lt;/item&gt;&lt;item&gt;92&lt;/item&gt;&lt;item&gt;93&lt;/item&gt;&lt;/record-ids&gt;&lt;/item&gt;&lt;/Libraries&gt;"/>
  </w:docVars>
  <w:rsids>
    <w:rsidRoot w:val="00E65E79"/>
    <w:rsid w:val="00000527"/>
    <w:rsid w:val="00000790"/>
    <w:rsid w:val="00000FC9"/>
    <w:rsid w:val="0000110B"/>
    <w:rsid w:val="0000297B"/>
    <w:rsid w:val="00003341"/>
    <w:rsid w:val="0000585B"/>
    <w:rsid w:val="000078D9"/>
    <w:rsid w:val="00013247"/>
    <w:rsid w:val="0001391D"/>
    <w:rsid w:val="000140D1"/>
    <w:rsid w:val="00015886"/>
    <w:rsid w:val="000162EF"/>
    <w:rsid w:val="000174FA"/>
    <w:rsid w:val="0002225F"/>
    <w:rsid w:val="00023763"/>
    <w:rsid w:val="00024E18"/>
    <w:rsid w:val="000264EC"/>
    <w:rsid w:val="00031495"/>
    <w:rsid w:val="0003190A"/>
    <w:rsid w:val="00031C90"/>
    <w:rsid w:val="00032814"/>
    <w:rsid w:val="00040895"/>
    <w:rsid w:val="0004231D"/>
    <w:rsid w:val="0004262C"/>
    <w:rsid w:val="00043501"/>
    <w:rsid w:val="00043C37"/>
    <w:rsid w:val="0004403A"/>
    <w:rsid w:val="000440DA"/>
    <w:rsid w:val="000440E1"/>
    <w:rsid w:val="00044889"/>
    <w:rsid w:val="00044B1D"/>
    <w:rsid w:val="00050327"/>
    <w:rsid w:val="0005213F"/>
    <w:rsid w:val="00052350"/>
    <w:rsid w:val="00053A47"/>
    <w:rsid w:val="000546D7"/>
    <w:rsid w:val="00055509"/>
    <w:rsid w:val="00062628"/>
    <w:rsid w:val="000641E0"/>
    <w:rsid w:val="00066B5E"/>
    <w:rsid w:val="00066CF0"/>
    <w:rsid w:val="0006738A"/>
    <w:rsid w:val="00071248"/>
    <w:rsid w:val="000720B9"/>
    <w:rsid w:val="00073367"/>
    <w:rsid w:val="00073B0F"/>
    <w:rsid w:val="00075F51"/>
    <w:rsid w:val="00076301"/>
    <w:rsid w:val="00077AAB"/>
    <w:rsid w:val="000812CA"/>
    <w:rsid w:val="00083B4A"/>
    <w:rsid w:val="000874EC"/>
    <w:rsid w:val="00090C7E"/>
    <w:rsid w:val="00091604"/>
    <w:rsid w:val="0009517F"/>
    <w:rsid w:val="00095388"/>
    <w:rsid w:val="000A5536"/>
    <w:rsid w:val="000A5B31"/>
    <w:rsid w:val="000B2657"/>
    <w:rsid w:val="000B408D"/>
    <w:rsid w:val="000B5E00"/>
    <w:rsid w:val="000B75BE"/>
    <w:rsid w:val="000B78A3"/>
    <w:rsid w:val="000B78F6"/>
    <w:rsid w:val="000C1AB7"/>
    <w:rsid w:val="000C4C36"/>
    <w:rsid w:val="000C4C61"/>
    <w:rsid w:val="000D0276"/>
    <w:rsid w:val="000D1BFC"/>
    <w:rsid w:val="000D245E"/>
    <w:rsid w:val="000D4562"/>
    <w:rsid w:val="000D4CFE"/>
    <w:rsid w:val="000D782C"/>
    <w:rsid w:val="000E0702"/>
    <w:rsid w:val="000E235C"/>
    <w:rsid w:val="000E40D3"/>
    <w:rsid w:val="000E53D9"/>
    <w:rsid w:val="000E66E1"/>
    <w:rsid w:val="000E731A"/>
    <w:rsid w:val="000F1E9D"/>
    <w:rsid w:val="000F2719"/>
    <w:rsid w:val="000F3D97"/>
    <w:rsid w:val="001009E9"/>
    <w:rsid w:val="00100F8A"/>
    <w:rsid w:val="0011032E"/>
    <w:rsid w:val="001145CD"/>
    <w:rsid w:val="00114BC5"/>
    <w:rsid w:val="00121799"/>
    <w:rsid w:val="001222FC"/>
    <w:rsid w:val="00122323"/>
    <w:rsid w:val="00124A51"/>
    <w:rsid w:val="00126595"/>
    <w:rsid w:val="00126621"/>
    <w:rsid w:val="001301E9"/>
    <w:rsid w:val="00131547"/>
    <w:rsid w:val="0013626D"/>
    <w:rsid w:val="00137645"/>
    <w:rsid w:val="00137B57"/>
    <w:rsid w:val="0014015A"/>
    <w:rsid w:val="00140E99"/>
    <w:rsid w:val="00143025"/>
    <w:rsid w:val="001456B0"/>
    <w:rsid w:val="0015292A"/>
    <w:rsid w:val="00152C0B"/>
    <w:rsid w:val="00152F61"/>
    <w:rsid w:val="00153604"/>
    <w:rsid w:val="00155438"/>
    <w:rsid w:val="00155806"/>
    <w:rsid w:val="001564E4"/>
    <w:rsid w:val="00157130"/>
    <w:rsid w:val="00162913"/>
    <w:rsid w:val="00162F50"/>
    <w:rsid w:val="00163EFF"/>
    <w:rsid w:val="0016606C"/>
    <w:rsid w:val="001661FB"/>
    <w:rsid w:val="001732C2"/>
    <w:rsid w:val="0017422D"/>
    <w:rsid w:val="00180CAD"/>
    <w:rsid w:val="001811C0"/>
    <w:rsid w:val="00181CCB"/>
    <w:rsid w:val="00182272"/>
    <w:rsid w:val="00187D10"/>
    <w:rsid w:val="00191242"/>
    <w:rsid w:val="00192FFC"/>
    <w:rsid w:val="00195222"/>
    <w:rsid w:val="001971A6"/>
    <w:rsid w:val="001975D8"/>
    <w:rsid w:val="001978D4"/>
    <w:rsid w:val="001A102A"/>
    <w:rsid w:val="001A4D99"/>
    <w:rsid w:val="001A5DA0"/>
    <w:rsid w:val="001A6F84"/>
    <w:rsid w:val="001B08C8"/>
    <w:rsid w:val="001B27CA"/>
    <w:rsid w:val="001B2A9A"/>
    <w:rsid w:val="001B2D68"/>
    <w:rsid w:val="001B3443"/>
    <w:rsid w:val="001B4CA7"/>
    <w:rsid w:val="001B6188"/>
    <w:rsid w:val="001B7888"/>
    <w:rsid w:val="001C035D"/>
    <w:rsid w:val="001C0CFB"/>
    <w:rsid w:val="001C1030"/>
    <w:rsid w:val="001C136A"/>
    <w:rsid w:val="001C1FC1"/>
    <w:rsid w:val="001C2600"/>
    <w:rsid w:val="001C40DC"/>
    <w:rsid w:val="001C6E66"/>
    <w:rsid w:val="001D05DE"/>
    <w:rsid w:val="001D112E"/>
    <w:rsid w:val="001D3A66"/>
    <w:rsid w:val="001E238E"/>
    <w:rsid w:val="001E52EB"/>
    <w:rsid w:val="001E5C5A"/>
    <w:rsid w:val="001E6192"/>
    <w:rsid w:val="001E6E46"/>
    <w:rsid w:val="001E73F2"/>
    <w:rsid w:val="001E740C"/>
    <w:rsid w:val="001F0F16"/>
    <w:rsid w:val="001F1235"/>
    <w:rsid w:val="001F17EA"/>
    <w:rsid w:val="001F1CB3"/>
    <w:rsid w:val="001F1D61"/>
    <w:rsid w:val="001F4411"/>
    <w:rsid w:val="001F7361"/>
    <w:rsid w:val="002001F3"/>
    <w:rsid w:val="002005DD"/>
    <w:rsid w:val="002023FF"/>
    <w:rsid w:val="002025FE"/>
    <w:rsid w:val="002029E1"/>
    <w:rsid w:val="00202AA6"/>
    <w:rsid w:val="00203E6B"/>
    <w:rsid w:val="0020424F"/>
    <w:rsid w:val="002105C1"/>
    <w:rsid w:val="00212DD1"/>
    <w:rsid w:val="0021301F"/>
    <w:rsid w:val="0021574C"/>
    <w:rsid w:val="002177DD"/>
    <w:rsid w:val="00223B49"/>
    <w:rsid w:val="00223C1F"/>
    <w:rsid w:val="00223E15"/>
    <w:rsid w:val="00224DD4"/>
    <w:rsid w:val="00227B82"/>
    <w:rsid w:val="002309CC"/>
    <w:rsid w:val="00230D88"/>
    <w:rsid w:val="00233968"/>
    <w:rsid w:val="00234584"/>
    <w:rsid w:val="002426A8"/>
    <w:rsid w:val="00243BCB"/>
    <w:rsid w:val="00246C2D"/>
    <w:rsid w:val="0025096A"/>
    <w:rsid w:val="0025158C"/>
    <w:rsid w:val="0025445E"/>
    <w:rsid w:val="0025534B"/>
    <w:rsid w:val="00255BB7"/>
    <w:rsid w:val="002570C5"/>
    <w:rsid w:val="0025797A"/>
    <w:rsid w:val="00261439"/>
    <w:rsid w:val="00261C8F"/>
    <w:rsid w:val="002622C0"/>
    <w:rsid w:val="00262A87"/>
    <w:rsid w:val="00263918"/>
    <w:rsid w:val="00264586"/>
    <w:rsid w:val="00267C2F"/>
    <w:rsid w:val="002704A3"/>
    <w:rsid w:val="0027220B"/>
    <w:rsid w:val="00275C5A"/>
    <w:rsid w:val="00280A43"/>
    <w:rsid w:val="002841C3"/>
    <w:rsid w:val="00284B03"/>
    <w:rsid w:val="00286BD3"/>
    <w:rsid w:val="002906C3"/>
    <w:rsid w:val="00292E70"/>
    <w:rsid w:val="002931BB"/>
    <w:rsid w:val="002A14AB"/>
    <w:rsid w:val="002A44C3"/>
    <w:rsid w:val="002A4CFB"/>
    <w:rsid w:val="002A71E8"/>
    <w:rsid w:val="002A73DA"/>
    <w:rsid w:val="002B1C1F"/>
    <w:rsid w:val="002B313F"/>
    <w:rsid w:val="002B385B"/>
    <w:rsid w:val="002B432F"/>
    <w:rsid w:val="002B45A5"/>
    <w:rsid w:val="002B64DE"/>
    <w:rsid w:val="002B6723"/>
    <w:rsid w:val="002B6CCE"/>
    <w:rsid w:val="002B790B"/>
    <w:rsid w:val="002C26F7"/>
    <w:rsid w:val="002C27C1"/>
    <w:rsid w:val="002C295F"/>
    <w:rsid w:val="002C4F32"/>
    <w:rsid w:val="002C7C0D"/>
    <w:rsid w:val="002D0334"/>
    <w:rsid w:val="002D2C9E"/>
    <w:rsid w:val="002D3D16"/>
    <w:rsid w:val="002D3FA4"/>
    <w:rsid w:val="002D475A"/>
    <w:rsid w:val="002D7118"/>
    <w:rsid w:val="002E024F"/>
    <w:rsid w:val="002E0E87"/>
    <w:rsid w:val="002E14D0"/>
    <w:rsid w:val="002E18C6"/>
    <w:rsid w:val="002E2B0C"/>
    <w:rsid w:val="002E2E59"/>
    <w:rsid w:val="002E37D9"/>
    <w:rsid w:val="002E3E0A"/>
    <w:rsid w:val="002E5884"/>
    <w:rsid w:val="002E6C1C"/>
    <w:rsid w:val="002F5928"/>
    <w:rsid w:val="002F6B53"/>
    <w:rsid w:val="00301017"/>
    <w:rsid w:val="003028BF"/>
    <w:rsid w:val="00302FC5"/>
    <w:rsid w:val="0030375B"/>
    <w:rsid w:val="00304192"/>
    <w:rsid w:val="00304696"/>
    <w:rsid w:val="00305835"/>
    <w:rsid w:val="00306241"/>
    <w:rsid w:val="0030786C"/>
    <w:rsid w:val="0031031A"/>
    <w:rsid w:val="00313C40"/>
    <w:rsid w:val="003146B9"/>
    <w:rsid w:val="00315498"/>
    <w:rsid w:val="003168EC"/>
    <w:rsid w:val="00316DC5"/>
    <w:rsid w:val="00317FE5"/>
    <w:rsid w:val="00320CFB"/>
    <w:rsid w:val="003247A8"/>
    <w:rsid w:val="00324B70"/>
    <w:rsid w:val="0032693E"/>
    <w:rsid w:val="003276AC"/>
    <w:rsid w:val="0033392B"/>
    <w:rsid w:val="0033655A"/>
    <w:rsid w:val="003366C9"/>
    <w:rsid w:val="003376F3"/>
    <w:rsid w:val="003378D6"/>
    <w:rsid w:val="00340A95"/>
    <w:rsid w:val="00345D4F"/>
    <w:rsid w:val="00346774"/>
    <w:rsid w:val="00351EE1"/>
    <w:rsid w:val="00352CB3"/>
    <w:rsid w:val="003551C2"/>
    <w:rsid w:val="00355296"/>
    <w:rsid w:val="0035561C"/>
    <w:rsid w:val="0035620E"/>
    <w:rsid w:val="00361458"/>
    <w:rsid w:val="0036180B"/>
    <w:rsid w:val="003623E4"/>
    <w:rsid w:val="00363F66"/>
    <w:rsid w:val="00373008"/>
    <w:rsid w:val="003733F9"/>
    <w:rsid w:val="00373552"/>
    <w:rsid w:val="00375381"/>
    <w:rsid w:val="003758C9"/>
    <w:rsid w:val="00376D84"/>
    <w:rsid w:val="00380746"/>
    <w:rsid w:val="00381C18"/>
    <w:rsid w:val="0038365C"/>
    <w:rsid w:val="00383BF4"/>
    <w:rsid w:val="00384541"/>
    <w:rsid w:val="00386E02"/>
    <w:rsid w:val="00390393"/>
    <w:rsid w:val="003912DA"/>
    <w:rsid w:val="00393F75"/>
    <w:rsid w:val="003955BD"/>
    <w:rsid w:val="00396FD0"/>
    <w:rsid w:val="003970E2"/>
    <w:rsid w:val="003A1A7A"/>
    <w:rsid w:val="003A2C74"/>
    <w:rsid w:val="003A3E15"/>
    <w:rsid w:val="003A6BD3"/>
    <w:rsid w:val="003A738A"/>
    <w:rsid w:val="003B0217"/>
    <w:rsid w:val="003B4D65"/>
    <w:rsid w:val="003B5250"/>
    <w:rsid w:val="003B5D39"/>
    <w:rsid w:val="003C10F6"/>
    <w:rsid w:val="003C1C1A"/>
    <w:rsid w:val="003C7C68"/>
    <w:rsid w:val="003D1828"/>
    <w:rsid w:val="003D2422"/>
    <w:rsid w:val="003D34D8"/>
    <w:rsid w:val="003E249E"/>
    <w:rsid w:val="003E2974"/>
    <w:rsid w:val="003E3517"/>
    <w:rsid w:val="003E38F5"/>
    <w:rsid w:val="003E53E3"/>
    <w:rsid w:val="003E6777"/>
    <w:rsid w:val="003E6C2F"/>
    <w:rsid w:val="003F4156"/>
    <w:rsid w:val="003F47FD"/>
    <w:rsid w:val="003F4E26"/>
    <w:rsid w:val="003F6965"/>
    <w:rsid w:val="0040062F"/>
    <w:rsid w:val="00401910"/>
    <w:rsid w:val="004039FC"/>
    <w:rsid w:val="004102AF"/>
    <w:rsid w:val="00410EC7"/>
    <w:rsid w:val="00414476"/>
    <w:rsid w:val="00416966"/>
    <w:rsid w:val="00420B9F"/>
    <w:rsid w:val="0042521E"/>
    <w:rsid w:val="00425CB2"/>
    <w:rsid w:val="004266C0"/>
    <w:rsid w:val="004319F8"/>
    <w:rsid w:val="00436557"/>
    <w:rsid w:val="00437B28"/>
    <w:rsid w:val="0044008A"/>
    <w:rsid w:val="004414E2"/>
    <w:rsid w:val="0044267B"/>
    <w:rsid w:val="004443A7"/>
    <w:rsid w:val="004464EB"/>
    <w:rsid w:val="00447382"/>
    <w:rsid w:val="00447DA8"/>
    <w:rsid w:val="00452F4B"/>
    <w:rsid w:val="00454078"/>
    <w:rsid w:val="00454F00"/>
    <w:rsid w:val="00455D45"/>
    <w:rsid w:val="00456F81"/>
    <w:rsid w:val="004609AF"/>
    <w:rsid w:val="0046340F"/>
    <w:rsid w:val="00464595"/>
    <w:rsid w:val="00464A56"/>
    <w:rsid w:val="004652CF"/>
    <w:rsid w:val="004655A1"/>
    <w:rsid w:val="00465EEF"/>
    <w:rsid w:val="00466228"/>
    <w:rsid w:val="0046788F"/>
    <w:rsid w:val="00467A06"/>
    <w:rsid w:val="00471D18"/>
    <w:rsid w:val="00472359"/>
    <w:rsid w:val="0047456A"/>
    <w:rsid w:val="00477D09"/>
    <w:rsid w:val="004809DB"/>
    <w:rsid w:val="0048198A"/>
    <w:rsid w:val="00486074"/>
    <w:rsid w:val="0048674A"/>
    <w:rsid w:val="004867E2"/>
    <w:rsid w:val="00486859"/>
    <w:rsid w:val="0049103F"/>
    <w:rsid w:val="00491B3A"/>
    <w:rsid w:val="00494D25"/>
    <w:rsid w:val="00495DA7"/>
    <w:rsid w:val="004964D8"/>
    <w:rsid w:val="004964EB"/>
    <w:rsid w:val="00497F10"/>
    <w:rsid w:val="004A0256"/>
    <w:rsid w:val="004A048F"/>
    <w:rsid w:val="004A0DA1"/>
    <w:rsid w:val="004A1584"/>
    <w:rsid w:val="004A19B8"/>
    <w:rsid w:val="004A5067"/>
    <w:rsid w:val="004A6597"/>
    <w:rsid w:val="004A7309"/>
    <w:rsid w:val="004A7338"/>
    <w:rsid w:val="004B2F18"/>
    <w:rsid w:val="004B33D4"/>
    <w:rsid w:val="004B3DDB"/>
    <w:rsid w:val="004B44FD"/>
    <w:rsid w:val="004B457C"/>
    <w:rsid w:val="004B5CFC"/>
    <w:rsid w:val="004C035C"/>
    <w:rsid w:val="004C1F4B"/>
    <w:rsid w:val="004C4374"/>
    <w:rsid w:val="004C4AED"/>
    <w:rsid w:val="004C5EF9"/>
    <w:rsid w:val="004D1C0B"/>
    <w:rsid w:val="004D4FB9"/>
    <w:rsid w:val="004D5006"/>
    <w:rsid w:val="004D6CA9"/>
    <w:rsid w:val="004E03F7"/>
    <w:rsid w:val="004E0EB8"/>
    <w:rsid w:val="004E2ADC"/>
    <w:rsid w:val="004E2DAC"/>
    <w:rsid w:val="004E4759"/>
    <w:rsid w:val="004F163F"/>
    <w:rsid w:val="004F1D02"/>
    <w:rsid w:val="004F2679"/>
    <w:rsid w:val="004F38E4"/>
    <w:rsid w:val="004F4787"/>
    <w:rsid w:val="004F54E7"/>
    <w:rsid w:val="004F6684"/>
    <w:rsid w:val="004F77C7"/>
    <w:rsid w:val="00502856"/>
    <w:rsid w:val="00505F9A"/>
    <w:rsid w:val="00506E16"/>
    <w:rsid w:val="0051055E"/>
    <w:rsid w:val="0051145F"/>
    <w:rsid w:val="00511E6E"/>
    <w:rsid w:val="005124F4"/>
    <w:rsid w:val="005131E4"/>
    <w:rsid w:val="0051382D"/>
    <w:rsid w:val="005141FA"/>
    <w:rsid w:val="005152B5"/>
    <w:rsid w:val="00516620"/>
    <w:rsid w:val="005212F0"/>
    <w:rsid w:val="00521319"/>
    <w:rsid w:val="00521475"/>
    <w:rsid w:val="005230C0"/>
    <w:rsid w:val="00523C28"/>
    <w:rsid w:val="00524EB9"/>
    <w:rsid w:val="00536891"/>
    <w:rsid w:val="00536DE5"/>
    <w:rsid w:val="005405CC"/>
    <w:rsid w:val="005408F9"/>
    <w:rsid w:val="00541038"/>
    <w:rsid w:val="00543045"/>
    <w:rsid w:val="005432D3"/>
    <w:rsid w:val="00547D91"/>
    <w:rsid w:val="00550C00"/>
    <w:rsid w:val="00550F4E"/>
    <w:rsid w:val="00555109"/>
    <w:rsid w:val="00555514"/>
    <w:rsid w:val="0055615A"/>
    <w:rsid w:val="00557A61"/>
    <w:rsid w:val="00560AB0"/>
    <w:rsid w:val="0056276A"/>
    <w:rsid w:val="00563211"/>
    <w:rsid w:val="005643F6"/>
    <w:rsid w:val="005651E3"/>
    <w:rsid w:val="0056696F"/>
    <w:rsid w:val="00573AD9"/>
    <w:rsid w:val="0057489F"/>
    <w:rsid w:val="00575ABE"/>
    <w:rsid w:val="00576972"/>
    <w:rsid w:val="00577717"/>
    <w:rsid w:val="00577C88"/>
    <w:rsid w:val="005801E9"/>
    <w:rsid w:val="005812EB"/>
    <w:rsid w:val="00583699"/>
    <w:rsid w:val="005852B9"/>
    <w:rsid w:val="005853FA"/>
    <w:rsid w:val="00586E89"/>
    <w:rsid w:val="00587132"/>
    <w:rsid w:val="00594043"/>
    <w:rsid w:val="00594708"/>
    <w:rsid w:val="005A0497"/>
    <w:rsid w:val="005A05AA"/>
    <w:rsid w:val="005A14DA"/>
    <w:rsid w:val="005A1975"/>
    <w:rsid w:val="005A348C"/>
    <w:rsid w:val="005A3E1C"/>
    <w:rsid w:val="005B5857"/>
    <w:rsid w:val="005B7BF2"/>
    <w:rsid w:val="005C1B83"/>
    <w:rsid w:val="005C2A8D"/>
    <w:rsid w:val="005C346B"/>
    <w:rsid w:val="005C6056"/>
    <w:rsid w:val="005C67BA"/>
    <w:rsid w:val="005C68D0"/>
    <w:rsid w:val="005D0D3B"/>
    <w:rsid w:val="005D18AD"/>
    <w:rsid w:val="005D3CA1"/>
    <w:rsid w:val="005D7E3E"/>
    <w:rsid w:val="005E11F1"/>
    <w:rsid w:val="005E4258"/>
    <w:rsid w:val="005E48C3"/>
    <w:rsid w:val="005E6AFD"/>
    <w:rsid w:val="005E6B81"/>
    <w:rsid w:val="005F1B21"/>
    <w:rsid w:val="005F20E4"/>
    <w:rsid w:val="005F2706"/>
    <w:rsid w:val="005F3887"/>
    <w:rsid w:val="005F6A31"/>
    <w:rsid w:val="005F6A8F"/>
    <w:rsid w:val="005F7FC6"/>
    <w:rsid w:val="00603025"/>
    <w:rsid w:val="00603331"/>
    <w:rsid w:val="00607669"/>
    <w:rsid w:val="006078E0"/>
    <w:rsid w:val="006119E5"/>
    <w:rsid w:val="00612F97"/>
    <w:rsid w:val="006147E1"/>
    <w:rsid w:val="00616802"/>
    <w:rsid w:val="00617E12"/>
    <w:rsid w:val="00620A31"/>
    <w:rsid w:val="00621477"/>
    <w:rsid w:val="006215E7"/>
    <w:rsid w:val="00622212"/>
    <w:rsid w:val="00626D5A"/>
    <w:rsid w:val="00627AF2"/>
    <w:rsid w:val="0063163B"/>
    <w:rsid w:val="00631D6B"/>
    <w:rsid w:val="0063479F"/>
    <w:rsid w:val="006364A1"/>
    <w:rsid w:val="00637BFD"/>
    <w:rsid w:val="00641544"/>
    <w:rsid w:val="006471CC"/>
    <w:rsid w:val="00650736"/>
    <w:rsid w:val="0065079F"/>
    <w:rsid w:val="00653B2A"/>
    <w:rsid w:val="00653CBF"/>
    <w:rsid w:val="00654702"/>
    <w:rsid w:val="00656C48"/>
    <w:rsid w:val="00660271"/>
    <w:rsid w:val="006628F1"/>
    <w:rsid w:val="0066610E"/>
    <w:rsid w:val="00666E54"/>
    <w:rsid w:val="006725FB"/>
    <w:rsid w:val="00673518"/>
    <w:rsid w:val="00673E47"/>
    <w:rsid w:val="00674E42"/>
    <w:rsid w:val="00675D6A"/>
    <w:rsid w:val="00680CF3"/>
    <w:rsid w:val="00682112"/>
    <w:rsid w:val="00683B79"/>
    <w:rsid w:val="00685D6B"/>
    <w:rsid w:val="0068729A"/>
    <w:rsid w:val="00687A48"/>
    <w:rsid w:val="00690D12"/>
    <w:rsid w:val="006917A8"/>
    <w:rsid w:val="0069271D"/>
    <w:rsid w:val="00694F44"/>
    <w:rsid w:val="006A1228"/>
    <w:rsid w:val="006B0225"/>
    <w:rsid w:val="006B0FEF"/>
    <w:rsid w:val="006B3CD8"/>
    <w:rsid w:val="006B569E"/>
    <w:rsid w:val="006B56D3"/>
    <w:rsid w:val="006B7312"/>
    <w:rsid w:val="006C1C02"/>
    <w:rsid w:val="006C1F59"/>
    <w:rsid w:val="006C2A8E"/>
    <w:rsid w:val="006C4B56"/>
    <w:rsid w:val="006C63C2"/>
    <w:rsid w:val="006C66B8"/>
    <w:rsid w:val="006D0220"/>
    <w:rsid w:val="006D05C1"/>
    <w:rsid w:val="006D2364"/>
    <w:rsid w:val="006D2506"/>
    <w:rsid w:val="006D2A24"/>
    <w:rsid w:val="006D3C7D"/>
    <w:rsid w:val="006D67AD"/>
    <w:rsid w:val="006E329D"/>
    <w:rsid w:val="006F1E55"/>
    <w:rsid w:val="006F30AA"/>
    <w:rsid w:val="006F63A5"/>
    <w:rsid w:val="006F64BF"/>
    <w:rsid w:val="006F6D8A"/>
    <w:rsid w:val="006F7B9C"/>
    <w:rsid w:val="00700925"/>
    <w:rsid w:val="00701311"/>
    <w:rsid w:val="00701FE6"/>
    <w:rsid w:val="007020F0"/>
    <w:rsid w:val="0070276E"/>
    <w:rsid w:val="007029BC"/>
    <w:rsid w:val="007030FF"/>
    <w:rsid w:val="00703BA5"/>
    <w:rsid w:val="007045F1"/>
    <w:rsid w:val="00707EAE"/>
    <w:rsid w:val="00711A36"/>
    <w:rsid w:val="007130E9"/>
    <w:rsid w:val="00714B18"/>
    <w:rsid w:val="00716C84"/>
    <w:rsid w:val="007172AD"/>
    <w:rsid w:val="00722736"/>
    <w:rsid w:val="00722FC8"/>
    <w:rsid w:val="007243E3"/>
    <w:rsid w:val="007265FB"/>
    <w:rsid w:val="0073069F"/>
    <w:rsid w:val="00735328"/>
    <w:rsid w:val="00735433"/>
    <w:rsid w:val="00736336"/>
    <w:rsid w:val="0073685B"/>
    <w:rsid w:val="0074088E"/>
    <w:rsid w:val="007416E9"/>
    <w:rsid w:val="0074324F"/>
    <w:rsid w:val="00743977"/>
    <w:rsid w:val="00744B45"/>
    <w:rsid w:val="007467B6"/>
    <w:rsid w:val="007474AD"/>
    <w:rsid w:val="007521AB"/>
    <w:rsid w:val="00754B06"/>
    <w:rsid w:val="00754EE9"/>
    <w:rsid w:val="007614E3"/>
    <w:rsid w:val="00770BC6"/>
    <w:rsid w:val="00771BE1"/>
    <w:rsid w:val="0077339C"/>
    <w:rsid w:val="00774A2A"/>
    <w:rsid w:val="007768BB"/>
    <w:rsid w:val="007833A3"/>
    <w:rsid w:val="00784704"/>
    <w:rsid w:val="007854A0"/>
    <w:rsid w:val="0078552B"/>
    <w:rsid w:val="00785FFD"/>
    <w:rsid w:val="00786574"/>
    <w:rsid w:val="007867F2"/>
    <w:rsid w:val="00786F6D"/>
    <w:rsid w:val="0079205E"/>
    <w:rsid w:val="00795351"/>
    <w:rsid w:val="00795FBA"/>
    <w:rsid w:val="007968A4"/>
    <w:rsid w:val="0079700E"/>
    <w:rsid w:val="007A0E3F"/>
    <w:rsid w:val="007A30D5"/>
    <w:rsid w:val="007A37D1"/>
    <w:rsid w:val="007A4186"/>
    <w:rsid w:val="007A4434"/>
    <w:rsid w:val="007A4B25"/>
    <w:rsid w:val="007A5B06"/>
    <w:rsid w:val="007A5FC2"/>
    <w:rsid w:val="007B0146"/>
    <w:rsid w:val="007B09C4"/>
    <w:rsid w:val="007B09F3"/>
    <w:rsid w:val="007B251D"/>
    <w:rsid w:val="007B30F5"/>
    <w:rsid w:val="007B32C1"/>
    <w:rsid w:val="007B643E"/>
    <w:rsid w:val="007B77D1"/>
    <w:rsid w:val="007C7ED8"/>
    <w:rsid w:val="007D0B38"/>
    <w:rsid w:val="007D1204"/>
    <w:rsid w:val="007D4306"/>
    <w:rsid w:val="007D4F14"/>
    <w:rsid w:val="007E07AF"/>
    <w:rsid w:val="007E41A1"/>
    <w:rsid w:val="007E578B"/>
    <w:rsid w:val="007E5E20"/>
    <w:rsid w:val="007F1017"/>
    <w:rsid w:val="007F4A3F"/>
    <w:rsid w:val="007F7468"/>
    <w:rsid w:val="0080076C"/>
    <w:rsid w:val="008020FB"/>
    <w:rsid w:val="00805142"/>
    <w:rsid w:val="00807A8B"/>
    <w:rsid w:val="008107A3"/>
    <w:rsid w:val="00811692"/>
    <w:rsid w:val="00812149"/>
    <w:rsid w:val="008143EA"/>
    <w:rsid w:val="008152A7"/>
    <w:rsid w:val="00815B49"/>
    <w:rsid w:val="008166EF"/>
    <w:rsid w:val="00817FED"/>
    <w:rsid w:val="00821E75"/>
    <w:rsid w:val="00824960"/>
    <w:rsid w:val="0082637B"/>
    <w:rsid w:val="008264EB"/>
    <w:rsid w:val="00826E43"/>
    <w:rsid w:val="008326C7"/>
    <w:rsid w:val="00833869"/>
    <w:rsid w:val="0083739E"/>
    <w:rsid w:val="00840CA2"/>
    <w:rsid w:val="0084255C"/>
    <w:rsid w:val="008428A5"/>
    <w:rsid w:val="00845018"/>
    <w:rsid w:val="0084745E"/>
    <w:rsid w:val="00852270"/>
    <w:rsid w:val="00852AB7"/>
    <w:rsid w:val="00853CC9"/>
    <w:rsid w:val="0085514E"/>
    <w:rsid w:val="00855B44"/>
    <w:rsid w:val="0085692A"/>
    <w:rsid w:val="00856E9A"/>
    <w:rsid w:val="008621C5"/>
    <w:rsid w:val="0086279A"/>
    <w:rsid w:val="0086344F"/>
    <w:rsid w:val="00864CF3"/>
    <w:rsid w:val="008667CF"/>
    <w:rsid w:val="008720A9"/>
    <w:rsid w:val="0087434A"/>
    <w:rsid w:val="00875CB2"/>
    <w:rsid w:val="00880965"/>
    <w:rsid w:val="0088158B"/>
    <w:rsid w:val="00882874"/>
    <w:rsid w:val="00883787"/>
    <w:rsid w:val="00890423"/>
    <w:rsid w:val="00891751"/>
    <w:rsid w:val="00894F9A"/>
    <w:rsid w:val="0089592F"/>
    <w:rsid w:val="008963A5"/>
    <w:rsid w:val="00896982"/>
    <w:rsid w:val="0089792B"/>
    <w:rsid w:val="008A1EBF"/>
    <w:rsid w:val="008A23EC"/>
    <w:rsid w:val="008A2FE2"/>
    <w:rsid w:val="008A3C3E"/>
    <w:rsid w:val="008A5D90"/>
    <w:rsid w:val="008A6CAA"/>
    <w:rsid w:val="008A79DE"/>
    <w:rsid w:val="008B0113"/>
    <w:rsid w:val="008B094B"/>
    <w:rsid w:val="008B205C"/>
    <w:rsid w:val="008B2971"/>
    <w:rsid w:val="008B3C14"/>
    <w:rsid w:val="008B6CF2"/>
    <w:rsid w:val="008B6DFF"/>
    <w:rsid w:val="008B7D7E"/>
    <w:rsid w:val="008C31A8"/>
    <w:rsid w:val="008C3E74"/>
    <w:rsid w:val="008C4F36"/>
    <w:rsid w:val="008C6E25"/>
    <w:rsid w:val="008C76DD"/>
    <w:rsid w:val="008C7ECB"/>
    <w:rsid w:val="008D0899"/>
    <w:rsid w:val="008D1FB5"/>
    <w:rsid w:val="008D3CF5"/>
    <w:rsid w:val="008D70C3"/>
    <w:rsid w:val="008D7437"/>
    <w:rsid w:val="008E1B9E"/>
    <w:rsid w:val="008E3C58"/>
    <w:rsid w:val="008E3E49"/>
    <w:rsid w:val="008F014E"/>
    <w:rsid w:val="008F20CF"/>
    <w:rsid w:val="008F21E4"/>
    <w:rsid w:val="008F48EB"/>
    <w:rsid w:val="008F4F0B"/>
    <w:rsid w:val="008F4F33"/>
    <w:rsid w:val="008F54B6"/>
    <w:rsid w:val="008F69E2"/>
    <w:rsid w:val="008F6C5F"/>
    <w:rsid w:val="0090128D"/>
    <w:rsid w:val="009035D1"/>
    <w:rsid w:val="00905296"/>
    <w:rsid w:val="009062A5"/>
    <w:rsid w:val="00906598"/>
    <w:rsid w:val="00911272"/>
    <w:rsid w:val="00913D4A"/>
    <w:rsid w:val="00916D5F"/>
    <w:rsid w:val="00917072"/>
    <w:rsid w:val="009176D6"/>
    <w:rsid w:val="00920768"/>
    <w:rsid w:val="009217CF"/>
    <w:rsid w:val="009236CB"/>
    <w:rsid w:val="00924CA7"/>
    <w:rsid w:val="00925048"/>
    <w:rsid w:val="009273B3"/>
    <w:rsid w:val="009301A9"/>
    <w:rsid w:val="00930677"/>
    <w:rsid w:val="0093204B"/>
    <w:rsid w:val="009321B2"/>
    <w:rsid w:val="00932622"/>
    <w:rsid w:val="0093352D"/>
    <w:rsid w:val="00933944"/>
    <w:rsid w:val="00933C48"/>
    <w:rsid w:val="009350D3"/>
    <w:rsid w:val="009418B8"/>
    <w:rsid w:val="00943444"/>
    <w:rsid w:val="009472B8"/>
    <w:rsid w:val="0095657E"/>
    <w:rsid w:val="009574B1"/>
    <w:rsid w:val="00960B54"/>
    <w:rsid w:val="00961967"/>
    <w:rsid w:val="00961AF9"/>
    <w:rsid w:val="00962AEC"/>
    <w:rsid w:val="00962CB9"/>
    <w:rsid w:val="00964312"/>
    <w:rsid w:val="00964E19"/>
    <w:rsid w:val="009713D2"/>
    <w:rsid w:val="00971825"/>
    <w:rsid w:val="00972166"/>
    <w:rsid w:val="00973947"/>
    <w:rsid w:val="00977A3F"/>
    <w:rsid w:val="0098002F"/>
    <w:rsid w:val="00983E57"/>
    <w:rsid w:val="0098658B"/>
    <w:rsid w:val="009873CE"/>
    <w:rsid w:val="00990BB2"/>
    <w:rsid w:val="00990CC7"/>
    <w:rsid w:val="009913A5"/>
    <w:rsid w:val="009928F8"/>
    <w:rsid w:val="00992A04"/>
    <w:rsid w:val="00993CFB"/>
    <w:rsid w:val="00994A34"/>
    <w:rsid w:val="00996B1A"/>
    <w:rsid w:val="009974C7"/>
    <w:rsid w:val="009A0C62"/>
    <w:rsid w:val="009A30D6"/>
    <w:rsid w:val="009A576F"/>
    <w:rsid w:val="009A5EA7"/>
    <w:rsid w:val="009A66DE"/>
    <w:rsid w:val="009B3E26"/>
    <w:rsid w:val="009B7D49"/>
    <w:rsid w:val="009C00D0"/>
    <w:rsid w:val="009C1876"/>
    <w:rsid w:val="009C3237"/>
    <w:rsid w:val="009C4CDB"/>
    <w:rsid w:val="009C55AB"/>
    <w:rsid w:val="009C6BA2"/>
    <w:rsid w:val="009C789B"/>
    <w:rsid w:val="009C7E72"/>
    <w:rsid w:val="009D2ECB"/>
    <w:rsid w:val="009D3C10"/>
    <w:rsid w:val="009D4E42"/>
    <w:rsid w:val="009D5B91"/>
    <w:rsid w:val="009E0F31"/>
    <w:rsid w:val="009E16C6"/>
    <w:rsid w:val="009E227F"/>
    <w:rsid w:val="009E321C"/>
    <w:rsid w:val="009E3B05"/>
    <w:rsid w:val="009E4C07"/>
    <w:rsid w:val="009E4CE2"/>
    <w:rsid w:val="009E5474"/>
    <w:rsid w:val="009E7F57"/>
    <w:rsid w:val="009F08DA"/>
    <w:rsid w:val="009F1ACD"/>
    <w:rsid w:val="009F2630"/>
    <w:rsid w:val="009F3A9C"/>
    <w:rsid w:val="009F5E57"/>
    <w:rsid w:val="009F64BF"/>
    <w:rsid w:val="009F6A34"/>
    <w:rsid w:val="00A01989"/>
    <w:rsid w:val="00A024B8"/>
    <w:rsid w:val="00A03D43"/>
    <w:rsid w:val="00A04380"/>
    <w:rsid w:val="00A05E19"/>
    <w:rsid w:val="00A068DD"/>
    <w:rsid w:val="00A10695"/>
    <w:rsid w:val="00A119D9"/>
    <w:rsid w:val="00A13948"/>
    <w:rsid w:val="00A14FA5"/>
    <w:rsid w:val="00A17017"/>
    <w:rsid w:val="00A23AD5"/>
    <w:rsid w:val="00A23D47"/>
    <w:rsid w:val="00A23E91"/>
    <w:rsid w:val="00A27AEC"/>
    <w:rsid w:val="00A30F52"/>
    <w:rsid w:val="00A31308"/>
    <w:rsid w:val="00A315F3"/>
    <w:rsid w:val="00A31A60"/>
    <w:rsid w:val="00A32132"/>
    <w:rsid w:val="00A331BC"/>
    <w:rsid w:val="00A349F4"/>
    <w:rsid w:val="00A35D16"/>
    <w:rsid w:val="00A40B03"/>
    <w:rsid w:val="00A415B5"/>
    <w:rsid w:val="00A43C59"/>
    <w:rsid w:val="00A4474D"/>
    <w:rsid w:val="00A47A74"/>
    <w:rsid w:val="00A50ECD"/>
    <w:rsid w:val="00A52729"/>
    <w:rsid w:val="00A53675"/>
    <w:rsid w:val="00A541DF"/>
    <w:rsid w:val="00A546C9"/>
    <w:rsid w:val="00A54DB0"/>
    <w:rsid w:val="00A55C4A"/>
    <w:rsid w:val="00A56B6A"/>
    <w:rsid w:val="00A578DC"/>
    <w:rsid w:val="00A602DD"/>
    <w:rsid w:val="00A66822"/>
    <w:rsid w:val="00A66F8C"/>
    <w:rsid w:val="00A6725B"/>
    <w:rsid w:val="00A6733C"/>
    <w:rsid w:val="00A67A02"/>
    <w:rsid w:val="00A71145"/>
    <w:rsid w:val="00A713B1"/>
    <w:rsid w:val="00A72431"/>
    <w:rsid w:val="00A739BA"/>
    <w:rsid w:val="00A74166"/>
    <w:rsid w:val="00A810B3"/>
    <w:rsid w:val="00A824CE"/>
    <w:rsid w:val="00A83904"/>
    <w:rsid w:val="00A86409"/>
    <w:rsid w:val="00A86E8B"/>
    <w:rsid w:val="00A9021D"/>
    <w:rsid w:val="00A902ED"/>
    <w:rsid w:val="00A9031E"/>
    <w:rsid w:val="00A926AF"/>
    <w:rsid w:val="00A93072"/>
    <w:rsid w:val="00A93C4D"/>
    <w:rsid w:val="00A9453C"/>
    <w:rsid w:val="00A9627D"/>
    <w:rsid w:val="00A97E9B"/>
    <w:rsid w:val="00AA0A07"/>
    <w:rsid w:val="00AA149C"/>
    <w:rsid w:val="00AB042A"/>
    <w:rsid w:val="00AB261C"/>
    <w:rsid w:val="00AB2D4E"/>
    <w:rsid w:val="00AB3430"/>
    <w:rsid w:val="00AB3634"/>
    <w:rsid w:val="00AB3836"/>
    <w:rsid w:val="00AB3C41"/>
    <w:rsid w:val="00AB5716"/>
    <w:rsid w:val="00AB65A7"/>
    <w:rsid w:val="00AB6A03"/>
    <w:rsid w:val="00AB7CFA"/>
    <w:rsid w:val="00AC12FD"/>
    <w:rsid w:val="00AC617A"/>
    <w:rsid w:val="00AC6B0F"/>
    <w:rsid w:val="00AC7A17"/>
    <w:rsid w:val="00AC7F48"/>
    <w:rsid w:val="00AD281A"/>
    <w:rsid w:val="00AD2F5C"/>
    <w:rsid w:val="00AD613C"/>
    <w:rsid w:val="00AD6B89"/>
    <w:rsid w:val="00AF04AB"/>
    <w:rsid w:val="00AF15D4"/>
    <w:rsid w:val="00AF5B70"/>
    <w:rsid w:val="00AF7265"/>
    <w:rsid w:val="00B0457C"/>
    <w:rsid w:val="00B07341"/>
    <w:rsid w:val="00B1078F"/>
    <w:rsid w:val="00B11CEA"/>
    <w:rsid w:val="00B12096"/>
    <w:rsid w:val="00B13659"/>
    <w:rsid w:val="00B140F1"/>
    <w:rsid w:val="00B14D52"/>
    <w:rsid w:val="00B17EB9"/>
    <w:rsid w:val="00B24739"/>
    <w:rsid w:val="00B25814"/>
    <w:rsid w:val="00B25B10"/>
    <w:rsid w:val="00B3054A"/>
    <w:rsid w:val="00B30770"/>
    <w:rsid w:val="00B373C4"/>
    <w:rsid w:val="00B3764D"/>
    <w:rsid w:val="00B4013F"/>
    <w:rsid w:val="00B41118"/>
    <w:rsid w:val="00B41C15"/>
    <w:rsid w:val="00B42851"/>
    <w:rsid w:val="00B456BE"/>
    <w:rsid w:val="00B45AB9"/>
    <w:rsid w:val="00B46E43"/>
    <w:rsid w:val="00B4737C"/>
    <w:rsid w:val="00B47B95"/>
    <w:rsid w:val="00B5453A"/>
    <w:rsid w:val="00B54B5B"/>
    <w:rsid w:val="00B5562E"/>
    <w:rsid w:val="00B57000"/>
    <w:rsid w:val="00B608CF"/>
    <w:rsid w:val="00B60939"/>
    <w:rsid w:val="00B60AFD"/>
    <w:rsid w:val="00B62715"/>
    <w:rsid w:val="00B62B07"/>
    <w:rsid w:val="00B64512"/>
    <w:rsid w:val="00B64725"/>
    <w:rsid w:val="00B71079"/>
    <w:rsid w:val="00B76174"/>
    <w:rsid w:val="00B77A3A"/>
    <w:rsid w:val="00B77ECE"/>
    <w:rsid w:val="00B80A61"/>
    <w:rsid w:val="00B818A4"/>
    <w:rsid w:val="00B837C1"/>
    <w:rsid w:val="00B8649C"/>
    <w:rsid w:val="00B919BB"/>
    <w:rsid w:val="00B919D0"/>
    <w:rsid w:val="00B927A7"/>
    <w:rsid w:val="00B92D0B"/>
    <w:rsid w:val="00B93B75"/>
    <w:rsid w:val="00B94945"/>
    <w:rsid w:val="00B96506"/>
    <w:rsid w:val="00B974B8"/>
    <w:rsid w:val="00BA4DBD"/>
    <w:rsid w:val="00BA7DB5"/>
    <w:rsid w:val="00BB01FD"/>
    <w:rsid w:val="00BB6B1B"/>
    <w:rsid w:val="00BC0614"/>
    <w:rsid w:val="00BC14BC"/>
    <w:rsid w:val="00BC1D0F"/>
    <w:rsid w:val="00BC2515"/>
    <w:rsid w:val="00BC2CE1"/>
    <w:rsid w:val="00BC3670"/>
    <w:rsid w:val="00BC36B7"/>
    <w:rsid w:val="00BD3758"/>
    <w:rsid w:val="00BD5216"/>
    <w:rsid w:val="00BE2180"/>
    <w:rsid w:val="00BE4275"/>
    <w:rsid w:val="00BF0EAB"/>
    <w:rsid w:val="00BF23ED"/>
    <w:rsid w:val="00BF2433"/>
    <w:rsid w:val="00BF5802"/>
    <w:rsid w:val="00BF61C9"/>
    <w:rsid w:val="00BF7473"/>
    <w:rsid w:val="00C0318C"/>
    <w:rsid w:val="00C0691D"/>
    <w:rsid w:val="00C12847"/>
    <w:rsid w:val="00C143AC"/>
    <w:rsid w:val="00C14EE8"/>
    <w:rsid w:val="00C1589F"/>
    <w:rsid w:val="00C16EC4"/>
    <w:rsid w:val="00C171D5"/>
    <w:rsid w:val="00C17AE4"/>
    <w:rsid w:val="00C206C6"/>
    <w:rsid w:val="00C210BA"/>
    <w:rsid w:val="00C24F45"/>
    <w:rsid w:val="00C25418"/>
    <w:rsid w:val="00C25D9C"/>
    <w:rsid w:val="00C25EA3"/>
    <w:rsid w:val="00C307CC"/>
    <w:rsid w:val="00C31649"/>
    <w:rsid w:val="00C3252D"/>
    <w:rsid w:val="00C32B39"/>
    <w:rsid w:val="00C3328B"/>
    <w:rsid w:val="00C34BCC"/>
    <w:rsid w:val="00C36E5E"/>
    <w:rsid w:val="00C40385"/>
    <w:rsid w:val="00C41D9A"/>
    <w:rsid w:val="00C43064"/>
    <w:rsid w:val="00C45335"/>
    <w:rsid w:val="00C45842"/>
    <w:rsid w:val="00C46C19"/>
    <w:rsid w:val="00C4713A"/>
    <w:rsid w:val="00C51621"/>
    <w:rsid w:val="00C532D9"/>
    <w:rsid w:val="00C555D2"/>
    <w:rsid w:val="00C57198"/>
    <w:rsid w:val="00C575CA"/>
    <w:rsid w:val="00C61D68"/>
    <w:rsid w:val="00C63C22"/>
    <w:rsid w:val="00C65576"/>
    <w:rsid w:val="00C66165"/>
    <w:rsid w:val="00C709D7"/>
    <w:rsid w:val="00C71CBF"/>
    <w:rsid w:val="00C755E1"/>
    <w:rsid w:val="00C76630"/>
    <w:rsid w:val="00C8213F"/>
    <w:rsid w:val="00C82807"/>
    <w:rsid w:val="00C83793"/>
    <w:rsid w:val="00C84817"/>
    <w:rsid w:val="00C8797A"/>
    <w:rsid w:val="00C87AED"/>
    <w:rsid w:val="00C938CF"/>
    <w:rsid w:val="00C942CC"/>
    <w:rsid w:val="00C9608E"/>
    <w:rsid w:val="00CA4A12"/>
    <w:rsid w:val="00CA4FCE"/>
    <w:rsid w:val="00CA5245"/>
    <w:rsid w:val="00CA597F"/>
    <w:rsid w:val="00CA6CE0"/>
    <w:rsid w:val="00CA7B09"/>
    <w:rsid w:val="00CB0151"/>
    <w:rsid w:val="00CB4F06"/>
    <w:rsid w:val="00CB5B1A"/>
    <w:rsid w:val="00CB5F47"/>
    <w:rsid w:val="00CB655B"/>
    <w:rsid w:val="00CB6E8B"/>
    <w:rsid w:val="00CB7741"/>
    <w:rsid w:val="00CC21B7"/>
    <w:rsid w:val="00CC238E"/>
    <w:rsid w:val="00CC2E61"/>
    <w:rsid w:val="00CD0CB3"/>
    <w:rsid w:val="00CD0F49"/>
    <w:rsid w:val="00CD212B"/>
    <w:rsid w:val="00CD4E35"/>
    <w:rsid w:val="00CD6ADC"/>
    <w:rsid w:val="00CD72AC"/>
    <w:rsid w:val="00CD740D"/>
    <w:rsid w:val="00CD7AEC"/>
    <w:rsid w:val="00CE0633"/>
    <w:rsid w:val="00CE0708"/>
    <w:rsid w:val="00CE2B87"/>
    <w:rsid w:val="00CE3AA4"/>
    <w:rsid w:val="00CE6274"/>
    <w:rsid w:val="00CE67F8"/>
    <w:rsid w:val="00CF0C53"/>
    <w:rsid w:val="00CF2B33"/>
    <w:rsid w:val="00CF456B"/>
    <w:rsid w:val="00CF4626"/>
    <w:rsid w:val="00CF52A4"/>
    <w:rsid w:val="00CF5A22"/>
    <w:rsid w:val="00CF6585"/>
    <w:rsid w:val="00CF69D4"/>
    <w:rsid w:val="00CF7839"/>
    <w:rsid w:val="00D019E7"/>
    <w:rsid w:val="00D0262E"/>
    <w:rsid w:val="00D03000"/>
    <w:rsid w:val="00D04C42"/>
    <w:rsid w:val="00D06055"/>
    <w:rsid w:val="00D06FD4"/>
    <w:rsid w:val="00D10F1D"/>
    <w:rsid w:val="00D110BD"/>
    <w:rsid w:val="00D12AF5"/>
    <w:rsid w:val="00D1358C"/>
    <w:rsid w:val="00D15AAC"/>
    <w:rsid w:val="00D15D6B"/>
    <w:rsid w:val="00D16346"/>
    <w:rsid w:val="00D17D6C"/>
    <w:rsid w:val="00D200AF"/>
    <w:rsid w:val="00D201A4"/>
    <w:rsid w:val="00D2025B"/>
    <w:rsid w:val="00D21351"/>
    <w:rsid w:val="00D26C54"/>
    <w:rsid w:val="00D27989"/>
    <w:rsid w:val="00D32DC5"/>
    <w:rsid w:val="00D34A39"/>
    <w:rsid w:val="00D34AF4"/>
    <w:rsid w:val="00D4054C"/>
    <w:rsid w:val="00D44545"/>
    <w:rsid w:val="00D44A13"/>
    <w:rsid w:val="00D4621F"/>
    <w:rsid w:val="00D46AD1"/>
    <w:rsid w:val="00D46BF5"/>
    <w:rsid w:val="00D471C3"/>
    <w:rsid w:val="00D52ACC"/>
    <w:rsid w:val="00D545A5"/>
    <w:rsid w:val="00D55C29"/>
    <w:rsid w:val="00D55FE0"/>
    <w:rsid w:val="00D56CE6"/>
    <w:rsid w:val="00D61A42"/>
    <w:rsid w:val="00D652BD"/>
    <w:rsid w:val="00D66517"/>
    <w:rsid w:val="00D71966"/>
    <w:rsid w:val="00D72261"/>
    <w:rsid w:val="00D76A44"/>
    <w:rsid w:val="00D772F5"/>
    <w:rsid w:val="00D81594"/>
    <w:rsid w:val="00D8188A"/>
    <w:rsid w:val="00D81EA2"/>
    <w:rsid w:val="00D82E3B"/>
    <w:rsid w:val="00D86FFD"/>
    <w:rsid w:val="00D91440"/>
    <w:rsid w:val="00D926A7"/>
    <w:rsid w:val="00D93753"/>
    <w:rsid w:val="00D963F8"/>
    <w:rsid w:val="00D9750C"/>
    <w:rsid w:val="00D97FFC"/>
    <w:rsid w:val="00DA0D4A"/>
    <w:rsid w:val="00DA4EAD"/>
    <w:rsid w:val="00DA56F3"/>
    <w:rsid w:val="00DA6790"/>
    <w:rsid w:val="00DA77A5"/>
    <w:rsid w:val="00DB0448"/>
    <w:rsid w:val="00DB6D03"/>
    <w:rsid w:val="00DB6E82"/>
    <w:rsid w:val="00DB74CE"/>
    <w:rsid w:val="00DC1C1F"/>
    <w:rsid w:val="00DC1D64"/>
    <w:rsid w:val="00DC227A"/>
    <w:rsid w:val="00DC38CC"/>
    <w:rsid w:val="00DC4B1D"/>
    <w:rsid w:val="00DC5501"/>
    <w:rsid w:val="00DC5C0E"/>
    <w:rsid w:val="00DC6160"/>
    <w:rsid w:val="00DC77CE"/>
    <w:rsid w:val="00DD0147"/>
    <w:rsid w:val="00DD086C"/>
    <w:rsid w:val="00DD0A88"/>
    <w:rsid w:val="00DD1818"/>
    <w:rsid w:val="00DD2072"/>
    <w:rsid w:val="00DD3262"/>
    <w:rsid w:val="00DD38E7"/>
    <w:rsid w:val="00DD3A31"/>
    <w:rsid w:val="00DD3F28"/>
    <w:rsid w:val="00DD4537"/>
    <w:rsid w:val="00DD4E15"/>
    <w:rsid w:val="00DD6B50"/>
    <w:rsid w:val="00DD7CF0"/>
    <w:rsid w:val="00DE01E8"/>
    <w:rsid w:val="00DE15A8"/>
    <w:rsid w:val="00DE3340"/>
    <w:rsid w:val="00DE33A2"/>
    <w:rsid w:val="00DE4FCB"/>
    <w:rsid w:val="00DE5253"/>
    <w:rsid w:val="00DE559E"/>
    <w:rsid w:val="00DE6DA3"/>
    <w:rsid w:val="00DF2BE5"/>
    <w:rsid w:val="00DF7249"/>
    <w:rsid w:val="00E01644"/>
    <w:rsid w:val="00E06EBF"/>
    <w:rsid w:val="00E0724A"/>
    <w:rsid w:val="00E07713"/>
    <w:rsid w:val="00E10149"/>
    <w:rsid w:val="00E11BF8"/>
    <w:rsid w:val="00E126F0"/>
    <w:rsid w:val="00E16372"/>
    <w:rsid w:val="00E172B0"/>
    <w:rsid w:val="00E20ED6"/>
    <w:rsid w:val="00E21358"/>
    <w:rsid w:val="00E21F74"/>
    <w:rsid w:val="00E2249B"/>
    <w:rsid w:val="00E229C3"/>
    <w:rsid w:val="00E2522E"/>
    <w:rsid w:val="00E2771E"/>
    <w:rsid w:val="00E31B73"/>
    <w:rsid w:val="00E322A0"/>
    <w:rsid w:val="00E35CB8"/>
    <w:rsid w:val="00E36042"/>
    <w:rsid w:val="00E36B63"/>
    <w:rsid w:val="00E37569"/>
    <w:rsid w:val="00E41E30"/>
    <w:rsid w:val="00E469F4"/>
    <w:rsid w:val="00E46E8D"/>
    <w:rsid w:val="00E47B2C"/>
    <w:rsid w:val="00E50C0E"/>
    <w:rsid w:val="00E5210D"/>
    <w:rsid w:val="00E53CAD"/>
    <w:rsid w:val="00E55424"/>
    <w:rsid w:val="00E56A58"/>
    <w:rsid w:val="00E56D2E"/>
    <w:rsid w:val="00E63EB1"/>
    <w:rsid w:val="00E641A3"/>
    <w:rsid w:val="00E64328"/>
    <w:rsid w:val="00E655AE"/>
    <w:rsid w:val="00E65E79"/>
    <w:rsid w:val="00E662A9"/>
    <w:rsid w:val="00E67416"/>
    <w:rsid w:val="00E700DF"/>
    <w:rsid w:val="00E70446"/>
    <w:rsid w:val="00E718B6"/>
    <w:rsid w:val="00E73581"/>
    <w:rsid w:val="00E771F8"/>
    <w:rsid w:val="00E7777D"/>
    <w:rsid w:val="00E808B2"/>
    <w:rsid w:val="00E8200B"/>
    <w:rsid w:val="00E82C28"/>
    <w:rsid w:val="00E83BDF"/>
    <w:rsid w:val="00E87326"/>
    <w:rsid w:val="00E91F9F"/>
    <w:rsid w:val="00E93DD1"/>
    <w:rsid w:val="00E950F4"/>
    <w:rsid w:val="00E95882"/>
    <w:rsid w:val="00EA2F8D"/>
    <w:rsid w:val="00EA335C"/>
    <w:rsid w:val="00EA3864"/>
    <w:rsid w:val="00EA4215"/>
    <w:rsid w:val="00EA7A0D"/>
    <w:rsid w:val="00EB563A"/>
    <w:rsid w:val="00EB5CB9"/>
    <w:rsid w:val="00EB5D7C"/>
    <w:rsid w:val="00EB6101"/>
    <w:rsid w:val="00EC00C9"/>
    <w:rsid w:val="00EC05F0"/>
    <w:rsid w:val="00EC136A"/>
    <w:rsid w:val="00EC16EF"/>
    <w:rsid w:val="00EC20F1"/>
    <w:rsid w:val="00EC21CA"/>
    <w:rsid w:val="00EC2BED"/>
    <w:rsid w:val="00EC3474"/>
    <w:rsid w:val="00EC3B2A"/>
    <w:rsid w:val="00EC4328"/>
    <w:rsid w:val="00ED05B3"/>
    <w:rsid w:val="00ED2596"/>
    <w:rsid w:val="00ED5ED1"/>
    <w:rsid w:val="00ED7C78"/>
    <w:rsid w:val="00EE07D3"/>
    <w:rsid w:val="00EE0FEE"/>
    <w:rsid w:val="00EE1C41"/>
    <w:rsid w:val="00EE393F"/>
    <w:rsid w:val="00EE61A5"/>
    <w:rsid w:val="00EE66A8"/>
    <w:rsid w:val="00EE6FF7"/>
    <w:rsid w:val="00EE77A7"/>
    <w:rsid w:val="00EF0966"/>
    <w:rsid w:val="00EF0A2E"/>
    <w:rsid w:val="00EF238F"/>
    <w:rsid w:val="00EF7C5C"/>
    <w:rsid w:val="00F00003"/>
    <w:rsid w:val="00F00A90"/>
    <w:rsid w:val="00F058C9"/>
    <w:rsid w:val="00F067A2"/>
    <w:rsid w:val="00F0694E"/>
    <w:rsid w:val="00F07FF1"/>
    <w:rsid w:val="00F104BB"/>
    <w:rsid w:val="00F10FDA"/>
    <w:rsid w:val="00F11115"/>
    <w:rsid w:val="00F118F0"/>
    <w:rsid w:val="00F11C9A"/>
    <w:rsid w:val="00F12627"/>
    <w:rsid w:val="00F137CA"/>
    <w:rsid w:val="00F13DF0"/>
    <w:rsid w:val="00F17C9C"/>
    <w:rsid w:val="00F21247"/>
    <w:rsid w:val="00F245A3"/>
    <w:rsid w:val="00F24837"/>
    <w:rsid w:val="00F25321"/>
    <w:rsid w:val="00F2575F"/>
    <w:rsid w:val="00F2788D"/>
    <w:rsid w:val="00F320E1"/>
    <w:rsid w:val="00F32FBD"/>
    <w:rsid w:val="00F338FF"/>
    <w:rsid w:val="00F33DE9"/>
    <w:rsid w:val="00F35155"/>
    <w:rsid w:val="00F35F2C"/>
    <w:rsid w:val="00F3619A"/>
    <w:rsid w:val="00F36744"/>
    <w:rsid w:val="00F37DB4"/>
    <w:rsid w:val="00F42805"/>
    <w:rsid w:val="00F429BB"/>
    <w:rsid w:val="00F42C00"/>
    <w:rsid w:val="00F435CE"/>
    <w:rsid w:val="00F44998"/>
    <w:rsid w:val="00F46CB6"/>
    <w:rsid w:val="00F54328"/>
    <w:rsid w:val="00F5439B"/>
    <w:rsid w:val="00F55E73"/>
    <w:rsid w:val="00F61AFA"/>
    <w:rsid w:val="00F62251"/>
    <w:rsid w:val="00F6412E"/>
    <w:rsid w:val="00F70ABD"/>
    <w:rsid w:val="00F71437"/>
    <w:rsid w:val="00F7591E"/>
    <w:rsid w:val="00F77B75"/>
    <w:rsid w:val="00F80354"/>
    <w:rsid w:val="00F80438"/>
    <w:rsid w:val="00F80E5D"/>
    <w:rsid w:val="00F828EF"/>
    <w:rsid w:val="00F82A4C"/>
    <w:rsid w:val="00F848AA"/>
    <w:rsid w:val="00F84A5D"/>
    <w:rsid w:val="00F851CE"/>
    <w:rsid w:val="00F87D05"/>
    <w:rsid w:val="00F91E5D"/>
    <w:rsid w:val="00F92AA8"/>
    <w:rsid w:val="00F962F4"/>
    <w:rsid w:val="00F97A78"/>
    <w:rsid w:val="00F97FF3"/>
    <w:rsid w:val="00FA041E"/>
    <w:rsid w:val="00FA0FF3"/>
    <w:rsid w:val="00FA1F13"/>
    <w:rsid w:val="00FA3F02"/>
    <w:rsid w:val="00FA429F"/>
    <w:rsid w:val="00FA4F4B"/>
    <w:rsid w:val="00FA5DDF"/>
    <w:rsid w:val="00FB03B3"/>
    <w:rsid w:val="00FB2506"/>
    <w:rsid w:val="00FB2577"/>
    <w:rsid w:val="00FB2C14"/>
    <w:rsid w:val="00FB2D8E"/>
    <w:rsid w:val="00FB2FCB"/>
    <w:rsid w:val="00FB77E5"/>
    <w:rsid w:val="00FC1074"/>
    <w:rsid w:val="00FC1884"/>
    <w:rsid w:val="00FC2869"/>
    <w:rsid w:val="00FC3397"/>
    <w:rsid w:val="00FC353B"/>
    <w:rsid w:val="00FC4370"/>
    <w:rsid w:val="00FC707C"/>
    <w:rsid w:val="00FC74C9"/>
    <w:rsid w:val="00FC75CD"/>
    <w:rsid w:val="00FD2100"/>
    <w:rsid w:val="00FD2D2A"/>
    <w:rsid w:val="00FD396A"/>
    <w:rsid w:val="00FD446D"/>
    <w:rsid w:val="00FD59C3"/>
    <w:rsid w:val="00FD6E0F"/>
    <w:rsid w:val="00FE3838"/>
    <w:rsid w:val="00FE4872"/>
    <w:rsid w:val="00FE4B08"/>
    <w:rsid w:val="00FE70B2"/>
    <w:rsid w:val="00FF1AEA"/>
    <w:rsid w:val="00FF2B66"/>
    <w:rsid w:val="00FF3036"/>
    <w:rsid w:val="00FF3DCF"/>
    <w:rsid w:val="00FF4CEF"/>
    <w:rsid w:val="00FF5AA3"/>
    <w:rsid w:val="00FF5B14"/>
    <w:rsid w:val="00FF5FDF"/>
    <w:rsid w:val="00FF6B0A"/>
    <w:rsid w:val="00FF70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64A56"/>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464A56"/>
    <w:pPr>
      <w:outlineLvl w:val="0"/>
    </w:pPr>
    <w:rPr>
      <w:rFonts w:ascii="Arial Bold" w:hAnsi="Arial Bold"/>
      <w:b/>
    </w:rPr>
  </w:style>
  <w:style w:type="paragraph" w:styleId="Heading2">
    <w:name w:val="heading 2"/>
    <w:basedOn w:val="Normal"/>
    <w:next w:val="Normal"/>
    <w:link w:val="Heading2Char"/>
    <w:qFormat/>
    <w:rsid w:val="009E321C"/>
    <w:pPr>
      <w:outlineLvl w:val="1"/>
    </w:pPr>
    <w:rPr>
      <w:b/>
      <w:bCs/>
      <w:i/>
      <w:szCs w:val="22"/>
    </w:rPr>
  </w:style>
  <w:style w:type="paragraph" w:styleId="Heading3">
    <w:name w:val="heading 3"/>
    <w:aliases w:val="H3,Don 3,Heading 3x,p3 Char"/>
    <w:basedOn w:val="Normal"/>
    <w:next w:val="Normal"/>
    <w:rsid w:val="001F7361"/>
    <w:pPr>
      <w:outlineLvl w:val="2"/>
    </w:pPr>
    <w:rPr>
      <w:u w:val="single"/>
    </w:rPr>
  </w:style>
  <w:style w:type="paragraph" w:styleId="Heading4">
    <w:name w:val="heading 4"/>
    <w:aliases w:val="p4,H4"/>
    <w:basedOn w:val="Normal"/>
    <w:next w:val="Normal"/>
    <w:qFormat/>
    <w:rsid w:val="00124A51"/>
    <w:pPr>
      <w:keepNext/>
      <w:spacing w:before="240" w:after="60"/>
      <w:outlineLvl w:val="3"/>
    </w:pPr>
    <w:rPr>
      <w:b/>
      <w:bCs/>
      <w:i/>
      <w:sz w:val="26"/>
      <w:szCs w:val="28"/>
    </w:rPr>
  </w:style>
  <w:style w:type="paragraph" w:styleId="Heading5">
    <w:name w:val="heading 5"/>
    <w:aliases w:val=" DO NOT USE,p5"/>
    <w:basedOn w:val="Normal"/>
    <w:next w:val="Normal"/>
    <w:qFormat/>
    <w:rsid w:val="00124A51"/>
    <w:pPr>
      <w:spacing w:before="240" w:after="60"/>
      <w:outlineLvl w:val="4"/>
    </w:pPr>
    <w:rPr>
      <w:b/>
      <w:bCs/>
      <w:iCs/>
      <w:sz w:val="26"/>
      <w:szCs w:val="26"/>
    </w:rPr>
  </w:style>
  <w:style w:type="paragraph" w:styleId="Heading6">
    <w:name w:val="heading 6"/>
    <w:aliases w:val="DO NOT USE,DO NOT USE4"/>
    <w:basedOn w:val="Normal"/>
    <w:next w:val="Normal"/>
    <w:qFormat/>
    <w:rsid w:val="00124A51"/>
    <w:pPr>
      <w:spacing w:before="240" w:after="60"/>
      <w:outlineLvl w:val="5"/>
    </w:pPr>
    <w:rPr>
      <w:b/>
      <w:bCs/>
      <w:i/>
      <w:szCs w:val="22"/>
    </w:rPr>
  </w:style>
  <w:style w:type="paragraph" w:styleId="Heading7">
    <w:name w:val="heading 7"/>
    <w:aliases w:val="DO NOT USE3,DO NOT USE31"/>
    <w:basedOn w:val="Normal"/>
    <w:next w:val="Normal"/>
    <w:link w:val="Heading7Char"/>
    <w:qFormat/>
    <w:rsid w:val="00124A51"/>
    <w:pPr>
      <w:keepNext/>
      <w:jc w:val="center"/>
      <w:outlineLvl w:val="6"/>
    </w:pPr>
    <w:rPr>
      <w:b/>
      <w:sz w:val="20"/>
    </w:rPr>
  </w:style>
  <w:style w:type="paragraph" w:styleId="Heading8">
    <w:name w:val="heading 8"/>
    <w:aliases w:val="DO NOT USE2,DO NOT USE21"/>
    <w:basedOn w:val="Normal"/>
    <w:next w:val="Normal"/>
    <w:link w:val="Heading8Char"/>
    <w:qFormat/>
    <w:rsid w:val="00124A51"/>
    <w:pPr>
      <w:keepNext/>
      <w:jc w:val="right"/>
      <w:outlineLvl w:val="7"/>
    </w:pPr>
    <w:rPr>
      <w:b/>
    </w:rPr>
  </w:style>
  <w:style w:type="paragraph" w:styleId="Heading9">
    <w:name w:val="heading 9"/>
    <w:aliases w:val="DO NOT USE1,DO NOT USE11,Study Question"/>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uiPriority w:val="4"/>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9E321C"/>
    <w:rPr>
      <w:rFonts w:ascii="Arial" w:hAnsi="Arial" w:cs="Arial"/>
      <w:b/>
      <w:bCs/>
      <w:i/>
      <w:snapToGrid w:val="0"/>
      <w:sz w:val="22"/>
      <w:szCs w:val="22"/>
      <w:lang w:eastAsia="en-US"/>
    </w:rPr>
  </w:style>
  <w:style w:type="character" w:customStyle="1" w:styleId="Heading7Char">
    <w:name w:val="Heading 7 Char"/>
    <w:aliases w:val="DO NOT USE3 Char,DO NOT USE31 Char"/>
    <w:basedOn w:val="DefaultParagraphFont"/>
    <w:link w:val="Heading7"/>
    <w:rsid w:val="00124A51"/>
    <w:rPr>
      <w:rFonts w:ascii="Arial" w:hAnsi="Arial"/>
      <w:b/>
      <w:snapToGrid w:val="0"/>
      <w:lang w:eastAsia="en-US"/>
    </w:rPr>
  </w:style>
  <w:style w:type="character" w:customStyle="1" w:styleId="Heading8Char">
    <w:name w:val="Heading 8 Char"/>
    <w:aliases w:val="DO NOT USE2 Char,DO NOT USE21 Char"/>
    <w:basedOn w:val="DefaultParagraphFont"/>
    <w:link w:val="Heading8"/>
    <w:rsid w:val="00124A51"/>
    <w:rPr>
      <w:b/>
      <w:snapToGrid w:val="0"/>
      <w:sz w:val="24"/>
      <w:lang w:eastAsia="en-US"/>
    </w:rPr>
  </w:style>
  <w:style w:type="character" w:customStyle="1" w:styleId="Heading9Char">
    <w:name w:val="Heading 9 Char"/>
    <w:aliases w:val="DO NOT USE1 Char,DO NOT USE11 Char,Study Question Char"/>
    <w:basedOn w:val="DefaultParagraphFont"/>
    <w:link w:val="Heading9"/>
    <w:rsid w:val="00124A51"/>
    <w:rPr>
      <w:rFonts w:ascii="Arial" w:hAnsi="Arial"/>
      <w:b/>
      <w:snapToGrid w:val="0"/>
      <w:color w:val="000000"/>
      <w:lang w:eastAsia="en-US"/>
    </w:rPr>
  </w:style>
  <w:style w:type="paragraph" w:styleId="Caption">
    <w:name w:val="caption"/>
    <w:aliases w:val="IB Caption,Medical Caption,Medical Caption Char,Caption Char1 Char Char,Caption Char Char Char Char,Caption Char1 Char,Caption Char Char Char Char Char,Caption Char Char,Caption Char Char Char Char1,Caption Char1 Char1,SMC Caption,CSR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IB Caption Char,Medical Caption Char1,Medical Caption Char Char,Caption Char1 Char Char Char,Caption Char Char Char Char Char1,Caption Char1 Char Char1,Caption Char Char Char Char Char Char,Caption Char Char Char,Caption Char1 Char1 Char"/>
    <w:link w:val="Caption"/>
    <w:rsid w:val="00124A51"/>
    <w:rPr>
      <w:b/>
      <w:bCs/>
      <w:snapToGrid w:val="0"/>
      <w:color w:val="4F81BD" w:themeColor="accent1"/>
      <w:sz w:val="18"/>
      <w:szCs w:val="18"/>
      <w:lang w:eastAsia="en-US"/>
    </w:rPr>
  </w:style>
  <w:style w:type="paragraph" w:styleId="Title">
    <w:name w:val="Title"/>
    <w:basedOn w:val="Heading1"/>
    <w:next w:val="Normal"/>
    <w:link w:val="TitleChar"/>
    <w:qFormat/>
    <w:rsid w:val="00464A56"/>
    <w:rPr>
      <w:sz w:val="28"/>
    </w:rPr>
  </w:style>
  <w:style w:type="character" w:customStyle="1" w:styleId="TitleChar">
    <w:name w:val="Title Char"/>
    <w:basedOn w:val="DefaultParagraphFont"/>
    <w:link w:val="Title"/>
    <w:rsid w:val="00464A56"/>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0874EC"/>
    <w:pPr>
      <w:tabs>
        <w:tab w:val="left" w:pos="880"/>
        <w:tab w:val="right" w:leader="dot" w:pos="9016"/>
      </w:tabs>
      <w:spacing w:before="120"/>
      <w:ind w:left="220"/>
    </w:pPr>
    <w:rPr>
      <w:iCs/>
      <w:sz w:val="20"/>
    </w:rPr>
  </w:style>
  <w:style w:type="paragraph" w:styleId="TOC1">
    <w:name w:val="toc 1"/>
    <w:basedOn w:val="Normal"/>
    <w:next w:val="Normal"/>
    <w:autoRedefine/>
    <w:uiPriority w:val="39"/>
    <w:qFormat/>
    <w:rsid w:val="00AF04AB"/>
    <w:pPr>
      <w:tabs>
        <w:tab w:val="left" w:pos="660"/>
        <w:tab w:val="right" w:leader="dot" w:pos="9016"/>
      </w:tabs>
      <w:spacing w:before="240"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3"/>
      </w:numPr>
    </w:pPr>
    <w:rPr>
      <w:rFonts w:ascii="Arial" w:hAnsi="Arial" w:cs="Arial"/>
      <w:snapToGrid w:val="0"/>
      <w:sz w:val="22"/>
      <w:szCs w:val="22"/>
      <w:lang w:eastAsia="en-US"/>
    </w:rPr>
  </w:style>
  <w:style w:type="table" w:customStyle="1" w:styleId="Summarybox1">
    <w:name w:val="Summary box1"/>
    <w:basedOn w:val="TableNormal"/>
    <w:next w:val="TableGrid"/>
    <w:uiPriority w:val="59"/>
    <w:rsid w:val="00656C48"/>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0">
    <w:name w:val="TableText Char"/>
    <w:link w:val="TableText0"/>
    <w:rsid w:val="001F0F16"/>
    <w:rPr>
      <w:rFonts w:ascii="Arial Narrow" w:hAnsi="Arial Narrow" w:cs="Arial Narrow"/>
      <w:lang w:eastAsia="en-US"/>
    </w:rPr>
  </w:style>
  <w:style w:type="paragraph" w:styleId="DocumentMap">
    <w:name w:val="Document Map"/>
    <w:basedOn w:val="Normal"/>
    <w:link w:val="DocumentMapChar"/>
    <w:semiHidden/>
    <w:unhideWhenUsed/>
    <w:rsid w:val="009C4CDB"/>
    <w:rPr>
      <w:rFonts w:ascii="Lucida Grande" w:hAnsi="Lucida Grande" w:cs="Lucida Grande"/>
      <w:sz w:val="24"/>
      <w:szCs w:val="24"/>
    </w:rPr>
  </w:style>
  <w:style w:type="character" w:customStyle="1" w:styleId="DocumentMapChar">
    <w:name w:val="Document Map Char"/>
    <w:basedOn w:val="DefaultParagraphFont"/>
    <w:link w:val="DocumentMap"/>
    <w:semiHidden/>
    <w:rsid w:val="009C4CDB"/>
    <w:rPr>
      <w:rFonts w:ascii="Lucida Grande" w:hAnsi="Lucida Grande" w:cs="Lucida Grande"/>
      <w:snapToGrid w:val="0"/>
      <w:sz w:val="24"/>
      <w:szCs w:val="24"/>
      <w:lang w:eastAsia="en-US"/>
    </w:rPr>
  </w:style>
  <w:style w:type="paragraph" w:customStyle="1" w:styleId="PBACHeading10">
    <w:name w:val="PBAC Heading 1"/>
    <w:qFormat/>
    <w:rsid w:val="00F35155"/>
    <w:pPr>
      <w:ind w:left="720" w:hanging="720"/>
    </w:pPr>
    <w:rPr>
      <w:rFonts w:ascii="Arial" w:hAnsi="Arial" w:cs="Arial"/>
      <w:b/>
      <w:snapToGrid w:val="0"/>
      <w:sz w:val="22"/>
      <w:szCs w:val="22"/>
      <w:lang w:eastAsia="en-US"/>
    </w:rPr>
  </w:style>
  <w:style w:type="paragraph" w:styleId="FootnoteText">
    <w:name w:val="footnote text"/>
    <w:basedOn w:val="Normal"/>
    <w:link w:val="FootnoteTextChar"/>
    <w:semiHidden/>
    <w:unhideWhenUsed/>
    <w:rsid w:val="00F35155"/>
    <w:rPr>
      <w:sz w:val="20"/>
    </w:rPr>
  </w:style>
  <w:style w:type="character" w:customStyle="1" w:styleId="FootnoteTextChar">
    <w:name w:val="Footnote Text Char"/>
    <w:basedOn w:val="DefaultParagraphFont"/>
    <w:link w:val="FootnoteText"/>
    <w:semiHidden/>
    <w:rsid w:val="00F35155"/>
    <w:rPr>
      <w:rFonts w:ascii="Arial" w:hAnsi="Arial" w:cs="Arial"/>
      <w:snapToGrid w:val="0"/>
      <w:lang w:eastAsia="en-US"/>
    </w:rPr>
  </w:style>
  <w:style w:type="character" w:styleId="FootnoteReference">
    <w:name w:val="footnote reference"/>
    <w:basedOn w:val="DefaultParagraphFont"/>
    <w:unhideWhenUsed/>
    <w:rsid w:val="00F35155"/>
    <w:rPr>
      <w:vertAlign w:val="superscript"/>
    </w:rPr>
  </w:style>
  <w:style w:type="character" w:customStyle="1" w:styleId="ListParagraphChar">
    <w:name w:val="List Paragraph Char"/>
    <w:aliases w:val="BulletPoints Char"/>
    <w:link w:val="ListParagraph"/>
    <w:uiPriority w:val="72"/>
    <w:rsid w:val="00BC0614"/>
    <w:rPr>
      <w:rFonts w:ascii="Arial" w:hAnsi="Arial" w:cs="Arial"/>
      <w:snapToGrid w:val="0"/>
      <w:sz w:val="22"/>
      <w:lang w:eastAsia="en-US"/>
    </w:rPr>
  </w:style>
  <w:style w:type="paragraph" w:customStyle="1" w:styleId="TableText1">
    <w:name w:val="Table Text"/>
    <w:basedOn w:val="Normal"/>
    <w:qFormat/>
    <w:rsid w:val="00D16346"/>
    <w:pPr>
      <w:widowControl/>
      <w:jc w:val="left"/>
    </w:pPr>
    <w:rPr>
      <w:rFonts w:ascii="Arial Narrow" w:hAnsi="Arial Narrow"/>
      <w:snapToGrid/>
      <w:sz w:val="20"/>
      <w:szCs w:val="22"/>
      <w:lang w:eastAsia="en-AU"/>
    </w:rPr>
  </w:style>
  <w:style w:type="paragraph" w:customStyle="1" w:styleId="tabletext2">
    <w:name w:val="table text"/>
    <w:basedOn w:val="TableText1"/>
    <w:rsid w:val="00D16346"/>
    <w:pPr>
      <w:keepNext/>
    </w:pPr>
    <w:rPr>
      <w:color w:val="000000"/>
      <w:szCs w:val="20"/>
    </w:rPr>
  </w:style>
  <w:style w:type="character" w:customStyle="1" w:styleId="TableFooterChar">
    <w:name w:val="Table Footer Char"/>
    <w:link w:val="TableFooter"/>
    <w:uiPriority w:val="4"/>
    <w:rsid w:val="00D16346"/>
    <w:rPr>
      <w:rFonts w:ascii="Arial Narrow" w:hAnsi="Arial Narrow" w:cs="Arial"/>
      <w:snapToGrid w:val="0"/>
      <w:sz w:val="18"/>
      <w:lang w:eastAsia="en-US"/>
    </w:rPr>
  </w:style>
  <w:style w:type="paragraph" w:customStyle="1" w:styleId="Default">
    <w:name w:val="Default"/>
    <w:rsid w:val="00D16346"/>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D163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D16346"/>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ame0">
    <w:name w:val="Table name"/>
    <w:basedOn w:val="Normal"/>
    <w:link w:val="TablenameChar"/>
    <w:qFormat/>
    <w:rsid w:val="00D16346"/>
    <w:pPr>
      <w:keepNext/>
    </w:pPr>
    <w:rPr>
      <w:rFonts w:ascii="Arial Narrow" w:hAnsi="Arial Narrow"/>
      <w:b/>
      <w:sz w:val="20"/>
      <w:szCs w:val="22"/>
    </w:rPr>
  </w:style>
  <w:style w:type="character" w:customStyle="1" w:styleId="TablenameChar">
    <w:name w:val="Table name Char"/>
    <w:link w:val="Tablename0"/>
    <w:rsid w:val="00D16346"/>
    <w:rPr>
      <w:rFonts w:ascii="Arial Narrow" w:hAnsi="Arial Narrow" w:cs="Arial"/>
      <w:b/>
      <w:snapToGrid w:val="0"/>
      <w:szCs w:val="22"/>
      <w:lang w:eastAsia="en-US"/>
    </w:rPr>
  </w:style>
  <w:style w:type="paragraph" w:customStyle="1" w:styleId="Style555">
    <w:name w:val="Style555"/>
    <w:basedOn w:val="Heading4"/>
    <w:link w:val="Style555Char"/>
    <w:qFormat/>
    <w:rsid w:val="00D16346"/>
    <w:pPr>
      <w:keepNext w:val="0"/>
      <w:widowControl/>
      <w:numPr>
        <w:ilvl w:val="3"/>
      </w:numPr>
      <w:tabs>
        <w:tab w:val="num" w:pos="1134"/>
      </w:tabs>
      <w:spacing w:after="0" w:line="360" w:lineRule="auto"/>
    </w:pPr>
    <w:rPr>
      <w:rFonts w:asciiTheme="minorHAnsi" w:eastAsia="Calibri" w:hAnsiTheme="minorHAnsi" w:cs="Calibri"/>
      <w:bCs w:val="0"/>
      <w:i w:val="0"/>
      <w:snapToGrid/>
      <w:szCs w:val="22"/>
    </w:rPr>
  </w:style>
  <w:style w:type="character" w:customStyle="1" w:styleId="Style555Char">
    <w:name w:val="Style555 Char"/>
    <w:basedOn w:val="DefaultParagraphFont"/>
    <w:link w:val="Style555"/>
    <w:rsid w:val="00D16346"/>
    <w:rPr>
      <w:rFonts w:asciiTheme="minorHAnsi" w:eastAsia="Calibri" w:hAnsiTheme="minorHAnsi" w:cs="Calibri"/>
      <w:b/>
      <w:sz w:val="26"/>
      <w:szCs w:val="22"/>
      <w:lang w:eastAsia="en-US"/>
    </w:rPr>
  </w:style>
  <w:style w:type="paragraph" w:customStyle="1" w:styleId="Tablefootnote">
    <w:name w:val="Table footnote"/>
    <w:basedOn w:val="Normal"/>
    <w:qFormat/>
    <w:rsid w:val="00D16346"/>
    <w:pPr>
      <w:adjustRightInd w:val="0"/>
      <w:spacing w:after="200"/>
      <w:contextualSpacing/>
      <w:jc w:val="left"/>
      <w:textAlignment w:val="baseline"/>
    </w:pPr>
    <w:rPr>
      <w:rFonts w:asciiTheme="minorHAnsi" w:eastAsia="Calibri" w:hAnsiTheme="minorHAnsi" w:cs="Times New Roman"/>
      <w:snapToGrid/>
      <w:sz w:val="18"/>
      <w:szCs w:val="18"/>
    </w:rPr>
  </w:style>
  <w:style w:type="paragraph" w:customStyle="1" w:styleId="NICEnormal">
    <w:name w:val="NICE normal"/>
    <w:link w:val="NICEnormalChar"/>
    <w:rsid w:val="0020424F"/>
    <w:pPr>
      <w:spacing w:after="120" w:line="360" w:lineRule="auto"/>
    </w:pPr>
    <w:rPr>
      <w:rFonts w:ascii="Arial" w:hAnsi="Arial"/>
      <w:sz w:val="24"/>
      <w:szCs w:val="24"/>
      <w:lang w:val="en-US" w:eastAsia="en-US"/>
    </w:rPr>
  </w:style>
  <w:style w:type="character" w:customStyle="1" w:styleId="NICEnormalChar">
    <w:name w:val="NICE normal Char"/>
    <w:link w:val="NICEnormal"/>
    <w:rsid w:val="0020424F"/>
    <w:rPr>
      <w:rFonts w:ascii="Arial" w:hAnsi="Arial"/>
      <w:sz w:val="24"/>
      <w:szCs w:val="24"/>
      <w:lang w:val="en-US" w:eastAsia="en-US"/>
    </w:rPr>
  </w:style>
  <w:style w:type="paragraph" w:customStyle="1" w:styleId="EndNoteBibliographyTitle">
    <w:name w:val="EndNote Bibliography Title"/>
    <w:basedOn w:val="Normal"/>
    <w:link w:val="EndNoteBibliographyTitleChar"/>
    <w:rsid w:val="008B205C"/>
    <w:pPr>
      <w:jc w:val="center"/>
    </w:pPr>
    <w:rPr>
      <w:rFonts w:ascii="Arial Bold" w:hAnsi="Arial Bold"/>
      <w:noProof/>
      <w:lang w:val="en-US"/>
    </w:rPr>
  </w:style>
  <w:style w:type="character" w:customStyle="1" w:styleId="EndNoteBibliographyTitleChar">
    <w:name w:val="EndNote Bibliography Title Char"/>
    <w:basedOn w:val="ListParagraphChar"/>
    <w:link w:val="EndNoteBibliographyTitle"/>
    <w:rsid w:val="008B205C"/>
    <w:rPr>
      <w:rFonts w:ascii="Arial Bold" w:hAnsi="Arial Bold" w:cs="Arial"/>
      <w:noProof/>
      <w:snapToGrid w:val="0"/>
      <w:sz w:val="22"/>
      <w:lang w:val="en-US" w:eastAsia="en-US"/>
    </w:rPr>
  </w:style>
  <w:style w:type="paragraph" w:customStyle="1" w:styleId="EndNoteBibliography">
    <w:name w:val="EndNote Bibliography"/>
    <w:basedOn w:val="Normal"/>
    <w:link w:val="EndNoteBibliographyChar"/>
    <w:rsid w:val="008B205C"/>
    <w:pPr>
      <w:jc w:val="right"/>
    </w:pPr>
    <w:rPr>
      <w:rFonts w:ascii="Arial Bold" w:hAnsi="Arial Bold"/>
      <w:noProof/>
      <w:lang w:val="en-US"/>
    </w:rPr>
  </w:style>
  <w:style w:type="character" w:customStyle="1" w:styleId="EndNoteBibliographyChar">
    <w:name w:val="EndNote Bibliography Char"/>
    <w:basedOn w:val="ListParagraphChar"/>
    <w:link w:val="EndNoteBibliography"/>
    <w:rsid w:val="008B205C"/>
    <w:rPr>
      <w:rFonts w:ascii="Arial Bold" w:hAnsi="Arial Bold" w:cs="Arial"/>
      <w:noProof/>
      <w:snapToGrid w:val="0"/>
      <w:sz w:val="22"/>
      <w:lang w:val="en-US" w:eastAsia="en-US"/>
    </w:rPr>
  </w:style>
  <w:style w:type="table" w:customStyle="1" w:styleId="StandardTable">
    <w:name w:val="Standard Table"/>
    <w:basedOn w:val="TableNormal"/>
    <w:rsid w:val="00E07713"/>
    <w:rPr>
      <w:rFonts w:ascii="Arial" w:hAnsi="Arial"/>
    </w:rPr>
    <w:tblPr>
      <w:tblInd w:w="8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tcMar>
        <w:left w:w="57" w:type="dxa"/>
        <w:right w:w="57" w:type="dxa"/>
      </w:tcMar>
      <w:vAlign w:val="center"/>
    </w:tcPr>
  </w:style>
  <w:style w:type="character" w:customStyle="1" w:styleId="StyleCalibri">
    <w:name w:val="Style Calibri"/>
    <w:locked/>
    <w:rsid w:val="00EA2F8D"/>
    <w:rPr>
      <w:rFonts w:ascii="Calibri" w:hAnsi="Calibri" w:hint="default"/>
      <w:sz w:val="24"/>
    </w:rPr>
  </w:style>
  <w:style w:type="character" w:customStyle="1" w:styleId="BoldCharacterCV">
    <w:name w:val="Bold Character CV"/>
    <w:uiPriority w:val="1"/>
    <w:qFormat/>
    <w:rsid w:val="00EA2F8D"/>
    <w:rPr>
      <w:b/>
      <w:bCs w:val="0"/>
    </w:rPr>
  </w:style>
  <w:style w:type="paragraph" w:customStyle="1" w:styleId="jon">
    <w:name w:val="jon"/>
    <w:basedOn w:val="Normal"/>
    <w:link w:val="jonChar"/>
    <w:rsid w:val="00EA2F8D"/>
    <w:pPr>
      <w:widowControl/>
      <w:spacing w:before="80" w:after="160" w:line="360" w:lineRule="auto"/>
      <w:jc w:val="left"/>
    </w:pPr>
    <w:rPr>
      <w:rFonts w:ascii="Calibri" w:hAnsi="Calibri"/>
      <w:snapToGrid/>
      <w:szCs w:val="22"/>
      <w:lang w:eastAsia="zh-CN"/>
    </w:rPr>
  </w:style>
  <w:style w:type="character" w:customStyle="1" w:styleId="jonChar">
    <w:name w:val="jon Char"/>
    <w:basedOn w:val="DefaultParagraphFont"/>
    <w:link w:val="jon"/>
    <w:rsid w:val="00EA2F8D"/>
    <w:rPr>
      <w:rFonts w:ascii="Calibri" w:hAnsi="Calibri" w:cs="Arial"/>
      <w:sz w:val="22"/>
      <w:szCs w:val="22"/>
      <w:lang w:eastAsia="zh-CN"/>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62B07"/>
    <w:pPr>
      <w:widowControl/>
      <w:spacing w:after="160" w:line="240" w:lineRule="exact"/>
      <w:jc w:val="left"/>
    </w:pPr>
    <w:rPr>
      <w:rFonts w:ascii="Verdana" w:eastAsia="MS Mincho" w:hAnsi="Verdana" w:cs="Verdana"/>
      <w:snapToGrid/>
      <w:sz w:val="20"/>
      <w:lang w:val="en-US"/>
    </w:rPr>
  </w:style>
  <w:style w:type="character" w:customStyle="1" w:styleId="Heading1Char">
    <w:name w:val="Heading 1 Char"/>
    <w:basedOn w:val="DefaultParagraphFont"/>
    <w:link w:val="Heading1"/>
    <w:rsid w:val="00464A56"/>
    <w:rPr>
      <w:rFonts w:ascii="Arial Bold" w:hAnsi="Arial Bold" w:cs="Arial"/>
      <w:b/>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64A56"/>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464A56"/>
    <w:pPr>
      <w:outlineLvl w:val="0"/>
    </w:pPr>
    <w:rPr>
      <w:rFonts w:ascii="Arial Bold" w:hAnsi="Arial Bold"/>
      <w:b/>
    </w:rPr>
  </w:style>
  <w:style w:type="paragraph" w:styleId="Heading2">
    <w:name w:val="heading 2"/>
    <w:basedOn w:val="Normal"/>
    <w:next w:val="Normal"/>
    <w:link w:val="Heading2Char"/>
    <w:qFormat/>
    <w:rsid w:val="009E321C"/>
    <w:pPr>
      <w:outlineLvl w:val="1"/>
    </w:pPr>
    <w:rPr>
      <w:b/>
      <w:bCs/>
      <w:i/>
      <w:szCs w:val="22"/>
    </w:rPr>
  </w:style>
  <w:style w:type="paragraph" w:styleId="Heading3">
    <w:name w:val="heading 3"/>
    <w:aliases w:val="H3,Don 3,Heading 3x,p3 Char"/>
    <w:basedOn w:val="Normal"/>
    <w:next w:val="Normal"/>
    <w:rsid w:val="001F7361"/>
    <w:pPr>
      <w:outlineLvl w:val="2"/>
    </w:pPr>
    <w:rPr>
      <w:u w:val="single"/>
    </w:rPr>
  </w:style>
  <w:style w:type="paragraph" w:styleId="Heading4">
    <w:name w:val="heading 4"/>
    <w:aliases w:val="p4,H4"/>
    <w:basedOn w:val="Normal"/>
    <w:next w:val="Normal"/>
    <w:qFormat/>
    <w:rsid w:val="00124A51"/>
    <w:pPr>
      <w:keepNext/>
      <w:spacing w:before="240" w:after="60"/>
      <w:outlineLvl w:val="3"/>
    </w:pPr>
    <w:rPr>
      <w:b/>
      <w:bCs/>
      <w:i/>
      <w:sz w:val="26"/>
      <w:szCs w:val="28"/>
    </w:rPr>
  </w:style>
  <w:style w:type="paragraph" w:styleId="Heading5">
    <w:name w:val="heading 5"/>
    <w:aliases w:val=" DO NOT USE,p5"/>
    <w:basedOn w:val="Normal"/>
    <w:next w:val="Normal"/>
    <w:qFormat/>
    <w:rsid w:val="00124A51"/>
    <w:pPr>
      <w:spacing w:before="240" w:after="60"/>
      <w:outlineLvl w:val="4"/>
    </w:pPr>
    <w:rPr>
      <w:b/>
      <w:bCs/>
      <w:iCs/>
      <w:sz w:val="26"/>
      <w:szCs w:val="26"/>
    </w:rPr>
  </w:style>
  <w:style w:type="paragraph" w:styleId="Heading6">
    <w:name w:val="heading 6"/>
    <w:aliases w:val="DO NOT USE,DO NOT USE4"/>
    <w:basedOn w:val="Normal"/>
    <w:next w:val="Normal"/>
    <w:qFormat/>
    <w:rsid w:val="00124A51"/>
    <w:pPr>
      <w:spacing w:before="240" w:after="60"/>
      <w:outlineLvl w:val="5"/>
    </w:pPr>
    <w:rPr>
      <w:b/>
      <w:bCs/>
      <w:i/>
      <w:szCs w:val="22"/>
    </w:rPr>
  </w:style>
  <w:style w:type="paragraph" w:styleId="Heading7">
    <w:name w:val="heading 7"/>
    <w:aliases w:val="DO NOT USE3,DO NOT USE31"/>
    <w:basedOn w:val="Normal"/>
    <w:next w:val="Normal"/>
    <w:link w:val="Heading7Char"/>
    <w:qFormat/>
    <w:rsid w:val="00124A51"/>
    <w:pPr>
      <w:keepNext/>
      <w:jc w:val="center"/>
      <w:outlineLvl w:val="6"/>
    </w:pPr>
    <w:rPr>
      <w:b/>
      <w:sz w:val="20"/>
    </w:rPr>
  </w:style>
  <w:style w:type="paragraph" w:styleId="Heading8">
    <w:name w:val="heading 8"/>
    <w:aliases w:val="DO NOT USE2,DO NOT USE21"/>
    <w:basedOn w:val="Normal"/>
    <w:next w:val="Normal"/>
    <w:link w:val="Heading8Char"/>
    <w:qFormat/>
    <w:rsid w:val="00124A51"/>
    <w:pPr>
      <w:keepNext/>
      <w:jc w:val="right"/>
      <w:outlineLvl w:val="7"/>
    </w:pPr>
    <w:rPr>
      <w:b/>
    </w:rPr>
  </w:style>
  <w:style w:type="paragraph" w:styleId="Heading9">
    <w:name w:val="heading 9"/>
    <w:aliases w:val="DO NOT USE1,DO NOT USE11,Study Question"/>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uiPriority w:val="4"/>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9E321C"/>
    <w:rPr>
      <w:rFonts w:ascii="Arial" w:hAnsi="Arial" w:cs="Arial"/>
      <w:b/>
      <w:bCs/>
      <w:i/>
      <w:snapToGrid w:val="0"/>
      <w:sz w:val="22"/>
      <w:szCs w:val="22"/>
      <w:lang w:eastAsia="en-US"/>
    </w:rPr>
  </w:style>
  <w:style w:type="character" w:customStyle="1" w:styleId="Heading7Char">
    <w:name w:val="Heading 7 Char"/>
    <w:aliases w:val="DO NOT USE3 Char,DO NOT USE31 Char"/>
    <w:basedOn w:val="DefaultParagraphFont"/>
    <w:link w:val="Heading7"/>
    <w:rsid w:val="00124A51"/>
    <w:rPr>
      <w:rFonts w:ascii="Arial" w:hAnsi="Arial"/>
      <w:b/>
      <w:snapToGrid w:val="0"/>
      <w:lang w:eastAsia="en-US"/>
    </w:rPr>
  </w:style>
  <w:style w:type="character" w:customStyle="1" w:styleId="Heading8Char">
    <w:name w:val="Heading 8 Char"/>
    <w:aliases w:val="DO NOT USE2 Char,DO NOT USE21 Char"/>
    <w:basedOn w:val="DefaultParagraphFont"/>
    <w:link w:val="Heading8"/>
    <w:rsid w:val="00124A51"/>
    <w:rPr>
      <w:b/>
      <w:snapToGrid w:val="0"/>
      <w:sz w:val="24"/>
      <w:lang w:eastAsia="en-US"/>
    </w:rPr>
  </w:style>
  <w:style w:type="character" w:customStyle="1" w:styleId="Heading9Char">
    <w:name w:val="Heading 9 Char"/>
    <w:aliases w:val="DO NOT USE1 Char,DO NOT USE11 Char,Study Question Char"/>
    <w:basedOn w:val="DefaultParagraphFont"/>
    <w:link w:val="Heading9"/>
    <w:rsid w:val="00124A51"/>
    <w:rPr>
      <w:rFonts w:ascii="Arial" w:hAnsi="Arial"/>
      <w:b/>
      <w:snapToGrid w:val="0"/>
      <w:color w:val="000000"/>
      <w:lang w:eastAsia="en-US"/>
    </w:rPr>
  </w:style>
  <w:style w:type="paragraph" w:styleId="Caption">
    <w:name w:val="caption"/>
    <w:aliases w:val="IB Caption,Medical Caption,Medical Caption Char,Caption Char1 Char Char,Caption Char Char Char Char,Caption Char1 Char,Caption Char Char Char Char Char,Caption Char Char,Caption Char Char Char Char1,Caption Char1 Char1,SMC Caption,CSR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IB Caption Char,Medical Caption Char1,Medical Caption Char Char,Caption Char1 Char Char Char,Caption Char Char Char Char Char1,Caption Char1 Char Char1,Caption Char Char Char Char Char Char,Caption Char Char Char,Caption Char1 Char1 Char"/>
    <w:link w:val="Caption"/>
    <w:rsid w:val="00124A51"/>
    <w:rPr>
      <w:b/>
      <w:bCs/>
      <w:snapToGrid w:val="0"/>
      <w:color w:val="4F81BD" w:themeColor="accent1"/>
      <w:sz w:val="18"/>
      <w:szCs w:val="18"/>
      <w:lang w:eastAsia="en-US"/>
    </w:rPr>
  </w:style>
  <w:style w:type="paragraph" w:styleId="Title">
    <w:name w:val="Title"/>
    <w:basedOn w:val="Heading1"/>
    <w:next w:val="Normal"/>
    <w:link w:val="TitleChar"/>
    <w:qFormat/>
    <w:rsid w:val="00464A56"/>
    <w:rPr>
      <w:sz w:val="28"/>
    </w:rPr>
  </w:style>
  <w:style w:type="character" w:customStyle="1" w:styleId="TitleChar">
    <w:name w:val="Title Char"/>
    <w:basedOn w:val="DefaultParagraphFont"/>
    <w:link w:val="Title"/>
    <w:rsid w:val="00464A56"/>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0874EC"/>
    <w:pPr>
      <w:tabs>
        <w:tab w:val="left" w:pos="880"/>
        <w:tab w:val="right" w:leader="dot" w:pos="9016"/>
      </w:tabs>
      <w:spacing w:before="120"/>
      <w:ind w:left="220"/>
    </w:pPr>
    <w:rPr>
      <w:iCs/>
      <w:sz w:val="20"/>
    </w:rPr>
  </w:style>
  <w:style w:type="paragraph" w:styleId="TOC1">
    <w:name w:val="toc 1"/>
    <w:basedOn w:val="Normal"/>
    <w:next w:val="Normal"/>
    <w:autoRedefine/>
    <w:uiPriority w:val="39"/>
    <w:qFormat/>
    <w:rsid w:val="00AF04AB"/>
    <w:pPr>
      <w:tabs>
        <w:tab w:val="left" w:pos="660"/>
        <w:tab w:val="right" w:leader="dot" w:pos="9016"/>
      </w:tabs>
      <w:spacing w:before="240"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3"/>
      </w:numPr>
    </w:pPr>
    <w:rPr>
      <w:rFonts w:ascii="Arial" w:hAnsi="Arial" w:cs="Arial"/>
      <w:snapToGrid w:val="0"/>
      <w:sz w:val="22"/>
      <w:szCs w:val="22"/>
      <w:lang w:eastAsia="en-US"/>
    </w:rPr>
  </w:style>
  <w:style w:type="table" w:customStyle="1" w:styleId="Summarybox1">
    <w:name w:val="Summary box1"/>
    <w:basedOn w:val="TableNormal"/>
    <w:next w:val="TableGrid"/>
    <w:uiPriority w:val="59"/>
    <w:rsid w:val="00656C48"/>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0">
    <w:name w:val="TableText Char"/>
    <w:link w:val="TableText0"/>
    <w:rsid w:val="001F0F16"/>
    <w:rPr>
      <w:rFonts w:ascii="Arial Narrow" w:hAnsi="Arial Narrow" w:cs="Arial Narrow"/>
      <w:lang w:eastAsia="en-US"/>
    </w:rPr>
  </w:style>
  <w:style w:type="paragraph" w:styleId="DocumentMap">
    <w:name w:val="Document Map"/>
    <w:basedOn w:val="Normal"/>
    <w:link w:val="DocumentMapChar"/>
    <w:semiHidden/>
    <w:unhideWhenUsed/>
    <w:rsid w:val="009C4CDB"/>
    <w:rPr>
      <w:rFonts w:ascii="Lucida Grande" w:hAnsi="Lucida Grande" w:cs="Lucida Grande"/>
      <w:sz w:val="24"/>
      <w:szCs w:val="24"/>
    </w:rPr>
  </w:style>
  <w:style w:type="character" w:customStyle="1" w:styleId="DocumentMapChar">
    <w:name w:val="Document Map Char"/>
    <w:basedOn w:val="DefaultParagraphFont"/>
    <w:link w:val="DocumentMap"/>
    <w:semiHidden/>
    <w:rsid w:val="009C4CDB"/>
    <w:rPr>
      <w:rFonts w:ascii="Lucida Grande" w:hAnsi="Lucida Grande" w:cs="Lucida Grande"/>
      <w:snapToGrid w:val="0"/>
      <w:sz w:val="24"/>
      <w:szCs w:val="24"/>
      <w:lang w:eastAsia="en-US"/>
    </w:rPr>
  </w:style>
  <w:style w:type="paragraph" w:customStyle="1" w:styleId="PBACHeading10">
    <w:name w:val="PBAC Heading 1"/>
    <w:qFormat/>
    <w:rsid w:val="00F35155"/>
    <w:pPr>
      <w:ind w:left="720" w:hanging="720"/>
    </w:pPr>
    <w:rPr>
      <w:rFonts w:ascii="Arial" w:hAnsi="Arial" w:cs="Arial"/>
      <w:b/>
      <w:snapToGrid w:val="0"/>
      <w:sz w:val="22"/>
      <w:szCs w:val="22"/>
      <w:lang w:eastAsia="en-US"/>
    </w:rPr>
  </w:style>
  <w:style w:type="paragraph" w:styleId="FootnoteText">
    <w:name w:val="footnote text"/>
    <w:basedOn w:val="Normal"/>
    <w:link w:val="FootnoteTextChar"/>
    <w:semiHidden/>
    <w:unhideWhenUsed/>
    <w:rsid w:val="00F35155"/>
    <w:rPr>
      <w:sz w:val="20"/>
    </w:rPr>
  </w:style>
  <w:style w:type="character" w:customStyle="1" w:styleId="FootnoteTextChar">
    <w:name w:val="Footnote Text Char"/>
    <w:basedOn w:val="DefaultParagraphFont"/>
    <w:link w:val="FootnoteText"/>
    <w:semiHidden/>
    <w:rsid w:val="00F35155"/>
    <w:rPr>
      <w:rFonts w:ascii="Arial" w:hAnsi="Arial" w:cs="Arial"/>
      <w:snapToGrid w:val="0"/>
      <w:lang w:eastAsia="en-US"/>
    </w:rPr>
  </w:style>
  <w:style w:type="character" w:styleId="FootnoteReference">
    <w:name w:val="footnote reference"/>
    <w:basedOn w:val="DefaultParagraphFont"/>
    <w:unhideWhenUsed/>
    <w:rsid w:val="00F35155"/>
    <w:rPr>
      <w:vertAlign w:val="superscript"/>
    </w:rPr>
  </w:style>
  <w:style w:type="character" w:customStyle="1" w:styleId="ListParagraphChar">
    <w:name w:val="List Paragraph Char"/>
    <w:aliases w:val="BulletPoints Char"/>
    <w:link w:val="ListParagraph"/>
    <w:uiPriority w:val="72"/>
    <w:rsid w:val="00BC0614"/>
    <w:rPr>
      <w:rFonts w:ascii="Arial" w:hAnsi="Arial" w:cs="Arial"/>
      <w:snapToGrid w:val="0"/>
      <w:sz w:val="22"/>
      <w:lang w:eastAsia="en-US"/>
    </w:rPr>
  </w:style>
  <w:style w:type="paragraph" w:customStyle="1" w:styleId="TableText1">
    <w:name w:val="Table Text"/>
    <w:basedOn w:val="Normal"/>
    <w:qFormat/>
    <w:rsid w:val="00D16346"/>
    <w:pPr>
      <w:widowControl/>
      <w:jc w:val="left"/>
    </w:pPr>
    <w:rPr>
      <w:rFonts w:ascii="Arial Narrow" w:hAnsi="Arial Narrow"/>
      <w:snapToGrid/>
      <w:sz w:val="20"/>
      <w:szCs w:val="22"/>
      <w:lang w:eastAsia="en-AU"/>
    </w:rPr>
  </w:style>
  <w:style w:type="paragraph" w:customStyle="1" w:styleId="tabletext2">
    <w:name w:val="table text"/>
    <w:basedOn w:val="TableText1"/>
    <w:rsid w:val="00D16346"/>
    <w:pPr>
      <w:keepNext/>
    </w:pPr>
    <w:rPr>
      <w:color w:val="000000"/>
      <w:szCs w:val="20"/>
    </w:rPr>
  </w:style>
  <w:style w:type="character" w:customStyle="1" w:styleId="TableFooterChar">
    <w:name w:val="Table Footer Char"/>
    <w:link w:val="TableFooter"/>
    <w:uiPriority w:val="4"/>
    <w:rsid w:val="00D16346"/>
    <w:rPr>
      <w:rFonts w:ascii="Arial Narrow" w:hAnsi="Arial Narrow" w:cs="Arial"/>
      <w:snapToGrid w:val="0"/>
      <w:sz w:val="18"/>
      <w:lang w:eastAsia="en-US"/>
    </w:rPr>
  </w:style>
  <w:style w:type="paragraph" w:customStyle="1" w:styleId="Default">
    <w:name w:val="Default"/>
    <w:rsid w:val="00D16346"/>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D163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D16346"/>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ame0">
    <w:name w:val="Table name"/>
    <w:basedOn w:val="Normal"/>
    <w:link w:val="TablenameChar"/>
    <w:qFormat/>
    <w:rsid w:val="00D16346"/>
    <w:pPr>
      <w:keepNext/>
    </w:pPr>
    <w:rPr>
      <w:rFonts w:ascii="Arial Narrow" w:hAnsi="Arial Narrow"/>
      <w:b/>
      <w:sz w:val="20"/>
      <w:szCs w:val="22"/>
    </w:rPr>
  </w:style>
  <w:style w:type="character" w:customStyle="1" w:styleId="TablenameChar">
    <w:name w:val="Table name Char"/>
    <w:link w:val="Tablename0"/>
    <w:rsid w:val="00D16346"/>
    <w:rPr>
      <w:rFonts w:ascii="Arial Narrow" w:hAnsi="Arial Narrow" w:cs="Arial"/>
      <w:b/>
      <w:snapToGrid w:val="0"/>
      <w:szCs w:val="22"/>
      <w:lang w:eastAsia="en-US"/>
    </w:rPr>
  </w:style>
  <w:style w:type="paragraph" w:customStyle="1" w:styleId="Style555">
    <w:name w:val="Style555"/>
    <w:basedOn w:val="Heading4"/>
    <w:link w:val="Style555Char"/>
    <w:qFormat/>
    <w:rsid w:val="00D16346"/>
    <w:pPr>
      <w:keepNext w:val="0"/>
      <w:widowControl/>
      <w:numPr>
        <w:ilvl w:val="3"/>
      </w:numPr>
      <w:tabs>
        <w:tab w:val="num" w:pos="1134"/>
      </w:tabs>
      <w:spacing w:after="0" w:line="360" w:lineRule="auto"/>
    </w:pPr>
    <w:rPr>
      <w:rFonts w:asciiTheme="minorHAnsi" w:eastAsia="Calibri" w:hAnsiTheme="minorHAnsi" w:cs="Calibri"/>
      <w:bCs w:val="0"/>
      <w:i w:val="0"/>
      <w:snapToGrid/>
      <w:szCs w:val="22"/>
    </w:rPr>
  </w:style>
  <w:style w:type="character" w:customStyle="1" w:styleId="Style555Char">
    <w:name w:val="Style555 Char"/>
    <w:basedOn w:val="DefaultParagraphFont"/>
    <w:link w:val="Style555"/>
    <w:rsid w:val="00D16346"/>
    <w:rPr>
      <w:rFonts w:asciiTheme="minorHAnsi" w:eastAsia="Calibri" w:hAnsiTheme="minorHAnsi" w:cs="Calibri"/>
      <w:b/>
      <w:sz w:val="26"/>
      <w:szCs w:val="22"/>
      <w:lang w:eastAsia="en-US"/>
    </w:rPr>
  </w:style>
  <w:style w:type="paragraph" w:customStyle="1" w:styleId="Tablefootnote">
    <w:name w:val="Table footnote"/>
    <w:basedOn w:val="Normal"/>
    <w:qFormat/>
    <w:rsid w:val="00D16346"/>
    <w:pPr>
      <w:adjustRightInd w:val="0"/>
      <w:spacing w:after="200"/>
      <w:contextualSpacing/>
      <w:jc w:val="left"/>
      <w:textAlignment w:val="baseline"/>
    </w:pPr>
    <w:rPr>
      <w:rFonts w:asciiTheme="minorHAnsi" w:eastAsia="Calibri" w:hAnsiTheme="minorHAnsi" w:cs="Times New Roman"/>
      <w:snapToGrid/>
      <w:sz w:val="18"/>
      <w:szCs w:val="18"/>
    </w:rPr>
  </w:style>
  <w:style w:type="paragraph" w:customStyle="1" w:styleId="NICEnormal">
    <w:name w:val="NICE normal"/>
    <w:link w:val="NICEnormalChar"/>
    <w:rsid w:val="0020424F"/>
    <w:pPr>
      <w:spacing w:after="120" w:line="360" w:lineRule="auto"/>
    </w:pPr>
    <w:rPr>
      <w:rFonts w:ascii="Arial" w:hAnsi="Arial"/>
      <w:sz w:val="24"/>
      <w:szCs w:val="24"/>
      <w:lang w:val="en-US" w:eastAsia="en-US"/>
    </w:rPr>
  </w:style>
  <w:style w:type="character" w:customStyle="1" w:styleId="NICEnormalChar">
    <w:name w:val="NICE normal Char"/>
    <w:link w:val="NICEnormal"/>
    <w:rsid w:val="0020424F"/>
    <w:rPr>
      <w:rFonts w:ascii="Arial" w:hAnsi="Arial"/>
      <w:sz w:val="24"/>
      <w:szCs w:val="24"/>
      <w:lang w:val="en-US" w:eastAsia="en-US"/>
    </w:rPr>
  </w:style>
  <w:style w:type="paragraph" w:customStyle="1" w:styleId="EndNoteBibliographyTitle">
    <w:name w:val="EndNote Bibliography Title"/>
    <w:basedOn w:val="Normal"/>
    <w:link w:val="EndNoteBibliographyTitleChar"/>
    <w:rsid w:val="008B205C"/>
    <w:pPr>
      <w:jc w:val="center"/>
    </w:pPr>
    <w:rPr>
      <w:rFonts w:ascii="Arial Bold" w:hAnsi="Arial Bold"/>
      <w:noProof/>
      <w:lang w:val="en-US"/>
    </w:rPr>
  </w:style>
  <w:style w:type="character" w:customStyle="1" w:styleId="EndNoteBibliographyTitleChar">
    <w:name w:val="EndNote Bibliography Title Char"/>
    <w:basedOn w:val="ListParagraphChar"/>
    <w:link w:val="EndNoteBibliographyTitle"/>
    <w:rsid w:val="008B205C"/>
    <w:rPr>
      <w:rFonts w:ascii="Arial Bold" w:hAnsi="Arial Bold" w:cs="Arial"/>
      <w:noProof/>
      <w:snapToGrid w:val="0"/>
      <w:sz w:val="22"/>
      <w:lang w:val="en-US" w:eastAsia="en-US"/>
    </w:rPr>
  </w:style>
  <w:style w:type="paragraph" w:customStyle="1" w:styleId="EndNoteBibliography">
    <w:name w:val="EndNote Bibliography"/>
    <w:basedOn w:val="Normal"/>
    <w:link w:val="EndNoteBibliographyChar"/>
    <w:rsid w:val="008B205C"/>
    <w:pPr>
      <w:jc w:val="right"/>
    </w:pPr>
    <w:rPr>
      <w:rFonts w:ascii="Arial Bold" w:hAnsi="Arial Bold"/>
      <w:noProof/>
      <w:lang w:val="en-US"/>
    </w:rPr>
  </w:style>
  <w:style w:type="character" w:customStyle="1" w:styleId="EndNoteBibliographyChar">
    <w:name w:val="EndNote Bibliography Char"/>
    <w:basedOn w:val="ListParagraphChar"/>
    <w:link w:val="EndNoteBibliography"/>
    <w:rsid w:val="008B205C"/>
    <w:rPr>
      <w:rFonts w:ascii="Arial Bold" w:hAnsi="Arial Bold" w:cs="Arial"/>
      <w:noProof/>
      <w:snapToGrid w:val="0"/>
      <w:sz w:val="22"/>
      <w:lang w:val="en-US" w:eastAsia="en-US"/>
    </w:rPr>
  </w:style>
  <w:style w:type="table" w:customStyle="1" w:styleId="StandardTable">
    <w:name w:val="Standard Table"/>
    <w:basedOn w:val="TableNormal"/>
    <w:rsid w:val="00E07713"/>
    <w:rPr>
      <w:rFonts w:ascii="Arial" w:hAnsi="Arial"/>
    </w:rPr>
    <w:tblPr>
      <w:tblInd w:w="8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tcMar>
        <w:left w:w="57" w:type="dxa"/>
        <w:right w:w="57" w:type="dxa"/>
      </w:tcMar>
      <w:vAlign w:val="center"/>
    </w:tcPr>
  </w:style>
  <w:style w:type="character" w:customStyle="1" w:styleId="StyleCalibri">
    <w:name w:val="Style Calibri"/>
    <w:locked/>
    <w:rsid w:val="00EA2F8D"/>
    <w:rPr>
      <w:rFonts w:ascii="Calibri" w:hAnsi="Calibri" w:hint="default"/>
      <w:sz w:val="24"/>
    </w:rPr>
  </w:style>
  <w:style w:type="character" w:customStyle="1" w:styleId="BoldCharacterCV">
    <w:name w:val="Bold Character CV"/>
    <w:uiPriority w:val="1"/>
    <w:qFormat/>
    <w:rsid w:val="00EA2F8D"/>
    <w:rPr>
      <w:b/>
      <w:bCs w:val="0"/>
    </w:rPr>
  </w:style>
  <w:style w:type="paragraph" w:customStyle="1" w:styleId="jon">
    <w:name w:val="jon"/>
    <w:basedOn w:val="Normal"/>
    <w:link w:val="jonChar"/>
    <w:rsid w:val="00EA2F8D"/>
    <w:pPr>
      <w:widowControl/>
      <w:spacing w:before="80" w:after="160" w:line="360" w:lineRule="auto"/>
      <w:jc w:val="left"/>
    </w:pPr>
    <w:rPr>
      <w:rFonts w:ascii="Calibri" w:hAnsi="Calibri"/>
      <w:snapToGrid/>
      <w:szCs w:val="22"/>
      <w:lang w:eastAsia="zh-CN"/>
    </w:rPr>
  </w:style>
  <w:style w:type="character" w:customStyle="1" w:styleId="jonChar">
    <w:name w:val="jon Char"/>
    <w:basedOn w:val="DefaultParagraphFont"/>
    <w:link w:val="jon"/>
    <w:rsid w:val="00EA2F8D"/>
    <w:rPr>
      <w:rFonts w:ascii="Calibri" w:hAnsi="Calibri" w:cs="Arial"/>
      <w:sz w:val="22"/>
      <w:szCs w:val="22"/>
      <w:lang w:eastAsia="zh-CN"/>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62B07"/>
    <w:pPr>
      <w:widowControl/>
      <w:spacing w:after="160" w:line="240" w:lineRule="exact"/>
      <w:jc w:val="left"/>
    </w:pPr>
    <w:rPr>
      <w:rFonts w:ascii="Verdana" w:eastAsia="MS Mincho" w:hAnsi="Verdana" w:cs="Verdana"/>
      <w:snapToGrid/>
      <w:sz w:val="20"/>
      <w:lang w:val="en-US"/>
    </w:rPr>
  </w:style>
  <w:style w:type="character" w:customStyle="1" w:styleId="Heading1Char">
    <w:name w:val="Heading 1 Char"/>
    <w:basedOn w:val="DefaultParagraphFont"/>
    <w:link w:val="Heading1"/>
    <w:rsid w:val="00464A56"/>
    <w:rPr>
      <w:rFonts w:ascii="Arial Bold" w:hAnsi="Arial Bold" w:cs="Arial"/>
      <w:b/>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8535">
      <w:bodyDiv w:val="1"/>
      <w:marLeft w:val="0"/>
      <w:marRight w:val="0"/>
      <w:marTop w:val="0"/>
      <w:marBottom w:val="0"/>
      <w:divBdr>
        <w:top w:val="none" w:sz="0" w:space="0" w:color="auto"/>
        <w:left w:val="none" w:sz="0" w:space="0" w:color="auto"/>
        <w:bottom w:val="none" w:sz="0" w:space="0" w:color="auto"/>
        <w:right w:val="none" w:sz="0" w:space="0" w:color="auto"/>
      </w:divBdr>
    </w:div>
    <w:div w:id="353574540">
      <w:bodyDiv w:val="1"/>
      <w:marLeft w:val="0"/>
      <w:marRight w:val="0"/>
      <w:marTop w:val="0"/>
      <w:marBottom w:val="0"/>
      <w:divBdr>
        <w:top w:val="none" w:sz="0" w:space="0" w:color="auto"/>
        <w:left w:val="none" w:sz="0" w:space="0" w:color="auto"/>
        <w:bottom w:val="none" w:sz="0" w:space="0" w:color="auto"/>
        <w:right w:val="none" w:sz="0" w:space="0" w:color="auto"/>
      </w:divBdr>
      <w:divsChild>
        <w:div w:id="17893973">
          <w:marLeft w:val="0"/>
          <w:marRight w:val="0"/>
          <w:marTop w:val="0"/>
          <w:marBottom w:val="0"/>
          <w:divBdr>
            <w:top w:val="none" w:sz="0" w:space="0" w:color="auto"/>
            <w:left w:val="none" w:sz="0" w:space="0" w:color="auto"/>
            <w:bottom w:val="none" w:sz="0" w:space="0" w:color="auto"/>
            <w:right w:val="none" w:sz="0" w:space="0" w:color="auto"/>
          </w:divBdr>
        </w:div>
        <w:div w:id="2095322359">
          <w:marLeft w:val="0"/>
          <w:marRight w:val="0"/>
          <w:marTop w:val="0"/>
          <w:marBottom w:val="0"/>
          <w:divBdr>
            <w:top w:val="none" w:sz="0" w:space="0" w:color="auto"/>
            <w:left w:val="none" w:sz="0" w:space="0" w:color="auto"/>
            <w:bottom w:val="none" w:sz="0" w:space="0" w:color="auto"/>
            <w:right w:val="none" w:sz="0" w:space="0" w:color="auto"/>
          </w:divBdr>
        </w:div>
        <w:div w:id="1631519361">
          <w:marLeft w:val="0"/>
          <w:marRight w:val="0"/>
          <w:marTop w:val="0"/>
          <w:marBottom w:val="0"/>
          <w:divBdr>
            <w:top w:val="none" w:sz="0" w:space="0" w:color="auto"/>
            <w:left w:val="none" w:sz="0" w:space="0" w:color="auto"/>
            <w:bottom w:val="none" w:sz="0" w:space="0" w:color="auto"/>
            <w:right w:val="none" w:sz="0" w:space="0" w:color="auto"/>
          </w:divBdr>
        </w:div>
        <w:div w:id="277876263">
          <w:marLeft w:val="0"/>
          <w:marRight w:val="0"/>
          <w:marTop w:val="0"/>
          <w:marBottom w:val="0"/>
          <w:divBdr>
            <w:top w:val="none" w:sz="0" w:space="0" w:color="auto"/>
            <w:left w:val="none" w:sz="0" w:space="0" w:color="auto"/>
            <w:bottom w:val="none" w:sz="0" w:space="0" w:color="auto"/>
            <w:right w:val="none" w:sz="0" w:space="0" w:color="auto"/>
          </w:divBdr>
        </w:div>
        <w:div w:id="1920557026">
          <w:marLeft w:val="0"/>
          <w:marRight w:val="0"/>
          <w:marTop w:val="0"/>
          <w:marBottom w:val="0"/>
          <w:divBdr>
            <w:top w:val="none" w:sz="0" w:space="0" w:color="auto"/>
            <w:left w:val="none" w:sz="0" w:space="0" w:color="auto"/>
            <w:bottom w:val="none" w:sz="0" w:space="0" w:color="auto"/>
            <w:right w:val="none" w:sz="0" w:space="0" w:color="auto"/>
          </w:divBdr>
        </w:div>
      </w:divsChild>
    </w:div>
    <w:div w:id="1795709719">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F6205-0052-45D8-B775-D2A6C5C7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8233</Words>
  <Characters>47938</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2016-06-21T04:47:00Z</dcterms:created>
  <dcterms:modified xsi:type="dcterms:W3CDTF">2016-06-22T01:59:00Z</dcterms:modified>
</cp:coreProperties>
</file>