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E1BFF" w:rsidRDefault="00785E16" w:rsidP="002E1BFF">
      <w:pPr>
        <w:pStyle w:val="Title"/>
      </w:pPr>
      <w:bookmarkStart w:id="0" w:name="_Toc440882430"/>
      <w:bookmarkStart w:id="1" w:name="_GoBack"/>
      <w:bookmarkEnd w:id="1"/>
      <w:r w:rsidRPr="002E1BFF">
        <w:t>7.03</w:t>
      </w:r>
      <w:r w:rsidR="00B60939" w:rsidRPr="002E1BFF">
        <w:tab/>
      </w:r>
      <w:r w:rsidR="00FC2826" w:rsidRPr="002E1BFF">
        <w:t xml:space="preserve">ETANERCEPT, </w:t>
      </w:r>
      <w:r w:rsidRPr="002E1BFF">
        <w:br/>
      </w:r>
      <w:r w:rsidR="00C8341C" w:rsidRPr="002E1BFF">
        <w:t>25 mg injection [4 x 25 mg vials] (&amp;) inert substance diluent [4 x 1 mL syringes], 1 pack;</w:t>
      </w:r>
      <w:r w:rsidR="00C8341C" w:rsidRPr="002E1BFF">
        <w:br/>
        <w:t>50 mg in 1 mL single use pre-filled syringes, 4;</w:t>
      </w:r>
      <w:r w:rsidR="00C8341C" w:rsidRPr="002E1BFF">
        <w:br/>
        <w:t>50 mg in 1 mL single use auto-injector, 4</w:t>
      </w:r>
      <w:r w:rsidR="00C8341C" w:rsidRPr="002E1BFF">
        <w:br/>
      </w:r>
      <w:r w:rsidR="00FC2826" w:rsidRPr="002E1BFF">
        <w:t>E</w:t>
      </w:r>
      <w:r w:rsidR="001675EB" w:rsidRPr="002E1BFF">
        <w:t>nbrel</w:t>
      </w:r>
      <w:r w:rsidR="00FC2826" w:rsidRPr="002E1BFF">
        <w:t xml:space="preserve">®, </w:t>
      </w:r>
      <w:r w:rsidRPr="002E1BFF">
        <w:br/>
      </w:r>
      <w:r w:rsidR="00FC2826" w:rsidRPr="002E1BFF">
        <w:t>P</w:t>
      </w:r>
      <w:r w:rsidR="001675EB" w:rsidRPr="002E1BFF">
        <w:t>fizer Pty Ltd</w:t>
      </w:r>
      <w:r w:rsidR="00FC2826" w:rsidRPr="002E1BFF">
        <w:t>.</w:t>
      </w:r>
      <w:bookmarkEnd w:id="0"/>
    </w:p>
    <w:p w:rsidR="00FC2826" w:rsidRPr="00FC2826" w:rsidRDefault="00FC2826" w:rsidP="0030129E">
      <w:pPr>
        <w:pStyle w:val="BodyText"/>
      </w:pPr>
    </w:p>
    <w:p w:rsidR="00F338FF" w:rsidRPr="006D6EC7" w:rsidRDefault="00F338FF" w:rsidP="0030129E">
      <w:pPr>
        <w:pStyle w:val="BodyText"/>
      </w:pPr>
    </w:p>
    <w:p w:rsidR="00F338FF" w:rsidRPr="001065B6" w:rsidRDefault="00F338FF" w:rsidP="002E1BFF">
      <w:pPr>
        <w:pStyle w:val="Heading1"/>
      </w:pPr>
      <w:bookmarkStart w:id="2" w:name="_Toc440882432"/>
      <w:r w:rsidRPr="001065B6">
        <w:t>Purpose of Application</w:t>
      </w:r>
      <w:bookmarkEnd w:id="2"/>
    </w:p>
    <w:p w:rsidR="00B60939" w:rsidRPr="00882085" w:rsidRDefault="00B60939" w:rsidP="006E4BDB">
      <w:pPr>
        <w:keepNext/>
        <w:widowControl/>
        <w:rPr>
          <w:szCs w:val="22"/>
        </w:rPr>
      </w:pPr>
    </w:p>
    <w:p w:rsidR="00B60939" w:rsidRDefault="007D0469" w:rsidP="006E4BDB">
      <w:pPr>
        <w:pStyle w:val="ListParagraph"/>
        <w:widowControl/>
        <w:numPr>
          <w:ilvl w:val="1"/>
          <w:numId w:val="2"/>
        </w:numPr>
      </w:pPr>
      <w:r>
        <w:t>Authority required</w:t>
      </w:r>
      <w:r w:rsidRPr="004B3DDB">
        <w:t xml:space="preserve"> listing for </w:t>
      </w:r>
      <w:r>
        <w:t>etanercept</w:t>
      </w:r>
      <w:r w:rsidRPr="004B3DDB">
        <w:t xml:space="preserve"> for treatment of</w:t>
      </w:r>
      <w:r>
        <w:t xml:space="preserve"> non-radiographic axial spondyloarthritis (nr-axSpA).</w:t>
      </w:r>
    </w:p>
    <w:p w:rsidR="00345789" w:rsidRDefault="00345789" w:rsidP="006E4BDB">
      <w:pPr>
        <w:pStyle w:val="ListParagraph"/>
        <w:widowControl/>
      </w:pPr>
    </w:p>
    <w:p w:rsidR="003A7558" w:rsidRPr="007D0469" w:rsidRDefault="003A7558" w:rsidP="006E4BDB">
      <w:pPr>
        <w:pStyle w:val="ListParagraph"/>
        <w:widowControl/>
      </w:pPr>
    </w:p>
    <w:p w:rsidR="00F338FF" w:rsidRPr="00407F2D" w:rsidRDefault="00F338FF" w:rsidP="001065B6">
      <w:pPr>
        <w:pStyle w:val="Heading1"/>
      </w:pPr>
      <w:bookmarkStart w:id="3" w:name="_Toc440882433"/>
      <w:r w:rsidRPr="00407F2D">
        <w:t>Requested listing</w:t>
      </w:r>
      <w:bookmarkEnd w:id="3"/>
    </w:p>
    <w:p w:rsidR="00A568C9" w:rsidRDefault="00A568C9" w:rsidP="006E4BDB">
      <w:pPr>
        <w:widowControl/>
      </w:pPr>
    </w:p>
    <w:p w:rsidR="00FE2CBC" w:rsidRPr="00AD761A" w:rsidRDefault="00FE2CBC" w:rsidP="006E4BDB">
      <w:pPr>
        <w:pStyle w:val="ListParagraph"/>
        <w:widowControl/>
        <w:numPr>
          <w:ilvl w:val="1"/>
          <w:numId w:val="2"/>
        </w:numPr>
      </w:pPr>
      <w:r w:rsidRPr="00AD761A">
        <w:t>Suggestions and additions proposed by the Secretariat to the abbreviated version of the requested listing are added in italics and suggested deletions are crossed out with strikethrough. </w:t>
      </w:r>
    </w:p>
    <w:p w:rsidR="00FE2CBC" w:rsidRDefault="00FE2CBC" w:rsidP="006E4BDB">
      <w:pPr>
        <w:widowControl/>
      </w:pPr>
    </w:p>
    <w:tbl>
      <w:tblPr>
        <w:tblW w:w="4610" w:type="pct"/>
        <w:tblInd w:w="737" w:type="dxa"/>
        <w:tblLayout w:type="fixed"/>
        <w:tblCellMar>
          <w:left w:w="28" w:type="dxa"/>
          <w:right w:w="28" w:type="dxa"/>
        </w:tblCellMar>
        <w:tblLook w:val="0000" w:firstRow="0" w:lastRow="0" w:firstColumn="0" w:lastColumn="0" w:noHBand="0" w:noVBand="0"/>
      </w:tblPr>
      <w:tblGrid>
        <w:gridCol w:w="1701"/>
        <w:gridCol w:w="941"/>
        <w:gridCol w:w="580"/>
        <w:gridCol w:w="883"/>
        <w:gridCol w:w="2124"/>
        <w:gridCol w:w="858"/>
        <w:gridCol w:w="1131"/>
        <w:gridCol w:w="157"/>
      </w:tblGrid>
      <w:tr w:rsidR="007D0469" w:rsidRPr="001866AB" w:rsidTr="00FE2CBC">
        <w:trPr>
          <w:gridAfter w:val="1"/>
          <w:wAfter w:w="93" w:type="pct"/>
          <w:cantSplit/>
          <w:trHeight w:val="471"/>
        </w:trPr>
        <w:tc>
          <w:tcPr>
            <w:tcW w:w="1578" w:type="pct"/>
            <w:gridSpan w:val="2"/>
            <w:tcBorders>
              <w:bottom w:val="single" w:sz="4" w:space="0" w:color="auto"/>
            </w:tcBorders>
          </w:tcPr>
          <w:p w:rsidR="007D0469" w:rsidRPr="001866AB" w:rsidRDefault="007D0469" w:rsidP="006E4BDB">
            <w:pPr>
              <w:keepNext/>
              <w:widowControl/>
              <w:rPr>
                <w:rFonts w:ascii="Arial Narrow" w:hAnsi="Arial Narrow"/>
                <w:sz w:val="20"/>
              </w:rPr>
            </w:pPr>
            <w:r w:rsidRPr="001866AB">
              <w:rPr>
                <w:rFonts w:ascii="Arial Narrow" w:hAnsi="Arial Narrow"/>
                <w:sz w:val="20"/>
              </w:rPr>
              <w:t>Name, Restriction,</w:t>
            </w:r>
          </w:p>
          <w:p w:rsidR="007D0469" w:rsidRPr="001866AB" w:rsidRDefault="007D0469" w:rsidP="006E4BDB">
            <w:pPr>
              <w:keepNext/>
              <w:widowControl/>
              <w:rPr>
                <w:rFonts w:ascii="Arial Narrow" w:hAnsi="Arial Narrow"/>
                <w:sz w:val="20"/>
              </w:rPr>
            </w:pPr>
            <w:r w:rsidRPr="001866AB">
              <w:rPr>
                <w:rFonts w:ascii="Arial Narrow" w:hAnsi="Arial Narrow"/>
                <w:sz w:val="20"/>
              </w:rPr>
              <w:t>Manner of administration and form</w:t>
            </w:r>
          </w:p>
        </w:tc>
        <w:tc>
          <w:tcPr>
            <w:tcW w:w="346" w:type="pct"/>
            <w:tcBorders>
              <w:bottom w:val="single" w:sz="4" w:space="0" w:color="auto"/>
            </w:tcBorders>
          </w:tcPr>
          <w:p w:rsidR="007D0469" w:rsidRPr="001866AB" w:rsidRDefault="007D0469" w:rsidP="006E4BDB">
            <w:pPr>
              <w:keepNext/>
              <w:widowControl/>
              <w:jc w:val="center"/>
              <w:rPr>
                <w:rFonts w:ascii="Arial Narrow" w:hAnsi="Arial Narrow"/>
                <w:sz w:val="20"/>
              </w:rPr>
            </w:pPr>
            <w:r w:rsidRPr="001866AB">
              <w:rPr>
                <w:rFonts w:ascii="Arial Narrow" w:hAnsi="Arial Narrow"/>
                <w:sz w:val="20"/>
              </w:rPr>
              <w:t>Max.</w:t>
            </w:r>
          </w:p>
          <w:p w:rsidR="007D0469" w:rsidRPr="001866AB" w:rsidRDefault="007D0469" w:rsidP="006E4BDB">
            <w:pPr>
              <w:keepNext/>
              <w:widowControl/>
              <w:jc w:val="center"/>
              <w:rPr>
                <w:rFonts w:ascii="Arial Narrow" w:hAnsi="Arial Narrow"/>
                <w:sz w:val="20"/>
              </w:rPr>
            </w:pPr>
            <w:r w:rsidRPr="001866AB">
              <w:rPr>
                <w:rFonts w:ascii="Arial Narrow" w:hAnsi="Arial Narrow"/>
                <w:sz w:val="20"/>
              </w:rPr>
              <w:t>Qty</w:t>
            </w:r>
          </w:p>
        </w:tc>
        <w:tc>
          <w:tcPr>
            <w:tcW w:w="527" w:type="pct"/>
            <w:tcBorders>
              <w:bottom w:val="single" w:sz="4" w:space="0" w:color="auto"/>
            </w:tcBorders>
          </w:tcPr>
          <w:p w:rsidR="007D0469" w:rsidRPr="001866AB" w:rsidRDefault="007D0469" w:rsidP="006E4BDB">
            <w:pPr>
              <w:keepNext/>
              <w:widowControl/>
              <w:jc w:val="center"/>
              <w:rPr>
                <w:rFonts w:ascii="Arial Narrow" w:hAnsi="Arial Narrow"/>
                <w:sz w:val="20"/>
              </w:rPr>
            </w:pPr>
            <w:r w:rsidRPr="001866AB">
              <w:rPr>
                <w:rFonts w:ascii="Arial Narrow" w:hAnsi="Arial Narrow"/>
                <w:sz w:val="20"/>
              </w:rPr>
              <w:t>№.of</w:t>
            </w:r>
          </w:p>
          <w:p w:rsidR="007D0469" w:rsidRPr="001866AB" w:rsidRDefault="007D0469" w:rsidP="006E4BDB">
            <w:pPr>
              <w:keepNext/>
              <w:widowControl/>
              <w:jc w:val="center"/>
              <w:rPr>
                <w:rFonts w:ascii="Arial Narrow" w:hAnsi="Arial Narrow"/>
                <w:sz w:val="20"/>
              </w:rPr>
            </w:pPr>
            <w:r w:rsidRPr="001866AB">
              <w:rPr>
                <w:rFonts w:ascii="Arial Narrow" w:hAnsi="Arial Narrow"/>
                <w:sz w:val="20"/>
              </w:rPr>
              <w:t>Rpts</w:t>
            </w:r>
          </w:p>
        </w:tc>
        <w:tc>
          <w:tcPr>
            <w:tcW w:w="1268" w:type="pct"/>
            <w:tcBorders>
              <w:bottom w:val="single" w:sz="4" w:space="0" w:color="auto"/>
            </w:tcBorders>
          </w:tcPr>
          <w:p w:rsidR="007D0469" w:rsidRPr="001866AB" w:rsidRDefault="007D0469" w:rsidP="006E4BDB">
            <w:pPr>
              <w:keepNext/>
              <w:widowControl/>
              <w:jc w:val="center"/>
              <w:rPr>
                <w:rFonts w:ascii="Arial Narrow" w:hAnsi="Arial Narrow"/>
                <w:sz w:val="20"/>
              </w:rPr>
            </w:pPr>
            <w:r w:rsidRPr="001866AB">
              <w:rPr>
                <w:rFonts w:ascii="Arial Narrow" w:hAnsi="Arial Narrow"/>
                <w:sz w:val="20"/>
              </w:rPr>
              <w:t>Dispensed Price for Max. Qty</w:t>
            </w:r>
          </w:p>
        </w:tc>
        <w:tc>
          <w:tcPr>
            <w:tcW w:w="1187" w:type="pct"/>
            <w:gridSpan w:val="2"/>
            <w:tcBorders>
              <w:bottom w:val="single" w:sz="4" w:space="0" w:color="auto"/>
            </w:tcBorders>
          </w:tcPr>
          <w:p w:rsidR="007D0469" w:rsidRPr="001866AB" w:rsidRDefault="007D0469" w:rsidP="006E4BDB">
            <w:pPr>
              <w:keepNext/>
              <w:widowControl/>
              <w:jc w:val="center"/>
              <w:rPr>
                <w:rFonts w:ascii="Arial Narrow" w:hAnsi="Arial Narrow"/>
                <w:sz w:val="20"/>
                <w:lang w:val="fr-FR"/>
              </w:rPr>
            </w:pPr>
            <w:r w:rsidRPr="001866AB">
              <w:rPr>
                <w:rFonts w:ascii="Arial Narrow" w:hAnsi="Arial Narrow"/>
                <w:sz w:val="20"/>
              </w:rPr>
              <w:t>Proprietary Name and Manufacturer</w:t>
            </w:r>
          </w:p>
        </w:tc>
      </w:tr>
      <w:tr w:rsidR="007D0469" w:rsidRPr="001866AB" w:rsidTr="00FE2CBC">
        <w:trPr>
          <w:gridAfter w:val="1"/>
          <w:wAfter w:w="93" w:type="pct"/>
          <w:cantSplit/>
          <w:trHeight w:val="3974"/>
        </w:trPr>
        <w:tc>
          <w:tcPr>
            <w:tcW w:w="1578" w:type="pct"/>
            <w:gridSpan w:val="2"/>
          </w:tcPr>
          <w:p w:rsidR="007D0469" w:rsidRPr="001866AB" w:rsidRDefault="007D0469" w:rsidP="006E4BDB">
            <w:pPr>
              <w:widowControl/>
              <w:rPr>
                <w:rFonts w:ascii="Arial Narrow" w:hAnsi="Arial Narrow"/>
                <w:smallCaps/>
                <w:sz w:val="20"/>
              </w:rPr>
            </w:pPr>
            <w:r w:rsidRPr="001866AB">
              <w:rPr>
                <w:rFonts w:ascii="Arial Narrow" w:hAnsi="Arial Narrow"/>
                <w:smallCaps/>
                <w:sz w:val="20"/>
              </w:rPr>
              <w:t>Etanercept</w:t>
            </w:r>
          </w:p>
          <w:p w:rsidR="007D0469" w:rsidRPr="001866AB" w:rsidRDefault="007D0469" w:rsidP="006E4BDB">
            <w:pPr>
              <w:widowControl/>
              <w:rPr>
                <w:rFonts w:ascii="Arial Narrow" w:hAnsi="Arial Narrow"/>
                <w:b/>
                <w:sz w:val="20"/>
              </w:rPr>
            </w:pPr>
            <w:r w:rsidRPr="001866AB">
              <w:rPr>
                <w:rFonts w:ascii="Arial Narrow" w:hAnsi="Arial Narrow"/>
                <w:b/>
                <w:sz w:val="20"/>
              </w:rPr>
              <w:t>Initial treatment:</w:t>
            </w:r>
          </w:p>
          <w:p w:rsidR="007D0469" w:rsidRPr="001866AB" w:rsidRDefault="007D0469" w:rsidP="006E4BDB">
            <w:pPr>
              <w:widowControl/>
              <w:rPr>
                <w:rFonts w:ascii="Arial Narrow" w:hAnsi="Arial Narrow"/>
                <w:sz w:val="20"/>
              </w:rPr>
            </w:pPr>
            <w:r w:rsidRPr="001866AB">
              <w:rPr>
                <w:rFonts w:ascii="Arial Narrow" w:hAnsi="Arial Narrow"/>
                <w:sz w:val="20"/>
              </w:rPr>
              <w:t>4 vials powder for injection (25mg), 4 prefilled syringes solvent (1mL), pack size of 3</w:t>
            </w:r>
          </w:p>
          <w:p w:rsidR="007D0469" w:rsidRPr="001866AB" w:rsidRDefault="007D0469" w:rsidP="006E4BDB">
            <w:pPr>
              <w:widowControl/>
              <w:rPr>
                <w:rFonts w:ascii="Arial Narrow" w:hAnsi="Arial Narrow"/>
                <w:sz w:val="20"/>
              </w:rPr>
            </w:pPr>
            <w:r w:rsidRPr="001866AB">
              <w:rPr>
                <w:rFonts w:ascii="Arial Narrow" w:hAnsi="Arial Narrow"/>
                <w:sz w:val="20"/>
              </w:rPr>
              <w:t>Injection, (50mg), in prefilled syringes solvent (1mL), 4</w:t>
            </w:r>
          </w:p>
          <w:p w:rsidR="007D0469" w:rsidRPr="001866AB" w:rsidRDefault="007D0469" w:rsidP="006E4BDB">
            <w:pPr>
              <w:widowControl/>
              <w:rPr>
                <w:rFonts w:ascii="Arial Narrow" w:hAnsi="Arial Narrow"/>
                <w:sz w:val="20"/>
              </w:rPr>
            </w:pPr>
            <w:r w:rsidRPr="001866AB">
              <w:rPr>
                <w:rFonts w:ascii="Arial Narrow" w:hAnsi="Arial Narrow"/>
                <w:sz w:val="20"/>
              </w:rPr>
              <w:t>Injection, 50mg in auto-injector (1mL), 4</w:t>
            </w:r>
          </w:p>
          <w:p w:rsidR="007D0469" w:rsidRPr="001866AB" w:rsidRDefault="007D0469" w:rsidP="006E4BDB">
            <w:pPr>
              <w:widowControl/>
              <w:rPr>
                <w:rFonts w:ascii="Arial Narrow" w:hAnsi="Arial Narrow"/>
                <w:b/>
                <w:sz w:val="20"/>
              </w:rPr>
            </w:pPr>
            <w:r w:rsidRPr="001866AB">
              <w:rPr>
                <w:rFonts w:ascii="Arial Narrow" w:hAnsi="Arial Narrow"/>
                <w:b/>
                <w:sz w:val="20"/>
              </w:rPr>
              <w:t>Continuing treatment</w:t>
            </w:r>
          </w:p>
          <w:p w:rsidR="007D0469" w:rsidRPr="001866AB" w:rsidRDefault="007D0469" w:rsidP="006E4BDB">
            <w:pPr>
              <w:widowControl/>
              <w:rPr>
                <w:rFonts w:ascii="Arial Narrow" w:hAnsi="Arial Narrow"/>
                <w:sz w:val="20"/>
              </w:rPr>
            </w:pPr>
            <w:r w:rsidRPr="001866AB">
              <w:rPr>
                <w:rFonts w:ascii="Arial Narrow" w:hAnsi="Arial Narrow"/>
                <w:sz w:val="20"/>
              </w:rPr>
              <w:t>4 vials powder for injection (25mg), 4 prefilled syringes solvent (1mL), pack size of 3</w:t>
            </w:r>
          </w:p>
          <w:p w:rsidR="007D0469" w:rsidRPr="001866AB" w:rsidRDefault="007D0469" w:rsidP="006E4BDB">
            <w:pPr>
              <w:widowControl/>
              <w:rPr>
                <w:rFonts w:ascii="Arial Narrow" w:hAnsi="Arial Narrow"/>
                <w:sz w:val="20"/>
              </w:rPr>
            </w:pPr>
            <w:r w:rsidRPr="001866AB">
              <w:rPr>
                <w:rFonts w:ascii="Arial Narrow" w:hAnsi="Arial Narrow"/>
                <w:sz w:val="20"/>
              </w:rPr>
              <w:t>Injection, (50mg), in prefilled syringes solvent (1mL), 4</w:t>
            </w:r>
          </w:p>
          <w:p w:rsidR="007D0469" w:rsidRPr="001866AB" w:rsidRDefault="007D0469" w:rsidP="006E4BDB">
            <w:pPr>
              <w:widowControl/>
              <w:rPr>
                <w:rFonts w:ascii="Arial Narrow" w:hAnsi="Arial Narrow"/>
                <w:sz w:val="20"/>
              </w:rPr>
            </w:pPr>
            <w:r w:rsidRPr="001866AB">
              <w:rPr>
                <w:rFonts w:ascii="Arial Narrow" w:hAnsi="Arial Narrow"/>
                <w:sz w:val="20"/>
              </w:rPr>
              <w:t>Injection, 50mg in auto-injector (1mL), 4</w:t>
            </w:r>
          </w:p>
        </w:tc>
        <w:tc>
          <w:tcPr>
            <w:tcW w:w="346" w:type="pct"/>
          </w:tcPr>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2</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1</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1</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2</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1</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1</w:t>
            </w:r>
          </w:p>
        </w:tc>
        <w:tc>
          <w:tcPr>
            <w:tcW w:w="527" w:type="pct"/>
          </w:tcPr>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2</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3</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3</w:t>
            </w:r>
          </w:p>
          <w:p w:rsidR="007D0469" w:rsidRPr="001866AB" w:rsidRDefault="007D0469" w:rsidP="006E4BDB">
            <w:pPr>
              <w:widowControl/>
              <w:rPr>
                <w:rFonts w:ascii="Arial Narrow" w:hAnsi="Arial Narrow"/>
                <w:sz w:val="20"/>
              </w:rPr>
            </w:pPr>
          </w:p>
          <w:p w:rsidR="007D0469" w:rsidRPr="001866AB" w:rsidRDefault="007D0469" w:rsidP="006E4BDB">
            <w:pPr>
              <w:widowControl/>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2</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5</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5</w:t>
            </w:r>
          </w:p>
        </w:tc>
        <w:tc>
          <w:tcPr>
            <w:tcW w:w="1268" w:type="pct"/>
          </w:tcPr>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w:t>
            </w:r>
            <w:r w:rsidR="000D3991">
              <w:rPr>
                <w:rFonts w:ascii="Arial Narrow" w:hAnsi="Arial Narrow"/>
                <w:noProof/>
                <w:color w:val="000000"/>
                <w:sz w:val="20"/>
                <w:highlight w:val="black"/>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(effective: $</w:t>
            </w:r>
            <w:r w:rsidR="000D3991">
              <w:rPr>
                <w:rFonts w:ascii="Arial Narrow" w:hAnsi="Arial Narrow"/>
                <w:noProof/>
                <w:color w:val="000000"/>
                <w:sz w:val="20"/>
                <w:highlight w:val="black"/>
              </w:rPr>
              <w:t>''''''''''''''''''''</w:t>
            </w:r>
            <w:r w:rsidRPr="001866AB">
              <w:rPr>
                <w:rFonts w:ascii="Arial Narrow" w:hAnsi="Arial Narrow"/>
                <w:sz w:val="20"/>
              </w:rPr>
              <w:t>)</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w:t>
            </w:r>
            <w:r w:rsidR="000D3991">
              <w:rPr>
                <w:rFonts w:ascii="Arial Narrow" w:hAnsi="Arial Narrow"/>
                <w:noProof/>
                <w:color w:val="000000"/>
                <w:sz w:val="20"/>
                <w:highlight w:val="black"/>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 xml:space="preserve"> (effective:  $</w:t>
            </w:r>
            <w:r w:rsidR="000D3991">
              <w:rPr>
                <w:rFonts w:ascii="Arial Narrow" w:hAnsi="Arial Narrow"/>
                <w:noProof/>
                <w:color w:val="000000"/>
                <w:sz w:val="20"/>
                <w:highlight w:val="black"/>
              </w:rPr>
              <w:t>'''''''''''''''''''''</w:t>
            </w:r>
            <w:r w:rsidRPr="001866AB">
              <w:rPr>
                <w:rFonts w:ascii="Arial Narrow" w:hAnsi="Arial Narrow"/>
                <w:sz w:val="20"/>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w:t>
            </w:r>
            <w:r w:rsidR="000D3991">
              <w:rPr>
                <w:rFonts w:ascii="Arial Narrow" w:hAnsi="Arial Narrow"/>
                <w:noProof/>
                <w:color w:val="000000"/>
                <w:sz w:val="20"/>
                <w:highlight w:val="black"/>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 xml:space="preserve"> (effective:  $</w:t>
            </w:r>
            <w:r w:rsidR="000D3991">
              <w:rPr>
                <w:rFonts w:ascii="Arial Narrow" w:hAnsi="Arial Narrow"/>
                <w:noProof/>
                <w:color w:val="000000"/>
                <w:sz w:val="20"/>
                <w:highlight w:val="black"/>
              </w:rPr>
              <w:t>'''''''''''''''''''''</w:t>
            </w:r>
            <w:r w:rsidRPr="001866AB">
              <w:rPr>
                <w:rFonts w:ascii="Arial Narrow" w:hAnsi="Arial Narrow"/>
                <w:sz w:val="20"/>
              </w:rPr>
              <w:t>)</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w:t>
            </w:r>
            <w:r w:rsidR="000D3991">
              <w:rPr>
                <w:rFonts w:ascii="Arial Narrow" w:hAnsi="Arial Narrow"/>
                <w:noProof/>
                <w:color w:val="000000"/>
                <w:sz w:val="20"/>
                <w:highlight w:val="black"/>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 xml:space="preserve"> (effective:  $</w:t>
            </w:r>
            <w:r w:rsidR="000D3991">
              <w:rPr>
                <w:rFonts w:ascii="Arial Narrow" w:hAnsi="Arial Narrow"/>
                <w:noProof/>
                <w:color w:val="000000"/>
                <w:sz w:val="20"/>
                <w:highlight w:val="black"/>
              </w:rPr>
              <w:t>'''''''''''''''''''''</w:t>
            </w:r>
            <w:r w:rsidRPr="001866AB">
              <w:rPr>
                <w:rFonts w:ascii="Arial Narrow" w:hAnsi="Arial Narrow"/>
                <w:sz w:val="20"/>
              </w:rPr>
              <w:t>)</w:t>
            </w:r>
          </w:p>
          <w:p w:rsidR="007D0469" w:rsidRPr="001866AB" w:rsidRDefault="007D0469" w:rsidP="006E4BDB">
            <w:pPr>
              <w:widowControl/>
              <w:jc w:val="center"/>
              <w:rPr>
                <w:rFonts w:ascii="Arial Narrow" w:hAnsi="Arial Narrow"/>
                <w:sz w:val="20"/>
              </w:rPr>
            </w:pPr>
          </w:p>
          <w:p w:rsidR="007D0469" w:rsidRPr="001866AB" w:rsidRDefault="007D0469" w:rsidP="006E4BDB">
            <w:pPr>
              <w:widowControl/>
              <w:jc w:val="center"/>
              <w:rPr>
                <w:rFonts w:ascii="Arial Narrow" w:hAnsi="Arial Narrow"/>
                <w:sz w:val="20"/>
              </w:rPr>
            </w:pPr>
            <w:r w:rsidRPr="001866AB">
              <w:rPr>
                <w:rFonts w:ascii="Arial Narrow" w:hAnsi="Arial Narrow"/>
                <w:sz w:val="20"/>
              </w:rPr>
              <w:t>$</w:t>
            </w:r>
            <w:r w:rsidR="000D3991">
              <w:rPr>
                <w:rFonts w:ascii="Arial Narrow" w:hAnsi="Arial Narrow"/>
                <w:noProof/>
                <w:color w:val="000000"/>
                <w:sz w:val="20"/>
                <w:highlight w:val="black"/>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 xml:space="preserve"> (effective:  $</w:t>
            </w:r>
            <w:r w:rsidR="000D3991">
              <w:rPr>
                <w:rFonts w:ascii="Arial Narrow" w:hAnsi="Arial Narrow"/>
                <w:noProof/>
                <w:color w:val="000000"/>
                <w:sz w:val="20"/>
                <w:highlight w:val="black"/>
              </w:rPr>
              <w:t>'''''''''''''''''''''</w:t>
            </w:r>
            <w:r w:rsidRPr="001866AB">
              <w:rPr>
                <w:rFonts w:ascii="Arial Narrow" w:hAnsi="Arial Narrow"/>
                <w:sz w:val="20"/>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w:t>
            </w:r>
            <w:r w:rsidR="000D3991">
              <w:rPr>
                <w:rFonts w:ascii="Arial Narrow" w:hAnsi="Arial Narrow"/>
                <w:noProof/>
                <w:color w:val="000000"/>
                <w:sz w:val="20"/>
                <w:highlight w:val="black"/>
              </w:rPr>
              <w:t>'''''''''''''''''''''</w:t>
            </w:r>
          </w:p>
          <w:p w:rsidR="007D0469" w:rsidRPr="001866AB" w:rsidRDefault="007D0469" w:rsidP="006E4BDB">
            <w:pPr>
              <w:widowControl/>
              <w:jc w:val="center"/>
              <w:rPr>
                <w:rFonts w:ascii="Arial Narrow" w:hAnsi="Arial Narrow"/>
                <w:sz w:val="20"/>
              </w:rPr>
            </w:pPr>
            <w:r w:rsidRPr="001866AB">
              <w:rPr>
                <w:rFonts w:ascii="Arial Narrow" w:hAnsi="Arial Narrow"/>
                <w:sz w:val="20"/>
              </w:rPr>
              <w:t xml:space="preserve"> (effective:  $</w:t>
            </w:r>
            <w:r w:rsidR="000D3991">
              <w:rPr>
                <w:rFonts w:ascii="Arial Narrow" w:hAnsi="Arial Narrow"/>
                <w:noProof/>
                <w:color w:val="000000"/>
                <w:sz w:val="20"/>
                <w:highlight w:val="black"/>
              </w:rPr>
              <w:t>'''''''''''''''''''</w:t>
            </w:r>
            <w:r w:rsidRPr="001866AB">
              <w:rPr>
                <w:rFonts w:ascii="Arial Narrow" w:hAnsi="Arial Narrow"/>
                <w:sz w:val="20"/>
              </w:rPr>
              <w:t>)</w:t>
            </w:r>
          </w:p>
        </w:tc>
        <w:tc>
          <w:tcPr>
            <w:tcW w:w="512" w:type="pct"/>
          </w:tcPr>
          <w:p w:rsidR="007D0469" w:rsidRPr="001866AB" w:rsidRDefault="007D0469" w:rsidP="006E4BDB">
            <w:pPr>
              <w:widowControl/>
              <w:jc w:val="center"/>
              <w:rPr>
                <w:rFonts w:ascii="Arial Narrow" w:hAnsi="Arial Narrow"/>
                <w:sz w:val="20"/>
              </w:rPr>
            </w:pPr>
            <w:r w:rsidRPr="001866AB">
              <w:rPr>
                <w:rFonts w:ascii="Arial Narrow" w:hAnsi="Arial Narrow"/>
                <w:sz w:val="20"/>
              </w:rPr>
              <w:t>Enbrel</w:t>
            </w:r>
            <w:r w:rsidRPr="001866AB">
              <w:rPr>
                <w:rFonts w:ascii="Arial Narrow" w:hAnsi="Arial Narrow"/>
                <w:sz w:val="20"/>
                <w:vertAlign w:val="superscript"/>
              </w:rPr>
              <w:t>®</w:t>
            </w:r>
          </w:p>
        </w:tc>
        <w:tc>
          <w:tcPr>
            <w:tcW w:w="675" w:type="pct"/>
          </w:tcPr>
          <w:p w:rsidR="007D0469" w:rsidRPr="001866AB" w:rsidRDefault="007D0469" w:rsidP="006E4BDB">
            <w:pPr>
              <w:widowControl/>
              <w:jc w:val="center"/>
              <w:rPr>
                <w:rFonts w:ascii="Arial Narrow" w:hAnsi="Arial Narrow"/>
                <w:sz w:val="20"/>
              </w:rPr>
            </w:pPr>
            <w:r w:rsidRPr="001866AB">
              <w:rPr>
                <w:rFonts w:ascii="Arial Narrow" w:hAnsi="Arial Narrow"/>
                <w:sz w:val="20"/>
              </w:rPr>
              <w:t>FZ</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sidRPr="00260CE3">
              <w:rPr>
                <w:rFonts w:ascii="Arial Narrow" w:hAnsi="Arial Narrow"/>
                <w:b/>
                <w:sz w:val="20"/>
                <w:szCs w:val="20"/>
              </w:rPr>
              <w:t xml:space="preserve">Category / </w:t>
            </w:r>
          </w:p>
          <w:p w:rsidR="00C26E32" w:rsidRPr="00260CE3" w:rsidRDefault="00C26E32" w:rsidP="006E4BDB">
            <w:pPr>
              <w:widowControl/>
              <w:rPr>
                <w:rFonts w:ascii="Arial Narrow" w:hAnsi="Arial Narrow"/>
                <w:b/>
                <w:sz w:val="20"/>
                <w:szCs w:val="20"/>
              </w:rPr>
            </w:pPr>
            <w:r w:rsidRPr="00260CE3">
              <w:rPr>
                <w:rFonts w:ascii="Arial Narrow" w:hAnsi="Arial Narrow"/>
                <w:b/>
                <w:sz w:val="20"/>
                <w:szCs w:val="20"/>
              </w:rPr>
              <w:t>Program</w:t>
            </w:r>
          </w:p>
        </w:tc>
        <w:tc>
          <w:tcPr>
            <w:tcW w:w="3984" w:type="pct"/>
            <w:gridSpan w:val="7"/>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sz w:val="20"/>
                <w:szCs w:val="20"/>
              </w:rPr>
            </w:pPr>
            <w:r>
              <w:rPr>
                <w:rFonts w:ascii="Arial Narrow" w:hAnsi="Arial Narrow"/>
                <w:sz w:val="20"/>
                <w:szCs w:val="20"/>
              </w:rPr>
              <w:t>General Schedule (Code GE)</w:t>
            </w:r>
          </w:p>
          <w:p w:rsidR="00C26E32" w:rsidRPr="00260CE3" w:rsidRDefault="00C26E32" w:rsidP="006E4BDB">
            <w:pPr>
              <w:widowControl/>
              <w:rPr>
                <w:rFonts w:ascii="Arial Narrow" w:hAnsi="Arial Narrow"/>
                <w:sz w:val="20"/>
                <w:szCs w:val="20"/>
              </w:rPr>
            </w:pP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Default="00C26E32" w:rsidP="006E4BDB">
            <w:pPr>
              <w:widowControl/>
              <w:rPr>
                <w:rFonts w:ascii="Arial Narrow" w:hAnsi="Arial Narrow"/>
                <w:b/>
                <w:sz w:val="20"/>
                <w:szCs w:val="20"/>
              </w:rPr>
            </w:pPr>
            <w:r w:rsidRPr="00260CE3">
              <w:rPr>
                <w:rFonts w:ascii="Arial Narrow" w:hAnsi="Arial Narrow"/>
                <w:b/>
                <w:sz w:val="20"/>
                <w:szCs w:val="20"/>
              </w:rPr>
              <w:t>Prescriber type:</w:t>
            </w:r>
          </w:p>
          <w:p w:rsidR="00C26E32" w:rsidRPr="00260CE3" w:rsidRDefault="00C26E32" w:rsidP="006E4BDB">
            <w:pPr>
              <w:widowControl/>
              <w:rPr>
                <w:rFonts w:ascii="Arial Narrow" w:hAnsi="Arial Narrow"/>
                <w:b/>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Pr="00260CE3">
              <w:rPr>
                <w:rFonts w:ascii="Arial Narrow" w:hAnsi="Arial Narrow"/>
                <w:sz w:val="20"/>
                <w:szCs w:val="20"/>
              </w:rPr>
              <w:instrText xml:space="preserve"> FORMCHECKBOX </w:instrText>
            </w:r>
            <w:r w:rsidR="00817E38">
              <w:rPr>
                <w:rFonts w:ascii="Arial Narrow" w:hAnsi="Arial Narrow"/>
                <w:sz w:val="20"/>
                <w:szCs w:val="20"/>
              </w:rPr>
            </w:r>
            <w:r w:rsidR="00817E38">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817E38">
              <w:rPr>
                <w:rFonts w:ascii="Arial Narrow" w:hAnsi="Arial Narrow"/>
                <w:sz w:val="20"/>
                <w:szCs w:val="20"/>
              </w:rPr>
            </w:r>
            <w:r w:rsidR="00817E38">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Pr="00260CE3">
              <w:rPr>
                <w:rFonts w:ascii="Arial Narrow" w:hAnsi="Arial Narrow"/>
                <w:sz w:val="20"/>
                <w:szCs w:val="20"/>
              </w:rPr>
              <w:instrText xml:space="preserve"> FORMCHECKBOX </w:instrText>
            </w:r>
            <w:r w:rsidR="00817E38">
              <w:rPr>
                <w:rFonts w:ascii="Arial Narrow" w:hAnsi="Arial Narrow"/>
                <w:sz w:val="20"/>
                <w:szCs w:val="20"/>
              </w:rPr>
            </w:r>
            <w:r w:rsidR="00817E38">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Pr="00260CE3">
              <w:rPr>
                <w:rFonts w:ascii="Arial Narrow" w:hAnsi="Arial Narrow"/>
                <w:sz w:val="20"/>
                <w:szCs w:val="20"/>
              </w:rPr>
              <w:instrText xml:space="preserve"> FORMCHECKBOX </w:instrText>
            </w:r>
            <w:r w:rsidR="00817E38">
              <w:rPr>
                <w:rFonts w:ascii="Arial Narrow" w:hAnsi="Arial Narrow"/>
                <w:sz w:val="20"/>
                <w:szCs w:val="20"/>
              </w:rPr>
            </w:r>
            <w:r w:rsidR="00817E38">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Optometrists</w:t>
            </w:r>
          </w:p>
          <w:p w:rsidR="00C26E32" w:rsidRPr="00260CE3" w:rsidRDefault="00C26E32" w:rsidP="006E4BDB">
            <w:pPr>
              <w:widowControl/>
              <w:rPr>
                <w:rFonts w:ascii="Arial Narrow" w:hAnsi="Arial Narrow"/>
                <w:sz w:val="20"/>
                <w:szCs w:val="20"/>
              </w:rPr>
            </w:pPr>
            <w:r w:rsidRPr="00260CE3">
              <w:rPr>
                <w:rFonts w:ascii="Arial Narrow" w:hAnsi="Arial Narrow"/>
                <w:sz w:val="20"/>
                <w:szCs w:val="20"/>
              </w:rPr>
              <w:fldChar w:fldCharType="begin">
                <w:ffData>
                  <w:name w:val="Check5"/>
                  <w:enabled/>
                  <w:calcOnExit w:val="0"/>
                  <w:checkBox>
                    <w:sizeAuto/>
                    <w:default w:val="0"/>
                  </w:checkBox>
                </w:ffData>
              </w:fldChar>
            </w:r>
            <w:r w:rsidRPr="00260CE3">
              <w:rPr>
                <w:rFonts w:ascii="Arial Narrow" w:hAnsi="Arial Narrow"/>
                <w:sz w:val="20"/>
                <w:szCs w:val="20"/>
              </w:rPr>
              <w:instrText xml:space="preserve"> FORMCHECKBOX </w:instrText>
            </w:r>
            <w:r w:rsidR="00817E38">
              <w:rPr>
                <w:rFonts w:ascii="Arial Narrow" w:hAnsi="Arial Narrow"/>
                <w:sz w:val="20"/>
                <w:szCs w:val="20"/>
              </w:rPr>
            </w:r>
            <w:r w:rsidR="00817E38">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Midwives</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sidRPr="00260CE3">
              <w:rPr>
                <w:rFonts w:ascii="Arial Narrow" w:hAnsi="Arial Narrow"/>
                <w:b/>
                <w:sz w:val="20"/>
                <w:szCs w:val="20"/>
              </w:rPr>
              <w:t>Condition:</w:t>
            </w:r>
          </w:p>
        </w:tc>
        <w:tc>
          <w:tcPr>
            <w:tcW w:w="3984" w:type="pct"/>
            <w:gridSpan w:val="7"/>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sz w:val="20"/>
                <w:szCs w:val="20"/>
              </w:rPr>
            </w:pPr>
            <w:r>
              <w:rPr>
                <w:rFonts w:ascii="Arial Narrow" w:hAnsi="Arial Narrow"/>
                <w:i/>
                <w:sz w:val="20"/>
              </w:rPr>
              <w:t>Active n</w:t>
            </w:r>
            <w:r w:rsidRPr="00163013">
              <w:rPr>
                <w:rFonts w:ascii="Arial Narrow" w:hAnsi="Arial Narrow"/>
                <w:strike/>
                <w:sz w:val="20"/>
              </w:rPr>
              <w:t>N</w:t>
            </w:r>
            <w:r>
              <w:rPr>
                <w:rFonts w:ascii="Arial Narrow" w:hAnsi="Arial Narrow"/>
                <w:sz w:val="20"/>
              </w:rPr>
              <w:t>onradiographic axial spondyloarthritis</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Default="00C26E32" w:rsidP="006E4BDB">
            <w:pPr>
              <w:widowControl/>
              <w:rPr>
                <w:rFonts w:ascii="Arial Narrow" w:hAnsi="Arial Narrow"/>
                <w:b/>
                <w:sz w:val="20"/>
                <w:szCs w:val="20"/>
              </w:rPr>
            </w:pPr>
            <w:r w:rsidRPr="00260CE3">
              <w:rPr>
                <w:rFonts w:ascii="Arial Narrow" w:hAnsi="Arial Narrow"/>
                <w:b/>
                <w:sz w:val="20"/>
                <w:szCs w:val="20"/>
              </w:rPr>
              <w:t>PBS Indication:</w:t>
            </w:r>
          </w:p>
          <w:p w:rsidR="00C26E32" w:rsidRPr="00AE058A" w:rsidRDefault="00C26E32" w:rsidP="006E4BDB">
            <w:pPr>
              <w:widowControl/>
              <w:rPr>
                <w:rFonts w:ascii="Arial Narrow" w:hAnsi="Arial Narrow"/>
                <w:i/>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sz w:val="20"/>
                <w:szCs w:val="20"/>
              </w:rPr>
            </w:pPr>
            <w:r>
              <w:rPr>
                <w:rFonts w:ascii="Arial Narrow" w:hAnsi="Arial Narrow"/>
                <w:i/>
                <w:sz w:val="20"/>
              </w:rPr>
              <w:t>Active n</w:t>
            </w:r>
            <w:r w:rsidRPr="00163013">
              <w:rPr>
                <w:rFonts w:ascii="Arial Narrow" w:hAnsi="Arial Narrow"/>
                <w:strike/>
                <w:sz w:val="20"/>
              </w:rPr>
              <w:t>N</w:t>
            </w:r>
            <w:r>
              <w:rPr>
                <w:rFonts w:ascii="Arial Narrow" w:hAnsi="Arial Narrow"/>
                <w:sz w:val="20"/>
              </w:rPr>
              <w:t>onradiographic axial spondyloarthritis</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sidRPr="00260CE3">
              <w:rPr>
                <w:rFonts w:ascii="Arial Narrow" w:hAnsi="Arial Narrow"/>
                <w:b/>
                <w:sz w:val="20"/>
                <w:szCs w:val="20"/>
              </w:rPr>
              <w:t>Treatment phase:</w:t>
            </w:r>
          </w:p>
          <w:p w:rsidR="00C26E32" w:rsidRPr="00260CE3" w:rsidRDefault="00C26E32" w:rsidP="006E4BDB">
            <w:pPr>
              <w:widowControl/>
              <w:rPr>
                <w:rFonts w:ascii="Arial Narrow" w:hAnsi="Arial Narrow"/>
                <w:i/>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sz w:val="20"/>
                <w:szCs w:val="20"/>
              </w:rPr>
            </w:pPr>
            <w:r>
              <w:rPr>
                <w:rFonts w:ascii="Arial Narrow" w:hAnsi="Arial Narrow"/>
                <w:sz w:val="20"/>
              </w:rPr>
              <w:t xml:space="preserve">Initial treatment – initial 1 (new patients </w:t>
            </w:r>
            <w:r w:rsidRPr="008F1464">
              <w:rPr>
                <w:rFonts w:ascii="Arial Narrow" w:hAnsi="Arial Narrow"/>
                <w:strike/>
                <w:sz w:val="20"/>
              </w:rPr>
              <w:t>or patients recommencing after a break of more than 24 months</w:t>
            </w:r>
            <w:r>
              <w:rPr>
                <w:rFonts w:ascii="Arial Narrow" w:hAnsi="Arial Narrow"/>
                <w:sz w:val="20"/>
              </w:rPr>
              <w:t>)</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Pr>
                <w:rFonts w:ascii="Arial Narrow" w:hAnsi="Arial Narrow"/>
                <w:b/>
                <w:sz w:val="20"/>
                <w:szCs w:val="20"/>
              </w:rPr>
              <w:t>Clinical</w:t>
            </w:r>
            <w:r w:rsidRPr="00260CE3">
              <w:rPr>
                <w:rFonts w:ascii="Arial Narrow" w:hAnsi="Arial Narrow"/>
                <w:b/>
                <w:sz w:val="20"/>
                <w:szCs w:val="20"/>
              </w:rPr>
              <w:t xml:space="preserve"> criteria:</w:t>
            </w:r>
          </w:p>
          <w:p w:rsidR="00C26E32" w:rsidRPr="00C26E32" w:rsidRDefault="00C26E32" w:rsidP="006E4BDB">
            <w:pPr>
              <w:widowControl/>
              <w:rPr>
                <w:rFonts w:ascii="Arial Narrow" w:hAnsi="Arial Narrow"/>
                <w:b/>
                <w:sz w:val="20"/>
                <w:szCs w:val="20"/>
              </w:rPr>
            </w:pPr>
          </w:p>
          <w:p w:rsidR="00C26E32" w:rsidRPr="00C26E32" w:rsidRDefault="00C26E32" w:rsidP="006E4BDB">
            <w:pPr>
              <w:widowControl/>
              <w:rPr>
                <w:rFonts w:ascii="Arial Narrow" w:hAnsi="Arial Narrow"/>
                <w:b/>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C26E32" w:rsidRDefault="00C26E32" w:rsidP="006E4BDB">
            <w:pPr>
              <w:widowControl/>
              <w:rPr>
                <w:rFonts w:ascii="Arial Narrow" w:hAnsi="Arial Narrow"/>
                <w:sz w:val="20"/>
              </w:rPr>
            </w:pPr>
            <w:r w:rsidRPr="00C26E32">
              <w:rPr>
                <w:rFonts w:ascii="Arial Narrow" w:hAnsi="Arial Narrow"/>
                <w:strike/>
                <w:sz w:val="20"/>
              </w:rPr>
              <w:lastRenderedPageBreak/>
              <w:t>Patient</w:t>
            </w:r>
            <w:r w:rsidRPr="00C26E32">
              <w:rPr>
                <w:rFonts w:ascii="Arial Narrow" w:hAnsi="Arial Narrow"/>
                <w:sz w:val="20"/>
              </w:rPr>
              <w:t xml:space="preserve"> </w:t>
            </w:r>
            <w:r w:rsidRPr="00C26E32">
              <w:rPr>
                <w:rFonts w:ascii="Arial Narrow" w:hAnsi="Arial Narrow"/>
                <w:i/>
                <w:sz w:val="20"/>
              </w:rPr>
              <w:t xml:space="preserve">The condition must be nonradiographic axial spondyloarthritis, as defined by </w:t>
            </w:r>
            <w:r w:rsidRPr="00C26E32">
              <w:rPr>
                <w:rFonts w:ascii="Arial Narrow" w:hAnsi="Arial Narrow"/>
                <w:i/>
                <w:sz w:val="20"/>
              </w:rPr>
              <w:lastRenderedPageBreak/>
              <w:t>Assessment of Spondyloarthritis International Society (ASAS) criteria.</w:t>
            </w:r>
          </w:p>
          <w:p w:rsidR="00C26E32" w:rsidRPr="00F66FBC" w:rsidRDefault="00C26E32" w:rsidP="006E4BDB">
            <w:pPr>
              <w:widowControl/>
              <w:rPr>
                <w:rFonts w:ascii="Arial Narrow" w:hAnsi="Arial Narrow"/>
                <w:sz w:val="20"/>
              </w:rPr>
            </w:pPr>
            <w:r w:rsidRPr="00F66FBC">
              <w:rPr>
                <w:rFonts w:ascii="Arial Narrow" w:hAnsi="Arial Narrow"/>
                <w:sz w:val="20"/>
              </w:rPr>
              <w:t>AND</w:t>
            </w:r>
          </w:p>
          <w:p w:rsidR="00C26E32" w:rsidRPr="00F66FBC" w:rsidRDefault="00C26E32" w:rsidP="006E4BDB">
            <w:pPr>
              <w:widowControl/>
              <w:rPr>
                <w:rFonts w:ascii="Arial Narrow" w:hAnsi="Arial Narrow"/>
                <w:sz w:val="20"/>
              </w:rPr>
            </w:pPr>
            <w:r w:rsidRPr="00F66FBC">
              <w:rPr>
                <w:rFonts w:ascii="Arial Narrow" w:hAnsi="Arial Narrow"/>
                <w:sz w:val="20"/>
              </w:rPr>
              <w:t>Patient must have chronic back pain for 3 months or more,</w:t>
            </w:r>
          </w:p>
          <w:p w:rsidR="00C26E32" w:rsidRPr="00C26E32" w:rsidRDefault="00C26E32" w:rsidP="006E4BDB">
            <w:pPr>
              <w:widowControl/>
              <w:rPr>
                <w:rFonts w:ascii="Arial Narrow" w:hAnsi="Arial Narrow"/>
                <w:strike/>
                <w:sz w:val="20"/>
              </w:rPr>
            </w:pPr>
            <w:r w:rsidRPr="00C26E32">
              <w:rPr>
                <w:rFonts w:ascii="Arial Narrow" w:hAnsi="Arial Narrow"/>
                <w:strike/>
                <w:sz w:val="20"/>
              </w:rPr>
              <w:t>AND</w:t>
            </w:r>
          </w:p>
          <w:p w:rsidR="00C26E32" w:rsidRPr="00C26E32" w:rsidRDefault="00C26E32" w:rsidP="006E4BDB">
            <w:pPr>
              <w:widowControl/>
              <w:rPr>
                <w:rFonts w:ascii="Arial Narrow" w:hAnsi="Arial Narrow"/>
                <w:sz w:val="20"/>
              </w:rPr>
            </w:pPr>
            <w:r w:rsidRPr="00C26E32">
              <w:rPr>
                <w:rFonts w:ascii="Arial Narrow" w:hAnsi="Arial Narrow"/>
                <w:strike/>
                <w:sz w:val="20"/>
              </w:rPr>
              <w:t>Age of onset of chronic back pain must have been less than 45 years</w:t>
            </w:r>
            <w:r w:rsidRPr="00C26E32">
              <w:rPr>
                <w:rFonts w:ascii="Arial Narrow" w:hAnsi="Arial Narrow"/>
                <w:sz w:val="20"/>
              </w:rPr>
              <w:t>,</w:t>
            </w:r>
          </w:p>
          <w:p w:rsidR="00C26E32" w:rsidRPr="00C26E32" w:rsidRDefault="00C26E32" w:rsidP="006E4BDB">
            <w:pPr>
              <w:widowControl/>
              <w:rPr>
                <w:rFonts w:ascii="Arial Narrow" w:hAnsi="Arial Narrow"/>
                <w:strike/>
                <w:sz w:val="20"/>
              </w:rPr>
            </w:pPr>
            <w:r w:rsidRPr="00C26E32">
              <w:rPr>
                <w:rFonts w:ascii="Arial Narrow" w:hAnsi="Arial Narrow"/>
                <w:strike/>
                <w:sz w:val="20"/>
              </w:rPr>
              <w:t>AND</w:t>
            </w:r>
          </w:p>
          <w:p w:rsidR="00C26E32" w:rsidRPr="00C26E32" w:rsidRDefault="00C26E32" w:rsidP="006E4BDB">
            <w:pPr>
              <w:widowControl/>
              <w:rPr>
                <w:rFonts w:ascii="Arial Narrow" w:hAnsi="Arial Narrow"/>
                <w:sz w:val="20"/>
              </w:rPr>
            </w:pPr>
            <w:r w:rsidRPr="00C26E32">
              <w:rPr>
                <w:rFonts w:ascii="Arial Narrow" w:hAnsi="Arial Narrow"/>
                <w:strike/>
                <w:sz w:val="20"/>
              </w:rPr>
              <w:t>Patient must not have failed treatment on PBS-subsidised etanercept within the last 24 months</w:t>
            </w:r>
            <w:r w:rsidRPr="00C26E32">
              <w:rPr>
                <w:rFonts w:ascii="Arial Narrow" w:hAnsi="Arial Narrow"/>
                <w:sz w:val="20"/>
              </w:rPr>
              <w:t>,</w:t>
            </w:r>
          </w:p>
          <w:p w:rsidR="00C26E32" w:rsidRPr="00C26E32" w:rsidRDefault="00C26E32" w:rsidP="006E4BDB">
            <w:pPr>
              <w:widowControl/>
              <w:rPr>
                <w:rFonts w:ascii="Arial Narrow" w:hAnsi="Arial Narrow"/>
                <w:sz w:val="20"/>
              </w:rPr>
            </w:pPr>
            <w:r w:rsidRPr="00C26E32">
              <w:rPr>
                <w:rFonts w:ascii="Arial Narrow" w:hAnsi="Arial Narrow"/>
                <w:sz w:val="20"/>
              </w:rPr>
              <w:t>AND</w:t>
            </w:r>
          </w:p>
          <w:p w:rsidR="00C26E32" w:rsidRPr="00C26E32" w:rsidRDefault="00C26E32" w:rsidP="006E4BDB">
            <w:pPr>
              <w:widowControl/>
              <w:rPr>
                <w:rFonts w:ascii="Arial Narrow" w:hAnsi="Arial Narrow"/>
                <w:strike/>
                <w:sz w:val="20"/>
              </w:rPr>
            </w:pPr>
            <w:r w:rsidRPr="00C26E32">
              <w:rPr>
                <w:rFonts w:ascii="Arial Narrow" w:hAnsi="Arial Narrow"/>
                <w:strike/>
                <w:sz w:val="20"/>
              </w:rPr>
              <w:t>Patient must have:</w:t>
            </w:r>
          </w:p>
          <w:p w:rsidR="00C26E32" w:rsidRPr="00C26E32" w:rsidRDefault="00C26E32" w:rsidP="006E4BDB">
            <w:pPr>
              <w:widowControl/>
              <w:rPr>
                <w:rFonts w:ascii="Arial Narrow" w:hAnsi="Arial Narrow"/>
                <w:sz w:val="20"/>
              </w:rPr>
            </w:pPr>
            <w:r w:rsidRPr="00C26E32">
              <w:rPr>
                <w:rFonts w:ascii="Arial Narrow" w:hAnsi="Arial Narrow"/>
                <w:i/>
                <w:sz w:val="20"/>
              </w:rPr>
              <w:t>The condition must be</w:t>
            </w:r>
            <w:r w:rsidRPr="00C26E32">
              <w:rPr>
                <w:rFonts w:ascii="Arial Narrow" w:hAnsi="Arial Narrow"/>
                <w:sz w:val="20"/>
              </w:rPr>
              <w:t xml:space="preserve"> sacroiliitis </w:t>
            </w:r>
            <w:r w:rsidRPr="00C26E32">
              <w:rPr>
                <w:rFonts w:ascii="Arial Narrow" w:hAnsi="Arial Narrow"/>
                <w:i/>
                <w:sz w:val="20"/>
              </w:rPr>
              <w:t>that is not visible on a plain X-ray but is visible</w:t>
            </w:r>
            <w:r w:rsidRPr="00C26E32">
              <w:rPr>
                <w:rFonts w:ascii="Arial Narrow" w:hAnsi="Arial Narrow"/>
                <w:sz w:val="20"/>
              </w:rPr>
              <w:t xml:space="preserve"> on MRI; and</w:t>
            </w:r>
          </w:p>
          <w:p w:rsidR="00C26E32" w:rsidRPr="00C26E32" w:rsidRDefault="00C26E32" w:rsidP="006E4BDB">
            <w:pPr>
              <w:widowControl/>
              <w:rPr>
                <w:rFonts w:ascii="Arial Narrow" w:hAnsi="Arial Narrow"/>
                <w:sz w:val="20"/>
              </w:rPr>
            </w:pPr>
            <w:r w:rsidRPr="00C26E32">
              <w:rPr>
                <w:rFonts w:ascii="Arial Narrow" w:hAnsi="Arial Narrow"/>
                <w:i/>
                <w:sz w:val="20"/>
              </w:rPr>
              <w:t>The patient must have experienced</w:t>
            </w:r>
            <w:r w:rsidRPr="00C26E32">
              <w:rPr>
                <w:rFonts w:ascii="Arial Narrow" w:hAnsi="Arial Narrow"/>
                <w:sz w:val="20"/>
              </w:rPr>
              <w:t xml:space="preserve"> one or more of the following: </w:t>
            </w:r>
            <w:r w:rsidRPr="00C26E32">
              <w:rPr>
                <w:rFonts w:ascii="Arial Narrow" w:hAnsi="Arial Narrow"/>
                <w:strike/>
                <w:sz w:val="20"/>
              </w:rPr>
              <w:t>Inflammatory back pain</w:t>
            </w:r>
            <w:r w:rsidRPr="00C26E32">
              <w:rPr>
                <w:rFonts w:ascii="Arial Narrow" w:hAnsi="Arial Narrow"/>
                <w:sz w:val="20"/>
              </w:rPr>
              <w:t xml:space="preserve">; (a) Arthritis; (b) Enthesitis (heel); (c) Uveitis; (d) Dactylitis; (e)Psoriasis; (f) Inflammatory bowel disease; </w:t>
            </w:r>
            <w:r w:rsidRPr="00C26E32">
              <w:rPr>
                <w:rFonts w:ascii="Arial Narrow" w:hAnsi="Arial Narrow"/>
                <w:strike/>
                <w:sz w:val="20"/>
              </w:rPr>
              <w:t>Good response to NSAIDs</w:t>
            </w:r>
            <w:r w:rsidRPr="00C26E32">
              <w:rPr>
                <w:rFonts w:ascii="Arial Narrow" w:hAnsi="Arial Narrow"/>
                <w:sz w:val="20"/>
              </w:rPr>
              <w:t xml:space="preserve">; (g) Family history of </w:t>
            </w:r>
            <w:r w:rsidRPr="00C26E32">
              <w:rPr>
                <w:rFonts w:ascii="Arial Narrow" w:hAnsi="Arial Narrow"/>
                <w:strike/>
                <w:sz w:val="20"/>
              </w:rPr>
              <w:t>SpA</w:t>
            </w:r>
            <w:r w:rsidRPr="00C26E32">
              <w:rPr>
                <w:rFonts w:ascii="Arial Narrow" w:hAnsi="Arial Narrow"/>
                <w:sz w:val="20"/>
              </w:rPr>
              <w:t xml:space="preserve"> spondyloarthritis; (h) HLA-B27; or (I) Elevated CRP </w:t>
            </w:r>
          </w:p>
          <w:p w:rsidR="00C26E32" w:rsidRPr="00C26E32" w:rsidRDefault="00C26E32" w:rsidP="006E4BDB">
            <w:pPr>
              <w:widowControl/>
              <w:rPr>
                <w:rFonts w:ascii="Arial Narrow" w:hAnsi="Arial Narrow"/>
                <w:sz w:val="20"/>
              </w:rPr>
            </w:pPr>
            <w:r w:rsidRPr="00C26E32">
              <w:rPr>
                <w:rFonts w:ascii="Arial Narrow" w:hAnsi="Arial Narrow"/>
                <w:sz w:val="20"/>
              </w:rPr>
              <w:t>OR</w:t>
            </w:r>
          </w:p>
          <w:p w:rsidR="00C26E32" w:rsidRPr="00C26E32" w:rsidRDefault="00C26E32" w:rsidP="006E4BDB">
            <w:pPr>
              <w:widowControl/>
              <w:rPr>
                <w:rFonts w:ascii="Arial Narrow" w:hAnsi="Arial Narrow"/>
                <w:sz w:val="20"/>
              </w:rPr>
            </w:pPr>
            <w:r w:rsidRPr="00C26E32">
              <w:rPr>
                <w:rFonts w:ascii="Arial Narrow" w:hAnsi="Arial Narrow"/>
                <w:i/>
                <w:sz w:val="20"/>
              </w:rPr>
              <w:t>The condition</w:t>
            </w:r>
            <w:r w:rsidRPr="00C26E32">
              <w:rPr>
                <w:rFonts w:ascii="Arial Narrow" w:hAnsi="Arial Narrow"/>
                <w:sz w:val="20"/>
              </w:rPr>
              <w:t xml:space="preserve"> </w:t>
            </w:r>
            <w:r w:rsidRPr="00C26E32">
              <w:rPr>
                <w:rFonts w:ascii="Arial Narrow" w:hAnsi="Arial Narrow"/>
                <w:i/>
                <w:sz w:val="20"/>
              </w:rPr>
              <w:t>must have a positive test result for human leukocyte antigen B27</w:t>
            </w:r>
            <w:r w:rsidRPr="00C26E32">
              <w:rPr>
                <w:rFonts w:ascii="Arial Narrow" w:hAnsi="Arial Narrow"/>
                <w:sz w:val="20"/>
              </w:rPr>
              <w:t xml:space="preserve"> </w:t>
            </w:r>
            <w:r w:rsidRPr="00C26E32">
              <w:rPr>
                <w:rFonts w:ascii="Arial Narrow" w:hAnsi="Arial Narrow"/>
                <w:strike/>
                <w:sz w:val="20"/>
              </w:rPr>
              <w:t>elevated</w:t>
            </w:r>
            <w:r w:rsidRPr="00C26E32">
              <w:rPr>
                <w:rFonts w:ascii="Arial Narrow" w:hAnsi="Arial Narrow"/>
                <w:sz w:val="20"/>
              </w:rPr>
              <w:t xml:space="preserve"> (HLA-B27); and</w:t>
            </w:r>
          </w:p>
          <w:p w:rsidR="00C26E32" w:rsidRPr="00C26E32" w:rsidRDefault="00C26E32" w:rsidP="006E4BDB">
            <w:pPr>
              <w:widowControl/>
              <w:rPr>
                <w:rFonts w:ascii="Arial Narrow" w:hAnsi="Arial Narrow"/>
                <w:i/>
                <w:sz w:val="20"/>
              </w:rPr>
            </w:pPr>
            <w:r w:rsidRPr="00C26E32">
              <w:rPr>
                <w:rFonts w:ascii="Arial Narrow" w:hAnsi="Arial Narrow"/>
                <w:i/>
                <w:sz w:val="20"/>
              </w:rPr>
              <w:t>The condition must have an elevated C-reactive protein (CRP) level of greater than the upper limit of normal; and</w:t>
            </w:r>
          </w:p>
          <w:p w:rsidR="00C26E32" w:rsidRPr="00C26E32" w:rsidRDefault="00C26E32" w:rsidP="006E4BDB">
            <w:pPr>
              <w:widowControl/>
              <w:rPr>
                <w:rFonts w:ascii="Arial Narrow" w:hAnsi="Arial Narrow"/>
                <w:sz w:val="20"/>
              </w:rPr>
            </w:pPr>
            <w:r w:rsidRPr="00C26E32">
              <w:rPr>
                <w:rFonts w:ascii="Arial Narrow" w:hAnsi="Arial Narrow"/>
                <w:i/>
                <w:sz w:val="20"/>
              </w:rPr>
              <w:t>Patient must have experienced</w:t>
            </w:r>
            <w:r w:rsidRPr="00C26E32">
              <w:rPr>
                <w:rFonts w:ascii="Arial Narrow" w:hAnsi="Arial Narrow"/>
                <w:sz w:val="20"/>
              </w:rPr>
              <w:t xml:space="preserve"> one or more of the following: </w:t>
            </w:r>
            <w:r w:rsidRPr="00C26E32">
              <w:rPr>
                <w:rFonts w:ascii="Arial Narrow" w:hAnsi="Arial Narrow"/>
                <w:strike/>
                <w:sz w:val="20"/>
              </w:rPr>
              <w:t>Inflammatory back pain</w:t>
            </w:r>
            <w:r w:rsidRPr="00C26E32">
              <w:rPr>
                <w:rFonts w:ascii="Arial Narrow" w:hAnsi="Arial Narrow"/>
                <w:sz w:val="20"/>
              </w:rPr>
              <w:t xml:space="preserve">; (a) Arthritis; (b) Enthesitis (heel); (c) Uveitis; (d) Dactylitis; (e)Psoriasis; (f) Inflammatory bowel disease; </w:t>
            </w:r>
            <w:r w:rsidRPr="00C26E32">
              <w:rPr>
                <w:rFonts w:ascii="Arial Narrow" w:hAnsi="Arial Narrow"/>
                <w:strike/>
                <w:sz w:val="20"/>
              </w:rPr>
              <w:t>Good response to NSAIDs</w:t>
            </w:r>
            <w:r w:rsidRPr="00C26E32">
              <w:rPr>
                <w:rFonts w:ascii="Arial Narrow" w:hAnsi="Arial Narrow"/>
                <w:sz w:val="20"/>
              </w:rPr>
              <w:t xml:space="preserve">; (g) Family history of </w:t>
            </w:r>
            <w:r w:rsidRPr="00C26E32">
              <w:rPr>
                <w:rFonts w:ascii="Arial Narrow" w:hAnsi="Arial Narrow"/>
                <w:strike/>
                <w:sz w:val="20"/>
              </w:rPr>
              <w:t>SpA</w:t>
            </w:r>
            <w:r w:rsidRPr="00C26E32">
              <w:rPr>
                <w:rFonts w:ascii="Arial Narrow" w:hAnsi="Arial Narrow"/>
                <w:sz w:val="20"/>
              </w:rPr>
              <w:t xml:space="preserve"> spondyloarthritis</w:t>
            </w:r>
          </w:p>
          <w:p w:rsidR="00C26E32" w:rsidRPr="00C26E32" w:rsidRDefault="00C26E32" w:rsidP="006E4BDB">
            <w:pPr>
              <w:widowControl/>
              <w:rPr>
                <w:rFonts w:ascii="Arial Narrow" w:hAnsi="Arial Narrow"/>
                <w:sz w:val="20"/>
              </w:rPr>
            </w:pPr>
            <w:r w:rsidRPr="00C26E32">
              <w:rPr>
                <w:rFonts w:ascii="Arial Narrow" w:hAnsi="Arial Narrow"/>
                <w:sz w:val="20"/>
              </w:rPr>
              <w:t>AND</w:t>
            </w:r>
          </w:p>
          <w:p w:rsidR="00C26E32" w:rsidRPr="00FE2CBC" w:rsidRDefault="00C26E32" w:rsidP="006E4BDB">
            <w:pPr>
              <w:widowControl/>
              <w:rPr>
                <w:rFonts w:ascii="Arial Narrow" w:hAnsi="Arial Narrow"/>
                <w:i/>
                <w:sz w:val="20"/>
              </w:rPr>
            </w:pPr>
            <w:r w:rsidRPr="00C26E32">
              <w:rPr>
                <w:rFonts w:ascii="Arial Narrow" w:hAnsi="Arial Narrow"/>
                <w:sz w:val="20"/>
              </w:rPr>
              <w:t xml:space="preserve">Patient must have a </w:t>
            </w:r>
            <w:r w:rsidRPr="00D1172D">
              <w:rPr>
                <w:rFonts w:ascii="Arial Narrow" w:hAnsi="Arial Narrow"/>
                <w:i/>
                <w:sz w:val="20"/>
              </w:rPr>
              <w:t>Bath Ankylosing Spondylitis Disease Activity Index</w:t>
            </w:r>
            <w:r w:rsidRPr="00C26E32">
              <w:rPr>
                <w:rFonts w:ascii="Arial Narrow" w:hAnsi="Arial Narrow"/>
                <w:sz w:val="20"/>
              </w:rPr>
              <w:t xml:space="preserve"> (BASDAI) of </w:t>
            </w:r>
            <w:r w:rsidRPr="00D1172D">
              <w:rPr>
                <w:rFonts w:ascii="Arial Narrow" w:hAnsi="Arial Narrow"/>
                <w:i/>
                <w:strike/>
                <w:sz w:val="20"/>
              </w:rPr>
              <w:t>≥</w:t>
            </w:r>
            <w:r w:rsidRPr="00D1172D">
              <w:rPr>
                <w:rFonts w:ascii="Arial Narrow" w:hAnsi="Arial Narrow"/>
                <w:i/>
                <w:sz w:val="20"/>
              </w:rPr>
              <w:t xml:space="preserve"> at least 4</w:t>
            </w:r>
          </w:p>
          <w:p w:rsidR="00C26E32" w:rsidRPr="00C26E32" w:rsidRDefault="00FE2CBC" w:rsidP="006E4BDB">
            <w:pPr>
              <w:widowControl/>
              <w:rPr>
                <w:rFonts w:ascii="Arial Narrow" w:hAnsi="Arial Narrow"/>
                <w:sz w:val="20"/>
              </w:rPr>
            </w:pPr>
            <w:r>
              <w:rPr>
                <w:rFonts w:ascii="Arial Narrow" w:hAnsi="Arial Narrow"/>
                <w:sz w:val="20"/>
              </w:rPr>
              <w:t>AND</w:t>
            </w:r>
          </w:p>
          <w:p w:rsidR="00C26E32" w:rsidRPr="00C26E32" w:rsidRDefault="00C26E32" w:rsidP="006E4BDB">
            <w:pPr>
              <w:widowControl/>
              <w:rPr>
                <w:rFonts w:ascii="Arial Narrow" w:hAnsi="Arial Narrow"/>
                <w:sz w:val="20"/>
              </w:rPr>
            </w:pPr>
            <w:r w:rsidRPr="00C26E32">
              <w:rPr>
                <w:rFonts w:ascii="Arial Narrow" w:hAnsi="Arial Narrow"/>
                <w:sz w:val="20"/>
              </w:rPr>
              <w:t>Patient must have chronic back pain for 3 months or more</w:t>
            </w:r>
          </w:p>
          <w:p w:rsidR="00C26E32" w:rsidRPr="00C26E32" w:rsidRDefault="00C26E32" w:rsidP="006E4BDB">
            <w:pPr>
              <w:widowControl/>
              <w:rPr>
                <w:rFonts w:ascii="Arial Narrow" w:hAnsi="Arial Narrow"/>
                <w:sz w:val="20"/>
              </w:rPr>
            </w:pPr>
            <w:r w:rsidRPr="00C26E32">
              <w:rPr>
                <w:rFonts w:ascii="Arial Narrow" w:hAnsi="Arial Narrow"/>
                <w:sz w:val="20"/>
              </w:rPr>
              <w:t>AND</w:t>
            </w:r>
          </w:p>
          <w:p w:rsidR="00C26E32" w:rsidRPr="00C26E32" w:rsidRDefault="00C26E32" w:rsidP="006E4BDB">
            <w:pPr>
              <w:widowControl/>
              <w:rPr>
                <w:rFonts w:ascii="Arial Narrow" w:hAnsi="Arial Narrow"/>
                <w:sz w:val="20"/>
              </w:rPr>
            </w:pPr>
            <w:r w:rsidRPr="00C26E32">
              <w:rPr>
                <w:rFonts w:ascii="Arial Narrow" w:hAnsi="Arial Narrow"/>
                <w:sz w:val="20"/>
              </w:rPr>
              <w:t xml:space="preserve">Patient must have failed to achieve an adequate response following treatment with </w:t>
            </w:r>
            <w:r w:rsidRPr="00D1172D">
              <w:rPr>
                <w:rFonts w:ascii="Arial Narrow" w:hAnsi="Arial Narrow"/>
                <w:i/>
                <w:sz w:val="20"/>
              </w:rPr>
              <w:t>at least 2 nonsteroidal anti-inflammatory drugs</w:t>
            </w:r>
            <w:r w:rsidRPr="00C26E32">
              <w:rPr>
                <w:rFonts w:ascii="Arial Narrow" w:hAnsi="Arial Narrow"/>
                <w:sz w:val="20"/>
              </w:rPr>
              <w:t xml:space="preserve"> (NSAIDs), </w:t>
            </w:r>
            <w:r w:rsidRPr="00D1172D">
              <w:rPr>
                <w:rFonts w:ascii="Arial Narrow" w:hAnsi="Arial Narrow"/>
                <w:i/>
                <w:sz w:val="20"/>
              </w:rPr>
              <w:t>at the optimal dose</w:t>
            </w:r>
            <w:r w:rsidRPr="00C26E32">
              <w:rPr>
                <w:rFonts w:ascii="Arial Narrow" w:hAnsi="Arial Narrow"/>
                <w:sz w:val="20"/>
              </w:rPr>
              <w:t>, for a total period of 3 months.</w:t>
            </w:r>
          </w:p>
          <w:p w:rsidR="00C26E32" w:rsidRPr="00C26E32" w:rsidRDefault="00C26E32" w:rsidP="006E4BDB">
            <w:pPr>
              <w:widowControl/>
              <w:rPr>
                <w:rFonts w:ascii="Arial Narrow" w:hAnsi="Arial Narrow"/>
                <w:sz w:val="20"/>
              </w:rPr>
            </w:pPr>
            <w:r w:rsidRPr="00C26E32">
              <w:rPr>
                <w:rFonts w:ascii="Arial Narrow" w:hAnsi="Arial Narrow"/>
                <w:sz w:val="20"/>
              </w:rPr>
              <w:t>AND</w:t>
            </w:r>
          </w:p>
          <w:p w:rsidR="00C26E32" w:rsidRPr="00C26E32" w:rsidRDefault="00C26E32" w:rsidP="006E4BDB">
            <w:pPr>
              <w:widowControl/>
              <w:rPr>
                <w:rFonts w:ascii="Arial Narrow" w:hAnsi="Arial Narrow"/>
                <w:sz w:val="20"/>
              </w:rPr>
            </w:pPr>
            <w:r w:rsidRPr="00C26E32">
              <w:rPr>
                <w:rFonts w:ascii="Arial Narrow" w:hAnsi="Arial Narrow"/>
                <w:sz w:val="20"/>
              </w:rPr>
              <w:t>Patient must not receive more than 16 weeks of therapy under this restriction</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sidRPr="00260CE3">
              <w:rPr>
                <w:rFonts w:ascii="Arial Narrow" w:hAnsi="Arial Narrow"/>
                <w:b/>
                <w:sz w:val="20"/>
                <w:szCs w:val="20"/>
              </w:rPr>
              <w:lastRenderedPageBreak/>
              <w:t>Treatment phase:</w:t>
            </w:r>
          </w:p>
          <w:p w:rsidR="00C26E32" w:rsidRPr="00C26E32" w:rsidRDefault="00C26E32" w:rsidP="006E4BDB">
            <w:pPr>
              <w:widowControl/>
              <w:rPr>
                <w:rFonts w:ascii="Arial Narrow" w:hAnsi="Arial Narrow"/>
                <w:b/>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C26E32" w:rsidRDefault="00C26E32" w:rsidP="006E4BDB">
            <w:pPr>
              <w:widowControl/>
              <w:rPr>
                <w:rFonts w:ascii="Arial Narrow" w:hAnsi="Arial Narrow"/>
                <w:sz w:val="20"/>
              </w:rPr>
            </w:pPr>
            <w:r>
              <w:rPr>
                <w:rFonts w:ascii="Arial Narrow" w:hAnsi="Arial Narrow"/>
                <w:sz w:val="20"/>
              </w:rPr>
              <w:t>Initial treatment – initial 2 (</w:t>
            </w:r>
            <w:r w:rsidRPr="00C26E32">
              <w:rPr>
                <w:rFonts w:ascii="Arial Narrow" w:hAnsi="Arial Narrow"/>
                <w:sz w:val="20"/>
              </w:rPr>
              <w:t xml:space="preserve">re-commencement </w:t>
            </w:r>
            <w:r w:rsidRPr="00D1172D">
              <w:rPr>
                <w:rFonts w:ascii="Arial Narrow" w:hAnsi="Arial Narrow"/>
                <w:strike/>
                <w:sz w:val="20"/>
              </w:rPr>
              <w:t>of treatment after break of less than 24 months</w:t>
            </w:r>
            <w:r>
              <w:rPr>
                <w:rFonts w:ascii="Arial Narrow" w:hAnsi="Arial Narrow"/>
                <w:sz w:val="20"/>
              </w:rPr>
              <w:t>)</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Pr>
                <w:rFonts w:ascii="Arial Narrow" w:hAnsi="Arial Narrow"/>
                <w:b/>
                <w:sz w:val="20"/>
                <w:szCs w:val="20"/>
              </w:rPr>
              <w:t>Clinical</w:t>
            </w:r>
            <w:r w:rsidRPr="00260CE3">
              <w:rPr>
                <w:rFonts w:ascii="Arial Narrow" w:hAnsi="Arial Narrow"/>
                <w:b/>
                <w:sz w:val="20"/>
                <w:szCs w:val="20"/>
              </w:rPr>
              <w:t xml:space="preserve"> criteria:</w:t>
            </w:r>
          </w:p>
          <w:p w:rsidR="00C26E32" w:rsidRPr="00C26E32" w:rsidRDefault="00C26E32" w:rsidP="006E4BDB">
            <w:pPr>
              <w:widowControl/>
              <w:rPr>
                <w:rFonts w:ascii="Arial Narrow" w:hAnsi="Arial Narrow"/>
                <w:b/>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C26E32" w:rsidRDefault="00C26E32" w:rsidP="006E4BDB">
            <w:pPr>
              <w:widowControl/>
              <w:rPr>
                <w:rFonts w:ascii="Arial Narrow" w:hAnsi="Arial Narrow"/>
                <w:sz w:val="20"/>
              </w:rPr>
            </w:pPr>
            <w:r w:rsidRPr="00C26E32">
              <w:rPr>
                <w:rFonts w:ascii="Arial Narrow" w:hAnsi="Arial Narrow"/>
                <w:sz w:val="20"/>
              </w:rPr>
              <w:t>Patient must have a documented history of nonradiographic axial spondyloarthritis,</w:t>
            </w:r>
          </w:p>
          <w:p w:rsidR="00C26E32" w:rsidRPr="00C26E32" w:rsidRDefault="00C26E32" w:rsidP="006E4BDB">
            <w:pPr>
              <w:widowControl/>
              <w:rPr>
                <w:rFonts w:ascii="Arial Narrow" w:hAnsi="Arial Narrow"/>
                <w:sz w:val="20"/>
              </w:rPr>
            </w:pPr>
            <w:r w:rsidRPr="00C26E32">
              <w:rPr>
                <w:rFonts w:ascii="Arial Narrow" w:hAnsi="Arial Narrow"/>
                <w:sz w:val="20"/>
              </w:rPr>
              <w:t>AND</w:t>
            </w:r>
          </w:p>
          <w:p w:rsidR="00C26E32" w:rsidRPr="00C26E32" w:rsidRDefault="00C26E32" w:rsidP="006E4BDB">
            <w:pPr>
              <w:widowControl/>
              <w:rPr>
                <w:rFonts w:ascii="Arial Narrow" w:hAnsi="Arial Narrow"/>
                <w:sz w:val="20"/>
              </w:rPr>
            </w:pPr>
            <w:r w:rsidRPr="00C26E32">
              <w:rPr>
                <w:rFonts w:ascii="Arial Narrow" w:hAnsi="Arial Narrow"/>
                <w:sz w:val="20"/>
              </w:rPr>
              <w:t xml:space="preserve">Patient must have previously received </w:t>
            </w:r>
            <w:r w:rsidRPr="00D1172D">
              <w:rPr>
                <w:rFonts w:ascii="Arial Narrow" w:hAnsi="Arial Narrow"/>
                <w:strike/>
                <w:sz w:val="20"/>
              </w:rPr>
              <w:t>prior treatment</w:t>
            </w:r>
            <w:r w:rsidRPr="00C26E32">
              <w:rPr>
                <w:rFonts w:ascii="Arial Narrow" w:hAnsi="Arial Narrow"/>
                <w:sz w:val="20"/>
              </w:rPr>
              <w:t xml:space="preserve"> PBS-subsidised therapy with this drug for this condition </w:t>
            </w:r>
            <w:r w:rsidRPr="00D1172D">
              <w:rPr>
                <w:rFonts w:ascii="Arial Narrow" w:hAnsi="Arial Narrow"/>
                <w:strike/>
                <w:sz w:val="20"/>
              </w:rPr>
              <w:t>and is eligible to receive further therapy</w:t>
            </w:r>
          </w:p>
          <w:p w:rsidR="00C26E32" w:rsidRPr="00D1172D" w:rsidRDefault="00C26E32" w:rsidP="006E4BDB">
            <w:pPr>
              <w:widowControl/>
              <w:rPr>
                <w:rFonts w:ascii="Arial Narrow" w:hAnsi="Arial Narrow"/>
                <w:i/>
                <w:sz w:val="20"/>
              </w:rPr>
            </w:pPr>
            <w:r w:rsidRPr="00D1172D">
              <w:rPr>
                <w:rFonts w:ascii="Arial Narrow" w:hAnsi="Arial Narrow"/>
                <w:i/>
                <w:sz w:val="20"/>
              </w:rPr>
              <w:t>AND</w:t>
            </w:r>
          </w:p>
          <w:p w:rsidR="00C26E32" w:rsidRPr="00D1172D" w:rsidRDefault="00C26E32" w:rsidP="006E4BDB">
            <w:pPr>
              <w:widowControl/>
              <w:rPr>
                <w:rFonts w:ascii="Arial Narrow" w:hAnsi="Arial Narrow"/>
                <w:i/>
                <w:sz w:val="20"/>
              </w:rPr>
            </w:pPr>
            <w:r w:rsidRPr="00D1172D">
              <w:rPr>
                <w:rFonts w:ascii="Arial Narrow" w:hAnsi="Arial Narrow"/>
                <w:i/>
                <w:sz w:val="20"/>
              </w:rPr>
              <w:t>Patient must have previously demonstrated an adequate response to PBS-subsidised therapy with this drug for this condition</w:t>
            </w:r>
          </w:p>
          <w:p w:rsidR="00C26E32" w:rsidRPr="00D1172D" w:rsidRDefault="00C26E32" w:rsidP="006E4BDB">
            <w:pPr>
              <w:widowControl/>
              <w:rPr>
                <w:rFonts w:ascii="Arial Narrow" w:hAnsi="Arial Narrow"/>
                <w:i/>
                <w:sz w:val="20"/>
              </w:rPr>
            </w:pPr>
            <w:r w:rsidRPr="00D1172D">
              <w:rPr>
                <w:rFonts w:ascii="Arial Narrow" w:hAnsi="Arial Narrow"/>
                <w:i/>
                <w:sz w:val="20"/>
              </w:rPr>
              <w:t>AND</w:t>
            </w:r>
          </w:p>
          <w:p w:rsidR="00C26E32" w:rsidRPr="00FE2CBC" w:rsidRDefault="00C26E32" w:rsidP="006E4BDB">
            <w:pPr>
              <w:widowControl/>
              <w:rPr>
                <w:rFonts w:ascii="Arial Narrow" w:hAnsi="Arial Narrow"/>
                <w:i/>
                <w:sz w:val="20"/>
              </w:rPr>
            </w:pPr>
            <w:r w:rsidRPr="00D1172D">
              <w:rPr>
                <w:rFonts w:ascii="Arial Narrow" w:hAnsi="Arial Narrow"/>
                <w:i/>
                <w:sz w:val="20"/>
              </w:rPr>
              <w:t>Patient must not receive more than 16 weeks of therapy under this restriction</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sidRPr="00260CE3">
              <w:rPr>
                <w:rFonts w:ascii="Arial Narrow" w:hAnsi="Arial Narrow"/>
                <w:b/>
                <w:sz w:val="20"/>
                <w:szCs w:val="20"/>
              </w:rPr>
              <w:t>Treatment phase:</w:t>
            </w:r>
          </w:p>
          <w:p w:rsidR="00C26E32" w:rsidRPr="00C26E32" w:rsidRDefault="00C26E32" w:rsidP="006E4BDB">
            <w:pPr>
              <w:widowControl/>
              <w:rPr>
                <w:rFonts w:ascii="Arial Narrow" w:hAnsi="Arial Narrow"/>
                <w:b/>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C26E32" w:rsidRDefault="00C26E32" w:rsidP="006E4BDB">
            <w:pPr>
              <w:widowControl/>
              <w:rPr>
                <w:rFonts w:ascii="Arial Narrow" w:hAnsi="Arial Narrow"/>
                <w:sz w:val="20"/>
              </w:rPr>
            </w:pPr>
            <w:r>
              <w:rPr>
                <w:rFonts w:ascii="Arial Narrow" w:hAnsi="Arial Narrow"/>
                <w:sz w:val="20"/>
              </w:rPr>
              <w:t>Continuing treatment</w:t>
            </w:r>
          </w:p>
        </w:tc>
      </w:tr>
      <w:tr w:rsidR="00C26E32" w:rsidRPr="00260CE3" w:rsidTr="00FE2CBC">
        <w:tblPrEx>
          <w:tblCellMar>
            <w:left w:w="108" w:type="dxa"/>
            <w:right w:w="108" w:type="dxa"/>
          </w:tblCellMar>
        </w:tblPrEx>
        <w:trPr>
          <w:trHeight w:val="360"/>
        </w:trPr>
        <w:tc>
          <w:tcPr>
            <w:tcW w:w="1016" w:type="pct"/>
            <w:tcBorders>
              <w:top w:val="single" w:sz="4" w:space="0" w:color="auto"/>
              <w:left w:val="single" w:sz="4" w:space="0" w:color="auto"/>
              <w:bottom w:val="single" w:sz="4" w:space="0" w:color="auto"/>
              <w:right w:val="single" w:sz="4" w:space="0" w:color="auto"/>
            </w:tcBorders>
          </w:tcPr>
          <w:p w:rsidR="00C26E32" w:rsidRPr="00260CE3" w:rsidRDefault="00C26E32" w:rsidP="006E4BDB">
            <w:pPr>
              <w:widowControl/>
              <w:rPr>
                <w:rFonts w:ascii="Arial Narrow" w:hAnsi="Arial Narrow"/>
                <w:b/>
                <w:sz w:val="20"/>
                <w:szCs w:val="20"/>
              </w:rPr>
            </w:pPr>
            <w:r>
              <w:rPr>
                <w:rFonts w:ascii="Arial Narrow" w:hAnsi="Arial Narrow"/>
                <w:b/>
                <w:sz w:val="20"/>
                <w:szCs w:val="20"/>
              </w:rPr>
              <w:t>Clinical</w:t>
            </w:r>
            <w:r w:rsidRPr="00260CE3">
              <w:rPr>
                <w:rFonts w:ascii="Arial Narrow" w:hAnsi="Arial Narrow"/>
                <w:b/>
                <w:sz w:val="20"/>
                <w:szCs w:val="20"/>
              </w:rPr>
              <w:t xml:space="preserve"> criteria:</w:t>
            </w:r>
          </w:p>
          <w:p w:rsidR="00C26E32" w:rsidRPr="00C26E32" w:rsidRDefault="00C26E32" w:rsidP="006E4BDB">
            <w:pPr>
              <w:widowControl/>
              <w:rPr>
                <w:rFonts w:ascii="Arial Narrow" w:hAnsi="Arial Narrow"/>
                <w:b/>
                <w:sz w:val="20"/>
                <w:szCs w:val="20"/>
              </w:rPr>
            </w:pPr>
          </w:p>
          <w:p w:rsidR="00C26E32" w:rsidRPr="00C26E32" w:rsidRDefault="00C26E32" w:rsidP="006E4BDB">
            <w:pPr>
              <w:widowControl/>
              <w:rPr>
                <w:rFonts w:ascii="Arial Narrow" w:hAnsi="Arial Narrow"/>
                <w:b/>
                <w:sz w:val="20"/>
                <w:szCs w:val="20"/>
              </w:rPr>
            </w:pPr>
          </w:p>
        </w:tc>
        <w:tc>
          <w:tcPr>
            <w:tcW w:w="3984" w:type="pct"/>
            <w:gridSpan w:val="7"/>
            <w:tcBorders>
              <w:top w:val="single" w:sz="4" w:space="0" w:color="auto"/>
              <w:left w:val="single" w:sz="4" w:space="0" w:color="auto"/>
              <w:bottom w:val="single" w:sz="4" w:space="0" w:color="auto"/>
              <w:right w:val="single" w:sz="4" w:space="0" w:color="auto"/>
            </w:tcBorders>
          </w:tcPr>
          <w:p w:rsidR="00C26E32" w:rsidRPr="00C26E32" w:rsidRDefault="00C26E32" w:rsidP="006E4BDB">
            <w:pPr>
              <w:widowControl/>
              <w:rPr>
                <w:rFonts w:ascii="Arial Narrow" w:hAnsi="Arial Narrow"/>
                <w:sz w:val="20"/>
              </w:rPr>
            </w:pPr>
            <w:r w:rsidRPr="00C26E32">
              <w:rPr>
                <w:rFonts w:ascii="Arial Narrow" w:hAnsi="Arial Narrow"/>
                <w:sz w:val="20"/>
              </w:rPr>
              <w:t>Patient must have a documented history of nonradiographic axial spondyloarthritis,</w:t>
            </w:r>
          </w:p>
          <w:p w:rsidR="00C26E32" w:rsidRPr="00C26E32" w:rsidRDefault="00C26E32" w:rsidP="006E4BDB">
            <w:pPr>
              <w:widowControl/>
              <w:rPr>
                <w:rFonts w:ascii="Arial Narrow" w:hAnsi="Arial Narrow"/>
                <w:sz w:val="20"/>
              </w:rPr>
            </w:pPr>
            <w:r w:rsidRPr="00C26E32">
              <w:rPr>
                <w:rFonts w:ascii="Arial Narrow" w:hAnsi="Arial Narrow"/>
                <w:sz w:val="20"/>
              </w:rPr>
              <w:t>AND</w:t>
            </w:r>
          </w:p>
          <w:p w:rsidR="00C26E32" w:rsidRPr="00D1172D" w:rsidRDefault="00C26E32" w:rsidP="006E4BDB">
            <w:pPr>
              <w:widowControl/>
              <w:rPr>
                <w:rFonts w:ascii="Arial Narrow" w:hAnsi="Arial Narrow"/>
                <w:strike/>
                <w:sz w:val="20"/>
              </w:rPr>
            </w:pPr>
            <w:r w:rsidRPr="00D1172D">
              <w:rPr>
                <w:rFonts w:ascii="Arial Narrow" w:hAnsi="Arial Narrow"/>
                <w:strike/>
                <w:sz w:val="20"/>
              </w:rPr>
              <w:t>Patient must have demonstrated an adequate response to treatment with this drug,</w:t>
            </w:r>
          </w:p>
          <w:p w:rsidR="00C26E32" w:rsidRPr="00C26E32" w:rsidRDefault="00C26E32" w:rsidP="006E4BDB">
            <w:pPr>
              <w:widowControl/>
              <w:rPr>
                <w:rFonts w:ascii="Arial Narrow" w:hAnsi="Arial Narrow"/>
                <w:sz w:val="20"/>
              </w:rPr>
            </w:pPr>
            <w:r w:rsidRPr="00C26E32">
              <w:rPr>
                <w:rFonts w:ascii="Arial Narrow" w:hAnsi="Arial Narrow"/>
                <w:sz w:val="20"/>
              </w:rPr>
              <w:t xml:space="preserve">Patient must have </w:t>
            </w:r>
            <w:r w:rsidRPr="00D1172D">
              <w:rPr>
                <w:rFonts w:ascii="Arial Narrow" w:hAnsi="Arial Narrow"/>
                <w:i/>
                <w:sz w:val="20"/>
              </w:rPr>
              <w:t>previously</w:t>
            </w:r>
            <w:r w:rsidRPr="00C26E32">
              <w:rPr>
                <w:rFonts w:ascii="Arial Narrow" w:hAnsi="Arial Narrow"/>
                <w:sz w:val="20"/>
              </w:rPr>
              <w:t xml:space="preserve"> received </w:t>
            </w:r>
            <w:r w:rsidRPr="00D1172D">
              <w:rPr>
                <w:rFonts w:ascii="Arial Narrow" w:hAnsi="Arial Narrow"/>
                <w:strike/>
                <w:sz w:val="20"/>
              </w:rPr>
              <w:t>prior treatment</w:t>
            </w:r>
            <w:r w:rsidRPr="00C26E32">
              <w:rPr>
                <w:rFonts w:ascii="Arial Narrow" w:hAnsi="Arial Narrow"/>
                <w:sz w:val="20"/>
              </w:rPr>
              <w:t xml:space="preserve"> </w:t>
            </w:r>
            <w:r w:rsidRPr="00D1172D">
              <w:rPr>
                <w:rFonts w:ascii="Arial Narrow" w:hAnsi="Arial Narrow"/>
                <w:i/>
                <w:sz w:val="20"/>
              </w:rPr>
              <w:t>PBS-subsidised therap</w:t>
            </w:r>
            <w:r w:rsidRPr="00C26E32">
              <w:rPr>
                <w:rFonts w:ascii="Arial Narrow" w:hAnsi="Arial Narrow"/>
                <w:sz w:val="20"/>
              </w:rPr>
              <w:t xml:space="preserve">y with this drug for this condition under Initial 1 or Initial 2 restriction </w:t>
            </w:r>
            <w:r w:rsidRPr="00D1172D">
              <w:rPr>
                <w:rFonts w:ascii="Arial Narrow" w:hAnsi="Arial Narrow"/>
                <w:strike/>
                <w:sz w:val="20"/>
              </w:rPr>
              <w:t>and is eligible to receive further therapy</w:t>
            </w:r>
          </w:p>
          <w:p w:rsidR="00C26E32" w:rsidRPr="00D1172D" w:rsidRDefault="00C26E32" w:rsidP="006E4BDB">
            <w:pPr>
              <w:widowControl/>
              <w:rPr>
                <w:rFonts w:ascii="Arial Narrow" w:hAnsi="Arial Narrow"/>
                <w:i/>
                <w:sz w:val="20"/>
              </w:rPr>
            </w:pPr>
            <w:r w:rsidRPr="00D1172D">
              <w:rPr>
                <w:rFonts w:ascii="Arial Narrow" w:hAnsi="Arial Narrow"/>
                <w:i/>
                <w:sz w:val="20"/>
              </w:rPr>
              <w:t>OR</w:t>
            </w:r>
          </w:p>
          <w:p w:rsidR="00C26E32" w:rsidRPr="00D1172D" w:rsidRDefault="00C26E32" w:rsidP="006E4BDB">
            <w:pPr>
              <w:widowControl/>
              <w:rPr>
                <w:rFonts w:ascii="Arial Narrow" w:hAnsi="Arial Narrow"/>
                <w:i/>
                <w:sz w:val="20"/>
              </w:rPr>
            </w:pPr>
            <w:r w:rsidRPr="00D1172D">
              <w:rPr>
                <w:rFonts w:ascii="Arial Narrow" w:hAnsi="Arial Narrow"/>
                <w:i/>
                <w:sz w:val="20"/>
              </w:rPr>
              <w:t xml:space="preserve">Patient must have demonstrated an adequate response to PBS-subsidised therapy with </w:t>
            </w:r>
            <w:r w:rsidRPr="00D1172D">
              <w:rPr>
                <w:rFonts w:ascii="Arial Narrow" w:hAnsi="Arial Narrow"/>
                <w:i/>
                <w:sz w:val="20"/>
              </w:rPr>
              <w:lastRenderedPageBreak/>
              <w:t>this drug</w:t>
            </w:r>
          </w:p>
          <w:p w:rsidR="00C26E32" w:rsidRPr="00D1172D" w:rsidRDefault="00C26E32" w:rsidP="006E4BDB">
            <w:pPr>
              <w:widowControl/>
              <w:rPr>
                <w:rFonts w:ascii="Arial Narrow" w:hAnsi="Arial Narrow"/>
                <w:i/>
                <w:sz w:val="20"/>
              </w:rPr>
            </w:pPr>
            <w:r w:rsidRPr="00D1172D">
              <w:rPr>
                <w:rFonts w:ascii="Arial Narrow" w:hAnsi="Arial Narrow"/>
                <w:i/>
                <w:sz w:val="20"/>
              </w:rPr>
              <w:t>AND</w:t>
            </w:r>
          </w:p>
          <w:p w:rsidR="00C26E32" w:rsidRPr="00C26E32" w:rsidRDefault="00C26E32" w:rsidP="006E4BDB">
            <w:pPr>
              <w:widowControl/>
              <w:rPr>
                <w:rFonts w:ascii="Arial Narrow" w:hAnsi="Arial Narrow"/>
                <w:sz w:val="20"/>
              </w:rPr>
            </w:pPr>
            <w:r w:rsidRPr="00D1172D">
              <w:rPr>
                <w:rFonts w:ascii="Arial Narrow" w:hAnsi="Arial Narrow"/>
                <w:i/>
                <w:sz w:val="20"/>
              </w:rPr>
              <w:t>Patient must not receive more than 24 weeks of therapy under this restriction</w:t>
            </w:r>
          </w:p>
        </w:tc>
      </w:tr>
    </w:tbl>
    <w:p w:rsidR="005013D0" w:rsidRDefault="005013D0" w:rsidP="006E4BDB">
      <w:pPr>
        <w:pStyle w:val="ListParagraph"/>
        <w:widowControl/>
        <w:rPr>
          <w:szCs w:val="22"/>
        </w:rPr>
      </w:pPr>
    </w:p>
    <w:p w:rsidR="005013D0" w:rsidRPr="002F530D" w:rsidRDefault="007D0469" w:rsidP="006E4BDB">
      <w:pPr>
        <w:pStyle w:val="ListParagraph"/>
        <w:widowControl/>
        <w:numPr>
          <w:ilvl w:val="1"/>
          <w:numId w:val="2"/>
        </w:numPr>
        <w:rPr>
          <w:szCs w:val="22"/>
        </w:rPr>
      </w:pPr>
      <w:r w:rsidRPr="002F530D">
        <w:rPr>
          <w:szCs w:val="22"/>
        </w:rPr>
        <w:t>The re-</w:t>
      </w:r>
      <w:r w:rsidRPr="002F530D">
        <w:t>submission sought listing on the basis of a cost-utility analysis comparing etanercept and background non-steroidal anti-inflammatory drugs (NSAIDs) to placebo and background NSAIDs.</w:t>
      </w:r>
    </w:p>
    <w:p w:rsidR="005013D0" w:rsidRPr="002F530D" w:rsidRDefault="005013D0" w:rsidP="006E4BDB">
      <w:pPr>
        <w:pStyle w:val="ListParagraph"/>
        <w:widowControl/>
        <w:rPr>
          <w:sz w:val="20"/>
          <w:szCs w:val="20"/>
        </w:rPr>
      </w:pPr>
    </w:p>
    <w:p w:rsidR="00F97A78" w:rsidRPr="002F530D" w:rsidRDefault="007D0469" w:rsidP="006E4BDB">
      <w:pPr>
        <w:pStyle w:val="ListParagraph"/>
        <w:widowControl/>
        <w:numPr>
          <w:ilvl w:val="1"/>
          <w:numId w:val="2"/>
        </w:numPr>
        <w:rPr>
          <w:szCs w:val="22"/>
        </w:rPr>
      </w:pPr>
      <w:r w:rsidRPr="002F530D">
        <w:rPr>
          <w:szCs w:val="22"/>
        </w:rPr>
        <w:t xml:space="preserve">The re-submission proposed </w:t>
      </w:r>
      <w:r w:rsidR="00AD761A">
        <w:rPr>
          <w:szCs w:val="22"/>
        </w:rPr>
        <w:t xml:space="preserve">a Special Pricing Arrangement (SPA) with </w:t>
      </w:r>
      <w:r w:rsidRPr="002F530D">
        <w:rPr>
          <w:szCs w:val="22"/>
        </w:rPr>
        <w:t xml:space="preserve">an effective price of </w:t>
      </w:r>
      <w:r w:rsidR="00407CA2" w:rsidRPr="002F530D">
        <w:rPr>
          <w:szCs w:val="22"/>
        </w:rPr>
        <w:t>$</w:t>
      </w:r>
      <w:r w:rsidR="000D3991">
        <w:rPr>
          <w:noProof/>
          <w:color w:val="000000"/>
          <w:szCs w:val="22"/>
          <w:highlight w:val="black"/>
        </w:rPr>
        <w:t>'''''''''''''''''''</w:t>
      </w:r>
      <w:r w:rsidR="00407CA2" w:rsidRPr="002F530D">
        <w:rPr>
          <w:szCs w:val="22"/>
        </w:rPr>
        <w:t xml:space="preserve"> for all doses and presentations of etanercept in the requested nr</w:t>
      </w:r>
      <w:r w:rsidR="00AD761A">
        <w:rPr>
          <w:szCs w:val="22"/>
        </w:rPr>
        <w:noBreakHyphen/>
      </w:r>
      <w:r w:rsidR="00407CA2" w:rsidRPr="002F530D">
        <w:rPr>
          <w:szCs w:val="22"/>
        </w:rPr>
        <w:t xml:space="preserve">axSpA listing. This effective price </w:t>
      </w:r>
      <w:r w:rsidR="00AD761A">
        <w:rPr>
          <w:szCs w:val="22"/>
        </w:rPr>
        <w:t xml:space="preserve">is </w:t>
      </w:r>
      <w:r w:rsidR="00407CA2" w:rsidRPr="002F530D">
        <w:rPr>
          <w:szCs w:val="22"/>
        </w:rPr>
        <w:t xml:space="preserve">a </w:t>
      </w:r>
      <w:r w:rsidR="000D3991">
        <w:rPr>
          <w:noProof/>
          <w:color w:val="000000"/>
          <w:szCs w:val="22"/>
          <w:highlight w:val="black"/>
        </w:rPr>
        <w:t>''''''</w:t>
      </w:r>
      <w:r w:rsidR="00407CA2" w:rsidRPr="002F530D">
        <w:rPr>
          <w:szCs w:val="22"/>
        </w:rPr>
        <w:t>% rebate from the public price</w:t>
      </w:r>
      <w:r w:rsidR="00C720D6" w:rsidRPr="002F530D">
        <w:rPr>
          <w:szCs w:val="22"/>
        </w:rPr>
        <w:t xml:space="preserve"> (compared with a </w:t>
      </w:r>
      <w:r w:rsidR="000D3991">
        <w:rPr>
          <w:noProof/>
          <w:color w:val="000000"/>
          <w:szCs w:val="22"/>
          <w:highlight w:val="black"/>
        </w:rPr>
        <w:t>''''''</w:t>
      </w:r>
      <w:r w:rsidR="00C720D6" w:rsidRPr="002F530D">
        <w:rPr>
          <w:szCs w:val="22"/>
        </w:rPr>
        <w:t>% rebate in the previous submission)</w:t>
      </w:r>
      <w:r w:rsidR="00407CA2" w:rsidRPr="002F530D">
        <w:rPr>
          <w:szCs w:val="22"/>
        </w:rPr>
        <w:t xml:space="preserve">. This </w:t>
      </w:r>
      <w:r w:rsidR="00AD761A">
        <w:rPr>
          <w:szCs w:val="22"/>
        </w:rPr>
        <w:t xml:space="preserve">price offer did </w:t>
      </w:r>
      <w:r w:rsidR="00407CA2" w:rsidRPr="002F530D">
        <w:rPr>
          <w:szCs w:val="22"/>
        </w:rPr>
        <w:t xml:space="preserve">not include the additional price reductions of </w:t>
      </w:r>
      <w:r w:rsidR="000D3991">
        <w:rPr>
          <w:noProof/>
          <w:color w:val="000000"/>
          <w:szCs w:val="22"/>
          <w:highlight w:val="black"/>
        </w:rPr>
        <w:t>'''</w:t>
      </w:r>
      <w:r w:rsidR="00407CA2" w:rsidRPr="002F530D">
        <w:rPr>
          <w:szCs w:val="22"/>
        </w:rPr>
        <w:t xml:space="preserve">% for F.2 products and </w:t>
      </w:r>
      <w:r w:rsidR="000D3991">
        <w:rPr>
          <w:noProof/>
          <w:color w:val="000000"/>
          <w:szCs w:val="22"/>
          <w:highlight w:val="black"/>
        </w:rPr>
        <w:t>'''''''</w:t>
      </w:r>
      <w:r w:rsidR="00407CA2" w:rsidRPr="002F530D">
        <w:rPr>
          <w:szCs w:val="22"/>
        </w:rPr>
        <w:t>% for the introduction of biosimilars included in the economic evaluation</w:t>
      </w:r>
      <w:r w:rsidR="00AD761A">
        <w:rPr>
          <w:szCs w:val="22"/>
        </w:rPr>
        <w:t xml:space="preserve"> in the submission</w:t>
      </w:r>
      <w:r w:rsidR="00407CA2" w:rsidRPr="002F530D">
        <w:rPr>
          <w:szCs w:val="22"/>
        </w:rPr>
        <w:t>.</w:t>
      </w:r>
    </w:p>
    <w:p w:rsidR="0005564F" w:rsidRPr="002F530D" w:rsidRDefault="0005564F" w:rsidP="006E4BDB">
      <w:pPr>
        <w:pStyle w:val="ListParagraph"/>
        <w:widowControl/>
        <w:rPr>
          <w:szCs w:val="22"/>
        </w:rPr>
      </w:pPr>
    </w:p>
    <w:p w:rsidR="0005564F" w:rsidRPr="002F530D" w:rsidRDefault="0005564F" w:rsidP="006E4BDB">
      <w:pPr>
        <w:pStyle w:val="ListParagraph"/>
        <w:widowControl/>
        <w:numPr>
          <w:ilvl w:val="1"/>
          <w:numId w:val="2"/>
        </w:numPr>
        <w:rPr>
          <w:szCs w:val="22"/>
        </w:rPr>
      </w:pPr>
      <w:r w:rsidRPr="002F530D">
        <w:rPr>
          <w:szCs w:val="22"/>
        </w:rPr>
        <w:t xml:space="preserve">The ESC noted that the primary outcome measure </w:t>
      </w:r>
      <w:r w:rsidR="00AD761A">
        <w:rPr>
          <w:szCs w:val="22"/>
        </w:rPr>
        <w:t xml:space="preserve">in the trial </w:t>
      </w:r>
      <w:r w:rsidRPr="002F530D">
        <w:rPr>
          <w:szCs w:val="22"/>
        </w:rPr>
        <w:t>was the ASA</w:t>
      </w:r>
      <w:r w:rsidR="00AD761A">
        <w:rPr>
          <w:szCs w:val="22"/>
        </w:rPr>
        <w:t xml:space="preserve">S </w:t>
      </w:r>
      <w:r w:rsidRPr="002F530D">
        <w:rPr>
          <w:szCs w:val="22"/>
        </w:rPr>
        <w:t>40 response rate; and other outcome measures were ASAS 20 response rates, ASAS</w:t>
      </w:r>
      <w:r w:rsidR="00AD761A">
        <w:rPr>
          <w:szCs w:val="22"/>
        </w:rPr>
        <w:t xml:space="preserve"> </w:t>
      </w:r>
      <w:r w:rsidRPr="002F530D">
        <w:rPr>
          <w:szCs w:val="22"/>
        </w:rPr>
        <w:t>5/6, ASAS partial remission, ASDAS, BASDAI, BASMI,</w:t>
      </w:r>
      <w:r w:rsidR="00AD761A">
        <w:rPr>
          <w:szCs w:val="22"/>
        </w:rPr>
        <w:t xml:space="preserve"> </w:t>
      </w:r>
      <w:r w:rsidRPr="002F530D">
        <w:rPr>
          <w:szCs w:val="22"/>
        </w:rPr>
        <w:t>BASFI and SPARCC. However, BASDAI</w:t>
      </w:r>
      <w:r w:rsidR="00AD761A">
        <w:rPr>
          <w:szCs w:val="22"/>
        </w:rPr>
        <w:t xml:space="preserve"> (i.e. </w:t>
      </w:r>
      <w:r w:rsidR="00AD761A" w:rsidRPr="00DF19B7">
        <w:rPr>
          <w:szCs w:val="22"/>
        </w:rPr>
        <w:t>Bath Ankylosing Spondylitis Disease Activity Index</w:t>
      </w:r>
      <w:r w:rsidR="00AD761A">
        <w:rPr>
          <w:szCs w:val="22"/>
        </w:rPr>
        <w:t>)</w:t>
      </w:r>
      <w:r w:rsidRPr="002F530D">
        <w:rPr>
          <w:szCs w:val="22"/>
        </w:rPr>
        <w:t xml:space="preserve"> </w:t>
      </w:r>
      <w:r w:rsidR="00AD761A">
        <w:rPr>
          <w:szCs w:val="22"/>
        </w:rPr>
        <w:t>wa</w:t>
      </w:r>
      <w:r w:rsidRPr="002F530D">
        <w:rPr>
          <w:szCs w:val="22"/>
        </w:rPr>
        <w:t xml:space="preserve">s the only deciding factor used to assess </w:t>
      </w:r>
      <w:r w:rsidRPr="00DD46BD">
        <w:rPr>
          <w:szCs w:val="22"/>
        </w:rPr>
        <w:t>patient’s eligibility to continue therapy under</w:t>
      </w:r>
      <w:r w:rsidRPr="002F530D">
        <w:rPr>
          <w:szCs w:val="22"/>
        </w:rPr>
        <w:t xml:space="preserve"> the proposed continuing criteria.</w:t>
      </w:r>
    </w:p>
    <w:p w:rsidR="0005564F" w:rsidRPr="002F530D" w:rsidRDefault="0005564F" w:rsidP="006E4BDB">
      <w:pPr>
        <w:pStyle w:val="ListParagraph"/>
        <w:widowControl/>
        <w:rPr>
          <w:szCs w:val="22"/>
        </w:rPr>
      </w:pPr>
    </w:p>
    <w:p w:rsidR="0005564F" w:rsidRPr="002F530D" w:rsidRDefault="00F65F10" w:rsidP="00AD761A">
      <w:pPr>
        <w:pStyle w:val="ListParagraph"/>
        <w:widowControl/>
        <w:numPr>
          <w:ilvl w:val="1"/>
          <w:numId w:val="2"/>
        </w:numPr>
        <w:rPr>
          <w:szCs w:val="22"/>
        </w:rPr>
      </w:pPr>
      <w:r w:rsidRPr="002F530D">
        <w:rPr>
          <w:szCs w:val="22"/>
        </w:rPr>
        <w:t xml:space="preserve">The submission proposed to limit etanercept to the </w:t>
      </w:r>
      <w:r w:rsidR="00AD761A">
        <w:rPr>
          <w:szCs w:val="22"/>
        </w:rPr>
        <w:t>subgroup of patients with</w:t>
      </w:r>
      <w:r w:rsidR="00AD761A" w:rsidRPr="00AD761A">
        <w:t xml:space="preserve"> </w:t>
      </w:r>
      <w:r w:rsidR="00AD761A" w:rsidRPr="00AD761A">
        <w:rPr>
          <w:szCs w:val="22"/>
        </w:rPr>
        <w:t>sacroiliitis that is visible on MRI</w:t>
      </w:r>
      <w:r w:rsidR="00AD761A">
        <w:rPr>
          <w:szCs w:val="22"/>
        </w:rPr>
        <w:t xml:space="preserve"> (</w:t>
      </w:r>
      <w:r w:rsidRPr="002F530D">
        <w:rPr>
          <w:szCs w:val="22"/>
        </w:rPr>
        <w:t>MRI+</w:t>
      </w:r>
      <w:r w:rsidR="00AD761A">
        <w:rPr>
          <w:szCs w:val="22"/>
        </w:rPr>
        <w:t>)</w:t>
      </w:r>
      <w:r w:rsidRPr="002F530D">
        <w:rPr>
          <w:szCs w:val="22"/>
        </w:rPr>
        <w:t xml:space="preserve"> </w:t>
      </w:r>
      <w:r w:rsidRPr="00AD761A">
        <w:rPr>
          <w:b/>
          <w:szCs w:val="22"/>
        </w:rPr>
        <w:t>and/or</w:t>
      </w:r>
      <w:r w:rsidRPr="002F530D">
        <w:rPr>
          <w:szCs w:val="22"/>
        </w:rPr>
        <w:t xml:space="preserve"> </w:t>
      </w:r>
      <w:r w:rsidR="00AD761A">
        <w:rPr>
          <w:szCs w:val="22"/>
        </w:rPr>
        <w:t xml:space="preserve">an </w:t>
      </w:r>
      <w:r w:rsidR="00AD761A" w:rsidRPr="00AD761A">
        <w:rPr>
          <w:szCs w:val="22"/>
        </w:rPr>
        <w:t xml:space="preserve">elevated C-reactive protein level of greater than the upper limit of normal </w:t>
      </w:r>
      <w:r w:rsidR="00AD761A">
        <w:rPr>
          <w:szCs w:val="22"/>
        </w:rPr>
        <w:t>(</w:t>
      </w:r>
      <w:r w:rsidRPr="002F530D">
        <w:rPr>
          <w:szCs w:val="22"/>
        </w:rPr>
        <w:t>CPR+</w:t>
      </w:r>
      <w:r w:rsidR="00AD761A">
        <w:rPr>
          <w:szCs w:val="22"/>
        </w:rPr>
        <w:t>)</w:t>
      </w:r>
      <w:r w:rsidRPr="002F530D">
        <w:rPr>
          <w:szCs w:val="22"/>
        </w:rPr>
        <w:t xml:space="preserve">. The </w:t>
      </w:r>
      <w:r w:rsidR="009F7676">
        <w:rPr>
          <w:szCs w:val="22"/>
        </w:rPr>
        <w:t>Pre-Sub-Committee Response (</w:t>
      </w:r>
      <w:r w:rsidRPr="002F530D">
        <w:rPr>
          <w:szCs w:val="22"/>
        </w:rPr>
        <w:t>PSCR</w:t>
      </w:r>
      <w:r w:rsidR="009F7676">
        <w:rPr>
          <w:szCs w:val="22"/>
        </w:rPr>
        <w:t>)</w:t>
      </w:r>
      <w:r w:rsidRPr="002F530D">
        <w:rPr>
          <w:szCs w:val="22"/>
        </w:rPr>
        <w:t xml:space="preserve"> (p1) offered to restrict etanercept to </w:t>
      </w:r>
      <w:r w:rsidR="001B5FCD" w:rsidRPr="002F530D">
        <w:rPr>
          <w:szCs w:val="22"/>
        </w:rPr>
        <w:t xml:space="preserve">a better </w:t>
      </w:r>
      <w:r w:rsidRPr="002F530D">
        <w:rPr>
          <w:szCs w:val="22"/>
        </w:rPr>
        <w:t xml:space="preserve">performing subgroup, MRI+ </w:t>
      </w:r>
      <w:r w:rsidRPr="00AD761A">
        <w:rPr>
          <w:b/>
          <w:szCs w:val="22"/>
        </w:rPr>
        <w:t>and</w:t>
      </w:r>
      <w:r w:rsidRPr="002F530D">
        <w:rPr>
          <w:szCs w:val="22"/>
        </w:rPr>
        <w:t xml:space="preserve"> CPR+. </w:t>
      </w:r>
      <w:r w:rsidR="0005564F" w:rsidRPr="002F530D">
        <w:rPr>
          <w:szCs w:val="22"/>
        </w:rPr>
        <w:t xml:space="preserve">The </w:t>
      </w:r>
      <w:r w:rsidRPr="002F530D">
        <w:rPr>
          <w:szCs w:val="22"/>
        </w:rPr>
        <w:t xml:space="preserve">ESC noted </w:t>
      </w:r>
      <w:r w:rsidR="0005564F" w:rsidRPr="002F530D">
        <w:rPr>
          <w:szCs w:val="22"/>
        </w:rPr>
        <w:t xml:space="preserve">that appropriate changes would be required to the originally proposed restriction wording should etanercept be recommended for listing for </w:t>
      </w:r>
      <w:r w:rsidRPr="002F530D">
        <w:rPr>
          <w:szCs w:val="22"/>
        </w:rPr>
        <w:t xml:space="preserve">the </w:t>
      </w:r>
      <w:r w:rsidR="0005564F" w:rsidRPr="002F530D">
        <w:rPr>
          <w:szCs w:val="22"/>
        </w:rPr>
        <w:t>MRI+ and CPR+</w:t>
      </w:r>
      <w:r w:rsidRPr="002F530D">
        <w:rPr>
          <w:szCs w:val="22"/>
        </w:rPr>
        <w:t xml:space="preserve"> subgroup</w:t>
      </w:r>
      <w:r w:rsidR="0005564F" w:rsidRPr="002F530D">
        <w:rPr>
          <w:szCs w:val="22"/>
        </w:rPr>
        <w:t>.</w:t>
      </w:r>
    </w:p>
    <w:p w:rsidR="001B6188" w:rsidRPr="002F530D" w:rsidRDefault="001B6188" w:rsidP="006E4BDB">
      <w:pPr>
        <w:widowControl/>
      </w:pPr>
    </w:p>
    <w:p w:rsidR="002F530D" w:rsidRDefault="002F530D" w:rsidP="003A7558">
      <w:pPr>
        <w:pStyle w:val="BodyText"/>
        <w:widowControl/>
        <w:ind w:firstLine="720"/>
        <w:rPr>
          <w:szCs w:val="22"/>
        </w:rPr>
      </w:pPr>
      <w:r w:rsidRPr="006B2AA7">
        <w:rPr>
          <w:i/>
          <w:szCs w:val="22"/>
        </w:rPr>
        <w:t>For more detail on PBAC’s view, see section 7 “PBAC outcome”</w:t>
      </w:r>
    </w:p>
    <w:p w:rsidR="002F530D" w:rsidRDefault="002F530D" w:rsidP="006E4BDB">
      <w:pPr>
        <w:pStyle w:val="BodyText"/>
        <w:widowControl/>
      </w:pPr>
    </w:p>
    <w:p w:rsidR="00977218" w:rsidRPr="00882085" w:rsidRDefault="00977218" w:rsidP="006E4BDB">
      <w:pPr>
        <w:widowControl/>
      </w:pPr>
    </w:p>
    <w:p w:rsidR="00F338FF" w:rsidRPr="00407F2D" w:rsidRDefault="00F338FF" w:rsidP="001065B6">
      <w:pPr>
        <w:pStyle w:val="Heading1"/>
      </w:pPr>
      <w:bookmarkStart w:id="4" w:name="_Toc440882434"/>
      <w:r w:rsidRPr="00407F2D">
        <w:t>Background</w:t>
      </w:r>
      <w:bookmarkEnd w:id="4"/>
    </w:p>
    <w:p w:rsidR="00B60939" w:rsidRPr="00882085" w:rsidRDefault="00B60939" w:rsidP="006E4BDB">
      <w:pPr>
        <w:widowControl/>
        <w:rPr>
          <w:szCs w:val="22"/>
        </w:rPr>
      </w:pPr>
    </w:p>
    <w:p w:rsidR="00B60939" w:rsidRPr="00DF19B7" w:rsidRDefault="00407CA2" w:rsidP="006E4BDB">
      <w:pPr>
        <w:pStyle w:val="ListParagraph"/>
        <w:widowControl/>
        <w:numPr>
          <w:ilvl w:val="1"/>
          <w:numId w:val="2"/>
        </w:numPr>
        <w:rPr>
          <w:szCs w:val="22"/>
        </w:rPr>
      </w:pPr>
      <w:r w:rsidRPr="00DF19B7">
        <w:rPr>
          <w:szCs w:val="22"/>
        </w:rPr>
        <w:t xml:space="preserve">Etanercept was registered by the TGA for nr-axSpA in April 2015 for treatment of adults with active </w:t>
      </w:r>
      <w:r w:rsidR="00977218" w:rsidRPr="00DF19B7">
        <w:rPr>
          <w:szCs w:val="22"/>
        </w:rPr>
        <w:t xml:space="preserve">nr-axSpA </w:t>
      </w:r>
      <w:r w:rsidRPr="00DF19B7">
        <w:rPr>
          <w:szCs w:val="22"/>
        </w:rPr>
        <w:t xml:space="preserve">with objective signs of inflammation as indicated by elevated C-reactive protein (CRP) and/or MRI change who have had an inadequate response to NSAIDs. Active disease is defined as a Bath Ankylosing Spondylitis Disease Activity Index (BASDAI) score of ≥ 4. </w:t>
      </w:r>
    </w:p>
    <w:p w:rsidR="00B60939" w:rsidRPr="00882085" w:rsidRDefault="00B60939" w:rsidP="006E4BDB">
      <w:pPr>
        <w:widowControl/>
      </w:pPr>
    </w:p>
    <w:p w:rsidR="001D112E" w:rsidRPr="00407CA2" w:rsidRDefault="00407CA2" w:rsidP="006E4BDB">
      <w:pPr>
        <w:pStyle w:val="ListParagraph"/>
        <w:widowControl/>
        <w:numPr>
          <w:ilvl w:val="1"/>
          <w:numId w:val="2"/>
        </w:numPr>
        <w:rPr>
          <w:szCs w:val="22"/>
        </w:rPr>
      </w:pPr>
      <w:r w:rsidRPr="00407CA2">
        <w:t>The table below presents a summary of differences between</w:t>
      </w:r>
      <w:r w:rsidR="002B5499">
        <w:t xml:space="preserve"> </w:t>
      </w:r>
      <w:r w:rsidRPr="00407CA2">
        <w:t>the previous su</w:t>
      </w:r>
      <w:r w:rsidR="002B5499">
        <w:t>bmission and current re-submissi</w:t>
      </w:r>
      <w:r w:rsidRPr="00407CA2">
        <w:t>on</w:t>
      </w:r>
    </w:p>
    <w:p w:rsidR="00CB396E" w:rsidRDefault="00CB396E">
      <w:pPr>
        <w:widowControl/>
        <w:jc w:val="left"/>
      </w:pPr>
      <w:r>
        <w:br w:type="page"/>
      </w:r>
    </w:p>
    <w:p w:rsidR="001D112E" w:rsidRPr="001D112E" w:rsidRDefault="001D112E" w:rsidP="006E4BDB">
      <w:pPr>
        <w:widowControl/>
      </w:pPr>
    </w:p>
    <w:p w:rsidR="001D112E" w:rsidRPr="00ED0F04" w:rsidRDefault="00977218" w:rsidP="006E4BDB">
      <w:pPr>
        <w:keepNext/>
        <w:widowControl/>
        <w:ind w:firstLine="720"/>
        <w:rPr>
          <w:rStyle w:val="CommentReference"/>
        </w:rPr>
      </w:pPr>
      <w:r>
        <w:rPr>
          <w:rStyle w:val="CommentReference"/>
        </w:rPr>
        <w:t xml:space="preserve">Table 1: </w:t>
      </w:r>
      <w:r w:rsidR="001D112E" w:rsidRPr="00ED0F04">
        <w:rPr>
          <w:rStyle w:val="CommentReference"/>
        </w:rPr>
        <w:t>Summary of the previous submission and current re-submission</w:t>
      </w:r>
    </w:p>
    <w:tbl>
      <w:tblPr>
        <w:tblW w:w="816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4820"/>
        <w:gridCol w:w="2206"/>
      </w:tblGrid>
      <w:tr w:rsidR="001D112E" w:rsidRPr="00ED0F04" w:rsidTr="006D31EA">
        <w:trPr>
          <w:tblHeader/>
        </w:trPr>
        <w:tc>
          <w:tcPr>
            <w:tcW w:w="1134" w:type="dxa"/>
            <w:vAlign w:val="center"/>
          </w:tcPr>
          <w:p w:rsidR="001D112E" w:rsidRPr="00ED0F04" w:rsidRDefault="001D112E" w:rsidP="006E4BDB">
            <w:pPr>
              <w:keepNext/>
              <w:widowControl/>
              <w:jc w:val="left"/>
              <w:rPr>
                <w:rFonts w:ascii="Arial Narrow" w:hAnsi="Arial Narrow"/>
                <w:sz w:val="19"/>
                <w:szCs w:val="19"/>
              </w:rPr>
            </w:pPr>
          </w:p>
        </w:tc>
        <w:tc>
          <w:tcPr>
            <w:tcW w:w="4820" w:type="dxa"/>
            <w:vAlign w:val="center"/>
          </w:tcPr>
          <w:p w:rsidR="001D112E" w:rsidRPr="00ED0F04" w:rsidRDefault="00407CA2" w:rsidP="006E4BDB">
            <w:pPr>
              <w:keepNext/>
              <w:widowControl/>
              <w:jc w:val="center"/>
              <w:rPr>
                <w:rFonts w:ascii="Arial Narrow" w:hAnsi="Arial Narrow"/>
                <w:b/>
                <w:sz w:val="19"/>
                <w:szCs w:val="19"/>
              </w:rPr>
            </w:pPr>
            <w:r>
              <w:rPr>
                <w:rFonts w:ascii="Arial Narrow" w:hAnsi="Arial Narrow"/>
                <w:b/>
                <w:sz w:val="19"/>
                <w:szCs w:val="19"/>
              </w:rPr>
              <w:t>Etanercept March 2015</w:t>
            </w:r>
          </w:p>
        </w:tc>
        <w:tc>
          <w:tcPr>
            <w:tcW w:w="2206" w:type="dxa"/>
            <w:vAlign w:val="center"/>
          </w:tcPr>
          <w:p w:rsidR="001D112E" w:rsidRPr="00ED0F04" w:rsidRDefault="001D112E" w:rsidP="006E4BDB">
            <w:pPr>
              <w:keepNext/>
              <w:widowControl/>
              <w:jc w:val="center"/>
              <w:rPr>
                <w:rFonts w:ascii="Arial Narrow" w:hAnsi="Arial Narrow"/>
                <w:b/>
                <w:sz w:val="19"/>
                <w:szCs w:val="19"/>
              </w:rPr>
            </w:pPr>
            <w:r w:rsidRPr="00ED0F04">
              <w:rPr>
                <w:rFonts w:ascii="Arial Narrow" w:hAnsi="Arial Narrow"/>
                <w:b/>
                <w:sz w:val="19"/>
                <w:szCs w:val="19"/>
              </w:rPr>
              <w:t>Current re-submission</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Requested PBS listing</w:t>
            </w:r>
          </w:p>
        </w:tc>
        <w:tc>
          <w:tcPr>
            <w:tcW w:w="4820" w:type="dxa"/>
          </w:tcPr>
          <w:p w:rsidR="001D112E" w:rsidRPr="00ED0F04" w:rsidRDefault="001D112E" w:rsidP="006E4BDB">
            <w:pPr>
              <w:widowControl/>
              <w:ind w:left="-108"/>
              <w:jc w:val="left"/>
              <w:rPr>
                <w:rFonts w:ascii="Arial Narrow" w:hAnsi="Arial Narrow"/>
                <w:color w:val="0000FF"/>
                <w:sz w:val="19"/>
                <w:szCs w:val="19"/>
              </w:rPr>
            </w:pPr>
            <w:r w:rsidRPr="00ED0F04">
              <w:rPr>
                <w:rFonts w:ascii="Arial Narrow" w:hAnsi="Arial Narrow"/>
                <w:color w:val="0000FF"/>
                <w:sz w:val="19"/>
                <w:szCs w:val="19"/>
              </w:rPr>
              <w:t>•[</w:t>
            </w:r>
            <w:r w:rsidR="00343F91" w:rsidRPr="00343F91">
              <w:rPr>
                <w:rFonts w:ascii="Arial Narrow" w:hAnsi="Arial Narrow"/>
                <w:sz w:val="19"/>
                <w:szCs w:val="19"/>
              </w:rPr>
              <w:t>Non radiographic axial spondyloarthritis</w:t>
            </w:r>
          </w:p>
          <w:p w:rsidR="001D112E" w:rsidRPr="003252DA" w:rsidRDefault="001D112E" w:rsidP="006E4BDB">
            <w:pPr>
              <w:widowControl/>
              <w:ind w:left="-108"/>
              <w:jc w:val="left"/>
              <w:rPr>
                <w:rFonts w:ascii="Arial Narrow" w:hAnsi="Arial Narrow"/>
                <w:b/>
                <w:sz w:val="14"/>
                <w:szCs w:val="14"/>
              </w:rPr>
            </w:pPr>
            <w:r w:rsidRPr="00ED0F04">
              <w:rPr>
                <w:rFonts w:ascii="Arial Narrow" w:hAnsi="Arial Narrow"/>
                <w:b/>
                <w:sz w:val="19"/>
                <w:szCs w:val="19"/>
              </w:rPr>
              <w:t xml:space="preserve"> </w:t>
            </w:r>
          </w:p>
          <w:p w:rsidR="001D112E" w:rsidRPr="00ED0F04" w:rsidRDefault="001D112E" w:rsidP="006E4BDB">
            <w:pPr>
              <w:widowControl/>
              <w:jc w:val="left"/>
              <w:rPr>
                <w:rFonts w:ascii="Arial Narrow" w:hAnsi="Arial Narrow"/>
                <w:sz w:val="19"/>
                <w:szCs w:val="19"/>
              </w:rPr>
            </w:pPr>
            <w:r w:rsidRPr="00ED0F04">
              <w:rPr>
                <w:rFonts w:ascii="Arial Narrow" w:hAnsi="Arial Narrow"/>
                <w:b/>
                <w:sz w:val="19"/>
                <w:szCs w:val="19"/>
              </w:rPr>
              <w:t xml:space="preserve">PBAC Comment: </w:t>
            </w:r>
            <w:r w:rsidR="00C1475E" w:rsidRPr="00C1475E">
              <w:rPr>
                <w:rFonts w:ascii="Arial Narrow" w:hAnsi="Arial Narrow"/>
                <w:sz w:val="19"/>
                <w:szCs w:val="19"/>
              </w:rPr>
              <w:t>none</w:t>
            </w:r>
          </w:p>
        </w:tc>
        <w:tc>
          <w:tcPr>
            <w:tcW w:w="2206" w:type="dxa"/>
          </w:tcPr>
          <w:p w:rsidR="001D112E" w:rsidRPr="006C2212" w:rsidRDefault="006C2212" w:rsidP="006E4BDB">
            <w:pPr>
              <w:widowControl/>
              <w:jc w:val="left"/>
              <w:rPr>
                <w:rFonts w:ascii="Arial Narrow" w:hAnsi="Arial Narrow"/>
                <w:sz w:val="19"/>
                <w:szCs w:val="19"/>
              </w:rPr>
            </w:pPr>
            <w:r w:rsidRPr="006C2212">
              <w:rPr>
                <w:rFonts w:ascii="Arial Narrow" w:hAnsi="Arial Narrow"/>
                <w:sz w:val="19"/>
                <w:szCs w:val="19"/>
              </w:rPr>
              <w:t xml:space="preserve">•Same as </w:t>
            </w:r>
            <w:r w:rsidR="00977218">
              <w:rPr>
                <w:rFonts w:ascii="Arial Narrow" w:hAnsi="Arial Narrow"/>
                <w:sz w:val="19"/>
                <w:szCs w:val="19"/>
              </w:rPr>
              <w:t>March 2015</w:t>
            </w:r>
          </w:p>
          <w:p w:rsidR="001D112E" w:rsidRPr="00ED0F04" w:rsidRDefault="001D112E" w:rsidP="006E4BDB">
            <w:pPr>
              <w:widowControl/>
              <w:jc w:val="left"/>
              <w:rPr>
                <w:rFonts w:ascii="Arial Narrow" w:hAnsi="Arial Narrow"/>
                <w:sz w:val="19"/>
                <w:szCs w:val="19"/>
              </w:rPr>
            </w:pP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Requested price</w:t>
            </w:r>
          </w:p>
        </w:tc>
        <w:tc>
          <w:tcPr>
            <w:tcW w:w="4820" w:type="dxa"/>
          </w:tcPr>
          <w:p w:rsidR="001D112E" w:rsidRPr="00ED0F04" w:rsidRDefault="006B3D59" w:rsidP="006E4BDB">
            <w:pPr>
              <w:widowControl/>
              <w:jc w:val="left"/>
              <w:rPr>
                <w:rFonts w:ascii="Arial Narrow" w:hAnsi="Arial Narrow"/>
                <w:color w:val="0000FF"/>
                <w:sz w:val="19"/>
                <w:szCs w:val="19"/>
              </w:rPr>
            </w:pPr>
            <w:r w:rsidRPr="006B3D59">
              <w:rPr>
                <w:rFonts w:ascii="Arial Narrow" w:hAnsi="Arial Narrow"/>
                <w:sz w:val="19"/>
                <w:szCs w:val="19"/>
              </w:rPr>
              <w:t>•Public DPMQ of $</w:t>
            </w:r>
            <w:r w:rsidR="000D3991">
              <w:rPr>
                <w:rFonts w:ascii="Arial Narrow" w:hAnsi="Arial Narrow"/>
                <w:noProof/>
                <w:color w:val="000000"/>
                <w:sz w:val="19"/>
                <w:szCs w:val="19"/>
                <w:highlight w:val="black"/>
              </w:rPr>
              <w:t>''''''''''''''''''''</w:t>
            </w:r>
            <w:r w:rsidRPr="006B3D59">
              <w:rPr>
                <w:rFonts w:ascii="Arial Narrow" w:hAnsi="Arial Narrow"/>
                <w:sz w:val="19"/>
                <w:szCs w:val="19"/>
              </w:rPr>
              <w:t xml:space="preserve"> and $</w:t>
            </w:r>
            <w:r w:rsidR="000D3991">
              <w:rPr>
                <w:rFonts w:ascii="Arial Narrow" w:hAnsi="Arial Narrow"/>
                <w:noProof/>
                <w:color w:val="000000"/>
                <w:sz w:val="19"/>
                <w:szCs w:val="19"/>
                <w:highlight w:val="black"/>
              </w:rPr>
              <w:t>'''''''''''''''''''''</w:t>
            </w:r>
            <w:r w:rsidRPr="006B3D59">
              <w:rPr>
                <w:rFonts w:ascii="Arial Narrow" w:hAnsi="Arial Narrow"/>
                <w:sz w:val="19"/>
                <w:szCs w:val="19"/>
              </w:rPr>
              <w:t xml:space="preserve"> (</w:t>
            </w:r>
            <w:r w:rsidR="006200E2">
              <w:rPr>
                <w:rFonts w:ascii="Arial Narrow" w:hAnsi="Arial Narrow"/>
                <w:sz w:val="19"/>
                <w:szCs w:val="19"/>
              </w:rPr>
              <w:t>e</w:t>
            </w:r>
            <w:r w:rsidR="006200E2" w:rsidRPr="006B3D59">
              <w:rPr>
                <w:rFonts w:ascii="Arial Narrow" w:hAnsi="Arial Narrow"/>
                <w:sz w:val="19"/>
                <w:szCs w:val="19"/>
              </w:rPr>
              <w:t xml:space="preserve">ffective </w:t>
            </w:r>
            <w:r w:rsidR="00813A0E" w:rsidRPr="006B3D59">
              <w:rPr>
                <w:rFonts w:ascii="Arial Narrow" w:hAnsi="Arial Narrow"/>
                <w:sz w:val="19"/>
                <w:szCs w:val="19"/>
              </w:rPr>
              <w:t>DPMQ of $</w:t>
            </w:r>
            <w:r w:rsidR="000D3991">
              <w:rPr>
                <w:rFonts w:ascii="Arial Narrow" w:hAnsi="Arial Narrow"/>
                <w:noProof/>
                <w:color w:val="000000"/>
                <w:sz w:val="19"/>
                <w:szCs w:val="19"/>
                <w:highlight w:val="black"/>
              </w:rPr>
              <w:t>'''''''''''''''''''''</w:t>
            </w:r>
            <w:r w:rsidR="00813A0E" w:rsidRPr="006B3D59">
              <w:rPr>
                <w:rFonts w:ascii="Arial Narrow" w:hAnsi="Arial Narrow"/>
                <w:sz w:val="19"/>
                <w:szCs w:val="19"/>
              </w:rPr>
              <w:t xml:space="preserve"> for all doses and presentations of etanercept in the nr-axSpA listing.as a result of a </w:t>
            </w:r>
            <w:r w:rsidR="000D3991">
              <w:rPr>
                <w:rFonts w:ascii="Arial Narrow" w:hAnsi="Arial Narrow"/>
                <w:noProof/>
                <w:color w:val="000000"/>
                <w:sz w:val="19"/>
                <w:szCs w:val="19"/>
                <w:highlight w:val="black"/>
              </w:rPr>
              <w:t>''''''</w:t>
            </w:r>
            <w:r w:rsidR="00813A0E" w:rsidRPr="006B3D59">
              <w:rPr>
                <w:rFonts w:ascii="Arial Narrow" w:hAnsi="Arial Narrow"/>
                <w:sz w:val="19"/>
                <w:szCs w:val="19"/>
              </w:rPr>
              <w:t>% rebate from the public price</w:t>
            </w:r>
            <w:r w:rsidRPr="006B3D59">
              <w:rPr>
                <w:rFonts w:ascii="Arial Narrow" w:hAnsi="Arial Narrow"/>
                <w:sz w:val="19"/>
                <w:szCs w:val="19"/>
              </w:rPr>
              <w:t>)</w:t>
            </w:r>
          </w:p>
        </w:tc>
        <w:tc>
          <w:tcPr>
            <w:tcW w:w="2206" w:type="dxa"/>
          </w:tcPr>
          <w:p w:rsidR="006C2212" w:rsidRPr="006C2212" w:rsidRDefault="001D112E" w:rsidP="006E4BDB">
            <w:pPr>
              <w:keepNext/>
              <w:widowControl/>
              <w:jc w:val="center"/>
              <w:rPr>
                <w:rFonts w:ascii="Arial Narrow" w:hAnsi="Arial Narrow"/>
                <w:sz w:val="19"/>
                <w:szCs w:val="19"/>
              </w:rPr>
            </w:pPr>
            <w:r w:rsidRPr="006C2212">
              <w:rPr>
                <w:rFonts w:ascii="Arial Narrow" w:hAnsi="Arial Narrow"/>
                <w:sz w:val="19"/>
                <w:szCs w:val="19"/>
              </w:rPr>
              <w:t>•</w:t>
            </w:r>
            <w:r w:rsidR="006C2212">
              <w:rPr>
                <w:rFonts w:ascii="Arial Narrow" w:hAnsi="Arial Narrow"/>
                <w:sz w:val="19"/>
                <w:szCs w:val="19"/>
              </w:rPr>
              <w:t xml:space="preserve">Public DPMQ of </w:t>
            </w:r>
            <w:r w:rsidR="006C2212" w:rsidRPr="006C2212">
              <w:rPr>
                <w:rFonts w:ascii="Arial Narrow" w:hAnsi="Arial Narrow"/>
                <w:sz w:val="19"/>
                <w:szCs w:val="19"/>
              </w:rPr>
              <w:t>$</w:t>
            </w:r>
            <w:r w:rsidR="000D3991">
              <w:rPr>
                <w:rFonts w:ascii="Arial Narrow" w:hAnsi="Arial Narrow"/>
                <w:noProof/>
                <w:color w:val="000000"/>
                <w:sz w:val="19"/>
                <w:szCs w:val="19"/>
                <w:highlight w:val="black"/>
              </w:rPr>
              <w:t>''''''''''''''''''''</w:t>
            </w:r>
          </w:p>
          <w:p w:rsidR="001D112E" w:rsidRPr="00ED0F04" w:rsidRDefault="006C2212" w:rsidP="006E4BDB">
            <w:pPr>
              <w:widowControl/>
              <w:jc w:val="left"/>
              <w:rPr>
                <w:rFonts w:ascii="Arial Narrow" w:hAnsi="Arial Narrow"/>
                <w:color w:val="0000FF"/>
                <w:sz w:val="19"/>
                <w:szCs w:val="19"/>
              </w:rPr>
            </w:pPr>
            <w:r w:rsidRPr="006C2212">
              <w:rPr>
                <w:rFonts w:ascii="Arial Narrow" w:hAnsi="Arial Narrow"/>
                <w:sz w:val="19"/>
                <w:szCs w:val="19"/>
              </w:rPr>
              <w:t>(effective</w:t>
            </w:r>
            <w:r>
              <w:rPr>
                <w:rFonts w:ascii="Arial Narrow" w:hAnsi="Arial Narrow"/>
                <w:sz w:val="19"/>
                <w:szCs w:val="19"/>
              </w:rPr>
              <w:t xml:space="preserve"> DPMQ</w:t>
            </w:r>
            <w:r w:rsidRPr="006C2212">
              <w:rPr>
                <w:rFonts w:ascii="Arial Narrow" w:hAnsi="Arial Narrow"/>
                <w:sz w:val="19"/>
                <w:szCs w:val="19"/>
              </w:rPr>
              <w:t>: $</w:t>
            </w:r>
            <w:r w:rsidR="000D3991">
              <w:rPr>
                <w:rFonts w:ascii="Arial Narrow" w:hAnsi="Arial Narrow"/>
                <w:noProof/>
                <w:color w:val="000000"/>
                <w:sz w:val="19"/>
                <w:szCs w:val="19"/>
                <w:highlight w:val="black"/>
              </w:rPr>
              <w:t>''''''''''''''''''''''</w:t>
            </w:r>
            <w:r w:rsidR="006B3D59">
              <w:rPr>
                <w:rFonts w:ascii="Arial Narrow" w:hAnsi="Arial Narrow"/>
                <w:sz w:val="19"/>
                <w:szCs w:val="19"/>
              </w:rPr>
              <w:t xml:space="preserve"> as a result of a </w:t>
            </w:r>
            <w:r w:rsidR="000D3991">
              <w:rPr>
                <w:rFonts w:ascii="Arial Narrow" w:hAnsi="Arial Narrow"/>
                <w:noProof/>
                <w:color w:val="000000"/>
                <w:sz w:val="19"/>
                <w:szCs w:val="19"/>
                <w:highlight w:val="black"/>
              </w:rPr>
              <w:t>''''''</w:t>
            </w:r>
            <w:r w:rsidR="006B3D59">
              <w:rPr>
                <w:rFonts w:ascii="Arial Narrow" w:hAnsi="Arial Narrow"/>
                <w:sz w:val="19"/>
                <w:szCs w:val="19"/>
              </w:rPr>
              <w:t>% rebate)</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Main comparator</w:t>
            </w:r>
          </w:p>
        </w:tc>
        <w:tc>
          <w:tcPr>
            <w:tcW w:w="4820" w:type="dxa"/>
          </w:tcPr>
          <w:p w:rsidR="001D112E" w:rsidRPr="00C1475E" w:rsidRDefault="00C1475E" w:rsidP="006E4BDB">
            <w:pPr>
              <w:widowControl/>
              <w:jc w:val="left"/>
              <w:rPr>
                <w:rFonts w:ascii="Arial Narrow" w:hAnsi="Arial Narrow"/>
                <w:sz w:val="19"/>
                <w:szCs w:val="19"/>
              </w:rPr>
            </w:pPr>
            <w:r w:rsidRPr="00C1475E">
              <w:rPr>
                <w:rFonts w:ascii="Arial Narrow" w:hAnsi="Arial Narrow"/>
                <w:sz w:val="19"/>
                <w:szCs w:val="19"/>
              </w:rPr>
              <w:t>•Placebo</w:t>
            </w:r>
          </w:p>
          <w:p w:rsidR="00C1475E" w:rsidRPr="00C1475E" w:rsidRDefault="00C1475E" w:rsidP="006E4BDB">
            <w:pPr>
              <w:widowControl/>
              <w:jc w:val="left"/>
              <w:rPr>
                <w:rFonts w:ascii="Arial Narrow" w:hAnsi="Arial Narrow"/>
                <w:sz w:val="19"/>
                <w:szCs w:val="19"/>
              </w:rPr>
            </w:pPr>
            <w:r w:rsidRPr="00C1475E">
              <w:rPr>
                <w:rFonts w:ascii="Arial Narrow" w:hAnsi="Arial Narrow"/>
                <w:sz w:val="19"/>
                <w:szCs w:val="19"/>
              </w:rPr>
              <w:t>•Secondary indirect comparisons against adalimumab and certolizumab</w:t>
            </w:r>
          </w:p>
          <w:p w:rsidR="001D112E" w:rsidRPr="003252DA" w:rsidRDefault="001D112E" w:rsidP="006E4BDB">
            <w:pPr>
              <w:widowControl/>
              <w:jc w:val="left"/>
              <w:rPr>
                <w:rFonts w:ascii="Arial Narrow" w:hAnsi="Arial Narrow"/>
                <w:sz w:val="14"/>
                <w:szCs w:val="14"/>
              </w:rPr>
            </w:pPr>
          </w:p>
          <w:p w:rsidR="001D112E" w:rsidRPr="00ED0F04" w:rsidRDefault="001D112E" w:rsidP="006D31EA">
            <w:pPr>
              <w:widowControl/>
              <w:jc w:val="left"/>
              <w:rPr>
                <w:rFonts w:ascii="Arial Narrow" w:hAnsi="Arial Narrow"/>
                <w:sz w:val="19"/>
                <w:szCs w:val="19"/>
              </w:rPr>
            </w:pPr>
            <w:r w:rsidRPr="00C1475E">
              <w:rPr>
                <w:rFonts w:ascii="Arial Narrow" w:hAnsi="Arial Narrow"/>
                <w:b/>
                <w:sz w:val="19"/>
                <w:szCs w:val="19"/>
              </w:rPr>
              <w:t>PBAC Comment:</w:t>
            </w:r>
            <w:r w:rsidRPr="00C1475E">
              <w:rPr>
                <w:rFonts w:ascii="Arial Narrow" w:hAnsi="Arial Narrow"/>
                <w:sz w:val="19"/>
                <w:szCs w:val="19"/>
              </w:rPr>
              <w:t xml:space="preserve"> </w:t>
            </w:r>
            <w:r w:rsidR="00C1475E" w:rsidRPr="00C1475E">
              <w:rPr>
                <w:rFonts w:ascii="Arial Narrow" w:hAnsi="Arial Narrow"/>
                <w:sz w:val="19"/>
                <w:szCs w:val="19"/>
              </w:rPr>
              <w:t>“…the most relevant comparison would be between etanercept and NSAID background treatment versus placebo with NSAID background treatment. These were the treatment combinations that were included in the economic evaluation.’ (</w:t>
            </w:r>
            <w:r w:rsidR="006D31EA">
              <w:rPr>
                <w:rFonts w:ascii="Arial Narrow" w:hAnsi="Arial Narrow"/>
                <w:sz w:val="19"/>
                <w:szCs w:val="19"/>
              </w:rPr>
              <w:t xml:space="preserve">Public Summary Document (PSD), </w:t>
            </w:r>
            <w:r w:rsidR="00C1475E" w:rsidRPr="00C1475E">
              <w:rPr>
                <w:rFonts w:ascii="Arial Narrow" w:hAnsi="Arial Narrow"/>
                <w:sz w:val="19"/>
                <w:szCs w:val="19"/>
              </w:rPr>
              <w:t>paragraph 5.1)</w:t>
            </w:r>
          </w:p>
        </w:tc>
        <w:tc>
          <w:tcPr>
            <w:tcW w:w="2206" w:type="dxa"/>
          </w:tcPr>
          <w:p w:rsidR="001D112E" w:rsidRPr="00C1475E" w:rsidRDefault="001D112E" w:rsidP="006E4BDB">
            <w:pPr>
              <w:widowControl/>
              <w:jc w:val="left"/>
              <w:rPr>
                <w:rFonts w:ascii="Arial Narrow" w:hAnsi="Arial Narrow"/>
                <w:sz w:val="19"/>
                <w:szCs w:val="19"/>
              </w:rPr>
            </w:pPr>
            <w:r w:rsidRPr="00C1475E">
              <w:rPr>
                <w:rFonts w:ascii="Arial Narrow" w:hAnsi="Arial Narrow"/>
                <w:sz w:val="19"/>
                <w:szCs w:val="19"/>
              </w:rPr>
              <w:t>•</w:t>
            </w:r>
            <w:r w:rsidR="006C2212" w:rsidRPr="00C1475E">
              <w:rPr>
                <w:rFonts w:ascii="Arial Narrow" w:hAnsi="Arial Narrow"/>
                <w:sz w:val="19"/>
                <w:szCs w:val="19"/>
              </w:rPr>
              <w:t xml:space="preserve">Same as </w:t>
            </w:r>
            <w:r w:rsidR="00977218">
              <w:rPr>
                <w:rFonts w:ascii="Arial Narrow" w:hAnsi="Arial Narrow"/>
                <w:sz w:val="19"/>
                <w:szCs w:val="19"/>
              </w:rPr>
              <w:t>March 2015</w:t>
            </w:r>
          </w:p>
          <w:p w:rsidR="00C1475E" w:rsidRDefault="00C1475E" w:rsidP="006E4BDB">
            <w:pPr>
              <w:widowControl/>
              <w:jc w:val="left"/>
              <w:rPr>
                <w:rFonts w:ascii="Arial Narrow" w:hAnsi="Arial Narrow"/>
                <w:sz w:val="19"/>
                <w:szCs w:val="19"/>
              </w:rPr>
            </w:pPr>
            <w:r w:rsidRPr="00C1475E">
              <w:rPr>
                <w:rFonts w:ascii="Arial Narrow" w:hAnsi="Arial Narrow"/>
                <w:sz w:val="19"/>
                <w:szCs w:val="19"/>
              </w:rPr>
              <w:t>•No secondary comparators were nominated</w:t>
            </w:r>
            <w:r w:rsidR="0004056E">
              <w:rPr>
                <w:rFonts w:ascii="Arial Narrow" w:hAnsi="Arial Narrow"/>
                <w:sz w:val="19"/>
                <w:szCs w:val="19"/>
              </w:rPr>
              <w:t>.</w:t>
            </w:r>
          </w:p>
          <w:p w:rsidR="0004056E" w:rsidRPr="0004056E" w:rsidRDefault="0004056E" w:rsidP="006E4BDB">
            <w:pPr>
              <w:widowControl/>
              <w:jc w:val="left"/>
              <w:rPr>
                <w:rFonts w:ascii="Arial Narrow" w:hAnsi="Arial Narrow"/>
                <w:i/>
                <w:sz w:val="19"/>
                <w:szCs w:val="19"/>
              </w:rPr>
            </w:pP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Clinical evidence</w:t>
            </w:r>
          </w:p>
        </w:tc>
        <w:tc>
          <w:tcPr>
            <w:tcW w:w="4820" w:type="dxa"/>
          </w:tcPr>
          <w:p w:rsidR="001D112E" w:rsidRPr="00813A0E" w:rsidRDefault="00C1475E" w:rsidP="006E4BDB">
            <w:pPr>
              <w:widowControl/>
              <w:jc w:val="left"/>
              <w:rPr>
                <w:rFonts w:ascii="Arial Narrow" w:hAnsi="Arial Narrow"/>
                <w:sz w:val="19"/>
                <w:szCs w:val="19"/>
              </w:rPr>
            </w:pPr>
            <w:r w:rsidRPr="00813A0E">
              <w:rPr>
                <w:rFonts w:ascii="Arial Narrow" w:hAnsi="Arial Narrow"/>
                <w:sz w:val="19"/>
                <w:szCs w:val="19"/>
              </w:rPr>
              <w:t xml:space="preserve">•Trial 1031 consisting of 12 week randomised double blind phase and </w:t>
            </w:r>
            <w:r w:rsidR="00813A0E" w:rsidRPr="00813A0E">
              <w:rPr>
                <w:rFonts w:ascii="Arial Narrow" w:hAnsi="Arial Narrow"/>
                <w:sz w:val="19"/>
                <w:szCs w:val="19"/>
              </w:rPr>
              <w:t>92 week open label extension comparing etanercept with placebo.</w:t>
            </w:r>
          </w:p>
          <w:p w:rsidR="0075198B" w:rsidRPr="003252DA" w:rsidRDefault="0075198B" w:rsidP="006E4BDB">
            <w:pPr>
              <w:widowControl/>
              <w:jc w:val="left"/>
              <w:rPr>
                <w:rFonts w:ascii="Arial Narrow" w:hAnsi="Arial Narrow"/>
                <w:sz w:val="14"/>
                <w:szCs w:val="14"/>
              </w:rPr>
            </w:pPr>
          </w:p>
          <w:p w:rsidR="0075198B" w:rsidRPr="00813A0E" w:rsidRDefault="001D112E" w:rsidP="006E4BDB">
            <w:pPr>
              <w:widowControl/>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00010023">
              <w:rPr>
                <w:rFonts w:ascii="Arial Narrow" w:hAnsi="Arial Narrow"/>
                <w:sz w:val="19"/>
                <w:szCs w:val="19"/>
              </w:rPr>
              <w:t>“</w:t>
            </w:r>
            <w:r w:rsidR="00B626A0" w:rsidRPr="00B626A0">
              <w:rPr>
                <w:rFonts w:ascii="Arial Narrow" w:hAnsi="Arial Narrow"/>
                <w:sz w:val="19"/>
                <w:szCs w:val="19"/>
              </w:rPr>
              <w:t>Trial 1031’s outcome measurement for the randomised period of the trial was at 12 weeks. Given that the condition is likely to require long term treatment, the PBAC was not confident that any clinical benefit with etanercept would be maintained over the long term. Although the submission presented efficacy data up to 92 weeks in an extension study, the PBAC noted that the extension period was open-label in design and all patients received etanercept. As a result, the incremental benefit of etanercept over placebo during this longer treatment period was unknown</w:t>
            </w:r>
            <w:r w:rsidR="00B626A0">
              <w:rPr>
                <w:rFonts w:ascii="Arial Narrow" w:hAnsi="Arial Narrow"/>
                <w:sz w:val="19"/>
                <w:szCs w:val="19"/>
              </w:rPr>
              <w:t>.” (</w:t>
            </w:r>
            <w:r w:rsidR="006D31EA">
              <w:rPr>
                <w:rFonts w:ascii="Arial Narrow" w:hAnsi="Arial Narrow"/>
                <w:sz w:val="19"/>
                <w:szCs w:val="19"/>
              </w:rPr>
              <w:t xml:space="preserve">PSD, </w:t>
            </w:r>
            <w:r w:rsidR="00B626A0">
              <w:rPr>
                <w:rFonts w:ascii="Arial Narrow" w:hAnsi="Arial Narrow"/>
                <w:sz w:val="19"/>
                <w:szCs w:val="19"/>
              </w:rPr>
              <w:t>paragraph 7.5)</w:t>
            </w:r>
          </w:p>
        </w:tc>
        <w:tc>
          <w:tcPr>
            <w:tcW w:w="2206" w:type="dxa"/>
          </w:tcPr>
          <w:p w:rsidR="001D112E" w:rsidRDefault="006C2212" w:rsidP="006E4BDB">
            <w:pPr>
              <w:widowControl/>
              <w:jc w:val="left"/>
              <w:rPr>
                <w:rFonts w:ascii="Arial Narrow" w:hAnsi="Arial Narrow"/>
                <w:sz w:val="19"/>
                <w:szCs w:val="19"/>
              </w:rPr>
            </w:pPr>
            <w:r w:rsidRPr="00407CA2">
              <w:rPr>
                <w:rFonts w:ascii="Arial Narrow" w:hAnsi="Arial Narrow"/>
                <w:sz w:val="19"/>
                <w:szCs w:val="19"/>
              </w:rPr>
              <w:t>•</w:t>
            </w:r>
            <w:r w:rsidR="00407CA2">
              <w:rPr>
                <w:rFonts w:ascii="Arial Narrow" w:hAnsi="Arial Narrow"/>
                <w:sz w:val="19"/>
                <w:szCs w:val="19"/>
              </w:rPr>
              <w:t xml:space="preserve"> U</w:t>
            </w:r>
            <w:r w:rsidRPr="006C2212">
              <w:rPr>
                <w:rFonts w:ascii="Arial Narrow" w:hAnsi="Arial Narrow"/>
                <w:sz w:val="19"/>
                <w:szCs w:val="19"/>
              </w:rPr>
              <w:t>pdated results of open label maintenance phase of Trial 1031</w:t>
            </w:r>
            <w:r>
              <w:rPr>
                <w:rFonts w:ascii="Arial Narrow" w:hAnsi="Arial Narrow"/>
                <w:color w:val="0000FF"/>
                <w:sz w:val="19"/>
                <w:szCs w:val="19"/>
              </w:rPr>
              <w:t>.</w:t>
            </w:r>
            <w:r w:rsidR="00407CA2" w:rsidRPr="00407CA2">
              <w:rPr>
                <w:rFonts w:ascii="Arial Narrow" w:hAnsi="Arial Narrow"/>
                <w:sz w:val="19"/>
                <w:szCs w:val="19"/>
              </w:rPr>
              <w:t xml:space="preserve"> </w:t>
            </w:r>
            <w:r w:rsidR="0080655E" w:rsidRPr="00407CA2">
              <w:rPr>
                <w:rFonts w:ascii="Arial Narrow" w:hAnsi="Arial Narrow"/>
                <w:sz w:val="19"/>
                <w:szCs w:val="19"/>
              </w:rPr>
              <w:t>Includes</w:t>
            </w:r>
            <w:r w:rsidR="00407CA2" w:rsidRPr="00407CA2">
              <w:rPr>
                <w:rFonts w:ascii="Arial Narrow" w:hAnsi="Arial Narrow"/>
                <w:sz w:val="19"/>
                <w:szCs w:val="19"/>
              </w:rPr>
              <w:t xml:space="preserve"> sub-group analyses by MRI and CRP status</w:t>
            </w:r>
            <w:r w:rsidR="0004056E">
              <w:rPr>
                <w:rFonts w:ascii="Arial Narrow" w:hAnsi="Arial Narrow"/>
                <w:sz w:val="19"/>
                <w:szCs w:val="19"/>
              </w:rPr>
              <w:t>.</w:t>
            </w:r>
          </w:p>
          <w:p w:rsidR="0004056E" w:rsidRPr="0004056E" w:rsidRDefault="0004056E" w:rsidP="006E4BDB">
            <w:pPr>
              <w:widowControl/>
              <w:jc w:val="left"/>
              <w:rPr>
                <w:rFonts w:ascii="Arial Narrow" w:hAnsi="Arial Narrow"/>
                <w:i/>
                <w:color w:val="0000FF"/>
                <w:sz w:val="19"/>
                <w:szCs w:val="19"/>
              </w:rPr>
            </w:pP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Key effectiveness data</w:t>
            </w:r>
          </w:p>
        </w:tc>
        <w:tc>
          <w:tcPr>
            <w:tcW w:w="4820" w:type="dxa"/>
          </w:tcPr>
          <w:p w:rsidR="001D112E" w:rsidRPr="00117E78" w:rsidRDefault="001D112E" w:rsidP="006E4BDB">
            <w:pPr>
              <w:widowControl/>
              <w:jc w:val="left"/>
              <w:rPr>
                <w:rFonts w:ascii="Arial Narrow" w:hAnsi="Arial Narrow"/>
                <w:sz w:val="19"/>
                <w:szCs w:val="19"/>
              </w:rPr>
            </w:pPr>
            <w:r w:rsidRPr="00117E78">
              <w:rPr>
                <w:rFonts w:ascii="Arial Narrow" w:hAnsi="Arial Narrow"/>
                <w:sz w:val="19"/>
                <w:szCs w:val="19"/>
              </w:rPr>
              <w:t>•</w:t>
            </w:r>
            <w:r w:rsidR="00117E78" w:rsidRPr="00117E78">
              <w:rPr>
                <w:rFonts w:ascii="Arial Narrow" w:hAnsi="Arial Narrow"/>
                <w:sz w:val="19"/>
                <w:szCs w:val="19"/>
              </w:rPr>
              <w:t xml:space="preserve">Statistically </w:t>
            </w:r>
            <w:r w:rsidR="00A14191" w:rsidRPr="00117E78">
              <w:rPr>
                <w:rFonts w:ascii="Arial Narrow" w:hAnsi="Arial Narrow"/>
                <w:sz w:val="19"/>
                <w:szCs w:val="19"/>
              </w:rPr>
              <w:t>significant</w:t>
            </w:r>
            <w:r w:rsidR="00117E78" w:rsidRPr="00117E78">
              <w:rPr>
                <w:rFonts w:ascii="Arial Narrow" w:hAnsi="Arial Narrow"/>
                <w:sz w:val="19"/>
                <w:szCs w:val="19"/>
              </w:rPr>
              <w:t xml:space="preserve"> improvement in ASAS 40 outcome</w:t>
            </w:r>
          </w:p>
          <w:p w:rsidR="001D112E" w:rsidRPr="003252DA" w:rsidRDefault="001D112E" w:rsidP="006E4BDB">
            <w:pPr>
              <w:widowControl/>
              <w:jc w:val="left"/>
              <w:rPr>
                <w:rFonts w:ascii="Arial Narrow" w:hAnsi="Arial Narrow"/>
                <w:sz w:val="14"/>
                <w:szCs w:val="14"/>
              </w:rPr>
            </w:pPr>
          </w:p>
          <w:p w:rsidR="00117E78" w:rsidRPr="00117E78" w:rsidRDefault="001D112E" w:rsidP="006E4BDB">
            <w:pPr>
              <w:widowControl/>
              <w:jc w:val="left"/>
              <w:rPr>
                <w:rFonts w:ascii="Arial Narrow" w:hAnsi="Arial Narrow"/>
                <w:color w:val="0000FF"/>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00117E78">
              <w:rPr>
                <w:rFonts w:ascii="Arial Narrow" w:hAnsi="Arial Narrow"/>
                <w:sz w:val="19"/>
                <w:szCs w:val="19"/>
              </w:rPr>
              <w:t xml:space="preserve"> “</w:t>
            </w:r>
            <w:r w:rsidR="00117E78" w:rsidRPr="0075198B">
              <w:rPr>
                <w:rFonts w:ascii="Arial Narrow" w:hAnsi="Arial Narrow"/>
                <w:sz w:val="19"/>
                <w:szCs w:val="19"/>
              </w:rPr>
              <w:t>The PBAC noted that 32.4% (34 out of 105) of patients receiving etanercept in Trial 1031 achieved an ASAS 40 outcome at week 12 while 15.7% (17 out of 108) of patients receiving placebo achieved an ASAS 40 outcome at week 12. Whilst these results indicated that the number of patients meeting the primary outcome measure in the study approximately doubled as a result of etanercept, in absolute number terms, the PBAC’s view was that these results indicated that a large percentage of etanercept treated patients did not achieve an ASAS 40 outcome and that the clinical benefits of etanercept in nr-axSpA were modest.</w:t>
            </w:r>
            <w:r w:rsidR="00117E78">
              <w:rPr>
                <w:rFonts w:ascii="Arial Narrow" w:hAnsi="Arial Narrow"/>
                <w:sz w:val="19"/>
                <w:szCs w:val="19"/>
              </w:rPr>
              <w:t>” (</w:t>
            </w:r>
            <w:r w:rsidR="004B515E">
              <w:rPr>
                <w:rFonts w:ascii="Arial Narrow" w:hAnsi="Arial Narrow"/>
                <w:sz w:val="19"/>
                <w:szCs w:val="19"/>
              </w:rPr>
              <w:t xml:space="preserve">PSD, </w:t>
            </w:r>
            <w:r w:rsidR="00117E78">
              <w:rPr>
                <w:rFonts w:ascii="Arial Narrow" w:hAnsi="Arial Narrow"/>
                <w:sz w:val="19"/>
                <w:szCs w:val="19"/>
              </w:rPr>
              <w:t>paragraph 7.3)</w:t>
            </w:r>
          </w:p>
        </w:tc>
        <w:tc>
          <w:tcPr>
            <w:tcW w:w="2206" w:type="dxa"/>
          </w:tcPr>
          <w:p w:rsidR="001D112E" w:rsidRPr="006C2212" w:rsidRDefault="001D112E" w:rsidP="006E4BDB">
            <w:pPr>
              <w:widowControl/>
              <w:jc w:val="left"/>
              <w:rPr>
                <w:rFonts w:ascii="Arial Narrow" w:hAnsi="Arial Narrow"/>
                <w:sz w:val="19"/>
                <w:szCs w:val="19"/>
              </w:rPr>
            </w:pPr>
            <w:r w:rsidRPr="006C2212">
              <w:rPr>
                <w:rFonts w:ascii="Arial Narrow" w:hAnsi="Arial Narrow"/>
                <w:sz w:val="19"/>
                <w:szCs w:val="19"/>
              </w:rPr>
              <w:t>•</w:t>
            </w:r>
            <w:r w:rsidR="006C2212" w:rsidRPr="006C2212">
              <w:rPr>
                <w:rFonts w:ascii="Arial Narrow" w:hAnsi="Arial Narrow"/>
                <w:sz w:val="19"/>
                <w:szCs w:val="19"/>
              </w:rPr>
              <w:t xml:space="preserve">Same as </w:t>
            </w:r>
            <w:r w:rsidR="00977218">
              <w:rPr>
                <w:rFonts w:ascii="Arial Narrow" w:hAnsi="Arial Narrow"/>
                <w:sz w:val="19"/>
                <w:szCs w:val="19"/>
              </w:rPr>
              <w:t>March 2015</w:t>
            </w:r>
            <w:r w:rsidR="00B626A0">
              <w:rPr>
                <w:rFonts w:ascii="Arial Narrow" w:hAnsi="Arial Narrow"/>
                <w:sz w:val="19"/>
                <w:szCs w:val="19"/>
              </w:rPr>
              <w:t xml:space="preserve"> with additional subgroup analyses based on MRI and CRP status</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Key safety data</w:t>
            </w:r>
          </w:p>
        </w:tc>
        <w:tc>
          <w:tcPr>
            <w:tcW w:w="4820" w:type="dxa"/>
          </w:tcPr>
          <w:p w:rsidR="001D112E" w:rsidRPr="00ED0F04" w:rsidRDefault="00117E78" w:rsidP="006E4BDB">
            <w:pPr>
              <w:widowControl/>
              <w:jc w:val="left"/>
              <w:rPr>
                <w:rFonts w:ascii="Arial Narrow" w:hAnsi="Arial Narrow"/>
                <w:color w:val="0000FF"/>
                <w:sz w:val="19"/>
                <w:szCs w:val="19"/>
              </w:rPr>
            </w:pPr>
            <w:r w:rsidRPr="00117E78">
              <w:rPr>
                <w:rFonts w:ascii="Arial Narrow" w:hAnsi="Arial Narrow"/>
                <w:sz w:val="19"/>
                <w:szCs w:val="19"/>
              </w:rPr>
              <w:t>•Summary of PSUR</w:t>
            </w:r>
            <w:r>
              <w:rPr>
                <w:rFonts w:ascii="Arial Narrow" w:hAnsi="Arial Narrow"/>
                <w:color w:val="0000FF"/>
                <w:sz w:val="19"/>
                <w:szCs w:val="19"/>
              </w:rPr>
              <w:t xml:space="preserve">, </w:t>
            </w:r>
            <w:r w:rsidR="006200E2">
              <w:rPr>
                <w:rFonts w:ascii="Arial Narrow" w:hAnsi="Arial Narrow"/>
                <w:sz w:val="19"/>
                <w:szCs w:val="19"/>
              </w:rPr>
              <w:t>t</w:t>
            </w:r>
            <w:r w:rsidR="006200E2" w:rsidRPr="00117E78">
              <w:rPr>
                <w:rFonts w:ascii="Arial Narrow" w:hAnsi="Arial Narrow"/>
                <w:sz w:val="19"/>
                <w:szCs w:val="19"/>
              </w:rPr>
              <w:t xml:space="preserve">rial </w:t>
            </w:r>
            <w:r w:rsidRPr="00117E78">
              <w:rPr>
                <w:rFonts w:ascii="Arial Narrow" w:hAnsi="Arial Narrow"/>
                <w:sz w:val="19"/>
                <w:szCs w:val="19"/>
              </w:rPr>
              <w:t>AEs</w:t>
            </w:r>
          </w:p>
          <w:p w:rsidR="001D112E" w:rsidRPr="003252DA" w:rsidRDefault="001D112E" w:rsidP="006E4BDB">
            <w:pPr>
              <w:widowControl/>
              <w:jc w:val="left"/>
              <w:rPr>
                <w:rFonts w:ascii="Arial Narrow" w:hAnsi="Arial Narrow"/>
                <w:sz w:val="14"/>
                <w:szCs w:val="14"/>
              </w:rPr>
            </w:pPr>
          </w:p>
          <w:p w:rsidR="001D112E" w:rsidRPr="00ED0F04" w:rsidRDefault="001D112E" w:rsidP="006E4BDB">
            <w:pPr>
              <w:widowControl/>
              <w:jc w:val="left"/>
              <w:rPr>
                <w:rFonts w:ascii="Arial Narrow" w:hAnsi="Arial Narrow"/>
                <w:sz w:val="19"/>
                <w:szCs w:val="19"/>
              </w:rPr>
            </w:pPr>
            <w:r w:rsidRPr="00ED0F04">
              <w:rPr>
                <w:rFonts w:ascii="Arial Narrow" w:hAnsi="Arial Narrow"/>
                <w:b/>
                <w:sz w:val="19"/>
                <w:szCs w:val="19"/>
              </w:rPr>
              <w:t>PBAC Comment</w:t>
            </w:r>
            <w:r w:rsidRPr="00813A0E">
              <w:rPr>
                <w:rFonts w:ascii="Arial Narrow" w:hAnsi="Arial Narrow"/>
                <w:b/>
                <w:sz w:val="19"/>
                <w:szCs w:val="19"/>
              </w:rPr>
              <w:t>:</w:t>
            </w:r>
            <w:r w:rsidRPr="00813A0E">
              <w:rPr>
                <w:rFonts w:ascii="Arial Narrow" w:hAnsi="Arial Narrow"/>
                <w:sz w:val="19"/>
                <w:szCs w:val="19"/>
              </w:rPr>
              <w:t xml:space="preserve"> </w:t>
            </w:r>
            <w:r w:rsidR="00117E78">
              <w:rPr>
                <w:rFonts w:ascii="Arial Narrow" w:hAnsi="Arial Narrow"/>
                <w:sz w:val="19"/>
                <w:szCs w:val="19"/>
              </w:rPr>
              <w:t xml:space="preserve"> </w:t>
            </w:r>
            <w:r w:rsidR="00B626A0">
              <w:rPr>
                <w:rFonts w:ascii="Arial Narrow" w:hAnsi="Arial Narrow"/>
                <w:sz w:val="19"/>
                <w:szCs w:val="19"/>
              </w:rPr>
              <w:t>“</w:t>
            </w:r>
            <w:r w:rsidR="00B626A0" w:rsidRPr="00B626A0">
              <w:rPr>
                <w:rFonts w:ascii="Arial Narrow" w:hAnsi="Arial Narrow"/>
                <w:sz w:val="19"/>
                <w:szCs w:val="19"/>
              </w:rPr>
              <w:t>The PBAC agreed that no significant safety information was identified that would change what is currently known about the benefit risk profile of etanercept. Therefore, the PBAC considered that the submission’s claim of inferior safety compared to placebo was reasonable</w:t>
            </w:r>
            <w:r w:rsidR="00B626A0">
              <w:rPr>
                <w:rFonts w:ascii="Arial Narrow" w:hAnsi="Arial Narrow"/>
                <w:sz w:val="19"/>
                <w:szCs w:val="19"/>
              </w:rPr>
              <w:t>” (</w:t>
            </w:r>
            <w:r w:rsidR="009649CE">
              <w:rPr>
                <w:rFonts w:ascii="Arial Narrow" w:hAnsi="Arial Narrow"/>
                <w:sz w:val="19"/>
                <w:szCs w:val="19"/>
              </w:rPr>
              <w:t xml:space="preserve">PSD, </w:t>
            </w:r>
            <w:r w:rsidR="00B626A0">
              <w:rPr>
                <w:rFonts w:ascii="Arial Narrow" w:hAnsi="Arial Narrow"/>
                <w:sz w:val="19"/>
                <w:szCs w:val="19"/>
              </w:rPr>
              <w:t>paragraph 7.7)</w:t>
            </w:r>
          </w:p>
        </w:tc>
        <w:tc>
          <w:tcPr>
            <w:tcW w:w="2206" w:type="dxa"/>
          </w:tcPr>
          <w:p w:rsidR="001D112E" w:rsidRPr="006C2212" w:rsidRDefault="001D112E" w:rsidP="006E4BDB">
            <w:pPr>
              <w:widowControl/>
              <w:jc w:val="left"/>
              <w:rPr>
                <w:rFonts w:ascii="Arial Narrow" w:hAnsi="Arial Narrow"/>
                <w:sz w:val="19"/>
                <w:szCs w:val="19"/>
              </w:rPr>
            </w:pPr>
            <w:r w:rsidRPr="006C2212">
              <w:rPr>
                <w:rFonts w:ascii="Arial Narrow" w:hAnsi="Arial Narrow"/>
                <w:sz w:val="19"/>
                <w:szCs w:val="19"/>
              </w:rPr>
              <w:t>•</w:t>
            </w:r>
            <w:r w:rsidR="006C2212" w:rsidRPr="006C2212">
              <w:rPr>
                <w:rFonts w:ascii="Arial Narrow" w:hAnsi="Arial Narrow"/>
                <w:sz w:val="19"/>
                <w:szCs w:val="19"/>
              </w:rPr>
              <w:t xml:space="preserve">Same as </w:t>
            </w:r>
            <w:r w:rsidR="00977218">
              <w:rPr>
                <w:rFonts w:ascii="Arial Narrow" w:hAnsi="Arial Narrow"/>
                <w:sz w:val="19"/>
                <w:szCs w:val="19"/>
              </w:rPr>
              <w:t>March 2015</w:t>
            </w:r>
            <w:r w:rsidR="00407CA2">
              <w:rPr>
                <w:rFonts w:ascii="Arial Narrow" w:hAnsi="Arial Narrow"/>
                <w:sz w:val="19"/>
                <w:szCs w:val="19"/>
              </w:rPr>
              <w:t xml:space="preserve">, </w:t>
            </w:r>
            <w:r w:rsidR="00977218">
              <w:rPr>
                <w:rFonts w:ascii="Arial Narrow" w:hAnsi="Arial Narrow"/>
                <w:sz w:val="19"/>
                <w:szCs w:val="19"/>
              </w:rPr>
              <w:t xml:space="preserve">with </w:t>
            </w:r>
            <w:r w:rsidR="00407CA2">
              <w:rPr>
                <w:rFonts w:ascii="Arial Narrow" w:hAnsi="Arial Narrow"/>
                <w:sz w:val="19"/>
                <w:szCs w:val="19"/>
              </w:rPr>
              <w:t>updated PSUR and data from the open label phase of Trial 1031</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Clinical claim</w:t>
            </w:r>
          </w:p>
        </w:tc>
        <w:tc>
          <w:tcPr>
            <w:tcW w:w="4820" w:type="dxa"/>
          </w:tcPr>
          <w:p w:rsidR="001D112E" w:rsidRPr="00ED0F04" w:rsidRDefault="00813A0E" w:rsidP="006E4BDB">
            <w:pPr>
              <w:widowControl/>
              <w:jc w:val="left"/>
              <w:rPr>
                <w:rFonts w:ascii="Arial Narrow" w:hAnsi="Arial Narrow"/>
                <w:color w:val="0000FF"/>
                <w:sz w:val="19"/>
                <w:szCs w:val="19"/>
              </w:rPr>
            </w:pPr>
            <w:r w:rsidRPr="00813A0E">
              <w:rPr>
                <w:rFonts w:ascii="Arial Narrow" w:hAnsi="Arial Narrow"/>
                <w:sz w:val="19"/>
                <w:szCs w:val="19"/>
              </w:rPr>
              <w:t>•The submission claimed that etanercept was superior in terms of efficacy and inferior in terms of safety in comparison to placebo</w:t>
            </w:r>
            <w:r>
              <w:rPr>
                <w:rFonts w:ascii="Arial Narrow" w:hAnsi="Arial Narrow"/>
                <w:color w:val="0000FF"/>
                <w:sz w:val="19"/>
                <w:szCs w:val="19"/>
              </w:rPr>
              <w:t>.</w:t>
            </w:r>
          </w:p>
          <w:p w:rsidR="001D112E" w:rsidRPr="003252DA" w:rsidRDefault="001D112E" w:rsidP="006E4BDB">
            <w:pPr>
              <w:widowControl/>
              <w:jc w:val="left"/>
              <w:rPr>
                <w:rFonts w:ascii="Arial Narrow" w:hAnsi="Arial Narrow"/>
                <w:b/>
                <w:sz w:val="14"/>
                <w:szCs w:val="14"/>
              </w:rPr>
            </w:pPr>
          </w:p>
          <w:p w:rsidR="00813A0E" w:rsidRPr="00ED0F04" w:rsidRDefault="001D112E" w:rsidP="006E4BDB">
            <w:pPr>
              <w:widowControl/>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00813A0E">
              <w:rPr>
                <w:rFonts w:ascii="Arial Narrow" w:hAnsi="Arial Narrow"/>
                <w:sz w:val="19"/>
                <w:szCs w:val="19"/>
              </w:rPr>
              <w:t xml:space="preserve">“Though the efficacy claim was supported by statistically significant differences in ASAS measures and other composite instrument scores, these were generally restricted to the signs and symptoms of the disease and hence it was difficult to assess the clinical benefit of such differences. Additionally, this was </w:t>
            </w:r>
            <w:r w:rsidR="00813A0E">
              <w:rPr>
                <w:rFonts w:ascii="Arial Narrow" w:hAnsi="Arial Narrow"/>
                <w:sz w:val="19"/>
                <w:szCs w:val="19"/>
              </w:rPr>
              <w:lastRenderedPageBreak/>
              <w:t>based on 12 weeks of randomised evidence, which, considering how little is known about the natural history of nr-axSpA, was insufficient to make</w:t>
            </w:r>
            <w:r w:rsidR="009F5F23">
              <w:rPr>
                <w:rFonts w:ascii="Arial Narrow" w:hAnsi="Arial Narrow"/>
                <w:sz w:val="19"/>
                <w:szCs w:val="19"/>
              </w:rPr>
              <w:t xml:space="preserve"> conclusions on efficacy.” (</w:t>
            </w:r>
            <w:r w:rsidR="00C83EFF">
              <w:rPr>
                <w:rFonts w:ascii="Arial Narrow" w:hAnsi="Arial Narrow"/>
                <w:sz w:val="19"/>
                <w:szCs w:val="19"/>
              </w:rPr>
              <w:t xml:space="preserve">PSD, </w:t>
            </w:r>
            <w:r w:rsidR="009F5F23">
              <w:rPr>
                <w:rFonts w:ascii="Arial Narrow" w:hAnsi="Arial Narrow"/>
                <w:sz w:val="19"/>
                <w:szCs w:val="19"/>
              </w:rPr>
              <w:t>paragraph 6.17)</w:t>
            </w:r>
          </w:p>
        </w:tc>
        <w:tc>
          <w:tcPr>
            <w:tcW w:w="2206" w:type="dxa"/>
          </w:tcPr>
          <w:p w:rsidR="001D112E" w:rsidRPr="006C2212" w:rsidRDefault="001D112E" w:rsidP="006E4BDB">
            <w:pPr>
              <w:widowControl/>
              <w:jc w:val="left"/>
              <w:rPr>
                <w:rFonts w:ascii="Arial Narrow" w:hAnsi="Arial Narrow"/>
                <w:sz w:val="19"/>
                <w:szCs w:val="19"/>
              </w:rPr>
            </w:pPr>
            <w:r w:rsidRPr="006C2212">
              <w:rPr>
                <w:rFonts w:ascii="Arial Narrow" w:hAnsi="Arial Narrow"/>
                <w:sz w:val="19"/>
                <w:szCs w:val="19"/>
              </w:rPr>
              <w:lastRenderedPageBreak/>
              <w:t>•</w:t>
            </w:r>
            <w:r w:rsidR="006C2212" w:rsidRPr="006C2212">
              <w:rPr>
                <w:rFonts w:ascii="Arial Narrow" w:hAnsi="Arial Narrow"/>
                <w:sz w:val="19"/>
                <w:szCs w:val="19"/>
              </w:rPr>
              <w:t xml:space="preserve">Same as </w:t>
            </w:r>
            <w:r w:rsidR="00977218">
              <w:rPr>
                <w:rFonts w:ascii="Arial Narrow" w:hAnsi="Arial Narrow"/>
                <w:sz w:val="19"/>
                <w:szCs w:val="19"/>
              </w:rPr>
              <w:t>March 2015</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lastRenderedPageBreak/>
              <w:t>Economic evaluation</w:t>
            </w:r>
          </w:p>
        </w:tc>
        <w:tc>
          <w:tcPr>
            <w:tcW w:w="4820" w:type="dxa"/>
          </w:tcPr>
          <w:p w:rsidR="001D112E" w:rsidRPr="00ED0F04" w:rsidRDefault="001D112E" w:rsidP="006E4BDB">
            <w:pPr>
              <w:widowControl/>
              <w:jc w:val="left"/>
              <w:rPr>
                <w:rFonts w:ascii="Arial Narrow" w:hAnsi="Arial Narrow"/>
                <w:b/>
                <w:sz w:val="19"/>
                <w:szCs w:val="19"/>
              </w:rPr>
            </w:pPr>
            <w:r w:rsidRPr="00ED0F04">
              <w:rPr>
                <w:rFonts w:ascii="Arial Narrow" w:hAnsi="Arial Narrow"/>
                <w:sz w:val="19"/>
                <w:szCs w:val="19"/>
              </w:rPr>
              <w:t xml:space="preserve">•Cost-utility model with cost/QALY </w:t>
            </w:r>
            <w:r w:rsidR="00C139C1">
              <w:rPr>
                <w:rFonts w:ascii="Arial Narrow" w:hAnsi="Arial Narrow"/>
                <w:sz w:val="19"/>
                <w:szCs w:val="19"/>
              </w:rPr>
              <w:t>$45,000 - $75,000</w:t>
            </w:r>
            <w:r w:rsidRPr="00ED0F04">
              <w:rPr>
                <w:rFonts w:ascii="Arial Narrow" w:hAnsi="Arial Narrow"/>
                <w:b/>
                <w:sz w:val="19"/>
                <w:szCs w:val="19"/>
              </w:rPr>
              <w:t xml:space="preserve"> </w:t>
            </w:r>
          </w:p>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w:t>
            </w:r>
            <w:r w:rsidR="006B3D59">
              <w:rPr>
                <w:rFonts w:ascii="Arial Narrow" w:hAnsi="Arial Narrow"/>
                <w:sz w:val="19"/>
                <w:szCs w:val="19"/>
              </w:rPr>
              <w:t>Time horizon of 2 year</w:t>
            </w:r>
            <w:r w:rsidR="006200E2">
              <w:rPr>
                <w:rFonts w:ascii="Arial Narrow" w:hAnsi="Arial Narrow"/>
                <w:sz w:val="19"/>
                <w:szCs w:val="19"/>
              </w:rPr>
              <w:t>s</w:t>
            </w:r>
          </w:p>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w:t>
            </w:r>
            <w:r w:rsidR="006B3D59">
              <w:rPr>
                <w:rFonts w:ascii="Arial Narrow" w:hAnsi="Arial Narrow"/>
                <w:sz w:val="19"/>
                <w:szCs w:val="19"/>
              </w:rPr>
              <w:t>Trial based EQ-5D scores</w:t>
            </w:r>
          </w:p>
          <w:p w:rsidR="001D112E" w:rsidRPr="00ED0F04" w:rsidRDefault="001D112E" w:rsidP="006E4BDB">
            <w:pPr>
              <w:widowControl/>
              <w:jc w:val="left"/>
              <w:rPr>
                <w:rFonts w:ascii="Arial Narrow" w:hAnsi="Arial Narrow"/>
                <w:b/>
                <w:sz w:val="19"/>
                <w:szCs w:val="19"/>
              </w:rPr>
            </w:pPr>
          </w:p>
          <w:p w:rsidR="001D112E" w:rsidRPr="00ED0F04" w:rsidRDefault="001D112E" w:rsidP="006E4BDB">
            <w:pPr>
              <w:widowControl/>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009F5F23" w:rsidRPr="009F5F23">
              <w:rPr>
                <w:rFonts w:ascii="Arial Narrow" w:hAnsi="Arial Narrow"/>
                <w:sz w:val="19"/>
                <w:szCs w:val="19"/>
              </w:rPr>
              <w:t>“Overall the clinical evi</w:t>
            </w:r>
            <w:r w:rsidR="00E0740C">
              <w:rPr>
                <w:rFonts w:ascii="Arial Narrow" w:hAnsi="Arial Narrow"/>
                <w:sz w:val="19"/>
                <w:szCs w:val="19"/>
              </w:rPr>
              <w:t>d</w:t>
            </w:r>
            <w:r w:rsidR="009F5F23" w:rsidRPr="009F5F23">
              <w:rPr>
                <w:rFonts w:ascii="Arial Narrow" w:hAnsi="Arial Narrow"/>
                <w:sz w:val="19"/>
                <w:szCs w:val="19"/>
              </w:rPr>
              <w:t>ence did not support a cost-utility analysis. The model had an unreliable short time horizon of 2 years. Since treatment with etanercept for nr-axSpA could be expected to last decades, the model, as specified, was of limited validity.” (</w:t>
            </w:r>
            <w:r w:rsidR="00C83EFF">
              <w:rPr>
                <w:rFonts w:ascii="Arial Narrow" w:hAnsi="Arial Narrow"/>
                <w:sz w:val="19"/>
                <w:szCs w:val="19"/>
              </w:rPr>
              <w:t xml:space="preserve">PSD, </w:t>
            </w:r>
            <w:r w:rsidR="009F5F23" w:rsidRPr="009F5F23">
              <w:rPr>
                <w:rFonts w:ascii="Arial Narrow" w:hAnsi="Arial Narrow"/>
                <w:sz w:val="19"/>
                <w:szCs w:val="19"/>
              </w:rPr>
              <w:t>paragraph 6.31)</w:t>
            </w:r>
          </w:p>
        </w:tc>
        <w:tc>
          <w:tcPr>
            <w:tcW w:w="2206" w:type="dxa"/>
          </w:tcPr>
          <w:p w:rsidR="001D112E" w:rsidRPr="00ED0F04" w:rsidRDefault="001D112E" w:rsidP="006E4BDB">
            <w:pPr>
              <w:widowControl/>
              <w:jc w:val="left"/>
              <w:rPr>
                <w:rFonts w:ascii="Arial Narrow" w:hAnsi="Arial Narrow"/>
                <w:b/>
                <w:sz w:val="19"/>
                <w:szCs w:val="19"/>
              </w:rPr>
            </w:pPr>
            <w:r w:rsidRPr="00ED0F04">
              <w:rPr>
                <w:rFonts w:ascii="Arial Narrow" w:hAnsi="Arial Narrow"/>
                <w:sz w:val="19"/>
                <w:szCs w:val="19"/>
              </w:rPr>
              <w:t xml:space="preserve">•Cost-utility model with cost/QALY </w:t>
            </w:r>
            <w:r w:rsidR="004F538C">
              <w:rPr>
                <w:rFonts w:ascii="Arial Narrow" w:hAnsi="Arial Narrow"/>
                <w:sz w:val="19"/>
                <w:szCs w:val="19"/>
              </w:rPr>
              <w:t>$45,000 - $75,000</w:t>
            </w:r>
          </w:p>
          <w:p w:rsidR="006C2212" w:rsidRPr="00ED0F04" w:rsidRDefault="001D112E" w:rsidP="006E4BDB">
            <w:pPr>
              <w:widowControl/>
              <w:jc w:val="left"/>
              <w:rPr>
                <w:rFonts w:ascii="Arial Narrow" w:hAnsi="Arial Narrow"/>
                <w:sz w:val="19"/>
                <w:szCs w:val="19"/>
              </w:rPr>
            </w:pPr>
            <w:r w:rsidRPr="00ED0F04">
              <w:rPr>
                <w:rFonts w:ascii="Arial Narrow" w:hAnsi="Arial Narrow"/>
                <w:sz w:val="19"/>
                <w:szCs w:val="19"/>
              </w:rPr>
              <w:t>•</w:t>
            </w:r>
            <w:r w:rsidR="009C09CD">
              <w:rPr>
                <w:rFonts w:ascii="Arial Narrow" w:hAnsi="Arial Narrow"/>
                <w:sz w:val="19"/>
                <w:szCs w:val="19"/>
              </w:rPr>
              <w:t>T</w:t>
            </w:r>
            <w:r w:rsidR="006C2212">
              <w:rPr>
                <w:rFonts w:ascii="Arial Narrow" w:hAnsi="Arial Narrow"/>
                <w:sz w:val="19"/>
                <w:szCs w:val="19"/>
              </w:rPr>
              <w:t xml:space="preserve">ime horizon adjusted to 10 years from 2 years </w:t>
            </w:r>
          </w:p>
          <w:p w:rsidR="001D112E" w:rsidRPr="00ED0F04" w:rsidRDefault="001D112E" w:rsidP="006E4BDB">
            <w:pPr>
              <w:widowControl/>
              <w:jc w:val="left"/>
              <w:rPr>
                <w:rFonts w:ascii="Arial Narrow" w:hAnsi="Arial Narrow"/>
                <w:color w:val="0000FF"/>
                <w:sz w:val="19"/>
                <w:szCs w:val="19"/>
              </w:rPr>
            </w:pP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Number of patients</w:t>
            </w:r>
          </w:p>
        </w:tc>
        <w:tc>
          <w:tcPr>
            <w:tcW w:w="4820" w:type="dxa"/>
          </w:tcPr>
          <w:p w:rsidR="001D112E" w:rsidRDefault="009F5F23" w:rsidP="006E4BDB">
            <w:pPr>
              <w:widowControl/>
              <w:jc w:val="left"/>
              <w:rPr>
                <w:rFonts w:ascii="Arial Narrow" w:hAnsi="Arial Narrow"/>
                <w:sz w:val="19"/>
                <w:szCs w:val="19"/>
              </w:rPr>
            </w:pPr>
            <w:r>
              <w:rPr>
                <w:rFonts w:ascii="Arial Narrow" w:hAnsi="Arial Narrow"/>
                <w:sz w:val="19"/>
                <w:szCs w:val="19"/>
              </w:rPr>
              <w:t>•</w:t>
            </w:r>
            <w:r w:rsidR="00ED2A2D">
              <w:rPr>
                <w:rFonts w:ascii="Arial Narrow" w:hAnsi="Arial Narrow"/>
                <w:sz w:val="19"/>
                <w:szCs w:val="19"/>
              </w:rPr>
              <w:t>Less than 10,000</w:t>
            </w:r>
            <w:r>
              <w:rPr>
                <w:rFonts w:ascii="Arial Narrow" w:hAnsi="Arial Narrow"/>
                <w:sz w:val="19"/>
                <w:szCs w:val="19"/>
              </w:rPr>
              <w:t xml:space="preserve"> in Year 1 increasing to </w:t>
            </w:r>
            <w:r w:rsidR="00ED2A2D">
              <w:rPr>
                <w:rFonts w:ascii="Arial Narrow" w:hAnsi="Arial Narrow"/>
                <w:sz w:val="19"/>
                <w:szCs w:val="19"/>
              </w:rPr>
              <w:t>less than 10,000</w:t>
            </w:r>
            <w:r w:rsidR="001D112E" w:rsidRPr="00ED0F04">
              <w:rPr>
                <w:rFonts w:ascii="Arial Narrow" w:hAnsi="Arial Narrow"/>
                <w:sz w:val="19"/>
                <w:szCs w:val="19"/>
              </w:rPr>
              <w:t xml:space="preserve"> in Year 5.</w:t>
            </w:r>
          </w:p>
          <w:p w:rsidR="003252DA" w:rsidRPr="00ED0F04" w:rsidRDefault="003252DA" w:rsidP="006E4BDB">
            <w:pPr>
              <w:widowControl/>
              <w:jc w:val="left"/>
              <w:rPr>
                <w:rFonts w:ascii="Arial Narrow" w:hAnsi="Arial Narrow"/>
                <w:b/>
                <w:sz w:val="19"/>
                <w:szCs w:val="19"/>
              </w:rPr>
            </w:pPr>
          </w:p>
          <w:p w:rsidR="001D112E" w:rsidRPr="00ED0F04" w:rsidRDefault="001D112E" w:rsidP="006E4BDB">
            <w:pPr>
              <w:widowControl/>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002F7A76" w:rsidRPr="002F7A76">
              <w:rPr>
                <w:rFonts w:ascii="Arial Narrow" w:hAnsi="Arial Narrow"/>
                <w:sz w:val="19"/>
                <w:szCs w:val="19"/>
              </w:rPr>
              <w:t>none</w:t>
            </w:r>
          </w:p>
        </w:tc>
        <w:tc>
          <w:tcPr>
            <w:tcW w:w="2206" w:type="dxa"/>
          </w:tcPr>
          <w:p w:rsidR="001D112E" w:rsidRPr="00ED0F04" w:rsidRDefault="001D112E" w:rsidP="00A045EA">
            <w:pPr>
              <w:widowControl/>
              <w:jc w:val="left"/>
              <w:rPr>
                <w:rFonts w:ascii="Arial Narrow" w:hAnsi="Arial Narrow"/>
                <w:color w:val="0000FF"/>
                <w:sz w:val="19"/>
                <w:szCs w:val="19"/>
              </w:rPr>
            </w:pPr>
            <w:r w:rsidRPr="00ED0F04">
              <w:rPr>
                <w:rFonts w:ascii="Arial Narrow" w:hAnsi="Arial Narrow"/>
                <w:sz w:val="19"/>
                <w:szCs w:val="19"/>
              </w:rPr>
              <w:t>•</w:t>
            </w:r>
            <w:r w:rsidR="00A045EA">
              <w:rPr>
                <w:rFonts w:ascii="Arial Narrow" w:hAnsi="Arial Narrow"/>
                <w:sz w:val="19"/>
                <w:szCs w:val="19"/>
              </w:rPr>
              <w:t>Less than 10,000</w:t>
            </w:r>
            <w:r w:rsidR="00B15469">
              <w:rPr>
                <w:rFonts w:ascii="Arial Narrow" w:hAnsi="Arial Narrow"/>
                <w:sz w:val="19"/>
                <w:szCs w:val="19"/>
              </w:rPr>
              <w:t xml:space="preserve"> in Year 1 decreasing to </w:t>
            </w:r>
            <w:r w:rsidR="00A045EA">
              <w:rPr>
                <w:rFonts w:ascii="Arial Narrow" w:hAnsi="Arial Narrow"/>
                <w:sz w:val="19"/>
                <w:szCs w:val="19"/>
              </w:rPr>
              <w:t>le</w:t>
            </w:r>
            <w:r w:rsidR="00A643D7">
              <w:rPr>
                <w:rFonts w:ascii="Arial Narrow" w:hAnsi="Arial Narrow"/>
                <w:sz w:val="19"/>
                <w:szCs w:val="19"/>
              </w:rPr>
              <w:t>s</w:t>
            </w:r>
            <w:r w:rsidR="00A045EA">
              <w:rPr>
                <w:rFonts w:ascii="Arial Narrow" w:hAnsi="Arial Narrow"/>
                <w:sz w:val="19"/>
                <w:szCs w:val="19"/>
              </w:rPr>
              <w:t>s than 10,000</w:t>
            </w:r>
            <w:r w:rsidRPr="00ED0F04">
              <w:rPr>
                <w:rFonts w:ascii="Arial Narrow" w:hAnsi="Arial Narrow"/>
                <w:sz w:val="19"/>
                <w:szCs w:val="19"/>
              </w:rPr>
              <w:t xml:space="preserve"> in Year 5.</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sz w:val="19"/>
                <w:szCs w:val="19"/>
              </w:rPr>
              <w:t>Estimated cost to PBS</w:t>
            </w:r>
          </w:p>
        </w:tc>
        <w:tc>
          <w:tcPr>
            <w:tcW w:w="4820" w:type="dxa"/>
          </w:tcPr>
          <w:p w:rsidR="001D112E" w:rsidRPr="00ED0F04" w:rsidRDefault="009F5F23" w:rsidP="006E4BDB">
            <w:pPr>
              <w:widowControl/>
              <w:jc w:val="left"/>
              <w:rPr>
                <w:rFonts w:ascii="Arial Narrow" w:hAnsi="Arial Narrow"/>
                <w:sz w:val="19"/>
                <w:szCs w:val="19"/>
              </w:rPr>
            </w:pPr>
            <w:r>
              <w:rPr>
                <w:rFonts w:ascii="Arial Narrow" w:hAnsi="Arial Narrow"/>
                <w:sz w:val="19"/>
                <w:szCs w:val="19"/>
              </w:rPr>
              <w:t>•</w:t>
            </w:r>
            <w:r w:rsidR="005926A3">
              <w:rPr>
                <w:rFonts w:ascii="Arial Narrow" w:hAnsi="Arial Narrow"/>
                <w:sz w:val="19"/>
                <w:szCs w:val="19"/>
              </w:rPr>
              <w:t>Less than $10 million</w:t>
            </w:r>
            <w:r>
              <w:rPr>
                <w:rFonts w:ascii="Arial Narrow" w:hAnsi="Arial Narrow"/>
                <w:sz w:val="19"/>
                <w:szCs w:val="19"/>
              </w:rPr>
              <w:t xml:space="preserve"> in Year 1 increasing to </w:t>
            </w:r>
            <w:r w:rsidR="005926A3">
              <w:rPr>
                <w:rFonts w:ascii="Arial Narrow" w:hAnsi="Arial Narrow"/>
                <w:sz w:val="19"/>
                <w:szCs w:val="19"/>
              </w:rPr>
              <w:t>$10</w:t>
            </w:r>
            <w:r w:rsidR="0015282E">
              <w:rPr>
                <w:rFonts w:ascii="Arial Narrow" w:hAnsi="Arial Narrow"/>
                <w:sz w:val="19"/>
                <w:szCs w:val="19"/>
              </w:rPr>
              <w:t xml:space="preserve"> </w:t>
            </w:r>
            <w:r w:rsidR="005926A3">
              <w:rPr>
                <w:rFonts w:ascii="Arial Narrow" w:hAnsi="Arial Narrow"/>
                <w:sz w:val="19"/>
                <w:szCs w:val="19"/>
              </w:rPr>
              <w:t>-</w:t>
            </w:r>
            <w:r w:rsidR="0015282E">
              <w:rPr>
                <w:rFonts w:ascii="Arial Narrow" w:hAnsi="Arial Narrow"/>
                <w:sz w:val="19"/>
                <w:szCs w:val="19"/>
              </w:rPr>
              <w:t xml:space="preserve"> </w:t>
            </w:r>
            <w:r w:rsidR="005926A3">
              <w:rPr>
                <w:rFonts w:ascii="Arial Narrow" w:hAnsi="Arial Narrow"/>
                <w:sz w:val="19"/>
                <w:szCs w:val="19"/>
              </w:rPr>
              <w:t>$20 million</w:t>
            </w:r>
            <w:r>
              <w:rPr>
                <w:rFonts w:ascii="Arial Narrow" w:hAnsi="Arial Narrow"/>
                <w:sz w:val="19"/>
                <w:szCs w:val="19"/>
              </w:rPr>
              <w:t xml:space="preserve"> in Year 5 for a total of </w:t>
            </w:r>
            <w:r w:rsidR="005926A3">
              <w:rPr>
                <w:rFonts w:ascii="Arial Narrow" w:hAnsi="Arial Narrow"/>
                <w:sz w:val="19"/>
                <w:szCs w:val="19"/>
              </w:rPr>
              <w:t>$60</w:t>
            </w:r>
            <w:r w:rsidR="0015282E">
              <w:rPr>
                <w:rFonts w:ascii="Arial Narrow" w:hAnsi="Arial Narrow"/>
                <w:sz w:val="19"/>
                <w:szCs w:val="19"/>
              </w:rPr>
              <w:t xml:space="preserve"> </w:t>
            </w:r>
            <w:r w:rsidR="005926A3">
              <w:rPr>
                <w:rFonts w:ascii="Arial Narrow" w:hAnsi="Arial Narrow"/>
                <w:sz w:val="19"/>
                <w:szCs w:val="19"/>
              </w:rPr>
              <w:t>-</w:t>
            </w:r>
            <w:r w:rsidR="0015282E">
              <w:rPr>
                <w:rFonts w:ascii="Arial Narrow" w:hAnsi="Arial Narrow"/>
                <w:sz w:val="19"/>
                <w:szCs w:val="19"/>
              </w:rPr>
              <w:t xml:space="preserve"> </w:t>
            </w:r>
            <w:r w:rsidR="005926A3">
              <w:rPr>
                <w:rFonts w:ascii="Arial Narrow" w:hAnsi="Arial Narrow"/>
                <w:sz w:val="19"/>
                <w:szCs w:val="19"/>
              </w:rPr>
              <w:t>$100 million</w:t>
            </w:r>
            <w:r w:rsidR="001D112E" w:rsidRPr="00ED0F04">
              <w:rPr>
                <w:rFonts w:ascii="Arial Narrow" w:hAnsi="Arial Narrow"/>
                <w:sz w:val="19"/>
                <w:szCs w:val="19"/>
              </w:rPr>
              <w:t xml:space="preserve"> over the first 5 years of listing.</w:t>
            </w:r>
          </w:p>
          <w:p w:rsidR="001D112E" w:rsidRPr="003252DA" w:rsidRDefault="001D112E" w:rsidP="006E4BDB">
            <w:pPr>
              <w:widowControl/>
              <w:jc w:val="left"/>
              <w:rPr>
                <w:rFonts w:ascii="Arial Narrow" w:hAnsi="Arial Narrow"/>
                <w:sz w:val="14"/>
                <w:szCs w:val="14"/>
              </w:rPr>
            </w:pPr>
          </w:p>
          <w:p w:rsidR="001D112E" w:rsidRPr="00ED0F04" w:rsidRDefault="001D112E" w:rsidP="006E4BDB">
            <w:pPr>
              <w:widowControl/>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002F7A76" w:rsidRPr="002F7A76">
              <w:rPr>
                <w:rFonts w:ascii="Arial Narrow" w:hAnsi="Arial Narrow"/>
                <w:sz w:val="19"/>
                <w:szCs w:val="19"/>
              </w:rPr>
              <w:t>“</w:t>
            </w:r>
            <w:r w:rsidR="009F5F23" w:rsidRPr="002F7A76">
              <w:rPr>
                <w:rFonts w:ascii="Arial Narrow" w:hAnsi="Arial Narrow"/>
                <w:sz w:val="19"/>
                <w:szCs w:val="19"/>
              </w:rPr>
              <w:t>The DUSC considered that the financial estimates provided by the submission were not likely to be accurate</w:t>
            </w:r>
            <w:r w:rsidR="002F7A76" w:rsidRPr="002F7A76">
              <w:rPr>
                <w:rFonts w:ascii="Arial Narrow" w:hAnsi="Arial Narrow"/>
                <w:sz w:val="19"/>
                <w:szCs w:val="19"/>
              </w:rPr>
              <w:t>…” (</w:t>
            </w:r>
            <w:r w:rsidR="00891326">
              <w:rPr>
                <w:rFonts w:ascii="Arial Narrow" w:hAnsi="Arial Narrow"/>
                <w:sz w:val="19"/>
                <w:szCs w:val="19"/>
              </w:rPr>
              <w:t xml:space="preserve">PSD, </w:t>
            </w:r>
            <w:r w:rsidR="002F7A76" w:rsidRPr="002F7A76">
              <w:rPr>
                <w:rFonts w:ascii="Arial Narrow" w:hAnsi="Arial Narrow"/>
                <w:sz w:val="19"/>
                <w:szCs w:val="19"/>
              </w:rPr>
              <w:t>paragraph 6.34)</w:t>
            </w:r>
          </w:p>
        </w:tc>
        <w:tc>
          <w:tcPr>
            <w:tcW w:w="2206" w:type="dxa"/>
          </w:tcPr>
          <w:p w:rsidR="001D112E" w:rsidRPr="00ED0F04" w:rsidRDefault="004B17AE" w:rsidP="001F643C">
            <w:pPr>
              <w:widowControl/>
              <w:jc w:val="left"/>
              <w:rPr>
                <w:rFonts w:ascii="Arial Narrow" w:hAnsi="Arial Narrow"/>
                <w:color w:val="0000FF"/>
                <w:sz w:val="19"/>
                <w:szCs w:val="19"/>
              </w:rPr>
            </w:pPr>
            <w:r>
              <w:rPr>
                <w:rFonts w:ascii="Arial Narrow" w:hAnsi="Arial Narrow"/>
                <w:sz w:val="19"/>
                <w:szCs w:val="19"/>
              </w:rPr>
              <w:t>•</w:t>
            </w:r>
            <w:r w:rsidR="001F643C">
              <w:rPr>
                <w:rFonts w:ascii="Arial Narrow" w:hAnsi="Arial Narrow"/>
                <w:sz w:val="19"/>
                <w:szCs w:val="19"/>
              </w:rPr>
              <w:t>$20-$30 million</w:t>
            </w:r>
            <w:r>
              <w:rPr>
                <w:rFonts w:ascii="Arial Narrow" w:hAnsi="Arial Narrow"/>
                <w:sz w:val="19"/>
                <w:szCs w:val="19"/>
              </w:rPr>
              <w:t xml:space="preserve"> </w:t>
            </w:r>
            <w:r w:rsidR="001D112E" w:rsidRPr="00ED0F04">
              <w:rPr>
                <w:rFonts w:ascii="Arial Narrow" w:hAnsi="Arial Narrow"/>
                <w:sz w:val="19"/>
                <w:szCs w:val="19"/>
              </w:rPr>
              <w:t xml:space="preserve">in Year 1 </w:t>
            </w:r>
            <w:r>
              <w:rPr>
                <w:rFonts w:ascii="Arial Narrow" w:hAnsi="Arial Narrow"/>
                <w:sz w:val="19"/>
                <w:szCs w:val="19"/>
              </w:rPr>
              <w:t xml:space="preserve">decreasing to </w:t>
            </w:r>
            <w:r w:rsidR="001F643C">
              <w:rPr>
                <w:rFonts w:ascii="Arial Narrow" w:hAnsi="Arial Narrow"/>
                <w:sz w:val="19"/>
                <w:szCs w:val="19"/>
              </w:rPr>
              <w:t>$10-$20 million</w:t>
            </w:r>
            <w:r>
              <w:rPr>
                <w:rFonts w:ascii="Arial Narrow" w:hAnsi="Arial Narrow"/>
                <w:sz w:val="19"/>
                <w:szCs w:val="19"/>
              </w:rPr>
              <w:t xml:space="preserve"> in Year 5 for a total of </w:t>
            </w:r>
            <w:r w:rsidR="001F643C">
              <w:rPr>
                <w:rFonts w:ascii="Arial Narrow" w:hAnsi="Arial Narrow"/>
                <w:sz w:val="19"/>
                <w:szCs w:val="19"/>
              </w:rPr>
              <w:t>$60-$100 million</w:t>
            </w:r>
            <w:r w:rsidR="001D112E" w:rsidRPr="00ED0F04">
              <w:rPr>
                <w:rFonts w:ascii="Arial Narrow" w:hAnsi="Arial Narrow"/>
                <w:sz w:val="19"/>
                <w:szCs w:val="19"/>
              </w:rPr>
              <w:t xml:space="preserve"> over the first 5 years of listing.</w:t>
            </w:r>
          </w:p>
        </w:tc>
      </w:tr>
      <w:tr w:rsidR="001D112E" w:rsidRPr="00ED0F04" w:rsidTr="006D31EA">
        <w:tc>
          <w:tcPr>
            <w:tcW w:w="1134" w:type="dxa"/>
            <w:vAlign w:val="center"/>
          </w:tcPr>
          <w:p w:rsidR="001D112E" w:rsidRPr="00ED0F04" w:rsidRDefault="001D112E" w:rsidP="006E4BDB">
            <w:pPr>
              <w:widowControl/>
              <w:jc w:val="left"/>
              <w:rPr>
                <w:rFonts w:ascii="Arial Narrow" w:hAnsi="Arial Narrow"/>
                <w:sz w:val="19"/>
                <w:szCs w:val="19"/>
              </w:rPr>
            </w:pPr>
            <w:r w:rsidRPr="00ED0F04">
              <w:rPr>
                <w:rFonts w:ascii="Arial Narrow" w:hAnsi="Arial Narrow"/>
              </w:rPr>
              <w:br w:type="page"/>
            </w:r>
            <w:r w:rsidRPr="00ED0F04">
              <w:rPr>
                <w:rFonts w:ascii="Arial Narrow" w:hAnsi="Arial Narrow"/>
                <w:sz w:val="19"/>
                <w:szCs w:val="19"/>
              </w:rPr>
              <w:t>PBAC decision</w:t>
            </w:r>
          </w:p>
        </w:tc>
        <w:tc>
          <w:tcPr>
            <w:tcW w:w="4820" w:type="dxa"/>
          </w:tcPr>
          <w:p w:rsidR="001D112E" w:rsidRDefault="002F7A76" w:rsidP="006E4BDB">
            <w:pPr>
              <w:widowControl/>
              <w:jc w:val="left"/>
              <w:rPr>
                <w:rFonts w:ascii="Arial Narrow" w:hAnsi="Arial Narrow"/>
                <w:sz w:val="19"/>
                <w:szCs w:val="19"/>
              </w:rPr>
            </w:pPr>
            <w:r>
              <w:rPr>
                <w:rFonts w:ascii="Arial Narrow" w:hAnsi="Arial Narrow"/>
                <w:sz w:val="19"/>
                <w:szCs w:val="19"/>
              </w:rPr>
              <w:t>•</w:t>
            </w:r>
            <w:r w:rsidR="001D112E" w:rsidRPr="00ED0F04">
              <w:rPr>
                <w:rFonts w:ascii="Arial Narrow" w:hAnsi="Arial Narrow"/>
                <w:sz w:val="19"/>
                <w:szCs w:val="19"/>
              </w:rPr>
              <w:t>Reject</w:t>
            </w:r>
            <w:r>
              <w:rPr>
                <w:rFonts w:ascii="Arial Narrow" w:hAnsi="Arial Narrow"/>
                <w:sz w:val="19"/>
                <w:szCs w:val="19"/>
              </w:rPr>
              <w:t>:</w:t>
            </w:r>
          </w:p>
          <w:p w:rsidR="0075198B" w:rsidRPr="003252DA" w:rsidRDefault="0075198B" w:rsidP="006E4BDB">
            <w:pPr>
              <w:widowControl/>
              <w:jc w:val="left"/>
              <w:rPr>
                <w:rFonts w:ascii="Arial Narrow" w:hAnsi="Arial Narrow"/>
                <w:sz w:val="14"/>
                <w:szCs w:val="14"/>
              </w:rPr>
            </w:pPr>
          </w:p>
          <w:p w:rsidR="0075198B" w:rsidRPr="00ED0F04" w:rsidRDefault="0075198B" w:rsidP="006E4BDB">
            <w:pPr>
              <w:widowControl/>
              <w:jc w:val="left"/>
              <w:rPr>
                <w:rFonts w:ascii="Arial Narrow" w:hAnsi="Arial Narrow"/>
                <w:sz w:val="19"/>
                <w:szCs w:val="19"/>
              </w:rPr>
            </w:pPr>
            <w:r w:rsidRPr="00ED0F04">
              <w:rPr>
                <w:rFonts w:ascii="Arial Narrow" w:hAnsi="Arial Narrow"/>
                <w:b/>
                <w:sz w:val="19"/>
                <w:szCs w:val="19"/>
              </w:rPr>
              <w:t>PBAC Comment:</w:t>
            </w:r>
            <w:r w:rsidRPr="00ED0F04">
              <w:rPr>
                <w:rFonts w:ascii="Arial Narrow" w:hAnsi="Arial Narrow"/>
                <w:sz w:val="19"/>
                <w:szCs w:val="19"/>
              </w:rPr>
              <w:t xml:space="preserve"> </w:t>
            </w:r>
            <w:r w:rsidRPr="002F7A76">
              <w:rPr>
                <w:rFonts w:ascii="Arial Narrow" w:hAnsi="Arial Narrow"/>
                <w:sz w:val="19"/>
                <w:szCs w:val="19"/>
              </w:rPr>
              <w:t>“The</w:t>
            </w:r>
            <w:r w:rsidR="00977218">
              <w:rPr>
                <w:rFonts w:ascii="Arial Narrow" w:hAnsi="Arial Narrow"/>
                <w:sz w:val="19"/>
                <w:szCs w:val="19"/>
              </w:rPr>
              <w:t xml:space="preserve"> </w:t>
            </w:r>
            <w:r>
              <w:rPr>
                <w:rFonts w:ascii="Arial Narrow" w:hAnsi="Arial Narrow"/>
                <w:sz w:val="19"/>
                <w:szCs w:val="19"/>
              </w:rPr>
              <w:t xml:space="preserve">PBAC rejected the submission on the basis that although the trial data suggested short term efficacy, the available evidence did not enable PBAC to characterise the likely magnitude of benefit with respect to patient relevant </w:t>
            </w:r>
            <w:r w:rsidR="00A14191">
              <w:rPr>
                <w:rFonts w:ascii="Arial Narrow" w:hAnsi="Arial Narrow"/>
                <w:sz w:val="19"/>
                <w:szCs w:val="19"/>
              </w:rPr>
              <w:t>outcomes</w:t>
            </w:r>
            <w:r>
              <w:rPr>
                <w:rFonts w:ascii="Arial Narrow" w:hAnsi="Arial Narrow"/>
                <w:sz w:val="19"/>
                <w:szCs w:val="19"/>
              </w:rPr>
              <w:t xml:space="preserve"> additional to the ASAS 40 (such as disease progression) in patients with non-radiographic axial spondyloarthritis (nr-axSpA). Even if the natural history of the condition was well characterised, the short term data and economic analysis did not allow PBAC to define a population in whom treatment could be expected to be cost effective.” (</w:t>
            </w:r>
            <w:r w:rsidR="00891326">
              <w:rPr>
                <w:rFonts w:ascii="Arial Narrow" w:hAnsi="Arial Narrow"/>
                <w:sz w:val="19"/>
                <w:szCs w:val="19"/>
              </w:rPr>
              <w:t xml:space="preserve">PSD, </w:t>
            </w:r>
            <w:r w:rsidR="00977218">
              <w:rPr>
                <w:rFonts w:ascii="Arial Narrow" w:hAnsi="Arial Narrow"/>
                <w:sz w:val="19"/>
                <w:szCs w:val="19"/>
              </w:rPr>
              <w:t xml:space="preserve">paragraph </w:t>
            </w:r>
            <w:r>
              <w:rPr>
                <w:rFonts w:ascii="Arial Narrow" w:hAnsi="Arial Narrow"/>
                <w:sz w:val="19"/>
                <w:szCs w:val="19"/>
              </w:rPr>
              <w:t>7.1)</w:t>
            </w:r>
          </w:p>
        </w:tc>
        <w:tc>
          <w:tcPr>
            <w:tcW w:w="2206" w:type="dxa"/>
          </w:tcPr>
          <w:p w:rsidR="001D112E" w:rsidRPr="00ED0F04" w:rsidRDefault="001D112E" w:rsidP="006E4BDB">
            <w:pPr>
              <w:widowControl/>
              <w:jc w:val="left"/>
              <w:rPr>
                <w:rFonts w:ascii="Arial Narrow" w:hAnsi="Arial Narrow"/>
                <w:color w:val="0000FF"/>
                <w:sz w:val="19"/>
                <w:szCs w:val="19"/>
              </w:rPr>
            </w:pPr>
            <w:r w:rsidRPr="00ED0F04">
              <w:rPr>
                <w:rFonts w:ascii="Arial Narrow" w:hAnsi="Arial Narrow"/>
                <w:sz w:val="19"/>
                <w:szCs w:val="19"/>
              </w:rPr>
              <w:t>-</w:t>
            </w:r>
          </w:p>
        </w:tc>
      </w:tr>
    </w:tbl>
    <w:p w:rsidR="00B60939" w:rsidRPr="001D112E" w:rsidRDefault="001D112E" w:rsidP="006E4BDB">
      <w:pPr>
        <w:pStyle w:val="TableFooter"/>
        <w:widowControl/>
        <w:ind w:firstLine="720"/>
      </w:pPr>
      <w:r w:rsidRPr="001D112E">
        <w:t>Source: Compiled during the evaluation</w:t>
      </w:r>
    </w:p>
    <w:p w:rsidR="002F530D" w:rsidRDefault="002F530D" w:rsidP="006E4BDB">
      <w:pPr>
        <w:pStyle w:val="BodyText"/>
        <w:widowControl/>
        <w:rPr>
          <w:i/>
          <w:szCs w:val="22"/>
          <w:highlight w:val="yellow"/>
        </w:rPr>
      </w:pPr>
    </w:p>
    <w:p w:rsidR="00B60939" w:rsidRDefault="00B60939" w:rsidP="006E4BDB">
      <w:pPr>
        <w:widowControl/>
      </w:pPr>
    </w:p>
    <w:p w:rsidR="00F338FF" w:rsidRPr="00407F2D" w:rsidRDefault="00F338FF" w:rsidP="001065B6">
      <w:pPr>
        <w:pStyle w:val="Heading1"/>
      </w:pPr>
      <w:bookmarkStart w:id="5" w:name="_Toc440882435"/>
      <w:r w:rsidRPr="00407F2D">
        <w:t>Clinical place for the proposed therapy</w:t>
      </w:r>
      <w:bookmarkEnd w:id="5"/>
    </w:p>
    <w:p w:rsidR="00B60939" w:rsidRDefault="00B60939" w:rsidP="006E4BDB">
      <w:pPr>
        <w:keepNext/>
        <w:widowControl/>
        <w:rPr>
          <w:szCs w:val="22"/>
        </w:rPr>
      </w:pPr>
    </w:p>
    <w:p w:rsidR="00B15469" w:rsidRPr="002F530D" w:rsidRDefault="00B15469" w:rsidP="006E4BDB">
      <w:pPr>
        <w:pStyle w:val="ListParagraph"/>
        <w:widowControl/>
        <w:numPr>
          <w:ilvl w:val="1"/>
          <w:numId w:val="2"/>
        </w:numPr>
        <w:rPr>
          <w:color w:val="FF0000"/>
          <w:szCs w:val="22"/>
        </w:rPr>
      </w:pPr>
      <w:r w:rsidRPr="002F530D">
        <w:t>Axial spondyloarthritis (axSpA) is a group of related immune mediated diseases with the shared feature of axial inflammatory arthritis. This categorisation encompasses both ankylosing spondylitis (AS) and non-radiographic axial spondyloarthritis (nr</w:t>
      </w:r>
      <w:r w:rsidR="00345789">
        <w:noBreakHyphen/>
      </w:r>
      <w:r w:rsidRPr="002F530D">
        <w:t xml:space="preserve">axSpA).  </w:t>
      </w:r>
      <w:r w:rsidR="00A643D7">
        <w:t>n</w:t>
      </w:r>
      <w:r w:rsidRPr="002F530D">
        <w:t>r-axSpA is differentiated from AS by the absence of radiological evidence of sacroiliitis.</w:t>
      </w:r>
      <w:r w:rsidR="0004056E" w:rsidRPr="002F530D">
        <w:t xml:space="preserve"> </w:t>
      </w:r>
      <w:r w:rsidR="001B5FCD" w:rsidRPr="002F530D">
        <w:t>The ESC noted that n</w:t>
      </w:r>
      <w:r w:rsidR="0004056E" w:rsidRPr="002F530D">
        <w:t>r-axSpA can progress to AS. The PSCR</w:t>
      </w:r>
      <w:r w:rsidR="001B5FCD" w:rsidRPr="002F530D">
        <w:t xml:space="preserve"> (p5)</w:t>
      </w:r>
      <w:r w:rsidR="0004056E" w:rsidRPr="002F530D">
        <w:t xml:space="preserve"> </w:t>
      </w:r>
      <w:r w:rsidR="001B5FCD" w:rsidRPr="002F530D">
        <w:t xml:space="preserve">argued </w:t>
      </w:r>
      <w:r w:rsidR="0004056E" w:rsidRPr="002F530D">
        <w:t>that both conditions are equally debilitating</w:t>
      </w:r>
      <w:r w:rsidR="001B5FCD" w:rsidRPr="002F530D">
        <w:t xml:space="preserve"> and control of nr-</w:t>
      </w:r>
      <w:r w:rsidR="0080655E" w:rsidRPr="002F530D">
        <w:t>axSpA</w:t>
      </w:r>
      <w:r w:rsidR="001B5FCD" w:rsidRPr="002F530D">
        <w:t xml:space="preserve"> should be just as important as control of AS</w:t>
      </w:r>
      <w:r w:rsidR="0004056E" w:rsidRPr="002F530D">
        <w:t>.</w:t>
      </w:r>
    </w:p>
    <w:p w:rsidR="00B15469" w:rsidRPr="002F530D" w:rsidRDefault="00B15469" w:rsidP="006E4BDB">
      <w:pPr>
        <w:pStyle w:val="ListParagraph"/>
        <w:widowControl/>
        <w:rPr>
          <w:szCs w:val="22"/>
        </w:rPr>
      </w:pPr>
    </w:p>
    <w:p w:rsidR="001070D5" w:rsidRPr="002F530D" w:rsidRDefault="00B15469" w:rsidP="006E4BDB">
      <w:pPr>
        <w:pStyle w:val="ListParagraph"/>
        <w:widowControl/>
        <w:numPr>
          <w:ilvl w:val="1"/>
          <w:numId w:val="2"/>
        </w:numPr>
        <w:rPr>
          <w:szCs w:val="22"/>
        </w:rPr>
      </w:pPr>
      <w:r w:rsidRPr="002F530D">
        <w:rPr>
          <w:szCs w:val="22"/>
        </w:rPr>
        <w:t>Etanercept is not likely to replace any pharmaceutical therapies.</w:t>
      </w:r>
      <w:r w:rsidR="00497F10" w:rsidRPr="002F530D">
        <w:rPr>
          <w:color w:val="3366FF"/>
          <w:szCs w:val="22"/>
        </w:rPr>
        <w:t xml:space="preserve"> </w:t>
      </w:r>
      <w:r w:rsidR="001070D5" w:rsidRPr="002F530D">
        <w:rPr>
          <w:szCs w:val="22"/>
        </w:rPr>
        <w:t xml:space="preserve">The ESC considered that etanercept is likely to be used in addition to NSAIDs, which are first line treatment, after failure to achieve a response after at least </w:t>
      </w:r>
      <w:r w:rsidR="001B5FCD" w:rsidRPr="002F530D">
        <w:rPr>
          <w:szCs w:val="22"/>
        </w:rPr>
        <w:t>two</w:t>
      </w:r>
      <w:r w:rsidR="001070D5" w:rsidRPr="002F530D">
        <w:rPr>
          <w:szCs w:val="22"/>
        </w:rPr>
        <w:t xml:space="preserve"> NSAIDs for at least </w:t>
      </w:r>
      <w:r w:rsidR="001B5FCD" w:rsidRPr="002F530D">
        <w:rPr>
          <w:szCs w:val="22"/>
        </w:rPr>
        <w:t>three</w:t>
      </w:r>
      <w:r w:rsidR="001070D5" w:rsidRPr="002F530D">
        <w:rPr>
          <w:szCs w:val="22"/>
        </w:rPr>
        <w:t xml:space="preserve"> months. Etanercept is the only anti-TNF approved by the TGA for active nr</w:t>
      </w:r>
      <w:r w:rsidR="001B5FCD" w:rsidRPr="002F530D">
        <w:rPr>
          <w:szCs w:val="22"/>
        </w:rPr>
        <w:noBreakHyphen/>
      </w:r>
      <w:r w:rsidR="001070D5" w:rsidRPr="002F530D">
        <w:rPr>
          <w:szCs w:val="22"/>
        </w:rPr>
        <w:t>axSpA.</w:t>
      </w:r>
    </w:p>
    <w:p w:rsidR="002F530D" w:rsidRDefault="002F530D" w:rsidP="006E4BDB">
      <w:pPr>
        <w:pStyle w:val="BodyText"/>
        <w:widowControl/>
      </w:pPr>
    </w:p>
    <w:p w:rsidR="001B6188" w:rsidRPr="00882085" w:rsidRDefault="001B6188" w:rsidP="006E4BDB">
      <w:pPr>
        <w:pStyle w:val="ListParagraph"/>
        <w:widowControl/>
        <w:ind w:left="0"/>
        <w:rPr>
          <w:szCs w:val="22"/>
        </w:rPr>
      </w:pPr>
    </w:p>
    <w:p w:rsidR="00F338FF" w:rsidRPr="00407F2D" w:rsidRDefault="00F338FF" w:rsidP="001065B6">
      <w:pPr>
        <w:pStyle w:val="Heading1"/>
      </w:pPr>
      <w:bookmarkStart w:id="6" w:name="_Toc440882436"/>
      <w:r w:rsidRPr="00407F2D">
        <w:t>Comparator</w:t>
      </w:r>
      <w:bookmarkEnd w:id="6"/>
    </w:p>
    <w:p w:rsidR="00B15469" w:rsidRPr="002B5499" w:rsidRDefault="00B15469" w:rsidP="006E4BDB">
      <w:pPr>
        <w:widowControl/>
        <w:rPr>
          <w:szCs w:val="22"/>
        </w:rPr>
      </w:pPr>
    </w:p>
    <w:p w:rsidR="002B5499" w:rsidRPr="002F530D" w:rsidRDefault="002B5499" w:rsidP="006E4BDB">
      <w:pPr>
        <w:pStyle w:val="ListParagraph"/>
        <w:widowControl/>
        <w:numPr>
          <w:ilvl w:val="1"/>
          <w:numId w:val="2"/>
        </w:numPr>
        <w:rPr>
          <w:szCs w:val="22"/>
        </w:rPr>
      </w:pPr>
      <w:r w:rsidRPr="002F530D">
        <w:rPr>
          <w:szCs w:val="22"/>
        </w:rPr>
        <w:lastRenderedPageBreak/>
        <w:t xml:space="preserve">The submission nominated placebo as the main comparator. </w:t>
      </w:r>
      <w:r w:rsidR="009C09CD">
        <w:rPr>
          <w:szCs w:val="22"/>
        </w:rPr>
        <w:t>In March 2015, t</w:t>
      </w:r>
      <w:r w:rsidRPr="002F530D">
        <w:rPr>
          <w:szCs w:val="22"/>
        </w:rPr>
        <w:t xml:space="preserve">he PBAC noted that as most patients would be expected to be on treatment with background NSAIDs, the most relevant comparison would be between etanercept with NSAID background treatment versus placebo with NSAID background treatment (March 2015 </w:t>
      </w:r>
      <w:r w:rsidR="004C291D">
        <w:rPr>
          <w:szCs w:val="22"/>
        </w:rPr>
        <w:t>PSD</w:t>
      </w:r>
      <w:r w:rsidRPr="002F530D">
        <w:rPr>
          <w:szCs w:val="22"/>
        </w:rPr>
        <w:t>, paragraph 5.1).</w:t>
      </w:r>
    </w:p>
    <w:p w:rsidR="002B5499" w:rsidRPr="002F530D" w:rsidRDefault="002B5499" w:rsidP="006E4BDB">
      <w:pPr>
        <w:pStyle w:val="ListParagraph"/>
        <w:widowControl/>
        <w:rPr>
          <w:szCs w:val="22"/>
        </w:rPr>
      </w:pPr>
    </w:p>
    <w:p w:rsidR="00497F10" w:rsidRPr="002F530D" w:rsidRDefault="00B15469" w:rsidP="006E4BDB">
      <w:pPr>
        <w:pStyle w:val="ListParagraph"/>
        <w:widowControl/>
        <w:numPr>
          <w:ilvl w:val="1"/>
          <w:numId w:val="2"/>
        </w:numPr>
        <w:rPr>
          <w:szCs w:val="22"/>
        </w:rPr>
      </w:pPr>
      <w:r w:rsidRPr="002F530D">
        <w:rPr>
          <w:szCs w:val="22"/>
        </w:rPr>
        <w:t>Secondary comparisons of adalimumab and certolizumab pegol were not included in the re-submission. Th</w:t>
      </w:r>
      <w:r w:rsidR="00345789">
        <w:rPr>
          <w:szCs w:val="22"/>
        </w:rPr>
        <w:t>e evaluation</w:t>
      </w:r>
      <w:r w:rsidRPr="002F530D">
        <w:rPr>
          <w:szCs w:val="22"/>
        </w:rPr>
        <w:t xml:space="preserve"> </w:t>
      </w:r>
      <w:r w:rsidR="00DF19B7">
        <w:rPr>
          <w:szCs w:val="22"/>
        </w:rPr>
        <w:t>considered</w:t>
      </w:r>
      <w:r w:rsidRPr="002F530D">
        <w:rPr>
          <w:szCs w:val="22"/>
        </w:rPr>
        <w:t xml:space="preserve"> </w:t>
      </w:r>
      <w:r w:rsidR="00345789">
        <w:rPr>
          <w:szCs w:val="22"/>
        </w:rPr>
        <w:t xml:space="preserve">this was </w:t>
      </w:r>
      <w:r w:rsidRPr="002F530D">
        <w:rPr>
          <w:szCs w:val="22"/>
        </w:rPr>
        <w:t>appropriate</w:t>
      </w:r>
      <w:r w:rsidR="006200E2" w:rsidRPr="002F530D">
        <w:rPr>
          <w:szCs w:val="22"/>
        </w:rPr>
        <w:t>.</w:t>
      </w:r>
    </w:p>
    <w:p w:rsidR="001B6188" w:rsidRDefault="001B6188" w:rsidP="006E4BDB">
      <w:pPr>
        <w:widowControl/>
      </w:pPr>
    </w:p>
    <w:p w:rsidR="002B5499" w:rsidRPr="00506E16" w:rsidRDefault="002B5499" w:rsidP="006E4BDB">
      <w:pPr>
        <w:widowControl/>
      </w:pPr>
    </w:p>
    <w:p w:rsidR="00D06FD4" w:rsidRPr="00407F2D" w:rsidRDefault="00472359" w:rsidP="001065B6">
      <w:pPr>
        <w:pStyle w:val="Heading1"/>
      </w:pPr>
      <w:bookmarkStart w:id="7" w:name="_Toc440882437"/>
      <w:r>
        <w:t>C</w:t>
      </w:r>
      <w:r w:rsidR="00D06FD4" w:rsidRPr="00407F2D">
        <w:t>onsideration of the evidence</w:t>
      </w:r>
      <w:bookmarkEnd w:id="7"/>
    </w:p>
    <w:p w:rsidR="00140A50" w:rsidRDefault="00140A50" w:rsidP="0030129E">
      <w:pPr>
        <w:pStyle w:val="BodyText"/>
      </w:pPr>
    </w:p>
    <w:p w:rsidR="002F530D" w:rsidRPr="0030129E" w:rsidRDefault="002F530D" w:rsidP="0030129E">
      <w:pPr>
        <w:pStyle w:val="Heading2"/>
      </w:pPr>
      <w:r w:rsidRPr="0030129E">
        <w:t>Sponsor hearing</w:t>
      </w:r>
    </w:p>
    <w:p w:rsidR="002F530D" w:rsidRPr="00DF19B7" w:rsidRDefault="002F530D" w:rsidP="0030129E">
      <w:pPr>
        <w:pStyle w:val="BodyText"/>
      </w:pPr>
    </w:p>
    <w:p w:rsidR="002F530D" w:rsidRPr="00DF19B7" w:rsidRDefault="002F530D" w:rsidP="0030129E">
      <w:pPr>
        <w:pStyle w:val="ListParagraph"/>
        <w:widowControl/>
        <w:numPr>
          <w:ilvl w:val="1"/>
          <w:numId w:val="2"/>
        </w:numPr>
        <w:rPr>
          <w:b/>
          <w:i/>
        </w:rPr>
      </w:pPr>
      <w:r w:rsidRPr="006D45A2">
        <w:t>The sponsor requested a hearing for this item.  The clinician presented clinical case studies and discussed the natural history of the disease, how the drug would be used in practice, and addressed other matters in response to the Committee’s questions</w:t>
      </w:r>
      <w:r w:rsidR="006D45A2">
        <w:t xml:space="preserve">. </w:t>
      </w:r>
      <w:r w:rsidRPr="006D45A2">
        <w:t>The PBAC considered that the hearing was informative as it provided a clinical perspective on treating this uncommon disease.</w:t>
      </w:r>
    </w:p>
    <w:p w:rsidR="002F530D" w:rsidRPr="009C55AB" w:rsidRDefault="002F530D" w:rsidP="006E4BDB">
      <w:pPr>
        <w:widowControl/>
        <w:rPr>
          <w:bCs/>
          <w:szCs w:val="22"/>
          <w:highlight w:val="yellow"/>
        </w:rPr>
      </w:pPr>
    </w:p>
    <w:p w:rsidR="002F530D" w:rsidRPr="00140A50" w:rsidRDefault="002F530D" w:rsidP="0030129E">
      <w:pPr>
        <w:pStyle w:val="Heading2"/>
      </w:pPr>
      <w:r w:rsidRPr="00140A50">
        <w:t>Consumer comments</w:t>
      </w:r>
    </w:p>
    <w:p w:rsidR="006D45A2" w:rsidRPr="006D45A2" w:rsidRDefault="006D45A2" w:rsidP="006E4BDB">
      <w:pPr>
        <w:widowControl/>
        <w:rPr>
          <w:bCs/>
          <w:i/>
          <w:szCs w:val="22"/>
        </w:rPr>
      </w:pPr>
    </w:p>
    <w:p w:rsidR="002F530D" w:rsidRDefault="002F530D" w:rsidP="006E4BDB">
      <w:pPr>
        <w:pStyle w:val="ListParagraph"/>
        <w:widowControl/>
        <w:numPr>
          <w:ilvl w:val="1"/>
          <w:numId w:val="6"/>
        </w:numPr>
        <w:rPr>
          <w:bCs/>
          <w:szCs w:val="22"/>
        </w:rPr>
      </w:pPr>
      <w:r w:rsidRPr="006D45A2">
        <w:rPr>
          <w:bCs/>
          <w:szCs w:val="22"/>
        </w:rPr>
        <w:t>The PBAC noted that no consumer comments were received for this item.</w:t>
      </w:r>
    </w:p>
    <w:p w:rsidR="006D45A2" w:rsidRPr="006D45A2" w:rsidRDefault="006D45A2" w:rsidP="006E4BDB">
      <w:pPr>
        <w:pStyle w:val="ListParagraph"/>
        <w:widowControl/>
        <w:rPr>
          <w:bCs/>
          <w:szCs w:val="22"/>
        </w:rPr>
      </w:pPr>
    </w:p>
    <w:p w:rsidR="00B60939" w:rsidRDefault="00B60939" w:rsidP="0030129E">
      <w:pPr>
        <w:pStyle w:val="Heading2"/>
      </w:pPr>
      <w:bookmarkStart w:id="8" w:name="_Toc440882438"/>
      <w:r w:rsidRPr="00497F10">
        <w:t>Clinical trials</w:t>
      </w:r>
      <w:bookmarkEnd w:id="8"/>
    </w:p>
    <w:p w:rsidR="00345789" w:rsidRPr="00345789" w:rsidRDefault="00345789" w:rsidP="006E4BDB">
      <w:pPr>
        <w:widowControl/>
      </w:pPr>
    </w:p>
    <w:p w:rsidR="007F1017" w:rsidRPr="00140A50" w:rsidRDefault="00B15469" w:rsidP="006E4BDB">
      <w:pPr>
        <w:pStyle w:val="ListParagraph"/>
        <w:widowControl/>
        <w:numPr>
          <w:ilvl w:val="1"/>
          <w:numId w:val="2"/>
        </w:numPr>
        <w:rPr>
          <w:szCs w:val="22"/>
        </w:rPr>
      </w:pPr>
      <w:r w:rsidRPr="00B15469">
        <w:t xml:space="preserve">As in the original submission, </w:t>
      </w:r>
      <w:r>
        <w:t>th</w:t>
      </w:r>
      <w:r w:rsidRPr="00B15469">
        <w:t>e</w:t>
      </w:r>
      <w:r w:rsidRPr="00862502">
        <w:t xml:space="preserve"> </w:t>
      </w:r>
      <w:r>
        <w:t>re-</w:t>
      </w:r>
      <w:r w:rsidRPr="00862502">
        <w:t xml:space="preserve">submission </w:t>
      </w:r>
      <w:r>
        <w:t>was</w:t>
      </w:r>
      <w:r w:rsidRPr="00862502">
        <w:t xml:space="preserve"> based on one head-to-head trial</w:t>
      </w:r>
      <w:r>
        <w:t>, Trial 1031,</w:t>
      </w:r>
      <w:r w:rsidRPr="00862502">
        <w:t xml:space="preserve"> comparing </w:t>
      </w:r>
      <w:r w:rsidRPr="00B15469">
        <w:t>etanercept</w:t>
      </w:r>
      <w:r>
        <w:t xml:space="preserve"> to placebo (n=215).</w:t>
      </w:r>
    </w:p>
    <w:p w:rsidR="00140A50" w:rsidRPr="002F530D" w:rsidRDefault="00140A50" w:rsidP="0030129E">
      <w:pPr>
        <w:pStyle w:val="BodyText"/>
      </w:pPr>
    </w:p>
    <w:p w:rsidR="001B6188" w:rsidRPr="00B15469" w:rsidRDefault="001B6188" w:rsidP="006E4BDB">
      <w:pPr>
        <w:pStyle w:val="ListParagraph"/>
        <w:widowControl/>
        <w:numPr>
          <w:ilvl w:val="1"/>
          <w:numId w:val="2"/>
        </w:numPr>
        <w:rPr>
          <w:szCs w:val="22"/>
        </w:rPr>
      </w:pPr>
      <w:r w:rsidRPr="00D06FD4">
        <w:rPr>
          <w:szCs w:val="22"/>
        </w:rPr>
        <w:t xml:space="preserve">Details of </w:t>
      </w:r>
      <w:r w:rsidR="00B15469">
        <w:rPr>
          <w:szCs w:val="22"/>
        </w:rPr>
        <w:t>Trial 1031</w:t>
      </w:r>
      <w:r w:rsidRPr="00D06FD4">
        <w:rPr>
          <w:szCs w:val="22"/>
        </w:rPr>
        <w:t xml:space="preserve"> presented in the re-submission are provided in the table below. </w:t>
      </w:r>
    </w:p>
    <w:p w:rsidR="00B15469" w:rsidRPr="00B15469" w:rsidRDefault="00B15469" w:rsidP="006E4BDB">
      <w:pPr>
        <w:widowControl/>
        <w:rPr>
          <w:szCs w:val="22"/>
        </w:rPr>
      </w:pPr>
    </w:p>
    <w:p w:rsidR="001B6188" w:rsidRPr="00B15469" w:rsidRDefault="00961AF9" w:rsidP="006E4BDB">
      <w:pPr>
        <w:widowControl/>
        <w:ind w:firstLine="720"/>
        <w:rPr>
          <w:rFonts w:ascii="Arial Narrow" w:hAnsi="Arial Narrow"/>
          <w:b/>
          <w:sz w:val="20"/>
          <w:szCs w:val="16"/>
        </w:rPr>
      </w:pPr>
      <w:r w:rsidRPr="000812CA">
        <w:rPr>
          <w:rStyle w:val="CommentReference"/>
        </w:rPr>
        <w:t xml:space="preserve">Table </w:t>
      </w:r>
      <w:r w:rsidR="006200E2">
        <w:rPr>
          <w:rStyle w:val="CommentReference"/>
        </w:rPr>
        <w:t>2</w:t>
      </w:r>
      <w:r w:rsidRPr="000812CA">
        <w:rPr>
          <w:rStyle w:val="CommentReference"/>
        </w:rPr>
        <w:t xml:space="preserve">: Trials and associated reports presented in the </w:t>
      </w:r>
      <w:r>
        <w:rPr>
          <w:rStyle w:val="CommentReference"/>
        </w:rPr>
        <w:t>re-</w:t>
      </w:r>
      <w:r w:rsidRPr="000812CA">
        <w:rPr>
          <w:rStyle w:val="CommentReference"/>
        </w:rPr>
        <w:t>submission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4"/>
        <w:gridCol w:w="4097"/>
        <w:gridCol w:w="90"/>
        <w:gridCol w:w="3024"/>
      </w:tblGrid>
      <w:tr w:rsidR="00B15469" w:rsidRPr="004E2ADC" w:rsidTr="003252DA">
        <w:tc>
          <w:tcPr>
            <w:tcW w:w="674" w:type="pct"/>
          </w:tcPr>
          <w:p w:rsidR="00B15469" w:rsidRPr="004E2ADC" w:rsidRDefault="00B15469" w:rsidP="006E4BDB">
            <w:pPr>
              <w:widowControl/>
              <w:jc w:val="left"/>
              <w:rPr>
                <w:rFonts w:ascii="Arial Narrow" w:hAnsi="Arial Narrow"/>
                <w:b/>
                <w:sz w:val="20"/>
              </w:rPr>
            </w:pPr>
            <w:r w:rsidRPr="004E2ADC">
              <w:rPr>
                <w:rFonts w:ascii="Arial Narrow" w:hAnsi="Arial Narrow"/>
                <w:b/>
                <w:sz w:val="20"/>
              </w:rPr>
              <w:t>Trial ID</w:t>
            </w:r>
          </w:p>
        </w:tc>
        <w:tc>
          <w:tcPr>
            <w:tcW w:w="2458" w:type="pct"/>
          </w:tcPr>
          <w:p w:rsidR="00B15469" w:rsidRPr="004E2ADC" w:rsidRDefault="00B15469" w:rsidP="006E4BDB">
            <w:pPr>
              <w:widowControl/>
              <w:jc w:val="center"/>
              <w:rPr>
                <w:rFonts w:ascii="Arial Narrow" w:hAnsi="Arial Narrow"/>
                <w:b/>
                <w:sz w:val="20"/>
              </w:rPr>
            </w:pPr>
            <w:r w:rsidRPr="004E2ADC">
              <w:rPr>
                <w:rFonts w:ascii="Arial Narrow" w:hAnsi="Arial Narrow"/>
                <w:b/>
                <w:sz w:val="20"/>
              </w:rPr>
              <w:t>Protocol title/ Publication title</w:t>
            </w:r>
          </w:p>
        </w:tc>
        <w:tc>
          <w:tcPr>
            <w:tcW w:w="1868" w:type="pct"/>
            <w:gridSpan w:val="2"/>
          </w:tcPr>
          <w:p w:rsidR="00B15469" w:rsidRPr="004E2ADC" w:rsidRDefault="00B15469" w:rsidP="006E4BDB">
            <w:pPr>
              <w:widowControl/>
              <w:jc w:val="center"/>
              <w:rPr>
                <w:rFonts w:ascii="Arial Narrow" w:hAnsi="Arial Narrow"/>
                <w:b/>
                <w:sz w:val="20"/>
              </w:rPr>
            </w:pPr>
            <w:r w:rsidRPr="004E2ADC">
              <w:rPr>
                <w:rFonts w:ascii="Arial Narrow" w:hAnsi="Arial Narrow"/>
                <w:b/>
                <w:sz w:val="20"/>
              </w:rPr>
              <w:t>Publication citation</w:t>
            </w:r>
          </w:p>
        </w:tc>
      </w:tr>
      <w:tr w:rsidR="00B15469" w:rsidRPr="004E2ADC" w:rsidTr="00B15469">
        <w:tc>
          <w:tcPr>
            <w:tcW w:w="5000" w:type="pct"/>
            <w:gridSpan w:val="4"/>
          </w:tcPr>
          <w:p w:rsidR="00B15469" w:rsidRPr="004E2ADC" w:rsidRDefault="00B15469" w:rsidP="006E4BDB">
            <w:pPr>
              <w:widowControl/>
              <w:jc w:val="left"/>
              <w:rPr>
                <w:rFonts w:ascii="Arial Narrow" w:hAnsi="Arial Narrow"/>
                <w:b/>
                <w:sz w:val="20"/>
              </w:rPr>
            </w:pPr>
            <w:r>
              <w:rPr>
                <w:rFonts w:ascii="Arial Narrow" w:hAnsi="Arial Narrow"/>
                <w:b/>
                <w:sz w:val="20"/>
              </w:rPr>
              <w:t>Direct randomised trial</w:t>
            </w:r>
          </w:p>
        </w:tc>
      </w:tr>
      <w:tr w:rsidR="00B15469" w:rsidRPr="004E2ADC" w:rsidTr="003252DA">
        <w:tc>
          <w:tcPr>
            <w:tcW w:w="674" w:type="pct"/>
          </w:tcPr>
          <w:p w:rsidR="00B15469" w:rsidRPr="004E2ADC" w:rsidRDefault="00B15469" w:rsidP="006E4BDB">
            <w:pPr>
              <w:widowControl/>
              <w:jc w:val="left"/>
              <w:rPr>
                <w:rFonts w:ascii="Arial Narrow" w:hAnsi="Arial Narrow"/>
                <w:sz w:val="20"/>
              </w:rPr>
            </w:pPr>
            <w:r>
              <w:rPr>
                <w:rFonts w:ascii="Arial Narrow" w:hAnsi="Arial Narrow"/>
                <w:sz w:val="20"/>
              </w:rPr>
              <w:t>Trial 1031</w:t>
            </w:r>
          </w:p>
        </w:tc>
        <w:tc>
          <w:tcPr>
            <w:tcW w:w="2512" w:type="pct"/>
            <w:gridSpan w:val="2"/>
          </w:tcPr>
          <w:p w:rsidR="00B15469" w:rsidRDefault="00B15469" w:rsidP="006E4BDB">
            <w:pPr>
              <w:widowControl/>
              <w:jc w:val="left"/>
              <w:rPr>
                <w:rFonts w:ascii="Arial Narrow" w:hAnsi="Arial Narrow"/>
                <w:sz w:val="20"/>
              </w:rPr>
            </w:pPr>
            <w:r>
              <w:rPr>
                <w:rFonts w:ascii="Arial Narrow" w:hAnsi="Arial Narrow"/>
                <w:sz w:val="20"/>
              </w:rPr>
              <w:t>Clinical trial report</w:t>
            </w:r>
            <w:r w:rsidRPr="00215F86">
              <w:rPr>
                <w:rFonts w:ascii="Arial Narrow" w:hAnsi="Arial Narrow"/>
                <w:sz w:val="20"/>
              </w:rPr>
              <w:t>. A Multicentre, 12-Week Double Blind Placebo Controlled Randomized Study of Etanercept on a Background NSAID in the Treatment of Adult Subjects With Non Radiographic Axial Spondyloarthritis With a 92-Week Open Label Extension.</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Pr>
                <w:rFonts w:ascii="Arial Narrow" w:hAnsi="Arial Narrow"/>
                <w:sz w:val="20"/>
              </w:rPr>
              <w:t xml:space="preserve">Interim analysis at Week 48. of open-label extension: </w:t>
            </w:r>
            <w:r w:rsidRPr="00215F86">
              <w:rPr>
                <w:rFonts w:ascii="Arial Narrow" w:hAnsi="Arial Narrow"/>
                <w:sz w:val="20"/>
              </w:rPr>
              <w:t>A Multicentre, 12-Week Double Blind Placebo Controlled Randomized Study of Etanercept on a Background NSAID in the Treatment of Adult Subjects With Non Radiographic Axial Spondyloarthritis With a 92-Week Open Label Extension.</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Pr>
                <w:rFonts w:ascii="Arial Narrow" w:hAnsi="Arial Narrow"/>
                <w:sz w:val="20"/>
              </w:rPr>
              <w:t xml:space="preserve">Final report. </w:t>
            </w:r>
            <w:r w:rsidRPr="00215F86">
              <w:rPr>
                <w:rFonts w:ascii="Arial Narrow" w:hAnsi="Arial Narrow"/>
                <w:sz w:val="20"/>
              </w:rPr>
              <w:t>A Multicentre, 12-Week Double Blind Placebo Controlled Randomized Study of Etanercept on a Background NSAID in the Treatment of Adult Subjects With Non Radiographic Axial Spondyloarthritis With a 92-Week Open Label Extension</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Pr>
                <w:rFonts w:ascii="Arial Narrow" w:hAnsi="Arial Narrow"/>
                <w:sz w:val="20"/>
              </w:rPr>
              <w:lastRenderedPageBreak/>
              <w:t xml:space="preserve">Brown MA, Bird PA, Robinson PC, Mease P, van den Bosch F, Surian C, Jones H. Szumski A. Marshall L and Wild Z. Baseline MRI and CRP as predictors of response to etanercept in the management of patients with non-radiographic axial spondyloarthritis. </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Pr>
                <w:rFonts w:ascii="Arial Narrow" w:hAnsi="Arial Narrow"/>
                <w:sz w:val="20"/>
              </w:rPr>
              <w:t xml:space="preserve">Brown M. Baseline MRI/CRP as predictors of response to etanercept in the management of patients with non-radiographic axial spondyloarthritis. </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sidRPr="00215F86">
              <w:rPr>
                <w:rFonts w:ascii="Arial Narrow" w:hAnsi="Arial Narrow"/>
                <w:sz w:val="20"/>
              </w:rPr>
              <w:t xml:space="preserve">Dougados M, van der Heijde D, Sieper J et al. Symptomatic Efficacy of Etanercept and Its Effects on Objective Signs of Inflammation in Early Non-Radiographic Axial Spondyloarthritis - A Multicenter, Randomized, Double-Blind, Placebo-Controlled Trial. </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Pr>
                <w:rFonts w:ascii="Arial Narrow" w:hAnsi="Arial Narrow"/>
                <w:sz w:val="20"/>
              </w:rPr>
              <w:t xml:space="preserve">Dougados M, Tsai WC, Saaibi DL, Bonin R, et al. Evaluation of health outcomes with etanercept treatment in patients with early nonradiographic axial spondyloarthritis. </w:t>
            </w:r>
          </w:p>
          <w:p w:rsidR="00B15469" w:rsidRDefault="00B15469" w:rsidP="006E4BDB">
            <w:pPr>
              <w:widowControl/>
              <w:jc w:val="left"/>
              <w:rPr>
                <w:rFonts w:ascii="Arial Narrow" w:hAnsi="Arial Narrow"/>
                <w:sz w:val="20"/>
              </w:rPr>
            </w:pPr>
          </w:p>
          <w:p w:rsidR="00B15469" w:rsidRPr="00215F86" w:rsidRDefault="00B15469" w:rsidP="006E4BDB">
            <w:pPr>
              <w:widowControl/>
              <w:jc w:val="left"/>
              <w:rPr>
                <w:rFonts w:ascii="Arial Narrow" w:hAnsi="Arial Narrow"/>
                <w:sz w:val="20"/>
              </w:rPr>
            </w:pPr>
            <w:r>
              <w:rPr>
                <w:rFonts w:ascii="Arial Narrow" w:hAnsi="Arial Narrow"/>
                <w:sz w:val="20"/>
              </w:rPr>
              <w:t xml:space="preserve">Maksymowych WP, Dougados M, van der Hejide D, Sieper J, Braun J, Citera G, Van den Bosch F et al. Clinical and MRI responses to etanercept in early non-radiographic axial spondyloarthritis. 48-week results from the EMBARK study. </w:t>
            </w:r>
          </w:p>
        </w:tc>
        <w:tc>
          <w:tcPr>
            <w:tcW w:w="1814" w:type="pct"/>
          </w:tcPr>
          <w:p w:rsidR="00B15469" w:rsidRPr="004E2ADC" w:rsidRDefault="00B15469" w:rsidP="006E4BDB">
            <w:pPr>
              <w:widowControl/>
              <w:jc w:val="left"/>
              <w:rPr>
                <w:rFonts w:ascii="Arial Narrow" w:hAnsi="Arial Narrow"/>
                <w:sz w:val="20"/>
              </w:rPr>
            </w:pPr>
            <w:r>
              <w:rPr>
                <w:rFonts w:ascii="Arial Narrow" w:hAnsi="Arial Narrow"/>
                <w:sz w:val="20"/>
              </w:rPr>
              <w:lastRenderedPageBreak/>
              <w:t>October 2013</w:t>
            </w: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Pr="00916CCA" w:rsidRDefault="00B15469" w:rsidP="006E4BDB">
            <w:pPr>
              <w:widowControl/>
              <w:jc w:val="left"/>
              <w:rPr>
                <w:rFonts w:ascii="Arial Narrow" w:hAnsi="Arial Narrow"/>
                <w:sz w:val="20"/>
              </w:rPr>
            </w:pPr>
            <w:r>
              <w:rPr>
                <w:rFonts w:ascii="Arial Narrow" w:hAnsi="Arial Narrow"/>
                <w:sz w:val="20"/>
              </w:rPr>
              <w:t xml:space="preserve">February </w:t>
            </w:r>
            <w:r w:rsidRPr="00916CCA">
              <w:rPr>
                <w:rFonts w:ascii="Arial Narrow" w:hAnsi="Arial Narrow"/>
                <w:sz w:val="20"/>
              </w:rPr>
              <w:t>2014</w:t>
            </w: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Pr="00916CCA" w:rsidRDefault="00B15469" w:rsidP="006E4BDB">
            <w:pPr>
              <w:widowControl/>
              <w:jc w:val="left"/>
              <w:rPr>
                <w:rFonts w:ascii="Arial Narrow" w:hAnsi="Arial Narrow"/>
                <w:sz w:val="20"/>
              </w:rPr>
            </w:pPr>
            <w:r>
              <w:rPr>
                <w:rFonts w:ascii="Arial Narrow" w:hAnsi="Arial Narrow"/>
                <w:sz w:val="20"/>
              </w:rPr>
              <w:t xml:space="preserve">August </w:t>
            </w:r>
            <w:r w:rsidRPr="00916CCA">
              <w:rPr>
                <w:rFonts w:ascii="Arial Narrow" w:hAnsi="Arial Narrow"/>
                <w:sz w:val="20"/>
              </w:rPr>
              <w:t>2015</w:t>
            </w: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Pr="001B5FCD" w:rsidRDefault="00B15469" w:rsidP="006E4BDB">
            <w:pPr>
              <w:widowControl/>
              <w:jc w:val="left"/>
              <w:rPr>
                <w:rFonts w:ascii="Arial Narrow" w:hAnsi="Arial Narrow"/>
                <w:i/>
                <w:sz w:val="20"/>
                <w:szCs w:val="20"/>
              </w:rPr>
            </w:pPr>
            <w:r w:rsidRPr="001B5FCD">
              <w:rPr>
                <w:rFonts w:ascii="Arial Narrow" w:hAnsi="Arial Narrow"/>
                <w:color w:val="000000"/>
                <w:sz w:val="20"/>
                <w:szCs w:val="20"/>
              </w:rPr>
              <w:lastRenderedPageBreak/>
              <w:t>56</w:t>
            </w:r>
            <w:r w:rsidRPr="001B5FCD">
              <w:rPr>
                <w:rFonts w:ascii="Arial Narrow" w:hAnsi="Arial Narrow"/>
                <w:color w:val="000000"/>
                <w:sz w:val="20"/>
                <w:szCs w:val="20"/>
                <w:vertAlign w:val="superscript"/>
              </w:rPr>
              <w:t>th</w:t>
            </w:r>
            <w:r w:rsidRPr="001B5FCD">
              <w:rPr>
                <w:rFonts w:ascii="Arial Narrow" w:hAnsi="Arial Narrow"/>
                <w:color w:val="000000"/>
                <w:sz w:val="20"/>
                <w:szCs w:val="20"/>
              </w:rPr>
              <w:t xml:space="preserve"> Meeting of the Australian Rheumatology Association; 23-26 May 2015; Adelaide Australia.</w:t>
            </w: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sz w:val="20"/>
              </w:rPr>
            </w:pPr>
            <w:r w:rsidRPr="005040DB">
              <w:rPr>
                <w:rFonts w:ascii="Arial Narrow" w:hAnsi="Arial Narrow"/>
                <w:i/>
                <w:sz w:val="20"/>
              </w:rPr>
              <w:t>Int Med J</w:t>
            </w:r>
            <w:r>
              <w:rPr>
                <w:rFonts w:ascii="Arial Narrow" w:hAnsi="Arial Narrow"/>
                <w:sz w:val="20"/>
              </w:rPr>
              <w:t xml:space="preserve"> 2015: 45(suppl 2)39</w:t>
            </w: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i/>
                <w:sz w:val="20"/>
              </w:rPr>
            </w:pPr>
          </w:p>
          <w:p w:rsidR="00B15469" w:rsidRDefault="00B15469" w:rsidP="006E4BDB">
            <w:pPr>
              <w:widowControl/>
              <w:jc w:val="left"/>
              <w:rPr>
                <w:rFonts w:ascii="Arial Narrow" w:hAnsi="Arial Narrow"/>
                <w:sz w:val="20"/>
              </w:rPr>
            </w:pPr>
            <w:r w:rsidRPr="005040DB">
              <w:rPr>
                <w:rFonts w:ascii="Arial Narrow" w:hAnsi="Arial Narrow"/>
                <w:i/>
                <w:sz w:val="20"/>
              </w:rPr>
              <w:t>Arthritis Rheum</w:t>
            </w:r>
            <w:r w:rsidRPr="00215F86">
              <w:rPr>
                <w:rFonts w:ascii="Arial Narrow" w:hAnsi="Arial Narrow"/>
                <w:sz w:val="20"/>
              </w:rPr>
              <w:t xml:space="preserve"> 2014; 66(8):2091–2102.</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sidRPr="005040DB">
              <w:rPr>
                <w:rFonts w:ascii="Arial Narrow" w:hAnsi="Arial Narrow"/>
                <w:i/>
                <w:sz w:val="20"/>
              </w:rPr>
              <w:t>The Journal of Rheumatology</w:t>
            </w:r>
            <w:r>
              <w:rPr>
                <w:rFonts w:ascii="Arial Narrow" w:hAnsi="Arial Narrow"/>
                <w:sz w:val="20"/>
              </w:rPr>
              <w:t xml:space="preserve"> 2015, 42(10)</w:t>
            </w: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p>
          <w:p w:rsidR="00B15469" w:rsidRDefault="00B15469" w:rsidP="006E4BDB">
            <w:pPr>
              <w:widowControl/>
              <w:jc w:val="left"/>
              <w:rPr>
                <w:rFonts w:ascii="Arial Narrow" w:hAnsi="Arial Narrow"/>
                <w:sz w:val="20"/>
              </w:rPr>
            </w:pPr>
            <w:r w:rsidRPr="005040DB">
              <w:rPr>
                <w:rFonts w:ascii="Arial Narrow" w:hAnsi="Arial Narrow"/>
                <w:i/>
                <w:sz w:val="20"/>
              </w:rPr>
              <w:t>Ann Rheum Dis</w:t>
            </w:r>
            <w:r>
              <w:rPr>
                <w:rFonts w:ascii="Arial Narrow" w:hAnsi="Arial Narrow"/>
                <w:sz w:val="20"/>
              </w:rPr>
              <w:t xml:space="preserve"> 2015; 0:1-8</w:t>
            </w:r>
          </w:p>
          <w:p w:rsidR="00B15469" w:rsidRPr="004E2ADC" w:rsidRDefault="00B15469" w:rsidP="006E4BDB">
            <w:pPr>
              <w:widowControl/>
              <w:jc w:val="left"/>
              <w:rPr>
                <w:rFonts w:ascii="Arial Narrow" w:hAnsi="Arial Narrow"/>
                <w:b/>
                <w:sz w:val="20"/>
              </w:rPr>
            </w:pPr>
          </w:p>
        </w:tc>
      </w:tr>
    </w:tbl>
    <w:p w:rsidR="00B15469" w:rsidRPr="00D13A3E" w:rsidRDefault="00B15469" w:rsidP="006E4BDB">
      <w:pPr>
        <w:pStyle w:val="TableFooter"/>
        <w:widowControl/>
        <w:ind w:left="720"/>
      </w:pPr>
      <w:r>
        <w:lastRenderedPageBreak/>
        <w:t xml:space="preserve">Source: Table B.2.3, p. 33 </w:t>
      </w:r>
      <w:r w:rsidR="007C6C27">
        <w:t xml:space="preserve">of </w:t>
      </w:r>
      <w:r>
        <w:t>the re-submission</w:t>
      </w:r>
    </w:p>
    <w:p w:rsidR="00B15469" w:rsidRPr="001B6188" w:rsidRDefault="00B15469" w:rsidP="006E4BDB">
      <w:pPr>
        <w:widowControl/>
        <w:rPr>
          <w:szCs w:val="22"/>
        </w:rPr>
      </w:pPr>
    </w:p>
    <w:p w:rsidR="001B6188" w:rsidRPr="00075332" w:rsidRDefault="00961AF9" w:rsidP="006E4BDB">
      <w:pPr>
        <w:pStyle w:val="ListParagraph"/>
        <w:widowControl/>
        <w:numPr>
          <w:ilvl w:val="1"/>
          <w:numId w:val="2"/>
        </w:numPr>
        <w:rPr>
          <w:szCs w:val="22"/>
        </w:rPr>
      </w:pPr>
      <w:r w:rsidRPr="00D06FD4">
        <w:rPr>
          <w:szCs w:val="22"/>
        </w:rPr>
        <w:t xml:space="preserve">The </w:t>
      </w:r>
      <w:r w:rsidR="00075332" w:rsidRPr="00B50DB8">
        <w:rPr>
          <w:szCs w:val="22"/>
        </w:rPr>
        <w:t xml:space="preserve">key features of </w:t>
      </w:r>
      <w:r w:rsidR="00075332">
        <w:rPr>
          <w:szCs w:val="22"/>
        </w:rPr>
        <w:t>Trial 1031</w:t>
      </w:r>
      <w:r w:rsidR="00075332" w:rsidRPr="00B50DB8">
        <w:rPr>
          <w:szCs w:val="22"/>
        </w:rPr>
        <w:t xml:space="preserve"> are summarised in the table below</w:t>
      </w:r>
      <w:r w:rsidR="00075332">
        <w:rPr>
          <w:color w:val="3366FF"/>
        </w:rPr>
        <w:t>.</w:t>
      </w:r>
    </w:p>
    <w:p w:rsidR="00075332" w:rsidRDefault="00075332" w:rsidP="006E4BDB">
      <w:pPr>
        <w:widowControl/>
        <w:rPr>
          <w:szCs w:val="22"/>
        </w:rPr>
      </w:pPr>
    </w:p>
    <w:p w:rsidR="00075332" w:rsidRDefault="00075332" w:rsidP="006E4BDB">
      <w:pPr>
        <w:keepNext/>
        <w:widowControl/>
        <w:ind w:left="709"/>
        <w:rPr>
          <w:rStyle w:val="CommentReference"/>
        </w:rPr>
      </w:pPr>
      <w:r w:rsidRPr="00E2771E">
        <w:rPr>
          <w:rStyle w:val="CommentReference"/>
        </w:rPr>
        <w:t xml:space="preserve">Table </w:t>
      </w:r>
      <w:r w:rsidR="007C6C27">
        <w:rPr>
          <w:rStyle w:val="CommentReference"/>
        </w:rPr>
        <w:t>3</w:t>
      </w:r>
      <w:r w:rsidRPr="00E2771E">
        <w:rPr>
          <w:rStyle w:val="CommentReference"/>
        </w:rPr>
        <w:t>: Key features of the included evidence</w:t>
      </w:r>
    </w:p>
    <w:tbl>
      <w:tblPr>
        <w:tblW w:w="462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6"/>
        <w:gridCol w:w="453"/>
        <w:gridCol w:w="1700"/>
        <w:gridCol w:w="994"/>
        <w:gridCol w:w="1982"/>
        <w:gridCol w:w="1199"/>
        <w:gridCol w:w="1209"/>
      </w:tblGrid>
      <w:tr w:rsidR="00075332" w:rsidRPr="00E2771E" w:rsidTr="003252DA">
        <w:tc>
          <w:tcPr>
            <w:tcW w:w="510" w:type="pct"/>
            <w:shd w:val="clear" w:color="auto" w:fill="auto"/>
            <w:vAlign w:val="center"/>
          </w:tcPr>
          <w:p w:rsidR="00075332" w:rsidRPr="00E2771E" w:rsidRDefault="00075332" w:rsidP="006E4BDB">
            <w:pPr>
              <w:keepNext/>
              <w:widowControl/>
              <w:jc w:val="left"/>
              <w:rPr>
                <w:rFonts w:ascii="Arial Narrow" w:hAnsi="Arial Narrow"/>
                <w:b/>
                <w:sz w:val="20"/>
                <w:lang w:val="en-US"/>
              </w:rPr>
            </w:pPr>
            <w:r w:rsidRPr="00E2771E">
              <w:rPr>
                <w:rFonts w:ascii="Arial Narrow" w:hAnsi="Arial Narrow"/>
                <w:b/>
                <w:sz w:val="20"/>
                <w:lang w:val="en-US"/>
              </w:rPr>
              <w:t>Trial</w:t>
            </w:r>
          </w:p>
        </w:tc>
        <w:tc>
          <w:tcPr>
            <w:tcW w:w="270" w:type="pct"/>
            <w:shd w:val="clear" w:color="auto" w:fill="auto"/>
            <w:vAlign w:val="center"/>
          </w:tcPr>
          <w:p w:rsidR="00075332" w:rsidRPr="00E2771E" w:rsidRDefault="00075332" w:rsidP="006E4BDB">
            <w:pPr>
              <w:keepNext/>
              <w:widowControl/>
              <w:jc w:val="center"/>
              <w:rPr>
                <w:rFonts w:ascii="Arial Narrow" w:hAnsi="Arial Narrow"/>
                <w:b/>
                <w:sz w:val="20"/>
                <w:lang w:val="en-US"/>
              </w:rPr>
            </w:pPr>
            <w:r w:rsidRPr="00E2771E">
              <w:rPr>
                <w:rFonts w:ascii="Arial Narrow" w:hAnsi="Arial Narrow"/>
                <w:b/>
                <w:sz w:val="20"/>
                <w:lang w:val="en-US"/>
              </w:rPr>
              <w:t>N</w:t>
            </w:r>
          </w:p>
        </w:tc>
        <w:tc>
          <w:tcPr>
            <w:tcW w:w="1013" w:type="pct"/>
            <w:shd w:val="clear" w:color="auto" w:fill="auto"/>
            <w:vAlign w:val="center"/>
          </w:tcPr>
          <w:p w:rsidR="00075332" w:rsidRPr="00E2771E" w:rsidRDefault="00075332" w:rsidP="006E4BDB">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592" w:type="pct"/>
            <w:shd w:val="clear" w:color="auto" w:fill="auto"/>
            <w:vAlign w:val="center"/>
          </w:tcPr>
          <w:p w:rsidR="00075332" w:rsidRPr="00E2771E" w:rsidRDefault="00075332" w:rsidP="006E4BDB">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1181" w:type="pct"/>
            <w:shd w:val="clear" w:color="auto" w:fill="auto"/>
            <w:vAlign w:val="center"/>
          </w:tcPr>
          <w:p w:rsidR="00075332" w:rsidRPr="00E2771E" w:rsidRDefault="00075332" w:rsidP="006E4BDB">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714" w:type="pct"/>
            <w:shd w:val="clear" w:color="auto" w:fill="auto"/>
            <w:vAlign w:val="center"/>
          </w:tcPr>
          <w:p w:rsidR="00075332" w:rsidRPr="00E2771E" w:rsidRDefault="00075332" w:rsidP="006E4BDB">
            <w:pPr>
              <w:keepNext/>
              <w:widowControl/>
              <w:jc w:val="center"/>
              <w:rPr>
                <w:rFonts w:ascii="Arial Narrow" w:hAnsi="Arial Narrow"/>
                <w:b/>
                <w:sz w:val="20"/>
                <w:lang w:val="en-US"/>
              </w:rPr>
            </w:pPr>
            <w:r>
              <w:rPr>
                <w:rFonts w:ascii="Arial Narrow" w:hAnsi="Arial Narrow"/>
                <w:b/>
                <w:sz w:val="20"/>
                <w:lang w:val="en-US"/>
              </w:rPr>
              <w:t>Key outcomes</w:t>
            </w:r>
          </w:p>
        </w:tc>
        <w:tc>
          <w:tcPr>
            <w:tcW w:w="720" w:type="pct"/>
            <w:shd w:val="clear" w:color="auto" w:fill="auto"/>
            <w:vAlign w:val="center"/>
          </w:tcPr>
          <w:p w:rsidR="00075332" w:rsidRPr="00E2771E" w:rsidRDefault="00075332" w:rsidP="006E4BDB">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075332" w:rsidRPr="00E2771E" w:rsidTr="00075332">
        <w:tc>
          <w:tcPr>
            <w:tcW w:w="5000" w:type="pct"/>
            <w:gridSpan w:val="7"/>
            <w:shd w:val="clear" w:color="auto" w:fill="auto"/>
            <w:vAlign w:val="center"/>
          </w:tcPr>
          <w:p w:rsidR="00075332" w:rsidRPr="00E2771E" w:rsidRDefault="00075332" w:rsidP="006E4BDB">
            <w:pPr>
              <w:keepNext/>
              <w:widowControl/>
              <w:jc w:val="left"/>
              <w:rPr>
                <w:rFonts w:ascii="Arial Narrow" w:hAnsi="Arial Narrow"/>
                <w:b/>
                <w:sz w:val="20"/>
                <w:lang w:val="en-US"/>
              </w:rPr>
            </w:pPr>
            <w:r>
              <w:rPr>
                <w:rFonts w:ascii="Arial Narrow" w:hAnsi="Arial Narrow"/>
                <w:b/>
                <w:sz w:val="20"/>
                <w:lang w:val="en-US"/>
              </w:rPr>
              <w:t xml:space="preserve">Etanercept </w:t>
            </w:r>
            <w:r w:rsidRPr="00E2771E">
              <w:rPr>
                <w:rFonts w:ascii="Arial Narrow" w:hAnsi="Arial Narrow"/>
                <w:b/>
                <w:sz w:val="20"/>
                <w:lang w:val="en-US"/>
              </w:rPr>
              <w:t xml:space="preserve">vs. </w:t>
            </w:r>
            <w:r>
              <w:rPr>
                <w:rFonts w:ascii="Arial Narrow" w:hAnsi="Arial Narrow"/>
                <w:b/>
                <w:sz w:val="20"/>
                <w:lang w:val="en-US"/>
              </w:rPr>
              <w:t>placebo</w:t>
            </w:r>
          </w:p>
        </w:tc>
      </w:tr>
      <w:tr w:rsidR="00075332" w:rsidRPr="00E2771E" w:rsidTr="003252DA">
        <w:tc>
          <w:tcPr>
            <w:tcW w:w="510" w:type="pct"/>
            <w:shd w:val="clear" w:color="auto" w:fill="auto"/>
            <w:vAlign w:val="center"/>
          </w:tcPr>
          <w:p w:rsidR="00075332" w:rsidRPr="00E2771E" w:rsidRDefault="00075332" w:rsidP="006E4BDB">
            <w:pPr>
              <w:keepNext/>
              <w:widowControl/>
              <w:jc w:val="left"/>
              <w:rPr>
                <w:rFonts w:ascii="Arial Narrow" w:hAnsi="Arial Narrow"/>
                <w:sz w:val="20"/>
                <w:lang w:val="en-US"/>
              </w:rPr>
            </w:pPr>
            <w:r>
              <w:rPr>
                <w:rFonts w:ascii="Arial Narrow" w:hAnsi="Arial Narrow"/>
                <w:sz w:val="20"/>
                <w:lang w:val="en-US"/>
              </w:rPr>
              <w:t>Trial 1031</w:t>
            </w:r>
          </w:p>
        </w:tc>
        <w:tc>
          <w:tcPr>
            <w:tcW w:w="270" w:type="pct"/>
            <w:shd w:val="clear" w:color="auto" w:fill="auto"/>
            <w:vAlign w:val="center"/>
          </w:tcPr>
          <w:p w:rsidR="00075332" w:rsidRPr="00E2771E" w:rsidRDefault="00075332" w:rsidP="006E4BDB">
            <w:pPr>
              <w:keepNext/>
              <w:widowControl/>
              <w:jc w:val="center"/>
              <w:rPr>
                <w:rFonts w:ascii="Arial Narrow" w:hAnsi="Arial Narrow"/>
                <w:sz w:val="20"/>
                <w:lang w:val="en-US"/>
              </w:rPr>
            </w:pPr>
            <w:r>
              <w:rPr>
                <w:rFonts w:ascii="Arial Narrow" w:hAnsi="Arial Narrow"/>
                <w:sz w:val="20"/>
                <w:lang w:val="en-US"/>
              </w:rPr>
              <w:t>215</w:t>
            </w:r>
          </w:p>
        </w:tc>
        <w:tc>
          <w:tcPr>
            <w:tcW w:w="1013" w:type="pct"/>
            <w:shd w:val="clear" w:color="auto" w:fill="auto"/>
            <w:vAlign w:val="center"/>
          </w:tcPr>
          <w:p w:rsidR="003252DA" w:rsidRDefault="00075332" w:rsidP="006E4BDB">
            <w:pPr>
              <w:keepNext/>
              <w:widowControl/>
              <w:jc w:val="center"/>
              <w:rPr>
                <w:rFonts w:ascii="Arial Narrow" w:hAnsi="Arial Narrow"/>
                <w:sz w:val="20"/>
                <w:lang w:val="en-US"/>
              </w:rPr>
            </w:pPr>
            <w:r w:rsidRPr="00E2771E">
              <w:rPr>
                <w:rFonts w:ascii="Arial Narrow" w:hAnsi="Arial Narrow"/>
                <w:sz w:val="20"/>
                <w:lang w:val="en-US"/>
              </w:rPr>
              <w:t>R</w:t>
            </w:r>
            <w:r>
              <w:rPr>
                <w:rFonts w:ascii="Arial Narrow" w:hAnsi="Arial Narrow"/>
                <w:sz w:val="20"/>
                <w:lang w:val="en-US"/>
              </w:rPr>
              <w:t>, MC</w:t>
            </w:r>
            <w:r w:rsidRPr="00E2771E">
              <w:rPr>
                <w:rFonts w:ascii="Arial Narrow" w:hAnsi="Arial Narrow"/>
                <w:sz w:val="20"/>
                <w:lang w:val="en-US"/>
              </w:rPr>
              <w:t>, DB</w:t>
            </w:r>
            <w:r>
              <w:rPr>
                <w:rFonts w:ascii="Arial Narrow" w:hAnsi="Arial Narrow"/>
                <w:sz w:val="20"/>
                <w:lang w:val="en-US"/>
              </w:rPr>
              <w:t xml:space="preserve">, </w:t>
            </w:r>
          </w:p>
          <w:p w:rsidR="00075332" w:rsidRPr="00E2771E" w:rsidRDefault="00075332" w:rsidP="006E4BDB">
            <w:pPr>
              <w:keepNext/>
              <w:widowControl/>
              <w:jc w:val="center"/>
              <w:rPr>
                <w:rFonts w:ascii="Arial Narrow" w:hAnsi="Arial Narrow"/>
                <w:sz w:val="20"/>
                <w:lang w:val="en-US"/>
              </w:rPr>
            </w:pPr>
            <w:r>
              <w:rPr>
                <w:rFonts w:ascii="Arial Narrow" w:hAnsi="Arial Narrow"/>
                <w:sz w:val="20"/>
                <w:lang w:val="en-US"/>
              </w:rPr>
              <w:t>12 weeks</w:t>
            </w:r>
          </w:p>
        </w:tc>
        <w:tc>
          <w:tcPr>
            <w:tcW w:w="592" w:type="pct"/>
            <w:shd w:val="clear" w:color="auto" w:fill="auto"/>
            <w:vAlign w:val="center"/>
          </w:tcPr>
          <w:p w:rsidR="00075332" w:rsidRPr="00E2771E" w:rsidRDefault="00075332" w:rsidP="006E4BDB">
            <w:pPr>
              <w:keepNext/>
              <w:widowControl/>
              <w:jc w:val="center"/>
              <w:rPr>
                <w:rFonts w:ascii="Arial Narrow" w:hAnsi="Arial Narrow"/>
                <w:sz w:val="20"/>
                <w:lang w:val="en-US"/>
              </w:rPr>
            </w:pPr>
            <w:r w:rsidRPr="00E2771E">
              <w:rPr>
                <w:rFonts w:ascii="Arial Narrow" w:hAnsi="Arial Narrow"/>
                <w:sz w:val="20"/>
                <w:lang w:val="en-US"/>
              </w:rPr>
              <w:t>Low</w:t>
            </w:r>
          </w:p>
        </w:tc>
        <w:tc>
          <w:tcPr>
            <w:tcW w:w="1181" w:type="pct"/>
            <w:shd w:val="clear" w:color="auto" w:fill="auto"/>
            <w:vAlign w:val="center"/>
          </w:tcPr>
          <w:p w:rsidR="00075332" w:rsidRPr="00E2771E" w:rsidRDefault="00075332" w:rsidP="006E4BDB">
            <w:pPr>
              <w:keepNext/>
              <w:widowControl/>
              <w:jc w:val="center"/>
              <w:rPr>
                <w:rFonts w:ascii="Arial Narrow" w:hAnsi="Arial Narrow"/>
                <w:sz w:val="20"/>
                <w:lang w:val="en-US"/>
              </w:rPr>
            </w:pPr>
            <w:r>
              <w:rPr>
                <w:rFonts w:ascii="Arial Narrow" w:hAnsi="Arial Narrow"/>
                <w:sz w:val="20"/>
                <w:lang w:val="en-US"/>
              </w:rPr>
              <w:t>Non-radiographic ax-SpA</w:t>
            </w:r>
          </w:p>
        </w:tc>
        <w:tc>
          <w:tcPr>
            <w:tcW w:w="714" w:type="pct"/>
            <w:shd w:val="clear" w:color="auto" w:fill="auto"/>
            <w:vAlign w:val="center"/>
          </w:tcPr>
          <w:p w:rsidR="00075332" w:rsidRPr="00E2771E" w:rsidRDefault="00075332" w:rsidP="006E4BDB">
            <w:pPr>
              <w:keepNext/>
              <w:widowControl/>
              <w:jc w:val="center"/>
              <w:rPr>
                <w:rFonts w:ascii="Arial Narrow" w:hAnsi="Arial Narrow"/>
                <w:sz w:val="20"/>
                <w:lang w:val="en-US"/>
              </w:rPr>
            </w:pPr>
            <w:r>
              <w:rPr>
                <w:rFonts w:ascii="Arial Narrow" w:hAnsi="Arial Narrow"/>
                <w:sz w:val="20"/>
                <w:lang w:val="en-US"/>
              </w:rPr>
              <w:t>ASAS 40</w:t>
            </w:r>
          </w:p>
        </w:tc>
        <w:tc>
          <w:tcPr>
            <w:tcW w:w="720" w:type="pct"/>
            <w:shd w:val="clear" w:color="auto" w:fill="auto"/>
            <w:vAlign w:val="center"/>
          </w:tcPr>
          <w:p w:rsidR="00075332" w:rsidRPr="00E2771E" w:rsidRDefault="00075332" w:rsidP="006E4BDB">
            <w:pPr>
              <w:keepNext/>
              <w:widowControl/>
              <w:jc w:val="center"/>
              <w:rPr>
                <w:rFonts w:ascii="Arial Narrow" w:hAnsi="Arial Narrow"/>
                <w:sz w:val="20"/>
                <w:lang w:val="en-US"/>
              </w:rPr>
            </w:pPr>
            <w:r>
              <w:rPr>
                <w:rFonts w:ascii="Arial Narrow" w:hAnsi="Arial Narrow"/>
                <w:sz w:val="20"/>
                <w:lang w:val="en-US"/>
              </w:rPr>
              <w:t>EQ-5D scores</w:t>
            </w:r>
          </w:p>
        </w:tc>
      </w:tr>
      <w:tr w:rsidR="00075332" w:rsidRPr="00E2771E" w:rsidTr="003252DA">
        <w:tc>
          <w:tcPr>
            <w:tcW w:w="510" w:type="pct"/>
            <w:shd w:val="clear" w:color="auto" w:fill="auto"/>
            <w:vAlign w:val="center"/>
          </w:tcPr>
          <w:p w:rsidR="00075332" w:rsidRPr="00E2771E" w:rsidRDefault="00075332" w:rsidP="006E4BDB">
            <w:pPr>
              <w:widowControl/>
              <w:jc w:val="left"/>
              <w:rPr>
                <w:rFonts w:ascii="Arial Narrow" w:hAnsi="Arial Narrow"/>
                <w:sz w:val="20"/>
                <w:lang w:val="en-US"/>
              </w:rPr>
            </w:pPr>
            <w:r>
              <w:rPr>
                <w:rFonts w:ascii="Arial Narrow" w:hAnsi="Arial Narrow"/>
                <w:sz w:val="20"/>
                <w:lang w:val="en-US"/>
              </w:rPr>
              <w:t>Trial 1031 OL period</w:t>
            </w:r>
          </w:p>
        </w:tc>
        <w:tc>
          <w:tcPr>
            <w:tcW w:w="270" w:type="pct"/>
            <w:shd w:val="clear" w:color="auto" w:fill="auto"/>
            <w:vAlign w:val="center"/>
          </w:tcPr>
          <w:p w:rsidR="00075332" w:rsidRPr="00E2771E" w:rsidRDefault="00075332" w:rsidP="006E4BDB">
            <w:pPr>
              <w:widowControl/>
              <w:jc w:val="center"/>
              <w:rPr>
                <w:rFonts w:ascii="Arial Narrow" w:hAnsi="Arial Narrow"/>
                <w:sz w:val="20"/>
                <w:lang w:val="en-US"/>
              </w:rPr>
            </w:pPr>
            <w:r>
              <w:rPr>
                <w:rFonts w:ascii="Arial Narrow" w:hAnsi="Arial Narrow"/>
                <w:sz w:val="20"/>
                <w:lang w:val="en-US"/>
              </w:rPr>
              <w:t>208</w:t>
            </w:r>
          </w:p>
        </w:tc>
        <w:tc>
          <w:tcPr>
            <w:tcW w:w="1013" w:type="pct"/>
            <w:shd w:val="clear" w:color="auto" w:fill="auto"/>
            <w:vAlign w:val="center"/>
          </w:tcPr>
          <w:p w:rsidR="00075332" w:rsidRPr="00E2771E" w:rsidRDefault="00075332" w:rsidP="006E4BDB">
            <w:pPr>
              <w:widowControl/>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OL</w:t>
            </w:r>
          </w:p>
          <w:p w:rsidR="00075332" w:rsidRPr="00E2771E" w:rsidRDefault="00075332" w:rsidP="006E4BDB">
            <w:pPr>
              <w:widowControl/>
              <w:jc w:val="center"/>
              <w:rPr>
                <w:rFonts w:ascii="Arial Narrow" w:hAnsi="Arial Narrow"/>
                <w:sz w:val="20"/>
                <w:lang w:val="en-US"/>
              </w:rPr>
            </w:pPr>
            <w:r>
              <w:rPr>
                <w:rFonts w:ascii="Arial Narrow" w:hAnsi="Arial Narrow"/>
                <w:sz w:val="20"/>
                <w:lang w:val="en-US"/>
              </w:rPr>
              <w:t>92</w:t>
            </w:r>
            <w:r w:rsidRPr="00E2771E">
              <w:rPr>
                <w:rFonts w:ascii="Arial Narrow" w:hAnsi="Arial Narrow"/>
                <w:sz w:val="20"/>
                <w:lang w:val="en-US"/>
              </w:rPr>
              <w:t xml:space="preserve"> </w:t>
            </w:r>
            <w:r>
              <w:rPr>
                <w:rFonts w:ascii="Arial Narrow" w:hAnsi="Arial Narrow"/>
                <w:sz w:val="20"/>
                <w:lang w:val="en-US"/>
              </w:rPr>
              <w:t>weeks</w:t>
            </w:r>
          </w:p>
        </w:tc>
        <w:tc>
          <w:tcPr>
            <w:tcW w:w="592" w:type="pct"/>
            <w:shd w:val="clear" w:color="auto" w:fill="auto"/>
            <w:vAlign w:val="center"/>
          </w:tcPr>
          <w:p w:rsidR="00075332" w:rsidRPr="00E2771E" w:rsidRDefault="00075332" w:rsidP="006E4BDB">
            <w:pPr>
              <w:widowControl/>
              <w:jc w:val="center"/>
              <w:rPr>
                <w:rFonts w:ascii="Arial Narrow" w:hAnsi="Arial Narrow"/>
                <w:sz w:val="20"/>
                <w:lang w:val="en-US"/>
              </w:rPr>
            </w:pPr>
            <w:r w:rsidRPr="00E2771E">
              <w:rPr>
                <w:rFonts w:ascii="Arial Narrow" w:hAnsi="Arial Narrow"/>
                <w:sz w:val="20"/>
                <w:lang w:val="en-US"/>
              </w:rPr>
              <w:t>High</w:t>
            </w:r>
          </w:p>
        </w:tc>
        <w:tc>
          <w:tcPr>
            <w:tcW w:w="1181" w:type="pct"/>
            <w:shd w:val="clear" w:color="auto" w:fill="auto"/>
            <w:vAlign w:val="center"/>
          </w:tcPr>
          <w:p w:rsidR="00075332" w:rsidRPr="00E2771E" w:rsidRDefault="00075332" w:rsidP="006E4BDB">
            <w:pPr>
              <w:widowControl/>
              <w:jc w:val="center"/>
              <w:rPr>
                <w:rFonts w:ascii="Arial Narrow" w:hAnsi="Arial Narrow"/>
                <w:sz w:val="20"/>
                <w:lang w:val="en-US"/>
              </w:rPr>
            </w:pPr>
            <w:r>
              <w:rPr>
                <w:rFonts w:ascii="Arial Narrow" w:hAnsi="Arial Narrow"/>
                <w:sz w:val="20"/>
                <w:lang w:val="en-US"/>
              </w:rPr>
              <w:t>Non-radiographic ax-SpA</w:t>
            </w:r>
          </w:p>
        </w:tc>
        <w:tc>
          <w:tcPr>
            <w:tcW w:w="714" w:type="pct"/>
            <w:shd w:val="clear" w:color="auto" w:fill="auto"/>
            <w:vAlign w:val="center"/>
          </w:tcPr>
          <w:p w:rsidR="00075332" w:rsidRPr="00E2771E" w:rsidRDefault="00075332" w:rsidP="006E4BDB">
            <w:pPr>
              <w:widowControl/>
              <w:jc w:val="center"/>
              <w:rPr>
                <w:rFonts w:ascii="Arial Narrow" w:hAnsi="Arial Narrow"/>
                <w:sz w:val="20"/>
                <w:lang w:val="en-US"/>
              </w:rPr>
            </w:pPr>
            <w:r>
              <w:rPr>
                <w:rFonts w:ascii="Arial Narrow" w:hAnsi="Arial Narrow"/>
                <w:sz w:val="20"/>
                <w:lang w:val="en-US"/>
              </w:rPr>
              <w:t>ASAS 40</w:t>
            </w:r>
          </w:p>
        </w:tc>
        <w:tc>
          <w:tcPr>
            <w:tcW w:w="720" w:type="pct"/>
            <w:shd w:val="clear" w:color="auto" w:fill="auto"/>
            <w:vAlign w:val="center"/>
          </w:tcPr>
          <w:p w:rsidR="00075332" w:rsidRPr="00E2771E" w:rsidRDefault="00075332" w:rsidP="006E4BDB">
            <w:pPr>
              <w:widowControl/>
              <w:jc w:val="center"/>
              <w:rPr>
                <w:rFonts w:ascii="Arial Narrow" w:hAnsi="Arial Narrow"/>
                <w:sz w:val="20"/>
                <w:lang w:val="en-US"/>
              </w:rPr>
            </w:pPr>
            <w:r>
              <w:rPr>
                <w:rFonts w:ascii="Arial Narrow" w:hAnsi="Arial Narrow"/>
                <w:sz w:val="20"/>
                <w:lang w:val="en-US"/>
              </w:rPr>
              <w:t>EQ-5D scores</w:t>
            </w:r>
          </w:p>
        </w:tc>
      </w:tr>
    </w:tbl>
    <w:p w:rsidR="00075332" w:rsidRPr="0072416F" w:rsidRDefault="00075332" w:rsidP="006E4BDB">
      <w:pPr>
        <w:pStyle w:val="TableFooter"/>
        <w:widowControl/>
        <w:ind w:left="709"/>
      </w:pPr>
      <w:r>
        <w:t xml:space="preserve">ASAS=assessment of spondyloarthritis international society; AxSpA=axial spondyloarthritis; </w:t>
      </w:r>
      <w:r w:rsidRPr="0072416F">
        <w:t>DB=double blind;</w:t>
      </w:r>
      <w:r>
        <w:t xml:space="preserve"> EQ-5D= Euroqol 5D; </w:t>
      </w:r>
      <w:r w:rsidRPr="0072416F">
        <w:t>MC=multi-centre; OL=open label; R=randomised.</w:t>
      </w:r>
    </w:p>
    <w:p w:rsidR="00075332" w:rsidRDefault="00075332" w:rsidP="006E4BDB">
      <w:pPr>
        <w:pStyle w:val="TableFooter"/>
        <w:widowControl/>
        <w:ind w:left="709"/>
      </w:pPr>
      <w:r w:rsidRPr="0072416F">
        <w:t>Source: compiled during the evaluation</w:t>
      </w:r>
    </w:p>
    <w:p w:rsidR="003252DA" w:rsidRPr="00882085" w:rsidRDefault="003252DA" w:rsidP="006E4BDB">
      <w:pPr>
        <w:widowControl/>
        <w:rPr>
          <w:szCs w:val="22"/>
        </w:rPr>
      </w:pPr>
    </w:p>
    <w:p w:rsidR="00075332" w:rsidRPr="002B5499" w:rsidRDefault="00075332" w:rsidP="0030129E">
      <w:pPr>
        <w:pStyle w:val="Heading2"/>
      </w:pPr>
      <w:bookmarkStart w:id="9" w:name="_Toc440882439"/>
      <w:r w:rsidRPr="00497F10">
        <w:t>Comparative effectiveness</w:t>
      </w:r>
      <w:bookmarkEnd w:id="9"/>
    </w:p>
    <w:p w:rsidR="00075332" w:rsidRPr="00075332" w:rsidRDefault="00075332" w:rsidP="006E4BDB">
      <w:pPr>
        <w:pStyle w:val="ListParagraph"/>
        <w:widowControl/>
        <w:rPr>
          <w:szCs w:val="22"/>
        </w:rPr>
      </w:pPr>
    </w:p>
    <w:p w:rsidR="00075332" w:rsidRDefault="00A14191" w:rsidP="006E4BDB">
      <w:pPr>
        <w:pStyle w:val="ListParagraph"/>
        <w:widowControl/>
        <w:numPr>
          <w:ilvl w:val="1"/>
          <w:numId w:val="2"/>
        </w:numPr>
        <w:rPr>
          <w:szCs w:val="22"/>
        </w:rPr>
      </w:pPr>
      <w:r w:rsidRPr="00B246B1">
        <w:rPr>
          <w:szCs w:val="22"/>
        </w:rPr>
        <w:t>A summary of the efficacy results of Trial 1031 is</w:t>
      </w:r>
      <w:r w:rsidR="00075332" w:rsidRPr="00B246B1">
        <w:rPr>
          <w:szCs w:val="22"/>
        </w:rPr>
        <w:t xml:space="preserve"> presented in the table below.</w:t>
      </w:r>
    </w:p>
    <w:p w:rsidR="00075332" w:rsidRDefault="00075332" w:rsidP="006E4BDB">
      <w:pPr>
        <w:pStyle w:val="ListParagraph"/>
        <w:widowControl/>
        <w:rPr>
          <w:szCs w:val="22"/>
        </w:rPr>
      </w:pPr>
    </w:p>
    <w:p w:rsidR="00075332" w:rsidRPr="00A9438A" w:rsidRDefault="00075332" w:rsidP="006E4BDB">
      <w:pPr>
        <w:pStyle w:val="ListParagraph"/>
        <w:keepNext/>
        <w:widowControl/>
        <w:rPr>
          <w:rStyle w:val="CommentReference"/>
        </w:rPr>
      </w:pPr>
      <w:r w:rsidRPr="00A9438A">
        <w:rPr>
          <w:rStyle w:val="CommentReference"/>
        </w:rPr>
        <w:lastRenderedPageBreak/>
        <w:t xml:space="preserve">Table </w:t>
      </w:r>
      <w:r w:rsidR="007C6C27">
        <w:rPr>
          <w:rStyle w:val="CommentReference"/>
        </w:rPr>
        <w:t>4</w:t>
      </w:r>
      <w:r w:rsidRPr="00A9438A">
        <w:rPr>
          <w:rStyle w:val="CommentReference"/>
        </w:rPr>
        <w:t xml:space="preserve">: Results of primary endpoint ASAS 40 in Trial 1031 </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9"/>
        <w:gridCol w:w="1755"/>
        <w:gridCol w:w="1757"/>
        <w:gridCol w:w="1950"/>
        <w:gridCol w:w="2144"/>
      </w:tblGrid>
      <w:tr w:rsidR="00075332" w:rsidRPr="004E2ADC" w:rsidTr="00075332">
        <w:tc>
          <w:tcPr>
            <w:tcW w:w="459" w:type="pct"/>
            <w:vAlign w:val="center"/>
          </w:tcPr>
          <w:p w:rsidR="00075332" w:rsidRPr="004E2ADC" w:rsidRDefault="00075332" w:rsidP="006E4BDB">
            <w:pPr>
              <w:keepNext/>
              <w:widowControl/>
              <w:jc w:val="left"/>
              <w:rPr>
                <w:rFonts w:ascii="Arial Narrow" w:hAnsi="Arial Narrow"/>
                <w:sz w:val="20"/>
              </w:rPr>
            </w:pPr>
            <w:r w:rsidRPr="004E2ADC">
              <w:rPr>
                <w:rFonts w:ascii="Arial Narrow" w:hAnsi="Arial Narrow"/>
                <w:b/>
                <w:sz w:val="20"/>
              </w:rPr>
              <w:t>Trial ID</w:t>
            </w:r>
          </w:p>
        </w:tc>
        <w:tc>
          <w:tcPr>
            <w:tcW w:w="1048" w:type="pct"/>
            <w:vAlign w:val="center"/>
          </w:tcPr>
          <w:p w:rsidR="00075332" w:rsidRPr="004E2ADC" w:rsidRDefault="00075332" w:rsidP="006E4BDB">
            <w:pPr>
              <w:keepNext/>
              <w:widowControl/>
              <w:jc w:val="center"/>
              <w:rPr>
                <w:rFonts w:ascii="Arial Narrow" w:hAnsi="Arial Narrow"/>
                <w:b/>
                <w:sz w:val="20"/>
              </w:rPr>
            </w:pPr>
            <w:r>
              <w:rPr>
                <w:rFonts w:ascii="Arial Narrow" w:hAnsi="Arial Narrow"/>
                <w:b/>
                <w:sz w:val="20"/>
              </w:rPr>
              <w:t>Etanercept</w:t>
            </w:r>
          </w:p>
          <w:p w:rsidR="00075332" w:rsidRPr="004E2ADC" w:rsidRDefault="00075332" w:rsidP="006E4BDB">
            <w:pPr>
              <w:keepNext/>
              <w:widowControl/>
              <w:ind w:right="-108"/>
              <w:jc w:val="center"/>
              <w:rPr>
                <w:rFonts w:ascii="Arial Narrow" w:hAnsi="Arial Narrow"/>
                <w:sz w:val="20"/>
              </w:rPr>
            </w:pPr>
            <w:r>
              <w:rPr>
                <w:rFonts w:ascii="Arial Narrow" w:hAnsi="Arial Narrow"/>
                <w:b/>
                <w:sz w:val="20"/>
              </w:rPr>
              <w:t xml:space="preserve">n/N </w:t>
            </w:r>
          </w:p>
        </w:tc>
        <w:tc>
          <w:tcPr>
            <w:tcW w:w="1049" w:type="pct"/>
            <w:vAlign w:val="center"/>
          </w:tcPr>
          <w:p w:rsidR="00075332" w:rsidRPr="004E2ADC" w:rsidRDefault="00075332" w:rsidP="006E4BDB">
            <w:pPr>
              <w:keepNext/>
              <w:widowControl/>
              <w:jc w:val="center"/>
              <w:rPr>
                <w:rFonts w:ascii="Arial Narrow" w:hAnsi="Arial Narrow"/>
                <w:b/>
                <w:sz w:val="20"/>
              </w:rPr>
            </w:pPr>
            <w:r>
              <w:rPr>
                <w:rFonts w:ascii="Arial Narrow" w:hAnsi="Arial Narrow"/>
                <w:b/>
                <w:sz w:val="20"/>
              </w:rPr>
              <w:t>Placebo</w:t>
            </w:r>
          </w:p>
          <w:p w:rsidR="00075332" w:rsidRPr="004E2ADC" w:rsidRDefault="00075332" w:rsidP="006E4BDB">
            <w:pPr>
              <w:keepNext/>
              <w:widowControl/>
              <w:jc w:val="center"/>
              <w:rPr>
                <w:rFonts w:ascii="Arial Narrow" w:hAnsi="Arial Narrow"/>
                <w:sz w:val="20"/>
              </w:rPr>
            </w:pPr>
            <w:r>
              <w:rPr>
                <w:rFonts w:ascii="Arial Narrow" w:hAnsi="Arial Narrow"/>
                <w:b/>
                <w:sz w:val="20"/>
              </w:rPr>
              <w:t>n</w:t>
            </w:r>
            <w:r w:rsidRPr="004E2ADC">
              <w:rPr>
                <w:rFonts w:ascii="Arial Narrow" w:hAnsi="Arial Narrow"/>
                <w:b/>
                <w:sz w:val="20"/>
              </w:rPr>
              <w:t xml:space="preserve">/N (%) </w:t>
            </w:r>
          </w:p>
        </w:tc>
        <w:tc>
          <w:tcPr>
            <w:tcW w:w="1164" w:type="pct"/>
            <w:vAlign w:val="center"/>
          </w:tcPr>
          <w:p w:rsidR="00075332" w:rsidRPr="004E2ADC" w:rsidRDefault="00075332" w:rsidP="006E4BDB">
            <w:pPr>
              <w:keepNext/>
              <w:widowControl/>
              <w:jc w:val="center"/>
              <w:rPr>
                <w:rFonts w:ascii="Arial Narrow" w:hAnsi="Arial Narrow"/>
                <w:b/>
                <w:sz w:val="20"/>
              </w:rPr>
            </w:pPr>
            <w:r>
              <w:rPr>
                <w:rFonts w:ascii="Arial Narrow" w:hAnsi="Arial Narrow"/>
                <w:b/>
                <w:sz w:val="20"/>
              </w:rPr>
              <w:t>Risk difference</w:t>
            </w:r>
          </w:p>
          <w:p w:rsidR="00075332" w:rsidRPr="004E2ADC" w:rsidRDefault="00075332" w:rsidP="006E4BDB">
            <w:pPr>
              <w:keepNext/>
              <w:widowControl/>
              <w:jc w:val="center"/>
              <w:rPr>
                <w:rFonts w:ascii="Arial Narrow" w:hAnsi="Arial Narrow"/>
                <w:b/>
                <w:sz w:val="20"/>
              </w:rPr>
            </w:pPr>
            <w:r w:rsidRPr="004E2ADC">
              <w:rPr>
                <w:rFonts w:ascii="Arial Narrow" w:hAnsi="Arial Narrow"/>
                <w:b/>
                <w:sz w:val="20"/>
              </w:rPr>
              <w:t>(95% CI)</w:t>
            </w:r>
          </w:p>
        </w:tc>
        <w:tc>
          <w:tcPr>
            <w:tcW w:w="1280" w:type="pct"/>
            <w:vAlign w:val="center"/>
          </w:tcPr>
          <w:p w:rsidR="00075332" w:rsidRDefault="00075332" w:rsidP="006E4BDB">
            <w:pPr>
              <w:keepNext/>
              <w:widowControl/>
              <w:jc w:val="center"/>
              <w:rPr>
                <w:rFonts w:ascii="Arial Narrow" w:hAnsi="Arial Narrow"/>
                <w:b/>
                <w:sz w:val="20"/>
              </w:rPr>
            </w:pPr>
            <w:r w:rsidRPr="004E2ADC">
              <w:rPr>
                <w:rFonts w:ascii="Arial Narrow" w:hAnsi="Arial Narrow"/>
                <w:b/>
                <w:sz w:val="20"/>
              </w:rPr>
              <w:t xml:space="preserve">Relative </w:t>
            </w:r>
            <w:r>
              <w:rPr>
                <w:rFonts w:ascii="Arial Narrow" w:hAnsi="Arial Narrow"/>
                <w:b/>
                <w:sz w:val="20"/>
              </w:rPr>
              <w:t>risk</w:t>
            </w:r>
          </w:p>
          <w:p w:rsidR="00075332" w:rsidRPr="004E2ADC" w:rsidRDefault="00075332" w:rsidP="006E4BDB">
            <w:pPr>
              <w:keepNext/>
              <w:widowControl/>
              <w:jc w:val="center"/>
              <w:rPr>
                <w:rFonts w:ascii="Arial Narrow" w:hAnsi="Arial Narrow"/>
                <w:sz w:val="20"/>
              </w:rPr>
            </w:pPr>
            <w:r w:rsidRPr="004E2ADC">
              <w:rPr>
                <w:rFonts w:ascii="Arial Narrow" w:hAnsi="Arial Narrow"/>
                <w:b/>
                <w:sz w:val="20"/>
              </w:rPr>
              <w:t xml:space="preserve"> (95% CI)</w:t>
            </w:r>
          </w:p>
        </w:tc>
      </w:tr>
      <w:tr w:rsidR="00075332" w:rsidRPr="004E2ADC" w:rsidTr="00075332">
        <w:tc>
          <w:tcPr>
            <w:tcW w:w="5000" w:type="pct"/>
            <w:gridSpan w:val="5"/>
            <w:vAlign w:val="center"/>
          </w:tcPr>
          <w:p w:rsidR="00075332" w:rsidRPr="008552AF" w:rsidRDefault="00075332" w:rsidP="006E4BDB">
            <w:pPr>
              <w:keepNext/>
              <w:widowControl/>
              <w:rPr>
                <w:rFonts w:ascii="Arial Narrow" w:hAnsi="Arial Narrow"/>
                <w:sz w:val="20"/>
              </w:rPr>
            </w:pPr>
            <w:r>
              <w:rPr>
                <w:rFonts w:ascii="Arial Narrow" w:hAnsi="Arial Narrow"/>
                <w:b/>
                <w:sz w:val="20"/>
              </w:rPr>
              <w:t>Double blind period</w:t>
            </w:r>
          </w:p>
        </w:tc>
      </w:tr>
      <w:tr w:rsidR="00075332" w:rsidRPr="004E2ADC" w:rsidTr="00075332">
        <w:tc>
          <w:tcPr>
            <w:tcW w:w="459" w:type="pct"/>
            <w:vAlign w:val="center"/>
          </w:tcPr>
          <w:p w:rsidR="00075332" w:rsidRPr="004E2ADC" w:rsidRDefault="00075332" w:rsidP="006E4BDB">
            <w:pPr>
              <w:keepNext/>
              <w:widowControl/>
              <w:jc w:val="left"/>
              <w:rPr>
                <w:rFonts w:ascii="Arial Narrow" w:hAnsi="Arial Narrow"/>
                <w:sz w:val="20"/>
              </w:rPr>
            </w:pPr>
            <w:r>
              <w:rPr>
                <w:rFonts w:ascii="Arial Narrow" w:hAnsi="Arial Narrow"/>
                <w:sz w:val="20"/>
              </w:rPr>
              <w:t>Week 2</w:t>
            </w:r>
          </w:p>
        </w:tc>
        <w:tc>
          <w:tcPr>
            <w:tcW w:w="1048"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16/105 (15.2)</w:t>
            </w:r>
          </w:p>
        </w:tc>
        <w:tc>
          <w:tcPr>
            <w:tcW w:w="104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4/108 (3.8)</w:t>
            </w:r>
          </w:p>
        </w:tc>
        <w:tc>
          <w:tcPr>
            <w:tcW w:w="1164" w:type="pct"/>
            <w:vAlign w:val="center"/>
          </w:tcPr>
          <w:p w:rsidR="00075332" w:rsidRDefault="00075332" w:rsidP="006E4BDB">
            <w:pPr>
              <w:keepNext/>
              <w:widowControl/>
              <w:jc w:val="center"/>
              <w:rPr>
                <w:rFonts w:ascii="Arial Narrow" w:hAnsi="Arial Narrow"/>
                <w:sz w:val="20"/>
              </w:rPr>
            </w:pPr>
            <w:r>
              <w:rPr>
                <w:rFonts w:ascii="Arial Narrow" w:hAnsi="Arial Narrow"/>
                <w:sz w:val="20"/>
              </w:rPr>
              <w:t>0.11 (0.04, 0.19)</w:t>
            </w:r>
          </w:p>
          <w:p w:rsidR="00075332" w:rsidRPr="004E2ADC" w:rsidRDefault="00075332" w:rsidP="006E4BDB">
            <w:pPr>
              <w:keepNext/>
              <w:widowControl/>
              <w:jc w:val="center"/>
              <w:rPr>
                <w:rFonts w:ascii="Arial Narrow" w:hAnsi="Arial Narrow"/>
                <w:sz w:val="20"/>
              </w:rPr>
            </w:pPr>
            <w:r>
              <w:rPr>
                <w:rFonts w:ascii="Arial Narrow" w:hAnsi="Arial Narrow"/>
                <w:sz w:val="20"/>
              </w:rPr>
              <w:t>p=0.004</w:t>
            </w:r>
          </w:p>
        </w:tc>
        <w:tc>
          <w:tcPr>
            <w:tcW w:w="1280" w:type="pct"/>
            <w:vAlign w:val="center"/>
          </w:tcPr>
          <w:p w:rsidR="00075332" w:rsidRDefault="00075332" w:rsidP="006E4BDB">
            <w:pPr>
              <w:keepNext/>
              <w:widowControl/>
              <w:jc w:val="center"/>
              <w:rPr>
                <w:rFonts w:ascii="Arial Narrow" w:hAnsi="Arial Narrow"/>
                <w:sz w:val="20"/>
              </w:rPr>
            </w:pPr>
            <w:r>
              <w:rPr>
                <w:rFonts w:ascii="Arial Narrow" w:hAnsi="Arial Narrow"/>
                <w:sz w:val="20"/>
              </w:rPr>
              <w:t>4.04 (1.40, 11.68)</w:t>
            </w:r>
          </w:p>
          <w:p w:rsidR="00075332" w:rsidRPr="004E2ADC" w:rsidRDefault="00075332" w:rsidP="006E4BDB">
            <w:pPr>
              <w:keepNext/>
              <w:widowControl/>
              <w:jc w:val="center"/>
              <w:rPr>
                <w:rFonts w:ascii="Arial Narrow" w:hAnsi="Arial Narrow"/>
                <w:sz w:val="20"/>
              </w:rPr>
            </w:pPr>
            <w:r>
              <w:rPr>
                <w:rFonts w:ascii="Arial Narrow" w:hAnsi="Arial Narrow"/>
                <w:sz w:val="20"/>
              </w:rPr>
              <w:t>p=0.010</w:t>
            </w:r>
          </w:p>
        </w:tc>
      </w:tr>
      <w:tr w:rsidR="00075332" w:rsidRPr="004E2ADC" w:rsidTr="00075332">
        <w:tc>
          <w:tcPr>
            <w:tcW w:w="459" w:type="pct"/>
            <w:vAlign w:val="center"/>
          </w:tcPr>
          <w:p w:rsidR="00075332" w:rsidRPr="004E2ADC" w:rsidRDefault="00075332" w:rsidP="006E4BDB">
            <w:pPr>
              <w:keepNext/>
              <w:widowControl/>
              <w:jc w:val="left"/>
              <w:rPr>
                <w:rFonts w:ascii="Arial Narrow" w:hAnsi="Arial Narrow"/>
                <w:sz w:val="20"/>
              </w:rPr>
            </w:pPr>
            <w:r>
              <w:rPr>
                <w:rFonts w:ascii="Arial Narrow" w:hAnsi="Arial Narrow"/>
                <w:sz w:val="20"/>
              </w:rPr>
              <w:t>Week 4</w:t>
            </w:r>
          </w:p>
        </w:tc>
        <w:tc>
          <w:tcPr>
            <w:tcW w:w="1048"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21/105 (20.0)</w:t>
            </w:r>
          </w:p>
        </w:tc>
        <w:tc>
          <w:tcPr>
            <w:tcW w:w="104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16/108 (14.8)</w:t>
            </w:r>
          </w:p>
        </w:tc>
        <w:tc>
          <w:tcPr>
            <w:tcW w:w="1164" w:type="pct"/>
            <w:vAlign w:val="center"/>
          </w:tcPr>
          <w:p w:rsidR="00075332" w:rsidRDefault="00075332" w:rsidP="006E4BDB">
            <w:pPr>
              <w:keepNext/>
              <w:widowControl/>
              <w:jc w:val="center"/>
              <w:rPr>
                <w:rFonts w:ascii="Arial Narrow" w:hAnsi="Arial Narrow"/>
                <w:sz w:val="20"/>
              </w:rPr>
            </w:pPr>
            <w:r>
              <w:rPr>
                <w:rFonts w:ascii="Arial Narrow" w:hAnsi="Arial Narrow"/>
                <w:sz w:val="20"/>
              </w:rPr>
              <w:t>0.05 (-0.05, 0.15)</w:t>
            </w:r>
          </w:p>
          <w:p w:rsidR="00075332" w:rsidRPr="004E2ADC" w:rsidRDefault="00075332" w:rsidP="006E4BDB">
            <w:pPr>
              <w:keepNext/>
              <w:widowControl/>
              <w:jc w:val="center"/>
              <w:rPr>
                <w:rFonts w:ascii="Arial Narrow" w:hAnsi="Arial Narrow"/>
                <w:sz w:val="20"/>
              </w:rPr>
            </w:pPr>
            <w:r>
              <w:rPr>
                <w:rFonts w:ascii="Arial Narrow" w:hAnsi="Arial Narrow"/>
                <w:sz w:val="20"/>
              </w:rPr>
              <w:t>p=0.318</w:t>
            </w:r>
          </w:p>
        </w:tc>
        <w:tc>
          <w:tcPr>
            <w:tcW w:w="1280" w:type="pct"/>
            <w:vAlign w:val="center"/>
          </w:tcPr>
          <w:p w:rsidR="00075332" w:rsidRDefault="00075332" w:rsidP="006E4BDB">
            <w:pPr>
              <w:keepNext/>
              <w:widowControl/>
              <w:jc w:val="center"/>
              <w:rPr>
                <w:rFonts w:ascii="Arial Narrow" w:hAnsi="Arial Narrow"/>
                <w:sz w:val="20"/>
              </w:rPr>
            </w:pPr>
            <w:r>
              <w:rPr>
                <w:rFonts w:ascii="Arial Narrow" w:hAnsi="Arial Narrow"/>
                <w:sz w:val="20"/>
              </w:rPr>
              <w:t>1.35 (0.75, 2.44)</w:t>
            </w:r>
          </w:p>
          <w:p w:rsidR="00075332" w:rsidRPr="004E2ADC" w:rsidRDefault="00075332" w:rsidP="006E4BDB">
            <w:pPr>
              <w:keepNext/>
              <w:widowControl/>
              <w:jc w:val="center"/>
              <w:rPr>
                <w:rFonts w:ascii="Arial Narrow" w:hAnsi="Arial Narrow"/>
                <w:sz w:val="20"/>
              </w:rPr>
            </w:pPr>
            <w:r>
              <w:rPr>
                <w:rFonts w:ascii="Arial Narrow" w:hAnsi="Arial Narrow"/>
                <w:sz w:val="20"/>
              </w:rPr>
              <w:t>p=0.321</w:t>
            </w:r>
          </w:p>
        </w:tc>
      </w:tr>
      <w:tr w:rsidR="00075332" w:rsidRPr="004E2ADC" w:rsidTr="00075332">
        <w:tc>
          <w:tcPr>
            <w:tcW w:w="459" w:type="pct"/>
            <w:vAlign w:val="center"/>
          </w:tcPr>
          <w:p w:rsidR="00075332" w:rsidRPr="004E2ADC" w:rsidRDefault="00075332" w:rsidP="006E4BDB">
            <w:pPr>
              <w:keepNext/>
              <w:widowControl/>
              <w:jc w:val="left"/>
              <w:rPr>
                <w:rFonts w:ascii="Arial Narrow" w:hAnsi="Arial Narrow"/>
                <w:sz w:val="20"/>
              </w:rPr>
            </w:pPr>
            <w:r>
              <w:rPr>
                <w:rFonts w:ascii="Arial Narrow" w:hAnsi="Arial Narrow"/>
                <w:sz w:val="20"/>
              </w:rPr>
              <w:t>Week 8</w:t>
            </w:r>
          </w:p>
        </w:tc>
        <w:tc>
          <w:tcPr>
            <w:tcW w:w="1048"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30/105 (28.6)</w:t>
            </w:r>
          </w:p>
        </w:tc>
        <w:tc>
          <w:tcPr>
            <w:tcW w:w="104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17/108 (15.7)</w:t>
            </w:r>
          </w:p>
        </w:tc>
        <w:tc>
          <w:tcPr>
            <w:tcW w:w="1164" w:type="pct"/>
            <w:vAlign w:val="center"/>
          </w:tcPr>
          <w:p w:rsidR="00075332" w:rsidRDefault="00075332" w:rsidP="006E4BDB">
            <w:pPr>
              <w:keepNext/>
              <w:widowControl/>
              <w:jc w:val="center"/>
              <w:rPr>
                <w:rFonts w:ascii="Arial Narrow" w:hAnsi="Arial Narrow"/>
                <w:sz w:val="20"/>
              </w:rPr>
            </w:pPr>
            <w:r>
              <w:rPr>
                <w:rFonts w:ascii="Arial Narrow" w:hAnsi="Arial Narrow"/>
                <w:sz w:val="20"/>
              </w:rPr>
              <w:t>0.13 (0.02, 0.24)</w:t>
            </w:r>
          </w:p>
          <w:p w:rsidR="00075332" w:rsidRPr="004E2ADC" w:rsidRDefault="00075332" w:rsidP="006E4BDB">
            <w:pPr>
              <w:keepNext/>
              <w:widowControl/>
              <w:jc w:val="center"/>
              <w:rPr>
                <w:rFonts w:ascii="Arial Narrow" w:hAnsi="Arial Narrow"/>
                <w:sz w:val="20"/>
              </w:rPr>
            </w:pPr>
            <w:r>
              <w:rPr>
                <w:rFonts w:ascii="Arial Narrow" w:hAnsi="Arial Narrow"/>
                <w:sz w:val="20"/>
              </w:rPr>
              <w:t>p=0.023</w:t>
            </w:r>
          </w:p>
        </w:tc>
        <w:tc>
          <w:tcPr>
            <w:tcW w:w="1280" w:type="pct"/>
            <w:vAlign w:val="center"/>
          </w:tcPr>
          <w:p w:rsidR="00075332" w:rsidRDefault="00075332" w:rsidP="006E4BDB">
            <w:pPr>
              <w:keepNext/>
              <w:widowControl/>
              <w:jc w:val="center"/>
              <w:rPr>
                <w:rFonts w:ascii="Arial Narrow" w:hAnsi="Arial Narrow"/>
                <w:sz w:val="20"/>
              </w:rPr>
            </w:pPr>
            <w:r>
              <w:rPr>
                <w:rFonts w:ascii="Arial Narrow" w:hAnsi="Arial Narrow"/>
                <w:sz w:val="20"/>
              </w:rPr>
              <w:t>1.82 (1.07, 3.09)</w:t>
            </w:r>
          </w:p>
          <w:p w:rsidR="00075332" w:rsidRPr="004E2ADC" w:rsidRDefault="00075332" w:rsidP="006E4BDB">
            <w:pPr>
              <w:keepNext/>
              <w:widowControl/>
              <w:jc w:val="center"/>
              <w:rPr>
                <w:rFonts w:ascii="Arial Narrow" w:hAnsi="Arial Narrow"/>
                <w:sz w:val="20"/>
              </w:rPr>
            </w:pPr>
            <w:r>
              <w:rPr>
                <w:rFonts w:ascii="Arial Narrow" w:hAnsi="Arial Narrow"/>
                <w:sz w:val="20"/>
              </w:rPr>
              <w:t>p=0.028</w:t>
            </w:r>
          </w:p>
        </w:tc>
      </w:tr>
      <w:tr w:rsidR="00075332" w:rsidRPr="004E2ADC" w:rsidTr="00075332">
        <w:tc>
          <w:tcPr>
            <w:tcW w:w="459" w:type="pct"/>
            <w:vAlign w:val="center"/>
          </w:tcPr>
          <w:p w:rsidR="00075332" w:rsidRPr="004E2ADC" w:rsidRDefault="00075332" w:rsidP="006E4BDB">
            <w:pPr>
              <w:keepNext/>
              <w:widowControl/>
              <w:ind w:right="-108"/>
              <w:jc w:val="left"/>
              <w:rPr>
                <w:rFonts w:ascii="Arial Narrow" w:hAnsi="Arial Narrow"/>
                <w:sz w:val="20"/>
              </w:rPr>
            </w:pPr>
            <w:r>
              <w:rPr>
                <w:rFonts w:ascii="Arial Narrow" w:hAnsi="Arial Narrow"/>
                <w:sz w:val="20"/>
              </w:rPr>
              <w:t>Week 12</w:t>
            </w:r>
          </w:p>
        </w:tc>
        <w:tc>
          <w:tcPr>
            <w:tcW w:w="1048"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34/105 (32.4)</w:t>
            </w:r>
          </w:p>
        </w:tc>
        <w:tc>
          <w:tcPr>
            <w:tcW w:w="104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17/108 (15.7)</w:t>
            </w:r>
          </w:p>
        </w:tc>
        <w:tc>
          <w:tcPr>
            <w:tcW w:w="1164" w:type="pct"/>
            <w:vAlign w:val="center"/>
          </w:tcPr>
          <w:p w:rsidR="00075332" w:rsidRDefault="00075332" w:rsidP="006E4BDB">
            <w:pPr>
              <w:keepNext/>
              <w:widowControl/>
              <w:jc w:val="center"/>
              <w:rPr>
                <w:rFonts w:ascii="Arial Narrow" w:hAnsi="Arial Narrow"/>
                <w:sz w:val="20"/>
              </w:rPr>
            </w:pPr>
            <w:r>
              <w:rPr>
                <w:rFonts w:ascii="Arial Narrow" w:hAnsi="Arial Narrow"/>
                <w:sz w:val="20"/>
              </w:rPr>
              <w:t>0.17 (0.05, 0.28)</w:t>
            </w:r>
          </w:p>
          <w:p w:rsidR="00075332" w:rsidRPr="004E2ADC" w:rsidRDefault="00075332" w:rsidP="006E4BDB">
            <w:pPr>
              <w:keepNext/>
              <w:widowControl/>
              <w:jc w:val="center"/>
              <w:rPr>
                <w:rFonts w:ascii="Arial Narrow" w:hAnsi="Arial Narrow"/>
                <w:sz w:val="20"/>
              </w:rPr>
            </w:pPr>
            <w:r>
              <w:rPr>
                <w:rFonts w:ascii="Arial Narrow" w:hAnsi="Arial Narrow"/>
                <w:sz w:val="20"/>
              </w:rPr>
              <w:t>p=0.004</w:t>
            </w:r>
          </w:p>
        </w:tc>
        <w:tc>
          <w:tcPr>
            <w:tcW w:w="1280" w:type="pct"/>
            <w:vAlign w:val="center"/>
          </w:tcPr>
          <w:p w:rsidR="00075332" w:rsidRDefault="00075332" w:rsidP="006E4BDB">
            <w:pPr>
              <w:keepNext/>
              <w:widowControl/>
              <w:jc w:val="center"/>
              <w:rPr>
                <w:rFonts w:ascii="Arial Narrow" w:hAnsi="Arial Narrow"/>
                <w:sz w:val="20"/>
              </w:rPr>
            </w:pPr>
            <w:r>
              <w:rPr>
                <w:rFonts w:ascii="Arial Narrow" w:hAnsi="Arial Narrow"/>
                <w:sz w:val="20"/>
              </w:rPr>
              <w:t>2.06 (1.23, 3.45)</w:t>
            </w:r>
          </w:p>
          <w:p w:rsidR="00075332" w:rsidRPr="004E2ADC" w:rsidRDefault="00075332" w:rsidP="006E4BDB">
            <w:pPr>
              <w:keepNext/>
              <w:widowControl/>
              <w:jc w:val="center"/>
              <w:rPr>
                <w:rFonts w:ascii="Arial Narrow" w:hAnsi="Arial Narrow"/>
                <w:sz w:val="20"/>
              </w:rPr>
            </w:pPr>
            <w:r>
              <w:rPr>
                <w:rFonts w:ascii="Arial Narrow" w:hAnsi="Arial Narrow"/>
                <w:sz w:val="20"/>
              </w:rPr>
              <w:t>p=0.006</w:t>
            </w:r>
          </w:p>
        </w:tc>
      </w:tr>
    </w:tbl>
    <w:p w:rsidR="00075332" w:rsidRPr="00075332" w:rsidRDefault="00075332" w:rsidP="006E4BDB">
      <w:pPr>
        <w:pStyle w:val="TableFooter"/>
        <w:widowControl/>
        <w:ind w:left="709"/>
        <w:rPr>
          <w:sz w:val="20"/>
        </w:rPr>
      </w:pPr>
      <w:r>
        <w:t xml:space="preserve">Source: Table </w:t>
      </w:r>
      <w:r w:rsidR="00A14191">
        <w:t>B.6.1 p58</w:t>
      </w:r>
      <w:r>
        <w:t xml:space="preserve"> of the re-submission. ASAS=Assessment in </w:t>
      </w:r>
      <w:r w:rsidRPr="008552AF">
        <w:t>Ankylosing Spondylitis</w:t>
      </w:r>
      <w:r>
        <w:t>;</w:t>
      </w:r>
    </w:p>
    <w:p w:rsidR="00075332" w:rsidRPr="00B246B1" w:rsidRDefault="00075332" w:rsidP="006E4BDB">
      <w:pPr>
        <w:pStyle w:val="ListParagraph"/>
        <w:widowControl/>
        <w:rPr>
          <w:szCs w:val="22"/>
        </w:rPr>
      </w:pPr>
    </w:p>
    <w:p w:rsidR="006D795E" w:rsidRDefault="009C09CD" w:rsidP="006E4BDB">
      <w:pPr>
        <w:pStyle w:val="ListParagraph"/>
        <w:widowControl/>
        <w:numPr>
          <w:ilvl w:val="1"/>
          <w:numId w:val="2"/>
        </w:numPr>
        <w:rPr>
          <w:szCs w:val="22"/>
        </w:rPr>
      </w:pPr>
      <w:r>
        <w:rPr>
          <w:szCs w:val="22"/>
        </w:rPr>
        <w:t>In March 2015, t</w:t>
      </w:r>
      <w:r w:rsidR="006D795E">
        <w:rPr>
          <w:szCs w:val="22"/>
        </w:rPr>
        <w:t>he PBAC noted that “</w:t>
      </w:r>
      <w:r w:rsidR="00985AD8">
        <w:rPr>
          <w:szCs w:val="22"/>
        </w:rPr>
        <w:t xml:space="preserve">Whilst these results indicated that the number of patients meeting the primary outcome measure in the study approximately doubled as a result of etanercept, in absolute number terms, the PBAC’s view was that these results indicated a large percentage of etanercept treated patients did not have an ASAS 40 outcome and that the clinical benefits of etanercept in nr-axSpA were modest.” (March 2015 </w:t>
      </w:r>
      <w:r w:rsidR="0087018A">
        <w:rPr>
          <w:szCs w:val="22"/>
        </w:rPr>
        <w:t>PSD</w:t>
      </w:r>
      <w:r w:rsidR="00985AD8">
        <w:rPr>
          <w:szCs w:val="22"/>
        </w:rPr>
        <w:t>, paragraph 7.3)</w:t>
      </w:r>
    </w:p>
    <w:p w:rsidR="00985AD8" w:rsidRDefault="00985AD8" w:rsidP="006E4BDB">
      <w:pPr>
        <w:pStyle w:val="ListParagraph"/>
        <w:widowControl/>
        <w:rPr>
          <w:szCs w:val="22"/>
        </w:rPr>
      </w:pPr>
    </w:p>
    <w:p w:rsidR="00075332" w:rsidRPr="00D06FD4" w:rsidRDefault="00075332" w:rsidP="006E4BDB">
      <w:pPr>
        <w:pStyle w:val="ListParagraph"/>
        <w:widowControl/>
        <w:numPr>
          <w:ilvl w:val="1"/>
          <w:numId w:val="2"/>
        </w:numPr>
        <w:rPr>
          <w:szCs w:val="22"/>
        </w:rPr>
      </w:pPr>
      <w:r>
        <w:rPr>
          <w:szCs w:val="22"/>
        </w:rPr>
        <w:t xml:space="preserve">The re-submission also included subgroup analyses by MRI and CRP status. A summary of these results </w:t>
      </w:r>
      <w:r w:rsidR="00F362BE">
        <w:rPr>
          <w:szCs w:val="22"/>
        </w:rPr>
        <w:t xml:space="preserve">is </w:t>
      </w:r>
      <w:r>
        <w:rPr>
          <w:szCs w:val="22"/>
        </w:rPr>
        <w:t>presented in the table</w:t>
      </w:r>
      <w:r w:rsidR="009C09CD">
        <w:rPr>
          <w:szCs w:val="22"/>
        </w:rPr>
        <w:t>s</w:t>
      </w:r>
      <w:r>
        <w:rPr>
          <w:szCs w:val="22"/>
        </w:rPr>
        <w:t xml:space="preserve"> below.</w:t>
      </w:r>
    </w:p>
    <w:p w:rsidR="00B60939" w:rsidRPr="00882085" w:rsidRDefault="00B60939" w:rsidP="006E4BDB">
      <w:pPr>
        <w:widowControl/>
        <w:rPr>
          <w:szCs w:val="22"/>
        </w:rPr>
      </w:pPr>
    </w:p>
    <w:p w:rsidR="00075332" w:rsidRPr="0088632D" w:rsidRDefault="00075332" w:rsidP="006E4BDB">
      <w:pPr>
        <w:keepNext/>
        <w:widowControl/>
        <w:ind w:left="720"/>
        <w:rPr>
          <w:rStyle w:val="CommentReference"/>
        </w:rPr>
      </w:pPr>
      <w:r>
        <w:rPr>
          <w:rStyle w:val="CommentReference"/>
        </w:rPr>
        <w:t xml:space="preserve">Table </w:t>
      </w:r>
      <w:r w:rsidR="007C6C27">
        <w:rPr>
          <w:rStyle w:val="CommentReference"/>
        </w:rPr>
        <w:t>5</w:t>
      </w:r>
      <w:r>
        <w:rPr>
          <w:rStyle w:val="CommentReference"/>
        </w:rPr>
        <w:t>: ASAS 40 response rates by subgroups at Week 12 mITT population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60"/>
        <w:gridCol w:w="1304"/>
        <w:gridCol w:w="2027"/>
        <w:gridCol w:w="1632"/>
        <w:gridCol w:w="2112"/>
      </w:tblGrid>
      <w:tr w:rsidR="00075332" w:rsidRPr="004E2ADC" w:rsidTr="00075332">
        <w:tc>
          <w:tcPr>
            <w:tcW w:w="756" w:type="pct"/>
            <w:vAlign w:val="center"/>
          </w:tcPr>
          <w:p w:rsidR="00075332" w:rsidRPr="004E2ADC" w:rsidRDefault="00075332" w:rsidP="006E4BDB">
            <w:pPr>
              <w:keepNext/>
              <w:widowControl/>
              <w:jc w:val="left"/>
              <w:rPr>
                <w:rFonts w:ascii="Arial Narrow" w:hAnsi="Arial Narrow"/>
                <w:sz w:val="20"/>
              </w:rPr>
            </w:pPr>
            <w:r>
              <w:rPr>
                <w:rFonts w:ascii="Arial Narrow" w:hAnsi="Arial Narrow"/>
                <w:b/>
                <w:sz w:val="20"/>
              </w:rPr>
              <w:t>Subgroup</w:t>
            </w:r>
          </w:p>
        </w:tc>
        <w:tc>
          <w:tcPr>
            <w:tcW w:w="782" w:type="pct"/>
            <w:vAlign w:val="center"/>
          </w:tcPr>
          <w:p w:rsidR="00075332" w:rsidRPr="004E2ADC" w:rsidRDefault="00075332" w:rsidP="006E4BDB">
            <w:pPr>
              <w:keepNext/>
              <w:widowControl/>
              <w:jc w:val="center"/>
              <w:rPr>
                <w:rFonts w:ascii="Arial Narrow" w:hAnsi="Arial Narrow"/>
                <w:b/>
                <w:sz w:val="20"/>
              </w:rPr>
            </w:pPr>
            <w:r>
              <w:rPr>
                <w:rFonts w:ascii="Arial Narrow" w:hAnsi="Arial Narrow"/>
                <w:b/>
                <w:sz w:val="20"/>
              </w:rPr>
              <w:t>Etanercept</w:t>
            </w:r>
          </w:p>
          <w:p w:rsidR="00075332" w:rsidRPr="004E2ADC" w:rsidRDefault="00075332" w:rsidP="006E4BDB">
            <w:pPr>
              <w:keepNext/>
              <w:widowControl/>
              <w:ind w:right="-108"/>
              <w:jc w:val="center"/>
              <w:rPr>
                <w:rFonts w:ascii="Arial Narrow" w:hAnsi="Arial Narrow"/>
                <w:sz w:val="20"/>
              </w:rPr>
            </w:pPr>
            <w:r>
              <w:rPr>
                <w:rFonts w:ascii="Arial Narrow" w:hAnsi="Arial Narrow"/>
                <w:b/>
                <w:sz w:val="20"/>
              </w:rPr>
              <w:t>n/N (%)</w:t>
            </w:r>
          </w:p>
        </w:tc>
        <w:tc>
          <w:tcPr>
            <w:tcW w:w="1216" w:type="pct"/>
            <w:vAlign w:val="center"/>
          </w:tcPr>
          <w:p w:rsidR="00075332" w:rsidRPr="004E2ADC" w:rsidRDefault="00075332" w:rsidP="006E4BDB">
            <w:pPr>
              <w:keepNext/>
              <w:widowControl/>
              <w:jc w:val="center"/>
              <w:rPr>
                <w:rFonts w:ascii="Arial Narrow" w:hAnsi="Arial Narrow"/>
                <w:b/>
                <w:sz w:val="20"/>
              </w:rPr>
            </w:pPr>
            <w:r>
              <w:rPr>
                <w:rFonts w:ascii="Arial Narrow" w:hAnsi="Arial Narrow"/>
                <w:b/>
                <w:sz w:val="20"/>
              </w:rPr>
              <w:t>Placebo</w:t>
            </w:r>
          </w:p>
          <w:p w:rsidR="00075332" w:rsidRPr="004E2ADC" w:rsidRDefault="00075332" w:rsidP="006E4BDB">
            <w:pPr>
              <w:keepNext/>
              <w:widowControl/>
              <w:jc w:val="center"/>
              <w:rPr>
                <w:rFonts w:ascii="Arial Narrow" w:hAnsi="Arial Narrow"/>
                <w:sz w:val="20"/>
              </w:rPr>
            </w:pPr>
            <w:r>
              <w:rPr>
                <w:rFonts w:ascii="Arial Narrow" w:hAnsi="Arial Narrow"/>
                <w:b/>
                <w:sz w:val="20"/>
              </w:rPr>
              <w:t>n</w:t>
            </w:r>
            <w:r w:rsidRPr="004E2ADC">
              <w:rPr>
                <w:rFonts w:ascii="Arial Narrow" w:hAnsi="Arial Narrow"/>
                <w:b/>
                <w:sz w:val="20"/>
              </w:rPr>
              <w:t xml:space="preserve">/N (%) </w:t>
            </w:r>
          </w:p>
        </w:tc>
        <w:tc>
          <w:tcPr>
            <w:tcW w:w="979" w:type="pct"/>
            <w:vAlign w:val="center"/>
          </w:tcPr>
          <w:p w:rsidR="00075332" w:rsidRPr="004E2ADC" w:rsidRDefault="00075332" w:rsidP="006E4BDB">
            <w:pPr>
              <w:keepNext/>
              <w:widowControl/>
              <w:jc w:val="center"/>
              <w:rPr>
                <w:rFonts w:ascii="Arial Narrow" w:hAnsi="Arial Narrow"/>
                <w:b/>
                <w:sz w:val="20"/>
              </w:rPr>
            </w:pPr>
            <w:r>
              <w:rPr>
                <w:rFonts w:ascii="Arial Narrow" w:hAnsi="Arial Narrow"/>
                <w:b/>
                <w:sz w:val="20"/>
              </w:rPr>
              <w:t>Risk difference</w:t>
            </w:r>
          </w:p>
          <w:p w:rsidR="00075332" w:rsidRPr="004E2ADC" w:rsidRDefault="00075332" w:rsidP="006E4BDB">
            <w:pPr>
              <w:keepNext/>
              <w:widowControl/>
              <w:jc w:val="center"/>
              <w:rPr>
                <w:rFonts w:ascii="Arial Narrow" w:hAnsi="Arial Narrow"/>
                <w:b/>
                <w:sz w:val="20"/>
              </w:rPr>
            </w:pPr>
            <w:r w:rsidRPr="004E2ADC">
              <w:rPr>
                <w:rFonts w:ascii="Arial Narrow" w:hAnsi="Arial Narrow"/>
                <w:b/>
                <w:sz w:val="20"/>
              </w:rPr>
              <w:t>(95% CI)</w:t>
            </w:r>
          </w:p>
        </w:tc>
        <w:tc>
          <w:tcPr>
            <w:tcW w:w="1267" w:type="pct"/>
            <w:vAlign w:val="center"/>
          </w:tcPr>
          <w:p w:rsidR="00075332" w:rsidRDefault="00075332" w:rsidP="006E4BDB">
            <w:pPr>
              <w:keepNext/>
              <w:widowControl/>
              <w:jc w:val="center"/>
              <w:rPr>
                <w:rFonts w:ascii="Arial Narrow" w:hAnsi="Arial Narrow"/>
                <w:b/>
                <w:sz w:val="20"/>
              </w:rPr>
            </w:pPr>
            <w:r w:rsidRPr="004E2ADC">
              <w:rPr>
                <w:rFonts w:ascii="Arial Narrow" w:hAnsi="Arial Narrow"/>
                <w:b/>
                <w:sz w:val="20"/>
              </w:rPr>
              <w:t xml:space="preserve">Relative </w:t>
            </w:r>
            <w:r>
              <w:rPr>
                <w:rFonts w:ascii="Arial Narrow" w:hAnsi="Arial Narrow"/>
                <w:b/>
                <w:sz w:val="20"/>
              </w:rPr>
              <w:t>risk</w:t>
            </w:r>
          </w:p>
          <w:p w:rsidR="00075332" w:rsidRPr="004E2ADC" w:rsidRDefault="00075332" w:rsidP="006E4BDB">
            <w:pPr>
              <w:keepNext/>
              <w:widowControl/>
              <w:jc w:val="center"/>
              <w:rPr>
                <w:rFonts w:ascii="Arial Narrow" w:hAnsi="Arial Narrow"/>
                <w:sz w:val="20"/>
              </w:rPr>
            </w:pPr>
            <w:r w:rsidRPr="004E2ADC">
              <w:rPr>
                <w:rFonts w:ascii="Arial Narrow" w:hAnsi="Arial Narrow"/>
                <w:b/>
                <w:sz w:val="20"/>
              </w:rPr>
              <w:t xml:space="preserve"> (95% CI)</w:t>
            </w:r>
          </w:p>
        </w:tc>
      </w:tr>
      <w:tr w:rsidR="00075332" w:rsidRPr="004E2ADC" w:rsidTr="00075332">
        <w:tc>
          <w:tcPr>
            <w:tcW w:w="756" w:type="pct"/>
            <w:vAlign w:val="center"/>
          </w:tcPr>
          <w:p w:rsidR="00075332" w:rsidRPr="004E2ADC" w:rsidRDefault="00075332" w:rsidP="006E4BDB">
            <w:pPr>
              <w:keepNext/>
              <w:widowControl/>
              <w:jc w:val="left"/>
              <w:rPr>
                <w:rFonts w:ascii="Arial Narrow" w:hAnsi="Arial Narrow"/>
                <w:sz w:val="20"/>
              </w:rPr>
            </w:pPr>
            <w:r>
              <w:rPr>
                <w:rFonts w:ascii="Arial Narrow" w:hAnsi="Arial Narrow"/>
                <w:sz w:val="20"/>
              </w:rPr>
              <w:t>Overall population</w:t>
            </w:r>
          </w:p>
        </w:tc>
        <w:tc>
          <w:tcPr>
            <w:tcW w:w="782"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35/105 (33.3)</w:t>
            </w:r>
          </w:p>
        </w:tc>
        <w:tc>
          <w:tcPr>
            <w:tcW w:w="1216"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16/107 (15.0)</w:t>
            </w:r>
          </w:p>
        </w:tc>
        <w:tc>
          <w:tcPr>
            <w:tcW w:w="97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0.18 (0.07, 0.30)</w:t>
            </w:r>
          </w:p>
        </w:tc>
        <w:tc>
          <w:tcPr>
            <w:tcW w:w="1267"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2.23 (1.32, 3.77)</w:t>
            </w:r>
          </w:p>
        </w:tc>
      </w:tr>
      <w:tr w:rsidR="00075332" w:rsidRPr="004E2ADC" w:rsidTr="00075332">
        <w:tc>
          <w:tcPr>
            <w:tcW w:w="756" w:type="pct"/>
            <w:vAlign w:val="center"/>
          </w:tcPr>
          <w:p w:rsidR="00075332" w:rsidRPr="004E2ADC" w:rsidRDefault="00075332" w:rsidP="006E4BDB">
            <w:pPr>
              <w:keepNext/>
              <w:widowControl/>
              <w:jc w:val="left"/>
              <w:rPr>
                <w:rFonts w:ascii="Arial Narrow" w:hAnsi="Arial Narrow"/>
                <w:sz w:val="20"/>
              </w:rPr>
            </w:pPr>
            <w:r>
              <w:rPr>
                <w:rFonts w:ascii="Arial Narrow" w:hAnsi="Arial Narrow"/>
                <w:sz w:val="20"/>
              </w:rPr>
              <w:t>CRP- /MRI-</w:t>
            </w:r>
          </w:p>
        </w:tc>
        <w:tc>
          <w:tcPr>
            <w:tcW w:w="782"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2/11 (18.2)</w:t>
            </w:r>
          </w:p>
        </w:tc>
        <w:tc>
          <w:tcPr>
            <w:tcW w:w="1216"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0/14</w:t>
            </w:r>
          </w:p>
        </w:tc>
        <w:tc>
          <w:tcPr>
            <w:tcW w:w="97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0.18 (-0.07, 0.43)</w:t>
            </w:r>
          </w:p>
        </w:tc>
        <w:tc>
          <w:tcPr>
            <w:tcW w:w="1267"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6.25 (0.33, 118.22)</w:t>
            </w:r>
          </w:p>
        </w:tc>
      </w:tr>
      <w:tr w:rsidR="00075332" w:rsidRPr="004E2ADC" w:rsidTr="00075332">
        <w:tc>
          <w:tcPr>
            <w:tcW w:w="756" w:type="pct"/>
            <w:vAlign w:val="center"/>
          </w:tcPr>
          <w:p w:rsidR="00075332" w:rsidRPr="004E2ADC" w:rsidRDefault="00075332" w:rsidP="006E4BDB">
            <w:pPr>
              <w:keepNext/>
              <w:widowControl/>
              <w:jc w:val="left"/>
              <w:rPr>
                <w:rFonts w:ascii="Arial Narrow" w:hAnsi="Arial Narrow"/>
                <w:sz w:val="20"/>
              </w:rPr>
            </w:pPr>
            <w:r>
              <w:rPr>
                <w:rFonts w:ascii="Arial Narrow" w:hAnsi="Arial Narrow"/>
                <w:sz w:val="20"/>
              </w:rPr>
              <w:t>CRP-/MRI+</w:t>
            </w:r>
          </w:p>
        </w:tc>
        <w:tc>
          <w:tcPr>
            <w:tcW w:w="782"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10/46 (21.7)</w:t>
            </w:r>
          </w:p>
        </w:tc>
        <w:tc>
          <w:tcPr>
            <w:tcW w:w="1216"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8/50 (16.0)</w:t>
            </w:r>
          </w:p>
        </w:tc>
        <w:tc>
          <w:tcPr>
            <w:tcW w:w="97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0.06 (-0.1, 0.21)</w:t>
            </w:r>
          </w:p>
        </w:tc>
        <w:tc>
          <w:tcPr>
            <w:tcW w:w="1267"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1.36 (0.59, 3.14)</w:t>
            </w:r>
          </w:p>
        </w:tc>
      </w:tr>
      <w:tr w:rsidR="00075332" w:rsidRPr="004E2ADC" w:rsidTr="00075332">
        <w:tc>
          <w:tcPr>
            <w:tcW w:w="756" w:type="pct"/>
            <w:vAlign w:val="center"/>
          </w:tcPr>
          <w:p w:rsidR="00075332" w:rsidRPr="004E2ADC" w:rsidRDefault="00075332" w:rsidP="006E4BDB">
            <w:pPr>
              <w:keepNext/>
              <w:widowControl/>
              <w:ind w:right="-108"/>
              <w:jc w:val="left"/>
              <w:rPr>
                <w:rFonts w:ascii="Arial Narrow" w:hAnsi="Arial Narrow"/>
                <w:sz w:val="20"/>
              </w:rPr>
            </w:pPr>
            <w:r>
              <w:rPr>
                <w:rFonts w:ascii="Arial Narrow" w:hAnsi="Arial Narrow"/>
                <w:sz w:val="20"/>
              </w:rPr>
              <w:t>CRP+/ MRI-</w:t>
            </w:r>
          </w:p>
        </w:tc>
        <w:tc>
          <w:tcPr>
            <w:tcW w:w="782"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4/7 (57.1)</w:t>
            </w:r>
          </w:p>
        </w:tc>
        <w:tc>
          <w:tcPr>
            <w:tcW w:w="1216"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0/7</w:t>
            </w:r>
          </w:p>
        </w:tc>
        <w:tc>
          <w:tcPr>
            <w:tcW w:w="979"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0.57 (0.19, 0.95)</w:t>
            </w:r>
          </w:p>
        </w:tc>
        <w:tc>
          <w:tcPr>
            <w:tcW w:w="1267" w:type="pct"/>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9.00 (0.57, 141.13)</w:t>
            </w:r>
          </w:p>
        </w:tc>
      </w:tr>
      <w:tr w:rsidR="00075332" w:rsidTr="00075332">
        <w:tc>
          <w:tcPr>
            <w:tcW w:w="756" w:type="pct"/>
            <w:vAlign w:val="center"/>
          </w:tcPr>
          <w:p w:rsidR="00075332" w:rsidRDefault="00075332" w:rsidP="006E4BDB">
            <w:pPr>
              <w:keepNext/>
              <w:widowControl/>
              <w:ind w:right="-108"/>
              <w:jc w:val="left"/>
              <w:rPr>
                <w:rFonts w:ascii="Arial Narrow" w:hAnsi="Arial Narrow"/>
                <w:sz w:val="20"/>
              </w:rPr>
            </w:pPr>
            <w:r>
              <w:rPr>
                <w:rFonts w:ascii="Arial Narrow" w:hAnsi="Arial Narrow"/>
                <w:sz w:val="20"/>
              </w:rPr>
              <w:t>CRP+/ MRI+</w:t>
            </w:r>
          </w:p>
        </w:tc>
        <w:tc>
          <w:tcPr>
            <w:tcW w:w="782" w:type="pct"/>
            <w:vAlign w:val="center"/>
          </w:tcPr>
          <w:p w:rsidR="00075332" w:rsidRDefault="00075332" w:rsidP="006E4BDB">
            <w:pPr>
              <w:keepNext/>
              <w:widowControl/>
              <w:jc w:val="center"/>
              <w:rPr>
                <w:rFonts w:ascii="Arial Narrow" w:hAnsi="Arial Narrow"/>
                <w:sz w:val="20"/>
              </w:rPr>
            </w:pPr>
            <w:r>
              <w:rPr>
                <w:rFonts w:ascii="Arial Narrow" w:hAnsi="Arial Narrow"/>
                <w:sz w:val="20"/>
              </w:rPr>
              <w:t>19/41 (46.3)</w:t>
            </w:r>
          </w:p>
        </w:tc>
        <w:tc>
          <w:tcPr>
            <w:tcW w:w="1216" w:type="pct"/>
            <w:vAlign w:val="center"/>
          </w:tcPr>
          <w:p w:rsidR="00075332" w:rsidRDefault="00075332" w:rsidP="006E4BDB">
            <w:pPr>
              <w:keepNext/>
              <w:widowControl/>
              <w:jc w:val="center"/>
              <w:rPr>
                <w:rFonts w:ascii="Arial Narrow" w:hAnsi="Arial Narrow"/>
                <w:sz w:val="20"/>
              </w:rPr>
            </w:pPr>
            <w:r>
              <w:rPr>
                <w:rFonts w:ascii="Arial Narrow" w:hAnsi="Arial Narrow"/>
                <w:sz w:val="20"/>
              </w:rPr>
              <w:t>8/36 (22.2)</w:t>
            </w:r>
          </w:p>
        </w:tc>
        <w:tc>
          <w:tcPr>
            <w:tcW w:w="979" w:type="pct"/>
            <w:vAlign w:val="center"/>
          </w:tcPr>
          <w:p w:rsidR="00075332" w:rsidRDefault="00075332" w:rsidP="006E4BDB">
            <w:pPr>
              <w:keepNext/>
              <w:widowControl/>
              <w:jc w:val="center"/>
              <w:rPr>
                <w:rFonts w:ascii="Arial Narrow" w:hAnsi="Arial Narrow"/>
                <w:sz w:val="20"/>
              </w:rPr>
            </w:pPr>
            <w:r>
              <w:rPr>
                <w:rFonts w:ascii="Arial Narrow" w:hAnsi="Arial Narrow"/>
                <w:sz w:val="20"/>
              </w:rPr>
              <w:t>0.24 (0.04, 0.45)</w:t>
            </w:r>
          </w:p>
        </w:tc>
        <w:tc>
          <w:tcPr>
            <w:tcW w:w="1267" w:type="pct"/>
            <w:vAlign w:val="center"/>
          </w:tcPr>
          <w:p w:rsidR="00075332" w:rsidRDefault="00075332" w:rsidP="006E4BDB">
            <w:pPr>
              <w:keepNext/>
              <w:widowControl/>
              <w:jc w:val="center"/>
              <w:rPr>
                <w:rFonts w:ascii="Arial Narrow" w:hAnsi="Arial Narrow"/>
                <w:sz w:val="20"/>
              </w:rPr>
            </w:pPr>
            <w:r>
              <w:rPr>
                <w:rFonts w:ascii="Arial Narrow" w:hAnsi="Arial Narrow"/>
                <w:sz w:val="20"/>
              </w:rPr>
              <w:t>2.09 (1.03, 4.18)</w:t>
            </w:r>
          </w:p>
        </w:tc>
      </w:tr>
      <w:tr w:rsidR="00075332" w:rsidTr="00075332">
        <w:tc>
          <w:tcPr>
            <w:tcW w:w="756" w:type="pct"/>
            <w:vAlign w:val="center"/>
          </w:tcPr>
          <w:p w:rsidR="00075332" w:rsidRDefault="00075332" w:rsidP="006E4BDB">
            <w:pPr>
              <w:keepNext/>
              <w:widowControl/>
              <w:ind w:right="-108"/>
              <w:jc w:val="left"/>
              <w:rPr>
                <w:rFonts w:ascii="Arial Narrow" w:hAnsi="Arial Narrow"/>
                <w:sz w:val="20"/>
              </w:rPr>
            </w:pPr>
            <w:r>
              <w:rPr>
                <w:rFonts w:ascii="Arial Narrow" w:hAnsi="Arial Narrow"/>
                <w:sz w:val="20"/>
              </w:rPr>
              <w:t>CRP+ and/or MRI+</w:t>
            </w:r>
          </w:p>
        </w:tc>
        <w:tc>
          <w:tcPr>
            <w:tcW w:w="782" w:type="pct"/>
            <w:vAlign w:val="center"/>
          </w:tcPr>
          <w:p w:rsidR="00075332" w:rsidRDefault="00075332" w:rsidP="006E4BDB">
            <w:pPr>
              <w:keepNext/>
              <w:widowControl/>
              <w:jc w:val="center"/>
              <w:rPr>
                <w:rFonts w:ascii="Arial Narrow" w:hAnsi="Arial Narrow"/>
                <w:sz w:val="20"/>
              </w:rPr>
            </w:pPr>
            <w:r>
              <w:rPr>
                <w:rFonts w:ascii="Arial Narrow" w:hAnsi="Arial Narrow"/>
                <w:sz w:val="20"/>
              </w:rPr>
              <w:t>33/94 (35.1)</w:t>
            </w:r>
          </w:p>
        </w:tc>
        <w:tc>
          <w:tcPr>
            <w:tcW w:w="1216" w:type="pct"/>
            <w:vAlign w:val="center"/>
          </w:tcPr>
          <w:p w:rsidR="00075332" w:rsidRDefault="00075332" w:rsidP="006E4BDB">
            <w:pPr>
              <w:keepNext/>
              <w:widowControl/>
              <w:jc w:val="center"/>
              <w:rPr>
                <w:rFonts w:ascii="Arial Narrow" w:hAnsi="Arial Narrow"/>
                <w:sz w:val="20"/>
              </w:rPr>
            </w:pPr>
            <w:r>
              <w:rPr>
                <w:rFonts w:ascii="Arial Narrow" w:hAnsi="Arial Narrow"/>
                <w:sz w:val="20"/>
              </w:rPr>
              <w:t>16/93 (17.2)</w:t>
            </w:r>
          </w:p>
        </w:tc>
        <w:tc>
          <w:tcPr>
            <w:tcW w:w="979" w:type="pct"/>
            <w:vAlign w:val="center"/>
          </w:tcPr>
          <w:p w:rsidR="00075332" w:rsidRDefault="00075332" w:rsidP="006E4BDB">
            <w:pPr>
              <w:keepNext/>
              <w:widowControl/>
              <w:jc w:val="center"/>
              <w:rPr>
                <w:rFonts w:ascii="Arial Narrow" w:hAnsi="Arial Narrow"/>
                <w:sz w:val="20"/>
              </w:rPr>
            </w:pPr>
            <w:r>
              <w:rPr>
                <w:rFonts w:ascii="Arial Narrow" w:hAnsi="Arial Narrow"/>
                <w:sz w:val="20"/>
              </w:rPr>
              <w:t>0.18 (0.06, 0.30)</w:t>
            </w:r>
          </w:p>
        </w:tc>
        <w:tc>
          <w:tcPr>
            <w:tcW w:w="1267" w:type="pct"/>
            <w:vAlign w:val="center"/>
          </w:tcPr>
          <w:p w:rsidR="00075332" w:rsidRDefault="00075332" w:rsidP="006E4BDB">
            <w:pPr>
              <w:keepNext/>
              <w:widowControl/>
              <w:jc w:val="center"/>
              <w:rPr>
                <w:rFonts w:ascii="Arial Narrow" w:hAnsi="Arial Narrow"/>
                <w:sz w:val="20"/>
              </w:rPr>
            </w:pPr>
            <w:r>
              <w:rPr>
                <w:rFonts w:ascii="Arial Narrow" w:hAnsi="Arial Narrow"/>
                <w:sz w:val="20"/>
              </w:rPr>
              <w:t>2.04 (1.21, 3.45)</w:t>
            </w:r>
          </w:p>
        </w:tc>
      </w:tr>
    </w:tbl>
    <w:p w:rsidR="009C09CD" w:rsidRDefault="009C09CD"/>
    <w:p w:rsidR="009C09CD" w:rsidRPr="0088632D" w:rsidRDefault="009C09CD" w:rsidP="009C09CD">
      <w:pPr>
        <w:keepNext/>
        <w:widowControl/>
        <w:ind w:left="720"/>
        <w:rPr>
          <w:rStyle w:val="CommentReference"/>
        </w:rPr>
      </w:pPr>
      <w:r>
        <w:rPr>
          <w:rStyle w:val="CommentReference"/>
        </w:rPr>
        <w:t>Table 6: ASAS 20 response rates by subgroups at Week 12 mITT population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60"/>
        <w:gridCol w:w="1304"/>
        <w:gridCol w:w="2027"/>
        <w:gridCol w:w="1632"/>
        <w:gridCol w:w="2112"/>
      </w:tblGrid>
      <w:tr w:rsidR="00075332" w:rsidRPr="004E2ADC" w:rsidTr="00075332">
        <w:tc>
          <w:tcPr>
            <w:tcW w:w="75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ind w:right="-108"/>
              <w:jc w:val="left"/>
              <w:rPr>
                <w:rFonts w:ascii="Arial Narrow" w:hAnsi="Arial Narrow"/>
                <w:sz w:val="20"/>
              </w:rPr>
            </w:pPr>
            <w:r>
              <w:rPr>
                <w:rFonts w:ascii="Arial Narrow" w:hAnsi="Arial Narrow"/>
                <w:sz w:val="20"/>
              </w:rPr>
              <w:t>Overall population</w:t>
            </w:r>
          </w:p>
        </w:tc>
        <w:tc>
          <w:tcPr>
            <w:tcW w:w="782"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55/105 (52.4)</w:t>
            </w:r>
          </w:p>
        </w:tc>
        <w:tc>
          <w:tcPr>
            <w:tcW w:w="121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39/107 (36.5)</w:t>
            </w:r>
          </w:p>
        </w:tc>
        <w:tc>
          <w:tcPr>
            <w:tcW w:w="979"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0.16 (0.03, 0.29)</w:t>
            </w:r>
          </w:p>
        </w:tc>
        <w:tc>
          <w:tcPr>
            <w:tcW w:w="1267"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1.44 (1.05,1.96)</w:t>
            </w:r>
          </w:p>
        </w:tc>
      </w:tr>
      <w:tr w:rsidR="00075332" w:rsidRPr="004E2ADC" w:rsidTr="00075332">
        <w:tc>
          <w:tcPr>
            <w:tcW w:w="75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ind w:right="-108"/>
              <w:jc w:val="left"/>
              <w:rPr>
                <w:rFonts w:ascii="Arial Narrow" w:hAnsi="Arial Narrow"/>
                <w:sz w:val="20"/>
              </w:rPr>
            </w:pPr>
            <w:r>
              <w:rPr>
                <w:rFonts w:ascii="Arial Narrow" w:hAnsi="Arial Narrow"/>
                <w:sz w:val="20"/>
              </w:rPr>
              <w:t>CRP- /MRI -</w:t>
            </w:r>
          </w:p>
        </w:tc>
        <w:tc>
          <w:tcPr>
            <w:tcW w:w="782"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6/11 (54.6)</w:t>
            </w:r>
          </w:p>
        </w:tc>
        <w:tc>
          <w:tcPr>
            <w:tcW w:w="121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2/14 (14.3)</w:t>
            </w:r>
          </w:p>
        </w:tc>
        <w:tc>
          <w:tcPr>
            <w:tcW w:w="979"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0.40 (0.06, 0.75)</w:t>
            </w:r>
          </w:p>
        </w:tc>
        <w:tc>
          <w:tcPr>
            <w:tcW w:w="1267"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3.82 (0.95, 15.36)</w:t>
            </w:r>
          </w:p>
        </w:tc>
      </w:tr>
      <w:tr w:rsidR="00075332" w:rsidRPr="004E2ADC" w:rsidTr="00075332">
        <w:tc>
          <w:tcPr>
            <w:tcW w:w="75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ind w:right="-108"/>
              <w:jc w:val="left"/>
              <w:rPr>
                <w:rFonts w:ascii="Arial Narrow" w:hAnsi="Arial Narrow"/>
                <w:sz w:val="20"/>
              </w:rPr>
            </w:pPr>
            <w:r>
              <w:rPr>
                <w:rFonts w:ascii="Arial Narrow" w:hAnsi="Arial Narrow"/>
                <w:sz w:val="20"/>
              </w:rPr>
              <w:t>CRP-/MRI+</w:t>
            </w:r>
          </w:p>
        </w:tc>
        <w:tc>
          <w:tcPr>
            <w:tcW w:w="782"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17/46 (37.0</w:t>
            </w:r>
          </w:p>
        </w:tc>
        <w:tc>
          <w:tcPr>
            <w:tcW w:w="121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20/50 (40.0)</w:t>
            </w:r>
          </w:p>
        </w:tc>
        <w:tc>
          <w:tcPr>
            <w:tcW w:w="979"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-0.03 (-0.23, 0.16)</w:t>
            </w:r>
          </w:p>
        </w:tc>
        <w:tc>
          <w:tcPr>
            <w:tcW w:w="1267"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0.93, (0.56, 1.53)</w:t>
            </w:r>
          </w:p>
        </w:tc>
      </w:tr>
      <w:tr w:rsidR="00075332" w:rsidRPr="004E2ADC" w:rsidTr="00075332">
        <w:tc>
          <w:tcPr>
            <w:tcW w:w="75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ind w:right="-108"/>
              <w:jc w:val="left"/>
              <w:rPr>
                <w:rFonts w:ascii="Arial Narrow" w:hAnsi="Arial Narrow"/>
                <w:sz w:val="20"/>
              </w:rPr>
            </w:pPr>
            <w:r>
              <w:rPr>
                <w:rFonts w:ascii="Arial Narrow" w:hAnsi="Arial Narrow"/>
                <w:sz w:val="20"/>
              </w:rPr>
              <w:t>CRP+/ MRI-</w:t>
            </w:r>
          </w:p>
        </w:tc>
        <w:tc>
          <w:tcPr>
            <w:tcW w:w="782"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5/7 (71.4)</w:t>
            </w:r>
          </w:p>
        </w:tc>
        <w:tc>
          <w:tcPr>
            <w:tcW w:w="1216"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1/7 (14.3)</w:t>
            </w:r>
          </w:p>
        </w:tc>
        <w:tc>
          <w:tcPr>
            <w:tcW w:w="979"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0.57 (0.15, 0.99)</w:t>
            </w:r>
          </w:p>
        </w:tc>
        <w:tc>
          <w:tcPr>
            <w:tcW w:w="1267" w:type="pct"/>
            <w:tcBorders>
              <w:top w:val="single" w:sz="4" w:space="0" w:color="auto"/>
              <w:left w:val="single" w:sz="4" w:space="0" w:color="auto"/>
              <w:bottom w:val="single" w:sz="4" w:space="0" w:color="auto"/>
              <w:right w:val="single" w:sz="4" w:space="0" w:color="auto"/>
            </w:tcBorders>
            <w:vAlign w:val="center"/>
          </w:tcPr>
          <w:p w:rsidR="00075332" w:rsidRPr="004E2ADC" w:rsidRDefault="00075332" w:rsidP="006E4BDB">
            <w:pPr>
              <w:keepNext/>
              <w:widowControl/>
              <w:jc w:val="center"/>
              <w:rPr>
                <w:rFonts w:ascii="Arial Narrow" w:hAnsi="Arial Narrow"/>
                <w:sz w:val="20"/>
              </w:rPr>
            </w:pPr>
            <w:r>
              <w:rPr>
                <w:rFonts w:ascii="Arial Narrow" w:hAnsi="Arial Narrow"/>
                <w:sz w:val="20"/>
              </w:rPr>
              <w:t>5.00 (0.77, 32.57)</w:t>
            </w:r>
          </w:p>
        </w:tc>
      </w:tr>
      <w:tr w:rsidR="00075332" w:rsidTr="00075332">
        <w:tc>
          <w:tcPr>
            <w:tcW w:w="756"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ind w:right="-108"/>
              <w:jc w:val="left"/>
              <w:rPr>
                <w:rFonts w:ascii="Arial Narrow" w:hAnsi="Arial Narrow"/>
                <w:sz w:val="20"/>
              </w:rPr>
            </w:pPr>
            <w:r>
              <w:rPr>
                <w:rFonts w:ascii="Arial Narrow" w:hAnsi="Arial Narrow"/>
                <w:sz w:val="20"/>
              </w:rPr>
              <w:t>CRP+/ MRI+</w:t>
            </w:r>
          </w:p>
        </w:tc>
        <w:tc>
          <w:tcPr>
            <w:tcW w:w="782"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27/41 (65.9)</w:t>
            </w:r>
          </w:p>
        </w:tc>
        <w:tc>
          <w:tcPr>
            <w:tcW w:w="1216"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16/36 (44.4)</w:t>
            </w:r>
          </w:p>
        </w:tc>
        <w:tc>
          <w:tcPr>
            <w:tcW w:w="979"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0.21 (-0.00, 0.43)</w:t>
            </w:r>
          </w:p>
        </w:tc>
        <w:tc>
          <w:tcPr>
            <w:tcW w:w="1267"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1.48 (0.97, 2.27)</w:t>
            </w:r>
          </w:p>
        </w:tc>
      </w:tr>
      <w:tr w:rsidR="00075332" w:rsidTr="00075332">
        <w:tc>
          <w:tcPr>
            <w:tcW w:w="756"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ind w:right="-108"/>
              <w:jc w:val="left"/>
              <w:rPr>
                <w:rFonts w:ascii="Arial Narrow" w:hAnsi="Arial Narrow"/>
                <w:sz w:val="20"/>
              </w:rPr>
            </w:pPr>
            <w:r>
              <w:rPr>
                <w:rFonts w:ascii="Arial Narrow" w:hAnsi="Arial Narrow"/>
                <w:sz w:val="20"/>
              </w:rPr>
              <w:t>CRP+ and/or MRI+</w:t>
            </w:r>
          </w:p>
        </w:tc>
        <w:tc>
          <w:tcPr>
            <w:tcW w:w="782"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49/94 (52.1)</w:t>
            </w:r>
          </w:p>
        </w:tc>
        <w:tc>
          <w:tcPr>
            <w:tcW w:w="1216"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37/93 (39.8)</w:t>
            </w:r>
          </w:p>
        </w:tc>
        <w:tc>
          <w:tcPr>
            <w:tcW w:w="979"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0.12 (-0.02, 0.27)</w:t>
            </w:r>
          </w:p>
        </w:tc>
        <w:tc>
          <w:tcPr>
            <w:tcW w:w="1267" w:type="pct"/>
            <w:tcBorders>
              <w:top w:val="single" w:sz="4" w:space="0" w:color="auto"/>
              <w:left w:val="single" w:sz="4" w:space="0" w:color="auto"/>
              <w:bottom w:val="single" w:sz="4" w:space="0" w:color="auto"/>
              <w:right w:val="single" w:sz="4" w:space="0" w:color="auto"/>
            </w:tcBorders>
            <w:vAlign w:val="center"/>
          </w:tcPr>
          <w:p w:rsidR="00075332" w:rsidRDefault="00075332" w:rsidP="006E4BDB">
            <w:pPr>
              <w:keepNext/>
              <w:widowControl/>
              <w:jc w:val="center"/>
              <w:rPr>
                <w:rFonts w:ascii="Arial Narrow" w:hAnsi="Arial Narrow"/>
                <w:sz w:val="20"/>
              </w:rPr>
            </w:pPr>
            <w:r>
              <w:rPr>
                <w:rFonts w:ascii="Arial Narrow" w:hAnsi="Arial Narrow"/>
                <w:sz w:val="20"/>
              </w:rPr>
              <w:t>1.31 (0.95, 1.80)</w:t>
            </w:r>
          </w:p>
        </w:tc>
      </w:tr>
    </w:tbl>
    <w:p w:rsidR="00075332" w:rsidRDefault="00075332" w:rsidP="006E4BDB">
      <w:pPr>
        <w:pStyle w:val="TableFooter"/>
        <w:keepNext/>
        <w:widowControl/>
        <w:ind w:left="720"/>
      </w:pPr>
      <w:r>
        <w:t xml:space="preserve">Source: Table B.6.1, </w:t>
      </w:r>
      <w:r w:rsidR="003252DA">
        <w:t>p59 and</w:t>
      </w:r>
      <w:r>
        <w:t xml:space="preserve"> Table B.6.4, p61 of the re-submission. ASAS = Assessment in Ankylosing spondylitis. CI = confidence interval; CRP = C-reactive protein; MRI = magnetic resonance imaging</w:t>
      </w:r>
    </w:p>
    <w:p w:rsidR="00022EA9" w:rsidRDefault="00022EA9" w:rsidP="006E4BDB">
      <w:pPr>
        <w:widowControl/>
        <w:rPr>
          <w:szCs w:val="22"/>
        </w:rPr>
      </w:pPr>
    </w:p>
    <w:p w:rsidR="00022EA9" w:rsidRPr="002F530D" w:rsidRDefault="00022EA9" w:rsidP="006E4BDB">
      <w:pPr>
        <w:pStyle w:val="ListParagraph"/>
        <w:widowControl/>
        <w:numPr>
          <w:ilvl w:val="1"/>
          <w:numId w:val="2"/>
        </w:numPr>
      </w:pPr>
      <w:r w:rsidRPr="002F530D">
        <w:rPr>
          <w:szCs w:val="22"/>
        </w:rPr>
        <w:t xml:space="preserve">The </w:t>
      </w:r>
      <w:r w:rsidR="001B5FCD" w:rsidRPr="002F530D">
        <w:rPr>
          <w:szCs w:val="22"/>
        </w:rPr>
        <w:t xml:space="preserve">ESC considered that the </w:t>
      </w:r>
      <w:r w:rsidRPr="002F530D">
        <w:rPr>
          <w:szCs w:val="22"/>
        </w:rPr>
        <w:t>subgroup analyses presented in the re-submission did not appear to strongly indicate that etanercept is significantly more effective in MRI+ and</w:t>
      </w:r>
      <w:r w:rsidR="001B5FCD" w:rsidRPr="002F530D">
        <w:rPr>
          <w:szCs w:val="22"/>
        </w:rPr>
        <w:t>/</w:t>
      </w:r>
      <w:r w:rsidRPr="002F530D">
        <w:rPr>
          <w:szCs w:val="22"/>
        </w:rPr>
        <w:t>or CRP+ than in the overall trial population.</w:t>
      </w:r>
      <w:r w:rsidR="001B5FCD" w:rsidRPr="002F530D">
        <w:rPr>
          <w:szCs w:val="22"/>
        </w:rPr>
        <w:t xml:space="preserve"> </w:t>
      </w:r>
      <w:r w:rsidR="001B5FCD" w:rsidRPr="002F530D">
        <w:t>T</w:t>
      </w:r>
      <w:r w:rsidRPr="002F530D">
        <w:t>he sub-group analyses showed that the greatest effica</w:t>
      </w:r>
      <w:r w:rsidR="001621F3" w:rsidRPr="002F530D">
        <w:t xml:space="preserve">cy </w:t>
      </w:r>
      <w:r w:rsidR="00111806">
        <w:t xml:space="preserve">in </w:t>
      </w:r>
      <w:r w:rsidR="003F2601">
        <w:t xml:space="preserve">terms of risk difference in ASAS 40 </w:t>
      </w:r>
      <w:r w:rsidR="001621F3" w:rsidRPr="002F530D">
        <w:t xml:space="preserve">was achieved in MRI- and </w:t>
      </w:r>
      <w:r w:rsidR="00D717B2" w:rsidRPr="002F530D">
        <w:lastRenderedPageBreak/>
        <w:t>CRP</w:t>
      </w:r>
      <w:r w:rsidRPr="002F530D">
        <w:t xml:space="preserve">+ </w:t>
      </w:r>
      <w:r w:rsidR="003252DA" w:rsidRPr="002F530D">
        <w:t>subgroup;</w:t>
      </w:r>
      <w:r w:rsidRPr="002F530D">
        <w:t xml:space="preserve"> however this was only based on </w:t>
      </w:r>
      <w:r w:rsidR="001B5FCD" w:rsidRPr="002F530D">
        <w:t>seven</w:t>
      </w:r>
      <w:r w:rsidRPr="002F530D">
        <w:t xml:space="preserve"> patients. The next best performing </w:t>
      </w:r>
      <w:r w:rsidR="001621F3" w:rsidRPr="002F530D">
        <w:t xml:space="preserve">subgroup </w:t>
      </w:r>
      <w:r w:rsidRPr="002F530D">
        <w:t xml:space="preserve">was </w:t>
      </w:r>
      <w:r w:rsidR="001621F3" w:rsidRPr="002F530D">
        <w:t>in MRI+ and CPR</w:t>
      </w:r>
      <w:r w:rsidR="006E0CB3" w:rsidRPr="002F530D">
        <w:t>+</w:t>
      </w:r>
      <w:r w:rsidRPr="002F530D">
        <w:t xml:space="preserve">. </w:t>
      </w:r>
    </w:p>
    <w:p w:rsidR="001621F3" w:rsidRPr="002F530D" w:rsidRDefault="001621F3" w:rsidP="006E4BDB">
      <w:pPr>
        <w:pStyle w:val="ListParagraph"/>
        <w:widowControl/>
        <w:rPr>
          <w:szCs w:val="22"/>
        </w:rPr>
      </w:pPr>
    </w:p>
    <w:p w:rsidR="00D06FD4" w:rsidRPr="002F530D" w:rsidRDefault="00022EA9" w:rsidP="006E4BDB">
      <w:pPr>
        <w:pStyle w:val="ListParagraph"/>
        <w:widowControl/>
        <w:numPr>
          <w:ilvl w:val="1"/>
          <w:numId w:val="2"/>
        </w:numPr>
        <w:rPr>
          <w:szCs w:val="22"/>
        </w:rPr>
      </w:pPr>
      <w:r w:rsidRPr="002F530D">
        <w:rPr>
          <w:szCs w:val="22"/>
        </w:rPr>
        <w:t xml:space="preserve">More importantly, MRI+ and/or CRP+ patients are not a new patient population compared </w:t>
      </w:r>
      <w:r w:rsidR="00422E8D">
        <w:rPr>
          <w:szCs w:val="22"/>
        </w:rPr>
        <w:t>with</w:t>
      </w:r>
      <w:r w:rsidR="00422E8D" w:rsidRPr="002F530D">
        <w:rPr>
          <w:szCs w:val="22"/>
        </w:rPr>
        <w:t xml:space="preserve"> </w:t>
      </w:r>
      <w:r w:rsidRPr="002F530D">
        <w:rPr>
          <w:szCs w:val="22"/>
        </w:rPr>
        <w:t>the requested restriction</w:t>
      </w:r>
      <w:r w:rsidR="00422E8D">
        <w:rPr>
          <w:szCs w:val="22"/>
        </w:rPr>
        <w:t xml:space="preserve"> in the March 2015 submission</w:t>
      </w:r>
      <w:r w:rsidRPr="002F530D">
        <w:rPr>
          <w:szCs w:val="22"/>
        </w:rPr>
        <w:t>. In other words, the restriction, as well as the economic evaluation in the March 2015 submission had already been based on this subgroup. Consequently</w:t>
      </w:r>
      <w:r w:rsidR="001621F3" w:rsidRPr="002F530D">
        <w:rPr>
          <w:szCs w:val="22"/>
        </w:rPr>
        <w:t>,</w:t>
      </w:r>
      <w:r w:rsidRPr="002F530D">
        <w:rPr>
          <w:szCs w:val="22"/>
        </w:rPr>
        <w:t xml:space="preserve"> this subgroup </w:t>
      </w:r>
      <w:r w:rsidR="000A0E44" w:rsidRPr="002F530D">
        <w:rPr>
          <w:szCs w:val="22"/>
        </w:rPr>
        <w:t xml:space="preserve">did </w:t>
      </w:r>
      <w:r w:rsidRPr="002F530D">
        <w:rPr>
          <w:szCs w:val="22"/>
        </w:rPr>
        <w:t>not provide improvement in efficacy or cost-effectiveness</w:t>
      </w:r>
      <w:r w:rsidR="000A0E44" w:rsidRPr="002F530D">
        <w:rPr>
          <w:szCs w:val="22"/>
        </w:rPr>
        <w:t>,</w:t>
      </w:r>
      <w:r w:rsidRPr="002F530D">
        <w:rPr>
          <w:szCs w:val="22"/>
        </w:rPr>
        <w:t xml:space="preserve"> as requested by the PBAC</w:t>
      </w:r>
      <w:r w:rsidR="000A0E44" w:rsidRPr="002F530D">
        <w:rPr>
          <w:szCs w:val="22"/>
        </w:rPr>
        <w:t xml:space="preserve"> in March 2015</w:t>
      </w:r>
      <w:r w:rsidRPr="002F530D">
        <w:rPr>
          <w:szCs w:val="22"/>
        </w:rPr>
        <w:t>.</w:t>
      </w:r>
    </w:p>
    <w:p w:rsidR="00022EA9" w:rsidRPr="00882085" w:rsidRDefault="00022EA9" w:rsidP="006E4BDB">
      <w:pPr>
        <w:pStyle w:val="ListParagraph"/>
        <w:widowControl/>
        <w:rPr>
          <w:szCs w:val="22"/>
        </w:rPr>
      </w:pPr>
    </w:p>
    <w:p w:rsidR="00B60939" w:rsidRPr="00497F10" w:rsidRDefault="00B60939" w:rsidP="0030129E">
      <w:pPr>
        <w:pStyle w:val="Heading2"/>
      </w:pPr>
      <w:bookmarkStart w:id="10" w:name="_Toc440882440"/>
      <w:r w:rsidRPr="00497F10">
        <w:t>Comparative harms</w:t>
      </w:r>
      <w:bookmarkEnd w:id="10"/>
    </w:p>
    <w:p w:rsidR="00B60939" w:rsidRPr="00882085" w:rsidRDefault="00B60939" w:rsidP="006E4BDB">
      <w:pPr>
        <w:widowControl/>
        <w:ind w:left="720" w:hanging="720"/>
        <w:rPr>
          <w:szCs w:val="22"/>
        </w:rPr>
      </w:pPr>
    </w:p>
    <w:p w:rsidR="00075332" w:rsidRPr="00352DF7" w:rsidRDefault="00075332" w:rsidP="006E4BDB">
      <w:pPr>
        <w:pStyle w:val="ListParagraph"/>
        <w:widowControl/>
        <w:numPr>
          <w:ilvl w:val="1"/>
          <w:numId w:val="2"/>
        </w:numPr>
        <w:rPr>
          <w:szCs w:val="22"/>
        </w:rPr>
      </w:pPr>
      <w:r>
        <w:t xml:space="preserve">The comparative safety data </w:t>
      </w:r>
      <w:r w:rsidR="007C6C27">
        <w:t xml:space="preserve">was </w:t>
      </w:r>
      <w:r w:rsidR="000A0E44">
        <w:t>un</w:t>
      </w:r>
      <w:r w:rsidR="002A2579">
        <w:t xml:space="preserve">changed in the re-submission. </w:t>
      </w:r>
      <w:r w:rsidRPr="00075332">
        <w:t>Statist</w:t>
      </w:r>
      <w:r>
        <w:t>i</w:t>
      </w:r>
      <w:r w:rsidRPr="00063570">
        <w:t xml:space="preserve">cal comparisons between </w:t>
      </w:r>
      <w:r w:rsidRPr="00352DF7">
        <w:t xml:space="preserve">etanercept and placebo in Trial </w:t>
      </w:r>
      <w:r w:rsidR="006973E5" w:rsidRPr="00352DF7">
        <w:t xml:space="preserve">1031 were calculated during the previous </w:t>
      </w:r>
      <w:r w:rsidRPr="00352DF7">
        <w:t>evaluation. As would be expected, there were statistically significant differences in injection site reactions and injection site erythema. In light of the short (12 week) duration of the randomised trial period, other important considerations would be increased risks of malignancy, and opportunistic infections mentioned in the etanercept periodic safety update report.</w:t>
      </w:r>
    </w:p>
    <w:p w:rsidR="00B60939" w:rsidRDefault="00B60939" w:rsidP="006E4BDB">
      <w:pPr>
        <w:pStyle w:val="ListParagraph"/>
        <w:widowControl/>
        <w:ind w:left="0"/>
        <w:rPr>
          <w:szCs w:val="22"/>
        </w:rPr>
      </w:pPr>
    </w:p>
    <w:p w:rsidR="007F1017" w:rsidRPr="00497F10" w:rsidRDefault="007F1017" w:rsidP="0030129E">
      <w:pPr>
        <w:pStyle w:val="Heading2"/>
        <w:rPr>
          <w:szCs w:val="22"/>
        </w:rPr>
      </w:pPr>
      <w:bookmarkStart w:id="11" w:name="_Toc440882441"/>
      <w:r w:rsidRPr="00497F10">
        <w:t>Benefits/harms</w:t>
      </w:r>
      <w:bookmarkEnd w:id="11"/>
    </w:p>
    <w:p w:rsidR="007F1017" w:rsidRPr="007F1017" w:rsidRDefault="007F1017" w:rsidP="00422E8D">
      <w:pPr>
        <w:pStyle w:val="ListParagraph"/>
        <w:keepNext/>
        <w:widowControl/>
        <w:ind w:left="0"/>
        <w:rPr>
          <w:szCs w:val="22"/>
        </w:rPr>
      </w:pPr>
    </w:p>
    <w:p w:rsidR="006973E5" w:rsidRPr="00B50DB8" w:rsidRDefault="006973E5" w:rsidP="006E4BDB">
      <w:pPr>
        <w:pStyle w:val="ListParagraph"/>
        <w:widowControl/>
        <w:numPr>
          <w:ilvl w:val="1"/>
          <w:numId w:val="2"/>
        </w:numPr>
        <w:rPr>
          <w:szCs w:val="22"/>
        </w:rPr>
      </w:pPr>
      <w:r w:rsidRPr="006973E5">
        <w:t xml:space="preserve">A </w:t>
      </w:r>
      <w:r w:rsidRPr="00B50DB8">
        <w:rPr>
          <w:szCs w:val="22"/>
        </w:rPr>
        <w:t xml:space="preserve">summary of the comparative benefits and harms for </w:t>
      </w:r>
      <w:r>
        <w:rPr>
          <w:szCs w:val="22"/>
        </w:rPr>
        <w:t>etanercept</w:t>
      </w:r>
      <w:r w:rsidRPr="00B50DB8">
        <w:rPr>
          <w:szCs w:val="22"/>
        </w:rPr>
        <w:t xml:space="preserve"> versus </w:t>
      </w:r>
      <w:r>
        <w:rPr>
          <w:szCs w:val="22"/>
        </w:rPr>
        <w:t>placebo</w:t>
      </w:r>
      <w:r w:rsidRPr="00B50DB8">
        <w:rPr>
          <w:szCs w:val="22"/>
        </w:rPr>
        <w:t xml:space="preserve"> is presented in the table below. </w:t>
      </w:r>
    </w:p>
    <w:p w:rsidR="006973E5" w:rsidRDefault="006973E5" w:rsidP="006E4BDB">
      <w:pPr>
        <w:widowControl/>
      </w:pPr>
    </w:p>
    <w:p w:rsidR="006973E5" w:rsidRPr="00A578DC" w:rsidRDefault="006973E5" w:rsidP="006E4BDB">
      <w:pPr>
        <w:keepNext/>
        <w:widowControl/>
        <w:ind w:firstLine="720"/>
        <w:rPr>
          <w:rStyle w:val="CommentReference"/>
        </w:rPr>
      </w:pPr>
      <w:r w:rsidRPr="00A578DC">
        <w:rPr>
          <w:rStyle w:val="CommentReference"/>
        </w:rPr>
        <w:t xml:space="preserve">Table </w:t>
      </w:r>
      <w:r w:rsidR="00422E8D">
        <w:rPr>
          <w:rStyle w:val="CommentReference"/>
        </w:rPr>
        <w:t>7</w:t>
      </w:r>
      <w:r w:rsidRPr="00A578DC">
        <w:rPr>
          <w:rStyle w:val="CommentReference"/>
        </w:rPr>
        <w:t xml:space="preserve">: Summary of comparative benefits and harms for </w:t>
      </w:r>
      <w:r>
        <w:rPr>
          <w:rStyle w:val="CommentReference"/>
        </w:rPr>
        <w:t>etanercept and 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7: Summary of comparative benefits and harms for etanercept and placebo"/>
      </w:tblPr>
      <w:tblGrid>
        <w:gridCol w:w="1157"/>
        <w:gridCol w:w="31"/>
        <w:gridCol w:w="9"/>
        <w:gridCol w:w="1130"/>
        <w:gridCol w:w="10"/>
        <w:gridCol w:w="1096"/>
        <w:gridCol w:w="1588"/>
        <w:gridCol w:w="1001"/>
        <w:gridCol w:w="306"/>
        <w:gridCol w:w="820"/>
        <w:gridCol w:w="19"/>
        <w:gridCol w:w="1371"/>
      </w:tblGrid>
      <w:tr w:rsidR="006973E5" w:rsidRPr="00E2771E" w:rsidTr="00990A6D">
        <w:trPr>
          <w:trHeight w:val="150"/>
          <w:tblHeader/>
        </w:trPr>
        <w:tc>
          <w:tcPr>
            <w:tcW w:w="678" w:type="pct"/>
            <w:vMerge w:val="restart"/>
            <w:shd w:val="clear" w:color="auto" w:fill="auto"/>
            <w:vAlign w:val="center"/>
          </w:tcPr>
          <w:p w:rsidR="006973E5" w:rsidRPr="00E2771E" w:rsidRDefault="006973E5" w:rsidP="006E4BDB">
            <w:pPr>
              <w:keepNext/>
              <w:widowControl/>
              <w:rPr>
                <w:rFonts w:ascii="Arial Narrow" w:hAnsi="Arial Narrow"/>
                <w:b/>
                <w:color w:val="000000"/>
                <w:sz w:val="20"/>
                <w:szCs w:val="18"/>
              </w:rPr>
            </w:pPr>
            <w:r w:rsidRPr="00E2771E">
              <w:rPr>
                <w:rFonts w:ascii="Arial Narrow" w:hAnsi="Arial Narrow"/>
                <w:b/>
                <w:color w:val="000000"/>
                <w:sz w:val="20"/>
                <w:szCs w:val="18"/>
              </w:rPr>
              <w:t>Trial</w:t>
            </w:r>
          </w:p>
        </w:tc>
        <w:tc>
          <w:tcPr>
            <w:tcW w:w="684" w:type="pct"/>
            <w:gridSpan w:val="3"/>
            <w:vMerge w:val="restart"/>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Etanercept</w:t>
            </w:r>
          </w:p>
        </w:tc>
        <w:tc>
          <w:tcPr>
            <w:tcW w:w="648" w:type="pct"/>
            <w:gridSpan w:val="2"/>
            <w:vMerge w:val="restart"/>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930" w:type="pct"/>
            <w:vMerge w:val="restart"/>
            <w:vAlign w:val="center"/>
          </w:tcPr>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RR</w:t>
            </w:r>
          </w:p>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56" w:type="pct"/>
            <w:gridSpan w:val="4"/>
            <w:vAlign w:val="center"/>
          </w:tcPr>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803" w:type="pct"/>
            <w:vMerge w:val="restart"/>
            <w:vAlign w:val="center"/>
          </w:tcPr>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p>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r>
      <w:tr w:rsidR="006973E5" w:rsidRPr="00E2771E" w:rsidTr="00990A6D">
        <w:trPr>
          <w:trHeight w:val="315"/>
          <w:tblHeader/>
        </w:trPr>
        <w:tc>
          <w:tcPr>
            <w:tcW w:w="678" w:type="pct"/>
            <w:vMerge/>
            <w:shd w:val="clear" w:color="auto" w:fill="auto"/>
            <w:vAlign w:val="center"/>
          </w:tcPr>
          <w:p w:rsidR="006973E5" w:rsidRPr="00E2771E" w:rsidRDefault="006973E5" w:rsidP="006E4BDB">
            <w:pPr>
              <w:keepNext/>
              <w:widowControl/>
              <w:rPr>
                <w:rFonts w:ascii="Arial Narrow" w:hAnsi="Arial Narrow"/>
                <w:b/>
                <w:color w:val="000000"/>
                <w:sz w:val="20"/>
                <w:szCs w:val="18"/>
              </w:rPr>
            </w:pPr>
          </w:p>
        </w:tc>
        <w:tc>
          <w:tcPr>
            <w:tcW w:w="684" w:type="pct"/>
            <w:gridSpan w:val="3"/>
            <w:vMerge/>
            <w:vAlign w:val="center"/>
          </w:tcPr>
          <w:p w:rsidR="006973E5" w:rsidRPr="00E2771E" w:rsidRDefault="006973E5" w:rsidP="006E4BDB">
            <w:pPr>
              <w:keepNext/>
              <w:widowControl/>
              <w:jc w:val="center"/>
              <w:rPr>
                <w:rFonts w:ascii="Arial Narrow" w:hAnsi="Arial Narrow"/>
                <w:b/>
                <w:color w:val="000000"/>
                <w:sz w:val="20"/>
                <w:szCs w:val="18"/>
              </w:rPr>
            </w:pPr>
          </w:p>
        </w:tc>
        <w:tc>
          <w:tcPr>
            <w:tcW w:w="648" w:type="pct"/>
            <w:gridSpan w:val="2"/>
            <w:vMerge/>
            <w:vAlign w:val="center"/>
          </w:tcPr>
          <w:p w:rsidR="006973E5" w:rsidRPr="00E2771E" w:rsidRDefault="006973E5" w:rsidP="006E4BDB">
            <w:pPr>
              <w:keepNext/>
              <w:widowControl/>
              <w:jc w:val="center"/>
              <w:rPr>
                <w:rFonts w:ascii="Arial Narrow" w:hAnsi="Arial Narrow"/>
                <w:b/>
                <w:color w:val="000000"/>
                <w:sz w:val="20"/>
                <w:szCs w:val="18"/>
              </w:rPr>
            </w:pPr>
          </w:p>
        </w:tc>
        <w:tc>
          <w:tcPr>
            <w:tcW w:w="930" w:type="pct"/>
            <w:vMerge/>
            <w:vAlign w:val="center"/>
          </w:tcPr>
          <w:p w:rsidR="006973E5" w:rsidRPr="00E2771E" w:rsidRDefault="006973E5" w:rsidP="006E4BDB">
            <w:pPr>
              <w:keepNext/>
              <w:widowControl/>
              <w:jc w:val="center"/>
              <w:rPr>
                <w:rFonts w:ascii="Arial Narrow" w:hAnsi="Arial Narrow"/>
                <w:b/>
                <w:color w:val="000000"/>
                <w:sz w:val="20"/>
                <w:szCs w:val="18"/>
              </w:rPr>
            </w:pPr>
          </w:p>
        </w:tc>
        <w:tc>
          <w:tcPr>
            <w:tcW w:w="586" w:type="pct"/>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Etanercept</w:t>
            </w:r>
          </w:p>
        </w:tc>
        <w:tc>
          <w:tcPr>
            <w:tcW w:w="670" w:type="pct"/>
            <w:gridSpan w:val="3"/>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803" w:type="pct"/>
            <w:vMerge/>
            <w:vAlign w:val="center"/>
          </w:tcPr>
          <w:p w:rsidR="006973E5" w:rsidRPr="00E2771E" w:rsidRDefault="006973E5" w:rsidP="006E4BDB">
            <w:pPr>
              <w:keepNext/>
              <w:widowControl/>
              <w:jc w:val="center"/>
              <w:rPr>
                <w:rFonts w:ascii="Arial Narrow" w:hAnsi="Arial Narrow"/>
                <w:b/>
                <w:color w:val="000000"/>
                <w:sz w:val="20"/>
                <w:szCs w:val="18"/>
              </w:rPr>
            </w:pPr>
          </w:p>
        </w:tc>
      </w:tr>
      <w:tr w:rsidR="006973E5" w:rsidRPr="00E2771E" w:rsidTr="006973E5">
        <w:tc>
          <w:tcPr>
            <w:tcW w:w="5000" w:type="pct"/>
            <w:gridSpan w:val="12"/>
            <w:shd w:val="clear" w:color="auto" w:fill="auto"/>
            <w:vAlign w:val="center"/>
          </w:tcPr>
          <w:p w:rsidR="006973E5" w:rsidRPr="00E2771E" w:rsidRDefault="006973E5" w:rsidP="006E4BDB">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6973E5" w:rsidRPr="00E2771E" w:rsidTr="006973E5">
        <w:tc>
          <w:tcPr>
            <w:tcW w:w="5000" w:type="pct"/>
            <w:gridSpan w:val="12"/>
            <w:shd w:val="clear" w:color="auto" w:fill="auto"/>
            <w:vAlign w:val="center"/>
          </w:tcPr>
          <w:p w:rsidR="006973E5" w:rsidRPr="00E2771E" w:rsidRDefault="006973E5" w:rsidP="006E4BDB">
            <w:pPr>
              <w:keepNext/>
              <w:widowControl/>
              <w:rPr>
                <w:rFonts w:ascii="Arial Narrow" w:hAnsi="Arial Narrow"/>
                <w:b/>
                <w:color w:val="000000"/>
                <w:sz w:val="20"/>
                <w:szCs w:val="18"/>
              </w:rPr>
            </w:pPr>
            <w:r>
              <w:rPr>
                <w:rFonts w:ascii="Arial Narrow" w:hAnsi="Arial Narrow"/>
                <w:b/>
                <w:color w:val="000000"/>
                <w:sz w:val="20"/>
                <w:szCs w:val="18"/>
              </w:rPr>
              <w:t>ASAS 40 – proportion with response</w:t>
            </w:r>
          </w:p>
        </w:tc>
      </w:tr>
      <w:tr w:rsidR="006973E5" w:rsidRPr="00E2771E" w:rsidTr="006973E5">
        <w:tc>
          <w:tcPr>
            <w:tcW w:w="678" w:type="pct"/>
            <w:shd w:val="clear" w:color="auto" w:fill="auto"/>
            <w:vAlign w:val="center"/>
          </w:tcPr>
          <w:p w:rsidR="006973E5" w:rsidRPr="00E2771E" w:rsidRDefault="006973E5" w:rsidP="006E4BDB">
            <w:pPr>
              <w:keepNext/>
              <w:widowControl/>
              <w:rPr>
                <w:rFonts w:ascii="Arial Narrow" w:hAnsi="Arial Narrow"/>
                <w:color w:val="000000"/>
                <w:sz w:val="20"/>
                <w:szCs w:val="18"/>
              </w:rPr>
            </w:pPr>
            <w:r>
              <w:rPr>
                <w:rFonts w:ascii="Arial Narrow" w:hAnsi="Arial Narrow"/>
                <w:sz w:val="20"/>
              </w:rPr>
              <w:t>Week 2</w:t>
            </w:r>
          </w:p>
        </w:tc>
        <w:tc>
          <w:tcPr>
            <w:tcW w:w="684"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16/105 (15.2)</w:t>
            </w:r>
          </w:p>
        </w:tc>
        <w:tc>
          <w:tcPr>
            <w:tcW w:w="648" w:type="pct"/>
            <w:gridSpan w:val="2"/>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4/108 (3.8)</w:t>
            </w:r>
          </w:p>
        </w:tc>
        <w:tc>
          <w:tcPr>
            <w:tcW w:w="930"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4.04 (1.40, 11.68)</w:t>
            </w:r>
          </w:p>
        </w:tc>
        <w:tc>
          <w:tcPr>
            <w:tcW w:w="586"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15.2</w:t>
            </w:r>
          </w:p>
        </w:tc>
        <w:tc>
          <w:tcPr>
            <w:tcW w:w="670"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3.8</w:t>
            </w:r>
          </w:p>
        </w:tc>
        <w:tc>
          <w:tcPr>
            <w:tcW w:w="803"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0.11 (0.04, 0.19)</w:t>
            </w:r>
          </w:p>
        </w:tc>
      </w:tr>
      <w:tr w:rsidR="006973E5" w:rsidRPr="00E2771E" w:rsidTr="006973E5">
        <w:tc>
          <w:tcPr>
            <w:tcW w:w="678" w:type="pct"/>
            <w:shd w:val="clear" w:color="auto" w:fill="auto"/>
            <w:vAlign w:val="center"/>
          </w:tcPr>
          <w:p w:rsidR="006973E5" w:rsidRPr="00E2771E" w:rsidRDefault="006973E5" w:rsidP="006E4BDB">
            <w:pPr>
              <w:keepNext/>
              <w:widowControl/>
              <w:rPr>
                <w:rFonts w:ascii="Arial Narrow" w:hAnsi="Arial Narrow"/>
                <w:color w:val="000000"/>
                <w:sz w:val="20"/>
                <w:szCs w:val="18"/>
              </w:rPr>
            </w:pPr>
            <w:r>
              <w:rPr>
                <w:rFonts w:ascii="Arial Narrow" w:hAnsi="Arial Narrow"/>
                <w:sz w:val="20"/>
              </w:rPr>
              <w:t>Week 4</w:t>
            </w:r>
          </w:p>
        </w:tc>
        <w:tc>
          <w:tcPr>
            <w:tcW w:w="684"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21/105 (20.0)</w:t>
            </w:r>
          </w:p>
        </w:tc>
        <w:tc>
          <w:tcPr>
            <w:tcW w:w="648" w:type="pct"/>
            <w:gridSpan w:val="2"/>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16/108 (14.8)</w:t>
            </w:r>
          </w:p>
        </w:tc>
        <w:tc>
          <w:tcPr>
            <w:tcW w:w="930"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1.35 (0.75, 2.44)</w:t>
            </w:r>
          </w:p>
        </w:tc>
        <w:tc>
          <w:tcPr>
            <w:tcW w:w="586"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20.0</w:t>
            </w:r>
          </w:p>
        </w:tc>
        <w:tc>
          <w:tcPr>
            <w:tcW w:w="670"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14.8</w:t>
            </w:r>
          </w:p>
        </w:tc>
        <w:tc>
          <w:tcPr>
            <w:tcW w:w="803"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0.05 (-0.05, 0.15)</w:t>
            </w:r>
          </w:p>
        </w:tc>
      </w:tr>
      <w:tr w:rsidR="006973E5" w:rsidRPr="00E2771E" w:rsidTr="006973E5">
        <w:tc>
          <w:tcPr>
            <w:tcW w:w="678" w:type="pct"/>
            <w:shd w:val="clear" w:color="auto" w:fill="auto"/>
            <w:vAlign w:val="center"/>
          </w:tcPr>
          <w:p w:rsidR="006973E5" w:rsidRPr="00E2771E" w:rsidRDefault="006973E5" w:rsidP="006E4BDB">
            <w:pPr>
              <w:keepNext/>
              <w:widowControl/>
              <w:rPr>
                <w:rFonts w:ascii="Arial Narrow" w:hAnsi="Arial Narrow"/>
                <w:color w:val="000000"/>
                <w:sz w:val="20"/>
                <w:szCs w:val="18"/>
              </w:rPr>
            </w:pPr>
            <w:r>
              <w:rPr>
                <w:rFonts w:ascii="Arial Narrow" w:hAnsi="Arial Narrow"/>
                <w:sz w:val="20"/>
              </w:rPr>
              <w:t>Week 8</w:t>
            </w:r>
          </w:p>
        </w:tc>
        <w:tc>
          <w:tcPr>
            <w:tcW w:w="684"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30/105 (28.6)</w:t>
            </w:r>
          </w:p>
        </w:tc>
        <w:tc>
          <w:tcPr>
            <w:tcW w:w="648" w:type="pct"/>
            <w:gridSpan w:val="2"/>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17/108 (15.7)</w:t>
            </w:r>
          </w:p>
        </w:tc>
        <w:tc>
          <w:tcPr>
            <w:tcW w:w="930"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1.82 (1.07, 3.09)</w:t>
            </w:r>
          </w:p>
        </w:tc>
        <w:tc>
          <w:tcPr>
            <w:tcW w:w="586"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28.6</w:t>
            </w:r>
          </w:p>
        </w:tc>
        <w:tc>
          <w:tcPr>
            <w:tcW w:w="670"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15.7</w:t>
            </w:r>
          </w:p>
        </w:tc>
        <w:tc>
          <w:tcPr>
            <w:tcW w:w="803"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0.13 (0.02, 0.24)</w:t>
            </w:r>
          </w:p>
        </w:tc>
      </w:tr>
      <w:tr w:rsidR="006973E5" w:rsidRPr="00E2771E" w:rsidTr="006973E5">
        <w:tc>
          <w:tcPr>
            <w:tcW w:w="678" w:type="pct"/>
            <w:shd w:val="clear" w:color="auto" w:fill="auto"/>
            <w:vAlign w:val="center"/>
          </w:tcPr>
          <w:p w:rsidR="006973E5" w:rsidRPr="00E2771E" w:rsidRDefault="006973E5" w:rsidP="006E4BDB">
            <w:pPr>
              <w:keepNext/>
              <w:widowControl/>
              <w:rPr>
                <w:rFonts w:ascii="Arial Narrow" w:hAnsi="Arial Narrow"/>
                <w:color w:val="000000"/>
                <w:sz w:val="20"/>
                <w:szCs w:val="18"/>
              </w:rPr>
            </w:pPr>
            <w:r>
              <w:rPr>
                <w:rFonts w:ascii="Arial Narrow" w:hAnsi="Arial Narrow"/>
                <w:sz w:val="20"/>
              </w:rPr>
              <w:t>Week 12</w:t>
            </w:r>
          </w:p>
        </w:tc>
        <w:tc>
          <w:tcPr>
            <w:tcW w:w="684"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34/105 (32.4)</w:t>
            </w:r>
          </w:p>
        </w:tc>
        <w:tc>
          <w:tcPr>
            <w:tcW w:w="648" w:type="pct"/>
            <w:gridSpan w:val="2"/>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17/108 (15.7)</w:t>
            </w:r>
          </w:p>
        </w:tc>
        <w:tc>
          <w:tcPr>
            <w:tcW w:w="930"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2.06 (1.23, 3.45)</w:t>
            </w:r>
          </w:p>
        </w:tc>
        <w:tc>
          <w:tcPr>
            <w:tcW w:w="586"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32.4</w:t>
            </w:r>
          </w:p>
        </w:tc>
        <w:tc>
          <w:tcPr>
            <w:tcW w:w="670" w:type="pct"/>
            <w:gridSpan w:val="3"/>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color w:val="000000"/>
                <w:sz w:val="20"/>
                <w:szCs w:val="18"/>
              </w:rPr>
              <w:t>15.7</w:t>
            </w:r>
          </w:p>
        </w:tc>
        <w:tc>
          <w:tcPr>
            <w:tcW w:w="803" w:type="pct"/>
            <w:vAlign w:val="center"/>
          </w:tcPr>
          <w:p w:rsidR="006973E5" w:rsidRPr="00E2771E" w:rsidRDefault="006973E5" w:rsidP="006E4BDB">
            <w:pPr>
              <w:keepNext/>
              <w:widowControl/>
              <w:jc w:val="center"/>
              <w:rPr>
                <w:rFonts w:ascii="Arial Narrow" w:hAnsi="Arial Narrow"/>
                <w:color w:val="000000"/>
                <w:sz w:val="20"/>
                <w:szCs w:val="18"/>
              </w:rPr>
            </w:pPr>
            <w:r>
              <w:rPr>
                <w:rFonts w:ascii="Arial Narrow" w:hAnsi="Arial Narrow"/>
                <w:sz w:val="20"/>
              </w:rPr>
              <w:t>0.17 (0.05, 0.28)</w:t>
            </w:r>
          </w:p>
        </w:tc>
      </w:tr>
      <w:tr w:rsidR="006973E5" w:rsidRPr="00E2771E" w:rsidTr="006973E5">
        <w:tc>
          <w:tcPr>
            <w:tcW w:w="5000" w:type="pct"/>
            <w:gridSpan w:val="12"/>
            <w:tcBorders>
              <w:top w:val="double" w:sz="4" w:space="0" w:color="auto"/>
            </w:tcBorders>
            <w:shd w:val="clear" w:color="auto" w:fill="auto"/>
            <w:vAlign w:val="center"/>
          </w:tcPr>
          <w:p w:rsidR="006973E5" w:rsidRPr="00E2771E" w:rsidRDefault="006973E5" w:rsidP="006E4BDB">
            <w:pPr>
              <w:keepNext/>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6973E5" w:rsidRPr="00E2771E" w:rsidTr="006973E5">
        <w:trPr>
          <w:trHeight w:val="70"/>
        </w:trPr>
        <w:tc>
          <w:tcPr>
            <w:tcW w:w="696" w:type="pct"/>
            <w:gridSpan w:val="2"/>
            <w:vMerge w:val="restart"/>
            <w:shd w:val="clear" w:color="auto" w:fill="auto"/>
            <w:vAlign w:val="center"/>
          </w:tcPr>
          <w:p w:rsidR="006973E5" w:rsidRPr="00E2771E" w:rsidRDefault="006973E5" w:rsidP="006E4BDB">
            <w:pPr>
              <w:keepNext/>
              <w:widowControl/>
              <w:rPr>
                <w:rFonts w:ascii="Arial Narrow" w:hAnsi="Arial Narrow"/>
                <w:b/>
                <w:color w:val="000000"/>
                <w:sz w:val="20"/>
                <w:szCs w:val="18"/>
              </w:rPr>
            </w:pPr>
          </w:p>
        </w:tc>
        <w:tc>
          <w:tcPr>
            <w:tcW w:w="667" w:type="pct"/>
            <w:gridSpan w:val="2"/>
            <w:vMerge w:val="restart"/>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Etanercept</w:t>
            </w:r>
          </w:p>
        </w:tc>
        <w:tc>
          <w:tcPr>
            <w:tcW w:w="648" w:type="pct"/>
            <w:gridSpan w:val="2"/>
            <w:vMerge w:val="restart"/>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930" w:type="pct"/>
            <w:vMerge w:val="restart"/>
            <w:vAlign w:val="center"/>
          </w:tcPr>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RR</w:t>
            </w:r>
          </w:p>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45" w:type="pct"/>
            <w:gridSpan w:val="3"/>
            <w:vAlign w:val="center"/>
          </w:tcPr>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814" w:type="pct"/>
            <w:gridSpan w:val="2"/>
            <w:vMerge w:val="restart"/>
            <w:vAlign w:val="center"/>
          </w:tcPr>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p>
          <w:p w:rsidR="006973E5" w:rsidRPr="00E2771E" w:rsidRDefault="006973E5" w:rsidP="006E4BDB">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r>
      <w:tr w:rsidR="006973E5" w:rsidRPr="00E2771E" w:rsidTr="006973E5">
        <w:trPr>
          <w:trHeight w:val="390"/>
        </w:trPr>
        <w:tc>
          <w:tcPr>
            <w:tcW w:w="696" w:type="pct"/>
            <w:gridSpan w:val="2"/>
            <w:vMerge/>
            <w:shd w:val="clear" w:color="auto" w:fill="auto"/>
            <w:vAlign w:val="center"/>
          </w:tcPr>
          <w:p w:rsidR="006973E5" w:rsidRPr="00E2771E" w:rsidRDefault="006973E5" w:rsidP="006E4BDB">
            <w:pPr>
              <w:keepNext/>
              <w:widowControl/>
              <w:rPr>
                <w:rFonts w:ascii="Arial Narrow" w:hAnsi="Arial Narrow"/>
                <w:b/>
                <w:color w:val="000000"/>
                <w:sz w:val="20"/>
                <w:szCs w:val="18"/>
              </w:rPr>
            </w:pPr>
          </w:p>
        </w:tc>
        <w:tc>
          <w:tcPr>
            <w:tcW w:w="667" w:type="pct"/>
            <w:gridSpan w:val="2"/>
            <w:vMerge/>
            <w:vAlign w:val="center"/>
          </w:tcPr>
          <w:p w:rsidR="006973E5" w:rsidRPr="00E2771E" w:rsidRDefault="006973E5" w:rsidP="006E4BDB">
            <w:pPr>
              <w:keepNext/>
              <w:widowControl/>
              <w:jc w:val="center"/>
              <w:rPr>
                <w:rFonts w:ascii="Arial Narrow" w:hAnsi="Arial Narrow"/>
                <w:b/>
                <w:color w:val="000000"/>
                <w:sz w:val="20"/>
                <w:szCs w:val="18"/>
              </w:rPr>
            </w:pPr>
          </w:p>
        </w:tc>
        <w:tc>
          <w:tcPr>
            <w:tcW w:w="648" w:type="pct"/>
            <w:gridSpan w:val="2"/>
            <w:vMerge/>
            <w:vAlign w:val="center"/>
          </w:tcPr>
          <w:p w:rsidR="006973E5" w:rsidRPr="00E2771E" w:rsidRDefault="006973E5" w:rsidP="006E4BDB">
            <w:pPr>
              <w:keepNext/>
              <w:widowControl/>
              <w:jc w:val="center"/>
              <w:rPr>
                <w:rFonts w:ascii="Arial Narrow" w:hAnsi="Arial Narrow"/>
                <w:b/>
                <w:color w:val="000000"/>
                <w:sz w:val="20"/>
                <w:szCs w:val="18"/>
              </w:rPr>
            </w:pPr>
          </w:p>
        </w:tc>
        <w:tc>
          <w:tcPr>
            <w:tcW w:w="930" w:type="pct"/>
            <w:vMerge/>
            <w:vAlign w:val="center"/>
          </w:tcPr>
          <w:p w:rsidR="006973E5" w:rsidRPr="00E2771E" w:rsidRDefault="006973E5" w:rsidP="006E4BDB">
            <w:pPr>
              <w:keepNext/>
              <w:widowControl/>
              <w:jc w:val="center"/>
              <w:rPr>
                <w:rFonts w:ascii="Arial Narrow" w:hAnsi="Arial Narrow"/>
                <w:b/>
                <w:color w:val="000000"/>
                <w:sz w:val="20"/>
                <w:szCs w:val="18"/>
              </w:rPr>
            </w:pPr>
          </w:p>
        </w:tc>
        <w:tc>
          <w:tcPr>
            <w:tcW w:w="765" w:type="pct"/>
            <w:gridSpan w:val="2"/>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Etanercept</w:t>
            </w:r>
          </w:p>
        </w:tc>
        <w:tc>
          <w:tcPr>
            <w:tcW w:w="480" w:type="pct"/>
            <w:vAlign w:val="center"/>
          </w:tcPr>
          <w:p w:rsidR="006973E5" w:rsidRPr="00E2771E" w:rsidRDefault="006973E5" w:rsidP="006E4BDB">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814" w:type="pct"/>
            <w:gridSpan w:val="2"/>
            <w:vMerge/>
            <w:vAlign w:val="center"/>
          </w:tcPr>
          <w:p w:rsidR="006973E5" w:rsidRPr="00E2771E" w:rsidRDefault="006973E5" w:rsidP="006E4BDB">
            <w:pPr>
              <w:keepNext/>
              <w:widowControl/>
              <w:jc w:val="center"/>
              <w:rPr>
                <w:rFonts w:ascii="Arial Narrow" w:hAnsi="Arial Narrow"/>
                <w:b/>
                <w:color w:val="000000"/>
                <w:sz w:val="20"/>
                <w:szCs w:val="18"/>
              </w:rPr>
            </w:pPr>
          </w:p>
        </w:tc>
      </w:tr>
      <w:tr w:rsidR="006973E5" w:rsidRPr="00E2771E" w:rsidTr="006973E5">
        <w:tc>
          <w:tcPr>
            <w:tcW w:w="5000" w:type="pct"/>
            <w:gridSpan w:val="12"/>
            <w:shd w:val="clear" w:color="auto" w:fill="auto"/>
            <w:vAlign w:val="center"/>
          </w:tcPr>
          <w:p w:rsidR="006973E5" w:rsidRPr="0060014D" w:rsidRDefault="006973E5" w:rsidP="006E4BDB">
            <w:pPr>
              <w:keepNext/>
              <w:widowControl/>
              <w:rPr>
                <w:rFonts w:ascii="Arial Narrow" w:hAnsi="Arial Narrow"/>
                <w:b/>
                <w:color w:val="000000"/>
                <w:sz w:val="20"/>
                <w:szCs w:val="18"/>
              </w:rPr>
            </w:pPr>
            <w:r w:rsidRPr="0060014D">
              <w:rPr>
                <w:rFonts w:ascii="Arial Narrow" w:hAnsi="Arial Narrow"/>
                <w:b/>
                <w:sz w:val="20"/>
              </w:rPr>
              <w:t xml:space="preserve">Eye </w:t>
            </w:r>
            <w:r>
              <w:rPr>
                <w:rFonts w:ascii="Arial Narrow" w:hAnsi="Arial Narrow"/>
                <w:b/>
                <w:sz w:val="20"/>
              </w:rPr>
              <w:t>d</w:t>
            </w:r>
            <w:r w:rsidRPr="0060014D">
              <w:rPr>
                <w:rFonts w:ascii="Arial Narrow" w:hAnsi="Arial Narrow"/>
                <w:b/>
                <w:sz w:val="20"/>
              </w:rPr>
              <w:t>isorder</w:t>
            </w:r>
          </w:p>
        </w:tc>
      </w:tr>
      <w:tr w:rsidR="006973E5" w:rsidRPr="00E2771E" w:rsidTr="006973E5">
        <w:tc>
          <w:tcPr>
            <w:tcW w:w="701" w:type="pct"/>
            <w:gridSpan w:val="3"/>
            <w:shd w:val="clear" w:color="auto" w:fill="auto"/>
            <w:vAlign w:val="center"/>
          </w:tcPr>
          <w:p w:rsidR="006973E5" w:rsidRPr="00E2771E" w:rsidRDefault="006973E5" w:rsidP="006E4BDB">
            <w:pPr>
              <w:keepNext/>
              <w:widowControl/>
              <w:rPr>
                <w:rFonts w:ascii="Arial Narrow" w:hAnsi="Arial Narrow"/>
                <w:color w:val="000000"/>
                <w:sz w:val="20"/>
                <w:szCs w:val="18"/>
              </w:rPr>
            </w:pPr>
            <w:r w:rsidRPr="00E2771E">
              <w:rPr>
                <w:rFonts w:ascii="Arial Narrow" w:hAnsi="Arial Narrow"/>
                <w:color w:val="000000"/>
                <w:sz w:val="20"/>
                <w:szCs w:val="18"/>
              </w:rPr>
              <w:t xml:space="preserve">Trial </w:t>
            </w:r>
            <w:r>
              <w:rPr>
                <w:rFonts w:ascii="Arial Narrow" w:hAnsi="Arial Narrow"/>
                <w:color w:val="000000"/>
                <w:sz w:val="20"/>
                <w:szCs w:val="18"/>
              </w:rPr>
              <w:t>1031</w:t>
            </w:r>
          </w:p>
        </w:tc>
        <w:tc>
          <w:tcPr>
            <w:tcW w:w="667" w:type="pct"/>
            <w:gridSpan w:val="2"/>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4/111 (3.6)</w:t>
            </w:r>
          </w:p>
        </w:tc>
        <w:tc>
          <w:tcPr>
            <w:tcW w:w="642" w:type="pct"/>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0</w:t>
            </w:r>
          </w:p>
        </w:tc>
        <w:tc>
          <w:tcPr>
            <w:tcW w:w="930" w:type="pct"/>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9.16 (1.08, ∞)</w:t>
            </w:r>
          </w:p>
        </w:tc>
        <w:tc>
          <w:tcPr>
            <w:tcW w:w="765" w:type="pct"/>
            <w:gridSpan w:val="2"/>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color w:val="000000"/>
                <w:sz w:val="20"/>
                <w:szCs w:val="18"/>
              </w:rPr>
              <w:t>3.6</w:t>
            </w:r>
          </w:p>
        </w:tc>
        <w:tc>
          <w:tcPr>
            <w:tcW w:w="480" w:type="pct"/>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color w:val="000000"/>
                <w:sz w:val="20"/>
                <w:szCs w:val="18"/>
              </w:rPr>
              <w:t>0</w:t>
            </w:r>
          </w:p>
        </w:tc>
        <w:tc>
          <w:tcPr>
            <w:tcW w:w="814" w:type="pct"/>
            <w:gridSpan w:val="2"/>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0.04 (0.00, 0.09)</w:t>
            </w:r>
          </w:p>
        </w:tc>
      </w:tr>
      <w:tr w:rsidR="006973E5" w:rsidRPr="00E2771E" w:rsidTr="006973E5">
        <w:tc>
          <w:tcPr>
            <w:tcW w:w="5000" w:type="pct"/>
            <w:gridSpan w:val="12"/>
            <w:shd w:val="clear" w:color="auto" w:fill="auto"/>
            <w:vAlign w:val="center"/>
          </w:tcPr>
          <w:p w:rsidR="006973E5" w:rsidRPr="00286A47" w:rsidRDefault="006973E5" w:rsidP="006E4BDB">
            <w:pPr>
              <w:keepNext/>
              <w:widowControl/>
              <w:rPr>
                <w:rFonts w:ascii="Arial Narrow" w:hAnsi="Arial Narrow"/>
                <w:b/>
                <w:color w:val="000000"/>
                <w:sz w:val="20"/>
                <w:szCs w:val="18"/>
              </w:rPr>
            </w:pPr>
            <w:r w:rsidRPr="00286A47">
              <w:rPr>
                <w:rFonts w:ascii="Arial Narrow" w:hAnsi="Arial Narrow"/>
                <w:sz w:val="20"/>
              </w:rPr>
              <w:t>I</w:t>
            </w:r>
            <w:r w:rsidRPr="00286A47">
              <w:rPr>
                <w:rFonts w:ascii="Arial Narrow" w:hAnsi="Arial Narrow"/>
                <w:b/>
                <w:sz w:val="20"/>
              </w:rPr>
              <w:t>njection site erythema</w:t>
            </w:r>
          </w:p>
        </w:tc>
      </w:tr>
      <w:tr w:rsidR="006973E5" w:rsidRPr="00E2771E" w:rsidTr="006973E5">
        <w:tc>
          <w:tcPr>
            <w:tcW w:w="701" w:type="pct"/>
            <w:gridSpan w:val="3"/>
            <w:shd w:val="clear" w:color="auto" w:fill="auto"/>
          </w:tcPr>
          <w:p w:rsidR="006973E5" w:rsidRPr="00E2771E" w:rsidRDefault="006973E5" w:rsidP="006E4BDB">
            <w:pPr>
              <w:keepNext/>
              <w:widowControl/>
              <w:rPr>
                <w:rFonts w:ascii="Arial Narrow" w:hAnsi="Arial Narrow"/>
                <w:color w:val="000000"/>
                <w:sz w:val="20"/>
                <w:szCs w:val="18"/>
              </w:rPr>
            </w:pPr>
            <w:r w:rsidRPr="00E2771E">
              <w:rPr>
                <w:rFonts w:ascii="Arial Narrow" w:hAnsi="Arial Narrow"/>
                <w:color w:val="000000"/>
                <w:sz w:val="20"/>
                <w:szCs w:val="18"/>
              </w:rPr>
              <w:t xml:space="preserve">Trial </w:t>
            </w:r>
            <w:r>
              <w:rPr>
                <w:rFonts w:ascii="Arial Narrow" w:hAnsi="Arial Narrow"/>
                <w:color w:val="000000"/>
                <w:sz w:val="20"/>
                <w:szCs w:val="18"/>
              </w:rPr>
              <w:t>1031</w:t>
            </w:r>
          </w:p>
        </w:tc>
        <w:tc>
          <w:tcPr>
            <w:tcW w:w="667" w:type="pct"/>
            <w:gridSpan w:val="2"/>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7/111 (6.3)</w:t>
            </w:r>
          </w:p>
        </w:tc>
        <w:tc>
          <w:tcPr>
            <w:tcW w:w="642" w:type="pct"/>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1/113 (0.9)</w:t>
            </w:r>
          </w:p>
        </w:tc>
        <w:tc>
          <w:tcPr>
            <w:tcW w:w="930" w:type="pct"/>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7.13 (1.17, 44.07)</w:t>
            </w:r>
          </w:p>
        </w:tc>
        <w:tc>
          <w:tcPr>
            <w:tcW w:w="765" w:type="pct"/>
            <w:gridSpan w:val="2"/>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color w:val="000000"/>
                <w:sz w:val="20"/>
                <w:szCs w:val="18"/>
              </w:rPr>
              <w:t>6.3</w:t>
            </w:r>
          </w:p>
        </w:tc>
        <w:tc>
          <w:tcPr>
            <w:tcW w:w="480" w:type="pct"/>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color w:val="000000"/>
                <w:sz w:val="20"/>
                <w:szCs w:val="18"/>
              </w:rPr>
              <w:t>0.9</w:t>
            </w:r>
          </w:p>
        </w:tc>
        <w:tc>
          <w:tcPr>
            <w:tcW w:w="814" w:type="pct"/>
            <w:gridSpan w:val="2"/>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0.05, (0.01, 0.12)</w:t>
            </w:r>
          </w:p>
        </w:tc>
      </w:tr>
      <w:tr w:rsidR="006973E5" w:rsidRPr="00E2771E" w:rsidTr="006973E5">
        <w:tc>
          <w:tcPr>
            <w:tcW w:w="5000" w:type="pct"/>
            <w:gridSpan w:val="12"/>
            <w:shd w:val="clear" w:color="auto" w:fill="auto"/>
            <w:vAlign w:val="center"/>
          </w:tcPr>
          <w:p w:rsidR="006973E5" w:rsidRPr="00286A47" w:rsidRDefault="006973E5" w:rsidP="006E4BDB">
            <w:pPr>
              <w:keepNext/>
              <w:widowControl/>
              <w:rPr>
                <w:rFonts w:ascii="Arial Narrow" w:hAnsi="Arial Narrow"/>
                <w:b/>
                <w:color w:val="000000"/>
                <w:sz w:val="20"/>
                <w:szCs w:val="18"/>
              </w:rPr>
            </w:pPr>
            <w:r w:rsidRPr="00286A47">
              <w:rPr>
                <w:rFonts w:ascii="Arial Narrow" w:hAnsi="Arial Narrow"/>
                <w:b/>
                <w:sz w:val="20"/>
              </w:rPr>
              <w:t>Injection site reaction</w:t>
            </w:r>
          </w:p>
        </w:tc>
      </w:tr>
      <w:tr w:rsidR="006973E5" w:rsidRPr="00E2771E" w:rsidTr="006973E5">
        <w:tc>
          <w:tcPr>
            <w:tcW w:w="696" w:type="pct"/>
            <w:gridSpan w:val="2"/>
            <w:shd w:val="clear" w:color="auto" w:fill="auto"/>
          </w:tcPr>
          <w:p w:rsidR="006973E5" w:rsidRPr="00E2771E" w:rsidRDefault="006973E5" w:rsidP="006E4BDB">
            <w:pPr>
              <w:keepNext/>
              <w:widowControl/>
              <w:rPr>
                <w:rFonts w:ascii="Arial Narrow" w:hAnsi="Arial Narrow"/>
                <w:color w:val="000000"/>
                <w:sz w:val="20"/>
                <w:szCs w:val="18"/>
              </w:rPr>
            </w:pPr>
            <w:r w:rsidRPr="00E2771E">
              <w:rPr>
                <w:rFonts w:ascii="Arial Narrow" w:hAnsi="Arial Narrow"/>
                <w:color w:val="000000"/>
                <w:sz w:val="20"/>
                <w:szCs w:val="18"/>
              </w:rPr>
              <w:t xml:space="preserve">Trial </w:t>
            </w:r>
            <w:r>
              <w:rPr>
                <w:rFonts w:ascii="Arial Narrow" w:hAnsi="Arial Narrow"/>
                <w:color w:val="000000"/>
                <w:sz w:val="20"/>
                <w:szCs w:val="18"/>
              </w:rPr>
              <w:t>1031</w:t>
            </w:r>
          </w:p>
        </w:tc>
        <w:tc>
          <w:tcPr>
            <w:tcW w:w="673" w:type="pct"/>
            <w:gridSpan w:val="3"/>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6/111 (5.4)</w:t>
            </w:r>
          </w:p>
        </w:tc>
        <w:tc>
          <w:tcPr>
            <w:tcW w:w="642" w:type="pct"/>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0</w:t>
            </w:r>
          </w:p>
        </w:tc>
        <w:tc>
          <w:tcPr>
            <w:tcW w:w="930" w:type="pct"/>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13.23 (1.62, ∞)</w:t>
            </w:r>
          </w:p>
        </w:tc>
        <w:tc>
          <w:tcPr>
            <w:tcW w:w="765" w:type="pct"/>
            <w:gridSpan w:val="2"/>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color w:val="000000"/>
                <w:sz w:val="20"/>
                <w:szCs w:val="18"/>
              </w:rPr>
              <w:t>5.4</w:t>
            </w:r>
          </w:p>
        </w:tc>
        <w:tc>
          <w:tcPr>
            <w:tcW w:w="480" w:type="pct"/>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color w:val="000000"/>
                <w:sz w:val="20"/>
                <w:szCs w:val="18"/>
              </w:rPr>
              <w:t>0</w:t>
            </w:r>
          </w:p>
        </w:tc>
        <w:tc>
          <w:tcPr>
            <w:tcW w:w="814" w:type="pct"/>
            <w:gridSpan w:val="2"/>
            <w:vAlign w:val="center"/>
          </w:tcPr>
          <w:p w:rsidR="006973E5" w:rsidRPr="00286A47" w:rsidRDefault="006973E5" w:rsidP="006E4BDB">
            <w:pPr>
              <w:keepNext/>
              <w:widowControl/>
              <w:jc w:val="center"/>
              <w:rPr>
                <w:rFonts w:ascii="Arial Narrow" w:hAnsi="Arial Narrow"/>
                <w:color w:val="000000"/>
                <w:sz w:val="20"/>
                <w:szCs w:val="18"/>
              </w:rPr>
            </w:pPr>
            <w:r w:rsidRPr="00286A47">
              <w:rPr>
                <w:rFonts w:ascii="Arial Narrow" w:hAnsi="Arial Narrow"/>
                <w:sz w:val="20"/>
              </w:rPr>
              <w:t>0.05 (0.02, 0.11)</w:t>
            </w:r>
          </w:p>
        </w:tc>
      </w:tr>
    </w:tbl>
    <w:p w:rsidR="006973E5" w:rsidRDefault="006973E5" w:rsidP="006E4BDB">
      <w:pPr>
        <w:pStyle w:val="TableFooter"/>
        <w:keepNext/>
        <w:widowControl/>
        <w:ind w:firstLine="720"/>
      </w:pPr>
      <w:r>
        <w:t xml:space="preserve">CI = confidence interval; </w:t>
      </w:r>
      <w:r w:rsidRPr="0072416F">
        <w:t>RD = risk difference; RR = risk ratio</w:t>
      </w:r>
    </w:p>
    <w:p w:rsidR="006973E5" w:rsidRPr="0072416F" w:rsidRDefault="006973E5" w:rsidP="006E4BDB">
      <w:pPr>
        <w:pStyle w:val="TableFooter"/>
        <w:keepNext/>
        <w:widowControl/>
        <w:ind w:firstLine="720"/>
      </w:pPr>
      <w:r>
        <w:t>*Over 12 weeks in the double blind period.</w:t>
      </w:r>
    </w:p>
    <w:p w:rsidR="006973E5" w:rsidRPr="0072416F" w:rsidRDefault="006973E5" w:rsidP="006E4BDB">
      <w:pPr>
        <w:pStyle w:val="TableFooter"/>
        <w:widowControl/>
        <w:ind w:firstLine="720"/>
      </w:pPr>
      <w:r w:rsidRPr="0072416F">
        <w:t>Source: Compiled during the evaluation</w:t>
      </w:r>
    </w:p>
    <w:p w:rsidR="006973E5" w:rsidRPr="00882085" w:rsidRDefault="006973E5" w:rsidP="006E4BDB">
      <w:pPr>
        <w:widowControl/>
      </w:pPr>
    </w:p>
    <w:p w:rsidR="006973E5" w:rsidRPr="002F530D" w:rsidRDefault="006973E5" w:rsidP="006E4BDB">
      <w:pPr>
        <w:pStyle w:val="ListParagraph"/>
        <w:widowControl/>
        <w:numPr>
          <w:ilvl w:val="1"/>
          <w:numId w:val="2"/>
        </w:numPr>
        <w:rPr>
          <w:szCs w:val="22"/>
        </w:rPr>
      </w:pPr>
      <w:r w:rsidRPr="002F530D">
        <w:t xml:space="preserve">On the basis of Trial 1031 presented by the submission, for every 100 patients treated with etanercept </w:t>
      </w:r>
      <w:r w:rsidR="00983A88" w:rsidRPr="002F530D">
        <w:t xml:space="preserve">plus NSAIDs </w:t>
      </w:r>
      <w:r w:rsidRPr="002F530D">
        <w:t>in comparison to placebo</w:t>
      </w:r>
      <w:r w:rsidR="00983A88" w:rsidRPr="002F530D">
        <w:t xml:space="preserve"> plus NSAIDs</w:t>
      </w:r>
      <w:r w:rsidRPr="002F530D">
        <w:t>:</w:t>
      </w:r>
    </w:p>
    <w:p w:rsidR="006973E5" w:rsidRPr="002F530D" w:rsidRDefault="006973E5" w:rsidP="006E4BDB">
      <w:pPr>
        <w:pStyle w:val="ListParagraph"/>
        <w:widowControl/>
        <w:numPr>
          <w:ilvl w:val="0"/>
          <w:numId w:val="1"/>
        </w:numPr>
        <w:ind w:left="993" w:hanging="284"/>
      </w:pPr>
      <w:r w:rsidRPr="002F530D">
        <w:t xml:space="preserve">Approximately 17 additional patients would have experienced </w:t>
      </w:r>
      <w:r w:rsidR="00983A88" w:rsidRPr="002F530D">
        <w:t>a significant improvement in symptoms, measured with the</w:t>
      </w:r>
      <w:r w:rsidRPr="002F530D">
        <w:t xml:space="preserve"> ASAS 40, over 12 weeks. </w:t>
      </w:r>
    </w:p>
    <w:p w:rsidR="006973E5" w:rsidRPr="002F530D" w:rsidRDefault="006973E5" w:rsidP="006E4BDB">
      <w:pPr>
        <w:pStyle w:val="ListParagraph"/>
        <w:widowControl/>
        <w:numPr>
          <w:ilvl w:val="0"/>
          <w:numId w:val="1"/>
        </w:numPr>
        <w:ind w:left="993" w:hanging="284"/>
      </w:pPr>
      <w:r w:rsidRPr="002F530D">
        <w:lastRenderedPageBreak/>
        <w:t>Between 0 and 9 additional patients would have experienced an eye disorder over 12 weeks.</w:t>
      </w:r>
    </w:p>
    <w:p w:rsidR="006973E5" w:rsidRPr="002F530D" w:rsidRDefault="006973E5" w:rsidP="006E4BDB">
      <w:pPr>
        <w:pStyle w:val="ListParagraph"/>
        <w:widowControl/>
        <w:numPr>
          <w:ilvl w:val="0"/>
          <w:numId w:val="1"/>
        </w:numPr>
        <w:ind w:left="993" w:hanging="284"/>
      </w:pPr>
      <w:r w:rsidRPr="002F530D">
        <w:t>Between 2 and 11 additional patients would have experienced an injection site reaction over 12 weeks.</w:t>
      </w:r>
    </w:p>
    <w:p w:rsidR="00983A88" w:rsidRPr="002F530D" w:rsidRDefault="00983A88" w:rsidP="006E4BDB">
      <w:pPr>
        <w:pStyle w:val="ListParagraph"/>
        <w:widowControl/>
        <w:ind w:left="993"/>
      </w:pPr>
    </w:p>
    <w:p w:rsidR="00983A88" w:rsidRPr="002F530D" w:rsidRDefault="00CE5491" w:rsidP="006E4BDB">
      <w:pPr>
        <w:pStyle w:val="ListParagraph"/>
        <w:widowControl/>
        <w:numPr>
          <w:ilvl w:val="1"/>
          <w:numId w:val="2"/>
        </w:numPr>
      </w:pPr>
      <w:r w:rsidRPr="002F530D">
        <w:t xml:space="preserve">The ESC considered that </w:t>
      </w:r>
      <w:r w:rsidR="00983A88" w:rsidRPr="002F530D">
        <w:t>Trial 1031 was not able to detect the increased risk of infection and malignancy reported with etanercept due to its exclusion criteria and the short duration of the study.</w:t>
      </w:r>
    </w:p>
    <w:p w:rsidR="007F1017" w:rsidRPr="00983A88" w:rsidRDefault="007F1017" w:rsidP="006E4BDB">
      <w:pPr>
        <w:pStyle w:val="ListParagraph"/>
        <w:widowControl/>
        <w:rPr>
          <w:i/>
          <w:color w:val="3366FF"/>
        </w:rPr>
      </w:pPr>
    </w:p>
    <w:p w:rsidR="00B60939" w:rsidRPr="00497F10" w:rsidRDefault="00B60939" w:rsidP="0030129E">
      <w:pPr>
        <w:pStyle w:val="Heading2"/>
      </w:pPr>
      <w:bookmarkStart w:id="12" w:name="_Toc440882442"/>
      <w:r w:rsidRPr="00497F10">
        <w:t>Clinical claim</w:t>
      </w:r>
      <w:bookmarkEnd w:id="12"/>
    </w:p>
    <w:p w:rsidR="00B60939" w:rsidRPr="00882085" w:rsidRDefault="00B60939" w:rsidP="006E4BDB">
      <w:pPr>
        <w:pStyle w:val="BodyText"/>
        <w:widowControl/>
      </w:pPr>
    </w:p>
    <w:p w:rsidR="006973E5" w:rsidRPr="002F530D" w:rsidRDefault="006973E5" w:rsidP="006E4BDB">
      <w:pPr>
        <w:pStyle w:val="ListParagraph"/>
        <w:widowControl/>
        <w:numPr>
          <w:ilvl w:val="1"/>
          <w:numId w:val="2"/>
        </w:numPr>
        <w:rPr>
          <w:szCs w:val="22"/>
        </w:rPr>
      </w:pPr>
      <w:r w:rsidRPr="002F530D">
        <w:t xml:space="preserve">As in the previous submission, the re-submission claimed that etanercept was superior in terms of efficacy and inferior in terms of safety in comparison to placebo. </w:t>
      </w:r>
    </w:p>
    <w:p w:rsidR="006973E5" w:rsidRPr="002F530D" w:rsidRDefault="006973E5" w:rsidP="006E4BDB">
      <w:pPr>
        <w:pStyle w:val="ListParagraph"/>
        <w:widowControl/>
        <w:rPr>
          <w:szCs w:val="22"/>
        </w:rPr>
      </w:pPr>
    </w:p>
    <w:p w:rsidR="006973E5" w:rsidRPr="00352DF7" w:rsidRDefault="00422E8D" w:rsidP="006E4BDB">
      <w:pPr>
        <w:pStyle w:val="ListParagraph"/>
        <w:widowControl/>
        <w:numPr>
          <w:ilvl w:val="1"/>
          <w:numId w:val="2"/>
        </w:numPr>
        <w:rPr>
          <w:szCs w:val="22"/>
        </w:rPr>
      </w:pPr>
      <w:r>
        <w:rPr>
          <w:szCs w:val="22"/>
        </w:rPr>
        <w:t>In March 2015, t</w:t>
      </w:r>
      <w:r w:rsidR="006973E5" w:rsidRPr="002F530D">
        <w:rPr>
          <w:szCs w:val="22"/>
        </w:rPr>
        <w:t xml:space="preserve">he PBAC considered that </w:t>
      </w:r>
      <w:r w:rsidR="007C6C27" w:rsidRPr="002F530D">
        <w:rPr>
          <w:szCs w:val="22"/>
        </w:rPr>
        <w:t>“T</w:t>
      </w:r>
      <w:r w:rsidR="006973E5" w:rsidRPr="002F530D">
        <w:rPr>
          <w:szCs w:val="22"/>
        </w:rPr>
        <w:t>hough the efficacy claim was supported by statistically significant differences in ASAS measures and other composite instrument scores, these were generally restricted to the signs and symptoms of the disease and hence it was difficult to assess the clinical benefit of such differences. Additionally this was based on 12 weeks of randomised evidence, which considering how little is known about the natural history of nr-axSpA, was insufficient to make conclusion on efficacy</w:t>
      </w:r>
      <w:r w:rsidR="007C6C27" w:rsidRPr="002F530D">
        <w:rPr>
          <w:szCs w:val="22"/>
        </w:rPr>
        <w:t>”</w:t>
      </w:r>
      <w:r w:rsidR="006973E5" w:rsidRPr="002F530D">
        <w:rPr>
          <w:szCs w:val="22"/>
        </w:rPr>
        <w:t xml:space="preserve"> (March 2015 </w:t>
      </w:r>
      <w:r w:rsidR="006F5A0D">
        <w:rPr>
          <w:szCs w:val="22"/>
        </w:rPr>
        <w:t>PSD</w:t>
      </w:r>
      <w:r w:rsidR="006973E5" w:rsidRPr="002F530D">
        <w:rPr>
          <w:szCs w:val="22"/>
        </w:rPr>
        <w:t xml:space="preserve">, paragraph 6.17). </w:t>
      </w:r>
      <w:r w:rsidR="000A00AB" w:rsidRPr="002F530D">
        <w:rPr>
          <w:szCs w:val="22"/>
        </w:rPr>
        <w:t>The ESC noted that the resubmission presented results by subgroup in terms of CRP and MRI positivity but considered that n</w:t>
      </w:r>
      <w:r w:rsidR="006973E5" w:rsidRPr="002F530D">
        <w:rPr>
          <w:szCs w:val="22"/>
        </w:rPr>
        <w:t>o new e</w:t>
      </w:r>
      <w:r w:rsidR="002B5499" w:rsidRPr="002F530D">
        <w:rPr>
          <w:szCs w:val="22"/>
        </w:rPr>
        <w:t xml:space="preserve">vidence </w:t>
      </w:r>
      <w:r w:rsidR="000A00AB" w:rsidRPr="002F530D">
        <w:rPr>
          <w:szCs w:val="22"/>
        </w:rPr>
        <w:t xml:space="preserve">was </w:t>
      </w:r>
      <w:r w:rsidR="002B5499" w:rsidRPr="002F530D">
        <w:rPr>
          <w:szCs w:val="22"/>
        </w:rPr>
        <w:t xml:space="preserve">provided that </w:t>
      </w:r>
      <w:r w:rsidR="006973E5" w:rsidRPr="002F530D">
        <w:rPr>
          <w:szCs w:val="22"/>
        </w:rPr>
        <w:t>fundamentally challenges th</w:t>
      </w:r>
      <w:r w:rsidR="000A00AB" w:rsidRPr="002F530D">
        <w:rPr>
          <w:szCs w:val="22"/>
        </w:rPr>
        <w:t>e PBAC’s previous</w:t>
      </w:r>
      <w:r w:rsidR="006973E5" w:rsidRPr="002F530D">
        <w:rPr>
          <w:szCs w:val="22"/>
        </w:rPr>
        <w:t xml:space="preserve"> consideration.</w:t>
      </w:r>
      <w:r w:rsidR="00983A88">
        <w:rPr>
          <w:szCs w:val="22"/>
        </w:rPr>
        <w:t xml:space="preserve"> </w:t>
      </w:r>
    </w:p>
    <w:p w:rsidR="00044AC2" w:rsidRPr="008020FB" w:rsidRDefault="00044AC2" w:rsidP="006E4BDB">
      <w:pPr>
        <w:widowControl/>
      </w:pPr>
    </w:p>
    <w:p w:rsidR="00044AC2" w:rsidRPr="00D938AA" w:rsidRDefault="00044AC2" w:rsidP="006E4BDB">
      <w:pPr>
        <w:pStyle w:val="ListParagraph"/>
        <w:widowControl/>
        <w:numPr>
          <w:ilvl w:val="1"/>
          <w:numId w:val="2"/>
        </w:numPr>
        <w:rPr>
          <w:bCs/>
        </w:rPr>
      </w:pPr>
      <w:r w:rsidRPr="00D938AA">
        <w:rPr>
          <w:bCs/>
          <w:szCs w:val="22"/>
        </w:rPr>
        <w:t xml:space="preserve">The PBAC </w:t>
      </w:r>
      <w:r w:rsidR="00CE1775">
        <w:rPr>
          <w:bCs/>
          <w:szCs w:val="22"/>
        </w:rPr>
        <w:t>considered that there were no new data for the PBAC to change its previous consideration on</w:t>
      </w:r>
      <w:r w:rsidRPr="00D938AA">
        <w:rPr>
          <w:bCs/>
          <w:szCs w:val="22"/>
        </w:rPr>
        <w:t xml:space="preserve"> the claim of superior comparative effectiveness.</w:t>
      </w:r>
    </w:p>
    <w:p w:rsidR="00044AC2" w:rsidRPr="00D938AA" w:rsidRDefault="00044AC2" w:rsidP="006E4BDB">
      <w:pPr>
        <w:pStyle w:val="ListParagraph"/>
        <w:widowControl/>
        <w:jc w:val="left"/>
        <w:rPr>
          <w:bCs/>
          <w:szCs w:val="22"/>
        </w:rPr>
      </w:pPr>
    </w:p>
    <w:p w:rsidR="00044AC2" w:rsidRPr="00D938AA" w:rsidRDefault="00044AC2" w:rsidP="006E4BDB">
      <w:pPr>
        <w:pStyle w:val="ListParagraph"/>
        <w:widowControl/>
        <w:numPr>
          <w:ilvl w:val="1"/>
          <w:numId w:val="2"/>
        </w:numPr>
        <w:rPr>
          <w:szCs w:val="22"/>
        </w:rPr>
      </w:pPr>
      <w:r w:rsidRPr="00D938AA">
        <w:rPr>
          <w:szCs w:val="22"/>
        </w:rPr>
        <w:t>The PBAC considered that the claim of inferior comparative safety was reasonable.</w:t>
      </w:r>
    </w:p>
    <w:p w:rsidR="00044AC2" w:rsidRPr="00882085" w:rsidRDefault="00044AC2" w:rsidP="006E4BDB">
      <w:pPr>
        <w:widowControl/>
        <w:rPr>
          <w:szCs w:val="22"/>
        </w:rPr>
      </w:pPr>
    </w:p>
    <w:p w:rsidR="00B60939" w:rsidRPr="00497F10" w:rsidRDefault="00B60939" w:rsidP="0030129E">
      <w:pPr>
        <w:pStyle w:val="Heading2"/>
      </w:pPr>
      <w:bookmarkStart w:id="13" w:name="_Toc440882443"/>
      <w:r w:rsidRPr="00497F10">
        <w:t>Economic analysis</w:t>
      </w:r>
      <w:bookmarkEnd w:id="13"/>
      <w:r w:rsidR="00491B3A" w:rsidRPr="00497F10">
        <w:t xml:space="preserve"> </w:t>
      </w:r>
    </w:p>
    <w:p w:rsidR="00B60939" w:rsidRPr="00882085" w:rsidRDefault="00B60939" w:rsidP="006E4BDB">
      <w:pPr>
        <w:keepNext/>
        <w:widowControl/>
        <w:ind w:left="720" w:hanging="720"/>
        <w:rPr>
          <w:szCs w:val="22"/>
        </w:rPr>
      </w:pPr>
    </w:p>
    <w:p w:rsidR="00B60939" w:rsidRPr="006973E5" w:rsidRDefault="006973E5" w:rsidP="006E4BDB">
      <w:pPr>
        <w:pStyle w:val="ListParagraph"/>
        <w:widowControl/>
        <w:numPr>
          <w:ilvl w:val="1"/>
          <w:numId w:val="2"/>
        </w:numPr>
        <w:rPr>
          <w:szCs w:val="22"/>
        </w:rPr>
      </w:pPr>
      <w:r w:rsidRPr="00B24578">
        <w:t xml:space="preserve">The submission included a cost-utility analysis (CUA) of etanercept versus usual care. </w:t>
      </w:r>
      <w:r w:rsidR="00043A11" w:rsidRPr="00352DF7">
        <w:t>The following table</w:t>
      </w:r>
      <w:r w:rsidR="000E0CC1">
        <w:t>s present</w:t>
      </w:r>
      <w:r w:rsidR="00043A11" w:rsidRPr="00352DF7">
        <w:t xml:space="preserve"> a summary of the structure</w:t>
      </w:r>
      <w:r w:rsidR="00422E8D">
        <w:t xml:space="preserve">, </w:t>
      </w:r>
      <w:r w:rsidR="00043A11" w:rsidRPr="00352DF7">
        <w:t>rationale of the model</w:t>
      </w:r>
      <w:r w:rsidR="000E0CC1">
        <w:t xml:space="preserve"> and key drivers of the model</w:t>
      </w:r>
      <w:r w:rsidR="00043A11" w:rsidRPr="00352DF7">
        <w:t xml:space="preserve">. </w:t>
      </w:r>
    </w:p>
    <w:p w:rsidR="00275C5A" w:rsidRDefault="00275C5A" w:rsidP="006E4BDB">
      <w:pPr>
        <w:widowControl/>
        <w:rPr>
          <w:szCs w:val="22"/>
        </w:rPr>
      </w:pPr>
    </w:p>
    <w:p w:rsidR="00D06FD4" w:rsidRDefault="00D06FD4" w:rsidP="006E4BDB">
      <w:pPr>
        <w:keepNext/>
        <w:widowControl/>
        <w:ind w:firstLine="720"/>
        <w:rPr>
          <w:rStyle w:val="CommentReference"/>
        </w:rPr>
      </w:pPr>
      <w:r w:rsidRPr="00A56B6A">
        <w:rPr>
          <w:rStyle w:val="CommentReference"/>
        </w:rPr>
        <w:t xml:space="preserve">Table </w:t>
      </w:r>
      <w:r w:rsidR="003C56C1">
        <w:rPr>
          <w:rStyle w:val="CommentReference"/>
        </w:rPr>
        <w:t>8</w:t>
      </w:r>
      <w:r w:rsidR="007C6C27" w:rsidRPr="00A56B6A">
        <w:rPr>
          <w:rStyle w:val="CommentReference"/>
        </w:rPr>
        <w:t xml:space="preserve">: </w:t>
      </w:r>
      <w:r w:rsidRPr="00A56B6A">
        <w:rPr>
          <w:rStyle w:val="CommentReference"/>
        </w:rPr>
        <w:t>Summary of model structure and rationale</w:t>
      </w:r>
    </w:p>
    <w:tbl>
      <w:tblPr>
        <w:tblW w:w="832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48"/>
        <w:gridCol w:w="6776"/>
      </w:tblGrid>
      <w:tr w:rsidR="006973E5" w:rsidRPr="004E2ADC" w:rsidTr="00B679DC">
        <w:trPr>
          <w:trHeight w:val="240"/>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Time horizon</w:t>
            </w:r>
          </w:p>
        </w:tc>
        <w:tc>
          <w:tcPr>
            <w:tcW w:w="6776" w:type="dxa"/>
            <w:shd w:val="clear" w:color="auto" w:fill="auto"/>
          </w:tcPr>
          <w:p w:rsidR="006973E5" w:rsidRPr="00A26376" w:rsidRDefault="006973E5" w:rsidP="006E4BDB">
            <w:pPr>
              <w:keepNext/>
              <w:widowControl/>
              <w:rPr>
                <w:rFonts w:ascii="Arial Narrow" w:hAnsi="Arial Narrow"/>
                <w:sz w:val="20"/>
              </w:rPr>
            </w:pPr>
            <w:r w:rsidRPr="00A26376">
              <w:rPr>
                <w:rFonts w:ascii="Arial Narrow" w:hAnsi="Arial Narrow"/>
                <w:sz w:val="20"/>
              </w:rPr>
              <w:t>10 years based on 12 weeks of randomised data from Trial 1031</w:t>
            </w:r>
          </w:p>
        </w:tc>
      </w:tr>
      <w:tr w:rsidR="006973E5" w:rsidRPr="004E2ADC" w:rsidTr="00B679DC">
        <w:trPr>
          <w:trHeight w:val="209"/>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Outcomes</w:t>
            </w:r>
          </w:p>
        </w:tc>
        <w:tc>
          <w:tcPr>
            <w:tcW w:w="6776" w:type="dxa"/>
            <w:shd w:val="clear" w:color="auto" w:fill="auto"/>
          </w:tcPr>
          <w:p w:rsidR="006973E5" w:rsidRPr="00A26376" w:rsidRDefault="006973E5" w:rsidP="006E4BDB">
            <w:pPr>
              <w:keepNext/>
              <w:widowControl/>
              <w:rPr>
                <w:rFonts w:ascii="Arial Narrow" w:hAnsi="Arial Narrow"/>
                <w:sz w:val="20"/>
              </w:rPr>
            </w:pPr>
            <w:r w:rsidRPr="00A26376">
              <w:rPr>
                <w:rFonts w:ascii="Arial Narrow" w:hAnsi="Arial Narrow"/>
                <w:sz w:val="20"/>
              </w:rPr>
              <w:t>QALYs derived from Trial 1031 EQ-5D scores</w:t>
            </w:r>
          </w:p>
        </w:tc>
      </w:tr>
      <w:tr w:rsidR="006973E5" w:rsidRPr="004E2ADC" w:rsidTr="00B679DC">
        <w:trPr>
          <w:trHeight w:val="471"/>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Methods used to generate results</w:t>
            </w:r>
          </w:p>
        </w:tc>
        <w:tc>
          <w:tcPr>
            <w:tcW w:w="6776" w:type="dxa"/>
            <w:shd w:val="clear" w:color="auto" w:fill="auto"/>
          </w:tcPr>
          <w:p w:rsidR="006973E5" w:rsidRPr="004E2ADC" w:rsidRDefault="006973E5" w:rsidP="006E4BDB">
            <w:pPr>
              <w:keepNext/>
              <w:widowControl/>
              <w:rPr>
                <w:rFonts w:ascii="Arial Narrow" w:hAnsi="Arial Narrow"/>
                <w:color w:val="3366FF"/>
                <w:sz w:val="20"/>
              </w:rPr>
            </w:pPr>
            <w:r w:rsidRPr="00BB7356">
              <w:rPr>
                <w:rFonts w:ascii="Arial Narrow" w:hAnsi="Arial Narrow"/>
                <w:sz w:val="20"/>
              </w:rPr>
              <w:t>Cohort expected value analysis</w:t>
            </w:r>
          </w:p>
        </w:tc>
      </w:tr>
      <w:tr w:rsidR="006973E5" w:rsidRPr="004E2ADC" w:rsidTr="00B679DC">
        <w:trPr>
          <w:trHeight w:val="225"/>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Cycle length</w:t>
            </w:r>
          </w:p>
        </w:tc>
        <w:tc>
          <w:tcPr>
            <w:tcW w:w="6776" w:type="dxa"/>
            <w:shd w:val="clear" w:color="auto" w:fill="auto"/>
          </w:tcPr>
          <w:p w:rsidR="006973E5" w:rsidRPr="004E2ADC" w:rsidRDefault="006973E5" w:rsidP="006E4BDB">
            <w:pPr>
              <w:keepNext/>
              <w:widowControl/>
              <w:rPr>
                <w:rFonts w:ascii="Arial Narrow" w:hAnsi="Arial Narrow"/>
                <w:color w:val="3366FF"/>
                <w:sz w:val="20"/>
              </w:rPr>
            </w:pPr>
            <w:r w:rsidRPr="00BB7356">
              <w:rPr>
                <w:rFonts w:ascii="Arial Narrow" w:hAnsi="Arial Narrow"/>
                <w:sz w:val="20"/>
              </w:rPr>
              <w:t>5 cycles of varying lengths (12 weeks; 24 weeks; 28 weeks), half cycle correction applied.</w:t>
            </w:r>
          </w:p>
        </w:tc>
      </w:tr>
      <w:tr w:rsidR="006973E5" w:rsidRPr="004E2ADC" w:rsidTr="00B679DC">
        <w:trPr>
          <w:trHeight w:val="448"/>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Transition probabilities</w:t>
            </w:r>
          </w:p>
        </w:tc>
        <w:tc>
          <w:tcPr>
            <w:tcW w:w="6776" w:type="dxa"/>
            <w:shd w:val="clear" w:color="auto" w:fill="auto"/>
          </w:tcPr>
          <w:p w:rsidR="006973E5" w:rsidRPr="004E2ADC" w:rsidRDefault="006973E5" w:rsidP="006E4BDB">
            <w:pPr>
              <w:keepNext/>
              <w:widowControl/>
              <w:rPr>
                <w:rFonts w:ascii="Arial Narrow" w:hAnsi="Arial Narrow"/>
                <w:color w:val="3366FF"/>
                <w:sz w:val="20"/>
              </w:rPr>
            </w:pPr>
            <w:r>
              <w:rPr>
                <w:rFonts w:ascii="Arial Narrow" w:hAnsi="Arial Narrow"/>
                <w:sz w:val="20"/>
              </w:rPr>
              <w:t>Transition to death based on AIHW mortality tables; etanercept treatment discontin</w:t>
            </w:r>
            <w:r w:rsidR="00C8341C">
              <w:rPr>
                <w:rFonts w:ascii="Arial Narrow" w:hAnsi="Arial Narrow"/>
                <w:sz w:val="20"/>
              </w:rPr>
              <w:t>uation based on Trial 1031 data</w:t>
            </w:r>
            <w:r>
              <w:rPr>
                <w:rFonts w:ascii="Arial Narrow" w:hAnsi="Arial Narrow"/>
                <w:sz w:val="20"/>
              </w:rPr>
              <w:t xml:space="preserve"> and assumptions.</w:t>
            </w:r>
          </w:p>
        </w:tc>
      </w:tr>
      <w:tr w:rsidR="006973E5" w:rsidRPr="004E2ADC" w:rsidTr="00B679DC">
        <w:trPr>
          <w:trHeight w:val="240"/>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Discount rate</w:t>
            </w:r>
          </w:p>
        </w:tc>
        <w:tc>
          <w:tcPr>
            <w:tcW w:w="6776" w:type="dxa"/>
            <w:shd w:val="clear" w:color="auto" w:fill="auto"/>
          </w:tcPr>
          <w:p w:rsidR="006973E5" w:rsidRPr="00CC6118" w:rsidRDefault="006973E5" w:rsidP="006E4BDB">
            <w:pPr>
              <w:keepNext/>
              <w:widowControl/>
              <w:rPr>
                <w:rFonts w:ascii="Arial Narrow" w:hAnsi="Arial Narrow"/>
                <w:sz w:val="20"/>
              </w:rPr>
            </w:pPr>
            <w:r w:rsidRPr="00CC6118">
              <w:rPr>
                <w:rFonts w:ascii="Arial Narrow" w:hAnsi="Arial Narrow"/>
                <w:sz w:val="20"/>
              </w:rPr>
              <w:t>5% for costs and outcomes</w:t>
            </w:r>
          </w:p>
        </w:tc>
      </w:tr>
      <w:tr w:rsidR="006973E5" w:rsidRPr="004E2ADC" w:rsidTr="00B679DC">
        <w:trPr>
          <w:trHeight w:val="225"/>
        </w:trPr>
        <w:tc>
          <w:tcPr>
            <w:tcW w:w="1548" w:type="dxa"/>
            <w:shd w:val="clear" w:color="auto" w:fill="auto"/>
          </w:tcPr>
          <w:p w:rsidR="006973E5" w:rsidRPr="004E2ADC" w:rsidRDefault="006973E5" w:rsidP="006E4BDB">
            <w:pPr>
              <w:keepNext/>
              <w:widowControl/>
              <w:rPr>
                <w:rFonts w:ascii="Arial Narrow" w:hAnsi="Arial Narrow"/>
                <w:sz w:val="20"/>
              </w:rPr>
            </w:pPr>
            <w:r w:rsidRPr="004E2ADC">
              <w:rPr>
                <w:rFonts w:ascii="Arial Narrow" w:hAnsi="Arial Narrow"/>
                <w:sz w:val="20"/>
              </w:rPr>
              <w:t>Software package</w:t>
            </w:r>
          </w:p>
        </w:tc>
        <w:tc>
          <w:tcPr>
            <w:tcW w:w="6776" w:type="dxa"/>
            <w:shd w:val="clear" w:color="auto" w:fill="auto"/>
          </w:tcPr>
          <w:p w:rsidR="006973E5" w:rsidRPr="00CC6118" w:rsidRDefault="006973E5" w:rsidP="006E4BDB">
            <w:pPr>
              <w:keepNext/>
              <w:widowControl/>
              <w:rPr>
                <w:rFonts w:ascii="Arial Narrow" w:hAnsi="Arial Narrow"/>
                <w:sz w:val="20"/>
              </w:rPr>
            </w:pPr>
            <w:r w:rsidRPr="00CC6118">
              <w:rPr>
                <w:rFonts w:ascii="Arial Narrow" w:hAnsi="Arial Narrow"/>
                <w:sz w:val="20"/>
              </w:rPr>
              <w:t>Excel 2010</w:t>
            </w:r>
          </w:p>
        </w:tc>
      </w:tr>
    </w:tbl>
    <w:p w:rsidR="00D06FD4" w:rsidRPr="00275C5A" w:rsidRDefault="00D06FD4" w:rsidP="006E4BDB">
      <w:pPr>
        <w:pStyle w:val="TableFooter"/>
        <w:widowControl/>
        <w:ind w:firstLine="720"/>
      </w:pPr>
      <w:r w:rsidRPr="00275C5A">
        <w:t>Source: compiled during the evaluation</w:t>
      </w:r>
    </w:p>
    <w:p w:rsidR="00CB396E" w:rsidRDefault="00CB396E">
      <w:pPr>
        <w:widowControl/>
        <w:jc w:val="left"/>
        <w:rPr>
          <w:szCs w:val="22"/>
        </w:rPr>
      </w:pPr>
      <w:r>
        <w:rPr>
          <w:szCs w:val="22"/>
        </w:rPr>
        <w:br w:type="page"/>
      </w:r>
    </w:p>
    <w:p w:rsidR="000E0CC1" w:rsidRDefault="000E0CC1" w:rsidP="006E4BDB">
      <w:pPr>
        <w:widowControl/>
        <w:rPr>
          <w:szCs w:val="22"/>
        </w:rPr>
      </w:pPr>
    </w:p>
    <w:p w:rsidR="000E0CC1" w:rsidRDefault="000E0CC1" w:rsidP="006E4BDB">
      <w:pPr>
        <w:widowControl/>
        <w:ind w:firstLine="720"/>
        <w:rPr>
          <w:rStyle w:val="CommentReference"/>
        </w:rPr>
      </w:pPr>
      <w:r w:rsidRPr="00A56B6A">
        <w:rPr>
          <w:rStyle w:val="CommentReference"/>
        </w:rPr>
        <w:t xml:space="preserve">Table </w:t>
      </w:r>
      <w:r w:rsidR="003C56C1">
        <w:rPr>
          <w:rStyle w:val="CommentReference"/>
        </w:rPr>
        <w:t>9</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4820"/>
        <w:gridCol w:w="1966"/>
      </w:tblGrid>
      <w:tr w:rsidR="000E0CC1" w:rsidRPr="00E2771E" w:rsidTr="00264C12">
        <w:trPr>
          <w:tblHeader/>
        </w:trPr>
        <w:tc>
          <w:tcPr>
            <w:tcW w:w="934" w:type="pct"/>
            <w:shd w:val="clear" w:color="auto" w:fill="auto"/>
            <w:vAlign w:val="center"/>
          </w:tcPr>
          <w:p w:rsidR="000E0CC1" w:rsidRPr="00E2771E" w:rsidRDefault="000E0CC1" w:rsidP="006E4BDB">
            <w:pPr>
              <w:widowControl/>
              <w:jc w:val="left"/>
              <w:rPr>
                <w:rFonts w:ascii="Arial Narrow" w:hAnsi="Arial Narrow"/>
                <w:b/>
                <w:sz w:val="20"/>
                <w:lang w:val="en-US"/>
              </w:rPr>
            </w:pPr>
            <w:r w:rsidRPr="00E2771E">
              <w:rPr>
                <w:rFonts w:ascii="Arial Narrow" w:hAnsi="Arial Narrow"/>
                <w:b/>
                <w:sz w:val="20"/>
                <w:lang w:val="en-US"/>
              </w:rPr>
              <w:t>Description</w:t>
            </w:r>
          </w:p>
        </w:tc>
        <w:tc>
          <w:tcPr>
            <w:tcW w:w="2888" w:type="pct"/>
            <w:shd w:val="clear" w:color="auto" w:fill="auto"/>
            <w:vAlign w:val="center"/>
          </w:tcPr>
          <w:p w:rsidR="000E0CC1" w:rsidRPr="00E2771E" w:rsidRDefault="000E0CC1" w:rsidP="006E4BDB">
            <w:pPr>
              <w:widowControl/>
              <w:jc w:val="center"/>
              <w:rPr>
                <w:rFonts w:ascii="Arial Narrow" w:hAnsi="Arial Narrow"/>
                <w:b/>
                <w:sz w:val="20"/>
                <w:lang w:val="en-US"/>
              </w:rPr>
            </w:pPr>
            <w:r w:rsidRPr="00E2771E">
              <w:rPr>
                <w:rFonts w:ascii="Arial Narrow" w:hAnsi="Arial Narrow"/>
                <w:b/>
                <w:sz w:val="20"/>
                <w:lang w:val="en-US"/>
              </w:rPr>
              <w:t>Method/Value</w:t>
            </w:r>
          </w:p>
        </w:tc>
        <w:tc>
          <w:tcPr>
            <w:tcW w:w="1178" w:type="pct"/>
            <w:shd w:val="clear" w:color="auto" w:fill="auto"/>
            <w:vAlign w:val="center"/>
          </w:tcPr>
          <w:p w:rsidR="000E0CC1" w:rsidRPr="00E2771E" w:rsidRDefault="000E0CC1" w:rsidP="006E4BDB">
            <w:pPr>
              <w:widowControl/>
              <w:jc w:val="center"/>
              <w:rPr>
                <w:rFonts w:ascii="Arial Narrow" w:hAnsi="Arial Narrow"/>
                <w:b/>
                <w:sz w:val="20"/>
                <w:lang w:val="en-US"/>
              </w:rPr>
            </w:pPr>
            <w:r w:rsidRPr="00E2771E">
              <w:rPr>
                <w:rFonts w:ascii="Arial Narrow" w:hAnsi="Arial Narrow"/>
                <w:b/>
                <w:sz w:val="20"/>
                <w:lang w:val="en-US"/>
              </w:rPr>
              <w:t>Impact</w:t>
            </w:r>
          </w:p>
        </w:tc>
      </w:tr>
      <w:tr w:rsidR="000E0CC1" w:rsidRPr="00E2771E" w:rsidTr="00264C12">
        <w:tc>
          <w:tcPr>
            <w:tcW w:w="934" w:type="pct"/>
            <w:shd w:val="clear" w:color="auto" w:fill="auto"/>
            <w:vAlign w:val="center"/>
          </w:tcPr>
          <w:p w:rsidR="000E0CC1" w:rsidRPr="00E2771E" w:rsidRDefault="000E0CC1" w:rsidP="006E4BDB">
            <w:pPr>
              <w:widowControl/>
              <w:jc w:val="left"/>
              <w:rPr>
                <w:rFonts w:ascii="Arial Narrow" w:hAnsi="Arial Narrow"/>
                <w:sz w:val="20"/>
                <w:lang w:val="en-US"/>
              </w:rPr>
            </w:pPr>
            <w:r w:rsidRPr="00E2771E">
              <w:rPr>
                <w:rFonts w:ascii="Arial Narrow" w:hAnsi="Arial Narrow"/>
                <w:sz w:val="20"/>
                <w:lang w:val="en-US"/>
              </w:rPr>
              <w:t>Time horizon</w:t>
            </w:r>
          </w:p>
        </w:tc>
        <w:tc>
          <w:tcPr>
            <w:tcW w:w="2888" w:type="pct"/>
            <w:shd w:val="clear" w:color="auto" w:fill="auto"/>
            <w:vAlign w:val="center"/>
          </w:tcPr>
          <w:p w:rsidR="000E0CC1" w:rsidRPr="00E2771E" w:rsidRDefault="000E0CC1" w:rsidP="006E4BDB">
            <w:pPr>
              <w:widowControl/>
              <w:jc w:val="center"/>
              <w:rPr>
                <w:rFonts w:ascii="Arial Narrow" w:hAnsi="Arial Narrow"/>
                <w:sz w:val="20"/>
                <w:lang w:val="en-US"/>
              </w:rPr>
            </w:pPr>
            <w:r>
              <w:rPr>
                <w:rFonts w:ascii="Arial Narrow" w:hAnsi="Arial Narrow"/>
                <w:sz w:val="20"/>
                <w:lang w:val="en-US"/>
              </w:rPr>
              <w:t xml:space="preserve">10 </w:t>
            </w:r>
            <w:r w:rsidRPr="00E2771E">
              <w:rPr>
                <w:rFonts w:ascii="Arial Narrow" w:hAnsi="Arial Narrow"/>
                <w:sz w:val="20"/>
                <w:lang w:val="en-US"/>
              </w:rPr>
              <w:t xml:space="preserve">years; assumed from </w:t>
            </w:r>
            <w:r>
              <w:rPr>
                <w:rFonts w:ascii="Arial Narrow" w:hAnsi="Arial Narrow"/>
                <w:sz w:val="20"/>
                <w:lang w:val="en-US"/>
              </w:rPr>
              <w:t>2 years of trial data and 12 weeks of utility data</w:t>
            </w:r>
            <w:r w:rsidRPr="00E2771E">
              <w:rPr>
                <w:rFonts w:ascii="Arial Narrow" w:hAnsi="Arial Narrow"/>
                <w:sz w:val="20"/>
                <w:lang w:val="en-US"/>
              </w:rPr>
              <w:t xml:space="preserve"> </w:t>
            </w:r>
          </w:p>
        </w:tc>
        <w:tc>
          <w:tcPr>
            <w:tcW w:w="1178" w:type="pct"/>
            <w:shd w:val="clear" w:color="auto" w:fill="auto"/>
            <w:vAlign w:val="center"/>
          </w:tcPr>
          <w:p w:rsidR="000E0CC1" w:rsidRPr="00E2771E" w:rsidRDefault="000E0CC1" w:rsidP="006E4BDB">
            <w:pPr>
              <w:widowControl/>
              <w:jc w:val="center"/>
              <w:rPr>
                <w:rFonts w:ascii="Arial Narrow" w:hAnsi="Arial Narrow"/>
                <w:sz w:val="20"/>
                <w:lang w:val="en-US"/>
              </w:rPr>
            </w:pPr>
            <w:r w:rsidRPr="00E2771E">
              <w:rPr>
                <w:rFonts w:ascii="Arial Narrow" w:hAnsi="Arial Narrow"/>
                <w:sz w:val="20"/>
                <w:lang w:val="en-US"/>
              </w:rPr>
              <w:t xml:space="preserve">High, </w:t>
            </w:r>
            <w:r w:rsidRPr="00C8341C">
              <w:rPr>
                <w:rFonts w:ascii="Arial Narrow" w:hAnsi="Arial Narrow"/>
                <w:sz w:val="20"/>
              </w:rPr>
              <w:t>favours</w:t>
            </w:r>
            <w:r>
              <w:rPr>
                <w:rFonts w:ascii="Arial Narrow" w:hAnsi="Arial Narrow"/>
                <w:sz w:val="20"/>
                <w:lang w:val="en-US"/>
              </w:rPr>
              <w:t xml:space="preserve"> etanercept</w:t>
            </w:r>
          </w:p>
        </w:tc>
      </w:tr>
      <w:tr w:rsidR="000E0CC1" w:rsidRPr="00E2771E" w:rsidTr="00264C12">
        <w:tc>
          <w:tcPr>
            <w:tcW w:w="934" w:type="pct"/>
            <w:shd w:val="clear" w:color="auto" w:fill="auto"/>
            <w:vAlign w:val="center"/>
          </w:tcPr>
          <w:p w:rsidR="000E0CC1" w:rsidRPr="00E2771E" w:rsidRDefault="000E0CC1" w:rsidP="006E4BDB">
            <w:pPr>
              <w:widowControl/>
              <w:jc w:val="left"/>
              <w:rPr>
                <w:rFonts w:ascii="Arial Narrow" w:hAnsi="Arial Narrow"/>
                <w:sz w:val="20"/>
                <w:lang w:val="en-US"/>
              </w:rPr>
            </w:pPr>
            <w:r>
              <w:rPr>
                <w:rFonts w:ascii="Arial Narrow" w:hAnsi="Arial Narrow"/>
                <w:sz w:val="20"/>
                <w:lang w:val="en-US"/>
              </w:rPr>
              <w:t>Extrapolation</w:t>
            </w:r>
          </w:p>
        </w:tc>
        <w:tc>
          <w:tcPr>
            <w:tcW w:w="2888" w:type="pct"/>
            <w:shd w:val="clear" w:color="auto" w:fill="auto"/>
            <w:vAlign w:val="center"/>
          </w:tcPr>
          <w:p w:rsidR="000E0CC1" w:rsidRPr="00E2771E" w:rsidRDefault="000E0CC1" w:rsidP="006E4BDB">
            <w:pPr>
              <w:widowControl/>
              <w:jc w:val="center"/>
              <w:rPr>
                <w:rFonts w:ascii="Arial Narrow" w:hAnsi="Arial Narrow"/>
                <w:sz w:val="20"/>
                <w:lang w:val="en-US"/>
              </w:rPr>
            </w:pPr>
            <w:r>
              <w:rPr>
                <w:rFonts w:ascii="Arial Narrow" w:hAnsi="Arial Narrow"/>
                <w:sz w:val="20"/>
                <w:lang w:val="en-US"/>
              </w:rPr>
              <w:t>Assume</w:t>
            </w:r>
            <w:r w:rsidR="00C720D6">
              <w:rPr>
                <w:rFonts w:ascii="Arial Narrow" w:hAnsi="Arial Narrow"/>
                <w:sz w:val="20"/>
                <w:lang w:val="en-US"/>
              </w:rPr>
              <w:t>d</w:t>
            </w:r>
            <w:r>
              <w:rPr>
                <w:rFonts w:ascii="Arial Narrow" w:hAnsi="Arial Narrow"/>
                <w:sz w:val="20"/>
                <w:lang w:val="en-US"/>
              </w:rPr>
              <w:t xml:space="preserve"> 12 week utility increment is maintained for 10 years</w:t>
            </w:r>
          </w:p>
        </w:tc>
        <w:tc>
          <w:tcPr>
            <w:tcW w:w="1178" w:type="pct"/>
            <w:shd w:val="clear" w:color="auto" w:fill="auto"/>
            <w:vAlign w:val="center"/>
          </w:tcPr>
          <w:p w:rsidR="000E0CC1" w:rsidRPr="00E2771E" w:rsidRDefault="000E0CC1" w:rsidP="006E4BDB">
            <w:pPr>
              <w:widowControl/>
              <w:jc w:val="center"/>
              <w:rPr>
                <w:rFonts w:ascii="Arial Narrow" w:hAnsi="Arial Narrow"/>
                <w:sz w:val="20"/>
                <w:lang w:val="en-US"/>
              </w:rPr>
            </w:pPr>
            <w:r>
              <w:rPr>
                <w:rFonts w:ascii="Arial Narrow" w:hAnsi="Arial Narrow"/>
                <w:sz w:val="20"/>
                <w:lang w:val="en-US"/>
              </w:rPr>
              <w:t xml:space="preserve">High, </w:t>
            </w:r>
            <w:r w:rsidRPr="00C8341C">
              <w:rPr>
                <w:rFonts w:ascii="Arial Narrow" w:hAnsi="Arial Narrow"/>
                <w:sz w:val="20"/>
              </w:rPr>
              <w:t>favours</w:t>
            </w:r>
            <w:r>
              <w:rPr>
                <w:rFonts w:ascii="Arial Narrow" w:hAnsi="Arial Narrow"/>
                <w:sz w:val="20"/>
                <w:lang w:val="en-US"/>
              </w:rPr>
              <w:t xml:space="preserve"> etanercept</w:t>
            </w:r>
          </w:p>
        </w:tc>
      </w:tr>
    </w:tbl>
    <w:p w:rsidR="000E0CC1" w:rsidRPr="00D110BD" w:rsidRDefault="000E0CC1" w:rsidP="006E4BDB">
      <w:pPr>
        <w:pStyle w:val="TableFooter"/>
        <w:widowControl/>
        <w:ind w:firstLine="720"/>
      </w:pPr>
      <w:r w:rsidRPr="00D110BD">
        <w:t>Source: compiled during the evaluation</w:t>
      </w:r>
    </w:p>
    <w:p w:rsidR="0016358C" w:rsidRDefault="0016358C" w:rsidP="006E4BDB">
      <w:pPr>
        <w:pStyle w:val="ListParagraph"/>
        <w:widowControl/>
        <w:rPr>
          <w:szCs w:val="22"/>
        </w:rPr>
      </w:pPr>
    </w:p>
    <w:p w:rsidR="0016358C" w:rsidRPr="002F530D" w:rsidRDefault="0016358C" w:rsidP="006E4BDB">
      <w:pPr>
        <w:pStyle w:val="ListParagraph"/>
        <w:widowControl/>
        <w:numPr>
          <w:ilvl w:val="1"/>
          <w:numId w:val="2"/>
        </w:numPr>
        <w:rPr>
          <w:color w:val="FF0000"/>
          <w:szCs w:val="22"/>
        </w:rPr>
      </w:pPr>
      <w:r w:rsidRPr="002F530D">
        <w:t xml:space="preserve">The model was based on significant assumptions, particularly about sustained treatment effect and utility benefit in the long term. Given the lack of available </w:t>
      </w:r>
      <w:r w:rsidRPr="002F530D">
        <w:rPr>
          <w:szCs w:val="22"/>
        </w:rPr>
        <w:t>evidence on nr-axSpA natural history and progression over time</w:t>
      </w:r>
      <w:r w:rsidRPr="002F530D">
        <w:t>, it would be difficult to create an accurate or useful model in this context. Nevertheless, the</w:t>
      </w:r>
      <w:r w:rsidR="0022012F">
        <w:t xml:space="preserve"> evaluation considered that the</w:t>
      </w:r>
      <w:r w:rsidRPr="002F530D">
        <w:t xml:space="preserve"> re</w:t>
      </w:r>
      <w:r w:rsidRPr="002F530D">
        <w:noBreakHyphen/>
        <w:t>submission’s measures of effect, which drive the model, were likely overestimated.</w:t>
      </w:r>
    </w:p>
    <w:p w:rsidR="0016358C" w:rsidRPr="002F530D" w:rsidRDefault="0016358C" w:rsidP="006E4BDB">
      <w:pPr>
        <w:pStyle w:val="ListParagraph"/>
        <w:widowControl/>
        <w:rPr>
          <w:szCs w:val="22"/>
        </w:rPr>
      </w:pPr>
    </w:p>
    <w:p w:rsidR="00043A11" w:rsidRPr="002F530D" w:rsidRDefault="002D42A9" w:rsidP="006E4BDB">
      <w:pPr>
        <w:pStyle w:val="ListParagraph"/>
        <w:widowControl/>
        <w:numPr>
          <w:ilvl w:val="1"/>
          <w:numId w:val="2"/>
        </w:numPr>
        <w:rPr>
          <w:szCs w:val="22"/>
        </w:rPr>
      </w:pPr>
      <w:r w:rsidRPr="002F530D">
        <w:rPr>
          <w:szCs w:val="22"/>
        </w:rPr>
        <w:t xml:space="preserve">As requested </w:t>
      </w:r>
      <w:r w:rsidR="001E7213" w:rsidRPr="002F530D">
        <w:rPr>
          <w:szCs w:val="22"/>
        </w:rPr>
        <w:t xml:space="preserve">by the PBAC, the re-submission </w:t>
      </w:r>
      <w:r w:rsidRPr="002F530D">
        <w:rPr>
          <w:szCs w:val="22"/>
        </w:rPr>
        <w:t xml:space="preserve">increased the time </w:t>
      </w:r>
      <w:r w:rsidR="00EB56E1" w:rsidRPr="002F530D">
        <w:rPr>
          <w:szCs w:val="22"/>
        </w:rPr>
        <w:t>horizon to 10 </w:t>
      </w:r>
      <w:r w:rsidRPr="002F530D">
        <w:rPr>
          <w:szCs w:val="22"/>
        </w:rPr>
        <w:t xml:space="preserve">years. </w:t>
      </w:r>
      <w:r w:rsidR="00043A11" w:rsidRPr="002F530D">
        <w:t>The model was organised into two phases</w:t>
      </w:r>
      <w:r w:rsidR="0022012F">
        <w:t>:</w:t>
      </w:r>
      <w:r w:rsidR="00043A11" w:rsidRPr="002F530D">
        <w:t xml:space="preserve"> </w:t>
      </w:r>
      <w:r w:rsidR="0022012F">
        <w:t>t</w:t>
      </w:r>
      <w:r w:rsidR="00043A11" w:rsidRPr="002F530D">
        <w:t>he first phase was structurally identical to the two-year model of the original submission</w:t>
      </w:r>
      <w:r w:rsidR="0022012F">
        <w:t xml:space="preserve">; </w:t>
      </w:r>
      <w:r w:rsidR="0080655E">
        <w:t xml:space="preserve">and </w:t>
      </w:r>
      <w:r w:rsidR="0080655E" w:rsidRPr="002F530D">
        <w:t>the</w:t>
      </w:r>
      <w:r w:rsidR="00043A11" w:rsidRPr="002F530D">
        <w:t xml:space="preserve"> second phase extrapolated costs and effects to 10 years. Because treatment with etanercept and nr-axSpA could be expected to last decades, the 10-year time horizon is still short in the context of the indication. However, the absence of long-term clinical evidence poses challenges of extrapolation to a 10-year time horizon. One major issue of the re</w:t>
      </w:r>
      <w:r w:rsidRPr="002F530D">
        <w:noBreakHyphen/>
      </w:r>
      <w:r w:rsidR="00043A11" w:rsidRPr="002F530D">
        <w:t>submission’s extrapolation is that treatment effect is assumed to be maintained for the entire duration of the model.</w:t>
      </w:r>
    </w:p>
    <w:p w:rsidR="00043A11" w:rsidRPr="002F530D" w:rsidRDefault="00043A11" w:rsidP="006E4BDB">
      <w:pPr>
        <w:pStyle w:val="Subtitle"/>
        <w:numPr>
          <w:ilvl w:val="0"/>
          <w:numId w:val="4"/>
        </w:numPr>
        <w:ind w:left="993" w:hanging="284"/>
        <w:rPr>
          <w:rFonts w:ascii="Arial" w:hAnsi="Arial" w:cs="Arial"/>
          <w:b w:val="0"/>
          <w:sz w:val="22"/>
          <w:szCs w:val="22"/>
        </w:rPr>
      </w:pPr>
      <w:r w:rsidRPr="002F530D">
        <w:rPr>
          <w:rFonts w:ascii="Arial" w:hAnsi="Arial" w:cs="Arial"/>
          <w:b w:val="0"/>
          <w:sz w:val="22"/>
          <w:szCs w:val="22"/>
        </w:rPr>
        <w:t xml:space="preserve">The PSCR (p2) acknowledged the concerns regarding the 10-year time horizon, but considered that the assumptions made “were both conservative and shielded the ICER from the uncertainty”. </w:t>
      </w:r>
    </w:p>
    <w:p w:rsidR="00ED4CA7" w:rsidRDefault="00043A11" w:rsidP="00ED4CA7">
      <w:pPr>
        <w:pStyle w:val="Subtitle"/>
        <w:numPr>
          <w:ilvl w:val="0"/>
          <w:numId w:val="4"/>
        </w:numPr>
        <w:ind w:left="993" w:hanging="284"/>
        <w:rPr>
          <w:rFonts w:ascii="Arial" w:hAnsi="Arial" w:cs="Arial"/>
          <w:b w:val="0"/>
          <w:sz w:val="22"/>
          <w:szCs w:val="22"/>
        </w:rPr>
      </w:pPr>
      <w:r w:rsidRPr="002F530D">
        <w:rPr>
          <w:rFonts w:ascii="Arial" w:hAnsi="Arial" w:cs="Arial"/>
          <w:b w:val="0"/>
          <w:sz w:val="22"/>
          <w:szCs w:val="22"/>
        </w:rPr>
        <w:t>The ESC considered</w:t>
      </w:r>
      <w:r w:rsidR="009676C3" w:rsidRPr="002F530D">
        <w:rPr>
          <w:rFonts w:ascii="Arial" w:hAnsi="Arial" w:cs="Arial"/>
          <w:b w:val="0"/>
          <w:sz w:val="22"/>
          <w:szCs w:val="22"/>
        </w:rPr>
        <w:t xml:space="preserve"> that the 10 year time horizon wa</w:t>
      </w:r>
      <w:r w:rsidR="00C720D6" w:rsidRPr="002F530D">
        <w:rPr>
          <w:rFonts w:ascii="Arial" w:hAnsi="Arial" w:cs="Arial"/>
          <w:b w:val="0"/>
          <w:sz w:val="22"/>
          <w:szCs w:val="22"/>
        </w:rPr>
        <w:t>s not conservative as it assumed</w:t>
      </w:r>
      <w:r w:rsidRPr="002F530D">
        <w:rPr>
          <w:rFonts w:ascii="Arial" w:hAnsi="Arial" w:cs="Arial"/>
          <w:b w:val="0"/>
          <w:sz w:val="22"/>
          <w:szCs w:val="22"/>
        </w:rPr>
        <w:t xml:space="preserve"> a non-changing utility increment over 10 years, and </w:t>
      </w:r>
      <w:r w:rsidR="00ED4CA7">
        <w:rPr>
          <w:rFonts w:ascii="Arial" w:hAnsi="Arial" w:cs="Arial"/>
          <w:b w:val="0"/>
          <w:sz w:val="22"/>
          <w:szCs w:val="22"/>
        </w:rPr>
        <w:t>wa</w:t>
      </w:r>
      <w:r w:rsidRPr="002F530D">
        <w:rPr>
          <w:rFonts w:ascii="Arial" w:hAnsi="Arial" w:cs="Arial"/>
          <w:b w:val="0"/>
          <w:sz w:val="22"/>
          <w:szCs w:val="22"/>
        </w:rPr>
        <w:t>s based on a utility increment that is likely unreliable</w:t>
      </w:r>
      <w:r w:rsidR="002A2579" w:rsidRPr="002F530D">
        <w:rPr>
          <w:rFonts w:ascii="Arial" w:hAnsi="Arial" w:cs="Arial"/>
          <w:b w:val="0"/>
          <w:sz w:val="22"/>
          <w:szCs w:val="22"/>
        </w:rPr>
        <w:t xml:space="preserve"> (se</w:t>
      </w:r>
      <w:r w:rsidR="002A2579" w:rsidRPr="00547AD2">
        <w:rPr>
          <w:rFonts w:ascii="Arial" w:hAnsi="Arial" w:cs="Arial"/>
          <w:b w:val="0"/>
          <w:sz w:val="22"/>
          <w:szCs w:val="22"/>
        </w:rPr>
        <w:t>e paragraph 6.</w:t>
      </w:r>
      <w:r w:rsidR="00ED4CA7" w:rsidRPr="00547AD2">
        <w:rPr>
          <w:rFonts w:ascii="Arial" w:hAnsi="Arial" w:cs="Arial"/>
          <w:b w:val="0"/>
          <w:sz w:val="22"/>
          <w:szCs w:val="22"/>
        </w:rPr>
        <w:t>20</w:t>
      </w:r>
      <w:r w:rsidR="002A2579" w:rsidRPr="00547AD2">
        <w:rPr>
          <w:rFonts w:ascii="Arial" w:hAnsi="Arial" w:cs="Arial"/>
          <w:b w:val="0"/>
          <w:sz w:val="22"/>
          <w:szCs w:val="22"/>
        </w:rPr>
        <w:t>)</w:t>
      </w:r>
      <w:r w:rsidRPr="002F530D">
        <w:rPr>
          <w:rFonts w:ascii="Arial" w:hAnsi="Arial" w:cs="Arial"/>
          <w:b w:val="0"/>
          <w:sz w:val="22"/>
          <w:szCs w:val="22"/>
        </w:rPr>
        <w:t xml:space="preserve">. </w:t>
      </w:r>
    </w:p>
    <w:p w:rsidR="002D42A9" w:rsidRPr="00ED4CA7" w:rsidRDefault="00ED4CA7" w:rsidP="00ED4CA7">
      <w:pPr>
        <w:pStyle w:val="Subtitle"/>
        <w:numPr>
          <w:ilvl w:val="0"/>
          <w:numId w:val="4"/>
        </w:numPr>
        <w:ind w:left="993" w:hanging="284"/>
        <w:rPr>
          <w:rFonts w:ascii="Arial" w:hAnsi="Arial" w:cs="Arial"/>
          <w:b w:val="0"/>
          <w:sz w:val="22"/>
          <w:szCs w:val="22"/>
        </w:rPr>
      </w:pPr>
      <w:r>
        <w:rPr>
          <w:rFonts w:ascii="Arial" w:hAnsi="Arial" w:cs="Arial"/>
          <w:b w:val="0"/>
          <w:sz w:val="22"/>
          <w:szCs w:val="22"/>
        </w:rPr>
        <w:t>C</w:t>
      </w:r>
      <w:r w:rsidR="00043A11" w:rsidRPr="002F530D">
        <w:rPr>
          <w:rFonts w:ascii="Arial" w:hAnsi="Arial" w:cs="Arial"/>
          <w:b w:val="0"/>
          <w:sz w:val="22"/>
          <w:szCs w:val="22"/>
        </w:rPr>
        <w:t xml:space="preserve">onsidering that the issue is lack of actual evidence on natural history or long-term </w:t>
      </w:r>
      <w:r w:rsidR="00C720D6" w:rsidRPr="002F530D">
        <w:rPr>
          <w:rFonts w:ascii="Arial" w:hAnsi="Arial" w:cs="Arial"/>
          <w:b w:val="0"/>
          <w:sz w:val="22"/>
          <w:szCs w:val="22"/>
        </w:rPr>
        <w:t xml:space="preserve">effect to populate a model, </w:t>
      </w:r>
      <w:r>
        <w:rPr>
          <w:rFonts w:ascii="Arial" w:hAnsi="Arial" w:cs="Arial"/>
          <w:b w:val="0"/>
          <w:sz w:val="22"/>
          <w:szCs w:val="22"/>
        </w:rPr>
        <w:t xml:space="preserve">the ESC considered </w:t>
      </w:r>
      <w:r w:rsidR="00C720D6" w:rsidRPr="002F530D">
        <w:rPr>
          <w:rFonts w:ascii="Arial" w:hAnsi="Arial" w:cs="Arial"/>
          <w:b w:val="0"/>
          <w:sz w:val="22"/>
          <w:szCs w:val="22"/>
        </w:rPr>
        <w:t>it wa</w:t>
      </w:r>
      <w:r w:rsidR="00043A11" w:rsidRPr="002F530D">
        <w:rPr>
          <w:rFonts w:ascii="Arial" w:hAnsi="Arial" w:cs="Arial"/>
          <w:b w:val="0"/>
          <w:sz w:val="22"/>
          <w:szCs w:val="22"/>
        </w:rPr>
        <w:t>s unclear how any strategy employed by the re-submission could address uncertainty.</w:t>
      </w:r>
      <w:r>
        <w:rPr>
          <w:rFonts w:ascii="Arial" w:hAnsi="Arial" w:cs="Arial"/>
          <w:b w:val="0"/>
          <w:sz w:val="22"/>
          <w:szCs w:val="22"/>
        </w:rPr>
        <w:t xml:space="preserve"> </w:t>
      </w:r>
      <w:r w:rsidR="002D42A9" w:rsidRPr="00ED4CA7">
        <w:rPr>
          <w:rFonts w:ascii="Arial" w:hAnsi="Arial" w:cs="Arial"/>
          <w:b w:val="0"/>
          <w:sz w:val="22"/>
          <w:szCs w:val="22"/>
        </w:rPr>
        <w:t>In this regard, the ESC recalled that in March 2015, it considered that even if a longer time horizon was modelled, the economic model would still have remained unreliable.</w:t>
      </w:r>
    </w:p>
    <w:p w:rsidR="006E4BDB" w:rsidRPr="006E4BDB" w:rsidRDefault="006E4BDB" w:rsidP="006E4BDB">
      <w:pPr>
        <w:pStyle w:val="ListParagraph"/>
        <w:widowControl/>
        <w:rPr>
          <w:szCs w:val="22"/>
        </w:rPr>
      </w:pPr>
    </w:p>
    <w:p w:rsidR="000E0CC1" w:rsidRPr="002F530D" w:rsidRDefault="001E4A04" w:rsidP="006E4BDB">
      <w:pPr>
        <w:pStyle w:val="ListParagraph"/>
        <w:widowControl/>
        <w:numPr>
          <w:ilvl w:val="1"/>
          <w:numId w:val="2"/>
        </w:numPr>
        <w:rPr>
          <w:szCs w:val="22"/>
        </w:rPr>
      </w:pPr>
      <w:r w:rsidRPr="002F530D">
        <w:t>The</w:t>
      </w:r>
      <w:r w:rsidRPr="002F530D">
        <w:rPr>
          <w:color w:val="3366FF"/>
        </w:rPr>
        <w:t xml:space="preserve"> </w:t>
      </w:r>
      <w:r w:rsidRPr="002F530D">
        <w:t xml:space="preserve">model extrapolated </w:t>
      </w:r>
      <w:r w:rsidR="007F7D4C" w:rsidRPr="002F530D">
        <w:t xml:space="preserve">non-statistically significant increases in utilities between baseline and </w:t>
      </w:r>
      <w:r w:rsidRPr="002F530D">
        <w:t>12 week</w:t>
      </w:r>
      <w:r w:rsidR="007F7D4C" w:rsidRPr="002F530D">
        <w:t>s</w:t>
      </w:r>
      <w:r w:rsidRPr="002F530D">
        <w:t xml:space="preserve"> </w:t>
      </w:r>
      <w:r w:rsidR="007F7D4C" w:rsidRPr="002F530D">
        <w:t>in</w:t>
      </w:r>
      <w:r w:rsidRPr="002F530D">
        <w:t xml:space="preserve"> Trial 1031</w:t>
      </w:r>
      <w:r w:rsidR="007F7D4C" w:rsidRPr="002F530D">
        <w:t xml:space="preserve"> </w:t>
      </w:r>
      <w:r w:rsidR="007F7D4C" w:rsidRPr="002F530D">
        <w:rPr>
          <w:szCs w:val="22"/>
        </w:rPr>
        <w:t>(although a difference was observed at week 8 for the ITT population)</w:t>
      </w:r>
      <w:r w:rsidRPr="002F530D">
        <w:t xml:space="preserve"> over a </w:t>
      </w:r>
      <w:r w:rsidR="00BB3B35" w:rsidRPr="002F530D">
        <w:t>10</w:t>
      </w:r>
      <w:r w:rsidR="00F70125" w:rsidRPr="002F530D">
        <w:t> </w:t>
      </w:r>
      <w:r w:rsidRPr="002F530D">
        <w:t>year period, assuming that etanercept treatme</w:t>
      </w:r>
      <w:r w:rsidR="00BB3B35" w:rsidRPr="002F530D">
        <w:t xml:space="preserve">nt effect would remain constant. </w:t>
      </w:r>
      <w:r w:rsidR="00C720D6" w:rsidRPr="002F530D">
        <w:t xml:space="preserve">The ESC considered that these estimates were unreliable and that it was highly </w:t>
      </w:r>
      <w:r w:rsidR="00BB3B35" w:rsidRPr="002F530D">
        <w:t xml:space="preserve">unlikely that </w:t>
      </w:r>
      <w:r w:rsidR="007F7D4C" w:rsidRPr="002F530D">
        <w:t xml:space="preserve">these </w:t>
      </w:r>
      <w:r w:rsidR="00BB3B35" w:rsidRPr="002F530D">
        <w:t xml:space="preserve">trial EQ-5D scores from 12 weeks of treatment could be used to accurately model </w:t>
      </w:r>
      <w:r w:rsidR="007C6C27" w:rsidRPr="002F530D">
        <w:t xml:space="preserve">health </w:t>
      </w:r>
      <w:r w:rsidR="00BB3B35" w:rsidRPr="002F530D">
        <w:t>related quality of li</w:t>
      </w:r>
      <w:r w:rsidR="000E0CC1" w:rsidRPr="002F530D">
        <w:t>f</w:t>
      </w:r>
      <w:r w:rsidR="00BB3B35" w:rsidRPr="002F530D">
        <w:t xml:space="preserve">e over 10 years. </w:t>
      </w:r>
    </w:p>
    <w:p w:rsidR="000E0CC1" w:rsidRPr="002F530D" w:rsidRDefault="009676C3" w:rsidP="006E4BDB">
      <w:pPr>
        <w:pStyle w:val="Subtitle"/>
        <w:numPr>
          <w:ilvl w:val="0"/>
          <w:numId w:val="4"/>
        </w:numPr>
        <w:ind w:left="993" w:hanging="284"/>
        <w:rPr>
          <w:rFonts w:ascii="Arial" w:hAnsi="Arial" w:cs="Arial"/>
          <w:b w:val="0"/>
          <w:sz w:val="22"/>
          <w:szCs w:val="22"/>
        </w:rPr>
      </w:pPr>
      <w:r w:rsidRPr="002F530D">
        <w:rPr>
          <w:rFonts w:ascii="Arial" w:hAnsi="Arial" w:cs="Arial"/>
          <w:b w:val="0"/>
          <w:sz w:val="22"/>
          <w:szCs w:val="22"/>
        </w:rPr>
        <w:t xml:space="preserve">The PSCR (p2) considered that treatment effect was sustained among patients who continued treatment until 2 years, and on this basis, it was reasonable to assume </w:t>
      </w:r>
      <w:r w:rsidR="00ED4CA7">
        <w:rPr>
          <w:rFonts w:ascii="Arial" w:hAnsi="Arial" w:cs="Arial"/>
          <w:b w:val="0"/>
          <w:sz w:val="22"/>
          <w:szCs w:val="22"/>
        </w:rPr>
        <w:t xml:space="preserve">a </w:t>
      </w:r>
      <w:r w:rsidRPr="002F530D">
        <w:rPr>
          <w:rFonts w:ascii="Arial" w:hAnsi="Arial" w:cs="Arial"/>
          <w:b w:val="0"/>
          <w:sz w:val="22"/>
          <w:szCs w:val="22"/>
        </w:rPr>
        <w:t xml:space="preserve">sustained treatment effect for 10 years. </w:t>
      </w:r>
    </w:p>
    <w:p w:rsidR="00275C5A" w:rsidRPr="002F530D" w:rsidRDefault="009676C3" w:rsidP="006E4BDB">
      <w:pPr>
        <w:pStyle w:val="Subtitle"/>
        <w:numPr>
          <w:ilvl w:val="0"/>
          <w:numId w:val="4"/>
        </w:numPr>
        <w:ind w:left="993" w:hanging="284"/>
        <w:rPr>
          <w:rFonts w:ascii="Arial" w:hAnsi="Arial" w:cs="Arial"/>
          <w:b w:val="0"/>
          <w:sz w:val="22"/>
          <w:szCs w:val="22"/>
        </w:rPr>
      </w:pPr>
      <w:r w:rsidRPr="002F530D">
        <w:rPr>
          <w:rFonts w:ascii="Arial" w:hAnsi="Arial" w:cs="Arial"/>
          <w:b w:val="0"/>
          <w:sz w:val="22"/>
          <w:szCs w:val="22"/>
        </w:rPr>
        <w:t>The ESC considered that as nr-axSpA is expected to be a progressing disease, and no prevention or slowing of disease progression has been demonstrated</w:t>
      </w:r>
      <w:r w:rsidR="00C720D6" w:rsidRPr="002F530D">
        <w:rPr>
          <w:rFonts w:ascii="Arial" w:hAnsi="Arial" w:cs="Arial"/>
          <w:b w:val="0"/>
          <w:sz w:val="22"/>
          <w:szCs w:val="22"/>
        </w:rPr>
        <w:t xml:space="preserve"> with etanercept treatment, it wa</w:t>
      </w:r>
      <w:r w:rsidRPr="002F530D">
        <w:rPr>
          <w:rFonts w:ascii="Arial" w:hAnsi="Arial" w:cs="Arial"/>
          <w:b w:val="0"/>
          <w:sz w:val="22"/>
          <w:szCs w:val="22"/>
        </w:rPr>
        <w:t>s unreasonable to assume effect would be sustained</w:t>
      </w:r>
      <w:r w:rsidR="00ED4CA7">
        <w:rPr>
          <w:rFonts w:ascii="Arial" w:hAnsi="Arial" w:cs="Arial"/>
          <w:b w:val="0"/>
          <w:sz w:val="22"/>
          <w:szCs w:val="22"/>
        </w:rPr>
        <w:t xml:space="preserve"> for 10 years</w:t>
      </w:r>
      <w:r w:rsidRPr="002F530D">
        <w:rPr>
          <w:rFonts w:ascii="Arial" w:hAnsi="Arial" w:cs="Arial"/>
          <w:b w:val="0"/>
          <w:sz w:val="22"/>
          <w:szCs w:val="22"/>
        </w:rPr>
        <w:t>. F</w:t>
      </w:r>
      <w:r w:rsidR="000E0CC1" w:rsidRPr="002F530D">
        <w:rPr>
          <w:rFonts w:ascii="Arial" w:hAnsi="Arial" w:cs="Arial"/>
          <w:b w:val="0"/>
          <w:sz w:val="22"/>
          <w:szCs w:val="22"/>
        </w:rPr>
        <w:t>urthermore, the two-year data are</w:t>
      </w:r>
      <w:r w:rsidRPr="002F530D">
        <w:rPr>
          <w:rFonts w:ascii="Arial" w:hAnsi="Arial" w:cs="Arial"/>
          <w:b w:val="0"/>
          <w:sz w:val="22"/>
          <w:szCs w:val="22"/>
        </w:rPr>
        <w:t xml:space="preserve"> based on non-comparative maintenance phase evidence, and so the QALY increment that drives the model is </w:t>
      </w:r>
      <w:r w:rsidRPr="002F530D">
        <w:rPr>
          <w:rFonts w:ascii="Arial" w:hAnsi="Arial" w:cs="Arial"/>
          <w:b w:val="0"/>
          <w:sz w:val="22"/>
          <w:szCs w:val="22"/>
        </w:rPr>
        <w:lastRenderedPageBreak/>
        <w:t>actually only based on 12 weeks of data.</w:t>
      </w:r>
      <w:r w:rsidR="00823439" w:rsidRPr="002F530D">
        <w:rPr>
          <w:rFonts w:ascii="Arial" w:hAnsi="Arial" w:cs="Arial"/>
          <w:b w:val="0"/>
          <w:sz w:val="22"/>
          <w:szCs w:val="22"/>
        </w:rPr>
        <w:t xml:space="preserve"> Accordingly, t</w:t>
      </w:r>
      <w:r w:rsidR="00BB3B35" w:rsidRPr="002F530D">
        <w:rPr>
          <w:rFonts w:ascii="Arial" w:hAnsi="Arial" w:cs="Arial"/>
          <w:b w:val="0"/>
          <w:sz w:val="22"/>
          <w:szCs w:val="22"/>
        </w:rPr>
        <w:t>he</w:t>
      </w:r>
      <w:r w:rsidR="00FE2CBC" w:rsidRPr="002F530D">
        <w:rPr>
          <w:rFonts w:ascii="Arial" w:hAnsi="Arial" w:cs="Arial"/>
          <w:b w:val="0"/>
          <w:sz w:val="22"/>
          <w:szCs w:val="22"/>
        </w:rPr>
        <w:t xml:space="preserve"> ESC considered that the</w:t>
      </w:r>
      <w:r w:rsidR="00BB3B35" w:rsidRPr="002F530D">
        <w:rPr>
          <w:rFonts w:ascii="Arial" w:hAnsi="Arial" w:cs="Arial"/>
          <w:b w:val="0"/>
          <w:sz w:val="22"/>
          <w:szCs w:val="22"/>
        </w:rPr>
        <w:t xml:space="preserve"> re</w:t>
      </w:r>
      <w:r w:rsidR="000E0CC1" w:rsidRPr="002F530D">
        <w:rPr>
          <w:rFonts w:ascii="Arial" w:hAnsi="Arial" w:cs="Arial"/>
          <w:b w:val="0"/>
          <w:sz w:val="22"/>
          <w:szCs w:val="22"/>
        </w:rPr>
        <w:noBreakHyphen/>
      </w:r>
      <w:r w:rsidR="00BB3B35" w:rsidRPr="002F530D">
        <w:rPr>
          <w:rFonts w:ascii="Arial" w:hAnsi="Arial" w:cs="Arial"/>
          <w:b w:val="0"/>
          <w:sz w:val="22"/>
          <w:szCs w:val="22"/>
        </w:rPr>
        <w:t>submission’s assumption that treatment</w:t>
      </w:r>
      <w:r w:rsidR="007C6C27" w:rsidRPr="002F530D">
        <w:rPr>
          <w:rFonts w:ascii="Arial" w:hAnsi="Arial" w:cs="Arial"/>
          <w:b w:val="0"/>
          <w:sz w:val="22"/>
          <w:szCs w:val="22"/>
        </w:rPr>
        <w:t xml:space="preserve"> effect</w:t>
      </w:r>
      <w:r w:rsidR="00BB3B35" w:rsidRPr="002F530D">
        <w:rPr>
          <w:rFonts w:ascii="Arial" w:hAnsi="Arial" w:cs="Arial"/>
          <w:b w:val="0"/>
          <w:sz w:val="22"/>
          <w:szCs w:val="22"/>
        </w:rPr>
        <w:t xml:space="preserve"> is maintained over 10 years was unrealistic and significantly underestimated the ICER.</w:t>
      </w:r>
    </w:p>
    <w:p w:rsidR="005B5DF1" w:rsidRPr="002F530D" w:rsidRDefault="005B5DF1" w:rsidP="006E4BDB">
      <w:pPr>
        <w:pStyle w:val="ListParagraph"/>
        <w:widowControl/>
        <w:rPr>
          <w:szCs w:val="22"/>
        </w:rPr>
      </w:pPr>
    </w:p>
    <w:p w:rsidR="005B5DF1" w:rsidRPr="002F530D" w:rsidRDefault="005B5DF1" w:rsidP="006E4BDB">
      <w:pPr>
        <w:pStyle w:val="ListParagraph"/>
        <w:widowControl/>
        <w:numPr>
          <w:ilvl w:val="1"/>
          <w:numId w:val="2"/>
        </w:numPr>
        <w:rPr>
          <w:szCs w:val="22"/>
        </w:rPr>
      </w:pPr>
      <w:r w:rsidRPr="002F530D">
        <w:rPr>
          <w:szCs w:val="22"/>
        </w:rPr>
        <w:t>As requested by the PBAC, the re-submission included transitions to AS. A</w:t>
      </w:r>
      <w:r w:rsidR="001056BC" w:rsidRPr="002F530D">
        <w:rPr>
          <w:szCs w:val="22"/>
        </w:rPr>
        <w:t>s there wa</w:t>
      </w:r>
      <w:r w:rsidRPr="002F530D">
        <w:rPr>
          <w:szCs w:val="22"/>
        </w:rPr>
        <w:t xml:space="preserve">s no evidence that etanercept affects disease progression, these additions to the model have no impact on the ICER as they </w:t>
      </w:r>
      <w:r w:rsidR="001056BC" w:rsidRPr="002F530D">
        <w:rPr>
          <w:szCs w:val="22"/>
        </w:rPr>
        <w:t>were</w:t>
      </w:r>
      <w:r w:rsidRPr="002F530D">
        <w:rPr>
          <w:szCs w:val="22"/>
        </w:rPr>
        <w:t xml:space="preserve"> assumed to be equal in the two arms of the model.</w:t>
      </w:r>
      <w:r w:rsidR="00BF15AF" w:rsidRPr="002F530D">
        <w:rPr>
          <w:szCs w:val="22"/>
        </w:rPr>
        <w:t xml:space="preserve"> The ESC noted that the resubmission assumed 10% of subjects had progressed to AS, and by 10 years the proportion increased to 50%. However, the re-submission did not account for transition probabilities from remission back to </w:t>
      </w:r>
      <w:r w:rsidR="002E2D4C" w:rsidRPr="002F530D">
        <w:rPr>
          <w:szCs w:val="22"/>
        </w:rPr>
        <w:t xml:space="preserve">the </w:t>
      </w:r>
      <w:r w:rsidR="00BF15AF" w:rsidRPr="002F530D">
        <w:rPr>
          <w:szCs w:val="22"/>
        </w:rPr>
        <w:t>nr-axSpA health state.</w:t>
      </w:r>
    </w:p>
    <w:p w:rsidR="00FE2CBC" w:rsidRPr="002F530D" w:rsidRDefault="00FE2CBC" w:rsidP="006E4BDB">
      <w:pPr>
        <w:pStyle w:val="ListParagraph"/>
        <w:widowControl/>
        <w:rPr>
          <w:szCs w:val="22"/>
        </w:rPr>
      </w:pPr>
    </w:p>
    <w:p w:rsidR="00275C5A" w:rsidRPr="00B608CF" w:rsidRDefault="00BB3B35" w:rsidP="006E4BDB">
      <w:pPr>
        <w:pStyle w:val="ListParagraph"/>
        <w:widowControl/>
        <w:numPr>
          <w:ilvl w:val="1"/>
          <w:numId w:val="2"/>
        </w:numPr>
        <w:rPr>
          <w:szCs w:val="22"/>
        </w:rPr>
      </w:pPr>
      <w:r w:rsidRPr="002F530D">
        <w:t>The results of the re-submission’s economic evaluation are presented in the table below</w:t>
      </w:r>
      <w:r w:rsidRPr="00B24578">
        <w:t>.</w:t>
      </w:r>
    </w:p>
    <w:p w:rsidR="00D110BD" w:rsidRDefault="00D110BD" w:rsidP="006E4BDB">
      <w:pPr>
        <w:widowControl/>
        <w:rPr>
          <w:szCs w:val="22"/>
        </w:rPr>
      </w:pPr>
    </w:p>
    <w:p w:rsidR="002570C5" w:rsidRDefault="002570C5" w:rsidP="006E4BDB">
      <w:pPr>
        <w:keepNext/>
        <w:widowControl/>
        <w:ind w:firstLine="720"/>
        <w:rPr>
          <w:rStyle w:val="CommentReference"/>
        </w:rPr>
      </w:pPr>
      <w:r>
        <w:rPr>
          <w:rStyle w:val="CommentReference"/>
        </w:rPr>
        <w:t xml:space="preserve">Table </w:t>
      </w:r>
      <w:r w:rsidR="0015248F">
        <w:rPr>
          <w:rStyle w:val="CommentReference"/>
        </w:rPr>
        <w:t>10</w:t>
      </w:r>
      <w:r w:rsidR="007C6C27" w:rsidRPr="001222FC">
        <w:rPr>
          <w:rStyle w:val="CommentReference"/>
        </w:rPr>
        <w:t xml:space="preserve">: </w:t>
      </w:r>
      <w:r w:rsidRPr="001222FC">
        <w:rPr>
          <w:rStyle w:val="CommentReference"/>
        </w:rPr>
        <w:t>Results of the economic evaluation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3"/>
        <w:gridCol w:w="2377"/>
        <w:gridCol w:w="2385"/>
        <w:gridCol w:w="2050"/>
      </w:tblGrid>
      <w:tr w:rsidR="00BB3B35" w:rsidRPr="004E2ADC" w:rsidTr="00BB3B35">
        <w:tc>
          <w:tcPr>
            <w:tcW w:w="913" w:type="pct"/>
          </w:tcPr>
          <w:p w:rsidR="00BB3B35" w:rsidRPr="004E2ADC" w:rsidRDefault="00BB3B35" w:rsidP="006E4BDB">
            <w:pPr>
              <w:keepNext/>
              <w:widowControl/>
              <w:rPr>
                <w:rFonts w:ascii="Arial Narrow" w:hAnsi="Arial Narrow"/>
                <w:b/>
                <w:sz w:val="20"/>
              </w:rPr>
            </w:pPr>
            <w:r w:rsidRPr="004E2ADC">
              <w:rPr>
                <w:rFonts w:ascii="Arial Narrow" w:hAnsi="Arial Narrow"/>
                <w:b/>
                <w:sz w:val="20"/>
              </w:rPr>
              <w:t>Component</w:t>
            </w:r>
          </w:p>
        </w:tc>
        <w:tc>
          <w:tcPr>
            <w:tcW w:w="1426" w:type="pct"/>
            <w:vAlign w:val="center"/>
          </w:tcPr>
          <w:p w:rsidR="00BB3B35" w:rsidRPr="004E2ADC" w:rsidRDefault="00BB3B35" w:rsidP="006E4BDB">
            <w:pPr>
              <w:keepNext/>
              <w:widowControl/>
              <w:jc w:val="center"/>
              <w:rPr>
                <w:rFonts w:ascii="Arial Narrow" w:hAnsi="Arial Narrow"/>
                <w:b/>
                <w:sz w:val="20"/>
              </w:rPr>
            </w:pPr>
            <w:r>
              <w:rPr>
                <w:rFonts w:ascii="Arial Narrow" w:hAnsi="Arial Narrow"/>
                <w:b/>
                <w:sz w:val="20"/>
              </w:rPr>
              <w:t>Etanercept</w:t>
            </w:r>
          </w:p>
        </w:tc>
        <w:tc>
          <w:tcPr>
            <w:tcW w:w="1430" w:type="pct"/>
            <w:vAlign w:val="center"/>
          </w:tcPr>
          <w:p w:rsidR="00BB3B35" w:rsidRPr="004E2ADC" w:rsidRDefault="00BB3B35" w:rsidP="006E4BDB">
            <w:pPr>
              <w:keepNext/>
              <w:widowControl/>
              <w:jc w:val="center"/>
              <w:rPr>
                <w:rFonts w:ascii="Arial Narrow" w:hAnsi="Arial Narrow"/>
                <w:b/>
                <w:sz w:val="20"/>
              </w:rPr>
            </w:pPr>
            <w:r>
              <w:rPr>
                <w:rFonts w:ascii="Arial Narrow" w:hAnsi="Arial Narrow"/>
                <w:b/>
                <w:sz w:val="20"/>
              </w:rPr>
              <w:t>Placebo</w:t>
            </w:r>
          </w:p>
        </w:tc>
        <w:tc>
          <w:tcPr>
            <w:tcW w:w="1230" w:type="pct"/>
          </w:tcPr>
          <w:p w:rsidR="00BB3B35" w:rsidRPr="004E2ADC" w:rsidRDefault="00BB3B35" w:rsidP="006E4BDB">
            <w:pPr>
              <w:keepNext/>
              <w:widowControl/>
              <w:jc w:val="center"/>
              <w:rPr>
                <w:rFonts w:ascii="Arial Narrow" w:hAnsi="Arial Narrow"/>
                <w:b/>
                <w:sz w:val="20"/>
              </w:rPr>
            </w:pPr>
            <w:r w:rsidRPr="004E2ADC">
              <w:rPr>
                <w:rFonts w:ascii="Arial Narrow" w:hAnsi="Arial Narrow"/>
                <w:b/>
                <w:sz w:val="20"/>
              </w:rPr>
              <w:t>Increment</w:t>
            </w:r>
          </w:p>
        </w:tc>
      </w:tr>
      <w:tr w:rsidR="00BB3B35" w:rsidRPr="004E2ADC" w:rsidTr="00BB3B35">
        <w:tc>
          <w:tcPr>
            <w:tcW w:w="913" w:type="pct"/>
          </w:tcPr>
          <w:p w:rsidR="00BB3B35" w:rsidRPr="004E2ADC" w:rsidRDefault="00BB3B35" w:rsidP="006E4BDB">
            <w:pPr>
              <w:keepNext/>
              <w:widowControl/>
              <w:rPr>
                <w:rFonts w:ascii="Arial Narrow" w:hAnsi="Arial Narrow"/>
                <w:sz w:val="20"/>
              </w:rPr>
            </w:pPr>
            <w:r w:rsidRPr="004E2ADC">
              <w:rPr>
                <w:rFonts w:ascii="Arial Narrow" w:hAnsi="Arial Narrow"/>
                <w:sz w:val="20"/>
              </w:rPr>
              <w:t>Costs</w:t>
            </w:r>
          </w:p>
        </w:tc>
        <w:tc>
          <w:tcPr>
            <w:tcW w:w="1426" w:type="pct"/>
            <w:vAlign w:val="center"/>
          </w:tcPr>
          <w:p w:rsidR="00BB3B35" w:rsidRPr="004E2ADC" w:rsidRDefault="00BB3B35" w:rsidP="006E4BDB">
            <w:pPr>
              <w:keepNext/>
              <w:widowControl/>
              <w:jc w:val="center"/>
              <w:rPr>
                <w:rFonts w:ascii="Arial Narrow" w:hAnsi="Arial Narrow"/>
                <w:sz w:val="20"/>
              </w:rPr>
            </w:pPr>
            <w:r>
              <w:rPr>
                <w:rFonts w:ascii="Arial Narrow" w:hAnsi="Arial Narrow" w:cs="Times New Roman"/>
                <w:sz w:val="20"/>
              </w:rPr>
              <w:t>$</w:t>
            </w:r>
            <w:r w:rsidR="000D3991">
              <w:rPr>
                <w:rFonts w:ascii="Arial Narrow" w:hAnsi="Arial Narrow" w:cs="Times New Roman"/>
                <w:noProof/>
                <w:color w:val="000000"/>
                <w:sz w:val="20"/>
                <w:highlight w:val="black"/>
              </w:rPr>
              <w:t>'''''''''''''''''</w:t>
            </w:r>
          </w:p>
        </w:tc>
        <w:tc>
          <w:tcPr>
            <w:tcW w:w="1430" w:type="pct"/>
            <w:vAlign w:val="center"/>
          </w:tcPr>
          <w:p w:rsidR="00BB3B35" w:rsidRPr="004E2ADC" w:rsidRDefault="00BB3B35" w:rsidP="006E4BDB">
            <w:pPr>
              <w:keepNext/>
              <w:widowControl/>
              <w:jc w:val="center"/>
              <w:rPr>
                <w:rFonts w:ascii="Arial Narrow" w:hAnsi="Arial Narrow"/>
                <w:sz w:val="20"/>
              </w:rPr>
            </w:pPr>
            <w:r>
              <w:rPr>
                <w:rFonts w:ascii="Arial Narrow" w:hAnsi="Arial Narrow" w:cs="Times New Roman"/>
                <w:sz w:val="20"/>
              </w:rPr>
              <w:t>$</w:t>
            </w:r>
            <w:r w:rsidRPr="00CB396E">
              <w:rPr>
                <w:rFonts w:ascii="Arial Narrow" w:hAnsi="Arial Narrow" w:cs="Times New Roman"/>
                <w:sz w:val="20"/>
              </w:rPr>
              <w:t>21,213</w:t>
            </w:r>
          </w:p>
        </w:tc>
        <w:tc>
          <w:tcPr>
            <w:tcW w:w="1230" w:type="pct"/>
            <w:vAlign w:val="center"/>
          </w:tcPr>
          <w:p w:rsidR="00BB3B35" w:rsidRPr="004E2ADC" w:rsidRDefault="006D3EA5" w:rsidP="006E4BDB">
            <w:pPr>
              <w:keepNext/>
              <w:widowControl/>
              <w:jc w:val="center"/>
              <w:rPr>
                <w:rFonts w:ascii="Arial Narrow" w:hAnsi="Arial Narrow"/>
                <w:sz w:val="20"/>
              </w:rPr>
            </w:pPr>
            <w:r>
              <w:rPr>
                <w:rFonts w:ascii="Arial Narrow" w:hAnsi="Arial Narrow" w:cs="Times New Roman"/>
                <w:sz w:val="20"/>
              </w:rPr>
              <w:t>$</w:t>
            </w:r>
            <w:r w:rsidR="000D3991">
              <w:rPr>
                <w:rFonts w:ascii="Arial Narrow" w:hAnsi="Arial Narrow" w:cs="Times New Roman"/>
                <w:noProof/>
                <w:color w:val="000000"/>
                <w:sz w:val="20"/>
                <w:highlight w:val="black"/>
              </w:rPr>
              <w:t>''''''''''''''''''</w:t>
            </w:r>
          </w:p>
        </w:tc>
      </w:tr>
      <w:tr w:rsidR="00BB3B35" w:rsidRPr="004E2ADC" w:rsidTr="00BB3B35">
        <w:tc>
          <w:tcPr>
            <w:tcW w:w="913" w:type="pct"/>
          </w:tcPr>
          <w:p w:rsidR="00BB3B35" w:rsidRPr="004E2ADC" w:rsidRDefault="00BB3B35" w:rsidP="006E4BDB">
            <w:pPr>
              <w:keepNext/>
              <w:widowControl/>
              <w:rPr>
                <w:rFonts w:ascii="Arial Narrow" w:hAnsi="Arial Narrow"/>
                <w:sz w:val="20"/>
              </w:rPr>
            </w:pPr>
            <w:r>
              <w:rPr>
                <w:rFonts w:ascii="Arial Narrow" w:hAnsi="Arial Narrow"/>
                <w:sz w:val="20"/>
              </w:rPr>
              <w:t>QALYs</w:t>
            </w:r>
          </w:p>
        </w:tc>
        <w:tc>
          <w:tcPr>
            <w:tcW w:w="1426" w:type="pct"/>
            <w:vAlign w:val="center"/>
          </w:tcPr>
          <w:p w:rsidR="00BB3B35" w:rsidRPr="004E2ADC" w:rsidRDefault="00BB3B35" w:rsidP="006E4BDB">
            <w:pPr>
              <w:keepNext/>
              <w:widowControl/>
              <w:jc w:val="center"/>
              <w:rPr>
                <w:rFonts w:ascii="Arial Narrow" w:hAnsi="Arial Narrow"/>
                <w:sz w:val="20"/>
              </w:rPr>
            </w:pPr>
            <w:r>
              <w:rPr>
                <w:rFonts w:ascii="Arial Narrow" w:hAnsi="Arial Narrow"/>
                <w:sz w:val="20"/>
              </w:rPr>
              <w:t>5.435</w:t>
            </w:r>
          </w:p>
        </w:tc>
        <w:tc>
          <w:tcPr>
            <w:tcW w:w="1430" w:type="pct"/>
            <w:vAlign w:val="center"/>
          </w:tcPr>
          <w:p w:rsidR="00BB3B35" w:rsidRPr="004E2ADC" w:rsidRDefault="00BB3B35" w:rsidP="006E4BDB">
            <w:pPr>
              <w:keepNext/>
              <w:widowControl/>
              <w:jc w:val="center"/>
              <w:rPr>
                <w:rFonts w:ascii="Arial Narrow" w:hAnsi="Arial Narrow"/>
                <w:sz w:val="20"/>
              </w:rPr>
            </w:pPr>
            <w:r>
              <w:rPr>
                <w:rFonts w:ascii="Arial Narrow" w:hAnsi="Arial Narrow"/>
                <w:sz w:val="20"/>
              </w:rPr>
              <w:t>5.055</w:t>
            </w:r>
          </w:p>
        </w:tc>
        <w:tc>
          <w:tcPr>
            <w:tcW w:w="1230" w:type="pct"/>
            <w:vAlign w:val="center"/>
          </w:tcPr>
          <w:p w:rsidR="00BB3B35" w:rsidRPr="004E2ADC" w:rsidRDefault="00BB3B35" w:rsidP="006E4BDB">
            <w:pPr>
              <w:keepNext/>
              <w:widowControl/>
              <w:jc w:val="center"/>
              <w:rPr>
                <w:rFonts w:ascii="Arial Narrow" w:hAnsi="Arial Narrow"/>
                <w:sz w:val="20"/>
              </w:rPr>
            </w:pPr>
            <w:r>
              <w:rPr>
                <w:rFonts w:ascii="Arial Narrow" w:hAnsi="Arial Narrow"/>
                <w:sz w:val="20"/>
              </w:rPr>
              <w:t>0.38</w:t>
            </w:r>
            <w:r w:rsidR="006D3EA5">
              <w:rPr>
                <w:rFonts w:ascii="Arial Narrow" w:hAnsi="Arial Narrow"/>
                <w:sz w:val="20"/>
              </w:rPr>
              <w:t>0</w:t>
            </w:r>
          </w:p>
        </w:tc>
      </w:tr>
      <w:tr w:rsidR="00BB3B35" w:rsidRPr="004E2ADC" w:rsidTr="00BB3B35">
        <w:tc>
          <w:tcPr>
            <w:tcW w:w="3770" w:type="pct"/>
            <w:gridSpan w:val="3"/>
          </w:tcPr>
          <w:p w:rsidR="00BB3B35" w:rsidRPr="004E2ADC" w:rsidRDefault="00BB3B35" w:rsidP="006E4BDB">
            <w:pPr>
              <w:keepNext/>
              <w:widowControl/>
              <w:rPr>
                <w:rFonts w:ascii="Arial Narrow" w:hAnsi="Arial Narrow"/>
                <w:b/>
                <w:sz w:val="20"/>
              </w:rPr>
            </w:pPr>
            <w:r w:rsidRPr="004E2ADC">
              <w:rPr>
                <w:rFonts w:ascii="Arial Narrow" w:hAnsi="Arial Narrow"/>
                <w:b/>
                <w:sz w:val="20"/>
              </w:rPr>
              <w:t xml:space="preserve">Incremental cost/extra </w:t>
            </w:r>
            <w:r>
              <w:rPr>
                <w:rFonts w:ascii="Arial Narrow" w:hAnsi="Arial Narrow"/>
                <w:b/>
                <w:sz w:val="20"/>
              </w:rPr>
              <w:t xml:space="preserve">QALY </w:t>
            </w:r>
            <w:r w:rsidRPr="004E2ADC">
              <w:rPr>
                <w:rFonts w:ascii="Arial Narrow" w:hAnsi="Arial Narrow"/>
                <w:b/>
                <w:sz w:val="20"/>
              </w:rPr>
              <w:t>gained</w:t>
            </w:r>
          </w:p>
        </w:tc>
        <w:tc>
          <w:tcPr>
            <w:tcW w:w="1230" w:type="pct"/>
          </w:tcPr>
          <w:p w:rsidR="00BB3B35" w:rsidRPr="004E2ADC" w:rsidRDefault="00BB3B35" w:rsidP="006E4BDB">
            <w:pPr>
              <w:keepNext/>
              <w:widowControl/>
              <w:jc w:val="center"/>
              <w:rPr>
                <w:rFonts w:ascii="Arial Narrow" w:hAnsi="Arial Narrow"/>
                <w:b/>
                <w:sz w:val="20"/>
              </w:rPr>
            </w:pPr>
            <w:r>
              <w:rPr>
                <w:rFonts w:ascii="Arial Narrow" w:hAnsi="Arial Narrow"/>
                <w:b/>
                <w:sz w:val="20"/>
              </w:rPr>
              <w:t>$</w:t>
            </w:r>
            <w:r w:rsidR="000D3991">
              <w:rPr>
                <w:rFonts w:ascii="Arial Narrow" w:hAnsi="Arial Narrow"/>
                <w:b/>
                <w:noProof/>
                <w:color w:val="000000"/>
                <w:sz w:val="20"/>
                <w:highlight w:val="black"/>
              </w:rPr>
              <w:t>'''''''''''''</w:t>
            </w:r>
          </w:p>
        </w:tc>
      </w:tr>
    </w:tbl>
    <w:p w:rsidR="00BB3B35" w:rsidRPr="00D13A3E" w:rsidRDefault="00BB3B35" w:rsidP="006E4BDB">
      <w:pPr>
        <w:pStyle w:val="TableFooter"/>
        <w:widowControl/>
        <w:ind w:left="720"/>
      </w:pPr>
      <w:r w:rsidRPr="00D13A3E">
        <w:t xml:space="preserve">Source: </w:t>
      </w:r>
      <w:r>
        <w:t>Table D.5.1, p155 of the re-submission.</w:t>
      </w:r>
    </w:p>
    <w:p w:rsidR="00D110BD" w:rsidRDefault="00D110BD" w:rsidP="006E4BDB">
      <w:pPr>
        <w:widowControl/>
        <w:rPr>
          <w:szCs w:val="22"/>
        </w:rPr>
      </w:pPr>
    </w:p>
    <w:p w:rsidR="00355C54" w:rsidRDefault="00355C54" w:rsidP="006E4BDB">
      <w:pPr>
        <w:widowControl/>
        <w:rPr>
          <w:szCs w:val="22"/>
        </w:rPr>
      </w:pPr>
      <w:r>
        <w:rPr>
          <w:szCs w:val="22"/>
        </w:rPr>
        <w:tab/>
        <w:t>The redacted table shows an ICER in the range of $45,000/QALY – $75,000/QALY.</w:t>
      </w:r>
    </w:p>
    <w:p w:rsidR="00355C54" w:rsidRPr="00D110BD" w:rsidRDefault="00355C54" w:rsidP="006E4BDB">
      <w:pPr>
        <w:widowControl/>
        <w:rPr>
          <w:szCs w:val="22"/>
        </w:rPr>
      </w:pPr>
    </w:p>
    <w:p w:rsidR="001056BC" w:rsidRPr="002F530D" w:rsidRDefault="001056BC" w:rsidP="006E4BDB">
      <w:pPr>
        <w:pStyle w:val="ListParagraph"/>
        <w:widowControl/>
        <w:numPr>
          <w:ilvl w:val="1"/>
          <w:numId w:val="2"/>
        </w:numPr>
      </w:pPr>
      <w:r w:rsidRPr="002F530D">
        <w:rPr>
          <w:szCs w:val="22"/>
        </w:rPr>
        <w:t xml:space="preserve">The submission included a sensitivity analysis where the utilities of etanercept and placebo converge linearly from 2 to 10 years. In this scenario, the ICER increased to </w:t>
      </w:r>
      <w:r w:rsidR="00FE5C45">
        <w:rPr>
          <w:szCs w:val="22"/>
        </w:rPr>
        <w:t>$45,000 – $75,000</w:t>
      </w:r>
      <w:r w:rsidRPr="002F530D">
        <w:rPr>
          <w:szCs w:val="22"/>
        </w:rPr>
        <w:t xml:space="preserve"> per QALY saved (the incremental costs are the same and the incremental QALYs decrease to 0.323). While this estimate is more reasonable, and more complex ways of extrapolating the data would ultimately not be supported with the available data, this extrapolation is basic and there is still significant potential for overestimating the incremental effect. However, the ESC recommended that this scenario was more appropriate</w:t>
      </w:r>
      <w:r w:rsidR="002A2579" w:rsidRPr="002F530D">
        <w:rPr>
          <w:szCs w:val="22"/>
        </w:rPr>
        <w:t xml:space="preserve"> for</w:t>
      </w:r>
      <w:r w:rsidRPr="002F530D">
        <w:rPr>
          <w:szCs w:val="22"/>
        </w:rPr>
        <w:t xml:space="preserve"> PBAC consideration than the base case in the submission.</w:t>
      </w:r>
    </w:p>
    <w:p w:rsidR="001056BC" w:rsidRPr="002F530D" w:rsidRDefault="001056BC" w:rsidP="006E4BDB">
      <w:pPr>
        <w:pStyle w:val="ListParagraph"/>
        <w:widowControl/>
        <w:rPr>
          <w:szCs w:val="22"/>
        </w:rPr>
      </w:pPr>
    </w:p>
    <w:p w:rsidR="000B7DFC" w:rsidRPr="00ED4CA7" w:rsidRDefault="001056BC" w:rsidP="006E4BDB">
      <w:pPr>
        <w:pStyle w:val="ListParagraph"/>
        <w:widowControl/>
        <w:numPr>
          <w:ilvl w:val="1"/>
          <w:numId w:val="2"/>
        </w:numPr>
        <w:rPr>
          <w:szCs w:val="22"/>
        </w:rPr>
      </w:pPr>
      <w:r w:rsidRPr="002F530D">
        <w:t xml:space="preserve">The submission also included a sensitivity analysis that included the convergence in utilities discussed above and increased the </w:t>
      </w:r>
      <w:r w:rsidR="000B7DFC" w:rsidRPr="002F530D">
        <w:t xml:space="preserve">time horizon </w:t>
      </w:r>
      <w:r w:rsidRPr="002F530D">
        <w:t xml:space="preserve">to </w:t>
      </w:r>
      <w:r w:rsidR="000B7DFC" w:rsidRPr="002F530D">
        <w:t>15 years</w:t>
      </w:r>
      <w:r w:rsidRPr="002F530D">
        <w:t xml:space="preserve"> which resulted in </w:t>
      </w:r>
      <w:r w:rsidR="000B7DFC" w:rsidRPr="002F530D">
        <w:t xml:space="preserve">an ICER </w:t>
      </w:r>
      <w:r w:rsidRPr="002F530D">
        <w:t xml:space="preserve">of </w:t>
      </w:r>
      <w:r w:rsidR="00C92C7E">
        <w:t>$45,000/QALY – $75,000/QALY</w:t>
      </w:r>
      <w:r w:rsidR="000B7DFC" w:rsidRPr="002F530D">
        <w:t>.</w:t>
      </w:r>
    </w:p>
    <w:p w:rsidR="00ED4CA7" w:rsidRPr="00ED4CA7" w:rsidRDefault="00ED4CA7" w:rsidP="00ED4CA7">
      <w:pPr>
        <w:pStyle w:val="ListParagraph"/>
        <w:rPr>
          <w:szCs w:val="22"/>
        </w:rPr>
      </w:pPr>
    </w:p>
    <w:p w:rsidR="00ED4CA7" w:rsidRPr="002F530D" w:rsidRDefault="00ED4CA7" w:rsidP="006E4BDB">
      <w:pPr>
        <w:pStyle w:val="ListParagraph"/>
        <w:widowControl/>
        <w:numPr>
          <w:ilvl w:val="1"/>
          <w:numId w:val="2"/>
        </w:numPr>
        <w:rPr>
          <w:szCs w:val="22"/>
        </w:rPr>
      </w:pPr>
      <w:r>
        <w:rPr>
          <w:szCs w:val="22"/>
        </w:rPr>
        <w:t xml:space="preserve">In addition, the evaluation conducted a sensitivity analysis which removed the reductions in the price of etanercept in 2016 and 2017 assumed in the submission which resulted in an ICER of </w:t>
      </w:r>
      <w:r w:rsidR="00867EF2">
        <w:t>$45,000/QALY – $75,000/QALY</w:t>
      </w:r>
      <w:r>
        <w:rPr>
          <w:szCs w:val="22"/>
        </w:rPr>
        <w:t>.</w:t>
      </w:r>
    </w:p>
    <w:p w:rsidR="00D067FF" w:rsidRPr="002F530D" w:rsidRDefault="00D067FF" w:rsidP="0030129E">
      <w:pPr>
        <w:pStyle w:val="BodyText"/>
      </w:pPr>
    </w:p>
    <w:p w:rsidR="002D42A9" w:rsidRPr="002F530D" w:rsidRDefault="002D42A9" w:rsidP="006E4BDB">
      <w:pPr>
        <w:pStyle w:val="ListParagraph"/>
        <w:widowControl/>
        <w:numPr>
          <w:ilvl w:val="1"/>
          <w:numId w:val="2"/>
        </w:numPr>
        <w:rPr>
          <w:szCs w:val="22"/>
        </w:rPr>
      </w:pPr>
      <w:r w:rsidRPr="002F530D">
        <w:rPr>
          <w:szCs w:val="22"/>
        </w:rPr>
        <w:t>The ESC noted the trial collected EQ-5D and SF-36; however, only EQ-5D was used in the model. The ESC considered that it would have been informative had the re</w:t>
      </w:r>
      <w:r w:rsidRPr="002F530D">
        <w:rPr>
          <w:szCs w:val="22"/>
        </w:rPr>
        <w:noBreakHyphen/>
        <w:t>submission used SF-6D for conversion of SF-36 scores into utility measures as an alternative set of trial-sourced utility va</w:t>
      </w:r>
      <w:r w:rsidR="006D3EA5" w:rsidRPr="002F530D">
        <w:rPr>
          <w:szCs w:val="22"/>
        </w:rPr>
        <w:t>lues in a sensitivity analysis.</w:t>
      </w:r>
    </w:p>
    <w:p w:rsidR="003C4F88" w:rsidRDefault="003C4F88" w:rsidP="006E4BDB">
      <w:pPr>
        <w:widowControl/>
        <w:rPr>
          <w:szCs w:val="22"/>
        </w:rPr>
      </w:pPr>
    </w:p>
    <w:p w:rsidR="00C25D9C" w:rsidRPr="00497F10" w:rsidRDefault="00C25D9C" w:rsidP="0030129E">
      <w:pPr>
        <w:pStyle w:val="Heading2"/>
        <w:rPr>
          <w:szCs w:val="22"/>
        </w:rPr>
      </w:pPr>
      <w:bookmarkStart w:id="14" w:name="_Toc440882444"/>
      <w:r w:rsidRPr="00497F10">
        <w:t>Drug cost/patient</w:t>
      </w:r>
      <w:r w:rsidR="007C6C27">
        <w:t>/</w:t>
      </w:r>
      <w:r w:rsidRPr="00497F10">
        <w:t>year: $</w:t>
      </w:r>
      <w:bookmarkEnd w:id="14"/>
      <w:r w:rsidR="000D3991">
        <w:rPr>
          <w:noProof/>
          <w:color w:val="000000"/>
          <w:highlight w:val="black"/>
        </w:rPr>
        <w:t>'''''''''''''''''''</w:t>
      </w:r>
      <w:r w:rsidR="006F4430">
        <w:t xml:space="preserve"> </w:t>
      </w:r>
    </w:p>
    <w:p w:rsidR="00C25D9C" w:rsidRPr="00C25D9C" w:rsidRDefault="00C25D9C" w:rsidP="006E4BDB">
      <w:pPr>
        <w:keepNext/>
        <w:widowControl/>
        <w:rPr>
          <w:szCs w:val="22"/>
        </w:rPr>
      </w:pPr>
    </w:p>
    <w:p w:rsidR="00472359" w:rsidRPr="006F4430" w:rsidRDefault="006F4430" w:rsidP="006E4BDB">
      <w:pPr>
        <w:pStyle w:val="ListParagraph"/>
        <w:widowControl/>
        <w:numPr>
          <w:ilvl w:val="1"/>
          <w:numId w:val="2"/>
        </w:numPr>
        <w:snapToGrid w:val="0"/>
        <w:rPr>
          <w:szCs w:val="22"/>
        </w:rPr>
      </w:pPr>
      <w:r w:rsidRPr="006F4430">
        <w:rPr>
          <w:szCs w:val="22"/>
        </w:rPr>
        <w:t xml:space="preserve">The drug cost per patient per year was based on the effective price of a </w:t>
      </w:r>
      <w:r>
        <w:rPr>
          <w:szCs w:val="22"/>
        </w:rPr>
        <w:t>$</w:t>
      </w:r>
      <w:r w:rsidR="000D3991">
        <w:rPr>
          <w:noProof/>
          <w:color w:val="000000"/>
          <w:szCs w:val="22"/>
          <w:highlight w:val="black"/>
        </w:rPr>
        <w:t>''''''''''''''''''''''</w:t>
      </w:r>
      <w:r>
        <w:rPr>
          <w:szCs w:val="22"/>
        </w:rPr>
        <w:t xml:space="preserve"> and 13 four-</w:t>
      </w:r>
      <w:r w:rsidRPr="006F4430">
        <w:rPr>
          <w:szCs w:val="22"/>
        </w:rPr>
        <w:t>week treatment periods in a year.</w:t>
      </w:r>
      <w:r>
        <w:rPr>
          <w:color w:val="3366FF"/>
          <w:szCs w:val="22"/>
        </w:rPr>
        <w:t xml:space="preserve"> </w:t>
      </w:r>
    </w:p>
    <w:p w:rsidR="00B60939" w:rsidRPr="00882085" w:rsidRDefault="00B60939" w:rsidP="006E4BDB">
      <w:pPr>
        <w:widowControl/>
        <w:rPr>
          <w:szCs w:val="22"/>
        </w:rPr>
      </w:pPr>
    </w:p>
    <w:p w:rsidR="00B60939" w:rsidRPr="00497F10" w:rsidRDefault="00B60939" w:rsidP="0030129E">
      <w:pPr>
        <w:pStyle w:val="Heading2"/>
      </w:pPr>
      <w:bookmarkStart w:id="15" w:name="_Toc440882445"/>
      <w:r w:rsidRPr="00497F10">
        <w:t>Estimated PBS usage &amp; financial implications</w:t>
      </w:r>
      <w:bookmarkEnd w:id="15"/>
    </w:p>
    <w:p w:rsidR="00B60939" w:rsidRPr="00882085" w:rsidRDefault="00B60939" w:rsidP="006E4BDB">
      <w:pPr>
        <w:keepNext/>
        <w:widowControl/>
      </w:pPr>
    </w:p>
    <w:p w:rsidR="00C25D9C" w:rsidRPr="002F530D" w:rsidRDefault="00C25D9C" w:rsidP="006E4BDB">
      <w:pPr>
        <w:pStyle w:val="ListParagraph"/>
        <w:widowControl/>
        <w:numPr>
          <w:ilvl w:val="1"/>
          <w:numId w:val="2"/>
        </w:numPr>
        <w:rPr>
          <w:szCs w:val="22"/>
        </w:rPr>
      </w:pPr>
      <w:r w:rsidRPr="002F530D">
        <w:t xml:space="preserve">This </w:t>
      </w:r>
      <w:r w:rsidR="0004231D" w:rsidRPr="002F530D">
        <w:t>re-</w:t>
      </w:r>
      <w:r w:rsidR="006F4430" w:rsidRPr="002F530D">
        <w:t xml:space="preserve">submission </w:t>
      </w:r>
      <w:r w:rsidR="00352DF7" w:rsidRPr="002F530D">
        <w:t>was</w:t>
      </w:r>
      <w:r w:rsidR="006F4430" w:rsidRPr="002F530D">
        <w:t xml:space="preserve"> not</w:t>
      </w:r>
      <w:r w:rsidRPr="002F530D">
        <w:t xml:space="preserve"> considered by DUSC</w:t>
      </w:r>
      <w:r w:rsidR="007C6C27" w:rsidRPr="002F530D">
        <w:t>.</w:t>
      </w:r>
      <w:r w:rsidR="00E172B0" w:rsidRPr="002F530D">
        <w:t xml:space="preserve"> </w:t>
      </w:r>
      <w:r w:rsidR="004B7CA2" w:rsidRPr="002F530D">
        <w:t xml:space="preserve">DUSC advice was provided for the March 2015 submission. </w:t>
      </w:r>
      <w:r w:rsidR="006F4430" w:rsidRPr="002F530D">
        <w:t>The re-submission included the same prevalence rates as the previous submission, but only applied them to the initial population prior to the first year of listing. The re-submission applied incidence rates subsequently. The</w:t>
      </w:r>
      <w:r w:rsidR="00924FC1">
        <w:t xml:space="preserve"> evaluation considered the</w:t>
      </w:r>
      <w:r w:rsidR="006F4430" w:rsidRPr="002F530D">
        <w:t xml:space="preserve"> incidence rates </w:t>
      </w:r>
      <w:r w:rsidR="00156F87" w:rsidRPr="002F530D">
        <w:t>appea</w:t>
      </w:r>
      <w:r w:rsidR="00156F87">
        <w:t>red</w:t>
      </w:r>
      <w:r w:rsidR="006F4430" w:rsidRPr="002F530D">
        <w:t xml:space="preserve"> inappropriate as they are fro</w:t>
      </w:r>
      <w:r w:rsidR="009D1F0F" w:rsidRPr="002F530D">
        <w:t>m over 15</w:t>
      </w:r>
      <w:r w:rsidR="000B7DFC" w:rsidRPr="002F530D">
        <w:t> </w:t>
      </w:r>
      <w:r w:rsidR="009D1F0F" w:rsidRPr="002F530D">
        <w:t>years ago and from a F</w:t>
      </w:r>
      <w:r w:rsidR="006F4430" w:rsidRPr="002F530D">
        <w:t xml:space="preserve">innish population, and are actually converted prevalence rates. Furthermore, the application of an incidence method was </w:t>
      </w:r>
      <w:r w:rsidR="002B5499" w:rsidRPr="002F530D">
        <w:t>unnecessary,</w:t>
      </w:r>
      <w:r w:rsidR="006F4430" w:rsidRPr="002F530D">
        <w:t xml:space="preserve"> as the DUSC had considered a prevalence approach to calculating patient population was reasonable. As in the </w:t>
      </w:r>
      <w:r w:rsidR="007C6C27" w:rsidRPr="002F530D">
        <w:t xml:space="preserve">March 2015 </w:t>
      </w:r>
      <w:r w:rsidR="006F4430" w:rsidRPr="002F530D">
        <w:t>submission</w:t>
      </w:r>
      <w:r w:rsidR="00825C3A" w:rsidRPr="002F530D">
        <w:t>,</w:t>
      </w:r>
      <w:r w:rsidR="006F4430" w:rsidRPr="002F530D">
        <w:t xml:space="preserve"> the prevalence rate was underestimated.</w:t>
      </w:r>
      <w:r w:rsidR="00825C3A" w:rsidRPr="002F530D">
        <w:t xml:space="preserve"> In addition, </w:t>
      </w:r>
      <w:r w:rsidR="00825C3A" w:rsidRPr="002F530D">
        <w:rPr>
          <w:szCs w:val="22"/>
        </w:rPr>
        <w:t>the re</w:t>
      </w:r>
      <w:r w:rsidR="00825C3A" w:rsidRPr="002F530D">
        <w:rPr>
          <w:szCs w:val="22"/>
        </w:rPr>
        <w:noBreakHyphen/>
        <w:t>submission included referral rates, which DUSC considered should not be included and no uptake rates were included in the re-submission, essentially assuming that all eligible patients would be treated with etanercept.</w:t>
      </w:r>
    </w:p>
    <w:p w:rsidR="006F4430" w:rsidRDefault="006F4430" w:rsidP="006E4BDB">
      <w:pPr>
        <w:pStyle w:val="ListParagraph"/>
        <w:widowControl/>
        <w:rPr>
          <w:szCs w:val="22"/>
        </w:rPr>
      </w:pPr>
    </w:p>
    <w:p w:rsidR="0004231D" w:rsidRPr="001222FC" w:rsidRDefault="0004231D" w:rsidP="006E4BDB">
      <w:pPr>
        <w:keepNext/>
        <w:widowControl/>
        <w:ind w:firstLine="709"/>
        <w:rPr>
          <w:rStyle w:val="CommentReference"/>
        </w:rPr>
      </w:pPr>
      <w:r w:rsidRPr="001222FC">
        <w:rPr>
          <w:rStyle w:val="CommentReference"/>
        </w:rPr>
        <w:t xml:space="preserve">Table </w:t>
      </w:r>
      <w:r w:rsidR="007C6C27">
        <w:rPr>
          <w:rStyle w:val="CommentReference"/>
        </w:rPr>
        <w:t>1</w:t>
      </w:r>
      <w:r w:rsidR="0015248F">
        <w:rPr>
          <w:rStyle w:val="CommentReference"/>
        </w:rPr>
        <w:t>1</w:t>
      </w:r>
      <w:r w:rsidR="007C6C27" w:rsidRPr="001222FC">
        <w:rPr>
          <w:rStyle w:val="CommentReference"/>
        </w:rPr>
        <w:t xml:space="preserve">: </w:t>
      </w: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4"/>
        <w:gridCol w:w="1134"/>
        <w:gridCol w:w="1134"/>
        <w:gridCol w:w="1275"/>
        <w:gridCol w:w="1275"/>
        <w:gridCol w:w="1255"/>
      </w:tblGrid>
      <w:tr w:rsidR="006F4430" w:rsidRPr="004E2ADC" w:rsidTr="009D1F0F">
        <w:trPr>
          <w:tblHeader/>
        </w:trPr>
        <w:tc>
          <w:tcPr>
            <w:tcW w:w="1362" w:type="pct"/>
            <w:shd w:val="clear" w:color="auto" w:fill="auto"/>
            <w:vAlign w:val="center"/>
          </w:tcPr>
          <w:p w:rsidR="006F4430" w:rsidRPr="004E2ADC" w:rsidRDefault="006F4430" w:rsidP="006E4BDB">
            <w:pPr>
              <w:keepNext/>
              <w:widowControl/>
              <w:tabs>
                <w:tab w:val="left" w:pos="142"/>
              </w:tabs>
              <w:jc w:val="left"/>
              <w:rPr>
                <w:rFonts w:ascii="Arial Narrow" w:hAnsi="Arial Narrow"/>
                <w:b/>
                <w:sz w:val="20"/>
              </w:rPr>
            </w:pPr>
          </w:p>
        </w:tc>
        <w:tc>
          <w:tcPr>
            <w:tcW w:w="679" w:type="pct"/>
            <w:shd w:val="clear" w:color="auto" w:fill="auto"/>
            <w:vAlign w:val="center"/>
          </w:tcPr>
          <w:p w:rsidR="006F4430" w:rsidRPr="004E2ADC" w:rsidRDefault="006F4430" w:rsidP="006E4BDB">
            <w:pPr>
              <w:keepNext/>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6F4430" w:rsidRPr="004E2ADC" w:rsidRDefault="006F4430" w:rsidP="006E4BDB">
            <w:pPr>
              <w:keepNext/>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6F4430" w:rsidRPr="004E2ADC" w:rsidRDefault="006F4430" w:rsidP="006E4BDB">
            <w:pPr>
              <w:keepNext/>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6F4430" w:rsidRPr="004E2ADC" w:rsidRDefault="006F4430" w:rsidP="006E4BDB">
            <w:pPr>
              <w:keepNext/>
              <w:widowControl/>
              <w:jc w:val="center"/>
              <w:rPr>
                <w:rFonts w:ascii="Arial Narrow" w:hAnsi="Arial Narrow"/>
                <w:b/>
                <w:sz w:val="20"/>
              </w:rPr>
            </w:pPr>
            <w:r w:rsidRPr="004E2ADC">
              <w:rPr>
                <w:rFonts w:ascii="Arial Narrow" w:hAnsi="Arial Narrow"/>
                <w:b/>
                <w:sz w:val="20"/>
              </w:rPr>
              <w:t>Year 4</w:t>
            </w:r>
          </w:p>
        </w:tc>
        <w:tc>
          <w:tcPr>
            <w:tcW w:w="752" w:type="pct"/>
            <w:shd w:val="clear" w:color="auto" w:fill="auto"/>
            <w:vAlign w:val="center"/>
          </w:tcPr>
          <w:p w:rsidR="006F4430" w:rsidRPr="004E2ADC" w:rsidRDefault="006F4430" w:rsidP="006E4BDB">
            <w:pPr>
              <w:keepNext/>
              <w:widowControl/>
              <w:jc w:val="center"/>
              <w:rPr>
                <w:rFonts w:ascii="Arial Narrow" w:hAnsi="Arial Narrow"/>
                <w:b/>
                <w:sz w:val="20"/>
              </w:rPr>
            </w:pPr>
            <w:r w:rsidRPr="004E2ADC">
              <w:rPr>
                <w:rFonts w:ascii="Arial Narrow" w:hAnsi="Arial Narrow"/>
                <w:b/>
                <w:sz w:val="20"/>
              </w:rPr>
              <w:t>Year 5</w:t>
            </w:r>
          </w:p>
        </w:tc>
      </w:tr>
      <w:tr w:rsidR="006F4430" w:rsidRPr="004E2ADC" w:rsidTr="006F4430">
        <w:tc>
          <w:tcPr>
            <w:tcW w:w="5000" w:type="pct"/>
            <w:gridSpan w:val="6"/>
            <w:shd w:val="clear" w:color="auto" w:fill="auto"/>
            <w:vAlign w:val="center"/>
          </w:tcPr>
          <w:p w:rsidR="006F4430" w:rsidRPr="004E2ADC" w:rsidRDefault="006F4430" w:rsidP="006E4BDB">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bottom"/>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cs="Times New Roman"/>
                <w:noProof/>
                <w:snapToGrid/>
                <w:color w:val="000000"/>
                <w:sz w:val="20"/>
                <w:szCs w:val="20"/>
                <w:highlight w:val="black"/>
                <w:lang w:val="en-US"/>
              </w:rPr>
              <w:t>'''''''''''''</w:t>
            </w:r>
          </w:p>
        </w:tc>
        <w:tc>
          <w:tcPr>
            <w:tcW w:w="679" w:type="pct"/>
            <w:shd w:val="clear" w:color="auto" w:fill="auto"/>
            <w:vAlign w:val="bottom"/>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cs="Times New Roman"/>
                <w:noProof/>
                <w:snapToGrid/>
                <w:color w:val="000000"/>
                <w:sz w:val="20"/>
                <w:szCs w:val="20"/>
                <w:highlight w:val="black"/>
                <w:lang w:val="en-US"/>
              </w:rPr>
              <w:t>'''''''''''''''</w:t>
            </w:r>
          </w:p>
        </w:tc>
        <w:tc>
          <w:tcPr>
            <w:tcW w:w="764" w:type="pct"/>
            <w:shd w:val="clear" w:color="auto" w:fill="auto"/>
            <w:vAlign w:val="bottom"/>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cs="Times New Roman"/>
                <w:noProof/>
                <w:snapToGrid/>
                <w:color w:val="000000"/>
                <w:sz w:val="20"/>
                <w:szCs w:val="20"/>
                <w:highlight w:val="black"/>
                <w:lang w:val="en-US"/>
              </w:rPr>
              <w:t>'''''''''''''</w:t>
            </w:r>
          </w:p>
        </w:tc>
        <w:tc>
          <w:tcPr>
            <w:tcW w:w="764" w:type="pct"/>
            <w:shd w:val="clear" w:color="auto" w:fill="auto"/>
            <w:vAlign w:val="bottom"/>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cs="Times New Roman"/>
                <w:noProof/>
                <w:snapToGrid/>
                <w:color w:val="000000"/>
                <w:sz w:val="20"/>
                <w:szCs w:val="20"/>
                <w:highlight w:val="black"/>
                <w:lang w:val="en-US"/>
              </w:rPr>
              <w:t>'''''''''''''</w:t>
            </w:r>
          </w:p>
        </w:tc>
        <w:tc>
          <w:tcPr>
            <w:tcW w:w="752" w:type="pct"/>
            <w:shd w:val="clear" w:color="auto" w:fill="auto"/>
            <w:vAlign w:val="bottom"/>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cs="Times New Roman"/>
                <w:noProof/>
                <w:snapToGrid/>
                <w:color w:val="000000"/>
                <w:sz w:val="20"/>
                <w:szCs w:val="20"/>
                <w:highlight w:val="black"/>
                <w:lang w:val="en-US"/>
              </w:rPr>
              <w:t>'''''''''''''</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20"/>
              </w:rPr>
            </w:pPr>
            <w:r>
              <w:rPr>
                <w:rFonts w:ascii="Arial Narrow" w:hAnsi="Arial Narrow"/>
                <w:sz w:val="20"/>
              </w:rPr>
              <w:t>March 2015 estimates</w:t>
            </w:r>
          </w:p>
        </w:tc>
        <w:tc>
          <w:tcPr>
            <w:tcW w:w="679" w:type="pct"/>
            <w:shd w:val="clear" w:color="auto" w:fill="auto"/>
            <w:vAlign w:val="center"/>
          </w:tcPr>
          <w:p w:rsidR="009D1F0F" w:rsidRPr="000D3991" w:rsidRDefault="000D3991" w:rsidP="006E4BD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9D1F0F" w:rsidRPr="000D3991" w:rsidRDefault="000D3991" w:rsidP="006E4BD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9D1F0F" w:rsidRPr="000D3991" w:rsidRDefault="000D3991" w:rsidP="006E4BD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9D1F0F" w:rsidRPr="000D3991" w:rsidRDefault="000D3991" w:rsidP="006E4BDB">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52" w:type="pct"/>
            <w:shd w:val="clear" w:color="auto" w:fill="auto"/>
            <w:vAlign w:val="center"/>
          </w:tcPr>
          <w:p w:rsidR="009D1F0F" w:rsidRPr="000D3991" w:rsidRDefault="000D3991" w:rsidP="006E4BDB">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20"/>
              </w:rPr>
            </w:pPr>
            <w:r w:rsidRPr="004E2ADC">
              <w:rPr>
                <w:rFonts w:ascii="Arial Narrow" w:hAnsi="Arial Narrow"/>
                <w:sz w:val="20"/>
              </w:rPr>
              <w:t>Scripts</w:t>
            </w:r>
          </w:p>
        </w:tc>
        <w:tc>
          <w:tcPr>
            <w:tcW w:w="679" w:type="pct"/>
            <w:shd w:val="clear" w:color="auto" w:fill="auto"/>
            <w:vAlign w:val="center"/>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2" w:type="pct"/>
            <w:shd w:val="clear" w:color="auto" w:fill="auto"/>
            <w:vAlign w:val="center"/>
          </w:tcPr>
          <w:p w:rsidR="009D1F0F" w:rsidRPr="000D3991" w:rsidRDefault="000D3991" w:rsidP="006E4BDB">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20"/>
              </w:rPr>
            </w:pPr>
            <w:r>
              <w:rPr>
                <w:rFonts w:ascii="Arial Narrow" w:hAnsi="Arial Narrow"/>
                <w:sz w:val="20"/>
              </w:rPr>
              <w:t>March 2015 estimates</w:t>
            </w:r>
          </w:p>
        </w:tc>
        <w:tc>
          <w:tcPr>
            <w:tcW w:w="679" w:type="pct"/>
            <w:shd w:val="clear" w:color="auto" w:fill="auto"/>
            <w:vAlign w:val="center"/>
          </w:tcPr>
          <w:p w:rsidR="009D1F0F" w:rsidRPr="000D3991" w:rsidRDefault="000D3991" w:rsidP="006E4BDB">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9D1F0F" w:rsidRPr="000D3991" w:rsidRDefault="000D3991" w:rsidP="006E4BDB">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9D1F0F" w:rsidRPr="000D3991" w:rsidRDefault="000D3991" w:rsidP="006E4BDB">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9D1F0F" w:rsidRPr="000D3991" w:rsidRDefault="000D3991" w:rsidP="006E4BDB">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52" w:type="pct"/>
            <w:shd w:val="clear" w:color="auto" w:fill="auto"/>
            <w:vAlign w:val="center"/>
          </w:tcPr>
          <w:p w:rsidR="009D1F0F" w:rsidRPr="002122F6" w:rsidRDefault="009D1F0F" w:rsidP="006E4BDB">
            <w:pPr>
              <w:keepNext/>
              <w:widowControl/>
              <w:jc w:val="center"/>
              <w:rPr>
                <w:rFonts w:ascii="Arial Narrow" w:hAnsi="Arial Narrow"/>
                <w:bCs/>
                <w:sz w:val="20"/>
              </w:rPr>
            </w:pPr>
            <w:r w:rsidRPr="002122F6">
              <w:rPr>
                <w:rFonts w:ascii="Arial Narrow" w:hAnsi="Arial Narrow"/>
                <w:bCs/>
                <w:sz w:val="20"/>
              </w:rPr>
              <w:t>12,737</w:t>
            </w:r>
          </w:p>
        </w:tc>
      </w:tr>
      <w:tr w:rsidR="009D1F0F" w:rsidRPr="004E2ADC" w:rsidTr="006F4430">
        <w:tc>
          <w:tcPr>
            <w:tcW w:w="5000" w:type="pct"/>
            <w:gridSpan w:val="6"/>
            <w:shd w:val="clear" w:color="auto" w:fill="auto"/>
            <w:vAlign w:val="center"/>
          </w:tcPr>
          <w:p w:rsidR="009D1F0F" w:rsidRPr="004E2ADC" w:rsidRDefault="009D1F0F" w:rsidP="006E4BDB">
            <w:pPr>
              <w:keepNext/>
              <w:widowControl/>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bottom"/>
          </w:tcPr>
          <w:p w:rsidR="009D1F0F" w:rsidRPr="009D1F0F" w:rsidRDefault="009D1F0F" w:rsidP="006E4BDB">
            <w:pPr>
              <w:keepNext/>
              <w:widowControl/>
              <w:jc w:val="center"/>
              <w:rPr>
                <w:rFonts w:ascii="Arial Narrow" w:hAnsi="Arial Narrow"/>
                <w:bCs/>
                <w:color w:val="000000"/>
                <w:sz w:val="20"/>
              </w:rPr>
            </w:pPr>
            <w:r w:rsidRPr="009D1F0F">
              <w:rPr>
                <w:rFonts w:ascii="Arial Narrow" w:hAnsi="Arial Narrow"/>
                <w:bCs/>
                <w:sz w:val="20"/>
                <w:szCs w:val="20"/>
              </w:rPr>
              <w:t>$</w:t>
            </w:r>
            <w:r w:rsidR="000D3991">
              <w:rPr>
                <w:rFonts w:ascii="Arial Narrow" w:hAnsi="Arial Narrow"/>
                <w:bCs/>
                <w:noProof/>
                <w:color w:val="000000"/>
                <w:sz w:val="20"/>
                <w:szCs w:val="20"/>
                <w:highlight w:val="black"/>
              </w:rPr>
              <w:t>'''''''''''''''''''''''''''</w:t>
            </w:r>
          </w:p>
        </w:tc>
        <w:tc>
          <w:tcPr>
            <w:tcW w:w="679" w:type="pct"/>
            <w:shd w:val="clear" w:color="auto" w:fill="auto"/>
            <w:vAlign w:val="bottom"/>
          </w:tcPr>
          <w:p w:rsidR="009D1F0F" w:rsidRPr="009D1F0F" w:rsidRDefault="008E219E" w:rsidP="006E4BDB">
            <w:pPr>
              <w:keepNext/>
              <w:widowControl/>
              <w:jc w:val="center"/>
              <w:rPr>
                <w:rFonts w:ascii="Arial Narrow" w:hAnsi="Arial Narrow"/>
                <w:bCs/>
                <w:color w:val="000000"/>
                <w:sz w:val="20"/>
              </w:rPr>
            </w:pPr>
            <w:r>
              <w:rPr>
                <w:rFonts w:ascii="Arial Narrow" w:hAnsi="Arial Narrow"/>
                <w:bCs/>
                <w:sz w:val="20"/>
                <w:szCs w:val="20"/>
              </w:rPr>
              <w:t>$</w:t>
            </w:r>
            <w:r w:rsidR="000D3991">
              <w:rPr>
                <w:rFonts w:ascii="Arial Narrow" w:hAnsi="Arial Narrow"/>
                <w:bCs/>
                <w:noProof/>
                <w:color w:val="000000"/>
                <w:sz w:val="20"/>
                <w:szCs w:val="20"/>
                <w:highlight w:val="black"/>
              </w:rPr>
              <w:t>''''''''''''''''''''''''''</w:t>
            </w:r>
          </w:p>
        </w:tc>
        <w:tc>
          <w:tcPr>
            <w:tcW w:w="764" w:type="pct"/>
            <w:shd w:val="clear" w:color="auto" w:fill="auto"/>
            <w:vAlign w:val="bottom"/>
          </w:tcPr>
          <w:p w:rsidR="009D1F0F" w:rsidRPr="009D1F0F" w:rsidRDefault="009D1F0F" w:rsidP="006E4BDB">
            <w:pPr>
              <w:keepNext/>
              <w:widowControl/>
              <w:jc w:val="center"/>
              <w:rPr>
                <w:rFonts w:ascii="Arial Narrow" w:hAnsi="Arial Narrow"/>
                <w:bCs/>
                <w:color w:val="000000"/>
                <w:sz w:val="20"/>
              </w:rPr>
            </w:pPr>
            <w:r w:rsidRPr="009D1F0F">
              <w:rPr>
                <w:rFonts w:ascii="Arial Narrow" w:hAnsi="Arial Narrow"/>
                <w:bCs/>
                <w:sz w:val="20"/>
                <w:szCs w:val="20"/>
              </w:rPr>
              <w:t>$</w:t>
            </w:r>
            <w:r w:rsidR="000D3991">
              <w:rPr>
                <w:rFonts w:ascii="Arial Narrow" w:hAnsi="Arial Narrow"/>
                <w:bCs/>
                <w:noProof/>
                <w:color w:val="000000"/>
                <w:sz w:val="20"/>
                <w:szCs w:val="20"/>
                <w:highlight w:val="black"/>
              </w:rPr>
              <w:t>'''''''''''''''''''''''''''''</w:t>
            </w:r>
          </w:p>
        </w:tc>
        <w:tc>
          <w:tcPr>
            <w:tcW w:w="764" w:type="pct"/>
            <w:shd w:val="clear" w:color="auto" w:fill="auto"/>
            <w:vAlign w:val="bottom"/>
          </w:tcPr>
          <w:p w:rsidR="009D1F0F" w:rsidRPr="009D1F0F" w:rsidRDefault="009D1F0F" w:rsidP="006E4BDB">
            <w:pPr>
              <w:keepNext/>
              <w:widowControl/>
              <w:jc w:val="center"/>
              <w:rPr>
                <w:rFonts w:ascii="Arial Narrow" w:hAnsi="Arial Narrow"/>
                <w:bCs/>
                <w:color w:val="000000"/>
                <w:sz w:val="20"/>
              </w:rPr>
            </w:pPr>
            <w:r w:rsidRPr="009D1F0F">
              <w:rPr>
                <w:rFonts w:ascii="Arial Narrow" w:hAnsi="Arial Narrow"/>
                <w:bCs/>
                <w:sz w:val="20"/>
                <w:szCs w:val="20"/>
              </w:rPr>
              <w:t>$</w:t>
            </w:r>
            <w:r w:rsidR="000D3991">
              <w:rPr>
                <w:rFonts w:ascii="Arial Narrow" w:hAnsi="Arial Narrow"/>
                <w:bCs/>
                <w:noProof/>
                <w:color w:val="000000"/>
                <w:sz w:val="20"/>
                <w:szCs w:val="20"/>
                <w:highlight w:val="black"/>
              </w:rPr>
              <w:t>'''''''''''''''''''''''''</w:t>
            </w:r>
          </w:p>
        </w:tc>
        <w:tc>
          <w:tcPr>
            <w:tcW w:w="752" w:type="pct"/>
            <w:shd w:val="clear" w:color="auto" w:fill="auto"/>
            <w:vAlign w:val="bottom"/>
          </w:tcPr>
          <w:p w:rsidR="009D1F0F" w:rsidRPr="009D1F0F" w:rsidRDefault="009D1F0F" w:rsidP="006E4BDB">
            <w:pPr>
              <w:keepNext/>
              <w:widowControl/>
              <w:jc w:val="center"/>
              <w:rPr>
                <w:rFonts w:ascii="Arial Narrow" w:hAnsi="Arial Narrow"/>
                <w:bCs/>
                <w:color w:val="000000"/>
                <w:sz w:val="20"/>
              </w:rPr>
            </w:pPr>
            <w:r w:rsidRPr="009D1F0F">
              <w:rPr>
                <w:rFonts w:ascii="Arial Narrow" w:hAnsi="Arial Narrow"/>
                <w:bCs/>
                <w:sz w:val="20"/>
                <w:szCs w:val="20"/>
              </w:rPr>
              <w:t>$</w:t>
            </w:r>
            <w:r w:rsidR="000D3991">
              <w:rPr>
                <w:rFonts w:ascii="Arial Narrow" w:hAnsi="Arial Narrow"/>
                <w:bCs/>
                <w:noProof/>
                <w:color w:val="000000"/>
                <w:sz w:val="20"/>
                <w:szCs w:val="20"/>
                <w:highlight w:val="black"/>
              </w:rPr>
              <w:t>''''''''''''''''''''''''''''</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19"/>
                <w:szCs w:val="19"/>
              </w:rPr>
            </w:pPr>
            <w:r>
              <w:rPr>
                <w:rFonts w:ascii="Arial Narrow" w:hAnsi="Arial Narrow"/>
                <w:sz w:val="20"/>
              </w:rPr>
              <w:t>March 2015 estimates</w:t>
            </w:r>
          </w:p>
        </w:tc>
        <w:tc>
          <w:tcPr>
            <w:tcW w:w="679" w:type="pct"/>
            <w:shd w:val="clear" w:color="auto" w:fill="auto"/>
            <w:vAlign w:val="center"/>
          </w:tcPr>
          <w:p w:rsidR="009D1F0F" w:rsidRPr="0054793D" w:rsidRDefault="009D1F0F" w:rsidP="006E4BDB">
            <w:pPr>
              <w:keepNext/>
              <w:widowControl/>
              <w:jc w:val="center"/>
              <w:rPr>
                <w:rFonts w:ascii="Arial Narrow" w:hAnsi="Arial Narrow"/>
                <w:bCs/>
                <w:sz w:val="20"/>
              </w:rPr>
            </w:pPr>
            <w:r w:rsidRPr="0054793D">
              <w:rPr>
                <w:rFonts w:ascii="Arial Narrow" w:hAnsi="Arial Narrow"/>
                <w:bCs/>
                <w:sz w:val="20"/>
              </w:rPr>
              <w:t>$</w:t>
            </w:r>
            <w:r w:rsidR="000D3991">
              <w:rPr>
                <w:rFonts w:ascii="Arial Narrow" w:hAnsi="Arial Narrow"/>
                <w:bCs/>
                <w:noProof/>
                <w:color w:val="000000"/>
                <w:sz w:val="20"/>
                <w:highlight w:val="black"/>
              </w:rPr>
              <w:t>'''''''''''''''''''''''''</w:t>
            </w:r>
          </w:p>
        </w:tc>
        <w:tc>
          <w:tcPr>
            <w:tcW w:w="679" w:type="pct"/>
            <w:shd w:val="clear" w:color="auto" w:fill="auto"/>
            <w:vAlign w:val="center"/>
          </w:tcPr>
          <w:p w:rsidR="009D1F0F" w:rsidRPr="0054793D" w:rsidRDefault="009D1F0F" w:rsidP="006E4BDB">
            <w:pPr>
              <w:keepNext/>
              <w:widowControl/>
              <w:jc w:val="center"/>
              <w:rPr>
                <w:rFonts w:ascii="Arial Narrow" w:hAnsi="Arial Narrow"/>
                <w:bCs/>
                <w:sz w:val="20"/>
              </w:rPr>
            </w:pPr>
            <w:r w:rsidRPr="0054793D">
              <w:rPr>
                <w:rFonts w:ascii="Arial Narrow" w:hAnsi="Arial Narrow"/>
                <w:bCs/>
                <w:sz w:val="20"/>
              </w:rPr>
              <w:t>$</w:t>
            </w:r>
            <w:r w:rsidR="000D3991">
              <w:rPr>
                <w:rFonts w:ascii="Arial Narrow" w:hAnsi="Arial Narrow"/>
                <w:bCs/>
                <w:noProof/>
                <w:color w:val="000000"/>
                <w:sz w:val="20"/>
                <w:highlight w:val="black"/>
              </w:rPr>
              <w:t>''''''''''''''''''''''''</w:t>
            </w:r>
          </w:p>
        </w:tc>
        <w:tc>
          <w:tcPr>
            <w:tcW w:w="764" w:type="pct"/>
            <w:shd w:val="clear" w:color="auto" w:fill="auto"/>
            <w:vAlign w:val="center"/>
          </w:tcPr>
          <w:p w:rsidR="009D1F0F" w:rsidRPr="0054793D" w:rsidRDefault="009D1F0F" w:rsidP="006E4BDB">
            <w:pPr>
              <w:keepNext/>
              <w:widowControl/>
              <w:jc w:val="center"/>
              <w:rPr>
                <w:rFonts w:ascii="Arial Narrow" w:hAnsi="Arial Narrow"/>
                <w:bCs/>
                <w:sz w:val="20"/>
              </w:rPr>
            </w:pPr>
            <w:r w:rsidRPr="0054793D">
              <w:rPr>
                <w:rFonts w:ascii="Arial Narrow" w:hAnsi="Arial Narrow"/>
                <w:bCs/>
                <w:sz w:val="20"/>
              </w:rPr>
              <w:t>$</w:t>
            </w:r>
            <w:r w:rsidR="000D3991">
              <w:rPr>
                <w:rFonts w:ascii="Arial Narrow" w:hAnsi="Arial Narrow"/>
                <w:bCs/>
                <w:noProof/>
                <w:color w:val="000000"/>
                <w:sz w:val="20"/>
                <w:highlight w:val="black"/>
              </w:rPr>
              <w:t>'''''''''''''''''''''''''''</w:t>
            </w:r>
          </w:p>
        </w:tc>
        <w:tc>
          <w:tcPr>
            <w:tcW w:w="764" w:type="pct"/>
            <w:shd w:val="clear" w:color="auto" w:fill="auto"/>
            <w:vAlign w:val="center"/>
          </w:tcPr>
          <w:p w:rsidR="009D1F0F" w:rsidRPr="0054793D" w:rsidRDefault="009D1F0F" w:rsidP="006E4BDB">
            <w:pPr>
              <w:keepNext/>
              <w:widowControl/>
              <w:jc w:val="center"/>
              <w:rPr>
                <w:rFonts w:ascii="Arial Narrow" w:hAnsi="Arial Narrow"/>
                <w:bCs/>
                <w:sz w:val="20"/>
              </w:rPr>
            </w:pPr>
            <w:r w:rsidRPr="0054793D">
              <w:rPr>
                <w:rFonts w:ascii="Arial Narrow" w:hAnsi="Arial Narrow"/>
                <w:bCs/>
                <w:sz w:val="20"/>
              </w:rPr>
              <w:t>$</w:t>
            </w:r>
            <w:r w:rsidR="000D3991">
              <w:rPr>
                <w:rFonts w:ascii="Arial Narrow" w:hAnsi="Arial Narrow"/>
                <w:bCs/>
                <w:noProof/>
                <w:color w:val="000000"/>
                <w:sz w:val="20"/>
                <w:highlight w:val="black"/>
              </w:rPr>
              <w:t>''''''''''''''''''''''''</w:t>
            </w:r>
          </w:p>
        </w:tc>
        <w:tc>
          <w:tcPr>
            <w:tcW w:w="752" w:type="pct"/>
            <w:shd w:val="clear" w:color="auto" w:fill="auto"/>
            <w:vAlign w:val="center"/>
          </w:tcPr>
          <w:p w:rsidR="009D1F0F" w:rsidRPr="0054793D" w:rsidRDefault="009D1F0F" w:rsidP="006E4BDB">
            <w:pPr>
              <w:keepNext/>
              <w:widowControl/>
              <w:jc w:val="center"/>
              <w:rPr>
                <w:rFonts w:ascii="Arial Narrow" w:hAnsi="Arial Narrow"/>
                <w:bCs/>
                <w:sz w:val="20"/>
              </w:rPr>
            </w:pPr>
            <w:r w:rsidRPr="0054793D">
              <w:rPr>
                <w:rFonts w:ascii="Arial Narrow" w:hAnsi="Arial Narrow"/>
                <w:bCs/>
                <w:sz w:val="20"/>
              </w:rPr>
              <w:t>$</w:t>
            </w:r>
            <w:r w:rsidR="000D3991">
              <w:rPr>
                <w:rFonts w:ascii="Arial Narrow" w:hAnsi="Arial Narrow"/>
                <w:bCs/>
                <w:noProof/>
                <w:color w:val="000000"/>
                <w:sz w:val="20"/>
                <w:highlight w:val="black"/>
              </w:rPr>
              <w:t>'''''''''''''''''''''''''''''</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9D1F0F" w:rsidRPr="004E2ADC" w:rsidRDefault="009D1F0F" w:rsidP="006E4BDB">
            <w:pPr>
              <w:keepNext/>
              <w:widowControl/>
              <w:jc w:val="center"/>
              <w:rPr>
                <w:rFonts w:ascii="Arial Narrow" w:hAnsi="Arial Narrow"/>
                <w:bCs/>
                <w:color w:val="000000"/>
                <w:sz w:val="20"/>
              </w:rPr>
            </w:pPr>
            <w:r>
              <w:rPr>
                <w:rFonts w:ascii="Arial Narrow" w:hAnsi="Arial Narrow"/>
                <w:sz w:val="20"/>
              </w:rPr>
              <w:t>$</w:t>
            </w:r>
            <w:r w:rsidR="000D3991">
              <w:rPr>
                <w:rFonts w:ascii="Arial Narrow" w:hAnsi="Arial Narrow"/>
                <w:noProof/>
                <w:color w:val="000000"/>
                <w:sz w:val="20"/>
                <w:highlight w:val="black"/>
              </w:rPr>
              <w:t>''''''''''''''''''</w:t>
            </w:r>
          </w:p>
        </w:tc>
        <w:tc>
          <w:tcPr>
            <w:tcW w:w="679" w:type="pct"/>
            <w:shd w:val="clear" w:color="auto" w:fill="auto"/>
            <w:vAlign w:val="center"/>
          </w:tcPr>
          <w:p w:rsidR="009D1F0F" w:rsidRPr="004E2ADC" w:rsidRDefault="009D1F0F" w:rsidP="006E4BDB">
            <w:pPr>
              <w:keepNext/>
              <w:widowControl/>
              <w:jc w:val="center"/>
              <w:rPr>
                <w:rFonts w:ascii="Arial Narrow" w:hAnsi="Arial Narrow"/>
                <w:bCs/>
                <w:color w:val="000000"/>
                <w:sz w:val="20"/>
              </w:rPr>
            </w:pPr>
            <w:r>
              <w:rPr>
                <w:rFonts w:ascii="Arial Narrow" w:hAnsi="Arial Narrow"/>
                <w:sz w:val="20"/>
              </w:rPr>
              <w:t>$</w:t>
            </w:r>
            <w:r w:rsidR="000D3991">
              <w:rPr>
                <w:rFonts w:ascii="Arial Narrow" w:hAnsi="Arial Narrow"/>
                <w:noProof/>
                <w:color w:val="000000"/>
                <w:sz w:val="20"/>
                <w:highlight w:val="black"/>
              </w:rPr>
              <w:t>'''''''''''''''''''</w:t>
            </w:r>
          </w:p>
        </w:tc>
        <w:tc>
          <w:tcPr>
            <w:tcW w:w="764" w:type="pct"/>
            <w:shd w:val="clear" w:color="auto" w:fill="auto"/>
            <w:vAlign w:val="center"/>
          </w:tcPr>
          <w:p w:rsidR="009D1F0F" w:rsidRPr="004E2ADC" w:rsidRDefault="009D1F0F" w:rsidP="006E4BDB">
            <w:pPr>
              <w:keepNext/>
              <w:widowControl/>
              <w:jc w:val="center"/>
              <w:rPr>
                <w:rFonts w:ascii="Arial Narrow" w:hAnsi="Arial Narrow"/>
                <w:bCs/>
                <w:color w:val="000000"/>
                <w:sz w:val="20"/>
              </w:rPr>
            </w:pPr>
            <w:r>
              <w:rPr>
                <w:rFonts w:ascii="Arial Narrow" w:hAnsi="Arial Narrow"/>
                <w:sz w:val="20"/>
              </w:rPr>
              <w:t>$</w:t>
            </w:r>
            <w:r w:rsidR="000D3991">
              <w:rPr>
                <w:rFonts w:ascii="Arial Narrow" w:hAnsi="Arial Narrow"/>
                <w:noProof/>
                <w:color w:val="000000"/>
                <w:sz w:val="20"/>
                <w:highlight w:val="black"/>
              </w:rPr>
              <w:t>'''''''''''''''''''''</w:t>
            </w:r>
          </w:p>
        </w:tc>
        <w:tc>
          <w:tcPr>
            <w:tcW w:w="764" w:type="pct"/>
            <w:shd w:val="clear" w:color="auto" w:fill="auto"/>
            <w:vAlign w:val="center"/>
          </w:tcPr>
          <w:p w:rsidR="009D1F0F" w:rsidRPr="004E2ADC" w:rsidRDefault="009D1F0F" w:rsidP="006E4BDB">
            <w:pPr>
              <w:keepNext/>
              <w:widowControl/>
              <w:jc w:val="center"/>
              <w:rPr>
                <w:rFonts w:ascii="Arial Narrow" w:hAnsi="Arial Narrow"/>
                <w:bCs/>
                <w:color w:val="000000"/>
                <w:sz w:val="20"/>
              </w:rPr>
            </w:pPr>
            <w:r>
              <w:rPr>
                <w:rFonts w:ascii="Arial Narrow" w:hAnsi="Arial Narrow"/>
                <w:sz w:val="20"/>
              </w:rPr>
              <w:t>$</w:t>
            </w:r>
            <w:r w:rsidR="000D3991">
              <w:rPr>
                <w:rFonts w:ascii="Arial Narrow" w:hAnsi="Arial Narrow"/>
                <w:noProof/>
                <w:color w:val="000000"/>
                <w:sz w:val="20"/>
                <w:highlight w:val="black"/>
              </w:rPr>
              <w:t>'''''''''''''''''''''</w:t>
            </w:r>
          </w:p>
        </w:tc>
        <w:tc>
          <w:tcPr>
            <w:tcW w:w="752" w:type="pct"/>
            <w:shd w:val="clear" w:color="auto" w:fill="auto"/>
            <w:vAlign w:val="center"/>
          </w:tcPr>
          <w:p w:rsidR="009D1F0F" w:rsidRPr="004E2ADC" w:rsidRDefault="009D1F0F" w:rsidP="006E4BDB">
            <w:pPr>
              <w:keepNext/>
              <w:widowControl/>
              <w:jc w:val="center"/>
              <w:rPr>
                <w:rFonts w:ascii="Arial Narrow" w:hAnsi="Arial Narrow"/>
                <w:bCs/>
                <w:color w:val="000000"/>
                <w:sz w:val="20"/>
              </w:rPr>
            </w:pPr>
            <w:r>
              <w:rPr>
                <w:rFonts w:ascii="Arial Narrow" w:hAnsi="Arial Narrow"/>
                <w:sz w:val="20"/>
              </w:rPr>
              <w:t>$</w:t>
            </w:r>
            <w:r w:rsidR="000D3991">
              <w:rPr>
                <w:rFonts w:ascii="Arial Narrow" w:hAnsi="Arial Narrow"/>
                <w:noProof/>
                <w:color w:val="000000"/>
                <w:sz w:val="20"/>
                <w:highlight w:val="black"/>
              </w:rPr>
              <w:t>''''''''''''''''''</w:t>
            </w:r>
          </w:p>
        </w:tc>
      </w:tr>
      <w:tr w:rsidR="009D1F0F" w:rsidRPr="004E2ADC" w:rsidTr="009D1F0F">
        <w:tc>
          <w:tcPr>
            <w:tcW w:w="1362" w:type="pct"/>
            <w:shd w:val="clear" w:color="auto" w:fill="auto"/>
            <w:vAlign w:val="center"/>
          </w:tcPr>
          <w:p w:rsidR="009D1F0F" w:rsidRPr="004E2ADC" w:rsidRDefault="009D1F0F" w:rsidP="006E4BDB">
            <w:pPr>
              <w:keepNext/>
              <w:widowControl/>
              <w:tabs>
                <w:tab w:val="left" w:pos="142"/>
              </w:tabs>
              <w:jc w:val="left"/>
              <w:rPr>
                <w:rFonts w:ascii="Arial Narrow" w:hAnsi="Arial Narrow"/>
                <w:sz w:val="19"/>
                <w:szCs w:val="19"/>
              </w:rPr>
            </w:pPr>
            <w:r>
              <w:rPr>
                <w:rFonts w:ascii="Arial Narrow" w:hAnsi="Arial Narrow"/>
                <w:sz w:val="20"/>
              </w:rPr>
              <w:t>March 2015 estimates</w:t>
            </w:r>
          </w:p>
        </w:tc>
        <w:tc>
          <w:tcPr>
            <w:tcW w:w="679" w:type="pct"/>
            <w:shd w:val="clear" w:color="auto" w:fill="auto"/>
            <w:vAlign w:val="center"/>
          </w:tcPr>
          <w:p w:rsidR="009D1F0F" w:rsidRPr="00B93FAE" w:rsidRDefault="009D1F0F" w:rsidP="006E4BDB">
            <w:pPr>
              <w:keepNext/>
              <w:widowControl/>
              <w:jc w:val="center"/>
              <w:rPr>
                <w:rFonts w:ascii="Arial Narrow" w:hAnsi="Arial Narrow"/>
                <w:sz w:val="20"/>
              </w:rPr>
            </w:pPr>
            <w:r w:rsidRPr="00B93FAE">
              <w:rPr>
                <w:rFonts w:ascii="Arial Narrow" w:hAnsi="Arial Narrow"/>
                <w:sz w:val="20"/>
              </w:rPr>
              <w:t>$</w:t>
            </w:r>
            <w:r w:rsidR="000D3991">
              <w:rPr>
                <w:rFonts w:ascii="Arial Narrow" w:hAnsi="Arial Narrow"/>
                <w:noProof/>
                <w:color w:val="000000"/>
                <w:sz w:val="20"/>
                <w:highlight w:val="black"/>
              </w:rPr>
              <w:t>''''''''''''''''''''</w:t>
            </w:r>
          </w:p>
        </w:tc>
        <w:tc>
          <w:tcPr>
            <w:tcW w:w="679" w:type="pct"/>
            <w:shd w:val="clear" w:color="auto" w:fill="auto"/>
            <w:vAlign w:val="center"/>
          </w:tcPr>
          <w:p w:rsidR="009D1F0F" w:rsidRPr="00B93FAE" w:rsidRDefault="009D1F0F" w:rsidP="006E4BDB">
            <w:pPr>
              <w:keepNext/>
              <w:widowControl/>
              <w:jc w:val="center"/>
              <w:rPr>
                <w:rFonts w:ascii="Arial Narrow" w:hAnsi="Arial Narrow"/>
                <w:sz w:val="20"/>
              </w:rPr>
            </w:pPr>
            <w:r w:rsidRPr="00B93FAE">
              <w:rPr>
                <w:rFonts w:ascii="Arial Narrow" w:hAnsi="Arial Narrow"/>
                <w:sz w:val="20"/>
              </w:rPr>
              <w:t>$</w:t>
            </w:r>
            <w:r w:rsidR="000D3991">
              <w:rPr>
                <w:rFonts w:ascii="Arial Narrow" w:hAnsi="Arial Narrow"/>
                <w:noProof/>
                <w:color w:val="000000"/>
                <w:sz w:val="20"/>
                <w:highlight w:val="black"/>
              </w:rPr>
              <w:t>''''''''''''''''''</w:t>
            </w:r>
          </w:p>
        </w:tc>
        <w:tc>
          <w:tcPr>
            <w:tcW w:w="764" w:type="pct"/>
            <w:shd w:val="clear" w:color="auto" w:fill="auto"/>
            <w:vAlign w:val="center"/>
          </w:tcPr>
          <w:p w:rsidR="009D1F0F" w:rsidRPr="00B93FAE" w:rsidRDefault="009D1F0F" w:rsidP="006E4BDB">
            <w:pPr>
              <w:keepNext/>
              <w:widowControl/>
              <w:jc w:val="center"/>
              <w:rPr>
                <w:rFonts w:ascii="Arial Narrow" w:hAnsi="Arial Narrow"/>
                <w:sz w:val="20"/>
              </w:rPr>
            </w:pPr>
            <w:r w:rsidRPr="00B93FAE">
              <w:rPr>
                <w:rFonts w:ascii="Arial Narrow" w:hAnsi="Arial Narrow"/>
                <w:sz w:val="20"/>
              </w:rPr>
              <w:t>$</w:t>
            </w:r>
            <w:r w:rsidR="000D3991">
              <w:rPr>
                <w:rFonts w:ascii="Arial Narrow" w:hAnsi="Arial Narrow"/>
                <w:noProof/>
                <w:color w:val="000000"/>
                <w:sz w:val="20"/>
                <w:highlight w:val="black"/>
              </w:rPr>
              <w:t>''''''''''''''''''''''</w:t>
            </w:r>
          </w:p>
        </w:tc>
        <w:tc>
          <w:tcPr>
            <w:tcW w:w="764" w:type="pct"/>
            <w:shd w:val="clear" w:color="auto" w:fill="auto"/>
            <w:vAlign w:val="center"/>
          </w:tcPr>
          <w:p w:rsidR="009D1F0F" w:rsidRPr="00B93FAE" w:rsidRDefault="009D1F0F" w:rsidP="006E4BDB">
            <w:pPr>
              <w:keepNext/>
              <w:widowControl/>
              <w:jc w:val="center"/>
              <w:rPr>
                <w:rFonts w:ascii="Arial Narrow" w:hAnsi="Arial Narrow"/>
                <w:sz w:val="20"/>
              </w:rPr>
            </w:pPr>
            <w:r w:rsidRPr="00B93FAE">
              <w:rPr>
                <w:rFonts w:ascii="Arial Narrow" w:hAnsi="Arial Narrow"/>
                <w:sz w:val="20"/>
              </w:rPr>
              <w:t>$</w:t>
            </w:r>
            <w:r w:rsidR="000D3991">
              <w:rPr>
                <w:rFonts w:ascii="Arial Narrow" w:hAnsi="Arial Narrow"/>
                <w:noProof/>
                <w:color w:val="000000"/>
                <w:sz w:val="20"/>
                <w:highlight w:val="black"/>
              </w:rPr>
              <w:t>'''''''''''''''''''</w:t>
            </w:r>
          </w:p>
        </w:tc>
        <w:tc>
          <w:tcPr>
            <w:tcW w:w="752" w:type="pct"/>
            <w:shd w:val="clear" w:color="auto" w:fill="auto"/>
            <w:vAlign w:val="center"/>
          </w:tcPr>
          <w:p w:rsidR="009D1F0F" w:rsidRPr="00B93FAE" w:rsidRDefault="009D1F0F" w:rsidP="006E4BDB">
            <w:pPr>
              <w:keepNext/>
              <w:widowControl/>
              <w:jc w:val="center"/>
              <w:rPr>
                <w:rFonts w:ascii="Arial Narrow" w:hAnsi="Arial Narrow"/>
                <w:sz w:val="20"/>
              </w:rPr>
            </w:pPr>
            <w:r w:rsidRPr="00B93FAE">
              <w:rPr>
                <w:rFonts w:ascii="Arial Narrow" w:hAnsi="Arial Narrow"/>
                <w:sz w:val="20"/>
              </w:rPr>
              <w:t>$</w:t>
            </w:r>
            <w:r w:rsidR="000D3991">
              <w:rPr>
                <w:rFonts w:ascii="Arial Narrow" w:hAnsi="Arial Narrow"/>
                <w:noProof/>
                <w:color w:val="000000"/>
                <w:sz w:val="20"/>
                <w:highlight w:val="black"/>
              </w:rPr>
              <w:t>'''''''''''''''''''''</w:t>
            </w:r>
          </w:p>
        </w:tc>
      </w:tr>
      <w:tr w:rsidR="009D1F0F" w:rsidRPr="004E2ADC" w:rsidTr="006F4430">
        <w:tc>
          <w:tcPr>
            <w:tcW w:w="5000" w:type="pct"/>
            <w:gridSpan w:val="6"/>
            <w:shd w:val="clear" w:color="auto" w:fill="auto"/>
            <w:vAlign w:val="center"/>
          </w:tcPr>
          <w:p w:rsidR="009D1F0F" w:rsidRPr="004E2ADC" w:rsidRDefault="009D1F0F" w:rsidP="006E4BDB">
            <w:pPr>
              <w:keepNext/>
              <w:widowControl/>
              <w:jc w:val="left"/>
              <w:rPr>
                <w:rFonts w:ascii="Arial Narrow" w:hAnsi="Arial Narrow"/>
                <w:b/>
                <w:color w:val="000000"/>
                <w:sz w:val="20"/>
              </w:rPr>
            </w:pPr>
            <w:r w:rsidRPr="004E2ADC">
              <w:rPr>
                <w:rFonts w:ascii="Arial Narrow" w:hAnsi="Arial Narrow"/>
                <w:b/>
                <w:color w:val="000000"/>
                <w:sz w:val="20"/>
              </w:rPr>
              <w:t>Estimated total net cost</w:t>
            </w:r>
          </w:p>
        </w:tc>
      </w:tr>
      <w:tr w:rsidR="009D1F0F" w:rsidRPr="004E2ADC" w:rsidTr="009D1F0F">
        <w:tc>
          <w:tcPr>
            <w:tcW w:w="1362" w:type="pct"/>
            <w:shd w:val="clear" w:color="auto" w:fill="auto"/>
            <w:vAlign w:val="center"/>
          </w:tcPr>
          <w:p w:rsidR="009D1F0F" w:rsidRPr="00145540" w:rsidRDefault="009D1F0F" w:rsidP="006E4BDB">
            <w:pPr>
              <w:keepNext/>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center"/>
          </w:tcPr>
          <w:p w:rsidR="009D1F0F" w:rsidRPr="004E2ADC" w:rsidRDefault="009D1F0F" w:rsidP="006E4BDB">
            <w:pPr>
              <w:keepNext/>
              <w:widowControl/>
              <w:jc w:val="center"/>
              <w:rPr>
                <w:rFonts w:ascii="Arial Narrow" w:hAnsi="Arial Narrow"/>
                <w:color w:val="000000"/>
                <w:sz w:val="20"/>
              </w:rPr>
            </w:pPr>
            <w:r w:rsidRPr="009D1F0F">
              <w:rPr>
                <w:rFonts w:ascii="Arial Narrow" w:hAnsi="Arial Narrow"/>
                <w:b/>
                <w:bCs/>
                <w:sz w:val="20"/>
              </w:rPr>
              <w:t>$</w:t>
            </w:r>
            <w:r w:rsidR="000D3991">
              <w:rPr>
                <w:rFonts w:ascii="Arial Narrow" w:hAnsi="Arial Narrow"/>
                <w:b/>
                <w:bCs/>
                <w:noProof/>
                <w:color w:val="000000"/>
                <w:sz w:val="20"/>
                <w:highlight w:val="black"/>
              </w:rPr>
              <w:t>''''''''''''''''''''</w:t>
            </w:r>
          </w:p>
        </w:tc>
        <w:tc>
          <w:tcPr>
            <w:tcW w:w="679" w:type="pct"/>
            <w:shd w:val="clear" w:color="auto" w:fill="auto"/>
            <w:vAlign w:val="center"/>
          </w:tcPr>
          <w:p w:rsidR="009D1F0F" w:rsidRPr="004E2ADC" w:rsidRDefault="009D1F0F" w:rsidP="006E4BDB">
            <w:pPr>
              <w:keepNext/>
              <w:widowControl/>
              <w:jc w:val="center"/>
              <w:rPr>
                <w:rFonts w:ascii="Arial Narrow" w:hAnsi="Arial Narrow"/>
                <w:color w:val="000000"/>
                <w:sz w:val="20"/>
              </w:rPr>
            </w:pPr>
            <w:r w:rsidRPr="009D1F0F">
              <w:rPr>
                <w:rFonts w:ascii="Arial Narrow" w:hAnsi="Arial Narrow"/>
                <w:b/>
                <w:bCs/>
                <w:sz w:val="20"/>
              </w:rPr>
              <w:t>$</w:t>
            </w:r>
            <w:r w:rsidR="000D3991">
              <w:rPr>
                <w:rFonts w:ascii="Arial Narrow" w:hAnsi="Arial Narrow"/>
                <w:b/>
                <w:bCs/>
                <w:noProof/>
                <w:color w:val="000000"/>
                <w:sz w:val="20"/>
                <w:highlight w:val="black"/>
              </w:rPr>
              <w:t>''''''''''''''''''''''</w:t>
            </w:r>
          </w:p>
        </w:tc>
        <w:tc>
          <w:tcPr>
            <w:tcW w:w="764" w:type="pct"/>
            <w:shd w:val="clear" w:color="auto" w:fill="auto"/>
            <w:vAlign w:val="center"/>
          </w:tcPr>
          <w:p w:rsidR="009D1F0F" w:rsidRPr="004E2ADC" w:rsidRDefault="009D1F0F" w:rsidP="006E4BDB">
            <w:pPr>
              <w:keepNext/>
              <w:widowControl/>
              <w:jc w:val="center"/>
              <w:rPr>
                <w:rFonts w:ascii="Arial Narrow" w:hAnsi="Arial Narrow"/>
                <w:color w:val="000000"/>
                <w:sz w:val="20"/>
              </w:rPr>
            </w:pPr>
            <w:r w:rsidRPr="009D1F0F">
              <w:rPr>
                <w:rFonts w:ascii="Arial Narrow" w:hAnsi="Arial Narrow"/>
                <w:b/>
                <w:bCs/>
                <w:sz w:val="20"/>
              </w:rPr>
              <w:t>$</w:t>
            </w:r>
            <w:r w:rsidR="000D3991">
              <w:rPr>
                <w:rFonts w:ascii="Arial Narrow" w:hAnsi="Arial Narrow"/>
                <w:b/>
                <w:bCs/>
                <w:noProof/>
                <w:color w:val="000000"/>
                <w:sz w:val="20"/>
                <w:highlight w:val="black"/>
              </w:rPr>
              <w:t>''''''''''''''''''''''</w:t>
            </w:r>
          </w:p>
        </w:tc>
        <w:tc>
          <w:tcPr>
            <w:tcW w:w="764" w:type="pct"/>
            <w:shd w:val="clear" w:color="auto" w:fill="auto"/>
            <w:vAlign w:val="center"/>
          </w:tcPr>
          <w:p w:rsidR="009D1F0F" w:rsidRPr="004E2ADC" w:rsidRDefault="009D1F0F" w:rsidP="006E4BDB">
            <w:pPr>
              <w:keepNext/>
              <w:widowControl/>
              <w:jc w:val="center"/>
              <w:rPr>
                <w:rFonts w:ascii="Arial Narrow" w:hAnsi="Arial Narrow"/>
                <w:color w:val="000000"/>
                <w:sz w:val="20"/>
              </w:rPr>
            </w:pPr>
            <w:r w:rsidRPr="009D1F0F">
              <w:rPr>
                <w:rFonts w:ascii="Arial Narrow" w:hAnsi="Arial Narrow"/>
                <w:b/>
                <w:bCs/>
                <w:sz w:val="20"/>
              </w:rPr>
              <w:t>$</w:t>
            </w:r>
            <w:r w:rsidR="000D3991">
              <w:rPr>
                <w:rFonts w:ascii="Arial Narrow" w:hAnsi="Arial Narrow"/>
                <w:b/>
                <w:bCs/>
                <w:noProof/>
                <w:color w:val="000000"/>
                <w:sz w:val="20"/>
                <w:highlight w:val="black"/>
              </w:rPr>
              <w:t>'''''''''''''''''''''''</w:t>
            </w:r>
          </w:p>
        </w:tc>
        <w:tc>
          <w:tcPr>
            <w:tcW w:w="752" w:type="pct"/>
            <w:shd w:val="clear" w:color="auto" w:fill="auto"/>
            <w:vAlign w:val="center"/>
          </w:tcPr>
          <w:p w:rsidR="009D1F0F" w:rsidRPr="004E2ADC" w:rsidRDefault="009D1F0F" w:rsidP="006E4BDB">
            <w:pPr>
              <w:keepNext/>
              <w:widowControl/>
              <w:jc w:val="center"/>
              <w:rPr>
                <w:rFonts w:ascii="Arial Narrow" w:hAnsi="Arial Narrow"/>
                <w:color w:val="000000"/>
                <w:sz w:val="20"/>
              </w:rPr>
            </w:pPr>
            <w:r w:rsidRPr="009D1F0F">
              <w:rPr>
                <w:rFonts w:ascii="Arial Narrow" w:hAnsi="Arial Narrow"/>
                <w:b/>
                <w:bCs/>
                <w:sz w:val="20"/>
              </w:rPr>
              <w:t>$</w:t>
            </w:r>
            <w:r w:rsidR="000D3991">
              <w:rPr>
                <w:rFonts w:ascii="Arial Narrow" w:hAnsi="Arial Narrow"/>
                <w:b/>
                <w:bCs/>
                <w:noProof/>
                <w:color w:val="000000"/>
                <w:sz w:val="20"/>
                <w:highlight w:val="black"/>
              </w:rPr>
              <w:t>''''''''''''''''''''</w:t>
            </w:r>
          </w:p>
        </w:tc>
      </w:tr>
      <w:tr w:rsidR="009D1F0F" w:rsidRPr="009D1F0F" w:rsidTr="009D1F0F">
        <w:tc>
          <w:tcPr>
            <w:tcW w:w="1362" w:type="pct"/>
            <w:shd w:val="clear" w:color="auto" w:fill="auto"/>
            <w:vAlign w:val="center"/>
          </w:tcPr>
          <w:p w:rsidR="009D1F0F" w:rsidRPr="009D1F0F" w:rsidRDefault="009D1F0F" w:rsidP="006E4BDB">
            <w:pPr>
              <w:keepNext/>
              <w:widowControl/>
              <w:tabs>
                <w:tab w:val="left" w:pos="142"/>
              </w:tabs>
              <w:jc w:val="left"/>
              <w:rPr>
                <w:rFonts w:ascii="Arial Narrow" w:hAnsi="Arial Narrow"/>
                <w:bCs/>
                <w:color w:val="000000"/>
                <w:sz w:val="20"/>
              </w:rPr>
            </w:pPr>
            <w:r>
              <w:rPr>
                <w:rFonts w:ascii="Arial Narrow" w:hAnsi="Arial Narrow"/>
                <w:sz w:val="20"/>
              </w:rPr>
              <w:t>March 2015 estimates</w:t>
            </w:r>
          </w:p>
        </w:tc>
        <w:tc>
          <w:tcPr>
            <w:tcW w:w="679" w:type="pct"/>
            <w:shd w:val="clear" w:color="auto" w:fill="auto"/>
            <w:vAlign w:val="center"/>
          </w:tcPr>
          <w:p w:rsidR="009D1F0F" w:rsidRPr="009D1F0F" w:rsidRDefault="009D1F0F" w:rsidP="006E4BDB">
            <w:pPr>
              <w:keepNext/>
              <w:widowControl/>
              <w:jc w:val="center"/>
              <w:rPr>
                <w:rFonts w:ascii="Arial Narrow" w:hAnsi="Arial Narrow"/>
                <w:bCs/>
                <w:sz w:val="20"/>
              </w:rPr>
            </w:pPr>
            <w:r w:rsidRPr="009D1F0F">
              <w:rPr>
                <w:rFonts w:ascii="Arial Narrow" w:hAnsi="Arial Narrow"/>
                <w:bCs/>
                <w:sz w:val="20"/>
              </w:rPr>
              <w:t>$</w:t>
            </w:r>
            <w:r w:rsidR="000D3991">
              <w:rPr>
                <w:rFonts w:ascii="Arial Narrow" w:hAnsi="Arial Narrow"/>
                <w:bCs/>
                <w:noProof/>
                <w:color w:val="000000"/>
                <w:sz w:val="20"/>
                <w:highlight w:val="black"/>
              </w:rPr>
              <w:t>''''''''''''''''''''''''''</w:t>
            </w:r>
          </w:p>
        </w:tc>
        <w:tc>
          <w:tcPr>
            <w:tcW w:w="679" w:type="pct"/>
            <w:shd w:val="clear" w:color="auto" w:fill="auto"/>
            <w:vAlign w:val="center"/>
          </w:tcPr>
          <w:p w:rsidR="009D1F0F" w:rsidRPr="009D1F0F" w:rsidRDefault="009D1F0F" w:rsidP="006E4BDB">
            <w:pPr>
              <w:keepNext/>
              <w:widowControl/>
              <w:jc w:val="center"/>
              <w:rPr>
                <w:rFonts w:ascii="Arial Narrow" w:hAnsi="Arial Narrow"/>
                <w:bCs/>
                <w:sz w:val="20"/>
              </w:rPr>
            </w:pPr>
            <w:r w:rsidRPr="009D1F0F">
              <w:rPr>
                <w:rFonts w:ascii="Arial Narrow" w:hAnsi="Arial Narrow"/>
                <w:bCs/>
                <w:sz w:val="20"/>
              </w:rPr>
              <w:t>$</w:t>
            </w:r>
            <w:r w:rsidR="000D3991">
              <w:rPr>
                <w:rFonts w:ascii="Arial Narrow" w:hAnsi="Arial Narrow"/>
                <w:bCs/>
                <w:noProof/>
                <w:color w:val="000000"/>
                <w:sz w:val="20"/>
                <w:highlight w:val="black"/>
              </w:rPr>
              <w:t>'''''''''''''''''''''''''</w:t>
            </w:r>
          </w:p>
        </w:tc>
        <w:tc>
          <w:tcPr>
            <w:tcW w:w="764" w:type="pct"/>
            <w:shd w:val="clear" w:color="auto" w:fill="auto"/>
            <w:vAlign w:val="center"/>
          </w:tcPr>
          <w:p w:rsidR="009D1F0F" w:rsidRPr="009D1F0F" w:rsidRDefault="009D1F0F" w:rsidP="006E4BDB">
            <w:pPr>
              <w:keepNext/>
              <w:widowControl/>
              <w:jc w:val="center"/>
              <w:rPr>
                <w:rFonts w:ascii="Arial Narrow" w:hAnsi="Arial Narrow"/>
                <w:bCs/>
                <w:sz w:val="20"/>
              </w:rPr>
            </w:pPr>
            <w:r w:rsidRPr="009D1F0F">
              <w:rPr>
                <w:rFonts w:ascii="Arial Narrow" w:hAnsi="Arial Narrow"/>
                <w:bCs/>
                <w:sz w:val="20"/>
              </w:rPr>
              <w:t>$</w:t>
            </w:r>
            <w:r w:rsidR="000D3991">
              <w:rPr>
                <w:rFonts w:ascii="Arial Narrow" w:hAnsi="Arial Narrow"/>
                <w:bCs/>
                <w:noProof/>
                <w:color w:val="000000"/>
                <w:sz w:val="20"/>
                <w:highlight w:val="black"/>
              </w:rPr>
              <w:t>''''''''''''''''''''''''''''</w:t>
            </w:r>
          </w:p>
        </w:tc>
        <w:tc>
          <w:tcPr>
            <w:tcW w:w="764" w:type="pct"/>
            <w:shd w:val="clear" w:color="auto" w:fill="auto"/>
            <w:vAlign w:val="center"/>
          </w:tcPr>
          <w:p w:rsidR="009D1F0F" w:rsidRPr="009D1F0F" w:rsidRDefault="009D1F0F" w:rsidP="006E4BDB">
            <w:pPr>
              <w:keepNext/>
              <w:widowControl/>
              <w:jc w:val="center"/>
              <w:rPr>
                <w:rFonts w:ascii="Arial Narrow" w:hAnsi="Arial Narrow"/>
                <w:bCs/>
                <w:sz w:val="20"/>
              </w:rPr>
            </w:pPr>
            <w:r w:rsidRPr="009D1F0F">
              <w:rPr>
                <w:rFonts w:ascii="Arial Narrow" w:hAnsi="Arial Narrow"/>
                <w:bCs/>
                <w:sz w:val="20"/>
              </w:rPr>
              <w:t>$</w:t>
            </w:r>
            <w:r w:rsidR="000D3991">
              <w:rPr>
                <w:rFonts w:ascii="Arial Narrow" w:hAnsi="Arial Narrow"/>
                <w:bCs/>
                <w:noProof/>
                <w:color w:val="000000"/>
                <w:sz w:val="20"/>
                <w:highlight w:val="black"/>
              </w:rPr>
              <w:t>'''''''''''''''''''''''''</w:t>
            </w:r>
          </w:p>
        </w:tc>
        <w:tc>
          <w:tcPr>
            <w:tcW w:w="752" w:type="pct"/>
            <w:shd w:val="clear" w:color="auto" w:fill="auto"/>
            <w:vAlign w:val="center"/>
          </w:tcPr>
          <w:p w:rsidR="009D1F0F" w:rsidRPr="009D1F0F" w:rsidRDefault="009D1F0F" w:rsidP="006E4BDB">
            <w:pPr>
              <w:keepNext/>
              <w:widowControl/>
              <w:jc w:val="center"/>
              <w:rPr>
                <w:rFonts w:ascii="Arial Narrow" w:hAnsi="Arial Narrow"/>
                <w:bCs/>
                <w:sz w:val="20"/>
              </w:rPr>
            </w:pPr>
            <w:r w:rsidRPr="009D1F0F">
              <w:rPr>
                <w:rFonts w:ascii="Arial Narrow" w:hAnsi="Arial Narrow"/>
                <w:bCs/>
                <w:sz w:val="20"/>
              </w:rPr>
              <w:t>$</w:t>
            </w:r>
            <w:r w:rsidR="000D3991">
              <w:rPr>
                <w:rFonts w:ascii="Arial Narrow" w:hAnsi="Arial Narrow"/>
                <w:bCs/>
                <w:noProof/>
                <w:color w:val="000000"/>
                <w:sz w:val="20"/>
                <w:highlight w:val="black"/>
              </w:rPr>
              <w:t>'''''''''''''''''''''''''''''</w:t>
            </w:r>
          </w:p>
        </w:tc>
      </w:tr>
    </w:tbl>
    <w:p w:rsidR="0004231D" w:rsidRDefault="0004231D" w:rsidP="006E4BDB">
      <w:pPr>
        <w:pStyle w:val="TableFooter"/>
        <w:widowControl/>
        <w:ind w:firstLine="709"/>
        <w:rPr>
          <w:szCs w:val="22"/>
        </w:rPr>
      </w:pPr>
      <w:r w:rsidRPr="00EB690C">
        <w:t xml:space="preserve">Source: </w:t>
      </w:r>
      <w:r>
        <w:t>Compiled during the evaluation</w:t>
      </w:r>
    </w:p>
    <w:p w:rsidR="00C25D9C" w:rsidRDefault="00C25D9C" w:rsidP="006E4BDB">
      <w:pPr>
        <w:widowControl/>
        <w:rPr>
          <w:szCs w:val="22"/>
        </w:rPr>
      </w:pPr>
    </w:p>
    <w:p w:rsidR="008E219E" w:rsidRDefault="008E219E" w:rsidP="008E219E">
      <w:pPr>
        <w:widowControl/>
        <w:ind w:left="709" w:firstLine="11"/>
        <w:rPr>
          <w:szCs w:val="22"/>
        </w:rPr>
      </w:pPr>
      <w:r>
        <w:rPr>
          <w:szCs w:val="22"/>
        </w:rPr>
        <w:t>The redacted table shows that at year 5, the estimated number of patients in the re-submission was less than 10,000, and the net cost to the PBS would be $10 – $20 million.</w:t>
      </w:r>
    </w:p>
    <w:p w:rsidR="008E219E" w:rsidRPr="00352DF7" w:rsidRDefault="008E219E" w:rsidP="006E4BDB">
      <w:pPr>
        <w:widowControl/>
        <w:rPr>
          <w:szCs w:val="22"/>
        </w:rPr>
      </w:pPr>
    </w:p>
    <w:p w:rsidR="00C25D9C" w:rsidRPr="002F530D" w:rsidRDefault="006510C1" w:rsidP="006E4BDB">
      <w:pPr>
        <w:pStyle w:val="ListParagraph"/>
        <w:widowControl/>
        <w:numPr>
          <w:ilvl w:val="1"/>
          <w:numId w:val="2"/>
        </w:numPr>
        <w:rPr>
          <w:szCs w:val="22"/>
        </w:rPr>
      </w:pPr>
      <w:r w:rsidRPr="002F530D">
        <w:t>The estimates follow a decreasing trend of patient numbers, scripts and costs from year 1 to 5, which is inconsistent with the previous submission</w:t>
      </w:r>
      <w:r w:rsidR="004B7CA2" w:rsidRPr="002F530D">
        <w:t xml:space="preserve"> and DUSC advice</w:t>
      </w:r>
      <w:r w:rsidRPr="002F530D">
        <w:t>. This</w:t>
      </w:r>
      <w:r w:rsidR="009D1F0F" w:rsidRPr="002F530D">
        <w:t xml:space="preserve"> is driven primarily by the modified approach of using incidence rates to calculate the patient population. </w:t>
      </w:r>
      <w:r w:rsidRPr="002F530D">
        <w:t>This</w:t>
      </w:r>
      <w:r w:rsidR="009D1F0F" w:rsidRPr="002F530D">
        <w:t xml:space="preserve"> approach has led to </w:t>
      </w:r>
      <w:r w:rsidRPr="002F530D">
        <w:t>a financial</w:t>
      </w:r>
      <w:r w:rsidR="009D1F0F" w:rsidRPr="002F530D">
        <w:t xml:space="preserve"> model that is highly sensitive to several inputs and is unlikely to </w:t>
      </w:r>
      <w:r w:rsidR="007C6C27" w:rsidRPr="002F530D">
        <w:t xml:space="preserve">accurately estimate </w:t>
      </w:r>
      <w:r w:rsidR="009D1F0F" w:rsidRPr="002F530D">
        <w:t>costs to the Government</w:t>
      </w:r>
      <w:r w:rsidR="007C6C27" w:rsidRPr="002F530D">
        <w:t>.</w:t>
      </w:r>
    </w:p>
    <w:p w:rsidR="009240D9" w:rsidRPr="002F530D" w:rsidRDefault="009240D9" w:rsidP="006E4BDB">
      <w:pPr>
        <w:widowControl/>
      </w:pPr>
    </w:p>
    <w:p w:rsidR="00825C3A" w:rsidRPr="002F530D" w:rsidRDefault="001621F3" w:rsidP="006E4BDB">
      <w:pPr>
        <w:pStyle w:val="ListParagraph"/>
        <w:widowControl/>
        <w:numPr>
          <w:ilvl w:val="1"/>
          <w:numId w:val="2"/>
        </w:numPr>
        <w:rPr>
          <w:szCs w:val="22"/>
        </w:rPr>
      </w:pPr>
      <w:r w:rsidRPr="002F530D">
        <w:rPr>
          <w:szCs w:val="22"/>
        </w:rPr>
        <w:t xml:space="preserve">The PSCR (p3) provided revised financial estimates using a prevalence method of </w:t>
      </w:r>
      <w:r w:rsidR="00825C3A" w:rsidRPr="002F530D">
        <w:rPr>
          <w:szCs w:val="22"/>
        </w:rPr>
        <w:t xml:space="preserve">calculating </w:t>
      </w:r>
      <w:r w:rsidRPr="002F530D">
        <w:rPr>
          <w:szCs w:val="22"/>
        </w:rPr>
        <w:t xml:space="preserve">the eligible population, removing referral and diagnosis and included uptake rates from the original re-submission. The PSCR also removed the percentage of patients without contraindications to TNF inhibitors </w:t>
      </w:r>
      <w:r w:rsidR="009F7676">
        <w:rPr>
          <w:szCs w:val="22"/>
        </w:rPr>
        <w:t>from</w:t>
      </w:r>
      <w:r w:rsidRPr="002F530D">
        <w:rPr>
          <w:szCs w:val="22"/>
        </w:rPr>
        <w:t xml:space="preserve"> the financial estimates. </w:t>
      </w:r>
      <w:r w:rsidR="00825C3A" w:rsidRPr="002F530D">
        <w:rPr>
          <w:szCs w:val="22"/>
        </w:rPr>
        <w:t xml:space="preserve">While the estimated net cost to the PBS/RPBS in the revised estimates decreased in the first year of listing, the costs in years 2 to 5 are greater than those estimated in the re-submission, with particularly large increases in years 4 and 5 </w:t>
      </w:r>
      <w:r w:rsidR="00825C3A" w:rsidRPr="002F530D">
        <w:rPr>
          <w:szCs w:val="22"/>
        </w:rPr>
        <w:lastRenderedPageBreak/>
        <w:t>(year 4 increased by $</w:t>
      </w:r>
      <w:r w:rsidR="000D3991">
        <w:rPr>
          <w:noProof/>
          <w:color w:val="000000"/>
          <w:szCs w:val="22"/>
          <w:highlight w:val="black"/>
        </w:rPr>
        <w:t>''''''''''</w:t>
      </w:r>
      <w:r w:rsidR="00825C3A" w:rsidRPr="002F530D">
        <w:rPr>
          <w:szCs w:val="22"/>
        </w:rPr>
        <w:t xml:space="preserve"> and year 5 more than doubled, from </w:t>
      </w:r>
      <w:r w:rsidR="00CB31D3">
        <w:rPr>
          <w:szCs w:val="22"/>
        </w:rPr>
        <w:t>$10-$20 million</w:t>
      </w:r>
      <w:r w:rsidR="00825C3A" w:rsidRPr="002F530D">
        <w:rPr>
          <w:szCs w:val="22"/>
        </w:rPr>
        <w:t xml:space="preserve"> to </w:t>
      </w:r>
      <w:r w:rsidR="00CB31D3">
        <w:rPr>
          <w:szCs w:val="22"/>
        </w:rPr>
        <w:t>$30-$60 million</w:t>
      </w:r>
      <w:r w:rsidR="00825C3A" w:rsidRPr="002F530D">
        <w:rPr>
          <w:szCs w:val="22"/>
        </w:rPr>
        <w:t xml:space="preserve">). These calculations </w:t>
      </w:r>
      <w:r w:rsidR="009F7676">
        <w:rPr>
          <w:szCs w:val="22"/>
        </w:rPr>
        <w:t>were</w:t>
      </w:r>
      <w:r w:rsidR="009F7676" w:rsidRPr="002F530D">
        <w:rPr>
          <w:szCs w:val="22"/>
        </w:rPr>
        <w:t xml:space="preserve"> </w:t>
      </w:r>
      <w:r w:rsidR="00825C3A" w:rsidRPr="002F530D">
        <w:rPr>
          <w:szCs w:val="22"/>
        </w:rPr>
        <w:t>not verified, as a spreadsheet was not provided with the PSCR.</w:t>
      </w:r>
    </w:p>
    <w:p w:rsidR="006E0CB3" w:rsidRPr="002F530D" w:rsidRDefault="006E0CB3" w:rsidP="006E4BDB">
      <w:pPr>
        <w:pStyle w:val="ListParagraph"/>
        <w:widowControl/>
        <w:rPr>
          <w:szCs w:val="22"/>
        </w:rPr>
      </w:pPr>
    </w:p>
    <w:p w:rsidR="001621F3" w:rsidRPr="002F530D" w:rsidRDefault="0003352B" w:rsidP="006E4BDB">
      <w:pPr>
        <w:pStyle w:val="ListParagraph"/>
        <w:widowControl/>
        <w:numPr>
          <w:ilvl w:val="1"/>
          <w:numId w:val="2"/>
        </w:numPr>
        <w:rPr>
          <w:szCs w:val="22"/>
        </w:rPr>
      </w:pPr>
      <w:r w:rsidRPr="002F530D">
        <w:rPr>
          <w:szCs w:val="22"/>
        </w:rPr>
        <w:t>The ESC noted from the DUSC Utilisation Review (</w:t>
      </w:r>
      <w:r w:rsidR="00825C3A" w:rsidRPr="002F530D">
        <w:rPr>
          <w:szCs w:val="22"/>
        </w:rPr>
        <w:t>agenda item 10.3, March 2016 PBAC</w:t>
      </w:r>
      <w:r w:rsidRPr="002F530D">
        <w:rPr>
          <w:szCs w:val="22"/>
        </w:rPr>
        <w:t>) increasing use of bDMARDs for AS, with no sign of stabilising. Despite the requirement for radiographically confirmed Grade II bilateral sacroiliitis or Grade</w:t>
      </w:r>
      <w:r w:rsidR="009F7676">
        <w:rPr>
          <w:szCs w:val="22"/>
        </w:rPr>
        <w:t> </w:t>
      </w:r>
      <w:r w:rsidRPr="002F530D">
        <w:rPr>
          <w:szCs w:val="22"/>
        </w:rPr>
        <w:t xml:space="preserve">III unilateral sacroiliitis, </w:t>
      </w:r>
      <w:r w:rsidRPr="00DD46BD">
        <w:rPr>
          <w:szCs w:val="22"/>
        </w:rPr>
        <w:t>the ESC considered that there may</w:t>
      </w:r>
      <w:r w:rsidR="006F5DDD" w:rsidRPr="00DD46BD">
        <w:rPr>
          <w:szCs w:val="22"/>
        </w:rPr>
        <w:t xml:space="preserve"> be</w:t>
      </w:r>
      <w:r w:rsidRPr="00DD46BD">
        <w:rPr>
          <w:szCs w:val="22"/>
        </w:rPr>
        <w:t xml:space="preserve"> some use</w:t>
      </w:r>
      <w:r w:rsidRPr="002F530D">
        <w:rPr>
          <w:szCs w:val="22"/>
        </w:rPr>
        <w:t xml:space="preserve"> beyond </w:t>
      </w:r>
      <w:r w:rsidR="00825C3A" w:rsidRPr="002F530D">
        <w:rPr>
          <w:szCs w:val="22"/>
        </w:rPr>
        <w:t xml:space="preserve">the current </w:t>
      </w:r>
      <w:r w:rsidRPr="002F530D">
        <w:rPr>
          <w:szCs w:val="22"/>
        </w:rPr>
        <w:t>AS restriction for nr-axSpA.</w:t>
      </w:r>
    </w:p>
    <w:p w:rsidR="003A016D" w:rsidRPr="002F530D" w:rsidRDefault="003A016D" w:rsidP="006E4BDB">
      <w:pPr>
        <w:pStyle w:val="ListParagraph"/>
        <w:widowControl/>
        <w:rPr>
          <w:szCs w:val="22"/>
        </w:rPr>
      </w:pPr>
    </w:p>
    <w:p w:rsidR="003A016D" w:rsidRPr="002F530D" w:rsidRDefault="003A016D" w:rsidP="006E4BDB">
      <w:pPr>
        <w:pStyle w:val="ListParagraph"/>
        <w:widowControl/>
        <w:numPr>
          <w:ilvl w:val="1"/>
          <w:numId w:val="2"/>
        </w:numPr>
        <w:rPr>
          <w:szCs w:val="22"/>
        </w:rPr>
      </w:pPr>
      <w:r w:rsidRPr="002F530D">
        <w:rPr>
          <w:szCs w:val="22"/>
        </w:rPr>
        <w:t xml:space="preserve">The ESC also </w:t>
      </w:r>
      <w:r w:rsidR="00D01083" w:rsidRPr="002F530D">
        <w:rPr>
          <w:szCs w:val="22"/>
        </w:rPr>
        <w:t>noted concerns</w:t>
      </w:r>
      <w:r w:rsidRPr="002F530D">
        <w:rPr>
          <w:szCs w:val="22"/>
        </w:rPr>
        <w:t xml:space="preserve"> about the high risk of leakage beyond the proposed nr-axSpA restriction to chronic back pain.</w:t>
      </w:r>
    </w:p>
    <w:p w:rsidR="00576972" w:rsidRDefault="00576972" w:rsidP="006E4BDB">
      <w:pPr>
        <w:widowControl/>
        <w:rPr>
          <w:szCs w:val="22"/>
        </w:rPr>
      </w:pPr>
    </w:p>
    <w:p w:rsidR="00576972" w:rsidRPr="00497F10" w:rsidRDefault="00576972" w:rsidP="0030129E">
      <w:pPr>
        <w:pStyle w:val="Heading2"/>
      </w:pPr>
      <w:bookmarkStart w:id="16" w:name="_Toc440882446"/>
      <w:r w:rsidRPr="00497F10">
        <w:t>Quality Use of Medicines</w:t>
      </w:r>
      <w:bookmarkEnd w:id="16"/>
    </w:p>
    <w:p w:rsidR="00576972" w:rsidRPr="00576972" w:rsidRDefault="00576972" w:rsidP="006E4BDB">
      <w:pPr>
        <w:widowControl/>
        <w:rPr>
          <w:szCs w:val="22"/>
        </w:rPr>
      </w:pPr>
    </w:p>
    <w:p w:rsidR="00576972" w:rsidRPr="00B608CF" w:rsidRDefault="009D1F0F" w:rsidP="006E4BDB">
      <w:pPr>
        <w:pStyle w:val="ListParagraph"/>
        <w:widowControl/>
        <w:numPr>
          <w:ilvl w:val="1"/>
          <w:numId w:val="2"/>
        </w:numPr>
        <w:rPr>
          <w:szCs w:val="22"/>
        </w:rPr>
      </w:pPr>
      <w:r>
        <w:t xml:space="preserve">As in the </w:t>
      </w:r>
      <w:r w:rsidR="007853CA">
        <w:t xml:space="preserve">March 2015 </w:t>
      </w:r>
      <w:r>
        <w:t>submission, the re-</w:t>
      </w:r>
      <w:r w:rsidRPr="00DA42C3">
        <w:t xml:space="preserve">submission identified </w:t>
      </w:r>
      <w:r>
        <w:t xml:space="preserve">the same </w:t>
      </w:r>
      <w:r w:rsidRPr="00DA42C3">
        <w:t>barriers to the appropriate, effective and safe use of etanercept</w:t>
      </w:r>
      <w:r>
        <w:t xml:space="preserve"> and identified the same methods to address these issues, including use of</w:t>
      </w:r>
      <w:r w:rsidRPr="009D1F0F">
        <w:t xml:space="preserve"> </w:t>
      </w:r>
      <w:r>
        <w:t>educational materials for health professionals, development of relationships with stakeholders and provision of a patient support program.</w:t>
      </w:r>
    </w:p>
    <w:p w:rsidR="00576972" w:rsidRDefault="00576972" w:rsidP="006E4BDB">
      <w:pPr>
        <w:widowControl/>
        <w:rPr>
          <w:szCs w:val="22"/>
        </w:rPr>
      </w:pPr>
    </w:p>
    <w:p w:rsidR="00576972" w:rsidRPr="00497F10" w:rsidRDefault="00576972" w:rsidP="0030129E">
      <w:pPr>
        <w:pStyle w:val="Heading2"/>
        <w:rPr>
          <w:szCs w:val="22"/>
        </w:rPr>
      </w:pPr>
      <w:bookmarkStart w:id="17" w:name="_Toc440882447"/>
      <w:r w:rsidRPr="00497F10">
        <w:t>Financial Management – Risk Sharing Arrangements</w:t>
      </w:r>
      <w:bookmarkEnd w:id="17"/>
    </w:p>
    <w:p w:rsidR="00C25D9C" w:rsidRPr="00576972" w:rsidRDefault="00C25D9C" w:rsidP="006E4BDB">
      <w:pPr>
        <w:widowControl/>
        <w:rPr>
          <w:szCs w:val="22"/>
        </w:rPr>
      </w:pPr>
    </w:p>
    <w:p w:rsidR="00044AC2" w:rsidRPr="00044AC2" w:rsidRDefault="009D1F0F" w:rsidP="006E4BDB">
      <w:pPr>
        <w:pStyle w:val="ListParagraph"/>
        <w:widowControl/>
        <w:numPr>
          <w:ilvl w:val="1"/>
          <w:numId w:val="2"/>
        </w:numPr>
        <w:rPr>
          <w:b/>
          <w:i/>
        </w:rPr>
      </w:pPr>
      <w:r>
        <w:t xml:space="preserve">As in the </w:t>
      </w:r>
      <w:r w:rsidR="007853CA">
        <w:t xml:space="preserve">March 2015 </w:t>
      </w:r>
      <w:r>
        <w:t>submission, the re-</w:t>
      </w:r>
      <w:r w:rsidRPr="00DA42C3">
        <w:t xml:space="preserve">submission noted that if etanercept received a positive recommendation for PBS listing, a risk sharing arrangement may be required, but did not provide specific </w:t>
      </w:r>
      <w:r w:rsidR="002F530D">
        <w:t>details of such an arrangement.</w:t>
      </w:r>
    </w:p>
    <w:p w:rsidR="00044AC2" w:rsidRDefault="00044AC2" w:rsidP="006E4BDB">
      <w:pPr>
        <w:pStyle w:val="ListParagraph"/>
        <w:widowControl/>
        <w:rPr>
          <w:b/>
          <w:i/>
        </w:rPr>
      </w:pPr>
    </w:p>
    <w:p w:rsidR="00796D68" w:rsidRPr="00044AC2" w:rsidRDefault="00796D68" w:rsidP="006E4BDB">
      <w:pPr>
        <w:pStyle w:val="ListParagraph"/>
        <w:widowControl/>
        <w:rPr>
          <w:b/>
          <w:i/>
        </w:rPr>
      </w:pPr>
    </w:p>
    <w:p w:rsidR="00044AC2" w:rsidRPr="00074420" w:rsidRDefault="00044AC2" w:rsidP="001065B6">
      <w:pPr>
        <w:pStyle w:val="Heading1"/>
        <w:rPr>
          <w:i/>
          <w:szCs w:val="24"/>
        </w:rPr>
      </w:pPr>
      <w:r w:rsidRPr="00074420">
        <w:t>PBAC Outcome</w:t>
      </w:r>
    </w:p>
    <w:p w:rsidR="00044AC2" w:rsidRPr="00074420" w:rsidRDefault="00044AC2" w:rsidP="006E4BDB">
      <w:pPr>
        <w:widowControl/>
        <w:contextualSpacing/>
        <w:rPr>
          <w:b/>
          <w:bCs/>
          <w:szCs w:val="22"/>
          <w:lang w:val="en-GB"/>
        </w:rPr>
      </w:pPr>
    </w:p>
    <w:p w:rsidR="00290871" w:rsidRPr="00720139" w:rsidRDefault="0037349B" w:rsidP="00720139">
      <w:pPr>
        <w:numPr>
          <w:ilvl w:val="1"/>
          <w:numId w:val="13"/>
        </w:numPr>
        <w:contextualSpacing/>
        <w:rPr>
          <w:bCs/>
          <w:szCs w:val="22"/>
          <w:lang w:val="en-GB"/>
        </w:rPr>
      </w:pPr>
      <w:r w:rsidRPr="000B0ACC">
        <w:rPr>
          <w:bCs/>
          <w:szCs w:val="22"/>
          <w:lang w:val="en-GB"/>
        </w:rPr>
        <w:t xml:space="preserve">The PBAC rejected the </w:t>
      </w:r>
      <w:r w:rsidR="00796D68" w:rsidRPr="000B0ACC">
        <w:rPr>
          <w:bCs/>
          <w:szCs w:val="22"/>
          <w:lang w:val="en-GB"/>
        </w:rPr>
        <w:t xml:space="preserve">request to list etanercept for nr-axSpA </w:t>
      </w:r>
      <w:r w:rsidRPr="000B0ACC">
        <w:rPr>
          <w:bCs/>
          <w:szCs w:val="22"/>
          <w:lang w:val="en-GB"/>
        </w:rPr>
        <w:t xml:space="preserve">on </w:t>
      </w:r>
      <w:r w:rsidR="00796D68" w:rsidRPr="000B0ACC">
        <w:rPr>
          <w:bCs/>
          <w:szCs w:val="22"/>
          <w:lang w:val="en-GB"/>
        </w:rPr>
        <w:t>the</w:t>
      </w:r>
      <w:r w:rsidRPr="000B0ACC">
        <w:rPr>
          <w:bCs/>
          <w:szCs w:val="22"/>
          <w:lang w:val="en-GB"/>
        </w:rPr>
        <w:t xml:space="preserve"> basis </w:t>
      </w:r>
      <w:r w:rsidR="00290871">
        <w:rPr>
          <w:bCs/>
          <w:szCs w:val="22"/>
          <w:lang w:val="en-GB"/>
        </w:rPr>
        <w:t>of an</w:t>
      </w:r>
      <w:r w:rsidR="00796D68" w:rsidRPr="000B0ACC">
        <w:rPr>
          <w:bCs/>
          <w:szCs w:val="22"/>
          <w:lang w:val="en-GB"/>
        </w:rPr>
        <w:t xml:space="preserve"> unacceptably high and uncertain incremental cost effectiveness ratio. </w:t>
      </w:r>
      <w:r w:rsidR="00290871">
        <w:rPr>
          <w:bCs/>
          <w:szCs w:val="22"/>
          <w:lang w:val="en-GB"/>
        </w:rPr>
        <w:t xml:space="preserve">In addition, the PBAC considered that the patient population remained poorly defined </w:t>
      </w:r>
      <w:r w:rsidR="00720139">
        <w:rPr>
          <w:bCs/>
          <w:szCs w:val="22"/>
          <w:lang w:val="en-GB"/>
        </w:rPr>
        <w:t xml:space="preserve">and justified. The </w:t>
      </w:r>
      <w:r w:rsidR="00720139" w:rsidRPr="000B0ACC">
        <w:rPr>
          <w:bCs/>
          <w:szCs w:val="22"/>
          <w:lang w:val="en-GB"/>
        </w:rPr>
        <w:t xml:space="preserve">PBAC considered there is a clinical need for </w:t>
      </w:r>
      <w:r w:rsidR="00096DD0">
        <w:rPr>
          <w:bCs/>
          <w:szCs w:val="22"/>
          <w:lang w:val="en-GB"/>
        </w:rPr>
        <w:t xml:space="preserve">effective </w:t>
      </w:r>
      <w:r w:rsidR="00720139" w:rsidRPr="000B0ACC">
        <w:rPr>
          <w:bCs/>
          <w:szCs w:val="22"/>
          <w:lang w:val="en-GB"/>
        </w:rPr>
        <w:t xml:space="preserve">subsidised </w:t>
      </w:r>
      <w:r w:rsidR="00096DD0">
        <w:rPr>
          <w:bCs/>
          <w:szCs w:val="22"/>
          <w:lang w:val="en-GB"/>
        </w:rPr>
        <w:t>therapy</w:t>
      </w:r>
      <w:r w:rsidR="00720139" w:rsidRPr="000B0ACC">
        <w:rPr>
          <w:bCs/>
          <w:szCs w:val="22"/>
          <w:lang w:val="en-GB"/>
        </w:rPr>
        <w:t xml:space="preserve"> for this</w:t>
      </w:r>
      <w:r w:rsidR="00720139">
        <w:rPr>
          <w:bCs/>
          <w:szCs w:val="22"/>
          <w:lang w:val="en-GB"/>
        </w:rPr>
        <w:t xml:space="preserve"> condition but </w:t>
      </w:r>
      <w:r w:rsidR="00290871" w:rsidRPr="00720139">
        <w:rPr>
          <w:bCs/>
          <w:szCs w:val="22"/>
          <w:lang w:val="en-GB"/>
        </w:rPr>
        <w:t xml:space="preserve">noted that the clinical </w:t>
      </w:r>
      <w:r w:rsidR="00290871" w:rsidRPr="00720139">
        <w:rPr>
          <w:szCs w:val="22"/>
        </w:rPr>
        <w:t>benefits of etanercept in nr-axSpA were modest</w:t>
      </w:r>
      <w:r w:rsidR="00720139">
        <w:rPr>
          <w:szCs w:val="22"/>
        </w:rPr>
        <w:t>.</w:t>
      </w:r>
    </w:p>
    <w:p w:rsidR="00290871" w:rsidRPr="00720139" w:rsidRDefault="00290871" w:rsidP="00720139">
      <w:pPr>
        <w:rPr>
          <w:bCs/>
          <w:szCs w:val="22"/>
          <w:lang w:val="en-GB"/>
        </w:rPr>
      </w:pPr>
    </w:p>
    <w:p w:rsidR="006223BD" w:rsidRPr="006E4BDB" w:rsidRDefault="006223BD" w:rsidP="006223BD">
      <w:pPr>
        <w:numPr>
          <w:ilvl w:val="1"/>
          <w:numId w:val="13"/>
        </w:numPr>
        <w:contextualSpacing/>
        <w:rPr>
          <w:bCs/>
          <w:szCs w:val="22"/>
          <w:lang w:val="en-GB"/>
        </w:rPr>
      </w:pPr>
      <w:r w:rsidRPr="00231A40">
        <w:rPr>
          <w:bCs/>
          <w:szCs w:val="22"/>
          <w:lang w:val="en-GB"/>
        </w:rPr>
        <w:t xml:space="preserve">The PBAC </w:t>
      </w:r>
      <w:r>
        <w:rPr>
          <w:bCs/>
          <w:szCs w:val="22"/>
          <w:lang w:val="en-GB"/>
        </w:rPr>
        <w:t xml:space="preserve">recalled that </w:t>
      </w:r>
      <w:r w:rsidRPr="00231A40">
        <w:rPr>
          <w:bCs/>
          <w:szCs w:val="22"/>
          <w:lang w:val="en-GB"/>
        </w:rPr>
        <w:t>it had previously</w:t>
      </w:r>
      <w:r>
        <w:rPr>
          <w:bCs/>
          <w:szCs w:val="22"/>
          <w:lang w:val="en-GB"/>
        </w:rPr>
        <w:t xml:space="preserve"> accepted that</w:t>
      </w:r>
      <w:r w:rsidRPr="00231A40">
        <w:rPr>
          <w:bCs/>
          <w:szCs w:val="22"/>
          <w:lang w:val="en-GB"/>
        </w:rPr>
        <w:t xml:space="preserve"> </w:t>
      </w:r>
      <w:r w:rsidRPr="005C4F0F">
        <w:rPr>
          <w:szCs w:val="22"/>
        </w:rPr>
        <w:t xml:space="preserve">placebo plus background NSAID treatment </w:t>
      </w:r>
      <w:r>
        <w:rPr>
          <w:szCs w:val="22"/>
        </w:rPr>
        <w:t>was</w:t>
      </w:r>
      <w:r w:rsidRPr="005C4F0F">
        <w:rPr>
          <w:szCs w:val="22"/>
        </w:rPr>
        <w:t xml:space="preserve"> the appropriate comparator</w:t>
      </w:r>
      <w:r>
        <w:rPr>
          <w:szCs w:val="22"/>
        </w:rPr>
        <w:t>.</w:t>
      </w:r>
    </w:p>
    <w:p w:rsidR="006E4BDB" w:rsidRDefault="006E4BDB" w:rsidP="006E4BDB">
      <w:pPr>
        <w:pStyle w:val="ListParagraph"/>
        <w:rPr>
          <w:bCs/>
          <w:szCs w:val="22"/>
          <w:lang w:val="en-GB"/>
        </w:rPr>
      </w:pPr>
    </w:p>
    <w:p w:rsidR="004F1663" w:rsidRDefault="00057729" w:rsidP="006E4BDB">
      <w:pPr>
        <w:widowControl/>
        <w:numPr>
          <w:ilvl w:val="1"/>
          <w:numId w:val="13"/>
        </w:numPr>
        <w:contextualSpacing/>
        <w:rPr>
          <w:bCs/>
          <w:szCs w:val="22"/>
          <w:lang w:val="en-GB"/>
        </w:rPr>
      </w:pPr>
      <w:r>
        <w:rPr>
          <w:bCs/>
          <w:szCs w:val="22"/>
          <w:lang w:val="en-GB"/>
        </w:rPr>
        <w:t>T</w:t>
      </w:r>
      <w:r w:rsidR="00937716">
        <w:rPr>
          <w:bCs/>
          <w:szCs w:val="22"/>
          <w:lang w:val="en-GB"/>
        </w:rPr>
        <w:t xml:space="preserve">he PBAC noted that </w:t>
      </w:r>
      <w:r w:rsidR="000879A2">
        <w:rPr>
          <w:bCs/>
          <w:szCs w:val="22"/>
          <w:lang w:val="en-GB"/>
        </w:rPr>
        <w:t xml:space="preserve">the resubmission presented the </w:t>
      </w:r>
      <w:r w:rsidR="004F1663">
        <w:rPr>
          <w:bCs/>
          <w:szCs w:val="22"/>
          <w:lang w:val="en-GB"/>
        </w:rPr>
        <w:t xml:space="preserve">updated results of </w:t>
      </w:r>
      <w:r>
        <w:rPr>
          <w:bCs/>
          <w:szCs w:val="22"/>
          <w:lang w:val="en-GB"/>
        </w:rPr>
        <w:t xml:space="preserve">the </w:t>
      </w:r>
      <w:r w:rsidR="004F1663">
        <w:rPr>
          <w:bCs/>
          <w:szCs w:val="22"/>
          <w:lang w:val="en-GB"/>
        </w:rPr>
        <w:t>open label maintenance phase of Trial 1031,</w:t>
      </w:r>
      <w:r w:rsidR="00496CB9">
        <w:rPr>
          <w:bCs/>
          <w:szCs w:val="22"/>
          <w:lang w:val="en-GB"/>
        </w:rPr>
        <w:t xml:space="preserve"> </w:t>
      </w:r>
      <w:r w:rsidR="004F0690">
        <w:rPr>
          <w:bCs/>
          <w:szCs w:val="22"/>
          <w:lang w:val="en-GB"/>
        </w:rPr>
        <w:t>subgroup analys</w:t>
      </w:r>
      <w:r w:rsidR="004F1663">
        <w:rPr>
          <w:bCs/>
          <w:szCs w:val="22"/>
          <w:lang w:val="en-GB"/>
        </w:rPr>
        <w:t>e</w:t>
      </w:r>
      <w:r w:rsidR="004F0690">
        <w:rPr>
          <w:bCs/>
          <w:szCs w:val="22"/>
          <w:lang w:val="en-GB"/>
        </w:rPr>
        <w:t xml:space="preserve">s </w:t>
      </w:r>
      <w:r w:rsidR="004F1663">
        <w:rPr>
          <w:bCs/>
          <w:szCs w:val="22"/>
          <w:lang w:val="en-GB"/>
        </w:rPr>
        <w:t xml:space="preserve">by MRI and CRP status, an updated </w:t>
      </w:r>
      <w:r w:rsidR="007C0493">
        <w:rPr>
          <w:bCs/>
          <w:szCs w:val="22"/>
          <w:lang w:val="en-GB"/>
        </w:rPr>
        <w:t>p</w:t>
      </w:r>
      <w:r w:rsidR="004F1663" w:rsidRPr="004F1663">
        <w:rPr>
          <w:bCs/>
          <w:szCs w:val="22"/>
          <w:lang w:val="en-GB"/>
        </w:rPr>
        <w:t xml:space="preserve">eriodic </w:t>
      </w:r>
      <w:r w:rsidR="007C0493">
        <w:rPr>
          <w:bCs/>
          <w:szCs w:val="22"/>
          <w:lang w:val="en-GB"/>
        </w:rPr>
        <w:t>s</w:t>
      </w:r>
      <w:r w:rsidR="004F1663" w:rsidRPr="004F1663">
        <w:rPr>
          <w:bCs/>
          <w:szCs w:val="22"/>
          <w:lang w:val="en-GB"/>
        </w:rPr>
        <w:t xml:space="preserve">afety </w:t>
      </w:r>
      <w:r w:rsidR="007C0493">
        <w:rPr>
          <w:bCs/>
          <w:szCs w:val="22"/>
          <w:lang w:val="en-GB"/>
        </w:rPr>
        <w:t>u</w:t>
      </w:r>
      <w:r w:rsidR="004F1663" w:rsidRPr="004F1663">
        <w:rPr>
          <w:bCs/>
          <w:szCs w:val="22"/>
          <w:lang w:val="en-GB"/>
        </w:rPr>
        <w:t xml:space="preserve">pdate </w:t>
      </w:r>
      <w:r w:rsidR="007C0493">
        <w:rPr>
          <w:bCs/>
          <w:szCs w:val="22"/>
          <w:lang w:val="en-GB"/>
        </w:rPr>
        <w:t>r</w:t>
      </w:r>
      <w:r w:rsidR="004F1663" w:rsidRPr="004F1663">
        <w:rPr>
          <w:bCs/>
          <w:szCs w:val="22"/>
          <w:lang w:val="en-GB"/>
        </w:rPr>
        <w:t>eport</w:t>
      </w:r>
      <w:r w:rsidR="004F1663">
        <w:rPr>
          <w:bCs/>
          <w:szCs w:val="22"/>
          <w:lang w:val="en-GB"/>
        </w:rPr>
        <w:t xml:space="preserve">, a </w:t>
      </w:r>
      <w:r>
        <w:rPr>
          <w:bCs/>
          <w:szCs w:val="22"/>
          <w:lang w:val="en-GB"/>
        </w:rPr>
        <w:t xml:space="preserve">revised </w:t>
      </w:r>
      <w:r w:rsidR="004F1663">
        <w:rPr>
          <w:bCs/>
          <w:szCs w:val="22"/>
          <w:lang w:val="en-GB"/>
        </w:rPr>
        <w:t xml:space="preserve">model </w:t>
      </w:r>
      <w:r>
        <w:rPr>
          <w:bCs/>
          <w:szCs w:val="22"/>
          <w:lang w:val="en-GB"/>
        </w:rPr>
        <w:t>(</w:t>
      </w:r>
      <w:r w:rsidR="004F1663">
        <w:rPr>
          <w:bCs/>
          <w:szCs w:val="22"/>
          <w:lang w:val="en-GB"/>
        </w:rPr>
        <w:t xml:space="preserve">with </w:t>
      </w:r>
      <w:r w:rsidR="008E7BC1">
        <w:rPr>
          <w:bCs/>
          <w:szCs w:val="22"/>
          <w:lang w:val="en-GB"/>
        </w:rPr>
        <w:t xml:space="preserve">the </w:t>
      </w:r>
      <w:r w:rsidR="004F1663">
        <w:rPr>
          <w:bCs/>
          <w:szCs w:val="22"/>
          <w:lang w:val="en-GB"/>
        </w:rPr>
        <w:t xml:space="preserve">time horizon </w:t>
      </w:r>
      <w:r w:rsidR="008E7BC1">
        <w:rPr>
          <w:bCs/>
          <w:szCs w:val="22"/>
          <w:lang w:val="en-GB"/>
        </w:rPr>
        <w:t xml:space="preserve">extended </w:t>
      </w:r>
      <w:r w:rsidR="005C53D7">
        <w:rPr>
          <w:bCs/>
          <w:szCs w:val="22"/>
          <w:lang w:val="en-GB"/>
        </w:rPr>
        <w:t>to 10 years</w:t>
      </w:r>
      <w:r>
        <w:rPr>
          <w:bCs/>
          <w:szCs w:val="22"/>
          <w:lang w:val="en-GB"/>
        </w:rPr>
        <w:t>)</w:t>
      </w:r>
      <w:r w:rsidR="000B0ACC">
        <w:rPr>
          <w:bCs/>
          <w:szCs w:val="22"/>
          <w:lang w:val="en-GB"/>
        </w:rPr>
        <w:t xml:space="preserve"> and </w:t>
      </w:r>
      <w:r w:rsidR="007C0493">
        <w:rPr>
          <w:bCs/>
          <w:szCs w:val="22"/>
          <w:lang w:val="en-GB"/>
        </w:rPr>
        <w:t xml:space="preserve">revised utilisation and </w:t>
      </w:r>
      <w:r w:rsidR="000B0ACC">
        <w:rPr>
          <w:bCs/>
          <w:szCs w:val="22"/>
          <w:lang w:val="en-GB"/>
        </w:rPr>
        <w:t>financial estimates</w:t>
      </w:r>
      <w:r w:rsidR="004F1663">
        <w:rPr>
          <w:bCs/>
          <w:szCs w:val="22"/>
          <w:lang w:val="en-GB"/>
        </w:rPr>
        <w:t>.</w:t>
      </w:r>
      <w:r w:rsidR="00C3024B" w:rsidRPr="00C3024B">
        <w:rPr>
          <w:bCs/>
          <w:szCs w:val="22"/>
          <w:lang w:val="en-GB"/>
        </w:rPr>
        <w:t xml:space="preserve"> </w:t>
      </w:r>
      <w:r w:rsidR="00C3024B">
        <w:rPr>
          <w:bCs/>
          <w:szCs w:val="22"/>
          <w:lang w:val="en-GB"/>
        </w:rPr>
        <w:t xml:space="preserve">The PBAC recalled that in March 2015, it advised that a resubmission could give consideration to limiting treatment to populations in which a higher treatment response would be evident and cost-effective using a reliable economic model. </w:t>
      </w:r>
    </w:p>
    <w:p w:rsidR="004F1663" w:rsidRDefault="004F1663" w:rsidP="006E4BDB">
      <w:pPr>
        <w:widowControl/>
        <w:ind w:left="720"/>
        <w:contextualSpacing/>
        <w:rPr>
          <w:bCs/>
          <w:szCs w:val="22"/>
          <w:lang w:val="en-GB"/>
        </w:rPr>
      </w:pPr>
    </w:p>
    <w:p w:rsidR="00C3024B" w:rsidRPr="00290871" w:rsidRDefault="005C53D7" w:rsidP="00290871">
      <w:pPr>
        <w:widowControl/>
        <w:numPr>
          <w:ilvl w:val="1"/>
          <w:numId w:val="13"/>
        </w:numPr>
        <w:contextualSpacing/>
        <w:rPr>
          <w:bCs/>
          <w:szCs w:val="22"/>
          <w:lang w:val="en-GB"/>
        </w:rPr>
      </w:pPr>
      <w:r w:rsidRPr="00290871">
        <w:rPr>
          <w:bCs/>
          <w:szCs w:val="22"/>
          <w:lang w:val="en-GB"/>
        </w:rPr>
        <w:t xml:space="preserve">Based on the </w:t>
      </w:r>
      <w:r w:rsidR="000879A2" w:rsidRPr="00290871">
        <w:rPr>
          <w:bCs/>
          <w:szCs w:val="22"/>
          <w:lang w:val="en-GB"/>
        </w:rPr>
        <w:t xml:space="preserve">MRI and CRP status </w:t>
      </w:r>
      <w:r w:rsidRPr="00290871">
        <w:rPr>
          <w:bCs/>
          <w:szCs w:val="22"/>
          <w:lang w:val="en-GB"/>
        </w:rPr>
        <w:t>subgroup analyses, the resubmission</w:t>
      </w:r>
      <w:r w:rsidR="00B23182" w:rsidRPr="00290871">
        <w:rPr>
          <w:bCs/>
          <w:szCs w:val="22"/>
          <w:lang w:val="en-GB"/>
        </w:rPr>
        <w:t xml:space="preserve"> </w:t>
      </w:r>
      <w:r w:rsidR="0088037E" w:rsidRPr="00290871">
        <w:rPr>
          <w:bCs/>
          <w:szCs w:val="22"/>
          <w:lang w:val="en-GB"/>
        </w:rPr>
        <w:t xml:space="preserve">requested listing for </w:t>
      </w:r>
      <w:r w:rsidRPr="00290871">
        <w:rPr>
          <w:bCs/>
          <w:szCs w:val="22"/>
          <w:lang w:val="en-GB"/>
        </w:rPr>
        <w:t>th</w:t>
      </w:r>
      <w:r w:rsidR="0088037E" w:rsidRPr="00290871">
        <w:rPr>
          <w:bCs/>
          <w:szCs w:val="22"/>
          <w:lang w:val="en-GB"/>
        </w:rPr>
        <w:t>e</w:t>
      </w:r>
      <w:r w:rsidRPr="00290871">
        <w:rPr>
          <w:bCs/>
          <w:szCs w:val="22"/>
          <w:lang w:val="en-GB"/>
        </w:rPr>
        <w:t xml:space="preserve"> </w:t>
      </w:r>
      <w:r w:rsidR="0085510B" w:rsidRPr="00290871">
        <w:rPr>
          <w:bCs/>
          <w:szCs w:val="22"/>
          <w:lang w:val="en-GB"/>
        </w:rPr>
        <w:t xml:space="preserve">MRI+ and/or CRP+ </w:t>
      </w:r>
      <w:r w:rsidRPr="00290871">
        <w:rPr>
          <w:bCs/>
          <w:szCs w:val="22"/>
          <w:lang w:val="en-GB"/>
        </w:rPr>
        <w:t>subgroup</w:t>
      </w:r>
      <w:r w:rsidR="008A10C7" w:rsidRPr="00290871">
        <w:rPr>
          <w:bCs/>
          <w:szCs w:val="22"/>
          <w:lang w:val="en-GB"/>
        </w:rPr>
        <w:t>.</w:t>
      </w:r>
      <w:r w:rsidR="004F1663" w:rsidRPr="00290871">
        <w:rPr>
          <w:bCs/>
          <w:szCs w:val="22"/>
          <w:lang w:val="en-GB"/>
        </w:rPr>
        <w:t xml:space="preserve"> </w:t>
      </w:r>
      <w:r w:rsidR="00C3024B" w:rsidRPr="00290871">
        <w:rPr>
          <w:bCs/>
          <w:szCs w:val="22"/>
          <w:lang w:val="en-GB"/>
        </w:rPr>
        <w:t xml:space="preserve">The PBAC noted that the subgroups included in the analyses were not new patient populations but were previously included in the March 2015 submission. Accordingly, the PBAC considered that the </w:t>
      </w:r>
      <w:r w:rsidR="00C3024B" w:rsidRPr="00290871">
        <w:rPr>
          <w:bCs/>
          <w:szCs w:val="22"/>
          <w:lang w:val="en-GB"/>
        </w:rPr>
        <w:lastRenderedPageBreak/>
        <w:t>submission did not identify a patient population with a higher treatment response, as requested</w:t>
      </w:r>
      <w:r w:rsidR="000D22D9" w:rsidRPr="00290871">
        <w:rPr>
          <w:bCs/>
          <w:szCs w:val="22"/>
          <w:lang w:val="en-GB"/>
        </w:rPr>
        <w:t xml:space="preserve"> in March 2015</w:t>
      </w:r>
      <w:r w:rsidR="00C3024B" w:rsidRPr="00290871">
        <w:rPr>
          <w:bCs/>
          <w:szCs w:val="22"/>
          <w:lang w:val="en-GB"/>
        </w:rPr>
        <w:t>.</w:t>
      </w:r>
    </w:p>
    <w:p w:rsidR="00C3024B" w:rsidRDefault="00C3024B" w:rsidP="00C3024B">
      <w:pPr>
        <w:widowControl/>
        <w:contextualSpacing/>
        <w:rPr>
          <w:bCs/>
          <w:szCs w:val="22"/>
          <w:lang w:val="en-GB"/>
        </w:rPr>
      </w:pPr>
    </w:p>
    <w:p w:rsidR="00DB12E4" w:rsidRPr="00B07F6A" w:rsidRDefault="00B23182" w:rsidP="00FE26B1">
      <w:pPr>
        <w:widowControl/>
        <w:numPr>
          <w:ilvl w:val="1"/>
          <w:numId w:val="13"/>
        </w:numPr>
        <w:contextualSpacing/>
        <w:rPr>
          <w:bCs/>
          <w:szCs w:val="22"/>
          <w:lang w:val="en-GB"/>
        </w:rPr>
      </w:pPr>
      <w:r w:rsidRPr="00B07F6A">
        <w:rPr>
          <w:bCs/>
          <w:szCs w:val="22"/>
          <w:lang w:val="en-GB"/>
        </w:rPr>
        <w:t xml:space="preserve">The PBAC noted that the </w:t>
      </w:r>
      <w:r w:rsidR="00C3024B" w:rsidRPr="00B07F6A">
        <w:rPr>
          <w:bCs/>
          <w:szCs w:val="22"/>
          <w:lang w:val="en-GB"/>
        </w:rPr>
        <w:t xml:space="preserve">PSCR and </w:t>
      </w:r>
      <w:r w:rsidR="0088037E" w:rsidRPr="00B07F6A">
        <w:rPr>
          <w:bCs/>
          <w:szCs w:val="22"/>
          <w:lang w:val="en-GB"/>
        </w:rPr>
        <w:t>p</w:t>
      </w:r>
      <w:r w:rsidRPr="00B07F6A">
        <w:rPr>
          <w:bCs/>
          <w:szCs w:val="22"/>
          <w:lang w:val="en-GB"/>
        </w:rPr>
        <w:t>re</w:t>
      </w:r>
      <w:r w:rsidR="0088037E" w:rsidRPr="00B07F6A">
        <w:rPr>
          <w:bCs/>
          <w:szCs w:val="22"/>
          <w:lang w:val="en-GB"/>
        </w:rPr>
        <w:noBreakHyphen/>
      </w:r>
      <w:r w:rsidRPr="00B07F6A">
        <w:rPr>
          <w:bCs/>
          <w:szCs w:val="22"/>
          <w:lang w:val="en-GB"/>
        </w:rPr>
        <w:t xml:space="preserve">PBAC response indicated </w:t>
      </w:r>
      <w:r w:rsidR="00C3024B" w:rsidRPr="00B07F6A">
        <w:rPr>
          <w:bCs/>
          <w:szCs w:val="22"/>
          <w:lang w:val="en-GB"/>
        </w:rPr>
        <w:t xml:space="preserve">a </w:t>
      </w:r>
      <w:r w:rsidRPr="00B07F6A">
        <w:rPr>
          <w:bCs/>
          <w:szCs w:val="22"/>
          <w:lang w:val="en-GB"/>
        </w:rPr>
        <w:t xml:space="preserve">willingness to limit the restriction to patients who are both MRI+ and CRP+ at baseline, as the sponsor considered </w:t>
      </w:r>
      <w:r w:rsidR="00286A47" w:rsidRPr="00B07F6A">
        <w:rPr>
          <w:bCs/>
          <w:szCs w:val="22"/>
          <w:lang w:val="en-GB"/>
        </w:rPr>
        <w:t xml:space="preserve">the </w:t>
      </w:r>
      <w:r w:rsidRPr="00B07F6A">
        <w:rPr>
          <w:bCs/>
          <w:szCs w:val="22"/>
          <w:lang w:val="en-GB"/>
        </w:rPr>
        <w:t xml:space="preserve">treatment benefits </w:t>
      </w:r>
      <w:r w:rsidR="0088037E" w:rsidRPr="00B07F6A">
        <w:rPr>
          <w:bCs/>
          <w:szCs w:val="22"/>
          <w:lang w:val="en-GB"/>
        </w:rPr>
        <w:t xml:space="preserve">compared with placebo </w:t>
      </w:r>
      <w:r w:rsidRPr="00B07F6A">
        <w:rPr>
          <w:bCs/>
          <w:szCs w:val="22"/>
          <w:lang w:val="en-GB"/>
        </w:rPr>
        <w:t xml:space="preserve">were greater in this subgroup </w:t>
      </w:r>
      <w:r w:rsidR="0088037E" w:rsidRPr="00B07F6A">
        <w:rPr>
          <w:bCs/>
          <w:szCs w:val="22"/>
          <w:lang w:val="en-GB"/>
        </w:rPr>
        <w:t>than the MR</w:t>
      </w:r>
      <w:r w:rsidR="00111806" w:rsidRPr="00B07F6A">
        <w:rPr>
          <w:bCs/>
          <w:szCs w:val="22"/>
          <w:lang w:val="en-GB"/>
        </w:rPr>
        <w:t>I</w:t>
      </w:r>
      <w:r w:rsidR="0088037E" w:rsidRPr="00B07F6A">
        <w:rPr>
          <w:bCs/>
          <w:szCs w:val="22"/>
          <w:lang w:val="en-GB"/>
        </w:rPr>
        <w:t>+ and/or CRP+ subgroup,</w:t>
      </w:r>
      <w:r w:rsidRPr="00B07F6A">
        <w:rPr>
          <w:bCs/>
          <w:szCs w:val="22"/>
          <w:lang w:val="en-GB"/>
        </w:rPr>
        <w:t xml:space="preserve"> in terms of ASA</w:t>
      </w:r>
      <w:r w:rsidR="00111806" w:rsidRPr="00B07F6A">
        <w:rPr>
          <w:bCs/>
          <w:szCs w:val="22"/>
          <w:lang w:val="en-GB"/>
        </w:rPr>
        <w:t>S</w:t>
      </w:r>
      <w:r w:rsidR="008F6A49" w:rsidRPr="00B07F6A">
        <w:rPr>
          <w:bCs/>
          <w:szCs w:val="22"/>
          <w:lang w:val="en-GB"/>
        </w:rPr>
        <w:t xml:space="preserve"> </w:t>
      </w:r>
      <w:r w:rsidRPr="00B07F6A">
        <w:rPr>
          <w:bCs/>
          <w:szCs w:val="22"/>
          <w:lang w:val="en-GB"/>
        </w:rPr>
        <w:t>40 and ASA</w:t>
      </w:r>
      <w:r w:rsidR="00111806" w:rsidRPr="00B07F6A">
        <w:rPr>
          <w:bCs/>
          <w:szCs w:val="22"/>
          <w:lang w:val="en-GB"/>
        </w:rPr>
        <w:t>S</w:t>
      </w:r>
      <w:r w:rsidR="00C3024B" w:rsidRPr="00B07F6A">
        <w:rPr>
          <w:bCs/>
          <w:szCs w:val="22"/>
          <w:lang w:val="en-GB"/>
        </w:rPr>
        <w:t> </w:t>
      </w:r>
      <w:r w:rsidRPr="00B07F6A">
        <w:rPr>
          <w:bCs/>
          <w:szCs w:val="22"/>
          <w:lang w:val="en-GB"/>
        </w:rPr>
        <w:t>20 response rates.</w:t>
      </w:r>
      <w:r w:rsidR="0088037E" w:rsidRPr="00B07F6A">
        <w:rPr>
          <w:bCs/>
          <w:szCs w:val="22"/>
          <w:lang w:val="en-GB"/>
        </w:rPr>
        <w:t xml:space="preserve"> The PBAC considered that the subgroup analyses did not indicate that etanercept </w:t>
      </w:r>
      <w:r w:rsidR="003F2601" w:rsidRPr="00B07F6A">
        <w:rPr>
          <w:bCs/>
          <w:szCs w:val="22"/>
          <w:lang w:val="en-GB"/>
        </w:rPr>
        <w:t>was</w:t>
      </w:r>
      <w:r w:rsidR="0088037E" w:rsidRPr="00B07F6A">
        <w:rPr>
          <w:bCs/>
          <w:szCs w:val="22"/>
          <w:lang w:val="en-GB"/>
        </w:rPr>
        <w:t xml:space="preserve"> </w:t>
      </w:r>
      <w:r w:rsidR="00100B8F" w:rsidRPr="00B07F6A">
        <w:rPr>
          <w:bCs/>
          <w:szCs w:val="22"/>
          <w:lang w:val="en-GB"/>
        </w:rPr>
        <w:t>significantly</w:t>
      </w:r>
      <w:r w:rsidR="003F2601" w:rsidRPr="00B07F6A">
        <w:rPr>
          <w:bCs/>
          <w:szCs w:val="22"/>
          <w:lang w:val="en-GB"/>
        </w:rPr>
        <w:t xml:space="preserve"> </w:t>
      </w:r>
      <w:r w:rsidR="0088037E" w:rsidRPr="00B07F6A">
        <w:rPr>
          <w:bCs/>
          <w:szCs w:val="22"/>
          <w:lang w:val="en-GB"/>
        </w:rPr>
        <w:t xml:space="preserve">more effective </w:t>
      </w:r>
      <w:r w:rsidR="005F1BB8" w:rsidRPr="00B07F6A">
        <w:rPr>
          <w:bCs/>
          <w:szCs w:val="22"/>
          <w:lang w:val="en-GB"/>
        </w:rPr>
        <w:t>for the primary outcome ASAS </w:t>
      </w:r>
      <w:r w:rsidR="008F6A49" w:rsidRPr="00B07F6A">
        <w:rPr>
          <w:bCs/>
          <w:szCs w:val="22"/>
          <w:lang w:val="en-GB"/>
        </w:rPr>
        <w:t xml:space="preserve">40 </w:t>
      </w:r>
      <w:r w:rsidR="0088037E" w:rsidRPr="00B07F6A">
        <w:rPr>
          <w:bCs/>
          <w:szCs w:val="22"/>
          <w:lang w:val="en-GB"/>
        </w:rPr>
        <w:t>i</w:t>
      </w:r>
      <w:r w:rsidR="003F2601" w:rsidRPr="00B07F6A">
        <w:rPr>
          <w:bCs/>
          <w:szCs w:val="22"/>
          <w:lang w:val="en-GB"/>
        </w:rPr>
        <w:t>n the MRI+ and CPR+ subgroup (RD</w:t>
      </w:r>
      <w:r w:rsidR="0088037E" w:rsidRPr="00B07F6A">
        <w:rPr>
          <w:bCs/>
          <w:szCs w:val="22"/>
          <w:lang w:val="en-GB"/>
        </w:rPr>
        <w:t xml:space="preserve">: </w:t>
      </w:r>
      <w:r w:rsidR="003F2601" w:rsidRPr="00B07F6A">
        <w:rPr>
          <w:bCs/>
          <w:szCs w:val="22"/>
          <w:lang w:val="en-GB"/>
        </w:rPr>
        <w:t>0.24</w:t>
      </w:r>
      <w:r w:rsidR="0088037E" w:rsidRPr="00B07F6A">
        <w:rPr>
          <w:bCs/>
          <w:szCs w:val="22"/>
          <w:lang w:val="en-GB"/>
        </w:rPr>
        <w:t xml:space="preserve">, 95% CI </w:t>
      </w:r>
      <w:r w:rsidR="003F2601" w:rsidRPr="00B07F6A">
        <w:rPr>
          <w:bCs/>
          <w:szCs w:val="22"/>
          <w:lang w:val="en-GB"/>
        </w:rPr>
        <w:t>0.04</w:t>
      </w:r>
      <w:r w:rsidR="0088037E" w:rsidRPr="00B07F6A">
        <w:rPr>
          <w:bCs/>
          <w:szCs w:val="22"/>
          <w:lang w:val="en-GB"/>
        </w:rPr>
        <w:t xml:space="preserve">, </w:t>
      </w:r>
      <w:r w:rsidR="003F2601" w:rsidRPr="00B07F6A">
        <w:rPr>
          <w:bCs/>
          <w:szCs w:val="22"/>
          <w:lang w:val="en-GB"/>
        </w:rPr>
        <w:t>0.45</w:t>
      </w:r>
      <w:r w:rsidR="0088037E" w:rsidRPr="00B07F6A">
        <w:rPr>
          <w:bCs/>
          <w:szCs w:val="22"/>
          <w:lang w:val="en-GB"/>
        </w:rPr>
        <w:t xml:space="preserve">) than in </w:t>
      </w:r>
      <w:r w:rsidR="003F2601" w:rsidRPr="00B07F6A">
        <w:rPr>
          <w:bCs/>
          <w:szCs w:val="22"/>
          <w:lang w:val="en-GB"/>
        </w:rPr>
        <w:t>the overall trial population (RD</w:t>
      </w:r>
      <w:r w:rsidR="0088037E" w:rsidRPr="00B07F6A">
        <w:rPr>
          <w:bCs/>
          <w:szCs w:val="22"/>
          <w:lang w:val="en-GB"/>
        </w:rPr>
        <w:t xml:space="preserve">: </w:t>
      </w:r>
      <w:r w:rsidR="003F2601" w:rsidRPr="00B07F6A">
        <w:rPr>
          <w:bCs/>
          <w:szCs w:val="22"/>
          <w:lang w:val="en-GB"/>
        </w:rPr>
        <w:t>0.18</w:t>
      </w:r>
      <w:r w:rsidR="0088037E" w:rsidRPr="00B07F6A">
        <w:rPr>
          <w:bCs/>
          <w:szCs w:val="22"/>
          <w:lang w:val="en-GB"/>
        </w:rPr>
        <w:t xml:space="preserve">, 95% CI </w:t>
      </w:r>
      <w:r w:rsidR="003F2601" w:rsidRPr="00B07F6A">
        <w:rPr>
          <w:bCs/>
          <w:szCs w:val="22"/>
          <w:lang w:val="en-GB"/>
        </w:rPr>
        <w:t>0.07</w:t>
      </w:r>
      <w:r w:rsidR="0088037E" w:rsidRPr="00B07F6A">
        <w:rPr>
          <w:bCs/>
          <w:szCs w:val="22"/>
          <w:lang w:val="en-GB"/>
        </w:rPr>
        <w:t xml:space="preserve">, </w:t>
      </w:r>
      <w:r w:rsidR="003F2601" w:rsidRPr="00B07F6A">
        <w:rPr>
          <w:bCs/>
          <w:szCs w:val="22"/>
          <w:lang w:val="en-GB"/>
        </w:rPr>
        <w:t>0.30</w:t>
      </w:r>
      <w:r w:rsidR="0088037E" w:rsidRPr="00B07F6A">
        <w:rPr>
          <w:bCs/>
          <w:szCs w:val="22"/>
          <w:lang w:val="en-GB"/>
        </w:rPr>
        <w:t>).</w:t>
      </w:r>
      <w:r w:rsidR="008F6A49" w:rsidRPr="00B07F6A">
        <w:rPr>
          <w:bCs/>
          <w:szCs w:val="22"/>
          <w:lang w:val="en-GB"/>
        </w:rPr>
        <w:t xml:space="preserve"> </w:t>
      </w:r>
      <w:r w:rsidR="005C53D7" w:rsidRPr="00B07F6A">
        <w:rPr>
          <w:bCs/>
          <w:szCs w:val="22"/>
          <w:lang w:val="en-GB"/>
        </w:rPr>
        <w:t xml:space="preserve">The PBAC acknowledged that the small incremental benefit of etanercept compared </w:t>
      </w:r>
      <w:r w:rsidR="007923D1" w:rsidRPr="00B07F6A">
        <w:rPr>
          <w:bCs/>
          <w:szCs w:val="22"/>
          <w:lang w:val="en-GB"/>
        </w:rPr>
        <w:t>with</w:t>
      </w:r>
      <w:r w:rsidR="005C53D7" w:rsidRPr="00B07F6A">
        <w:rPr>
          <w:bCs/>
          <w:szCs w:val="22"/>
          <w:lang w:val="en-GB"/>
        </w:rPr>
        <w:t xml:space="preserve"> placebo in this subgroup could be </w:t>
      </w:r>
      <w:r w:rsidR="00DB12E4" w:rsidRPr="00B07F6A">
        <w:rPr>
          <w:bCs/>
          <w:szCs w:val="22"/>
          <w:lang w:val="en-GB"/>
        </w:rPr>
        <w:t>due to the higher placebo response rates</w:t>
      </w:r>
      <w:r w:rsidR="00700F10" w:rsidRPr="00B07F6A">
        <w:rPr>
          <w:bCs/>
          <w:szCs w:val="22"/>
          <w:lang w:val="en-GB"/>
        </w:rPr>
        <w:t>, as argued by the pre-PBAC response</w:t>
      </w:r>
      <w:r w:rsidR="00DB12E4" w:rsidRPr="00B07F6A">
        <w:rPr>
          <w:bCs/>
          <w:szCs w:val="22"/>
          <w:lang w:val="en-GB"/>
        </w:rPr>
        <w:t xml:space="preserve">. </w:t>
      </w:r>
      <w:r w:rsidR="005C53D7" w:rsidRPr="00B07F6A">
        <w:rPr>
          <w:bCs/>
          <w:szCs w:val="22"/>
          <w:lang w:val="en-GB"/>
        </w:rPr>
        <w:t xml:space="preserve">However, the PBAC considered that it could </w:t>
      </w:r>
      <w:r w:rsidRPr="00B07F6A">
        <w:rPr>
          <w:bCs/>
          <w:szCs w:val="22"/>
          <w:lang w:val="en-GB"/>
        </w:rPr>
        <w:t xml:space="preserve">also </w:t>
      </w:r>
      <w:r w:rsidR="005C53D7" w:rsidRPr="00B07F6A">
        <w:rPr>
          <w:bCs/>
          <w:szCs w:val="22"/>
          <w:lang w:val="en-GB"/>
        </w:rPr>
        <w:t xml:space="preserve">signal </w:t>
      </w:r>
      <w:r w:rsidR="003C595A" w:rsidRPr="00B07F6A">
        <w:rPr>
          <w:bCs/>
          <w:szCs w:val="22"/>
          <w:lang w:val="en-GB"/>
        </w:rPr>
        <w:t xml:space="preserve">that </w:t>
      </w:r>
      <w:r w:rsidR="00DB12E4" w:rsidRPr="00B07F6A">
        <w:rPr>
          <w:bCs/>
          <w:szCs w:val="22"/>
          <w:lang w:val="en-GB"/>
        </w:rPr>
        <w:t xml:space="preserve">the </w:t>
      </w:r>
      <w:r w:rsidRPr="00B07F6A">
        <w:rPr>
          <w:bCs/>
          <w:szCs w:val="22"/>
          <w:lang w:val="en-GB"/>
        </w:rPr>
        <w:t xml:space="preserve">identified </w:t>
      </w:r>
      <w:r w:rsidR="00DB12E4" w:rsidRPr="00B07F6A">
        <w:rPr>
          <w:bCs/>
          <w:szCs w:val="22"/>
          <w:lang w:val="en-GB"/>
        </w:rPr>
        <w:t xml:space="preserve">subgroup </w:t>
      </w:r>
      <w:r w:rsidR="005C53D7" w:rsidRPr="00B07F6A">
        <w:rPr>
          <w:bCs/>
          <w:szCs w:val="22"/>
          <w:lang w:val="en-GB"/>
        </w:rPr>
        <w:t>may not be</w:t>
      </w:r>
      <w:r w:rsidR="00DB12E4" w:rsidRPr="00B07F6A">
        <w:rPr>
          <w:bCs/>
          <w:szCs w:val="22"/>
          <w:lang w:val="en-GB"/>
        </w:rPr>
        <w:t xml:space="preserve"> </w:t>
      </w:r>
      <w:r w:rsidR="009856DB" w:rsidRPr="00B07F6A">
        <w:rPr>
          <w:bCs/>
          <w:szCs w:val="22"/>
          <w:lang w:val="en-GB"/>
        </w:rPr>
        <w:t>the group that would benefit</w:t>
      </w:r>
      <w:r w:rsidR="00DB12E4" w:rsidRPr="00B07F6A">
        <w:rPr>
          <w:bCs/>
          <w:szCs w:val="22"/>
          <w:lang w:val="en-GB"/>
        </w:rPr>
        <w:t xml:space="preserve"> </w:t>
      </w:r>
      <w:r w:rsidR="00C639B5" w:rsidRPr="00B07F6A">
        <w:rPr>
          <w:bCs/>
          <w:szCs w:val="22"/>
          <w:lang w:val="en-GB"/>
        </w:rPr>
        <w:t xml:space="preserve">the most </w:t>
      </w:r>
      <w:r w:rsidR="005C53D7" w:rsidRPr="00B07F6A">
        <w:rPr>
          <w:bCs/>
          <w:szCs w:val="22"/>
          <w:lang w:val="en-GB"/>
        </w:rPr>
        <w:t xml:space="preserve">from </w:t>
      </w:r>
      <w:r w:rsidR="00C3024B" w:rsidRPr="00B07F6A">
        <w:rPr>
          <w:bCs/>
          <w:szCs w:val="22"/>
          <w:lang w:val="en-GB"/>
        </w:rPr>
        <w:t xml:space="preserve">treatment with </w:t>
      </w:r>
      <w:r w:rsidR="005C53D7" w:rsidRPr="00B07F6A">
        <w:rPr>
          <w:bCs/>
          <w:szCs w:val="22"/>
          <w:lang w:val="en-GB"/>
        </w:rPr>
        <w:t xml:space="preserve">etanercept for </w:t>
      </w:r>
      <w:r w:rsidR="00C21D50" w:rsidRPr="00B07F6A">
        <w:rPr>
          <w:bCs/>
          <w:szCs w:val="22"/>
          <w:lang w:val="en-GB"/>
        </w:rPr>
        <w:t xml:space="preserve">the </w:t>
      </w:r>
      <w:r w:rsidR="005C53D7" w:rsidRPr="00B07F6A">
        <w:rPr>
          <w:bCs/>
          <w:szCs w:val="22"/>
          <w:lang w:val="en-GB"/>
        </w:rPr>
        <w:t>condition</w:t>
      </w:r>
      <w:r w:rsidR="00DB12E4" w:rsidRPr="00B07F6A">
        <w:rPr>
          <w:bCs/>
          <w:szCs w:val="22"/>
          <w:lang w:val="en-GB"/>
        </w:rPr>
        <w:t>.</w:t>
      </w:r>
      <w:r w:rsidR="00FE26B1" w:rsidRPr="00B07F6A">
        <w:rPr>
          <w:bCs/>
          <w:szCs w:val="22"/>
          <w:lang w:val="en-GB"/>
        </w:rPr>
        <w:t xml:space="preserve"> In addition, the PBAC noted a recent paper </w:t>
      </w:r>
      <w:r w:rsidR="003E4576" w:rsidRPr="00B07F6A">
        <w:rPr>
          <w:bCs/>
          <w:szCs w:val="22"/>
          <w:lang w:val="en-GB"/>
        </w:rPr>
        <w:t xml:space="preserve">(Weber et al., Arthritis &amp; Rheumatology, Vol.67, No 4, April 2015) </w:t>
      </w:r>
      <w:r w:rsidR="00FE26B1" w:rsidRPr="00B07F6A">
        <w:rPr>
          <w:bCs/>
          <w:szCs w:val="22"/>
          <w:lang w:val="en-GB"/>
        </w:rPr>
        <w:t>which questioned the value of using MRI as a diagnostic tool for nr-axSpA.</w:t>
      </w:r>
    </w:p>
    <w:p w:rsidR="00700F10" w:rsidRDefault="00700F10" w:rsidP="00700F10">
      <w:pPr>
        <w:widowControl/>
        <w:ind w:left="720"/>
        <w:contextualSpacing/>
        <w:rPr>
          <w:bCs/>
          <w:szCs w:val="22"/>
          <w:lang w:val="en-GB"/>
        </w:rPr>
      </w:pPr>
    </w:p>
    <w:p w:rsidR="00700F10" w:rsidRDefault="00700F10" w:rsidP="008F6A49">
      <w:pPr>
        <w:widowControl/>
        <w:numPr>
          <w:ilvl w:val="1"/>
          <w:numId w:val="13"/>
        </w:numPr>
        <w:contextualSpacing/>
        <w:rPr>
          <w:bCs/>
          <w:szCs w:val="22"/>
          <w:lang w:val="en-GB"/>
        </w:rPr>
      </w:pPr>
      <w:r>
        <w:rPr>
          <w:bCs/>
          <w:szCs w:val="22"/>
          <w:lang w:val="en-GB"/>
        </w:rPr>
        <w:t xml:space="preserve">Overall, the PBAC </w:t>
      </w:r>
      <w:r w:rsidR="00C3024B">
        <w:rPr>
          <w:bCs/>
          <w:szCs w:val="22"/>
          <w:lang w:val="en-GB"/>
        </w:rPr>
        <w:t xml:space="preserve">considered that </w:t>
      </w:r>
      <w:r>
        <w:rPr>
          <w:szCs w:val="22"/>
        </w:rPr>
        <w:t>the clinical benefits of etanercept in nr-axSpA were modest</w:t>
      </w:r>
      <w:r w:rsidR="00C3024B">
        <w:rPr>
          <w:szCs w:val="22"/>
        </w:rPr>
        <w:t xml:space="preserve"> and the submission did not provide any new evidence to change the PBAC’s previous conclusion</w:t>
      </w:r>
      <w:r w:rsidR="005F1BB8">
        <w:rPr>
          <w:szCs w:val="22"/>
        </w:rPr>
        <w:t xml:space="preserve"> that </w:t>
      </w:r>
      <w:r w:rsidR="005F1BB8" w:rsidRPr="00B910A4">
        <w:rPr>
          <w:szCs w:val="22"/>
        </w:rPr>
        <w:t xml:space="preserve">the available </w:t>
      </w:r>
      <w:r w:rsidR="005F1BB8">
        <w:rPr>
          <w:szCs w:val="22"/>
        </w:rPr>
        <w:t>evidence</w:t>
      </w:r>
      <w:r w:rsidR="005F1BB8" w:rsidRPr="00B910A4">
        <w:rPr>
          <w:szCs w:val="22"/>
        </w:rPr>
        <w:t xml:space="preserve"> did not enable </w:t>
      </w:r>
      <w:r w:rsidR="00E6505B">
        <w:rPr>
          <w:szCs w:val="22"/>
        </w:rPr>
        <w:t xml:space="preserve">the </w:t>
      </w:r>
      <w:r w:rsidR="005F1BB8" w:rsidRPr="00B910A4">
        <w:rPr>
          <w:szCs w:val="22"/>
        </w:rPr>
        <w:t>PBAC to characterise the likely magnitude of benefit with respect to patient relevant outcomes additional to the ASAS 40 (such as disease progression)</w:t>
      </w:r>
      <w:r w:rsidR="005F1BB8">
        <w:rPr>
          <w:szCs w:val="22"/>
        </w:rPr>
        <w:t xml:space="preserve"> in patients with</w:t>
      </w:r>
      <w:r w:rsidR="005F1BB8" w:rsidRPr="008A40DC">
        <w:rPr>
          <w:szCs w:val="20"/>
        </w:rPr>
        <w:t xml:space="preserve"> nr-axSpA</w:t>
      </w:r>
      <w:r w:rsidR="005F1BB8">
        <w:rPr>
          <w:szCs w:val="20"/>
        </w:rPr>
        <w:t xml:space="preserve"> or to define a </w:t>
      </w:r>
      <w:r w:rsidR="009639FE">
        <w:rPr>
          <w:szCs w:val="20"/>
        </w:rPr>
        <w:t xml:space="preserve">patient </w:t>
      </w:r>
      <w:r w:rsidR="005F1BB8">
        <w:rPr>
          <w:szCs w:val="20"/>
        </w:rPr>
        <w:t>population</w:t>
      </w:r>
      <w:r w:rsidR="009639FE">
        <w:rPr>
          <w:szCs w:val="20"/>
        </w:rPr>
        <w:t xml:space="preserve"> with a higher treatment response</w:t>
      </w:r>
      <w:r w:rsidR="005F1BB8">
        <w:rPr>
          <w:szCs w:val="20"/>
        </w:rPr>
        <w:t xml:space="preserve">. </w:t>
      </w:r>
    </w:p>
    <w:p w:rsidR="006E4BDB" w:rsidRDefault="006E4BDB" w:rsidP="006E4BDB">
      <w:pPr>
        <w:pStyle w:val="ListParagraph"/>
        <w:rPr>
          <w:bCs/>
          <w:szCs w:val="22"/>
          <w:lang w:val="en-GB"/>
        </w:rPr>
      </w:pPr>
    </w:p>
    <w:p w:rsidR="009F1ABD" w:rsidRPr="009F1ABD" w:rsidRDefault="00C8156F" w:rsidP="009F1ABD">
      <w:pPr>
        <w:numPr>
          <w:ilvl w:val="1"/>
          <w:numId w:val="13"/>
        </w:numPr>
        <w:contextualSpacing/>
        <w:rPr>
          <w:bCs/>
          <w:szCs w:val="22"/>
          <w:lang w:val="en-GB"/>
        </w:rPr>
      </w:pPr>
      <w:r w:rsidRPr="009F1ABD">
        <w:rPr>
          <w:bCs/>
          <w:szCs w:val="22"/>
          <w:lang w:val="en-GB"/>
        </w:rPr>
        <w:t xml:space="preserve">The PBAC recalled that in </w:t>
      </w:r>
      <w:r w:rsidR="00D464D2">
        <w:rPr>
          <w:bCs/>
          <w:szCs w:val="22"/>
          <w:lang w:val="en-GB"/>
        </w:rPr>
        <w:t>March</w:t>
      </w:r>
      <w:r w:rsidRPr="009F1ABD">
        <w:rPr>
          <w:bCs/>
          <w:szCs w:val="22"/>
          <w:lang w:val="en-GB"/>
        </w:rPr>
        <w:t xml:space="preserve"> 2015, it considered that </w:t>
      </w:r>
      <w:r w:rsidRPr="009F1ABD">
        <w:rPr>
          <w:szCs w:val="22"/>
        </w:rPr>
        <w:t>the economic model for etanercept had an unreliable short time horizon of two years in view that treatment with etanercept for nr-axSpA could be expected to last decades</w:t>
      </w:r>
      <w:r w:rsidR="00D464D2">
        <w:rPr>
          <w:szCs w:val="22"/>
        </w:rPr>
        <w:t>. The re</w:t>
      </w:r>
      <w:r w:rsidR="00D464D2">
        <w:rPr>
          <w:szCs w:val="22"/>
        </w:rPr>
        <w:noBreakHyphen/>
      </w:r>
      <w:r w:rsidRPr="009F1ABD">
        <w:rPr>
          <w:szCs w:val="22"/>
        </w:rPr>
        <w:t xml:space="preserve">submission increased the time horizon to 10 years; the PBAC agreed with the ESC that due to the </w:t>
      </w:r>
      <w:r w:rsidR="00D464D2">
        <w:rPr>
          <w:bCs/>
          <w:szCs w:val="22"/>
          <w:lang w:val="en-GB"/>
        </w:rPr>
        <w:t>lack of available evidence</w:t>
      </w:r>
      <w:r w:rsidR="00D464D2">
        <w:rPr>
          <w:szCs w:val="22"/>
        </w:rPr>
        <w:t xml:space="preserve"> on the natural history and progression of nr-ax</w:t>
      </w:r>
      <w:r w:rsidRPr="009F1ABD">
        <w:rPr>
          <w:szCs w:val="22"/>
        </w:rPr>
        <w:t xml:space="preserve">SpA </w:t>
      </w:r>
      <w:r w:rsidR="00D464D2">
        <w:rPr>
          <w:szCs w:val="22"/>
        </w:rPr>
        <w:t>over time</w:t>
      </w:r>
      <w:r w:rsidRPr="009F1ABD">
        <w:rPr>
          <w:szCs w:val="22"/>
        </w:rPr>
        <w:t xml:space="preserve">, this extrapolation was not well supported. At the same time, however </w:t>
      </w:r>
      <w:r w:rsidR="00CD3138">
        <w:rPr>
          <w:szCs w:val="22"/>
        </w:rPr>
        <w:t xml:space="preserve">the PBAC considered that </w:t>
      </w:r>
      <w:r w:rsidRPr="009F1ABD">
        <w:rPr>
          <w:szCs w:val="22"/>
        </w:rPr>
        <w:t>a 10 year time horizon was still considered too short for the condition.</w:t>
      </w:r>
      <w:r w:rsidR="00845473">
        <w:rPr>
          <w:szCs w:val="22"/>
        </w:rPr>
        <w:t xml:space="preserve"> The PBAC noted that the ICER had increased compared with the previous submission.</w:t>
      </w:r>
    </w:p>
    <w:p w:rsidR="009F1ABD" w:rsidRDefault="009F1ABD" w:rsidP="009F1ABD">
      <w:pPr>
        <w:ind w:left="720"/>
        <w:contextualSpacing/>
        <w:rPr>
          <w:bCs/>
          <w:szCs w:val="22"/>
          <w:lang w:val="en-GB"/>
        </w:rPr>
      </w:pPr>
    </w:p>
    <w:p w:rsidR="00C8156F" w:rsidRDefault="00C8156F" w:rsidP="009F1ABD">
      <w:pPr>
        <w:numPr>
          <w:ilvl w:val="1"/>
          <w:numId w:val="13"/>
        </w:numPr>
        <w:contextualSpacing/>
        <w:rPr>
          <w:bCs/>
          <w:szCs w:val="22"/>
          <w:lang w:val="en-GB"/>
        </w:rPr>
      </w:pPr>
      <w:r w:rsidRPr="009F1ABD">
        <w:rPr>
          <w:bCs/>
          <w:szCs w:val="22"/>
          <w:lang w:val="en-GB"/>
        </w:rPr>
        <w:t xml:space="preserve">The PBAC </w:t>
      </w:r>
      <w:r w:rsidR="009F1ABD">
        <w:rPr>
          <w:bCs/>
          <w:szCs w:val="22"/>
          <w:lang w:val="en-GB"/>
        </w:rPr>
        <w:t>agreed with the ESC that the extrapolation of a constant utility benefit associated with treatment with etanercept over 10 years was unrealistic and inappropriate</w:t>
      </w:r>
      <w:r w:rsidR="00E6505B">
        <w:rPr>
          <w:bCs/>
          <w:szCs w:val="22"/>
          <w:lang w:val="en-GB"/>
        </w:rPr>
        <w:t>, particularly</w:t>
      </w:r>
      <w:r w:rsidR="009F1ABD">
        <w:rPr>
          <w:bCs/>
          <w:szCs w:val="22"/>
          <w:lang w:val="en-GB"/>
        </w:rPr>
        <w:t xml:space="preserve"> in the context of a progressive disease, and given only 12 weeks of trial based data. The PBAC </w:t>
      </w:r>
      <w:r w:rsidRPr="009F1ABD">
        <w:rPr>
          <w:bCs/>
          <w:szCs w:val="22"/>
          <w:lang w:val="en-GB"/>
        </w:rPr>
        <w:t>considered that the scenario in which the utilities of etanercept and placebo converge linearly from two to 10 years</w:t>
      </w:r>
      <w:r w:rsidR="00905F03">
        <w:rPr>
          <w:bCs/>
          <w:szCs w:val="22"/>
          <w:lang w:val="en-GB"/>
        </w:rPr>
        <w:t xml:space="preserve"> under a 15 </w:t>
      </w:r>
      <w:r w:rsidR="0043008F">
        <w:rPr>
          <w:bCs/>
          <w:szCs w:val="22"/>
          <w:lang w:val="en-GB"/>
        </w:rPr>
        <w:t>year time horizon</w:t>
      </w:r>
      <w:r w:rsidRPr="009F1ABD">
        <w:rPr>
          <w:bCs/>
          <w:szCs w:val="22"/>
          <w:lang w:val="en-GB"/>
        </w:rPr>
        <w:t xml:space="preserve"> was more </w:t>
      </w:r>
      <w:r w:rsidR="00E6505B">
        <w:rPr>
          <w:bCs/>
          <w:szCs w:val="22"/>
          <w:lang w:val="en-GB"/>
        </w:rPr>
        <w:t>appropriate</w:t>
      </w:r>
      <w:r w:rsidRPr="009F1ABD">
        <w:rPr>
          <w:bCs/>
          <w:szCs w:val="22"/>
          <w:lang w:val="en-GB"/>
        </w:rPr>
        <w:t xml:space="preserve"> than the base case presented in the submission.</w:t>
      </w:r>
    </w:p>
    <w:p w:rsidR="00CD3138" w:rsidRDefault="00CD3138" w:rsidP="00CD3138">
      <w:pPr>
        <w:pStyle w:val="ListParagraph"/>
        <w:rPr>
          <w:bCs/>
          <w:szCs w:val="22"/>
          <w:lang w:val="en-GB"/>
        </w:rPr>
      </w:pPr>
    </w:p>
    <w:p w:rsidR="00C8156F" w:rsidRPr="00CD3138" w:rsidRDefault="00C8156F" w:rsidP="00CD3138">
      <w:pPr>
        <w:numPr>
          <w:ilvl w:val="1"/>
          <w:numId w:val="13"/>
        </w:numPr>
        <w:contextualSpacing/>
        <w:rPr>
          <w:bCs/>
          <w:szCs w:val="22"/>
          <w:lang w:val="en-GB"/>
        </w:rPr>
      </w:pPr>
      <w:r w:rsidRPr="00CD3138">
        <w:rPr>
          <w:szCs w:val="22"/>
        </w:rPr>
        <w:t xml:space="preserve">The PBAC noted that the re-submission included transitions to AS </w:t>
      </w:r>
      <w:r w:rsidR="00CD3138">
        <w:rPr>
          <w:szCs w:val="22"/>
        </w:rPr>
        <w:t xml:space="preserve">in the model. As there was no evidence that treatment with etanercept has an impact on disease progression, these </w:t>
      </w:r>
      <w:r w:rsidRPr="00CD3138">
        <w:rPr>
          <w:szCs w:val="22"/>
        </w:rPr>
        <w:t>additions to the model had no impact on the cost-effectiveness of etanercept.</w:t>
      </w:r>
    </w:p>
    <w:p w:rsidR="00CD3138" w:rsidRDefault="00CD3138" w:rsidP="00CD3138">
      <w:pPr>
        <w:pStyle w:val="ListParagraph"/>
        <w:rPr>
          <w:bCs/>
          <w:szCs w:val="22"/>
          <w:lang w:val="en-GB"/>
        </w:rPr>
      </w:pPr>
    </w:p>
    <w:p w:rsidR="00C8156F" w:rsidRPr="00CD3138" w:rsidRDefault="00C8156F" w:rsidP="00CD3138">
      <w:pPr>
        <w:numPr>
          <w:ilvl w:val="1"/>
          <w:numId w:val="13"/>
        </w:numPr>
        <w:contextualSpacing/>
        <w:rPr>
          <w:bCs/>
          <w:szCs w:val="22"/>
          <w:lang w:val="en-GB"/>
        </w:rPr>
      </w:pPr>
      <w:r w:rsidRPr="00CD3138">
        <w:rPr>
          <w:szCs w:val="22"/>
        </w:rPr>
        <w:t xml:space="preserve">The PBAC noted that a </w:t>
      </w:r>
      <w:r w:rsidR="000D3991">
        <w:rPr>
          <w:noProof/>
          <w:color w:val="000000"/>
          <w:szCs w:val="22"/>
          <w:highlight w:val="black"/>
        </w:rPr>
        <w:t>''''''</w:t>
      </w:r>
      <w:r w:rsidRPr="00CD3138">
        <w:rPr>
          <w:szCs w:val="22"/>
        </w:rPr>
        <w:t>% price reduction was offered in the re-submissio</w:t>
      </w:r>
      <w:r w:rsidR="00CD3138">
        <w:rPr>
          <w:szCs w:val="22"/>
        </w:rPr>
        <w:t>n, but considered that the ICER</w:t>
      </w:r>
      <w:r w:rsidRPr="00CD3138">
        <w:rPr>
          <w:szCs w:val="22"/>
        </w:rPr>
        <w:t xml:space="preserve"> </w:t>
      </w:r>
      <w:r w:rsidR="00156F87">
        <w:rPr>
          <w:szCs w:val="22"/>
        </w:rPr>
        <w:t>remained</w:t>
      </w:r>
      <w:r w:rsidR="00156F87" w:rsidRPr="00CD3138">
        <w:rPr>
          <w:szCs w:val="22"/>
        </w:rPr>
        <w:t xml:space="preserve"> </w:t>
      </w:r>
      <w:r w:rsidRPr="00CD3138">
        <w:rPr>
          <w:szCs w:val="22"/>
        </w:rPr>
        <w:t xml:space="preserve">unacceptably high and </w:t>
      </w:r>
      <w:r w:rsidR="0043008F">
        <w:rPr>
          <w:szCs w:val="22"/>
        </w:rPr>
        <w:t xml:space="preserve">the cost-effectiveness of </w:t>
      </w:r>
      <w:r w:rsidR="0043008F">
        <w:rPr>
          <w:szCs w:val="22"/>
        </w:rPr>
        <w:lastRenderedPageBreak/>
        <w:t xml:space="preserve">etanercept for nr-axSpA was highly </w:t>
      </w:r>
      <w:r w:rsidRPr="00CD3138">
        <w:rPr>
          <w:szCs w:val="22"/>
        </w:rPr>
        <w:t>uncertain.</w:t>
      </w:r>
      <w:r w:rsidR="00CD3138">
        <w:rPr>
          <w:szCs w:val="22"/>
        </w:rPr>
        <w:t xml:space="preserve"> In addition, it was not appropriate for the economic model to include </w:t>
      </w:r>
      <w:r w:rsidR="00890945">
        <w:rPr>
          <w:szCs w:val="22"/>
        </w:rPr>
        <w:t xml:space="preserve">a </w:t>
      </w:r>
      <w:r w:rsidR="00CD3138">
        <w:rPr>
          <w:szCs w:val="22"/>
        </w:rPr>
        <w:t xml:space="preserve">future price </w:t>
      </w:r>
      <w:r w:rsidR="00890945">
        <w:rPr>
          <w:szCs w:val="22"/>
        </w:rPr>
        <w:t>reduction associated with the assumed listing of a biosimilar of etanercept.</w:t>
      </w:r>
    </w:p>
    <w:p w:rsidR="00B01678" w:rsidRDefault="00B01678" w:rsidP="006E4BDB">
      <w:pPr>
        <w:widowControl/>
        <w:ind w:left="720"/>
        <w:contextualSpacing/>
        <w:rPr>
          <w:bCs/>
          <w:szCs w:val="22"/>
          <w:lang w:val="en-GB"/>
        </w:rPr>
      </w:pPr>
    </w:p>
    <w:p w:rsidR="00B370FF" w:rsidRDefault="00B370FF" w:rsidP="00B370FF">
      <w:pPr>
        <w:numPr>
          <w:ilvl w:val="1"/>
          <w:numId w:val="13"/>
        </w:numPr>
        <w:contextualSpacing/>
        <w:rPr>
          <w:szCs w:val="22"/>
        </w:rPr>
      </w:pPr>
      <w:r>
        <w:rPr>
          <w:szCs w:val="22"/>
        </w:rPr>
        <w:t>The PBAC noted that the re-submission</w:t>
      </w:r>
      <w:r w:rsidRPr="00B370FF">
        <w:rPr>
          <w:szCs w:val="22"/>
        </w:rPr>
        <w:t xml:space="preserve"> </w:t>
      </w:r>
      <w:r>
        <w:rPr>
          <w:szCs w:val="22"/>
        </w:rPr>
        <w:t>did not incorporate the</w:t>
      </w:r>
      <w:r w:rsidRPr="00B370FF">
        <w:rPr>
          <w:szCs w:val="22"/>
        </w:rPr>
        <w:t xml:space="preserve"> </w:t>
      </w:r>
      <w:r>
        <w:rPr>
          <w:szCs w:val="22"/>
        </w:rPr>
        <w:t xml:space="preserve">previous </w:t>
      </w:r>
      <w:r w:rsidRPr="00B370FF">
        <w:rPr>
          <w:szCs w:val="22"/>
        </w:rPr>
        <w:t xml:space="preserve">DUSC advice </w:t>
      </w:r>
      <w:r>
        <w:rPr>
          <w:szCs w:val="22"/>
        </w:rPr>
        <w:t>in the utilisation estimated in the re-submission. The PBAC noted that this resulted</w:t>
      </w:r>
      <w:r w:rsidRPr="00B370FF">
        <w:rPr>
          <w:szCs w:val="22"/>
        </w:rPr>
        <w:t xml:space="preserve"> in calculations that </w:t>
      </w:r>
      <w:r>
        <w:rPr>
          <w:szCs w:val="22"/>
        </w:rPr>
        <w:t>were</w:t>
      </w:r>
      <w:r w:rsidRPr="00B370FF">
        <w:rPr>
          <w:szCs w:val="22"/>
        </w:rPr>
        <w:t xml:space="preserve"> overly complicated, difficult to interpret, and </w:t>
      </w:r>
      <w:r>
        <w:rPr>
          <w:szCs w:val="22"/>
        </w:rPr>
        <w:t xml:space="preserve">even </w:t>
      </w:r>
      <w:r w:rsidRPr="00B370FF">
        <w:rPr>
          <w:szCs w:val="22"/>
        </w:rPr>
        <w:t>more underestimated than the March 2015 submission</w:t>
      </w:r>
      <w:r w:rsidR="00845473">
        <w:rPr>
          <w:szCs w:val="22"/>
        </w:rPr>
        <w:t>.</w:t>
      </w:r>
    </w:p>
    <w:p w:rsidR="00B370FF" w:rsidRPr="00B370FF" w:rsidRDefault="00B370FF" w:rsidP="00B370FF">
      <w:pPr>
        <w:numPr>
          <w:ilvl w:val="2"/>
          <w:numId w:val="16"/>
        </w:numPr>
        <w:ind w:left="993" w:hanging="284"/>
        <w:contextualSpacing/>
        <w:rPr>
          <w:szCs w:val="22"/>
        </w:rPr>
      </w:pPr>
      <w:r w:rsidRPr="00B370FF">
        <w:rPr>
          <w:szCs w:val="22"/>
        </w:rPr>
        <w:t>The re-submission’s financial estimates switched to an incidence approach, when DUSC considered the prevalence approach to be reasonable.</w:t>
      </w:r>
    </w:p>
    <w:p w:rsidR="00B370FF" w:rsidRPr="00B370FF" w:rsidRDefault="00B370FF" w:rsidP="00B370FF">
      <w:pPr>
        <w:numPr>
          <w:ilvl w:val="2"/>
          <w:numId w:val="16"/>
        </w:numPr>
        <w:ind w:left="993" w:hanging="284"/>
        <w:contextualSpacing/>
        <w:rPr>
          <w:szCs w:val="22"/>
        </w:rPr>
      </w:pPr>
      <w:r w:rsidRPr="00B370FF">
        <w:rPr>
          <w:szCs w:val="22"/>
        </w:rPr>
        <w:t>The incidence rates are applied to an initial prevalent population, prior to the first year of listing. This prevalent population is likely underestimated.</w:t>
      </w:r>
    </w:p>
    <w:p w:rsidR="00B370FF" w:rsidRPr="00B370FF" w:rsidRDefault="00B370FF" w:rsidP="00B370FF">
      <w:pPr>
        <w:numPr>
          <w:ilvl w:val="2"/>
          <w:numId w:val="16"/>
        </w:numPr>
        <w:ind w:left="993" w:hanging="284"/>
        <w:contextualSpacing/>
        <w:rPr>
          <w:szCs w:val="22"/>
        </w:rPr>
      </w:pPr>
      <w:r w:rsidRPr="00B370FF">
        <w:rPr>
          <w:szCs w:val="22"/>
        </w:rPr>
        <w:t>The re-submission included referral rates, which DUSC considered should not be included.</w:t>
      </w:r>
    </w:p>
    <w:p w:rsidR="00B370FF" w:rsidRDefault="00B370FF" w:rsidP="00B370FF">
      <w:pPr>
        <w:numPr>
          <w:ilvl w:val="2"/>
          <w:numId w:val="16"/>
        </w:numPr>
        <w:ind w:left="993" w:hanging="284"/>
        <w:contextualSpacing/>
        <w:rPr>
          <w:szCs w:val="22"/>
        </w:rPr>
      </w:pPr>
      <w:r w:rsidRPr="00B370FF">
        <w:rPr>
          <w:szCs w:val="22"/>
        </w:rPr>
        <w:t>No uptake rates were included in the re-submission, essentially assuming that all eligible patients would be treated with etanercept.</w:t>
      </w:r>
    </w:p>
    <w:p w:rsidR="00B370FF" w:rsidRDefault="00B370FF" w:rsidP="00B370FF">
      <w:pPr>
        <w:ind w:left="709"/>
        <w:contextualSpacing/>
        <w:rPr>
          <w:szCs w:val="22"/>
        </w:rPr>
      </w:pPr>
      <w:r>
        <w:rPr>
          <w:szCs w:val="22"/>
        </w:rPr>
        <w:t xml:space="preserve">The PBAC noted that the PSCR provided updated financial estimates which </w:t>
      </w:r>
      <w:r w:rsidR="00290871">
        <w:rPr>
          <w:szCs w:val="22"/>
        </w:rPr>
        <w:t>were</w:t>
      </w:r>
      <w:r>
        <w:rPr>
          <w:szCs w:val="22"/>
        </w:rPr>
        <w:t xml:space="preserve"> not able to be verified.</w:t>
      </w:r>
      <w:r w:rsidR="00290871">
        <w:rPr>
          <w:szCs w:val="22"/>
        </w:rPr>
        <w:t xml:space="preserve"> The pre-PBAC response argued that </w:t>
      </w:r>
      <w:r w:rsidR="00290871">
        <w:t>clinicians believe that concerns with regard to the financial burden of treating nr-axSpA with etanercept are unfounded and that, in reality, the nr-axSpA population that will be treated with etanercept is extremely small. In addition, the pre-PBAC response reiterated that the Sponsor is prepared to enter into a risk-share agreement with the Government.</w:t>
      </w:r>
    </w:p>
    <w:p w:rsidR="008D2FD9" w:rsidRPr="00B370FF" w:rsidRDefault="008D2FD9" w:rsidP="00B370FF">
      <w:pPr>
        <w:contextualSpacing/>
        <w:rPr>
          <w:szCs w:val="22"/>
        </w:rPr>
      </w:pPr>
    </w:p>
    <w:p w:rsidR="008A10C7" w:rsidRDefault="008D2FD9" w:rsidP="006E4BDB">
      <w:pPr>
        <w:widowControl/>
        <w:numPr>
          <w:ilvl w:val="1"/>
          <w:numId w:val="13"/>
        </w:numPr>
        <w:contextualSpacing/>
        <w:rPr>
          <w:bCs/>
          <w:szCs w:val="22"/>
          <w:lang w:val="en-GB"/>
        </w:rPr>
      </w:pPr>
      <w:r>
        <w:rPr>
          <w:bCs/>
          <w:szCs w:val="22"/>
          <w:lang w:val="en-GB"/>
        </w:rPr>
        <w:t>Overall, t</w:t>
      </w:r>
      <w:r w:rsidR="003061FA">
        <w:rPr>
          <w:bCs/>
          <w:szCs w:val="22"/>
          <w:lang w:val="en-GB"/>
        </w:rPr>
        <w:t xml:space="preserve">he PBAC considered that there </w:t>
      </w:r>
      <w:r w:rsidR="009326E1">
        <w:rPr>
          <w:bCs/>
          <w:szCs w:val="22"/>
          <w:lang w:val="en-GB"/>
        </w:rPr>
        <w:t xml:space="preserve">was </w:t>
      </w:r>
      <w:r w:rsidR="00F24D40">
        <w:rPr>
          <w:bCs/>
          <w:szCs w:val="22"/>
          <w:lang w:val="en-GB"/>
        </w:rPr>
        <w:t xml:space="preserve">no </w:t>
      </w:r>
      <w:r w:rsidR="003061FA">
        <w:rPr>
          <w:bCs/>
          <w:szCs w:val="22"/>
          <w:lang w:val="en-GB"/>
        </w:rPr>
        <w:t xml:space="preserve">new </w:t>
      </w:r>
      <w:r w:rsidR="009326E1">
        <w:rPr>
          <w:bCs/>
          <w:szCs w:val="22"/>
          <w:lang w:val="en-GB"/>
        </w:rPr>
        <w:t xml:space="preserve">key </w:t>
      </w:r>
      <w:r w:rsidR="003061FA">
        <w:rPr>
          <w:bCs/>
          <w:szCs w:val="22"/>
          <w:lang w:val="en-GB"/>
        </w:rPr>
        <w:t>evidence</w:t>
      </w:r>
      <w:r w:rsidR="00F24D40">
        <w:rPr>
          <w:bCs/>
          <w:szCs w:val="22"/>
          <w:lang w:val="en-GB"/>
        </w:rPr>
        <w:t xml:space="preserve"> </w:t>
      </w:r>
      <w:r>
        <w:rPr>
          <w:bCs/>
          <w:szCs w:val="22"/>
          <w:lang w:val="en-GB"/>
        </w:rPr>
        <w:t xml:space="preserve">submitted in this resubmission </w:t>
      </w:r>
      <w:r w:rsidR="00F24D40">
        <w:rPr>
          <w:bCs/>
          <w:szCs w:val="22"/>
          <w:lang w:val="en-GB"/>
        </w:rPr>
        <w:t>that fundamentally changed the PBAC’s previous conclusion.</w:t>
      </w:r>
      <w:r>
        <w:rPr>
          <w:bCs/>
          <w:szCs w:val="22"/>
          <w:lang w:val="en-GB"/>
        </w:rPr>
        <w:t xml:space="preserve"> The PBAC therefore rejected the resubmission and </w:t>
      </w:r>
      <w:r w:rsidR="009326E1">
        <w:rPr>
          <w:bCs/>
          <w:szCs w:val="22"/>
          <w:lang w:val="en-GB"/>
        </w:rPr>
        <w:t xml:space="preserve">would </w:t>
      </w:r>
      <w:r w:rsidR="006855D0">
        <w:rPr>
          <w:bCs/>
          <w:szCs w:val="22"/>
          <w:lang w:val="en-GB"/>
        </w:rPr>
        <w:t xml:space="preserve">welcome </w:t>
      </w:r>
      <w:r>
        <w:rPr>
          <w:bCs/>
          <w:szCs w:val="22"/>
          <w:lang w:val="en-GB"/>
        </w:rPr>
        <w:t>a major resubmission due to a clinical need for a specific group of patient</w:t>
      </w:r>
      <w:r w:rsidR="009326E1">
        <w:rPr>
          <w:bCs/>
          <w:szCs w:val="22"/>
          <w:lang w:val="en-GB"/>
        </w:rPr>
        <w:t>s</w:t>
      </w:r>
      <w:r>
        <w:rPr>
          <w:bCs/>
          <w:szCs w:val="22"/>
          <w:lang w:val="en-GB"/>
        </w:rPr>
        <w:t xml:space="preserve"> with the condition. The PBAC considered that </w:t>
      </w:r>
      <w:r w:rsidR="009326E1">
        <w:rPr>
          <w:bCs/>
          <w:szCs w:val="22"/>
          <w:lang w:val="en-GB"/>
        </w:rPr>
        <w:t xml:space="preserve">a </w:t>
      </w:r>
      <w:r>
        <w:rPr>
          <w:bCs/>
          <w:szCs w:val="22"/>
          <w:lang w:val="en-GB"/>
        </w:rPr>
        <w:t xml:space="preserve">future resubmission should </w:t>
      </w:r>
      <w:r w:rsidR="00845473">
        <w:rPr>
          <w:bCs/>
          <w:szCs w:val="22"/>
          <w:lang w:val="en-GB"/>
        </w:rPr>
        <w:t>present a revised model addressing the ESC and PBACs concerns with the utilities, time horizon and future assumed changes in the price</w:t>
      </w:r>
      <w:r>
        <w:rPr>
          <w:bCs/>
          <w:szCs w:val="22"/>
          <w:lang w:val="en-GB"/>
        </w:rPr>
        <w:t xml:space="preserve">. </w:t>
      </w:r>
    </w:p>
    <w:p w:rsidR="00D938AA" w:rsidRDefault="00D938AA" w:rsidP="006E4BDB">
      <w:pPr>
        <w:widowControl/>
        <w:ind w:left="720"/>
        <w:contextualSpacing/>
        <w:rPr>
          <w:bCs/>
          <w:szCs w:val="22"/>
          <w:lang w:val="en-GB"/>
        </w:rPr>
      </w:pPr>
    </w:p>
    <w:p w:rsidR="00D938AA" w:rsidRDefault="00D938AA" w:rsidP="006E4BDB">
      <w:pPr>
        <w:widowControl/>
        <w:numPr>
          <w:ilvl w:val="1"/>
          <w:numId w:val="13"/>
        </w:numPr>
        <w:contextualSpacing/>
        <w:rPr>
          <w:bCs/>
          <w:szCs w:val="22"/>
          <w:lang w:val="en-GB"/>
        </w:rPr>
      </w:pPr>
      <w:r w:rsidRPr="00074420">
        <w:rPr>
          <w:bCs/>
          <w:szCs w:val="22"/>
          <w:lang w:val="en-GB"/>
        </w:rPr>
        <w:t>The PBAC noted that this submission is eligible for an Independent Review.</w:t>
      </w:r>
    </w:p>
    <w:p w:rsidR="00044AC2" w:rsidRPr="00EA0EDA" w:rsidRDefault="00044AC2" w:rsidP="006E4BDB">
      <w:pPr>
        <w:widowControl/>
        <w:rPr>
          <w:b/>
          <w:szCs w:val="22"/>
          <w:highlight w:val="yellow"/>
          <w:lang w:val="en-GB"/>
        </w:rPr>
      </w:pPr>
    </w:p>
    <w:p w:rsidR="00044AC2" w:rsidRPr="00D938AA" w:rsidRDefault="00044AC2" w:rsidP="006E4BDB">
      <w:pPr>
        <w:widowControl/>
        <w:rPr>
          <w:b/>
          <w:bCs/>
          <w:szCs w:val="22"/>
          <w:lang w:val="en-GB"/>
        </w:rPr>
      </w:pPr>
      <w:r w:rsidRPr="00D938AA">
        <w:rPr>
          <w:b/>
          <w:bCs/>
          <w:szCs w:val="22"/>
          <w:lang w:val="en-GB"/>
        </w:rPr>
        <w:t>Outcome:</w:t>
      </w:r>
    </w:p>
    <w:p w:rsidR="00044AC2" w:rsidRPr="00D938AA" w:rsidRDefault="00044AC2" w:rsidP="006E4BDB">
      <w:pPr>
        <w:widowControl/>
        <w:rPr>
          <w:bCs/>
          <w:szCs w:val="22"/>
          <w:lang w:val="en-GB"/>
        </w:rPr>
      </w:pPr>
      <w:r w:rsidRPr="00D938AA">
        <w:rPr>
          <w:bCs/>
          <w:szCs w:val="22"/>
          <w:lang w:val="en-GB"/>
        </w:rPr>
        <w:t xml:space="preserve">Rejected </w:t>
      </w:r>
    </w:p>
    <w:p w:rsidR="00F45AAA" w:rsidRDefault="00F45AAA" w:rsidP="006E4BDB">
      <w:pPr>
        <w:widowControl/>
        <w:rPr>
          <w:b/>
          <w:bCs/>
          <w:szCs w:val="22"/>
          <w:highlight w:val="yellow"/>
        </w:rPr>
      </w:pPr>
    </w:p>
    <w:p w:rsidR="001065B6" w:rsidRPr="009630D9" w:rsidRDefault="001065B6" w:rsidP="006E4BDB">
      <w:pPr>
        <w:widowControl/>
        <w:rPr>
          <w:b/>
          <w:bCs/>
          <w:szCs w:val="22"/>
          <w:highlight w:val="yellow"/>
        </w:rPr>
      </w:pPr>
    </w:p>
    <w:p w:rsidR="001065B6" w:rsidRDefault="001065B6" w:rsidP="001065B6">
      <w:pPr>
        <w:pStyle w:val="PBACheading1"/>
      </w:pPr>
      <w:r w:rsidRPr="00632206">
        <w:t>Context for Decision</w:t>
      </w:r>
    </w:p>
    <w:p w:rsidR="001065B6" w:rsidRDefault="001065B6" w:rsidP="001065B6">
      <w:pPr>
        <w:ind w:left="720"/>
      </w:pPr>
    </w:p>
    <w:p w:rsidR="001065B6" w:rsidRDefault="001065B6" w:rsidP="00346280">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065B6" w:rsidRDefault="001065B6" w:rsidP="001065B6">
      <w:pPr>
        <w:ind w:left="720"/>
      </w:pPr>
    </w:p>
    <w:p w:rsidR="001065B6" w:rsidRDefault="001065B6" w:rsidP="001065B6">
      <w:pPr>
        <w:pStyle w:val="PBACheading1"/>
      </w:pPr>
      <w:r w:rsidRPr="00451386">
        <w:t>Sponsor’s Comment</w:t>
      </w:r>
    </w:p>
    <w:p w:rsidR="001065B6" w:rsidRDefault="001065B6" w:rsidP="001065B6">
      <w:pPr>
        <w:ind w:left="720"/>
        <w:rPr>
          <w:bCs/>
          <w:highlight w:val="yellow"/>
          <w:lang w:val="en-GB"/>
        </w:rPr>
      </w:pPr>
    </w:p>
    <w:p w:rsidR="00044AC2" w:rsidRPr="00990A6D" w:rsidRDefault="00346280" w:rsidP="00990A6D">
      <w:pPr>
        <w:rPr>
          <w:color w:val="000000"/>
        </w:rPr>
      </w:pPr>
      <w:r>
        <w:rPr>
          <w:color w:val="000000"/>
        </w:rPr>
        <w:t xml:space="preserve">Pfizer Australia is pleased that the PBAC recognised the clinical need for subsidised treatment for nr-axSpA. However, as we lodged a re-submission aimed at resolving the issues raised previously, we are disappointed that the PBAC did not recommend listing of </w:t>
      </w:r>
      <w:r>
        <w:rPr>
          <w:color w:val="000000"/>
        </w:rPr>
        <w:lastRenderedPageBreak/>
        <w:t>etanercept for nr-axSpA. This outcome means that patients with this disabling condition are still unable to access effective reimbursed treatment for their condition.  As a consequence of the outcome, we are considering our options at this time.</w:t>
      </w:r>
    </w:p>
    <w:sectPr w:rsidR="00044AC2" w:rsidRPr="00990A6D" w:rsidSect="001675E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A8775" w15:done="0"/>
  <w15:commentEx w15:paraId="351027BC" w15:done="0"/>
  <w15:commentEx w15:paraId="2879CBE5" w15:done="0"/>
  <w15:commentEx w15:paraId="528F35E1" w15:done="0"/>
  <w15:commentEx w15:paraId="110418C0" w15:done="0"/>
  <w15:commentEx w15:paraId="62386A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91" w:rsidRDefault="000D3991" w:rsidP="00124A51">
      <w:r>
        <w:separator/>
      </w:r>
    </w:p>
  </w:endnote>
  <w:endnote w:type="continuationSeparator" w:id="0">
    <w:p w:rsidR="000D3991" w:rsidRDefault="000D399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91" w:rsidRDefault="000D3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717801"/>
      <w:docPartObj>
        <w:docPartGallery w:val="Page Numbers (Bottom of Page)"/>
        <w:docPartUnique/>
      </w:docPartObj>
    </w:sdtPr>
    <w:sdtEndPr>
      <w:rPr>
        <w:noProof/>
      </w:rPr>
    </w:sdtEndPr>
    <w:sdtContent>
      <w:p w:rsidR="00346280" w:rsidRDefault="00346280">
        <w:pPr>
          <w:pStyle w:val="Footer"/>
          <w:jc w:val="center"/>
        </w:pPr>
        <w:r>
          <w:fldChar w:fldCharType="begin"/>
        </w:r>
        <w:r>
          <w:instrText xml:space="preserve"> PAGE   \* MERGEFORMAT </w:instrText>
        </w:r>
        <w:r>
          <w:fldChar w:fldCharType="separate"/>
        </w:r>
        <w:r w:rsidR="00817E38">
          <w:rPr>
            <w:noProof/>
          </w:rPr>
          <w:t>2</w:t>
        </w:r>
        <w:r>
          <w:rPr>
            <w:noProof/>
          </w:rPr>
          <w:fldChar w:fldCharType="end"/>
        </w:r>
      </w:p>
    </w:sdtContent>
  </w:sdt>
  <w:p w:rsidR="00346280" w:rsidRDefault="00346280" w:rsidP="00352DF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91" w:rsidRDefault="000D3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91" w:rsidRDefault="000D3991" w:rsidP="00124A51">
      <w:r>
        <w:separator/>
      </w:r>
    </w:p>
  </w:footnote>
  <w:footnote w:type="continuationSeparator" w:id="0">
    <w:p w:rsidR="000D3991" w:rsidRDefault="000D3991"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91" w:rsidRDefault="000D3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80" w:rsidRDefault="00346280" w:rsidP="002F530D">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346280" w:rsidRDefault="00346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91" w:rsidRDefault="000D3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F6097"/>
    <w:multiLevelType w:val="hybridMultilevel"/>
    <w:tmpl w:val="9A5EA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793300"/>
    <w:multiLevelType w:val="hybridMultilevel"/>
    <w:tmpl w:val="445A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970E58"/>
    <w:multiLevelType w:val="multilevel"/>
    <w:tmpl w:val="3DB82972"/>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191D79"/>
    <w:multiLevelType w:val="multilevel"/>
    <w:tmpl w:val="B80AD6A8"/>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EE552B"/>
    <w:multiLevelType w:val="multilevel"/>
    <w:tmpl w:val="26B2D558"/>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1AD3165"/>
    <w:multiLevelType w:val="hybridMultilevel"/>
    <w:tmpl w:val="3C38A022"/>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2A5396"/>
    <w:multiLevelType w:val="multilevel"/>
    <w:tmpl w:val="294CC3C4"/>
    <w:lvl w:ilvl="0">
      <w:start w:val="1"/>
      <w:numFmt w:val="decimal"/>
      <w:lvlText w:val="%1"/>
      <w:lvlJc w:val="left"/>
      <w:pPr>
        <w:ind w:left="720" w:hanging="720"/>
      </w:pPr>
      <w:rPr>
        <w:rFonts w:hint="default"/>
        <w:b/>
      </w:rPr>
    </w:lvl>
    <w:lvl w:ilvl="1">
      <w:start w:val="2"/>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4D033C"/>
    <w:multiLevelType w:val="multilevel"/>
    <w:tmpl w:val="42DC410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4"/>
  </w:num>
  <w:num w:numId="4">
    <w:abstractNumId w:val="2"/>
  </w:num>
  <w:num w:numId="5">
    <w:abstractNumId w:val="9"/>
  </w:num>
  <w:num w:numId="6">
    <w:abstractNumId w:val="11"/>
  </w:num>
  <w:num w:numId="7">
    <w:abstractNumId w:val="13"/>
  </w:num>
  <w:num w:numId="8">
    <w:abstractNumId w:val="1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0"/>
  </w:num>
  <w:num w:numId="12">
    <w:abstractNumId w:val="5"/>
  </w:num>
  <w:num w:numId="13">
    <w:abstractNumId w:val="6"/>
  </w:num>
  <w:num w:numId="14">
    <w:abstractNumId w:val="12"/>
  </w:num>
  <w:num w:numId="15">
    <w:abstractNumId w:val="8"/>
  </w:num>
  <w:num w:numId="16">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4458"/>
    <w:rsid w:val="00010023"/>
    <w:rsid w:val="0001057B"/>
    <w:rsid w:val="00011480"/>
    <w:rsid w:val="00013247"/>
    <w:rsid w:val="00013FBA"/>
    <w:rsid w:val="00015886"/>
    <w:rsid w:val="000162EF"/>
    <w:rsid w:val="0001743A"/>
    <w:rsid w:val="0002225F"/>
    <w:rsid w:val="00022EA9"/>
    <w:rsid w:val="00023763"/>
    <w:rsid w:val="000272BE"/>
    <w:rsid w:val="0003026F"/>
    <w:rsid w:val="00030BD8"/>
    <w:rsid w:val="0003352B"/>
    <w:rsid w:val="00035FB2"/>
    <w:rsid w:val="0004056E"/>
    <w:rsid w:val="00040895"/>
    <w:rsid w:val="00041B42"/>
    <w:rsid w:val="0004231D"/>
    <w:rsid w:val="00043A11"/>
    <w:rsid w:val="00043C37"/>
    <w:rsid w:val="00044AC2"/>
    <w:rsid w:val="000473BE"/>
    <w:rsid w:val="00047719"/>
    <w:rsid w:val="00050D1B"/>
    <w:rsid w:val="000546D7"/>
    <w:rsid w:val="0005564F"/>
    <w:rsid w:val="00057729"/>
    <w:rsid w:val="0006040C"/>
    <w:rsid w:val="00066B5E"/>
    <w:rsid w:val="000679C0"/>
    <w:rsid w:val="00070143"/>
    <w:rsid w:val="00071248"/>
    <w:rsid w:val="000720B9"/>
    <w:rsid w:val="0007379C"/>
    <w:rsid w:val="00074420"/>
    <w:rsid w:val="00075332"/>
    <w:rsid w:val="000755FF"/>
    <w:rsid w:val="00080C66"/>
    <w:rsid w:val="000812CA"/>
    <w:rsid w:val="0008581A"/>
    <w:rsid w:val="000879A2"/>
    <w:rsid w:val="00090458"/>
    <w:rsid w:val="00090C7E"/>
    <w:rsid w:val="00092A58"/>
    <w:rsid w:val="00096DD0"/>
    <w:rsid w:val="00097104"/>
    <w:rsid w:val="000A00AB"/>
    <w:rsid w:val="000A0E44"/>
    <w:rsid w:val="000A1514"/>
    <w:rsid w:val="000A24C8"/>
    <w:rsid w:val="000A4BAE"/>
    <w:rsid w:val="000A7643"/>
    <w:rsid w:val="000B056A"/>
    <w:rsid w:val="000B0862"/>
    <w:rsid w:val="000B0ACC"/>
    <w:rsid w:val="000B10D1"/>
    <w:rsid w:val="000B5079"/>
    <w:rsid w:val="000B5B8B"/>
    <w:rsid w:val="000B7A8D"/>
    <w:rsid w:val="000B7DFC"/>
    <w:rsid w:val="000C10A2"/>
    <w:rsid w:val="000D1BFC"/>
    <w:rsid w:val="000D22D9"/>
    <w:rsid w:val="000D3991"/>
    <w:rsid w:val="000E0C6E"/>
    <w:rsid w:val="000E0CC1"/>
    <w:rsid w:val="000E31F7"/>
    <w:rsid w:val="000E4CCE"/>
    <w:rsid w:val="000E5468"/>
    <w:rsid w:val="000E700A"/>
    <w:rsid w:val="000F39AA"/>
    <w:rsid w:val="000F5BDF"/>
    <w:rsid w:val="000F64B1"/>
    <w:rsid w:val="00100B8F"/>
    <w:rsid w:val="00100F8A"/>
    <w:rsid w:val="001056BC"/>
    <w:rsid w:val="001065B6"/>
    <w:rsid w:val="001070D5"/>
    <w:rsid w:val="00107370"/>
    <w:rsid w:val="0011032E"/>
    <w:rsid w:val="00111806"/>
    <w:rsid w:val="001173E2"/>
    <w:rsid w:val="00117E78"/>
    <w:rsid w:val="00121799"/>
    <w:rsid w:val="001222FC"/>
    <w:rsid w:val="00124A51"/>
    <w:rsid w:val="00126621"/>
    <w:rsid w:val="0012736B"/>
    <w:rsid w:val="001301E9"/>
    <w:rsid w:val="00130A36"/>
    <w:rsid w:val="00131199"/>
    <w:rsid w:val="001355F0"/>
    <w:rsid w:val="00137645"/>
    <w:rsid w:val="0014015A"/>
    <w:rsid w:val="00140A50"/>
    <w:rsid w:val="00140E99"/>
    <w:rsid w:val="001456B0"/>
    <w:rsid w:val="0014704F"/>
    <w:rsid w:val="0015248F"/>
    <w:rsid w:val="0015282E"/>
    <w:rsid w:val="00152F61"/>
    <w:rsid w:val="00156F87"/>
    <w:rsid w:val="00157130"/>
    <w:rsid w:val="00157C66"/>
    <w:rsid w:val="001621F3"/>
    <w:rsid w:val="00162913"/>
    <w:rsid w:val="0016358C"/>
    <w:rsid w:val="00163EFF"/>
    <w:rsid w:val="001661FB"/>
    <w:rsid w:val="001675EB"/>
    <w:rsid w:val="001709FB"/>
    <w:rsid w:val="00175F92"/>
    <w:rsid w:val="001771DC"/>
    <w:rsid w:val="001822A6"/>
    <w:rsid w:val="001859A0"/>
    <w:rsid w:val="001866AB"/>
    <w:rsid w:val="00191C4D"/>
    <w:rsid w:val="00195222"/>
    <w:rsid w:val="001971A6"/>
    <w:rsid w:val="001975D8"/>
    <w:rsid w:val="001B2D68"/>
    <w:rsid w:val="001B3443"/>
    <w:rsid w:val="001B5FCD"/>
    <w:rsid w:val="001B6188"/>
    <w:rsid w:val="001C1030"/>
    <w:rsid w:val="001C39E9"/>
    <w:rsid w:val="001C5A2F"/>
    <w:rsid w:val="001C5DA4"/>
    <w:rsid w:val="001C5FA2"/>
    <w:rsid w:val="001C6E66"/>
    <w:rsid w:val="001D112E"/>
    <w:rsid w:val="001D3B21"/>
    <w:rsid w:val="001D3B91"/>
    <w:rsid w:val="001D4324"/>
    <w:rsid w:val="001D680A"/>
    <w:rsid w:val="001D7539"/>
    <w:rsid w:val="001E17EC"/>
    <w:rsid w:val="001E238E"/>
    <w:rsid w:val="001E4A04"/>
    <w:rsid w:val="001E52EB"/>
    <w:rsid w:val="001E5E26"/>
    <w:rsid w:val="001E7213"/>
    <w:rsid w:val="001E740C"/>
    <w:rsid w:val="001F1235"/>
    <w:rsid w:val="001F1C7A"/>
    <w:rsid w:val="001F1CB3"/>
    <w:rsid w:val="001F643C"/>
    <w:rsid w:val="001F7361"/>
    <w:rsid w:val="002025FE"/>
    <w:rsid w:val="002039D7"/>
    <w:rsid w:val="002105C1"/>
    <w:rsid w:val="00211205"/>
    <w:rsid w:val="00215E8B"/>
    <w:rsid w:val="0022012F"/>
    <w:rsid w:val="00221259"/>
    <w:rsid w:val="002226CD"/>
    <w:rsid w:val="00223B49"/>
    <w:rsid w:val="002246D3"/>
    <w:rsid w:val="00224DD4"/>
    <w:rsid w:val="0023015D"/>
    <w:rsid w:val="002309CC"/>
    <w:rsid w:val="00230E26"/>
    <w:rsid w:val="00237C9E"/>
    <w:rsid w:val="002463CB"/>
    <w:rsid w:val="00247E94"/>
    <w:rsid w:val="0025534B"/>
    <w:rsid w:val="00255BB7"/>
    <w:rsid w:val="002570C5"/>
    <w:rsid w:val="00262A87"/>
    <w:rsid w:val="002648BB"/>
    <w:rsid w:val="00264BA0"/>
    <w:rsid w:val="00264C12"/>
    <w:rsid w:val="00271F9F"/>
    <w:rsid w:val="00275C5A"/>
    <w:rsid w:val="00282B68"/>
    <w:rsid w:val="00284D29"/>
    <w:rsid w:val="00285CE5"/>
    <w:rsid w:val="00286A47"/>
    <w:rsid w:val="00290871"/>
    <w:rsid w:val="00291D25"/>
    <w:rsid w:val="002A0337"/>
    <w:rsid w:val="002A14AB"/>
    <w:rsid w:val="002A2579"/>
    <w:rsid w:val="002B1C1F"/>
    <w:rsid w:val="002B338F"/>
    <w:rsid w:val="002B432F"/>
    <w:rsid w:val="002B5499"/>
    <w:rsid w:val="002B6CCE"/>
    <w:rsid w:val="002B761A"/>
    <w:rsid w:val="002C0D13"/>
    <w:rsid w:val="002C27C1"/>
    <w:rsid w:val="002C54A8"/>
    <w:rsid w:val="002C5844"/>
    <w:rsid w:val="002D42A9"/>
    <w:rsid w:val="002D62B0"/>
    <w:rsid w:val="002D7475"/>
    <w:rsid w:val="002E18C6"/>
    <w:rsid w:val="002E1BFF"/>
    <w:rsid w:val="002E2D4C"/>
    <w:rsid w:val="002E69C5"/>
    <w:rsid w:val="002F530D"/>
    <w:rsid w:val="002F6F46"/>
    <w:rsid w:val="002F7A76"/>
    <w:rsid w:val="00301017"/>
    <w:rsid w:val="0030129E"/>
    <w:rsid w:val="003059DE"/>
    <w:rsid w:val="003061FA"/>
    <w:rsid w:val="0030786C"/>
    <w:rsid w:val="0031031A"/>
    <w:rsid w:val="00311DCB"/>
    <w:rsid w:val="003149A5"/>
    <w:rsid w:val="00315498"/>
    <w:rsid w:val="003155BC"/>
    <w:rsid w:val="003158BA"/>
    <w:rsid w:val="003247A8"/>
    <w:rsid w:val="003252DA"/>
    <w:rsid w:val="00327E9F"/>
    <w:rsid w:val="00333850"/>
    <w:rsid w:val="003357C1"/>
    <w:rsid w:val="003366C9"/>
    <w:rsid w:val="00342A3C"/>
    <w:rsid w:val="00343F91"/>
    <w:rsid w:val="00345789"/>
    <w:rsid w:val="00346280"/>
    <w:rsid w:val="00352DF7"/>
    <w:rsid w:val="00355C54"/>
    <w:rsid w:val="0035620E"/>
    <w:rsid w:val="0036109D"/>
    <w:rsid w:val="0036109E"/>
    <w:rsid w:val="0036591A"/>
    <w:rsid w:val="00370C19"/>
    <w:rsid w:val="0037349B"/>
    <w:rsid w:val="003746E5"/>
    <w:rsid w:val="00375D36"/>
    <w:rsid w:val="003768D0"/>
    <w:rsid w:val="00380C4E"/>
    <w:rsid w:val="0038160F"/>
    <w:rsid w:val="0038365C"/>
    <w:rsid w:val="00390D4B"/>
    <w:rsid w:val="00393F75"/>
    <w:rsid w:val="003953E0"/>
    <w:rsid w:val="00396FD0"/>
    <w:rsid w:val="003A016D"/>
    <w:rsid w:val="003A0BC6"/>
    <w:rsid w:val="003A1A7A"/>
    <w:rsid w:val="003A21C0"/>
    <w:rsid w:val="003A2C74"/>
    <w:rsid w:val="003A4F35"/>
    <w:rsid w:val="003A7558"/>
    <w:rsid w:val="003C00B0"/>
    <w:rsid w:val="003C12CD"/>
    <w:rsid w:val="003C14D2"/>
    <w:rsid w:val="003C4F88"/>
    <w:rsid w:val="003C56C1"/>
    <w:rsid w:val="003C595A"/>
    <w:rsid w:val="003C5D78"/>
    <w:rsid w:val="003D1828"/>
    <w:rsid w:val="003D2422"/>
    <w:rsid w:val="003D34D8"/>
    <w:rsid w:val="003D71DA"/>
    <w:rsid w:val="003E3BFB"/>
    <w:rsid w:val="003E4576"/>
    <w:rsid w:val="003F2601"/>
    <w:rsid w:val="003F27B0"/>
    <w:rsid w:val="003F4156"/>
    <w:rsid w:val="003F6965"/>
    <w:rsid w:val="00402FF9"/>
    <w:rsid w:val="004050C6"/>
    <w:rsid w:val="00407CA2"/>
    <w:rsid w:val="004102AF"/>
    <w:rsid w:val="00410EC7"/>
    <w:rsid w:val="004112D2"/>
    <w:rsid w:val="00412DA6"/>
    <w:rsid w:val="00413020"/>
    <w:rsid w:val="00414476"/>
    <w:rsid w:val="00420B9F"/>
    <w:rsid w:val="00422E8D"/>
    <w:rsid w:val="00425CB2"/>
    <w:rsid w:val="0043008F"/>
    <w:rsid w:val="00430258"/>
    <w:rsid w:val="004319F8"/>
    <w:rsid w:val="0043317B"/>
    <w:rsid w:val="0044413C"/>
    <w:rsid w:val="004443A7"/>
    <w:rsid w:val="004464EB"/>
    <w:rsid w:val="00455D08"/>
    <w:rsid w:val="00455D45"/>
    <w:rsid w:val="004577D9"/>
    <w:rsid w:val="004626D6"/>
    <w:rsid w:val="00462E38"/>
    <w:rsid w:val="0046340F"/>
    <w:rsid w:val="00464595"/>
    <w:rsid w:val="00464A04"/>
    <w:rsid w:val="0046647F"/>
    <w:rsid w:val="00472359"/>
    <w:rsid w:val="00474324"/>
    <w:rsid w:val="0047456A"/>
    <w:rsid w:val="004867E2"/>
    <w:rsid w:val="0049031D"/>
    <w:rsid w:val="00490470"/>
    <w:rsid w:val="00491B3A"/>
    <w:rsid w:val="00493DF5"/>
    <w:rsid w:val="004949A2"/>
    <w:rsid w:val="0049648B"/>
    <w:rsid w:val="00496CB9"/>
    <w:rsid w:val="00497F10"/>
    <w:rsid w:val="004A06D6"/>
    <w:rsid w:val="004A0D53"/>
    <w:rsid w:val="004A0DA1"/>
    <w:rsid w:val="004A6597"/>
    <w:rsid w:val="004A7338"/>
    <w:rsid w:val="004B17AE"/>
    <w:rsid w:val="004B2F18"/>
    <w:rsid w:val="004B3DDB"/>
    <w:rsid w:val="004B44FD"/>
    <w:rsid w:val="004B515E"/>
    <w:rsid w:val="004B5CFC"/>
    <w:rsid w:val="004B7CA2"/>
    <w:rsid w:val="004C291D"/>
    <w:rsid w:val="004C4AED"/>
    <w:rsid w:val="004D4BFF"/>
    <w:rsid w:val="004D5DE5"/>
    <w:rsid w:val="004D5FDD"/>
    <w:rsid w:val="004E0EB8"/>
    <w:rsid w:val="004E2145"/>
    <w:rsid w:val="004E2ADC"/>
    <w:rsid w:val="004E4110"/>
    <w:rsid w:val="004E6BF7"/>
    <w:rsid w:val="004E75F8"/>
    <w:rsid w:val="004F0690"/>
    <w:rsid w:val="004F11FE"/>
    <w:rsid w:val="004F1663"/>
    <w:rsid w:val="004F1D02"/>
    <w:rsid w:val="004F220B"/>
    <w:rsid w:val="004F2679"/>
    <w:rsid w:val="004F538C"/>
    <w:rsid w:val="004F6E4B"/>
    <w:rsid w:val="004F714C"/>
    <w:rsid w:val="005013D0"/>
    <w:rsid w:val="0050150D"/>
    <w:rsid w:val="005040DB"/>
    <w:rsid w:val="005049C1"/>
    <w:rsid w:val="00506E16"/>
    <w:rsid w:val="00514B18"/>
    <w:rsid w:val="005152B5"/>
    <w:rsid w:val="00521319"/>
    <w:rsid w:val="00523C28"/>
    <w:rsid w:val="005266E6"/>
    <w:rsid w:val="00527E09"/>
    <w:rsid w:val="00540A40"/>
    <w:rsid w:val="005469C9"/>
    <w:rsid w:val="00547AD2"/>
    <w:rsid w:val="00555109"/>
    <w:rsid w:val="0056276A"/>
    <w:rsid w:val="00562975"/>
    <w:rsid w:val="0056570F"/>
    <w:rsid w:val="0056696F"/>
    <w:rsid w:val="005671BE"/>
    <w:rsid w:val="005676D4"/>
    <w:rsid w:val="0057356C"/>
    <w:rsid w:val="005766AA"/>
    <w:rsid w:val="00576972"/>
    <w:rsid w:val="00577717"/>
    <w:rsid w:val="005800CB"/>
    <w:rsid w:val="005801E9"/>
    <w:rsid w:val="00583699"/>
    <w:rsid w:val="005847F4"/>
    <w:rsid w:val="00585025"/>
    <w:rsid w:val="005926A3"/>
    <w:rsid w:val="00592E8A"/>
    <w:rsid w:val="005A1936"/>
    <w:rsid w:val="005B2BBD"/>
    <w:rsid w:val="005B5857"/>
    <w:rsid w:val="005B5DF1"/>
    <w:rsid w:val="005B78F6"/>
    <w:rsid w:val="005C051E"/>
    <w:rsid w:val="005C1B83"/>
    <w:rsid w:val="005C26E5"/>
    <w:rsid w:val="005C346B"/>
    <w:rsid w:val="005C53D7"/>
    <w:rsid w:val="005C6EA9"/>
    <w:rsid w:val="005D0750"/>
    <w:rsid w:val="005D0EE5"/>
    <w:rsid w:val="005D18AD"/>
    <w:rsid w:val="005D1A83"/>
    <w:rsid w:val="005D7E3E"/>
    <w:rsid w:val="005E1E1D"/>
    <w:rsid w:val="005E5241"/>
    <w:rsid w:val="005F136B"/>
    <w:rsid w:val="005F1BB8"/>
    <w:rsid w:val="005F2706"/>
    <w:rsid w:val="005F63A0"/>
    <w:rsid w:val="005F6A8F"/>
    <w:rsid w:val="00600319"/>
    <w:rsid w:val="00601EEF"/>
    <w:rsid w:val="00607669"/>
    <w:rsid w:val="00612F97"/>
    <w:rsid w:val="00613485"/>
    <w:rsid w:val="00613ED7"/>
    <w:rsid w:val="00616802"/>
    <w:rsid w:val="00617E12"/>
    <w:rsid w:val="006200E2"/>
    <w:rsid w:val="00621477"/>
    <w:rsid w:val="006223BD"/>
    <w:rsid w:val="0062244F"/>
    <w:rsid w:val="00624FE5"/>
    <w:rsid w:val="00625662"/>
    <w:rsid w:val="0062628F"/>
    <w:rsid w:val="00627D09"/>
    <w:rsid w:val="00631D6B"/>
    <w:rsid w:val="0063479F"/>
    <w:rsid w:val="006364A1"/>
    <w:rsid w:val="00637BFD"/>
    <w:rsid w:val="006471CC"/>
    <w:rsid w:val="0065079F"/>
    <w:rsid w:val="006510C1"/>
    <w:rsid w:val="006522C8"/>
    <w:rsid w:val="006637FA"/>
    <w:rsid w:val="006645E8"/>
    <w:rsid w:val="00666DBC"/>
    <w:rsid w:val="0067038F"/>
    <w:rsid w:val="00674E42"/>
    <w:rsid w:val="006755CF"/>
    <w:rsid w:val="00676A9B"/>
    <w:rsid w:val="00682112"/>
    <w:rsid w:val="0068243C"/>
    <w:rsid w:val="0068472F"/>
    <w:rsid w:val="006855D0"/>
    <w:rsid w:val="00687901"/>
    <w:rsid w:val="00691F7C"/>
    <w:rsid w:val="00692E3D"/>
    <w:rsid w:val="00694A72"/>
    <w:rsid w:val="00694F44"/>
    <w:rsid w:val="00695656"/>
    <w:rsid w:val="006973E5"/>
    <w:rsid w:val="006B2AA7"/>
    <w:rsid w:val="006B3D59"/>
    <w:rsid w:val="006B6299"/>
    <w:rsid w:val="006C2212"/>
    <w:rsid w:val="006C2A8E"/>
    <w:rsid w:val="006D31EA"/>
    <w:rsid w:val="006D3C7D"/>
    <w:rsid w:val="006D3EA5"/>
    <w:rsid w:val="006D45A2"/>
    <w:rsid w:val="006D67AD"/>
    <w:rsid w:val="006D6B17"/>
    <w:rsid w:val="006D795E"/>
    <w:rsid w:val="006E0CB3"/>
    <w:rsid w:val="006E4BDB"/>
    <w:rsid w:val="006F4430"/>
    <w:rsid w:val="006F5A0D"/>
    <w:rsid w:val="006F5DDD"/>
    <w:rsid w:val="006F63A5"/>
    <w:rsid w:val="006F77A4"/>
    <w:rsid w:val="00700F10"/>
    <w:rsid w:val="0070276E"/>
    <w:rsid w:val="00703F25"/>
    <w:rsid w:val="00711A36"/>
    <w:rsid w:val="0071531E"/>
    <w:rsid w:val="00716C84"/>
    <w:rsid w:val="007172AD"/>
    <w:rsid w:val="00720139"/>
    <w:rsid w:val="00721FB4"/>
    <w:rsid w:val="007244B7"/>
    <w:rsid w:val="007265FB"/>
    <w:rsid w:val="00731E8D"/>
    <w:rsid w:val="0073215D"/>
    <w:rsid w:val="00732DC5"/>
    <w:rsid w:val="00735328"/>
    <w:rsid w:val="0073685B"/>
    <w:rsid w:val="00737A99"/>
    <w:rsid w:val="00746096"/>
    <w:rsid w:val="007474AD"/>
    <w:rsid w:val="0075198B"/>
    <w:rsid w:val="0075787E"/>
    <w:rsid w:val="007638ED"/>
    <w:rsid w:val="00780076"/>
    <w:rsid w:val="007853CA"/>
    <w:rsid w:val="00785E16"/>
    <w:rsid w:val="00786C84"/>
    <w:rsid w:val="0079097B"/>
    <w:rsid w:val="007923D1"/>
    <w:rsid w:val="007954CE"/>
    <w:rsid w:val="00796D68"/>
    <w:rsid w:val="007A18AA"/>
    <w:rsid w:val="007A2135"/>
    <w:rsid w:val="007A30D5"/>
    <w:rsid w:val="007A3779"/>
    <w:rsid w:val="007A7A20"/>
    <w:rsid w:val="007B1C32"/>
    <w:rsid w:val="007B251D"/>
    <w:rsid w:val="007B77D1"/>
    <w:rsid w:val="007C0493"/>
    <w:rsid w:val="007C1B52"/>
    <w:rsid w:val="007C6C27"/>
    <w:rsid w:val="007C7731"/>
    <w:rsid w:val="007D0469"/>
    <w:rsid w:val="007D0B38"/>
    <w:rsid w:val="007D2934"/>
    <w:rsid w:val="007D370B"/>
    <w:rsid w:val="007D67DC"/>
    <w:rsid w:val="007E37B7"/>
    <w:rsid w:val="007E578B"/>
    <w:rsid w:val="007F060C"/>
    <w:rsid w:val="007F1017"/>
    <w:rsid w:val="007F121B"/>
    <w:rsid w:val="007F16E9"/>
    <w:rsid w:val="007F2AA1"/>
    <w:rsid w:val="007F4A3F"/>
    <w:rsid w:val="007F600A"/>
    <w:rsid w:val="007F73C3"/>
    <w:rsid w:val="007F7D4C"/>
    <w:rsid w:val="007F7F31"/>
    <w:rsid w:val="00805142"/>
    <w:rsid w:val="00806298"/>
    <w:rsid w:val="0080655E"/>
    <w:rsid w:val="00806E5B"/>
    <w:rsid w:val="00807A8B"/>
    <w:rsid w:val="00812149"/>
    <w:rsid w:val="00813A0E"/>
    <w:rsid w:val="00813F72"/>
    <w:rsid w:val="00814A06"/>
    <w:rsid w:val="008156FF"/>
    <w:rsid w:val="008166EF"/>
    <w:rsid w:val="00816C89"/>
    <w:rsid w:val="00817E38"/>
    <w:rsid w:val="00823439"/>
    <w:rsid w:val="008245D5"/>
    <w:rsid w:val="00825C3A"/>
    <w:rsid w:val="008264EB"/>
    <w:rsid w:val="00830936"/>
    <w:rsid w:val="00837AB7"/>
    <w:rsid w:val="00840420"/>
    <w:rsid w:val="00840CA2"/>
    <w:rsid w:val="008431DE"/>
    <w:rsid w:val="00845473"/>
    <w:rsid w:val="00847F3C"/>
    <w:rsid w:val="00852034"/>
    <w:rsid w:val="0085510B"/>
    <w:rsid w:val="00856E9A"/>
    <w:rsid w:val="00861782"/>
    <w:rsid w:val="00863A6E"/>
    <w:rsid w:val="00867EF2"/>
    <w:rsid w:val="0087018A"/>
    <w:rsid w:val="008716D0"/>
    <w:rsid w:val="00873DA2"/>
    <w:rsid w:val="008743FC"/>
    <w:rsid w:val="00876FC9"/>
    <w:rsid w:val="0088037E"/>
    <w:rsid w:val="00882874"/>
    <w:rsid w:val="00883787"/>
    <w:rsid w:val="0088632D"/>
    <w:rsid w:val="008863A8"/>
    <w:rsid w:val="00890945"/>
    <w:rsid w:val="00890AB2"/>
    <w:rsid w:val="00891326"/>
    <w:rsid w:val="00892FDF"/>
    <w:rsid w:val="008963A5"/>
    <w:rsid w:val="008A03AD"/>
    <w:rsid w:val="008A10C7"/>
    <w:rsid w:val="008A3789"/>
    <w:rsid w:val="008A3C3E"/>
    <w:rsid w:val="008A3FAF"/>
    <w:rsid w:val="008A5B83"/>
    <w:rsid w:val="008A68A2"/>
    <w:rsid w:val="008A6B1A"/>
    <w:rsid w:val="008A79DE"/>
    <w:rsid w:val="008B0E96"/>
    <w:rsid w:val="008B222B"/>
    <w:rsid w:val="008B3EC6"/>
    <w:rsid w:val="008B72AF"/>
    <w:rsid w:val="008B7D7E"/>
    <w:rsid w:val="008C335A"/>
    <w:rsid w:val="008C4073"/>
    <w:rsid w:val="008C5817"/>
    <w:rsid w:val="008C7ECB"/>
    <w:rsid w:val="008D2FD9"/>
    <w:rsid w:val="008E1B9E"/>
    <w:rsid w:val="008E219E"/>
    <w:rsid w:val="008E49B3"/>
    <w:rsid w:val="008E5F18"/>
    <w:rsid w:val="008E7BC1"/>
    <w:rsid w:val="008F3753"/>
    <w:rsid w:val="008F48EB"/>
    <w:rsid w:val="008F4EE6"/>
    <w:rsid w:val="008F4F0B"/>
    <w:rsid w:val="008F6A49"/>
    <w:rsid w:val="008F7933"/>
    <w:rsid w:val="00903F14"/>
    <w:rsid w:val="00904A6F"/>
    <w:rsid w:val="00905F03"/>
    <w:rsid w:val="009062A5"/>
    <w:rsid w:val="00911272"/>
    <w:rsid w:val="00911376"/>
    <w:rsid w:val="0091169D"/>
    <w:rsid w:val="00916191"/>
    <w:rsid w:val="00916CCA"/>
    <w:rsid w:val="009240D9"/>
    <w:rsid w:val="00924FC1"/>
    <w:rsid w:val="0092527D"/>
    <w:rsid w:val="00925795"/>
    <w:rsid w:val="00927E91"/>
    <w:rsid w:val="009326E1"/>
    <w:rsid w:val="00932D0F"/>
    <w:rsid w:val="00936F24"/>
    <w:rsid w:val="00937716"/>
    <w:rsid w:val="009379A4"/>
    <w:rsid w:val="00942E40"/>
    <w:rsid w:val="009511FC"/>
    <w:rsid w:val="0095157C"/>
    <w:rsid w:val="00961AF9"/>
    <w:rsid w:val="00962CB9"/>
    <w:rsid w:val="009639FE"/>
    <w:rsid w:val="00964312"/>
    <w:rsid w:val="009649CE"/>
    <w:rsid w:val="009676C3"/>
    <w:rsid w:val="0097173C"/>
    <w:rsid w:val="00974ABA"/>
    <w:rsid w:val="00974C55"/>
    <w:rsid w:val="00975092"/>
    <w:rsid w:val="009766AF"/>
    <w:rsid w:val="00977218"/>
    <w:rsid w:val="0098002F"/>
    <w:rsid w:val="00983A88"/>
    <w:rsid w:val="00983E57"/>
    <w:rsid w:val="009856DB"/>
    <w:rsid w:val="00985AD8"/>
    <w:rsid w:val="0098666E"/>
    <w:rsid w:val="00986BC1"/>
    <w:rsid w:val="00990A6D"/>
    <w:rsid w:val="009955A2"/>
    <w:rsid w:val="00996B1A"/>
    <w:rsid w:val="009A1E1A"/>
    <w:rsid w:val="009A54C6"/>
    <w:rsid w:val="009B3E26"/>
    <w:rsid w:val="009C09CD"/>
    <w:rsid w:val="009C504A"/>
    <w:rsid w:val="009C588F"/>
    <w:rsid w:val="009D1F0F"/>
    <w:rsid w:val="009D2454"/>
    <w:rsid w:val="009D4B5A"/>
    <w:rsid w:val="009D5B91"/>
    <w:rsid w:val="009D5E8A"/>
    <w:rsid w:val="009E23F5"/>
    <w:rsid w:val="009E3045"/>
    <w:rsid w:val="009E4C07"/>
    <w:rsid w:val="009E6E75"/>
    <w:rsid w:val="009F1ABD"/>
    <w:rsid w:val="009F5F23"/>
    <w:rsid w:val="009F6772"/>
    <w:rsid w:val="009F7324"/>
    <w:rsid w:val="009F7676"/>
    <w:rsid w:val="009F7BB7"/>
    <w:rsid w:val="00A03D43"/>
    <w:rsid w:val="00A03FCA"/>
    <w:rsid w:val="00A04380"/>
    <w:rsid w:val="00A045EA"/>
    <w:rsid w:val="00A13948"/>
    <w:rsid w:val="00A14191"/>
    <w:rsid w:val="00A15480"/>
    <w:rsid w:val="00A20F15"/>
    <w:rsid w:val="00A26376"/>
    <w:rsid w:val="00A272BD"/>
    <w:rsid w:val="00A27AEC"/>
    <w:rsid w:val="00A33970"/>
    <w:rsid w:val="00A35D16"/>
    <w:rsid w:val="00A43C59"/>
    <w:rsid w:val="00A50ECD"/>
    <w:rsid w:val="00A52729"/>
    <w:rsid w:val="00A53675"/>
    <w:rsid w:val="00A53A9F"/>
    <w:rsid w:val="00A55321"/>
    <w:rsid w:val="00A56772"/>
    <w:rsid w:val="00A568C9"/>
    <w:rsid w:val="00A56B6A"/>
    <w:rsid w:val="00A5712D"/>
    <w:rsid w:val="00A578DC"/>
    <w:rsid w:val="00A602DD"/>
    <w:rsid w:val="00A62246"/>
    <w:rsid w:val="00A643D7"/>
    <w:rsid w:val="00A65F4E"/>
    <w:rsid w:val="00A665F6"/>
    <w:rsid w:val="00A6725B"/>
    <w:rsid w:val="00A74423"/>
    <w:rsid w:val="00A747A8"/>
    <w:rsid w:val="00A765DF"/>
    <w:rsid w:val="00A82233"/>
    <w:rsid w:val="00A86E8B"/>
    <w:rsid w:val="00A8777D"/>
    <w:rsid w:val="00A905B3"/>
    <w:rsid w:val="00A90ED2"/>
    <w:rsid w:val="00A93072"/>
    <w:rsid w:val="00A95E9D"/>
    <w:rsid w:val="00AA0A07"/>
    <w:rsid w:val="00AA1BFD"/>
    <w:rsid w:val="00AA4A9C"/>
    <w:rsid w:val="00AA5ADA"/>
    <w:rsid w:val="00AB042A"/>
    <w:rsid w:val="00AB3430"/>
    <w:rsid w:val="00AB5268"/>
    <w:rsid w:val="00AB7CFA"/>
    <w:rsid w:val="00AC05CE"/>
    <w:rsid w:val="00AC3819"/>
    <w:rsid w:val="00AD5740"/>
    <w:rsid w:val="00AD761A"/>
    <w:rsid w:val="00AE4EDE"/>
    <w:rsid w:val="00AE7E2B"/>
    <w:rsid w:val="00AF70C7"/>
    <w:rsid w:val="00B01678"/>
    <w:rsid w:val="00B01F09"/>
    <w:rsid w:val="00B0442F"/>
    <w:rsid w:val="00B05280"/>
    <w:rsid w:val="00B06BD2"/>
    <w:rsid w:val="00B06D4C"/>
    <w:rsid w:val="00B07F6A"/>
    <w:rsid w:val="00B1498D"/>
    <w:rsid w:val="00B14A57"/>
    <w:rsid w:val="00B15469"/>
    <w:rsid w:val="00B164E9"/>
    <w:rsid w:val="00B23182"/>
    <w:rsid w:val="00B23802"/>
    <w:rsid w:val="00B30B06"/>
    <w:rsid w:val="00B32B22"/>
    <w:rsid w:val="00B34944"/>
    <w:rsid w:val="00B365FD"/>
    <w:rsid w:val="00B370FF"/>
    <w:rsid w:val="00B42851"/>
    <w:rsid w:val="00B45087"/>
    <w:rsid w:val="00B4737C"/>
    <w:rsid w:val="00B5166B"/>
    <w:rsid w:val="00B54B5B"/>
    <w:rsid w:val="00B5562E"/>
    <w:rsid w:val="00B57000"/>
    <w:rsid w:val="00B608CF"/>
    <w:rsid w:val="00B60939"/>
    <w:rsid w:val="00B60AFD"/>
    <w:rsid w:val="00B626A0"/>
    <w:rsid w:val="00B62715"/>
    <w:rsid w:val="00B679DC"/>
    <w:rsid w:val="00B7017A"/>
    <w:rsid w:val="00B71888"/>
    <w:rsid w:val="00B77A3A"/>
    <w:rsid w:val="00B77DC8"/>
    <w:rsid w:val="00B80D75"/>
    <w:rsid w:val="00B814BB"/>
    <w:rsid w:val="00B818A4"/>
    <w:rsid w:val="00B83154"/>
    <w:rsid w:val="00B8649C"/>
    <w:rsid w:val="00B92D0B"/>
    <w:rsid w:val="00B9473B"/>
    <w:rsid w:val="00B94945"/>
    <w:rsid w:val="00B97735"/>
    <w:rsid w:val="00BA1B73"/>
    <w:rsid w:val="00BA5B03"/>
    <w:rsid w:val="00BB2375"/>
    <w:rsid w:val="00BB29E3"/>
    <w:rsid w:val="00BB2ABA"/>
    <w:rsid w:val="00BB3B35"/>
    <w:rsid w:val="00BB5683"/>
    <w:rsid w:val="00BB6D94"/>
    <w:rsid w:val="00BB7A7C"/>
    <w:rsid w:val="00BC58EA"/>
    <w:rsid w:val="00BD023A"/>
    <w:rsid w:val="00BD62CA"/>
    <w:rsid w:val="00BE2180"/>
    <w:rsid w:val="00BE4275"/>
    <w:rsid w:val="00BE6604"/>
    <w:rsid w:val="00BF0F02"/>
    <w:rsid w:val="00BF15AF"/>
    <w:rsid w:val="00BF23ED"/>
    <w:rsid w:val="00BF2433"/>
    <w:rsid w:val="00BF61C9"/>
    <w:rsid w:val="00BF7473"/>
    <w:rsid w:val="00C04E89"/>
    <w:rsid w:val="00C07539"/>
    <w:rsid w:val="00C12ED6"/>
    <w:rsid w:val="00C139C1"/>
    <w:rsid w:val="00C1475E"/>
    <w:rsid w:val="00C21D50"/>
    <w:rsid w:val="00C22E83"/>
    <w:rsid w:val="00C25418"/>
    <w:rsid w:val="00C25D9C"/>
    <w:rsid w:val="00C2614F"/>
    <w:rsid w:val="00C26D01"/>
    <w:rsid w:val="00C26E32"/>
    <w:rsid w:val="00C3024B"/>
    <w:rsid w:val="00C31649"/>
    <w:rsid w:val="00C3305B"/>
    <w:rsid w:val="00C35D32"/>
    <w:rsid w:val="00C366B8"/>
    <w:rsid w:val="00C40385"/>
    <w:rsid w:val="00C4368F"/>
    <w:rsid w:val="00C43E76"/>
    <w:rsid w:val="00C47024"/>
    <w:rsid w:val="00C47E09"/>
    <w:rsid w:val="00C535A7"/>
    <w:rsid w:val="00C639B5"/>
    <w:rsid w:val="00C64433"/>
    <w:rsid w:val="00C65576"/>
    <w:rsid w:val="00C66165"/>
    <w:rsid w:val="00C720D6"/>
    <w:rsid w:val="00C80A65"/>
    <w:rsid w:val="00C8156F"/>
    <w:rsid w:val="00C8213F"/>
    <w:rsid w:val="00C8341C"/>
    <w:rsid w:val="00C83EFF"/>
    <w:rsid w:val="00C8731D"/>
    <w:rsid w:val="00C8797A"/>
    <w:rsid w:val="00C903EB"/>
    <w:rsid w:val="00C92C7E"/>
    <w:rsid w:val="00C938CF"/>
    <w:rsid w:val="00CA485D"/>
    <w:rsid w:val="00CA4C93"/>
    <w:rsid w:val="00CA5245"/>
    <w:rsid w:val="00CA6467"/>
    <w:rsid w:val="00CA6ED3"/>
    <w:rsid w:val="00CA7B09"/>
    <w:rsid w:val="00CB31D3"/>
    <w:rsid w:val="00CB38E7"/>
    <w:rsid w:val="00CB396E"/>
    <w:rsid w:val="00CB55DD"/>
    <w:rsid w:val="00CB5A23"/>
    <w:rsid w:val="00CB5B1A"/>
    <w:rsid w:val="00CC0C5A"/>
    <w:rsid w:val="00CC0F09"/>
    <w:rsid w:val="00CC10B8"/>
    <w:rsid w:val="00CC194E"/>
    <w:rsid w:val="00CC238E"/>
    <w:rsid w:val="00CC2690"/>
    <w:rsid w:val="00CC6118"/>
    <w:rsid w:val="00CD004C"/>
    <w:rsid w:val="00CD3138"/>
    <w:rsid w:val="00CD56AE"/>
    <w:rsid w:val="00CD6ADC"/>
    <w:rsid w:val="00CD6DDA"/>
    <w:rsid w:val="00CE1775"/>
    <w:rsid w:val="00CE5491"/>
    <w:rsid w:val="00CE6274"/>
    <w:rsid w:val="00CF10B2"/>
    <w:rsid w:val="00CF4298"/>
    <w:rsid w:val="00CF456B"/>
    <w:rsid w:val="00CF5A22"/>
    <w:rsid w:val="00CF5FBA"/>
    <w:rsid w:val="00D00735"/>
    <w:rsid w:val="00D01083"/>
    <w:rsid w:val="00D0262E"/>
    <w:rsid w:val="00D028AB"/>
    <w:rsid w:val="00D04891"/>
    <w:rsid w:val="00D04C42"/>
    <w:rsid w:val="00D05F2D"/>
    <w:rsid w:val="00D067FF"/>
    <w:rsid w:val="00D06FD4"/>
    <w:rsid w:val="00D11006"/>
    <w:rsid w:val="00D110BD"/>
    <w:rsid w:val="00D1172D"/>
    <w:rsid w:val="00D12AF5"/>
    <w:rsid w:val="00D14F58"/>
    <w:rsid w:val="00D17D6C"/>
    <w:rsid w:val="00D25EB2"/>
    <w:rsid w:val="00D26648"/>
    <w:rsid w:val="00D36004"/>
    <w:rsid w:val="00D36466"/>
    <w:rsid w:val="00D36737"/>
    <w:rsid w:val="00D464D2"/>
    <w:rsid w:val="00D5134E"/>
    <w:rsid w:val="00D51E12"/>
    <w:rsid w:val="00D67CBA"/>
    <w:rsid w:val="00D67D4F"/>
    <w:rsid w:val="00D70A82"/>
    <w:rsid w:val="00D717B2"/>
    <w:rsid w:val="00D76A44"/>
    <w:rsid w:val="00D8064F"/>
    <w:rsid w:val="00D8340B"/>
    <w:rsid w:val="00D92E2B"/>
    <w:rsid w:val="00D93753"/>
    <w:rsid w:val="00D938AA"/>
    <w:rsid w:val="00D9538E"/>
    <w:rsid w:val="00DA1F7E"/>
    <w:rsid w:val="00DA5323"/>
    <w:rsid w:val="00DA77A5"/>
    <w:rsid w:val="00DB12E4"/>
    <w:rsid w:val="00DB7948"/>
    <w:rsid w:val="00DC07F4"/>
    <w:rsid w:val="00DC1E67"/>
    <w:rsid w:val="00DC5501"/>
    <w:rsid w:val="00DC5FF3"/>
    <w:rsid w:val="00DC7067"/>
    <w:rsid w:val="00DD2072"/>
    <w:rsid w:val="00DD3F28"/>
    <w:rsid w:val="00DD4537"/>
    <w:rsid w:val="00DD46BD"/>
    <w:rsid w:val="00DD4E15"/>
    <w:rsid w:val="00DE4FCB"/>
    <w:rsid w:val="00DE7EDF"/>
    <w:rsid w:val="00DF19B7"/>
    <w:rsid w:val="00E062F5"/>
    <w:rsid w:val="00E0740C"/>
    <w:rsid w:val="00E10149"/>
    <w:rsid w:val="00E1048B"/>
    <w:rsid w:val="00E13F89"/>
    <w:rsid w:val="00E16372"/>
    <w:rsid w:val="00E17291"/>
    <w:rsid w:val="00E172B0"/>
    <w:rsid w:val="00E20ED6"/>
    <w:rsid w:val="00E21358"/>
    <w:rsid w:val="00E22209"/>
    <w:rsid w:val="00E2249B"/>
    <w:rsid w:val="00E2771E"/>
    <w:rsid w:val="00E3151C"/>
    <w:rsid w:val="00E34112"/>
    <w:rsid w:val="00E3513D"/>
    <w:rsid w:val="00E37569"/>
    <w:rsid w:val="00E41E30"/>
    <w:rsid w:val="00E44247"/>
    <w:rsid w:val="00E469F4"/>
    <w:rsid w:val="00E47975"/>
    <w:rsid w:val="00E47B0F"/>
    <w:rsid w:val="00E47B2C"/>
    <w:rsid w:val="00E55424"/>
    <w:rsid w:val="00E6505B"/>
    <w:rsid w:val="00E65E79"/>
    <w:rsid w:val="00E66957"/>
    <w:rsid w:val="00E67416"/>
    <w:rsid w:val="00E70B07"/>
    <w:rsid w:val="00E718B6"/>
    <w:rsid w:val="00E729E1"/>
    <w:rsid w:val="00E73581"/>
    <w:rsid w:val="00E7775D"/>
    <w:rsid w:val="00E77FA8"/>
    <w:rsid w:val="00E83BDF"/>
    <w:rsid w:val="00E83CC6"/>
    <w:rsid w:val="00E83E83"/>
    <w:rsid w:val="00E96103"/>
    <w:rsid w:val="00EA37E9"/>
    <w:rsid w:val="00EA3864"/>
    <w:rsid w:val="00EA5286"/>
    <w:rsid w:val="00EB56E1"/>
    <w:rsid w:val="00EC00C9"/>
    <w:rsid w:val="00EC2A16"/>
    <w:rsid w:val="00EC4540"/>
    <w:rsid w:val="00EC4C59"/>
    <w:rsid w:val="00EC6DAA"/>
    <w:rsid w:val="00ED2A2D"/>
    <w:rsid w:val="00ED491D"/>
    <w:rsid w:val="00ED4CA7"/>
    <w:rsid w:val="00EE07D3"/>
    <w:rsid w:val="00EE64AD"/>
    <w:rsid w:val="00EE7A22"/>
    <w:rsid w:val="00EE7E9E"/>
    <w:rsid w:val="00EF078A"/>
    <w:rsid w:val="00F018A2"/>
    <w:rsid w:val="00F02E89"/>
    <w:rsid w:val="00F03D4B"/>
    <w:rsid w:val="00F058C9"/>
    <w:rsid w:val="00F067A2"/>
    <w:rsid w:val="00F06B24"/>
    <w:rsid w:val="00F20D0B"/>
    <w:rsid w:val="00F24837"/>
    <w:rsid w:val="00F24D40"/>
    <w:rsid w:val="00F2575F"/>
    <w:rsid w:val="00F25959"/>
    <w:rsid w:val="00F338FF"/>
    <w:rsid w:val="00F33CC0"/>
    <w:rsid w:val="00F33DE9"/>
    <w:rsid w:val="00F3619A"/>
    <w:rsid w:val="00F362BE"/>
    <w:rsid w:val="00F41B92"/>
    <w:rsid w:val="00F42C00"/>
    <w:rsid w:val="00F45AAA"/>
    <w:rsid w:val="00F46CB6"/>
    <w:rsid w:val="00F477FD"/>
    <w:rsid w:val="00F55E73"/>
    <w:rsid w:val="00F57559"/>
    <w:rsid w:val="00F626B6"/>
    <w:rsid w:val="00F6414E"/>
    <w:rsid w:val="00F65CB2"/>
    <w:rsid w:val="00F65F10"/>
    <w:rsid w:val="00F66FBC"/>
    <w:rsid w:val="00F70125"/>
    <w:rsid w:val="00F74314"/>
    <w:rsid w:val="00F74E54"/>
    <w:rsid w:val="00F758DD"/>
    <w:rsid w:val="00F77093"/>
    <w:rsid w:val="00F80E5D"/>
    <w:rsid w:val="00F82CD7"/>
    <w:rsid w:val="00F851CE"/>
    <w:rsid w:val="00F86702"/>
    <w:rsid w:val="00F86F23"/>
    <w:rsid w:val="00F92617"/>
    <w:rsid w:val="00F93AB7"/>
    <w:rsid w:val="00F9600A"/>
    <w:rsid w:val="00F97A78"/>
    <w:rsid w:val="00FA2396"/>
    <w:rsid w:val="00FB2E79"/>
    <w:rsid w:val="00FB2FCB"/>
    <w:rsid w:val="00FB52BC"/>
    <w:rsid w:val="00FC1074"/>
    <w:rsid w:val="00FC1884"/>
    <w:rsid w:val="00FC218B"/>
    <w:rsid w:val="00FC2826"/>
    <w:rsid w:val="00FC66C4"/>
    <w:rsid w:val="00FC6761"/>
    <w:rsid w:val="00FD2100"/>
    <w:rsid w:val="00FD34C3"/>
    <w:rsid w:val="00FD3CDF"/>
    <w:rsid w:val="00FD446D"/>
    <w:rsid w:val="00FD6D6B"/>
    <w:rsid w:val="00FD7F0E"/>
    <w:rsid w:val="00FE001C"/>
    <w:rsid w:val="00FE19A5"/>
    <w:rsid w:val="00FE26B1"/>
    <w:rsid w:val="00FE2CBC"/>
    <w:rsid w:val="00FE5C45"/>
    <w:rsid w:val="00FE70B2"/>
    <w:rsid w:val="00FE7C06"/>
    <w:rsid w:val="00FF0ACF"/>
    <w:rsid w:val="00FF1EE3"/>
    <w:rsid w:val="00FF3DCF"/>
    <w:rsid w:val="00FF4560"/>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1065B6"/>
  </w:style>
  <w:style w:type="paragraph" w:styleId="Heading2">
    <w:name w:val="heading 2"/>
    <w:basedOn w:val="Normal"/>
    <w:next w:val="Normal"/>
    <w:link w:val="Heading2Char"/>
    <w:qFormat/>
    <w:rsid w:val="0030129E"/>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0129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2E1BFF"/>
    <w:pPr>
      <w:numPr>
        <w:numId w:val="0"/>
      </w:numPr>
      <w:ind w:left="720" w:hanging="720"/>
    </w:pPr>
    <w:rPr>
      <w:rFonts w:ascii="Arial Bold" w:hAnsi="Arial Bold"/>
      <w:sz w:val="28"/>
    </w:rPr>
  </w:style>
  <w:style w:type="character" w:customStyle="1" w:styleId="TitleChar">
    <w:name w:val="Title Char"/>
    <w:basedOn w:val="DefaultParagraphFont"/>
    <w:link w:val="Title"/>
    <w:rsid w:val="002E1BFF"/>
    <w:rPr>
      <w:rFonts w:ascii="Arial Bold" w:hAnsi="Arial Bold" w:cs="Arial"/>
      <w:b/>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30129E"/>
    <w:pPr>
      <w:keepNext/>
      <w:numPr>
        <w:numId w:val="2"/>
      </w:numPr>
      <w:outlineLvl w:val="0"/>
    </w:pPr>
    <w:rPr>
      <w:rFonts w:ascii="Arial" w:hAnsi="Arial" w:cs="Arial"/>
      <w:b/>
      <w:snapToGrid w:val="0"/>
      <w:sz w:val="22"/>
      <w:szCs w:val="22"/>
      <w:lang w:eastAsia="en-US"/>
    </w:rPr>
  </w:style>
  <w:style w:type="paragraph" w:styleId="DocumentMap">
    <w:name w:val="Document Map"/>
    <w:basedOn w:val="Normal"/>
    <w:link w:val="DocumentMapChar"/>
    <w:semiHidden/>
    <w:unhideWhenUsed/>
    <w:rsid w:val="002D7475"/>
    <w:rPr>
      <w:rFonts w:ascii="Lucida Grande" w:hAnsi="Lucida Grande" w:cs="Lucida Grande"/>
      <w:sz w:val="24"/>
    </w:rPr>
  </w:style>
  <w:style w:type="character" w:customStyle="1" w:styleId="DocumentMapChar">
    <w:name w:val="Document Map Char"/>
    <w:basedOn w:val="DefaultParagraphFont"/>
    <w:link w:val="DocumentMap"/>
    <w:semiHidden/>
    <w:rsid w:val="002D7475"/>
    <w:rPr>
      <w:rFonts w:ascii="Lucida Grande" w:hAnsi="Lucida Grande" w:cs="Lucida Grande"/>
      <w:snapToGrid w:val="0"/>
      <w:sz w:val="24"/>
      <w:szCs w:val="24"/>
      <w:lang w:eastAsia="en-US"/>
    </w:rPr>
  </w:style>
  <w:style w:type="character" w:customStyle="1" w:styleId="MainBodyTextChar">
    <w:name w:val="Main Body Text Char"/>
    <w:link w:val="MainBodyText"/>
    <w:rsid w:val="007638ED"/>
    <w:rPr>
      <w:rFonts w:ascii="Arial" w:hAnsi="Arial"/>
      <w:sz w:val="22"/>
      <w:szCs w:val="22"/>
    </w:rPr>
  </w:style>
  <w:style w:type="paragraph" w:customStyle="1" w:styleId="MainBodyText">
    <w:name w:val="Main Body Text"/>
    <w:basedOn w:val="Normal"/>
    <w:link w:val="MainBodyTextChar"/>
    <w:rsid w:val="007638ED"/>
    <w:pPr>
      <w:widowControl/>
      <w:spacing w:after="240" w:line="276" w:lineRule="auto"/>
    </w:pPr>
    <w:rPr>
      <w:rFonts w:cs="Times New Roman"/>
      <w:snapToGrid/>
      <w:szCs w:val="22"/>
      <w:lang w:eastAsia="en-AU"/>
    </w:rPr>
  </w:style>
  <w:style w:type="character" w:customStyle="1" w:styleId="Heading3Char">
    <w:name w:val="Heading 3 Char"/>
    <w:basedOn w:val="DefaultParagraphFont"/>
    <w:link w:val="Heading3"/>
    <w:rsid w:val="00562975"/>
    <w:rPr>
      <w:rFonts w:ascii="Arial" w:hAnsi="Arial" w:cs="Arial"/>
      <w:snapToGrid w:val="0"/>
      <w:sz w:val="22"/>
      <w:u w:val="single"/>
      <w:lang w:eastAsia="en-US"/>
    </w:rPr>
  </w:style>
  <w:style w:type="paragraph" w:styleId="FootnoteText">
    <w:name w:val="footnote text"/>
    <w:basedOn w:val="Normal"/>
    <w:link w:val="FootnoteTextChar"/>
    <w:semiHidden/>
    <w:unhideWhenUsed/>
    <w:rsid w:val="00562975"/>
    <w:rPr>
      <w:sz w:val="20"/>
    </w:rPr>
  </w:style>
  <w:style w:type="character" w:customStyle="1" w:styleId="FootnoteTextChar">
    <w:name w:val="Footnote Text Char"/>
    <w:basedOn w:val="DefaultParagraphFont"/>
    <w:link w:val="FootnoteText"/>
    <w:semiHidden/>
    <w:rsid w:val="00562975"/>
    <w:rPr>
      <w:rFonts w:ascii="Arial" w:hAnsi="Arial" w:cs="Arial"/>
      <w:snapToGrid w:val="0"/>
      <w:lang w:eastAsia="en-US"/>
    </w:rPr>
  </w:style>
  <w:style w:type="character" w:styleId="FootnoteReference">
    <w:name w:val="footnote reference"/>
    <w:basedOn w:val="DefaultParagraphFont"/>
    <w:semiHidden/>
    <w:unhideWhenUsed/>
    <w:rsid w:val="00562975"/>
    <w:rPr>
      <w:vertAlign w:val="superscript"/>
    </w:rPr>
  </w:style>
  <w:style w:type="paragraph" w:customStyle="1" w:styleId="PBACHeading10">
    <w:name w:val="PBAC Heading 1"/>
    <w:qFormat/>
    <w:rsid w:val="007D0469"/>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96103"/>
    <w:pPr>
      <w:widowControl/>
      <w:spacing w:after="160" w:line="240" w:lineRule="exact"/>
      <w:jc w:val="left"/>
    </w:pPr>
    <w:rPr>
      <w:rFonts w:ascii="Verdana" w:eastAsia="MS Mincho" w:hAnsi="Verdana" w:cs="Verdana"/>
      <w:snapToGrid/>
      <w:sz w:val="20"/>
      <w:szCs w:val="20"/>
      <w:lang w:val="en-US"/>
    </w:rPr>
  </w:style>
  <w:style w:type="paragraph" w:styleId="Subtitle">
    <w:name w:val="Subtitle"/>
    <w:basedOn w:val="Normal"/>
    <w:link w:val="SubtitleChar"/>
    <w:qFormat/>
    <w:rsid w:val="00043A11"/>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043A11"/>
    <w:rPr>
      <w:b/>
      <w:szCs w:val="20"/>
    </w:rPr>
  </w:style>
  <w:style w:type="character" w:customStyle="1" w:styleId="ListParagraphChar">
    <w:name w:val="List Paragraph Char"/>
    <w:aliases w:val="BulletPoints Char"/>
    <w:link w:val="ListParagraph"/>
    <w:uiPriority w:val="34"/>
    <w:rsid w:val="002F530D"/>
    <w:rPr>
      <w:rFonts w:ascii="Arial" w:hAnsi="Arial" w:cs="Arial"/>
      <w:snapToGrid w:val="0"/>
      <w:sz w:val="22"/>
      <w:lang w:eastAsia="en-US"/>
    </w:rPr>
  </w:style>
  <w:style w:type="character" w:styleId="IntenseReference">
    <w:name w:val="Intense Reference"/>
    <w:basedOn w:val="DefaultParagraphFont"/>
    <w:uiPriority w:val="32"/>
    <w:qFormat/>
    <w:rsid w:val="00F45AAA"/>
    <w:rPr>
      <w:b/>
      <w:bCs/>
      <w:i/>
      <w:smallCaps/>
      <w:color w:val="C0504D" w:themeColor="accent2"/>
      <w:spacing w:val="5"/>
      <w:u w:val="none"/>
    </w:rPr>
  </w:style>
  <w:style w:type="paragraph" w:styleId="ListBullet">
    <w:name w:val="List Bullet"/>
    <w:basedOn w:val="Normal"/>
    <w:autoRedefine/>
    <w:rsid w:val="00F45AAA"/>
    <w:pPr>
      <w:widowControl/>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1065B6"/>
  </w:style>
  <w:style w:type="paragraph" w:styleId="Heading2">
    <w:name w:val="heading 2"/>
    <w:basedOn w:val="Normal"/>
    <w:next w:val="Normal"/>
    <w:link w:val="Heading2Char"/>
    <w:qFormat/>
    <w:rsid w:val="0030129E"/>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0129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2E1BFF"/>
    <w:pPr>
      <w:numPr>
        <w:numId w:val="0"/>
      </w:numPr>
      <w:ind w:left="720" w:hanging="720"/>
    </w:pPr>
    <w:rPr>
      <w:rFonts w:ascii="Arial Bold" w:hAnsi="Arial Bold"/>
      <w:sz w:val="28"/>
    </w:rPr>
  </w:style>
  <w:style w:type="character" w:customStyle="1" w:styleId="TitleChar">
    <w:name w:val="Title Char"/>
    <w:basedOn w:val="DefaultParagraphFont"/>
    <w:link w:val="Title"/>
    <w:rsid w:val="002E1BFF"/>
    <w:rPr>
      <w:rFonts w:ascii="Arial Bold" w:hAnsi="Arial Bold" w:cs="Arial"/>
      <w:b/>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30129E"/>
    <w:pPr>
      <w:keepNext/>
      <w:numPr>
        <w:numId w:val="2"/>
      </w:numPr>
      <w:outlineLvl w:val="0"/>
    </w:pPr>
    <w:rPr>
      <w:rFonts w:ascii="Arial" w:hAnsi="Arial" w:cs="Arial"/>
      <w:b/>
      <w:snapToGrid w:val="0"/>
      <w:sz w:val="22"/>
      <w:szCs w:val="22"/>
      <w:lang w:eastAsia="en-US"/>
    </w:rPr>
  </w:style>
  <w:style w:type="paragraph" w:styleId="DocumentMap">
    <w:name w:val="Document Map"/>
    <w:basedOn w:val="Normal"/>
    <w:link w:val="DocumentMapChar"/>
    <w:semiHidden/>
    <w:unhideWhenUsed/>
    <w:rsid w:val="002D7475"/>
    <w:rPr>
      <w:rFonts w:ascii="Lucida Grande" w:hAnsi="Lucida Grande" w:cs="Lucida Grande"/>
      <w:sz w:val="24"/>
    </w:rPr>
  </w:style>
  <w:style w:type="character" w:customStyle="1" w:styleId="DocumentMapChar">
    <w:name w:val="Document Map Char"/>
    <w:basedOn w:val="DefaultParagraphFont"/>
    <w:link w:val="DocumentMap"/>
    <w:semiHidden/>
    <w:rsid w:val="002D7475"/>
    <w:rPr>
      <w:rFonts w:ascii="Lucida Grande" w:hAnsi="Lucida Grande" w:cs="Lucida Grande"/>
      <w:snapToGrid w:val="0"/>
      <w:sz w:val="24"/>
      <w:szCs w:val="24"/>
      <w:lang w:eastAsia="en-US"/>
    </w:rPr>
  </w:style>
  <w:style w:type="character" w:customStyle="1" w:styleId="MainBodyTextChar">
    <w:name w:val="Main Body Text Char"/>
    <w:link w:val="MainBodyText"/>
    <w:rsid w:val="007638ED"/>
    <w:rPr>
      <w:rFonts w:ascii="Arial" w:hAnsi="Arial"/>
      <w:sz w:val="22"/>
      <w:szCs w:val="22"/>
    </w:rPr>
  </w:style>
  <w:style w:type="paragraph" w:customStyle="1" w:styleId="MainBodyText">
    <w:name w:val="Main Body Text"/>
    <w:basedOn w:val="Normal"/>
    <w:link w:val="MainBodyTextChar"/>
    <w:rsid w:val="007638ED"/>
    <w:pPr>
      <w:widowControl/>
      <w:spacing w:after="240" w:line="276" w:lineRule="auto"/>
    </w:pPr>
    <w:rPr>
      <w:rFonts w:cs="Times New Roman"/>
      <w:snapToGrid/>
      <w:szCs w:val="22"/>
      <w:lang w:eastAsia="en-AU"/>
    </w:rPr>
  </w:style>
  <w:style w:type="character" w:customStyle="1" w:styleId="Heading3Char">
    <w:name w:val="Heading 3 Char"/>
    <w:basedOn w:val="DefaultParagraphFont"/>
    <w:link w:val="Heading3"/>
    <w:rsid w:val="00562975"/>
    <w:rPr>
      <w:rFonts w:ascii="Arial" w:hAnsi="Arial" w:cs="Arial"/>
      <w:snapToGrid w:val="0"/>
      <w:sz w:val="22"/>
      <w:u w:val="single"/>
      <w:lang w:eastAsia="en-US"/>
    </w:rPr>
  </w:style>
  <w:style w:type="paragraph" w:styleId="FootnoteText">
    <w:name w:val="footnote text"/>
    <w:basedOn w:val="Normal"/>
    <w:link w:val="FootnoteTextChar"/>
    <w:semiHidden/>
    <w:unhideWhenUsed/>
    <w:rsid w:val="00562975"/>
    <w:rPr>
      <w:sz w:val="20"/>
    </w:rPr>
  </w:style>
  <w:style w:type="character" w:customStyle="1" w:styleId="FootnoteTextChar">
    <w:name w:val="Footnote Text Char"/>
    <w:basedOn w:val="DefaultParagraphFont"/>
    <w:link w:val="FootnoteText"/>
    <w:semiHidden/>
    <w:rsid w:val="00562975"/>
    <w:rPr>
      <w:rFonts w:ascii="Arial" w:hAnsi="Arial" w:cs="Arial"/>
      <w:snapToGrid w:val="0"/>
      <w:lang w:eastAsia="en-US"/>
    </w:rPr>
  </w:style>
  <w:style w:type="character" w:styleId="FootnoteReference">
    <w:name w:val="footnote reference"/>
    <w:basedOn w:val="DefaultParagraphFont"/>
    <w:semiHidden/>
    <w:unhideWhenUsed/>
    <w:rsid w:val="00562975"/>
    <w:rPr>
      <w:vertAlign w:val="superscript"/>
    </w:rPr>
  </w:style>
  <w:style w:type="paragraph" w:customStyle="1" w:styleId="PBACHeading10">
    <w:name w:val="PBAC Heading 1"/>
    <w:qFormat/>
    <w:rsid w:val="007D0469"/>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96103"/>
    <w:pPr>
      <w:widowControl/>
      <w:spacing w:after="160" w:line="240" w:lineRule="exact"/>
      <w:jc w:val="left"/>
    </w:pPr>
    <w:rPr>
      <w:rFonts w:ascii="Verdana" w:eastAsia="MS Mincho" w:hAnsi="Verdana" w:cs="Verdana"/>
      <w:snapToGrid/>
      <w:sz w:val="20"/>
      <w:szCs w:val="20"/>
      <w:lang w:val="en-US"/>
    </w:rPr>
  </w:style>
  <w:style w:type="paragraph" w:styleId="Subtitle">
    <w:name w:val="Subtitle"/>
    <w:basedOn w:val="Normal"/>
    <w:link w:val="SubtitleChar"/>
    <w:qFormat/>
    <w:rsid w:val="00043A11"/>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043A11"/>
    <w:rPr>
      <w:b/>
      <w:szCs w:val="20"/>
    </w:rPr>
  </w:style>
  <w:style w:type="character" w:customStyle="1" w:styleId="ListParagraphChar">
    <w:name w:val="List Paragraph Char"/>
    <w:aliases w:val="BulletPoints Char"/>
    <w:link w:val="ListParagraph"/>
    <w:uiPriority w:val="34"/>
    <w:rsid w:val="002F530D"/>
    <w:rPr>
      <w:rFonts w:ascii="Arial" w:hAnsi="Arial" w:cs="Arial"/>
      <w:snapToGrid w:val="0"/>
      <w:sz w:val="22"/>
      <w:lang w:eastAsia="en-US"/>
    </w:rPr>
  </w:style>
  <w:style w:type="character" w:styleId="IntenseReference">
    <w:name w:val="Intense Reference"/>
    <w:basedOn w:val="DefaultParagraphFont"/>
    <w:uiPriority w:val="32"/>
    <w:qFormat/>
    <w:rsid w:val="00F45AAA"/>
    <w:rPr>
      <w:b/>
      <w:bCs/>
      <w:i/>
      <w:smallCaps/>
      <w:color w:val="C0504D" w:themeColor="accent2"/>
      <w:spacing w:val="5"/>
      <w:u w:val="none"/>
    </w:rPr>
  </w:style>
  <w:style w:type="paragraph" w:styleId="ListBullet">
    <w:name w:val="List Bullet"/>
    <w:basedOn w:val="Normal"/>
    <w:autoRedefine/>
    <w:rsid w:val="00F45AAA"/>
    <w:pPr>
      <w:widowControl/>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855">
      <w:bodyDiv w:val="1"/>
      <w:marLeft w:val="0"/>
      <w:marRight w:val="0"/>
      <w:marTop w:val="0"/>
      <w:marBottom w:val="0"/>
      <w:divBdr>
        <w:top w:val="none" w:sz="0" w:space="0" w:color="auto"/>
        <w:left w:val="none" w:sz="0" w:space="0" w:color="auto"/>
        <w:bottom w:val="none" w:sz="0" w:space="0" w:color="auto"/>
        <w:right w:val="none" w:sz="0" w:space="0" w:color="auto"/>
      </w:divBdr>
    </w:div>
    <w:div w:id="53045530">
      <w:bodyDiv w:val="1"/>
      <w:marLeft w:val="0"/>
      <w:marRight w:val="0"/>
      <w:marTop w:val="0"/>
      <w:marBottom w:val="0"/>
      <w:divBdr>
        <w:top w:val="none" w:sz="0" w:space="0" w:color="auto"/>
        <w:left w:val="none" w:sz="0" w:space="0" w:color="auto"/>
        <w:bottom w:val="none" w:sz="0" w:space="0" w:color="auto"/>
        <w:right w:val="none" w:sz="0" w:space="0" w:color="auto"/>
      </w:divBdr>
    </w:div>
    <w:div w:id="90052272">
      <w:bodyDiv w:val="1"/>
      <w:marLeft w:val="0"/>
      <w:marRight w:val="0"/>
      <w:marTop w:val="0"/>
      <w:marBottom w:val="0"/>
      <w:divBdr>
        <w:top w:val="none" w:sz="0" w:space="0" w:color="auto"/>
        <w:left w:val="none" w:sz="0" w:space="0" w:color="auto"/>
        <w:bottom w:val="none" w:sz="0" w:space="0" w:color="auto"/>
        <w:right w:val="none" w:sz="0" w:space="0" w:color="auto"/>
      </w:divBdr>
    </w:div>
    <w:div w:id="96218114">
      <w:bodyDiv w:val="1"/>
      <w:marLeft w:val="0"/>
      <w:marRight w:val="0"/>
      <w:marTop w:val="0"/>
      <w:marBottom w:val="0"/>
      <w:divBdr>
        <w:top w:val="none" w:sz="0" w:space="0" w:color="auto"/>
        <w:left w:val="none" w:sz="0" w:space="0" w:color="auto"/>
        <w:bottom w:val="none" w:sz="0" w:space="0" w:color="auto"/>
        <w:right w:val="none" w:sz="0" w:space="0" w:color="auto"/>
      </w:divBdr>
    </w:div>
    <w:div w:id="315495651">
      <w:bodyDiv w:val="1"/>
      <w:marLeft w:val="0"/>
      <w:marRight w:val="0"/>
      <w:marTop w:val="0"/>
      <w:marBottom w:val="0"/>
      <w:divBdr>
        <w:top w:val="none" w:sz="0" w:space="0" w:color="auto"/>
        <w:left w:val="none" w:sz="0" w:space="0" w:color="auto"/>
        <w:bottom w:val="none" w:sz="0" w:space="0" w:color="auto"/>
        <w:right w:val="none" w:sz="0" w:space="0" w:color="auto"/>
      </w:divBdr>
    </w:div>
    <w:div w:id="370038492">
      <w:bodyDiv w:val="1"/>
      <w:marLeft w:val="0"/>
      <w:marRight w:val="0"/>
      <w:marTop w:val="0"/>
      <w:marBottom w:val="0"/>
      <w:divBdr>
        <w:top w:val="none" w:sz="0" w:space="0" w:color="auto"/>
        <w:left w:val="none" w:sz="0" w:space="0" w:color="auto"/>
        <w:bottom w:val="none" w:sz="0" w:space="0" w:color="auto"/>
        <w:right w:val="none" w:sz="0" w:space="0" w:color="auto"/>
      </w:divBdr>
    </w:div>
    <w:div w:id="397439619">
      <w:bodyDiv w:val="1"/>
      <w:marLeft w:val="0"/>
      <w:marRight w:val="0"/>
      <w:marTop w:val="0"/>
      <w:marBottom w:val="0"/>
      <w:divBdr>
        <w:top w:val="none" w:sz="0" w:space="0" w:color="auto"/>
        <w:left w:val="none" w:sz="0" w:space="0" w:color="auto"/>
        <w:bottom w:val="none" w:sz="0" w:space="0" w:color="auto"/>
        <w:right w:val="none" w:sz="0" w:space="0" w:color="auto"/>
      </w:divBdr>
    </w:div>
    <w:div w:id="442304092">
      <w:bodyDiv w:val="1"/>
      <w:marLeft w:val="0"/>
      <w:marRight w:val="0"/>
      <w:marTop w:val="0"/>
      <w:marBottom w:val="0"/>
      <w:divBdr>
        <w:top w:val="none" w:sz="0" w:space="0" w:color="auto"/>
        <w:left w:val="none" w:sz="0" w:space="0" w:color="auto"/>
        <w:bottom w:val="none" w:sz="0" w:space="0" w:color="auto"/>
        <w:right w:val="none" w:sz="0" w:space="0" w:color="auto"/>
      </w:divBdr>
    </w:div>
    <w:div w:id="539324273">
      <w:bodyDiv w:val="1"/>
      <w:marLeft w:val="0"/>
      <w:marRight w:val="0"/>
      <w:marTop w:val="0"/>
      <w:marBottom w:val="0"/>
      <w:divBdr>
        <w:top w:val="none" w:sz="0" w:space="0" w:color="auto"/>
        <w:left w:val="none" w:sz="0" w:space="0" w:color="auto"/>
        <w:bottom w:val="none" w:sz="0" w:space="0" w:color="auto"/>
        <w:right w:val="none" w:sz="0" w:space="0" w:color="auto"/>
      </w:divBdr>
    </w:div>
    <w:div w:id="540441643">
      <w:bodyDiv w:val="1"/>
      <w:marLeft w:val="0"/>
      <w:marRight w:val="0"/>
      <w:marTop w:val="0"/>
      <w:marBottom w:val="0"/>
      <w:divBdr>
        <w:top w:val="none" w:sz="0" w:space="0" w:color="auto"/>
        <w:left w:val="none" w:sz="0" w:space="0" w:color="auto"/>
        <w:bottom w:val="none" w:sz="0" w:space="0" w:color="auto"/>
        <w:right w:val="none" w:sz="0" w:space="0" w:color="auto"/>
      </w:divBdr>
    </w:div>
    <w:div w:id="674654463">
      <w:bodyDiv w:val="1"/>
      <w:marLeft w:val="0"/>
      <w:marRight w:val="0"/>
      <w:marTop w:val="0"/>
      <w:marBottom w:val="0"/>
      <w:divBdr>
        <w:top w:val="none" w:sz="0" w:space="0" w:color="auto"/>
        <w:left w:val="none" w:sz="0" w:space="0" w:color="auto"/>
        <w:bottom w:val="none" w:sz="0" w:space="0" w:color="auto"/>
        <w:right w:val="none" w:sz="0" w:space="0" w:color="auto"/>
      </w:divBdr>
    </w:div>
    <w:div w:id="764693066">
      <w:bodyDiv w:val="1"/>
      <w:marLeft w:val="0"/>
      <w:marRight w:val="0"/>
      <w:marTop w:val="0"/>
      <w:marBottom w:val="0"/>
      <w:divBdr>
        <w:top w:val="none" w:sz="0" w:space="0" w:color="auto"/>
        <w:left w:val="none" w:sz="0" w:space="0" w:color="auto"/>
        <w:bottom w:val="none" w:sz="0" w:space="0" w:color="auto"/>
        <w:right w:val="none" w:sz="0" w:space="0" w:color="auto"/>
      </w:divBdr>
    </w:div>
    <w:div w:id="884373599">
      <w:bodyDiv w:val="1"/>
      <w:marLeft w:val="0"/>
      <w:marRight w:val="0"/>
      <w:marTop w:val="0"/>
      <w:marBottom w:val="0"/>
      <w:divBdr>
        <w:top w:val="none" w:sz="0" w:space="0" w:color="auto"/>
        <w:left w:val="none" w:sz="0" w:space="0" w:color="auto"/>
        <w:bottom w:val="none" w:sz="0" w:space="0" w:color="auto"/>
        <w:right w:val="none" w:sz="0" w:space="0" w:color="auto"/>
      </w:divBdr>
    </w:div>
    <w:div w:id="1004699626">
      <w:bodyDiv w:val="1"/>
      <w:marLeft w:val="0"/>
      <w:marRight w:val="0"/>
      <w:marTop w:val="0"/>
      <w:marBottom w:val="0"/>
      <w:divBdr>
        <w:top w:val="none" w:sz="0" w:space="0" w:color="auto"/>
        <w:left w:val="none" w:sz="0" w:space="0" w:color="auto"/>
        <w:bottom w:val="none" w:sz="0" w:space="0" w:color="auto"/>
        <w:right w:val="none" w:sz="0" w:space="0" w:color="auto"/>
      </w:divBdr>
    </w:div>
    <w:div w:id="1043865802">
      <w:bodyDiv w:val="1"/>
      <w:marLeft w:val="0"/>
      <w:marRight w:val="0"/>
      <w:marTop w:val="0"/>
      <w:marBottom w:val="0"/>
      <w:divBdr>
        <w:top w:val="none" w:sz="0" w:space="0" w:color="auto"/>
        <w:left w:val="none" w:sz="0" w:space="0" w:color="auto"/>
        <w:bottom w:val="none" w:sz="0" w:space="0" w:color="auto"/>
        <w:right w:val="none" w:sz="0" w:space="0" w:color="auto"/>
      </w:divBdr>
    </w:div>
    <w:div w:id="1219709132">
      <w:bodyDiv w:val="1"/>
      <w:marLeft w:val="0"/>
      <w:marRight w:val="0"/>
      <w:marTop w:val="0"/>
      <w:marBottom w:val="0"/>
      <w:divBdr>
        <w:top w:val="none" w:sz="0" w:space="0" w:color="auto"/>
        <w:left w:val="none" w:sz="0" w:space="0" w:color="auto"/>
        <w:bottom w:val="none" w:sz="0" w:space="0" w:color="auto"/>
        <w:right w:val="none" w:sz="0" w:space="0" w:color="auto"/>
      </w:divBdr>
    </w:div>
    <w:div w:id="1293899169">
      <w:bodyDiv w:val="1"/>
      <w:marLeft w:val="0"/>
      <w:marRight w:val="0"/>
      <w:marTop w:val="0"/>
      <w:marBottom w:val="0"/>
      <w:divBdr>
        <w:top w:val="none" w:sz="0" w:space="0" w:color="auto"/>
        <w:left w:val="none" w:sz="0" w:space="0" w:color="auto"/>
        <w:bottom w:val="none" w:sz="0" w:space="0" w:color="auto"/>
        <w:right w:val="none" w:sz="0" w:space="0" w:color="auto"/>
      </w:divBdr>
    </w:div>
    <w:div w:id="1394739068">
      <w:bodyDiv w:val="1"/>
      <w:marLeft w:val="0"/>
      <w:marRight w:val="0"/>
      <w:marTop w:val="0"/>
      <w:marBottom w:val="0"/>
      <w:divBdr>
        <w:top w:val="none" w:sz="0" w:space="0" w:color="auto"/>
        <w:left w:val="none" w:sz="0" w:space="0" w:color="auto"/>
        <w:bottom w:val="none" w:sz="0" w:space="0" w:color="auto"/>
        <w:right w:val="none" w:sz="0" w:space="0" w:color="auto"/>
      </w:divBdr>
    </w:div>
    <w:div w:id="1408305927">
      <w:bodyDiv w:val="1"/>
      <w:marLeft w:val="0"/>
      <w:marRight w:val="0"/>
      <w:marTop w:val="0"/>
      <w:marBottom w:val="0"/>
      <w:divBdr>
        <w:top w:val="none" w:sz="0" w:space="0" w:color="auto"/>
        <w:left w:val="none" w:sz="0" w:space="0" w:color="auto"/>
        <w:bottom w:val="none" w:sz="0" w:space="0" w:color="auto"/>
        <w:right w:val="none" w:sz="0" w:space="0" w:color="auto"/>
      </w:divBdr>
    </w:div>
    <w:div w:id="1503624028">
      <w:bodyDiv w:val="1"/>
      <w:marLeft w:val="0"/>
      <w:marRight w:val="0"/>
      <w:marTop w:val="0"/>
      <w:marBottom w:val="0"/>
      <w:divBdr>
        <w:top w:val="none" w:sz="0" w:space="0" w:color="auto"/>
        <w:left w:val="none" w:sz="0" w:space="0" w:color="auto"/>
        <w:bottom w:val="none" w:sz="0" w:space="0" w:color="auto"/>
        <w:right w:val="none" w:sz="0" w:space="0" w:color="auto"/>
      </w:divBdr>
    </w:div>
    <w:div w:id="1800951085">
      <w:bodyDiv w:val="1"/>
      <w:marLeft w:val="0"/>
      <w:marRight w:val="0"/>
      <w:marTop w:val="0"/>
      <w:marBottom w:val="0"/>
      <w:divBdr>
        <w:top w:val="none" w:sz="0" w:space="0" w:color="auto"/>
        <w:left w:val="none" w:sz="0" w:space="0" w:color="auto"/>
        <w:bottom w:val="none" w:sz="0" w:space="0" w:color="auto"/>
        <w:right w:val="none" w:sz="0" w:space="0" w:color="auto"/>
      </w:divBdr>
      <w:divsChild>
        <w:div w:id="2048334506">
          <w:marLeft w:val="0"/>
          <w:marRight w:val="0"/>
          <w:marTop w:val="0"/>
          <w:marBottom w:val="0"/>
          <w:divBdr>
            <w:top w:val="none" w:sz="0" w:space="0" w:color="auto"/>
            <w:left w:val="none" w:sz="0" w:space="0" w:color="auto"/>
            <w:bottom w:val="none" w:sz="0" w:space="0" w:color="auto"/>
            <w:right w:val="none" w:sz="0" w:space="0" w:color="auto"/>
          </w:divBdr>
          <w:divsChild>
            <w:div w:id="2119981279">
              <w:marLeft w:val="0"/>
              <w:marRight w:val="0"/>
              <w:marTop w:val="0"/>
              <w:marBottom w:val="0"/>
              <w:divBdr>
                <w:top w:val="none" w:sz="0" w:space="0" w:color="auto"/>
                <w:left w:val="none" w:sz="0" w:space="0" w:color="auto"/>
                <w:bottom w:val="none" w:sz="0" w:space="0" w:color="auto"/>
                <w:right w:val="none" w:sz="0" w:space="0" w:color="auto"/>
              </w:divBdr>
              <w:divsChild>
                <w:div w:id="21100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7575">
      <w:bodyDiv w:val="1"/>
      <w:marLeft w:val="0"/>
      <w:marRight w:val="0"/>
      <w:marTop w:val="0"/>
      <w:marBottom w:val="0"/>
      <w:divBdr>
        <w:top w:val="none" w:sz="0" w:space="0" w:color="auto"/>
        <w:left w:val="none" w:sz="0" w:space="0" w:color="auto"/>
        <w:bottom w:val="none" w:sz="0" w:space="0" w:color="auto"/>
        <w:right w:val="none" w:sz="0" w:space="0" w:color="auto"/>
      </w:divBdr>
    </w:div>
    <w:div w:id="1941836722">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DB77-C1C9-4BC1-A63E-B460F1A1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6779</Words>
  <Characters>38250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2016-06-14T06:16:00Z</dcterms:created>
  <dcterms:modified xsi:type="dcterms:W3CDTF">2016-06-22T02:08:00Z</dcterms:modified>
</cp:coreProperties>
</file>