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02" w:rsidRPr="00FA0151" w:rsidRDefault="00F46DBB" w:rsidP="00FA0151">
      <w:pPr>
        <w:pStyle w:val="Title"/>
        <w:widowControl/>
        <w:spacing w:before="0" w:after="0"/>
        <w:ind w:left="720" w:hanging="720"/>
        <w:jc w:val="left"/>
        <w:rPr>
          <w:rFonts w:ascii="Arial" w:hAnsi="Arial" w:cs="Times New Roman"/>
          <w:bCs w:val="0"/>
          <w:snapToGrid/>
          <w:kern w:val="0"/>
          <w:sz w:val="28"/>
          <w:szCs w:val="28"/>
          <w:lang w:eastAsia="en-AU"/>
        </w:rPr>
      </w:pPr>
      <w:bookmarkStart w:id="0" w:name="_Toc441052810"/>
      <w:r w:rsidRPr="00FA0151">
        <w:rPr>
          <w:rFonts w:ascii="Arial" w:hAnsi="Arial" w:cs="Times New Roman"/>
          <w:bCs w:val="0"/>
          <w:snapToGrid/>
          <w:kern w:val="0"/>
          <w:sz w:val="28"/>
          <w:szCs w:val="28"/>
          <w:lang w:eastAsia="en-AU"/>
        </w:rPr>
        <w:t>7.</w:t>
      </w:r>
      <w:r w:rsidR="00CD167C" w:rsidRPr="00FA0151">
        <w:rPr>
          <w:rFonts w:ascii="Arial" w:hAnsi="Arial" w:cs="Times New Roman"/>
          <w:bCs w:val="0"/>
          <w:snapToGrid/>
          <w:kern w:val="0"/>
          <w:sz w:val="28"/>
          <w:szCs w:val="28"/>
          <w:lang w:eastAsia="en-AU"/>
        </w:rPr>
        <w:t>0</w:t>
      </w:r>
      <w:r w:rsidRPr="00FA0151">
        <w:rPr>
          <w:rFonts w:ascii="Arial" w:hAnsi="Arial" w:cs="Times New Roman"/>
          <w:bCs w:val="0"/>
          <w:snapToGrid/>
          <w:kern w:val="0"/>
          <w:sz w:val="28"/>
          <w:szCs w:val="28"/>
          <w:lang w:eastAsia="en-AU"/>
        </w:rPr>
        <w:t>4</w:t>
      </w:r>
      <w:r w:rsidR="00800602" w:rsidRPr="00FA0151">
        <w:rPr>
          <w:rFonts w:ascii="Arial" w:hAnsi="Arial" w:cs="Times New Roman"/>
          <w:bCs w:val="0"/>
          <w:snapToGrid/>
          <w:kern w:val="0"/>
          <w:sz w:val="28"/>
          <w:szCs w:val="28"/>
          <w:lang w:eastAsia="en-AU"/>
        </w:rPr>
        <w:tab/>
        <w:t>EVOLOCUMAB, 140mg pre-filled injection pen, Repatha®, Amgen.</w:t>
      </w:r>
      <w:bookmarkEnd w:id="0"/>
    </w:p>
    <w:p w:rsidR="00800602" w:rsidRDefault="00800602" w:rsidP="00800602"/>
    <w:p w:rsidR="000A41B8" w:rsidRPr="003C3A62" w:rsidRDefault="000A41B8" w:rsidP="00800602"/>
    <w:p w:rsidR="00800602" w:rsidRPr="00FA0151" w:rsidRDefault="00800602" w:rsidP="00FA0151">
      <w:pPr>
        <w:pStyle w:val="Heading1"/>
      </w:pPr>
      <w:bookmarkStart w:id="1" w:name="_Toc441052812"/>
      <w:r w:rsidRPr="00FA0151">
        <w:t>Purpose of Application</w:t>
      </w:r>
      <w:bookmarkEnd w:id="1"/>
    </w:p>
    <w:p w:rsidR="00800602" w:rsidRPr="003C3A62" w:rsidRDefault="00800602" w:rsidP="00800602">
      <w:pPr>
        <w:rPr>
          <w:szCs w:val="22"/>
        </w:rPr>
      </w:pPr>
    </w:p>
    <w:p w:rsidR="00800602" w:rsidRPr="003C3A62" w:rsidRDefault="00800602" w:rsidP="00800602">
      <w:pPr>
        <w:pStyle w:val="ListParagraph"/>
        <w:numPr>
          <w:ilvl w:val="1"/>
          <w:numId w:val="4"/>
        </w:numPr>
      </w:pPr>
      <w:r w:rsidRPr="003C3A62">
        <w:t>The submission requested a Section 85 Authority Required PBS listing for evolocumab for the treatment of familial hypercholesterolaemia.</w:t>
      </w:r>
    </w:p>
    <w:p w:rsidR="00800602" w:rsidRDefault="00800602" w:rsidP="00800602"/>
    <w:p w:rsidR="000A41B8" w:rsidRPr="003C3A62" w:rsidRDefault="000A41B8" w:rsidP="00800602"/>
    <w:p w:rsidR="00800602" w:rsidRPr="003C3A62" w:rsidRDefault="00800602" w:rsidP="00FA0151">
      <w:pPr>
        <w:pStyle w:val="Heading1"/>
      </w:pPr>
      <w:bookmarkStart w:id="2" w:name="_Toc441052813"/>
      <w:r w:rsidRPr="003C3A62">
        <w:t>Requested listing</w:t>
      </w:r>
      <w:bookmarkEnd w:id="2"/>
    </w:p>
    <w:p w:rsidR="00800602" w:rsidRPr="003C3A62" w:rsidRDefault="00800602" w:rsidP="00800602"/>
    <w:p w:rsidR="00677589" w:rsidRPr="003C3A62" w:rsidRDefault="00677589" w:rsidP="00800602">
      <w:pPr>
        <w:pStyle w:val="ListParagraph"/>
        <w:widowControl/>
        <w:numPr>
          <w:ilvl w:val="1"/>
          <w:numId w:val="4"/>
        </w:numPr>
        <w:rPr>
          <w:szCs w:val="22"/>
        </w:rPr>
      </w:pPr>
      <w:r w:rsidRPr="003C3A62">
        <w:rPr>
          <w:szCs w:val="22"/>
        </w:rPr>
        <w:t>The requested PBS listing is presented below.</w:t>
      </w:r>
    </w:p>
    <w:p w:rsidR="003D17FD" w:rsidRPr="003C3A62" w:rsidRDefault="003D17FD" w:rsidP="003D17FD">
      <w:pPr>
        <w:pStyle w:val="ListParagraph"/>
        <w:widowControl/>
        <w:rPr>
          <w:szCs w:val="22"/>
        </w:rPr>
      </w:pPr>
    </w:p>
    <w:p w:rsidR="00800602" w:rsidRDefault="008E5262" w:rsidP="00677589">
      <w:pPr>
        <w:pStyle w:val="ListParagraph"/>
        <w:widowControl/>
        <w:rPr>
          <w:rFonts w:eastAsia="SimSun"/>
          <w:iCs/>
          <w:color w:val="000000"/>
          <w:szCs w:val="22"/>
        </w:rPr>
      </w:pPr>
      <w:r w:rsidRPr="003C3A62">
        <w:rPr>
          <w:rFonts w:eastAsia="SimSun"/>
          <w:iCs/>
          <w:color w:val="000000"/>
          <w:szCs w:val="22"/>
        </w:rPr>
        <w:t>Suggestions and additions proposed by the Secretariat to the requested listing are added in italics and suggested deletions are crossed out with strikethrough.</w:t>
      </w:r>
    </w:p>
    <w:p w:rsidR="0091763D" w:rsidRPr="003C3A62" w:rsidRDefault="0091763D" w:rsidP="00677589">
      <w:pPr>
        <w:pStyle w:val="ListParagraph"/>
        <w:widowControl/>
        <w:rPr>
          <w:szCs w:val="22"/>
        </w:rPr>
      </w:pPr>
    </w:p>
    <w:tbl>
      <w:tblPr>
        <w:tblW w:w="4604" w:type="pct"/>
        <w:tblInd w:w="737" w:type="dxa"/>
        <w:tblCellMar>
          <w:left w:w="28" w:type="dxa"/>
          <w:right w:w="28" w:type="dxa"/>
        </w:tblCellMar>
        <w:tblLook w:val="0000" w:firstRow="0" w:lastRow="0" w:firstColumn="0" w:lastColumn="0" w:noHBand="0" w:noVBand="0"/>
      </w:tblPr>
      <w:tblGrid>
        <w:gridCol w:w="3058"/>
        <w:gridCol w:w="647"/>
        <w:gridCol w:w="790"/>
        <w:gridCol w:w="1469"/>
        <w:gridCol w:w="960"/>
        <w:gridCol w:w="1439"/>
      </w:tblGrid>
      <w:tr w:rsidR="008E5262" w:rsidRPr="003C3A62" w:rsidTr="008E5262">
        <w:trPr>
          <w:cantSplit/>
          <w:trHeight w:val="463"/>
        </w:trPr>
        <w:tc>
          <w:tcPr>
            <w:tcW w:w="1865" w:type="pct"/>
            <w:tcBorders>
              <w:bottom w:val="single" w:sz="4" w:space="0" w:color="auto"/>
            </w:tcBorders>
            <w:vAlign w:val="center"/>
          </w:tcPr>
          <w:p w:rsidR="008E5262" w:rsidRPr="003C3A62" w:rsidRDefault="008E5262" w:rsidP="008E5262">
            <w:pPr>
              <w:keepNext/>
              <w:jc w:val="left"/>
              <w:rPr>
                <w:sz w:val="20"/>
              </w:rPr>
            </w:pPr>
            <w:r w:rsidRPr="003C3A62">
              <w:rPr>
                <w:sz w:val="20"/>
              </w:rPr>
              <w:t>Name, Restriction,</w:t>
            </w:r>
          </w:p>
          <w:p w:rsidR="008E5262" w:rsidRPr="003C3A62" w:rsidRDefault="008E5262" w:rsidP="008E5262">
            <w:pPr>
              <w:keepNext/>
              <w:jc w:val="left"/>
              <w:rPr>
                <w:sz w:val="20"/>
              </w:rPr>
            </w:pPr>
            <w:r w:rsidRPr="003C3A62">
              <w:rPr>
                <w:sz w:val="20"/>
              </w:rPr>
              <w:t>Manner of administration and form</w:t>
            </w:r>
          </w:p>
        </w:tc>
        <w:tc>
          <w:tcPr>
            <w:tcW w:w="423" w:type="pct"/>
            <w:tcBorders>
              <w:bottom w:val="single" w:sz="4" w:space="0" w:color="auto"/>
            </w:tcBorders>
            <w:vAlign w:val="center"/>
          </w:tcPr>
          <w:p w:rsidR="008E5262" w:rsidRPr="003C3A62" w:rsidRDefault="008E5262" w:rsidP="008E5262">
            <w:pPr>
              <w:keepNext/>
              <w:jc w:val="center"/>
              <w:rPr>
                <w:sz w:val="20"/>
              </w:rPr>
            </w:pPr>
            <w:r w:rsidRPr="003C3A62">
              <w:rPr>
                <w:sz w:val="20"/>
              </w:rPr>
              <w:t>Max.</w:t>
            </w:r>
          </w:p>
          <w:p w:rsidR="008E5262" w:rsidRPr="003C3A62" w:rsidRDefault="008E5262" w:rsidP="008E5262">
            <w:pPr>
              <w:keepNext/>
              <w:jc w:val="center"/>
              <w:rPr>
                <w:sz w:val="20"/>
              </w:rPr>
            </w:pPr>
            <w:r w:rsidRPr="003C3A62">
              <w:rPr>
                <w:sz w:val="20"/>
              </w:rPr>
              <w:t>Qty</w:t>
            </w:r>
          </w:p>
        </w:tc>
        <w:tc>
          <w:tcPr>
            <w:tcW w:w="509" w:type="pct"/>
            <w:tcBorders>
              <w:bottom w:val="single" w:sz="4" w:space="0" w:color="auto"/>
            </w:tcBorders>
            <w:vAlign w:val="center"/>
          </w:tcPr>
          <w:p w:rsidR="008E5262" w:rsidRPr="003C3A62" w:rsidRDefault="008E5262" w:rsidP="008E5262">
            <w:pPr>
              <w:keepNext/>
              <w:jc w:val="center"/>
              <w:rPr>
                <w:sz w:val="20"/>
              </w:rPr>
            </w:pPr>
            <w:r w:rsidRPr="003C3A62">
              <w:rPr>
                <w:sz w:val="20"/>
              </w:rPr>
              <w:t>№.of</w:t>
            </w:r>
          </w:p>
          <w:p w:rsidR="008E5262" w:rsidRPr="003C3A62" w:rsidRDefault="008E5262" w:rsidP="008E5262">
            <w:pPr>
              <w:keepNext/>
              <w:jc w:val="center"/>
              <w:rPr>
                <w:sz w:val="20"/>
              </w:rPr>
            </w:pPr>
            <w:r w:rsidRPr="003C3A62">
              <w:rPr>
                <w:sz w:val="20"/>
              </w:rPr>
              <w:t>Rpts</w:t>
            </w:r>
          </w:p>
        </w:tc>
        <w:tc>
          <w:tcPr>
            <w:tcW w:w="914" w:type="pct"/>
            <w:tcBorders>
              <w:bottom w:val="single" w:sz="4" w:space="0" w:color="auto"/>
            </w:tcBorders>
            <w:vAlign w:val="center"/>
          </w:tcPr>
          <w:p w:rsidR="008E5262" w:rsidRPr="003C3A62" w:rsidRDefault="008E5262" w:rsidP="008E5262">
            <w:pPr>
              <w:keepNext/>
              <w:jc w:val="center"/>
              <w:rPr>
                <w:sz w:val="20"/>
              </w:rPr>
            </w:pPr>
            <w:r w:rsidRPr="003C3A62">
              <w:rPr>
                <w:sz w:val="20"/>
              </w:rPr>
              <w:t xml:space="preserve">Published (Effective) </w:t>
            </w:r>
          </w:p>
          <w:p w:rsidR="008E5262" w:rsidRPr="003C3A62" w:rsidRDefault="008E5262" w:rsidP="008E5262">
            <w:pPr>
              <w:keepNext/>
              <w:jc w:val="center"/>
              <w:rPr>
                <w:sz w:val="20"/>
              </w:rPr>
            </w:pPr>
            <w:r w:rsidRPr="003C3A62">
              <w:rPr>
                <w:sz w:val="20"/>
              </w:rPr>
              <w:t>DPMQ</w:t>
            </w:r>
          </w:p>
        </w:tc>
        <w:tc>
          <w:tcPr>
            <w:tcW w:w="1289" w:type="pct"/>
            <w:gridSpan w:val="2"/>
            <w:tcBorders>
              <w:bottom w:val="single" w:sz="4" w:space="0" w:color="auto"/>
            </w:tcBorders>
            <w:vAlign w:val="center"/>
          </w:tcPr>
          <w:p w:rsidR="008E5262" w:rsidRPr="003C3A62" w:rsidRDefault="008E5262" w:rsidP="008E5262">
            <w:pPr>
              <w:keepNext/>
              <w:jc w:val="center"/>
              <w:rPr>
                <w:sz w:val="20"/>
              </w:rPr>
            </w:pPr>
            <w:r w:rsidRPr="003C3A62">
              <w:rPr>
                <w:sz w:val="20"/>
              </w:rPr>
              <w:t>Proprietary Name and Manufacturer</w:t>
            </w:r>
          </w:p>
        </w:tc>
      </w:tr>
      <w:tr w:rsidR="008E5262" w:rsidRPr="003C3A62" w:rsidTr="008E5262">
        <w:trPr>
          <w:cantSplit/>
          <w:trHeight w:val="567"/>
        </w:trPr>
        <w:tc>
          <w:tcPr>
            <w:tcW w:w="1865" w:type="pct"/>
            <w:vAlign w:val="center"/>
          </w:tcPr>
          <w:p w:rsidR="008E5262" w:rsidRPr="003C3A62" w:rsidRDefault="008E5262" w:rsidP="008E5262">
            <w:pPr>
              <w:keepNext/>
              <w:jc w:val="left"/>
              <w:rPr>
                <w:sz w:val="20"/>
              </w:rPr>
            </w:pPr>
            <w:r w:rsidRPr="003C3A62">
              <w:rPr>
                <w:smallCaps/>
                <w:sz w:val="20"/>
              </w:rPr>
              <w:t>Evolocumab</w:t>
            </w:r>
          </w:p>
          <w:p w:rsidR="008E5262" w:rsidRPr="003C3A62" w:rsidRDefault="008E5262" w:rsidP="008E5262">
            <w:pPr>
              <w:keepNext/>
              <w:jc w:val="left"/>
              <w:rPr>
                <w:sz w:val="20"/>
              </w:rPr>
            </w:pPr>
            <w:r w:rsidRPr="003C3A62">
              <w:rPr>
                <w:sz w:val="20"/>
              </w:rPr>
              <w:t xml:space="preserve">140mg/mL injection, 1 x 1mL </w:t>
            </w:r>
            <w:r w:rsidRPr="003C3A62">
              <w:rPr>
                <w:sz w:val="20"/>
              </w:rPr>
              <w:br/>
              <w:t>pre-filled injection pen</w:t>
            </w:r>
          </w:p>
        </w:tc>
        <w:tc>
          <w:tcPr>
            <w:tcW w:w="423" w:type="pct"/>
            <w:vAlign w:val="center"/>
          </w:tcPr>
          <w:p w:rsidR="008E5262" w:rsidRPr="003C3A62" w:rsidRDefault="008E5262" w:rsidP="008E5262">
            <w:pPr>
              <w:keepNext/>
              <w:jc w:val="center"/>
              <w:rPr>
                <w:sz w:val="20"/>
              </w:rPr>
            </w:pPr>
            <w:r w:rsidRPr="003C3A62">
              <w:rPr>
                <w:sz w:val="20"/>
              </w:rPr>
              <w:t>2</w:t>
            </w:r>
          </w:p>
        </w:tc>
        <w:tc>
          <w:tcPr>
            <w:tcW w:w="509" w:type="pct"/>
            <w:vAlign w:val="center"/>
          </w:tcPr>
          <w:p w:rsidR="008E5262" w:rsidRPr="003C3A62" w:rsidRDefault="008E5262" w:rsidP="008E5262">
            <w:pPr>
              <w:keepNext/>
              <w:jc w:val="center"/>
              <w:rPr>
                <w:sz w:val="20"/>
              </w:rPr>
            </w:pPr>
            <w:r w:rsidRPr="003C3A62">
              <w:rPr>
                <w:sz w:val="20"/>
              </w:rPr>
              <w:t>5</w:t>
            </w:r>
          </w:p>
        </w:tc>
        <w:tc>
          <w:tcPr>
            <w:tcW w:w="914" w:type="pct"/>
            <w:vAlign w:val="center"/>
          </w:tcPr>
          <w:p w:rsidR="008E5262" w:rsidRPr="003C3A62" w:rsidRDefault="008E5262" w:rsidP="008E5262">
            <w:pPr>
              <w:keepNext/>
              <w:jc w:val="center"/>
              <w:rPr>
                <w:sz w:val="20"/>
              </w:rPr>
            </w:pPr>
            <w:r w:rsidRPr="003C3A62">
              <w:rPr>
                <w:sz w:val="20"/>
              </w:rPr>
              <w:t>$</w:t>
            </w:r>
            <w:r w:rsidR="00524E3E">
              <w:rPr>
                <w:noProof/>
                <w:color w:val="000000"/>
                <w:sz w:val="20"/>
                <w:highlight w:val="black"/>
              </w:rPr>
              <w:t>'''''''''''''''''</w:t>
            </w:r>
            <w:r w:rsidRPr="003C3A62">
              <w:rPr>
                <w:sz w:val="20"/>
              </w:rPr>
              <w:t xml:space="preserve"> </w:t>
            </w:r>
          </w:p>
          <w:p w:rsidR="008E5262" w:rsidRPr="003C3A62" w:rsidRDefault="008E5262" w:rsidP="008E5262">
            <w:pPr>
              <w:keepNext/>
              <w:jc w:val="center"/>
              <w:rPr>
                <w:sz w:val="20"/>
              </w:rPr>
            </w:pPr>
            <w:r w:rsidRPr="003C3A62">
              <w:rPr>
                <w:sz w:val="20"/>
              </w:rPr>
              <w:t>($</w:t>
            </w:r>
            <w:r w:rsidR="00524E3E">
              <w:rPr>
                <w:noProof/>
                <w:color w:val="000000"/>
                <w:sz w:val="20"/>
                <w:highlight w:val="black"/>
              </w:rPr>
              <w:t>''''''''''''''''</w:t>
            </w:r>
            <w:r w:rsidRPr="003C3A62">
              <w:rPr>
                <w:sz w:val="20"/>
              </w:rPr>
              <w:t>)</w:t>
            </w:r>
          </w:p>
        </w:tc>
        <w:tc>
          <w:tcPr>
            <w:tcW w:w="393" w:type="pct"/>
            <w:vAlign w:val="center"/>
          </w:tcPr>
          <w:p w:rsidR="008E5262" w:rsidRPr="003C3A62" w:rsidRDefault="008E5262" w:rsidP="008E5262">
            <w:pPr>
              <w:keepNext/>
              <w:jc w:val="center"/>
              <w:rPr>
                <w:sz w:val="20"/>
              </w:rPr>
            </w:pPr>
            <w:r w:rsidRPr="003C3A62">
              <w:rPr>
                <w:sz w:val="20"/>
              </w:rPr>
              <w:t>Repatha®</w:t>
            </w:r>
          </w:p>
        </w:tc>
        <w:tc>
          <w:tcPr>
            <w:tcW w:w="896" w:type="pct"/>
            <w:vAlign w:val="center"/>
          </w:tcPr>
          <w:p w:rsidR="008E5262" w:rsidRPr="003C3A62" w:rsidRDefault="008E5262" w:rsidP="008E5262">
            <w:pPr>
              <w:keepNext/>
              <w:jc w:val="center"/>
              <w:rPr>
                <w:sz w:val="20"/>
              </w:rPr>
            </w:pPr>
            <w:r w:rsidRPr="003C3A62">
              <w:rPr>
                <w:sz w:val="20"/>
              </w:rPr>
              <w:t>Amgen</w:t>
            </w:r>
          </w:p>
        </w:tc>
      </w:tr>
      <w:tr w:rsidR="008E5262" w:rsidRPr="003C3A62" w:rsidTr="008E5262">
        <w:trPr>
          <w:cantSplit/>
          <w:trHeight w:val="354"/>
        </w:trPr>
        <w:tc>
          <w:tcPr>
            <w:tcW w:w="5000" w:type="pct"/>
            <w:gridSpan w:val="6"/>
            <w:vAlign w:val="center"/>
          </w:tcPr>
          <w:p w:rsidR="008E5262" w:rsidRPr="003C3A62" w:rsidRDefault="008E5262" w:rsidP="008E5262">
            <w:pPr>
              <w:jc w:val="left"/>
              <w:rPr>
                <w:sz w:val="20"/>
              </w:rPr>
            </w:pPr>
            <w:r w:rsidRPr="003C3A62">
              <w:rPr>
                <w:b/>
                <w:sz w:val="20"/>
                <w:u w:val="single"/>
              </w:rPr>
              <w:t xml:space="preserve">Authority Required </w:t>
            </w:r>
          </w:p>
        </w:tc>
      </w:tr>
    </w:tbl>
    <w:p w:rsidR="008E5262" w:rsidRPr="003C3A62" w:rsidRDefault="008E5262" w:rsidP="008E5262">
      <w:pPr>
        <w:rPr>
          <w:sz w:val="20"/>
        </w:rPr>
      </w:pPr>
      <w:r w:rsidRPr="003C3A62">
        <w:tab/>
      </w:r>
      <w:r w:rsidRPr="003C3A62">
        <w:rPr>
          <w:sz w:val="20"/>
        </w:rPr>
        <w:t>Heterozygous familial hypercholesterolaemia and homozygous familial hypercholesterolaemia</w:t>
      </w:r>
    </w:p>
    <w:p w:rsidR="00C673A8" w:rsidRPr="003C3A62" w:rsidRDefault="00C673A8" w:rsidP="008E5262">
      <w:pPr>
        <w:rPr>
          <w:sz w:val="20"/>
        </w:rPr>
      </w:pPr>
    </w:p>
    <w:p w:rsidR="00C673A8" w:rsidRPr="003C3A62" w:rsidRDefault="00C673A8" w:rsidP="00C673A8">
      <w:pPr>
        <w:rPr>
          <w:lang w:eastAsia="en-AU"/>
        </w:rPr>
      </w:pPr>
    </w:p>
    <w:tbl>
      <w:tblPr>
        <w:tblW w:w="4558" w:type="pct"/>
        <w:tblInd w:w="817" w:type="dxa"/>
        <w:tblLayout w:type="fixed"/>
        <w:tblLook w:val="0000" w:firstRow="0" w:lastRow="0" w:firstColumn="0" w:lastColumn="0" w:noHBand="0" w:noVBand="0"/>
      </w:tblPr>
      <w:tblGrid>
        <w:gridCol w:w="1843"/>
        <w:gridCol w:w="6582"/>
      </w:tblGrid>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819CC">
            <w:pPr>
              <w:jc w:val="left"/>
              <w:rPr>
                <w:rFonts w:ascii="Arial Narrow" w:hAnsi="Arial Narrow"/>
                <w:b/>
                <w:szCs w:val="22"/>
              </w:rPr>
            </w:pPr>
            <w:r w:rsidRPr="006819CC">
              <w:rPr>
                <w:rFonts w:ascii="Arial Narrow" w:hAnsi="Arial Narrow"/>
                <w:b/>
                <w:szCs w:val="22"/>
              </w:rPr>
              <w:t>Category / Program</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GENERAL – General Schedule (Code GE)</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Prescriber type:</w:t>
            </w:r>
          </w:p>
          <w:p w:rsidR="00C673A8" w:rsidRPr="006819CC" w:rsidRDefault="00C673A8" w:rsidP="00677589">
            <w:pPr>
              <w:rPr>
                <w:rFonts w:ascii="Arial Narrow" w:hAnsi="Arial Narrow"/>
                <w:b/>
                <w:szCs w:val="22"/>
              </w:rPr>
            </w:pP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1"/>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Dental  </w:t>
            </w:r>
            <w:r w:rsidRPr="006819CC">
              <w:rPr>
                <w:rFonts w:ascii="Arial Narrow" w:hAnsi="Arial Narrow"/>
                <w:szCs w:val="22"/>
              </w:rPr>
              <w:fldChar w:fldCharType="begin">
                <w:ffData>
                  <w:name w:val=""/>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Medical Practitioners  </w:t>
            </w:r>
            <w:r w:rsidRPr="006819CC">
              <w:rPr>
                <w:rFonts w:ascii="Arial Narrow" w:hAnsi="Arial Narrow"/>
                <w:szCs w:val="22"/>
              </w:rPr>
              <w:fldChar w:fldCharType="begin">
                <w:ffData>
                  <w:name w:val="Check3"/>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Nurse practitioners  </w:t>
            </w:r>
            <w:r w:rsidRPr="006819CC">
              <w:rPr>
                <w:rFonts w:ascii="Arial Narrow" w:hAnsi="Arial Narrow"/>
                <w:szCs w:val="22"/>
              </w:rPr>
              <w:fldChar w:fldCharType="begin">
                <w:ffData>
                  <w:name w:val=""/>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Optometrists</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5"/>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Midwives</w:t>
            </w:r>
          </w:p>
        </w:tc>
      </w:tr>
      <w:tr w:rsidR="00C673A8" w:rsidRPr="006819CC" w:rsidTr="006819CC">
        <w:trPr>
          <w:cantSplit/>
          <w:trHeight w:val="156"/>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Condition:</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Hypercholesterolaemia</w:t>
            </w:r>
          </w:p>
        </w:tc>
      </w:tr>
      <w:tr w:rsidR="00C673A8" w:rsidRPr="006819CC" w:rsidTr="006819CC">
        <w:trPr>
          <w:cantSplit/>
          <w:trHeight w:val="46"/>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PBS Indication:</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Hypercholesterolaemia</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Restriction Level / Method:</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1"/>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Restricted benefit</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Authority Required </w:t>
            </w:r>
            <w:r w:rsidR="0091763D">
              <w:rPr>
                <w:rFonts w:ascii="Arial Narrow" w:hAnsi="Arial Narrow"/>
                <w:szCs w:val="22"/>
              </w:rPr>
              <w:t>–</w:t>
            </w:r>
            <w:r w:rsidRPr="006819CC">
              <w:rPr>
                <w:rFonts w:ascii="Arial Narrow" w:hAnsi="Arial Narrow"/>
                <w:szCs w:val="22"/>
              </w:rPr>
              <w:t xml:space="preserve"> In Writing</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3"/>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Authority Required </w:t>
            </w:r>
            <w:r w:rsidR="0091763D">
              <w:rPr>
                <w:rFonts w:ascii="Arial Narrow" w:hAnsi="Arial Narrow"/>
                <w:szCs w:val="22"/>
              </w:rPr>
              <w:t>–</w:t>
            </w:r>
            <w:r w:rsidRPr="006819CC">
              <w:rPr>
                <w:rFonts w:ascii="Arial Narrow" w:hAnsi="Arial Narrow"/>
                <w:szCs w:val="22"/>
              </w:rPr>
              <w:t xml:space="preserve"> Telephone</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Authority Required – Emergency</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5"/>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Authority Required </w:t>
            </w:r>
            <w:r w:rsidR="0091763D">
              <w:rPr>
                <w:rFonts w:ascii="Arial Narrow" w:hAnsi="Arial Narrow"/>
                <w:szCs w:val="22"/>
              </w:rPr>
              <w:t>–</w:t>
            </w:r>
            <w:r w:rsidRPr="006819CC">
              <w:rPr>
                <w:rFonts w:ascii="Arial Narrow" w:hAnsi="Arial Narrow"/>
                <w:szCs w:val="22"/>
              </w:rPr>
              <w:t xml:space="preserve"> Electronic</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5"/>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Streamlined</w:t>
            </w:r>
          </w:p>
        </w:tc>
      </w:tr>
      <w:tr w:rsidR="00C673A8" w:rsidRPr="006819CC" w:rsidTr="006819CC">
        <w:trPr>
          <w:cantSplit/>
          <w:trHeight w:val="99"/>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Treatment phase</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Initial treatment</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b/>
                <w:szCs w:val="22"/>
              </w:rPr>
              <w:lastRenderedPageBreak/>
              <w:t>Clinical criteria:</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The treatment must be in conjunction with dietary therapy and exercise.</w:t>
            </w:r>
          </w:p>
          <w:p w:rsidR="00C673A8" w:rsidRPr="006819CC" w:rsidRDefault="00C673A8" w:rsidP="00677589">
            <w:pPr>
              <w:spacing w:line="120" w:lineRule="auto"/>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AND</w:t>
            </w:r>
          </w:p>
          <w:p w:rsidR="00C673A8" w:rsidRPr="006819CC" w:rsidRDefault="00C673A8" w:rsidP="00677589">
            <w:pPr>
              <w:spacing w:line="120" w:lineRule="auto"/>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Patient must have familial hypercholesterolaemia as determined by a Dutch Lipid Clinic Network Score of greater than or equal to 6 or genetic testing.</w:t>
            </w:r>
          </w:p>
          <w:p w:rsidR="00C673A8" w:rsidRPr="006819CC" w:rsidRDefault="00C673A8" w:rsidP="00677589">
            <w:pPr>
              <w:spacing w:line="120" w:lineRule="auto"/>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AND</w:t>
            </w:r>
          </w:p>
          <w:p w:rsidR="00C673A8" w:rsidRPr="006819CC" w:rsidRDefault="00C673A8" w:rsidP="00677589">
            <w:pPr>
              <w:spacing w:line="120" w:lineRule="auto"/>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Patient must have coronary heart disease which has become symptomatic; OR</w:t>
            </w:r>
          </w:p>
          <w:p w:rsidR="00C673A8" w:rsidRPr="006819CC" w:rsidRDefault="00C673A8" w:rsidP="00677589">
            <w:pPr>
              <w:rPr>
                <w:rFonts w:ascii="Arial Narrow" w:hAnsi="Arial Narrow"/>
                <w:szCs w:val="22"/>
              </w:rPr>
            </w:pPr>
            <w:r w:rsidRPr="006819CC">
              <w:rPr>
                <w:rFonts w:ascii="Arial Narrow" w:hAnsi="Arial Narrow"/>
                <w:szCs w:val="22"/>
              </w:rPr>
              <w:t>Patient must have cerebrovascular disease which has become symptomatic; OR</w:t>
            </w:r>
          </w:p>
          <w:p w:rsidR="00C673A8" w:rsidRPr="006819CC" w:rsidRDefault="00C673A8" w:rsidP="00677589">
            <w:pPr>
              <w:rPr>
                <w:rFonts w:ascii="Arial Narrow" w:hAnsi="Arial Narrow"/>
                <w:szCs w:val="22"/>
              </w:rPr>
            </w:pPr>
            <w:r w:rsidRPr="006819CC">
              <w:rPr>
                <w:rFonts w:ascii="Arial Narrow" w:hAnsi="Arial Narrow"/>
                <w:szCs w:val="22"/>
              </w:rPr>
              <w:t>Patient must have genetically confirmed homozygous familial hypercholesterolaemia.</w:t>
            </w:r>
          </w:p>
          <w:p w:rsidR="00C673A8" w:rsidRPr="006819CC" w:rsidRDefault="00C673A8" w:rsidP="00677589">
            <w:pPr>
              <w:spacing w:line="120" w:lineRule="auto"/>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AND</w:t>
            </w:r>
          </w:p>
          <w:p w:rsidR="00C673A8" w:rsidRPr="006819CC" w:rsidRDefault="00C673A8" w:rsidP="00677589">
            <w:pPr>
              <w:spacing w:line="120" w:lineRule="auto"/>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Patient must have an LDL cholesterol in excess of 3.3 mmol/L after at least 3 months of treatment at a maximum tolerated dose of a statin, in conjunction with dietary therapy and exercise; OR must have developed a clinically important product-related adverse event during treatment with a statin necessitating a reduction in the statin dose; OR must have a contraindication to treatment with a statin.</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spacing w:after="240"/>
              <w:rPr>
                <w:rFonts w:ascii="Arial Narrow" w:hAnsi="Arial Narrow"/>
                <w:szCs w:val="22"/>
              </w:rPr>
            </w:pPr>
            <w:r w:rsidRPr="006819CC">
              <w:rPr>
                <w:rFonts w:ascii="Arial Narrow" w:hAnsi="Arial Narrow"/>
                <w:b/>
                <w:szCs w:val="22"/>
              </w:rPr>
              <w:t>Prescriber Instructions/ Treatment criteria</w:t>
            </w:r>
            <w:r w:rsidRPr="006819CC">
              <w:rPr>
                <w:rFonts w:ascii="Arial Narrow" w:hAnsi="Arial Narrow"/>
                <w:szCs w:val="22"/>
              </w:rPr>
              <w:t>:</w:t>
            </w:r>
          </w:p>
          <w:p w:rsidR="00C673A8" w:rsidRPr="006819CC" w:rsidRDefault="00C673A8" w:rsidP="00677589">
            <w:pPr>
              <w:rPr>
                <w:rFonts w:ascii="Arial Narrow" w:hAnsi="Arial Narrow"/>
                <w:szCs w:val="22"/>
              </w:rPr>
            </w:pP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spacing w:after="240"/>
              <w:rPr>
                <w:rFonts w:ascii="Arial Narrow" w:hAnsi="Arial Narrow"/>
                <w:szCs w:val="22"/>
              </w:rPr>
            </w:pPr>
            <w:r w:rsidRPr="006819CC">
              <w:rPr>
                <w:rFonts w:ascii="Arial Narrow" w:hAnsi="Arial Narrow"/>
                <w:szCs w:val="22"/>
              </w:rPr>
              <w:t>Must be treated by or in consultation with a consultant physician.  The date of the consultation must be no more than 3 months prior to the application for a PBS authority. The full name of the medical practitioner consulted and the date of consultation are to be provided at the time of application.</w:t>
            </w:r>
          </w:p>
          <w:p w:rsidR="00C673A8" w:rsidRPr="006819CC" w:rsidRDefault="00C673A8" w:rsidP="00677589">
            <w:pPr>
              <w:rPr>
                <w:rFonts w:ascii="Arial Narrow" w:hAnsi="Arial Narrow"/>
                <w:szCs w:val="22"/>
              </w:rPr>
            </w:pPr>
            <w:r w:rsidRPr="006819CC">
              <w:rPr>
                <w:rFonts w:ascii="Arial Narrow" w:hAnsi="Arial Narrow"/>
                <w:szCs w:val="22"/>
              </w:rPr>
              <w:t>The qualifying LDL cholesterol level must be provided at the time of application and must be no more than 2 months old. With the exception of patients contraindicated to a statin, the dose and duration of statin treatment must be provided at the time of application.</w:t>
            </w:r>
          </w:p>
          <w:p w:rsidR="00C673A8" w:rsidRPr="006819CC" w:rsidRDefault="00C673A8" w:rsidP="00677589">
            <w:pPr>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A clinically important product-related adverse event is defined as follows:</w:t>
            </w:r>
          </w:p>
          <w:p w:rsidR="00C673A8" w:rsidRPr="006819CC" w:rsidRDefault="00C673A8" w:rsidP="00677589">
            <w:pPr>
              <w:widowControl/>
              <w:numPr>
                <w:ilvl w:val="0"/>
                <w:numId w:val="20"/>
              </w:numPr>
              <w:jc w:val="left"/>
              <w:rPr>
                <w:rFonts w:ascii="Arial Narrow" w:hAnsi="Arial Narrow"/>
                <w:szCs w:val="22"/>
              </w:rPr>
            </w:pPr>
            <w:r w:rsidRPr="006819CC">
              <w:rPr>
                <w:rFonts w:ascii="Arial Narrow" w:hAnsi="Arial Narrow"/>
                <w:szCs w:val="22"/>
              </w:rPr>
              <w:t>Severe myalgia (muscle symptoms without creatine kinase elevation) which is proven to be temporally associated with statin treatment; or</w:t>
            </w:r>
          </w:p>
          <w:p w:rsidR="00C673A8" w:rsidRPr="006819CC" w:rsidRDefault="00C673A8" w:rsidP="00677589">
            <w:pPr>
              <w:widowControl/>
              <w:numPr>
                <w:ilvl w:val="0"/>
                <w:numId w:val="20"/>
              </w:numPr>
              <w:jc w:val="left"/>
              <w:rPr>
                <w:rFonts w:ascii="Arial Narrow" w:hAnsi="Arial Narrow"/>
                <w:szCs w:val="22"/>
              </w:rPr>
            </w:pPr>
            <w:r w:rsidRPr="006819CC">
              <w:rPr>
                <w:rFonts w:ascii="Arial Narrow" w:hAnsi="Arial Narrow"/>
                <w:szCs w:val="22"/>
              </w:rPr>
              <w:t>Myositis (clinically important creatine kinase elevation, with or without muscle symptoms) demonstrated by results twice the upper limit of normal on a single reading or a rising pattern on consecutive measurements and which is unexplained by other causes; or</w:t>
            </w:r>
          </w:p>
          <w:p w:rsidR="00C673A8" w:rsidRPr="006819CC" w:rsidRDefault="00C673A8" w:rsidP="00677589">
            <w:pPr>
              <w:widowControl/>
              <w:numPr>
                <w:ilvl w:val="0"/>
                <w:numId w:val="20"/>
              </w:numPr>
              <w:jc w:val="left"/>
              <w:rPr>
                <w:rFonts w:ascii="Arial Narrow" w:hAnsi="Arial Narrow"/>
                <w:szCs w:val="22"/>
              </w:rPr>
            </w:pPr>
            <w:r w:rsidRPr="006819CC">
              <w:rPr>
                <w:rFonts w:ascii="Arial Narrow" w:hAnsi="Arial Narrow"/>
                <w:szCs w:val="22"/>
              </w:rPr>
              <w:t>Unexplained, persistence elevations of serum transaminases (greater than 3 times the upper limit of normal) during treatment with a statin.</w:t>
            </w:r>
          </w:p>
          <w:p w:rsidR="00C673A8" w:rsidRPr="006819CC" w:rsidRDefault="00C673A8" w:rsidP="00677589">
            <w:pPr>
              <w:rPr>
                <w:rFonts w:ascii="Arial Narrow" w:hAnsi="Arial Narrow"/>
                <w:szCs w:val="22"/>
              </w:rPr>
            </w:pPr>
          </w:p>
          <w:p w:rsidR="00C673A8" w:rsidRPr="006819CC" w:rsidRDefault="00C673A8" w:rsidP="00677589">
            <w:pPr>
              <w:rPr>
                <w:rFonts w:ascii="Arial Narrow" w:hAnsi="Arial Narrow"/>
                <w:szCs w:val="22"/>
              </w:rPr>
            </w:pPr>
            <w:r w:rsidRPr="006819CC">
              <w:rPr>
                <w:rFonts w:ascii="Arial Narrow" w:hAnsi="Arial Narrow"/>
                <w:szCs w:val="22"/>
              </w:rPr>
              <w:t>The qualifying Dutch Lipid Clinic Network Score or results of genetic testing must be provided at the time of application.</w:t>
            </w:r>
          </w:p>
        </w:tc>
      </w:tr>
    </w:tbl>
    <w:p w:rsidR="00C673A8" w:rsidRPr="003C3A62" w:rsidRDefault="00C673A8" w:rsidP="00C673A8">
      <w:pPr>
        <w:rPr>
          <w:lang w:eastAsia="en-AU"/>
        </w:rPr>
      </w:pPr>
    </w:p>
    <w:p w:rsidR="00C673A8" w:rsidRPr="003C3A62" w:rsidRDefault="00C673A8" w:rsidP="00C673A8">
      <w:pPr>
        <w:rPr>
          <w:lang w:eastAsia="en-AU"/>
        </w:rPr>
      </w:pPr>
      <w:r w:rsidRPr="003C3A62">
        <w:rPr>
          <w:lang w:eastAsia="en-AU"/>
        </w:rPr>
        <w:br w:type="page"/>
      </w:r>
    </w:p>
    <w:tbl>
      <w:tblPr>
        <w:tblW w:w="4558" w:type="pct"/>
        <w:tblInd w:w="817" w:type="dxa"/>
        <w:tblLayout w:type="fixed"/>
        <w:tblLook w:val="0000" w:firstRow="0" w:lastRow="0" w:firstColumn="0" w:lastColumn="0" w:noHBand="0" w:noVBand="0"/>
      </w:tblPr>
      <w:tblGrid>
        <w:gridCol w:w="1843"/>
        <w:gridCol w:w="6582"/>
      </w:tblGrid>
      <w:tr w:rsidR="00C673A8" w:rsidRPr="006819CC" w:rsidTr="006819CC">
        <w:trPr>
          <w:cantSplit/>
          <w:trHeight w:val="75"/>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6819CC" w:rsidP="006819CC">
            <w:pPr>
              <w:jc w:val="left"/>
              <w:rPr>
                <w:rFonts w:ascii="Arial Narrow" w:hAnsi="Arial Narrow"/>
                <w:b/>
                <w:szCs w:val="22"/>
              </w:rPr>
            </w:pPr>
            <w:r>
              <w:rPr>
                <w:rFonts w:ascii="Arial Narrow" w:hAnsi="Arial Narrow"/>
                <w:b/>
                <w:szCs w:val="22"/>
              </w:rPr>
              <w:lastRenderedPageBreak/>
              <w:t xml:space="preserve">Category </w:t>
            </w:r>
            <w:r w:rsidR="00C673A8" w:rsidRPr="006819CC">
              <w:rPr>
                <w:rFonts w:ascii="Arial Narrow" w:hAnsi="Arial Narrow"/>
                <w:b/>
                <w:szCs w:val="22"/>
              </w:rPr>
              <w:t>/ Program</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GENERAL – General Schedule (Code GE)</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spacing w:after="240"/>
              <w:rPr>
                <w:rFonts w:ascii="Arial Narrow" w:hAnsi="Arial Narrow"/>
                <w:b/>
                <w:szCs w:val="22"/>
              </w:rPr>
            </w:pPr>
            <w:r w:rsidRPr="006819CC">
              <w:rPr>
                <w:rFonts w:ascii="Arial Narrow" w:hAnsi="Arial Narrow"/>
                <w:b/>
                <w:szCs w:val="22"/>
              </w:rPr>
              <w:t>Prescriber type:</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1"/>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Dental  </w:t>
            </w:r>
            <w:r w:rsidRPr="006819CC">
              <w:rPr>
                <w:rFonts w:ascii="Arial Narrow" w:hAnsi="Arial Narrow"/>
                <w:szCs w:val="22"/>
              </w:rPr>
              <w:fldChar w:fldCharType="begin">
                <w:ffData>
                  <w:name w:val=""/>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Medical Practitioners  </w:t>
            </w:r>
            <w:r w:rsidRPr="006819CC">
              <w:rPr>
                <w:rFonts w:ascii="Arial Narrow" w:hAnsi="Arial Narrow"/>
                <w:szCs w:val="22"/>
              </w:rPr>
              <w:fldChar w:fldCharType="begin">
                <w:ffData>
                  <w:name w:val="Check3"/>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Nurse practitioners  </w:t>
            </w:r>
            <w:r w:rsidRPr="006819CC">
              <w:rPr>
                <w:rFonts w:ascii="Arial Narrow" w:hAnsi="Arial Narrow"/>
                <w:szCs w:val="22"/>
              </w:rPr>
              <w:fldChar w:fldCharType="begin">
                <w:ffData>
                  <w:name w:val=""/>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Optometrists</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5"/>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Midwives</w:t>
            </w:r>
          </w:p>
        </w:tc>
      </w:tr>
      <w:tr w:rsidR="00C673A8" w:rsidRPr="006819CC" w:rsidTr="006819CC">
        <w:trPr>
          <w:cantSplit/>
          <w:trHeight w:val="48"/>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Condition:</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Hypercholesterolaemia</w:t>
            </w:r>
          </w:p>
        </w:tc>
      </w:tr>
      <w:tr w:rsidR="00C673A8" w:rsidRPr="006819CC" w:rsidTr="006819CC">
        <w:trPr>
          <w:cantSplit/>
          <w:trHeight w:val="174"/>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PBS Indication:</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Hypercholesterolaemia</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Restriction Level / Method:</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1"/>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Restricted benefit</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Authority Required </w:t>
            </w:r>
            <w:r w:rsidR="0091763D">
              <w:rPr>
                <w:rFonts w:ascii="Arial Narrow" w:hAnsi="Arial Narrow"/>
                <w:szCs w:val="22"/>
              </w:rPr>
              <w:t>–</w:t>
            </w:r>
            <w:r w:rsidRPr="006819CC">
              <w:rPr>
                <w:rFonts w:ascii="Arial Narrow" w:hAnsi="Arial Narrow"/>
                <w:szCs w:val="22"/>
              </w:rPr>
              <w:t xml:space="preserve"> In Writing</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3"/>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Authority Required </w:t>
            </w:r>
            <w:r w:rsidR="0091763D">
              <w:rPr>
                <w:rFonts w:ascii="Arial Narrow" w:hAnsi="Arial Narrow"/>
                <w:szCs w:val="22"/>
              </w:rPr>
              <w:t>–</w:t>
            </w:r>
            <w:r w:rsidRPr="006819CC">
              <w:rPr>
                <w:rFonts w:ascii="Arial Narrow" w:hAnsi="Arial Narrow"/>
                <w:szCs w:val="22"/>
              </w:rPr>
              <w:t xml:space="preserve"> Telephone</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Authority Required – Emergency</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5"/>
                  <w:enabled/>
                  <w:calcOnExit w:val="0"/>
                  <w:checkBox>
                    <w:sizeAuto/>
                    <w:default w:val="1"/>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 xml:space="preserve">Authority Required </w:t>
            </w:r>
            <w:r w:rsidR="0091763D">
              <w:rPr>
                <w:rFonts w:ascii="Arial Narrow" w:hAnsi="Arial Narrow"/>
                <w:szCs w:val="22"/>
              </w:rPr>
              <w:t>–</w:t>
            </w:r>
            <w:r w:rsidRPr="006819CC">
              <w:rPr>
                <w:rFonts w:ascii="Arial Narrow" w:hAnsi="Arial Narrow"/>
                <w:szCs w:val="22"/>
              </w:rPr>
              <w:t xml:space="preserve"> Electronic</w:t>
            </w:r>
          </w:p>
          <w:p w:rsidR="00C673A8" w:rsidRPr="006819CC" w:rsidRDefault="00C673A8" w:rsidP="00677589">
            <w:pPr>
              <w:rPr>
                <w:rFonts w:ascii="Arial Narrow" w:hAnsi="Arial Narrow"/>
                <w:szCs w:val="22"/>
              </w:rPr>
            </w:pPr>
            <w:r w:rsidRPr="006819CC">
              <w:rPr>
                <w:rFonts w:ascii="Arial Narrow" w:hAnsi="Arial Narrow"/>
                <w:szCs w:val="22"/>
              </w:rPr>
              <w:fldChar w:fldCharType="begin">
                <w:ffData>
                  <w:name w:val="Check5"/>
                  <w:enabled/>
                  <w:calcOnExit w:val="0"/>
                  <w:checkBox>
                    <w:sizeAuto/>
                    <w:default w:val="0"/>
                  </w:checkBox>
                </w:ffData>
              </w:fldChar>
            </w:r>
            <w:r w:rsidRPr="006819CC">
              <w:rPr>
                <w:rFonts w:ascii="Arial Narrow" w:hAnsi="Arial Narrow"/>
                <w:szCs w:val="22"/>
              </w:rPr>
              <w:instrText xml:space="preserve"> FORMCHECKBOX </w:instrText>
            </w:r>
            <w:r w:rsidR="00B951DE">
              <w:rPr>
                <w:rFonts w:ascii="Arial Narrow" w:hAnsi="Arial Narrow"/>
                <w:szCs w:val="22"/>
              </w:rPr>
            </w:r>
            <w:r w:rsidR="00B951DE">
              <w:rPr>
                <w:rFonts w:ascii="Arial Narrow" w:hAnsi="Arial Narrow"/>
                <w:szCs w:val="22"/>
              </w:rPr>
              <w:fldChar w:fldCharType="separate"/>
            </w:r>
            <w:r w:rsidRPr="006819CC">
              <w:rPr>
                <w:rFonts w:ascii="Arial Narrow" w:hAnsi="Arial Narrow"/>
                <w:szCs w:val="22"/>
              </w:rPr>
              <w:fldChar w:fldCharType="end"/>
            </w:r>
            <w:r w:rsidRPr="006819CC">
              <w:rPr>
                <w:rFonts w:ascii="Arial Narrow" w:hAnsi="Arial Narrow"/>
                <w:szCs w:val="22"/>
              </w:rPr>
              <w:t>Streamlined</w:t>
            </w:r>
          </w:p>
        </w:tc>
      </w:tr>
      <w:tr w:rsidR="00C673A8" w:rsidRPr="006819CC" w:rsidTr="006819CC">
        <w:trPr>
          <w:cantSplit/>
          <w:trHeight w:val="86"/>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Treatment phase</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Continuing treatment</w:t>
            </w:r>
          </w:p>
        </w:tc>
      </w:tr>
      <w:tr w:rsidR="00C673A8" w:rsidRPr="006819CC" w:rsidTr="006819CC">
        <w:trPr>
          <w:cantSplit/>
          <w:trHeight w:val="360"/>
        </w:trPr>
        <w:tc>
          <w:tcPr>
            <w:tcW w:w="1094"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b/>
                <w:szCs w:val="22"/>
              </w:rPr>
            </w:pPr>
            <w:r w:rsidRPr="006819CC">
              <w:rPr>
                <w:rFonts w:ascii="Arial Narrow" w:hAnsi="Arial Narrow"/>
                <w:b/>
                <w:szCs w:val="22"/>
              </w:rPr>
              <w:t>Clinical criteria</w:t>
            </w:r>
          </w:p>
        </w:tc>
        <w:tc>
          <w:tcPr>
            <w:tcW w:w="3906" w:type="pct"/>
            <w:tcBorders>
              <w:top w:val="single" w:sz="4" w:space="0" w:color="auto"/>
              <w:left w:val="single" w:sz="4" w:space="0" w:color="auto"/>
              <w:bottom w:val="single" w:sz="4" w:space="0" w:color="auto"/>
              <w:right w:val="single" w:sz="4" w:space="0" w:color="auto"/>
            </w:tcBorders>
          </w:tcPr>
          <w:p w:rsidR="00C673A8" w:rsidRPr="006819CC" w:rsidRDefault="00C673A8" w:rsidP="00677589">
            <w:pPr>
              <w:rPr>
                <w:rFonts w:ascii="Arial Narrow" w:hAnsi="Arial Narrow"/>
                <w:szCs w:val="22"/>
              </w:rPr>
            </w:pPr>
            <w:r w:rsidRPr="006819CC">
              <w:rPr>
                <w:rFonts w:ascii="Arial Narrow" w:hAnsi="Arial Narrow"/>
                <w:szCs w:val="22"/>
              </w:rPr>
              <w:t>Patient must have received an initial authority prescription for this drug for the treatment of familial hypercholesterolaemia.</w:t>
            </w:r>
          </w:p>
        </w:tc>
      </w:tr>
    </w:tbl>
    <w:p w:rsidR="00C673A8" w:rsidRPr="003C3A62" w:rsidRDefault="00C673A8" w:rsidP="00C673A8"/>
    <w:p w:rsidR="00C673A8" w:rsidRPr="003C3A62" w:rsidRDefault="00C673A8" w:rsidP="008E5262">
      <w:pPr>
        <w:rPr>
          <w:sz w:val="20"/>
        </w:rPr>
      </w:pPr>
    </w:p>
    <w:p w:rsidR="00800602" w:rsidRPr="003C3A62" w:rsidRDefault="00800602" w:rsidP="00800602"/>
    <w:p w:rsidR="00982D37" w:rsidRPr="003C3A62" w:rsidRDefault="00800602">
      <w:pPr>
        <w:pStyle w:val="ListParagraph"/>
        <w:numPr>
          <w:ilvl w:val="1"/>
          <w:numId w:val="4"/>
        </w:numPr>
        <w:rPr>
          <w:szCs w:val="22"/>
        </w:rPr>
      </w:pPr>
      <w:r w:rsidRPr="003C3A62">
        <w:rPr>
          <w:szCs w:val="22"/>
        </w:rPr>
        <w:t>Listing was requested on a cost-effectiveness basis compared to ezetimibe and placebo.</w:t>
      </w:r>
    </w:p>
    <w:p w:rsidR="00982D37" w:rsidRPr="003C3A62" w:rsidRDefault="00982D37" w:rsidP="00A545AD">
      <w:pPr>
        <w:pStyle w:val="ListParagraph"/>
        <w:rPr>
          <w:szCs w:val="22"/>
        </w:rPr>
      </w:pPr>
    </w:p>
    <w:p w:rsidR="00982D37" w:rsidRPr="003C3A62" w:rsidRDefault="00982D37">
      <w:pPr>
        <w:pStyle w:val="ListParagraph"/>
        <w:numPr>
          <w:ilvl w:val="1"/>
          <w:numId w:val="4"/>
        </w:numPr>
        <w:rPr>
          <w:szCs w:val="22"/>
        </w:rPr>
      </w:pPr>
      <w:r w:rsidRPr="003C3A62">
        <w:rPr>
          <w:szCs w:val="22"/>
        </w:rPr>
        <w:t xml:space="preserve">The re-submission stated that the proposed restriction narrowed the eligible population to a small subset of patients with a higher overall cardiovascular risk and therefore greater clinical need compared to </w:t>
      </w:r>
      <w:r w:rsidR="00CD740A" w:rsidRPr="003C3A62">
        <w:rPr>
          <w:szCs w:val="22"/>
        </w:rPr>
        <w:t xml:space="preserve">the </w:t>
      </w:r>
      <w:r w:rsidRPr="003C3A62">
        <w:rPr>
          <w:szCs w:val="22"/>
        </w:rPr>
        <w:t>previous March 2015 restriction (which covered a broader hypercholesterolaemia population).</w:t>
      </w:r>
    </w:p>
    <w:p w:rsidR="00D40C8B" w:rsidRPr="003C3A62" w:rsidRDefault="00D40C8B" w:rsidP="00D40C8B">
      <w:pPr>
        <w:pStyle w:val="ListParagraph"/>
        <w:rPr>
          <w:szCs w:val="22"/>
        </w:rPr>
      </w:pPr>
    </w:p>
    <w:p w:rsidR="00D40C8B" w:rsidRPr="003C3A62" w:rsidRDefault="00D40C8B">
      <w:pPr>
        <w:pStyle w:val="ListParagraph"/>
        <w:numPr>
          <w:ilvl w:val="1"/>
          <w:numId w:val="4"/>
        </w:numPr>
        <w:rPr>
          <w:szCs w:val="22"/>
        </w:rPr>
      </w:pPr>
      <w:r w:rsidRPr="003C3A62">
        <w:rPr>
          <w:szCs w:val="22"/>
        </w:rPr>
        <w:t>The ESC agreed that the proposed restriction adequately identified the ‘high risk’ population, but questioned whether restricting the population to high risk was c</w:t>
      </w:r>
      <w:r w:rsidR="00F12FC5" w:rsidRPr="003C3A62">
        <w:rPr>
          <w:szCs w:val="22"/>
        </w:rPr>
        <w:t>l</w:t>
      </w:r>
      <w:r w:rsidRPr="003C3A62">
        <w:rPr>
          <w:szCs w:val="22"/>
        </w:rPr>
        <w:t>inically appropriate.</w:t>
      </w:r>
    </w:p>
    <w:p w:rsidR="00D40C8B" w:rsidRPr="003C3A62" w:rsidRDefault="00D40C8B" w:rsidP="00D40C8B">
      <w:pPr>
        <w:pStyle w:val="ListParagraph"/>
        <w:rPr>
          <w:szCs w:val="22"/>
        </w:rPr>
      </w:pPr>
    </w:p>
    <w:p w:rsidR="00D40C8B" w:rsidRPr="003C3A62" w:rsidRDefault="00D40C8B">
      <w:pPr>
        <w:pStyle w:val="ListParagraph"/>
        <w:numPr>
          <w:ilvl w:val="1"/>
          <w:numId w:val="4"/>
        </w:numPr>
        <w:rPr>
          <w:szCs w:val="22"/>
        </w:rPr>
      </w:pPr>
      <w:r w:rsidRPr="003C3A62">
        <w:rPr>
          <w:szCs w:val="22"/>
        </w:rPr>
        <w:t>The ESC noted that the requirement for patients to be contraindicated to statins was difficult to administer in clinical practice</w:t>
      </w:r>
      <w:r w:rsidR="00016DB1" w:rsidRPr="003C3A62">
        <w:rPr>
          <w:szCs w:val="22"/>
        </w:rPr>
        <w:t>.</w:t>
      </w:r>
    </w:p>
    <w:p w:rsidR="00D40C8B" w:rsidRPr="003C3A62" w:rsidRDefault="00D40C8B" w:rsidP="00D40C8B">
      <w:pPr>
        <w:pStyle w:val="ListParagraph"/>
        <w:rPr>
          <w:szCs w:val="22"/>
        </w:rPr>
      </w:pPr>
    </w:p>
    <w:p w:rsidR="00D40C8B" w:rsidRPr="003C3A62" w:rsidRDefault="00D40C8B">
      <w:pPr>
        <w:pStyle w:val="ListParagraph"/>
        <w:numPr>
          <w:ilvl w:val="1"/>
          <w:numId w:val="4"/>
        </w:numPr>
        <w:rPr>
          <w:szCs w:val="22"/>
        </w:rPr>
      </w:pPr>
      <w:r w:rsidRPr="003C3A62">
        <w:rPr>
          <w:szCs w:val="22"/>
        </w:rPr>
        <w:t xml:space="preserve">The ESC agreed that it was appropriate to specify a time frame within which the consultation should have occurred, but considered that a time frame of 6 months was more practical. </w:t>
      </w:r>
    </w:p>
    <w:p w:rsidR="00800602" w:rsidRPr="003C3A62" w:rsidRDefault="00800602" w:rsidP="00800602">
      <w:pPr>
        <w:pStyle w:val="PBACHeading1"/>
        <w:numPr>
          <w:ilvl w:val="0"/>
          <w:numId w:val="0"/>
        </w:numPr>
        <w:ind w:left="720" w:hanging="720"/>
      </w:pPr>
    </w:p>
    <w:p w:rsidR="00800602" w:rsidRPr="003C3A62" w:rsidRDefault="00800602" w:rsidP="00800602">
      <w:pPr>
        <w:pStyle w:val="ListParagraph"/>
        <w:widowControl/>
        <w:numPr>
          <w:ilvl w:val="1"/>
          <w:numId w:val="4"/>
        </w:numPr>
        <w:rPr>
          <w:szCs w:val="22"/>
        </w:rPr>
      </w:pPr>
      <w:r w:rsidRPr="003C3A62">
        <w:t xml:space="preserve">The clinical criteria outlined in the proposed listing were more restrictive than the TGA-approved indication, PBS listing of the main comparator, current Australian guidelines and the available clinical evidence. </w:t>
      </w:r>
      <w:r w:rsidRPr="003C3A62">
        <w:rPr>
          <w:szCs w:val="22"/>
        </w:rPr>
        <w:t xml:space="preserve">The re-submission claimed that a narrow PBS listing can be implemented through the use of Authority Required listings and limitations on treatment initiation to lipid specialists. </w:t>
      </w:r>
    </w:p>
    <w:p w:rsidR="002E5912" w:rsidRPr="003C3A62" w:rsidRDefault="002E5912" w:rsidP="002E5912">
      <w:pPr>
        <w:pStyle w:val="ListParagraph"/>
        <w:rPr>
          <w:szCs w:val="22"/>
        </w:rPr>
      </w:pPr>
    </w:p>
    <w:p w:rsidR="002E5912" w:rsidRPr="003C3A62" w:rsidRDefault="002E5912" w:rsidP="00800602">
      <w:pPr>
        <w:pStyle w:val="ListParagraph"/>
        <w:widowControl/>
        <w:numPr>
          <w:ilvl w:val="1"/>
          <w:numId w:val="4"/>
        </w:numPr>
        <w:rPr>
          <w:szCs w:val="22"/>
        </w:rPr>
      </w:pPr>
      <w:r w:rsidRPr="003C3A62">
        <w:rPr>
          <w:szCs w:val="22"/>
        </w:rPr>
        <w:t xml:space="preserve">The PBAC considered that restricting listing to the homozygous FH population would be appropriate given the high clinical need in that population. In this case, homozygous disease should be defined by either a Dutch Lipid Clinic Network Score of </w:t>
      </w:r>
      <w:r w:rsidR="0048372D">
        <w:rPr>
          <w:szCs w:val="22"/>
        </w:rPr>
        <w:t>7 or higher, or genetic testing.</w:t>
      </w:r>
    </w:p>
    <w:p w:rsidR="00800602" w:rsidRPr="003C3A62" w:rsidRDefault="00800602" w:rsidP="00800602"/>
    <w:p w:rsidR="00B45B06" w:rsidRPr="003C3A62" w:rsidRDefault="00B45B06" w:rsidP="00B45B06">
      <w:pPr>
        <w:widowControl/>
        <w:ind w:left="709"/>
        <w:contextualSpacing/>
        <w:rPr>
          <w:rFonts w:cs="Times New Roman"/>
          <w:i/>
          <w:snapToGrid/>
          <w:szCs w:val="22"/>
          <w:lang w:eastAsia="en-AU"/>
        </w:rPr>
      </w:pPr>
    </w:p>
    <w:p w:rsidR="003958BB" w:rsidRPr="003C3A62" w:rsidRDefault="003958BB" w:rsidP="00B45B06">
      <w:pPr>
        <w:widowControl/>
        <w:ind w:left="709"/>
        <w:contextualSpacing/>
        <w:rPr>
          <w:rFonts w:cs="Times New Roman"/>
          <w:i/>
          <w:snapToGrid/>
          <w:szCs w:val="22"/>
          <w:lang w:eastAsia="en-AU"/>
        </w:rPr>
      </w:pPr>
      <w:r w:rsidRPr="003C3A62">
        <w:rPr>
          <w:rFonts w:cs="Times New Roman"/>
          <w:i/>
          <w:snapToGrid/>
          <w:szCs w:val="22"/>
          <w:lang w:eastAsia="en-AU"/>
        </w:rPr>
        <w:t>For more details on PBAC’s view, see section 7 “PBAC outcome”</w:t>
      </w:r>
    </w:p>
    <w:p w:rsidR="00B45B06" w:rsidRPr="003C3A62" w:rsidRDefault="00B45B06" w:rsidP="00800602">
      <w:pPr>
        <w:rPr>
          <w:rFonts w:cs="Times New Roman"/>
          <w:i/>
          <w:snapToGrid/>
          <w:szCs w:val="22"/>
          <w:lang w:eastAsia="en-AU"/>
        </w:rPr>
      </w:pPr>
    </w:p>
    <w:p w:rsidR="003958BB" w:rsidRPr="003C3A62" w:rsidRDefault="003958BB" w:rsidP="00800602"/>
    <w:p w:rsidR="00800602" w:rsidRPr="003C3A62" w:rsidRDefault="00800602" w:rsidP="00FA0151">
      <w:pPr>
        <w:pStyle w:val="Heading1"/>
      </w:pPr>
      <w:bookmarkStart w:id="3" w:name="_Toc441052814"/>
      <w:r w:rsidRPr="003C3A62">
        <w:t>Background</w:t>
      </w:r>
      <w:bookmarkEnd w:id="3"/>
    </w:p>
    <w:p w:rsidR="00800602" w:rsidRPr="003C3A62" w:rsidRDefault="00800602" w:rsidP="00800602">
      <w:pPr>
        <w:rPr>
          <w:szCs w:val="22"/>
        </w:rPr>
      </w:pPr>
    </w:p>
    <w:p w:rsidR="00800602" w:rsidRPr="003C3A62" w:rsidRDefault="00800602" w:rsidP="00800602">
      <w:pPr>
        <w:pStyle w:val="ListParagraph"/>
        <w:widowControl/>
        <w:numPr>
          <w:ilvl w:val="1"/>
          <w:numId w:val="4"/>
        </w:numPr>
        <w:rPr>
          <w:szCs w:val="22"/>
        </w:rPr>
      </w:pPr>
      <w:r w:rsidRPr="003C3A62">
        <w:rPr>
          <w:szCs w:val="22"/>
        </w:rPr>
        <w:t>Evolocumab was approved by the TGA on 4 December 2015 for the treatment of:</w:t>
      </w:r>
    </w:p>
    <w:p w:rsidR="00800602" w:rsidRPr="003C3A62" w:rsidRDefault="00800602" w:rsidP="00800602">
      <w:pPr>
        <w:pStyle w:val="ListParagraph"/>
        <w:widowControl/>
        <w:numPr>
          <w:ilvl w:val="0"/>
          <w:numId w:val="10"/>
        </w:numPr>
        <w:rPr>
          <w:szCs w:val="22"/>
        </w:rPr>
      </w:pPr>
      <w:r w:rsidRPr="003C3A62">
        <w:rPr>
          <w:szCs w:val="22"/>
        </w:rPr>
        <w:t>Adults with heterozygous familial hypercholesterolaemia (HeFH) or clinical atherosclerotic cardiovascular disease (CVD):</w:t>
      </w:r>
    </w:p>
    <w:p w:rsidR="00800602" w:rsidRPr="003C3A62" w:rsidRDefault="00800602" w:rsidP="00800602">
      <w:pPr>
        <w:pStyle w:val="ListParagraph"/>
        <w:widowControl/>
        <w:numPr>
          <w:ilvl w:val="1"/>
          <w:numId w:val="10"/>
        </w:numPr>
        <w:rPr>
          <w:szCs w:val="22"/>
        </w:rPr>
      </w:pPr>
      <w:r w:rsidRPr="003C3A62">
        <w:rPr>
          <w:szCs w:val="22"/>
        </w:rPr>
        <w:t>in combination with a statin or statin with other lipid lowering therapies,</w:t>
      </w:r>
    </w:p>
    <w:p w:rsidR="00800602" w:rsidRPr="003C3A62" w:rsidRDefault="00800602" w:rsidP="00800602">
      <w:pPr>
        <w:pStyle w:val="ListParagraph"/>
        <w:widowControl/>
        <w:numPr>
          <w:ilvl w:val="1"/>
          <w:numId w:val="10"/>
        </w:numPr>
        <w:rPr>
          <w:szCs w:val="22"/>
        </w:rPr>
      </w:pPr>
      <w:r w:rsidRPr="003C3A62">
        <w:rPr>
          <w:szCs w:val="22"/>
        </w:rPr>
        <w:t>in combination with other lipid-lowering therapies in patients who are statin-intolerant.</w:t>
      </w:r>
    </w:p>
    <w:p w:rsidR="00800602" w:rsidRPr="003C3A62" w:rsidRDefault="00800602" w:rsidP="00800602">
      <w:pPr>
        <w:pStyle w:val="ListParagraph"/>
        <w:widowControl/>
        <w:numPr>
          <w:ilvl w:val="0"/>
          <w:numId w:val="10"/>
        </w:numPr>
        <w:rPr>
          <w:szCs w:val="22"/>
        </w:rPr>
      </w:pPr>
      <w:r w:rsidRPr="003C3A62">
        <w:rPr>
          <w:szCs w:val="22"/>
        </w:rPr>
        <w:t>Homozygous familial hypercholesterolaemia (HoFH)</w:t>
      </w:r>
    </w:p>
    <w:p w:rsidR="00800602" w:rsidRPr="003C3A62" w:rsidRDefault="00800602" w:rsidP="00800602">
      <w:pPr>
        <w:pStyle w:val="ListParagraph"/>
        <w:widowControl/>
        <w:numPr>
          <w:ilvl w:val="1"/>
          <w:numId w:val="10"/>
        </w:numPr>
        <w:rPr>
          <w:szCs w:val="22"/>
        </w:rPr>
      </w:pPr>
      <w:r w:rsidRPr="003C3A62">
        <w:rPr>
          <w:szCs w:val="22"/>
        </w:rPr>
        <w:t>in combination with other lipid lowering therapies in adults and adolescents aged 12 years and over.</w:t>
      </w:r>
    </w:p>
    <w:p w:rsidR="00800602" w:rsidRPr="003C3A62" w:rsidRDefault="00800602" w:rsidP="00800602">
      <w:pPr>
        <w:widowControl/>
        <w:rPr>
          <w:szCs w:val="22"/>
        </w:rPr>
      </w:pPr>
    </w:p>
    <w:p w:rsidR="00800602" w:rsidRPr="003C3A62" w:rsidRDefault="00800602" w:rsidP="00800602">
      <w:pPr>
        <w:widowControl/>
        <w:ind w:left="720"/>
        <w:rPr>
          <w:szCs w:val="22"/>
        </w:rPr>
      </w:pPr>
      <w:r w:rsidRPr="003C3A62">
        <w:rPr>
          <w:szCs w:val="22"/>
        </w:rPr>
        <w:t>The TGA indication notes that the effect of evolocumab on cardiovascular morbidity and mortality has not yet been determined.</w:t>
      </w:r>
    </w:p>
    <w:p w:rsidR="00800602" w:rsidRPr="003C3A62" w:rsidRDefault="00800602" w:rsidP="00800602">
      <w:pPr>
        <w:widowControl/>
        <w:rPr>
          <w:szCs w:val="22"/>
        </w:rPr>
      </w:pPr>
    </w:p>
    <w:p w:rsidR="004B7939" w:rsidRDefault="00800602" w:rsidP="004B7939">
      <w:pPr>
        <w:pStyle w:val="ListParagraph"/>
        <w:widowControl/>
        <w:numPr>
          <w:ilvl w:val="1"/>
          <w:numId w:val="4"/>
        </w:numPr>
        <w:rPr>
          <w:szCs w:val="22"/>
        </w:rPr>
      </w:pPr>
      <w:r w:rsidRPr="003C3A62">
        <w:rPr>
          <w:szCs w:val="22"/>
        </w:rPr>
        <w:t xml:space="preserve">The sponsor previously made a submission to the March 2015 PBAC meeting </w:t>
      </w:r>
      <w:r w:rsidR="00A545AD" w:rsidRPr="003C3A62">
        <w:rPr>
          <w:szCs w:val="22"/>
        </w:rPr>
        <w:t>“</w:t>
      </w:r>
      <w:r w:rsidRPr="003C3A62">
        <w:rPr>
          <w:szCs w:val="22"/>
        </w:rPr>
        <w:t>to open a dialogue regarding the potential future listing of evolocumab on the PBS for the treatment of hypercholesterolaemia</w:t>
      </w:r>
      <w:r w:rsidR="00A545AD" w:rsidRPr="003C3A62">
        <w:rPr>
          <w:szCs w:val="22"/>
        </w:rPr>
        <w:t>”</w:t>
      </w:r>
      <w:r w:rsidRPr="003C3A62">
        <w:rPr>
          <w:szCs w:val="22"/>
        </w:rPr>
        <w:t>. The PBAC considered that the submission did not represent an appropriate use of the TGA-PBAC parallel process pathway. The PBAC noted that the DUSC and ESC Advices provided sufficient comment on the clinical claim, economic analysis and financial implications.</w:t>
      </w:r>
    </w:p>
    <w:p w:rsidR="004B7939" w:rsidRDefault="004B7939" w:rsidP="004B7939">
      <w:pPr>
        <w:pStyle w:val="ListParagraph"/>
        <w:widowControl/>
        <w:rPr>
          <w:szCs w:val="22"/>
        </w:rPr>
      </w:pPr>
    </w:p>
    <w:p w:rsidR="00800602" w:rsidRPr="004B7939" w:rsidRDefault="00800602" w:rsidP="004B7939">
      <w:pPr>
        <w:pStyle w:val="ListParagraph"/>
        <w:widowControl/>
        <w:numPr>
          <w:ilvl w:val="1"/>
          <w:numId w:val="4"/>
        </w:numPr>
        <w:rPr>
          <w:szCs w:val="22"/>
        </w:rPr>
      </w:pPr>
      <w:r w:rsidRPr="004B7939">
        <w:rPr>
          <w:szCs w:val="22"/>
        </w:rPr>
        <w:t>The PBAC rejected the submission on the basis of unestablished clinical place in therapy and the uncertainty surrounding its use in clinical practice.</w:t>
      </w:r>
    </w:p>
    <w:p w:rsidR="00800602" w:rsidRPr="003C3A62" w:rsidRDefault="00800602" w:rsidP="00800602">
      <w:pPr>
        <w:widowControl/>
        <w:rPr>
          <w:szCs w:val="22"/>
        </w:rPr>
      </w:pPr>
    </w:p>
    <w:p w:rsidR="00800602" w:rsidRPr="003C3A62" w:rsidRDefault="00800602" w:rsidP="00800602">
      <w:pPr>
        <w:ind w:firstLine="720"/>
        <w:rPr>
          <w:rFonts w:ascii="Arial Narrow" w:hAnsi="Arial Narrow"/>
          <w:b/>
          <w:sz w:val="20"/>
          <w:szCs w:val="16"/>
        </w:rPr>
      </w:pPr>
      <w:r w:rsidRPr="003C3A62">
        <w:rPr>
          <w:rStyle w:val="CommentReference"/>
        </w:rPr>
        <w:t>Key differences between the previous submission and current re-submission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56"/>
        <w:gridCol w:w="3162"/>
        <w:gridCol w:w="3721"/>
      </w:tblGrid>
      <w:tr w:rsidR="00800602" w:rsidRPr="003C3A62" w:rsidTr="0081587D">
        <w:trPr>
          <w:trHeight w:val="52"/>
        </w:trPr>
        <w:tc>
          <w:tcPr>
            <w:tcW w:w="873" w:type="pct"/>
            <w:shd w:val="clear" w:color="auto" w:fill="auto"/>
          </w:tcPr>
          <w:p w:rsidR="00800602" w:rsidRPr="003C3A62" w:rsidRDefault="00800602" w:rsidP="0081587D">
            <w:pPr>
              <w:rPr>
                <w:rFonts w:ascii="Arial Narrow" w:hAnsi="Arial Narrow"/>
                <w:sz w:val="20"/>
              </w:rPr>
            </w:pPr>
          </w:p>
        </w:tc>
        <w:tc>
          <w:tcPr>
            <w:tcW w:w="1896" w:type="pct"/>
            <w:shd w:val="clear" w:color="auto" w:fill="auto"/>
          </w:tcPr>
          <w:p w:rsidR="00800602" w:rsidRPr="003C3A62" w:rsidRDefault="00800602" w:rsidP="0081587D">
            <w:pPr>
              <w:jc w:val="center"/>
              <w:rPr>
                <w:rFonts w:ascii="Arial Narrow" w:hAnsi="Arial Narrow"/>
                <w:b/>
                <w:sz w:val="20"/>
              </w:rPr>
            </w:pPr>
            <w:r w:rsidRPr="003C3A62">
              <w:rPr>
                <w:rFonts w:ascii="Arial Narrow" w:hAnsi="Arial Narrow"/>
                <w:b/>
                <w:sz w:val="20"/>
              </w:rPr>
              <w:t>March 2015 submission</w:t>
            </w:r>
          </w:p>
        </w:tc>
        <w:tc>
          <w:tcPr>
            <w:tcW w:w="2231" w:type="pct"/>
            <w:shd w:val="clear" w:color="auto" w:fill="auto"/>
          </w:tcPr>
          <w:p w:rsidR="00800602" w:rsidRPr="003C3A62" w:rsidRDefault="00800602" w:rsidP="0081587D">
            <w:pPr>
              <w:jc w:val="center"/>
              <w:rPr>
                <w:rFonts w:ascii="Arial Narrow" w:hAnsi="Arial Narrow"/>
                <w:b/>
                <w:sz w:val="20"/>
              </w:rPr>
            </w:pPr>
            <w:r w:rsidRPr="003C3A62">
              <w:rPr>
                <w:rFonts w:ascii="Arial Narrow" w:hAnsi="Arial Narrow"/>
                <w:b/>
                <w:sz w:val="20"/>
              </w:rPr>
              <w:t>Current re-submission</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Requested PBS listing</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Treatment of patients with hypercholesterolaemia (familial and non-familial) who still had high LDL levels despite optimal therapy</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 Secondary prevention of cardiovascular events in patients with heterozygous familial hypercholesterolaemia who still had high LDL levels despite optimal treatment</w:t>
            </w:r>
          </w:p>
          <w:p w:rsidR="00800602" w:rsidRPr="003C3A62" w:rsidRDefault="00800602" w:rsidP="0081587D">
            <w:pPr>
              <w:jc w:val="left"/>
              <w:rPr>
                <w:rFonts w:ascii="Arial Narrow" w:hAnsi="Arial Narrow"/>
                <w:sz w:val="20"/>
              </w:rPr>
            </w:pPr>
            <w:r w:rsidRPr="003C3A62">
              <w:rPr>
                <w:rFonts w:ascii="Arial Narrow" w:hAnsi="Arial Narrow"/>
                <w:sz w:val="20"/>
              </w:rPr>
              <w:t>- Treatment of homozygous familial hypercholesterolaemia</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Basis of comparison</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 Series of direct comparisons of evolocumab vs. ezetimibe and placebo (RUTHERFORD-2, TESLA, GAUSS-2, LAPLACE-2, MENDEL-2</w:t>
            </w:r>
          </w:p>
          <w:p w:rsidR="00800602" w:rsidRPr="003C3A62" w:rsidRDefault="00800602" w:rsidP="0081587D">
            <w:pPr>
              <w:jc w:val="left"/>
              <w:rPr>
                <w:rFonts w:ascii="Arial Narrow" w:hAnsi="Arial Narrow"/>
                <w:sz w:val="20"/>
              </w:rPr>
            </w:pPr>
            <w:r w:rsidRPr="003C3A62">
              <w:rPr>
                <w:rFonts w:ascii="Arial Narrow" w:hAnsi="Arial Narrow"/>
                <w:sz w:val="20"/>
              </w:rPr>
              <w:t>- Supportive comparison of longer term outcomes with evolocumab vs. standard of care from pragmatic RCTs/observational studies (DESCARTES, OSLER-1, OSLER-2, TAUSSIG)</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Same core evidence base as previous submission with two additional analyses</w:t>
            </w:r>
          </w:p>
          <w:p w:rsidR="00800602" w:rsidRPr="003C3A62" w:rsidRDefault="00800602" w:rsidP="0081587D">
            <w:pPr>
              <w:jc w:val="left"/>
              <w:rPr>
                <w:rFonts w:ascii="Arial Narrow" w:hAnsi="Arial Narrow"/>
                <w:sz w:val="20"/>
              </w:rPr>
            </w:pPr>
            <w:r w:rsidRPr="003C3A62">
              <w:rPr>
                <w:rFonts w:ascii="Arial Narrow" w:hAnsi="Arial Narrow"/>
                <w:sz w:val="20"/>
              </w:rPr>
              <w:t>-  Updated exploratory analyses of cardiovascular outcomes reported in the OSLER long-term studies</w:t>
            </w:r>
          </w:p>
          <w:p w:rsidR="00800602" w:rsidRPr="003C3A62" w:rsidRDefault="00800602" w:rsidP="0081587D">
            <w:pPr>
              <w:jc w:val="left"/>
              <w:rPr>
                <w:rFonts w:ascii="Arial Narrow" w:hAnsi="Arial Narrow"/>
                <w:sz w:val="20"/>
              </w:rPr>
            </w:pPr>
            <w:r w:rsidRPr="003C3A62">
              <w:rPr>
                <w:rFonts w:ascii="Arial Narrow" w:hAnsi="Arial Narrow"/>
                <w:sz w:val="20"/>
              </w:rPr>
              <w:t>- Supportive indirect comparison of evolocumab vs alirocumab using either placebo or ezetimibe as a common comparator.</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Modelled patient population</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Derived from the individual trial populations with additional synthesised patient characteristics</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Characteristics of the modelled population synthesized from Australian AUSDIAB FH population and post-hoc subgroup analyses of secondary prevention patients with LDL &gt; 3.3 in evolocumab clinical trial program</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Underlying cardiovascular risk calculation</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Calculated based on the Framingham primary prevention risk equation with and without a familial hypercholesterolaemia risk multiplier</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Calculated based on the Framingham secondary prevention risk equation (MI, CHD death) and Framingham stroke equation (IS) with a familial hypercholesterolaemia risk multiplier</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 xml:space="preserve">Impact of previous events on future </w:t>
            </w:r>
            <w:r w:rsidRPr="003C3A62">
              <w:rPr>
                <w:rFonts w:ascii="Arial Narrow" w:hAnsi="Arial Narrow"/>
                <w:sz w:val="20"/>
              </w:rPr>
              <w:lastRenderedPageBreak/>
              <w:t>events</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lastRenderedPageBreak/>
              <w:t xml:space="preserve">- Prior event multiplier estimated by comparing difference in events between </w:t>
            </w:r>
            <w:r w:rsidRPr="003C3A62">
              <w:rPr>
                <w:rFonts w:ascii="Arial Narrow" w:hAnsi="Arial Narrow"/>
                <w:sz w:val="20"/>
              </w:rPr>
              <w:lastRenderedPageBreak/>
              <w:t xml:space="preserve">Framingham primary prevention and secondary prevention risk equations. </w:t>
            </w:r>
            <w:r w:rsidRPr="003C3A62">
              <w:rPr>
                <w:rFonts w:ascii="Arial Narrow" w:hAnsi="Arial Narrow"/>
                <w:sz w:val="20"/>
              </w:rPr>
              <w:br/>
              <w:t>- Distribution of future events were not affected by the type of previous event</w:t>
            </w:r>
          </w:p>
          <w:p w:rsidR="00800602" w:rsidRPr="003C3A62" w:rsidRDefault="00800602" w:rsidP="0081587D">
            <w:pPr>
              <w:jc w:val="left"/>
              <w:rPr>
                <w:rFonts w:ascii="Arial Narrow" w:hAnsi="Arial Narrow"/>
                <w:sz w:val="20"/>
              </w:rPr>
            </w:pPr>
            <w:r w:rsidRPr="003C3A62">
              <w:rPr>
                <w:rFonts w:ascii="Arial Narrow" w:hAnsi="Arial Narrow"/>
                <w:sz w:val="20"/>
              </w:rPr>
              <w:t>- Mortality multiplier estimated from observational studies</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lastRenderedPageBreak/>
              <w:t>- Prior event multiplier based on observational data from UK CPRD GOLD database.</w:t>
            </w:r>
          </w:p>
          <w:p w:rsidR="00800602" w:rsidRPr="003C3A62" w:rsidRDefault="00800602" w:rsidP="0081587D">
            <w:pPr>
              <w:jc w:val="left"/>
              <w:rPr>
                <w:rFonts w:ascii="Arial Narrow" w:hAnsi="Arial Narrow"/>
                <w:sz w:val="20"/>
              </w:rPr>
            </w:pPr>
            <w:r w:rsidRPr="003C3A62">
              <w:rPr>
                <w:rFonts w:ascii="Arial Narrow" w:hAnsi="Arial Narrow"/>
                <w:sz w:val="20"/>
              </w:rPr>
              <w:lastRenderedPageBreak/>
              <w:t>- Distribution of events (including fatal events) also based on observational data from the UK CPRD GOLD database.</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lastRenderedPageBreak/>
              <w:t>Treatment adherence</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Estimated 95% treatment adherence. Implemented as a 5% reduction in drug costs</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Assumed 100% treatment adherence</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Drug costs</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Based on effective prices for January 2015 PBS schedule</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Based on effective prices for October 2015 PBS schedule</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Economic model structure</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Four health states</w:t>
            </w:r>
          </w:p>
          <w:p w:rsidR="00800602" w:rsidRPr="003C3A62" w:rsidRDefault="00800602" w:rsidP="0081587D">
            <w:pPr>
              <w:jc w:val="left"/>
              <w:rPr>
                <w:rFonts w:ascii="Arial Narrow" w:hAnsi="Arial Narrow"/>
                <w:sz w:val="20"/>
              </w:rPr>
            </w:pPr>
            <w:r w:rsidRPr="003C3A62">
              <w:rPr>
                <w:rFonts w:ascii="Arial Narrow" w:hAnsi="Arial Narrow"/>
                <w:sz w:val="20"/>
              </w:rPr>
              <w:t>- Primary prevention setting</w:t>
            </w:r>
          </w:p>
          <w:p w:rsidR="00800602" w:rsidRPr="003C3A62" w:rsidRDefault="00800602" w:rsidP="0081587D">
            <w:pPr>
              <w:jc w:val="left"/>
              <w:rPr>
                <w:rFonts w:ascii="Arial Narrow" w:hAnsi="Arial Narrow"/>
                <w:sz w:val="20"/>
              </w:rPr>
            </w:pPr>
            <w:r w:rsidRPr="003C3A62">
              <w:rPr>
                <w:rFonts w:ascii="Arial Narrow" w:hAnsi="Arial Narrow"/>
                <w:sz w:val="20"/>
              </w:rPr>
              <w:t>- Secondary prevention following a MI</w:t>
            </w:r>
          </w:p>
          <w:p w:rsidR="00800602" w:rsidRPr="003C3A62" w:rsidRDefault="00800602" w:rsidP="0081587D">
            <w:pPr>
              <w:jc w:val="left"/>
              <w:rPr>
                <w:rFonts w:ascii="Arial Narrow" w:hAnsi="Arial Narrow"/>
                <w:sz w:val="20"/>
              </w:rPr>
            </w:pPr>
            <w:r w:rsidRPr="003C3A62">
              <w:rPr>
                <w:rFonts w:ascii="Arial Narrow" w:hAnsi="Arial Narrow"/>
                <w:sz w:val="20"/>
              </w:rPr>
              <w:t>- Secondary prevention following a IS</w:t>
            </w:r>
          </w:p>
          <w:p w:rsidR="00800602" w:rsidRPr="003C3A62" w:rsidRDefault="00800602" w:rsidP="0081587D">
            <w:pPr>
              <w:jc w:val="left"/>
              <w:rPr>
                <w:rFonts w:ascii="Arial Narrow" w:hAnsi="Arial Narrow"/>
                <w:sz w:val="20"/>
              </w:rPr>
            </w:pPr>
            <w:r w:rsidRPr="003C3A62">
              <w:rPr>
                <w:rFonts w:ascii="Arial Narrow" w:hAnsi="Arial Narrow"/>
                <w:sz w:val="20"/>
              </w:rPr>
              <w:t>- Death</w:t>
            </w:r>
          </w:p>
          <w:p w:rsidR="00800602" w:rsidRPr="003C3A62" w:rsidRDefault="00800602" w:rsidP="0081587D">
            <w:pPr>
              <w:jc w:val="left"/>
              <w:rPr>
                <w:rFonts w:ascii="Arial Narrow" w:hAnsi="Arial Narrow"/>
                <w:sz w:val="20"/>
              </w:rPr>
            </w:pPr>
          </w:p>
          <w:p w:rsidR="00800602" w:rsidRPr="003C3A62" w:rsidRDefault="00800602" w:rsidP="0081587D">
            <w:pPr>
              <w:jc w:val="left"/>
              <w:rPr>
                <w:rFonts w:ascii="Arial Narrow" w:hAnsi="Arial Narrow"/>
                <w:sz w:val="20"/>
              </w:rPr>
            </w:pPr>
            <w:r w:rsidRPr="003C3A62">
              <w:rPr>
                <w:rFonts w:ascii="Arial Narrow" w:hAnsi="Arial Narrow"/>
                <w:sz w:val="20"/>
              </w:rPr>
              <w:t>Various analyses of the previous model included patients with and without a prior cardiovascular event</w:t>
            </w:r>
          </w:p>
          <w:p w:rsidR="00800602" w:rsidRPr="003C3A62" w:rsidRDefault="00800602" w:rsidP="0081587D">
            <w:pPr>
              <w:jc w:val="left"/>
              <w:rPr>
                <w:rFonts w:ascii="Arial Narrow" w:hAnsi="Arial Narrow"/>
                <w:sz w:val="20"/>
              </w:rPr>
            </w:pPr>
          </w:p>
          <w:p w:rsidR="00800602" w:rsidRPr="003C3A62" w:rsidRDefault="00800602" w:rsidP="0081587D">
            <w:pPr>
              <w:jc w:val="left"/>
              <w:rPr>
                <w:rFonts w:ascii="Arial Narrow" w:hAnsi="Arial Narrow"/>
                <w:sz w:val="20"/>
              </w:rPr>
            </w:pP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Five core health state</w:t>
            </w:r>
          </w:p>
          <w:p w:rsidR="00800602" w:rsidRPr="003C3A62" w:rsidRDefault="00800602" w:rsidP="0081587D">
            <w:pPr>
              <w:jc w:val="left"/>
              <w:rPr>
                <w:rFonts w:ascii="Arial Narrow" w:hAnsi="Arial Narrow"/>
                <w:sz w:val="20"/>
              </w:rPr>
            </w:pPr>
            <w:r w:rsidRPr="003C3A62">
              <w:rPr>
                <w:rFonts w:ascii="Arial Narrow" w:hAnsi="Arial Narrow"/>
                <w:sz w:val="20"/>
              </w:rPr>
              <w:t>- MI (no history of IS)</w:t>
            </w:r>
          </w:p>
          <w:p w:rsidR="00800602" w:rsidRPr="003C3A62" w:rsidRDefault="00800602" w:rsidP="0081587D">
            <w:pPr>
              <w:jc w:val="left"/>
              <w:rPr>
                <w:rFonts w:ascii="Arial Narrow" w:hAnsi="Arial Narrow"/>
                <w:sz w:val="20"/>
              </w:rPr>
            </w:pPr>
            <w:r w:rsidRPr="003C3A62">
              <w:rPr>
                <w:rFonts w:ascii="Arial Narrow" w:hAnsi="Arial Narrow"/>
                <w:sz w:val="20"/>
              </w:rPr>
              <w:t>- MI (history of IS)</w:t>
            </w:r>
          </w:p>
          <w:p w:rsidR="00800602" w:rsidRPr="003C3A62" w:rsidRDefault="00800602" w:rsidP="0081587D">
            <w:pPr>
              <w:jc w:val="left"/>
              <w:rPr>
                <w:rFonts w:ascii="Arial Narrow" w:hAnsi="Arial Narrow"/>
                <w:sz w:val="20"/>
              </w:rPr>
            </w:pPr>
            <w:r w:rsidRPr="003C3A62">
              <w:rPr>
                <w:rFonts w:ascii="Arial Narrow" w:hAnsi="Arial Narrow"/>
                <w:sz w:val="20"/>
              </w:rPr>
              <w:t>- IS (with or without history of MI)</w:t>
            </w:r>
          </w:p>
          <w:p w:rsidR="00800602" w:rsidRPr="003C3A62" w:rsidRDefault="00800602" w:rsidP="0081587D">
            <w:pPr>
              <w:jc w:val="left"/>
              <w:rPr>
                <w:rFonts w:ascii="Arial Narrow" w:hAnsi="Arial Narrow"/>
                <w:sz w:val="20"/>
              </w:rPr>
            </w:pPr>
            <w:r w:rsidRPr="003C3A62">
              <w:rPr>
                <w:rFonts w:ascii="Arial Narrow" w:hAnsi="Arial Narrow"/>
                <w:sz w:val="20"/>
              </w:rPr>
              <w:t>- Cardiovascular death</w:t>
            </w:r>
          </w:p>
          <w:p w:rsidR="00800602" w:rsidRPr="003C3A62" w:rsidRDefault="00800602" w:rsidP="0081587D">
            <w:pPr>
              <w:jc w:val="left"/>
              <w:rPr>
                <w:rFonts w:ascii="Arial Narrow" w:hAnsi="Arial Narrow"/>
                <w:sz w:val="20"/>
              </w:rPr>
            </w:pPr>
            <w:r w:rsidRPr="003C3A62">
              <w:rPr>
                <w:rFonts w:ascii="Arial Narrow" w:hAnsi="Arial Narrow"/>
                <w:sz w:val="20"/>
              </w:rPr>
              <w:t>- Non-cardiovascular death</w:t>
            </w:r>
          </w:p>
          <w:p w:rsidR="00800602" w:rsidRPr="003C3A62" w:rsidRDefault="00800602" w:rsidP="0081587D">
            <w:pPr>
              <w:jc w:val="left"/>
              <w:rPr>
                <w:rFonts w:ascii="Arial Narrow" w:hAnsi="Arial Narrow"/>
                <w:sz w:val="20"/>
              </w:rPr>
            </w:pPr>
          </w:p>
          <w:p w:rsidR="00800602" w:rsidRPr="003C3A62" w:rsidRDefault="00800602" w:rsidP="0081587D">
            <w:pPr>
              <w:jc w:val="left"/>
              <w:rPr>
                <w:rFonts w:ascii="Arial Narrow" w:hAnsi="Arial Narrow"/>
                <w:sz w:val="20"/>
              </w:rPr>
            </w:pPr>
            <w:r w:rsidRPr="003C3A62">
              <w:rPr>
                <w:rFonts w:ascii="Arial Narrow" w:hAnsi="Arial Narrow"/>
                <w:sz w:val="20"/>
              </w:rPr>
              <w:t>The three non-fatal health states have acute sub-states to account for the first year following an event. The model updates annually (based on patient age). All patients start the model with a prior cardiovascular event</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Modelled economic results</w:t>
            </w:r>
          </w:p>
        </w:tc>
        <w:tc>
          <w:tcPr>
            <w:tcW w:w="1896" w:type="pct"/>
            <w:shd w:val="clear" w:color="auto" w:fill="auto"/>
          </w:tcPr>
          <w:p w:rsidR="00800602" w:rsidRPr="003C3A62" w:rsidRDefault="00800602" w:rsidP="003B20E5">
            <w:pPr>
              <w:jc w:val="left"/>
              <w:rPr>
                <w:rFonts w:ascii="Arial Narrow" w:hAnsi="Arial Narrow"/>
                <w:sz w:val="20"/>
              </w:rPr>
            </w:pPr>
            <w:r w:rsidRPr="003C3A62">
              <w:rPr>
                <w:rFonts w:ascii="Arial Narrow" w:hAnsi="Arial Narrow"/>
                <w:sz w:val="20"/>
              </w:rPr>
              <w:t>Treatment with evolocumab was associated with costs per QALY gained of $</w:t>
            </w:r>
            <w:r w:rsidR="003B20E5">
              <w:rPr>
                <w:rFonts w:ascii="Arial Narrow" w:hAnsi="Arial Narrow"/>
                <w:sz w:val="20"/>
              </w:rPr>
              <w:t xml:space="preserve">45, 000/QALY - $75,000/QALY </w:t>
            </w:r>
            <w:r w:rsidRPr="003C3A62">
              <w:rPr>
                <w:rFonts w:ascii="Arial Narrow" w:hAnsi="Arial Narrow"/>
                <w:sz w:val="20"/>
              </w:rPr>
              <w:t>against ezetimibe and $</w:t>
            </w:r>
            <w:r w:rsidR="003B20E5">
              <w:rPr>
                <w:rFonts w:ascii="Arial Narrow" w:hAnsi="Arial Narrow"/>
                <w:sz w:val="20"/>
              </w:rPr>
              <w:t xml:space="preserve">45, 000/QALY - $75,000/QALY </w:t>
            </w:r>
            <w:r w:rsidRPr="003C3A62">
              <w:rPr>
                <w:rFonts w:ascii="Arial Narrow" w:hAnsi="Arial Narrow"/>
                <w:sz w:val="20"/>
              </w:rPr>
              <w:t>against placebo in patients with heterozygous familial hypercholesterolaemia</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Treatment with evolocumab was associated with costs per QALY gained of $</w:t>
            </w:r>
            <w:r w:rsidR="003B20E5">
              <w:rPr>
                <w:rFonts w:ascii="Arial Narrow" w:hAnsi="Arial Narrow"/>
                <w:sz w:val="20"/>
              </w:rPr>
              <w:t>15,000/QALY - $45,000/QALY</w:t>
            </w:r>
            <w:r w:rsidRPr="003C3A62">
              <w:rPr>
                <w:rFonts w:ascii="Arial Narrow" w:hAnsi="Arial Narrow"/>
                <w:sz w:val="20"/>
              </w:rPr>
              <w:t xml:space="preserve"> against ezetimibe and $</w:t>
            </w:r>
            <w:r w:rsidR="003B20E5">
              <w:rPr>
                <w:rFonts w:ascii="Arial Narrow" w:hAnsi="Arial Narrow"/>
                <w:sz w:val="20"/>
              </w:rPr>
              <w:t>15,000/QALY - $45,000/QALY</w:t>
            </w:r>
            <w:r w:rsidR="003B20E5" w:rsidRPr="003C3A62">
              <w:rPr>
                <w:rFonts w:ascii="Arial Narrow" w:hAnsi="Arial Narrow"/>
                <w:sz w:val="20"/>
              </w:rPr>
              <w:t xml:space="preserve"> </w:t>
            </w:r>
            <w:r w:rsidRPr="003C3A62">
              <w:rPr>
                <w:rFonts w:ascii="Arial Narrow" w:hAnsi="Arial Narrow"/>
                <w:sz w:val="20"/>
              </w:rPr>
              <w:t>against placebo in patients with heterozygous familial hypercholesterolaemia</w:t>
            </w:r>
          </w:p>
          <w:p w:rsidR="00800602" w:rsidRPr="003C3A62" w:rsidRDefault="00800602" w:rsidP="0081587D">
            <w:pPr>
              <w:jc w:val="left"/>
              <w:rPr>
                <w:rFonts w:ascii="Arial Narrow" w:hAnsi="Arial Narrow"/>
                <w:sz w:val="20"/>
              </w:rPr>
            </w:pP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Expected utilisation of evolocumab</w:t>
            </w:r>
          </w:p>
        </w:tc>
        <w:tc>
          <w:tcPr>
            <w:tcW w:w="1896"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Mixed market share (based on ezetimibe)/ epidemiology approach to estimate utilisation in non-familial and familial hypercholesterolaemia</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Epidemiology approach to estimate utilisation in familial hypercholesterolaemia</w:t>
            </w:r>
          </w:p>
        </w:tc>
      </w:tr>
      <w:tr w:rsidR="00800602" w:rsidRPr="003C3A62" w:rsidTr="0081587D">
        <w:trPr>
          <w:trHeight w:val="52"/>
        </w:trPr>
        <w:tc>
          <w:tcPr>
            <w:tcW w:w="873"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Cumulative scripts/ cost to the PBS over 5 years</w:t>
            </w:r>
          </w:p>
        </w:tc>
        <w:tc>
          <w:tcPr>
            <w:tcW w:w="1896" w:type="pct"/>
            <w:shd w:val="clear" w:color="auto" w:fill="auto"/>
          </w:tcPr>
          <w:p w:rsidR="00800602" w:rsidRPr="003C3A62" w:rsidRDefault="00800602" w:rsidP="00816C8A">
            <w:pPr>
              <w:jc w:val="left"/>
              <w:rPr>
                <w:rFonts w:ascii="Arial Narrow" w:hAnsi="Arial Narrow"/>
                <w:sz w:val="20"/>
              </w:rPr>
            </w:pPr>
            <w:r w:rsidRPr="003C3A62">
              <w:rPr>
                <w:rFonts w:ascii="Arial Narrow" w:hAnsi="Arial Narrow"/>
                <w:sz w:val="20"/>
              </w:rPr>
              <w:t xml:space="preserve">Cumulative net cost over five years of </w:t>
            </w:r>
            <w:r w:rsidR="003B20E5">
              <w:rPr>
                <w:rFonts w:ascii="Arial Narrow" w:hAnsi="Arial Narrow"/>
                <w:sz w:val="20"/>
              </w:rPr>
              <w:t>more than $100</w:t>
            </w:r>
            <w:r w:rsidRPr="003C3A62">
              <w:rPr>
                <w:rFonts w:ascii="Arial Narrow" w:hAnsi="Arial Narrow"/>
                <w:sz w:val="20"/>
              </w:rPr>
              <w:t xml:space="preserve"> million. </w:t>
            </w:r>
          </w:p>
        </w:tc>
        <w:tc>
          <w:tcPr>
            <w:tcW w:w="2231" w:type="pct"/>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 xml:space="preserve">Cumulative net cost over five years of </w:t>
            </w:r>
            <w:r w:rsidR="003B20E5">
              <w:rPr>
                <w:rFonts w:ascii="Arial Narrow" w:hAnsi="Arial Narrow"/>
                <w:sz w:val="20"/>
              </w:rPr>
              <w:t>more than $100</w:t>
            </w:r>
            <w:r w:rsidRPr="003C3A62">
              <w:rPr>
                <w:rFonts w:ascii="Arial Narrow" w:hAnsi="Arial Narrow"/>
                <w:sz w:val="20"/>
              </w:rPr>
              <w:t xml:space="preserve"> million. </w:t>
            </w:r>
          </w:p>
          <w:p w:rsidR="00800602" w:rsidRPr="003C3A62" w:rsidRDefault="00800602" w:rsidP="0081587D">
            <w:pPr>
              <w:jc w:val="left"/>
              <w:rPr>
                <w:rFonts w:ascii="Arial Narrow" w:hAnsi="Arial Narrow"/>
                <w:sz w:val="20"/>
              </w:rPr>
            </w:pPr>
          </w:p>
        </w:tc>
      </w:tr>
    </w:tbl>
    <w:p w:rsidR="00B45B06" w:rsidRPr="003C3A62" w:rsidRDefault="00B45B06" w:rsidP="00B45B06">
      <w:pPr>
        <w:pStyle w:val="ListParagraph"/>
        <w:ind w:left="709"/>
        <w:rPr>
          <w:i/>
          <w:szCs w:val="22"/>
        </w:rPr>
      </w:pPr>
    </w:p>
    <w:p w:rsidR="003958BB" w:rsidRPr="003C3A62" w:rsidRDefault="003958BB" w:rsidP="00B45B06">
      <w:pPr>
        <w:pStyle w:val="ListParagraph"/>
        <w:ind w:left="709"/>
        <w:rPr>
          <w:rFonts w:cs="Times New Roman"/>
          <w:i/>
          <w:snapToGrid/>
          <w:szCs w:val="22"/>
          <w:lang w:eastAsia="en-AU"/>
        </w:rPr>
      </w:pPr>
    </w:p>
    <w:p w:rsidR="00B45B06" w:rsidRPr="003C3A62" w:rsidRDefault="003958BB" w:rsidP="00B45B06">
      <w:pPr>
        <w:pStyle w:val="ListParagraph"/>
        <w:ind w:left="709"/>
        <w:rPr>
          <w:rFonts w:cs="Times New Roman"/>
          <w:i/>
          <w:snapToGrid/>
          <w:szCs w:val="22"/>
          <w:lang w:eastAsia="en-AU"/>
        </w:rPr>
      </w:pPr>
      <w:r w:rsidRPr="003C3A62">
        <w:rPr>
          <w:rFonts w:cs="Times New Roman"/>
          <w:i/>
          <w:snapToGrid/>
          <w:szCs w:val="22"/>
          <w:lang w:eastAsia="en-AU"/>
        </w:rPr>
        <w:t>For more details on PBAC’s view, see section 7 “PBAC outcome”</w:t>
      </w:r>
    </w:p>
    <w:p w:rsidR="003958BB" w:rsidRPr="003C3A62" w:rsidRDefault="003958BB" w:rsidP="00B45B06">
      <w:pPr>
        <w:pStyle w:val="ListParagraph"/>
        <w:ind w:left="709"/>
        <w:rPr>
          <w:i/>
          <w:szCs w:val="22"/>
        </w:rPr>
      </w:pPr>
    </w:p>
    <w:p w:rsidR="00800602" w:rsidRPr="003C3A62" w:rsidRDefault="00800602" w:rsidP="00800602"/>
    <w:p w:rsidR="00800602" w:rsidRPr="003C3A62" w:rsidRDefault="00800602" w:rsidP="00FA0151">
      <w:pPr>
        <w:pStyle w:val="Heading1"/>
      </w:pPr>
      <w:bookmarkStart w:id="4" w:name="_Toc441052815"/>
      <w:r w:rsidRPr="003C3A62">
        <w:t>Clinical place for the proposed therapy</w:t>
      </w:r>
      <w:bookmarkEnd w:id="4"/>
    </w:p>
    <w:p w:rsidR="00800602" w:rsidRPr="003C3A62" w:rsidRDefault="00800602" w:rsidP="00800602">
      <w:pPr>
        <w:rPr>
          <w:szCs w:val="22"/>
        </w:rPr>
      </w:pPr>
    </w:p>
    <w:p w:rsidR="00800602" w:rsidRPr="003C3A62" w:rsidRDefault="00800602" w:rsidP="00800602">
      <w:pPr>
        <w:pStyle w:val="ListParagraph"/>
        <w:numPr>
          <w:ilvl w:val="1"/>
          <w:numId w:val="4"/>
        </w:numPr>
        <w:rPr>
          <w:szCs w:val="22"/>
        </w:rPr>
      </w:pPr>
      <w:r w:rsidRPr="003C3A62">
        <w:rPr>
          <w:szCs w:val="22"/>
        </w:rPr>
        <w:t>Hypercholesterolaemia is a condition characterised by elevated serum cholesterol levels and is associated with the development of atherosclerosis and an increased incidence of angina, myocardial infarction, stroke, coronary artery disease and peripheral vascular disease.</w:t>
      </w:r>
    </w:p>
    <w:p w:rsidR="00800602" w:rsidRPr="003C3A62" w:rsidRDefault="00800602" w:rsidP="00800602">
      <w:pPr>
        <w:widowControl/>
        <w:rPr>
          <w:szCs w:val="22"/>
        </w:rPr>
      </w:pPr>
    </w:p>
    <w:p w:rsidR="00800602" w:rsidRPr="003C3A62" w:rsidRDefault="00800602" w:rsidP="00800602">
      <w:pPr>
        <w:pStyle w:val="ListParagraph"/>
        <w:widowControl/>
        <w:numPr>
          <w:ilvl w:val="1"/>
          <w:numId w:val="4"/>
        </w:numPr>
        <w:rPr>
          <w:szCs w:val="22"/>
        </w:rPr>
      </w:pPr>
      <w:r w:rsidRPr="003C3A62">
        <w:rPr>
          <w:szCs w:val="22"/>
        </w:rPr>
        <w:t>The re-submission claimed that evolocumab would replace or be used in addition to other non-statin therapies for familial hypercholesterolaemia.</w:t>
      </w:r>
    </w:p>
    <w:p w:rsidR="00800602" w:rsidRPr="003C3A62" w:rsidRDefault="00800602" w:rsidP="00800602">
      <w:pPr>
        <w:pStyle w:val="Header"/>
        <w:rPr>
          <w:szCs w:val="22"/>
        </w:rPr>
      </w:pPr>
    </w:p>
    <w:p w:rsidR="00B45B06" w:rsidRPr="003C3A62" w:rsidRDefault="00B45B06" w:rsidP="00B45B06">
      <w:pPr>
        <w:widowControl/>
        <w:ind w:left="709"/>
        <w:contextualSpacing/>
        <w:rPr>
          <w:rFonts w:cs="Times New Roman"/>
          <w:i/>
          <w:snapToGrid/>
          <w:szCs w:val="22"/>
          <w:lang w:eastAsia="en-AU"/>
        </w:rPr>
      </w:pPr>
    </w:p>
    <w:p w:rsidR="00B45B06" w:rsidRPr="003C3A62" w:rsidRDefault="003958BB" w:rsidP="00B45B06">
      <w:pPr>
        <w:widowControl/>
        <w:ind w:left="709"/>
        <w:contextualSpacing/>
        <w:rPr>
          <w:rFonts w:cs="Times New Roman"/>
          <w:i/>
          <w:snapToGrid/>
          <w:szCs w:val="22"/>
          <w:lang w:eastAsia="en-AU"/>
        </w:rPr>
      </w:pPr>
      <w:r w:rsidRPr="003C3A62">
        <w:rPr>
          <w:rFonts w:cs="Times New Roman"/>
          <w:i/>
          <w:snapToGrid/>
          <w:szCs w:val="22"/>
          <w:lang w:eastAsia="en-AU"/>
        </w:rPr>
        <w:t>For more details on PBAC’s view, see section 7 “PBAC outcome”</w:t>
      </w:r>
    </w:p>
    <w:p w:rsidR="003958BB" w:rsidRPr="003C3A62" w:rsidRDefault="003958BB" w:rsidP="00B45B06">
      <w:pPr>
        <w:widowControl/>
        <w:ind w:left="709"/>
        <w:contextualSpacing/>
        <w:rPr>
          <w:rFonts w:cs="Times New Roman"/>
          <w:i/>
          <w:snapToGrid/>
          <w:szCs w:val="22"/>
          <w:lang w:eastAsia="en-AU"/>
        </w:rPr>
      </w:pPr>
    </w:p>
    <w:p w:rsidR="00B45B06" w:rsidRPr="003C3A62" w:rsidRDefault="00B45B06" w:rsidP="00800602">
      <w:pPr>
        <w:pStyle w:val="Header"/>
        <w:rPr>
          <w:szCs w:val="22"/>
        </w:rPr>
      </w:pPr>
    </w:p>
    <w:p w:rsidR="00800602" w:rsidRPr="003C3A62" w:rsidRDefault="00800602" w:rsidP="00FA0151">
      <w:pPr>
        <w:pStyle w:val="Heading1"/>
      </w:pPr>
      <w:r w:rsidRPr="003C3A62">
        <w:t>Comparator</w:t>
      </w:r>
    </w:p>
    <w:p w:rsidR="00800602" w:rsidRPr="003C3A62" w:rsidRDefault="00800602" w:rsidP="00800602">
      <w:pPr>
        <w:pStyle w:val="PBACHeading1"/>
        <w:numPr>
          <w:ilvl w:val="0"/>
          <w:numId w:val="0"/>
        </w:numPr>
      </w:pPr>
    </w:p>
    <w:p w:rsidR="00800602" w:rsidRPr="003C3A62" w:rsidRDefault="00800602" w:rsidP="00800602">
      <w:pPr>
        <w:pStyle w:val="ListParagraph"/>
        <w:widowControl/>
        <w:numPr>
          <w:ilvl w:val="1"/>
          <w:numId w:val="4"/>
        </w:numPr>
        <w:rPr>
          <w:szCs w:val="22"/>
        </w:rPr>
      </w:pPr>
      <w:r w:rsidRPr="003C3A62">
        <w:rPr>
          <w:szCs w:val="22"/>
        </w:rPr>
        <w:t>The re-submission nominated both ezetimibe and placebo as the main comparators. This was appropriate.</w:t>
      </w:r>
    </w:p>
    <w:p w:rsidR="00800602" w:rsidRPr="003C3A62" w:rsidRDefault="00800602" w:rsidP="00800602">
      <w:pPr>
        <w:pStyle w:val="ListParagraph"/>
        <w:widowControl/>
        <w:rPr>
          <w:szCs w:val="22"/>
        </w:rPr>
      </w:pPr>
    </w:p>
    <w:p w:rsidR="00800602" w:rsidRPr="003C3A62" w:rsidRDefault="00800602" w:rsidP="00800602">
      <w:pPr>
        <w:pStyle w:val="ListParagraph"/>
        <w:numPr>
          <w:ilvl w:val="1"/>
          <w:numId w:val="4"/>
        </w:numPr>
        <w:rPr>
          <w:szCs w:val="22"/>
        </w:rPr>
      </w:pPr>
      <w:r w:rsidRPr="003C3A62">
        <w:rPr>
          <w:szCs w:val="22"/>
        </w:rPr>
        <w:t xml:space="preserve">The re-submission also nominated alirocumab as a secondary comparator. </w:t>
      </w:r>
      <w:r w:rsidR="00A545AD" w:rsidRPr="003C3A62">
        <w:rPr>
          <w:szCs w:val="22"/>
        </w:rPr>
        <w:t>This was appropriate. T</w:t>
      </w:r>
      <w:r w:rsidRPr="003C3A62">
        <w:rPr>
          <w:szCs w:val="22"/>
        </w:rPr>
        <w:t>his comparison was considered as supportive evidence during the evaluation as alirocumab is not TGA approved or PBS listed for use in Australia.</w:t>
      </w:r>
      <w:r w:rsidR="00E87A51" w:rsidRPr="003C3A62">
        <w:rPr>
          <w:szCs w:val="22"/>
        </w:rPr>
        <w:t xml:space="preserve"> The ESC agreed with the PSCR (p2) that this indirect comparison is not currently</w:t>
      </w:r>
      <w:r w:rsidR="001036E4" w:rsidRPr="003C3A62">
        <w:rPr>
          <w:szCs w:val="22"/>
        </w:rPr>
        <w:t xml:space="preserve"> relevant for PBAC decision making.</w:t>
      </w:r>
    </w:p>
    <w:p w:rsidR="00800602" w:rsidRPr="003C3A62" w:rsidRDefault="00800602" w:rsidP="00800602">
      <w:pPr>
        <w:rPr>
          <w:szCs w:val="22"/>
        </w:rPr>
      </w:pPr>
    </w:p>
    <w:p w:rsidR="00800602" w:rsidRPr="003C3A62" w:rsidRDefault="00800602" w:rsidP="00800602">
      <w:pPr>
        <w:pStyle w:val="ListParagraph"/>
        <w:widowControl/>
        <w:numPr>
          <w:ilvl w:val="1"/>
          <w:numId w:val="4"/>
        </w:numPr>
        <w:rPr>
          <w:szCs w:val="22"/>
        </w:rPr>
      </w:pPr>
      <w:r w:rsidRPr="003C3A62">
        <w:rPr>
          <w:szCs w:val="22"/>
        </w:rPr>
        <w:t>Other non-statin therapies could also be relevant secondary comparators (fibrates, bile acid sequestrants, nicotinic acid derivatives).</w:t>
      </w:r>
    </w:p>
    <w:p w:rsidR="00B45B06" w:rsidRPr="003C3A62" w:rsidRDefault="00B45B06" w:rsidP="00B45B06">
      <w:pPr>
        <w:pStyle w:val="ListParagraph"/>
        <w:rPr>
          <w:szCs w:val="22"/>
        </w:rPr>
      </w:pPr>
    </w:p>
    <w:p w:rsidR="00B45B06" w:rsidRPr="003C3A62" w:rsidRDefault="00B45B06" w:rsidP="00B45B06">
      <w:pPr>
        <w:pStyle w:val="ListParagraph"/>
        <w:ind w:left="709"/>
        <w:rPr>
          <w:i/>
          <w:szCs w:val="22"/>
        </w:rPr>
      </w:pPr>
    </w:p>
    <w:p w:rsidR="00B45B06" w:rsidRPr="003C3A62" w:rsidRDefault="003958BB" w:rsidP="00B45B06">
      <w:pPr>
        <w:pStyle w:val="ListParagraph"/>
        <w:ind w:left="709"/>
        <w:rPr>
          <w:i/>
          <w:szCs w:val="22"/>
        </w:rPr>
      </w:pPr>
      <w:r w:rsidRPr="003C3A62">
        <w:rPr>
          <w:rFonts w:cs="Times New Roman"/>
          <w:i/>
          <w:snapToGrid/>
          <w:szCs w:val="22"/>
          <w:lang w:eastAsia="en-AU"/>
        </w:rPr>
        <w:t>For more details on PBAC’s view, see section 7 “PBAC outcome”</w:t>
      </w:r>
    </w:p>
    <w:p w:rsidR="00B45B06" w:rsidRPr="003C3A62" w:rsidRDefault="00B45B06" w:rsidP="00B45B06">
      <w:pPr>
        <w:pStyle w:val="ListParagraph"/>
        <w:widowControl/>
        <w:rPr>
          <w:szCs w:val="22"/>
        </w:rPr>
      </w:pPr>
    </w:p>
    <w:p w:rsidR="00800602" w:rsidRPr="003C3A62" w:rsidRDefault="00800602" w:rsidP="00800602">
      <w:pPr>
        <w:rPr>
          <w:szCs w:val="22"/>
        </w:rPr>
      </w:pPr>
    </w:p>
    <w:p w:rsidR="00F8260A" w:rsidRPr="003C3A62" w:rsidRDefault="00800602" w:rsidP="00FA0151">
      <w:pPr>
        <w:pStyle w:val="Heading1"/>
      </w:pPr>
      <w:bookmarkStart w:id="5" w:name="_Toc441052816"/>
      <w:r w:rsidRPr="003C3A62">
        <w:t>Consideration of the evidence</w:t>
      </w:r>
      <w:bookmarkEnd w:id="5"/>
    </w:p>
    <w:p w:rsidR="00F8260A" w:rsidRPr="003C3A62" w:rsidRDefault="00F8260A" w:rsidP="00F8260A">
      <w:pPr>
        <w:pStyle w:val="PBACHeading1"/>
        <w:numPr>
          <w:ilvl w:val="0"/>
          <w:numId w:val="0"/>
        </w:numPr>
      </w:pPr>
    </w:p>
    <w:p w:rsidR="00F8260A" w:rsidRPr="00FA0151" w:rsidRDefault="00F8260A" w:rsidP="00FA0151">
      <w:pPr>
        <w:pStyle w:val="Heading2"/>
      </w:pPr>
      <w:r w:rsidRPr="00FA0151">
        <w:t>Sponsor hearing</w:t>
      </w:r>
    </w:p>
    <w:p w:rsidR="00F8260A" w:rsidRPr="003C3A62" w:rsidRDefault="00F8260A" w:rsidP="00F8260A">
      <w:pPr>
        <w:pStyle w:val="PBACHeading1"/>
        <w:numPr>
          <w:ilvl w:val="0"/>
          <w:numId w:val="0"/>
        </w:numPr>
      </w:pPr>
    </w:p>
    <w:p w:rsidR="004B7939" w:rsidRDefault="00F8260A" w:rsidP="00A817D3">
      <w:pPr>
        <w:pStyle w:val="PBACHeading1"/>
        <w:numPr>
          <w:ilvl w:val="1"/>
          <w:numId w:val="4"/>
        </w:numPr>
        <w:jc w:val="both"/>
        <w:rPr>
          <w:b w:val="0"/>
        </w:rPr>
      </w:pPr>
      <w:r w:rsidRPr="003C3A62">
        <w:rPr>
          <w:b w:val="0"/>
        </w:rPr>
        <w:t>The sponsor requested a hearing for this item.  The clinician presented clinical case studies and discussed the natural history of the disease, how the drug would be used in practice, and addressed other matters in response to the Committ</w:t>
      </w:r>
      <w:r w:rsidR="004B7939">
        <w:rPr>
          <w:b w:val="0"/>
        </w:rPr>
        <w:t>ee’s questions.</w:t>
      </w:r>
    </w:p>
    <w:p w:rsidR="004B7939" w:rsidRDefault="004B7939" w:rsidP="00A817D3">
      <w:pPr>
        <w:pStyle w:val="PBACHeading1"/>
        <w:numPr>
          <w:ilvl w:val="0"/>
          <w:numId w:val="0"/>
        </w:numPr>
        <w:ind w:left="720"/>
        <w:jc w:val="both"/>
        <w:rPr>
          <w:b w:val="0"/>
        </w:rPr>
      </w:pPr>
    </w:p>
    <w:p w:rsidR="00F8260A" w:rsidRPr="004B7939" w:rsidRDefault="00F8260A" w:rsidP="00A817D3">
      <w:pPr>
        <w:pStyle w:val="PBACHeading1"/>
        <w:numPr>
          <w:ilvl w:val="1"/>
          <w:numId w:val="4"/>
        </w:numPr>
        <w:jc w:val="both"/>
        <w:rPr>
          <w:b w:val="0"/>
        </w:rPr>
      </w:pPr>
      <w:r w:rsidRPr="004B7939">
        <w:rPr>
          <w:b w:val="0"/>
        </w:rPr>
        <w:t xml:space="preserve">The PBAC </w:t>
      </w:r>
      <w:r w:rsidR="00B90C21" w:rsidRPr="004B7939">
        <w:rPr>
          <w:b w:val="0"/>
        </w:rPr>
        <w:t xml:space="preserve">did not consider that the hearing added </w:t>
      </w:r>
      <w:r w:rsidRPr="004B7939">
        <w:rPr>
          <w:b w:val="0"/>
        </w:rPr>
        <w:t>substantively to the evidence presented in the submission</w:t>
      </w:r>
      <w:r w:rsidR="00B90C21" w:rsidRPr="004B7939">
        <w:rPr>
          <w:b w:val="0"/>
        </w:rPr>
        <w:t xml:space="preserve">, but </w:t>
      </w:r>
      <w:r w:rsidR="005B1D71" w:rsidRPr="004B7939">
        <w:rPr>
          <w:b w:val="0"/>
        </w:rPr>
        <w:t>noted that the clinician suggested there might be a reduction in lipid apheresis for some patients</w:t>
      </w:r>
      <w:r w:rsidRPr="004B7939">
        <w:rPr>
          <w:b w:val="0"/>
        </w:rPr>
        <w:t>.</w:t>
      </w:r>
    </w:p>
    <w:p w:rsidR="000F3C13" w:rsidRPr="003C3A62" w:rsidRDefault="000F3C13" w:rsidP="000F3C13">
      <w:pPr>
        <w:pStyle w:val="PBACHeading1"/>
        <w:numPr>
          <w:ilvl w:val="0"/>
          <w:numId w:val="0"/>
        </w:numPr>
        <w:ind w:left="720" w:hanging="720"/>
        <w:rPr>
          <w:b w:val="0"/>
        </w:rPr>
      </w:pPr>
    </w:p>
    <w:p w:rsidR="000F3C13" w:rsidRPr="00061C45" w:rsidRDefault="000F3C13" w:rsidP="00FA0151">
      <w:pPr>
        <w:pStyle w:val="Heading2"/>
      </w:pPr>
      <w:r w:rsidRPr="00061C45">
        <w:t>Consumer comments</w:t>
      </w:r>
    </w:p>
    <w:p w:rsidR="000F3C13" w:rsidRPr="003C3A62" w:rsidRDefault="000F3C13" w:rsidP="000F3C13">
      <w:pPr>
        <w:pStyle w:val="PBACHeading1"/>
        <w:numPr>
          <w:ilvl w:val="0"/>
          <w:numId w:val="0"/>
        </w:numPr>
        <w:rPr>
          <w:b w:val="0"/>
        </w:rPr>
      </w:pPr>
    </w:p>
    <w:p w:rsidR="004B7939" w:rsidRDefault="000F3C13" w:rsidP="00A817D3">
      <w:pPr>
        <w:pStyle w:val="PBACHeading1"/>
        <w:numPr>
          <w:ilvl w:val="1"/>
          <w:numId w:val="4"/>
        </w:numPr>
        <w:jc w:val="both"/>
        <w:rPr>
          <w:b w:val="0"/>
        </w:rPr>
      </w:pPr>
      <w:r w:rsidRPr="003C3A62">
        <w:rPr>
          <w:b w:val="0"/>
        </w:rPr>
        <w:t xml:space="preserve">The PBAC noted and welcomed the input from individuals (10), health care professionals (2) and organisations (2) via the Consumer Comments facility on the PBS website.  The </w:t>
      </w:r>
      <w:r w:rsidR="007E216D" w:rsidRPr="003C3A62">
        <w:rPr>
          <w:b w:val="0"/>
        </w:rPr>
        <w:t xml:space="preserve">comments described a range of benefits of treatment with evolocumab including fewer side effects, </w:t>
      </w:r>
      <w:r w:rsidR="005B1D71" w:rsidRPr="003C3A62">
        <w:rPr>
          <w:b w:val="0"/>
        </w:rPr>
        <w:t xml:space="preserve">reduction in LDL apheresis, </w:t>
      </w:r>
      <w:r w:rsidR="007E216D" w:rsidRPr="003C3A62">
        <w:rPr>
          <w:b w:val="0"/>
        </w:rPr>
        <w:t xml:space="preserve">and an increased overall quality of life. </w:t>
      </w:r>
    </w:p>
    <w:p w:rsidR="004B7939" w:rsidRDefault="004B7939" w:rsidP="00A817D3">
      <w:pPr>
        <w:pStyle w:val="PBACHeading1"/>
        <w:numPr>
          <w:ilvl w:val="0"/>
          <w:numId w:val="0"/>
        </w:numPr>
        <w:ind w:left="720"/>
        <w:jc w:val="both"/>
        <w:rPr>
          <w:b w:val="0"/>
        </w:rPr>
      </w:pPr>
    </w:p>
    <w:p w:rsidR="000F3C13" w:rsidRPr="004B7939" w:rsidRDefault="000F3C13" w:rsidP="00A817D3">
      <w:pPr>
        <w:pStyle w:val="PBACHeading1"/>
        <w:numPr>
          <w:ilvl w:val="1"/>
          <w:numId w:val="4"/>
        </w:numPr>
        <w:jc w:val="both"/>
        <w:rPr>
          <w:b w:val="0"/>
        </w:rPr>
      </w:pPr>
      <w:r w:rsidRPr="004B7939">
        <w:rPr>
          <w:b w:val="0"/>
        </w:rPr>
        <w:t xml:space="preserve">The PBAC noted the </w:t>
      </w:r>
      <w:r w:rsidR="00DC7C8F" w:rsidRPr="004B7939">
        <w:rPr>
          <w:b w:val="0"/>
        </w:rPr>
        <w:t>input</w:t>
      </w:r>
      <w:r w:rsidR="002A2C3F" w:rsidRPr="004B7939">
        <w:rPr>
          <w:b w:val="0"/>
        </w:rPr>
        <w:t xml:space="preserve"> received from the Chair of the </w:t>
      </w:r>
      <w:r w:rsidRPr="004B7939">
        <w:rPr>
          <w:b w:val="0"/>
        </w:rPr>
        <w:t xml:space="preserve">Familial Hypercholesterolaemia Australasia Network </w:t>
      </w:r>
      <w:r w:rsidR="009C4343" w:rsidRPr="004B7939">
        <w:rPr>
          <w:b w:val="0"/>
        </w:rPr>
        <w:t>clarifying the clinical need and potential benefits of evolocumab</w:t>
      </w:r>
      <w:r w:rsidRPr="004B7939">
        <w:rPr>
          <w:b w:val="0"/>
        </w:rPr>
        <w:t xml:space="preserve">.  The PBAC specifically noted </w:t>
      </w:r>
      <w:r w:rsidR="00BD0510" w:rsidRPr="004B7939">
        <w:rPr>
          <w:b w:val="0"/>
        </w:rPr>
        <w:t>that evolocumab will provide an additional treatment option for patients who have not been able to lower their LDL levels sufficiently using</w:t>
      </w:r>
      <w:r w:rsidR="009C4343" w:rsidRPr="004B7939">
        <w:rPr>
          <w:b w:val="0"/>
        </w:rPr>
        <w:t xml:space="preserve"> standard treatments. </w:t>
      </w:r>
      <w:r w:rsidR="00BD0510" w:rsidRPr="004B7939">
        <w:rPr>
          <w:b w:val="0"/>
        </w:rPr>
        <w:t xml:space="preserve"> </w:t>
      </w:r>
      <w:r w:rsidR="009C4343" w:rsidRPr="004B7939">
        <w:rPr>
          <w:b w:val="0"/>
        </w:rPr>
        <w:t>The advice also noted the potential for savings in health expenditure due to reduced LDL apheresis, heart attacks, and related complications.</w:t>
      </w:r>
      <w:r w:rsidR="000525E4" w:rsidRPr="004B7939">
        <w:rPr>
          <w:b w:val="0"/>
        </w:rPr>
        <w:t xml:space="preserve"> </w:t>
      </w:r>
    </w:p>
    <w:p w:rsidR="00FB4587" w:rsidRPr="003C3A62" w:rsidRDefault="00FB4587" w:rsidP="00A817D3">
      <w:pPr>
        <w:pStyle w:val="PBACHeading1"/>
        <w:numPr>
          <w:ilvl w:val="0"/>
          <w:numId w:val="0"/>
        </w:numPr>
        <w:ind w:left="720"/>
        <w:jc w:val="both"/>
        <w:rPr>
          <w:b w:val="0"/>
        </w:rPr>
      </w:pPr>
    </w:p>
    <w:p w:rsidR="000F3C13" w:rsidRPr="000D4B8E" w:rsidRDefault="000F3C13" w:rsidP="00A817D3">
      <w:pPr>
        <w:pStyle w:val="PBACHeading1"/>
        <w:numPr>
          <w:ilvl w:val="1"/>
          <w:numId w:val="4"/>
        </w:numPr>
        <w:jc w:val="both"/>
        <w:rPr>
          <w:b w:val="0"/>
        </w:rPr>
      </w:pPr>
      <w:r w:rsidRPr="003C3A62">
        <w:rPr>
          <w:b w:val="0"/>
        </w:rPr>
        <w:t xml:space="preserve">The PBAC noted the </w:t>
      </w:r>
      <w:r w:rsidR="00DC7C8F">
        <w:rPr>
          <w:b w:val="0"/>
        </w:rPr>
        <w:t>input</w:t>
      </w:r>
      <w:r w:rsidR="00DC7C8F" w:rsidRPr="003C3A62">
        <w:rPr>
          <w:b w:val="0"/>
        </w:rPr>
        <w:t xml:space="preserve"> </w:t>
      </w:r>
      <w:r w:rsidRPr="003C3A62">
        <w:rPr>
          <w:b w:val="0"/>
        </w:rPr>
        <w:t xml:space="preserve">received from </w:t>
      </w:r>
      <w:r w:rsidR="007E216D" w:rsidRPr="003C3A62">
        <w:rPr>
          <w:b w:val="0"/>
        </w:rPr>
        <w:t>FH Family Support Group of Western Australia (FHSG)</w:t>
      </w:r>
      <w:r w:rsidRPr="003C3A62">
        <w:rPr>
          <w:b w:val="0"/>
        </w:rPr>
        <w:t xml:space="preserve"> clarifying the </w:t>
      </w:r>
      <w:r w:rsidR="002A2C3F" w:rsidRPr="003C3A62">
        <w:rPr>
          <w:b w:val="0"/>
        </w:rPr>
        <w:t>clinical place and potential benefits of evoloc</w:t>
      </w:r>
      <w:r w:rsidR="00213FCC" w:rsidRPr="000D4B8E">
        <w:rPr>
          <w:b w:val="0"/>
        </w:rPr>
        <w:t>u</w:t>
      </w:r>
      <w:r w:rsidR="002A2C3F" w:rsidRPr="000D4B8E">
        <w:rPr>
          <w:b w:val="0"/>
        </w:rPr>
        <w:t>mab</w:t>
      </w:r>
      <w:r w:rsidRPr="000D4B8E">
        <w:rPr>
          <w:b w:val="0"/>
        </w:rPr>
        <w:t xml:space="preserve">. </w:t>
      </w:r>
      <w:r w:rsidR="002A2C3F" w:rsidRPr="000D4B8E">
        <w:rPr>
          <w:b w:val="0"/>
        </w:rPr>
        <w:t xml:space="preserve"> The PBAC specifically noted that the reduction of LDL cholesterol, and associated reduction in coronary artery disease, </w:t>
      </w:r>
      <w:r w:rsidR="0083264F" w:rsidRPr="000D4B8E">
        <w:rPr>
          <w:b w:val="0"/>
        </w:rPr>
        <w:t>would</w:t>
      </w:r>
      <w:r w:rsidR="007E216D" w:rsidRPr="000D4B8E">
        <w:rPr>
          <w:b w:val="0"/>
        </w:rPr>
        <w:t xml:space="preserve"> allow patients to remain productive and </w:t>
      </w:r>
      <w:r w:rsidR="007E216D" w:rsidRPr="000D4B8E">
        <w:rPr>
          <w:b w:val="0"/>
        </w:rPr>
        <w:lastRenderedPageBreak/>
        <w:t>healthy members of society and cost less to society due to reduced cardiovascular events a</w:t>
      </w:r>
      <w:r w:rsidR="000525E4" w:rsidRPr="000D4B8E">
        <w:rPr>
          <w:b w:val="0"/>
        </w:rPr>
        <w:t xml:space="preserve">nd need for medical procedures. </w:t>
      </w:r>
    </w:p>
    <w:p w:rsidR="00B45B06" w:rsidRPr="000D4B8E" w:rsidRDefault="00B45B06" w:rsidP="003816FD">
      <w:bookmarkStart w:id="6" w:name="_Toc441052817"/>
    </w:p>
    <w:p w:rsidR="00800602" w:rsidRPr="00061C45" w:rsidRDefault="00800602" w:rsidP="00FA0151">
      <w:pPr>
        <w:pStyle w:val="Heading2"/>
      </w:pPr>
      <w:r w:rsidRPr="00061C45">
        <w:t>Clinical trials</w:t>
      </w:r>
      <w:bookmarkEnd w:id="6"/>
    </w:p>
    <w:p w:rsidR="00800602" w:rsidRPr="000D4B8E" w:rsidRDefault="00800602" w:rsidP="00800602">
      <w:pPr>
        <w:rPr>
          <w:szCs w:val="22"/>
        </w:rPr>
      </w:pPr>
    </w:p>
    <w:p w:rsidR="00800602" w:rsidRPr="000D4B8E" w:rsidRDefault="00800602" w:rsidP="00800602">
      <w:pPr>
        <w:pStyle w:val="ListParagraph"/>
        <w:widowControl/>
        <w:numPr>
          <w:ilvl w:val="1"/>
          <w:numId w:val="4"/>
        </w:numPr>
        <w:rPr>
          <w:szCs w:val="22"/>
        </w:rPr>
      </w:pPr>
      <w:r w:rsidRPr="000D4B8E">
        <w:t>The re-submission was based on a series of comparisons between evolocumab and nominated comparators</w:t>
      </w:r>
      <w:r w:rsidR="00A545AD" w:rsidRPr="000D4B8E">
        <w:t>. The direct comparisons presented in the resubmission are the same studies presented previously. New/up</w:t>
      </w:r>
      <w:r w:rsidR="009678A1" w:rsidRPr="000D4B8E">
        <w:t>dated data were presented as supportive.</w:t>
      </w:r>
      <w:r w:rsidRPr="000D4B8E">
        <w:t xml:space="preserve"> </w:t>
      </w:r>
    </w:p>
    <w:p w:rsidR="00800602" w:rsidRPr="000D4B8E" w:rsidRDefault="00800602" w:rsidP="00800602">
      <w:pPr>
        <w:pStyle w:val="COMBody"/>
        <w:numPr>
          <w:ilvl w:val="0"/>
          <w:numId w:val="12"/>
        </w:numPr>
      </w:pPr>
      <w:r w:rsidRPr="000D4B8E">
        <w:t xml:space="preserve">Direct comparison of evolocumab vs. placebo as an adjunct to standard care in patients with heterozygous familial hypercholesterolaemia who have failed to achieve adequate control with lipid-lowering medications (RUTHERFORD-2). </w:t>
      </w:r>
    </w:p>
    <w:p w:rsidR="00800602" w:rsidRPr="000D4B8E" w:rsidRDefault="00800602" w:rsidP="00800602">
      <w:pPr>
        <w:pStyle w:val="COMBody"/>
        <w:numPr>
          <w:ilvl w:val="0"/>
          <w:numId w:val="12"/>
        </w:numPr>
      </w:pPr>
      <w:r w:rsidRPr="000D4B8E">
        <w:t xml:space="preserve">Direct comparison of evolocumab vs. placebo as an adjunct to standard care in patients with homozygous familial hypercholesterolaemia who have failed to achieve adequate control with lipid-lowering medications (TESLA). </w:t>
      </w:r>
    </w:p>
    <w:p w:rsidR="00800602" w:rsidRPr="000D4B8E" w:rsidRDefault="00800602" w:rsidP="00800602">
      <w:pPr>
        <w:pStyle w:val="COMBody"/>
        <w:numPr>
          <w:ilvl w:val="0"/>
          <w:numId w:val="12"/>
        </w:numPr>
      </w:pPr>
      <w:r w:rsidRPr="000D4B8E">
        <w:t xml:space="preserve">Direct comparison of evolocumab vs. ezetimibe in patients with hypercholesterolaemia (familial and non-familial) who are statin intolerant (GAUSS-2), or who have failed to achieve adequate control with statin therapy (LAPLACE-2), or as first-line therapy in patients with low-cardiovascular risk (MENDEL-2). </w:t>
      </w:r>
    </w:p>
    <w:p w:rsidR="00800602" w:rsidRPr="000D4B8E" w:rsidRDefault="00800602" w:rsidP="00A545AD">
      <w:pPr>
        <w:pStyle w:val="ListParagraph"/>
        <w:numPr>
          <w:ilvl w:val="0"/>
          <w:numId w:val="12"/>
        </w:numPr>
      </w:pPr>
      <w:r w:rsidRPr="000D4B8E">
        <w:t>Supportive comparison of longer term outcomes with evolocumab vs. standard of care in patients with hypercholesterolaemia (familial and non-familial) from pragmatic RCTs/observational studies (DESCARTES, OSLER-1, OSLER-2, TAUSSIG).</w:t>
      </w:r>
      <w:r w:rsidR="00F81FCE" w:rsidRPr="000D4B8E">
        <w:t xml:space="preserve"> </w:t>
      </w:r>
      <w:r w:rsidR="003B7159" w:rsidRPr="000D4B8E">
        <w:t>This was updated from the previous March 2015 submission</w:t>
      </w:r>
      <w:r w:rsidR="00F60E98" w:rsidRPr="000D4B8E">
        <w:t>.</w:t>
      </w:r>
    </w:p>
    <w:p w:rsidR="00800602" w:rsidRPr="000D4B8E" w:rsidRDefault="00800602" w:rsidP="00800602">
      <w:pPr>
        <w:pStyle w:val="COMBody"/>
        <w:numPr>
          <w:ilvl w:val="0"/>
          <w:numId w:val="12"/>
        </w:numPr>
      </w:pPr>
      <w:r w:rsidRPr="000D4B8E">
        <w:t xml:space="preserve">Supportive indirect comparison of evolocumab vs alirocumab in patients with hypercholesterolaemia (familial and non-familial) using either placebo or ezetimibe as a common comparator. </w:t>
      </w:r>
      <w:r w:rsidR="003B7159" w:rsidRPr="000D4B8E">
        <w:t>This was a n</w:t>
      </w:r>
      <w:r w:rsidR="00F60E98" w:rsidRPr="000D4B8E">
        <w:t>ew comparison</w:t>
      </w:r>
      <w:r w:rsidR="003B7159" w:rsidRPr="000D4B8E">
        <w:t xml:space="preserve"> not previously considered in the March 2015 submission</w:t>
      </w:r>
      <w:r w:rsidR="00F60E98" w:rsidRPr="000D4B8E">
        <w:t>.</w:t>
      </w:r>
    </w:p>
    <w:p w:rsidR="00800602" w:rsidRPr="000D4B8E" w:rsidRDefault="00800602" w:rsidP="00800602">
      <w:pPr>
        <w:pStyle w:val="COMBody"/>
        <w:ind w:left="1080"/>
      </w:pPr>
    </w:p>
    <w:p w:rsidR="00800602" w:rsidRPr="000D4B8E" w:rsidRDefault="00800602" w:rsidP="00800602">
      <w:pPr>
        <w:pStyle w:val="ListParagraph"/>
        <w:widowControl/>
        <w:numPr>
          <w:ilvl w:val="1"/>
          <w:numId w:val="4"/>
        </w:numPr>
        <w:rPr>
          <w:szCs w:val="22"/>
        </w:rPr>
      </w:pPr>
      <w:r w:rsidRPr="000D4B8E">
        <w:rPr>
          <w:szCs w:val="22"/>
        </w:rPr>
        <w:t xml:space="preserve">Details of the key trials and supportive longer-term studies are provided in the table below. </w:t>
      </w:r>
    </w:p>
    <w:p w:rsidR="00800602" w:rsidRPr="000D4B8E" w:rsidRDefault="00800602" w:rsidP="00800602">
      <w:pPr>
        <w:widowControl/>
        <w:rPr>
          <w:szCs w:val="22"/>
        </w:rPr>
      </w:pPr>
    </w:p>
    <w:p w:rsidR="00800602" w:rsidRPr="000D4B8E" w:rsidRDefault="00800602" w:rsidP="00800602">
      <w:pPr>
        <w:ind w:firstLine="720"/>
        <w:rPr>
          <w:rFonts w:ascii="Arial Narrow" w:hAnsi="Arial Narrow"/>
          <w:b/>
          <w:sz w:val="20"/>
        </w:rPr>
      </w:pPr>
      <w:r w:rsidRPr="000D4B8E">
        <w:rPr>
          <w:rFonts w:ascii="Arial Narrow" w:hAnsi="Arial Narrow"/>
          <w:b/>
          <w:sz w:val="20"/>
        </w:rPr>
        <w:t>Table 1: Trials and associated reports included in the re-submission</w:t>
      </w:r>
    </w:p>
    <w:tbl>
      <w:tblPr>
        <w:tblStyle w:val="TableGrid"/>
        <w:tblW w:w="0" w:type="auto"/>
        <w:tblInd w:w="817" w:type="dxa"/>
        <w:tblCellMar>
          <w:left w:w="57" w:type="dxa"/>
          <w:right w:w="57" w:type="dxa"/>
        </w:tblCellMar>
        <w:tblLook w:val="04A0" w:firstRow="1" w:lastRow="0" w:firstColumn="1" w:lastColumn="0" w:noHBand="0" w:noVBand="1"/>
        <w:tblCaption w:val="Table 1: Trials and associated reports included in the re-submission"/>
      </w:tblPr>
      <w:tblGrid>
        <w:gridCol w:w="1650"/>
        <w:gridCol w:w="4820"/>
        <w:gridCol w:w="1853"/>
      </w:tblGrid>
      <w:tr w:rsidR="00800602" w:rsidRPr="000D4B8E" w:rsidTr="0081587D">
        <w:trPr>
          <w:tblHeader/>
        </w:trPr>
        <w:tc>
          <w:tcPr>
            <w:tcW w:w="1650" w:type="dxa"/>
            <w:vAlign w:val="center"/>
          </w:tcPr>
          <w:p w:rsidR="00800602" w:rsidRPr="000D4B8E" w:rsidRDefault="00800602" w:rsidP="0081587D">
            <w:pPr>
              <w:rPr>
                <w:rFonts w:ascii="Arial Narrow" w:hAnsi="Arial Narrow"/>
                <w:b/>
              </w:rPr>
            </w:pPr>
            <w:r w:rsidRPr="000D4B8E">
              <w:rPr>
                <w:rFonts w:ascii="Arial Narrow" w:hAnsi="Arial Narrow"/>
                <w:b/>
              </w:rPr>
              <w:t>Trial ID</w:t>
            </w:r>
          </w:p>
        </w:tc>
        <w:tc>
          <w:tcPr>
            <w:tcW w:w="4820" w:type="dxa"/>
            <w:vAlign w:val="center"/>
          </w:tcPr>
          <w:p w:rsidR="00800602" w:rsidRPr="000D4B8E" w:rsidRDefault="00800602" w:rsidP="0081587D">
            <w:pPr>
              <w:jc w:val="center"/>
              <w:rPr>
                <w:rFonts w:ascii="Arial Narrow" w:hAnsi="Arial Narrow"/>
                <w:b/>
              </w:rPr>
            </w:pPr>
            <w:r w:rsidRPr="000D4B8E">
              <w:rPr>
                <w:rFonts w:ascii="Arial Narrow" w:hAnsi="Arial Narrow"/>
                <w:b/>
              </w:rPr>
              <w:t>Protocol title/ Publication title</w:t>
            </w:r>
          </w:p>
        </w:tc>
        <w:tc>
          <w:tcPr>
            <w:tcW w:w="1853" w:type="dxa"/>
            <w:vAlign w:val="center"/>
          </w:tcPr>
          <w:p w:rsidR="00800602" w:rsidRPr="000D4B8E" w:rsidRDefault="00800602" w:rsidP="0081587D">
            <w:pPr>
              <w:jc w:val="center"/>
              <w:rPr>
                <w:rFonts w:ascii="Arial Narrow" w:hAnsi="Arial Narrow"/>
                <w:b/>
              </w:rPr>
            </w:pPr>
            <w:r w:rsidRPr="000D4B8E">
              <w:rPr>
                <w:rFonts w:ascii="Arial Narrow" w:hAnsi="Arial Narrow"/>
                <w:b/>
              </w:rPr>
              <w:t>Publication citation</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t>20110233</w:t>
            </w:r>
          </w:p>
          <w:p w:rsidR="00800602" w:rsidRPr="000D4B8E" w:rsidRDefault="00800602" w:rsidP="0081587D">
            <w:pPr>
              <w:rPr>
                <w:rFonts w:ascii="Arial Narrow" w:hAnsi="Arial Narrow"/>
              </w:rPr>
            </w:pPr>
            <w:r w:rsidRPr="000D4B8E">
              <w:rPr>
                <w:rFonts w:ascii="Arial Narrow" w:hAnsi="Arial Narrow"/>
              </w:rPr>
              <w:t>(TESLA)</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2-part, Phase 2/3 Study to Assess the Safety, Tolerability and Efficacy of AMG 145 in Subjects With Homozygous Familial hypercholesterolaemia. Part A – Open-label, Single-arm, Multicenter Pilot Study to Evaluate Safety, Tolerability and Efficacy of AMG 145 in Subjects With Homozygous Familial hypercholesterolaemia. Part B – Double-blind, Randomised, Placebo-controlled, Multicenter Study to Evaluate Safety, Tolerability and Efficacy of AMG 145 in Subjects With Homozygous Familial hypercholesterolaemia</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Raal F et al (2015). Inhibition of PCSK9 with evolocumab in homozygous familial hypercholesterolaemia (TESLA Part B): a randomised, double-blind, placebo-controlled trial.</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Lancet 9965: 341-350</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Stein EA et al (2013). Effect of the proprotein convertase subtilisin/kexin 9 monoclonal antibody, AMG 145, in homozygous familial hypercholesterolaemia</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Circulation 128: 2113–2120</w:t>
            </w:r>
          </w:p>
        </w:tc>
      </w:tr>
      <w:tr w:rsidR="00800602" w:rsidRPr="000D4B8E" w:rsidTr="0081587D">
        <w:tc>
          <w:tcPr>
            <w:tcW w:w="1650" w:type="dxa"/>
            <w:vMerge w:val="restart"/>
            <w:vAlign w:val="center"/>
          </w:tcPr>
          <w:p w:rsidR="00800602" w:rsidRPr="000D4B8E" w:rsidRDefault="00800602" w:rsidP="0081587D">
            <w:pPr>
              <w:jc w:val="left"/>
              <w:rPr>
                <w:rFonts w:ascii="Arial Narrow" w:hAnsi="Arial Narrow"/>
              </w:rPr>
            </w:pPr>
            <w:r w:rsidRPr="000D4B8E">
              <w:rPr>
                <w:rFonts w:ascii="Arial Narrow" w:hAnsi="Arial Narrow"/>
              </w:rPr>
              <w:t xml:space="preserve"> 20110114</w:t>
            </w:r>
          </w:p>
          <w:p w:rsidR="00800602" w:rsidRPr="000D4B8E" w:rsidRDefault="00800602" w:rsidP="0081587D">
            <w:pPr>
              <w:jc w:val="left"/>
              <w:rPr>
                <w:rFonts w:ascii="Arial Narrow" w:hAnsi="Arial Narrow"/>
              </w:rPr>
            </w:pPr>
            <w:r w:rsidRPr="000D4B8E">
              <w:rPr>
                <w:rFonts w:ascii="Arial Narrow" w:hAnsi="Arial Narrow"/>
              </w:rPr>
              <w:t>(MENDEL-2)</w:t>
            </w:r>
          </w:p>
          <w:p w:rsidR="00800602" w:rsidRPr="000D4B8E" w:rsidRDefault="00800602" w:rsidP="0081587D">
            <w:pPr>
              <w:jc w:val="left"/>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 xml:space="preserve">Amgen Clinical Study Report (2014). A Double-blind, Randomised, Placebo and Ezetimibe-controlled, Multicenter Study to Evaluate Safety and Efficacy of Lipid Lowering Monotherapy With AMG 145 in Subjects With a 10-Year </w:t>
            </w:r>
            <w:r w:rsidRPr="000D4B8E">
              <w:rPr>
                <w:rFonts w:ascii="Arial Narrow" w:hAnsi="Arial Narrow"/>
              </w:rPr>
              <w:lastRenderedPageBreak/>
              <w:t>Framingham Risk Score of 10% or Less</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lastRenderedPageBreak/>
              <w:t>Internal study report</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Koren MJ et al (2014). Anti-PCSK9 monotherapy for hypercholesterolaemia: The MENDEL-2 randomized, controlled phase III clinical trial of evolocumab</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Journal of the American College of Cardiology 63: 2531–2540</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t>20110115</w:t>
            </w:r>
          </w:p>
          <w:p w:rsidR="00800602" w:rsidRPr="000D4B8E" w:rsidRDefault="00800602" w:rsidP="0081587D">
            <w:pPr>
              <w:rPr>
                <w:rFonts w:ascii="Arial Narrow" w:hAnsi="Arial Narrow"/>
              </w:rPr>
            </w:pPr>
            <w:r w:rsidRPr="000D4B8E">
              <w:rPr>
                <w:rFonts w:ascii="Arial Narrow" w:hAnsi="Arial Narrow"/>
              </w:rPr>
              <w:t>(LAPLACE-2)</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Double-blind, Randomised, Placebo and Ezetimibe Controlled, Multicentre Study to Evaluate Safety, Tolerability and Efficacy of AMG 145 on LDL-C in Combination with Statin Therapy in Subjects with Primary hypercholesterolaemia and Mixed Dyslipidemia.</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Robinson JG et al (2014). Effect of evolocumab or ezetimibe added to moderate- Or high-intensity statin therapy on LDL-C lowering in patients with hypercholesterolaemia: The LAPLACE-2 randomized clinical trial</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Journal of the American Medical Association 311: 1870–1882</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Robinson JG et al (2014). Rationale and design of LAPLACE-2: A phase 3, randomized, double-blind, placebo- and ezetimibe-controlled trial evaluating the efficacy and safety of evolocumab in subjects with hypercholesterolaemia on background statin therapy</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Clinical Cardiology 37: 195–203</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t>20110116</w:t>
            </w:r>
          </w:p>
          <w:p w:rsidR="00800602" w:rsidRPr="000D4B8E" w:rsidRDefault="00800602" w:rsidP="0081587D">
            <w:pPr>
              <w:rPr>
                <w:rFonts w:ascii="Arial Narrow" w:hAnsi="Arial Narrow"/>
              </w:rPr>
            </w:pPr>
            <w:r w:rsidRPr="000D4B8E">
              <w:rPr>
                <w:rFonts w:ascii="Arial Narrow" w:hAnsi="Arial Narrow"/>
              </w:rPr>
              <w:t>(GAUSS-2)</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Double-blind, Randomised, Multicenter Study to Evaluate Safety and Efficacy of AMG 145, Compared With Ezetimibe, in Hypercholesterolemic Subjects Unable to Tolerate an Effective Dose of a HMG-CoA Reductase Inhibitor</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Cho L et al (2014). Design and rationale of the gauss-2 study trial: A double-blind, ezetimibe-controlled phase 3 study of the efficacy and tolerability of evolocumab (amg 145) in subjects with hypercholesterolaemia who are intolerant of statin therapy</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Clinical Cardiology 37: 131–139</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Stroes E et al (2014). Anti-PCSK9 antibody effectively lowers cholesterol in patients with statin intolerance: The GAUSS-2 randomized, placebo-controlled phase 3 clinical trial of evolocumab</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Journal of the American College of Cardiology 63: 2541–2548</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t>20110117</w:t>
            </w:r>
          </w:p>
          <w:p w:rsidR="00800602" w:rsidRPr="000D4B8E" w:rsidRDefault="00800602" w:rsidP="0081587D">
            <w:pPr>
              <w:rPr>
                <w:rFonts w:ascii="Arial Narrow" w:hAnsi="Arial Narrow"/>
              </w:rPr>
            </w:pPr>
            <w:r w:rsidRPr="000D4B8E">
              <w:rPr>
                <w:rFonts w:ascii="Arial Narrow" w:hAnsi="Arial Narrow"/>
              </w:rPr>
              <w:t>(RUTHERFORD-2)</w:t>
            </w:r>
          </w:p>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double-blind, randomised, placebo-controlled, multicentre study to evaluate safety, tolerability and efficacy of AMG 145 on LDL-C in subjects with heterozygous familial hypercholesterolaemia.</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Ral F et al (2015). PCSK9 inhibition with evolocumab (AMG 145) in heterozygous familial hypercholesterolaemia (RUTHERFORD-2): a randomised, double-blind, placebo-controlled trial.</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Lancet 9965: 331-340</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t>20110109</w:t>
            </w:r>
          </w:p>
          <w:p w:rsidR="00800602" w:rsidRPr="000D4B8E" w:rsidRDefault="00800602" w:rsidP="0081587D">
            <w:pPr>
              <w:rPr>
                <w:rFonts w:ascii="Arial Narrow" w:hAnsi="Arial Narrow"/>
              </w:rPr>
            </w:pPr>
            <w:r w:rsidRPr="000D4B8E">
              <w:rPr>
                <w:rFonts w:ascii="Arial Narrow" w:hAnsi="Arial Narrow"/>
              </w:rPr>
              <w:t>(DESCARTES)</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Double-blind, Randomised, Placebo-controlled, Multicenter Study to Evaluate Long-term Tolerability and Durable Efficacy of AMG 145 on LDL-C in Hyperlipidemic Subjects</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 xml:space="preserve">Blom D et al (2014).  A 52-week placebo-controlled trial of evolocumab in hyperlipidemia. </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New England Journal of Medicine 370:1809-1819</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t>20110110</w:t>
            </w:r>
          </w:p>
          <w:p w:rsidR="00800602" w:rsidRPr="000D4B8E" w:rsidRDefault="00800602" w:rsidP="0081587D">
            <w:pPr>
              <w:rPr>
                <w:rFonts w:ascii="Arial Narrow" w:hAnsi="Arial Narrow"/>
              </w:rPr>
            </w:pPr>
            <w:r w:rsidRPr="000D4B8E">
              <w:rPr>
                <w:rFonts w:ascii="Arial Narrow" w:hAnsi="Arial Narrow"/>
              </w:rPr>
              <w:t>(OSLER-1)</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Multicenter, Controlled, Open-label Extension Study to Assess the Long-term Safety and Efficacy of Evolocumab.</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p w:rsidR="00800602" w:rsidRPr="000D4B8E" w:rsidRDefault="00800602" w:rsidP="0081587D">
            <w:pPr>
              <w:jc w:val="left"/>
              <w:rPr>
                <w:rFonts w:ascii="Arial Narrow" w:hAnsi="Arial Narrow"/>
              </w:rPr>
            </w:pPr>
            <w:r w:rsidRPr="000D4B8E">
              <w:rPr>
                <w:rFonts w:ascii="Arial Narrow" w:hAnsi="Arial Narrow"/>
              </w:rPr>
              <w:t>[Interim July 2014]</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Koren M et al (2014). Efficacy and safety of longer-term administration of evolocumab (AMG 145) in patients with hypercholesterolaemia: 52-week results from the open-label study of long-term evaluation against LDL-C (OSLER) randomized trial</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Circulation 129: 234–243</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 xml:space="preserve">Sabatine MS et al (2015). Efficacy and safety of evolocumab in </w:t>
            </w:r>
            <w:r w:rsidRPr="000D4B8E">
              <w:rPr>
                <w:rFonts w:ascii="Arial Narrow" w:hAnsi="Arial Narrow"/>
              </w:rPr>
              <w:lastRenderedPageBreak/>
              <w:t>reducing lipids and cardiovascular events</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lastRenderedPageBreak/>
              <w:t xml:space="preserve">New England Journal </w:t>
            </w:r>
            <w:r w:rsidRPr="000D4B8E">
              <w:rPr>
                <w:rFonts w:ascii="Arial Narrow" w:hAnsi="Arial Narrow"/>
              </w:rPr>
              <w:lastRenderedPageBreak/>
              <w:t>of Medicine 372:1500-1509</w:t>
            </w:r>
          </w:p>
        </w:tc>
      </w:tr>
      <w:tr w:rsidR="00800602" w:rsidRPr="000D4B8E" w:rsidTr="0081587D">
        <w:tc>
          <w:tcPr>
            <w:tcW w:w="1650" w:type="dxa"/>
            <w:vMerge w:val="restart"/>
            <w:vAlign w:val="center"/>
          </w:tcPr>
          <w:p w:rsidR="00800602" w:rsidRPr="000D4B8E" w:rsidRDefault="00800602" w:rsidP="0081587D">
            <w:pPr>
              <w:rPr>
                <w:rFonts w:ascii="Arial Narrow" w:hAnsi="Arial Narrow"/>
              </w:rPr>
            </w:pPr>
            <w:r w:rsidRPr="000D4B8E">
              <w:rPr>
                <w:rFonts w:ascii="Arial Narrow" w:hAnsi="Arial Narrow"/>
              </w:rPr>
              <w:lastRenderedPageBreak/>
              <w:t>20120138</w:t>
            </w:r>
          </w:p>
          <w:p w:rsidR="00800602" w:rsidRPr="000D4B8E" w:rsidRDefault="00800602" w:rsidP="0081587D">
            <w:pPr>
              <w:rPr>
                <w:rFonts w:ascii="Arial Narrow" w:hAnsi="Arial Narrow"/>
              </w:rPr>
            </w:pPr>
            <w:r w:rsidRPr="000D4B8E">
              <w:rPr>
                <w:rFonts w:ascii="Arial Narrow" w:hAnsi="Arial Narrow"/>
              </w:rPr>
              <w:t>(OSLER-2)</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Multicenter, Controlled, Open-label Extension (OLE) Study to Assess the Long-term Safety and Efficacy of AMG 145 (Interim Clinical Study Report) - OSLER-2</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p w:rsidR="00800602" w:rsidRPr="000D4B8E" w:rsidRDefault="00800602" w:rsidP="0081587D">
            <w:pPr>
              <w:jc w:val="left"/>
              <w:rPr>
                <w:rFonts w:ascii="Arial Narrow" w:hAnsi="Arial Narrow"/>
              </w:rPr>
            </w:pPr>
            <w:r w:rsidRPr="000D4B8E">
              <w:rPr>
                <w:rFonts w:ascii="Arial Narrow" w:hAnsi="Arial Narrow"/>
              </w:rPr>
              <w:t>[Interim July 2014]</w:t>
            </w:r>
          </w:p>
        </w:tc>
      </w:tr>
      <w:tr w:rsidR="00800602" w:rsidRPr="000D4B8E" w:rsidTr="0081587D">
        <w:tc>
          <w:tcPr>
            <w:tcW w:w="1650" w:type="dxa"/>
            <w:vMerge/>
            <w:vAlign w:val="center"/>
          </w:tcPr>
          <w:p w:rsidR="00800602" w:rsidRPr="000D4B8E" w:rsidRDefault="00800602" w:rsidP="0081587D">
            <w:pPr>
              <w:rPr>
                <w:rFonts w:ascii="Arial Narrow" w:hAnsi="Arial Narrow"/>
              </w:rPr>
            </w:pP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Sabatine MS et al (2015). Efficacy and safety of evolocumab in reducing lipids and cardiovascular events</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New England Journal of Medicine 372:1500-1509</w:t>
            </w:r>
          </w:p>
        </w:tc>
      </w:tr>
      <w:tr w:rsidR="00800602" w:rsidRPr="000D4B8E" w:rsidTr="0081587D">
        <w:tc>
          <w:tcPr>
            <w:tcW w:w="1650" w:type="dxa"/>
            <w:vAlign w:val="center"/>
          </w:tcPr>
          <w:p w:rsidR="00800602" w:rsidRPr="000D4B8E" w:rsidRDefault="00800602" w:rsidP="0081587D">
            <w:pPr>
              <w:rPr>
                <w:rFonts w:ascii="Arial Narrow" w:hAnsi="Arial Narrow"/>
              </w:rPr>
            </w:pPr>
            <w:r w:rsidRPr="000D4B8E">
              <w:rPr>
                <w:rFonts w:ascii="Arial Narrow" w:hAnsi="Arial Narrow"/>
              </w:rPr>
              <w:t>20110271</w:t>
            </w:r>
          </w:p>
          <w:p w:rsidR="00800602" w:rsidRPr="000D4B8E" w:rsidRDefault="00800602" w:rsidP="0081587D">
            <w:pPr>
              <w:rPr>
                <w:rFonts w:ascii="Arial Narrow" w:hAnsi="Arial Narrow"/>
              </w:rPr>
            </w:pPr>
            <w:r w:rsidRPr="000D4B8E">
              <w:rPr>
                <w:rFonts w:ascii="Arial Narrow" w:hAnsi="Arial Narrow"/>
              </w:rPr>
              <w:t>(TAUSSIG)</w:t>
            </w:r>
          </w:p>
        </w:tc>
        <w:tc>
          <w:tcPr>
            <w:tcW w:w="4820" w:type="dxa"/>
            <w:vAlign w:val="center"/>
          </w:tcPr>
          <w:p w:rsidR="00800602" w:rsidRPr="000D4B8E" w:rsidRDefault="00800602" w:rsidP="0081587D">
            <w:pPr>
              <w:rPr>
                <w:rFonts w:ascii="Arial Narrow" w:hAnsi="Arial Narrow"/>
              </w:rPr>
            </w:pPr>
            <w:r w:rsidRPr="000D4B8E">
              <w:rPr>
                <w:rFonts w:ascii="Arial Narrow" w:hAnsi="Arial Narrow"/>
              </w:rPr>
              <w:t>Amgen Clinical Study Report (2014). A Multicenter, Open-label Study to Assess the Long-term Safety, Tolerability, and Efficacy of AMG 145 on LDL-C in Subjects With Severe Familial hypercholesterolaemia</w:t>
            </w:r>
          </w:p>
        </w:tc>
        <w:tc>
          <w:tcPr>
            <w:tcW w:w="1853" w:type="dxa"/>
            <w:vAlign w:val="center"/>
          </w:tcPr>
          <w:p w:rsidR="00800602" w:rsidRPr="000D4B8E" w:rsidRDefault="00800602" w:rsidP="0081587D">
            <w:pPr>
              <w:jc w:val="left"/>
              <w:rPr>
                <w:rFonts w:ascii="Arial Narrow" w:hAnsi="Arial Narrow"/>
              </w:rPr>
            </w:pPr>
            <w:r w:rsidRPr="000D4B8E">
              <w:rPr>
                <w:rFonts w:ascii="Arial Narrow" w:hAnsi="Arial Narrow"/>
              </w:rPr>
              <w:t>Internal study report</w:t>
            </w:r>
          </w:p>
          <w:p w:rsidR="00800602" w:rsidRPr="000D4B8E" w:rsidRDefault="00800602" w:rsidP="0081587D">
            <w:pPr>
              <w:jc w:val="left"/>
              <w:rPr>
                <w:rFonts w:ascii="Arial Narrow" w:hAnsi="Arial Narrow"/>
              </w:rPr>
            </w:pPr>
            <w:r w:rsidRPr="000D4B8E">
              <w:rPr>
                <w:rFonts w:ascii="Arial Narrow" w:hAnsi="Arial Narrow"/>
              </w:rPr>
              <w:t>[Interim July 2014]</w:t>
            </w:r>
          </w:p>
        </w:tc>
      </w:tr>
    </w:tbl>
    <w:p w:rsidR="00800602" w:rsidRPr="000D4B8E" w:rsidRDefault="00800602" w:rsidP="00800602">
      <w:pPr>
        <w:pStyle w:val="TableFooter"/>
        <w:ind w:left="720"/>
      </w:pPr>
      <w:r w:rsidRPr="000D4B8E">
        <w:t>Source: Table B.2-3 (p 26-31) of the re-submission; evolocumab search results, Attachment 2 of the re-submission; alirocumab search results, Appendix 2 of the re-submission</w:t>
      </w:r>
    </w:p>
    <w:p w:rsidR="00800602" w:rsidRPr="000D4B8E" w:rsidRDefault="00800602" w:rsidP="00800602">
      <w:pPr>
        <w:pStyle w:val="TableFooter"/>
        <w:ind w:left="720"/>
      </w:pPr>
      <w:r w:rsidRPr="000D4B8E">
        <w:t>Note: Abstracts of studies with full publications are not presented</w:t>
      </w:r>
    </w:p>
    <w:p w:rsidR="00800602" w:rsidRPr="000D4B8E" w:rsidRDefault="00800602" w:rsidP="00800602">
      <w:pPr>
        <w:widowControl/>
        <w:rPr>
          <w:szCs w:val="22"/>
        </w:rPr>
      </w:pPr>
    </w:p>
    <w:p w:rsidR="00800602" w:rsidRPr="000D4B8E" w:rsidRDefault="00800602" w:rsidP="00CD167C">
      <w:pPr>
        <w:pStyle w:val="ListParagraph"/>
        <w:widowControl/>
        <w:numPr>
          <w:ilvl w:val="1"/>
          <w:numId w:val="4"/>
        </w:numPr>
      </w:pPr>
      <w:r w:rsidRPr="000D4B8E">
        <w:t>A clinical outcomes study comparing evolocumab vs placebo as an adjunct to standard care in patients with hypercholesterolaemia and cardiovascular disease is due to report in 2018 (FOURIER).</w:t>
      </w:r>
    </w:p>
    <w:p w:rsidR="00061C45" w:rsidRDefault="00061C45" w:rsidP="00800602">
      <w:pPr>
        <w:widowControl/>
        <w:rPr>
          <w:szCs w:val="22"/>
        </w:rPr>
      </w:pPr>
      <w:r>
        <w:rPr>
          <w:szCs w:val="22"/>
        </w:rPr>
        <w:br w:type="page"/>
      </w:r>
    </w:p>
    <w:p w:rsidR="00800602" w:rsidRPr="000D4B8E" w:rsidRDefault="00800602" w:rsidP="00800602">
      <w:pPr>
        <w:widowControl/>
        <w:rPr>
          <w:szCs w:val="22"/>
        </w:rPr>
      </w:pPr>
    </w:p>
    <w:p w:rsidR="00800602" w:rsidRPr="000D4B8E" w:rsidRDefault="00800602" w:rsidP="00800602">
      <w:pPr>
        <w:pStyle w:val="ListParagraph"/>
        <w:widowControl/>
        <w:numPr>
          <w:ilvl w:val="1"/>
          <w:numId w:val="4"/>
        </w:numPr>
        <w:rPr>
          <w:szCs w:val="22"/>
        </w:rPr>
      </w:pPr>
      <w:r w:rsidRPr="000D4B8E">
        <w:rPr>
          <w:szCs w:val="22"/>
        </w:rPr>
        <w:t>The key features of the included studies are summarised in the table below.</w:t>
      </w:r>
    </w:p>
    <w:p w:rsidR="00800602" w:rsidRPr="000D4B8E" w:rsidRDefault="00800602" w:rsidP="00800602">
      <w:pPr>
        <w:widowControl/>
        <w:rPr>
          <w:szCs w:val="22"/>
        </w:rPr>
      </w:pPr>
    </w:p>
    <w:p w:rsidR="00800602" w:rsidRPr="000D4B8E" w:rsidRDefault="00800602" w:rsidP="00800602">
      <w:pPr>
        <w:ind w:firstLine="720"/>
        <w:rPr>
          <w:rStyle w:val="CommentReference"/>
        </w:rPr>
      </w:pPr>
      <w:r w:rsidRPr="000D4B8E">
        <w:rPr>
          <w:rStyle w:val="CommentReference"/>
        </w:rPr>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9"/>
        <w:gridCol w:w="673"/>
        <w:gridCol w:w="1934"/>
        <w:gridCol w:w="686"/>
        <w:gridCol w:w="1552"/>
        <w:gridCol w:w="943"/>
        <w:gridCol w:w="1098"/>
      </w:tblGrid>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Trial</w:t>
            </w:r>
          </w:p>
        </w:tc>
        <w:tc>
          <w:tcPr>
            <w:tcW w:w="403"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N</w:t>
            </w:r>
          </w:p>
        </w:tc>
        <w:tc>
          <w:tcPr>
            <w:tcW w:w="1159"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Design/ duration</w:t>
            </w:r>
          </w:p>
        </w:tc>
        <w:tc>
          <w:tcPr>
            <w:tcW w:w="411"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Risk of bias</w:t>
            </w:r>
          </w:p>
        </w:tc>
        <w:tc>
          <w:tcPr>
            <w:tcW w:w="930"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Patient population</w:t>
            </w:r>
          </w:p>
        </w:tc>
        <w:tc>
          <w:tcPr>
            <w:tcW w:w="565"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Outcome</w:t>
            </w:r>
          </w:p>
        </w:tc>
        <w:tc>
          <w:tcPr>
            <w:tcW w:w="658"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Use in modelled evaluation</w:t>
            </w:r>
          </w:p>
        </w:tc>
      </w:tr>
      <w:tr w:rsidR="00800602" w:rsidRPr="003C3A62" w:rsidTr="0081587D">
        <w:tc>
          <w:tcPr>
            <w:tcW w:w="5000" w:type="pct"/>
            <w:gridSpan w:val="7"/>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Evolocumab vs placebo</w:t>
            </w:r>
          </w:p>
        </w:tc>
      </w:tr>
      <w:tr w:rsidR="00800602" w:rsidRPr="003C3A62" w:rsidTr="0081587D">
        <w:tc>
          <w:tcPr>
            <w:tcW w:w="874" w:type="pct"/>
            <w:tcBorders>
              <w:bottom w:val="single" w:sz="4" w:space="0" w:color="auto"/>
            </w:tcBorders>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RUTHERFORD-2</w:t>
            </w:r>
          </w:p>
        </w:tc>
        <w:tc>
          <w:tcPr>
            <w:tcW w:w="403"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331</w:t>
            </w:r>
          </w:p>
        </w:tc>
        <w:tc>
          <w:tcPr>
            <w:tcW w:w="1159"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DB, PG, PC</w:t>
            </w:r>
          </w:p>
          <w:p w:rsidR="00800602" w:rsidRPr="003C3A62" w:rsidRDefault="00800602" w:rsidP="0081587D">
            <w:pPr>
              <w:jc w:val="center"/>
              <w:rPr>
                <w:rFonts w:ascii="Arial Narrow" w:hAnsi="Arial Narrow"/>
                <w:sz w:val="20"/>
              </w:rPr>
            </w:pPr>
            <w:r w:rsidRPr="003C3A62">
              <w:rPr>
                <w:rFonts w:ascii="Arial Narrow" w:hAnsi="Arial Narrow"/>
                <w:sz w:val="20"/>
              </w:rPr>
              <w:t>4 treatment arms</w:t>
            </w:r>
          </w:p>
          <w:p w:rsidR="00800602" w:rsidRPr="003C3A62" w:rsidRDefault="00800602" w:rsidP="0081587D">
            <w:pPr>
              <w:jc w:val="center"/>
              <w:rPr>
                <w:rFonts w:ascii="Arial Narrow" w:hAnsi="Arial Narrow"/>
                <w:sz w:val="20"/>
              </w:rPr>
            </w:pPr>
            <w:r w:rsidRPr="003C3A62">
              <w:rPr>
                <w:rFonts w:ascii="Arial Narrow" w:hAnsi="Arial Narrow"/>
                <w:sz w:val="20"/>
              </w:rPr>
              <w:t>12 weeks</w:t>
            </w:r>
          </w:p>
        </w:tc>
        <w:tc>
          <w:tcPr>
            <w:tcW w:w="411"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w:t>
            </w:r>
          </w:p>
        </w:tc>
        <w:tc>
          <w:tcPr>
            <w:tcW w:w="930"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HeFH</w:t>
            </w:r>
          </w:p>
        </w:tc>
        <w:tc>
          <w:tcPr>
            <w:tcW w:w="565"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Change in LDL levels</w:t>
            </w:r>
          </w:p>
        </w:tc>
        <w:tc>
          <w:tcPr>
            <w:tcW w:w="658"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LDL levels</w:t>
            </w:r>
          </w:p>
        </w:tc>
      </w:tr>
      <w:tr w:rsidR="00800602" w:rsidRPr="003C3A62" w:rsidTr="0081587D">
        <w:tc>
          <w:tcPr>
            <w:tcW w:w="874" w:type="pct"/>
            <w:tcBorders>
              <w:bottom w:val="single" w:sz="4" w:space="0" w:color="auto"/>
            </w:tcBorders>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TESLA</w:t>
            </w:r>
          </w:p>
        </w:tc>
        <w:tc>
          <w:tcPr>
            <w:tcW w:w="403"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50</w:t>
            </w:r>
          </w:p>
        </w:tc>
        <w:tc>
          <w:tcPr>
            <w:tcW w:w="1159"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DB, PG, PC</w:t>
            </w:r>
          </w:p>
          <w:p w:rsidR="00800602" w:rsidRPr="003C3A62" w:rsidRDefault="00800602" w:rsidP="0081587D">
            <w:pPr>
              <w:jc w:val="center"/>
              <w:rPr>
                <w:rFonts w:ascii="Arial Narrow" w:hAnsi="Arial Narrow"/>
                <w:sz w:val="20"/>
              </w:rPr>
            </w:pPr>
            <w:r w:rsidRPr="003C3A62">
              <w:rPr>
                <w:rFonts w:ascii="Arial Narrow" w:hAnsi="Arial Narrow"/>
                <w:sz w:val="20"/>
              </w:rPr>
              <w:t>4 treatment arms</w:t>
            </w:r>
          </w:p>
          <w:p w:rsidR="00800602" w:rsidRPr="003C3A62" w:rsidRDefault="00800602" w:rsidP="0081587D">
            <w:pPr>
              <w:jc w:val="center"/>
              <w:rPr>
                <w:rFonts w:ascii="Arial Narrow" w:hAnsi="Arial Narrow"/>
                <w:sz w:val="20"/>
              </w:rPr>
            </w:pPr>
            <w:r w:rsidRPr="003C3A62">
              <w:rPr>
                <w:rFonts w:ascii="Arial Narrow" w:hAnsi="Arial Narrow"/>
                <w:sz w:val="20"/>
              </w:rPr>
              <w:t>12 weeks</w:t>
            </w:r>
          </w:p>
        </w:tc>
        <w:tc>
          <w:tcPr>
            <w:tcW w:w="411"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w:t>
            </w:r>
          </w:p>
        </w:tc>
        <w:tc>
          <w:tcPr>
            <w:tcW w:w="930"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HoFH</w:t>
            </w:r>
          </w:p>
        </w:tc>
        <w:tc>
          <w:tcPr>
            <w:tcW w:w="565"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Change in LDL levels</w:t>
            </w:r>
          </w:p>
        </w:tc>
        <w:tc>
          <w:tcPr>
            <w:tcW w:w="658" w:type="pct"/>
            <w:tcBorders>
              <w:bottom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r w:rsidR="00800602" w:rsidRPr="003C3A62" w:rsidTr="0081587D">
        <w:tc>
          <w:tcPr>
            <w:tcW w:w="5000" w:type="pct"/>
            <w:gridSpan w:val="7"/>
            <w:tcBorders>
              <w:top w:val="single" w:sz="4" w:space="0" w:color="auto"/>
            </w:tcBorders>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Evolocumab vs ezetimibe</w:t>
            </w:r>
          </w:p>
        </w:tc>
      </w:tr>
      <w:tr w:rsidR="00800602" w:rsidRPr="003C3A62" w:rsidTr="0081587D">
        <w:tc>
          <w:tcPr>
            <w:tcW w:w="874" w:type="pct"/>
            <w:tcBorders>
              <w:top w:val="single" w:sz="4" w:space="0" w:color="auto"/>
            </w:tcBorders>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GAUSS-2</w:t>
            </w:r>
          </w:p>
        </w:tc>
        <w:tc>
          <w:tcPr>
            <w:tcW w:w="403" w:type="pct"/>
            <w:tcBorders>
              <w:top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307</w:t>
            </w:r>
          </w:p>
        </w:tc>
        <w:tc>
          <w:tcPr>
            <w:tcW w:w="1159" w:type="pct"/>
            <w:tcBorders>
              <w:top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DB, PG, AC</w:t>
            </w:r>
          </w:p>
          <w:p w:rsidR="00800602" w:rsidRPr="003C3A62" w:rsidRDefault="00800602" w:rsidP="0081587D">
            <w:pPr>
              <w:jc w:val="center"/>
              <w:rPr>
                <w:rFonts w:ascii="Arial Narrow" w:hAnsi="Arial Narrow"/>
                <w:sz w:val="20"/>
              </w:rPr>
            </w:pPr>
            <w:r w:rsidRPr="003C3A62">
              <w:rPr>
                <w:rFonts w:ascii="Arial Narrow" w:hAnsi="Arial Narrow"/>
                <w:sz w:val="20"/>
              </w:rPr>
              <w:t>4 treatment arms</w:t>
            </w:r>
          </w:p>
          <w:p w:rsidR="00800602" w:rsidRPr="003C3A62" w:rsidRDefault="00800602" w:rsidP="0081587D">
            <w:pPr>
              <w:jc w:val="center"/>
              <w:rPr>
                <w:rFonts w:ascii="Arial Narrow" w:hAnsi="Arial Narrow"/>
                <w:sz w:val="20"/>
              </w:rPr>
            </w:pPr>
            <w:r w:rsidRPr="003C3A62">
              <w:rPr>
                <w:rFonts w:ascii="Arial Narrow" w:hAnsi="Arial Narrow"/>
                <w:sz w:val="20"/>
              </w:rPr>
              <w:t>12 weeks</w:t>
            </w:r>
          </w:p>
        </w:tc>
        <w:tc>
          <w:tcPr>
            <w:tcW w:w="411" w:type="pct"/>
            <w:tcBorders>
              <w:top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w:t>
            </w:r>
          </w:p>
        </w:tc>
        <w:tc>
          <w:tcPr>
            <w:tcW w:w="930" w:type="pct"/>
            <w:tcBorders>
              <w:top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Statin-intolerant patients </w:t>
            </w:r>
          </w:p>
        </w:tc>
        <w:tc>
          <w:tcPr>
            <w:tcW w:w="565" w:type="pct"/>
            <w:tcBorders>
              <w:top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Change in LDL levels</w:t>
            </w:r>
          </w:p>
        </w:tc>
        <w:tc>
          <w:tcPr>
            <w:tcW w:w="658" w:type="pct"/>
            <w:tcBorders>
              <w:top w:val="single" w:sz="4" w:space="0" w:color="auto"/>
            </w:tcBorders>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LAPLACE-2</w:t>
            </w:r>
          </w:p>
        </w:tc>
        <w:tc>
          <w:tcPr>
            <w:tcW w:w="403"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2,067</w:t>
            </w:r>
          </w:p>
        </w:tc>
        <w:tc>
          <w:tcPr>
            <w:tcW w:w="1159"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DB, PG, AC, PC</w:t>
            </w:r>
          </w:p>
          <w:p w:rsidR="00800602" w:rsidRPr="003C3A62" w:rsidRDefault="00800602" w:rsidP="0081587D">
            <w:pPr>
              <w:jc w:val="center"/>
              <w:rPr>
                <w:rFonts w:ascii="Arial Narrow" w:hAnsi="Arial Narrow"/>
                <w:sz w:val="20"/>
              </w:rPr>
            </w:pPr>
            <w:r w:rsidRPr="003C3A62">
              <w:rPr>
                <w:rFonts w:ascii="Arial Narrow" w:hAnsi="Arial Narrow"/>
                <w:sz w:val="20"/>
              </w:rPr>
              <w:t>24 treatment arms</w:t>
            </w:r>
          </w:p>
          <w:p w:rsidR="00800602" w:rsidRPr="003C3A62" w:rsidRDefault="00800602" w:rsidP="0081587D">
            <w:pPr>
              <w:jc w:val="center"/>
              <w:rPr>
                <w:rFonts w:ascii="Arial Narrow" w:hAnsi="Arial Narrow"/>
                <w:sz w:val="20"/>
              </w:rPr>
            </w:pPr>
            <w:r w:rsidRPr="003C3A62">
              <w:rPr>
                <w:rFonts w:ascii="Arial Narrow" w:hAnsi="Arial Narrow"/>
                <w:sz w:val="20"/>
              </w:rPr>
              <w:t>12 weeks</w:t>
            </w:r>
          </w:p>
        </w:tc>
        <w:tc>
          <w:tcPr>
            <w:tcW w:w="411"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w:t>
            </w:r>
          </w:p>
        </w:tc>
        <w:tc>
          <w:tcPr>
            <w:tcW w:w="930"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Patients requiring combination with statin</w:t>
            </w:r>
          </w:p>
        </w:tc>
        <w:tc>
          <w:tcPr>
            <w:tcW w:w="565"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Change in LDL levels</w:t>
            </w:r>
          </w:p>
        </w:tc>
        <w:tc>
          <w:tcPr>
            <w:tcW w:w="65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 LDL levels</w:t>
            </w:r>
          </w:p>
        </w:tc>
      </w:tr>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MENDEL-2</w:t>
            </w:r>
          </w:p>
        </w:tc>
        <w:tc>
          <w:tcPr>
            <w:tcW w:w="403"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615</w:t>
            </w:r>
          </w:p>
        </w:tc>
        <w:tc>
          <w:tcPr>
            <w:tcW w:w="1159"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DB, PG, AC, PC</w:t>
            </w:r>
          </w:p>
          <w:p w:rsidR="00800602" w:rsidRPr="003C3A62" w:rsidRDefault="00800602" w:rsidP="0081587D">
            <w:pPr>
              <w:jc w:val="center"/>
              <w:rPr>
                <w:rFonts w:ascii="Arial Narrow" w:hAnsi="Arial Narrow"/>
                <w:sz w:val="20"/>
              </w:rPr>
            </w:pPr>
            <w:r w:rsidRPr="003C3A62">
              <w:rPr>
                <w:rFonts w:ascii="Arial Narrow" w:hAnsi="Arial Narrow"/>
                <w:sz w:val="20"/>
              </w:rPr>
              <w:t>6 treatments arms</w:t>
            </w:r>
          </w:p>
          <w:p w:rsidR="00800602" w:rsidRPr="003C3A62" w:rsidRDefault="00800602" w:rsidP="0081587D">
            <w:pPr>
              <w:jc w:val="center"/>
              <w:rPr>
                <w:rFonts w:ascii="Arial Narrow" w:hAnsi="Arial Narrow"/>
                <w:sz w:val="20"/>
              </w:rPr>
            </w:pPr>
            <w:r w:rsidRPr="003C3A62">
              <w:rPr>
                <w:rFonts w:ascii="Arial Narrow" w:hAnsi="Arial Narrow"/>
                <w:sz w:val="20"/>
              </w:rPr>
              <w:t>12 weeks</w:t>
            </w:r>
          </w:p>
        </w:tc>
        <w:tc>
          <w:tcPr>
            <w:tcW w:w="411"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w:t>
            </w:r>
          </w:p>
        </w:tc>
        <w:tc>
          <w:tcPr>
            <w:tcW w:w="930"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Low-risk patients requiring monotherapy</w:t>
            </w:r>
          </w:p>
        </w:tc>
        <w:tc>
          <w:tcPr>
            <w:tcW w:w="565"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Change in LDL levels</w:t>
            </w:r>
          </w:p>
        </w:tc>
        <w:tc>
          <w:tcPr>
            <w:tcW w:w="65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r w:rsidR="00800602" w:rsidRPr="003C3A62" w:rsidTr="0081587D">
        <w:tc>
          <w:tcPr>
            <w:tcW w:w="1" w:type="pct"/>
            <w:gridSpan w:val="7"/>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Evolocumab supportive studies</w:t>
            </w:r>
          </w:p>
        </w:tc>
      </w:tr>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DESCARTES</w:t>
            </w:r>
          </w:p>
          <w:p w:rsidR="00800602" w:rsidRPr="003C3A62" w:rsidRDefault="00800602" w:rsidP="0081587D">
            <w:pPr>
              <w:jc w:val="left"/>
              <w:rPr>
                <w:rFonts w:ascii="Arial Narrow" w:hAnsi="Arial Narrow"/>
                <w:sz w:val="20"/>
              </w:rPr>
            </w:pPr>
            <w:r w:rsidRPr="003C3A62">
              <w:rPr>
                <w:rFonts w:ascii="Arial Narrow" w:hAnsi="Arial Narrow"/>
                <w:sz w:val="20"/>
              </w:rPr>
              <w:t>vs placebo</w:t>
            </w:r>
          </w:p>
        </w:tc>
        <w:tc>
          <w:tcPr>
            <w:tcW w:w="403"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905</w:t>
            </w:r>
          </w:p>
        </w:tc>
        <w:tc>
          <w:tcPr>
            <w:tcW w:w="1159"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DB, PG, PC</w:t>
            </w:r>
          </w:p>
          <w:p w:rsidR="00800602" w:rsidRPr="003C3A62" w:rsidRDefault="00800602" w:rsidP="0081587D">
            <w:pPr>
              <w:jc w:val="center"/>
              <w:rPr>
                <w:rFonts w:ascii="Arial Narrow" w:hAnsi="Arial Narrow"/>
                <w:sz w:val="20"/>
              </w:rPr>
            </w:pPr>
            <w:r w:rsidRPr="003C3A62">
              <w:rPr>
                <w:rFonts w:ascii="Arial Narrow" w:hAnsi="Arial Narrow"/>
                <w:sz w:val="20"/>
              </w:rPr>
              <w:t>4 treatment arms</w:t>
            </w:r>
          </w:p>
          <w:p w:rsidR="00800602" w:rsidRPr="003C3A62" w:rsidRDefault="00800602" w:rsidP="0081587D">
            <w:pPr>
              <w:jc w:val="center"/>
              <w:rPr>
                <w:rFonts w:ascii="Arial Narrow" w:hAnsi="Arial Narrow"/>
                <w:sz w:val="20"/>
              </w:rPr>
            </w:pPr>
            <w:r w:rsidRPr="003C3A62">
              <w:rPr>
                <w:rFonts w:ascii="Arial Narrow" w:hAnsi="Arial Narrow"/>
                <w:sz w:val="20"/>
              </w:rPr>
              <w:t>52 weeks</w:t>
            </w:r>
          </w:p>
        </w:tc>
        <w:tc>
          <w:tcPr>
            <w:tcW w:w="411"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Low</w:t>
            </w:r>
          </w:p>
        </w:tc>
        <w:tc>
          <w:tcPr>
            <w:tcW w:w="930"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Patients failing current therapies</w:t>
            </w:r>
          </w:p>
        </w:tc>
        <w:tc>
          <w:tcPr>
            <w:tcW w:w="565"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Change in LDL levels</w:t>
            </w:r>
          </w:p>
        </w:tc>
        <w:tc>
          <w:tcPr>
            <w:tcW w:w="65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OSLER-1</w:t>
            </w:r>
          </w:p>
          <w:p w:rsidR="00800602" w:rsidRPr="003C3A62" w:rsidRDefault="00800602" w:rsidP="0081587D">
            <w:pPr>
              <w:jc w:val="left"/>
              <w:rPr>
                <w:rFonts w:ascii="Arial Narrow" w:hAnsi="Arial Narrow"/>
                <w:sz w:val="20"/>
              </w:rPr>
            </w:pPr>
            <w:r w:rsidRPr="003C3A62">
              <w:rPr>
                <w:rFonts w:ascii="Arial Narrow" w:hAnsi="Arial Narrow"/>
                <w:sz w:val="20"/>
              </w:rPr>
              <w:t>vs standard care</w:t>
            </w:r>
          </w:p>
        </w:tc>
        <w:tc>
          <w:tcPr>
            <w:tcW w:w="403"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1,324</w:t>
            </w:r>
          </w:p>
        </w:tc>
        <w:tc>
          <w:tcPr>
            <w:tcW w:w="1159"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OL, PG</w:t>
            </w:r>
          </w:p>
          <w:p w:rsidR="00800602" w:rsidRPr="003C3A62" w:rsidRDefault="00800602" w:rsidP="0081587D">
            <w:pPr>
              <w:jc w:val="center"/>
              <w:rPr>
                <w:rFonts w:ascii="Arial Narrow" w:hAnsi="Arial Narrow"/>
                <w:sz w:val="20"/>
              </w:rPr>
            </w:pPr>
            <w:r w:rsidRPr="003C3A62">
              <w:rPr>
                <w:rFonts w:ascii="Arial Narrow" w:hAnsi="Arial Narrow"/>
                <w:sz w:val="20"/>
              </w:rPr>
              <w:t>52 weeks with extension up to 5 years</w:t>
            </w:r>
          </w:p>
        </w:tc>
        <w:tc>
          <w:tcPr>
            <w:tcW w:w="411"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High</w:t>
            </w:r>
          </w:p>
        </w:tc>
        <w:tc>
          <w:tcPr>
            <w:tcW w:w="930"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Patients from evolocumab </w:t>
            </w:r>
          </w:p>
          <w:p w:rsidR="00800602" w:rsidRPr="003C3A62" w:rsidRDefault="00800602" w:rsidP="0081587D">
            <w:pPr>
              <w:jc w:val="center"/>
              <w:rPr>
                <w:rFonts w:ascii="Arial Narrow" w:hAnsi="Arial Narrow"/>
                <w:sz w:val="20"/>
              </w:rPr>
            </w:pPr>
            <w:r w:rsidRPr="003C3A62">
              <w:rPr>
                <w:rFonts w:ascii="Arial Narrow" w:hAnsi="Arial Narrow"/>
                <w:sz w:val="20"/>
              </w:rPr>
              <w:t>Phase II trials</w:t>
            </w:r>
          </w:p>
        </w:tc>
        <w:tc>
          <w:tcPr>
            <w:tcW w:w="565"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Adverse events</w:t>
            </w:r>
          </w:p>
        </w:tc>
        <w:tc>
          <w:tcPr>
            <w:tcW w:w="65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OSLER-2</w:t>
            </w:r>
          </w:p>
          <w:p w:rsidR="00800602" w:rsidRPr="003C3A62" w:rsidRDefault="00800602" w:rsidP="0081587D">
            <w:pPr>
              <w:jc w:val="left"/>
              <w:rPr>
                <w:rFonts w:ascii="Arial Narrow" w:hAnsi="Arial Narrow"/>
                <w:sz w:val="20"/>
              </w:rPr>
            </w:pPr>
            <w:r w:rsidRPr="003C3A62">
              <w:rPr>
                <w:rFonts w:ascii="Arial Narrow" w:hAnsi="Arial Narrow"/>
                <w:sz w:val="20"/>
              </w:rPr>
              <w:t>vs standard care</w:t>
            </w:r>
          </w:p>
        </w:tc>
        <w:tc>
          <w:tcPr>
            <w:tcW w:w="403"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3,121</w:t>
            </w:r>
          </w:p>
        </w:tc>
        <w:tc>
          <w:tcPr>
            <w:tcW w:w="1159"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MC, R, OL, PG</w:t>
            </w:r>
          </w:p>
          <w:p w:rsidR="00800602" w:rsidRPr="003C3A62" w:rsidRDefault="00800602" w:rsidP="0081587D">
            <w:pPr>
              <w:jc w:val="center"/>
              <w:rPr>
                <w:rFonts w:ascii="Arial Narrow" w:hAnsi="Arial Narrow"/>
                <w:sz w:val="20"/>
              </w:rPr>
            </w:pPr>
            <w:r w:rsidRPr="003C3A62">
              <w:rPr>
                <w:rFonts w:ascii="Arial Narrow" w:hAnsi="Arial Narrow"/>
                <w:sz w:val="20"/>
              </w:rPr>
              <w:t>52 weeks with extension up to 5 years</w:t>
            </w:r>
          </w:p>
        </w:tc>
        <w:tc>
          <w:tcPr>
            <w:tcW w:w="411"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High</w:t>
            </w:r>
          </w:p>
        </w:tc>
        <w:tc>
          <w:tcPr>
            <w:tcW w:w="930"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Patients from evolocumab </w:t>
            </w:r>
          </w:p>
          <w:p w:rsidR="00800602" w:rsidRPr="003C3A62" w:rsidRDefault="00800602" w:rsidP="0081587D">
            <w:pPr>
              <w:jc w:val="center"/>
              <w:rPr>
                <w:rFonts w:ascii="Arial Narrow" w:hAnsi="Arial Narrow"/>
                <w:sz w:val="20"/>
              </w:rPr>
            </w:pPr>
            <w:r w:rsidRPr="003C3A62">
              <w:rPr>
                <w:rFonts w:ascii="Arial Narrow" w:hAnsi="Arial Narrow"/>
                <w:sz w:val="20"/>
              </w:rPr>
              <w:t>Phase III trials</w:t>
            </w:r>
          </w:p>
        </w:tc>
        <w:tc>
          <w:tcPr>
            <w:tcW w:w="565"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Adverse events</w:t>
            </w:r>
          </w:p>
        </w:tc>
        <w:tc>
          <w:tcPr>
            <w:tcW w:w="65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r w:rsidR="00800602" w:rsidRPr="003C3A62" w:rsidTr="0081587D">
        <w:tc>
          <w:tcPr>
            <w:tcW w:w="8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TAUSSIG</w:t>
            </w:r>
          </w:p>
        </w:tc>
        <w:tc>
          <w:tcPr>
            <w:tcW w:w="403"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238</w:t>
            </w:r>
          </w:p>
        </w:tc>
        <w:tc>
          <w:tcPr>
            <w:tcW w:w="1159"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Extension study up to 5 years</w:t>
            </w:r>
          </w:p>
        </w:tc>
        <w:tc>
          <w:tcPr>
            <w:tcW w:w="411"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High</w:t>
            </w:r>
          </w:p>
        </w:tc>
        <w:tc>
          <w:tcPr>
            <w:tcW w:w="930"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Severe FH</w:t>
            </w:r>
          </w:p>
        </w:tc>
        <w:tc>
          <w:tcPr>
            <w:tcW w:w="565"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Adverse events</w:t>
            </w:r>
          </w:p>
        </w:tc>
        <w:tc>
          <w:tcPr>
            <w:tcW w:w="65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Not used</w:t>
            </w:r>
          </w:p>
        </w:tc>
      </w:tr>
    </w:tbl>
    <w:p w:rsidR="00800602" w:rsidRPr="003C3A62" w:rsidRDefault="00800602" w:rsidP="00800602">
      <w:pPr>
        <w:pStyle w:val="TableFooter"/>
        <w:ind w:left="720"/>
      </w:pPr>
      <w:r w:rsidRPr="003C3A62">
        <w:t>Abbreviations: AC, active-control; DB, double blind; HeFH, heterozygous familial hypercholesterolaemia; HoFH, homozygous familial hypercholesterolaemia;  LDL, low-density lipoprotein; MC, multicentre; PC, placebo-control; PG, parallel-group; R, randomised.</w:t>
      </w:r>
    </w:p>
    <w:p w:rsidR="00800602" w:rsidRPr="003C3A62" w:rsidRDefault="00800602" w:rsidP="00800602">
      <w:pPr>
        <w:pStyle w:val="TableFooter"/>
        <w:ind w:firstLine="720"/>
      </w:pPr>
      <w:r w:rsidRPr="003C3A62">
        <w:t>Source: Constructed during the evaluation</w:t>
      </w:r>
    </w:p>
    <w:p w:rsidR="00800602" w:rsidRPr="003C3A62" w:rsidRDefault="00800602" w:rsidP="00800602">
      <w:pPr>
        <w:rPr>
          <w:szCs w:val="22"/>
        </w:rPr>
      </w:pPr>
    </w:p>
    <w:p w:rsidR="00800602" w:rsidRPr="00061C45" w:rsidRDefault="00800602" w:rsidP="00FA0151">
      <w:pPr>
        <w:pStyle w:val="Heading2"/>
      </w:pPr>
      <w:bookmarkStart w:id="7" w:name="_Toc441052818"/>
      <w:r w:rsidRPr="00061C45">
        <w:t>Comparative effectiveness</w:t>
      </w:r>
      <w:bookmarkEnd w:id="7"/>
    </w:p>
    <w:p w:rsidR="00800602" w:rsidRPr="003C3A62" w:rsidRDefault="00800602" w:rsidP="00800602">
      <w:pPr>
        <w:rPr>
          <w:szCs w:val="22"/>
        </w:rPr>
      </w:pPr>
    </w:p>
    <w:p w:rsidR="00572508" w:rsidRPr="003C3A62" w:rsidRDefault="00572508" w:rsidP="00572508">
      <w:pPr>
        <w:pStyle w:val="ListParagraph"/>
        <w:widowControl/>
        <w:numPr>
          <w:ilvl w:val="1"/>
          <w:numId w:val="4"/>
        </w:numPr>
        <w:rPr>
          <w:szCs w:val="22"/>
        </w:rPr>
      </w:pPr>
      <w:r w:rsidRPr="003C3A62">
        <w:rPr>
          <w:szCs w:val="22"/>
        </w:rPr>
        <w:t>LDL outcomes with evolocumab compared to ezetimibe or placebo were unchanged from the previous March 2015 submission.</w:t>
      </w:r>
    </w:p>
    <w:p w:rsidR="00572508" w:rsidRPr="003C3A62" w:rsidRDefault="00572508" w:rsidP="009678A1">
      <w:pPr>
        <w:pStyle w:val="ListParagraph"/>
        <w:widowControl/>
        <w:rPr>
          <w:szCs w:val="22"/>
        </w:rPr>
      </w:pPr>
    </w:p>
    <w:p w:rsidR="00800602" w:rsidRPr="003C3A62" w:rsidRDefault="00800602" w:rsidP="00800602">
      <w:pPr>
        <w:pStyle w:val="ListParagraph"/>
        <w:widowControl/>
        <w:numPr>
          <w:ilvl w:val="1"/>
          <w:numId w:val="4"/>
        </w:numPr>
        <w:rPr>
          <w:szCs w:val="22"/>
        </w:rPr>
      </w:pPr>
      <w:r w:rsidRPr="003C3A62">
        <w:rPr>
          <w:szCs w:val="22"/>
        </w:rPr>
        <w:t>Table 3 summarises the mean change in LDL levels from baseline with evolocumab and placebo in patients with heterozygous familial hypercholesterolaemia.</w:t>
      </w:r>
    </w:p>
    <w:p w:rsidR="00800602" w:rsidRPr="003C3A62" w:rsidRDefault="00800602" w:rsidP="00800602">
      <w:pPr>
        <w:widowControl/>
        <w:rPr>
          <w:szCs w:val="22"/>
        </w:rPr>
      </w:pPr>
    </w:p>
    <w:p w:rsidR="00061C45" w:rsidRDefault="00061C45" w:rsidP="00800602">
      <w:pPr>
        <w:ind w:left="720"/>
        <w:rPr>
          <w:rFonts w:ascii="Arial Narrow" w:hAnsi="Arial Narrow"/>
          <w:b/>
          <w:sz w:val="20"/>
        </w:rPr>
      </w:pPr>
      <w:r>
        <w:rPr>
          <w:rFonts w:ascii="Arial Narrow" w:hAnsi="Arial Narrow"/>
          <w:b/>
          <w:sz w:val="20"/>
        </w:rPr>
        <w:br w:type="page"/>
      </w:r>
    </w:p>
    <w:p w:rsidR="00800602" w:rsidRPr="003C3A62" w:rsidRDefault="00800602" w:rsidP="00800602">
      <w:pPr>
        <w:ind w:left="720"/>
        <w:rPr>
          <w:rFonts w:ascii="Arial Narrow" w:hAnsi="Arial Narrow"/>
          <w:b/>
          <w:sz w:val="20"/>
        </w:rPr>
      </w:pPr>
      <w:r w:rsidRPr="003C3A62">
        <w:rPr>
          <w:rFonts w:ascii="Arial Narrow" w:hAnsi="Arial Narrow"/>
          <w:b/>
          <w:sz w:val="20"/>
        </w:rPr>
        <w:lastRenderedPageBreak/>
        <w:t xml:space="preserve">Table 3: Mean percent change in calculated LDL levels in patients with heterozygous familial hypercholesterolaemia </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49"/>
        <w:gridCol w:w="1452"/>
        <w:gridCol w:w="2836"/>
      </w:tblGrid>
      <w:tr w:rsidR="00800602" w:rsidRPr="003C3A62" w:rsidTr="0081587D">
        <w:trPr>
          <w:cantSplit/>
          <w:trHeight w:val="167"/>
          <w:tblHeader/>
        </w:trPr>
        <w:tc>
          <w:tcPr>
            <w:tcW w:w="1563" w:type="pct"/>
            <w:tcBorders>
              <w:righ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Trial</w:t>
            </w:r>
          </w:p>
        </w:tc>
        <w:tc>
          <w:tcPr>
            <w:tcW w:w="868" w:type="pct"/>
            <w:tcBorders>
              <w:left w:val="single" w:sz="4" w:space="0" w:color="auto"/>
              <w:righ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Evolocumab,</w:t>
            </w:r>
          </w:p>
          <w:p w:rsidR="00800602" w:rsidRPr="003C3A62" w:rsidRDefault="00800602" w:rsidP="0081587D">
            <w:pPr>
              <w:jc w:val="center"/>
              <w:rPr>
                <w:rFonts w:ascii="Arial Narrow" w:hAnsi="Arial Narrow"/>
                <w:b/>
                <w:sz w:val="20"/>
              </w:rPr>
            </w:pPr>
            <w:r w:rsidRPr="003C3A62">
              <w:rPr>
                <w:rFonts w:ascii="Arial Narrow" w:hAnsi="Arial Narrow"/>
                <w:b/>
                <w:sz w:val="20"/>
              </w:rPr>
              <w:t>Mean (95% CI)</w:t>
            </w:r>
          </w:p>
        </w:tc>
        <w:tc>
          <w:tcPr>
            <w:tcW w:w="870" w:type="pct"/>
            <w:tcBorders>
              <w:left w:val="single" w:sz="4" w:space="0" w:color="auto"/>
              <w:righ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Placebo,</w:t>
            </w:r>
          </w:p>
          <w:p w:rsidR="00800602" w:rsidRPr="003C3A62" w:rsidRDefault="00800602" w:rsidP="0081587D">
            <w:pPr>
              <w:jc w:val="center"/>
              <w:rPr>
                <w:rFonts w:ascii="Arial Narrow" w:hAnsi="Arial Narrow"/>
                <w:b/>
                <w:sz w:val="20"/>
              </w:rPr>
            </w:pPr>
            <w:r w:rsidRPr="003C3A62">
              <w:rPr>
                <w:rFonts w:ascii="Arial Narrow" w:hAnsi="Arial Narrow"/>
                <w:b/>
                <w:sz w:val="20"/>
              </w:rPr>
              <w:t xml:space="preserve"> Mean (95% CI)</w:t>
            </w:r>
          </w:p>
        </w:tc>
        <w:tc>
          <w:tcPr>
            <w:tcW w:w="1699" w:type="pct"/>
            <w:tcBorders>
              <w:lef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 xml:space="preserve">Treatment difference, </w:t>
            </w:r>
          </w:p>
          <w:p w:rsidR="00800602" w:rsidRPr="003C3A62" w:rsidRDefault="00800602" w:rsidP="0081587D">
            <w:pPr>
              <w:jc w:val="center"/>
              <w:rPr>
                <w:rFonts w:ascii="Arial Narrow" w:hAnsi="Arial Narrow"/>
                <w:b/>
                <w:sz w:val="20"/>
              </w:rPr>
            </w:pPr>
            <w:r w:rsidRPr="003C3A62">
              <w:rPr>
                <w:rFonts w:ascii="Arial Narrow" w:hAnsi="Arial Narrow"/>
                <w:b/>
                <w:sz w:val="20"/>
              </w:rPr>
              <w:t>Mean (95% CI)</w:t>
            </w:r>
          </w:p>
        </w:tc>
      </w:tr>
      <w:tr w:rsidR="00800602" w:rsidRPr="003C3A62" w:rsidTr="0081587D">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Baseline to Week 10/12</w:t>
            </w:r>
          </w:p>
        </w:tc>
      </w:tr>
      <w:tr w:rsidR="00800602" w:rsidRPr="003C3A62" w:rsidTr="0081587D">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Fortnightly dosing</w:t>
            </w:r>
          </w:p>
          <w:p w:rsidR="00800602" w:rsidRPr="003C3A62" w:rsidRDefault="00800602" w:rsidP="0081587D">
            <w:pPr>
              <w:jc w:val="left"/>
              <w:rPr>
                <w:rFonts w:ascii="Arial Narrow" w:hAnsi="Arial Narrow"/>
                <w:sz w:val="20"/>
              </w:rPr>
            </w:pPr>
            <w:r w:rsidRPr="003C3A62">
              <w:rPr>
                <w:rFonts w:ascii="Arial Narrow" w:hAnsi="Arial Narrow"/>
                <w:sz w:val="20"/>
              </w:rPr>
              <w:t>N = 164</w:t>
            </w:r>
          </w:p>
        </w:tc>
        <w:tc>
          <w:tcPr>
            <w:tcW w:w="868"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-62.7% </w:t>
            </w:r>
          </w:p>
          <w:p w:rsidR="00800602" w:rsidRPr="003C3A62" w:rsidRDefault="00800602" w:rsidP="0081587D">
            <w:pPr>
              <w:jc w:val="center"/>
              <w:rPr>
                <w:rFonts w:ascii="Arial Narrow" w:hAnsi="Arial Narrow"/>
                <w:sz w:val="20"/>
              </w:rPr>
            </w:pPr>
            <w:r w:rsidRPr="003C3A62">
              <w:rPr>
                <w:rFonts w:ascii="Arial Narrow" w:hAnsi="Arial Narrow"/>
                <w:sz w:val="20"/>
              </w:rPr>
              <w:t>(-66.2, -59.2)</w:t>
            </w:r>
          </w:p>
        </w:tc>
        <w:tc>
          <w:tcPr>
            <w:tcW w:w="870"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-1.4% </w:t>
            </w:r>
          </w:p>
          <w:p w:rsidR="00800602" w:rsidRPr="003C3A62" w:rsidRDefault="00800602" w:rsidP="0081587D">
            <w:pPr>
              <w:jc w:val="center"/>
              <w:rPr>
                <w:rFonts w:ascii="Arial Narrow" w:hAnsi="Arial Narrow"/>
                <w:sz w:val="20"/>
              </w:rPr>
            </w:pPr>
            <w:r w:rsidRPr="003C3A62">
              <w:rPr>
                <w:rFonts w:ascii="Arial Narrow" w:hAnsi="Arial Narrow"/>
                <w:sz w:val="20"/>
              </w:rPr>
              <w:t>(-6.3, 3.6)</w:t>
            </w:r>
          </w:p>
        </w:tc>
        <w:tc>
          <w:tcPr>
            <w:tcW w:w="1699"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-61.3% </w:t>
            </w:r>
          </w:p>
          <w:p w:rsidR="00800602" w:rsidRPr="003C3A62" w:rsidRDefault="00800602" w:rsidP="0081587D">
            <w:pPr>
              <w:jc w:val="center"/>
              <w:rPr>
                <w:rFonts w:ascii="Arial Narrow" w:hAnsi="Arial Narrow"/>
                <w:sz w:val="20"/>
              </w:rPr>
            </w:pPr>
            <w:r w:rsidRPr="003C3A62">
              <w:rPr>
                <w:rFonts w:ascii="Arial Narrow" w:hAnsi="Arial Narrow"/>
                <w:sz w:val="20"/>
              </w:rPr>
              <w:t>(-67.2, -55.4)</w:t>
            </w:r>
          </w:p>
        </w:tc>
      </w:tr>
      <w:tr w:rsidR="00800602" w:rsidRPr="003C3A62" w:rsidTr="0081587D">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Monthly dosing</w:t>
            </w:r>
          </w:p>
          <w:p w:rsidR="00800602" w:rsidRPr="003C3A62" w:rsidRDefault="00800602" w:rsidP="0081587D">
            <w:pPr>
              <w:jc w:val="left"/>
              <w:rPr>
                <w:rFonts w:ascii="Arial Narrow" w:hAnsi="Arial Narrow"/>
                <w:sz w:val="20"/>
              </w:rPr>
            </w:pPr>
            <w:r w:rsidRPr="003C3A62">
              <w:rPr>
                <w:rFonts w:ascii="Arial Narrow" w:hAnsi="Arial Narrow"/>
                <w:sz w:val="20"/>
              </w:rPr>
              <w:t>N = 165</w:t>
            </w:r>
          </w:p>
        </w:tc>
        <w:tc>
          <w:tcPr>
            <w:tcW w:w="868"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-64.7% </w:t>
            </w:r>
          </w:p>
          <w:p w:rsidR="00800602" w:rsidRPr="003C3A62" w:rsidRDefault="00800602" w:rsidP="0081587D">
            <w:pPr>
              <w:jc w:val="center"/>
              <w:rPr>
                <w:rFonts w:ascii="Arial Narrow" w:hAnsi="Arial Narrow"/>
                <w:sz w:val="20"/>
              </w:rPr>
            </w:pPr>
            <w:r w:rsidRPr="003C3A62">
              <w:rPr>
                <w:rFonts w:ascii="Arial Narrow" w:hAnsi="Arial Narrow"/>
                <w:sz w:val="20"/>
              </w:rPr>
              <w:t>(-68.1, -61.4)</w:t>
            </w:r>
          </w:p>
        </w:tc>
        <w:tc>
          <w:tcPr>
            <w:tcW w:w="870"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1.5% </w:t>
            </w:r>
          </w:p>
          <w:p w:rsidR="00800602" w:rsidRPr="003C3A62" w:rsidRDefault="00800602" w:rsidP="0081587D">
            <w:pPr>
              <w:jc w:val="center"/>
              <w:rPr>
                <w:rFonts w:ascii="Arial Narrow" w:hAnsi="Arial Narrow"/>
                <w:sz w:val="20"/>
              </w:rPr>
            </w:pPr>
            <w:r w:rsidRPr="003C3A62">
              <w:rPr>
                <w:rFonts w:ascii="Arial Narrow" w:hAnsi="Arial Narrow"/>
                <w:sz w:val="20"/>
              </w:rPr>
              <w:t>(-3.2, 6.2)</w:t>
            </w:r>
          </w:p>
        </w:tc>
        <w:tc>
          <w:tcPr>
            <w:tcW w:w="1699"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-66.2% </w:t>
            </w:r>
          </w:p>
          <w:p w:rsidR="00800602" w:rsidRPr="003C3A62" w:rsidRDefault="00800602" w:rsidP="0081587D">
            <w:pPr>
              <w:jc w:val="center"/>
              <w:rPr>
                <w:rFonts w:ascii="Arial Narrow" w:hAnsi="Arial Narrow"/>
                <w:sz w:val="20"/>
              </w:rPr>
            </w:pPr>
            <w:r w:rsidRPr="003C3A62">
              <w:rPr>
                <w:rFonts w:ascii="Arial Narrow" w:hAnsi="Arial Narrow"/>
                <w:sz w:val="20"/>
              </w:rPr>
              <w:t>(-71.9, -60.6)</w:t>
            </w:r>
          </w:p>
        </w:tc>
      </w:tr>
    </w:tbl>
    <w:p w:rsidR="00800602" w:rsidRPr="003C3A62" w:rsidRDefault="00800602" w:rsidP="00800602">
      <w:pPr>
        <w:ind w:firstLine="720"/>
        <w:rPr>
          <w:rFonts w:ascii="Arial Narrow" w:hAnsi="Arial Narrow"/>
          <w:sz w:val="18"/>
          <w:szCs w:val="18"/>
        </w:rPr>
      </w:pPr>
      <w:r w:rsidRPr="003C3A62">
        <w:rPr>
          <w:rFonts w:ascii="Arial Narrow" w:hAnsi="Arial Narrow"/>
          <w:sz w:val="18"/>
          <w:szCs w:val="18"/>
        </w:rPr>
        <w:t>Abbreviations: CI, confidence interval; LDL, low-density lipoprotein; SD, standard deviation</w:t>
      </w:r>
    </w:p>
    <w:p w:rsidR="00800602" w:rsidRPr="003C3A62" w:rsidRDefault="00800602" w:rsidP="00800602">
      <w:pPr>
        <w:ind w:firstLine="720"/>
        <w:rPr>
          <w:rFonts w:ascii="Arial Narrow" w:hAnsi="Arial Narrow"/>
          <w:sz w:val="18"/>
          <w:szCs w:val="18"/>
        </w:rPr>
      </w:pPr>
      <w:r w:rsidRPr="003C3A62">
        <w:rPr>
          <w:rFonts w:ascii="Arial Narrow" w:hAnsi="Arial Narrow"/>
          <w:sz w:val="18"/>
          <w:szCs w:val="18"/>
        </w:rPr>
        <w:t>Source: Table B.6-1 (p 64) of the re-submission</w:t>
      </w:r>
    </w:p>
    <w:p w:rsidR="00800602" w:rsidRPr="003C3A62" w:rsidRDefault="00800602" w:rsidP="00800602">
      <w:pPr>
        <w:rPr>
          <w:rFonts w:ascii="Arial Narrow" w:hAnsi="Arial Narrow"/>
          <w:sz w:val="18"/>
          <w:szCs w:val="18"/>
        </w:rPr>
      </w:pPr>
    </w:p>
    <w:p w:rsidR="00800602" w:rsidRPr="003C3A62" w:rsidRDefault="00800602" w:rsidP="004B7939">
      <w:pPr>
        <w:pStyle w:val="ListParagraph"/>
        <w:widowControl/>
        <w:numPr>
          <w:ilvl w:val="1"/>
          <w:numId w:val="4"/>
        </w:numPr>
      </w:pPr>
      <w:r w:rsidRPr="003C3A62">
        <w:t>Treatment with evolocumab (fortnightly and monthly dosing) was associated with statistically significant decreases in LDL levels compared to placebo (approximately 60-65% reduction) in patients with heterozygous familial hypercholesterolaemia not achieving cholesterol targets with statin and non-statin therapies.</w:t>
      </w:r>
    </w:p>
    <w:p w:rsidR="00800602" w:rsidRPr="003C3A62" w:rsidRDefault="00800602" w:rsidP="00800602">
      <w:pPr>
        <w:rPr>
          <w:rFonts w:ascii="Arial Narrow" w:hAnsi="Arial Narrow"/>
          <w:sz w:val="18"/>
          <w:szCs w:val="18"/>
        </w:rPr>
      </w:pPr>
    </w:p>
    <w:p w:rsidR="00800602" w:rsidRPr="003C3A62" w:rsidRDefault="00800602" w:rsidP="00800602">
      <w:pPr>
        <w:pStyle w:val="ListParagraph"/>
        <w:widowControl/>
        <w:numPr>
          <w:ilvl w:val="1"/>
          <w:numId w:val="4"/>
        </w:numPr>
        <w:rPr>
          <w:szCs w:val="22"/>
        </w:rPr>
      </w:pPr>
      <w:r w:rsidRPr="003C3A62">
        <w:rPr>
          <w:szCs w:val="22"/>
        </w:rPr>
        <w:t>Table 4 summarises the mean change in LDL levels from baseline with evolocumab and placebo in patients with homozygous familial hypercholesterolaemia.</w:t>
      </w:r>
    </w:p>
    <w:p w:rsidR="00800602" w:rsidRPr="003C3A62" w:rsidRDefault="00800602" w:rsidP="00800602">
      <w:pPr>
        <w:pStyle w:val="ListParagraph"/>
        <w:widowControl/>
        <w:rPr>
          <w:szCs w:val="22"/>
        </w:rPr>
      </w:pPr>
    </w:p>
    <w:p w:rsidR="00800602" w:rsidRPr="003C3A62" w:rsidRDefault="00800602" w:rsidP="00800602">
      <w:pPr>
        <w:ind w:left="720"/>
        <w:rPr>
          <w:rFonts w:ascii="Arial Narrow" w:hAnsi="Arial Narrow"/>
          <w:b/>
          <w:sz w:val="20"/>
        </w:rPr>
      </w:pPr>
      <w:r w:rsidRPr="003C3A62">
        <w:rPr>
          <w:rFonts w:ascii="Arial Narrow" w:hAnsi="Arial Narrow"/>
          <w:b/>
          <w:sz w:val="20"/>
        </w:rPr>
        <w:t xml:space="preserve">Table 4: Mean percent change in calculated LDL levels in patients with homozygous familial hypercholesterolaemia </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49"/>
        <w:gridCol w:w="1452"/>
        <w:gridCol w:w="2836"/>
      </w:tblGrid>
      <w:tr w:rsidR="00800602" w:rsidRPr="003C3A62" w:rsidTr="0081587D">
        <w:trPr>
          <w:cantSplit/>
          <w:trHeight w:val="167"/>
          <w:tblHeader/>
        </w:trPr>
        <w:tc>
          <w:tcPr>
            <w:tcW w:w="1563" w:type="pct"/>
            <w:tcBorders>
              <w:righ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Trial</w:t>
            </w:r>
          </w:p>
        </w:tc>
        <w:tc>
          <w:tcPr>
            <w:tcW w:w="868" w:type="pct"/>
            <w:tcBorders>
              <w:left w:val="single" w:sz="4" w:space="0" w:color="auto"/>
              <w:righ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Evolocumab,</w:t>
            </w:r>
          </w:p>
          <w:p w:rsidR="00800602" w:rsidRPr="003C3A62" w:rsidRDefault="00800602" w:rsidP="0081587D">
            <w:pPr>
              <w:jc w:val="center"/>
              <w:rPr>
                <w:rFonts w:ascii="Arial Narrow" w:hAnsi="Arial Narrow"/>
                <w:b/>
                <w:sz w:val="20"/>
              </w:rPr>
            </w:pPr>
            <w:r w:rsidRPr="003C3A62">
              <w:rPr>
                <w:rFonts w:ascii="Arial Narrow" w:hAnsi="Arial Narrow"/>
                <w:b/>
                <w:sz w:val="20"/>
              </w:rPr>
              <w:t>Mean (95% CI)</w:t>
            </w:r>
          </w:p>
        </w:tc>
        <w:tc>
          <w:tcPr>
            <w:tcW w:w="870" w:type="pct"/>
            <w:tcBorders>
              <w:left w:val="single" w:sz="4" w:space="0" w:color="auto"/>
              <w:righ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Placebo,</w:t>
            </w:r>
          </w:p>
          <w:p w:rsidR="00800602" w:rsidRPr="003C3A62" w:rsidRDefault="00800602" w:rsidP="0081587D">
            <w:pPr>
              <w:jc w:val="center"/>
              <w:rPr>
                <w:rFonts w:ascii="Arial Narrow" w:hAnsi="Arial Narrow"/>
                <w:b/>
                <w:sz w:val="20"/>
              </w:rPr>
            </w:pPr>
            <w:r w:rsidRPr="003C3A62">
              <w:rPr>
                <w:rFonts w:ascii="Arial Narrow" w:hAnsi="Arial Narrow"/>
                <w:b/>
                <w:sz w:val="20"/>
              </w:rPr>
              <w:t xml:space="preserve"> Mean (95% CI)</w:t>
            </w:r>
          </w:p>
        </w:tc>
        <w:tc>
          <w:tcPr>
            <w:tcW w:w="1699" w:type="pct"/>
            <w:tcBorders>
              <w:left w:val="single" w:sz="4" w:space="0" w:color="auto"/>
            </w:tcBorders>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 xml:space="preserve">Treatment difference, </w:t>
            </w:r>
          </w:p>
          <w:p w:rsidR="00800602" w:rsidRPr="003C3A62" w:rsidRDefault="00800602" w:rsidP="0081587D">
            <w:pPr>
              <w:jc w:val="center"/>
              <w:rPr>
                <w:rFonts w:ascii="Arial Narrow" w:hAnsi="Arial Narrow"/>
                <w:b/>
                <w:sz w:val="20"/>
              </w:rPr>
            </w:pPr>
            <w:r w:rsidRPr="003C3A62">
              <w:rPr>
                <w:rFonts w:ascii="Arial Narrow" w:hAnsi="Arial Narrow"/>
                <w:b/>
                <w:sz w:val="20"/>
              </w:rPr>
              <w:t>Mean (95% CI)</w:t>
            </w:r>
          </w:p>
        </w:tc>
      </w:tr>
      <w:tr w:rsidR="00800602" w:rsidRPr="003C3A62" w:rsidTr="0081587D">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Baseline to Week 12</w:t>
            </w:r>
          </w:p>
        </w:tc>
      </w:tr>
      <w:tr w:rsidR="00800602" w:rsidRPr="003C3A62" w:rsidTr="0081587D">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Monthly dosing</w:t>
            </w:r>
          </w:p>
          <w:p w:rsidR="00800602" w:rsidRPr="003C3A62" w:rsidRDefault="00800602" w:rsidP="0081587D">
            <w:pPr>
              <w:jc w:val="left"/>
              <w:rPr>
                <w:rFonts w:ascii="Arial Narrow" w:hAnsi="Arial Narrow"/>
                <w:sz w:val="20"/>
              </w:rPr>
            </w:pPr>
            <w:r w:rsidRPr="003C3A62">
              <w:rPr>
                <w:rFonts w:ascii="Arial Narrow" w:hAnsi="Arial Narrow"/>
                <w:sz w:val="20"/>
              </w:rPr>
              <w:t>N = 49</w:t>
            </w:r>
          </w:p>
        </w:tc>
        <w:tc>
          <w:tcPr>
            <w:tcW w:w="868"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-23.1% </w:t>
            </w:r>
          </w:p>
          <w:p w:rsidR="00800602" w:rsidRPr="003C3A62" w:rsidRDefault="00800602" w:rsidP="0081587D">
            <w:pPr>
              <w:jc w:val="center"/>
              <w:rPr>
                <w:rFonts w:ascii="Arial Narrow" w:hAnsi="Arial Narrow"/>
                <w:sz w:val="20"/>
              </w:rPr>
            </w:pPr>
            <w:r w:rsidRPr="003C3A62">
              <w:rPr>
                <w:rFonts w:ascii="Arial Narrow" w:hAnsi="Arial Narrow"/>
                <w:sz w:val="20"/>
              </w:rPr>
              <w:t>(-30.8, -15.4)</w:t>
            </w:r>
          </w:p>
        </w:tc>
        <w:tc>
          <w:tcPr>
            <w:tcW w:w="870"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9.0% </w:t>
            </w:r>
          </w:p>
          <w:p w:rsidR="00800602" w:rsidRPr="003C3A62" w:rsidRDefault="00800602" w:rsidP="0081587D">
            <w:pPr>
              <w:jc w:val="center"/>
              <w:rPr>
                <w:rFonts w:ascii="Arial Narrow" w:hAnsi="Arial Narrow"/>
                <w:sz w:val="20"/>
              </w:rPr>
            </w:pPr>
            <w:r w:rsidRPr="003C3A62">
              <w:rPr>
                <w:rFonts w:ascii="Arial Narrow" w:hAnsi="Arial Narrow"/>
                <w:sz w:val="20"/>
              </w:rPr>
              <w:t>(-1.5, 19.6)</w:t>
            </w:r>
          </w:p>
        </w:tc>
        <w:tc>
          <w:tcPr>
            <w:tcW w:w="1699" w:type="pct"/>
            <w:tcBorders>
              <w:top w:val="single" w:sz="4" w:space="0" w:color="auto"/>
              <w:left w:val="single" w:sz="4" w:space="0" w:color="auto"/>
              <w:bottom w:val="single" w:sz="4" w:space="0" w:color="auto"/>
              <w:right w:val="single" w:sz="4" w:space="0" w:color="auto"/>
            </w:tcBorders>
            <w:vAlign w:val="center"/>
          </w:tcPr>
          <w:p w:rsidR="00800602" w:rsidRPr="003C3A62" w:rsidRDefault="00800602" w:rsidP="0081587D">
            <w:pPr>
              <w:jc w:val="center"/>
              <w:rPr>
                <w:rFonts w:ascii="Arial Narrow" w:hAnsi="Arial Narrow"/>
                <w:sz w:val="20"/>
              </w:rPr>
            </w:pPr>
            <w:r w:rsidRPr="003C3A62">
              <w:rPr>
                <w:rFonts w:ascii="Arial Narrow" w:hAnsi="Arial Narrow"/>
                <w:sz w:val="20"/>
              </w:rPr>
              <w:t xml:space="preserve">-32.1% </w:t>
            </w:r>
          </w:p>
          <w:p w:rsidR="00800602" w:rsidRPr="003C3A62" w:rsidRDefault="00800602" w:rsidP="0081587D">
            <w:pPr>
              <w:jc w:val="center"/>
              <w:rPr>
                <w:rFonts w:ascii="Arial Narrow" w:hAnsi="Arial Narrow"/>
                <w:sz w:val="20"/>
              </w:rPr>
            </w:pPr>
            <w:r w:rsidRPr="003C3A62">
              <w:rPr>
                <w:rFonts w:ascii="Arial Narrow" w:hAnsi="Arial Narrow"/>
                <w:sz w:val="20"/>
              </w:rPr>
              <w:t>(-45.1, -19.2)</w:t>
            </w:r>
          </w:p>
        </w:tc>
      </w:tr>
    </w:tbl>
    <w:p w:rsidR="00800602" w:rsidRPr="003C3A62" w:rsidRDefault="00800602" w:rsidP="00800602">
      <w:pPr>
        <w:ind w:firstLine="720"/>
        <w:rPr>
          <w:rFonts w:ascii="Arial Narrow" w:hAnsi="Arial Narrow"/>
          <w:sz w:val="18"/>
          <w:szCs w:val="18"/>
        </w:rPr>
      </w:pPr>
      <w:r w:rsidRPr="003C3A62">
        <w:rPr>
          <w:rFonts w:ascii="Arial Narrow" w:hAnsi="Arial Narrow"/>
          <w:sz w:val="18"/>
          <w:szCs w:val="18"/>
        </w:rPr>
        <w:t>Abbreviations: CI, confidence interval; LDL, low-density lipoprotein; SD, standard deviation</w:t>
      </w:r>
    </w:p>
    <w:p w:rsidR="00800602" w:rsidRPr="003C3A62" w:rsidRDefault="00800602" w:rsidP="00800602">
      <w:pPr>
        <w:ind w:firstLine="720"/>
        <w:rPr>
          <w:rFonts w:ascii="Arial Narrow" w:hAnsi="Arial Narrow"/>
          <w:sz w:val="18"/>
          <w:szCs w:val="18"/>
        </w:rPr>
      </w:pPr>
      <w:r w:rsidRPr="003C3A62">
        <w:rPr>
          <w:rFonts w:ascii="Arial Narrow" w:hAnsi="Arial Narrow"/>
          <w:sz w:val="18"/>
          <w:szCs w:val="18"/>
        </w:rPr>
        <w:t>Source: Table B.6-1 (p 64) of the re-submission</w:t>
      </w:r>
    </w:p>
    <w:p w:rsidR="00800602" w:rsidRPr="003C3A62" w:rsidRDefault="00800602" w:rsidP="00800602">
      <w:pPr>
        <w:pStyle w:val="ListParagraph"/>
        <w:widowControl/>
        <w:rPr>
          <w:szCs w:val="22"/>
        </w:rPr>
      </w:pPr>
    </w:p>
    <w:p w:rsidR="00800602" w:rsidRPr="003C3A62" w:rsidRDefault="00800602" w:rsidP="004B7939">
      <w:pPr>
        <w:pStyle w:val="ListParagraph"/>
        <w:widowControl/>
        <w:numPr>
          <w:ilvl w:val="1"/>
          <w:numId w:val="4"/>
        </w:numPr>
        <w:rPr>
          <w:szCs w:val="22"/>
        </w:rPr>
      </w:pPr>
      <w:r w:rsidRPr="003C3A62">
        <w:rPr>
          <w:szCs w:val="22"/>
        </w:rPr>
        <w:t>Treatment with monthly evolocumab was associated with statistically significant decreases in calculated LDL levels compared to placebo (approximately 30% reduction) in the overall trial population of homozygous familial hypercholesterolaemia patients. Subgroup analyses suggested that LDLR status may be a treatment effect modifier, with evolocumab showing greater reduction in patients who are LDLR defective versus patients who are LDLR non-defective.</w:t>
      </w:r>
    </w:p>
    <w:p w:rsidR="00800602" w:rsidRPr="003C3A62" w:rsidRDefault="00800602" w:rsidP="00800602">
      <w:pPr>
        <w:widowControl/>
        <w:rPr>
          <w:szCs w:val="22"/>
        </w:rPr>
      </w:pPr>
    </w:p>
    <w:p w:rsidR="00800602" w:rsidRPr="003C3A62" w:rsidRDefault="00800602" w:rsidP="00800602">
      <w:pPr>
        <w:pStyle w:val="ListParagraph"/>
        <w:widowControl/>
        <w:numPr>
          <w:ilvl w:val="1"/>
          <w:numId w:val="4"/>
        </w:numPr>
        <w:rPr>
          <w:szCs w:val="22"/>
        </w:rPr>
      </w:pPr>
      <w:r w:rsidRPr="003C3A62">
        <w:rPr>
          <w:szCs w:val="22"/>
        </w:rPr>
        <w:t>Treatment with evolocumab (fortnightly and monthly dosing) was associated with statistically significant decreases in LDL levels compared to ezetimibe (approximately 40% reduction) in mixed hypercholesterolaemia populations (including familial and non-familial patients).</w:t>
      </w:r>
    </w:p>
    <w:p w:rsidR="00800602" w:rsidRPr="003C3A62" w:rsidRDefault="00800602" w:rsidP="00800602">
      <w:pPr>
        <w:pStyle w:val="ListParagraph"/>
        <w:widowControl/>
        <w:rPr>
          <w:szCs w:val="22"/>
        </w:rPr>
      </w:pPr>
    </w:p>
    <w:p w:rsidR="00800602" w:rsidRPr="003C3A62" w:rsidRDefault="00800602" w:rsidP="00800602">
      <w:pPr>
        <w:pStyle w:val="ListParagraph"/>
        <w:widowControl/>
        <w:numPr>
          <w:ilvl w:val="1"/>
          <w:numId w:val="4"/>
        </w:numPr>
        <w:rPr>
          <w:szCs w:val="22"/>
        </w:rPr>
      </w:pPr>
      <w:r w:rsidRPr="003C3A62">
        <w:rPr>
          <w:szCs w:val="22"/>
        </w:rPr>
        <w:t>Longer term studies suggest that short-term improvements in LDL levels may be maintained beyond 2 years while patients continue to be treated with evolocumab.</w:t>
      </w:r>
    </w:p>
    <w:p w:rsidR="00800602" w:rsidRPr="003C3A62" w:rsidRDefault="00800602" w:rsidP="00800602">
      <w:pPr>
        <w:pStyle w:val="ListParagraph"/>
        <w:rPr>
          <w:szCs w:val="22"/>
        </w:rPr>
      </w:pPr>
    </w:p>
    <w:p w:rsidR="00572508" w:rsidRPr="003C3A62" w:rsidRDefault="00572508" w:rsidP="00DE1520">
      <w:pPr>
        <w:pStyle w:val="ListParagraph"/>
        <w:numPr>
          <w:ilvl w:val="1"/>
          <w:numId w:val="4"/>
        </w:numPr>
        <w:rPr>
          <w:szCs w:val="22"/>
        </w:rPr>
      </w:pPr>
      <w:r w:rsidRPr="003C3A62">
        <w:rPr>
          <w:szCs w:val="22"/>
        </w:rPr>
        <w:t>The re-submission presented an updated analysis of cardiovascular events reported in the OSLER trials.</w:t>
      </w:r>
    </w:p>
    <w:p w:rsidR="002156E9" w:rsidRPr="003C3A62" w:rsidRDefault="002156E9" w:rsidP="00DE1520">
      <w:pPr>
        <w:ind w:firstLine="720"/>
        <w:rPr>
          <w:rFonts w:ascii="Arial Narrow" w:hAnsi="Arial Narrow"/>
          <w:b/>
          <w:sz w:val="20"/>
        </w:rPr>
      </w:pPr>
    </w:p>
    <w:p w:rsidR="00061C45" w:rsidRDefault="00061C45" w:rsidP="00DE1520">
      <w:pPr>
        <w:ind w:firstLine="720"/>
        <w:rPr>
          <w:rFonts w:ascii="Arial Narrow" w:hAnsi="Arial Narrow"/>
          <w:b/>
          <w:sz w:val="20"/>
        </w:rPr>
      </w:pPr>
      <w:r>
        <w:rPr>
          <w:rFonts w:ascii="Arial Narrow" w:hAnsi="Arial Narrow"/>
          <w:b/>
          <w:sz w:val="20"/>
        </w:rPr>
        <w:br w:type="page"/>
      </w:r>
    </w:p>
    <w:p w:rsidR="00572508" w:rsidRPr="003C3A62" w:rsidRDefault="00572508" w:rsidP="00DE1520">
      <w:pPr>
        <w:ind w:firstLine="720"/>
        <w:rPr>
          <w:rFonts w:ascii="Arial Narrow" w:hAnsi="Arial Narrow"/>
          <w:b/>
          <w:sz w:val="20"/>
        </w:rPr>
      </w:pPr>
      <w:r w:rsidRPr="003C3A62">
        <w:rPr>
          <w:rFonts w:ascii="Arial Narrow" w:hAnsi="Arial Narrow"/>
          <w:b/>
          <w:sz w:val="20"/>
        </w:rPr>
        <w:lastRenderedPageBreak/>
        <w:t>Table 5: Adjudicated cardiovascular events</w:t>
      </w:r>
      <w:r w:rsidRPr="003C3A62">
        <w:rPr>
          <w:rFonts w:ascii="Arial Narrow" w:hAnsi="Arial Narrow"/>
          <w:b/>
          <w:sz w:val="20"/>
          <w:vertAlign w:val="superscript"/>
        </w:rPr>
        <w:t>a</w:t>
      </w:r>
      <w:r w:rsidRPr="003C3A62">
        <w:rPr>
          <w:rFonts w:ascii="Arial Narrow" w:hAnsi="Arial Narrow"/>
          <w:b/>
          <w:sz w:val="20"/>
        </w:rPr>
        <w:t xml:space="preserve"> </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551"/>
        <w:gridCol w:w="1906"/>
        <w:gridCol w:w="1905"/>
      </w:tblGrid>
      <w:tr w:rsidR="00572508" w:rsidRPr="003C3A62" w:rsidTr="00DE1520">
        <w:trPr>
          <w:cantSplit/>
          <w:trHeight w:val="167"/>
          <w:tblHeader/>
        </w:trPr>
        <w:tc>
          <w:tcPr>
            <w:tcW w:w="1788" w:type="pct"/>
            <w:tcBorders>
              <w:right w:val="single" w:sz="4" w:space="0" w:color="auto"/>
            </w:tcBorders>
            <w:shd w:val="clear" w:color="auto" w:fill="auto"/>
            <w:vAlign w:val="center"/>
          </w:tcPr>
          <w:p w:rsidR="00572508" w:rsidRPr="003C3A62" w:rsidRDefault="00572508" w:rsidP="00A545AD">
            <w:pPr>
              <w:jc w:val="center"/>
              <w:rPr>
                <w:rFonts w:ascii="Arial Narrow" w:hAnsi="Arial Narrow"/>
                <w:b/>
                <w:sz w:val="20"/>
              </w:rPr>
            </w:pPr>
            <w:r w:rsidRPr="003C3A62">
              <w:rPr>
                <w:rFonts w:ascii="Arial Narrow" w:hAnsi="Arial Narrow"/>
                <w:b/>
                <w:sz w:val="20"/>
              </w:rPr>
              <w:t>Trial</w:t>
            </w:r>
          </w:p>
        </w:tc>
        <w:tc>
          <w:tcPr>
            <w:tcW w:w="929" w:type="pct"/>
            <w:tcBorders>
              <w:left w:val="single" w:sz="4" w:space="0" w:color="auto"/>
              <w:right w:val="single" w:sz="4" w:space="0" w:color="auto"/>
            </w:tcBorders>
            <w:shd w:val="clear" w:color="auto" w:fill="auto"/>
            <w:vAlign w:val="center"/>
          </w:tcPr>
          <w:p w:rsidR="00572508" w:rsidRPr="003C3A62" w:rsidRDefault="00572508" w:rsidP="00A545AD">
            <w:pPr>
              <w:jc w:val="center"/>
              <w:rPr>
                <w:rFonts w:ascii="Arial Narrow" w:hAnsi="Arial Narrow"/>
                <w:b/>
                <w:sz w:val="20"/>
              </w:rPr>
            </w:pPr>
            <w:r w:rsidRPr="003C3A62">
              <w:rPr>
                <w:rFonts w:ascii="Arial Narrow" w:hAnsi="Arial Narrow"/>
                <w:b/>
                <w:sz w:val="20"/>
              </w:rPr>
              <w:t>Evolocumab,</w:t>
            </w:r>
          </w:p>
          <w:p w:rsidR="00572508" w:rsidRPr="003C3A62" w:rsidRDefault="00572508" w:rsidP="00A545AD">
            <w:pPr>
              <w:jc w:val="center"/>
              <w:rPr>
                <w:rFonts w:ascii="Arial Narrow" w:hAnsi="Arial Narrow"/>
                <w:b/>
                <w:sz w:val="20"/>
              </w:rPr>
            </w:pPr>
            <w:r w:rsidRPr="003C3A62">
              <w:rPr>
                <w:rFonts w:ascii="Arial Narrow" w:hAnsi="Arial Narrow"/>
                <w:b/>
                <w:sz w:val="20"/>
              </w:rPr>
              <w:t>n/N</w:t>
            </w:r>
          </w:p>
        </w:tc>
        <w:tc>
          <w:tcPr>
            <w:tcW w:w="1142" w:type="pct"/>
            <w:tcBorders>
              <w:left w:val="single" w:sz="4" w:space="0" w:color="auto"/>
            </w:tcBorders>
            <w:shd w:val="clear" w:color="auto" w:fill="auto"/>
            <w:vAlign w:val="center"/>
          </w:tcPr>
          <w:p w:rsidR="00572508" w:rsidRPr="003C3A62" w:rsidRDefault="00572508" w:rsidP="00A545AD">
            <w:pPr>
              <w:jc w:val="center"/>
              <w:rPr>
                <w:rFonts w:ascii="Arial Narrow" w:hAnsi="Arial Narrow"/>
                <w:b/>
                <w:sz w:val="20"/>
              </w:rPr>
            </w:pPr>
            <w:r w:rsidRPr="003C3A62">
              <w:rPr>
                <w:rFonts w:ascii="Arial Narrow" w:hAnsi="Arial Narrow"/>
                <w:b/>
                <w:sz w:val="20"/>
              </w:rPr>
              <w:t>Standard-of-care</w:t>
            </w:r>
            <w:r w:rsidRPr="003C3A62">
              <w:rPr>
                <w:rFonts w:ascii="Arial Narrow" w:hAnsi="Arial Narrow"/>
                <w:b/>
                <w:sz w:val="20"/>
                <w:vertAlign w:val="superscript"/>
              </w:rPr>
              <w:t>b</w:t>
            </w:r>
            <w:r w:rsidRPr="003C3A62">
              <w:rPr>
                <w:rFonts w:ascii="Arial Narrow" w:hAnsi="Arial Narrow"/>
                <w:b/>
                <w:sz w:val="20"/>
              </w:rPr>
              <w:t>,</w:t>
            </w:r>
          </w:p>
          <w:p w:rsidR="00572508" w:rsidRPr="003C3A62" w:rsidRDefault="00572508" w:rsidP="00A545AD">
            <w:pPr>
              <w:jc w:val="center"/>
              <w:rPr>
                <w:rFonts w:ascii="Arial Narrow" w:hAnsi="Arial Narrow"/>
                <w:b/>
                <w:sz w:val="20"/>
              </w:rPr>
            </w:pPr>
            <w:r w:rsidRPr="003C3A62">
              <w:rPr>
                <w:rFonts w:ascii="Arial Narrow" w:hAnsi="Arial Narrow"/>
                <w:b/>
                <w:sz w:val="20"/>
              </w:rPr>
              <w:t>n/N</w:t>
            </w:r>
          </w:p>
        </w:tc>
        <w:tc>
          <w:tcPr>
            <w:tcW w:w="1142" w:type="pct"/>
            <w:tcBorders>
              <w:left w:val="single" w:sz="4" w:space="0" w:color="auto"/>
            </w:tcBorders>
            <w:shd w:val="clear" w:color="auto" w:fill="auto"/>
            <w:vAlign w:val="center"/>
          </w:tcPr>
          <w:p w:rsidR="00572508" w:rsidRPr="003C3A62" w:rsidRDefault="00572508" w:rsidP="00A545AD">
            <w:pPr>
              <w:jc w:val="center"/>
              <w:rPr>
                <w:rFonts w:ascii="Arial Narrow" w:hAnsi="Arial Narrow"/>
                <w:b/>
                <w:sz w:val="20"/>
              </w:rPr>
            </w:pPr>
            <w:r w:rsidRPr="003C3A62">
              <w:rPr>
                <w:rFonts w:ascii="Arial Narrow" w:hAnsi="Arial Narrow"/>
                <w:b/>
                <w:sz w:val="20"/>
              </w:rPr>
              <w:t xml:space="preserve">Hazard ratio </w:t>
            </w:r>
          </w:p>
          <w:p w:rsidR="00572508" w:rsidRPr="003C3A62" w:rsidRDefault="00572508" w:rsidP="00A545AD">
            <w:pPr>
              <w:jc w:val="center"/>
              <w:rPr>
                <w:rFonts w:ascii="Arial Narrow" w:hAnsi="Arial Narrow"/>
                <w:b/>
                <w:sz w:val="20"/>
              </w:rPr>
            </w:pPr>
            <w:r w:rsidRPr="003C3A62">
              <w:rPr>
                <w:rFonts w:ascii="Arial Narrow" w:hAnsi="Arial Narrow"/>
                <w:b/>
                <w:sz w:val="20"/>
              </w:rPr>
              <w:t>(95% CI)</w:t>
            </w:r>
          </w:p>
        </w:tc>
      </w:tr>
      <w:tr w:rsidR="00572508" w:rsidRPr="003C3A62" w:rsidTr="00DE1520">
        <w:trPr>
          <w:cantSplit/>
        </w:trPr>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572508" w:rsidRPr="003C3A62" w:rsidRDefault="00572508" w:rsidP="00A545AD">
            <w:pPr>
              <w:jc w:val="left"/>
              <w:rPr>
                <w:rFonts w:ascii="Arial Narrow" w:hAnsi="Arial Narrow"/>
                <w:sz w:val="20"/>
              </w:rPr>
            </w:pPr>
            <w:r w:rsidRPr="003C3A62">
              <w:rPr>
                <w:rFonts w:ascii="Arial Narrow" w:hAnsi="Arial Narrow"/>
                <w:sz w:val="20"/>
              </w:rPr>
              <w:t>OSLER-1 [Year 1]</w:t>
            </w:r>
          </w:p>
          <w:p w:rsidR="00572508" w:rsidRPr="003C3A62" w:rsidRDefault="00572508" w:rsidP="00A545AD">
            <w:pPr>
              <w:jc w:val="left"/>
              <w:rPr>
                <w:rFonts w:ascii="Arial Narrow" w:hAnsi="Arial Narrow"/>
                <w:sz w:val="20"/>
                <w:vertAlign w:val="superscript"/>
              </w:rPr>
            </w:pPr>
            <w:r w:rsidRPr="003C3A62">
              <w:rPr>
                <w:rFonts w:ascii="Arial Narrow" w:hAnsi="Arial Narrow"/>
                <w:sz w:val="20"/>
              </w:rPr>
              <w:t>(Koren et al 2014)</w:t>
            </w:r>
          </w:p>
        </w:tc>
        <w:tc>
          <w:tcPr>
            <w:tcW w:w="929"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9/736 (1.2%)</w:t>
            </w:r>
          </w:p>
        </w:tc>
        <w:tc>
          <w:tcPr>
            <w:tcW w:w="1142"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8/368 (2.2%)</w:t>
            </w:r>
          </w:p>
        </w:tc>
        <w:tc>
          <w:tcPr>
            <w:tcW w:w="1142"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NR</w:t>
            </w:r>
          </w:p>
        </w:tc>
      </w:tr>
      <w:tr w:rsidR="00572508" w:rsidRPr="003C3A62" w:rsidTr="00DE1520">
        <w:trPr>
          <w:cantSplit/>
        </w:trPr>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572508" w:rsidRPr="003C3A62" w:rsidRDefault="00572508" w:rsidP="00A545AD">
            <w:pPr>
              <w:jc w:val="left"/>
              <w:rPr>
                <w:rFonts w:ascii="Arial Narrow" w:hAnsi="Arial Narrow"/>
                <w:sz w:val="20"/>
              </w:rPr>
            </w:pPr>
            <w:r w:rsidRPr="003C3A62">
              <w:rPr>
                <w:rFonts w:ascii="Arial Narrow" w:hAnsi="Arial Narrow"/>
                <w:sz w:val="20"/>
              </w:rPr>
              <w:t>Interim combined OSLER analysis [Year 1] (July 2014 cutoff, March 2015 submission)</w:t>
            </w:r>
          </w:p>
        </w:tc>
        <w:tc>
          <w:tcPr>
            <w:tcW w:w="929"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(0.9%)</w:t>
            </w:r>
          </w:p>
        </w:tc>
        <w:tc>
          <w:tcPr>
            <w:tcW w:w="1142"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 xml:space="preserve"> (1.7%)</w:t>
            </w:r>
          </w:p>
        </w:tc>
        <w:tc>
          <w:tcPr>
            <w:tcW w:w="1142"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NR</w:t>
            </w:r>
          </w:p>
        </w:tc>
      </w:tr>
      <w:tr w:rsidR="00572508" w:rsidRPr="003C3A62" w:rsidTr="00DE1520">
        <w:trPr>
          <w:cantSplit/>
        </w:trPr>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572508" w:rsidRPr="003C3A62" w:rsidRDefault="00572508" w:rsidP="00A545AD">
            <w:pPr>
              <w:jc w:val="left"/>
              <w:rPr>
                <w:rFonts w:ascii="Arial Narrow" w:hAnsi="Arial Narrow"/>
                <w:sz w:val="20"/>
              </w:rPr>
            </w:pPr>
            <w:r w:rsidRPr="003C3A62">
              <w:rPr>
                <w:rFonts w:ascii="Arial Narrow" w:hAnsi="Arial Narrow"/>
                <w:sz w:val="20"/>
              </w:rPr>
              <w:t xml:space="preserve">Interim combined OSLER analysis [Year 1] (January 2015 cutoff, Sabatine et al 2015) </w:t>
            </w:r>
          </w:p>
        </w:tc>
        <w:tc>
          <w:tcPr>
            <w:tcW w:w="929"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29/2976 (1.0%)</w:t>
            </w:r>
          </w:p>
        </w:tc>
        <w:tc>
          <w:tcPr>
            <w:tcW w:w="1142"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31/1489 (2.2%)</w:t>
            </w:r>
          </w:p>
        </w:tc>
        <w:tc>
          <w:tcPr>
            <w:tcW w:w="1142" w:type="pct"/>
            <w:tcBorders>
              <w:top w:val="single" w:sz="4" w:space="0" w:color="auto"/>
              <w:left w:val="single" w:sz="4" w:space="0" w:color="auto"/>
              <w:bottom w:val="single" w:sz="4" w:space="0" w:color="auto"/>
              <w:right w:val="single" w:sz="4" w:space="0" w:color="auto"/>
            </w:tcBorders>
            <w:vAlign w:val="center"/>
          </w:tcPr>
          <w:p w:rsidR="00572508" w:rsidRPr="003C3A62" w:rsidRDefault="00572508" w:rsidP="00A545AD">
            <w:pPr>
              <w:jc w:val="center"/>
              <w:rPr>
                <w:rFonts w:ascii="Arial Narrow" w:hAnsi="Arial Narrow"/>
                <w:sz w:val="20"/>
              </w:rPr>
            </w:pPr>
            <w:r w:rsidRPr="003C3A62">
              <w:rPr>
                <w:rFonts w:ascii="Arial Narrow" w:hAnsi="Arial Narrow"/>
                <w:sz w:val="20"/>
              </w:rPr>
              <w:t>0.47 (0.28, 0.78)</w:t>
            </w:r>
          </w:p>
        </w:tc>
      </w:tr>
    </w:tbl>
    <w:p w:rsidR="00572508" w:rsidRPr="003C3A62" w:rsidRDefault="00572508" w:rsidP="00DE1520">
      <w:pPr>
        <w:ind w:firstLine="720"/>
        <w:rPr>
          <w:rFonts w:ascii="Arial Narrow" w:hAnsi="Arial Narrow"/>
          <w:sz w:val="18"/>
          <w:szCs w:val="18"/>
        </w:rPr>
      </w:pPr>
      <w:r w:rsidRPr="003C3A62">
        <w:rPr>
          <w:rFonts w:ascii="Arial Narrow" w:hAnsi="Arial Narrow"/>
          <w:sz w:val="18"/>
          <w:szCs w:val="18"/>
        </w:rPr>
        <w:t>Abbreviations: CI, confidence interval; NR, not reported</w:t>
      </w:r>
    </w:p>
    <w:p w:rsidR="00572508" w:rsidRPr="003C3A62" w:rsidRDefault="00572508" w:rsidP="008848A2">
      <w:pPr>
        <w:tabs>
          <w:tab w:val="left" w:pos="2835"/>
        </w:tabs>
        <w:ind w:firstLine="720"/>
        <w:rPr>
          <w:rFonts w:ascii="Arial Narrow" w:hAnsi="Arial Narrow"/>
          <w:sz w:val="18"/>
          <w:szCs w:val="18"/>
        </w:rPr>
      </w:pPr>
      <w:r w:rsidRPr="003C3A62">
        <w:rPr>
          <w:rFonts w:ascii="Arial Narrow" w:hAnsi="Arial Narrow"/>
          <w:sz w:val="18"/>
          <w:szCs w:val="18"/>
        </w:rPr>
        <w:t>Source: Figure B-6.9 (p 76) of the re-submission; Table C-3.3 (p 114-128) of the March 2015 submission</w:t>
      </w:r>
    </w:p>
    <w:p w:rsidR="00572508" w:rsidRPr="003C3A62" w:rsidRDefault="00572508" w:rsidP="00DE1520">
      <w:pPr>
        <w:ind w:left="720"/>
        <w:rPr>
          <w:rFonts w:ascii="Arial Narrow" w:hAnsi="Arial Narrow"/>
          <w:sz w:val="18"/>
          <w:szCs w:val="18"/>
        </w:rPr>
      </w:pPr>
      <w:r w:rsidRPr="003C3A62">
        <w:rPr>
          <w:rFonts w:ascii="Arial Narrow" w:hAnsi="Arial Narrow"/>
          <w:sz w:val="18"/>
          <w:szCs w:val="18"/>
          <w:vertAlign w:val="superscript"/>
        </w:rPr>
        <w:t>a</w:t>
      </w:r>
      <w:r w:rsidRPr="003C3A62">
        <w:rPr>
          <w:rFonts w:ascii="Arial Narrow" w:hAnsi="Arial Narrow"/>
          <w:sz w:val="18"/>
          <w:szCs w:val="18"/>
        </w:rPr>
        <w:t xml:space="preserve"> Includes death by any cause, cardiovascular death, myocardial infarction, hospitalisation for unstable angina, coronary revascularisation, stroke, transient ischaemic attack, hospitalisation for heart failure.</w:t>
      </w:r>
    </w:p>
    <w:p w:rsidR="00572508" w:rsidRPr="003C3A62" w:rsidRDefault="00572508" w:rsidP="00DE1520">
      <w:pPr>
        <w:ind w:firstLine="720"/>
        <w:rPr>
          <w:rFonts w:ascii="Arial Narrow" w:hAnsi="Arial Narrow"/>
          <w:sz w:val="18"/>
          <w:szCs w:val="18"/>
        </w:rPr>
      </w:pPr>
      <w:r w:rsidRPr="003C3A62">
        <w:rPr>
          <w:rFonts w:ascii="Arial Narrow" w:hAnsi="Arial Narrow"/>
          <w:sz w:val="18"/>
          <w:szCs w:val="18"/>
          <w:vertAlign w:val="superscript"/>
        </w:rPr>
        <w:t>b</w:t>
      </w:r>
      <w:r w:rsidRPr="003C3A62">
        <w:rPr>
          <w:rFonts w:ascii="Arial Narrow" w:hAnsi="Arial Narrow"/>
          <w:sz w:val="18"/>
          <w:szCs w:val="18"/>
        </w:rPr>
        <w:t xml:space="preserve"> Standard of care typically represents the treatment patients were previously receiving in the control arms of the parent trials </w:t>
      </w:r>
    </w:p>
    <w:p w:rsidR="00572508" w:rsidRPr="003C3A62" w:rsidRDefault="00572508" w:rsidP="00DE1520">
      <w:pPr>
        <w:rPr>
          <w:szCs w:val="22"/>
        </w:rPr>
      </w:pPr>
    </w:p>
    <w:p w:rsidR="00800602" w:rsidRPr="003C3A62" w:rsidRDefault="00800602" w:rsidP="00CD167C">
      <w:pPr>
        <w:pStyle w:val="ListParagraph"/>
        <w:widowControl/>
        <w:numPr>
          <w:ilvl w:val="1"/>
          <w:numId w:val="4"/>
        </w:numPr>
        <w:rPr>
          <w:szCs w:val="22"/>
        </w:rPr>
      </w:pPr>
      <w:r w:rsidRPr="003C3A62">
        <w:rPr>
          <w:szCs w:val="22"/>
        </w:rPr>
        <w:t>Based on an exploratory analysis of longer term studies, treatment with evolocumab was associated with a statistically significant reduction in cardiovascular events (primarily coronary revascularisation procedures) compared to standard care after one year of treatment (HR 0.47; 95% CI 0.28, 0.78).</w:t>
      </w:r>
    </w:p>
    <w:p w:rsidR="00E87A51" w:rsidRPr="003C3A62" w:rsidRDefault="00E87A51" w:rsidP="00E87A51">
      <w:pPr>
        <w:pStyle w:val="ListParagraph"/>
        <w:widowControl/>
        <w:rPr>
          <w:szCs w:val="22"/>
        </w:rPr>
      </w:pPr>
    </w:p>
    <w:p w:rsidR="00E87A51" w:rsidRPr="00061C45" w:rsidRDefault="00E87A51" w:rsidP="00061C45">
      <w:pPr>
        <w:pStyle w:val="Caption"/>
        <w:ind w:firstLine="720"/>
        <w:rPr>
          <w:rFonts w:ascii="Arial Narrow" w:hAnsi="Arial Narrow"/>
          <w:color w:val="auto"/>
          <w:sz w:val="20"/>
        </w:rPr>
      </w:pPr>
      <w:r w:rsidRPr="00061C45">
        <w:rPr>
          <w:rFonts w:ascii="Arial Narrow" w:hAnsi="Arial Narrow"/>
          <w:color w:val="auto"/>
          <w:sz w:val="20"/>
        </w:rPr>
        <w:t>Figure 1: Cumulative incidence of CV events in OSLER 1/2</w:t>
      </w:r>
    </w:p>
    <w:p w:rsidR="00E87A51" w:rsidRPr="003C3A62" w:rsidRDefault="00E87A51" w:rsidP="00E87A51">
      <w:pPr>
        <w:jc w:val="center"/>
      </w:pPr>
      <w:r w:rsidRPr="003C3A62">
        <w:rPr>
          <w:noProof/>
          <w:lang w:eastAsia="en-AU"/>
        </w:rPr>
        <w:drawing>
          <wp:inline distT="0" distB="0" distL="0" distR="0" wp14:anchorId="773BC5B0" wp14:editId="4B1BEE11">
            <wp:extent cx="5523020" cy="2971800"/>
            <wp:effectExtent l="0" t="0" r="1905" b="0"/>
            <wp:docPr id="14336" name="Picture 14336" title="Figure 1: Cumulative incidence of CV events in OSLE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1084" t="27452" r="12546" b="12497"/>
                    <a:stretch/>
                  </pic:blipFill>
                  <pic:spPr bwMode="auto">
                    <a:xfrm>
                      <a:off x="0" y="0"/>
                      <a:ext cx="5533954" cy="2977683"/>
                    </a:xfrm>
                    <a:prstGeom prst="rect">
                      <a:avLst/>
                    </a:prstGeom>
                    <a:ln>
                      <a:noFill/>
                    </a:ln>
                    <a:extLst>
                      <a:ext uri="{53640926-AAD7-44D8-BBD7-CCE9431645EC}">
                        <a14:shadowObscured xmlns:a14="http://schemas.microsoft.com/office/drawing/2010/main"/>
                      </a:ext>
                    </a:extLst>
                  </pic:spPr>
                </pic:pic>
              </a:graphicData>
            </a:graphic>
          </wp:inline>
        </w:drawing>
      </w:r>
    </w:p>
    <w:p w:rsidR="00E87A51" w:rsidRPr="003C3A62" w:rsidRDefault="00E87A51" w:rsidP="00E87A51">
      <w:pPr>
        <w:rPr>
          <w:rFonts w:ascii="Arial Narrow" w:hAnsi="Arial Narrow"/>
          <w:sz w:val="20"/>
        </w:rPr>
      </w:pPr>
    </w:p>
    <w:p w:rsidR="00E87A51" w:rsidRPr="003C3A62" w:rsidRDefault="00E87A51" w:rsidP="00061C45">
      <w:pPr>
        <w:ind w:firstLine="720"/>
        <w:rPr>
          <w:rFonts w:ascii="Arial Narrow" w:hAnsi="Arial Narrow"/>
          <w:sz w:val="20"/>
        </w:rPr>
      </w:pPr>
      <w:r w:rsidRPr="003C3A62">
        <w:rPr>
          <w:rFonts w:ascii="Arial Narrow" w:hAnsi="Arial Narrow"/>
          <w:sz w:val="20"/>
        </w:rPr>
        <w:t>Source: Figure B.6-9, p76 of the re-submission</w:t>
      </w:r>
    </w:p>
    <w:p w:rsidR="00E87A51" w:rsidRPr="003C3A62" w:rsidRDefault="00E87A51" w:rsidP="00E87A51">
      <w:pPr>
        <w:pStyle w:val="ListParagraph"/>
        <w:widowControl/>
        <w:rPr>
          <w:rFonts w:ascii="Arial Narrow" w:hAnsi="Arial Narrow"/>
          <w:sz w:val="20"/>
        </w:rPr>
      </w:pPr>
      <w:r w:rsidRPr="003C3A62">
        <w:rPr>
          <w:rFonts w:ascii="Arial Narrow" w:hAnsi="Arial Narrow"/>
          <w:sz w:val="20"/>
        </w:rPr>
        <w:t xml:space="preserve">Notes: </w:t>
      </w:r>
      <w:r w:rsidRPr="003C3A62">
        <w:rPr>
          <w:rFonts w:ascii="Arial Narrow" w:eastAsia="OTNEJMScalaSansLF" w:hAnsi="Arial Narrow"/>
          <w:sz w:val="20"/>
        </w:rPr>
        <w:t>Included among the cardiovascular events were death, myocardial infarction, unstable angina requiring hospitalization, coronary revascularization, stroke, transient ischemic attack, and hospitalization for heart failure. Cardiovascular events were reported in 29 of 2976 patients in the evolocumab group (Kaplan–Meier 1-year event rate, 0.95%) and in 31 of 1489 patients in the standard-therapy group (Kaplan–Meier 1-year event rate, 2.18%). The inset shows the same data on an expanded y axis. The P value was calculated with the use of a log-rank test.</w:t>
      </w:r>
    </w:p>
    <w:p w:rsidR="00C70A67" w:rsidRPr="003C3A62" w:rsidRDefault="00C70A67" w:rsidP="00EE2779">
      <w:pPr>
        <w:widowControl/>
        <w:rPr>
          <w:szCs w:val="22"/>
        </w:rPr>
      </w:pPr>
    </w:p>
    <w:p w:rsidR="00C70A67" w:rsidRPr="003C3A62" w:rsidRDefault="00C70A67" w:rsidP="00CD167C">
      <w:pPr>
        <w:pStyle w:val="ListParagraph"/>
        <w:widowControl/>
        <w:numPr>
          <w:ilvl w:val="1"/>
          <w:numId w:val="4"/>
        </w:numPr>
        <w:rPr>
          <w:szCs w:val="22"/>
        </w:rPr>
      </w:pPr>
      <w:r w:rsidRPr="003C3A62">
        <w:rPr>
          <w:szCs w:val="22"/>
        </w:rPr>
        <w:t xml:space="preserve">There were a number of limitations with the cardiovascular event analysis including: potential bias introduced by the open-label study design (different management decisions in different treatment arms), potential selection bias (as the OSLER studies only included patients who </w:t>
      </w:r>
      <w:r w:rsidR="00EE2779" w:rsidRPr="003C3A62">
        <w:rPr>
          <w:szCs w:val="22"/>
        </w:rPr>
        <w:t xml:space="preserve">had </w:t>
      </w:r>
      <w:r w:rsidRPr="003C3A62">
        <w:rPr>
          <w:szCs w:val="22"/>
        </w:rPr>
        <w:t xml:space="preserve">successfully completed the parent studies), limited </w:t>
      </w:r>
      <w:r w:rsidRPr="003C3A62">
        <w:rPr>
          <w:szCs w:val="22"/>
        </w:rPr>
        <w:lastRenderedPageBreak/>
        <w:t>applicability (as patients may not have been using optimal therapy based on underlying risk) as well as low event frequency.</w:t>
      </w:r>
    </w:p>
    <w:p w:rsidR="00A25542" w:rsidRPr="003C3A62" w:rsidRDefault="00A25542" w:rsidP="00EE2779">
      <w:pPr>
        <w:widowControl/>
        <w:ind w:left="720"/>
        <w:rPr>
          <w:szCs w:val="22"/>
        </w:rPr>
      </w:pPr>
    </w:p>
    <w:p w:rsidR="00A25542" w:rsidRPr="003C3A62" w:rsidRDefault="005004F8" w:rsidP="00CD167C">
      <w:pPr>
        <w:pStyle w:val="ListParagraph"/>
        <w:widowControl/>
        <w:numPr>
          <w:ilvl w:val="1"/>
          <w:numId w:val="4"/>
        </w:numPr>
        <w:rPr>
          <w:szCs w:val="22"/>
        </w:rPr>
      </w:pPr>
      <w:r w:rsidRPr="003C3A62">
        <w:rPr>
          <w:szCs w:val="22"/>
        </w:rPr>
        <w:t>Results were</w:t>
      </w:r>
      <w:r w:rsidR="00A25542" w:rsidRPr="003C3A62">
        <w:rPr>
          <w:szCs w:val="22"/>
        </w:rPr>
        <w:t xml:space="preserve"> broadly consistent with analyses reported from a long-term study of alirocumab (ODYSSEY LONG TERM) as well as a broader systematic review of PCSK9 therapies (Navarese et al 2015).</w:t>
      </w:r>
    </w:p>
    <w:p w:rsidR="00800602" w:rsidRPr="003C3A62" w:rsidRDefault="00800602" w:rsidP="00800602">
      <w:pPr>
        <w:pStyle w:val="ListParagraph"/>
        <w:rPr>
          <w:szCs w:val="22"/>
        </w:rPr>
      </w:pPr>
    </w:p>
    <w:p w:rsidR="00800602" w:rsidRPr="00061C45" w:rsidRDefault="00800602" w:rsidP="00FA0151">
      <w:pPr>
        <w:pStyle w:val="Heading2"/>
      </w:pPr>
      <w:bookmarkStart w:id="8" w:name="_Toc441052819"/>
      <w:r w:rsidRPr="00061C45">
        <w:t>Comparative harms</w:t>
      </w:r>
      <w:bookmarkEnd w:id="8"/>
    </w:p>
    <w:p w:rsidR="00800602" w:rsidRPr="003C3A62" w:rsidRDefault="00800602" w:rsidP="00800602">
      <w:pPr>
        <w:ind w:left="720" w:hanging="720"/>
        <w:rPr>
          <w:szCs w:val="22"/>
        </w:rPr>
      </w:pPr>
    </w:p>
    <w:p w:rsidR="00B75939" w:rsidRPr="003C3A62" w:rsidRDefault="00B75939" w:rsidP="00B75939">
      <w:pPr>
        <w:pStyle w:val="ListParagraph"/>
        <w:numPr>
          <w:ilvl w:val="1"/>
          <w:numId w:val="4"/>
        </w:numPr>
        <w:rPr>
          <w:szCs w:val="22"/>
        </w:rPr>
      </w:pPr>
      <w:r w:rsidRPr="003C3A62">
        <w:rPr>
          <w:szCs w:val="22"/>
        </w:rPr>
        <w:t>Safety data remained unchanged from the previous March 2015 submission.</w:t>
      </w:r>
    </w:p>
    <w:p w:rsidR="00B75939" w:rsidRPr="003C3A62" w:rsidRDefault="00B75939" w:rsidP="00EE2779">
      <w:pPr>
        <w:pStyle w:val="ListParagraph"/>
        <w:rPr>
          <w:szCs w:val="22"/>
        </w:rPr>
      </w:pPr>
    </w:p>
    <w:p w:rsidR="00800602" w:rsidRPr="003C3A62" w:rsidRDefault="00800602" w:rsidP="00800602">
      <w:pPr>
        <w:pStyle w:val="ListParagraph"/>
        <w:numPr>
          <w:ilvl w:val="1"/>
          <w:numId w:val="4"/>
        </w:numPr>
        <w:rPr>
          <w:szCs w:val="22"/>
        </w:rPr>
      </w:pPr>
      <w:r w:rsidRPr="003C3A62">
        <w:rPr>
          <w:szCs w:val="22"/>
        </w:rPr>
        <w:t>The incidence of adverse events was highly variable between trials and did not consistently favour evolocumab, ezetimibe or placebo. There was no apparent difference in the incidence of adverse events with either fortnightly or monthly dosing of evolocumab.</w:t>
      </w:r>
    </w:p>
    <w:p w:rsidR="00800602" w:rsidRPr="003C3A62" w:rsidRDefault="00800602" w:rsidP="00800602">
      <w:pPr>
        <w:pStyle w:val="ListParagraph"/>
        <w:rPr>
          <w:szCs w:val="22"/>
        </w:rPr>
      </w:pPr>
    </w:p>
    <w:p w:rsidR="00800602" w:rsidRPr="003C3A62" w:rsidRDefault="00800602" w:rsidP="00800602">
      <w:pPr>
        <w:pStyle w:val="ListParagraph"/>
        <w:numPr>
          <w:ilvl w:val="1"/>
          <w:numId w:val="4"/>
        </w:numPr>
        <w:rPr>
          <w:szCs w:val="22"/>
        </w:rPr>
      </w:pPr>
      <w:r w:rsidRPr="003C3A62">
        <w:rPr>
          <w:szCs w:val="22"/>
        </w:rPr>
        <w:t>The most frequently reported adverse events were musculoskeletal disorders (myalgia, pain in extremity, muscle spasms, arthralgia, back pain), infections (nasopharyngitis, upper respiratory tract infection, influenza), general disorders and administration site conditions (fatigue, injection site reactions), gastrointestinal disorders (diarrhoea, nausea, constipation) and nervous system disorders (headache).</w:t>
      </w:r>
    </w:p>
    <w:p w:rsidR="00800602" w:rsidRPr="003C3A62" w:rsidRDefault="00800602" w:rsidP="00800602">
      <w:pPr>
        <w:pStyle w:val="ListParagraph"/>
        <w:rPr>
          <w:szCs w:val="22"/>
        </w:rPr>
      </w:pPr>
    </w:p>
    <w:p w:rsidR="00800602" w:rsidRPr="003C3A62" w:rsidRDefault="00800602" w:rsidP="00800602">
      <w:pPr>
        <w:pStyle w:val="ListParagraph"/>
        <w:numPr>
          <w:ilvl w:val="1"/>
          <w:numId w:val="4"/>
        </w:numPr>
        <w:rPr>
          <w:szCs w:val="22"/>
        </w:rPr>
      </w:pPr>
      <w:r w:rsidRPr="003C3A62">
        <w:rPr>
          <w:szCs w:val="22"/>
        </w:rPr>
        <w:t>There are limited long-term safety data available for evolocumab.</w:t>
      </w:r>
    </w:p>
    <w:p w:rsidR="00800602" w:rsidRPr="003C3A62" w:rsidRDefault="00800602" w:rsidP="00800602">
      <w:pPr>
        <w:pStyle w:val="ListParagraph"/>
        <w:rPr>
          <w:szCs w:val="22"/>
        </w:rPr>
      </w:pPr>
    </w:p>
    <w:p w:rsidR="00800602" w:rsidRPr="003C3A62" w:rsidRDefault="00800602" w:rsidP="00800602">
      <w:pPr>
        <w:pStyle w:val="ListParagraph"/>
        <w:numPr>
          <w:ilvl w:val="1"/>
          <w:numId w:val="4"/>
        </w:numPr>
        <w:rPr>
          <w:szCs w:val="22"/>
        </w:rPr>
      </w:pPr>
      <w:r w:rsidRPr="003C3A62">
        <w:rPr>
          <w:szCs w:val="22"/>
        </w:rPr>
        <w:t>The re-submission did not present any assessment of comparative safety between evolocumab and alirocumab.</w:t>
      </w:r>
    </w:p>
    <w:p w:rsidR="00800602" w:rsidRPr="003C3A62" w:rsidRDefault="00800602" w:rsidP="00800602">
      <w:pPr>
        <w:pStyle w:val="ListParagraph"/>
        <w:ind w:left="0"/>
        <w:rPr>
          <w:szCs w:val="22"/>
        </w:rPr>
      </w:pPr>
    </w:p>
    <w:p w:rsidR="00800602" w:rsidRPr="00061C45" w:rsidRDefault="00800602" w:rsidP="00FA0151">
      <w:pPr>
        <w:pStyle w:val="Heading2"/>
        <w:rPr>
          <w:szCs w:val="22"/>
        </w:rPr>
      </w:pPr>
      <w:bookmarkStart w:id="9" w:name="_Toc441052820"/>
      <w:r w:rsidRPr="00061C45">
        <w:t>Benefits/harms</w:t>
      </w:r>
      <w:bookmarkEnd w:id="9"/>
    </w:p>
    <w:p w:rsidR="00800602" w:rsidRPr="003C3A62" w:rsidRDefault="00800602" w:rsidP="00800602">
      <w:pPr>
        <w:pStyle w:val="ListParagraph"/>
        <w:ind w:left="0"/>
        <w:rPr>
          <w:szCs w:val="22"/>
        </w:rPr>
      </w:pPr>
    </w:p>
    <w:p w:rsidR="00800602" w:rsidRPr="003C3A62" w:rsidRDefault="00800602" w:rsidP="00800602">
      <w:pPr>
        <w:pStyle w:val="ListParagraph"/>
        <w:widowControl/>
        <w:numPr>
          <w:ilvl w:val="1"/>
          <w:numId w:val="4"/>
        </w:numPr>
        <w:rPr>
          <w:szCs w:val="22"/>
        </w:rPr>
      </w:pPr>
      <w:r w:rsidRPr="003C3A62">
        <w:rPr>
          <w:szCs w:val="22"/>
        </w:rPr>
        <w:t>On the basis of direct evidence presented in the re-submission, the comparison of evolocumab (fortnightly/monthly) and placebo in patients with heterozygous familial hypercholesterolaemia resulted in:</w:t>
      </w:r>
    </w:p>
    <w:p w:rsidR="00800602" w:rsidRPr="003C3A62" w:rsidRDefault="00800602" w:rsidP="00800602">
      <w:pPr>
        <w:pStyle w:val="ListParagraph"/>
        <w:widowControl/>
        <w:numPr>
          <w:ilvl w:val="0"/>
          <w:numId w:val="13"/>
        </w:numPr>
        <w:rPr>
          <w:szCs w:val="22"/>
        </w:rPr>
      </w:pPr>
      <w:r w:rsidRPr="003C3A62">
        <w:rPr>
          <w:szCs w:val="22"/>
        </w:rPr>
        <w:t xml:space="preserve">Approximately a 60% relative reduction in LDL levels over a 12-week treatment duration. </w:t>
      </w:r>
    </w:p>
    <w:p w:rsidR="00800602" w:rsidRPr="003C3A62" w:rsidRDefault="00800602" w:rsidP="00800602">
      <w:pPr>
        <w:pStyle w:val="ListParagraph"/>
        <w:widowControl/>
        <w:numPr>
          <w:ilvl w:val="0"/>
          <w:numId w:val="13"/>
        </w:numPr>
        <w:rPr>
          <w:szCs w:val="22"/>
        </w:rPr>
      </w:pPr>
      <w:r w:rsidRPr="003C3A62">
        <w:rPr>
          <w:szCs w:val="22"/>
        </w:rPr>
        <w:t>No apparent difference in adverse events over a 12-week treatment duration.</w:t>
      </w:r>
    </w:p>
    <w:p w:rsidR="00800602" w:rsidRPr="003C3A62" w:rsidRDefault="00800602" w:rsidP="00800602">
      <w:pPr>
        <w:pStyle w:val="ListParagraph"/>
        <w:widowControl/>
        <w:ind w:left="1440"/>
        <w:rPr>
          <w:szCs w:val="22"/>
        </w:rPr>
      </w:pPr>
    </w:p>
    <w:p w:rsidR="00800602" w:rsidRPr="003C3A62" w:rsidRDefault="00800602" w:rsidP="00800602">
      <w:pPr>
        <w:pStyle w:val="ListParagraph"/>
        <w:widowControl/>
        <w:numPr>
          <w:ilvl w:val="1"/>
          <w:numId w:val="4"/>
        </w:numPr>
        <w:rPr>
          <w:szCs w:val="22"/>
        </w:rPr>
      </w:pPr>
      <w:r w:rsidRPr="003C3A62">
        <w:rPr>
          <w:szCs w:val="22"/>
        </w:rPr>
        <w:t>On the basis of direct evidence presented in the re-submission, the comparison of evolocumab (monthly) and placebo in patients with homozygous familial hypercholesterolaemia resulted in:</w:t>
      </w:r>
    </w:p>
    <w:p w:rsidR="00800602" w:rsidRPr="003C3A62" w:rsidRDefault="00800602" w:rsidP="00800602">
      <w:pPr>
        <w:pStyle w:val="ListParagraph"/>
        <w:widowControl/>
        <w:numPr>
          <w:ilvl w:val="0"/>
          <w:numId w:val="14"/>
        </w:numPr>
        <w:rPr>
          <w:szCs w:val="22"/>
        </w:rPr>
      </w:pPr>
      <w:r w:rsidRPr="003C3A62">
        <w:rPr>
          <w:szCs w:val="22"/>
        </w:rPr>
        <w:t xml:space="preserve">Approximately a 30% relative reduction in LDL levels over a 12-week treatment duration. </w:t>
      </w:r>
    </w:p>
    <w:p w:rsidR="00800602" w:rsidRPr="003C3A62" w:rsidRDefault="00800602" w:rsidP="00800602">
      <w:pPr>
        <w:pStyle w:val="ListParagraph"/>
        <w:widowControl/>
        <w:numPr>
          <w:ilvl w:val="0"/>
          <w:numId w:val="14"/>
        </w:numPr>
        <w:rPr>
          <w:szCs w:val="22"/>
        </w:rPr>
      </w:pPr>
      <w:r w:rsidRPr="003C3A62">
        <w:rPr>
          <w:szCs w:val="22"/>
        </w:rPr>
        <w:t>No apparent difference in adverse events over a 12-week treatment duration.</w:t>
      </w:r>
    </w:p>
    <w:p w:rsidR="00800602" w:rsidRPr="003C3A62" w:rsidRDefault="00800602" w:rsidP="00800602">
      <w:pPr>
        <w:widowControl/>
        <w:ind w:left="1080"/>
        <w:rPr>
          <w:szCs w:val="22"/>
        </w:rPr>
      </w:pPr>
    </w:p>
    <w:p w:rsidR="004B7939" w:rsidRDefault="004B7939" w:rsidP="00800602">
      <w:pPr>
        <w:pStyle w:val="ListParagraph"/>
        <w:widowControl/>
        <w:numPr>
          <w:ilvl w:val="1"/>
          <w:numId w:val="4"/>
        </w:numPr>
        <w:rPr>
          <w:szCs w:val="22"/>
        </w:rPr>
      </w:pPr>
      <w:r>
        <w:rPr>
          <w:szCs w:val="22"/>
        </w:rPr>
        <w:br w:type="page"/>
      </w:r>
    </w:p>
    <w:p w:rsidR="00800602" w:rsidRPr="003C3A62" w:rsidRDefault="00800602" w:rsidP="00800602">
      <w:pPr>
        <w:pStyle w:val="ListParagraph"/>
        <w:widowControl/>
        <w:numPr>
          <w:ilvl w:val="1"/>
          <w:numId w:val="4"/>
        </w:numPr>
        <w:rPr>
          <w:szCs w:val="22"/>
        </w:rPr>
      </w:pPr>
      <w:r w:rsidRPr="003C3A62">
        <w:rPr>
          <w:szCs w:val="22"/>
        </w:rPr>
        <w:lastRenderedPageBreak/>
        <w:t>On the basis of direct evidence presented in the re-submission, the comparison of evolocumab (fortnightly/monthly) and ezetimibe in patients with hypercholesterolaemia (mixed familial and non-familial) resulted in:</w:t>
      </w:r>
    </w:p>
    <w:p w:rsidR="00800602" w:rsidRPr="003C3A62" w:rsidRDefault="00800602" w:rsidP="00800602">
      <w:pPr>
        <w:pStyle w:val="ListParagraph"/>
        <w:widowControl/>
        <w:numPr>
          <w:ilvl w:val="0"/>
          <w:numId w:val="13"/>
        </w:numPr>
        <w:rPr>
          <w:szCs w:val="22"/>
        </w:rPr>
      </w:pPr>
      <w:r w:rsidRPr="003C3A62">
        <w:rPr>
          <w:szCs w:val="22"/>
        </w:rPr>
        <w:t xml:space="preserve">Approximately a 40% relative reduction in LDL levels over a 12-week treatment duration. </w:t>
      </w:r>
    </w:p>
    <w:p w:rsidR="00800602" w:rsidRPr="003C3A62" w:rsidRDefault="00800602" w:rsidP="00800602">
      <w:pPr>
        <w:pStyle w:val="ListParagraph"/>
        <w:widowControl/>
        <w:numPr>
          <w:ilvl w:val="0"/>
          <w:numId w:val="13"/>
        </w:numPr>
        <w:rPr>
          <w:szCs w:val="22"/>
        </w:rPr>
      </w:pPr>
      <w:r w:rsidRPr="003C3A62">
        <w:rPr>
          <w:szCs w:val="22"/>
        </w:rPr>
        <w:t>No apparent difference in adverse events over a 12-week treatment duration.</w:t>
      </w:r>
    </w:p>
    <w:p w:rsidR="00800602" w:rsidRPr="003C3A62" w:rsidRDefault="00800602" w:rsidP="00800602">
      <w:pPr>
        <w:widowControl/>
        <w:rPr>
          <w:szCs w:val="22"/>
        </w:rPr>
      </w:pPr>
    </w:p>
    <w:p w:rsidR="00800602" w:rsidRPr="003C3A62" w:rsidRDefault="00800602" w:rsidP="00800602">
      <w:pPr>
        <w:pStyle w:val="ListParagraph"/>
        <w:widowControl/>
        <w:numPr>
          <w:ilvl w:val="1"/>
          <w:numId w:val="4"/>
        </w:numPr>
        <w:rPr>
          <w:szCs w:val="22"/>
        </w:rPr>
      </w:pPr>
      <w:r w:rsidRPr="003C3A62">
        <w:rPr>
          <w:szCs w:val="22"/>
        </w:rPr>
        <w:t>Current data are inadequate to rel</w:t>
      </w:r>
      <w:r w:rsidR="00D406F9" w:rsidRPr="003C3A62">
        <w:rPr>
          <w:szCs w:val="22"/>
        </w:rPr>
        <w:t>iably</w:t>
      </w:r>
      <w:r w:rsidRPr="003C3A62">
        <w:rPr>
          <w:szCs w:val="22"/>
        </w:rPr>
        <w:t xml:space="preserve"> inform the comparison of evolocumab and alirocumab.</w:t>
      </w:r>
    </w:p>
    <w:p w:rsidR="00800602" w:rsidRPr="003C3A62" w:rsidRDefault="00800602" w:rsidP="00800602">
      <w:pPr>
        <w:widowControl/>
        <w:rPr>
          <w:szCs w:val="22"/>
        </w:rPr>
      </w:pPr>
    </w:p>
    <w:p w:rsidR="00800602" w:rsidRPr="00061C45" w:rsidRDefault="00800602" w:rsidP="00FA0151">
      <w:pPr>
        <w:pStyle w:val="Heading2"/>
      </w:pPr>
      <w:bookmarkStart w:id="10" w:name="_Toc441052821"/>
      <w:r w:rsidRPr="00061C45">
        <w:t>Clinical claim</w:t>
      </w:r>
      <w:bookmarkEnd w:id="10"/>
    </w:p>
    <w:p w:rsidR="00800602" w:rsidRPr="003C3A62" w:rsidRDefault="00800602" w:rsidP="00800602">
      <w:pPr>
        <w:ind w:left="720" w:hanging="720"/>
        <w:rPr>
          <w:szCs w:val="22"/>
        </w:rPr>
      </w:pPr>
    </w:p>
    <w:p w:rsidR="00800602" w:rsidRPr="003C3A62" w:rsidRDefault="00800602" w:rsidP="00800602">
      <w:pPr>
        <w:pStyle w:val="ListParagraph"/>
        <w:widowControl/>
        <w:numPr>
          <w:ilvl w:val="1"/>
          <w:numId w:val="4"/>
        </w:numPr>
        <w:rPr>
          <w:szCs w:val="22"/>
        </w:rPr>
      </w:pPr>
      <w:r w:rsidRPr="003C3A62">
        <w:rPr>
          <w:szCs w:val="22"/>
        </w:rPr>
        <w:t>The submission described evolocumab as superior in terms of efficacy (based on surrogate outcome measures) and similar in terms of safety compared to ezetimibe. This claim may be reasonable.</w:t>
      </w:r>
    </w:p>
    <w:p w:rsidR="00800602" w:rsidRPr="003C3A62" w:rsidRDefault="00800602" w:rsidP="00800602">
      <w:pPr>
        <w:pStyle w:val="ListParagraph"/>
        <w:widowControl/>
        <w:rPr>
          <w:szCs w:val="22"/>
        </w:rPr>
      </w:pPr>
    </w:p>
    <w:p w:rsidR="00800602" w:rsidRPr="003C3A62" w:rsidRDefault="00800602" w:rsidP="00800602">
      <w:pPr>
        <w:pStyle w:val="ListParagraph"/>
        <w:widowControl/>
        <w:numPr>
          <w:ilvl w:val="1"/>
          <w:numId w:val="4"/>
        </w:numPr>
        <w:rPr>
          <w:szCs w:val="22"/>
        </w:rPr>
      </w:pPr>
      <w:r w:rsidRPr="003C3A62">
        <w:rPr>
          <w:szCs w:val="22"/>
        </w:rPr>
        <w:t>The submission described evolocumab as superior in terms of efficacy (based on surrogate outcome measures) and similar in terms of safety compared to placebo. This claim may be reasonable.</w:t>
      </w:r>
    </w:p>
    <w:p w:rsidR="00800602" w:rsidRPr="003C3A62" w:rsidRDefault="00800602" w:rsidP="00800602">
      <w:pPr>
        <w:pStyle w:val="ListParagraph"/>
        <w:widowControl/>
        <w:rPr>
          <w:szCs w:val="22"/>
        </w:rPr>
      </w:pPr>
    </w:p>
    <w:p w:rsidR="00800602" w:rsidRPr="003C3A62" w:rsidRDefault="00800602" w:rsidP="00800602">
      <w:pPr>
        <w:pStyle w:val="ListParagraph"/>
        <w:widowControl/>
        <w:numPr>
          <w:ilvl w:val="1"/>
          <w:numId w:val="4"/>
        </w:numPr>
        <w:rPr>
          <w:szCs w:val="22"/>
        </w:rPr>
      </w:pPr>
      <w:r w:rsidRPr="003C3A62">
        <w:rPr>
          <w:szCs w:val="22"/>
        </w:rPr>
        <w:t xml:space="preserve">The submission described evolocumab as superior in terms of efficacy (based on surrogate outcome measures) compared to alirocumab but made no claim regarding comparative safety. The claim of superiority was not </w:t>
      </w:r>
      <w:r w:rsidR="00EE2779" w:rsidRPr="003C3A62">
        <w:rPr>
          <w:szCs w:val="22"/>
        </w:rPr>
        <w:t>well</w:t>
      </w:r>
      <w:r w:rsidRPr="003C3A62">
        <w:rPr>
          <w:szCs w:val="22"/>
        </w:rPr>
        <w:t xml:space="preserve"> supported.</w:t>
      </w:r>
    </w:p>
    <w:p w:rsidR="00800602" w:rsidRPr="003C3A62" w:rsidRDefault="00800602" w:rsidP="00800602">
      <w:pPr>
        <w:pStyle w:val="ListParagraph"/>
        <w:rPr>
          <w:szCs w:val="22"/>
        </w:rPr>
      </w:pPr>
    </w:p>
    <w:p w:rsidR="00CE0B6C" w:rsidRPr="003C3A62" w:rsidRDefault="00800602" w:rsidP="00CE0B6C">
      <w:pPr>
        <w:pStyle w:val="ListParagraph"/>
        <w:widowControl/>
        <w:numPr>
          <w:ilvl w:val="1"/>
          <w:numId w:val="4"/>
        </w:numPr>
        <w:rPr>
          <w:szCs w:val="22"/>
        </w:rPr>
      </w:pPr>
      <w:r w:rsidRPr="003C3A62">
        <w:rPr>
          <w:szCs w:val="22"/>
        </w:rPr>
        <w:t xml:space="preserve">The current published literature supports the hypothesis that a reduction in LDL levels is associated with a reduction in cardiovascular risk. Therefore the greater LDL reductions associated with evolocumab treatment compared to ezetimibe and placebo </w:t>
      </w:r>
      <w:r w:rsidR="00EE2779" w:rsidRPr="003C3A62">
        <w:rPr>
          <w:szCs w:val="22"/>
        </w:rPr>
        <w:t>might</w:t>
      </w:r>
      <w:r w:rsidRPr="003C3A62">
        <w:rPr>
          <w:szCs w:val="22"/>
        </w:rPr>
        <w:t xml:space="preserve"> translate into meaningful reductions in cardiovascular events. However, the magnitude of benefit remains unclear.</w:t>
      </w:r>
    </w:p>
    <w:p w:rsidR="00CE0B6C" w:rsidRPr="003C3A62" w:rsidRDefault="00CE0B6C" w:rsidP="00CE0B6C">
      <w:pPr>
        <w:pStyle w:val="ListParagraph"/>
        <w:rPr>
          <w:bCs/>
          <w:szCs w:val="22"/>
        </w:rPr>
      </w:pPr>
    </w:p>
    <w:p w:rsidR="00CE0B6C" w:rsidRPr="003C3A62" w:rsidRDefault="00B45B06" w:rsidP="00CE0B6C">
      <w:pPr>
        <w:pStyle w:val="ListParagraph"/>
        <w:widowControl/>
        <w:numPr>
          <w:ilvl w:val="1"/>
          <w:numId w:val="4"/>
        </w:numPr>
        <w:rPr>
          <w:szCs w:val="22"/>
        </w:rPr>
      </w:pPr>
      <w:r w:rsidRPr="003C3A62">
        <w:rPr>
          <w:bCs/>
          <w:szCs w:val="22"/>
        </w:rPr>
        <w:t>The PBAC considered that the claim of superior comparative effectiveness</w:t>
      </w:r>
      <w:r w:rsidR="00C06B03" w:rsidRPr="003C3A62">
        <w:rPr>
          <w:bCs/>
          <w:szCs w:val="22"/>
        </w:rPr>
        <w:t>, in terms of reduction in LDL levels,</w:t>
      </w:r>
      <w:r w:rsidRPr="003C3A62">
        <w:rPr>
          <w:bCs/>
          <w:szCs w:val="22"/>
        </w:rPr>
        <w:t xml:space="preserve"> was reasonable adequately supported by the data.</w:t>
      </w:r>
    </w:p>
    <w:p w:rsidR="00CE0B6C" w:rsidRPr="003C3A62" w:rsidRDefault="00CE0B6C" w:rsidP="00CE0B6C">
      <w:pPr>
        <w:pStyle w:val="ListParagraph"/>
        <w:rPr>
          <w:szCs w:val="22"/>
        </w:rPr>
      </w:pPr>
    </w:p>
    <w:p w:rsidR="00B45B06" w:rsidRPr="003C3A62" w:rsidRDefault="00B45B06" w:rsidP="00CE0B6C">
      <w:pPr>
        <w:pStyle w:val="ListParagraph"/>
        <w:widowControl/>
        <w:numPr>
          <w:ilvl w:val="1"/>
          <w:numId w:val="4"/>
        </w:numPr>
        <w:rPr>
          <w:szCs w:val="22"/>
        </w:rPr>
      </w:pPr>
      <w:r w:rsidRPr="003C3A62">
        <w:rPr>
          <w:szCs w:val="22"/>
        </w:rPr>
        <w:t>The PBAC considered that the claim of non-inferior comparative safety was adequately supported by the data.</w:t>
      </w:r>
    </w:p>
    <w:p w:rsidR="00800602" w:rsidRPr="003C3A62" w:rsidRDefault="00800602" w:rsidP="00800602">
      <w:pPr>
        <w:ind w:left="720" w:hanging="720"/>
        <w:rPr>
          <w:szCs w:val="22"/>
        </w:rPr>
      </w:pPr>
    </w:p>
    <w:p w:rsidR="00800602" w:rsidRPr="00061C45" w:rsidRDefault="00800602" w:rsidP="00FA0151">
      <w:pPr>
        <w:pStyle w:val="Heading2"/>
      </w:pPr>
      <w:bookmarkStart w:id="11" w:name="_Toc441052822"/>
      <w:r w:rsidRPr="00061C45">
        <w:t>Economic analysis</w:t>
      </w:r>
      <w:bookmarkEnd w:id="11"/>
      <w:r w:rsidRPr="00061C45">
        <w:t xml:space="preserve"> </w:t>
      </w:r>
    </w:p>
    <w:p w:rsidR="00800602" w:rsidRPr="003C3A62" w:rsidRDefault="00800602" w:rsidP="00800602">
      <w:pPr>
        <w:ind w:left="720" w:hanging="720"/>
        <w:rPr>
          <w:szCs w:val="22"/>
        </w:rPr>
      </w:pPr>
    </w:p>
    <w:p w:rsidR="00800602" w:rsidRPr="003C3A62" w:rsidRDefault="00800602" w:rsidP="00800602">
      <w:pPr>
        <w:pStyle w:val="ListParagraph"/>
        <w:widowControl/>
        <w:numPr>
          <w:ilvl w:val="1"/>
          <w:numId w:val="4"/>
        </w:numPr>
        <w:rPr>
          <w:szCs w:val="22"/>
        </w:rPr>
      </w:pPr>
      <w:r w:rsidRPr="003C3A62">
        <w:rPr>
          <w:szCs w:val="22"/>
        </w:rPr>
        <w:t>The re-submission presented a modelled economic analysis assessing the cost-effectiveness of fortnightly evolocumab when used as a replacement or as an add-on therapy to ezetimibe in patients with heterozygous familial hypercholesterolaemia.</w:t>
      </w:r>
    </w:p>
    <w:p w:rsidR="00800602" w:rsidRPr="003C3A62" w:rsidRDefault="00800602" w:rsidP="00800602">
      <w:pPr>
        <w:pStyle w:val="ListParagraph"/>
        <w:widowControl/>
        <w:rPr>
          <w:szCs w:val="22"/>
        </w:rPr>
      </w:pPr>
    </w:p>
    <w:p w:rsidR="00800602" w:rsidRPr="003C3A62" w:rsidRDefault="00800602" w:rsidP="004B7939">
      <w:pPr>
        <w:pStyle w:val="ListParagraph"/>
        <w:widowControl/>
        <w:numPr>
          <w:ilvl w:val="1"/>
          <w:numId w:val="4"/>
        </w:numPr>
        <w:rPr>
          <w:szCs w:val="22"/>
        </w:rPr>
      </w:pPr>
      <w:r w:rsidRPr="003C3A62">
        <w:rPr>
          <w:szCs w:val="22"/>
        </w:rPr>
        <w:t>No economic evaluation was presented for the use of evolocumab in patients with homozygous familial hypercholesterolaemia.</w:t>
      </w:r>
    </w:p>
    <w:p w:rsidR="00800602" w:rsidRPr="003C3A62" w:rsidRDefault="00800602" w:rsidP="00800602">
      <w:pPr>
        <w:pStyle w:val="ListParagraph"/>
        <w:rPr>
          <w:szCs w:val="22"/>
        </w:rPr>
      </w:pPr>
    </w:p>
    <w:p w:rsidR="00800602" w:rsidRPr="003C3A62" w:rsidRDefault="00800602" w:rsidP="004B7939">
      <w:pPr>
        <w:pStyle w:val="ListParagraph"/>
        <w:widowControl/>
        <w:numPr>
          <w:ilvl w:val="1"/>
          <w:numId w:val="4"/>
        </w:numPr>
        <w:rPr>
          <w:szCs w:val="22"/>
        </w:rPr>
      </w:pPr>
      <w:r w:rsidRPr="003C3A62">
        <w:rPr>
          <w:szCs w:val="22"/>
        </w:rPr>
        <w:t>No economic evaluation was presented for the use of monthly evolocumab in patients with heterozygous familial hypercholesterolaemia.</w:t>
      </w:r>
    </w:p>
    <w:p w:rsidR="00800602" w:rsidRPr="003C3A62" w:rsidRDefault="00800602" w:rsidP="00800602">
      <w:pPr>
        <w:widowControl/>
        <w:rPr>
          <w:szCs w:val="22"/>
        </w:rPr>
      </w:pPr>
    </w:p>
    <w:p w:rsidR="00061C45" w:rsidRDefault="00061C45" w:rsidP="00800602">
      <w:pPr>
        <w:ind w:firstLine="720"/>
        <w:rPr>
          <w:rStyle w:val="CommentReference"/>
        </w:rPr>
      </w:pPr>
      <w:r>
        <w:rPr>
          <w:rStyle w:val="CommentReference"/>
        </w:rPr>
        <w:br w:type="page"/>
      </w:r>
    </w:p>
    <w:p w:rsidR="00800602" w:rsidRPr="003C3A62" w:rsidRDefault="00800602" w:rsidP="00800602">
      <w:pPr>
        <w:ind w:firstLine="720"/>
        <w:rPr>
          <w:rStyle w:val="CommentReference"/>
        </w:rPr>
      </w:pPr>
      <w:r w:rsidRPr="003C3A62">
        <w:rPr>
          <w:rStyle w:val="CommentReference"/>
        </w:rPr>
        <w:lastRenderedPageBreak/>
        <w:t xml:space="preserve">Table </w:t>
      </w:r>
      <w:r w:rsidR="00572508" w:rsidRPr="003C3A62">
        <w:rPr>
          <w:rStyle w:val="CommentReference"/>
        </w:rPr>
        <w:t>6</w:t>
      </w:r>
      <w:r w:rsidRPr="003C3A62">
        <w:rPr>
          <w:rStyle w:val="CommentReference"/>
        </w:rPr>
        <w:t>: Summary of model structure and rationale</w:t>
      </w:r>
    </w:p>
    <w:tbl>
      <w:tblPr>
        <w:tblW w:w="833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85"/>
        <w:gridCol w:w="6349"/>
      </w:tblGrid>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Methods used to generate results</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Markov cohort expected value analysis</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Time horizon</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 xml:space="preserve">35 years </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Cycle length</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Monthly</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Treatments</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Evolocumab, ezetimibe, placebo</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Health states</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Myocardial infarction (with no history of stroke), myocardial infarction (with a history of stroke), stroke (with or without a history of myocardial infarction), cardiovascular death and non-cardiovascular death. The model also included acute sub-states to account for the first 11 months after a non-fatal event.</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Transition probabilities</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Transition probabilities were derived from the composite annual event rates (Framingham risk equations with familial hypercholesterolaemia multiplier and prior recent event multiplier within 12 months of an event) adjusted for the composite relative event rate associated with the reduction in LDL from treatment, adjusted for the one month cycle length and transformed into probabilities. Probabilities are allocated to individual events based on the probability that an event is a CHD death and the probability that a non-fatal event is an MI or stroke.</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Outcomes</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 reduction in LDL; life years; quality-adjusted life years</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Discount rate</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5% for costs and outcomes</w:t>
            </w:r>
          </w:p>
        </w:tc>
      </w:tr>
      <w:tr w:rsidR="00800602" w:rsidRPr="003C3A62" w:rsidTr="0081587D">
        <w:tc>
          <w:tcPr>
            <w:tcW w:w="1985" w:type="dxa"/>
            <w:shd w:val="clear" w:color="auto" w:fill="auto"/>
          </w:tcPr>
          <w:p w:rsidR="00800602" w:rsidRPr="003C3A62" w:rsidRDefault="00800602" w:rsidP="0081587D">
            <w:pPr>
              <w:jc w:val="left"/>
              <w:rPr>
                <w:rFonts w:ascii="Arial Narrow" w:hAnsi="Arial Narrow"/>
                <w:sz w:val="20"/>
              </w:rPr>
            </w:pPr>
            <w:r w:rsidRPr="003C3A62">
              <w:rPr>
                <w:rFonts w:ascii="Arial Narrow" w:hAnsi="Arial Narrow"/>
                <w:sz w:val="20"/>
              </w:rPr>
              <w:t>Software package</w:t>
            </w:r>
          </w:p>
        </w:tc>
        <w:tc>
          <w:tcPr>
            <w:tcW w:w="6349" w:type="dxa"/>
            <w:shd w:val="clear" w:color="auto" w:fill="auto"/>
          </w:tcPr>
          <w:p w:rsidR="00800602" w:rsidRPr="003C3A62" w:rsidRDefault="00800602" w:rsidP="0081587D">
            <w:pPr>
              <w:rPr>
                <w:rFonts w:ascii="Arial Narrow" w:hAnsi="Arial Narrow"/>
                <w:sz w:val="20"/>
              </w:rPr>
            </w:pPr>
            <w:r w:rsidRPr="003C3A62">
              <w:rPr>
                <w:rFonts w:ascii="Arial Narrow" w:hAnsi="Arial Narrow"/>
                <w:sz w:val="20"/>
              </w:rPr>
              <w:t>Excel 2010</w:t>
            </w:r>
          </w:p>
        </w:tc>
      </w:tr>
    </w:tbl>
    <w:p w:rsidR="00800602" w:rsidRPr="003C3A62" w:rsidRDefault="00800602" w:rsidP="00800602">
      <w:pPr>
        <w:pStyle w:val="TableFooter"/>
        <w:ind w:firstLine="720"/>
      </w:pPr>
      <w:r w:rsidRPr="003C3A62">
        <w:t>Source: Constructed during the evaluation</w:t>
      </w:r>
    </w:p>
    <w:p w:rsidR="005C546A" w:rsidRPr="003C3A62" w:rsidRDefault="005C546A">
      <w:pPr>
        <w:widowControl/>
        <w:rPr>
          <w:szCs w:val="22"/>
        </w:rPr>
      </w:pPr>
    </w:p>
    <w:p w:rsidR="005C546A" w:rsidRPr="003C3A62" w:rsidRDefault="00EE2779" w:rsidP="00CD167C">
      <w:pPr>
        <w:pStyle w:val="ListParagraph"/>
        <w:widowControl/>
        <w:numPr>
          <w:ilvl w:val="1"/>
          <w:numId w:val="4"/>
        </w:numPr>
        <w:rPr>
          <w:szCs w:val="22"/>
        </w:rPr>
      </w:pPr>
      <w:r w:rsidRPr="003C3A62">
        <w:rPr>
          <w:szCs w:val="22"/>
        </w:rPr>
        <w:t>Compared to the</w:t>
      </w:r>
      <w:r w:rsidR="005C546A" w:rsidRPr="003C3A62">
        <w:rPr>
          <w:szCs w:val="22"/>
        </w:rPr>
        <w:t xml:space="preserve"> March 2015 submission the current model </w:t>
      </w:r>
      <w:r w:rsidR="00303D30" w:rsidRPr="003C3A62">
        <w:rPr>
          <w:szCs w:val="22"/>
        </w:rPr>
        <w:t xml:space="preserve">has changed </w:t>
      </w:r>
      <w:r w:rsidR="005C546A" w:rsidRPr="003C3A62">
        <w:rPr>
          <w:szCs w:val="22"/>
        </w:rPr>
        <w:t>patient population characteristics</w:t>
      </w:r>
      <w:r w:rsidR="00303D30" w:rsidRPr="003C3A62">
        <w:rPr>
          <w:szCs w:val="22"/>
        </w:rPr>
        <w:t>, calculation of underlying cardiovascular risk, prior event risk multiplier, treatment adherence rates, drug costs and model structure (additional health states and annual updating)</w:t>
      </w:r>
      <w:r w:rsidR="003D17FD" w:rsidRPr="003C3A62">
        <w:rPr>
          <w:szCs w:val="22"/>
        </w:rPr>
        <w:t>.</w:t>
      </w:r>
      <w:r w:rsidR="00303D30" w:rsidRPr="003C3A62">
        <w:rPr>
          <w:szCs w:val="22"/>
        </w:rPr>
        <w:t xml:space="preserve"> </w:t>
      </w:r>
    </w:p>
    <w:p w:rsidR="005C546A" w:rsidRPr="003C3A62" w:rsidRDefault="005C546A" w:rsidP="00800602">
      <w:pPr>
        <w:widowControl/>
        <w:rPr>
          <w:szCs w:val="22"/>
        </w:rPr>
      </w:pPr>
    </w:p>
    <w:p w:rsidR="00800602" w:rsidRPr="003C3A62" w:rsidRDefault="00800602" w:rsidP="00800602">
      <w:pPr>
        <w:pStyle w:val="ListParagraph"/>
        <w:widowControl/>
        <w:numPr>
          <w:ilvl w:val="1"/>
          <w:numId w:val="4"/>
        </w:numPr>
        <w:rPr>
          <w:szCs w:val="22"/>
        </w:rPr>
      </w:pPr>
      <w:r w:rsidRPr="003C3A62">
        <w:rPr>
          <w:szCs w:val="22"/>
        </w:rPr>
        <w:t>The economic analysis should be interpreted with caution as the approach used in the submission lacked transparency and was reliant on complex methods to populate the model.</w:t>
      </w:r>
    </w:p>
    <w:p w:rsidR="00800602" w:rsidRPr="003C3A62" w:rsidRDefault="00800602" w:rsidP="00800602">
      <w:pPr>
        <w:pStyle w:val="ListParagraph"/>
        <w:widowControl/>
        <w:rPr>
          <w:szCs w:val="22"/>
        </w:rPr>
      </w:pPr>
    </w:p>
    <w:p w:rsidR="00A56FF6" w:rsidRPr="003C3A62" w:rsidRDefault="00A56FF6" w:rsidP="00A56FF6">
      <w:pPr>
        <w:pStyle w:val="ListParagraph"/>
        <w:widowControl/>
        <w:numPr>
          <w:ilvl w:val="1"/>
          <w:numId w:val="4"/>
        </w:numPr>
      </w:pPr>
      <w:r w:rsidRPr="003C3A62">
        <w:t>The National Lipid Association Expert Panel on Familial Hypercholesterolemia have noted that standard Framingham or other risk classification schemes are not applicable to individuals with FH [Youngblom &amp; Knowles, 2014].</w:t>
      </w:r>
    </w:p>
    <w:p w:rsidR="00A56FF6" w:rsidRPr="003C3A62" w:rsidRDefault="00A56FF6" w:rsidP="00A56FF6">
      <w:pPr>
        <w:widowControl/>
      </w:pPr>
    </w:p>
    <w:p w:rsidR="00A56FF6" w:rsidRPr="003C3A62" w:rsidRDefault="00A56FF6" w:rsidP="00A56FF6">
      <w:pPr>
        <w:pStyle w:val="ListParagraph"/>
        <w:widowControl/>
        <w:numPr>
          <w:ilvl w:val="1"/>
          <w:numId w:val="4"/>
        </w:numPr>
      </w:pPr>
      <w:r w:rsidRPr="003C3A62">
        <w:t xml:space="preserve">Benn et al </w:t>
      </w:r>
      <w:r w:rsidR="00AF0421" w:rsidRPr="003C3A62">
        <w:t xml:space="preserve">(2012) </w:t>
      </w:r>
      <w:r w:rsidRPr="003C3A62">
        <w:t xml:space="preserve">compared risk of </w:t>
      </w:r>
      <w:r w:rsidR="00AF0421" w:rsidRPr="003C3A62">
        <w:t>coronary arterial disease (CAD)</w:t>
      </w:r>
      <w:r w:rsidRPr="003C3A62">
        <w:t xml:space="preserve"> for individuals with a diagnosis of definite/probable and possible FH relative to those with unlikely FH adjusting for gender, age, BMI, hypertension, metabolic syndrome, diabetes mellitus, and smoking. Without adjusting for LDL the estimated multiplier is double counting the effect of raised LDL in FH patients. LDL is a key input to the Framingham equations that determine baseline risk, and LDL is likely a key factor driving the observed differences in CAD in the Benn study.</w:t>
      </w:r>
    </w:p>
    <w:p w:rsidR="00A56FF6" w:rsidRPr="003C3A62" w:rsidRDefault="00A56FF6" w:rsidP="00A56FF6">
      <w:pPr>
        <w:widowControl/>
      </w:pPr>
    </w:p>
    <w:p w:rsidR="00A56FF6" w:rsidRPr="003C3A62" w:rsidRDefault="00A56FF6" w:rsidP="00A56FF6">
      <w:pPr>
        <w:pStyle w:val="ListParagraph"/>
        <w:widowControl/>
        <w:numPr>
          <w:ilvl w:val="1"/>
          <w:numId w:val="4"/>
        </w:numPr>
      </w:pPr>
      <w:r w:rsidRPr="003C3A62">
        <w:t xml:space="preserve">The </w:t>
      </w:r>
      <w:r w:rsidR="003D17FD" w:rsidRPr="003C3A62">
        <w:t xml:space="preserve">results of the </w:t>
      </w:r>
      <w:r w:rsidRPr="003C3A62">
        <w:t xml:space="preserve">Benn study </w:t>
      </w:r>
      <w:r w:rsidR="003D17FD" w:rsidRPr="003C3A62">
        <w:t>did not</w:t>
      </w:r>
      <w:r w:rsidRPr="003C3A62">
        <w:t xml:space="preserve"> </w:t>
      </w:r>
      <w:r w:rsidR="003D17FD" w:rsidRPr="003C3A62">
        <w:t xml:space="preserve">provide any </w:t>
      </w:r>
      <w:r w:rsidRPr="003C3A62">
        <w:t xml:space="preserve">support the application of a FH risk multiplier in the model (it should be set to 1). Supplementary analyses might compare Framingham derived risk estimates for a typical population without raised cholesterol (representing the general population off treatment group in the Benn study); a typical non-FH population on treatment for raised cholesterol; and an FH population. The resulting relative risk ratios could be compared to the odds ratios reported by Benn et al to provide some form of validation for the model’s input parameters. The odds ratio of the definite/probable FH group to the on treatment general population group is approximately 2 (though the lower 95% CI is likely to be around 1.4). </w:t>
      </w:r>
    </w:p>
    <w:p w:rsidR="00A56FF6" w:rsidRPr="003C3A62" w:rsidRDefault="00A56FF6" w:rsidP="00A56FF6">
      <w:pPr>
        <w:widowControl/>
      </w:pPr>
    </w:p>
    <w:p w:rsidR="00A56FF6" w:rsidRPr="003C3A62" w:rsidRDefault="00A56FF6" w:rsidP="00A56FF6">
      <w:pPr>
        <w:pStyle w:val="ListParagraph"/>
        <w:widowControl/>
        <w:numPr>
          <w:ilvl w:val="1"/>
          <w:numId w:val="4"/>
        </w:numPr>
        <w:rPr>
          <w:szCs w:val="22"/>
        </w:rPr>
      </w:pPr>
      <w:r w:rsidRPr="003C3A62">
        <w:lastRenderedPageBreak/>
        <w:t xml:space="preserve">The application of multipliers of 2 to 3 to </w:t>
      </w:r>
      <w:r w:rsidR="00D265A6" w:rsidRPr="003C3A62">
        <w:t>first</w:t>
      </w:r>
      <w:r w:rsidRPr="003C3A62">
        <w:t xml:space="preserve"> year event probabilities to represent increased risk in the </w:t>
      </w:r>
      <w:r w:rsidR="00D265A6" w:rsidRPr="003C3A62">
        <w:t>first</w:t>
      </w:r>
      <w:r w:rsidRPr="003C3A62">
        <w:t xml:space="preserve"> year after the experience of an event is inappropriate. The baseline event rates (to which the </w:t>
      </w:r>
      <w:r w:rsidR="00D265A6" w:rsidRPr="003C3A62">
        <w:t>first</w:t>
      </w:r>
      <w:r w:rsidRPr="003C3A62">
        <w:t xml:space="preserve"> year multipliers were applied) seem to have been converted from 4 and 10 year event rates for MI and IS, respectively. These event rates include events in the </w:t>
      </w:r>
      <w:r w:rsidR="00D265A6" w:rsidRPr="003C3A62">
        <w:t>first</w:t>
      </w:r>
      <w:r w:rsidRPr="003C3A62">
        <w:t xml:space="preserve"> year. To require the application of the multipliers the estimated transition probabilities would have been estimated using data describing events from the end of the </w:t>
      </w:r>
      <w:r w:rsidR="00D265A6" w:rsidRPr="003C3A62">
        <w:t>first</w:t>
      </w:r>
      <w:r w:rsidRPr="003C3A62">
        <w:t xml:space="preserve"> year after an event. Otherwise event rates in the </w:t>
      </w:r>
      <w:r w:rsidR="00D265A6" w:rsidRPr="003C3A62">
        <w:t>first</w:t>
      </w:r>
      <w:r w:rsidRPr="003C3A62">
        <w:t xml:space="preserve"> year are being multiplied inappropriately.</w:t>
      </w:r>
    </w:p>
    <w:p w:rsidR="00A56FF6" w:rsidRPr="003C3A62" w:rsidRDefault="00A56FF6" w:rsidP="00A56FF6">
      <w:pPr>
        <w:widowControl/>
        <w:rPr>
          <w:szCs w:val="22"/>
        </w:rPr>
      </w:pPr>
    </w:p>
    <w:p w:rsidR="00A56FF6" w:rsidRPr="003C3A62" w:rsidRDefault="00A56FF6" w:rsidP="00A56FF6">
      <w:pPr>
        <w:pStyle w:val="ListParagraph"/>
        <w:widowControl/>
        <w:numPr>
          <w:ilvl w:val="1"/>
          <w:numId w:val="4"/>
        </w:numPr>
        <w:rPr>
          <w:szCs w:val="22"/>
        </w:rPr>
      </w:pPr>
      <w:r w:rsidRPr="003C3A62">
        <w:t>The estimation of constant baseline event probabilities using 4 and 10 year event rates overestimates the long-term event probabilities because the observed data include year 1 event rates, inappropriately increasing the post-year 1 event probabilities. The model should estimate separate event probabilities for year 1 and post-year 1 time periods.</w:t>
      </w:r>
    </w:p>
    <w:p w:rsidR="001D1761" w:rsidRPr="003C3A62" w:rsidRDefault="001D1761" w:rsidP="00B45B06">
      <w:pPr>
        <w:pStyle w:val="PBACHeading1"/>
        <w:numPr>
          <w:ilvl w:val="0"/>
          <w:numId w:val="0"/>
        </w:numPr>
      </w:pPr>
    </w:p>
    <w:p w:rsidR="00A56FF6" w:rsidRPr="003C3A62" w:rsidRDefault="00A56FF6" w:rsidP="00AF0421">
      <w:pPr>
        <w:pStyle w:val="ListParagraph"/>
        <w:rPr>
          <w:szCs w:val="22"/>
        </w:rPr>
      </w:pPr>
    </w:p>
    <w:p w:rsidR="00800602" w:rsidRPr="003C3A62" w:rsidRDefault="00800602" w:rsidP="00A56FF6">
      <w:pPr>
        <w:pStyle w:val="ListParagraph"/>
        <w:widowControl/>
        <w:numPr>
          <w:ilvl w:val="1"/>
          <w:numId w:val="4"/>
        </w:numPr>
        <w:rPr>
          <w:szCs w:val="22"/>
        </w:rPr>
      </w:pPr>
      <w:r w:rsidRPr="003C3A62">
        <w:rPr>
          <w:szCs w:val="22"/>
        </w:rPr>
        <w:t xml:space="preserve">Key issues with the economic model are summarised in the </w:t>
      </w:r>
      <w:r w:rsidR="001D1761" w:rsidRPr="003C3A62">
        <w:rPr>
          <w:szCs w:val="22"/>
        </w:rPr>
        <w:t xml:space="preserve">following </w:t>
      </w:r>
      <w:r w:rsidRPr="003C3A62">
        <w:rPr>
          <w:szCs w:val="22"/>
        </w:rPr>
        <w:t>table.</w:t>
      </w:r>
    </w:p>
    <w:p w:rsidR="00800602" w:rsidRPr="003C3A62" w:rsidRDefault="00800602" w:rsidP="00800602">
      <w:pPr>
        <w:ind w:firstLine="720"/>
        <w:rPr>
          <w:rStyle w:val="CommentReference"/>
        </w:rPr>
      </w:pPr>
    </w:p>
    <w:p w:rsidR="00800602" w:rsidRPr="003C3A62" w:rsidRDefault="00800602" w:rsidP="00800602">
      <w:pPr>
        <w:ind w:firstLine="720"/>
        <w:rPr>
          <w:rStyle w:val="CommentReference"/>
        </w:rPr>
      </w:pPr>
      <w:r w:rsidRPr="003C3A62">
        <w:rPr>
          <w:rStyle w:val="CommentReference"/>
        </w:rPr>
        <w:t xml:space="preserve">Table </w:t>
      </w:r>
      <w:r w:rsidR="00572508" w:rsidRPr="003C3A62">
        <w:rPr>
          <w:rStyle w:val="CommentReference"/>
        </w:rPr>
        <w:t>7</w:t>
      </w:r>
      <w:r w:rsidRPr="003C3A62">
        <w:rPr>
          <w:rStyle w:val="CommentReference"/>
        </w:rPr>
        <w:t>: Key issues with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4536"/>
        <w:gridCol w:w="1682"/>
      </w:tblGrid>
      <w:tr w:rsidR="00800602" w:rsidRPr="003C3A62" w:rsidTr="0081587D">
        <w:trPr>
          <w:tblHeader/>
        </w:trPr>
        <w:tc>
          <w:tcPr>
            <w:tcW w:w="1274" w:type="pct"/>
            <w:shd w:val="clear" w:color="auto" w:fill="auto"/>
            <w:vAlign w:val="center"/>
          </w:tcPr>
          <w:p w:rsidR="00800602" w:rsidRPr="003C3A62" w:rsidRDefault="00800602" w:rsidP="0081587D">
            <w:pPr>
              <w:jc w:val="left"/>
              <w:rPr>
                <w:rFonts w:ascii="Arial Narrow" w:hAnsi="Arial Narrow"/>
                <w:b/>
                <w:sz w:val="20"/>
              </w:rPr>
            </w:pPr>
            <w:r w:rsidRPr="003C3A62">
              <w:rPr>
                <w:rFonts w:ascii="Arial Narrow" w:hAnsi="Arial Narrow"/>
                <w:b/>
                <w:sz w:val="20"/>
              </w:rPr>
              <w:t>Description</w:t>
            </w:r>
          </w:p>
        </w:tc>
        <w:tc>
          <w:tcPr>
            <w:tcW w:w="2718"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Method/Value</w:t>
            </w:r>
          </w:p>
        </w:tc>
        <w:tc>
          <w:tcPr>
            <w:tcW w:w="1008" w:type="pct"/>
            <w:shd w:val="clear" w:color="auto" w:fill="auto"/>
            <w:vAlign w:val="center"/>
          </w:tcPr>
          <w:p w:rsidR="00800602" w:rsidRPr="003C3A62" w:rsidRDefault="00800602" w:rsidP="0081587D">
            <w:pPr>
              <w:jc w:val="center"/>
              <w:rPr>
                <w:rFonts w:ascii="Arial Narrow" w:hAnsi="Arial Narrow"/>
                <w:b/>
                <w:sz w:val="20"/>
              </w:rPr>
            </w:pPr>
            <w:r w:rsidRPr="003C3A62">
              <w:rPr>
                <w:rFonts w:ascii="Arial Narrow" w:hAnsi="Arial Narrow"/>
                <w:b/>
                <w:sz w:val="20"/>
              </w:rPr>
              <w:t>Impact</w:t>
            </w:r>
          </w:p>
        </w:tc>
      </w:tr>
      <w:tr w:rsidR="00800602" w:rsidRPr="003C3A62" w:rsidTr="0081587D">
        <w:tc>
          <w:tcPr>
            <w:tcW w:w="12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Modelled patient population</w:t>
            </w:r>
          </w:p>
        </w:tc>
        <w:tc>
          <w:tcPr>
            <w:tcW w:w="2718"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Characteristics of the modelled population synthesised from Australian AUSDIAB FH population and post-hoc subgroup analyses of secondary prevention patients with LDL &gt; 3.3 in evolocumab clinical trial program</w:t>
            </w:r>
          </w:p>
        </w:tc>
        <w:tc>
          <w:tcPr>
            <w:tcW w:w="100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High,</w:t>
            </w:r>
          </w:p>
          <w:p w:rsidR="00800602" w:rsidRPr="003C3A62" w:rsidRDefault="00800602" w:rsidP="0081587D">
            <w:pPr>
              <w:jc w:val="center"/>
              <w:rPr>
                <w:rFonts w:ascii="Arial Narrow" w:hAnsi="Arial Narrow"/>
                <w:sz w:val="20"/>
              </w:rPr>
            </w:pPr>
            <w:r w:rsidRPr="003C3A62">
              <w:rPr>
                <w:rFonts w:ascii="Arial Narrow" w:hAnsi="Arial Narrow"/>
                <w:sz w:val="20"/>
              </w:rPr>
              <w:t>favours evolocumab</w:t>
            </w:r>
          </w:p>
        </w:tc>
      </w:tr>
      <w:tr w:rsidR="00800602" w:rsidRPr="003C3A62" w:rsidTr="0081587D">
        <w:tc>
          <w:tcPr>
            <w:tcW w:w="12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Underlying cardiovascular risk</w:t>
            </w:r>
          </w:p>
        </w:tc>
        <w:tc>
          <w:tcPr>
            <w:tcW w:w="2718"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Estimated by applying Framingham risk equations to synthesised population and applying a familial hypercholesterolaemia multiplier (based on observation data from the Simon-Broome Register) and a prior event multiplier for the first year following an event in the model (based on observational data from UK CPRD GOLD database).</w:t>
            </w:r>
          </w:p>
        </w:tc>
        <w:tc>
          <w:tcPr>
            <w:tcW w:w="100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High,</w:t>
            </w:r>
          </w:p>
          <w:p w:rsidR="00800602" w:rsidRPr="003C3A62" w:rsidRDefault="00800602" w:rsidP="0081587D">
            <w:pPr>
              <w:jc w:val="center"/>
              <w:rPr>
                <w:rFonts w:ascii="Arial Narrow" w:hAnsi="Arial Narrow"/>
                <w:sz w:val="20"/>
              </w:rPr>
            </w:pPr>
            <w:r w:rsidRPr="003C3A62">
              <w:rPr>
                <w:rFonts w:ascii="Arial Narrow" w:hAnsi="Arial Narrow"/>
                <w:sz w:val="20"/>
              </w:rPr>
              <w:t>favours evolocumab</w:t>
            </w:r>
          </w:p>
        </w:tc>
      </w:tr>
      <w:tr w:rsidR="00800602" w:rsidRPr="003C3A62" w:rsidTr="0081587D">
        <w:tc>
          <w:tcPr>
            <w:tcW w:w="12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Transformation of LDL outcomes to cardiovascular outcomes</w:t>
            </w:r>
          </w:p>
        </w:tc>
        <w:tc>
          <w:tcPr>
            <w:tcW w:w="2718"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Relative LDL measures converted to absolute measures based on the synthesised population. Absolute estimates converted to relative rate ratios in cardiovascular events using the CTTC analysis.</w:t>
            </w:r>
          </w:p>
        </w:tc>
        <w:tc>
          <w:tcPr>
            <w:tcW w:w="100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Moderate,</w:t>
            </w:r>
          </w:p>
          <w:p w:rsidR="00800602" w:rsidRPr="003C3A62" w:rsidRDefault="00800602" w:rsidP="0081587D">
            <w:pPr>
              <w:jc w:val="center"/>
              <w:rPr>
                <w:rFonts w:ascii="Arial Narrow" w:hAnsi="Arial Narrow"/>
                <w:sz w:val="20"/>
              </w:rPr>
            </w:pPr>
            <w:r w:rsidRPr="003C3A62">
              <w:rPr>
                <w:rFonts w:ascii="Arial Narrow" w:hAnsi="Arial Narrow"/>
                <w:sz w:val="20"/>
              </w:rPr>
              <w:t>favours evolocumab</w:t>
            </w:r>
          </w:p>
        </w:tc>
      </w:tr>
      <w:tr w:rsidR="00800602" w:rsidRPr="003C3A62" w:rsidTr="0081587D">
        <w:tc>
          <w:tcPr>
            <w:tcW w:w="1274"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Treatment adherence</w:t>
            </w:r>
          </w:p>
        </w:tc>
        <w:tc>
          <w:tcPr>
            <w:tcW w:w="2718" w:type="pct"/>
            <w:shd w:val="clear" w:color="auto" w:fill="auto"/>
            <w:vAlign w:val="center"/>
          </w:tcPr>
          <w:p w:rsidR="00800602" w:rsidRPr="003C3A62" w:rsidRDefault="00800602" w:rsidP="0081587D">
            <w:pPr>
              <w:jc w:val="left"/>
              <w:rPr>
                <w:rFonts w:ascii="Arial Narrow" w:hAnsi="Arial Narrow"/>
                <w:sz w:val="20"/>
              </w:rPr>
            </w:pPr>
            <w:r w:rsidRPr="003C3A62">
              <w:rPr>
                <w:rFonts w:ascii="Arial Narrow" w:hAnsi="Arial Narrow"/>
                <w:sz w:val="20"/>
              </w:rPr>
              <w:t>Assumed perfect adherence</w:t>
            </w:r>
          </w:p>
        </w:tc>
        <w:tc>
          <w:tcPr>
            <w:tcW w:w="1008" w:type="pct"/>
            <w:shd w:val="clear" w:color="auto" w:fill="auto"/>
            <w:vAlign w:val="center"/>
          </w:tcPr>
          <w:p w:rsidR="00800602" w:rsidRPr="003C3A62" w:rsidRDefault="00800602" w:rsidP="0081587D">
            <w:pPr>
              <w:jc w:val="center"/>
              <w:rPr>
                <w:rFonts w:ascii="Arial Narrow" w:hAnsi="Arial Narrow"/>
                <w:sz w:val="20"/>
              </w:rPr>
            </w:pPr>
            <w:r w:rsidRPr="003C3A62">
              <w:rPr>
                <w:rFonts w:ascii="Arial Narrow" w:hAnsi="Arial Narrow"/>
                <w:sz w:val="20"/>
              </w:rPr>
              <w:t>Unclear</w:t>
            </w:r>
          </w:p>
        </w:tc>
      </w:tr>
    </w:tbl>
    <w:p w:rsidR="00800602" w:rsidRPr="003C3A62" w:rsidRDefault="00800602" w:rsidP="00800602">
      <w:pPr>
        <w:pStyle w:val="TableFooter"/>
        <w:ind w:firstLine="720"/>
      </w:pPr>
      <w:r w:rsidRPr="003C3A62">
        <w:t>Source: compiled during the evaluation</w:t>
      </w:r>
    </w:p>
    <w:p w:rsidR="00800602" w:rsidRPr="003C3A62" w:rsidRDefault="00800602" w:rsidP="00800602">
      <w:pPr>
        <w:widowControl/>
        <w:rPr>
          <w:szCs w:val="22"/>
        </w:rPr>
      </w:pPr>
    </w:p>
    <w:p w:rsidR="00800602" w:rsidRPr="003C3A62" w:rsidRDefault="00800602" w:rsidP="00800602">
      <w:pPr>
        <w:pStyle w:val="ListParagraph"/>
        <w:widowControl/>
        <w:numPr>
          <w:ilvl w:val="1"/>
          <w:numId w:val="4"/>
        </w:numPr>
        <w:rPr>
          <w:szCs w:val="22"/>
        </w:rPr>
      </w:pPr>
      <w:r w:rsidRPr="003C3A62">
        <w:rPr>
          <w:szCs w:val="22"/>
        </w:rPr>
        <w:t>The results of the economic model are summarised below.</w:t>
      </w:r>
    </w:p>
    <w:p w:rsidR="00800602" w:rsidRPr="003C3A62" w:rsidRDefault="00800602" w:rsidP="00800602">
      <w:pPr>
        <w:widowControl/>
        <w:rPr>
          <w:szCs w:val="22"/>
        </w:rPr>
      </w:pPr>
    </w:p>
    <w:p w:rsidR="00800602" w:rsidRPr="003C3A62" w:rsidRDefault="00061C45" w:rsidP="00800602">
      <w:pPr>
        <w:ind w:firstLine="720"/>
        <w:rPr>
          <w:rStyle w:val="CommentReference"/>
        </w:rPr>
      </w:pPr>
      <w:r>
        <w:rPr>
          <w:rStyle w:val="CommentReference"/>
        </w:rPr>
        <w:br w:type="page"/>
      </w:r>
      <w:r w:rsidR="00800602" w:rsidRPr="003C3A62">
        <w:rPr>
          <w:rStyle w:val="CommentReference"/>
        </w:rPr>
        <w:lastRenderedPageBreak/>
        <w:t xml:space="preserve">Table </w:t>
      </w:r>
      <w:r w:rsidR="00572508" w:rsidRPr="003C3A62">
        <w:rPr>
          <w:rStyle w:val="CommentReference"/>
        </w:rPr>
        <w:t>8</w:t>
      </w:r>
      <w:r w:rsidR="00800602" w:rsidRPr="003C3A62">
        <w:rPr>
          <w:rStyle w:val="CommentReference"/>
        </w:rPr>
        <w:t>: Modelled economic analyses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554"/>
        <w:gridCol w:w="1554"/>
        <w:gridCol w:w="1552"/>
      </w:tblGrid>
      <w:tr w:rsidR="00800602" w:rsidRPr="003C3A62" w:rsidTr="0081587D">
        <w:tc>
          <w:tcPr>
            <w:tcW w:w="2208" w:type="pct"/>
          </w:tcPr>
          <w:p w:rsidR="00800602" w:rsidRPr="003C3A62" w:rsidRDefault="00800602" w:rsidP="0081587D">
            <w:pPr>
              <w:rPr>
                <w:rFonts w:ascii="Arial Narrow" w:hAnsi="Arial Narrow"/>
                <w:b/>
                <w:sz w:val="20"/>
              </w:rPr>
            </w:pPr>
          </w:p>
        </w:tc>
        <w:tc>
          <w:tcPr>
            <w:tcW w:w="931" w:type="pct"/>
          </w:tcPr>
          <w:p w:rsidR="00800602" w:rsidRPr="003C3A62" w:rsidRDefault="00800602" w:rsidP="0081587D">
            <w:pPr>
              <w:jc w:val="center"/>
              <w:rPr>
                <w:rFonts w:ascii="Arial Narrow" w:hAnsi="Arial Narrow"/>
                <w:b/>
                <w:sz w:val="20"/>
              </w:rPr>
            </w:pPr>
            <w:r w:rsidRPr="003C3A62">
              <w:rPr>
                <w:rFonts w:ascii="Arial Narrow" w:hAnsi="Arial Narrow"/>
                <w:b/>
                <w:sz w:val="20"/>
              </w:rPr>
              <w:t>Evolocumab</w:t>
            </w:r>
          </w:p>
        </w:tc>
        <w:tc>
          <w:tcPr>
            <w:tcW w:w="931" w:type="pct"/>
          </w:tcPr>
          <w:p w:rsidR="00800602" w:rsidRPr="003C3A62" w:rsidRDefault="00800602" w:rsidP="0081587D">
            <w:pPr>
              <w:jc w:val="center"/>
              <w:rPr>
                <w:rFonts w:ascii="Arial Narrow" w:hAnsi="Arial Narrow"/>
                <w:b/>
                <w:sz w:val="20"/>
              </w:rPr>
            </w:pPr>
            <w:r w:rsidRPr="003C3A62">
              <w:rPr>
                <w:rFonts w:ascii="Arial Narrow" w:hAnsi="Arial Narrow"/>
                <w:b/>
                <w:sz w:val="20"/>
              </w:rPr>
              <w:t>Placebo</w:t>
            </w:r>
          </w:p>
        </w:tc>
        <w:tc>
          <w:tcPr>
            <w:tcW w:w="930" w:type="pct"/>
          </w:tcPr>
          <w:p w:rsidR="00800602" w:rsidRPr="003C3A62" w:rsidRDefault="00800602" w:rsidP="0081587D">
            <w:pPr>
              <w:jc w:val="center"/>
              <w:rPr>
                <w:rFonts w:ascii="Arial Narrow" w:hAnsi="Arial Narrow"/>
                <w:b/>
                <w:sz w:val="20"/>
              </w:rPr>
            </w:pPr>
            <w:r w:rsidRPr="003C3A62">
              <w:rPr>
                <w:rFonts w:ascii="Arial Narrow" w:hAnsi="Arial Narrow"/>
                <w:b/>
                <w:sz w:val="20"/>
              </w:rPr>
              <w:t>Increment</w:t>
            </w:r>
          </w:p>
        </w:tc>
      </w:tr>
      <w:tr w:rsidR="00800602" w:rsidRPr="003C3A62" w:rsidTr="0081587D">
        <w:tc>
          <w:tcPr>
            <w:tcW w:w="2208" w:type="pct"/>
          </w:tcPr>
          <w:p w:rsidR="00800602" w:rsidRPr="003C3A62" w:rsidRDefault="00800602" w:rsidP="0081587D">
            <w:pPr>
              <w:rPr>
                <w:rFonts w:ascii="Arial Narrow" w:hAnsi="Arial Narrow"/>
                <w:sz w:val="20"/>
              </w:rPr>
            </w:pPr>
            <w:r w:rsidRPr="003C3A62">
              <w:rPr>
                <w:rFonts w:ascii="Arial Narrow" w:hAnsi="Arial Narrow"/>
                <w:sz w:val="20"/>
              </w:rPr>
              <w:t>Costs</w:t>
            </w:r>
          </w:p>
        </w:tc>
        <w:tc>
          <w:tcPr>
            <w:tcW w:w="931" w:type="pct"/>
            <w:vAlign w:val="center"/>
          </w:tcPr>
          <w:p w:rsidR="00800602" w:rsidRPr="003C3A62" w:rsidRDefault="00800602" w:rsidP="0081587D">
            <w:pPr>
              <w:jc w:val="center"/>
              <w:rPr>
                <w:rFonts w:ascii="Arial Narrow" w:hAnsi="Arial Narrow"/>
                <w:sz w:val="20"/>
              </w:rPr>
            </w:pPr>
            <w:r w:rsidRPr="003C3A62">
              <w:rPr>
                <w:rFonts w:ascii="Arial Narrow" w:hAnsi="Arial Narrow" w:cs="Times New Roman"/>
                <w:sz w:val="20"/>
              </w:rPr>
              <w:t>$</w:t>
            </w:r>
            <w:r w:rsidR="00524E3E">
              <w:rPr>
                <w:rFonts w:ascii="Arial Narrow" w:hAnsi="Arial Narrow" w:cs="Times New Roman"/>
                <w:noProof/>
                <w:color w:val="000000"/>
                <w:sz w:val="20"/>
                <w:highlight w:val="black"/>
              </w:rPr>
              <w:t>''''''''''''''''''''</w:t>
            </w:r>
          </w:p>
        </w:tc>
        <w:tc>
          <w:tcPr>
            <w:tcW w:w="931" w:type="pct"/>
            <w:vAlign w:val="center"/>
          </w:tcPr>
          <w:p w:rsidR="00800602" w:rsidRPr="003C3A62" w:rsidRDefault="00800602" w:rsidP="0081587D">
            <w:pPr>
              <w:jc w:val="center"/>
              <w:rPr>
                <w:rFonts w:ascii="Arial Narrow" w:hAnsi="Arial Narrow"/>
                <w:sz w:val="20"/>
              </w:rPr>
            </w:pPr>
            <w:r w:rsidRPr="003C3A62">
              <w:rPr>
                <w:rFonts w:ascii="Arial Narrow" w:hAnsi="Arial Narrow" w:cs="Times New Roman"/>
                <w:sz w:val="20"/>
              </w:rPr>
              <w:t>$</w:t>
            </w:r>
            <w:r w:rsidR="00524E3E">
              <w:rPr>
                <w:rFonts w:ascii="Arial Narrow" w:hAnsi="Arial Narrow" w:cs="Times New Roman"/>
                <w:noProof/>
                <w:color w:val="000000"/>
                <w:sz w:val="20"/>
                <w:highlight w:val="black"/>
              </w:rPr>
              <w:t>'''''''''''''''</w:t>
            </w:r>
          </w:p>
        </w:tc>
        <w:tc>
          <w:tcPr>
            <w:tcW w:w="930" w:type="pct"/>
            <w:vAlign w:val="center"/>
          </w:tcPr>
          <w:p w:rsidR="00800602" w:rsidRPr="003C3A62" w:rsidRDefault="00800602" w:rsidP="0081587D">
            <w:pPr>
              <w:jc w:val="center"/>
              <w:rPr>
                <w:rFonts w:ascii="Arial Narrow" w:hAnsi="Arial Narrow"/>
                <w:sz w:val="20"/>
              </w:rPr>
            </w:pPr>
            <w:r w:rsidRPr="003C3A62">
              <w:rPr>
                <w:rFonts w:ascii="Arial Narrow" w:hAnsi="Arial Narrow" w:cs="Times New Roman"/>
                <w:sz w:val="20"/>
              </w:rPr>
              <w:t>$</w:t>
            </w:r>
            <w:r w:rsidR="00524E3E">
              <w:rPr>
                <w:rFonts w:ascii="Arial Narrow" w:hAnsi="Arial Narrow" w:cs="Times New Roman"/>
                <w:noProof/>
                <w:color w:val="000000"/>
                <w:sz w:val="20"/>
                <w:highlight w:val="black"/>
              </w:rPr>
              <w:t>''''''''''''''''</w:t>
            </w:r>
          </w:p>
        </w:tc>
      </w:tr>
      <w:tr w:rsidR="00800602" w:rsidRPr="003C3A62" w:rsidTr="0081587D">
        <w:tc>
          <w:tcPr>
            <w:tcW w:w="2208" w:type="pct"/>
            <w:tcBorders>
              <w:bottom w:val="single" w:sz="4" w:space="0" w:color="auto"/>
            </w:tcBorders>
          </w:tcPr>
          <w:p w:rsidR="00800602" w:rsidRPr="003C3A62" w:rsidRDefault="00800602" w:rsidP="0081587D">
            <w:pPr>
              <w:rPr>
                <w:rFonts w:ascii="Arial Narrow" w:hAnsi="Arial Narrow"/>
                <w:sz w:val="20"/>
              </w:rPr>
            </w:pPr>
            <w:r w:rsidRPr="003C3A62">
              <w:rPr>
                <w:rFonts w:ascii="Arial Narrow" w:hAnsi="Arial Narrow"/>
                <w:sz w:val="20"/>
              </w:rPr>
              <w:t>L</w:t>
            </w:r>
            <w:r w:rsidR="00EE2779" w:rsidRPr="003C3A62">
              <w:rPr>
                <w:rFonts w:ascii="Arial Narrow" w:hAnsi="Arial Narrow"/>
                <w:sz w:val="20"/>
              </w:rPr>
              <w:t>y</w:t>
            </w:r>
            <w:r w:rsidRPr="003C3A62">
              <w:rPr>
                <w:rFonts w:ascii="Arial Narrow" w:hAnsi="Arial Narrow"/>
                <w:sz w:val="20"/>
              </w:rPr>
              <w:t>s</w:t>
            </w:r>
          </w:p>
        </w:tc>
        <w:tc>
          <w:tcPr>
            <w:tcW w:w="931" w:type="pct"/>
            <w:tcBorders>
              <w:bottom w:val="single" w:sz="4" w:space="0" w:color="auto"/>
            </w:tcBorders>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1" w:type="pct"/>
            <w:tcBorders>
              <w:bottom w:val="single" w:sz="4" w:space="0" w:color="auto"/>
            </w:tcBorders>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0" w:type="pct"/>
            <w:tcBorders>
              <w:bottom w:val="single" w:sz="4" w:space="0" w:color="auto"/>
            </w:tcBorders>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r>
      <w:tr w:rsidR="00800602" w:rsidRPr="003C3A62" w:rsidTr="0081587D">
        <w:tc>
          <w:tcPr>
            <w:tcW w:w="2208" w:type="pct"/>
            <w:tcBorders>
              <w:bottom w:val="single" w:sz="4" w:space="0" w:color="auto"/>
            </w:tcBorders>
          </w:tcPr>
          <w:p w:rsidR="00800602" w:rsidRPr="003C3A62" w:rsidRDefault="00800602" w:rsidP="0081587D">
            <w:pPr>
              <w:rPr>
                <w:rFonts w:ascii="Arial Narrow" w:hAnsi="Arial Narrow"/>
                <w:sz w:val="20"/>
              </w:rPr>
            </w:pPr>
            <w:r w:rsidRPr="003C3A62">
              <w:rPr>
                <w:rFonts w:ascii="Arial Narrow" w:hAnsi="Arial Narrow"/>
                <w:sz w:val="20"/>
              </w:rPr>
              <w:t>QALYs</w:t>
            </w:r>
          </w:p>
        </w:tc>
        <w:tc>
          <w:tcPr>
            <w:tcW w:w="931" w:type="pct"/>
            <w:tcBorders>
              <w:bottom w:val="single" w:sz="4" w:space="0" w:color="auto"/>
            </w:tcBorders>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1" w:type="pct"/>
            <w:tcBorders>
              <w:bottom w:val="single" w:sz="4" w:space="0" w:color="auto"/>
            </w:tcBorders>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0" w:type="pct"/>
            <w:tcBorders>
              <w:bottom w:val="single" w:sz="4" w:space="0" w:color="auto"/>
            </w:tcBorders>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r>
      <w:tr w:rsidR="00800602" w:rsidRPr="003C3A62" w:rsidTr="0081587D">
        <w:tc>
          <w:tcPr>
            <w:tcW w:w="4070" w:type="pct"/>
            <w:gridSpan w:val="3"/>
            <w:tcBorders>
              <w:bottom w:val="single" w:sz="4" w:space="0" w:color="auto"/>
            </w:tcBorders>
          </w:tcPr>
          <w:p w:rsidR="00800602" w:rsidRPr="003C3A62" w:rsidRDefault="00800602" w:rsidP="0081587D">
            <w:pPr>
              <w:rPr>
                <w:rFonts w:ascii="Arial Narrow" w:hAnsi="Arial Narrow"/>
                <w:b/>
                <w:sz w:val="20"/>
              </w:rPr>
            </w:pPr>
            <w:r w:rsidRPr="003C3A62">
              <w:rPr>
                <w:rFonts w:ascii="Arial Narrow" w:hAnsi="Arial Narrow"/>
                <w:b/>
                <w:sz w:val="20"/>
              </w:rPr>
              <w:t>Incremental cost per LY gained</w:t>
            </w:r>
          </w:p>
        </w:tc>
        <w:tc>
          <w:tcPr>
            <w:tcW w:w="930" w:type="pct"/>
            <w:tcBorders>
              <w:bottom w:val="single" w:sz="4" w:space="0" w:color="auto"/>
            </w:tcBorders>
          </w:tcPr>
          <w:p w:rsidR="00800602" w:rsidRPr="003C3A62" w:rsidRDefault="00800602" w:rsidP="0081587D">
            <w:pPr>
              <w:jc w:val="center"/>
              <w:rPr>
                <w:rFonts w:ascii="Arial Narrow" w:hAnsi="Arial Narrow"/>
                <w:b/>
                <w:sz w:val="20"/>
              </w:rPr>
            </w:pPr>
            <w:r w:rsidRPr="003C3A62">
              <w:rPr>
                <w:rFonts w:ascii="Arial Narrow" w:hAnsi="Arial Narrow"/>
                <w:b/>
                <w:sz w:val="20"/>
              </w:rPr>
              <w:t>$</w:t>
            </w:r>
            <w:r w:rsidR="00524E3E">
              <w:rPr>
                <w:rFonts w:ascii="Arial Narrow" w:hAnsi="Arial Narrow"/>
                <w:b/>
                <w:noProof/>
                <w:color w:val="000000"/>
                <w:sz w:val="20"/>
                <w:highlight w:val="black"/>
              </w:rPr>
              <w:t>'''''''''''''</w:t>
            </w:r>
          </w:p>
        </w:tc>
      </w:tr>
      <w:tr w:rsidR="00800602" w:rsidRPr="003C3A62" w:rsidTr="0081587D">
        <w:tc>
          <w:tcPr>
            <w:tcW w:w="4070" w:type="pct"/>
            <w:gridSpan w:val="3"/>
            <w:tcBorders>
              <w:bottom w:val="double" w:sz="4" w:space="0" w:color="auto"/>
            </w:tcBorders>
          </w:tcPr>
          <w:p w:rsidR="00800602" w:rsidRPr="003C3A62" w:rsidRDefault="00800602" w:rsidP="0081587D">
            <w:pPr>
              <w:rPr>
                <w:rFonts w:ascii="Arial Narrow" w:hAnsi="Arial Narrow"/>
                <w:b/>
                <w:sz w:val="20"/>
              </w:rPr>
            </w:pPr>
            <w:r w:rsidRPr="003C3A62">
              <w:rPr>
                <w:rFonts w:ascii="Arial Narrow" w:hAnsi="Arial Narrow"/>
                <w:b/>
                <w:sz w:val="20"/>
              </w:rPr>
              <w:t>Incremental cost per QALY gained</w:t>
            </w:r>
          </w:p>
        </w:tc>
        <w:tc>
          <w:tcPr>
            <w:tcW w:w="930" w:type="pct"/>
            <w:tcBorders>
              <w:bottom w:val="double" w:sz="4" w:space="0" w:color="auto"/>
            </w:tcBorders>
          </w:tcPr>
          <w:p w:rsidR="00800602" w:rsidRPr="003C3A62" w:rsidRDefault="00800602" w:rsidP="0081587D">
            <w:pPr>
              <w:jc w:val="center"/>
              <w:rPr>
                <w:rFonts w:ascii="Arial Narrow" w:hAnsi="Arial Narrow"/>
                <w:b/>
                <w:sz w:val="20"/>
              </w:rPr>
            </w:pPr>
            <w:r w:rsidRPr="003C3A62">
              <w:rPr>
                <w:rFonts w:ascii="Arial Narrow" w:hAnsi="Arial Narrow"/>
                <w:b/>
                <w:sz w:val="20"/>
              </w:rPr>
              <w:t>$</w:t>
            </w:r>
            <w:r w:rsidR="00524E3E">
              <w:rPr>
                <w:rFonts w:ascii="Arial Narrow" w:hAnsi="Arial Narrow"/>
                <w:b/>
                <w:noProof/>
                <w:color w:val="000000"/>
                <w:sz w:val="20"/>
                <w:highlight w:val="black"/>
              </w:rPr>
              <w:t>'''''''''''''</w:t>
            </w:r>
          </w:p>
        </w:tc>
      </w:tr>
      <w:tr w:rsidR="00800602" w:rsidRPr="003C3A62" w:rsidTr="000678B4">
        <w:tc>
          <w:tcPr>
            <w:tcW w:w="2208" w:type="pct"/>
            <w:tcBorders>
              <w:top w:val="double" w:sz="4" w:space="0" w:color="auto"/>
            </w:tcBorders>
          </w:tcPr>
          <w:p w:rsidR="00800602" w:rsidRPr="003C3A62" w:rsidRDefault="00800602" w:rsidP="0081587D">
            <w:pPr>
              <w:rPr>
                <w:rFonts w:ascii="Arial Narrow" w:hAnsi="Arial Narrow"/>
                <w:b/>
                <w:sz w:val="20"/>
              </w:rPr>
            </w:pPr>
          </w:p>
        </w:tc>
        <w:tc>
          <w:tcPr>
            <w:tcW w:w="931" w:type="pct"/>
            <w:tcBorders>
              <w:top w:val="double" w:sz="4" w:space="0" w:color="auto"/>
            </w:tcBorders>
            <w:vAlign w:val="center"/>
          </w:tcPr>
          <w:p w:rsidR="00800602" w:rsidRPr="003C3A62" w:rsidRDefault="00800602" w:rsidP="000678B4">
            <w:pPr>
              <w:jc w:val="center"/>
              <w:rPr>
                <w:rFonts w:ascii="Arial Narrow" w:hAnsi="Arial Narrow" w:cs="Times New Roman"/>
                <w:b/>
                <w:sz w:val="20"/>
              </w:rPr>
            </w:pPr>
            <w:r w:rsidRPr="003C3A62">
              <w:rPr>
                <w:rFonts w:ascii="Arial Narrow" w:hAnsi="Arial Narrow" w:cs="Times New Roman"/>
                <w:b/>
                <w:sz w:val="20"/>
              </w:rPr>
              <w:t>Evolocumab</w:t>
            </w:r>
          </w:p>
        </w:tc>
        <w:tc>
          <w:tcPr>
            <w:tcW w:w="931" w:type="pct"/>
            <w:tcBorders>
              <w:top w:val="double" w:sz="4" w:space="0" w:color="auto"/>
            </w:tcBorders>
            <w:vAlign w:val="center"/>
          </w:tcPr>
          <w:p w:rsidR="00800602" w:rsidRPr="003C3A62" w:rsidRDefault="00800602" w:rsidP="000678B4">
            <w:pPr>
              <w:jc w:val="center"/>
              <w:rPr>
                <w:rFonts w:ascii="Arial Narrow" w:hAnsi="Arial Narrow" w:cs="Times New Roman"/>
                <w:b/>
                <w:sz w:val="20"/>
              </w:rPr>
            </w:pPr>
            <w:r w:rsidRPr="003C3A62">
              <w:rPr>
                <w:rFonts w:ascii="Arial Narrow" w:hAnsi="Arial Narrow" w:cs="Times New Roman"/>
                <w:b/>
                <w:sz w:val="20"/>
              </w:rPr>
              <w:t>Ezetimibe</w:t>
            </w:r>
          </w:p>
        </w:tc>
        <w:tc>
          <w:tcPr>
            <w:tcW w:w="930" w:type="pct"/>
            <w:tcBorders>
              <w:top w:val="double" w:sz="4" w:space="0" w:color="auto"/>
            </w:tcBorders>
            <w:vAlign w:val="center"/>
          </w:tcPr>
          <w:p w:rsidR="00800602" w:rsidRPr="003C3A62" w:rsidRDefault="00800602" w:rsidP="0081587D">
            <w:pPr>
              <w:jc w:val="center"/>
              <w:rPr>
                <w:rFonts w:ascii="Arial Narrow" w:hAnsi="Arial Narrow" w:cs="Times New Roman"/>
                <w:b/>
                <w:sz w:val="20"/>
              </w:rPr>
            </w:pPr>
            <w:r w:rsidRPr="003C3A62">
              <w:rPr>
                <w:rFonts w:ascii="Arial Narrow" w:hAnsi="Arial Narrow" w:cs="Times New Roman"/>
                <w:b/>
                <w:sz w:val="20"/>
              </w:rPr>
              <w:t>Increment</w:t>
            </w:r>
          </w:p>
        </w:tc>
      </w:tr>
      <w:tr w:rsidR="00800602" w:rsidRPr="003C3A62" w:rsidTr="000678B4">
        <w:tc>
          <w:tcPr>
            <w:tcW w:w="2208" w:type="pct"/>
          </w:tcPr>
          <w:p w:rsidR="00800602" w:rsidRPr="003C3A62" w:rsidRDefault="00800602" w:rsidP="0081587D">
            <w:pPr>
              <w:rPr>
                <w:rFonts w:ascii="Arial Narrow" w:hAnsi="Arial Narrow"/>
                <w:sz w:val="20"/>
              </w:rPr>
            </w:pPr>
            <w:r w:rsidRPr="003C3A62">
              <w:rPr>
                <w:rFonts w:ascii="Arial Narrow" w:hAnsi="Arial Narrow"/>
                <w:sz w:val="20"/>
              </w:rPr>
              <w:t>Costs</w:t>
            </w:r>
          </w:p>
        </w:tc>
        <w:tc>
          <w:tcPr>
            <w:tcW w:w="931" w:type="pct"/>
            <w:vAlign w:val="center"/>
          </w:tcPr>
          <w:p w:rsidR="00800602" w:rsidRPr="003C3A62" w:rsidRDefault="00800602" w:rsidP="000678B4">
            <w:pPr>
              <w:jc w:val="center"/>
              <w:rPr>
                <w:rFonts w:ascii="Arial Narrow" w:hAnsi="Arial Narrow"/>
                <w:sz w:val="20"/>
              </w:rPr>
            </w:pPr>
            <w:r w:rsidRPr="003C3A62">
              <w:rPr>
                <w:rFonts w:ascii="Arial Narrow" w:hAnsi="Arial Narrow" w:cs="Times New Roman"/>
                <w:sz w:val="20"/>
              </w:rPr>
              <w:t>$</w:t>
            </w:r>
            <w:r w:rsidR="00524E3E">
              <w:rPr>
                <w:rFonts w:ascii="Arial Narrow" w:hAnsi="Arial Narrow" w:cs="Times New Roman"/>
                <w:noProof/>
                <w:color w:val="000000"/>
                <w:sz w:val="20"/>
                <w:highlight w:val="black"/>
              </w:rPr>
              <w:t>''''''''''''''''''''''</w:t>
            </w:r>
          </w:p>
        </w:tc>
        <w:tc>
          <w:tcPr>
            <w:tcW w:w="931" w:type="pct"/>
            <w:vAlign w:val="center"/>
          </w:tcPr>
          <w:p w:rsidR="00800602" w:rsidRPr="003C3A62" w:rsidRDefault="00800602" w:rsidP="000678B4">
            <w:pPr>
              <w:jc w:val="center"/>
              <w:rPr>
                <w:rFonts w:ascii="Arial Narrow" w:hAnsi="Arial Narrow"/>
                <w:sz w:val="20"/>
              </w:rPr>
            </w:pPr>
            <w:r w:rsidRPr="003C3A62">
              <w:rPr>
                <w:rFonts w:ascii="Arial Narrow" w:hAnsi="Arial Narrow" w:cs="Times New Roman"/>
                <w:sz w:val="20"/>
              </w:rPr>
              <w:t>$</w:t>
            </w:r>
            <w:r w:rsidR="00524E3E">
              <w:rPr>
                <w:rFonts w:ascii="Arial Narrow" w:hAnsi="Arial Narrow" w:cs="Times New Roman"/>
                <w:noProof/>
                <w:color w:val="000000"/>
                <w:sz w:val="20"/>
                <w:highlight w:val="black"/>
              </w:rPr>
              <w:t>'''''''''''''''</w:t>
            </w:r>
          </w:p>
        </w:tc>
        <w:tc>
          <w:tcPr>
            <w:tcW w:w="930" w:type="pct"/>
            <w:vAlign w:val="center"/>
          </w:tcPr>
          <w:p w:rsidR="00800602" w:rsidRPr="003C3A62" w:rsidRDefault="00800602" w:rsidP="0081587D">
            <w:pPr>
              <w:jc w:val="center"/>
              <w:rPr>
                <w:rFonts w:ascii="Arial Narrow" w:hAnsi="Arial Narrow"/>
                <w:sz w:val="20"/>
              </w:rPr>
            </w:pPr>
            <w:r w:rsidRPr="003C3A62">
              <w:rPr>
                <w:rFonts w:ascii="Arial Narrow" w:hAnsi="Arial Narrow" w:cs="Times New Roman"/>
                <w:sz w:val="20"/>
              </w:rPr>
              <w:t>$</w:t>
            </w:r>
            <w:r w:rsidR="00524E3E">
              <w:rPr>
                <w:rFonts w:ascii="Arial Narrow" w:hAnsi="Arial Narrow" w:cs="Times New Roman"/>
                <w:noProof/>
                <w:color w:val="000000"/>
                <w:sz w:val="20"/>
                <w:highlight w:val="black"/>
              </w:rPr>
              <w:t>''''''''''''''''</w:t>
            </w:r>
          </w:p>
        </w:tc>
      </w:tr>
      <w:tr w:rsidR="00800602" w:rsidRPr="003C3A62" w:rsidTr="000678B4">
        <w:tc>
          <w:tcPr>
            <w:tcW w:w="2208" w:type="pct"/>
          </w:tcPr>
          <w:p w:rsidR="00800602" w:rsidRPr="003C3A62" w:rsidRDefault="00800602" w:rsidP="0081587D">
            <w:pPr>
              <w:rPr>
                <w:rFonts w:ascii="Arial Narrow" w:hAnsi="Arial Narrow"/>
                <w:sz w:val="20"/>
              </w:rPr>
            </w:pPr>
            <w:r w:rsidRPr="003C3A62">
              <w:rPr>
                <w:rFonts w:ascii="Arial Narrow" w:hAnsi="Arial Narrow"/>
                <w:sz w:val="20"/>
              </w:rPr>
              <w:t>L</w:t>
            </w:r>
            <w:r w:rsidR="00EE2779" w:rsidRPr="003C3A62">
              <w:rPr>
                <w:rFonts w:ascii="Arial Narrow" w:hAnsi="Arial Narrow"/>
                <w:sz w:val="20"/>
              </w:rPr>
              <w:t>y</w:t>
            </w:r>
            <w:r w:rsidRPr="003C3A62">
              <w:rPr>
                <w:rFonts w:ascii="Arial Narrow" w:hAnsi="Arial Narrow"/>
                <w:sz w:val="20"/>
              </w:rPr>
              <w:t>s</w:t>
            </w:r>
          </w:p>
        </w:tc>
        <w:tc>
          <w:tcPr>
            <w:tcW w:w="931" w:type="pct"/>
            <w:vAlign w:val="center"/>
          </w:tcPr>
          <w:p w:rsidR="00800602" w:rsidRPr="00524E3E" w:rsidRDefault="00524E3E" w:rsidP="000678B4">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1" w:type="pct"/>
            <w:vAlign w:val="center"/>
          </w:tcPr>
          <w:p w:rsidR="00800602" w:rsidRPr="00524E3E" w:rsidRDefault="00524E3E" w:rsidP="000678B4">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0" w:type="pct"/>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r>
      <w:tr w:rsidR="00800602" w:rsidRPr="003C3A62" w:rsidTr="000678B4">
        <w:tc>
          <w:tcPr>
            <w:tcW w:w="2208" w:type="pct"/>
          </w:tcPr>
          <w:p w:rsidR="00800602" w:rsidRPr="003C3A62" w:rsidRDefault="00800602" w:rsidP="0081587D">
            <w:pPr>
              <w:rPr>
                <w:rFonts w:ascii="Arial Narrow" w:hAnsi="Arial Narrow"/>
                <w:sz w:val="20"/>
              </w:rPr>
            </w:pPr>
            <w:r w:rsidRPr="003C3A62">
              <w:rPr>
                <w:rFonts w:ascii="Arial Narrow" w:hAnsi="Arial Narrow"/>
                <w:sz w:val="20"/>
              </w:rPr>
              <w:t>QALYs</w:t>
            </w:r>
          </w:p>
        </w:tc>
        <w:tc>
          <w:tcPr>
            <w:tcW w:w="931" w:type="pct"/>
            <w:vAlign w:val="center"/>
          </w:tcPr>
          <w:p w:rsidR="00800602" w:rsidRPr="00524E3E" w:rsidRDefault="00524E3E" w:rsidP="000678B4">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1" w:type="pct"/>
            <w:vAlign w:val="center"/>
          </w:tcPr>
          <w:p w:rsidR="00800602" w:rsidRPr="00524E3E" w:rsidRDefault="00524E3E" w:rsidP="000678B4">
            <w:pPr>
              <w:jc w:val="center"/>
              <w:rPr>
                <w:rFonts w:ascii="Arial Narrow" w:hAnsi="Arial Narrow"/>
                <w:sz w:val="20"/>
                <w:highlight w:val="black"/>
              </w:rPr>
            </w:pPr>
            <w:r>
              <w:rPr>
                <w:rFonts w:ascii="Arial Narrow" w:hAnsi="Arial Narrow" w:cs="Times New Roman"/>
                <w:noProof/>
                <w:color w:val="000000"/>
                <w:sz w:val="20"/>
                <w:highlight w:val="black"/>
              </w:rPr>
              <w:t>''''''''''''''</w:t>
            </w:r>
          </w:p>
        </w:tc>
        <w:tc>
          <w:tcPr>
            <w:tcW w:w="930" w:type="pct"/>
            <w:vAlign w:val="center"/>
          </w:tcPr>
          <w:p w:rsidR="00800602" w:rsidRPr="00524E3E" w:rsidRDefault="00524E3E" w:rsidP="0081587D">
            <w:pPr>
              <w:jc w:val="center"/>
              <w:rPr>
                <w:rFonts w:ascii="Arial Narrow" w:hAnsi="Arial Narrow"/>
                <w:sz w:val="20"/>
                <w:highlight w:val="black"/>
              </w:rPr>
            </w:pPr>
            <w:r>
              <w:rPr>
                <w:rFonts w:ascii="Arial Narrow" w:hAnsi="Arial Narrow" w:cs="Times New Roman"/>
                <w:noProof/>
                <w:color w:val="000000"/>
                <w:sz w:val="20"/>
                <w:highlight w:val="black"/>
              </w:rPr>
              <w:t>'''''''''''''</w:t>
            </w:r>
          </w:p>
        </w:tc>
      </w:tr>
      <w:tr w:rsidR="00800602" w:rsidRPr="003C3A62" w:rsidTr="0081587D">
        <w:tc>
          <w:tcPr>
            <w:tcW w:w="4070" w:type="pct"/>
            <w:gridSpan w:val="3"/>
          </w:tcPr>
          <w:p w:rsidR="00800602" w:rsidRPr="003C3A62" w:rsidRDefault="00800602" w:rsidP="0081587D">
            <w:pPr>
              <w:rPr>
                <w:rFonts w:ascii="Arial Narrow" w:hAnsi="Arial Narrow"/>
                <w:b/>
                <w:sz w:val="20"/>
              </w:rPr>
            </w:pPr>
            <w:r w:rsidRPr="003C3A62">
              <w:rPr>
                <w:rFonts w:ascii="Arial Narrow" w:hAnsi="Arial Narrow"/>
                <w:b/>
                <w:sz w:val="20"/>
              </w:rPr>
              <w:t>Incremental cost per LY gained</w:t>
            </w:r>
          </w:p>
        </w:tc>
        <w:tc>
          <w:tcPr>
            <w:tcW w:w="930" w:type="pct"/>
          </w:tcPr>
          <w:p w:rsidR="00800602" w:rsidRPr="003C3A62" w:rsidRDefault="00800602" w:rsidP="0081587D">
            <w:pPr>
              <w:jc w:val="center"/>
              <w:rPr>
                <w:rFonts w:ascii="Arial Narrow" w:hAnsi="Arial Narrow"/>
                <w:b/>
                <w:sz w:val="20"/>
              </w:rPr>
            </w:pPr>
            <w:r w:rsidRPr="003C3A62">
              <w:rPr>
                <w:rFonts w:ascii="Arial Narrow" w:hAnsi="Arial Narrow"/>
                <w:b/>
                <w:sz w:val="20"/>
              </w:rPr>
              <w:t>$</w:t>
            </w:r>
            <w:r w:rsidR="00524E3E">
              <w:rPr>
                <w:rFonts w:ascii="Arial Narrow" w:hAnsi="Arial Narrow"/>
                <w:b/>
                <w:noProof/>
                <w:color w:val="000000"/>
                <w:sz w:val="20"/>
                <w:highlight w:val="black"/>
              </w:rPr>
              <w:t>'''''''''''''''</w:t>
            </w:r>
          </w:p>
        </w:tc>
      </w:tr>
      <w:tr w:rsidR="00800602" w:rsidRPr="003C3A62" w:rsidTr="0081587D">
        <w:tc>
          <w:tcPr>
            <w:tcW w:w="4070" w:type="pct"/>
            <w:gridSpan w:val="3"/>
          </w:tcPr>
          <w:p w:rsidR="00800602" w:rsidRPr="003C3A62" w:rsidRDefault="00800602" w:rsidP="0081587D">
            <w:pPr>
              <w:rPr>
                <w:rFonts w:ascii="Arial Narrow" w:hAnsi="Arial Narrow"/>
                <w:sz w:val="20"/>
              </w:rPr>
            </w:pPr>
            <w:r w:rsidRPr="003C3A62">
              <w:rPr>
                <w:rFonts w:ascii="Arial Narrow" w:hAnsi="Arial Narrow"/>
                <w:b/>
                <w:sz w:val="20"/>
              </w:rPr>
              <w:t>Incremental cost per QALY gained</w:t>
            </w:r>
          </w:p>
        </w:tc>
        <w:tc>
          <w:tcPr>
            <w:tcW w:w="930" w:type="pct"/>
          </w:tcPr>
          <w:p w:rsidR="00800602" w:rsidRPr="003C3A62" w:rsidRDefault="00800602" w:rsidP="0081587D">
            <w:pPr>
              <w:jc w:val="center"/>
              <w:rPr>
                <w:rFonts w:ascii="Arial Narrow" w:hAnsi="Arial Narrow"/>
                <w:b/>
                <w:sz w:val="20"/>
              </w:rPr>
            </w:pPr>
            <w:r w:rsidRPr="003C3A62">
              <w:rPr>
                <w:rFonts w:ascii="Arial Narrow" w:hAnsi="Arial Narrow"/>
                <w:b/>
                <w:sz w:val="20"/>
              </w:rPr>
              <w:t>$</w:t>
            </w:r>
            <w:r w:rsidR="00524E3E">
              <w:rPr>
                <w:rFonts w:ascii="Arial Narrow" w:hAnsi="Arial Narrow"/>
                <w:b/>
                <w:noProof/>
                <w:color w:val="000000"/>
                <w:sz w:val="20"/>
                <w:highlight w:val="black"/>
              </w:rPr>
              <w:t>'''''''''''''</w:t>
            </w:r>
          </w:p>
        </w:tc>
      </w:tr>
    </w:tbl>
    <w:p w:rsidR="00800602" w:rsidRPr="003C3A62" w:rsidRDefault="00800602" w:rsidP="00800602">
      <w:pPr>
        <w:pStyle w:val="TableFooter"/>
        <w:ind w:firstLine="720"/>
      </w:pPr>
      <w:r w:rsidRPr="003C3A62">
        <w:t>Abbreviations: LY, life year; QALY, quality-adjusted life year</w:t>
      </w:r>
    </w:p>
    <w:p w:rsidR="00800602" w:rsidRPr="003C3A62" w:rsidRDefault="00800602" w:rsidP="00800602">
      <w:pPr>
        <w:pStyle w:val="TableFooter"/>
        <w:ind w:firstLine="720"/>
      </w:pPr>
      <w:r w:rsidRPr="003C3A62">
        <w:t>Source: Table D.5-2 (p 165), Table D.5-3 (p 165) of the re-submission</w:t>
      </w:r>
    </w:p>
    <w:p w:rsidR="00800602" w:rsidRPr="003C3A62" w:rsidRDefault="00800602" w:rsidP="00800602">
      <w:pPr>
        <w:pStyle w:val="TableFooter"/>
        <w:ind w:left="720"/>
      </w:pPr>
      <w:r w:rsidRPr="003C3A62">
        <w:t>Note: Estimates are based on corrected drug costs (fixed incorrect monthly adjustment, inappropriate exclusion of patient co-payments from evolocumab price and</w:t>
      </w:r>
      <w:r w:rsidRPr="00103A19">
        <w:t xml:space="preserve"> 5</w:t>
      </w:r>
      <w:r w:rsidRPr="003C3A62">
        <w:t>% mandatory reduction for ezetimibe)</w:t>
      </w:r>
    </w:p>
    <w:p w:rsidR="00800602" w:rsidRDefault="00800602" w:rsidP="00800602">
      <w:pPr>
        <w:widowControl/>
        <w:rPr>
          <w:szCs w:val="22"/>
        </w:rPr>
      </w:pPr>
    </w:p>
    <w:p w:rsidR="007E005A" w:rsidRDefault="007E005A" w:rsidP="00800602">
      <w:pPr>
        <w:widowControl/>
        <w:rPr>
          <w:szCs w:val="22"/>
        </w:rPr>
      </w:pPr>
      <w:r>
        <w:rPr>
          <w:szCs w:val="22"/>
        </w:rPr>
        <w:tab/>
        <w:t>The redacted table shows ICERS in the range of $15,000/QALY - $45,000/QALY.</w:t>
      </w:r>
    </w:p>
    <w:p w:rsidR="009A31E7" w:rsidRPr="003C3A62" w:rsidRDefault="009A31E7" w:rsidP="00800602">
      <w:pPr>
        <w:widowControl/>
        <w:rPr>
          <w:szCs w:val="22"/>
        </w:rPr>
      </w:pPr>
      <w:r>
        <w:rPr>
          <w:szCs w:val="22"/>
        </w:rPr>
        <w:tab/>
      </w:r>
    </w:p>
    <w:p w:rsidR="00800602" w:rsidRPr="003C3A62" w:rsidRDefault="00800602" w:rsidP="00800602">
      <w:pPr>
        <w:pStyle w:val="ListParagraph"/>
        <w:widowControl/>
        <w:numPr>
          <w:ilvl w:val="1"/>
          <w:numId w:val="4"/>
        </w:numPr>
        <w:rPr>
          <w:szCs w:val="22"/>
        </w:rPr>
      </w:pPr>
      <w:r w:rsidRPr="003C3A62">
        <w:rPr>
          <w:szCs w:val="22"/>
        </w:rPr>
        <w:t>Based on the economic model, treatment with evolocumab was associated with a cost per QALY gained of $</w:t>
      </w:r>
      <w:r w:rsidR="00644DF2">
        <w:rPr>
          <w:szCs w:val="22"/>
        </w:rPr>
        <w:t>15,000/QALY - $45, 000/QALY</w:t>
      </w:r>
      <w:r w:rsidRPr="003C3A62">
        <w:rPr>
          <w:szCs w:val="22"/>
        </w:rPr>
        <w:t xml:space="preserve"> compared to placebo and </w:t>
      </w:r>
      <w:r w:rsidR="00D32FD8">
        <w:rPr>
          <w:szCs w:val="22"/>
        </w:rPr>
        <w:t>15,000/QALY - $45, 000/QALY</w:t>
      </w:r>
      <w:r w:rsidR="00D32FD8" w:rsidRPr="003C3A62">
        <w:rPr>
          <w:szCs w:val="22"/>
        </w:rPr>
        <w:t xml:space="preserve"> </w:t>
      </w:r>
      <w:r w:rsidRPr="003C3A62">
        <w:rPr>
          <w:szCs w:val="22"/>
        </w:rPr>
        <w:t>compared to ezetimibe</w:t>
      </w:r>
      <w:r w:rsidR="00FB0C33" w:rsidRPr="003C3A62">
        <w:rPr>
          <w:szCs w:val="22"/>
        </w:rPr>
        <w:t xml:space="preserve"> (ICERs were re-estimated during the evaluation, as there were errors in the submiss</w:t>
      </w:r>
      <w:r w:rsidR="00954A27" w:rsidRPr="003C3A62">
        <w:rPr>
          <w:szCs w:val="22"/>
        </w:rPr>
        <w:t>ion’s calculations of drug cost).</w:t>
      </w:r>
      <w:r w:rsidR="00FB0C33" w:rsidRPr="003C3A62">
        <w:rPr>
          <w:szCs w:val="22"/>
        </w:rPr>
        <w:t xml:space="preserve"> </w:t>
      </w:r>
      <w:r w:rsidRPr="003C3A62">
        <w:rPr>
          <w:szCs w:val="22"/>
        </w:rPr>
        <w:t>These estimates should be interpreted with caution given concerns regarding the calculation of baseline risk and the inherent uncertainty associated with the transformation of LDL levels to cardiovascular outcomes.</w:t>
      </w:r>
      <w:r w:rsidR="001036E4" w:rsidRPr="003C3A62">
        <w:rPr>
          <w:szCs w:val="22"/>
        </w:rPr>
        <w:t xml:space="preserve"> </w:t>
      </w:r>
    </w:p>
    <w:p w:rsidR="00D327A5" w:rsidRPr="003C3A62" w:rsidRDefault="00D327A5" w:rsidP="00EE2779">
      <w:pPr>
        <w:pStyle w:val="PBACHeading1"/>
        <w:numPr>
          <w:ilvl w:val="0"/>
          <w:numId w:val="0"/>
        </w:numPr>
        <w:ind w:left="720" w:hanging="720"/>
      </w:pPr>
    </w:p>
    <w:p w:rsidR="00D327A5" w:rsidRPr="003C3A62" w:rsidRDefault="00D327A5" w:rsidP="00CD167C">
      <w:pPr>
        <w:pStyle w:val="ListParagraph"/>
        <w:widowControl/>
        <w:numPr>
          <w:ilvl w:val="1"/>
          <w:numId w:val="4"/>
        </w:numPr>
      </w:pPr>
      <w:r w:rsidRPr="003C3A62">
        <w:t>The</w:t>
      </w:r>
      <w:r w:rsidR="00EE2779" w:rsidRPr="003C3A62">
        <w:t xml:space="preserve"> </w:t>
      </w:r>
      <w:r w:rsidRPr="003C3A62">
        <w:t>March 2015 submission estimated that treatment with evolocumab was associated with costs per QALY gained of $</w:t>
      </w:r>
      <w:r w:rsidR="001C7D82">
        <w:t>45,000/QALY - $75,000/QALY</w:t>
      </w:r>
      <w:r w:rsidRPr="003C3A62">
        <w:t xml:space="preserve"> against placebo and $</w:t>
      </w:r>
      <w:r w:rsidR="001C7D82">
        <w:t>45,000/QALY - $75,000/QALY</w:t>
      </w:r>
      <w:r w:rsidR="001C7D82" w:rsidRPr="003C3A62" w:rsidDel="001C7D82">
        <w:t xml:space="preserve"> </w:t>
      </w:r>
      <w:r w:rsidRPr="003C3A62">
        <w:t>against ezetimibe in patients with heterozygous familial hypercholesterolaemia. The difference in cost-effectiveness is primarily due to the increased underlying cardiovascular risk in the current model.</w:t>
      </w:r>
    </w:p>
    <w:p w:rsidR="00800602" w:rsidRPr="003C3A62" w:rsidRDefault="00800602" w:rsidP="00800602">
      <w:pPr>
        <w:widowControl/>
        <w:rPr>
          <w:szCs w:val="22"/>
        </w:rPr>
      </w:pPr>
    </w:p>
    <w:p w:rsidR="00800602" w:rsidRPr="00061C45" w:rsidRDefault="00800602" w:rsidP="00800602">
      <w:pPr>
        <w:pStyle w:val="ListParagraph"/>
        <w:widowControl/>
        <w:numPr>
          <w:ilvl w:val="1"/>
          <w:numId w:val="4"/>
        </w:numPr>
      </w:pPr>
      <w:r w:rsidRPr="00061C45">
        <w:rPr>
          <w:szCs w:val="22"/>
        </w:rPr>
        <w:t>The results of the sensitivity analyses indicate that the model is most sensitive to underlying cardiovascular risk (particularly the use of a familial hypercholesterolaemia risk multiplier), age (primarily through impact on underlying cardiovascular risk) and time horizon.</w:t>
      </w:r>
    </w:p>
    <w:p w:rsidR="00061C45" w:rsidRPr="00061C45" w:rsidRDefault="00061C45" w:rsidP="00800602">
      <w:pPr>
        <w:ind w:firstLine="720"/>
        <w:jc w:val="left"/>
        <w:rPr>
          <w:rStyle w:val="CommentReference"/>
        </w:rPr>
      </w:pPr>
      <w:r w:rsidRPr="00061C45">
        <w:rPr>
          <w:rStyle w:val="CommentReference"/>
        </w:rPr>
        <w:br w:type="page"/>
      </w:r>
    </w:p>
    <w:p w:rsidR="00800602" w:rsidRPr="003C3A62" w:rsidRDefault="00800602" w:rsidP="00800602">
      <w:pPr>
        <w:ind w:firstLine="720"/>
        <w:jc w:val="left"/>
        <w:rPr>
          <w:rStyle w:val="CommentReference"/>
        </w:rPr>
      </w:pPr>
      <w:r w:rsidRPr="003C3A62">
        <w:rPr>
          <w:rStyle w:val="CommentReference"/>
        </w:rPr>
        <w:lastRenderedPageBreak/>
        <w:t xml:space="preserve">Table </w:t>
      </w:r>
      <w:r w:rsidR="00572508" w:rsidRPr="003C3A62">
        <w:rPr>
          <w:rStyle w:val="CommentReference"/>
        </w:rPr>
        <w:t>9</w:t>
      </w:r>
      <w:r w:rsidRPr="003C3A62">
        <w:rPr>
          <w:rStyle w:val="CommentReference"/>
        </w:rPr>
        <w:t>: Results of univariate sensitivity analyses</w:t>
      </w:r>
    </w:p>
    <w:tbl>
      <w:tblPr>
        <w:tblStyle w:val="TableGrid"/>
        <w:tblW w:w="0" w:type="auto"/>
        <w:tblInd w:w="817" w:type="dxa"/>
        <w:tblLook w:val="04A0" w:firstRow="1" w:lastRow="0" w:firstColumn="1" w:lastColumn="0" w:noHBand="0" w:noVBand="1"/>
        <w:tblCaption w:val="Table 9: Results of univariate sensitivity analyses"/>
      </w:tblPr>
      <w:tblGrid>
        <w:gridCol w:w="3969"/>
        <w:gridCol w:w="2228"/>
        <w:gridCol w:w="2151"/>
      </w:tblGrid>
      <w:tr w:rsidR="00800602" w:rsidRPr="003C3A62" w:rsidTr="00954A27">
        <w:trPr>
          <w:tblHeader/>
        </w:trPr>
        <w:tc>
          <w:tcPr>
            <w:tcW w:w="3969" w:type="dxa"/>
            <w:vAlign w:val="center"/>
          </w:tcPr>
          <w:p w:rsidR="00800602" w:rsidRPr="003C3A62" w:rsidRDefault="00800602" w:rsidP="00954A27">
            <w:pPr>
              <w:jc w:val="left"/>
              <w:rPr>
                <w:rFonts w:ascii="Arial Narrow" w:hAnsi="Arial Narrow"/>
                <w:b/>
              </w:rPr>
            </w:pPr>
            <w:r w:rsidRPr="003C3A62">
              <w:rPr>
                <w:rFonts w:ascii="Arial Narrow" w:hAnsi="Arial Narrow"/>
                <w:b/>
              </w:rPr>
              <w:t>Univariate analysis</w:t>
            </w:r>
          </w:p>
        </w:tc>
        <w:tc>
          <w:tcPr>
            <w:tcW w:w="2228" w:type="dxa"/>
            <w:vAlign w:val="center"/>
          </w:tcPr>
          <w:p w:rsidR="00800602" w:rsidRPr="003C3A62" w:rsidRDefault="00800602" w:rsidP="0081587D">
            <w:pPr>
              <w:jc w:val="center"/>
              <w:rPr>
                <w:rFonts w:ascii="Arial Narrow" w:hAnsi="Arial Narrow"/>
                <w:b/>
              </w:rPr>
            </w:pPr>
            <w:r w:rsidRPr="003C3A62">
              <w:rPr>
                <w:rFonts w:ascii="Arial Narrow" w:hAnsi="Arial Narrow"/>
                <w:b/>
              </w:rPr>
              <w:t>ICER (per QALY)</w:t>
            </w:r>
          </w:p>
          <w:p w:rsidR="00800602" w:rsidRPr="003C3A62" w:rsidRDefault="00800602" w:rsidP="0081587D">
            <w:pPr>
              <w:jc w:val="center"/>
              <w:rPr>
                <w:rFonts w:ascii="Arial Narrow" w:hAnsi="Arial Narrow"/>
                <w:b/>
              </w:rPr>
            </w:pPr>
            <w:r w:rsidRPr="003C3A62">
              <w:rPr>
                <w:rFonts w:ascii="Arial Narrow" w:hAnsi="Arial Narrow"/>
                <w:b/>
              </w:rPr>
              <w:t>vs ezetimibe</w:t>
            </w:r>
          </w:p>
        </w:tc>
        <w:tc>
          <w:tcPr>
            <w:tcW w:w="2151" w:type="dxa"/>
            <w:vAlign w:val="center"/>
          </w:tcPr>
          <w:p w:rsidR="00800602" w:rsidRPr="003C3A62" w:rsidRDefault="00800602" w:rsidP="0081587D">
            <w:pPr>
              <w:jc w:val="center"/>
              <w:rPr>
                <w:rFonts w:ascii="Arial Narrow" w:hAnsi="Arial Narrow"/>
                <w:b/>
              </w:rPr>
            </w:pPr>
            <w:r w:rsidRPr="003C3A62">
              <w:rPr>
                <w:rFonts w:ascii="Arial Narrow" w:hAnsi="Arial Narrow"/>
                <w:b/>
              </w:rPr>
              <w:t>ICER (per QALY)</w:t>
            </w:r>
          </w:p>
          <w:p w:rsidR="00800602" w:rsidRPr="003C3A62" w:rsidRDefault="00800602" w:rsidP="0081587D">
            <w:pPr>
              <w:jc w:val="center"/>
              <w:rPr>
                <w:rFonts w:ascii="Arial Narrow" w:hAnsi="Arial Narrow"/>
                <w:b/>
              </w:rPr>
            </w:pPr>
            <w:r w:rsidRPr="003C3A62">
              <w:rPr>
                <w:rFonts w:ascii="Arial Narrow" w:hAnsi="Arial Narrow"/>
                <w:b/>
              </w:rPr>
              <w:t>vs placebo</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Base case</w:t>
            </w:r>
          </w:p>
        </w:tc>
        <w:tc>
          <w:tcPr>
            <w:tcW w:w="2228"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r w:rsidR="00800602" w:rsidRPr="003C3A62" w:rsidTr="00954A27">
        <w:tc>
          <w:tcPr>
            <w:tcW w:w="8348" w:type="dxa"/>
            <w:gridSpan w:val="3"/>
            <w:vAlign w:val="center"/>
          </w:tcPr>
          <w:p w:rsidR="00800602" w:rsidRPr="003C3A62" w:rsidRDefault="00800602" w:rsidP="00954A27">
            <w:pPr>
              <w:jc w:val="left"/>
              <w:rPr>
                <w:rFonts w:ascii="Arial Narrow" w:hAnsi="Arial Narrow"/>
              </w:rPr>
            </w:pPr>
            <w:r w:rsidRPr="003C3A62">
              <w:rPr>
                <w:rFonts w:ascii="Arial Narrow" w:hAnsi="Arial Narrow"/>
                <w:b/>
              </w:rPr>
              <w:t>Time horizon (base case: 35 years)</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15 years</w:t>
            </w:r>
          </w:p>
        </w:tc>
        <w:tc>
          <w:tcPr>
            <w:tcW w:w="2228" w:type="dxa"/>
          </w:tcPr>
          <w:p w:rsidR="00800602" w:rsidRPr="003C3A62" w:rsidRDefault="00800602" w:rsidP="0081587D">
            <w:pPr>
              <w:jc w:val="center"/>
              <w:rPr>
                <w:rFonts w:ascii="Arial Narrow" w:hAnsi="Arial Narrow"/>
              </w:rPr>
            </w:pPr>
            <w:r w:rsidRPr="003C3A62">
              <w:rPr>
                <w:rFonts w:ascii="Arial Narrow" w:hAnsi="Arial Narrow"/>
                <w:color w:val="000000"/>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r w:rsidR="00800602" w:rsidRPr="003C3A62" w:rsidTr="00954A27">
        <w:tc>
          <w:tcPr>
            <w:tcW w:w="8348" w:type="dxa"/>
            <w:gridSpan w:val="3"/>
            <w:vAlign w:val="center"/>
          </w:tcPr>
          <w:p w:rsidR="00800602" w:rsidRPr="003C3A62" w:rsidRDefault="00800602" w:rsidP="00954A27">
            <w:pPr>
              <w:jc w:val="left"/>
              <w:rPr>
                <w:rFonts w:ascii="Arial Narrow" w:hAnsi="Arial Narrow"/>
              </w:rPr>
            </w:pPr>
            <w:r w:rsidRPr="003C3A62">
              <w:rPr>
                <w:rFonts w:ascii="Arial Narrow" w:hAnsi="Arial Narrow"/>
                <w:b/>
              </w:rPr>
              <w:t>Age at model entry (base case: 62 years)</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45 years</w:t>
            </w:r>
          </w:p>
        </w:tc>
        <w:tc>
          <w:tcPr>
            <w:tcW w:w="2228" w:type="dxa"/>
            <w:vAlign w:val="center"/>
          </w:tcPr>
          <w:p w:rsidR="00800602" w:rsidRPr="003C3A62" w:rsidRDefault="00800602" w:rsidP="0081587D">
            <w:pPr>
              <w:jc w:val="center"/>
              <w:rPr>
                <w:rFonts w:ascii="Arial Narrow" w:hAnsi="Arial Narrow"/>
                <w:color w:val="000000"/>
              </w:rPr>
            </w:pPr>
            <w:r w:rsidRPr="003C3A62">
              <w:rPr>
                <w:rFonts w:ascii="Arial Narrow" w:hAnsi="Arial Narrow"/>
                <w:color w:val="000000"/>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75 years</w:t>
            </w:r>
          </w:p>
        </w:tc>
        <w:tc>
          <w:tcPr>
            <w:tcW w:w="2228" w:type="dxa"/>
            <w:vAlign w:val="center"/>
          </w:tcPr>
          <w:p w:rsidR="00800602" w:rsidRPr="003C3A62" w:rsidRDefault="00800602" w:rsidP="0081587D">
            <w:pPr>
              <w:jc w:val="center"/>
              <w:rPr>
                <w:rFonts w:ascii="Arial Narrow" w:hAnsi="Arial Narrow"/>
                <w:color w:val="000000"/>
              </w:rPr>
            </w:pPr>
            <w:r w:rsidRPr="003C3A62">
              <w:rPr>
                <w:rFonts w:ascii="Arial Narrow" w:hAnsi="Arial Narrow"/>
                <w:color w:val="000000"/>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r w:rsidR="00800602" w:rsidRPr="003C3A62" w:rsidTr="00954A27">
        <w:tc>
          <w:tcPr>
            <w:tcW w:w="8348" w:type="dxa"/>
            <w:gridSpan w:val="3"/>
            <w:vAlign w:val="center"/>
          </w:tcPr>
          <w:p w:rsidR="00800602" w:rsidRPr="003C3A62" w:rsidRDefault="00800602" w:rsidP="00954A27">
            <w:pPr>
              <w:jc w:val="left"/>
              <w:rPr>
                <w:rFonts w:ascii="Arial Narrow" w:hAnsi="Arial Narrow"/>
              </w:rPr>
            </w:pPr>
            <w:r w:rsidRPr="003C3A62">
              <w:rPr>
                <w:rFonts w:ascii="Arial Narrow" w:hAnsi="Arial Narrow"/>
                <w:b/>
              </w:rPr>
              <w:t>Familial hypercholesterolaemia event rate multiplier (base case: 4)</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1</w:t>
            </w:r>
          </w:p>
        </w:tc>
        <w:tc>
          <w:tcPr>
            <w:tcW w:w="2228" w:type="dxa"/>
            <w:vAlign w:val="center"/>
          </w:tcPr>
          <w:p w:rsidR="00800602" w:rsidRPr="003C3A62" w:rsidRDefault="00800602" w:rsidP="0081587D">
            <w:pPr>
              <w:jc w:val="center"/>
              <w:rPr>
                <w:rFonts w:ascii="Arial Narrow" w:hAnsi="Arial Narrow"/>
                <w:color w:val="000000"/>
              </w:rPr>
            </w:pPr>
            <w:r w:rsidRPr="003C3A62">
              <w:rPr>
                <w:rFonts w:ascii="Arial Narrow" w:hAnsi="Arial Narrow"/>
                <w:color w:val="000000"/>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2</w:t>
            </w:r>
          </w:p>
        </w:tc>
        <w:tc>
          <w:tcPr>
            <w:tcW w:w="2228" w:type="dxa"/>
            <w:vAlign w:val="center"/>
          </w:tcPr>
          <w:p w:rsidR="00800602" w:rsidRPr="003C3A62" w:rsidRDefault="00800602" w:rsidP="0081587D">
            <w:pPr>
              <w:jc w:val="center"/>
              <w:rPr>
                <w:rFonts w:ascii="Arial Narrow" w:hAnsi="Arial Narrow"/>
                <w:color w:val="000000"/>
              </w:rPr>
            </w:pPr>
            <w:r w:rsidRPr="003C3A62">
              <w:rPr>
                <w:rFonts w:ascii="Arial Narrow" w:hAnsi="Arial Narrow"/>
                <w:color w:val="000000"/>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r w:rsidR="00800602" w:rsidRPr="003C3A62" w:rsidTr="00954A27">
        <w:tc>
          <w:tcPr>
            <w:tcW w:w="3969" w:type="dxa"/>
            <w:vAlign w:val="center"/>
          </w:tcPr>
          <w:p w:rsidR="00800602" w:rsidRPr="003C3A62" w:rsidRDefault="00800602" w:rsidP="00954A27">
            <w:pPr>
              <w:jc w:val="left"/>
              <w:rPr>
                <w:rFonts w:ascii="Arial Narrow" w:hAnsi="Arial Narrow"/>
              </w:rPr>
            </w:pPr>
            <w:r w:rsidRPr="003C3A62">
              <w:rPr>
                <w:rFonts w:ascii="Arial Narrow" w:hAnsi="Arial Narrow"/>
              </w:rPr>
              <w:t>8</w:t>
            </w:r>
          </w:p>
        </w:tc>
        <w:tc>
          <w:tcPr>
            <w:tcW w:w="2228"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c>
          <w:tcPr>
            <w:tcW w:w="2151" w:type="dxa"/>
          </w:tcPr>
          <w:p w:rsidR="00800602" w:rsidRPr="003C3A62" w:rsidRDefault="00800602" w:rsidP="0081587D">
            <w:pPr>
              <w:jc w:val="center"/>
              <w:rPr>
                <w:rFonts w:ascii="Arial Narrow" w:hAnsi="Arial Narrow"/>
              </w:rPr>
            </w:pPr>
            <w:r w:rsidRPr="003C3A62">
              <w:rPr>
                <w:rFonts w:ascii="Arial Narrow" w:hAnsi="Arial Narrow"/>
              </w:rPr>
              <w:t>$</w:t>
            </w:r>
            <w:r w:rsidR="00524E3E">
              <w:rPr>
                <w:rFonts w:ascii="Arial Narrow" w:hAnsi="Arial Narrow"/>
                <w:noProof/>
                <w:color w:val="000000"/>
                <w:highlight w:val="black"/>
              </w:rPr>
              <w:t>''''''''''''''''</w:t>
            </w:r>
          </w:p>
        </w:tc>
      </w:tr>
    </w:tbl>
    <w:p w:rsidR="00800602" w:rsidRPr="003C3A62" w:rsidRDefault="00800602" w:rsidP="00800602">
      <w:pPr>
        <w:ind w:left="720"/>
        <w:rPr>
          <w:rFonts w:ascii="Arial Narrow" w:hAnsi="Arial Narrow"/>
          <w:sz w:val="18"/>
        </w:rPr>
      </w:pPr>
      <w:r w:rsidRPr="003C3A62">
        <w:rPr>
          <w:rFonts w:ascii="Arial Narrow" w:hAnsi="Arial Narrow"/>
          <w:sz w:val="18"/>
        </w:rPr>
        <w:t>Abbreviations: CHD: coronary heart disease; ICER: incremental cost-effectiveness ratio; MI: myocardial infarction; QALY: quality adjusted life year</w:t>
      </w:r>
    </w:p>
    <w:p w:rsidR="00800602" w:rsidRPr="003C3A62" w:rsidRDefault="00800602" w:rsidP="00800602">
      <w:pPr>
        <w:ind w:left="720"/>
        <w:rPr>
          <w:rFonts w:ascii="Arial Narrow" w:hAnsi="Arial Narrow"/>
          <w:sz w:val="18"/>
        </w:rPr>
      </w:pPr>
      <w:r w:rsidRPr="003C3A62">
        <w:rPr>
          <w:rFonts w:ascii="Arial Narrow" w:hAnsi="Arial Narrow"/>
          <w:sz w:val="18"/>
        </w:rPr>
        <w:t>Source: Constructed during the evaluation using the model ‘Evolocumab model_Nov15’ provided with the re-submission</w:t>
      </w:r>
    </w:p>
    <w:p w:rsidR="007E005A" w:rsidRDefault="00800602" w:rsidP="007E005A">
      <w:pPr>
        <w:pStyle w:val="TableFooter"/>
        <w:ind w:firstLine="720"/>
      </w:pPr>
      <w:r w:rsidRPr="003C3A62">
        <w:t>Note: Estimates are based on corrected drug costs</w:t>
      </w:r>
    </w:p>
    <w:p w:rsidR="00800602" w:rsidRPr="003C3A62" w:rsidRDefault="00800602" w:rsidP="00800602">
      <w:pPr>
        <w:pStyle w:val="ListParagraph"/>
        <w:widowControl/>
        <w:numPr>
          <w:ilvl w:val="1"/>
          <w:numId w:val="4"/>
        </w:numPr>
        <w:rPr>
          <w:szCs w:val="22"/>
        </w:rPr>
      </w:pPr>
      <w:r w:rsidRPr="003C3A62">
        <w:rPr>
          <w:szCs w:val="22"/>
        </w:rPr>
        <w:t>The model was sensitive to interactions between the three major components of underlying risk in the model (Framingham risk calculator estimates, familial hypercholesterolaemia risk multiplier and prior event risk multiplier). Many plausible combinations of the risk components resulted in very-high incremental cost-effectiveness ratios.</w:t>
      </w:r>
    </w:p>
    <w:p w:rsidR="00AC70BA" w:rsidRPr="003C3A62" w:rsidRDefault="00AC70BA" w:rsidP="00AC70BA">
      <w:pPr>
        <w:pStyle w:val="ListParagraph"/>
        <w:widowControl/>
        <w:rPr>
          <w:szCs w:val="22"/>
        </w:rPr>
      </w:pPr>
    </w:p>
    <w:p w:rsidR="00AC70BA" w:rsidRPr="003C3A62" w:rsidRDefault="00C61D5B" w:rsidP="00800602">
      <w:pPr>
        <w:pStyle w:val="ListParagraph"/>
        <w:widowControl/>
        <w:numPr>
          <w:ilvl w:val="1"/>
          <w:numId w:val="4"/>
        </w:numPr>
        <w:rPr>
          <w:szCs w:val="22"/>
        </w:rPr>
      </w:pPr>
      <w:r w:rsidRPr="003C3A62">
        <w:rPr>
          <w:szCs w:val="22"/>
        </w:rPr>
        <w:t>The results of alternative economic analyses in which both multipliers are removed are presented below. There remains uncertainty regarding the magnitude of the non-multiplied treatment effect</w:t>
      </w:r>
      <w:r w:rsidR="00AC70BA" w:rsidRPr="003C3A62">
        <w:rPr>
          <w:szCs w:val="22"/>
        </w:rPr>
        <w:t>.</w:t>
      </w:r>
    </w:p>
    <w:p w:rsidR="00AC70BA" w:rsidRPr="003C3A62" w:rsidRDefault="00AC70BA" w:rsidP="00AC70BA">
      <w:pPr>
        <w:pStyle w:val="ListParagraph"/>
        <w:widowControl/>
        <w:rPr>
          <w:szCs w:val="22"/>
        </w:rPr>
      </w:pPr>
    </w:p>
    <w:p w:rsidR="00AC70BA" w:rsidRPr="003C3A62" w:rsidRDefault="00AC70BA" w:rsidP="00AC70BA">
      <w:pPr>
        <w:ind w:firstLine="720"/>
        <w:rPr>
          <w:rStyle w:val="CommentReference"/>
        </w:rPr>
      </w:pPr>
      <w:r w:rsidRPr="003C3A62">
        <w:rPr>
          <w:rStyle w:val="CommentReference"/>
        </w:rPr>
        <w:t>Table 10: Alternative economic analyses (no familial hypercholesterolemia or prior event multiplier)</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554"/>
        <w:gridCol w:w="1554"/>
        <w:gridCol w:w="1552"/>
      </w:tblGrid>
      <w:tr w:rsidR="00AC70BA" w:rsidRPr="003C3A62" w:rsidTr="00F8260A">
        <w:tc>
          <w:tcPr>
            <w:tcW w:w="2208" w:type="pct"/>
          </w:tcPr>
          <w:p w:rsidR="00AC70BA" w:rsidRPr="003C3A62" w:rsidRDefault="00AC70BA" w:rsidP="00F8260A">
            <w:pPr>
              <w:rPr>
                <w:rFonts w:ascii="Arial Narrow" w:hAnsi="Arial Narrow"/>
                <w:b/>
                <w:sz w:val="20"/>
              </w:rPr>
            </w:pPr>
          </w:p>
        </w:tc>
        <w:tc>
          <w:tcPr>
            <w:tcW w:w="931" w:type="pct"/>
          </w:tcPr>
          <w:p w:rsidR="00AC70BA" w:rsidRPr="003C3A62" w:rsidRDefault="00AC70BA" w:rsidP="00F8260A">
            <w:pPr>
              <w:jc w:val="center"/>
              <w:rPr>
                <w:rFonts w:ascii="Arial Narrow" w:hAnsi="Arial Narrow"/>
                <w:b/>
                <w:sz w:val="20"/>
              </w:rPr>
            </w:pPr>
            <w:r w:rsidRPr="003C3A62">
              <w:rPr>
                <w:rFonts w:ascii="Arial Narrow" w:hAnsi="Arial Narrow"/>
                <w:b/>
                <w:sz w:val="20"/>
              </w:rPr>
              <w:t>Evolocumab</w:t>
            </w:r>
          </w:p>
        </w:tc>
        <w:tc>
          <w:tcPr>
            <w:tcW w:w="931" w:type="pct"/>
          </w:tcPr>
          <w:p w:rsidR="00AC70BA" w:rsidRPr="003C3A62" w:rsidRDefault="00AC70BA" w:rsidP="00F8260A">
            <w:pPr>
              <w:jc w:val="center"/>
              <w:rPr>
                <w:rFonts w:ascii="Arial Narrow" w:hAnsi="Arial Narrow"/>
                <w:b/>
                <w:sz w:val="20"/>
              </w:rPr>
            </w:pPr>
            <w:r w:rsidRPr="003C3A62">
              <w:rPr>
                <w:rFonts w:ascii="Arial Narrow" w:hAnsi="Arial Narrow"/>
                <w:b/>
                <w:sz w:val="20"/>
              </w:rPr>
              <w:t>Placebo</w:t>
            </w:r>
          </w:p>
        </w:tc>
        <w:tc>
          <w:tcPr>
            <w:tcW w:w="930" w:type="pct"/>
          </w:tcPr>
          <w:p w:rsidR="00AC70BA" w:rsidRPr="003C3A62" w:rsidRDefault="00AC70BA" w:rsidP="00F8260A">
            <w:pPr>
              <w:jc w:val="center"/>
              <w:rPr>
                <w:rFonts w:ascii="Arial Narrow" w:hAnsi="Arial Narrow"/>
                <w:b/>
                <w:sz w:val="20"/>
              </w:rPr>
            </w:pPr>
            <w:r w:rsidRPr="003C3A62">
              <w:rPr>
                <w:rFonts w:ascii="Arial Narrow" w:hAnsi="Arial Narrow"/>
                <w:b/>
                <w:sz w:val="20"/>
              </w:rPr>
              <w:t>Increment</w:t>
            </w:r>
          </w:p>
        </w:tc>
      </w:tr>
      <w:tr w:rsidR="00AC70BA" w:rsidRPr="003C3A62" w:rsidTr="00F8260A">
        <w:tc>
          <w:tcPr>
            <w:tcW w:w="2208" w:type="pct"/>
          </w:tcPr>
          <w:p w:rsidR="00AC70BA" w:rsidRPr="003C3A62" w:rsidRDefault="00AC70BA" w:rsidP="00F8260A">
            <w:pPr>
              <w:rPr>
                <w:rFonts w:ascii="Arial Narrow" w:hAnsi="Arial Narrow"/>
                <w:sz w:val="20"/>
              </w:rPr>
            </w:pPr>
            <w:r w:rsidRPr="003C3A62">
              <w:rPr>
                <w:rFonts w:ascii="Arial Narrow" w:hAnsi="Arial Narrow"/>
                <w:sz w:val="20"/>
              </w:rPr>
              <w:t>Costs</w:t>
            </w:r>
          </w:p>
        </w:tc>
        <w:tc>
          <w:tcPr>
            <w:tcW w:w="931" w:type="pct"/>
            <w:vAlign w:val="center"/>
          </w:tcPr>
          <w:p w:rsidR="00AC70BA" w:rsidRPr="003C3A62" w:rsidRDefault="00AC70BA" w:rsidP="00F8260A">
            <w:pPr>
              <w:jc w:val="center"/>
              <w:rPr>
                <w:rFonts w:ascii="Arial Narrow" w:hAnsi="Arial Narrow"/>
                <w:sz w:val="20"/>
              </w:rPr>
            </w:pPr>
            <w:r w:rsidRPr="003C3A62">
              <w:rPr>
                <w:rFonts w:ascii="Arial Narrow" w:hAnsi="Arial Narrow"/>
                <w:sz w:val="20"/>
              </w:rPr>
              <w:t>$</w:t>
            </w:r>
            <w:r w:rsidR="00524E3E">
              <w:rPr>
                <w:rFonts w:ascii="Arial Narrow" w:hAnsi="Arial Narrow"/>
                <w:noProof/>
                <w:color w:val="000000"/>
                <w:sz w:val="20"/>
                <w:highlight w:val="black"/>
              </w:rPr>
              <w:t>''''''''''''''''''''''</w:t>
            </w:r>
          </w:p>
        </w:tc>
        <w:tc>
          <w:tcPr>
            <w:tcW w:w="931" w:type="pct"/>
            <w:vAlign w:val="bottom"/>
          </w:tcPr>
          <w:p w:rsidR="00AC70BA" w:rsidRPr="003C3A62" w:rsidRDefault="00AC70BA" w:rsidP="00F8260A">
            <w:pPr>
              <w:widowControl/>
              <w:jc w:val="center"/>
              <w:rPr>
                <w:rFonts w:ascii="Arial Narrow" w:hAnsi="Arial Narrow" w:cs="Times New Roman"/>
                <w:snapToGrid/>
                <w:color w:val="000000"/>
                <w:sz w:val="20"/>
                <w:lang w:eastAsia="en-AU"/>
              </w:rPr>
            </w:pPr>
            <w:r w:rsidRPr="003C3A62">
              <w:rPr>
                <w:rFonts w:ascii="Arial Narrow" w:hAnsi="Arial Narrow" w:cs="Times New Roman"/>
                <w:snapToGrid/>
                <w:color w:val="000000"/>
                <w:sz w:val="20"/>
                <w:lang w:eastAsia="en-AU"/>
              </w:rPr>
              <w:t>$</w:t>
            </w:r>
            <w:r w:rsidR="00524E3E">
              <w:rPr>
                <w:rFonts w:ascii="Arial Narrow" w:hAnsi="Arial Narrow" w:cs="Times New Roman"/>
                <w:noProof/>
                <w:snapToGrid/>
                <w:color w:val="000000"/>
                <w:sz w:val="20"/>
                <w:highlight w:val="black"/>
                <w:lang w:eastAsia="en-AU"/>
              </w:rPr>
              <w:t>''''''''''''''''</w:t>
            </w:r>
          </w:p>
        </w:tc>
        <w:tc>
          <w:tcPr>
            <w:tcW w:w="930" w:type="pct"/>
            <w:vAlign w:val="bottom"/>
          </w:tcPr>
          <w:p w:rsidR="00AC70BA" w:rsidRPr="003C3A62" w:rsidRDefault="00AC70BA" w:rsidP="00F8260A">
            <w:pPr>
              <w:widowControl/>
              <w:jc w:val="center"/>
              <w:rPr>
                <w:rFonts w:ascii="Arial Narrow" w:hAnsi="Arial Narrow" w:cs="Times New Roman"/>
                <w:snapToGrid/>
                <w:color w:val="000000"/>
                <w:sz w:val="20"/>
                <w:lang w:eastAsia="en-AU"/>
              </w:rPr>
            </w:pPr>
            <w:r w:rsidRPr="003C3A62">
              <w:rPr>
                <w:rFonts w:ascii="Arial Narrow" w:hAnsi="Arial Narrow" w:cs="Times New Roman"/>
                <w:snapToGrid/>
                <w:color w:val="000000"/>
                <w:sz w:val="20"/>
                <w:lang w:eastAsia="en-AU"/>
              </w:rPr>
              <w:t>$</w:t>
            </w:r>
            <w:r w:rsidR="00524E3E">
              <w:rPr>
                <w:rFonts w:ascii="Arial Narrow" w:hAnsi="Arial Narrow" w:cs="Times New Roman"/>
                <w:noProof/>
                <w:snapToGrid/>
                <w:color w:val="000000"/>
                <w:sz w:val="20"/>
                <w:highlight w:val="black"/>
                <w:lang w:eastAsia="en-AU"/>
              </w:rPr>
              <w:t>''''''''''''''''''</w:t>
            </w:r>
          </w:p>
        </w:tc>
      </w:tr>
      <w:tr w:rsidR="00AC70BA" w:rsidRPr="003C3A62" w:rsidTr="00F8260A">
        <w:tc>
          <w:tcPr>
            <w:tcW w:w="2208" w:type="pct"/>
            <w:tcBorders>
              <w:bottom w:val="single" w:sz="4" w:space="0" w:color="auto"/>
            </w:tcBorders>
          </w:tcPr>
          <w:p w:rsidR="00AC70BA" w:rsidRPr="003C3A62" w:rsidRDefault="00AC70BA" w:rsidP="00F8260A">
            <w:pPr>
              <w:rPr>
                <w:rFonts w:ascii="Arial Narrow" w:hAnsi="Arial Narrow"/>
                <w:sz w:val="20"/>
              </w:rPr>
            </w:pPr>
            <w:r w:rsidRPr="003C3A62">
              <w:rPr>
                <w:rFonts w:ascii="Arial Narrow" w:hAnsi="Arial Narrow"/>
                <w:sz w:val="20"/>
              </w:rPr>
              <w:t>LYs</w:t>
            </w:r>
          </w:p>
        </w:tc>
        <w:tc>
          <w:tcPr>
            <w:tcW w:w="931" w:type="pct"/>
            <w:tcBorders>
              <w:bottom w:val="single" w:sz="4" w:space="0" w:color="auto"/>
            </w:tcBorders>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1" w:type="pct"/>
            <w:tcBorders>
              <w:bottom w:val="single" w:sz="4" w:space="0" w:color="auto"/>
            </w:tcBorders>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0" w:type="pct"/>
            <w:tcBorders>
              <w:bottom w:val="single" w:sz="4" w:space="0" w:color="auto"/>
            </w:tcBorders>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r>
      <w:tr w:rsidR="00AC70BA" w:rsidRPr="003C3A62" w:rsidTr="00F8260A">
        <w:tc>
          <w:tcPr>
            <w:tcW w:w="2208" w:type="pct"/>
            <w:tcBorders>
              <w:bottom w:val="single" w:sz="4" w:space="0" w:color="auto"/>
            </w:tcBorders>
          </w:tcPr>
          <w:p w:rsidR="00AC70BA" w:rsidRPr="003C3A62" w:rsidRDefault="00AC70BA" w:rsidP="00F8260A">
            <w:pPr>
              <w:rPr>
                <w:rFonts w:ascii="Arial Narrow" w:hAnsi="Arial Narrow"/>
                <w:sz w:val="20"/>
              </w:rPr>
            </w:pPr>
            <w:r w:rsidRPr="003C3A62">
              <w:rPr>
                <w:rFonts w:ascii="Arial Narrow" w:hAnsi="Arial Narrow"/>
                <w:sz w:val="20"/>
              </w:rPr>
              <w:t>QALYs</w:t>
            </w:r>
          </w:p>
        </w:tc>
        <w:tc>
          <w:tcPr>
            <w:tcW w:w="931" w:type="pct"/>
            <w:tcBorders>
              <w:bottom w:val="single" w:sz="4" w:space="0" w:color="auto"/>
            </w:tcBorders>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1" w:type="pct"/>
            <w:tcBorders>
              <w:bottom w:val="single" w:sz="4" w:space="0" w:color="auto"/>
            </w:tcBorders>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0" w:type="pct"/>
            <w:tcBorders>
              <w:bottom w:val="single" w:sz="4" w:space="0" w:color="auto"/>
            </w:tcBorders>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r>
      <w:tr w:rsidR="00AC70BA" w:rsidRPr="003C3A62" w:rsidTr="00F8260A">
        <w:tc>
          <w:tcPr>
            <w:tcW w:w="4070" w:type="pct"/>
            <w:gridSpan w:val="3"/>
            <w:tcBorders>
              <w:bottom w:val="single" w:sz="4" w:space="0" w:color="auto"/>
            </w:tcBorders>
          </w:tcPr>
          <w:p w:rsidR="00AC70BA" w:rsidRPr="003C3A62" w:rsidRDefault="00AC70BA" w:rsidP="00F8260A">
            <w:pPr>
              <w:rPr>
                <w:rFonts w:ascii="Arial Narrow" w:hAnsi="Arial Narrow"/>
                <w:b/>
                <w:sz w:val="20"/>
              </w:rPr>
            </w:pPr>
            <w:r w:rsidRPr="003C3A62">
              <w:rPr>
                <w:rFonts w:ascii="Arial Narrow" w:hAnsi="Arial Narrow"/>
                <w:b/>
                <w:sz w:val="20"/>
              </w:rPr>
              <w:t>Incremental cost per LY gained</w:t>
            </w:r>
          </w:p>
        </w:tc>
        <w:tc>
          <w:tcPr>
            <w:tcW w:w="930" w:type="pct"/>
            <w:tcBorders>
              <w:bottom w:val="single" w:sz="4" w:space="0" w:color="auto"/>
            </w:tcBorders>
          </w:tcPr>
          <w:p w:rsidR="00AC70BA" w:rsidRPr="003C3A62" w:rsidRDefault="00AC70BA" w:rsidP="00F8260A">
            <w:pPr>
              <w:jc w:val="center"/>
              <w:rPr>
                <w:rFonts w:ascii="Arial Narrow" w:hAnsi="Arial Narrow"/>
                <w:b/>
                <w:sz w:val="20"/>
              </w:rPr>
            </w:pPr>
            <w:r w:rsidRPr="003C3A62">
              <w:rPr>
                <w:rFonts w:ascii="Arial Narrow" w:hAnsi="Arial Narrow" w:cs="Times New Roman"/>
                <w:b/>
                <w:snapToGrid/>
                <w:color w:val="000000"/>
                <w:sz w:val="20"/>
                <w:lang w:eastAsia="en-AU"/>
              </w:rPr>
              <w:t>$</w:t>
            </w:r>
            <w:r w:rsidR="00524E3E">
              <w:rPr>
                <w:rFonts w:ascii="Arial Narrow" w:hAnsi="Arial Narrow" w:cs="Times New Roman"/>
                <w:b/>
                <w:noProof/>
                <w:snapToGrid/>
                <w:color w:val="000000"/>
                <w:sz w:val="20"/>
                <w:highlight w:val="black"/>
                <w:lang w:eastAsia="en-AU"/>
              </w:rPr>
              <w:t>'''''''''''''''</w:t>
            </w:r>
          </w:p>
        </w:tc>
      </w:tr>
      <w:tr w:rsidR="00AC70BA" w:rsidRPr="003C3A62" w:rsidTr="00F8260A">
        <w:tc>
          <w:tcPr>
            <w:tcW w:w="4070" w:type="pct"/>
            <w:gridSpan w:val="3"/>
            <w:tcBorders>
              <w:bottom w:val="double" w:sz="4" w:space="0" w:color="auto"/>
            </w:tcBorders>
          </w:tcPr>
          <w:p w:rsidR="00AC70BA" w:rsidRPr="003C3A62" w:rsidRDefault="00AC70BA" w:rsidP="00F8260A">
            <w:pPr>
              <w:rPr>
                <w:rFonts w:ascii="Arial Narrow" w:hAnsi="Arial Narrow"/>
                <w:b/>
                <w:sz w:val="20"/>
              </w:rPr>
            </w:pPr>
            <w:r w:rsidRPr="003C3A62">
              <w:rPr>
                <w:rFonts w:ascii="Arial Narrow" w:hAnsi="Arial Narrow"/>
                <w:b/>
                <w:sz w:val="20"/>
              </w:rPr>
              <w:t>Incremental cost per QALY gained</w:t>
            </w:r>
          </w:p>
        </w:tc>
        <w:tc>
          <w:tcPr>
            <w:tcW w:w="930" w:type="pct"/>
            <w:tcBorders>
              <w:bottom w:val="double" w:sz="4" w:space="0" w:color="auto"/>
            </w:tcBorders>
          </w:tcPr>
          <w:p w:rsidR="00AC70BA" w:rsidRPr="003C3A62" w:rsidRDefault="00AC70BA" w:rsidP="00F8260A">
            <w:pPr>
              <w:jc w:val="center"/>
              <w:rPr>
                <w:rFonts w:ascii="Arial Narrow" w:hAnsi="Arial Narrow"/>
                <w:b/>
                <w:sz w:val="20"/>
              </w:rPr>
            </w:pPr>
            <w:r w:rsidRPr="003C3A62">
              <w:rPr>
                <w:rFonts w:ascii="Arial Narrow" w:hAnsi="Arial Narrow" w:cs="Times New Roman"/>
                <w:b/>
                <w:snapToGrid/>
                <w:color w:val="000000"/>
                <w:sz w:val="20"/>
                <w:lang w:eastAsia="en-AU"/>
              </w:rPr>
              <w:t>$</w:t>
            </w:r>
            <w:r w:rsidR="00524E3E">
              <w:rPr>
                <w:rFonts w:ascii="Arial Narrow" w:hAnsi="Arial Narrow" w:cs="Times New Roman"/>
                <w:b/>
                <w:noProof/>
                <w:snapToGrid/>
                <w:color w:val="000000"/>
                <w:sz w:val="20"/>
                <w:highlight w:val="black"/>
                <w:lang w:eastAsia="en-AU"/>
              </w:rPr>
              <w:t>'''''''''''''''</w:t>
            </w:r>
          </w:p>
        </w:tc>
      </w:tr>
      <w:tr w:rsidR="00AC70BA" w:rsidRPr="003C3A62" w:rsidTr="00F8260A">
        <w:tc>
          <w:tcPr>
            <w:tcW w:w="2208" w:type="pct"/>
            <w:tcBorders>
              <w:top w:val="double" w:sz="4" w:space="0" w:color="auto"/>
            </w:tcBorders>
          </w:tcPr>
          <w:p w:rsidR="00AC70BA" w:rsidRPr="003C3A62" w:rsidRDefault="00AC70BA" w:rsidP="00F8260A">
            <w:pPr>
              <w:rPr>
                <w:rFonts w:ascii="Arial Narrow" w:hAnsi="Arial Narrow"/>
                <w:b/>
                <w:sz w:val="20"/>
              </w:rPr>
            </w:pPr>
          </w:p>
        </w:tc>
        <w:tc>
          <w:tcPr>
            <w:tcW w:w="931" w:type="pct"/>
            <w:tcBorders>
              <w:top w:val="double" w:sz="4" w:space="0" w:color="auto"/>
            </w:tcBorders>
            <w:vAlign w:val="center"/>
          </w:tcPr>
          <w:p w:rsidR="00AC70BA" w:rsidRPr="003C3A62" w:rsidRDefault="00AC70BA" w:rsidP="00F8260A">
            <w:pPr>
              <w:jc w:val="center"/>
              <w:rPr>
                <w:rFonts w:ascii="Arial Narrow" w:hAnsi="Arial Narrow" w:cs="Times New Roman"/>
                <w:b/>
                <w:sz w:val="20"/>
              </w:rPr>
            </w:pPr>
            <w:r w:rsidRPr="003C3A62">
              <w:rPr>
                <w:rFonts w:ascii="Arial Narrow" w:hAnsi="Arial Narrow" w:cs="Times New Roman"/>
                <w:b/>
                <w:sz w:val="20"/>
              </w:rPr>
              <w:t>Evolocumab</w:t>
            </w:r>
          </w:p>
        </w:tc>
        <w:tc>
          <w:tcPr>
            <w:tcW w:w="931" w:type="pct"/>
            <w:tcBorders>
              <w:top w:val="double" w:sz="4" w:space="0" w:color="auto"/>
            </w:tcBorders>
            <w:vAlign w:val="center"/>
          </w:tcPr>
          <w:p w:rsidR="00AC70BA" w:rsidRPr="003C3A62" w:rsidRDefault="00AC70BA" w:rsidP="00F8260A">
            <w:pPr>
              <w:jc w:val="center"/>
              <w:rPr>
                <w:rFonts w:ascii="Arial Narrow" w:hAnsi="Arial Narrow" w:cs="Times New Roman"/>
                <w:b/>
                <w:sz w:val="20"/>
              </w:rPr>
            </w:pPr>
            <w:r w:rsidRPr="003C3A62">
              <w:rPr>
                <w:rFonts w:ascii="Arial Narrow" w:hAnsi="Arial Narrow" w:cs="Times New Roman"/>
                <w:b/>
                <w:sz w:val="20"/>
              </w:rPr>
              <w:t>Ezetimibe</w:t>
            </w:r>
          </w:p>
        </w:tc>
        <w:tc>
          <w:tcPr>
            <w:tcW w:w="930" w:type="pct"/>
            <w:tcBorders>
              <w:top w:val="double" w:sz="4" w:space="0" w:color="auto"/>
            </w:tcBorders>
            <w:vAlign w:val="center"/>
          </w:tcPr>
          <w:p w:rsidR="00AC70BA" w:rsidRPr="003C3A62" w:rsidRDefault="00AC70BA" w:rsidP="00F8260A">
            <w:pPr>
              <w:jc w:val="center"/>
              <w:rPr>
                <w:rFonts w:ascii="Arial Narrow" w:hAnsi="Arial Narrow" w:cs="Times New Roman"/>
                <w:b/>
                <w:sz w:val="20"/>
              </w:rPr>
            </w:pPr>
            <w:r w:rsidRPr="003C3A62">
              <w:rPr>
                <w:rFonts w:ascii="Arial Narrow" w:hAnsi="Arial Narrow" w:cs="Times New Roman"/>
                <w:b/>
                <w:sz w:val="20"/>
              </w:rPr>
              <w:t>Increment</w:t>
            </w:r>
          </w:p>
        </w:tc>
      </w:tr>
      <w:tr w:rsidR="00AC70BA" w:rsidRPr="003C3A62" w:rsidTr="00F8260A">
        <w:tc>
          <w:tcPr>
            <w:tcW w:w="2208" w:type="pct"/>
          </w:tcPr>
          <w:p w:rsidR="00AC70BA" w:rsidRPr="003C3A62" w:rsidRDefault="00AC70BA" w:rsidP="00F8260A">
            <w:pPr>
              <w:rPr>
                <w:rFonts w:ascii="Arial Narrow" w:hAnsi="Arial Narrow"/>
                <w:sz w:val="20"/>
              </w:rPr>
            </w:pPr>
            <w:r w:rsidRPr="003C3A62">
              <w:rPr>
                <w:rFonts w:ascii="Arial Narrow" w:hAnsi="Arial Narrow"/>
                <w:sz w:val="20"/>
              </w:rPr>
              <w:t>Costs</w:t>
            </w:r>
          </w:p>
        </w:tc>
        <w:tc>
          <w:tcPr>
            <w:tcW w:w="931" w:type="pct"/>
            <w:vAlign w:val="center"/>
          </w:tcPr>
          <w:p w:rsidR="00AC70BA" w:rsidRPr="003C3A62" w:rsidRDefault="00AC70BA" w:rsidP="00F8260A">
            <w:pPr>
              <w:jc w:val="center"/>
              <w:rPr>
                <w:rFonts w:ascii="Arial Narrow" w:hAnsi="Arial Narrow"/>
                <w:sz w:val="20"/>
              </w:rPr>
            </w:pPr>
            <w:r w:rsidRPr="003C3A62">
              <w:rPr>
                <w:rFonts w:ascii="Arial Narrow" w:hAnsi="Arial Narrow"/>
                <w:sz w:val="20"/>
              </w:rPr>
              <w:t>$</w:t>
            </w:r>
            <w:r w:rsidR="00524E3E">
              <w:rPr>
                <w:rFonts w:ascii="Arial Narrow" w:hAnsi="Arial Narrow"/>
                <w:noProof/>
                <w:color w:val="000000"/>
                <w:sz w:val="20"/>
                <w:highlight w:val="black"/>
              </w:rPr>
              <w:t>'''''''''''''''''''</w:t>
            </w:r>
          </w:p>
        </w:tc>
        <w:tc>
          <w:tcPr>
            <w:tcW w:w="931" w:type="pct"/>
            <w:vAlign w:val="center"/>
          </w:tcPr>
          <w:p w:rsidR="00AC70BA" w:rsidRPr="003C3A62" w:rsidRDefault="00AC70BA" w:rsidP="00F8260A">
            <w:pPr>
              <w:jc w:val="center"/>
              <w:rPr>
                <w:rFonts w:ascii="Arial Narrow" w:hAnsi="Arial Narrow"/>
                <w:sz w:val="20"/>
              </w:rPr>
            </w:pPr>
            <w:r w:rsidRPr="003C3A62">
              <w:rPr>
                <w:rFonts w:ascii="Arial Narrow" w:hAnsi="Arial Narrow"/>
                <w:sz w:val="20"/>
              </w:rPr>
              <w:t>$</w:t>
            </w:r>
            <w:r w:rsidR="00524E3E">
              <w:rPr>
                <w:rFonts w:ascii="Arial Narrow" w:hAnsi="Arial Narrow"/>
                <w:noProof/>
                <w:color w:val="000000"/>
                <w:sz w:val="20"/>
                <w:highlight w:val="black"/>
              </w:rPr>
              <w:t>''''''''''''''''''</w:t>
            </w:r>
          </w:p>
        </w:tc>
        <w:tc>
          <w:tcPr>
            <w:tcW w:w="930" w:type="pct"/>
            <w:vAlign w:val="center"/>
          </w:tcPr>
          <w:p w:rsidR="00AC70BA" w:rsidRPr="003C3A62" w:rsidRDefault="00AC70BA" w:rsidP="00F8260A">
            <w:pPr>
              <w:jc w:val="center"/>
              <w:rPr>
                <w:rFonts w:ascii="Arial Narrow" w:hAnsi="Arial Narrow"/>
                <w:sz w:val="20"/>
              </w:rPr>
            </w:pPr>
            <w:r w:rsidRPr="003C3A62">
              <w:rPr>
                <w:rFonts w:ascii="Arial Narrow" w:hAnsi="Arial Narrow"/>
                <w:sz w:val="20"/>
              </w:rPr>
              <w:t>$</w:t>
            </w:r>
            <w:r w:rsidR="00524E3E">
              <w:rPr>
                <w:rFonts w:ascii="Arial Narrow" w:hAnsi="Arial Narrow"/>
                <w:noProof/>
                <w:color w:val="000000"/>
                <w:sz w:val="20"/>
                <w:highlight w:val="black"/>
              </w:rPr>
              <w:t>''''''''''''''''</w:t>
            </w:r>
          </w:p>
        </w:tc>
      </w:tr>
      <w:tr w:rsidR="00AC70BA" w:rsidRPr="003C3A62" w:rsidTr="00F8260A">
        <w:tc>
          <w:tcPr>
            <w:tcW w:w="2208" w:type="pct"/>
          </w:tcPr>
          <w:p w:rsidR="00AC70BA" w:rsidRPr="003C3A62" w:rsidRDefault="00AC70BA" w:rsidP="00F8260A">
            <w:pPr>
              <w:rPr>
                <w:rFonts w:ascii="Arial Narrow" w:hAnsi="Arial Narrow"/>
                <w:sz w:val="20"/>
              </w:rPr>
            </w:pPr>
            <w:r w:rsidRPr="003C3A62">
              <w:rPr>
                <w:rFonts w:ascii="Arial Narrow" w:hAnsi="Arial Narrow"/>
                <w:sz w:val="20"/>
              </w:rPr>
              <w:t>LYs</w:t>
            </w:r>
          </w:p>
        </w:tc>
        <w:tc>
          <w:tcPr>
            <w:tcW w:w="931" w:type="pct"/>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0" w:type="pct"/>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r>
      <w:tr w:rsidR="00AC70BA" w:rsidRPr="003C3A62" w:rsidTr="00F8260A">
        <w:tc>
          <w:tcPr>
            <w:tcW w:w="2208" w:type="pct"/>
          </w:tcPr>
          <w:p w:rsidR="00AC70BA" w:rsidRPr="003C3A62" w:rsidRDefault="00AC70BA" w:rsidP="00F8260A">
            <w:pPr>
              <w:rPr>
                <w:rFonts w:ascii="Arial Narrow" w:hAnsi="Arial Narrow"/>
                <w:sz w:val="20"/>
              </w:rPr>
            </w:pPr>
            <w:r w:rsidRPr="003C3A62">
              <w:rPr>
                <w:rFonts w:ascii="Arial Narrow" w:hAnsi="Arial Narrow"/>
                <w:sz w:val="20"/>
              </w:rPr>
              <w:t>QALYs</w:t>
            </w:r>
          </w:p>
        </w:tc>
        <w:tc>
          <w:tcPr>
            <w:tcW w:w="931" w:type="pct"/>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c>
          <w:tcPr>
            <w:tcW w:w="930" w:type="pct"/>
            <w:vAlign w:val="center"/>
          </w:tcPr>
          <w:p w:rsidR="00AC70BA" w:rsidRPr="00524E3E" w:rsidRDefault="00524E3E" w:rsidP="00F8260A">
            <w:pPr>
              <w:jc w:val="center"/>
              <w:rPr>
                <w:rFonts w:ascii="Arial Narrow" w:hAnsi="Arial Narrow"/>
                <w:sz w:val="20"/>
                <w:highlight w:val="black"/>
              </w:rPr>
            </w:pPr>
            <w:r>
              <w:rPr>
                <w:rFonts w:ascii="Arial Narrow" w:hAnsi="Arial Narrow"/>
                <w:noProof/>
                <w:color w:val="000000"/>
                <w:sz w:val="20"/>
                <w:highlight w:val="black"/>
              </w:rPr>
              <w:t>''''''''''''''</w:t>
            </w:r>
          </w:p>
        </w:tc>
      </w:tr>
      <w:tr w:rsidR="00AC70BA" w:rsidRPr="003C3A62" w:rsidTr="00F8260A">
        <w:tc>
          <w:tcPr>
            <w:tcW w:w="4070" w:type="pct"/>
            <w:gridSpan w:val="3"/>
          </w:tcPr>
          <w:p w:rsidR="00AC70BA" w:rsidRPr="003C3A62" w:rsidRDefault="00AC70BA" w:rsidP="00F8260A">
            <w:pPr>
              <w:rPr>
                <w:rFonts w:ascii="Arial Narrow" w:hAnsi="Arial Narrow"/>
                <w:b/>
                <w:sz w:val="20"/>
              </w:rPr>
            </w:pPr>
            <w:r w:rsidRPr="003C3A62">
              <w:rPr>
                <w:rFonts w:ascii="Arial Narrow" w:hAnsi="Arial Narrow"/>
                <w:b/>
                <w:sz w:val="20"/>
              </w:rPr>
              <w:t>Incremental cost per LY gained</w:t>
            </w:r>
          </w:p>
        </w:tc>
        <w:tc>
          <w:tcPr>
            <w:tcW w:w="930" w:type="pct"/>
          </w:tcPr>
          <w:p w:rsidR="00AC70BA" w:rsidRPr="003C3A62" w:rsidRDefault="00AC70BA" w:rsidP="00F8260A">
            <w:pPr>
              <w:jc w:val="center"/>
              <w:rPr>
                <w:rFonts w:ascii="Arial Narrow" w:hAnsi="Arial Narrow"/>
                <w:b/>
                <w:sz w:val="20"/>
              </w:rPr>
            </w:pPr>
            <w:r w:rsidRPr="003C3A62">
              <w:rPr>
                <w:rFonts w:ascii="Arial Narrow" w:hAnsi="Arial Narrow"/>
                <w:b/>
                <w:sz w:val="20"/>
              </w:rPr>
              <w:t>$</w:t>
            </w:r>
            <w:r w:rsidR="00524E3E">
              <w:rPr>
                <w:rFonts w:ascii="Arial Narrow" w:hAnsi="Arial Narrow"/>
                <w:b/>
                <w:noProof/>
                <w:color w:val="000000"/>
                <w:sz w:val="20"/>
                <w:highlight w:val="black"/>
              </w:rPr>
              <w:t>'''''''''''''''</w:t>
            </w:r>
          </w:p>
        </w:tc>
      </w:tr>
      <w:tr w:rsidR="00AC70BA" w:rsidRPr="003C3A62" w:rsidTr="00F8260A">
        <w:tc>
          <w:tcPr>
            <w:tcW w:w="4070" w:type="pct"/>
            <w:gridSpan w:val="3"/>
          </w:tcPr>
          <w:p w:rsidR="00AC70BA" w:rsidRPr="003C3A62" w:rsidRDefault="00AC70BA" w:rsidP="00F8260A">
            <w:pPr>
              <w:rPr>
                <w:rFonts w:ascii="Arial Narrow" w:hAnsi="Arial Narrow"/>
                <w:sz w:val="20"/>
              </w:rPr>
            </w:pPr>
            <w:r w:rsidRPr="003C3A62">
              <w:rPr>
                <w:rFonts w:ascii="Arial Narrow" w:hAnsi="Arial Narrow"/>
                <w:b/>
                <w:sz w:val="20"/>
              </w:rPr>
              <w:t>Incremental cost per QALY gained</w:t>
            </w:r>
          </w:p>
        </w:tc>
        <w:tc>
          <w:tcPr>
            <w:tcW w:w="930" w:type="pct"/>
          </w:tcPr>
          <w:p w:rsidR="00AC70BA" w:rsidRPr="003C3A62" w:rsidRDefault="00AC70BA" w:rsidP="00F8260A">
            <w:pPr>
              <w:jc w:val="center"/>
              <w:rPr>
                <w:rFonts w:ascii="Arial Narrow" w:hAnsi="Arial Narrow"/>
                <w:b/>
                <w:sz w:val="20"/>
              </w:rPr>
            </w:pPr>
            <w:r w:rsidRPr="003C3A62">
              <w:rPr>
                <w:rFonts w:ascii="Arial Narrow" w:hAnsi="Arial Narrow"/>
                <w:b/>
                <w:sz w:val="20"/>
              </w:rPr>
              <w:t>$</w:t>
            </w:r>
            <w:r w:rsidR="00524E3E">
              <w:rPr>
                <w:rFonts w:ascii="Arial Narrow" w:hAnsi="Arial Narrow"/>
                <w:b/>
                <w:noProof/>
                <w:color w:val="000000"/>
                <w:sz w:val="20"/>
                <w:highlight w:val="black"/>
              </w:rPr>
              <w:t>'''''''''''''''</w:t>
            </w:r>
          </w:p>
        </w:tc>
      </w:tr>
    </w:tbl>
    <w:p w:rsidR="00AC70BA" w:rsidRPr="003C3A62" w:rsidRDefault="00AC70BA" w:rsidP="00AC70BA">
      <w:pPr>
        <w:pStyle w:val="TableFooter"/>
        <w:ind w:firstLine="720"/>
      </w:pPr>
      <w:r w:rsidRPr="003C3A62">
        <w:t>Abbreviations: LY, life year; QALY, quality-adjusted life year</w:t>
      </w:r>
    </w:p>
    <w:p w:rsidR="00AC70BA" w:rsidRPr="003C3A62" w:rsidRDefault="00AC70BA" w:rsidP="00AC70BA">
      <w:pPr>
        <w:pStyle w:val="TableFooter"/>
        <w:ind w:firstLine="720"/>
      </w:pPr>
      <w:r w:rsidRPr="003C3A62">
        <w:t>Source: Constructed using the spreadsheet model ‘Evolocumab model_Nov15’ provided with the submission</w:t>
      </w:r>
    </w:p>
    <w:p w:rsidR="00AC70BA" w:rsidRDefault="00AC70BA" w:rsidP="00AC70BA"/>
    <w:p w:rsidR="007E005A" w:rsidRPr="003C3A62" w:rsidRDefault="007E005A" w:rsidP="00AC70BA">
      <w:r>
        <w:tab/>
        <w:t xml:space="preserve">The redacted table shows ICERS in the range of $105,000/QALY - </w:t>
      </w:r>
      <w:r w:rsidR="00F00A7D">
        <w:t>$200,000/QALY.</w:t>
      </w:r>
    </w:p>
    <w:p w:rsidR="00F00A7D" w:rsidRDefault="00F00A7D" w:rsidP="00FA0151">
      <w:pPr>
        <w:pStyle w:val="Heading2"/>
      </w:pPr>
      <w:bookmarkStart w:id="12" w:name="_Toc441052823"/>
    </w:p>
    <w:p w:rsidR="00800602" w:rsidRPr="00061C45" w:rsidRDefault="00800602" w:rsidP="00FA0151">
      <w:pPr>
        <w:pStyle w:val="Heading2"/>
        <w:rPr>
          <w:szCs w:val="22"/>
        </w:rPr>
      </w:pPr>
      <w:r w:rsidRPr="00061C45">
        <w:t>Drug cost/patient/year:</w:t>
      </w:r>
      <w:bookmarkEnd w:id="12"/>
    </w:p>
    <w:p w:rsidR="00800602" w:rsidRPr="003C3A62" w:rsidRDefault="00800602" w:rsidP="00800602">
      <w:pPr>
        <w:widowControl/>
        <w:rPr>
          <w:szCs w:val="22"/>
        </w:rPr>
      </w:pPr>
    </w:p>
    <w:p w:rsidR="00800602" w:rsidRPr="003C3A62" w:rsidRDefault="00800602" w:rsidP="00800602">
      <w:pPr>
        <w:pStyle w:val="ListParagraph"/>
        <w:numPr>
          <w:ilvl w:val="1"/>
          <w:numId w:val="4"/>
        </w:numPr>
        <w:rPr>
          <w:szCs w:val="22"/>
        </w:rPr>
      </w:pPr>
      <w:r w:rsidRPr="003C3A62">
        <w:rPr>
          <w:szCs w:val="22"/>
        </w:rPr>
        <w:t>The annual costs using the published DPMQ for evolocumab are $</w:t>
      </w:r>
      <w:r w:rsidR="00524E3E">
        <w:rPr>
          <w:noProof/>
          <w:color w:val="000000"/>
          <w:szCs w:val="22"/>
          <w:highlight w:val="black"/>
        </w:rPr>
        <w:t>'''''''''''''''''''</w:t>
      </w:r>
      <w:r w:rsidRPr="003C3A62">
        <w:rPr>
          <w:szCs w:val="22"/>
        </w:rPr>
        <w:t xml:space="preserve"> for the 140mg once fortnightly dose (2 injections per script, 13 scripts/year), $</w:t>
      </w:r>
      <w:r w:rsidR="00524E3E">
        <w:rPr>
          <w:noProof/>
          <w:color w:val="000000"/>
          <w:szCs w:val="22"/>
          <w:highlight w:val="black"/>
        </w:rPr>
        <w:t>'''''''''''''''''''''</w:t>
      </w:r>
      <w:r w:rsidRPr="003C3A62">
        <w:rPr>
          <w:szCs w:val="22"/>
        </w:rPr>
        <w:t xml:space="preserve"> for the 420mg once monthly dose (3 injections per script, 12 scripts/year) and $</w:t>
      </w:r>
      <w:r w:rsidR="00524E3E">
        <w:rPr>
          <w:noProof/>
          <w:color w:val="000000"/>
          <w:szCs w:val="22"/>
          <w:highlight w:val="black"/>
        </w:rPr>
        <w:t>'''''''''''''''''''''''''</w:t>
      </w:r>
      <w:r w:rsidRPr="003C3A62">
        <w:rPr>
          <w:szCs w:val="22"/>
        </w:rPr>
        <w:t xml:space="preserve"> for the 420mg once fortnightly dose (6 injections per script, 13 scripts/year).</w:t>
      </w:r>
    </w:p>
    <w:p w:rsidR="00800602" w:rsidRPr="003C3A62" w:rsidRDefault="00800602" w:rsidP="00800602">
      <w:pPr>
        <w:widowControl/>
        <w:rPr>
          <w:sz w:val="18"/>
          <w:szCs w:val="22"/>
        </w:rPr>
      </w:pPr>
    </w:p>
    <w:p w:rsidR="00800602" w:rsidRPr="003C3A62" w:rsidRDefault="00800602" w:rsidP="00800602">
      <w:pPr>
        <w:pStyle w:val="ListParagraph"/>
        <w:numPr>
          <w:ilvl w:val="1"/>
          <w:numId w:val="4"/>
        </w:numPr>
        <w:rPr>
          <w:szCs w:val="22"/>
        </w:rPr>
      </w:pPr>
      <w:r w:rsidRPr="003C3A62">
        <w:rPr>
          <w:szCs w:val="22"/>
        </w:rPr>
        <w:t>Using the estimated patient co-payment of $</w:t>
      </w:r>
      <w:r w:rsidR="00524E3E">
        <w:rPr>
          <w:noProof/>
          <w:color w:val="000000"/>
          <w:szCs w:val="22"/>
          <w:highlight w:val="black"/>
        </w:rPr>
        <w:t>''''''''''''</w:t>
      </w:r>
      <w:r w:rsidRPr="003C3A62">
        <w:rPr>
          <w:szCs w:val="22"/>
        </w:rPr>
        <w:t xml:space="preserve"> per script as per the submission </w:t>
      </w:r>
      <w:r w:rsidRPr="003C3A62">
        <w:rPr>
          <w:szCs w:val="22"/>
        </w:rPr>
        <w:lastRenderedPageBreak/>
        <w:t xml:space="preserve">and applying the </w:t>
      </w:r>
      <w:r w:rsidR="00951D88">
        <w:rPr>
          <w:noProof/>
          <w:color w:val="000000"/>
          <w:szCs w:val="22"/>
          <w:highlight w:val="black"/>
        </w:rPr>
        <w:t>''''''''''''</w:t>
      </w:r>
      <w:r w:rsidRPr="003C3A62">
        <w:rPr>
          <w:szCs w:val="22"/>
        </w:rPr>
        <w:t>% confidential rebate to estimate cost to government, the estimated annual costs using the effective DPMQ are $</w:t>
      </w:r>
      <w:r w:rsidR="00524E3E">
        <w:rPr>
          <w:noProof/>
          <w:color w:val="000000"/>
          <w:szCs w:val="22"/>
          <w:highlight w:val="black"/>
        </w:rPr>
        <w:t>''''''''''''''''''''</w:t>
      </w:r>
      <w:r w:rsidRPr="003C3A62">
        <w:rPr>
          <w:szCs w:val="22"/>
        </w:rPr>
        <w:t xml:space="preserve"> for the 140mg once fortnightly dose, $</w:t>
      </w:r>
      <w:r w:rsidR="00524E3E">
        <w:rPr>
          <w:noProof/>
          <w:color w:val="000000"/>
          <w:szCs w:val="22"/>
          <w:highlight w:val="black"/>
        </w:rPr>
        <w:t>''''''''''''''''''''''</w:t>
      </w:r>
      <w:r w:rsidRPr="003C3A62">
        <w:rPr>
          <w:szCs w:val="22"/>
        </w:rPr>
        <w:t xml:space="preserve"> for the 420mg once monthly dose and $</w:t>
      </w:r>
      <w:r w:rsidR="00524E3E">
        <w:rPr>
          <w:noProof/>
          <w:color w:val="000000"/>
          <w:szCs w:val="22"/>
          <w:highlight w:val="black"/>
        </w:rPr>
        <w:t>''''''''''''''''''''''</w:t>
      </w:r>
      <w:r w:rsidRPr="003C3A62">
        <w:rPr>
          <w:szCs w:val="22"/>
        </w:rPr>
        <w:t xml:space="preserve"> for the 420mg once fortnightly dose.</w:t>
      </w:r>
    </w:p>
    <w:p w:rsidR="00800602" w:rsidRPr="003C3A62" w:rsidRDefault="00800602" w:rsidP="00800602">
      <w:pPr>
        <w:pStyle w:val="ListParagraph"/>
        <w:rPr>
          <w:szCs w:val="22"/>
        </w:rPr>
      </w:pPr>
    </w:p>
    <w:p w:rsidR="00800602" w:rsidRPr="003C3A62" w:rsidRDefault="00800602" w:rsidP="00800602">
      <w:pPr>
        <w:pStyle w:val="ListParagraph"/>
        <w:numPr>
          <w:ilvl w:val="1"/>
          <w:numId w:val="4"/>
        </w:numPr>
        <w:rPr>
          <w:szCs w:val="22"/>
        </w:rPr>
      </w:pPr>
      <w:r w:rsidRPr="003C3A62">
        <w:rPr>
          <w:szCs w:val="22"/>
        </w:rPr>
        <w:t>The annual evolocumab costs, regardless of dose, are substantially higher than the annual cost for ezetimibe of $</w:t>
      </w:r>
      <w:r w:rsidR="00524E3E">
        <w:rPr>
          <w:noProof/>
          <w:color w:val="000000"/>
          <w:szCs w:val="22"/>
          <w:highlight w:val="black"/>
        </w:rPr>
        <w:t>''''''''''''''''</w:t>
      </w:r>
      <w:r w:rsidRPr="003C3A62">
        <w:rPr>
          <w:szCs w:val="22"/>
        </w:rPr>
        <w:t xml:space="preserve"> (</w:t>
      </w:r>
      <w:r w:rsidRPr="00A817D3">
        <w:rPr>
          <w:szCs w:val="22"/>
        </w:rPr>
        <w:t>12</w:t>
      </w:r>
      <w:r w:rsidRPr="003C3A62">
        <w:rPr>
          <w:szCs w:val="22"/>
        </w:rPr>
        <w:t xml:space="preserve"> scripts/year includes </w:t>
      </w:r>
      <w:r w:rsidRPr="00103A19">
        <w:rPr>
          <w:szCs w:val="22"/>
        </w:rPr>
        <w:t>5</w:t>
      </w:r>
      <w:r w:rsidRPr="003C3A62">
        <w:rPr>
          <w:szCs w:val="22"/>
        </w:rPr>
        <w:t>% mandatory price reduction in April 2016).</w:t>
      </w:r>
    </w:p>
    <w:p w:rsidR="00800602" w:rsidRPr="003C3A62" w:rsidRDefault="00800602" w:rsidP="00800602">
      <w:pPr>
        <w:rPr>
          <w:szCs w:val="22"/>
        </w:rPr>
      </w:pPr>
    </w:p>
    <w:p w:rsidR="00800602" w:rsidRPr="00061C45" w:rsidRDefault="00800602" w:rsidP="00FA0151">
      <w:pPr>
        <w:pStyle w:val="Heading2"/>
      </w:pPr>
      <w:bookmarkStart w:id="13" w:name="_Toc441052824"/>
      <w:r w:rsidRPr="00061C45">
        <w:t>Estimated PBS usage &amp; financial implications</w:t>
      </w:r>
      <w:bookmarkEnd w:id="13"/>
    </w:p>
    <w:p w:rsidR="00800602" w:rsidRPr="003C3A62" w:rsidRDefault="00800602" w:rsidP="00800602">
      <w:pPr>
        <w:ind w:left="720" w:hanging="720"/>
        <w:rPr>
          <w:b/>
          <w:szCs w:val="22"/>
        </w:rPr>
      </w:pPr>
    </w:p>
    <w:p w:rsidR="00800602" w:rsidRPr="003C3A62" w:rsidRDefault="00800602" w:rsidP="00800602">
      <w:pPr>
        <w:pStyle w:val="ListParagraph"/>
        <w:widowControl/>
        <w:numPr>
          <w:ilvl w:val="1"/>
          <w:numId w:val="4"/>
        </w:numPr>
        <w:rPr>
          <w:szCs w:val="22"/>
        </w:rPr>
      </w:pPr>
      <w:r w:rsidRPr="003C3A62">
        <w:t xml:space="preserve">This re-submission </w:t>
      </w:r>
      <w:r w:rsidR="00CD167C" w:rsidRPr="003C3A62">
        <w:t>was not</w:t>
      </w:r>
      <w:r w:rsidRPr="003C3A62">
        <w:t xml:space="preserve"> considered by DUSC</w:t>
      </w:r>
      <w:r w:rsidRPr="003C3A62">
        <w:rPr>
          <w:color w:val="0070C0"/>
        </w:rPr>
        <w:t>.</w:t>
      </w:r>
    </w:p>
    <w:p w:rsidR="00800602" w:rsidRPr="003C3A62" w:rsidRDefault="00800602" w:rsidP="00800602">
      <w:pPr>
        <w:widowControl/>
        <w:rPr>
          <w:szCs w:val="22"/>
        </w:rPr>
      </w:pPr>
    </w:p>
    <w:p w:rsidR="00800602" w:rsidRPr="000D4B8E" w:rsidRDefault="00800602" w:rsidP="00800602">
      <w:pPr>
        <w:pStyle w:val="ListParagraph"/>
        <w:widowControl/>
        <w:numPr>
          <w:ilvl w:val="1"/>
          <w:numId w:val="4"/>
        </w:numPr>
        <w:rPr>
          <w:szCs w:val="22"/>
        </w:rPr>
      </w:pPr>
      <w:r w:rsidRPr="003C3A62">
        <w:rPr>
          <w:szCs w:val="22"/>
        </w:rPr>
        <w:t>The re-submission used an epidemiolog</w:t>
      </w:r>
      <w:r w:rsidR="00213FCC" w:rsidRPr="000D4B8E">
        <w:rPr>
          <w:szCs w:val="22"/>
        </w:rPr>
        <w:t>ical</w:t>
      </w:r>
      <w:r w:rsidRPr="000D4B8E">
        <w:rPr>
          <w:szCs w:val="22"/>
        </w:rPr>
        <w:t xml:space="preserve"> approach to estimate the utilisation/ financial implications associated with the PBS listing of evolocumab for heterozygous familial hypercholesterolaemia and homozygous familial hypercholesterolaemia.</w:t>
      </w:r>
    </w:p>
    <w:p w:rsidR="00800602" w:rsidRPr="000D4B8E" w:rsidRDefault="00800602" w:rsidP="00800602">
      <w:pPr>
        <w:widowControl/>
        <w:rPr>
          <w:szCs w:val="22"/>
        </w:rPr>
      </w:pPr>
    </w:p>
    <w:p w:rsidR="00800602" w:rsidRPr="000D4B8E" w:rsidRDefault="00800602" w:rsidP="00800602">
      <w:pPr>
        <w:ind w:left="709"/>
        <w:rPr>
          <w:rFonts w:ascii="Arial Narrow" w:hAnsi="Arial Narrow"/>
          <w:b/>
          <w:sz w:val="20"/>
        </w:rPr>
      </w:pPr>
      <w:r w:rsidRPr="000D4B8E">
        <w:rPr>
          <w:rFonts w:ascii="Arial Narrow" w:hAnsi="Arial Narrow"/>
          <w:b/>
          <w:sz w:val="20"/>
        </w:rPr>
        <w:t xml:space="preserve">Table </w:t>
      </w:r>
      <w:r w:rsidR="00AC70BA" w:rsidRPr="000D4B8E">
        <w:rPr>
          <w:rFonts w:ascii="Arial Narrow" w:hAnsi="Arial Narrow"/>
          <w:b/>
          <w:sz w:val="20"/>
        </w:rPr>
        <w:t>11</w:t>
      </w:r>
      <w:r w:rsidRPr="000D4B8E">
        <w:rPr>
          <w:rFonts w:ascii="Arial Narrow" w:hAnsi="Arial Narrow"/>
          <w:b/>
          <w:sz w:val="20"/>
        </w:rPr>
        <w:t xml:space="preserve">: Estimated utilisation and cost to the PBS in the first five years of listing </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92"/>
        <w:gridCol w:w="1192"/>
        <w:gridCol w:w="1194"/>
        <w:gridCol w:w="1192"/>
        <w:gridCol w:w="1192"/>
      </w:tblGrid>
      <w:tr w:rsidR="00800602" w:rsidRPr="000D4B8E" w:rsidTr="0081587D">
        <w:trPr>
          <w:tblHeader/>
        </w:trPr>
        <w:tc>
          <w:tcPr>
            <w:tcW w:w="1429" w:type="pct"/>
            <w:tcBorders>
              <w:left w:val="single" w:sz="4" w:space="0" w:color="auto"/>
              <w:bottom w:val="single" w:sz="4" w:space="0" w:color="auto"/>
            </w:tcBorders>
            <w:shd w:val="clear" w:color="auto" w:fill="auto"/>
            <w:vAlign w:val="bottom"/>
            <w:hideMark/>
          </w:tcPr>
          <w:p w:rsidR="00800602" w:rsidRPr="000D4B8E" w:rsidRDefault="00800602" w:rsidP="0081587D">
            <w:pPr>
              <w:rPr>
                <w:rFonts w:ascii="Arial Narrow" w:hAnsi="Arial Narrow"/>
                <w:sz w:val="20"/>
                <w:lang w:eastAsia="en-AU"/>
              </w:rPr>
            </w:pPr>
          </w:p>
        </w:tc>
        <w:tc>
          <w:tcPr>
            <w:tcW w:w="714" w:type="pct"/>
            <w:tcBorders>
              <w:bottom w:val="single" w:sz="4" w:space="0" w:color="auto"/>
            </w:tcBorders>
            <w:shd w:val="clear" w:color="auto" w:fill="auto"/>
            <w:vAlign w:val="bottom"/>
            <w:hideMark/>
          </w:tcPr>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Year 1</w:t>
            </w:r>
          </w:p>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(Aug 2016- Jul 2017)</w:t>
            </w:r>
          </w:p>
        </w:tc>
        <w:tc>
          <w:tcPr>
            <w:tcW w:w="714" w:type="pct"/>
            <w:tcBorders>
              <w:bottom w:val="single" w:sz="4" w:space="0" w:color="auto"/>
            </w:tcBorders>
            <w:shd w:val="clear" w:color="auto" w:fill="auto"/>
            <w:vAlign w:val="bottom"/>
            <w:hideMark/>
          </w:tcPr>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Year 2</w:t>
            </w:r>
          </w:p>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(Aug 2017- Jul 2018)</w:t>
            </w:r>
          </w:p>
        </w:tc>
        <w:tc>
          <w:tcPr>
            <w:tcW w:w="715" w:type="pct"/>
            <w:tcBorders>
              <w:bottom w:val="single" w:sz="4" w:space="0" w:color="auto"/>
            </w:tcBorders>
            <w:shd w:val="clear" w:color="auto" w:fill="auto"/>
            <w:vAlign w:val="bottom"/>
            <w:hideMark/>
          </w:tcPr>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Year 3</w:t>
            </w:r>
          </w:p>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(Aug 2018- Jul 2019)</w:t>
            </w:r>
          </w:p>
        </w:tc>
        <w:tc>
          <w:tcPr>
            <w:tcW w:w="714" w:type="pct"/>
            <w:tcBorders>
              <w:bottom w:val="single" w:sz="4" w:space="0" w:color="auto"/>
            </w:tcBorders>
            <w:shd w:val="clear" w:color="auto" w:fill="auto"/>
            <w:vAlign w:val="bottom"/>
            <w:hideMark/>
          </w:tcPr>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Year 4</w:t>
            </w:r>
          </w:p>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(Aug 2019- Jul 2020)</w:t>
            </w:r>
          </w:p>
        </w:tc>
        <w:tc>
          <w:tcPr>
            <w:tcW w:w="714" w:type="pct"/>
            <w:tcBorders>
              <w:bottom w:val="single" w:sz="4" w:space="0" w:color="auto"/>
              <w:right w:val="single" w:sz="4" w:space="0" w:color="auto"/>
            </w:tcBorders>
            <w:shd w:val="clear" w:color="auto" w:fill="auto"/>
            <w:vAlign w:val="bottom"/>
            <w:hideMark/>
          </w:tcPr>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Year 5</w:t>
            </w:r>
          </w:p>
          <w:p w:rsidR="00800602" w:rsidRPr="000D4B8E" w:rsidRDefault="00800602" w:rsidP="0081587D">
            <w:pPr>
              <w:jc w:val="center"/>
              <w:rPr>
                <w:rFonts w:ascii="Arial Narrow" w:hAnsi="Arial Narrow"/>
                <w:b/>
                <w:bCs/>
                <w:sz w:val="20"/>
                <w:lang w:eastAsia="en-AU"/>
              </w:rPr>
            </w:pPr>
            <w:r w:rsidRPr="000D4B8E">
              <w:rPr>
                <w:rFonts w:ascii="Arial Narrow" w:hAnsi="Arial Narrow"/>
                <w:b/>
                <w:bCs/>
                <w:sz w:val="20"/>
                <w:lang w:eastAsia="en-AU"/>
              </w:rPr>
              <w:t>(Aug 2020- Jul 2021)</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00602" w:rsidRPr="000D4B8E" w:rsidRDefault="00800602" w:rsidP="0081587D">
            <w:pPr>
              <w:rPr>
                <w:rFonts w:ascii="Arial Narrow" w:hAnsi="Arial Narrow"/>
                <w:sz w:val="20"/>
                <w:lang w:eastAsia="en-AU"/>
              </w:rPr>
            </w:pPr>
            <w:r w:rsidRPr="000D4B8E">
              <w:rPr>
                <w:rFonts w:ascii="Arial Narrow" w:hAnsi="Arial Narrow"/>
                <w:sz w:val="20"/>
                <w:lang w:eastAsia="en-AU"/>
              </w:rPr>
              <w:t>Australian FH population</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800602" w:rsidRPr="000D4B8E" w:rsidRDefault="00800602" w:rsidP="0081587D">
            <w:pPr>
              <w:jc w:val="left"/>
              <w:rPr>
                <w:rFonts w:ascii="Arial Narrow" w:hAnsi="Arial Narrow"/>
                <w:b/>
                <w:sz w:val="20"/>
              </w:rPr>
            </w:pPr>
            <w:r w:rsidRPr="000D4B8E">
              <w:rPr>
                <w:rFonts w:ascii="Arial Narrow" w:hAnsi="Arial Narrow"/>
                <w:b/>
                <w:sz w:val="20"/>
              </w:rPr>
              <w:t>Heterozygous familial hypercholesterolaemia</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800602" w:rsidRPr="000D4B8E" w:rsidRDefault="00800602" w:rsidP="0081587D">
            <w:pPr>
              <w:jc w:val="left"/>
              <w:rPr>
                <w:rFonts w:ascii="Arial Narrow" w:hAnsi="Arial Narrow"/>
                <w:sz w:val="20"/>
                <w:lang w:eastAsia="en-AU"/>
              </w:rPr>
            </w:pPr>
            <w:r w:rsidRPr="000D4B8E">
              <w:rPr>
                <w:rFonts w:ascii="Arial Narrow" w:hAnsi="Arial Narrow"/>
                <w:sz w:val="20"/>
                <w:lang w:eastAsia="en-AU"/>
              </w:rPr>
              <w:t>Australian HeFH patients the meet PBS criteria</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00602" w:rsidRPr="000D4B8E" w:rsidRDefault="00800602" w:rsidP="0081587D">
            <w:pPr>
              <w:tabs>
                <w:tab w:val="right" w:pos="3045"/>
              </w:tabs>
              <w:rPr>
                <w:rFonts w:ascii="Arial Narrow" w:hAnsi="Arial Narrow"/>
                <w:sz w:val="20"/>
                <w:lang w:eastAsia="en-AU"/>
              </w:rPr>
            </w:pPr>
            <w:r w:rsidRPr="000D4B8E">
              <w:rPr>
                <w:rFonts w:ascii="Arial Narrow" w:hAnsi="Arial Narrow"/>
                <w:sz w:val="20"/>
                <w:lang w:eastAsia="en-AU"/>
              </w:rPr>
              <w:t>Evolocumab uptake rate</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800602" w:rsidRPr="000D4B8E" w:rsidRDefault="00800602" w:rsidP="0081587D">
            <w:pPr>
              <w:tabs>
                <w:tab w:val="right" w:pos="3045"/>
              </w:tabs>
              <w:rPr>
                <w:rFonts w:ascii="Arial Narrow" w:hAnsi="Arial Narrow"/>
                <w:sz w:val="20"/>
                <w:lang w:eastAsia="en-AU"/>
              </w:rPr>
            </w:pPr>
            <w:r w:rsidRPr="000D4B8E">
              <w:rPr>
                <w:rFonts w:ascii="Arial Narrow" w:hAnsi="Arial Narrow"/>
                <w:sz w:val="20"/>
                <w:lang w:eastAsia="en-AU"/>
              </w:rPr>
              <w:t>Total treated patients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00602" w:rsidRPr="000D4B8E" w:rsidRDefault="00800602" w:rsidP="0081587D">
            <w:pPr>
              <w:tabs>
                <w:tab w:val="right" w:pos="3045"/>
              </w:tabs>
              <w:jc w:val="left"/>
              <w:rPr>
                <w:rFonts w:ascii="Arial Narrow" w:hAnsi="Arial Narrow"/>
                <w:sz w:val="20"/>
                <w:lang w:eastAsia="en-AU"/>
              </w:rPr>
            </w:pPr>
            <w:r w:rsidRPr="000D4B8E">
              <w:rPr>
                <w:rFonts w:ascii="Arial Narrow" w:hAnsi="Arial Narrow"/>
                <w:sz w:val="20"/>
                <w:lang w:eastAsia="en-AU"/>
              </w:rPr>
              <w:t>Total evolocumab scripts</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524E3E" w:rsidRDefault="00524E3E" w:rsidP="0081587D">
            <w:pPr>
              <w:jc w:val="center"/>
              <w:rPr>
                <w:rFonts w:ascii="Arial Narrow" w:hAnsi="Arial Narrow"/>
                <w:sz w:val="20"/>
                <w:highlight w:val="black"/>
              </w:rPr>
            </w:pPr>
            <w:r>
              <w:rPr>
                <w:rFonts w:ascii="Arial Narrow" w:hAnsi="Arial Narrow"/>
                <w:noProof/>
                <w:color w:val="000000"/>
                <w:sz w:val="20"/>
                <w:highlight w:val="black"/>
              </w:rPr>
              <w:t>''''''''''''''''''''</w:t>
            </w:r>
          </w:p>
        </w:tc>
      </w:tr>
      <w:tr w:rsidR="00800602" w:rsidRPr="000D4B8E" w:rsidTr="008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00602" w:rsidRPr="000D4B8E" w:rsidRDefault="00800602" w:rsidP="0081587D">
            <w:pPr>
              <w:tabs>
                <w:tab w:val="right" w:pos="3045"/>
              </w:tabs>
              <w:rPr>
                <w:rFonts w:ascii="Arial Narrow" w:hAnsi="Arial Narrow"/>
                <w:sz w:val="20"/>
                <w:lang w:eastAsia="en-AU"/>
              </w:rPr>
            </w:pPr>
            <w:r w:rsidRPr="000D4B8E">
              <w:rPr>
                <w:rFonts w:ascii="Arial Narrow" w:hAnsi="Arial Narrow"/>
                <w:sz w:val="20"/>
                <w:lang w:eastAsia="en-AU"/>
              </w:rPr>
              <w:t>Cost (published DPMQ)</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hideMark/>
          </w:tcPr>
          <w:p w:rsidR="00800602" w:rsidRPr="000D4B8E" w:rsidRDefault="00800602" w:rsidP="0081587D">
            <w:pPr>
              <w:rPr>
                <w:rFonts w:ascii="Arial Narrow" w:hAnsi="Arial Narrow"/>
                <w:sz w:val="20"/>
                <w:lang w:eastAsia="en-AU"/>
              </w:rPr>
            </w:pPr>
            <w:r w:rsidRPr="000D4B8E">
              <w:rPr>
                <w:rFonts w:ascii="Arial Narrow" w:hAnsi="Arial Narrow"/>
                <w:sz w:val="20"/>
                <w:lang w:eastAsia="en-AU"/>
              </w:rPr>
              <w:t xml:space="preserve">Patient co-payments </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sz w:val="20"/>
                <w:lang w:eastAsia="en-AU"/>
              </w:rPr>
            </w:pPr>
            <w:r w:rsidRPr="000D4B8E">
              <w:rPr>
                <w:rFonts w:ascii="Arial Narrow" w:hAnsi="Arial Narrow"/>
                <w:sz w:val="20"/>
                <w:lang w:eastAsia="en-AU"/>
              </w:rPr>
              <w:t>Sponsor rebate (</w:t>
            </w:r>
            <w:r w:rsidR="00951D88">
              <w:rPr>
                <w:rFonts w:ascii="Arial Narrow" w:hAnsi="Arial Narrow"/>
                <w:noProof/>
                <w:color w:val="000000"/>
                <w:sz w:val="20"/>
                <w:highlight w:val="black"/>
                <w:lang w:eastAsia="en-AU"/>
              </w:rPr>
              <w:t>''''''''''</w:t>
            </w:r>
            <w:r w:rsidRPr="000D4B8E">
              <w:rPr>
                <w:rFonts w:ascii="Arial Narrow" w:hAnsi="Arial Narrow"/>
                <w:sz w:val="20"/>
                <w:lang w:eastAsia="en-AU"/>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jc w:val="left"/>
              <w:rPr>
                <w:rFonts w:ascii="Arial Narrow" w:hAnsi="Arial Narrow"/>
                <w:sz w:val="20"/>
                <w:lang w:eastAsia="en-AU"/>
              </w:rPr>
            </w:pPr>
            <w:r w:rsidRPr="000D4B8E">
              <w:rPr>
                <w:rFonts w:ascii="Arial Narrow" w:hAnsi="Arial Narrow"/>
                <w:sz w:val="20"/>
                <w:lang w:eastAsia="en-AU"/>
              </w:rPr>
              <w:t xml:space="preserve">Substitution of ezetimibe </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sz w:val="20"/>
                <w:lang w:eastAsia="en-AU"/>
              </w:rPr>
            </w:pPr>
            <w:r w:rsidRPr="000D4B8E">
              <w:rPr>
                <w:rFonts w:ascii="Arial Narrow" w:hAnsi="Arial Narrow"/>
                <w:sz w:val="20"/>
                <w:lang w:eastAsia="en-AU"/>
              </w:rPr>
              <w:t>Costs for concurrent statins to replace FDCs</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sz w:val="20"/>
                <w:lang w:eastAsia="en-AU"/>
              </w:rPr>
            </w:pPr>
            <w:r w:rsidRPr="000D4B8E">
              <w:rPr>
                <w:rFonts w:ascii="Arial Narrow" w:hAnsi="Arial Narrow"/>
                <w:sz w:val="20"/>
                <w:lang w:eastAsia="en-AU"/>
              </w:rPr>
              <w:t>Net cost to the PBS/RPBS</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5000" w:type="pct"/>
            <w:gridSpan w:val="6"/>
            <w:shd w:val="clear" w:color="auto" w:fill="auto"/>
            <w:vAlign w:val="bottom"/>
          </w:tcPr>
          <w:p w:rsidR="00800602" w:rsidRPr="000D4B8E" w:rsidRDefault="00800602" w:rsidP="0081587D">
            <w:pPr>
              <w:jc w:val="left"/>
              <w:rPr>
                <w:rFonts w:ascii="Arial Narrow" w:hAnsi="Arial Narrow"/>
                <w:b/>
                <w:sz w:val="20"/>
              </w:rPr>
            </w:pPr>
            <w:r w:rsidRPr="000D4B8E">
              <w:rPr>
                <w:rFonts w:ascii="Arial Narrow" w:hAnsi="Arial Narrow"/>
                <w:b/>
                <w:sz w:val="20"/>
              </w:rPr>
              <w:t>Homozygous familial hypercholesterolaemia</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Australian HoFH patients the meet PBS criteria</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5"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Evolocumab uptake rate</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5"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Total treated patients</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5"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Scripts (fortnightly dosing)</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5"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sz w:val="20"/>
                <w:lang w:eastAsia="en-AU"/>
              </w:rPr>
            </w:pPr>
            <w:r w:rsidRPr="000D4B8E">
              <w:rPr>
                <w:rFonts w:ascii="Arial Narrow" w:hAnsi="Arial Narrow"/>
                <w:sz w:val="20"/>
                <w:lang w:eastAsia="en-AU"/>
              </w:rPr>
              <w:t>Scripts (monthly dosing)</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5"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c>
          <w:tcPr>
            <w:tcW w:w="714" w:type="pct"/>
            <w:shd w:val="clear" w:color="auto" w:fill="auto"/>
            <w:noWrap/>
            <w:vAlign w:val="center"/>
          </w:tcPr>
          <w:p w:rsidR="00800602" w:rsidRPr="00524E3E" w:rsidRDefault="00524E3E" w:rsidP="0081587D">
            <w:pPr>
              <w:jc w:val="center"/>
              <w:rPr>
                <w:rFonts w:ascii="Arial Narrow" w:hAnsi="Arial Narrow"/>
                <w:b/>
                <w:sz w:val="20"/>
                <w:highlight w:val="black"/>
              </w:rPr>
            </w:pPr>
            <w:r>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Cost (published DPMQ)</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 xml:space="preserve">Patient co-payments </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Sponsor rebate (</w:t>
            </w:r>
            <w:r w:rsidR="00951D88">
              <w:rPr>
                <w:rFonts w:ascii="Arial Narrow" w:hAnsi="Arial Narrow"/>
                <w:noProof/>
                <w:color w:val="000000"/>
                <w:sz w:val="20"/>
                <w:highlight w:val="black"/>
                <w:lang w:eastAsia="en-AU"/>
              </w:rPr>
              <w:t>'''''''''''</w:t>
            </w:r>
            <w:r w:rsidRPr="000D4B8E">
              <w:rPr>
                <w:rFonts w:ascii="Arial Narrow" w:hAnsi="Arial Narrow"/>
                <w:sz w:val="20"/>
                <w:lang w:eastAsia="en-AU"/>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sz w:val="20"/>
                <w:lang w:eastAsia="en-AU"/>
              </w:rPr>
              <w:t>Net cost to the PBS/RPBS</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sz w:val="20"/>
              </w:rPr>
            </w:pPr>
            <w:r w:rsidRPr="000D4B8E">
              <w:rPr>
                <w:rFonts w:ascii="Arial Narrow" w:hAnsi="Arial Narrow"/>
                <w:sz w:val="20"/>
              </w:rPr>
              <w:t>$</w:t>
            </w:r>
            <w:r w:rsidR="00524E3E">
              <w:rPr>
                <w:rFonts w:ascii="Arial Narrow" w:hAnsi="Arial Narrow"/>
                <w:noProof/>
                <w:color w:val="000000"/>
                <w:sz w:val="20"/>
                <w:highlight w:val="black"/>
              </w:rPr>
              <w:t>'''''''''''''''''''''''''</w:t>
            </w:r>
          </w:p>
        </w:tc>
      </w:tr>
      <w:tr w:rsidR="00800602" w:rsidRPr="000D4B8E" w:rsidTr="0081587D">
        <w:tc>
          <w:tcPr>
            <w:tcW w:w="5000" w:type="pct"/>
            <w:gridSpan w:val="6"/>
            <w:shd w:val="clear" w:color="auto" w:fill="auto"/>
            <w:vAlign w:val="bottom"/>
          </w:tcPr>
          <w:p w:rsidR="00800602" w:rsidRPr="000D4B8E" w:rsidRDefault="00800602" w:rsidP="0081587D">
            <w:pPr>
              <w:jc w:val="left"/>
              <w:rPr>
                <w:rFonts w:ascii="Arial Narrow" w:hAnsi="Arial Narrow"/>
                <w:b/>
                <w:sz w:val="20"/>
              </w:rPr>
            </w:pPr>
            <w:r w:rsidRPr="000D4B8E">
              <w:rPr>
                <w:rFonts w:ascii="Arial Narrow" w:hAnsi="Arial Narrow"/>
                <w:b/>
                <w:sz w:val="20"/>
              </w:rPr>
              <w:t>Total population</w:t>
            </w:r>
          </w:p>
        </w:tc>
      </w:tr>
      <w:tr w:rsidR="00800602" w:rsidRPr="000D4B8E" w:rsidTr="0081587D">
        <w:tc>
          <w:tcPr>
            <w:tcW w:w="1429" w:type="pct"/>
            <w:shd w:val="clear" w:color="auto" w:fill="auto"/>
            <w:vAlign w:val="bottom"/>
          </w:tcPr>
          <w:p w:rsidR="00800602" w:rsidRPr="000D4B8E" w:rsidRDefault="00800602" w:rsidP="0081587D">
            <w:pPr>
              <w:rPr>
                <w:rFonts w:ascii="Arial Narrow" w:hAnsi="Arial Narrow"/>
                <w:b/>
                <w:sz w:val="20"/>
                <w:lang w:eastAsia="en-AU"/>
              </w:rPr>
            </w:pPr>
            <w:r w:rsidRPr="000D4B8E">
              <w:rPr>
                <w:rFonts w:ascii="Arial Narrow" w:hAnsi="Arial Narrow"/>
                <w:b/>
                <w:sz w:val="20"/>
                <w:lang w:eastAsia="en-AU"/>
              </w:rPr>
              <w:t>Net cost to the PBS/RPBS</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b/>
                <w:sz w:val="20"/>
              </w:rPr>
              <w:t>$</w:t>
            </w:r>
            <w:r w:rsidR="00524E3E">
              <w:rPr>
                <w:rFonts w:ascii="Arial Narrow" w:hAnsi="Arial Narrow"/>
                <w:b/>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b/>
                <w:sz w:val="20"/>
              </w:rPr>
              <w:t>$</w:t>
            </w:r>
            <w:r w:rsidR="00524E3E">
              <w:rPr>
                <w:rFonts w:ascii="Arial Narrow" w:hAnsi="Arial Narrow"/>
                <w:b/>
                <w:noProof/>
                <w:color w:val="000000"/>
                <w:sz w:val="20"/>
                <w:highlight w:val="black"/>
              </w:rPr>
              <w:t>''''''''''''''''''''</w:t>
            </w:r>
          </w:p>
        </w:tc>
        <w:tc>
          <w:tcPr>
            <w:tcW w:w="715"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b/>
                <w:sz w:val="20"/>
              </w:rPr>
              <w:t>$</w:t>
            </w:r>
            <w:r w:rsidR="00524E3E">
              <w:rPr>
                <w:rFonts w:ascii="Arial Narrow" w:hAnsi="Arial Narrow"/>
                <w:b/>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b/>
                <w:sz w:val="20"/>
              </w:rPr>
              <w:t>$</w:t>
            </w:r>
            <w:r w:rsidR="00524E3E">
              <w:rPr>
                <w:rFonts w:ascii="Arial Narrow" w:hAnsi="Arial Narrow"/>
                <w:b/>
                <w:noProof/>
                <w:color w:val="000000"/>
                <w:sz w:val="20"/>
                <w:highlight w:val="black"/>
              </w:rPr>
              <w:t>''''''''''''''''''''''</w:t>
            </w:r>
          </w:p>
        </w:tc>
        <w:tc>
          <w:tcPr>
            <w:tcW w:w="714" w:type="pct"/>
            <w:shd w:val="clear" w:color="auto" w:fill="auto"/>
            <w:noWrap/>
            <w:vAlign w:val="center"/>
          </w:tcPr>
          <w:p w:rsidR="00800602" w:rsidRPr="000D4B8E" w:rsidRDefault="00800602" w:rsidP="0081587D">
            <w:pPr>
              <w:jc w:val="center"/>
              <w:rPr>
                <w:rFonts w:ascii="Arial Narrow" w:hAnsi="Arial Narrow"/>
                <w:b/>
                <w:sz w:val="20"/>
              </w:rPr>
            </w:pPr>
            <w:r w:rsidRPr="000D4B8E">
              <w:rPr>
                <w:rFonts w:ascii="Arial Narrow" w:hAnsi="Arial Narrow"/>
                <w:b/>
                <w:sz w:val="20"/>
              </w:rPr>
              <w:t>$</w:t>
            </w:r>
            <w:r w:rsidR="00524E3E">
              <w:rPr>
                <w:rFonts w:ascii="Arial Narrow" w:hAnsi="Arial Narrow"/>
                <w:b/>
                <w:noProof/>
                <w:color w:val="000000"/>
                <w:sz w:val="20"/>
                <w:highlight w:val="black"/>
              </w:rPr>
              <w:t>'''''''''''''''''''''''</w:t>
            </w:r>
          </w:p>
        </w:tc>
      </w:tr>
    </w:tbl>
    <w:p w:rsidR="00800602" w:rsidRPr="000D4B8E" w:rsidRDefault="00800602" w:rsidP="00800602">
      <w:pPr>
        <w:pStyle w:val="ListParagraph"/>
        <w:rPr>
          <w:rFonts w:ascii="Arial Narrow" w:hAnsi="Arial Narrow"/>
          <w:sz w:val="18"/>
          <w:szCs w:val="18"/>
        </w:rPr>
      </w:pPr>
      <w:r w:rsidRPr="000D4B8E">
        <w:rPr>
          <w:rFonts w:ascii="Arial Narrow" w:hAnsi="Arial Narrow"/>
          <w:sz w:val="18"/>
          <w:szCs w:val="18"/>
        </w:rPr>
        <w:t>Abbreviations: FDC, fixed dose combination; FH, familial hypercholesterolaemia; HeFH, heterozygous familial hypercholesterolaemia; HoFH, homozygous familial hypercholesterolaemia</w:t>
      </w:r>
      <w:r w:rsidR="00061C45">
        <w:rPr>
          <w:rFonts w:ascii="Arial Narrow" w:hAnsi="Arial Narrow"/>
          <w:sz w:val="18"/>
          <w:szCs w:val="18"/>
        </w:rPr>
        <w:t xml:space="preserve">. </w:t>
      </w:r>
    </w:p>
    <w:p w:rsidR="00800602" w:rsidRPr="000D4B8E" w:rsidRDefault="00800602" w:rsidP="00800602">
      <w:pPr>
        <w:pStyle w:val="COMBody"/>
        <w:ind w:left="709"/>
        <w:rPr>
          <w:rFonts w:ascii="Arial Narrow" w:hAnsi="Arial Narrow"/>
          <w:sz w:val="18"/>
        </w:rPr>
      </w:pPr>
      <w:r w:rsidRPr="000D4B8E">
        <w:rPr>
          <w:rFonts w:ascii="Arial Narrow" w:hAnsi="Arial Narrow"/>
          <w:sz w:val="18"/>
        </w:rPr>
        <w:lastRenderedPageBreak/>
        <w:t>Source: Table E.2-1 (p 180), Table E.2-2 (p 181), Table E.3-1 (p 182), Table E.3-2 (p 182), Table E.4-1 (p 183) of the re-submission</w:t>
      </w:r>
    </w:p>
    <w:p w:rsidR="00800602" w:rsidRDefault="00800602" w:rsidP="00800602">
      <w:pPr>
        <w:widowControl/>
        <w:rPr>
          <w:szCs w:val="22"/>
        </w:rPr>
      </w:pPr>
    </w:p>
    <w:p w:rsidR="00465829" w:rsidRDefault="00465829" w:rsidP="00465829">
      <w:pPr>
        <w:widowControl/>
        <w:ind w:left="709"/>
        <w:rPr>
          <w:szCs w:val="22"/>
        </w:rPr>
      </w:pPr>
      <w:r>
        <w:rPr>
          <w:szCs w:val="22"/>
        </w:rPr>
        <w:tab/>
        <w:t>The redacted table shows that at year 5, the estimated number of patients</w:t>
      </w:r>
      <w:r w:rsidR="00341CC3">
        <w:rPr>
          <w:szCs w:val="22"/>
        </w:rPr>
        <w:t xml:space="preserve"> overall</w:t>
      </w:r>
      <w:r>
        <w:rPr>
          <w:szCs w:val="22"/>
        </w:rPr>
        <w:t xml:space="preserve"> was 10,000 – 50,000 per year and the net cost to the PBS would be $30 - $60 million per year.</w:t>
      </w:r>
    </w:p>
    <w:p w:rsidR="00465829" w:rsidRPr="000D4B8E" w:rsidRDefault="00465829" w:rsidP="00465829">
      <w:pPr>
        <w:widowControl/>
        <w:ind w:left="709"/>
        <w:rPr>
          <w:szCs w:val="22"/>
        </w:rPr>
      </w:pPr>
    </w:p>
    <w:p w:rsidR="006C5FBD" w:rsidRPr="000D4B8E" w:rsidRDefault="00800602">
      <w:pPr>
        <w:pStyle w:val="ListParagraph"/>
        <w:widowControl/>
        <w:numPr>
          <w:ilvl w:val="1"/>
          <w:numId w:val="4"/>
        </w:numPr>
        <w:rPr>
          <w:szCs w:val="22"/>
        </w:rPr>
      </w:pPr>
      <w:r w:rsidRPr="000D4B8E">
        <w:rPr>
          <w:szCs w:val="22"/>
        </w:rPr>
        <w:t>The estimated cost of listing evolocumab on the PBS is highly uncertain due to assumptions regarding the proportion of patients diagnosed with familial hypercholesterolaemia (likely to increase with the listing of evolocumab), the proportion of patients eligible for treatment under the proposed restriction and likely treatment adherence in clinical practice.</w:t>
      </w:r>
    </w:p>
    <w:p w:rsidR="006C5FBD" w:rsidRPr="000D4B8E" w:rsidRDefault="006C5FBD" w:rsidP="00FB0C33">
      <w:pPr>
        <w:pStyle w:val="ListParagraph"/>
        <w:widowControl/>
        <w:rPr>
          <w:szCs w:val="22"/>
        </w:rPr>
      </w:pPr>
    </w:p>
    <w:p w:rsidR="006C5FBD" w:rsidRPr="000D4B8E" w:rsidRDefault="006C5FBD">
      <w:pPr>
        <w:pStyle w:val="ListParagraph"/>
        <w:widowControl/>
        <w:numPr>
          <w:ilvl w:val="1"/>
          <w:numId w:val="4"/>
        </w:numPr>
        <w:rPr>
          <w:szCs w:val="22"/>
        </w:rPr>
      </w:pPr>
      <w:r w:rsidRPr="000D4B8E">
        <w:rPr>
          <w:szCs w:val="22"/>
        </w:rPr>
        <w:t>Although similar in terms of overall budget impact</w:t>
      </w:r>
      <w:r w:rsidR="00FB0C33" w:rsidRPr="000D4B8E">
        <w:rPr>
          <w:szCs w:val="22"/>
        </w:rPr>
        <w:t>,</w:t>
      </w:r>
      <w:r w:rsidRPr="000D4B8E">
        <w:rPr>
          <w:szCs w:val="22"/>
        </w:rPr>
        <w:t xml:space="preserve"> there were major differences in the utilisation estimates with the current model suggesting a much larger overall market size for familial hypercholesterolaemia (based on an epidemiolog</w:t>
      </w:r>
      <w:r w:rsidR="00213FCC" w:rsidRPr="000D4B8E">
        <w:rPr>
          <w:szCs w:val="22"/>
        </w:rPr>
        <w:t>ical</w:t>
      </w:r>
      <w:r w:rsidRPr="000D4B8E">
        <w:rPr>
          <w:szCs w:val="22"/>
        </w:rPr>
        <w:t xml:space="preserve"> vs. market share approach) which was offset by a more restrictive listing in the current re-submission compared to the previous March 2015 submission.</w:t>
      </w:r>
    </w:p>
    <w:p w:rsidR="00800602" w:rsidRPr="000D4B8E" w:rsidRDefault="00800602" w:rsidP="00800602">
      <w:pPr>
        <w:pStyle w:val="ListParagraph"/>
        <w:widowControl/>
        <w:rPr>
          <w:szCs w:val="22"/>
        </w:rPr>
      </w:pPr>
    </w:p>
    <w:p w:rsidR="00800602" w:rsidRPr="000D4B8E" w:rsidRDefault="00800602" w:rsidP="00800602">
      <w:pPr>
        <w:pStyle w:val="ListParagraph"/>
        <w:numPr>
          <w:ilvl w:val="1"/>
          <w:numId w:val="4"/>
        </w:numPr>
        <w:rPr>
          <w:szCs w:val="22"/>
        </w:rPr>
      </w:pPr>
      <w:r w:rsidRPr="000D4B8E">
        <w:rPr>
          <w:szCs w:val="22"/>
        </w:rPr>
        <w:t xml:space="preserve">There is potential for </w:t>
      </w:r>
      <w:r w:rsidR="003C3A62">
        <w:rPr>
          <w:szCs w:val="22"/>
        </w:rPr>
        <w:t xml:space="preserve">use of </w:t>
      </w:r>
      <w:r w:rsidRPr="003C3A62">
        <w:rPr>
          <w:szCs w:val="22"/>
        </w:rPr>
        <w:t>evolocumab outside the requested indication in patients not achieving treatment goals with existing therapy but who do not satisfy the proposed clinical criteria for evolocumab. This risk may be partially mitigated by the use of Authority Required restrictions, specialist prescribers and Risk Share Arrangements.</w:t>
      </w:r>
    </w:p>
    <w:p w:rsidR="00800602" w:rsidRPr="000D4B8E" w:rsidRDefault="00800602" w:rsidP="00800602">
      <w:pPr>
        <w:widowControl/>
        <w:rPr>
          <w:szCs w:val="22"/>
        </w:rPr>
      </w:pPr>
    </w:p>
    <w:p w:rsidR="00800602" w:rsidRPr="00061C45" w:rsidRDefault="00800602" w:rsidP="00FA0151">
      <w:pPr>
        <w:pStyle w:val="Heading2"/>
        <w:rPr>
          <w:szCs w:val="22"/>
        </w:rPr>
      </w:pPr>
      <w:bookmarkStart w:id="14" w:name="_Toc441052826"/>
      <w:r w:rsidRPr="00061C45">
        <w:t>Financial Management – Risk Sharing Arrangements</w:t>
      </w:r>
      <w:bookmarkEnd w:id="14"/>
    </w:p>
    <w:p w:rsidR="00800602" w:rsidRPr="000D4B8E" w:rsidRDefault="00800602" w:rsidP="00800602">
      <w:pPr>
        <w:widowControl/>
        <w:rPr>
          <w:szCs w:val="22"/>
        </w:rPr>
      </w:pPr>
    </w:p>
    <w:p w:rsidR="00800602" w:rsidRPr="000D4B8E" w:rsidRDefault="00800602" w:rsidP="00800602">
      <w:pPr>
        <w:pStyle w:val="ListParagraph"/>
        <w:widowControl/>
        <w:numPr>
          <w:ilvl w:val="1"/>
          <w:numId w:val="4"/>
        </w:numPr>
        <w:rPr>
          <w:szCs w:val="22"/>
        </w:rPr>
      </w:pPr>
      <w:r w:rsidRPr="000D4B8E">
        <w:rPr>
          <w:szCs w:val="22"/>
        </w:rPr>
        <w:t xml:space="preserve">The sponsor expressed a willingness to enter into a </w:t>
      </w:r>
      <w:r w:rsidR="003C3A62">
        <w:rPr>
          <w:szCs w:val="22"/>
        </w:rPr>
        <w:t>R</w:t>
      </w:r>
      <w:r w:rsidR="003C3A62" w:rsidRPr="003C3A62">
        <w:rPr>
          <w:szCs w:val="22"/>
        </w:rPr>
        <w:t xml:space="preserve">isk </w:t>
      </w:r>
      <w:r w:rsidR="003C3A62">
        <w:rPr>
          <w:szCs w:val="22"/>
        </w:rPr>
        <w:t>S</w:t>
      </w:r>
      <w:r w:rsidR="003C3A62" w:rsidRPr="003C3A62">
        <w:rPr>
          <w:szCs w:val="22"/>
        </w:rPr>
        <w:t xml:space="preserve">hare </w:t>
      </w:r>
      <w:r w:rsidR="003C3A62">
        <w:rPr>
          <w:szCs w:val="22"/>
        </w:rPr>
        <w:t>A</w:t>
      </w:r>
      <w:r w:rsidR="003C3A62" w:rsidRPr="003C3A62">
        <w:rPr>
          <w:szCs w:val="22"/>
        </w:rPr>
        <w:t xml:space="preserve">rrangement </w:t>
      </w:r>
      <w:r w:rsidRPr="003C3A62">
        <w:rPr>
          <w:szCs w:val="22"/>
        </w:rPr>
        <w:t xml:space="preserve">to address the financial uncertainty associated with the PBS listing of evolocumab. </w:t>
      </w:r>
    </w:p>
    <w:p w:rsidR="00800602" w:rsidRPr="000D4B8E" w:rsidRDefault="00800602" w:rsidP="00800602">
      <w:pPr>
        <w:pStyle w:val="ListParagraph"/>
        <w:widowControl/>
        <w:rPr>
          <w:szCs w:val="22"/>
        </w:rPr>
      </w:pPr>
    </w:p>
    <w:p w:rsidR="00800602" w:rsidRPr="000D4B8E" w:rsidRDefault="00800602" w:rsidP="00800602">
      <w:pPr>
        <w:pStyle w:val="ListParagraph"/>
        <w:widowControl/>
        <w:numPr>
          <w:ilvl w:val="1"/>
          <w:numId w:val="4"/>
        </w:numPr>
        <w:rPr>
          <w:szCs w:val="22"/>
        </w:rPr>
      </w:pPr>
      <w:r w:rsidRPr="000D4B8E">
        <w:rPr>
          <w:szCs w:val="22"/>
        </w:rPr>
        <w:t xml:space="preserve">The sponsor requested a </w:t>
      </w:r>
      <w:r w:rsidR="003C3A62">
        <w:rPr>
          <w:szCs w:val="22"/>
        </w:rPr>
        <w:t>S</w:t>
      </w:r>
      <w:r w:rsidR="003C3A62" w:rsidRPr="003C3A62">
        <w:rPr>
          <w:szCs w:val="22"/>
        </w:rPr>
        <w:t xml:space="preserve">pecial </w:t>
      </w:r>
      <w:r w:rsidR="003C3A62">
        <w:rPr>
          <w:szCs w:val="22"/>
        </w:rPr>
        <w:t>P</w:t>
      </w:r>
      <w:r w:rsidR="003C3A62" w:rsidRPr="003C3A62">
        <w:rPr>
          <w:szCs w:val="22"/>
        </w:rPr>
        <w:t xml:space="preserve">ricing </w:t>
      </w:r>
      <w:r w:rsidR="003C3A62">
        <w:rPr>
          <w:szCs w:val="22"/>
        </w:rPr>
        <w:t>A</w:t>
      </w:r>
      <w:r w:rsidR="003C3A62" w:rsidRPr="003C3A62">
        <w:rPr>
          <w:szCs w:val="22"/>
        </w:rPr>
        <w:t>rrangement</w:t>
      </w:r>
      <w:r w:rsidRPr="000D4B8E">
        <w:rPr>
          <w:szCs w:val="22"/>
        </w:rPr>
        <w:t xml:space="preserve">, where the sponsor would provide a confidential </w:t>
      </w:r>
      <w:r w:rsidR="00524E3E">
        <w:rPr>
          <w:noProof/>
          <w:color w:val="000000"/>
          <w:szCs w:val="22"/>
          <w:highlight w:val="black"/>
        </w:rPr>
        <w:t>''''''''''</w:t>
      </w:r>
      <w:r w:rsidRPr="000D4B8E">
        <w:rPr>
          <w:szCs w:val="22"/>
        </w:rPr>
        <w:t>% rebate based on total Commonwealth expenditure.</w:t>
      </w:r>
    </w:p>
    <w:p w:rsidR="00F00801" w:rsidRPr="000D4B8E" w:rsidRDefault="00F00801" w:rsidP="00F00801">
      <w:pPr>
        <w:contextualSpacing/>
        <w:rPr>
          <w:bCs/>
          <w:szCs w:val="22"/>
        </w:rPr>
      </w:pPr>
    </w:p>
    <w:p w:rsidR="00B45B06" w:rsidRPr="000D4B8E" w:rsidRDefault="003958BB" w:rsidP="00B45B06">
      <w:pPr>
        <w:pStyle w:val="ListParagraph"/>
        <w:ind w:left="709"/>
        <w:rPr>
          <w:rFonts w:cs="Times New Roman"/>
          <w:i/>
          <w:snapToGrid/>
          <w:szCs w:val="22"/>
          <w:lang w:eastAsia="en-AU"/>
        </w:rPr>
      </w:pPr>
      <w:r w:rsidRPr="000D4B8E">
        <w:rPr>
          <w:rFonts w:cs="Times New Roman"/>
          <w:i/>
          <w:snapToGrid/>
          <w:szCs w:val="22"/>
          <w:lang w:eastAsia="en-AU"/>
        </w:rPr>
        <w:t>For more details on PBAC’s view, see section 7 “PBAC outcome”</w:t>
      </w:r>
    </w:p>
    <w:p w:rsidR="003958BB" w:rsidRPr="000D4B8E" w:rsidRDefault="003958BB" w:rsidP="00B45B06">
      <w:pPr>
        <w:pStyle w:val="ListParagraph"/>
        <w:ind w:left="709"/>
        <w:rPr>
          <w:rFonts w:cs="Times New Roman"/>
          <w:i/>
          <w:snapToGrid/>
          <w:szCs w:val="22"/>
          <w:lang w:eastAsia="en-AU"/>
        </w:rPr>
      </w:pPr>
    </w:p>
    <w:p w:rsidR="003958BB" w:rsidRPr="000D4B8E" w:rsidRDefault="003958BB" w:rsidP="00B45B06">
      <w:pPr>
        <w:pStyle w:val="ListParagraph"/>
        <w:ind w:left="709"/>
        <w:rPr>
          <w:i/>
          <w:szCs w:val="22"/>
        </w:rPr>
      </w:pPr>
    </w:p>
    <w:p w:rsidR="00B45B06" w:rsidRPr="000D4B8E" w:rsidRDefault="00B45B06" w:rsidP="00FA0151">
      <w:pPr>
        <w:pStyle w:val="Heading1"/>
      </w:pPr>
      <w:r w:rsidRPr="000D4B8E">
        <w:t>PBAC Outcome</w:t>
      </w:r>
    </w:p>
    <w:p w:rsidR="003B7144" w:rsidRPr="003C3A62" w:rsidRDefault="003B7144" w:rsidP="00B90C21">
      <w:pPr>
        <w:widowControl/>
        <w:spacing w:after="120"/>
        <w:contextualSpacing/>
        <w:jc w:val="left"/>
        <w:rPr>
          <w:bCs/>
          <w:szCs w:val="22"/>
        </w:rPr>
      </w:pPr>
    </w:p>
    <w:p w:rsidR="00C06B03" w:rsidRPr="003C3A62" w:rsidRDefault="00B45B06" w:rsidP="00A817D3">
      <w:pPr>
        <w:widowControl/>
        <w:numPr>
          <w:ilvl w:val="1"/>
          <w:numId w:val="4"/>
        </w:numPr>
        <w:spacing w:after="120"/>
        <w:contextualSpacing/>
        <w:rPr>
          <w:bCs/>
          <w:szCs w:val="22"/>
        </w:rPr>
      </w:pPr>
      <w:r w:rsidRPr="003C3A62">
        <w:rPr>
          <w:bCs/>
          <w:szCs w:val="22"/>
        </w:rPr>
        <w:t xml:space="preserve">The PBAC recommended the listing of </w:t>
      </w:r>
      <w:r w:rsidR="003958BB" w:rsidRPr="003C3A62">
        <w:rPr>
          <w:bCs/>
          <w:szCs w:val="22"/>
        </w:rPr>
        <w:t>evolocumab</w:t>
      </w:r>
      <w:r w:rsidRPr="003C3A62">
        <w:rPr>
          <w:bCs/>
          <w:szCs w:val="22"/>
        </w:rPr>
        <w:t xml:space="preserve">, </w:t>
      </w:r>
      <w:r w:rsidR="00CB5CCE" w:rsidRPr="003C3A62">
        <w:rPr>
          <w:bCs/>
          <w:szCs w:val="22"/>
        </w:rPr>
        <w:t xml:space="preserve">under Section 85 Authority Required, </w:t>
      </w:r>
      <w:r w:rsidR="003B7144" w:rsidRPr="003C3A62">
        <w:rPr>
          <w:bCs/>
          <w:szCs w:val="22"/>
        </w:rPr>
        <w:t>for the homozygous familial h</w:t>
      </w:r>
      <w:r w:rsidR="005F29D3" w:rsidRPr="003C3A62">
        <w:rPr>
          <w:bCs/>
          <w:szCs w:val="22"/>
        </w:rPr>
        <w:t xml:space="preserve">ypercholesterolaemia population </w:t>
      </w:r>
      <w:r w:rsidR="003B7144" w:rsidRPr="003C3A62">
        <w:rPr>
          <w:bCs/>
          <w:szCs w:val="22"/>
        </w:rPr>
        <w:t xml:space="preserve">(but not the broader heterozygous familial hypercholesterolaemia population). </w:t>
      </w:r>
      <w:r w:rsidR="00532891" w:rsidRPr="003C3A62">
        <w:rPr>
          <w:bCs/>
          <w:szCs w:val="22"/>
        </w:rPr>
        <w:t>In making this recommendation, the PBAC considered that the homozygous FH population represent a small, definable, patient group, in whom there is a high level of clinical need.</w:t>
      </w:r>
      <w:r w:rsidR="00C06B03" w:rsidRPr="003C3A62">
        <w:rPr>
          <w:bCs/>
          <w:szCs w:val="22"/>
        </w:rPr>
        <w:t xml:space="preserve"> </w:t>
      </w:r>
    </w:p>
    <w:p w:rsidR="00C06B03" w:rsidRDefault="00C06B03" w:rsidP="00A817D3">
      <w:pPr>
        <w:widowControl/>
        <w:spacing w:after="120"/>
        <w:ind w:left="720"/>
        <w:contextualSpacing/>
        <w:rPr>
          <w:bCs/>
          <w:szCs w:val="22"/>
        </w:rPr>
      </w:pPr>
    </w:p>
    <w:p w:rsidR="00C76FB4" w:rsidRPr="00061C45" w:rsidRDefault="00C76FB4" w:rsidP="00A817D3">
      <w:pPr>
        <w:pStyle w:val="Heading2"/>
      </w:pPr>
      <w:r w:rsidRPr="00061C45">
        <w:t>HETEROZYGOUS</w:t>
      </w:r>
    </w:p>
    <w:p w:rsidR="00C76FB4" w:rsidRPr="003C3A62" w:rsidRDefault="00C76FB4" w:rsidP="00A817D3">
      <w:pPr>
        <w:widowControl/>
        <w:spacing w:after="120"/>
        <w:ind w:left="720"/>
        <w:contextualSpacing/>
        <w:rPr>
          <w:bCs/>
          <w:szCs w:val="22"/>
        </w:rPr>
      </w:pPr>
    </w:p>
    <w:p w:rsidR="00C76FB4" w:rsidRDefault="00C76FB4" w:rsidP="00A817D3">
      <w:pPr>
        <w:widowControl/>
        <w:numPr>
          <w:ilvl w:val="1"/>
          <w:numId w:val="4"/>
        </w:numPr>
        <w:spacing w:after="120"/>
        <w:contextualSpacing/>
        <w:rPr>
          <w:bCs/>
          <w:szCs w:val="22"/>
        </w:rPr>
      </w:pPr>
      <w:r w:rsidRPr="003C3A62">
        <w:rPr>
          <w:bCs/>
          <w:szCs w:val="22"/>
        </w:rPr>
        <w:t xml:space="preserve">The PBAC </w:t>
      </w:r>
      <w:r>
        <w:rPr>
          <w:bCs/>
          <w:szCs w:val="22"/>
        </w:rPr>
        <w:t>agreed</w:t>
      </w:r>
      <w:r w:rsidRPr="003C3A62">
        <w:rPr>
          <w:bCs/>
          <w:szCs w:val="22"/>
        </w:rPr>
        <w:t xml:space="preserve"> that the proposed restriction adequately identified patients at high risk of CAD.</w:t>
      </w:r>
    </w:p>
    <w:p w:rsidR="00C76FB4" w:rsidRPr="003C3A62" w:rsidRDefault="00C76FB4" w:rsidP="00A817D3">
      <w:pPr>
        <w:widowControl/>
        <w:spacing w:after="120"/>
        <w:ind w:left="720"/>
        <w:contextualSpacing/>
        <w:rPr>
          <w:bCs/>
          <w:szCs w:val="22"/>
        </w:rPr>
      </w:pPr>
    </w:p>
    <w:p w:rsidR="00C76FB4" w:rsidRDefault="00C76FB4" w:rsidP="00A817D3">
      <w:pPr>
        <w:widowControl/>
        <w:numPr>
          <w:ilvl w:val="1"/>
          <w:numId w:val="4"/>
        </w:numPr>
        <w:spacing w:after="120"/>
        <w:contextualSpacing/>
        <w:rPr>
          <w:bCs/>
          <w:szCs w:val="22"/>
        </w:rPr>
      </w:pPr>
      <w:r w:rsidRPr="003C3A62">
        <w:rPr>
          <w:bCs/>
          <w:szCs w:val="22"/>
        </w:rPr>
        <w:t xml:space="preserve">The PBAC </w:t>
      </w:r>
      <w:r w:rsidR="0003076D">
        <w:rPr>
          <w:bCs/>
          <w:szCs w:val="22"/>
        </w:rPr>
        <w:t>accepted</w:t>
      </w:r>
      <w:r>
        <w:rPr>
          <w:bCs/>
          <w:szCs w:val="22"/>
        </w:rPr>
        <w:t xml:space="preserve"> </w:t>
      </w:r>
      <w:r w:rsidRPr="003C3A62">
        <w:rPr>
          <w:bCs/>
          <w:szCs w:val="22"/>
        </w:rPr>
        <w:t xml:space="preserve">both ezetimibe and placebo </w:t>
      </w:r>
      <w:r w:rsidR="0003076D">
        <w:rPr>
          <w:bCs/>
          <w:szCs w:val="22"/>
        </w:rPr>
        <w:t>as appropriate</w:t>
      </w:r>
      <w:r>
        <w:rPr>
          <w:bCs/>
          <w:szCs w:val="22"/>
        </w:rPr>
        <w:t xml:space="preserve"> comparators in the heterozygous FH population.</w:t>
      </w:r>
    </w:p>
    <w:p w:rsidR="00C76FB4" w:rsidRPr="0048372D" w:rsidRDefault="00C76FB4" w:rsidP="00C76FB4">
      <w:pPr>
        <w:rPr>
          <w:bCs/>
          <w:szCs w:val="22"/>
        </w:rPr>
      </w:pPr>
    </w:p>
    <w:p w:rsidR="00C76FB4" w:rsidRDefault="00C76FB4" w:rsidP="00A817D3">
      <w:pPr>
        <w:pStyle w:val="ListParagraph"/>
        <w:widowControl/>
        <w:numPr>
          <w:ilvl w:val="1"/>
          <w:numId w:val="4"/>
        </w:numPr>
        <w:spacing w:after="120"/>
        <w:rPr>
          <w:bCs/>
          <w:szCs w:val="22"/>
        </w:rPr>
      </w:pPr>
      <w:r w:rsidRPr="003C3A62">
        <w:rPr>
          <w:bCs/>
          <w:szCs w:val="22"/>
        </w:rPr>
        <w:t>The PBAC accepted the clinical trial evidence that demonstrated a statistically significant decrease in LDL outcomes when treated with evolocumab compared to ezetimibe or placebo</w:t>
      </w:r>
      <w:r>
        <w:rPr>
          <w:bCs/>
          <w:szCs w:val="22"/>
        </w:rPr>
        <w:t>,</w:t>
      </w:r>
      <w:r w:rsidRPr="003C3A62">
        <w:rPr>
          <w:bCs/>
          <w:szCs w:val="22"/>
        </w:rPr>
        <w:t xml:space="preserve"> but </w:t>
      </w:r>
      <w:r>
        <w:rPr>
          <w:bCs/>
          <w:szCs w:val="22"/>
        </w:rPr>
        <w:t xml:space="preserve">considered </w:t>
      </w:r>
      <w:r w:rsidRPr="003C3A62">
        <w:rPr>
          <w:bCs/>
          <w:szCs w:val="22"/>
        </w:rPr>
        <w:t>that the translation of these changes to outcomes</w:t>
      </w:r>
      <w:r>
        <w:rPr>
          <w:bCs/>
          <w:szCs w:val="22"/>
        </w:rPr>
        <w:t xml:space="preserve"> was </w:t>
      </w:r>
      <w:r w:rsidRPr="003C3A62">
        <w:rPr>
          <w:bCs/>
          <w:szCs w:val="22"/>
        </w:rPr>
        <w:t>important for the assessment of the heterozygous population. The PBAC noted the Sponsor’s advice that the FOURIER study is expected to report mortality outcomes towards the end of 2016.</w:t>
      </w:r>
    </w:p>
    <w:p w:rsidR="0048372D" w:rsidRPr="0048372D" w:rsidRDefault="0048372D" w:rsidP="00A817D3">
      <w:pPr>
        <w:widowControl/>
        <w:spacing w:after="120"/>
        <w:rPr>
          <w:bCs/>
          <w:szCs w:val="22"/>
        </w:rPr>
      </w:pPr>
    </w:p>
    <w:p w:rsidR="00C76FB4" w:rsidRDefault="00C76FB4" w:rsidP="00A817D3">
      <w:pPr>
        <w:pStyle w:val="ListParagraph"/>
        <w:widowControl/>
        <w:numPr>
          <w:ilvl w:val="1"/>
          <w:numId w:val="4"/>
        </w:numPr>
        <w:spacing w:after="120"/>
        <w:rPr>
          <w:bCs/>
          <w:szCs w:val="22"/>
        </w:rPr>
      </w:pPr>
      <w:r w:rsidRPr="003C3A62">
        <w:rPr>
          <w:bCs/>
          <w:szCs w:val="22"/>
        </w:rPr>
        <w:t>The PBAC noted that the data for comparative harms were highly variable between trials and did not consistently favour evolocumab, ezetimibe or placebo. There was also no apparent difference in the incidence of adverse events with either fortnightly or monthly dosing of evolocumab.</w:t>
      </w:r>
    </w:p>
    <w:p w:rsidR="00C76FB4" w:rsidRDefault="00C76FB4" w:rsidP="00A817D3">
      <w:pPr>
        <w:pStyle w:val="ListParagraph"/>
        <w:widowControl/>
        <w:spacing w:after="120"/>
        <w:rPr>
          <w:bCs/>
          <w:szCs w:val="22"/>
        </w:rPr>
      </w:pPr>
    </w:p>
    <w:p w:rsidR="00C76FB4" w:rsidRDefault="00C76FB4" w:rsidP="00A817D3">
      <w:pPr>
        <w:widowControl/>
        <w:numPr>
          <w:ilvl w:val="1"/>
          <w:numId w:val="4"/>
        </w:numPr>
        <w:spacing w:after="120"/>
        <w:contextualSpacing/>
        <w:rPr>
          <w:bCs/>
          <w:szCs w:val="22"/>
        </w:rPr>
      </w:pPr>
      <w:r w:rsidRPr="003C3A62">
        <w:rPr>
          <w:bCs/>
          <w:szCs w:val="22"/>
        </w:rPr>
        <w:t>The PBAC noted that the issues raised by the ESC concerning the cost</w:t>
      </w:r>
      <w:r>
        <w:rPr>
          <w:bCs/>
          <w:szCs w:val="22"/>
        </w:rPr>
        <w:t>-</w:t>
      </w:r>
      <w:r w:rsidRPr="003C3A62">
        <w:rPr>
          <w:bCs/>
          <w:szCs w:val="22"/>
        </w:rPr>
        <w:t xml:space="preserve">effectiveness of evolocumab stemmed largely from the uncertainty associated with estimating cardiovascular risk from the available data. These issues may be resolved when mortality data become available. Overall, the PBAC considered that the cost-effectiveness of </w:t>
      </w:r>
      <w:r w:rsidR="0003076D">
        <w:rPr>
          <w:bCs/>
          <w:szCs w:val="22"/>
        </w:rPr>
        <w:t xml:space="preserve">evolocumab when used to treat </w:t>
      </w:r>
      <w:r w:rsidRPr="003C3A62">
        <w:rPr>
          <w:bCs/>
          <w:szCs w:val="22"/>
        </w:rPr>
        <w:t>heterozygous FH was unacceptably high and uncertain, and that further clinical evidence for this population was required.</w:t>
      </w:r>
    </w:p>
    <w:p w:rsidR="000A1CF4" w:rsidRPr="000D4B8E" w:rsidRDefault="000A1CF4" w:rsidP="00A817D3">
      <w:pPr>
        <w:pStyle w:val="ListParagraph"/>
        <w:rPr>
          <w:szCs w:val="22"/>
        </w:rPr>
      </w:pPr>
    </w:p>
    <w:p w:rsidR="000A1CF4" w:rsidRPr="003C3A62" w:rsidRDefault="000A1CF4" w:rsidP="00A817D3">
      <w:pPr>
        <w:widowControl/>
        <w:numPr>
          <w:ilvl w:val="1"/>
          <w:numId w:val="4"/>
        </w:numPr>
        <w:spacing w:after="120"/>
        <w:contextualSpacing/>
        <w:rPr>
          <w:szCs w:val="22"/>
        </w:rPr>
      </w:pPr>
      <w:r w:rsidRPr="000D4B8E">
        <w:rPr>
          <w:szCs w:val="22"/>
        </w:rPr>
        <w:t>The PBAC noted that the estimated cost of</w:t>
      </w:r>
      <w:r>
        <w:rPr>
          <w:szCs w:val="22"/>
        </w:rPr>
        <w:t xml:space="preserve"> listing evolocumab on the PBS wa</w:t>
      </w:r>
      <w:r w:rsidRPr="000D4B8E">
        <w:rPr>
          <w:szCs w:val="22"/>
        </w:rPr>
        <w:t>s highly uncertain due to assumptions regarding the proportion of patients diagnosed with FH, the proportion of patients eligible for treatment under the proposed restriction and likely treatment adherence in clinical practice.</w:t>
      </w:r>
    </w:p>
    <w:p w:rsidR="00C76FB4" w:rsidRDefault="00C76FB4" w:rsidP="00C76FB4">
      <w:pPr>
        <w:widowControl/>
        <w:spacing w:after="120"/>
        <w:ind w:left="720"/>
        <w:contextualSpacing/>
        <w:jc w:val="left"/>
        <w:rPr>
          <w:bCs/>
          <w:szCs w:val="22"/>
        </w:rPr>
      </w:pPr>
    </w:p>
    <w:p w:rsidR="00C76FB4" w:rsidRPr="00061C45" w:rsidRDefault="00C76FB4" w:rsidP="00FA0151">
      <w:pPr>
        <w:pStyle w:val="Heading2"/>
      </w:pPr>
      <w:r w:rsidRPr="00061C45">
        <w:t>HOMOZYGOUS</w:t>
      </w:r>
    </w:p>
    <w:p w:rsidR="0048372D" w:rsidRPr="0048372D" w:rsidRDefault="0048372D" w:rsidP="00C76FB4">
      <w:pPr>
        <w:widowControl/>
        <w:spacing w:after="120"/>
        <w:contextualSpacing/>
        <w:jc w:val="left"/>
        <w:rPr>
          <w:bCs/>
          <w:szCs w:val="22"/>
        </w:rPr>
      </w:pPr>
    </w:p>
    <w:p w:rsidR="00620F18" w:rsidRDefault="00620F18" w:rsidP="00A817D3">
      <w:pPr>
        <w:widowControl/>
        <w:numPr>
          <w:ilvl w:val="1"/>
          <w:numId w:val="4"/>
        </w:numPr>
        <w:spacing w:after="120"/>
        <w:contextualSpacing/>
        <w:rPr>
          <w:bCs/>
          <w:szCs w:val="22"/>
        </w:rPr>
      </w:pPr>
      <w:r w:rsidRPr="00620F18">
        <w:rPr>
          <w:bCs/>
          <w:szCs w:val="22"/>
        </w:rPr>
        <w:t xml:space="preserve">The PBAC considered that the restrictions for the </w:t>
      </w:r>
      <w:r>
        <w:rPr>
          <w:bCs/>
          <w:szCs w:val="22"/>
        </w:rPr>
        <w:t>homozygous group to be</w:t>
      </w:r>
      <w:r w:rsidRPr="00620F18">
        <w:rPr>
          <w:bCs/>
          <w:szCs w:val="22"/>
        </w:rPr>
        <w:t xml:space="preserve"> complex and will require consultation with the Restrictions Working Group.</w:t>
      </w:r>
    </w:p>
    <w:p w:rsidR="00620F18" w:rsidRDefault="00620F18" w:rsidP="00A817D3">
      <w:pPr>
        <w:widowControl/>
        <w:spacing w:after="120"/>
        <w:ind w:left="720"/>
        <w:contextualSpacing/>
        <w:rPr>
          <w:bCs/>
          <w:szCs w:val="22"/>
        </w:rPr>
      </w:pPr>
    </w:p>
    <w:p w:rsidR="00C76FB4" w:rsidRDefault="0003076D" w:rsidP="00A817D3">
      <w:pPr>
        <w:widowControl/>
        <w:numPr>
          <w:ilvl w:val="1"/>
          <w:numId w:val="4"/>
        </w:numPr>
        <w:spacing w:after="120"/>
        <w:contextualSpacing/>
        <w:rPr>
          <w:bCs/>
          <w:szCs w:val="22"/>
        </w:rPr>
      </w:pPr>
      <w:r>
        <w:rPr>
          <w:bCs/>
          <w:szCs w:val="22"/>
        </w:rPr>
        <w:t>In regard to the recommended listing for the treatment of patients with homozygous FH, t</w:t>
      </w:r>
      <w:r w:rsidR="00C76FB4" w:rsidRPr="003C3A62">
        <w:rPr>
          <w:bCs/>
          <w:szCs w:val="22"/>
        </w:rPr>
        <w:t>he PBAC considered that the restriction should include the requirement for a diagnosis of homozygous FH, as defined either by a score of seven (7) or more in the Dutch Lipid Clinic criteria or by genetic test, prior to treatment.</w:t>
      </w:r>
      <w:bookmarkStart w:id="15" w:name="_GoBack"/>
      <w:bookmarkEnd w:id="15"/>
    </w:p>
    <w:p w:rsidR="00620F18" w:rsidRDefault="00620F18" w:rsidP="00A817D3">
      <w:pPr>
        <w:widowControl/>
        <w:spacing w:after="120"/>
        <w:ind w:left="720"/>
        <w:contextualSpacing/>
        <w:rPr>
          <w:bCs/>
          <w:szCs w:val="22"/>
        </w:rPr>
      </w:pPr>
    </w:p>
    <w:p w:rsidR="00C76FB4" w:rsidRDefault="00C76FB4" w:rsidP="00A817D3">
      <w:pPr>
        <w:widowControl/>
        <w:spacing w:after="120"/>
        <w:ind w:left="720"/>
        <w:contextualSpacing/>
        <w:rPr>
          <w:bCs/>
          <w:szCs w:val="22"/>
        </w:rPr>
      </w:pPr>
    </w:p>
    <w:p w:rsidR="00C76FB4" w:rsidRDefault="0003076D" w:rsidP="00A817D3">
      <w:pPr>
        <w:widowControl/>
        <w:numPr>
          <w:ilvl w:val="1"/>
          <w:numId w:val="4"/>
        </w:numPr>
        <w:spacing w:after="120"/>
        <w:contextualSpacing/>
        <w:rPr>
          <w:bCs/>
          <w:szCs w:val="22"/>
        </w:rPr>
      </w:pPr>
      <w:r>
        <w:rPr>
          <w:bCs/>
          <w:szCs w:val="22"/>
        </w:rPr>
        <w:t>The PBAC considered that t</w:t>
      </w:r>
      <w:r w:rsidR="00C76FB4">
        <w:rPr>
          <w:bCs/>
          <w:szCs w:val="22"/>
        </w:rPr>
        <w:t>he most relevant comparator in the homozygous FH population was placebo, as evolocumab is likely to be used as add-on treatment in this population.</w:t>
      </w:r>
    </w:p>
    <w:p w:rsidR="00C76FB4" w:rsidRDefault="00C76FB4" w:rsidP="00A817D3">
      <w:pPr>
        <w:pStyle w:val="ListParagraph"/>
        <w:rPr>
          <w:bCs/>
          <w:szCs w:val="22"/>
        </w:rPr>
      </w:pPr>
    </w:p>
    <w:p w:rsidR="00C76FB4" w:rsidRDefault="000A1CF4" w:rsidP="00A817D3">
      <w:pPr>
        <w:widowControl/>
        <w:numPr>
          <w:ilvl w:val="1"/>
          <w:numId w:val="4"/>
        </w:numPr>
        <w:spacing w:after="120"/>
        <w:contextualSpacing/>
        <w:rPr>
          <w:bCs/>
          <w:szCs w:val="22"/>
        </w:rPr>
      </w:pPr>
      <w:r w:rsidRPr="003C3A62">
        <w:rPr>
          <w:bCs/>
          <w:szCs w:val="22"/>
        </w:rPr>
        <w:t xml:space="preserve">The PBAC accepted the clinical trial evidence that demonstrated a statistically significant decrease in LDL outcomes </w:t>
      </w:r>
      <w:r>
        <w:rPr>
          <w:bCs/>
          <w:szCs w:val="22"/>
        </w:rPr>
        <w:t>for homozygous FH patients</w:t>
      </w:r>
      <w:r w:rsidRPr="003C3A62">
        <w:rPr>
          <w:bCs/>
          <w:szCs w:val="22"/>
        </w:rPr>
        <w:t xml:space="preserve"> treated with evolocumab</w:t>
      </w:r>
      <w:r>
        <w:rPr>
          <w:bCs/>
          <w:szCs w:val="22"/>
        </w:rPr>
        <w:t>.</w:t>
      </w:r>
      <w:r w:rsidRPr="003C3A62">
        <w:rPr>
          <w:bCs/>
          <w:szCs w:val="22"/>
        </w:rPr>
        <w:t xml:space="preserve"> </w:t>
      </w:r>
      <w:r w:rsidR="00C76FB4" w:rsidRPr="003C3A62">
        <w:rPr>
          <w:bCs/>
          <w:szCs w:val="22"/>
        </w:rPr>
        <w:t>The PBAC considered that reduction of LDL was a clinically meaningful outcome f</w:t>
      </w:r>
      <w:r w:rsidR="00C76FB4">
        <w:rPr>
          <w:bCs/>
          <w:szCs w:val="22"/>
        </w:rPr>
        <w:t>or the homozygous FH p</w:t>
      </w:r>
      <w:r w:rsidR="0003076D">
        <w:rPr>
          <w:bCs/>
          <w:szCs w:val="22"/>
        </w:rPr>
        <w:t>opulation.</w:t>
      </w:r>
    </w:p>
    <w:p w:rsidR="00A55D67" w:rsidRDefault="00A55D67" w:rsidP="00A817D3">
      <w:pPr>
        <w:pStyle w:val="ListParagraph"/>
        <w:rPr>
          <w:bCs/>
          <w:szCs w:val="22"/>
        </w:rPr>
      </w:pPr>
    </w:p>
    <w:p w:rsidR="00A55D67" w:rsidRDefault="00A55D67" w:rsidP="00A817D3">
      <w:pPr>
        <w:widowControl/>
        <w:numPr>
          <w:ilvl w:val="1"/>
          <w:numId w:val="4"/>
        </w:numPr>
        <w:spacing w:after="120"/>
        <w:contextualSpacing/>
        <w:rPr>
          <w:bCs/>
          <w:szCs w:val="22"/>
        </w:rPr>
      </w:pPr>
      <w:r>
        <w:rPr>
          <w:bCs/>
          <w:szCs w:val="22"/>
        </w:rPr>
        <w:t>The PBAC noted th</w:t>
      </w:r>
      <w:r w:rsidR="00FB4587">
        <w:rPr>
          <w:bCs/>
          <w:szCs w:val="22"/>
        </w:rPr>
        <w:t>at</w:t>
      </w:r>
      <w:r>
        <w:rPr>
          <w:bCs/>
          <w:szCs w:val="22"/>
        </w:rPr>
        <w:t xml:space="preserve"> advice from the clinician at the hearing </w:t>
      </w:r>
      <w:r w:rsidR="00FB4587">
        <w:rPr>
          <w:bCs/>
          <w:szCs w:val="22"/>
        </w:rPr>
        <w:t xml:space="preserve">supported the submission’s claim that </w:t>
      </w:r>
      <w:r w:rsidR="00FB4587">
        <w:t xml:space="preserve">the use of evolocumab in homozygous familial </w:t>
      </w:r>
      <w:r w:rsidR="00FB4587">
        <w:lastRenderedPageBreak/>
        <w:t>hypercholesterolaemia may reduce the need for lipid apheresis in some patients.</w:t>
      </w:r>
      <w:r w:rsidR="00FB4587">
        <w:rPr>
          <w:bCs/>
          <w:szCs w:val="22"/>
        </w:rPr>
        <w:t xml:space="preserve"> Costs of lipid apheresis were not included in the cost-effectiveness model.</w:t>
      </w:r>
    </w:p>
    <w:p w:rsidR="00C76FB4" w:rsidRDefault="00C76FB4" w:rsidP="00A817D3">
      <w:pPr>
        <w:widowControl/>
        <w:spacing w:after="120"/>
        <w:ind w:left="720"/>
        <w:contextualSpacing/>
        <w:rPr>
          <w:bCs/>
          <w:szCs w:val="22"/>
        </w:rPr>
      </w:pPr>
    </w:p>
    <w:p w:rsidR="00B45B06" w:rsidRPr="003C3A62" w:rsidRDefault="003B7144" w:rsidP="00A817D3">
      <w:pPr>
        <w:widowControl/>
        <w:numPr>
          <w:ilvl w:val="1"/>
          <w:numId w:val="4"/>
        </w:numPr>
        <w:spacing w:after="120"/>
        <w:contextualSpacing/>
        <w:rPr>
          <w:bCs/>
          <w:szCs w:val="22"/>
        </w:rPr>
      </w:pPr>
      <w:r w:rsidRPr="003C3A62">
        <w:rPr>
          <w:bCs/>
          <w:szCs w:val="22"/>
        </w:rPr>
        <w:t xml:space="preserve">The PBAC </w:t>
      </w:r>
      <w:r w:rsidR="00FB4587">
        <w:rPr>
          <w:bCs/>
          <w:szCs w:val="22"/>
        </w:rPr>
        <w:t xml:space="preserve">noted that </w:t>
      </w:r>
      <w:r w:rsidR="00AF7624">
        <w:rPr>
          <w:bCs/>
          <w:szCs w:val="22"/>
        </w:rPr>
        <w:t>no</w:t>
      </w:r>
      <w:r w:rsidR="00FB4587" w:rsidRPr="00AF7624">
        <w:rPr>
          <w:szCs w:val="22"/>
        </w:rPr>
        <w:t xml:space="preserve"> economic evaluation was presented </w:t>
      </w:r>
      <w:r w:rsidR="00AF7624">
        <w:rPr>
          <w:szCs w:val="22"/>
        </w:rPr>
        <w:t xml:space="preserve">specifically </w:t>
      </w:r>
      <w:r w:rsidR="00FB4587" w:rsidRPr="00AF7624">
        <w:rPr>
          <w:szCs w:val="22"/>
        </w:rPr>
        <w:t>for the use of evolocumab in patients with homozygous familial hypercholesterolaemia</w:t>
      </w:r>
      <w:r w:rsidR="00AF7624">
        <w:rPr>
          <w:szCs w:val="22"/>
        </w:rPr>
        <w:t>. The PBAC</w:t>
      </w:r>
      <w:r w:rsidR="00FB4587" w:rsidRPr="003C3A62">
        <w:rPr>
          <w:bCs/>
          <w:szCs w:val="22"/>
        </w:rPr>
        <w:t xml:space="preserve"> </w:t>
      </w:r>
      <w:r w:rsidRPr="003C3A62">
        <w:rPr>
          <w:bCs/>
          <w:szCs w:val="22"/>
        </w:rPr>
        <w:t xml:space="preserve">considered that although the </w:t>
      </w:r>
      <w:r w:rsidR="000D4B8E" w:rsidRPr="003C3A62">
        <w:rPr>
          <w:bCs/>
          <w:szCs w:val="22"/>
        </w:rPr>
        <w:t>cost</w:t>
      </w:r>
      <w:r w:rsidR="000D4B8E">
        <w:rPr>
          <w:bCs/>
          <w:szCs w:val="22"/>
        </w:rPr>
        <w:t>-</w:t>
      </w:r>
      <w:r w:rsidRPr="003C3A62">
        <w:rPr>
          <w:bCs/>
          <w:szCs w:val="22"/>
        </w:rPr>
        <w:t>effectiveness</w:t>
      </w:r>
      <w:r w:rsidR="000A1CF4">
        <w:rPr>
          <w:bCs/>
          <w:szCs w:val="22"/>
        </w:rPr>
        <w:t xml:space="preserve"> of evolocumab</w:t>
      </w:r>
      <w:r w:rsidRPr="003C3A62">
        <w:rPr>
          <w:bCs/>
          <w:szCs w:val="22"/>
        </w:rPr>
        <w:t xml:space="preserve"> was </w:t>
      </w:r>
      <w:r w:rsidR="00C06B03" w:rsidRPr="003C3A62">
        <w:rPr>
          <w:bCs/>
          <w:szCs w:val="22"/>
        </w:rPr>
        <w:t xml:space="preserve">likely to be </w:t>
      </w:r>
      <w:r w:rsidRPr="003C3A62">
        <w:rPr>
          <w:bCs/>
          <w:szCs w:val="22"/>
        </w:rPr>
        <w:t xml:space="preserve">higher than might otherwise be considered acceptable, </w:t>
      </w:r>
      <w:r w:rsidR="002E5912" w:rsidRPr="003C3A62">
        <w:rPr>
          <w:bCs/>
          <w:szCs w:val="22"/>
        </w:rPr>
        <w:t>this was reasonable given the</w:t>
      </w:r>
      <w:r w:rsidR="00C06B03" w:rsidRPr="003C3A62">
        <w:rPr>
          <w:bCs/>
          <w:szCs w:val="22"/>
        </w:rPr>
        <w:t xml:space="preserve"> high</w:t>
      </w:r>
      <w:r w:rsidR="002E5912" w:rsidRPr="003C3A62">
        <w:rPr>
          <w:bCs/>
          <w:szCs w:val="22"/>
        </w:rPr>
        <w:t xml:space="preserve"> </w:t>
      </w:r>
      <w:r w:rsidRPr="003C3A62">
        <w:rPr>
          <w:bCs/>
          <w:szCs w:val="22"/>
        </w:rPr>
        <w:t xml:space="preserve">clinical need for those affected by homozygous familial hypercholesterolaemia. </w:t>
      </w:r>
    </w:p>
    <w:p w:rsidR="00795A95" w:rsidRPr="000D4B8E" w:rsidRDefault="00795A95" w:rsidP="00A817D3">
      <w:pPr>
        <w:pStyle w:val="ListParagraph"/>
        <w:widowControl/>
        <w:rPr>
          <w:szCs w:val="22"/>
        </w:rPr>
      </w:pPr>
    </w:p>
    <w:p w:rsidR="00532891" w:rsidRPr="006819CC" w:rsidRDefault="000A1CF4" w:rsidP="00A817D3">
      <w:pPr>
        <w:pStyle w:val="ListParagraph"/>
        <w:numPr>
          <w:ilvl w:val="1"/>
          <w:numId w:val="4"/>
        </w:numPr>
        <w:rPr>
          <w:szCs w:val="22"/>
        </w:rPr>
      </w:pPr>
      <w:r>
        <w:rPr>
          <w:bCs/>
          <w:szCs w:val="22"/>
        </w:rPr>
        <w:t xml:space="preserve">The PBAC considered that the submission’s estimates of usage in the homozygous FH population were more reliable than the </w:t>
      </w:r>
      <w:r w:rsidR="0027648F">
        <w:rPr>
          <w:bCs/>
          <w:szCs w:val="22"/>
        </w:rPr>
        <w:t xml:space="preserve">estimates for the </w:t>
      </w:r>
      <w:r>
        <w:rPr>
          <w:bCs/>
          <w:szCs w:val="22"/>
        </w:rPr>
        <w:t xml:space="preserve">heterozygous </w:t>
      </w:r>
      <w:r w:rsidR="0027648F">
        <w:rPr>
          <w:bCs/>
          <w:szCs w:val="22"/>
        </w:rPr>
        <w:t xml:space="preserve">FH population, as there are likely to be less undiagnosed homozygous patients. </w:t>
      </w:r>
      <w:r>
        <w:rPr>
          <w:bCs/>
          <w:szCs w:val="22"/>
        </w:rPr>
        <w:t>T</w:t>
      </w:r>
      <w:r w:rsidR="00532891" w:rsidRPr="003C3A62">
        <w:rPr>
          <w:bCs/>
          <w:szCs w:val="22"/>
        </w:rPr>
        <w:t>he PBAC recommended a</w:t>
      </w:r>
      <w:r w:rsidR="0027648F">
        <w:rPr>
          <w:bCs/>
          <w:szCs w:val="22"/>
        </w:rPr>
        <w:t>n</w:t>
      </w:r>
      <w:r w:rsidR="00532891" w:rsidRPr="003C3A62">
        <w:rPr>
          <w:bCs/>
          <w:szCs w:val="22"/>
        </w:rPr>
        <w:t xml:space="preserve"> RSA that should include a cap</w:t>
      </w:r>
      <w:r w:rsidR="006014EB" w:rsidRPr="003C3A62">
        <w:rPr>
          <w:bCs/>
          <w:szCs w:val="22"/>
        </w:rPr>
        <w:t>, based</w:t>
      </w:r>
      <w:r w:rsidR="00532891" w:rsidRPr="003C3A62">
        <w:rPr>
          <w:bCs/>
          <w:szCs w:val="22"/>
        </w:rPr>
        <w:t xml:space="preserve"> on the number of patients treated </w:t>
      </w:r>
      <w:r w:rsidR="006014EB" w:rsidRPr="003C3A62">
        <w:rPr>
          <w:bCs/>
          <w:szCs w:val="22"/>
        </w:rPr>
        <w:t>(</w:t>
      </w:r>
      <w:r w:rsidR="00532891" w:rsidRPr="003C3A62">
        <w:rPr>
          <w:bCs/>
          <w:szCs w:val="22"/>
        </w:rPr>
        <w:t>consistent with the estimates in the submission</w:t>
      </w:r>
      <w:r w:rsidR="002E0278">
        <w:rPr>
          <w:bCs/>
          <w:szCs w:val="22"/>
        </w:rPr>
        <w:t xml:space="preserve"> for the homozygous FH population</w:t>
      </w:r>
      <w:r w:rsidR="00532891" w:rsidRPr="003C3A62">
        <w:rPr>
          <w:bCs/>
          <w:szCs w:val="22"/>
        </w:rPr>
        <w:t xml:space="preserve">) with </w:t>
      </w:r>
      <w:r w:rsidR="00524E3E">
        <w:rPr>
          <w:bCs/>
          <w:noProof/>
          <w:color w:val="000000"/>
          <w:szCs w:val="22"/>
          <w:highlight w:val="black"/>
        </w:rPr>
        <w:t>'''''''''</w:t>
      </w:r>
      <w:r w:rsidR="00532891" w:rsidRPr="003C3A62">
        <w:rPr>
          <w:bCs/>
          <w:szCs w:val="22"/>
        </w:rPr>
        <w:t xml:space="preserve">% rebate </w:t>
      </w:r>
      <w:r w:rsidR="000D4B8E">
        <w:rPr>
          <w:bCs/>
          <w:szCs w:val="22"/>
        </w:rPr>
        <w:t xml:space="preserve">for use </w:t>
      </w:r>
      <w:r w:rsidR="006014EB" w:rsidRPr="003C3A62">
        <w:rPr>
          <w:bCs/>
          <w:szCs w:val="22"/>
        </w:rPr>
        <w:t>above the Cap in any year</w:t>
      </w:r>
      <w:r w:rsidR="00532891" w:rsidRPr="003C3A62">
        <w:rPr>
          <w:bCs/>
          <w:szCs w:val="22"/>
        </w:rPr>
        <w:t xml:space="preserve">. </w:t>
      </w:r>
    </w:p>
    <w:p w:rsidR="006819CC" w:rsidRPr="006819CC" w:rsidRDefault="006819CC" w:rsidP="00A817D3">
      <w:pPr>
        <w:pStyle w:val="ListParagraph"/>
        <w:rPr>
          <w:szCs w:val="22"/>
        </w:rPr>
      </w:pPr>
    </w:p>
    <w:p w:rsidR="006819CC" w:rsidRPr="00FE2B15" w:rsidRDefault="00FE2B15" w:rsidP="00A817D3">
      <w:pPr>
        <w:pStyle w:val="ListParagraph"/>
        <w:numPr>
          <w:ilvl w:val="1"/>
          <w:numId w:val="4"/>
        </w:numPr>
        <w:rPr>
          <w:szCs w:val="22"/>
        </w:rPr>
      </w:pPr>
      <w:r w:rsidRPr="00FE2B15">
        <w:rPr>
          <w:bCs/>
          <w:szCs w:val="22"/>
          <w:lang w:val="en-GB"/>
        </w:rPr>
        <w:t xml:space="preserve">Under Section 101(3BA) of the National Health Act 1953, the PBAC advised that </w:t>
      </w:r>
      <w:r>
        <w:rPr>
          <w:bCs/>
          <w:szCs w:val="22"/>
          <w:lang w:val="en-GB"/>
        </w:rPr>
        <w:t>evolocumab</w:t>
      </w:r>
      <w:r w:rsidRPr="00FE2B15">
        <w:rPr>
          <w:bCs/>
          <w:szCs w:val="22"/>
          <w:lang w:val="en-GB"/>
        </w:rPr>
        <w:t xml:space="preserve"> should</w:t>
      </w:r>
      <w:r>
        <w:rPr>
          <w:bCs/>
          <w:szCs w:val="22"/>
          <w:lang w:val="en-GB"/>
        </w:rPr>
        <w:t xml:space="preserve"> not</w:t>
      </w:r>
      <w:r w:rsidRPr="00FE2B15">
        <w:rPr>
          <w:bCs/>
          <w:szCs w:val="22"/>
          <w:lang w:val="en-GB"/>
        </w:rPr>
        <w:t xml:space="preserve"> be treated as interchangeable on an individual patient basis with</w:t>
      </w:r>
      <w:r>
        <w:rPr>
          <w:bCs/>
          <w:szCs w:val="22"/>
          <w:lang w:val="en-GB"/>
        </w:rPr>
        <w:t xml:space="preserve"> any other drugs.</w:t>
      </w:r>
    </w:p>
    <w:p w:rsidR="00532891" w:rsidRPr="003C3A62" w:rsidRDefault="00532891" w:rsidP="00A817D3">
      <w:pPr>
        <w:pStyle w:val="ListParagraph"/>
        <w:rPr>
          <w:szCs w:val="22"/>
        </w:rPr>
      </w:pPr>
    </w:p>
    <w:p w:rsidR="00B45B06" w:rsidRPr="003C3A62" w:rsidRDefault="00B45B06" w:rsidP="00A817D3">
      <w:pPr>
        <w:widowControl/>
        <w:numPr>
          <w:ilvl w:val="1"/>
          <w:numId w:val="4"/>
        </w:numPr>
        <w:spacing w:after="120"/>
        <w:contextualSpacing/>
        <w:rPr>
          <w:bCs/>
          <w:szCs w:val="22"/>
        </w:rPr>
      </w:pPr>
      <w:r w:rsidRPr="003C3A62">
        <w:rPr>
          <w:bCs/>
          <w:szCs w:val="22"/>
        </w:rPr>
        <w:t xml:space="preserve">The PBAC advised </w:t>
      </w:r>
      <w:r w:rsidR="003A24FD" w:rsidRPr="003C3A62">
        <w:rPr>
          <w:bCs/>
          <w:szCs w:val="22"/>
        </w:rPr>
        <w:t>evolocumab</w:t>
      </w:r>
      <w:r w:rsidRPr="003C3A62">
        <w:rPr>
          <w:bCs/>
          <w:szCs w:val="22"/>
        </w:rPr>
        <w:t xml:space="preserve"> is not suitable for prescribing by nurse practitioners.</w:t>
      </w:r>
    </w:p>
    <w:p w:rsidR="00B45B06" w:rsidRPr="003C3A62" w:rsidRDefault="00B45B06" w:rsidP="00A817D3">
      <w:pPr>
        <w:ind w:left="720"/>
        <w:contextualSpacing/>
        <w:rPr>
          <w:bCs/>
          <w:szCs w:val="22"/>
        </w:rPr>
      </w:pPr>
    </w:p>
    <w:p w:rsidR="00B45B06" w:rsidRPr="003C3A62" w:rsidRDefault="00B45B06" w:rsidP="00A817D3">
      <w:pPr>
        <w:widowControl/>
        <w:numPr>
          <w:ilvl w:val="1"/>
          <w:numId w:val="4"/>
        </w:numPr>
        <w:spacing w:after="120"/>
        <w:contextualSpacing/>
        <w:rPr>
          <w:bCs/>
          <w:szCs w:val="22"/>
        </w:rPr>
      </w:pPr>
      <w:r w:rsidRPr="003C3A62">
        <w:rPr>
          <w:bCs/>
          <w:szCs w:val="22"/>
        </w:rPr>
        <w:t xml:space="preserve">The PBAC recommended that the </w:t>
      </w:r>
      <w:r w:rsidR="003A24FD" w:rsidRPr="003C3A62">
        <w:rPr>
          <w:bCs/>
          <w:szCs w:val="22"/>
        </w:rPr>
        <w:t>Early S</w:t>
      </w:r>
      <w:r w:rsidR="00C74B52" w:rsidRPr="003C3A62">
        <w:rPr>
          <w:bCs/>
          <w:szCs w:val="22"/>
        </w:rPr>
        <w:t>upply</w:t>
      </w:r>
      <w:r w:rsidRPr="003C3A62">
        <w:rPr>
          <w:bCs/>
          <w:szCs w:val="22"/>
        </w:rPr>
        <w:t xml:space="preserve"> Rule should apply. </w:t>
      </w:r>
    </w:p>
    <w:p w:rsidR="00DD4BEE" w:rsidRPr="003C3A62" w:rsidRDefault="00DD4BEE" w:rsidP="00A817D3">
      <w:pPr>
        <w:pStyle w:val="ListParagraph"/>
        <w:rPr>
          <w:bCs/>
          <w:szCs w:val="22"/>
        </w:rPr>
      </w:pPr>
    </w:p>
    <w:p w:rsidR="00B45B06" w:rsidRPr="003C3A62" w:rsidRDefault="00B45B06" w:rsidP="00A817D3">
      <w:pPr>
        <w:widowControl/>
        <w:numPr>
          <w:ilvl w:val="1"/>
          <w:numId w:val="4"/>
        </w:numPr>
        <w:spacing w:after="120"/>
        <w:contextualSpacing/>
        <w:rPr>
          <w:bCs/>
          <w:szCs w:val="22"/>
        </w:rPr>
      </w:pPr>
      <w:r w:rsidRPr="003C3A62">
        <w:rPr>
          <w:bCs/>
          <w:szCs w:val="22"/>
        </w:rPr>
        <w:t>The PBA</w:t>
      </w:r>
      <w:r w:rsidR="001738C4" w:rsidRPr="003C3A62">
        <w:rPr>
          <w:bCs/>
          <w:szCs w:val="22"/>
        </w:rPr>
        <w:t xml:space="preserve">C noted that this submission </w:t>
      </w:r>
      <w:r w:rsidRPr="003C3A62">
        <w:rPr>
          <w:bCs/>
          <w:szCs w:val="22"/>
        </w:rPr>
        <w:t>is not eligible for an Independent Review</w:t>
      </w:r>
      <w:r w:rsidR="001738C4" w:rsidRPr="003C3A62">
        <w:rPr>
          <w:bCs/>
          <w:szCs w:val="22"/>
        </w:rPr>
        <w:t xml:space="preserve"> as it </w:t>
      </w:r>
      <w:r w:rsidR="00C74B52" w:rsidRPr="003C3A62">
        <w:rPr>
          <w:bCs/>
          <w:szCs w:val="22"/>
        </w:rPr>
        <w:t>was</w:t>
      </w:r>
      <w:r w:rsidR="001738C4" w:rsidRPr="003C3A62">
        <w:rPr>
          <w:bCs/>
          <w:szCs w:val="22"/>
        </w:rPr>
        <w:t xml:space="preserve"> recommended</w:t>
      </w:r>
      <w:r w:rsidRPr="003C3A62">
        <w:rPr>
          <w:bCs/>
          <w:szCs w:val="22"/>
        </w:rPr>
        <w:t xml:space="preserve">. </w:t>
      </w:r>
    </w:p>
    <w:p w:rsidR="00E97800" w:rsidRPr="003C3A62" w:rsidRDefault="00E97800" w:rsidP="00B45B06">
      <w:pPr>
        <w:widowControl/>
        <w:rPr>
          <w:b/>
          <w:bCs/>
          <w:szCs w:val="22"/>
        </w:rPr>
      </w:pPr>
    </w:p>
    <w:p w:rsidR="00B45B06" w:rsidRPr="003C3A62" w:rsidRDefault="00B45B06" w:rsidP="00B45B06">
      <w:pPr>
        <w:widowControl/>
        <w:rPr>
          <w:b/>
          <w:bCs/>
          <w:szCs w:val="22"/>
        </w:rPr>
      </w:pPr>
      <w:r w:rsidRPr="003C3A62">
        <w:rPr>
          <w:b/>
          <w:bCs/>
          <w:szCs w:val="22"/>
        </w:rPr>
        <w:t>Outcome:</w:t>
      </w:r>
    </w:p>
    <w:p w:rsidR="00B45B06" w:rsidRPr="003C3A62" w:rsidRDefault="00B45B06" w:rsidP="00B45B06">
      <w:pPr>
        <w:widowControl/>
        <w:rPr>
          <w:bCs/>
          <w:szCs w:val="22"/>
        </w:rPr>
      </w:pPr>
      <w:r w:rsidRPr="003C3A62">
        <w:rPr>
          <w:bCs/>
          <w:szCs w:val="22"/>
        </w:rPr>
        <w:t>Recommended</w:t>
      </w:r>
    </w:p>
    <w:p w:rsidR="00CD6354" w:rsidRPr="003C3A62" w:rsidRDefault="00CD6354" w:rsidP="00CD6354">
      <w:pPr>
        <w:widowControl/>
        <w:spacing w:after="120"/>
        <w:rPr>
          <w:rFonts w:cs="Times New Roman"/>
          <w:snapToGrid/>
          <w:szCs w:val="22"/>
        </w:rPr>
      </w:pPr>
    </w:p>
    <w:p w:rsidR="00B45B06" w:rsidRPr="003C3A62" w:rsidRDefault="00B45B06" w:rsidP="00B45B06">
      <w:pPr>
        <w:rPr>
          <w:bCs/>
          <w:szCs w:val="22"/>
        </w:rPr>
      </w:pPr>
    </w:p>
    <w:p w:rsidR="00061C45" w:rsidRPr="00061C45" w:rsidRDefault="00B45B06" w:rsidP="00FA0151">
      <w:pPr>
        <w:pStyle w:val="Heading1"/>
      </w:pPr>
      <w:r w:rsidRPr="003C3A62">
        <w:t>Recommended listing</w:t>
      </w:r>
    </w:p>
    <w:p w:rsidR="00061C45" w:rsidRPr="00061C45" w:rsidRDefault="00061C45" w:rsidP="00061C45">
      <w:pPr>
        <w:widowControl/>
        <w:ind w:left="720"/>
        <w:jc w:val="left"/>
        <w:rPr>
          <w:bCs/>
          <w:szCs w:val="22"/>
        </w:rPr>
      </w:pPr>
    </w:p>
    <w:p w:rsidR="0045109E" w:rsidRPr="0045109E" w:rsidRDefault="00B45B06" w:rsidP="00061C45">
      <w:pPr>
        <w:widowControl/>
        <w:numPr>
          <w:ilvl w:val="1"/>
          <w:numId w:val="4"/>
        </w:numPr>
        <w:jc w:val="left"/>
        <w:rPr>
          <w:bCs/>
          <w:i/>
          <w:szCs w:val="22"/>
        </w:rPr>
      </w:pPr>
      <w:r w:rsidRPr="003C3A62">
        <w:rPr>
          <w:bCs/>
          <w:szCs w:val="22"/>
        </w:rPr>
        <w:t>Add new item:</w:t>
      </w:r>
      <w:r w:rsidR="005F52D8">
        <w:rPr>
          <w:bCs/>
          <w:szCs w:val="22"/>
        </w:rPr>
        <w:t xml:space="preserve"> </w:t>
      </w:r>
    </w:p>
    <w:p w:rsidR="00B45B06" w:rsidRPr="0045109E" w:rsidRDefault="0045109E" w:rsidP="00327BF7">
      <w:pPr>
        <w:pStyle w:val="ListParagraph"/>
        <w:widowControl/>
        <w:spacing w:after="120"/>
        <w:jc w:val="left"/>
        <w:rPr>
          <w:bCs/>
          <w:i/>
          <w:szCs w:val="22"/>
        </w:rPr>
      </w:pPr>
      <w:r w:rsidRPr="0045109E">
        <w:rPr>
          <w:bCs/>
          <w:szCs w:val="22"/>
        </w:rPr>
        <w:t xml:space="preserve">Restriction </w:t>
      </w:r>
      <w:r w:rsidR="005F52D8" w:rsidRPr="0045109E">
        <w:rPr>
          <w:bCs/>
          <w:szCs w:val="22"/>
        </w:rPr>
        <w:t>to be finalised</w:t>
      </w:r>
    </w:p>
    <w:p w:rsidR="00B45B06" w:rsidRPr="003C3A62" w:rsidRDefault="00B45B06" w:rsidP="00B45B06">
      <w:pPr>
        <w:widowControl/>
        <w:jc w:val="left"/>
        <w:rPr>
          <w:bCs/>
          <w:szCs w:val="22"/>
        </w:rPr>
      </w:pPr>
    </w:p>
    <w:p w:rsidR="00FA0151" w:rsidRPr="00A81C85" w:rsidRDefault="00FA0151" w:rsidP="00FA0151">
      <w:pPr>
        <w:pStyle w:val="Heading1"/>
      </w:pPr>
      <w:r w:rsidRPr="00A81C85">
        <w:t>Context for Decision</w:t>
      </w:r>
    </w:p>
    <w:p w:rsidR="00FA0151" w:rsidRPr="006B3CD8" w:rsidRDefault="00FA0151" w:rsidP="00FA0151"/>
    <w:p w:rsidR="00FA0151" w:rsidRDefault="00FA0151" w:rsidP="00FA0151">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A0151" w:rsidRDefault="00FA0151" w:rsidP="00FA0151">
      <w:pPr>
        <w:ind w:left="720"/>
      </w:pPr>
    </w:p>
    <w:p w:rsidR="00FA0151" w:rsidRDefault="00FA0151" w:rsidP="00FA0151">
      <w:pPr>
        <w:pStyle w:val="Heading1"/>
      </w:pPr>
      <w:r w:rsidRPr="004304F6">
        <w:t>Sponsor’s Comment</w:t>
      </w:r>
    </w:p>
    <w:p w:rsidR="00950E46" w:rsidRPr="00950E46" w:rsidRDefault="00950E46" w:rsidP="00950E46"/>
    <w:p w:rsidR="001000FC" w:rsidRDefault="00D10DD6" w:rsidP="001000FC">
      <w:pPr>
        <w:spacing w:after="120"/>
        <w:ind w:left="720"/>
      </w:pPr>
      <w:r w:rsidRPr="00D10DD6">
        <w:t xml:space="preserve">Amgen is pleased that the PBAC recognises the very high cardiovascular risk of patients with familial hypercholesterolaemia and that treatment of these patients with evolocumab results in clinically meaningful reductions in LDL-C. </w:t>
      </w:r>
    </w:p>
    <w:p w:rsidR="001000FC" w:rsidRDefault="00D10DD6" w:rsidP="001000FC">
      <w:pPr>
        <w:spacing w:after="120"/>
        <w:ind w:left="720"/>
        <w:rPr>
          <w:bCs/>
          <w:szCs w:val="22"/>
        </w:rPr>
      </w:pPr>
      <w:r w:rsidRPr="00D10DD6">
        <w:lastRenderedPageBreak/>
        <w:t xml:space="preserve">Amgen intends to continue to work constructively with the PBAC towards reimbursement for all patients in whom there is clinical need in this setting. </w:t>
      </w:r>
      <w:r w:rsidR="001000FC">
        <w:rPr>
          <w:bCs/>
          <w:szCs w:val="22"/>
        </w:rPr>
        <w:t>Note on timing of the FOURIER trial (mentioned in 6.8 and 7.4 above): The analysis of FOURIER, the evolocumab trial investigating cardiovascular and mortality outcomes, is event-driven and hence there is a degree of uncertainty in the timing of its reporting.  FOURIER is anticipated to report no later than 2018* but the precise timing is unknown.</w:t>
      </w:r>
    </w:p>
    <w:p w:rsidR="001000FC" w:rsidRPr="001000FC" w:rsidRDefault="001000FC" w:rsidP="001000FC">
      <w:pPr>
        <w:spacing w:after="120"/>
        <w:ind w:left="720"/>
        <w:rPr>
          <w:bCs/>
          <w:szCs w:val="22"/>
        </w:rPr>
      </w:pPr>
      <w:r w:rsidRPr="002D7B35">
        <w:rPr>
          <w:color w:val="996633"/>
          <w:sz w:val="16"/>
        </w:rPr>
        <w:t xml:space="preserve">* </w:t>
      </w:r>
      <w:r w:rsidRPr="00524E3E">
        <w:rPr>
          <w:sz w:val="16"/>
        </w:rPr>
        <w:t>www.clinicaltrials.gov</w:t>
      </w:r>
      <w:r w:rsidRPr="002D7B35">
        <w:rPr>
          <w:color w:val="996633"/>
          <w:sz w:val="16"/>
        </w:rPr>
        <w:t xml:space="preserve"> </w:t>
      </w:r>
      <w:r w:rsidRPr="001000FC">
        <w:rPr>
          <w:bCs/>
          <w:sz w:val="12"/>
          <w:szCs w:val="22"/>
        </w:rPr>
        <w:t>accessed on 15 June 2016.</w:t>
      </w:r>
    </w:p>
    <w:p w:rsidR="00B85702" w:rsidRPr="003C3A62" w:rsidRDefault="00B85702" w:rsidP="00D10DD6">
      <w:pPr>
        <w:spacing w:after="120"/>
        <w:ind w:left="720"/>
        <w:rPr>
          <w:bCs/>
          <w:szCs w:val="22"/>
        </w:rPr>
      </w:pPr>
    </w:p>
    <w:sectPr w:rsidR="00B85702" w:rsidRPr="003C3A62" w:rsidSect="003816F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88" w:rsidRDefault="00951D88" w:rsidP="00DD1557">
      <w:r>
        <w:separator/>
      </w:r>
    </w:p>
  </w:endnote>
  <w:endnote w:type="continuationSeparator" w:id="0">
    <w:p w:rsidR="00951D88" w:rsidRDefault="00951D88" w:rsidP="00D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TNEJMScalaSansLF">
    <w:altName w:val="Arial Unicode MS"/>
    <w:panose1 w:val="00000000000000000000"/>
    <w:charset w:val="86"/>
    <w:family w:val="swiss"/>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3E" w:rsidRDefault="00524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97112"/>
      <w:docPartObj>
        <w:docPartGallery w:val="Page Numbers (Bottom of Page)"/>
        <w:docPartUnique/>
      </w:docPartObj>
    </w:sdtPr>
    <w:sdtEndPr>
      <w:rPr>
        <w:noProof/>
      </w:rPr>
    </w:sdtEndPr>
    <w:sdtContent>
      <w:p w:rsidR="00296267" w:rsidRDefault="00296267">
        <w:pPr>
          <w:pStyle w:val="Footer"/>
          <w:jc w:val="center"/>
        </w:pPr>
        <w:r>
          <w:fldChar w:fldCharType="begin"/>
        </w:r>
        <w:r>
          <w:instrText xml:space="preserve"> PAGE   \* MERGEFORMAT </w:instrText>
        </w:r>
        <w:r>
          <w:fldChar w:fldCharType="separate"/>
        </w:r>
        <w:r w:rsidR="00B951D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3E" w:rsidRDefault="00524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88" w:rsidRDefault="00951D88" w:rsidP="00DD1557">
      <w:r>
        <w:separator/>
      </w:r>
    </w:p>
  </w:footnote>
  <w:footnote w:type="continuationSeparator" w:id="0">
    <w:p w:rsidR="00951D88" w:rsidRDefault="00951D88" w:rsidP="00DD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3E" w:rsidRDefault="00524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67" w:rsidRPr="00150152" w:rsidRDefault="00296267" w:rsidP="00FA0151">
    <w:pPr>
      <w:pStyle w:val="Header"/>
      <w:ind w:left="360"/>
      <w:jc w:val="center"/>
      <w:rPr>
        <w:i/>
        <w:color w:val="808080"/>
      </w:rPr>
    </w:pPr>
    <w:r>
      <w:rPr>
        <w:i/>
        <w:color w:val="808080"/>
      </w:rPr>
      <w:t>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296267" w:rsidRDefault="00296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3E" w:rsidRDefault="00524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1D126C"/>
    <w:multiLevelType w:val="hybridMultilevel"/>
    <w:tmpl w:val="CCAC87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83690"/>
    <w:multiLevelType w:val="hybridMultilevel"/>
    <w:tmpl w:val="E2FC9F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3E6551"/>
    <w:multiLevelType w:val="hybridMultilevel"/>
    <w:tmpl w:val="1EF62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1C2831"/>
    <w:multiLevelType w:val="hybridMultilevel"/>
    <w:tmpl w:val="2FC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28443A"/>
    <w:multiLevelType w:val="hybridMultilevel"/>
    <w:tmpl w:val="C5AABAE4"/>
    <w:lvl w:ilvl="0" w:tplc="042A2FF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FB3429B"/>
    <w:multiLevelType w:val="hybridMultilevel"/>
    <w:tmpl w:val="9E7A2CCE"/>
    <w:lvl w:ilvl="0" w:tplc="3670EF1C">
      <w:numFmt w:val="bullet"/>
      <w:lvlText w:val="-"/>
      <w:lvlJc w:val="left"/>
      <w:pPr>
        <w:ind w:left="308" w:hanging="360"/>
      </w:pPr>
      <w:rPr>
        <w:rFonts w:ascii="Arial Narrow" w:eastAsia="Times New Roman" w:hAnsi="Arial Narrow" w:cs="Arial" w:hint="default"/>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8">
    <w:nsid w:val="21C779FD"/>
    <w:multiLevelType w:val="hybridMultilevel"/>
    <w:tmpl w:val="B28A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296C58DC">
      <w:start w:val="4"/>
      <w:numFmt w:val="bullet"/>
      <w:lvlText w:val=""/>
      <w:lvlJc w:val="left"/>
      <w:pPr>
        <w:ind w:left="2880" w:hanging="360"/>
      </w:pPr>
      <w:rPr>
        <w:rFonts w:ascii="Wingdings" w:eastAsia="Times New Roman" w:hAnsi="Wingdings" w:cs="Arial" w:hint="default"/>
      </w:rPr>
    </w:lvl>
    <w:lvl w:ilvl="3" w:tplc="613CA77E">
      <w:numFmt w:val="bullet"/>
      <w:lvlText w:val="-"/>
      <w:lvlJc w:val="left"/>
      <w:pPr>
        <w:ind w:left="3600" w:hanging="360"/>
      </w:pPr>
      <w:rPr>
        <w:rFonts w:ascii="Arial" w:eastAsia="Times New Roman" w:hAnsi="Arial" w:cs="Arial" w:hint="default"/>
        <w:i w:val="0"/>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258329E"/>
    <w:multiLevelType w:val="hybridMultilevel"/>
    <w:tmpl w:val="0C30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6F0303"/>
    <w:multiLevelType w:val="hybridMultilevel"/>
    <w:tmpl w:val="D16EE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1A7EC8"/>
    <w:multiLevelType w:val="hybridMultilevel"/>
    <w:tmpl w:val="DBAE5844"/>
    <w:lvl w:ilvl="0" w:tplc="B5D2C9D6">
      <w:start w:val="1"/>
      <w:numFmt w:val="decimal"/>
      <w:lvlText w:val="%1."/>
      <w:lvlJc w:val="left"/>
      <w:pPr>
        <w:ind w:left="720" w:hanging="360"/>
      </w:pPr>
      <w:rPr>
        <w:rFonts w:ascii="Arial" w:hAnsi="Arial" w:cs="Aria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7C34E2"/>
    <w:multiLevelType w:val="hybridMultilevel"/>
    <w:tmpl w:val="CC9AD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46AB40B1"/>
    <w:multiLevelType w:val="hybridMultilevel"/>
    <w:tmpl w:val="CC10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1272C9"/>
    <w:multiLevelType w:val="hybridMultilevel"/>
    <w:tmpl w:val="C1102066"/>
    <w:lvl w:ilvl="0" w:tplc="613CA77E">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4E766D"/>
    <w:multiLevelType w:val="hybridMultilevel"/>
    <w:tmpl w:val="21368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3E06F2"/>
    <w:multiLevelType w:val="hybridMultilevel"/>
    <w:tmpl w:val="255A6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A3A0792"/>
    <w:multiLevelType w:val="hybridMultilevel"/>
    <w:tmpl w:val="3BBCF6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BBB4601"/>
    <w:multiLevelType w:val="hybridMultilevel"/>
    <w:tmpl w:val="31781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24F1836"/>
    <w:multiLevelType w:val="hybridMultilevel"/>
    <w:tmpl w:val="2812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2E6EA5"/>
    <w:multiLevelType w:val="hybridMultilevel"/>
    <w:tmpl w:val="F9AA8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5C5EAE"/>
    <w:multiLevelType w:val="hybridMultilevel"/>
    <w:tmpl w:val="FB28D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84D033C"/>
    <w:multiLevelType w:val="multilevel"/>
    <w:tmpl w:val="FECEDF1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3"/>
  </w:num>
  <w:num w:numId="4">
    <w:abstractNumId w:val="27"/>
  </w:num>
  <w:num w:numId="5">
    <w:abstractNumId w:val="11"/>
  </w:num>
  <w:num w:numId="6">
    <w:abstractNumId w:val="16"/>
  </w:num>
  <w:num w:numId="7">
    <w:abstractNumId w:val="4"/>
  </w:num>
  <w:num w:numId="8">
    <w:abstractNumId w:val="5"/>
  </w:num>
  <w:num w:numId="9">
    <w:abstractNumId w:val="25"/>
  </w:num>
  <w:num w:numId="10">
    <w:abstractNumId w:val="8"/>
  </w:num>
  <w:num w:numId="11">
    <w:abstractNumId w:val="26"/>
  </w:num>
  <w:num w:numId="12">
    <w:abstractNumId w:val="2"/>
  </w:num>
  <w:num w:numId="13">
    <w:abstractNumId w:val="23"/>
  </w:num>
  <w:num w:numId="14">
    <w:abstractNumId w:val="22"/>
  </w:num>
  <w:num w:numId="15">
    <w:abstractNumId w:val="9"/>
  </w:num>
  <w:num w:numId="16">
    <w:abstractNumId w:val="20"/>
  </w:num>
  <w:num w:numId="17">
    <w:abstractNumId w:val="24"/>
  </w:num>
  <w:num w:numId="18">
    <w:abstractNumId w:val="7"/>
  </w:num>
  <w:num w:numId="19">
    <w:abstractNumId w:val="12"/>
  </w:num>
  <w:num w:numId="20">
    <w:abstractNumId w:val="6"/>
  </w:num>
  <w:num w:numId="21">
    <w:abstractNumId w:val="18"/>
  </w:num>
  <w:num w:numId="22">
    <w:abstractNumId w:val="19"/>
  </w:num>
  <w:num w:numId="23">
    <w:abstractNumId w:val="3"/>
  </w:num>
  <w:num w:numId="24">
    <w:abstractNumId w:val="0"/>
  </w:num>
  <w:num w:numId="25">
    <w:abstractNumId w:val="10"/>
  </w:num>
  <w:num w:numId="26">
    <w:abstractNumId w:val="1"/>
  </w:num>
  <w:num w:numId="27">
    <w:abstractNumId w:val="21"/>
  </w:num>
  <w:num w:numId="28">
    <w:abstractNumId w:val="17"/>
  </w:num>
  <w:num w:numId="29">
    <w:abstractNumId w:val="2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51"/>
    <w:rsid w:val="00016DB1"/>
    <w:rsid w:val="0003076D"/>
    <w:rsid w:val="00043A4D"/>
    <w:rsid w:val="000525E4"/>
    <w:rsid w:val="00061C45"/>
    <w:rsid w:val="000678B4"/>
    <w:rsid w:val="000A0941"/>
    <w:rsid w:val="000A1CF4"/>
    <w:rsid w:val="000A2C64"/>
    <w:rsid w:val="000A41B8"/>
    <w:rsid w:val="000B1C08"/>
    <w:rsid w:val="000B3AFA"/>
    <w:rsid w:val="000C1EAC"/>
    <w:rsid w:val="000C33C3"/>
    <w:rsid w:val="000D4B8E"/>
    <w:rsid w:val="000D553B"/>
    <w:rsid w:val="000E0202"/>
    <w:rsid w:val="000F3C13"/>
    <w:rsid w:val="001000FC"/>
    <w:rsid w:val="001036E4"/>
    <w:rsid w:val="00103A19"/>
    <w:rsid w:val="001338FD"/>
    <w:rsid w:val="001630A4"/>
    <w:rsid w:val="001738C4"/>
    <w:rsid w:val="00185396"/>
    <w:rsid w:val="00197502"/>
    <w:rsid w:val="001C357E"/>
    <w:rsid w:val="001C7D82"/>
    <w:rsid w:val="001D1761"/>
    <w:rsid w:val="001E640C"/>
    <w:rsid w:val="001F5A8A"/>
    <w:rsid w:val="002124BA"/>
    <w:rsid w:val="00213FCC"/>
    <w:rsid w:val="002156E9"/>
    <w:rsid w:val="00216662"/>
    <w:rsid w:val="00233BBA"/>
    <w:rsid w:val="00243EFC"/>
    <w:rsid w:val="00255515"/>
    <w:rsid w:val="0027648F"/>
    <w:rsid w:val="0028631C"/>
    <w:rsid w:val="00296267"/>
    <w:rsid w:val="00296F59"/>
    <w:rsid w:val="002A2C3F"/>
    <w:rsid w:val="002D6560"/>
    <w:rsid w:val="002E0278"/>
    <w:rsid w:val="002E04E8"/>
    <w:rsid w:val="002E5912"/>
    <w:rsid w:val="00303D30"/>
    <w:rsid w:val="00327BF7"/>
    <w:rsid w:val="003315D1"/>
    <w:rsid w:val="00341CC3"/>
    <w:rsid w:val="00374917"/>
    <w:rsid w:val="00376918"/>
    <w:rsid w:val="003816FD"/>
    <w:rsid w:val="00384A6A"/>
    <w:rsid w:val="003958BB"/>
    <w:rsid w:val="003A2118"/>
    <w:rsid w:val="003A24FD"/>
    <w:rsid w:val="003A2601"/>
    <w:rsid w:val="003A3913"/>
    <w:rsid w:val="003B20E5"/>
    <w:rsid w:val="003B7144"/>
    <w:rsid w:val="003B7159"/>
    <w:rsid w:val="003C3A62"/>
    <w:rsid w:val="003D17FD"/>
    <w:rsid w:val="003D6D70"/>
    <w:rsid w:val="003F1B12"/>
    <w:rsid w:val="003F40AC"/>
    <w:rsid w:val="00410AF6"/>
    <w:rsid w:val="00432599"/>
    <w:rsid w:val="00443D4E"/>
    <w:rsid w:val="0045109E"/>
    <w:rsid w:val="00452999"/>
    <w:rsid w:val="0046002D"/>
    <w:rsid w:val="00465829"/>
    <w:rsid w:val="0047069E"/>
    <w:rsid w:val="00480307"/>
    <w:rsid w:val="0048372D"/>
    <w:rsid w:val="00484469"/>
    <w:rsid w:val="004B7939"/>
    <w:rsid w:val="004E1D3F"/>
    <w:rsid w:val="004E6AE1"/>
    <w:rsid w:val="004E79FE"/>
    <w:rsid w:val="004F00AD"/>
    <w:rsid w:val="004F3D98"/>
    <w:rsid w:val="005004F8"/>
    <w:rsid w:val="00521E03"/>
    <w:rsid w:val="00524E3E"/>
    <w:rsid w:val="00531042"/>
    <w:rsid w:val="005324C5"/>
    <w:rsid w:val="00532520"/>
    <w:rsid w:val="00532891"/>
    <w:rsid w:val="00547AC8"/>
    <w:rsid w:val="00551831"/>
    <w:rsid w:val="00572508"/>
    <w:rsid w:val="005928C6"/>
    <w:rsid w:val="005A10A6"/>
    <w:rsid w:val="005A36B2"/>
    <w:rsid w:val="005A3A56"/>
    <w:rsid w:val="005B1D71"/>
    <w:rsid w:val="005C546A"/>
    <w:rsid w:val="005D00E4"/>
    <w:rsid w:val="005D180A"/>
    <w:rsid w:val="005D410C"/>
    <w:rsid w:val="005E0C6D"/>
    <w:rsid w:val="005E1039"/>
    <w:rsid w:val="005E173D"/>
    <w:rsid w:val="005E2B0A"/>
    <w:rsid w:val="005F29D3"/>
    <w:rsid w:val="005F52D8"/>
    <w:rsid w:val="006014EB"/>
    <w:rsid w:val="00602D26"/>
    <w:rsid w:val="00620F18"/>
    <w:rsid w:val="006316E5"/>
    <w:rsid w:val="00644DF2"/>
    <w:rsid w:val="00677589"/>
    <w:rsid w:val="006819CC"/>
    <w:rsid w:val="006A74C9"/>
    <w:rsid w:val="006B7E47"/>
    <w:rsid w:val="006C5FBD"/>
    <w:rsid w:val="006E4D24"/>
    <w:rsid w:val="00702CE6"/>
    <w:rsid w:val="00795A95"/>
    <w:rsid w:val="0079600D"/>
    <w:rsid w:val="007C25EC"/>
    <w:rsid w:val="007C5BF0"/>
    <w:rsid w:val="007D24FA"/>
    <w:rsid w:val="007D5682"/>
    <w:rsid w:val="007E005A"/>
    <w:rsid w:val="007E216D"/>
    <w:rsid w:val="007E6A63"/>
    <w:rsid w:val="007F383B"/>
    <w:rsid w:val="00800602"/>
    <w:rsid w:val="0080106B"/>
    <w:rsid w:val="00805D80"/>
    <w:rsid w:val="0081587D"/>
    <w:rsid w:val="00816C8A"/>
    <w:rsid w:val="00823189"/>
    <w:rsid w:val="0083264F"/>
    <w:rsid w:val="00834C8D"/>
    <w:rsid w:val="00837C9C"/>
    <w:rsid w:val="00845C25"/>
    <w:rsid w:val="00856956"/>
    <w:rsid w:val="00866104"/>
    <w:rsid w:val="00866F2E"/>
    <w:rsid w:val="00872AF2"/>
    <w:rsid w:val="00880F19"/>
    <w:rsid w:val="008848A2"/>
    <w:rsid w:val="008902B7"/>
    <w:rsid w:val="00892AB9"/>
    <w:rsid w:val="008C0B50"/>
    <w:rsid w:val="008D1947"/>
    <w:rsid w:val="008D4124"/>
    <w:rsid w:val="008E5262"/>
    <w:rsid w:val="008E7206"/>
    <w:rsid w:val="008F6FD9"/>
    <w:rsid w:val="00903A3C"/>
    <w:rsid w:val="009059EB"/>
    <w:rsid w:val="0091763D"/>
    <w:rsid w:val="0092567B"/>
    <w:rsid w:val="00932779"/>
    <w:rsid w:val="00933928"/>
    <w:rsid w:val="0093420F"/>
    <w:rsid w:val="009343C4"/>
    <w:rsid w:val="00935026"/>
    <w:rsid w:val="00943651"/>
    <w:rsid w:val="00950E46"/>
    <w:rsid w:val="00951D88"/>
    <w:rsid w:val="00954A27"/>
    <w:rsid w:val="0095786F"/>
    <w:rsid w:val="009678A1"/>
    <w:rsid w:val="00982D37"/>
    <w:rsid w:val="009A31E7"/>
    <w:rsid w:val="009B6D4B"/>
    <w:rsid w:val="009B7D00"/>
    <w:rsid w:val="009C3B3E"/>
    <w:rsid w:val="009C4343"/>
    <w:rsid w:val="009E2A39"/>
    <w:rsid w:val="009F6557"/>
    <w:rsid w:val="009F6987"/>
    <w:rsid w:val="00A25542"/>
    <w:rsid w:val="00A545AD"/>
    <w:rsid w:val="00A55D67"/>
    <w:rsid w:val="00A56FF6"/>
    <w:rsid w:val="00A578D2"/>
    <w:rsid w:val="00A8029C"/>
    <w:rsid w:val="00A80853"/>
    <w:rsid w:val="00A817D3"/>
    <w:rsid w:val="00A848A5"/>
    <w:rsid w:val="00AC3C1F"/>
    <w:rsid w:val="00AC70BA"/>
    <w:rsid w:val="00AF0421"/>
    <w:rsid w:val="00AF7624"/>
    <w:rsid w:val="00B132E0"/>
    <w:rsid w:val="00B35AE9"/>
    <w:rsid w:val="00B45B06"/>
    <w:rsid w:val="00B671FB"/>
    <w:rsid w:val="00B75939"/>
    <w:rsid w:val="00B83FE8"/>
    <w:rsid w:val="00B84271"/>
    <w:rsid w:val="00B85702"/>
    <w:rsid w:val="00B90C21"/>
    <w:rsid w:val="00B951DE"/>
    <w:rsid w:val="00BD0510"/>
    <w:rsid w:val="00BD68A1"/>
    <w:rsid w:val="00BE0006"/>
    <w:rsid w:val="00BF16BB"/>
    <w:rsid w:val="00BF7D63"/>
    <w:rsid w:val="00C06B03"/>
    <w:rsid w:val="00C2107E"/>
    <w:rsid w:val="00C33653"/>
    <w:rsid w:val="00C61D5B"/>
    <w:rsid w:val="00C673A8"/>
    <w:rsid w:val="00C70A67"/>
    <w:rsid w:val="00C74B52"/>
    <w:rsid w:val="00C76FB4"/>
    <w:rsid w:val="00C831B5"/>
    <w:rsid w:val="00C9763E"/>
    <w:rsid w:val="00CB5CCE"/>
    <w:rsid w:val="00CC353F"/>
    <w:rsid w:val="00CC3A65"/>
    <w:rsid w:val="00CD167C"/>
    <w:rsid w:val="00CD6354"/>
    <w:rsid w:val="00CD740A"/>
    <w:rsid w:val="00CE0B6C"/>
    <w:rsid w:val="00D07451"/>
    <w:rsid w:val="00D10DD6"/>
    <w:rsid w:val="00D122E6"/>
    <w:rsid w:val="00D12C6E"/>
    <w:rsid w:val="00D265A6"/>
    <w:rsid w:val="00D30983"/>
    <w:rsid w:val="00D327A5"/>
    <w:rsid w:val="00D32FD8"/>
    <w:rsid w:val="00D406F9"/>
    <w:rsid w:val="00D40C8B"/>
    <w:rsid w:val="00D412D2"/>
    <w:rsid w:val="00D42EB2"/>
    <w:rsid w:val="00D43857"/>
    <w:rsid w:val="00D472F2"/>
    <w:rsid w:val="00D56A3B"/>
    <w:rsid w:val="00D916EB"/>
    <w:rsid w:val="00DA2B6E"/>
    <w:rsid w:val="00DB39C1"/>
    <w:rsid w:val="00DC151E"/>
    <w:rsid w:val="00DC7C8F"/>
    <w:rsid w:val="00DD1557"/>
    <w:rsid w:val="00DD3B31"/>
    <w:rsid w:val="00DD4BEE"/>
    <w:rsid w:val="00DE1520"/>
    <w:rsid w:val="00DF5894"/>
    <w:rsid w:val="00E34488"/>
    <w:rsid w:val="00E4149D"/>
    <w:rsid w:val="00E64BF3"/>
    <w:rsid w:val="00E65824"/>
    <w:rsid w:val="00E65DDB"/>
    <w:rsid w:val="00E8395B"/>
    <w:rsid w:val="00E87A51"/>
    <w:rsid w:val="00E91FEC"/>
    <w:rsid w:val="00E97800"/>
    <w:rsid w:val="00EB0FFD"/>
    <w:rsid w:val="00ED3811"/>
    <w:rsid w:val="00EE0884"/>
    <w:rsid w:val="00EE0CC9"/>
    <w:rsid w:val="00EE1C68"/>
    <w:rsid w:val="00EE2779"/>
    <w:rsid w:val="00F00801"/>
    <w:rsid w:val="00F00A7D"/>
    <w:rsid w:val="00F0726C"/>
    <w:rsid w:val="00F12FC5"/>
    <w:rsid w:val="00F356E1"/>
    <w:rsid w:val="00F46DBB"/>
    <w:rsid w:val="00F60E98"/>
    <w:rsid w:val="00F81FCE"/>
    <w:rsid w:val="00F8260A"/>
    <w:rsid w:val="00F96F36"/>
    <w:rsid w:val="00FA0151"/>
    <w:rsid w:val="00FA6B6A"/>
    <w:rsid w:val="00FB0C33"/>
    <w:rsid w:val="00FB4587"/>
    <w:rsid w:val="00FD0CEB"/>
    <w:rsid w:val="00FD4284"/>
    <w:rsid w:val="00FE2B15"/>
    <w:rsid w:val="00FE7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51"/>
    <w:pPr>
      <w:widowControl w:val="0"/>
      <w:spacing w:after="0" w:line="240" w:lineRule="auto"/>
      <w:jc w:val="both"/>
    </w:pPr>
    <w:rPr>
      <w:rFonts w:ascii="Arial" w:eastAsia="Times New Roman" w:hAnsi="Arial" w:cs="Arial"/>
      <w:snapToGrid w:val="0"/>
      <w:szCs w:val="20"/>
    </w:rPr>
  </w:style>
  <w:style w:type="paragraph" w:styleId="Heading1">
    <w:name w:val="heading 1"/>
    <w:basedOn w:val="PBACHeading1"/>
    <w:next w:val="Normal"/>
    <w:link w:val="Heading1Char"/>
    <w:qFormat/>
    <w:rsid w:val="00FA0151"/>
    <w:pPr>
      <w:outlineLvl w:val="0"/>
    </w:pPr>
  </w:style>
  <w:style w:type="paragraph" w:styleId="Heading2">
    <w:name w:val="heading 2"/>
    <w:basedOn w:val="Normal"/>
    <w:next w:val="Normal"/>
    <w:link w:val="Heading2Char"/>
    <w:qFormat/>
    <w:rsid w:val="00FA0151"/>
    <w:pPr>
      <w:outlineLvl w:val="1"/>
    </w:pPr>
    <w:rPr>
      <w:b/>
      <w:i/>
    </w:rPr>
  </w:style>
  <w:style w:type="paragraph" w:styleId="Heading3">
    <w:name w:val="heading 3"/>
    <w:basedOn w:val="Normal"/>
    <w:next w:val="Normal"/>
    <w:link w:val="Heading3Char"/>
    <w:qFormat/>
    <w:rsid w:val="00943651"/>
    <w:pPr>
      <w:outlineLvl w:val="2"/>
    </w:pPr>
    <w:rPr>
      <w:u w:val="single"/>
    </w:rPr>
  </w:style>
  <w:style w:type="paragraph" w:styleId="Heading4">
    <w:name w:val="heading 4"/>
    <w:basedOn w:val="Normal"/>
    <w:next w:val="Normal"/>
    <w:link w:val="Heading4Char"/>
    <w:rsid w:val="00943651"/>
    <w:pPr>
      <w:keepNext/>
      <w:spacing w:before="240" w:after="60"/>
      <w:outlineLvl w:val="3"/>
    </w:pPr>
    <w:rPr>
      <w:b/>
      <w:bCs/>
      <w:i/>
      <w:sz w:val="26"/>
      <w:szCs w:val="28"/>
    </w:rPr>
  </w:style>
  <w:style w:type="paragraph" w:styleId="Heading5">
    <w:name w:val="heading 5"/>
    <w:basedOn w:val="Normal"/>
    <w:next w:val="Normal"/>
    <w:link w:val="Heading5Char"/>
    <w:rsid w:val="00943651"/>
    <w:pPr>
      <w:spacing w:before="240" w:after="60"/>
      <w:outlineLvl w:val="4"/>
    </w:pPr>
    <w:rPr>
      <w:b/>
      <w:bCs/>
      <w:iCs/>
      <w:sz w:val="26"/>
      <w:szCs w:val="26"/>
    </w:rPr>
  </w:style>
  <w:style w:type="paragraph" w:styleId="Heading6">
    <w:name w:val="heading 6"/>
    <w:basedOn w:val="Normal"/>
    <w:next w:val="Normal"/>
    <w:link w:val="Heading6Char"/>
    <w:rsid w:val="00943651"/>
    <w:pPr>
      <w:spacing w:before="240" w:after="60"/>
      <w:outlineLvl w:val="5"/>
    </w:pPr>
    <w:rPr>
      <w:b/>
      <w:bCs/>
      <w:i/>
      <w:szCs w:val="22"/>
    </w:rPr>
  </w:style>
  <w:style w:type="paragraph" w:styleId="Heading7">
    <w:name w:val="heading 7"/>
    <w:basedOn w:val="Normal"/>
    <w:next w:val="Normal"/>
    <w:link w:val="Heading7Char"/>
    <w:rsid w:val="00943651"/>
    <w:pPr>
      <w:keepNext/>
      <w:jc w:val="center"/>
      <w:outlineLvl w:val="6"/>
    </w:pPr>
    <w:rPr>
      <w:b/>
      <w:sz w:val="20"/>
    </w:rPr>
  </w:style>
  <w:style w:type="paragraph" w:styleId="Heading8">
    <w:name w:val="heading 8"/>
    <w:basedOn w:val="Normal"/>
    <w:next w:val="Normal"/>
    <w:link w:val="Heading8Char"/>
    <w:rsid w:val="00943651"/>
    <w:pPr>
      <w:keepNext/>
      <w:jc w:val="right"/>
      <w:outlineLvl w:val="7"/>
    </w:pPr>
    <w:rPr>
      <w:b/>
    </w:rPr>
  </w:style>
  <w:style w:type="paragraph" w:styleId="Heading9">
    <w:name w:val="heading 9"/>
    <w:basedOn w:val="Normal"/>
    <w:next w:val="Normal"/>
    <w:link w:val="Heading9Char"/>
    <w:rsid w:val="009436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151"/>
    <w:rPr>
      <w:rFonts w:ascii="Arial" w:eastAsia="Times New Roman" w:hAnsi="Arial" w:cs="Arial"/>
      <w:b/>
      <w:snapToGrid w:val="0"/>
    </w:rPr>
  </w:style>
  <w:style w:type="character" w:customStyle="1" w:styleId="Heading2Char">
    <w:name w:val="Heading 2 Char"/>
    <w:basedOn w:val="DefaultParagraphFont"/>
    <w:link w:val="Heading2"/>
    <w:rsid w:val="00FA0151"/>
    <w:rPr>
      <w:rFonts w:ascii="Arial" w:eastAsia="Times New Roman" w:hAnsi="Arial" w:cs="Arial"/>
      <w:b/>
      <w:i/>
      <w:snapToGrid w:val="0"/>
      <w:szCs w:val="20"/>
    </w:rPr>
  </w:style>
  <w:style w:type="character" w:customStyle="1" w:styleId="Heading3Char">
    <w:name w:val="Heading 3 Char"/>
    <w:basedOn w:val="DefaultParagraphFont"/>
    <w:link w:val="Heading3"/>
    <w:rsid w:val="00943651"/>
    <w:rPr>
      <w:rFonts w:ascii="Arial" w:eastAsia="Times New Roman" w:hAnsi="Arial" w:cs="Arial"/>
      <w:snapToGrid w:val="0"/>
      <w:szCs w:val="20"/>
      <w:u w:val="single"/>
    </w:rPr>
  </w:style>
  <w:style w:type="character" w:customStyle="1" w:styleId="Heading4Char">
    <w:name w:val="Heading 4 Char"/>
    <w:basedOn w:val="DefaultParagraphFont"/>
    <w:link w:val="Heading4"/>
    <w:rsid w:val="00943651"/>
    <w:rPr>
      <w:rFonts w:ascii="Arial" w:eastAsia="Times New Roman" w:hAnsi="Arial" w:cs="Arial"/>
      <w:b/>
      <w:bCs/>
      <w:i/>
      <w:snapToGrid w:val="0"/>
      <w:sz w:val="26"/>
      <w:szCs w:val="28"/>
    </w:rPr>
  </w:style>
  <w:style w:type="character" w:customStyle="1" w:styleId="Heading5Char">
    <w:name w:val="Heading 5 Char"/>
    <w:basedOn w:val="DefaultParagraphFont"/>
    <w:link w:val="Heading5"/>
    <w:rsid w:val="00943651"/>
    <w:rPr>
      <w:rFonts w:ascii="Arial" w:eastAsia="Times New Roman" w:hAnsi="Arial" w:cs="Arial"/>
      <w:b/>
      <w:bCs/>
      <w:iCs/>
      <w:snapToGrid w:val="0"/>
      <w:sz w:val="26"/>
      <w:szCs w:val="26"/>
    </w:rPr>
  </w:style>
  <w:style w:type="character" w:customStyle="1" w:styleId="Heading6Char">
    <w:name w:val="Heading 6 Char"/>
    <w:basedOn w:val="DefaultParagraphFont"/>
    <w:link w:val="Heading6"/>
    <w:rsid w:val="00943651"/>
    <w:rPr>
      <w:rFonts w:ascii="Arial" w:eastAsia="Times New Roman" w:hAnsi="Arial" w:cs="Arial"/>
      <w:b/>
      <w:bCs/>
      <w:i/>
      <w:snapToGrid w:val="0"/>
    </w:rPr>
  </w:style>
  <w:style w:type="character" w:customStyle="1" w:styleId="Heading7Char">
    <w:name w:val="Heading 7 Char"/>
    <w:basedOn w:val="DefaultParagraphFont"/>
    <w:link w:val="Heading7"/>
    <w:rsid w:val="00943651"/>
    <w:rPr>
      <w:rFonts w:ascii="Arial" w:eastAsia="Times New Roman" w:hAnsi="Arial" w:cs="Arial"/>
      <w:b/>
      <w:snapToGrid w:val="0"/>
      <w:sz w:val="20"/>
      <w:szCs w:val="20"/>
    </w:rPr>
  </w:style>
  <w:style w:type="character" w:customStyle="1" w:styleId="Heading8Char">
    <w:name w:val="Heading 8 Char"/>
    <w:basedOn w:val="DefaultParagraphFont"/>
    <w:link w:val="Heading8"/>
    <w:rsid w:val="00943651"/>
    <w:rPr>
      <w:rFonts w:ascii="Arial" w:eastAsia="Times New Roman" w:hAnsi="Arial" w:cs="Arial"/>
      <w:b/>
      <w:snapToGrid w:val="0"/>
      <w:szCs w:val="20"/>
    </w:rPr>
  </w:style>
  <w:style w:type="character" w:customStyle="1" w:styleId="Heading9Char">
    <w:name w:val="Heading 9 Char"/>
    <w:basedOn w:val="DefaultParagraphFont"/>
    <w:link w:val="Heading9"/>
    <w:rsid w:val="00943651"/>
    <w:rPr>
      <w:rFonts w:ascii="Arial" w:eastAsia="Times New Roman" w:hAnsi="Arial" w:cs="Arial"/>
      <w:b/>
      <w:snapToGrid w:val="0"/>
      <w:color w:val="000000"/>
      <w:sz w:val="20"/>
      <w:szCs w:val="20"/>
    </w:rPr>
  </w:style>
  <w:style w:type="paragraph" w:customStyle="1" w:styleId="TableFooter">
    <w:name w:val="Table Footer"/>
    <w:basedOn w:val="Normal"/>
    <w:qFormat/>
    <w:rsid w:val="00943651"/>
    <w:rPr>
      <w:rFonts w:ascii="Arial Narrow" w:hAnsi="Arial Narrow"/>
      <w:sz w:val="18"/>
    </w:rPr>
  </w:style>
  <w:style w:type="paragraph" w:customStyle="1" w:styleId="TableHeader">
    <w:name w:val="Table Header"/>
    <w:basedOn w:val="Normal"/>
    <w:rsid w:val="00943651"/>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nhideWhenUsed/>
    <w:qFormat/>
    <w:rsid w:val="009436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35"/>
    <w:rsid w:val="00943651"/>
    <w:rPr>
      <w:rFonts w:ascii="Arial" w:eastAsia="Times New Roman" w:hAnsi="Arial" w:cs="Arial"/>
      <w:b/>
      <w:bCs/>
      <w:snapToGrid w:val="0"/>
      <w:color w:val="4F81BD" w:themeColor="accent1"/>
      <w:sz w:val="18"/>
      <w:szCs w:val="18"/>
    </w:rPr>
  </w:style>
  <w:style w:type="paragraph" w:styleId="Title">
    <w:name w:val="Title"/>
    <w:basedOn w:val="Normal"/>
    <w:next w:val="Normal"/>
    <w:link w:val="TitleChar"/>
    <w:qFormat/>
    <w:rsid w:val="009436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43651"/>
    <w:rPr>
      <w:rFonts w:ascii="Cambria" w:eastAsia="Times New Roman" w:hAnsi="Cambria" w:cs="Arial"/>
      <w:b/>
      <w:bCs/>
      <w:snapToGrid w:val="0"/>
      <w:kern w:val="28"/>
      <w:sz w:val="32"/>
      <w:szCs w:val="32"/>
    </w:rPr>
  </w:style>
  <w:style w:type="paragraph" w:styleId="BodyText">
    <w:name w:val="Body Text"/>
    <w:basedOn w:val="Normal"/>
    <w:link w:val="BodyTextChar"/>
    <w:qFormat/>
    <w:rsid w:val="00943651"/>
    <w:pPr>
      <w:jc w:val="left"/>
    </w:pPr>
  </w:style>
  <w:style w:type="character" w:customStyle="1" w:styleId="BodyTextChar">
    <w:name w:val="Body Text Char"/>
    <w:basedOn w:val="DefaultParagraphFont"/>
    <w:link w:val="BodyText"/>
    <w:rsid w:val="00943651"/>
    <w:rPr>
      <w:rFonts w:ascii="Arial" w:eastAsia="Times New Roman" w:hAnsi="Arial" w:cs="Arial"/>
      <w:snapToGrid w:val="0"/>
      <w:szCs w:val="20"/>
    </w:rPr>
  </w:style>
  <w:style w:type="paragraph" w:styleId="ListParagraph">
    <w:name w:val="List Paragraph"/>
    <w:basedOn w:val="Normal"/>
    <w:uiPriority w:val="72"/>
    <w:qFormat/>
    <w:rsid w:val="00943651"/>
    <w:pPr>
      <w:ind w:left="720"/>
      <w:contextualSpacing/>
    </w:pPr>
  </w:style>
  <w:style w:type="paragraph" w:customStyle="1" w:styleId="RegularText">
    <w:name w:val="Regular Text"/>
    <w:basedOn w:val="BodyText"/>
    <w:link w:val="RegularTextChar"/>
    <w:rsid w:val="00943651"/>
    <w:rPr>
      <w:b/>
    </w:rPr>
  </w:style>
  <w:style w:type="character" w:customStyle="1" w:styleId="RegularTextChar">
    <w:name w:val="Regular Text Char"/>
    <w:basedOn w:val="BodyTextChar"/>
    <w:link w:val="RegularText"/>
    <w:rsid w:val="00943651"/>
    <w:rPr>
      <w:rFonts w:ascii="Arial" w:eastAsia="Times New Roman" w:hAnsi="Arial" w:cs="Arial"/>
      <w:b/>
      <w:snapToGrid w:val="0"/>
      <w:szCs w:val="20"/>
    </w:rPr>
  </w:style>
  <w:style w:type="paragraph" w:styleId="NoSpacing">
    <w:name w:val="No Spacing"/>
    <w:uiPriority w:val="1"/>
    <w:qFormat/>
    <w:rsid w:val="00943651"/>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uiPriority w:val="99"/>
    <w:rsid w:val="009436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943651"/>
    <w:rPr>
      <w:rFonts w:ascii="Arial" w:eastAsia="Times New Roman" w:hAnsi="Arial" w:cs="Arial"/>
      <w:snapToGrid w:val="0"/>
      <w:szCs w:val="20"/>
    </w:rPr>
  </w:style>
  <w:style w:type="paragraph" w:styleId="Footer">
    <w:name w:val="footer"/>
    <w:basedOn w:val="Normal"/>
    <w:link w:val="FooterChar"/>
    <w:uiPriority w:val="99"/>
    <w:rsid w:val="00943651"/>
    <w:pPr>
      <w:tabs>
        <w:tab w:val="center" w:pos="4513"/>
        <w:tab w:val="right" w:pos="9026"/>
      </w:tabs>
    </w:pPr>
  </w:style>
  <w:style w:type="character" w:customStyle="1" w:styleId="FooterChar">
    <w:name w:val="Footer Char"/>
    <w:basedOn w:val="DefaultParagraphFont"/>
    <w:link w:val="Footer"/>
    <w:uiPriority w:val="99"/>
    <w:rsid w:val="00943651"/>
    <w:rPr>
      <w:rFonts w:ascii="Arial" w:eastAsia="Times New Roman" w:hAnsi="Arial" w:cs="Arial"/>
      <w:snapToGrid w:val="0"/>
      <w:szCs w:val="20"/>
    </w:rPr>
  </w:style>
  <w:style w:type="table" w:styleId="TableGrid">
    <w:name w:val="Table Grid"/>
    <w:aliases w:val="Summary box"/>
    <w:basedOn w:val="TableNormal"/>
    <w:uiPriority w:val="59"/>
    <w:rsid w:val="009436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943651"/>
    <w:rPr>
      <w:rFonts w:ascii="Arial Narrow" w:hAnsi="Arial Narrow"/>
      <w:b/>
      <w:sz w:val="20"/>
      <w:szCs w:val="16"/>
    </w:rPr>
  </w:style>
  <w:style w:type="paragraph" w:customStyle="1" w:styleId="Tabletext">
    <w:name w:val="Table text"/>
    <w:basedOn w:val="Normal"/>
    <w:link w:val="TabletextChar"/>
    <w:rsid w:val="00943651"/>
    <w:pPr>
      <w:widowControl/>
      <w:spacing w:after="120"/>
      <w:jc w:val="left"/>
    </w:pPr>
    <w:rPr>
      <w:rFonts w:cs="Times New Roman"/>
      <w:snapToGrid/>
      <w:sz w:val="20"/>
    </w:rPr>
  </w:style>
  <w:style w:type="character" w:customStyle="1" w:styleId="TabletextChar">
    <w:name w:val="Table text Char"/>
    <w:link w:val="Tabletext"/>
    <w:rsid w:val="00943651"/>
    <w:rPr>
      <w:rFonts w:ascii="Arial" w:eastAsia="Times New Roman" w:hAnsi="Arial" w:cs="Times New Roman"/>
      <w:sz w:val="20"/>
      <w:szCs w:val="20"/>
    </w:rPr>
  </w:style>
  <w:style w:type="paragraph" w:customStyle="1" w:styleId="TableHeading">
    <w:name w:val="TableHeading"/>
    <w:basedOn w:val="Normal"/>
    <w:rsid w:val="00943651"/>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943651"/>
    <w:pPr>
      <w:widowControl/>
      <w:jc w:val="both"/>
    </w:pPr>
    <w:rPr>
      <w:rFonts w:ascii="Times" w:hAnsi="Times" w:cs="Times New Roman"/>
      <w:snapToGrid/>
      <w:sz w:val="24"/>
      <w:lang w:val="en-US"/>
    </w:rPr>
  </w:style>
  <w:style w:type="paragraph" w:styleId="NormalWeb">
    <w:name w:val="Normal (Web)"/>
    <w:basedOn w:val="Normal"/>
    <w:uiPriority w:val="99"/>
    <w:rsid w:val="00943651"/>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943651"/>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943651"/>
    <w:pPr>
      <w:spacing w:before="240" w:after="120"/>
      <w:jc w:val="left"/>
    </w:pPr>
    <w:rPr>
      <w:bCs/>
      <w:sz w:val="20"/>
    </w:rPr>
  </w:style>
  <w:style w:type="character" w:styleId="Hyperlink">
    <w:name w:val="Hyperlink"/>
    <w:basedOn w:val="DefaultParagraphFont"/>
    <w:uiPriority w:val="99"/>
    <w:unhideWhenUsed/>
    <w:rsid w:val="00943651"/>
    <w:rPr>
      <w:color w:val="0000FF" w:themeColor="hyperlink"/>
      <w:u w:val="single"/>
    </w:rPr>
  </w:style>
  <w:style w:type="paragraph" w:styleId="TOCHeading">
    <w:name w:val="TOC Heading"/>
    <w:basedOn w:val="Heading1"/>
    <w:next w:val="Normal"/>
    <w:uiPriority w:val="39"/>
    <w:unhideWhenUsed/>
    <w:rsid w:val="00943651"/>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943651"/>
    <w:pPr>
      <w:ind w:left="440"/>
      <w:jc w:val="left"/>
    </w:pPr>
    <w:rPr>
      <w:rFonts w:asciiTheme="minorHAnsi" w:hAnsiTheme="minorHAnsi"/>
      <w:sz w:val="20"/>
    </w:rPr>
  </w:style>
  <w:style w:type="paragraph" w:styleId="BalloonText">
    <w:name w:val="Balloon Text"/>
    <w:basedOn w:val="Normal"/>
    <w:link w:val="BalloonTextChar"/>
    <w:uiPriority w:val="99"/>
    <w:rsid w:val="00943651"/>
    <w:rPr>
      <w:rFonts w:ascii="Tahoma" w:hAnsi="Tahoma" w:cs="Tahoma"/>
      <w:sz w:val="16"/>
      <w:szCs w:val="16"/>
    </w:rPr>
  </w:style>
  <w:style w:type="character" w:customStyle="1" w:styleId="BalloonTextChar">
    <w:name w:val="Balloon Text Char"/>
    <w:basedOn w:val="DefaultParagraphFont"/>
    <w:link w:val="BalloonText"/>
    <w:uiPriority w:val="99"/>
    <w:rsid w:val="00943651"/>
    <w:rPr>
      <w:rFonts w:ascii="Tahoma" w:eastAsia="Times New Roman" w:hAnsi="Tahoma" w:cs="Tahoma"/>
      <w:snapToGrid w:val="0"/>
      <w:sz w:val="16"/>
      <w:szCs w:val="16"/>
    </w:rPr>
  </w:style>
  <w:style w:type="paragraph" w:styleId="BodyText3">
    <w:name w:val="Body Text 3"/>
    <w:basedOn w:val="Normal"/>
    <w:link w:val="BodyText3Char"/>
    <w:rsid w:val="00943651"/>
    <w:pPr>
      <w:spacing w:after="120"/>
    </w:pPr>
    <w:rPr>
      <w:sz w:val="16"/>
      <w:szCs w:val="16"/>
    </w:rPr>
  </w:style>
  <w:style w:type="character" w:customStyle="1" w:styleId="BodyText3Char">
    <w:name w:val="Body Text 3 Char"/>
    <w:basedOn w:val="DefaultParagraphFont"/>
    <w:link w:val="BodyText3"/>
    <w:rsid w:val="00943651"/>
    <w:rPr>
      <w:rFonts w:ascii="Arial" w:eastAsia="Times New Roman" w:hAnsi="Arial" w:cs="Arial"/>
      <w:snapToGrid w:val="0"/>
      <w:sz w:val="16"/>
      <w:szCs w:val="16"/>
    </w:rPr>
  </w:style>
  <w:style w:type="paragraph" w:styleId="TOC4">
    <w:name w:val="toc 4"/>
    <w:basedOn w:val="Normal"/>
    <w:next w:val="Normal"/>
    <w:autoRedefine/>
    <w:rsid w:val="00943651"/>
    <w:pPr>
      <w:ind w:left="660"/>
      <w:jc w:val="left"/>
    </w:pPr>
    <w:rPr>
      <w:rFonts w:asciiTheme="minorHAnsi" w:hAnsiTheme="minorHAnsi"/>
      <w:sz w:val="20"/>
    </w:rPr>
  </w:style>
  <w:style w:type="paragraph" w:styleId="TOC5">
    <w:name w:val="toc 5"/>
    <w:basedOn w:val="Normal"/>
    <w:next w:val="Normal"/>
    <w:autoRedefine/>
    <w:rsid w:val="00943651"/>
    <w:pPr>
      <w:ind w:left="880"/>
      <w:jc w:val="left"/>
    </w:pPr>
    <w:rPr>
      <w:rFonts w:asciiTheme="minorHAnsi" w:hAnsiTheme="minorHAnsi"/>
      <w:sz w:val="20"/>
    </w:rPr>
  </w:style>
  <w:style w:type="paragraph" w:styleId="TOC6">
    <w:name w:val="toc 6"/>
    <w:basedOn w:val="Normal"/>
    <w:next w:val="Normal"/>
    <w:autoRedefine/>
    <w:rsid w:val="00943651"/>
    <w:pPr>
      <w:ind w:left="1100"/>
      <w:jc w:val="left"/>
    </w:pPr>
    <w:rPr>
      <w:rFonts w:asciiTheme="minorHAnsi" w:hAnsiTheme="minorHAnsi"/>
      <w:sz w:val="20"/>
    </w:rPr>
  </w:style>
  <w:style w:type="paragraph" w:styleId="TOC7">
    <w:name w:val="toc 7"/>
    <w:basedOn w:val="Normal"/>
    <w:next w:val="Normal"/>
    <w:autoRedefine/>
    <w:rsid w:val="00943651"/>
    <w:pPr>
      <w:ind w:left="1320"/>
      <w:jc w:val="left"/>
    </w:pPr>
    <w:rPr>
      <w:rFonts w:asciiTheme="minorHAnsi" w:hAnsiTheme="minorHAnsi"/>
      <w:sz w:val="20"/>
    </w:rPr>
  </w:style>
  <w:style w:type="paragraph" w:styleId="TOC8">
    <w:name w:val="toc 8"/>
    <w:basedOn w:val="Normal"/>
    <w:next w:val="Normal"/>
    <w:autoRedefine/>
    <w:rsid w:val="00943651"/>
    <w:pPr>
      <w:ind w:left="1540"/>
      <w:jc w:val="left"/>
    </w:pPr>
    <w:rPr>
      <w:rFonts w:asciiTheme="minorHAnsi" w:hAnsiTheme="minorHAnsi"/>
      <w:sz w:val="20"/>
    </w:rPr>
  </w:style>
  <w:style w:type="paragraph" w:styleId="TOC9">
    <w:name w:val="toc 9"/>
    <w:basedOn w:val="Normal"/>
    <w:next w:val="Normal"/>
    <w:autoRedefine/>
    <w:rsid w:val="00943651"/>
    <w:pPr>
      <w:ind w:left="1760"/>
      <w:jc w:val="left"/>
    </w:pPr>
    <w:rPr>
      <w:rFonts w:asciiTheme="minorHAnsi" w:hAnsiTheme="minorHAnsi"/>
      <w:sz w:val="20"/>
    </w:rPr>
  </w:style>
  <w:style w:type="paragraph" w:styleId="BodyText2">
    <w:name w:val="Body Text 2"/>
    <w:basedOn w:val="Normal"/>
    <w:link w:val="BodyText2Char"/>
    <w:rsid w:val="00943651"/>
    <w:pPr>
      <w:spacing w:after="120" w:line="480" w:lineRule="auto"/>
    </w:pPr>
  </w:style>
  <w:style w:type="character" w:customStyle="1" w:styleId="BodyText2Char">
    <w:name w:val="Body Text 2 Char"/>
    <w:basedOn w:val="DefaultParagraphFont"/>
    <w:link w:val="BodyText2"/>
    <w:rsid w:val="00943651"/>
    <w:rPr>
      <w:rFonts w:ascii="Arial" w:eastAsia="Times New Roman" w:hAnsi="Arial" w:cs="Arial"/>
      <w:snapToGrid w:val="0"/>
      <w:szCs w:val="20"/>
    </w:rPr>
  </w:style>
  <w:style w:type="paragraph" w:styleId="CommentText">
    <w:name w:val="annotation text"/>
    <w:basedOn w:val="Normal"/>
    <w:link w:val="CommentTextChar"/>
    <w:rsid w:val="00943651"/>
    <w:rPr>
      <w:rFonts w:ascii="Times New Roman" w:hAnsi="Times New Roman" w:cs="Times New Roman"/>
      <w:sz w:val="20"/>
    </w:rPr>
  </w:style>
  <w:style w:type="character" w:customStyle="1" w:styleId="CommentTextChar">
    <w:name w:val="Comment Text Char"/>
    <w:basedOn w:val="DefaultParagraphFont"/>
    <w:link w:val="CommentText"/>
    <w:rsid w:val="00943651"/>
    <w:rPr>
      <w:rFonts w:ascii="Times New Roman" w:eastAsia="Times New Roman" w:hAnsi="Times New Roman" w:cs="Times New Roman"/>
      <w:snapToGrid w:val="0"/>
      <w:sz w:val="20"/>
      <w:szCs w:val="20"/>
    </w:rPr>
  </w:style>
  <w:style w:type="paragraph" w:customStyle="1" w:styleId="TableText0">
    <w:name w:val="TableText"/>
    <w:basedOn w:val="Normal"/>
    <w:rsid w:val="00943651"/>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943651"/>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943651"/>
    <w:pPr>
      <w:keepNext w:val="0"/>
      <w:keepLines/>
      <w:spacing w:before="0" w:after="360"/>
      <w:ind w:left="720"/>
    </w:pPr>
    <w:rPr>
      <w:sz w:val="18"/>
      <w:szCs w:val="18"/>
    </w:rPr>
  </w:style>
  <w:style w:type="paragraph" w:customStyle="1" w:styleId="TableNotes0">
    <w:name w:val="TableNotes+0"/>
    <w:basedOn w:val="TableNotes18"/>
    <w:rsid w:val="00943651"/>
    <w:pPr>
      <w:keepNext/>
      <w:spacing w:after="0"/>
    </w:pPr>
  </w:style>
  <w:style w:type="paragraph" w:styleId="CommentSubject">
    <w:name w:val="annotation subject"/>
    <w:basedOn w:val="CommentText"/>
    <w:next w:val="CommentText"/>
    <w:link w:val="CommentSubjectChar"/>
    <w:rsid w:val="00943651"/>
    <w:rPr>
      <w:rFonts w:ascii="Arial" w:hAnsi="Arial" w:cs="Arial"/>
      <w:b/>
      <w:bCs/>
    </w:rPr>
  </w:style>
  <w:style w:type="character" w:customStyle="1" w:styleId="CommentSubjectChar">
    <w:name w:val="Comment Subject Char"/>
    <w:basedOn w:val="CommentTextChar"/>
    <w:link w:val="CommentSubject"/>
    <w:rsid w:val="00943651"/>
    <w:rPr>
      <w:rFonts w:ascii="Arial" w:eastAsia="Times New Roman" w:hAnsi="Arial" w:cs="Arial"/>
      <w:b/>
      <w:bCs/>
      <w:snapToGrid w:val="0"/>
      <w:sz w:val="20"/>
      <w:szCs w:val="20"/>
    </w:rPr>
  </w:style>
  <w:style w:type="paragraph" w:styleId="BodyTextIndent">
    <w:name w:val="Body Text Indent"/>
    <w:basedOn w:val="Normal"/>
    <w:link w:val="BodyTextIndentChar"/>
    <w:rsid w:val="00943651"/>
    <w:pPr>
      <w:spacing w:after="120"/>
      <w:ind w:left="283"/>
    </w:pPr>
  </w:style>
  <w:style w:type="character" w:customStyle="1" w:styleId="BodyTextIndentChar">
    <w:name w:val="Body Text Indent Char"/>
    <w:basedOn w:val="DefaultParagraphFont"/>
    <w:link w:val="BodyTextIndent"/>
    <w:rsid w:val="00943651"/>
    <w:rPr>
      <w:rFonts w:ascii="Arial" w:eastAsia="Times New Roman" w:hAnsi="Arial" w:cs="Arial"/>
      <w:snapToGrid w:val="0"/>
      <w:szCs w:val="20"/>
    </w:rPr>
  </w:style>
  <w:style w:type="paragraph" w:customStyle="1" w:styleId="Char1CharCharChar">
    <w:name w:val="Char1 Char Char Char"/>
    <w:basedOn w:val="Normal"/>
    <w:rsid w:val="00943651"/>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943651"/>
  </w:style>
  <w:style w:type="paragraph" w:styleId="Subtitle">
    <w:name w:val="Subtitle"/>
    <w:basedOn w:val="Normal"/>
    <w:link w:val="SubtitleChar"/>
    <w:qFormat/>
    <w:rsid w:val="00943651"/>
    <w:pPr>
      <w:widowControl/>
    </w:pPr>
    <w:rPr>
      <w:rFonts w:asciiTheme="minorHAnsi" w:eastAsiaTheme="minorHAnsi" w:hAnsiTheme="minorHAnsi" w:cstheme="minorBidi"/>
      <w:snapToGrid/>
      <w:szCs w:val="22"/>
    </w:rPr>
  </w:style>
  <w:style w:type="character" w:customStyle="1" w:styleId="SubtitleChar1">
    <w:name w:val="Subtitle Char1"/>
    <w:basedOn w:val="DefaultParagraphFont"/>
    <w:rsid w:val="00943651"/>
    <w:rPr>
      <w:rFonts w:asciiTheme="majorHAnsi" w:eastAsiaTheme="majorEastAsia" w:hAnsiTheme="majorHAnsi" w:cstheme="majorBidi"/>
      <w:i/>
      <w:iCs/>
      <w:snapToGrid w:val="0"/>
      <w:color w:val="4F81BD" w:themeColor="accent1"/>
      <w:spacing w:val="15"/>
      <w:sz w:val="24"/>
      <w:szCs w:val="24"/>
    </w:rPr>
  </w:style>
  <w:style w:type="paragraph" w:customStyle="1" w:styleId="PBACHeading1">
    <w:name w:val="PBAC Heading 1"/>
    <w:qFormat/>
    <w:rsid w:val="00943651"/>
    <w:pPr>
      <w:numPr>
        <w:numId w:val="4"/>
      </w:numPr>
      <w:spacing w:after="0" w:line="240" w:lineRule="auto"/>
    </w:pPr>
    <w:rPr>
      <w:rFonts w:ascii="Arial" w:eastAsia="Times New Roman" w:hAnsi="Arial" w:cs="Arial"/>
      <w:b/>
      <w:snapToGrid w:val="0"/>
    </w:rPr>
  </w:style>
  <w:style w:type="paragraph" w:styleId="FootnoteText">
    <w:name w:val="footnote text"/>
    <w:basedOn w:val="Normal"/>
    <w:link w:val="FootnoteTextChar"/>
    <w:semiHidden/>
    <w:unhideWhenUsed/>
    <w:rsid w:val="00943651"/>
    <w:rPr>
      <w:sz w:val="20"/>
    </w:rPr>
  </w:style>
  <w:style w:type="character" w:customStyle="1" w:styleId="FootnoteTextChar">
    <w:name w:val="Footnote Text Char"/>
    <w:basedOn w:val="DefaultParagraphFont"/>
    <w:link w:val="FootnoteText"/>
    <w:semiHidden/>
    <w:rsid w:val="00943651"/>
    <w:rPr>
      <w:rFonts w:ascii="Arial" w:eastAsia="Times New Roman" w:hAnsi="Arial" w:cs="Arial"/>
      <w:snapToGrid w:val="0"/>
      <w:sz w:val="20"/>
      <w:szCs w:val="20"/>
    </w:rPr>
  </w:style>
  <w:style w:type="paragraph" w:customStyle="1" w:styleId="Table">
    <w:name w:val="Table"/>
    <w:basedOn w:val="Normal"/>
    <w:link w:val="TableChar"/>
    <w:qFormat/>
    <w:rsid w:val="00943651"/>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943651"/>
    <w:rPr>
      <w:rFonts w:ascii="Candara" w:eastAsiaTheme="majorEastAsia" w:hAnsi="Candara" w:cstheme="majorBidi"/>
      <w:sz w:val="20"/>
      <w:lang w:bidi="en-US"/>
    </w:rPr>
  </w:style>
  <w:style w:type="paragraph" w:customStyle="1" w:styleId="COMtbl-HEADLeftAligned">
    <w:name w:val="COMtbl-HEAD Left Aligned"/>
    <w:basedOn w:val="Normal"/>
    <w:qFormat/>
    <w:rsid w:val="00943651"/>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43651"/>
    <w:pPr>
      <w:jc w:val="center"/>
    </w:pPr>
  </w:style>
  <w:style w:type="paragraph" w:customStyle="1" w:styleId="COMTbl-foot">
    <w:name w:val="COMTbl-foot"/>
    <w:basedOn w:val="TableFooter"/>
    <w:link w:val="COMTbl-footChar"/>
    <w:qFormat/>
    <w:rsid w:val="00943651"/>
    <w:rPr>
      <w:rFonts w:ascii="Arial" w:hAnsi="Arial"/>
    </w:rPr>
  </w:style>
  <w:style w:type="character" w:customStyle="1" w:styleId="COMTbl-footChar">
    <w:name w:val="COMTbl-foot Char"/>
    <w:basedOn w:val="DefaultParagraphFont"/>
    <w:link w:val="COMTbl-foot"/>
    <w:rsid w:val="00943651"/>
    <w:rPr>
      <w:rFonts w:ascii="Arial" w:eastAsia="Times New Roman" w:hAnsi="Arial" w:cs="Arial"/>
      <w:snapToGrid w:val="0"/>
      <w:sz w:val="18"/>
      <w:szCs w:val="20"/>
    </w:rPr>
  </w:style>
  <w:style w:type="paragraph" w:customStyle="1" w:styleId="COMtbl-textLeftAligned">
    <w:name w:val="COMtbl-text Left Aligned"/>
    <w:basedOn w:val="COMtbl-HEADLeftAligned"/>
    <w:qFormat/>
    <w:rsid w:val="00943651"/>
    <w:rPr>
      <w:b w:val="0"/>
    </w:rPr>
  </w:style>
  <w:style w:type="paragraph" w:customStyle="1" w:styleId="COMtbl-textCentred">
    <w:name w:val="COMtbl-text Centred"/>
    <w:basedOn w:val="COMtbl-HEADCentred"/>
    <w:qFormat/>
    <w:rsid w:val="00943651"/>
    <w:rPr>
      <w:b w:val="0"/>
    </w:rPr>
  </w:style>
  <w:style w:type="paragraph" w:customStyle="1" w:styleId="COMBody">
    <w:name w:val="COMBody"/>
    <w:basedOn w:val="Normal"/>
    <w:link w:val="COMBodyChar"/>
    <w:qFormat/>
    <w:rsid w:val="00943651"/>
  </w:style>
  <w:style w:type="character" w:customStyle="1" w:styleId="COMBodyChar">
    <w:name w:val="COMBody Char"/>
    <w:basedOn w:val="DefaultParagraphFont"/>
    <w:link w:val="COMBody"/>
    <w:rsid w:val="00943651"/>
    <w:rPr>
      <w:rFonts w:ascii="Arial" w:eastAsia="Times New Roman" w:hAnsi="Arial" w:cs="Arial"/>
      <w:snapToGrid w:val="0"/>
      <w:szCs w:val="20"/>
    </w:rPr>
  </w:style>
  <w:style w:type="character" w:customStyle="1" w:styleId="li-content">
    <w:name w:val="li-content"/>
    <w:basedOn w:val="DefaultParagraphFont"/>
    <w:rsid w:val="00FD0CEB"/>
    <w:rPr>
      <w:color w:val="000000"/>
    </w:rPr>
  </w:style>
  <w:style w:type="paragraph" w:styleId="Revision">
    <w:name w:val="Revision"/>
    <w:hidden/>
    <w:uiPriority w:val="99"/>
    <w:semiHidden/>
    <w:rsid w:val="00DC151E"/>
    <w:pPr>
      <w:spacing w:after="0" w:line="240" w:lineRule="auto"/>
    </w:pPr>
    <w:rPr>
      <w:rFonts w:ascii="Arial" w:eastAsia="Times New Roman" w:hAnsi="Arial" w:cs="Arial"/>
      <w:snapToGrid w:val="0"/>
      <w:szCs w:val="20"/>
    </w:rPr>
  </w:style>
  <w:style w:type="character" w:styleId="FootnoteReference">
    <w:name w:val="footnote reference"/>
    <w:basedOn w:val="DefaultParagraphFont"/>
    <w:semiHidden/>
    <w:unhideWhenUsed/>
    <w:rsid w:val="00DC15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51"/>
    <w:pPr>
      <w:widowControl w:val="0"/>
      <w:spacing w:after="0" w:line="240" w:lineRule="auto"/>
      <w:jc w:val="both"/>
    </w:pPr>
    <w:rPr>
      <w:rFonts w:ascii="Arial" w:eastAsia="Times New Roman" w:hAnsi="Arial" w:cs="Arial"/>
      <w:snapToGrid w:val="0"/>
      <w:szCs w:val="20"/>
    </w:rPr>
  </w:style>
  <w:style w:type="paragraph" w:styleId="Heading1">
    <w:name w:val="heading 1"/>
    <w:basedOn w:val="PBACHeading1"/>
    <w:next w:val="Normal"/>
    <w:link w:val="Heading1Char"/>
    <w:qFormat/>
    <w:rsid w:val="00FA0151"/>
    <w:pPr>
      <w:outlineLvl w:val="0"/>
    </w:pPr>
  </w:style>
  <w:style w:type="paragraph" w:styleId="Heading2">
    <w:name w:val="heading 2"/>
    <w:basedOn w:val="Normal"/>
    <w:next w:val="Normal"/>
    <w:link w:val="Heading2Char"/>
    <w:qFormat/>
    <w:rsid w:val="00FA0151"/>
    <w:pPr>
      <w:outlineLvl w:val="1"/>
    </w:pPr>
    <w:rPr>
      <w:b/>
      <w:i/>
    </w:rPr>
  </w:style>
  <w:style w:type="paragraph" w:styleId="Heading3">
    <w:name w:val="heading 3"/>
    <w:basedOn w:val="Normal"/>
    <w:next w:val="Normal"/>
    <w:link w:val="Heading3Char"/>
    <w:qFormat/>
    <w:rsid w:val="00943651"/>
    <w:pPr>
      <w:outlineLvl w:val="2"/>
    </w:pPr>
    <w:rPr>
      <w:u w:val="single"/>
    </w:rPr>
  </w:style>
  <w:style w:type="paragraph" w:styleId="Heading4">
    <w:name w:val="heading 4"/>
    <w:basedOn w:val="Normal"/>
    <w:next w:val="Normal"/>
    <w:link w:val="Heading4Char"/>
    <w:rsid w:val="00943651"/>
    <w:pPr>
      <w:keepNext/>
      <w:spacing w:before="240" w:after="60"/>
      <w:outlineLvl w:val="3"/>
    </w:pPr>
    <w:rPr>
      <w:b/>
      <w:bCs/>
      <w:i/>
      <w:sz w:val="26"/>
      <w:szCs w:val="28"/>
    </w:rPr>
  </w:style>
  <w:style w:type="paragraph" w:styleId="Heading5">
    <w:name w:val="heading 5"/>
    <w:basedOn w:val="Normal"/>
    <w:next w:val="Normal"/>
    <w:link w:val="Heading5Char"/>
    <w:rsid w:val="00943651"/>
    <w:pPr>
      <w:spacing w:before="240" w:after="60"/>
      <w:outlineLvl w:val="4"/>
    </w:pPr>
    <w:rPr>
      <w:b/>
      <w:bCs/>
      <w:iCs/>
      <w:sz w:val="26"/>
      <w:szCs w:val="26"/>
    </w:rPr>
  </w:style>
  <w:style w:type="paragraph" w:styleId="Heading6">
    <w:name w:val="heading 6"/>
    <w:basedOn w:val="Normal"/>
    <w:next w:val="Normal"/>
    <w:link w:val="Heading6Char"/>
    <w:rsid w:val="00943651"/>
    <w:pPr>
      <w:spacing w:before="240" w:after="60"/>
      <w:outlineLvl w:val="5"/>
    </w:pPr>
    <w:rPr>
      <w:b/>
      <w:bCs/>
      <w:i/>
      <w:szCs w:val="22"/>
    </w:rPr>
  </w:style>
  <w:style w:type="paragraph" w:styleId="Heading7">
    <w:name w:val="heading 7"/>
    <w:basedOn w:val="Normal"/>
    <w:next w:val="Normal"/>
    <w:link w:val="Heading7Char"/>
    <w:rsid w:val="00943651"/>
    <w:pPr>
      <w:keepNext/>
      <w:jc w:val="center"/>
      <w:outlineLvl w:val="6"/>
    </w:pPr>
    <w:rPr>
      <w:b/>
      <w:sz w:val="20"/>
    </w:rPr>
  </w:style>
  <w:style w:type="paragraph" w:styleId="Heading8">
    <w:name w:val="heading 8"/>
    <w:basedOn w:val="Normal"/>
    <w:next w:val="Normal"/>
    <w:link w:val="Heading8Char"/>
    <w:rsid w:val="00943651"/>
    <w:pPr>
      <w:keepNext/>
      <w:jc w:val="right"/>
      <w:outlineLvl w:val="7"/>
    </w:pPr>
    <w:rPr>
      <w:b/>
    </w:rPr>
  </w:style>
  <w:style w:type="paragraph" w:styleId="Heading9">
    <w:name w:val="heading 9"/>
    <w:basedOn w:val="Normal"/>
    <w:next w:val="Normal"/>
    <w:link w:val="Heading9Char"/>
    <w:rsid w:val="009436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151"/>
    <w:rPr>
      <w:rFonts w:ascii="Arial" w:eastAsia="Times New Roman" w:hAnsi="Arial" w:cs="Arial"/>
      <w:b/>
      <w:snapToGrid w:val="0"/>
    </w:rPr>
  </w:style>
  <w:style w:type="character" w:customStyle="1" w:styleId="Heading2Char">
    <w:name w:val="Heading 2 Char"/>
    <w:basedOn w:val="DefaultParagraphFont"/>
    <w:link w:val="Heading2"/>
    <w:rsid w:val="00FA0151"/>
    <w:rPr>
      <w:rFonts w:ascii="Arial" w:eastAsia="Times New Roman" w:hAnsi="Arial" w:cs="Arial"/>
      <w:b/>
      <w:i/>
      <w:snapToGrid w:val="0"/>
      <w:szCs w:val="20"/>
    </w:rPr>
  </w:style>
  <w:style w:type="character" w:customStyle="1" w:styleId="Heading3Char">
    <w:name w:val="Heading 3 Char"/>
    <w:basedOn w:val="DefaultParagraphFont"/>
    <w:link w:val="Heading3"/>
    <w:rsid w:val="00943651"/>
    <w:rPr>
      <w:rFonts w:ascii="Arial" w:eastAsia="Times New Roman" w:hAnsi="Arial" w:cs="Arial"/>
      <w:snapToGrid w:val="0"/>
      <w:szCs w:val="20"/>
      <w:u w:val="single"/>
    </w:rPr>
  </w:style>
  <w:style w:type="character" w:customStyle="1" w:styleId="Heading4Char">
    <w:name w:val="Heading 4 Char"/>
    <w:basedOn w:val="DefaultParagraphFont"/>
    <w:link w:val="Heading4"/>
    <w:rsid w:val="00943651"/>
    <w:rPr>
      <w:rFonts w:ascii="Arial" w:eastAsia="Times New Roman" w:hAnsi="Arial" w:cs="Arial"/>
      <w:b/>
      <w:bCs/>
      <w:i/>
      <w:snapToGrid w:val="0"/>
      <w:sz w:val="26"/>
      <w:szCs w:val="28"/>
    </w:rPr>
  </w:style>
  <w:style w:type="character" w:customStyle="1" w:styleId="Heading5Char">
    <w:name w:val="Heading 5 Char"/>
    <w:basedOn w:val="DefaultParagraphFont"/>
    <w:link w:val="Heading5"/>
    <w:rsid w:val="00943651"/>
    <w:rPr>
      <w:rFonts w:ascii="Arial" w:eastAsia="Times New Roman" w:hAnsi="Arial" w:cs="Arial"/>
      <w:b/>
      <w:bCs/>
      <w:iCs/>
      <w:snapToGrid w:val="0"/>
      <w:sz w:val="26"/>
      <w:szCs w:val="26"/>
    </w:rPr>
  </w:style>
  <w:style w:type="character" w:customStyle="1" w:styleId="Heading6Char">
    <w:name w:val="Heading 6 Char"/>
    <w:basedOn w:val="DefaultParagraphFont"/>
    <w:link w:val="Heading6"/>
    <w:rsid w:val="00943651"/>
    <w:rPr>
      <w:rFonts w:ascii="Arial" w:eastAsia="Times New Roman" w:hAnsi="Arial" w:cs="Arial"/>
      <w:b/>
      <w:bCs/>
      <w:i/>
      <w:snapToGrid w:val="0"/>
    </w:rPr>
  </w:style>
  <w:style w:type="character" w:customStyle="1" w:styleId="Heading7Char">
    <w:name w:val="Heading 7 Char"/>
    <w:basedOn w:val="DefaultParagraphFont"/>
    <w:link w:val="Heading7"/>
    <w:rsid w:val="00943651"/>
    <w:rPr>
      <w:rFonts w:ascii="Arial" w:eastAsia="Times New Roman" w:hAnsi="Arial" w:cs="Arial"/>
      <w:b/>
      <w:snapToGrid w:val="0"/>
      <w:sz w:val="20"/>
      <w:szCs w:val="20"/>
    </w:rPr>
  </w:style>
  <w:style w:type="character" w:customStyle="1" w:styleId="Heading8Char">
    <w:name w:val="Heading 8 Char"/>
    <w:basedOn w:val="DefaultParagraphFont"/>
    <w:link w:val="Heading8"/>
    <w:rsid w:val="00943651"/>
    <w:rPr>
      <w:rFonts w:ascii="Arial" w:eastAsia="Times New Roman" w:hAnsi="Arial" w:cs="Arial"/>
      <w:b/>
      <w:snapToGrid w:val="0"/>
      <w:szCs w:val="20"/>
    </w:rPr>
  </w:style>
  <w:style w:type="character" w:customStyle="1" w:styleId="Heading9Char">
    <w:name w:val="Heading 9 Char"/>
    <w:basedOn w:val="DefaultParagraphFont"/>
    <w:link w:val="Heading9"/>
    <w:rsid w:val="00943651"/>
    <w:rPr>
      <w:rFonts w:ascii="Arial" w:eastAsia="Times New Roman" w:hAnsi="Arial" w:cs="Arial"/>
      <w:b/>
      <w:snapToGrid w:val="0"/>
      <w:color w:val="000000"/>
      <w:sz w:val="20"/>
      <w:szCs w:val="20"/>
    </w:rPr>
  </w:style>
  <w:style w:type="paragraph" w:customStyle="1" w:styleId="TableFooter">
    <w:name w:val="Table Footer"/>
    <w:basedOn w:val="Normal"/>
    <w:qFormat/>
    <w:rsid w:val="00943651"/>
    <w:rPr>
      <w:rFonts w:ascii="Arial Narrow" w:hAnsi="Arial Narrow"/>
      <w:sz w:val="18"/>
    </w:rPr>
  </w:style>
  <w:style w:type="paragraph" w:customStyle="1" w:styleId="TableHeader">
    <w:name w:val="Table Header"/>
    <w:basedOn w:val="Normal"/>
    <w:rsid w:val="00943651"/>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nhideWhenUsed/>
    <w:qFormat/>
    <w:rsid w:val="009436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35"/>
    <w:rsid w:val="00943651"/>
    <w:rPr>
      <w:rFonts w:ascii="Arial" w:eastAsia="Times New Roman" w:hAnsi="Arial" w:cs="Arial"/>
      <w:b/>
      <w:bCs/>
      <w:snapToGrid w:val="0"/>
      <w:color w:val="4F81BD" w:themeColor="accent1"/>
      <w:sz w:val="18"/>
      <w:szCs w:val="18"/>
    </w:rPr>
  </w:style>
  <w:style w:type="paragraph" w:styleId="Title">
    <w:name w:val="Title"/>
    <w:basedOn w:val="Normal"/>
    <w:next w:val="Normal"/>
    <w:link w:val="TitleChar"/>
    <w:qFormat/>
    <w:rsid w:val="009436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43651"/>
    <w:rPr>
      <w:rFonts w:ascii="Cambria" w:eastAsia="Times New Roman" w:hAnsi="Cambria" w:cs="Arial"/>
      <w:b/>
      <w:bCs/>
      <w:snapToGrid w:val="0"/>
      <w:kern w:val="28"/>
      <w:sz w:val="32"/>
      <w:szCs w:val="32"/>
    </w:rPr>
  </w:style>
  <w:style w:type="paragraph" w:styleId="BodyText">
    <w:name w:val="Body Text"/>
    <w:basedOn w:val="Normal"/>
    <w:link w:val="BodyTextChar"/>
    <w:qFormat/>
    <w:rsid w:val="00943651"/>
    <w:pPr>
      <w:jc w:val="left"/>
    </w:pPr>
  </w:style>
  <w:style w:type="character" w:customStyle="1" w:styleId="BodyTextChar">
    <w:name w:val="Body Text Char"/>
    <w:basedOn w:val="DefaultParagraphFont"/>
    <w:link w:val="BodyText"/>
    <w:rsid w:val="00943651"/>
    <w:rPr>
      <w:rFonts w:ascii="Arial" w:eastAsia="Times New Roman" w:hAnsi="Arial" w:cs="Arial"/>
      <w:snapToGrid w:val="0"/>
      <w:szCs w:val="20"/>
    </w:rPr>
  </w:style>
  <w:style w:type="paragraph" w:styleId="ListParagraph">
    <w:name w:val="List Paragraph"/>
    <w:basedOn w:val="Normal"/>
    <w:uiPriority w:val="72"/>
    <w:qFormat/>
    <w:rsid w:val="00943651"/>
    <w:pPr>
      <w:ind w:left="720"/>
      <w:contextualSpacing/>
    </w:pPr>
  </w:style>
  <w:style w:type="paragraph" w:customStyle="1" w:styleId="RegularText">
    <w:name w:val="Regular Text"/>
    <w:basedOn w:val="BodyText"/>
    <w:link w:val="RegularTextChar"/>
    <w:rsid w:val="00943651"/>
    <w:rPr>
      <w:b/>
    </w:rPr>
  </w:style>
  <w:style w:type="character" w:customStyle="1" w:styleId="RegularTextChar">
    <w:name w:val="Regular Text Char"/>
    <w:basedOn w:val="BodyTextChar"/>
    <w:link w:val="RegularText"/>
    <w:rsid w:val="00943651"/>
    <w:rPr>
      <w:rFonts w:ascii="Arial" w:eastAsia="Times New Roman" w:hAnsi="Arial" w:cs="Arial"/>
      <w:b/>
      <w:snapToGrid w:val="0"/>
      <w:szCs w:val="20"/>
    </w:rPr>
  </w:style>
  <w:style w:type="paragraph" w:styleId="NoSpacing">
    <w:name w:val="No Spacing"/>
    <w:uiPriority w:val="1"/>
    <w:qFormat/>
    <w:rsid w:val="00943651"/>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uiPriority w:val="99"/>
    <w:rsid w:val="009436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943651"/>
    <w:rPr>
      <w:rFonts w:ascii="Arial" w:eastAsia="Times New Roman" w:hAnsi="Arial" w:cs="Arial"/>
      <w:snapToGrid w:val="0"/>
      <w:szCs w:val="20"/>
    </w:rPr>
  </w:style>
  <w:style w:type="paragraph" w:styleId="Footer">
    <w:name w:val="footer"/>
    <w:basedOn w:val="Normal"/>
    <w:link w:val="FooterChar"/>
    <w:uiPriority w:val="99"/>
    <w:rsid w:val="00943651"/>
    <w:pPr>
      <w:tabs>
        <w:tab w:val="center" w:pos="4513"/>
        <w:tab w:val="right" w:pos="9026"/>
      </w:tabs>
    </w:pPr>
  </w:style>
  <w:style w:type="character" w:customStyle="1" w:styleId="FooterChar">
    <w:name w:val="Footer Char"/>
    <w:basedOn w:val="DefaultParagraphFont"/>
    <w:link w:val="Footer"/>
    <w:uiPriority w:val="99"/>
    <w:rsid w:val="00943651"/>
    <w:rPr>
      <w:rFonts w:ascii="Arial" w:eastAsia="Times New Roman" w:hAnsi="Arial" w:cs="Arial"/>
      <w:snapToGrid w:val="0"/>
      <w:szCs w:val="20"/>
    </w:rPr>
  </w:style>
  <w:style w:type="table" w:styleId="TableGrid">
    <w:name w:val="Table Grid"/>
    <w:aliases w:val="Summary box"/>
    <w:basedOn w:val="TableNormal"/>
    <w:uiPriority w:val="59"/>
    <w:rsid w:val="009436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943651"/>
    <w:rPr>
      <w:rFonts w:ascii="Arial Narrow" w:hAnsi="Arial Narrow"/>
      <w:b/>
      <w:sz w:val="20"/>
      <w:szCs w:val="16"/>
    </w:rPr>
  </w:style>
  <w:style w:type="paragraph" w:customStyle="1" w:styleId="Tabletext">
    <w:name w:val="Table text"/>
    <w:basedOn w:val="Normal"/>
    <w:link w:val="TabletextChar"/>
    <w:rsid w:val="00943651"/>
    <w:pPr>
      <w:widowControl/>
      <w:spacing w:after="120"/>
      <w:jc w:val="left"/>
    </w:pPr>
    <w:rPr>
      <w:rFonts w:cs="Times New Roman"/>
      <w:snapToGrid/>
      <w:sz w:val="20"/>
    </w:rPr>
  </w:style>
  <w:style w:type="character" w:customStyle="1" w:styleId="TabletextChar">
    <w:name w:val="Table text Char"/>
    <w:link w:val="Tabletext"/>
    <w:rsid w:val="00943651"/>
    <w:rPr>
      <w:rFonts w:ascii="Arial" w:eastAsia="Times New Roman" w:hAnsi="Arial" w:cs="Times New Roman"/>
      <w:sz w:val="20"/>
      <w:szCs w:val="20"/>
    </w:rPr>
  </w:style>
  <w:style w:type="paragraph" w:customStyle="1" w:styleId="TableHeading">
    <w:name w:val="TableHeading"/>
    <w:basedOn w:val="Normal"/>
    <w:rsid w:val="00943651"/>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943651"/>
    <w:pPr>
      <w:widowControl/>
      <w:jc w:val="both"/>
    </w:pPr>
    <w:rPr>
      <w:rFonts w:ascii="Times" w:hAnsi="Times" w:cs="Times New Roman"/>
      <w:snapToGrid/>
      <w:sz w:val="24"/>
      <w:lang w:val="en-US"/>
    </w:rPr>
  </w:style>
  <w:style w:type="paragraph" w:styleId="NormalWeb">
    <w:name w:val="Normal (Web)"/>
    <w:basedOn w:val="Normal"/>
    <w:uiPriority w:val="99"/>
    <w:rsid w:val="00943651"/>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943651"/>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943651"/>
    <w:pPr>
      <w:spacing w:before="240" w:after="120"/>
      <w:jc w:val="left"/>
    </w:pPr>
    <w:rPr>
      <w:bCs/>
      <w:sz w:val="20"/>
    </w:rPr>
  </w:style>
  <w:style w:type="character" w:styleId="Hyperlink">
    <w:name w:val="Hyperlink"/>
    <w:basedOn w:val="DefaultParagraphFont"/>
    <w:uiPriority w:val="99"/>
    <w:unhideWhenUsed/>
    <w:rsid w:val="00943651"/>
    <w:rPr>
      <w:color w:val="0000FF" w:themeColor="hyperlink"/>
      <w:u w:val="single"/>
    </w:rPr>
  </w:style>
  <w:style w:type="paragraph" w:styleId="TOCHeading">
    <w:name w:val="TOC Heading"/>
    <w:basedOn w:val="Heading1"/>
    <w:next w:val="Normal"/>
    <w:uiPriority w:val="39"/>
    <w:unhideWhenUsed/>
    <w:rsid w:val="00943651"/>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943651"/>
    <w:pPr>
      <w:ind w:left="440"/>
      <w:jc w:val="left"/>
    </w:pPr>
    <w:rPr>
      <w:rFonts w:asciiTheme="minorHAnsi" w:hAnsiTheme="minorHAnsi"/>
      <w:sz w:val="20"/>
    </w:rPr>
  </w:style>
  <w:style w:type="paragraph" w:styleId="BalloonText">
    <w:name w:val="Balloon Text"/>
    <w:basedOn w:val="Normal"/>
    <w:link w:val="BalloonTextChar"/>
    <w:uiPriority w:val="99"/>
    <w:rsid w:val="00943651"/>
    <w:rPr>
      <w:rFonts w:ascii="Tahoma" w:hAnsi="Tahoma" w:cs="Tahoma"/>
      <w:sz w:val="16"/>
      <w:szCs w:val="16"/>
    </w:rPr>
  </w:style>
  <w:style w:type="character" w:customStyle="1" w:styleId="BalloonTextChar">
    <w:name w:val="Balloon Text Char"/>
    <w:basedOn w:val="DefaultParagraphFont"/>
    <w:link w:val="BalloonText"/>
    <w:uiPriority w:val="99"/>
    <w:rsid w:val="00943651"/>
    <w:rPr>
      <w:rFonts w:ascii="Tahoma" w:eastAsia="Times New Roman" w:hAnsi="Tahoma" w:cs="Tahoma"/>
      <w:snapToGrid w:val="0"/>
      <w:sz w:val="16"/>
      <w:szCs w:val="16"/>
    </w:rPr>
  </w:style>
  <w:style w:type="paragraph" w:styleId="BodyText3">
    <w:name w:val="Body Text 3"/>
    <w:basedOn w:val="Normal"/>
    <w:link w:val="BodyText3Char"/>
    <w:rsid w:val="00943651"/>
    <w:pPr>
      <w:spacing w:after="120"/>
    </w:pPr>
    <w:rPr>
      <w:sz w:val="16"/>
      <w:szCs w:val="16"/>
    </w:rPr>
  </w:style>
  <w:style w:type="character" w:customStyle="1" w:styleId="BodyText3Char">
    <w:name w:val="Body Text 3 Char"/>
    <w:basedOn w:val="DefaultParagraphFont"/>
    <w:link w:val="BodyText3"/>
    <w:rsid w:val="00943651"/>
    <w:rPr>
      <w:rFonts w:ascii="Arial" w:eastAsia="Times New Roman" w:hAnsi="Arial" w:cs="Arial"/>
      <w:snapToGrid w:val="0"/>
      <w:sz w:val="16"/>
      <w:szCs w:val="16"/>
    </w:rPr>
  </w:style>
  <w:style w:type="paragraph" w:styleId="TOC4">
    <w:name w:val="toc 4"/>
    <w:basedOn w:val="Normal"/>
    <w:next w:val="Normal"/>
    <w:autoRedefine/>
    <w:rsid w:val="00943651"/>
    <w:pPr>
      <w:ind w:left="660"/>
      <w:jc w:val="left"/>
    </w:pPr>
    <w:rPr>
      <w:rFonts w:asciiTheme="minorHAnsi" w:hAnsiTheme="minorHAnsi"/>
      <w:sz w:val="20"/>
    </w:rPr>
  </w:style>
  <w:style w:type="paragraph" w:styleId="TOC5">
    <w:name w:val="toc 5"/>
    <w:basedOn w:val="Normal"/>
    <w:next w:val="Normal"/>
    <w:autoRedefine/>
    <w:rsid w:val="00943651"/>
    <w:pPr>
      <w:ind w:left="880"/>
      <w:jc w:val="left"/>
    </w:pPr>
    <w:rPr>
      <w:rFonts w:asciiTheme="minorHAnsi" w:hAnsiTheme="minorHAnsi"/>
      <w:sz w:val="20"/>
    </w:rPr>
  </w:style>
  <w:style w:type="paragraph" w:styleId="TOC6">
    <w:name w:val="toc 6"/>
    <w:basedOn w:val="Normal"/>
    <w:next w:val="Normal"/>
    <w:autoRedefine/>
    <w:rsid w:val="00943651"/>
    <w:pPr>
      <w:ind w:left="1100"/>
      <w:jc w:val="left"/>
    </w:pPr>
    <w:rPr>
      <w:rFonts w:asciiTheme="minorHAnsi" w:hAnsiTheme="minorHAnsi"/>
      <w:sz w:val="20"/>
    </w:rPr>
  </w:style>
  <w:style w:type="paragraph" w:styleId="TOC7">
    <w:name w:val="toc 7"/>
    <w:basedOn w:val="Normal"/>
    <w:next w:val="Normal"/>
    <w:autoRedefine/>
    <w:rsid w:val="00943651"/>
    <w:pPr>
      <w:ind w:left="1320"/>
      <w:jc w:val="left"/>
    </w:pPr>
    <w:rPr>
      <w:rFonts w:asciiTheme="minorHAnsi" w:hAnsiTheme="minorHAnsi"/>
      <w:sz w:val="20"/>
    </w:rPr>
  </w:style>
  <w:style w:type="paragraph" w:styleId="TOC8">
    <w:name w:val="toc 8"/>
    <w:basedOn w:val="Normal"/>
    <w:next w:val="Normal"/>
    <w:autoRedefine/>
    <w:rsid w:val="00943651"/>
    <w:pPr>
      <w:ind w:left="1540"/>
      <w:jc w:val="left"/>
    </w:pPr>
    <w:rPr>
      <w:rFonts w:asciiTheme="minorHAnsi" w:hAnsiTheme="minorHAnsi"/>
      <w:sz w:val="20"/>
    </w:rPr>
  </w:style>
  <w:style w:type="paragraph" w:styleId="TOC9">
    <w:name w:val="toc 9"/>
    <w:basedOn w:val="Normal"/>
    <w:next w:val="Normal"/>
    <w:autoRedefine/>
    <w:rsid w:val="00943651"/>
    <w:pPr>
      <w:ind w:left="1760"/>
      <w:jc w:val="left"/>
    </w:pPr>
    <w:rPr>
      <w:rFonts w:asciiTheme="minorHAnsi" w:hAnsiTheme="minorHAnsi"/>
      <w:sz w:val="20"/>
    </w:rPr>
  </w:style>
  <w:style w:type="paragraph" w:styleId="BodyText2">
    <w:name w:val="Body Text 2"/>
    <w:basedOn w:val="Normal"/>
    <w:link w:val="BodyText2Char"/>
    <w:rsid w:val="00943651"/>
    <w:pPr>
      <w:spacing w:after="120" w:line="480" w:lineRule="auto"/>
    </w:pPr>
  </w:style>
  <w:style w:type="character" w:customStyle="1" w:styleId="BodyText2Char">
    <w:name w:val="Body Text 2 Char"/>
    <w:basedOn w:val="DefaultParagraphFont"/>
    <w:link w:val="BodyText2"/>
    <w:rsid w:val="00943651"/>
    <w:rPr>
      <w:rFonts w:ascii="Arial" w:eastAsia="Times New Roman" w:hAnsi="Arial" w:cs="Arial"/>
      <w:snapToGrid w:val="0"/>
      <w:szCs w:val="20"/>
    </w:rPr>
  </w:style>
  <w:style w:type="paragraph" w:styleId="CommentText">
    <w:name w:val="annotation text"/>
    <w:basedOn w:val="Normal"/>
    <w:link w:val="CommentTextChar"/>
    <w:rsid w:val="00943651"/>
    <w:rPr>
      <w:rFonts w:ascii="Times New Roman" w:hAnsi="Times New Roman" w:cs="Times New Roman"/>
      <w:sz w:val="20"/>
    </w:rPr>
  </w:style>
  <w:style w:type="character" w:customStyle="1" w:styleId="CommentTextChar">
    <w:name w:val="Comment Text Char"/>
    <w:basedOn w:val="DefaultParagraphFont"/>
    <w:link w:val="CommentText"/>
    <w:rsid w:val="00943651"/>
    <w:rPr>
      <w:rFonts w:ascii="Times New Roman" w:eastAsia="Times New Roman" w:hAnsi="Times New Roman" w:cs="Times New Roman"/>
      <w:snapToGrid w:val="0"/>
      <w:sz w:val="20"/>
      <w:szCs w:val="20"/>
    </w:rPr>
  </w:style>
  <w:style w:type="paragraph" w:customStyle="1" w:styleId="TableText0">
    <w:name w:val="TableText"/>
    <w:basedOn w:val="Normal"/>
    <w:rsid w:val="00943651"/>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943651"/>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943651"/>
    <w:pPr>
      <w:keepNext w:val="0"/>
      <w:keepLines/>
      <w:spacing w:before="0" w:after="360"/>
      <w:ind w:left="720"/>
    </w:pPr>
    <w:rPr>
      <w:sz w:val="18"/>
      <w:szCs w:val="18"/>
    </w:rPr>
  </w:style>
  <w:style w:type="paragraph" w:customStyle="1" w:styleId="TableNotes0">
    <w:name w:val="TableNotes+0"/>
    <w:basedOn w:val="TableNotes18"/>
    <w:rsid w:val="00943651"/>
    <w:pPr>
      <w:keepNext/>
      <w:spacing w:after="0"/>
    </w:pPr>
  </w:style>
  <w:style w:type="paragraph" w:styleId="CommentSubject">
    <w:name w:val="annotation subject"/>
    <w:basedOn w:val="CommentText"/>
    <w:next w:val="CommentText"/>
    <w:link w:val="CommentSubjectChar"/>
    <w:rsid w:val="00943651"/>
    <w:rPr>
      <w:rFonts w:ascii="Arial" w:hAnsi="Arial" w:cs="Arial"/>
      <w:b/>
      <w:bCs/>
    </w:rPr>
  </w:style>
  <w:style w:type="character" w:customStyle="1" w:styleId="CommentSubjectChar">
    <w:name w:val="Comment Subject Char"/>
    <w:basedOn w:val="CommentTextChar"/>
    <w:link w:val="CommentSubject"/>
    <w:rsid w:val="00943651"/>
    <w:rPr>
      <w:rFonts w:ascii="Arial" w:eastAsia="Times New Roman" w:hAnsi="Arial" w:cs="Arial"/>
      <w:b/>
      <w:bCs/>
      <w:snapToGrid w:val="0"/>
      <w:sz w:val="20"/>
      <w:szCs w:val="20"/>
    </w:rPr>
  </w:style>
  <w:style w:type="paragraph" w:styleId="BodyTextIndent">
    <w:name w:val="Body Text Indent"/>
    <w:basedOn w:val="Normal"/>
    <w:link w:val="BodyTextIndentChar"/>
    <w:rsid w:val="00943651"/>
    <w:pPr>
      <w:spacing w:after="120"/>
      <w:ind w:left="283"/>
    </w:pPr>
  </w:style>
  <w:style w:type="character" w:customStyle="1" w:styleId="BodyTextIndentChar">
    <w:name w:val="Body Text Indent Char"/>
    <w:basedOn w:val="DefaultParagraphFont"/>
    <w:link w:val="BodyTextIndent"/>
    <w:rsid w:val="00943651"/>
    <w:rPr>
      <w:rFonts w:ascii="Arial" w:eastAsia="Times New Roman" w:hAnsi="Arial" w:cs="Arial"/>
      <w:snapToGrid w:val="0"/>
      <w:szCs w:val="20"/>
    </w:rPr>
  </w:style>
  <w:style w:type="paragraph" w:customStyle="1" w:styleId="Char1CharCharChar">
    <w:name w:val="Char1 Char Char Char"/>
    <w:basedOn w:val="Normal"/>
    <w:rsid w:val="00943651"/>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943651"/>
  </w:style>
  <w:style w:type="paragraph" w:styleId="Subtitle">
    <w:name w:val="Subtitle"/>
    <w:basedOn w:val="Normal"/>
    <w:link w:val="SubtitleChar"/>
    <w:qFormat/>
    <w:rsid w:val="00943651"/>
    <w:pPr>
      <w:widowControl/>
    </w:pPr>
    <w:rPr>
      <w:rFonts w:asciiTheme="minorHAnsi" w:eastAsiaTheme="minorHAnsi" w:hAnsiTheme="minorHAnsi" w:cstheme="minorBidi"/>
      <w:snapToGrid/>
      <w:szCs w:val="22"/>
    </w:rPr>
  </w:style>
  <w:style w:type="character" w:customStyle="1" w:styleId="SubtitleChar1">
    <w:name w:val="Subtitle Char1"/>
    <w:basedOn w:val="DefaultParagraphFont"/>
    <w:rsid w:val="00943651"/>
    <w:rPr>
      <w:rFonts w:asciiTheme="majorHAnsi" w:eastAsiaTheme="majorEastAsia" w:hAnsiTheme="majorHAnsi" w:cstheme="majorBidi"/>
      <w:i/>
      <w:iCs/>
      <w:snapToGrid w:val="0"/>
      <w:color w:val="4F81BD" w:themeColor="accent1"/>
      <w:spacing w:val="15"/>
      <w:sz w:val="24"/>
      <w:szCs w:val="24"/>
    </w:rPr>
  </w:style>
  <w:style w:type="paragraph" w:customStyle="1" w:styleId="PBACHeading1">
    <w:name w:val="PBAC Heading 1"/>
    <w:qFormat/>
    <w:rsid w:val="00943651"/>
    <w:pPr>
      <w:numPr>
        <w:numId w:val="4"/>
      </w:numPr>
      <w:spacing w:after="0" w:line="240" w:lineRule="auto"/>
    </w:pPr>
    <w:rPr>
      <w:rFonts w:ascii="Arial" w:eastAsia="Times New Roman" w:hAnsi="Arial" w:cs="Arial"/>
      <w:b/>
      <w:snapToGrid w:val="0"/>
    </w:rPr>
  </w:style>
  <w:style w:type="paragraph" w:styleId="FootnoteText">
    <w:name w:val="footnote text"/>
    <w:basedOn w:val="Normal"/>
    <w:link w:val="FootnoteTextChar"/>
    <w:semiHidden/>
    <w:unhideWhenUsed/>
    <w:rsid w:val="00943651"/>
    <w:rPr>
      <w:sz w:val="20"/>
    </w:rPr>
  </w:style>
  <w:style w:type="character" w:customStyle="1" w:styleId="FootnoteTextChar">
    <w:name w:val="Footnote Text Char"/>
    <w:basedOn w:val="DefaultParagraphFont"/>
    <w:link w:val="FootnoteText"/>
    <w:semiHidden/>
    <w:rsid w:val="00943651"/>
    <w:rPr>
      <w:rFonts w:ascii="Arial" w:eastAsia="Times New Roman" w:hAnsi="Arial" w:cs="Arial"/>
      <w:snapToGrid w:val="0"/>
      <w:sz w:val="20"/>
      <w:szCs w:val="20"/>
    </w:rPr>
  </w:style>
  <w:style w:type="paragraph" w:customStyle="1" w:styleId="Table">
    <w:name w:val="Table"/>
    <w:basedOn w:val="Normal"/>
    <w:link w:val="TableChar"/>
    <w:qFormat/>
    <w:rsid w:val="00943651"/>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943651"/>
    <w:rPr>
      <w:rFonts w:ascii="Candara" w:eastAsiaTheme="majorEastAsia" w:hAnsi="Candara" w:cstheme="majorBidi"/>
      <w:sz w:val="20"/>
      <w:lang w:bidi="en-US"/>
    </w:rPr>
  </w:style>
  <w:style w:type="paragraph" w:customStyle="1" w:styleId="COMtbl-HEADLeftAligned">
    <w:name w:val="COMtbl-HEAD Left Aligned"/>
    <w:basedOn w:val="Normal"/>
    <w:qFormat/>
    <w:rsid w:val="00943651"/>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43651"/>
    <w:pPr>
      <w:jc w:val="center"/>
    </w:pPr>
  </w:style>
  <w:style w:type="paragraph" w:customStyle="1" w:styleId="COMTbl-foot">
    <w:name w:val="COMTbl-foot"/>
    <w:basedOn w:val="TableFooter"/>
    <w:link w:val="COMTbl-footChar"/>
    <w:qFormat/>
    <w:rsid w:val="00943651"/>
    <w:rPr>
      <w:rFonts w:ascii="Arial" w:hAnsi="Arial"/>
    </w:rPr>
  </w:style>
  <w:style w:type="character" w:customStyle="1" w:styleId="COMTbl-footChar">
    <w:name w:val="COMTbl-foot Char"/>
    <w:basedOn w:val="DefaultParagraphFont"/>
    <w:link w:val="COMTbl-foot"/>
    <w:rsid w:val="00943651"/>
    <w:rPr>
      <w:rFonts w:ascii="Arial" w:eastAsia="Times New Roman" w:hAnsi="Arial" w:cs="Arial"/>
      <w:snapToGrid w:val="0"/>
      <w:sz w:val="18"/>
      <w:szCs w:val="20"/>
    </w:rPr>
  </w:style>
  <w:style w:type="paragraph" w:customStyle="1" w:styleId="COMtbl-textLeftAligned">
    <w:name w:val="COMtbl-text Left Aligned"/>
    <w:basedOn w:val="COMtbl-HEADLeftAligned"/>
    <w:qFormat/>
    <w:rsid w:val="00943651"/>
    <w:rPr>
      <w:b w:val="0"/>
    </w:rPr>
  </w:style>
  <w:style w:type="paragraph" w:customStyle="1" w:styleId="COMtbl-textCentred">
    <w:name w:val="COMtbl-text Centred"/>
    <w:basedOn w:val="COMtbl-HEADCentred"/>
    <w:qFormat/>
    <w:rsid w:val="00943651"/>
    <w:rPr>
      <w:b w:val="0"/>
    </w:rPr>
  </w:style>
  <w:style w:type="paragraph" w:customStyle="1" w:styleId="COMBody">
    <w:name w:val="COMBody"/>
    <w:basedOn w:val="Normal"/>
    <w:link w:val="COMBodyChar"/>
    <w:qFormat/>
    <w:rsid w:val="00943651"/>
  </w:style>
  <w:style w:type="character" w:customStyle="1" w:styleId="COMBodyChar">
    <w:name w:val="COMBody Char"/>
    <w:basedOn w:val="DefaultParagraphFont"/>
    <w:link w:val="COMBody"/>
    <w:rsid w:val="00943651"/>
    <w:rPr>
      <w:rFonts w:ascii="Arial" w:eastAsia="Times New Roman" w:hAnsi="Arial" w:cs="Arial"/>
      <w:snapToGrid w:val="0"/>
      <w:szCs w:val="20"/>
    </w:rPr>
  </w:style>
  <w:style w:type="character" w:customStyle="1" w:styleId="li-content">
    <w:name w:val="li-content"/>
    <w:basedOn w:val="DefaultParagraphFont"/>
    <w:rsid w:val="00FD0CEB"/>
    <w:rPr>
      <w:color w:val="000000"/>
    </w:rPr>
  </w:style>
  <w:style w:type="paragraph" w:styleId="Revision">
    <w:name w:val="Revision"/>
    <w:hidden/>
    <w:uiPriority w:val="99"/>
    <w:semiHidden/>
    <w:rsid w:val="00DC151E"/>
    <w:pPr>
      <w:spacing w:after="0" w:line="240" w:lineRule="auto"/>
    </w:pPr>
    <w:rPr>
      <w:rFonts w:ascii="Arial" w:eastAsia="Times New Roman" w:hAnsi="Arial" w:cs="Arial"/>
      <w:snapToGrid w:val="0"/>
      <w:szCs w:val="20"/>
    </w:rPr>
  </w:style>
  <w:style w:type="character" w:styleId="FootnoteReference">
    <w:name w:val="footnote reference"/>
    <w:basedOn w:val="DefaultParagraphFont"/>
    <w:semiHidden/>
    <w:unhideWhenUsed/>
    <w:rsid w:val="00DC1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5211">
      <w:bodyDiv w:val="1"/>
      <w:marLeft w:val="0"/>
      <w:marRight w:val="0"/>
      <w:marTop w:val="0"/>
      <w:marBottom w:val="0"/>
      <w:divBdr>
        <w:top w:val="none" w:sz="0" w:space="0" w:color="auto"/>
        <w:left w:val="none" w:sz="0" w:space="0" w:color="auto"/>
        <w:bottom w:val="none" w:sz="0" w:space="0" w:color="auto"/>
        <w:right w:val="none" w:sz="0" w:space="0" w:color="auto"/>
      </w:divBdr>
    </w:div>
    <w:div w:id="405420538">
      <w:bodyDiv w:val="1"/>
      <w:marLeft w:val="0"/>
      <w:marRight w:val="0"/>
      <w:marTop w:val="0"/>
      <w:marBottom w:val="0"/>
      <w:divBdr>
        <w:top w:val="none" w:sz="0" w:space="0" w:color="auto"/>
        <w:left w:val="none" w:sz="0" w:space="0" w:color="auto"/>
        <w:bottom w:val="none" w:sz="0" w:space="0" w:color="auto"/>
        <w:right w:val="none" w:sz="0" w:space="0" w:color="auto"/>
      </w:divBdr>
    </w:div>
    <w:div w:id="658848165">
      <w:bodyDiv w:val="1"/>
      <w:marLeft w:val="0"/>
      <w:marRight w:val="0"/>
      <w:marTop w:val="0"/>
      <w:marBottom w:val="0"/>
      <w:divBdr>
        <w:top w:val="none" w:sz="0" w:space="0" w:color="auto"/>
        <w:left w:val="none" w:sz="0" w:space="0" w:color="auto"/>
        <w:bottom w:val="none" w:sz="0" w:space="0" w:color="auto"/>
        <w:right w:val="none" w:sz="0" w:space="0" w:color="auto"/>
      </w:divBdr>
    </w:div>
    <w:div w:id="1085953385">
      <w:bodyDiv w:val="1"/>
      <w:marLeft w:val="0"/>
      <w:marRight w:val="0"/>
      <w:marTop w:val="0"/>
      <w:marBottom w:val="0"/>
      <w:divBdr>
        <w:top w:val="none" w:sz="0" w:space="0" w:color="auto"/>
        <w:left w:val="none" w:sz="0" w:space="0" w:color="auto"/>
        <w:bottom w:val="none" w:sz="0" w:space="0" w:color="auto"/>
        <w:right w:val="none" w:sz="0" w:space="0" w:color="auto"/>
      </w:divBdr>
    </w:div>
    <w:div w:id="20942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1D4A-3BDD-44D2-8CAC-ACBB2B73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8330</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2016-06-21T00:48:00Z</dcterms:created>
  <dcterms:modified xsi:type="dcterms:W3CDTF">2016-06-22T02:13:00Z</dcterms:modified>
</cp:coreProperties>
</file>