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44" w:rsidRPr="0078239A" w:rsidRDefault="008F4479" w:rsidP="006C5F5C">
      <w:pPr>
        <w:pStyle w:val="Title"/>
        <w:pBdr>
          <w:bottom w:val="none" w:sz="0" w:space="0" w:color="auto"/>
        </w:pBdr>
        <w:spacing w:after="0"/>
        <w:ind w:left="720" w:hanging="720"/>
        <w:contextualSpacing w:val="0"/>
        <w:jc w:val="left"/>
        <w:outlineLvl w:val="0"/>
        <w:rPr>
          <w:b w:val="0"/>
          <w:sz w:val="28"/>
          <w:szCs w:val="28"/>
        </w:rPr>
      </w:pPr>
      <w:r w:rsidRPr="0078239A">
        <w:rPr>
          <w:sz w:val="28"/>
          <w:szCs w:val="28"/>
        </w:rPr>
        <w:t>6.13</w:t>
      </w:r>
      <w:r w:rsidR="00614F44" w:rsidRPr="0078239A">
        <w:rPr>
          <w:sz w:val="28"/>
          <w:szCs w:val="28"/>
        </w:rPr>
        <w:tab/>
      </w:r>
      <w:r w:rsidRPr="006C0097">
        <w:rPr>
          <w:rFonts w:eastAsia="Times New Roman" w:cs="Times New Roman"/>
          <w:kern w:val="0"/>
          <w:sz w:val="28"/>
          <w:szCs w:val="28"/>
        </w:rPr>
        <w:t>FOL</w:t>
      </w:r>
      <w:r w:rsidR="00C26032" w:rsidRPr="006C0097">
        <w:rPr>
          <w:rFonts w:eastAsia="Times New Roman" w:cs="Times New Roman"/>
          <w:kern w:val="0"/>
          <w:sz w:val="28"/>
          <w:szCs w:val="28"/>
        </w:rPr>
        <w:t>LI</w:t>
      </w:r>
      <w:r w:rsidRPr="006C0097">
        <w:rPr>
          <w:rFonts w:eastAsia="Times New Roman" w:cs="Times New Roman"/>
          <w:kern w:val="0"/>
          <w:sz w:val="28"/>
          <w:szCs w:val="28"/>
        </w:rPr>
        <w:t>TROPIN ALFA</w:t>
      </w:r>
      <w:r w:rsidR="00A67A6F" w:rsidRPr="006C0097">
        <w:rPr>
          <w:rFonts w:eastAsia="Times New Roman" w:cs="Times New Roman"/>
          <w:kern w:val="0"/>
          <w:sz w:val="28"/>
          <w:szCs w:val="28"/>
        </w:rPr>
        <w:t xml:space="preserve"> </w:t>
      </w:r>
      <w:r w:rsidR="005638F3" w:rsidRPr="006C0097">
        <w:rPr>
          <w:rFonts w:eastAsia="Times New Roman" w:cs="Times New Roman"/>
          <w:kern w:val="0"/>
          <w:sz w:val="28"/>
          <w:szCs w:val="28"/>
        </w:rPr>
        <w:t xml:space="preserve">+ LUTROPIN ALFA </w:t>
      </w:r>
      <w:r w:rsidR="00A67A6F" w:rsidRPr="006C0097">
        <w:rPr>
          <w:rFonts w:eastAsia="Times New Roman" w:cs="Times New Roman"/>
          <w:kern w:val="0"/>
          <w:sz w:val="28"/>
          <w:szCs w:val="28"/>
        </w:rPr>
        <w:t>AND</w:t>
      </w:r>
      <w:r w:rsidR="00EE492E" w:rsidRPr="006C0097">
        <w:rPr>
          <w:rFonts w:eastAsia="Times New Roman" w:cs="Times New Roman"/>
          <w:kern w:val="0"/>
          <w:sz w:val="28"/>
          <w:szCs w:val="28"/>
        </w:rPr>
        <w:t xml:space="preserve"> LUTROPIN ALFA</w:t>
      </w:r>
      <w:r w:rsidR="006C5F5C">
        <w:rPr>
          <w:rFonts w:eastAsia="Times New Roman" w:cs="Times New Roman"/>
          <w:kern w:val="0"/>
          <w:sz w:val="28"/>
          <w:szCs w:val="28"/>
        </w:rPr>
        <w:t xml:space="preserve"> </w:t>
      </w:r>
      <w:r w:rsidR="006C5F5C">
        <w:rPr>
          <w:rFonts w:eastAsia="Times New Roman" w:cs="Times New Roman"/>
          <w:kern w:val="0"/>
          <w:sz w:val="28"/>
          <w:szCs w:val="28"/>
        </w:rPr>
        <w:br/>
      </w:r>
      <w:r w:rsidR="005638F3" w:rsidRPr="006C0097">
        <w:rPr>
          <w:rFonts w:eastAsia="Times New Roman" w:cs="Times New Roman"/>
          <w:kern w:val="0"/>
          <w:sz w:val="28"/>
          <w:szCs w:val="28"/>
        </w:rPr>
        <w:t>follitropin alfa 150 units + lutropin alfa 75 units [1 vial] (&amp;) inert substance diluent [1 vial], 1 pack</w:t>
      </w:r>
      <w:r w:rsidR="006C5F5C">
        <w:rPr>
          <w:rFonts w:eastAsia="Times New Roman" w:cs="Times New Roman"/>
          <w:kern w:val="0"/>
          <w:sz w:val="28"/>
          <w:szCs w:val="28"/>
        </w:rPr>
        <w:t xml:space="preserve"> </w:t>
      </w:r>
      <w:r w:rsidR="006C5F5C">
        <w:rPr>
          <w:rFonts w:eastAsia="Times New Roman" w:cs="Times New Roman"/>
          <w:kern w:val="0"/>
          <w:sz w:val="28"/>
          <w:szCs w:val="28"/>
        </w:rPr>
        <w:br/>
      </w:r>
      <w:r w:rsidR="005638F3" w:rsidRPr="006C0097">
        <w:rPr>
          <w:rFonts w:eastAsia="Times New Roman" w:cs="Times New Roman"/>
          <w:kern w:val="0"/>
          <w:sz w:val="28"/>
          <w:szCs w:val="28"/>
        </w:rPr>
        <w:t>lutropin alfa 75 international units injection [1 x 75 international units vial] (&amp;) inert substance diluent [1 x 1 mL vial], 1 pack</w:t>
      </w:r>
      <w:r w:rsidR="006C5F5C">
        <w:rPr>
          <w:rFonts w:eastAsia="Times New Roman" w:cs="Times New Roman"/>
          <w:kern w:val="0"/>
          <w:sz w:val="28"/>
          <w:szCs w:val="28"/>
        </w:rPr>
        <w:t xml:space="preserve"> </w:t>
      </w:r>
      <w:r w:rsidR="006C5F5C">
        <w:rPr>
          <w:rFonts w:eastAsia="Times New Roman" w:cs="Times New Roman"/>
          <w:kern w:val="0"/>
          <w:sz w:val="28"/>
          <w:szCs w:val="28"/>
        </w:rPr>
        <w:br/>
      </w:r>
      <w:r w:rsidRPr="006C0097">
        <w:rPr>
          <w:rFonts w:eastAsia="Times New Roman" w:cs="Times New Roman"/>
          <w:kern w:val="0"/>
          <w:sz w:val="28"/>
          <w:szCs w:val="28"/>
        </w:rPr>
        <w:t>Pergoveris®</w:t>
      </w:r>
      <w:r w:rsidR="00C26032" w:rsidRPr="006C0097">
        <w:rPr>
          <w:rFonts w:eastAsia="Times New Roman" w:cs="Times New Roman"/>
          <w:kern w:val="0"/>
          <w:sz w:val="28"/>
          <w:szCs w:val="28"/>
        </w:rPr>
        <w:t xml:space="preserve"> and Luveris®</w:t>
      </w:r>
      <w:r w:rsidRPr="006C0097">
        <w:rPr>
          <w:rFonts w:eastAsia="Times New Roman" w:cs="Times New Roman"/>
          <w:kern w:val="0"/>
          <w:sz w:val="28"/>
          <w:szCs w:val="28"/>
        </w:rPr>
        <w:t>, Merck Serono Australia</w:t>
      </w:r>
      <w:r w:rsidR="004E5E4D" w:rsidRPr="006C0097">
        <w:rPr>
          <w:rFonts w:eastAsia="Times New Roman" w:cs="Times New Roman"/>
          <w:kern w:val="0"/>
          <w:sz w:val="28"/>
          <w:szCs w:val="28"/>
        </w:rPr>
        <w:t xml:space="preserve"> Pty Ltd</w:t>
      </w:r>
    </w:p>
    <w:p w:rsidR="00614F44" w:rsidRPr="0078239A" w:rsidRDefault="00614F44" w:rsidP="00614F44">
      <w:pPr>
        <w:pStyle w:val="NoSpacing"/>
      </w:pPr>
    </w:p>
    <w:p w:rsidR="0078239A" w:rsidRPr="0078239A" w:rsidRDefault="0078239A" w:rsidP="00614F44">
      <w:pPr>
        <w:pStyle w:val="NoSpacing"/>
      </w:pPr>
    </w:p>
    <w:p w:rsidR="00614F44" w:rsidRPr="00D12D3A" w:rsidRDefault="00614F44" w:rsidP="00D12D3A">
      <w:pPr>
        <w:pStyle w:val="Heading1"/>
      </w:pPr>
      <w:r w:rsidRPr="00D12D3A">
        <w:t>Purpose of Application</w:t>
      </w:r>
    </w:p>
    <w:p w:rsidR="00614F44" w:rsidRPr="0078239A" w:rsidRDefault="00614F44" w:rsidP="00614F44">
      <w:pPr>
        <w:jc w:val="both"/>
        <w:rPr>
          <w:rFonts w:ascii="Arial" w:hAnsi="Arial"/>
          <w:sz w:val="22"/>
          <w:szCs w:val="22"/>
        </w:rPr>
      </w:pPr>
    </w:p>
    <w:p w:rsidR="00614F44" w:rsidRPr="0078239A" w:rsidRDefault="00614F44" w:rsidP="009C6633">
      <w:pPr>
        <w:pStyle w:val="ListParagraph"/>
        <w:numPr>
          <w:ilvl w:val="1"/>
          <w:numId w:val="5"/>
        </w:numPr>
        <w:jc w:val="both"/>
      </w:pPr>
      <w:r w:rsidRPr="0078239A">
        <w:rPr>
          <w:rFonts w:ascii="Arial" w:hAnsi="Arial"/>
          <w:sz w:val="22"/>
          <w:szCs w:val="22"/>
        </w:rPr>
        <w:t xml:space="preserve">The minor submission </w:t>
      </w:r>
      <w:r w:rsidR="008F4479" w:rsidRPr="0078239A">
        <w:rPr>
          <w:rFonts w:ascii="Arial" w:hAnsi="Arial"/>
          <w:sz w:val="22"/>
          <w:szCs w:val="22"/>
        </w:rPr>
        <w:t>request</w:t>
      </w:r>
      <w:r w:rsidR="00360D29" w:rsidRPr="0078239A">
        <w:rPr>
          <w:rFonts w:ascii="Arial" w:hAnsi="Arial"/>
          <w:sz w:val="22"/>
          <w:szCs w:val="22"/>
        </w:rPr>
        <w:t>ed</w:t>
      </w:r>
      <w:r w:rsidR="008F4479" w:rsidRPr="0078239A">
        <w:rPr>
          <w:rFonts w:ascii="Arial" w:hAnsi="Arial"/>
          <w:sz w:val="22"/>
          <w:szCs w:val="22"/>
        </w:rPr>
        <w:t xml:space="preserve"> </w:t>
      </w:r>
      <w:r w:rsidR="00360D29" w:rsidRPr="0078239A">
        <w:rPr>
          <w:rFonts w:ascii="Arial" w:hAnsi="Arial"/>
          <w:sz w:val="22"/>
          <w:szCs w:val="22"/>
        </w:rPr>
        <w:t>an increase to</w:t>
      </w:r>
      <w:r w:rsidR="008F4479" w:rsidRPr="0078239A">
        <w:rPr>
          <w:rFonts w:ascii="Arial" w:hAnsi="Arial"/>
          <w:sz w:val="22"/>
          <w:szCs w:val="22"/>
        </w:rPr>
        <w:t xml:space="preserve"> the maximum </w:t>
      </w:r>
      <w:r w:rsidR="009C6633" w:rsidRPr="0078239A">
        <w:rPr>
          <w:rFonts w:ascii="Arial" w:hAnsi="Arial"/>
          <w:sz w:val="22"/>
          <w:szCs w:val="22"/>
        </w:rPr>
        <w:t>quantities of fol</w:t>
      </w:r>
      <w:r w:rsidR="00166F70" w:rsidRPr="0078239A">
        <w:rPr>
          <w:rFonts w:ascii="Arial" w:hAnsi="Arial"/>
          <w:sz w:val="22"/>
          <w:szCs w:val="22"/>
        </w:rPr>
        <w:t>li</w:t>
      </w:r>
      <w:r w:rsidR="009C6633" w:rsidRPr="0078239A">
        <w:rPr>
          <w:rFonts w:ascii="Arial" w:hAnsi="Arial"/>
          <w:sz w:val="22"/>
          <w:szCs w:val="22"/>
        </w:rPr>
        <w:t>tropin alfa</w:t>
      </w:r>
      <w:r w:rsidR="005638F3" w:rsidRPr="0078239A">
        <w:rPr>
          <w:rFonts w:ascii="Arial" w:hAnsi="Arial"/>
          <w:sz w:val="22"/>
          <w:szCs w:val="22"/>
        </w:rPr>
        <w:t xml:space="preserve"> +</w:t>
      </w:r>
      <w:r w:rsidR="00A67A6F" w:rsidRPr="0078239A">
        <w:rPr>
          <w:rFonts w:ascii="Arial" w:hAnsi="Arial"/>
          <w:sz w:val="22"/>
          <w:szCs w:val="22"/>
        </w:rPr>
        <w:t xml:space="preserve"> </w:t>
      </w:r>
      <w:proofErr w:type="spellStart"/>
      <w:r w:rsidR="005638F3" w:rsidRPr="0078239A">
        <w:rPr>
          <w:rFonts w:ascii="Arial" w:hAnsi="Arial"/>
          <w:sz w:val="22"/>
          <w:szCs w:val="22"/>
        </w:rPr>
        <w:t>lutropin</w:t>
      </w:r>
      <w:proofErr w:type="spellEnd"/>
      <w:r w:rsidR="005638F3" w:rsidRPr="0078239A">
        <w:rPr>
          <w:rFonts w:ascii="Arial" w:hAnsi="Arial"/>
          <w:sz w:val="22"/>
          <w:szCs w:val="22"/>
        </w:rPr>
        <w:t xml:space="preserve"> </w:t>
      </w:r>
      <w:r w:rsidR="00A67A6F" w:rsidRPr="0078239A">
        <w:rPr>
          <w:rFonts w:ascii="Arial" w:hAnsi="Arial"/>
          <w:sz w:val="22"/>
          <w:szCs w:val="22"/>
        </w:rPr>
        <w:t xml:space="preserve">and </w:t>
      </w:r>
      <w:proofErr w:type="spellStart"/>
      <w:r w:rsidR="00A67A6F" w:rsidRPr="0078239A">
        <w:rPr>
          <w:rFonts w:ascii="Arial" w:hAnsi="Arial"/>
          <w:sz w:val="22"/>
          <w:szCs w:val="22"/>
        </w:rPr>
        <w:t>lutropin</w:t>
      </w:r>
      <w:proofErr w:type="spellEnd"/>
      <w:r w:rsidR="00A67A6F" w:rsidRPr="0078239A">
        <w:rPr>
          <w:rFonts w:ascii="Arial" w:hAnsi="Arial"/>
          <w:sz w:val="22"/>
          <w:szCs w:val="22"/>
        </w:rPr>
        <w:t xml:space="preserve"> </w:t>
      </w:r>
      <w:proofErr w:type="spellStart"/>
      <w:r w:rsidR="00A67A6F" w:rsidRPr="0078239A">
        <w:rPr>
          <w:rFonts w:ascii="Arial" w:hAnsi="Arial"/>
          <w:sz w:val="22"/>
          <w:szCs w:val="22"/>
        </w:rPr>
        <w:t>alfa</w:t>
      </w:r>
      <w:proofErr w:type="spellEnd"/>
      <w:r w:rsidR="008F4479" w:rsidRPr="0078239A">
        <w:rPr>
          <w:rFonts w:ascii="Arial" w:hAnsi="Arial"/>
          <w:sz w:val="22"/>
          <w:szCs w:val="22"/>
        </w:rPr>
        <w:t>.</w:t>
      </w:r>
    </w:p>
    <w:p w:rsidR="00614F44" w:rsidRPr="0078239A" w:rsidRDefault="00614F44" w:rsidP="00614F44">
      <w:pPr>
        <w:pStyle w:val="NoSpacing"/>
      </w:pPr>
    </w:p>
    <w:p w:rsidR="00360D29" w:rsidRPr="0078239A" w:rsidRDefault="00360D29" w:rsidP="00614F44">
      <w:pPr>
        <w:pStyle w:val="NoSpacing"/>
      </w:pPr>
    </w:p>
    <w:p w:rsidR="00614F44" w:rsidRPr="0078239A" w:rsidRDefault="00614F44" w:rsidP="00D12D3A">
      <w:pPr>
        <w:pStyle w:val="Heading1"/>
        <w:rPr>
          <w:b w:val="0"/>
        </w:rPr>
      </w:pPr>
      <w:r w:rsidRPr="0078239A">
        <w:t>Requested listing</w:t>
      </w:r>
    </w:p>
    <w:p w:rsidR="00614F44" w:rsidRPr="0078239A" w:rsidRDefault="00614F44" w:rsidP="00614F44">
      <w:pPr>
        <w:jc w:val="both"/>
        <w:rPr>
          <w:rFonts w:ascii="Arial" w:hAnsi="Arial"/>
          <w:b/>
          <w:sz w:val="22"/>
          <w:szCs w:val="22"/>
        </w:rPr>
      </w:pPr>
    </w:p>
    <w:p w:rsidR="00614F44" w:rsidRPr="0078239A" w:rsidRDefault="00614F44" w:rsidP="00614F44">
      <w:pPr>
        <w:pStyle w:val="ListParagraph"/>
        <w:numPr>
          <w:ilvl w:val="1"/>
          <w:numId w:val="5"/>
        </w:numPr>
        <w:jc w:val="both"/>
      </w:pPr>
      <w:r w:rsidRPr="0078239A">
        <w:rPr>
          <w:rFonts w:ascii="Arial" w:hAnsi="Arial"/>
          <w:sz w:val="22"/>
          <w:szCs w:val="22"/>
        </w:rPr>
        <w:t xml:space="preserve">The submission requested </w:t>
      </w:r>
      <w:r w:rsidR="004F0CAA" w:rsidRPr="0078239A">
        <w:rPr>
          <w:rFonts w:ascii="Arial" w:hAnsi="Arial"/>
          <w:sz w:val="22"/>
          <w:szCs w:val="22"/>
        </w:rPr>
        <w:t>an increase</w:t>
      </w:r>
      <w:r w:rsidRPr="0078239A">
        <w:rPr>
          <w:rFonts w:ascii="Arial" w:hAnsi="Arial"/>
          <w:sz w:val="22"/>
          <w:szCs w:val="22"/>
        </w:rPr>
        <w:t xml:space="preserve"> to the</w:t>
      </w:r>
      <w:r w:rsidR="003A5578" w:rsidRPr="0078239A">
        <w:rPr>
          <w:rFonts w:ascii="Arial" w:hAnsi="Arial"/>
          <w:sz w:val="22"/>
          <w:szCs w:val="22"/>
        </w:rPr>
        <w:t xml:space="preserve"> maximum quantities of the</w:t>
      </w:r>
      <w:r w:rsidRPr="0078239A">
        <w:rPr>
          <w:rFonts w:ascii="Arial" w:hAnsi="Arial"/>
          <w:sz w:val="22"/>
          <w:szCs w:val="22"/>
        </w:rPr>
        <w:t xml:space="preserve"> existing listing</w:t>
      </w:r>
      <w:r w:rsidR="003A5578" w:rsidRPr="0078239A">
        <w:rPr>
          <w:rFonts w:ascii="Arial" w:hAnsi="Arial"/>
          <w:sz w:val="22"/>
          <w:szCs w:val="22"/>
        </w:rPr>
        <w:t>s</w:t>
      </w:r>
      <w:r w:rsidR="004F0CAA" w:rsidRPr="0078239A">
        <w:rPr>
          <w:rFonts w:ascii="Arial" w:hAnsi="Arial"/>
          <w:sz w:val="22"/>
          <w:szCs w:val="22"/>
        </w:rPr>
        <w:t xml:space="preserve">. A maximum quantity of 14 packs is proposed - currently the maximum quantity is seven </w:t>
      </w:r>
      <w:r w:rsidR="00575C02" w:rsidRPr="0078239A">
        <w:rPr>
          <w:rFonts w:ascii="Arial" w:hAnsi="Arial"/>
          <w:sz w:val="22"/>
          <w:szCs w:val="22"/>
        </w:rPr>
        <w:t xml:space="preserve">(7) </w:t>
      </w:r>
      <w:r w:rsidR="004F0CAA" w:rsidRPr="0078239A">
        <w:rPr>
          <w:rFonts w:ascii="Arial" w:hAnsi="Arial"/>
          <w:sz w:val="22"/>
          <w:szCs w:val="22"/>
        </w:rPr>
        <w:t>packs.</w:t>
      </w:r>
    </w:p>
    <w:p w:rsidR="009C6633" w:rsidRPr="0078239A" w:rsidRDefault="009C6633" w:rsidP="009C6633">
      <w:pPr>
        <w:pStyle w:val="ListParagraph"/>
        <w:jc w:val="both"/>
      </w:pPr>
    </w:p>
    <w:tbl>
      <w:tblPr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119"/>
        <w:gridCol w:w="850"/>
        <w:gridCol w:w="709"/>
        <w:gridCol w:w="1275"/>
        <w:gridCol w:w="2410"/>
      </w:tblGrid>
      <w:tr w:rsidR="00166F70" w:rsidRPr="0078239A" w:rsidTr="00166F70">
        <w:trPr>
          <w:cantSplit/>
          <w:trHeight w:val="471"/>
        </w:trPr>
        <w:tc>
          <w:tcPr>
            <w:tcW w:w="3119" w:type="dxa"/>
            <w:tcBorders>
              <w:bottom w:val="single" w:sz="4" w:space="0" w:color="auto"/>
            </w:tcBorders>
          </w:tcPr>
          <w:p w:rsidR="00166F70" w:rsidRPr="0078239A" w:rsidRDefault="00166F70" w:rsidP="008F4479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Name, Restriction,</w:t>
            </w:r>
          </w:p>
          <w:p w:rsidR="00166F70" w:rsidRPr="0078239A" w:rsidRDefault="00166F70" w:rsidP="008F4479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Manner of administration and form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6F70" w:rsidRPr="0078239A" w:rsidRDefault="00166F70" w:rsidP="008F4479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Max.</w:t>
            </w:r>
          </w:p>
          <w:p w:rsidR="00166F70" w:rsidRPr="0078239A" w:rsidRDefault="00166F70" w:rsidP="008F4479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6F70" w:rsidRPr="0078239A" w:rsidRDefault="00166F70" w:rsidP="008F4479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№.of</w:t>
            </w:r>
          </w:p>
          <w:p w:rsidR="00166F70" w:rsidRPr="0078239A" w:rsidRDefault="00166F70" w:rsidP="008F4479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Rpts</w:t>
            </w:r>
            <w:proofErr w:type="spellEnd"/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166F70" w:rsidRPr="0078239A" w:rsidRDefault="00166F70" w:rsidP="008F4479">
            <w:pPr>
              <w:keepNext/>
              <w:jc w:val="both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Proprietary Name and Manufacturer</w:t>
            </w:r>
          </w:p>
        </w:tc>
      </w:tr>
      <w:tr w:rsidR="00166F70" w:rsidRPr="0078239A" w:rsidTr="00166F70">
        <w:trPr>
          <w:cantSplit/>
          <w:trHeight w:val="932"/>
        </w:trPr>
        <w:tc>
          <w:tcPr>
            <w:tcW w:w="3119" w:type="dxa"/>
          </w:tcPr>
          <w:p w:rsidR="00166F70" w:rsidRPr="0078239A" w:rsidRDefault="00166F70" w:rsidP="005638F3">
            <w:pPr>
              <w:keepNext/>
              <w:ind w:left="-108"/>
              <w:jc w:val="both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mallCaps/>
                <w:sz w:val="20"/>
                <w:szCs w:val="20"/>
              </w:rPr>
              <w:t>FOLLITROPIN ALFA + LUTROPIN ALFA</w:t>
            </w:r>
          </w:p>
          <w:p w:rsidR="00166F70" w:rsidRPr="0078239A" w:rsidRDefault="00166F70" w:rsidP="00166F70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z w:val="20"/>
                <w:szCs w:val="20"/>
              </w:rPr>
              <w:t>follitropin alfa 150 units + lutropin alfa 75 units [1 vial] (&amp;) inert substance diluent [1 vial], 1 pack</w:t>
            </w:r>
          </w:p>
        </w:tc>
        <w:tc>
          <w:tcPr>
            <w:tcW w:w="850" w:type="dxa"/>
          </w:tcPr>
          <w:p w:rsidR="00166F70" w:rsidRPr="0078239A" w:rsidRDefault="00166F70" w:rsidP="008F4479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6F70" w:rsidRPr="0078239A" w:rsidRDefault="00166F70" w:rsidP="008F4479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66F70" w:rsidRPr="0078239A" w:rsidRDefault="00166F70" w:rsidP="008F4479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6F70" w:rsidRPr="0078239A" w:rsidRDefault="00166F70" w:rsidP="008F4479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66F70" w:rsidRPr="0078239A" w:rsidRDefault="00166F70" w:rsidP="008F4479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6F70" w:rsidRPr="0078239A" w:rsidRDefault="00166F70" w:rsidP="00166F70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z w:val="20"/>
                <w:szCs w:val="20"/>
              </w:rPr>
              <w:t>Pergoveris®</w:t>
            </w:r>
          </w:p>
        </w:tc>
        <w:tc>
          <w:tcPr>
            <w:tcW w:w="2410" w:type="dxa"/>
          </w:tcPr>
          <w:p w:rsidR="00166F70" w:rsidRPr="0078239A" w:rsidRDefault="00166F70" w:rsidP="008F4479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6F70" w:rsidRPr="0078239A" w:rsidRDefault="00166F70" w:rsidP="008F4479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z w:val="20"/>
                <w:szCs w:val="20"/>
              </w:rPr>
              <w:t>Merck Serono Australia</w:t>
            </w:r>
          </w:p>
        </w:tc>
      </w:tr>
    </w:tbl>
    <w:p w:rsidR="00614F44" w:rsidRPr="0078239A" w:rsidRDefault="00614F44" w:rsidP="00614F44">
      <w:pPr>
        <w:pStyle w:val="ListParagraph"/>
        <w:jc w:val="both"/>
        <w:rPr>
          <w:rFonts w:ascii="Arial" w:hAnsi="Arial"/>
          <w:sz w:val="22"/>
          <w:szCs w:val="22"/>
        </w:rPr>
      </w:pPr>
    </w:p>
    <w:p w:rsidR="00A13591" w:rsidRPr="0078239A" w:rsidRDefault="00A13591" w:rsidP="00A13591">
      <w:pPr>
        <w:pStyle w:val="ListParagraph"/>
        <w:jc w:val="both"/>
      </w:pPr>
    </w:p>
    <w:tbl>
      <w:tblPr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119"/>
        <w:gridCol w:w="850"/>
        <w:gridCol w:w="709"/>
        <w:gridCol w:w="1275"/>
        <w:gridCol w:w="2410"/>
      </w:tblGrid>
      <w:tr w:rsidR="00166F70" w:rsidRPr="0078239A" w:rsidTr="00166F70">
        <w:trPr>
          <w:cantSplit/>
          <w:trHeight w:val="471"/>
        </w:trPr>
        <w:tc>
          <w:tcPr>
            <w:tcW w:w="3119" w:type="dxa"/>
            <w:tcBorders>
              <w:bottom w:val="single" w:sz="4" w:space="0" w:color="auto"/>
            </w:tcBorders>
          </w:tcPr>
          <w:p w:rsidR="00166F70" w:rsidRPr="0078239A" w:rsidRDefault="00166F70" w:rsidP="002946BC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Name, Restriction,</w:t>
            </w:r>
          </w:p>
          <w:p w:rsidR="00166F70" w:rsidRPr="0078239A" w:rsidRDefault="00166F70" w:rsidP="002946BC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Manner of administration and form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6F70" w:rsidRPr="0078239A" w:rsidRDefault="00166F70" w:rsidP="002946BC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Max.</w:t>
            </w:r>
          </w:p>
          <w:p w:rsidR="00166F70" w:rsidRPr="0078239A" w:rsidRDefault="00166F70" w:rsidP="002946BC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6F70" w:rsidRPr="0078239A" w:rsidRDefault="00166F70" w:rsidP="002946BC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№.of</w:t>
            </w:r>
          </w:p>
          <w:p w:rsidR="00166F70" w:rsidRPr="0078239A" w:rsidRDefault="00166F70" w:rsidP="002946BC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Rpts</w:t>
            </w:r>
            <w:proofErr w:type="spellEnd"/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166F70" w:rsidRPr="0078239A" w:rsidRDefault="00166F70" w:rsidP="002946BC">
            <w:pPr>
              <w:keepNext/>
              <w:jc w:val="both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Proprietary Name and Manufacturer</w:t>
            </w:r>
          </w:p>
        </w:tc>
      </w:tr>
      <w:tr w:rsidR="00166F70" w:rsidRPr="0078239A" w:rsidTr="00166F70">
        <w:trPr>
          <w:cantSplit/>
          <w:trHeight w:val="577"/>
        </w:trPr>
        <w:tc>
          <w:tcPr>
            <w:tcW w:w="3119" w:type="dxa"/>
          </w:tcPr>
          <w:p w:rsidR="00166F70" w:rsidRPr="0078239A" w:rsidRDefault="00166F70" w:rsidP="00A13591">
            <w:pPr>
              <w:keepNext/>
              <w:ind w:left="-108"/>
              <w:jc w:val="both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mallCaps/>
                <w:sz w:val="20"/>
                <w:szCs w:val="20"/>
              </w:rPr>
              <w:t>LUTROPIN ALFA</w:t>
            </w:r>
          </w:p>
          <w:p w:rsidR="00166F70" w:rsidRPr="0078239A" w:rsidRDefault="00166F70" w:rsidP="005638F3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z w:val="20"/>
                <w:szCs w:val="20"/>
              </w:rPr>
              <w:t>lutropin alfa 75 international units injection [1 x 75 international units vial] (&amp;) inert substance diluent [1 x 1 mL vial], 1 pack</w:t>
            </w:r>
          </w:p>
        </w:tc>
        <w:tc>
          <w:tcPr>
            <w:tcW w:w="850" w:type="dxa"/>
          </w:tcPr>
          <w:p w:rsidR="00166F70" w:rsidRPr="0078239A" w:rsidRDefault="00166F70" w:rsidP="002946BC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6F70" w:rsidRPr="0078239A" w:rsidRDefault="00166F70" w:rsidP="002946BC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66F70" w:rsidRPr="0078239A" w:rsidRDefault="00166F70" w:rsidP="002946BC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6F70" w:rsidRPr="0078239A" w:rsidRDefault="00166F70" w:rsidP="002946BC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66F70" w:rsidRPr="0078239A" w:rsidRDefault="00166F70" w:rsidP="002946BC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6F70" w:rsidRPr="0078239A" w:rsidRDefault="00166F70" w:rsidP="002946BC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z w:val="20"/>
                <w:szCs w:val="20"/>
              </w:rPr>
              <w:t>Luveris®</w:t>
            </w:r>
          </w:p>
        </w:tc>
        <w:tc>
          <w:tcPr>
            <w:tcW w:w="2410" w:type="dxa"/>
          </w:tcPr>
          <w:p w:rsidR="00166F70" w:rsidRPr="0078239A" w:rsidRDefault="00166F70" w:rsidP="002946BC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6F70" w:rsidRPr="0078239A" w:rsidRDefault="00166F70" w:rsidP="002946BC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z w:val="20"/>
                <w:szCs w:val="20"/>
              </w:rPr>
              <w:t>Merck Serono Australia</w:t>
            </w:r>
          </w:p>
        </w:tc>
      </w:tr>
    </w:tbl>
    <w:p w:rsidR="00A13591" w:rsidRPr="0078239A" w:rsidRDefault="00A13591" w:rsidP="00A13591">
      <w:pPr>
        <w:pStyle w:val="ListParagraph"/>
        <w:jc w:val="both"/>
        <w:rPr>
          <w:rFonts w:ascii="Arial" w:hAnsi="Arial"/>
          <w:sz w:val="22"/>
          <w:szCs w:val="22"/>
        </w:rPr>
      </w:pPr>
    </w:p>
    <w:p w:rsidR="00327F1E" w:rsidRPr="00327F1E" w:rsidRDefault="00327F1E" w:rsidP="00327F1E">
      <w:pPr>
        <w:widowControl w:val="0"/>
        <w:ind w:left="709"/>
        <w:contextualSpacing/>
        <w:jc w:val="both"/>
        <w:rPr>
          <w:rFonts w:ascii="Arial" w:hAnsi="Arial"/>
          <w:i/>
          <w:sz w:val="22"/>
          <w:szCs w:val="22"/>
        </w:rPr>
      </w:pPr>
      <w:r w:rsidRPr="00327F1E">
        <w:rPr>
          <w:rFonts w:ascii="Arial" w:hAnsi="Arial"/>
          <w:i/>
          <w:sz w:val="22"/>
          <w:szCs w:val="22"/>
        </w:rPr>
        <w:t xml:space="preserve">For more details on PBAC’s view, see section </w:t>
      </w:r>
      <w:r>
        <w:rPr>
          <w:rFonts w:ascii="Arial" w:hAnsi="Arial"/>
          <w:i/>
          <w:sz w:val="22"/>
          <w:szCs w:val="22"/>
        </w:rPr>
        <w:t>6</w:t>
      </w:r>
      <w:r w:rsidRPr="00327F1E">
        <w:rPr>
          <w:rFonts w:ascii="Arial" w:hAnsi="Arial"/>
          <w:i/>
          <w:sz w:val="22"/>
          <w:szCs w:val="22"/>
        </w:rPr>
        <w:t xml:space="preserve"> “PBAC outcome”</w:t>
      </w:r>
    </w:p>
    <w:p w:rsidR="0078239A" w:rsidRPr="0078239A" w:rsidRDefault="0078239A" w:rsidP="00614F44">
      <w:pPr>
        <w:jc w:val="both"/>
        <w:rPr>
          <w:rFonts w:ascii="Arial" w:hAnsi="Arial"/>
          <w:b/>
          <w:sz w:val="22"/>
          <w:szCs w:val="22"/>
        </w:rPr>
      </w:pPr>
    </w:p>
    <w:p w:rsidR="00FD1441" w:rsidRPr="0078239A" w:rsidRDefault="00FD1441" w:rsidP="00614F44">
      <w:pPr>
        <w:jc w:val="both"/>
        <w:rPr>
          <w:rFonts w:ascii="Arial" w:hAnsi="Arial"/>
          <w:b/>
          <w:sz w:val="22"/>
          <w:szCs w:val="22"/>
        </w:rPr>
      </w:pPr>
    </w:p>
    <w:p w:rsidR="00614F44" w:rsidRPr="0078239A" w:rsidRDefault="00614F44" w:rsidP="00D12D3A">
      <w:pPr>
        <w:pStyle w:val="Heading1"/>
      </w:pPr>
      <w:r w:rsidRPr="0078239A">
        <w:t>Background</w:t>
      </w:r>
    </w:p>
    <w:p w:rsidR="00614F44" w:rsidRPr="0078239A" w:rsidRDefault="00614F44" w:rsidP="00614F44">
      <w:pPr>
        <w:jc w:val="both"/>
        <w:rPr>
          <w:rFonts w:ascii="Arial" w:hAnsi="Arial"/>
          <w:sz w:val="22"/>
          <w:szCs w:val="22"/>
        </w:rPr>
      </w:pPr>
    </w:p>
    <w:p w:rsidR="00614F44" w:rsidRPr="0078239A" w:rsidRDefault="00360D29" w:rsidP="004358B9">
      <w:pPr>
        <w:pStyle w:val="ListParagraph"/>
        <w:numPr>
          <w:ilvl w:val="1"/>
          <w:numId w:val="5"/>
        </w:numPr>
        <w:jc w:val="both"/>
        <w:rPr>
          <w:rFonts w:ascii="Arial" w:hAnsi="Arial"/>
          <w:b/>
          <w:sz w:val="22"/>
          <w:szCs w:val="22"/>
        </w:rPr>
      </w:pPr>
      <w:r w:rsidRPr="0078239A">
        <w:rPr>
          <w:rFonts w:ascii="Arial" w:hAnsi="Arial"/>
          <w:sz w:val="22"/>
          <w:szCs w:val="22"/>
        </w:rPr>
        <w:t xml:space="preserve">Follitropin </w:t>
      </w:r>
      <w:r w:rsidR="004E5E4D" w:rsidRPr="0078239A">
        <w:rPr>
          <w:rFonts w:ascii="Arial" w:hAnsi="Arial"/>
          <w:sz w:val="22"/>
          <w:szCs w:val="22"/>
        </w:rPr>
        <w:t xml:space="preserve">alfa </w:t>
      </w:r>
      <w:r w:rsidRPr="0078239A">
        <w:rPr>
          <w:rFonts w:ascii="Arial" w:hAnsi="Arial"/>
          <w:sz w:val="22"/>
          <w:szCs w:val="22"/>
        </w:rPr>
        <w:t xml:space="preserve">+ lutropin alfa </w:t>
      </w:r>
      <w:r w:rsidR="004E5E4D" w:rsidRPr="0078239A">
        <w:rPr>
          <w:rFonts w:ascii="Arial" w:hAnsi="Arial"/>
          <w:sz w:val="22"/>
          <w:szCs w:val="22"/>
        </w:rPr>
        <w:t xml:space="preserve">and lutropin alfa </w:t>
      </w:r>
      <w:r w:rsidRPr="0078239A">
        <w:rPr>
          <w:rFonts w:ascii="Arial" w:hAnsi="Arial"/>
          <w:sz w:val="22"/>
          <w:szCs w:val="22"/>
        </w:rPr>
        <w:t xml:space="preserve">are </w:t>
      </w:r>
      <w:r w:rsidR="004E5E4D" w:rsidRPr="0078239A">
        <w:rPr>
          <w:rFonts w:ascii="Arial" w:hAnsi="Arial"/>
          <w:sz w:val="22"/>
          <w:szCs w:val="22"/>
        </w:rPr>
        <w:t xml:space="preserve">currently </w:t>
      </w:r>
      <w:r w:rsidRPr="0078239A">
        <w:rPr>
          <w:rFonts w:ascii="Arial" w:hAnsi="Arial"/>
          <w:sz w:val="22"/>
          <w:szCs w:val="22"/>
        </w:rPr>
        <w:t>listed</w:t>
      </w:r>
      <w:r w:rsidR="00A67A6F" w:rsidRPr="0078239A">
        <w:rPr>
          <w:rFonts w:ascii="Arial" w:hAnsi="Arial"/>
          <w:sz w:val="22"/>
          <w:szCs w:val="22"/>
        </w:rPr>
        <w:t xml:space="preserve"> on the PBS</w:t>
      </w:r>
      <w:r w:rsidR="004358B9" w:rsidRPr="0078239A">
        <w:rPr>
          <w:rFonts w:ascii="Arial" w:hAnsi="Arial"/>
          <w:sz w:val="22"/>
          <w:szCs w:val="22"/>
        </w:rPr>
        <w:t xml:space="preserve"> under the Section 100 IVF program for stimulation of follicular development</w:t>
      </w:r>
      <w:r w:rsidR="00A67A6F" w:rsidRPr="0078239A">
        <w:rPr>
          <w:rFonts w:ascii="Arial" w:hAnsi="Arial"/>
          <w:sz w:val="22"/>
          <w:szCs w:val="22"/>
        </w:rPr>
        <w:t>.</w:t>
      </w:r>
    </w:p>
    <w:p w:rsidR="00857B84" w:rsidRDefault="00857B84" w:rsidP="00614F44">
      <w:pPr>
        <w:jc w:val="both"/>
        <w:rPr>
          <w:rFonts w:ascii="Arial" w:hAnsi="Arial"/>
          <w:b/>
          <w:sz w:val="22"/>
          <w:szCs w:val="22"/>
        </w:rPr>
      </w:pPr>
    </w:p>
    <w:p w:rsidR="00162DEF" w:rsidRPr="0078239A" w:rsidRDefault="00162DEF" w:rsidP="00614F44">
      <w:pPr>
        <w:jc w:val="both"/>
        <w:rPr>
          <w:rFonts w:ascii="Arial" w:hAnsi="Arial"/>
          <w:b/>
          <w:sz w:val="22"/>
          <w:szCs w:val="22"/>
        </w:rPr>
      </w:pPr>
      <w:bookmarkStart w:id="0" w:name="_GoBack"/>
      <w:bookmarkEnd w:id="0"/>
    </w:p>
    <w:p w:rsidR="003C5B87" w:rsidRPr="0078239A" w:rsidRDefault="003C5B87" w:rsidP="00D12D3A">
      <w:pPr>
        <w:pStyle w:val="Heading1"/>
        <w:rPr>
          <w:b w:val="0"/>
        </w:rPr>
      </w:pPr>
      <w:r w:rsidRPr="0078239A">
        <w:t>Consideration of the evidence</w:t>
      </w:r>
    </w:p>
    <w:p w:rsidR="003C5B87" w:rsidRPr="0078239A" w:rsidRDefault="003C5B87" w:rsidP="00951898">
      <w:pPr>
        <w:jc w:val="both"/>
        <w:rPr>
          <w:rFonts w:ascii="Arial" w:hAnsi="Arial"/>
          <w:b/>
          <w:sz w:val="22"/>
          <w:szCs w:val="22"/>
        </w:rPr>
      </w:pPr>
    </w:p>
    <w:p w:rsidR="003C5B87" w:rsidRPr="0078239A" w:rsidRDefault="003C5B87" w:rsidP="00FD1441">
      <w:pPr>
        <w:pStyle w:val="ListParagraph"/>
        <w:numPr>
          <w:ilvl w:val="1"/>
          <w:numId w:val="5"/>
        </w:numPr>
        <w:jc w:val="both"/>
        <w:rPr>
          <w:rFonts w:ascii="Arial" w:hAnsi="Arial"/>
          <w:sz w:val="22"/>
          <w:szCs w:val="22"/>
        </w:rPr>
      </w:pPr>
      <w:r w:rsidRPr="0078239A">
        <w:rPr>
          <w:rFonts w:ascii="Arial" w:hAnsi="Arial"/>
          <w:sz w:val="22"/>
          <w:szCs w:val="22"/>
        </w:rPr>
        <w:lastRenderedPageBreak/>
        <w:t>The minor submission presented the following documentation as supporting evidence for an increase to the maximum quantities of follitropin alfa + lutropin alfa and lutropin alfa:</w:t>
      </w:r>
    </w:p>
    <w:p w:rsidR="003C5B87" w:rsidRPr="0078239A" w:rsidRDefault="003C5B87" w:rsidP="00FD1441">
      <w:pPr>
        <w:pStyle w:val="ListParagraph"/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 w:rsidRPr="0078239A">
        <w:rPr>
          <w:rFonts w:ascii="Arial" w:hAnsi="Arial"/>
          <w:sz w:val="22"/>
          <w:szCs w:val="22"/>
        </w:rPr>
        <w:t>Clinical evidence previously presented to the PBAC</w:t>
      </w:r>
      <w:r w:rsidR="00DE363F" w:rsidRPr="0078239A">
        <w:rPr>
          <w:rFonts w:ascii="Arial" w:hAnsi="Arial"/>
          <w:sz w:val="22"/>
          <w:szCs w:val="22"/>
        </w:rPr>
        <w:t>, including:</w:t>
      </w:r>
    </w:p>
    <w:p w:rsidR="00DE363F" w:rsidRPr="0078239A" w:rsidRDefault="00DE363F" w:rsidP="00FD1441">
      <w:pPr>
        <w:pStyle w:val="ListParagraph"/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78239A">
        <w:rPr>
          <w:rFonts w:ascii="Arial" w:hAnsi="Arial"/>
          <w:sz w:val="22"/>
          <w:szCs w:val="22"/>
        </w:rPr>
        <w:t>Meta-analysis reported by Lehert et al (2014)</w:t>
      </w:r>
    </w:p>
    <w:p w:rsidR="00DE363F" w:rsidRPr="0078239A" w:rsidRDefault="00DE363F" w:rsidP="00FD1441">
      <w:pPr>
        <w:pStyle w:val="ListParagraph"/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78239A">
        <w:rPr>
          <w:rFonts w:ascii="Arial" w:hAnsi="Arial"/>
          <w:sz w:val="22"/>
          <w:szCs w:val="22"/>
        </w:rPr>
        <w:t>Study 2008, placebo controlled registration trial for lutropin alfa</w:t>
      </w:r>
    </w:p>
    <w:p w:rsidR="00DE363F" w:rsidRPr="0078239A" w:rsidRDefault="00DE363F" w:rsidP="00FD1441">
      <w:pPr>
        <w:pStyle w:val="ListParagraph"/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78239A">
        <w:rPr>
          <w:rFonts w:ascii="Arial" w:hAnsi="Arial"/>
          <w:sz w:val="22"/>
          <w:szCs w:val="22"/>
        </w:rPr>
        <w:t xml:space="preserve">Phase III observational trial, </w:t>
      </w:r>
      <w:proofErr w:type="spellStart"/>
      <w:r w:rsidRPr="0078239A">
        <w:rPr>
          <w:rFonts w:ascii="Arial" w:hAnsi="Arial"/>
          <w:sz w:val="22"/>
          <w:szCs w:val="22"/>
        </w:rPr>
        <w:t>Burgues</w:t>
      </w:r>
      <w:proofErr w:type="spellEnd"/>
      <w:r w:rsidRPr="0078239A">
        <w:rPr>
          <w:rFonts w:ascii="Arial" w:hAnsi="Arial"/>
          <w:sz w:val="22"/>
          <w:szCs w:val="22"/>
        </w:rPr>
        <w:t xml:space="preserve"> et al (2011)</w:t>
      </w:r>
    </w:p>
    <w:p w:rsidR="00DE363F" w:rsidRPr="0078239A" w:rsidRDefault="00DE363F" w:rsidP="00FD1441">
      <w:pPr>
        <w:pStyle w:val="ListParagraph"/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78239A">
        <w:rPr>
          <w:rFonts w:ascii="Arial" w:hAnsi="Arial"/>
          <w:sz w:val="22"/>
          <w:szCs w:val="22"/>
        </w:rPr>
        <w:t>Survey of fertility clinicians conducted for the March 2014 follitropin alfa + lutropin alfa submission</w:t>
      </w:r>
    </w:p>
    <w:p w:rsidR="00DE363F" w:rsidRPr="0078239A" w:rsidRDefault="00DE363F" w:rsidP="00FD1441">
      <w:pPr>
        <w:pStyle w:val="ListParagraph"/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78239A">
        <w:rPr>
          <w:rFonts w:ascii="Arial" w:hAnsi="Arial"/>
          <w:sz w:val="22"/>
          <w:szCs w:val="22"/>
        </w:rPr>
        <w:t>Data from the Merck Serono patient access program</w:t>
      </w:r>
    </w:p>
    <w:p w:rsidR="003C5B87" w:rsidRPr="0078239A" w:rsidRDefault="003C5B87" w:rsidP="00FD1441">
      <w:pPr>
        <w:pStyle w:val="ListParagraph"/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 w:rsidRPr="0078239A">
        <w:rPr>
          <w:rFonts w:ascii="Arial" w:hAnsi="Arial"/>
          <w:sz w:val="22"/>
          <w:szCs w:val="22"/>
        </w:rPr>
        <w:t>Results of a survey of 83 expert fertility clinicians</w:t>
      </w:r>
    </w:p>
    <w:p w:rsidR="003C5B87" w:rsidRPr="0078239A" w:rsidRDefault="003C5B87" w:rsidP="00FD1441">
      <w:pPr>
        <w:pStyle w:val="ListParagraph"/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 w:rsidRPr="0078239A">
        <w:rPr>
          <w:rFonts w:ascii="Arial" w:hAnsi="Arial"/>
          <w:sz w:val="22"/>
          <w:szCs w:val="22"/>
        </w:rPr>
        <w:t>PBS prescribing data for follitropin alfa + lutropin alfa and lutropin alfa</w:t>
      </w:r>
    </w:p>
    <w:p w:rsidR="003C5B87" w:rsidRPr="0078239A" w:rsidRDefault="003C5B87" w:rsidP="003C5B87">
      <w:pPr>
        <w:pStyle w:val="ListParagraph"/>
        <w:ind w:left="709"/>
        <w:jc w:val="both"/>
        <w:rPr>
          <w:rFonts w:ascii="Arial" w:hAnsi="Arial"/>
          <w:sz w:val="22"/>
          <w:szCs w:val="22"/>
        </w:rPr>
      </w:pPr>
    </w:p>
    <w:p w:rsidR="003C5B87" w:rsidRPr="0078239A" w:rsidRDefault="003C5B87" w:rsidP="00FD1441">
      <w:pPr>
        <w:pStyle w:val="ListParagraph"/>
        <w:numPr>
          <w:ilvl w:val="1"/>
          <w:numId w:val="5"/>
        </w:numPr>
        <w:jc w:val="both"/>
        <w:rPr>
          <w:rFonts w:ascii="Arial" w:hAnsi="Arial"/>
          <w:b/>
          <w:sz w:val="22"/>
          <w:szCs w:val="22"/>
        </w:rPr>
      </w:pPr>
      <w:r w:rsidRPr="0078239A">
        <w:rPr>
          <w:rFonts w:ascii="Arial" w:hAnsi="Arial"/>
          <w:sz w:val="22"/>
          <w:szCs w:val="22"/>
        </w:rPr>
        <w:t xml:space="preserve">The basis of the minor submission’s request was </w:t>
      </w:r>
      <w:r w:rsidR="00E613E3" w:rsidRPr="0078239A">
        <w:rPr>
          <w:rFonts w:ascii="Arial" w:hAnsi="Arial"/>
          <w:sz w:val="22"/>
          <w:szCs w:val="22"/>
        </w:rPr>
        <w:t>that the maximum quantity should provide for a clinically appropriate duration of treatment and for</w:t>
      </w:r>
      <w:r w:rsidRPr="0078239A">
        <w:rPr>
          <w:rFonts w:ascii="Arial" w:hAnsi="Arial"/>
          <w:sz w:val="22"/>
          <w:szCs w:val="22"/>
        </w:rPr>
        <w:t xml:space="preserve"> consistency with the maximum quantities for other products used for ovarian stimulation, i.e. follitropin alfa, follitropin beta, and human menopausal gonadotrophin</w:t>
      </w:r>
      <w:r w:rsidR="00CF73EC" w:rsidRPr="0078239A">
        <w:rPr>
          <w:rFonts w:ascii="Arial" w:hAnsi="Arial"/>
          <w:sz w:val="22"/>
          <w:szCs w:val="22"/>
        </w:rPr>
        <w:t xml:space="preserve">. </w:t>
      </w:r>
    </w:p>
    <w:p w:rsidR="00416BF9" w:rsidRPr="0078239A" w:rsidRDefault="00416BF9" w:rsidP="00821673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:rsidR="00416BF9" w:rsidRDefault="00416BF9" w:rsidP="00FD1441">
      <w:pPr>
        <w:pStyle w:val="ListParagraph"/>
        <w:numPr>
          <w:ilvl w:val="1"/>
          <w:numId w:val="5"/>
        </w:numPr>
        <w:jc w:val="both"/>
        <w:rPr>
          <w:rFonts w:ascii="Arial" w:hAnsi="Arial"/>
          <w:sz w:val="22"/>
          <w:szCs w:val="22"/>
        </w:rPr>
      </w:pPr>
      <w:r w:rsidRPr="0078239A">
        <w:rPr>
          <w:rFonts w:ascii="Arial" w:hAnsi="Arial"/>
          <w:sz w:val="22"/>
          <w:szCs w:val="22"/>
        </w:rPr>
        <w:t>The submission claimed that a quantity of 14 vials is considered clinically appropriate and would provide for a sufficient duration of treatment of ovarian stimulation and follicular development for the majority of patients.</w:t>
      </w:r>
    </w:p>
    <w:p w:rsidR="00CF1410" w:rsidRPr="00CF1410" w:rsidRDefault="00CF1410" w:rsidP="00CF1410">
      <w:pPr>
        <w:pStyle w:val="ListParagraph"/>
        <w:rPr>
          <w:rFonts w:ascii="Arial" w:hAnsi="Arial" w:cs="Arial"/>
          <w:sz w:val="22"/>
          <w:szCs w:val="22"/>
        </w:rPr>
      </w:pPr>
    </w:p>
    <w:p w:rsidR="00327F1E" w:rsidRPr="00327F1E" w:rsidRDefault="00327F1E" w:rsidP="00327F1E">
      <w:pPr>
        <w:widowControl w:val="0"/>
        <w:ind w:left="709"/>
        <w:contextualSpacing/>
        <w:jc w:val="both"/>
        <w:rPr>
          <w:rFonts w:ascii="Arial" w:hAnsi="Arial"/>
          <w:i/>
          <w:sz w:val="22"/>
          <w:szCs w:val="22"/>
        </w:rPr>
      </w:pPr>
      <w:r w:rsidRPr="00327F1E">
        <w:rPr>
          <w:rFonts w:ascii="Arial" w:hAnsi="Arial"/>
          <w:i/>
          <w:sz w:val="22"/>
          <w:szCs w:val="22"/>
        </w:rPr>
        <w:t xml:space="preserve">For more details on PBAC’s view, see section </w:t>
      </w:r>
      <w:r>
        <w:rPr>
          <w:rFonts w:ascii="Arial" w:hAnsi="Arial"/>
          <w:i/>
          <w:sz w:val="22"/>
          <w:szCs w:val="22"/>
        </w:rPr>
        <w:t>6</w:t>
      </w:r>
      <w:r w:rsidRPr="00327F1E">
        <w:rPr>
          <w:rFonts w:ascii="Arial" w:hAnsi="Arial"/>
          <w:i/>
          <w:sz w:val="22"/>
          <w:szCs w:val="22"/>
        </w:rPr>
        <w:t xml:space="preserve"> “PBAC outcome”</w:t>
      </w:r>
    </w:p>
    <w:p w:rsidR="00416BF9" w:rsidRDefault="00416BF9" w:rsidP="00821673">
      <w:pPr>
        <w:jc w:val="both"/>
        <w:rPr>
          <w:rFonts w:ascii="Arial" w:hAnsi="Arial"/>
          <w:b/>
          <w:sz w:val="22"/>
          <w:szCs w:val="22"/>
        </w:rPr>
      </w:pPr>
    </w:p>
    <w:p w:rsidR="00753A8E" w:rsidRPr="0078239A" w:rsidRDefault="00753A8E" w:rsidP="00821673">
      <w:pPr>
        <w:jc w:val="both"/>
        <w:rPr>
          <w:rFonts w:ascii="Arial" w:hAnsi="Arial"/>
          <w:b/>
          <w:sz w:val="22"/>
          <w:szCs w:val="22"/>
        </w:rPr>
      </w:pPr>
    </w:p>
    <w:p w:rsidR="0078239A" w:rsidRPr="00F1150D" w:rsidRDefault="0078239A" w:rsidP="00D12D3A">
      <w:pPr>
        <w:pStyle w:val="Heading1"/>
        <w:rPr>
          <w:b w:val="0"/>
        </w:rPr>
      </w:pPr>
      <w:r w:rsidRPr="00F1150D">
        <w:t>Consideration of the evidence</w:t>
      </w:r>
    </w:p>
    <w:p w:rsidR="0078239A" w:rsidRDefault="0078239A" w:rsidP="0078239A">
      <w:pPr>
        <w:jc w:val="both"/>
        <w:rPr>
          <w:rFonts w:ascii="Arial" w:hAnsi="Arial"/>
          <w:b/>
          <w:sz w:val="22"/>
          <w:szCs w:val="22"/>
        </w:rPr>
      </w:pPr>
    </w:p>
    <w:p w:rsidR="0078239A" w:rsidRPr="006C0097" w:rsidRDefault="0078239A" w:rsidP="006C0097">
      <w:pPr>
        <w:pStyle w:val="Heading2"/>
      </w:pPr>
      <w:r w:rsidRPr="006C0097">
        <w:t>Sponsor hearing</w:t>
      </w:r>
    </w:p>
    <w:p w:rsidR="0078239A" w:rsidRDefault="0078239A" w:rsidP="0078239A">
      <w:pPr>
        <w:jc w:val="both"/>
        <w:rPr>
          <w:rFonts w:ascii="Arial" w:hAnsi="Arial"/>
          <w:b/>
          <w:sz w:val="22"/>
          <w:szCs w:val="22"/>
        </w:rPr>
      </w:pPr>
    </w:p>
    <w:p w:rsidR="0078239A" w:rsidRDefault="0078239A" w:rsidP="0078239A">
      <w:pPr>
        <w:pStyle w:val="ListParagraph"/>
        <w:numPr>
          <w:ilvl w:val="1"/>
          <w:numId w:val="5"/>
        </w:numPr>
        <w:jc w:val="both"/>
        <w:rPr>
          <w:rFonts w:ascii="Arial" w:hAnsi="Arial"/>
          <w:sz w:val="22"/>
          <w:szCs w:val="22"/>
        </w:rPr>
      </w:pPr>
      <w:r w:rsidRPr="00F1150D">
        <w:rPr>
          <w:rFonts w:ascii="Arial" w:hAnsi="Arial"/>
          <w:sz w:val="22"/>
          <w:szCs w:val="22"/>
        </w:rPr>
        <w:t>There was no hearing for this item as it was a minor submission.</w:t>
      </w:r>
    </w:p>
    <w:p w:rsidR="0078239A" w:rsidRDefault="0078239A" w:rsidP="0078239A">
      <w:pPr>
        <w:jc w:val="both"/>
        <w:rPr>
          <w:rFonts w:ascii="Arial" w:hAnsi="Arial"/>
          <w:sz w:val="22"/>
          <w:szCs w:val="22"/>
        </w:rPr>
      </w:pPr>
    </w:p>
    <w:p w:rsidR="0078239A" w:rsidRPr="006C0097" w:rsidRDefault="0078239A" w:rsidP="006C0097">
      <w:pPr>
        <w:pStyle w:val="Heading2"/>
      </w:pPr>
      <w:r w:rsidRPr="006C0097">
        <w:t>Consumer comments</w:t>
      </w:r>
    </w:p>
    <w:p w:rsidR="0078239A" w:rsidRPr="00F1150D" w:rsidRDefault="0078239A" w:rsidP="0078239A">
      <w:pPr>
        <w:jc w:val="both"/>
        <w:rPr>
          <w:rFonts w:ascii="Arial" w:hAnsi="Arial"/>
          <w:b/>
          <w:sz w:val="22"/>
          <w:szCs w:val="22"/>
        </w:rPr>
      </w:pPr>
    </w:p>
    <w:p w:rsidR="00CF1410" w:rsidRPr="00857B84" w:rsidRDefault="0078239A" w:rsidP="00CF1410">
      <w:pPr>
        <w:pStyle w:val="ListParagraph"/>
        <w:numPr>
          <w:ilvl w:val="1"/>
          <w:numId w:val="5"/>
        </w:numPr>
        <w:jc w:val="both"/>
        <w:rPr>
          <w:rFonts w:ascii="Arial" w:hAnsi="Arial"/>
          <w:sz w:val="22"/>
          <w:szCs w:val="22"/>
        </w:rPr>
      </w:pPr>
      <w:r w:rsidRPr="00857B84">
        <w:rPr>
          <w:rFonts w:ascii="Arial" w:hAnsi="Arial"/>
          <w:sz w:val="22"/>
          <w:szCs w:val="22"/>
        </w:rPr>
        <w:t>The PBAC noted that no consumer comme</w:t>
      </w:r>
      <w:r w:rsidR="00543A18" w:rsidRPr="00857B84">
        <w:rPr>
          <w:rFonts w:ascii="Arial" w:hAnsi="Arial"/>
          <w:sz w:val="22"/>
          <w:szCs w:val="22"/>
        </w:rPr>
        <w:t>nts were received for this item</w:t>
      </w:r>
      <w:r w:rsidR="00857B84">
        <w:rPr>
          <w:rFonts w:ascii="Arial" w:hAnsi="Arial"/>
          <w:sz w:val="22"/>
          <w:szCs w:val="22"/>
        </w:rPr>
        <w:t>.</w:t>
      </w:r>
    </w:p>
    <w:p w:rsidR="00753A8E" w:rsidRDefault="00753A8E" w:rsidP="00753A8E">
      <w:pPr>
        <w:jc w:val="both"/>
        <w:rPr>
          <w:rFonts w:ascii="Arial" w:hAnsi="Arial"/>
          <w:sz w:val="22"/>
          <w:szCs w:val="22"/>
        </w:rPr>
      </w:pPr>
    </w:p>
    <w:p w:rsidR="00CF1410" w:rsidRPr="00CF1410" w:rsidRDefault="00CF1410" w:rsidP="00D12D3A">
      <w:pPr>
        <w:pStyle w:val="Heading1"/>
        <w:rPr>
          <w:rFonts w:cs="Arial"/>
          <w:b w:val="0"/>
          <w:bCs/>
          <w:snapToGrid w:val="0"/>
          <w:lang w:eastAsia="en-US"/>
        </w:rPr>
      </w:pPr>
      <w:r w:rsidRPr="00CF1410">
        <w:rPr>
          <w:rFonts w:cs="Arial"/>
          <w:bCs/>
          <w:snapToGrid w:val="0"/>
          <w:lang w:eastAsia="en-US"/>
        </w:rPr>
        <w:t>PBAC Outcome</w:t>
      </w:r>
    </w:p>
    <w:p w:rsidR="00CF1410" w:rsidRPr="00CF1410" w:rsidRDefault="00CF1410" w:rsidP="00753A8E">
      <w:pPr>
        <w:contextualSpacing/>
        <w:jc w:val="both"/>
        <w:rPr>
          <w:rFonts w:ascii="Arial" w:hAnsi="Arial" w:cs="Arial"/>
          <w:b/>
          <w:bCs/>
          <w:snapToGrid w:val="0"/>
          <w:sz w:val="22"/>
          <w:szCs w:val="22"/>
          <w:lang w:val="en-GB" w:eastAsia="en-US"/>
        </w:rPr>
      </w:pPr>
    </w:p>
    <w:p w:rsidR="00C6459E" w:rsidRPr="0096677A" w:rsidRDefault="00C6459E" w:rsidP="0096677A">
      <w:pPr>
        <w:pStyle w:val="ListParagraph"/>
        <w:numPr>
          <w:ilvl w:val="1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PBAC recommended</w:t>
      </w:r>
      <w:r w:rsidR="000441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amend</w:t>
      </w:r>
      <w:r w:rsidR="00753A8E">
        <w:rPr>
          <w:rFonts w:ascii="Arial" w:hAnsi="Arial" w:cs="Arial"/>
          <w:sz w:val="22"/>
          <w:szCs w:val="22"/>
        </w:rPr>
        <w:t>ing</w:t>
      </w:r>
      <w:r w:rsidR="00A23C7D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</w:t>
      </w:r>
      <w:r w:rsidR="00A23C7D">
        <w:rPr>
          <w:rFonts w:ascii="Arial" w:hAnsi="Arial" w:cs="Arial"/>
          <w:sz w:val="22"/>
          <w:szCs w:val="22"/>
        </w:rPr>
        <w:t xml:space="preserve">maximum </w:t>
      </w:r>
      <w:r w:rsidR="00AE70EE">
        <w:rPr>
          <w:rFonts w:ascii="Arial" w:hAnsi="Arial" w:cs="Arial"/>
          <w:sz w:val="22"/>
          <w:szCs w:val="22"/>
        </w:rPr>
        <w:t xml:space="preserve">PBS </w:t>
      </w:r>
      <w:r w:rsidR="00A23C7D">
        <w:rPr>
          <w:rFonts w:ascii="Arial" w:hAnsi="Arial" w:cs="Arial"/>
          <w:sz w:val="22"/>
          <w:szCs w:val="22"/>
        </w:rPr>
        <w:t>quantities for</w:t>
      </w:r>
      <w:r>
        <w:rPr>
          <w:rFonts w:ascii="Arial" w:hAnsi="Arial" w:cs="Arial"/>
          <w:sz w:val="22"/>
          <w:szCs w:val="22"/>
        </w:rPr>
        <w:t xml:space="preserve"> the current</w:t>
      </w:r>
      <w:r w:rsidR="0096677A">
        <w:rPr>
          <w:rFonts w:ascii="Arial" w:hAnsi="Arial" w:cs="Arial"/>
          <w:sz w:val="22"/>
          <w:szCs w:val="22"/>
        </w:rPr>
        <w:t xml:space="preserve"> Section 100</w:t>
      </w:r>
      <w:r>
        <w:rPr>
          <w:rFonts w:ascii="Arial" w:hAnsi="Arial" w:cs="Arial"/>
          <w:sz w:val="22"/>
          <w:szCs w:val="22"/>
        </w:rPr>
        <w:t xml:space="preserve"> listing</w:t>
      </w:r>
      <w:r w:rsidR="00A23C7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</w:t>
      </w:r>
      <w:r w:rsidRPr="00C6459E">
        <w:t xml:space="preserve"> </w:t>
      </w:r>
      <w:r>
        <w:rPr>
          <w:rFonts w:ascii="Arial" w:hAnsi="Arial" w:cs="Arial"/>
        </w:rPr>
        <w:t>f</w:t>
      </w:r>
      <w:r w:rsidRPr="00C6459E">
        <w:rPr>
          <w:rFonts w:ascii="Arial" w:hAnsi="Arial" w:cs="Arial"/>
          <w:sz w:val="22"/>
          <w:szCs w:val="22"/>
        </w:rPr>
        <w:t>ollitropin alfa + lutropin alfa and lutropin alf</w:t>
      </w:r>
      <w:r w:rsidR="0096677A">
        <w:rPr>
          <w:rFonts w:ascii="Arial" w:hAnsi="Arial" w:cs="Arial"/>
          <w:sz w:val="22"/>
          <w:szCs w:val="22"/>
        </w:rPr>
        <w:t xml:space="preserve">a </w:t>
      </w:r>
      <w:r w:rsidR="00A23C7D">
        <w:rPr>
          <w:rFonts w:ascii="Arial" w:hAnsi="Arial" w:cs="Arial"/>
          <w:sz w:val="22"/>
          <w:szCs w:val="22"/>
        </w:rPr>
        <w:t>from seven to 14</w:t>
      </w:r>
      <w:r w:rsidR="00F1757A">
        <w:rPr>
          <w:rFonts w:ascii="Arial" w:hAnsi="Arial" w:cs="Arial"/>
          <w:sz w:val="22"/>
          <w:szCs w:val="22"/>
        </w:rPr>
        <w:t>, consistent with the maximum PBS quantities available for other drugs used for ovarian stimulation</w:t>
      </w:r>
      <w:r w:rsidRPr="0096677A">
        <w:rPr>
          <w:rFonts w:ascii="Arial" w:hAnsi="Arial" w:cs="Arial"/>
          <w:sz w:val="22"/>
          <w:szCs w:val="22"/>
        </w:rPr>
        <w:t xml:space="preserve">. </w:t>
      </w:r>
    </w:p>
    <w:p w:rsidR="00C6459E" w:rsidRDefault="00C6459E" w:rsidP="00C6459E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CF1410" w:rsidRPr="00280808" w:rsidRDefault="00A5457D" w:rsidP="00280808">
      <w:pPr>
        <w:pStyle w:val="ListParagraph"/>
        <w:numPr>
          <w:ilvl w:val="1"/>
          <w:numId w:val="5"/>
        </w:numPr>
        <w:jc w:val="both"/>
      </w:pPr>
      <w:r>
        <w:rPr>
          <w:rFonts w:ascii="Arial" w:hAnsi="Arial" w:cs="Arial"/>
          <w:sz w:val="22"/>
          <w:szCs w:val="22"/>
        </w:rPr>
        <w:t xml:space="preserve">The PBAC </w:t>
      </w:r>
      <w:r w:rsidR="00AE70EE">
        <w:rPr>
          <w:rFonts w:ascii="Arial" w:hAnsi="Arial" w:cs="Arial"/>
          <w:sz w:val="22"/>
          <w:szCs w:val="22"/>
        </w:rPr>
        <w:t xml:space="preserve">noted </w:t>
      </w:r>
      <w:r w:rsidR="00327F1E" w:rsidRPr="0078239A">
        <w:rPr>
          <w:rFonts w:ascii="Arial" w:hAnsi="Arial" w:cs="Arial"/>
          <w:sz w:val="22"/>
          <w:szCs w:val="22"/>
        </w:rPr>
        <w:t xml:space="preserve">that </w:t>
      </w:r>
      <w:r w:rsidR="009B3DA0">
        <w:rPr>
          <w:rFonts w:ascii="Arial" w:hAnsi="Arial" w:cs="Arial"/>
          <w:sz w:val="22"/>
          <w:szCs w:val="22"/>
        </w:rPr>
        <w:t xml:space="preserve">the maximum </w:t>
      </w:r>
      <w:r w:rsidR="00AE70EE">
        <w:rPr>
          <w:rFonts w:ascii="Arial" w:hAnsi="Arial" w:cs="Arial"/>
          <w:sz w:val="22"/>
          <w:szCs w:val="22"/>
        </w:rPr>
        <w:t xml:space="preserve">PBS </w:t>
      </w:r>
      <w:r w:rsidR="009B3DA0">
        <w:rPr>
          <w:rFonts w:ascii="Arial" w:hAnsi="Arial" w:cs="Arial"/>
          <w:sz w:val="22"/>
          <w:szCs w:val="22"/>
        </w:rPr>
        <w:t>quantity</w:t>
      </w:r>
      <w:r w:rsidR="00327F1E" w:rsidRPr="0078239A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</w:rPr>
        <w:t xml:space="preserve">other Section 100 IVF drugs, including </w:t>
      </w:r>
      <w:r w:rsidR="00327F1E" w:rsidRPr="0078239A">
        <w:rPr>
          <w:rFonts w:ascii="Arial" w:hAnsi="Arial" w:cs="Arial"/>
          <w:sz w:val="22"/>
          <w:szCs w:val="22"/>
        </w:rPr>
        <w:t>follitropin alfa, follitropin beta and human menop</w:t>
      </w:r>
      <w:r w:rsidR="00044143">
        <w:rPr>
          <w:rFonts w:ascii="Arial" w:hAnsi="Arial" w:cs="Arial"/>
          <w:sz w:val="22"/>
          <w:szCs w:val="22"/>
        </w:rPr>
        <w:t>ausal gonadotrophin</w:t>
      </w:r>
      <w:r w:rsidR="0096677A">
        <w:rPr>
          <w:rFonts w:ascii="Arial" w:hAnsi="Arial" w:cs="Arial"/>
          <w:sz w:val="22"/>
          <w:szCs w:val="22"/>
        </w:rPr>
        <w:t>,</w:t>
      </w:r>
      <w:r w:rsidR="00044143">
        <w:rPr>
          <w:rFonts w:ascii="Arial" w:hAnsi="Arial" w:cs="Arial"/>
          <w:sz w:val="22"/>
          <w:szCs w:val="22"/>
        </w:rPr>
        <w:t xml:space="preserve"> provide for </w:t>
      </w:r>
      <w:r w:rsidR="00327F1E" w:rsidRPr="0078239A">
        <w:rPr>
          <w:rFonts w:ascii="Arial" w:hAnsi="Arial" w:cs="Arial"/>
          <w:sz w:val="22"/>
          <w:szCs w:val="22"/>
        </w:rPr>
        <w:t xml:space="preserve">at least 11 to 15 days of treatment, while the current maximum quantities (7) for follitropin alfa + lutropin alfa and lutropin alfa only provide for seven days of treatment. </w:t>
      </w:r>
      <w:r w:rsidR="00844C0A" w:rsidRPr="00280808">
        <w:rPr>
          <w:rFonts w:ascii="Arial" w:hAnsi="Arial" w:cs="Arial"/>
          <w:sz w:val="22"/>
          <w:szCs w:val="22"/>
        </w:rPr>
        <w:t xml:space="preserve">The PBAC </w:t>
      </w:r>
      <w:r w:rsidR="00EC59E7" w:rsidRPr="00280808">
        <w:rPr>
          <w:rFonts w:ascii="Arial" w:hAnsi="Arial" w:cs="Arial"/>
          <w:sz w:val="22"/>
          <w:szCs w:val="22"/>
        </w:rPr>
        <w:t xml:space="preserve">considered </w:t>
      </w:r>
      <w:r w:rsidR="003F45CE">
        <w:rPr>
          <w:rFonts w:ascii="Arial" w:hAnsi="Arial" w:cs="Arial"/>
          <w:sz w:val="22"/>
          <w:szCs w:val="22"/>
        </w:rPr>
        <w:t xml:space="preserve">that </w:t>
      </w:r>
      <w:r w:rsidR="00EC59E7" w:rsidRPr="00280808">
        <w:rPr>
          <w:rFonts w:ascii="Arial" w:hAnsi="Arial" w:cs="Arial"/>
          <w:sz w:val="22"/>
          <w:szCs w:val="22"/>
        </w:rPr>
        <w:t xml:space="preserve">the </w:t>
      </w:r>
      <w:r w:rsidR="00280808">
        <w:rPr>
          <w:rFonts w:ascii="Arial" w:hAnsi="Arial" w:cs="Arial"/>
          <w:sz w:val="22"/>
          <w:szCs w:val="22"/>
        </w:rPr>
        <w:t xml:space="preserve">requested increase in </w:t>
      </w:r>
      <w:r w:rsidR="003F45CE">
        <w:rPr>
          <w:rFonts w:ascii="Arial" w:hAnsi="Arial" w:cs="Arial"/>
          <w:sz w:val="22"/>
          <w:szCs w:val="22"/>
        </w:rPr>
        <w:t xml:space="preserve">maximum </w:t>
      </w:r>
      <w:r w:rsidR="00844C0A" w:rsidRPr="00280808">
        <w:rPr>
          <w:rFonts w:ascii="Arial" w:hAnsi="Arial" w:cs="Arial"/>
          <w:sz w:val="22"/>
          <w:szCs w:val="22"/>
        </w:rPr>
        <w:t xml:space="preserve">quantity </w:t>
      </w:r>
      <w:r w:rsidR="00280808">
        <w:rPr>
          <w:rFonts w:ascii="Arial" w:hAnsi="Arial" w:cs="Arial"/>
          <w:sz w:val="22"/>
          <w:szCs w:val="22"/>
        </w:rPr>
        <w:t>to</w:t>
      </w:r>
      <w:r w:rsidR="00280808" w:rsidRPr="00280808">
        <w:rPr>
          <w:rFonts w:ascii="Arial" w:hAnsi="Arial" w:cs="Arial"/>
          <w:sz w:val="22"/>
          <w:szCs w:val="22"/>
        </w:rPr>
        <w:t xml:space="preserve"> </w:t>
      </w:r>
      <w:r w:rsidR="00844C0A" w:rsidRPr="00280808">
        <w:rPr>
          <w:rFonts w:ascii="Arial" w:hAnsi="Arial" w:cs="Arial"/>
          <w:sz w:val="22"/>
          <w:szCs w:val="22"/>
        </w:rPr>
        <w:t xml:space="preserve">14 vials </w:t>
      </w:r>
      <w:r w:rsidR="003F45CE">
        <w:rPr>
          <w:rFonts w:ascii="Arial" w:hAnsi="Arial" w:cs="Arial"/>
          <w:sz w:val="22"/>
          <w:szCs w:val="22"/>
        </w:rPr>
        <w:t>would</w:t>
      </w:r>
      <w:r w:rsidR="003F45CE" w:rsidRPr="00280808">
        <w:rPr>
          <w:rFonts w:ascii="Arial" w:hAnsi="Arial" w:cs="Arial"/>
          <w:sz w:val="22"/>
          <w:szCs w:val="22"/>
        </w:rPr>
        <w:t xml:space="preserve"> </w:t>
      </w:r>
      <w:r w:rsidR="00EC59E7" w:rsidRPr="00280808">
        <w:rPr>
          <w:rFonts w:ascii="Arial" w:hAnsi="Arial" w:cs="Arial"/>
          <w:sz w:val="22"/>
          <w:szCs w:val="22"/>
        </w:rPr>
        <w:t xml:space="preserve">be </w:t>
      </w:r>
      <w:r w:rsidR="00844C0A" w:rsidRPr="00280808">
        <w:rPr>
          <w:rFonts w:ascii="Arial" w:hAnsi="Arial" w:cs="Arial"/>
          <w:sz w:val="22"/>
          <w:szCs w:val="22"/>
        </w:rPr>
        <w:t>clinically appropriate</w:t>
      </w:r>
      <w:r w:rsidR="00AA7605">
        <w:rPr>
          <w:rFonts w:ascii="Arial" w:hAnsi="Arial" w:cs="Arial"/>
          <w:sz w:val="22"/>
          <w:szCs w:val="22"/>
        </w:rPr>
        <w:t xml:space="preserve"> </w:t>
      </w:r>
      <w:r w:rsidR="00844C0A" w:rsidRPr="00280808">
        <w:rPr>
          <w:rFonts w:ascii="Arial" w:hAnsi="Arial" w:cs="Arial"/>
          <w:sz w:val="22"/>
          <w:szCs w:val="22"/>
        </w:rPr>
        <w:t>and would provide for a sufficient duration of treatment.</w:t>
      </w:r>
    </w:p>
    <w:p w:rsidR="00CF1410" w:rsidRPr="00CF1410" w:rsidRDefault="00CF1410" w:rsidP="00CF1410">
      <w:pPr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</w:p>
    <w:p w:rsidR="00CF1410" w:rsidRPr="00CF1410" w:rsidRDefault="00CF1410" w:rsidP="00CF1410">
      <w:pPr>
        <w:jc w:val="both"/>
        <w:rPr>
          <w:rFonts w:ascii="Arial" w:hAnsi="Arial" w:cs="Arial"/>
          <w:b/>
          <w:bCs/>
          <w:snapToGrid w:val="0"/>
          <w:sz w:val="22"/>
          <w:szCs w:val="22"/>
          <w:lang w:val="en-GB" w:eastAsia="en-US"/>
        </w:rPr>
      </w:pPr>
    </w:p>
    <w:p w:rsidR="00CF1410" w:rsidRPr="00CF1410" w:rsidRDefault="00CF1410" w:rsidP="00CF1410">
      <w:pPr>
        <w:jc w:val="both"/>
        <w:rPr>
          <w:rFonts w:ascii="Arial" w:hAnsi="Arial" w:cs="Arial"/>
          <w:b/>
          <w:bCs/>
          <w:snapToGrid w:val="0"/>
          <w:sz w:val="22"/>
          <w:szCs w:val="22"/>
          <w:lang w:val="en-GB" w:eastAsia="en-US"/>
        </w:rPr>
      </w:pPr>
      <w:r w:rsidRPr="00CF1410">
        <w:rPr>
          <w:rFonts w:ascii="Arial" w:hAnsi="Arial" w:cs="Arial"/>
          <w:b/>
          <w:bCs/>
          <w:snapToGrid w:val="0"/>
          <w:sz w:val="22"/>
          <w:szCs w:val="22"/>
          <w:lang w:val="en-GB" w:eastAsia="en-US"/>
        </w:rPr>
        <w:t>Outcome:</w:t>
      </w:r>
    </w:p>
    <w:p w:rsidR="00CF1410" w:rsidRPr="00CF1410" w:rsidRDefault="00CF1410" w:rsidP="00CF1410">
      <w:pPr>
        <w:jc w:val="both"/>
        <w:rPr>
          <w:rFonts w:ascii="Arial" w:hAnsi="Arial" w:cs="Arial"/>
          <w:bCs/>
          <w:snapToGrid w:val="0"/>
          <w:sz w:val="22"/>
          <w:szCs w:val="22"/>
          <w:lang w:val="en-GB" w:eastAsia="en-US"/>
        </w:rPr>
      </w:pPr>
      <w:r w:rsidRPr="00CF1410">
        <w:rPr>
          <w:rFonts w:ascii="Arial" w:hAnsi="Arial" w:cs="Arial"/>
          <w:bCs/>
          <w:snapToGrid w:val="0"/>
          <w:sz w:val="22"/>
          <w:szCs w:val="22"/>
          <w:lang w:val="en-GB" w:eastAsia="en-US"/>
        </w:rPr>
        <w:t>Recommended</w:t>
      </w:r>
    </w:p>
    <w:p w:rsidR="00CF1410" w:rsidRPr="00CF1410" w:rsidRDefault="00CF1410" w:rsidP="00CF1410">
      <w:pPr>
        <w:jc w:val="both"/>
        <w:rPr>
          <w:rFonts w:ascii="Arial" w:hAnsi="Arial" w:cs="Arial"/>
          <w:bCs/>
          <w:snapToGrid w:val="0"/>
          <w:sz w:val="22"/>
          <w:szCs w:val="22"/>
          <w:lang w:val="en-GB" w:eastAsia="en-US"/>
        </w:rPr>
      </w:pPr>
    </w:p>
    <w:p w:rsidR="00CF1410" w:rsidRPr="00CF1410" w:rsidRDefault="00CF1410" w:rsidP="00CF1410">
      <w:pPr>
        <w:widowControl w:val="0"/>
        <w:jc w:val="both"/>
        <w:rPr>
          <w:rFonts w:ascii="Arial" w:hAnsi="Arial" w:cs="Arial"/>
          <w:bCs/>
          <w:snapToGrid w:val="0"/>
          <w:sz w:val="22"/>
          <w:szCs w:val="22"/>
          <w:lang w:eastAsia="en-US"/>
        </w:rPr>
      </w:pPr>
    </w:p>
    <w:p w:rsidR="00CF1410" w:rsidRPr="00C42813" w:rsidRDefault="00CF1410" w:rsidP="00D12D3A">
      <w:pPr>
        <w:pStyle w:val="Heading1"/>
        <w:rPr>
          <w:rFonts w:cs="Arial"/>
          <w:b w:val="0"/>
          <w:bCs/>
          <w:i/>
          <w:snapToGrid w:val="0"/>
          <w:lang w:val="en-GB" w:eastAsia="en-US"/>
        </w:rPr>
      </w:pPr>
      <w:r w:rsidRPr="00CF1410">
        <w:rPr>
          <w:rFonts w:cs="Arial"/>
          <w:bCs/>
          <w:snapToGrid w:val="0"/>
          <w:lang w:val="en-GB" w:eastAsia="en-US"/>
        </w:rPr>
        <w:t>Recommended listing</w:t>
      </w:r>
    </w:p>
    <w:p w:rsidR="00C42813" w:rsidRPr="0078239A" w:rsidRDefault="00C42813" w:rsidP="00C42813">
      <w:pPr>
        <w:pStyle w:val="ListParagraph"/>
        <w:jc w:val="both"/>
      </w:pPr>
    </w:p>
    <w:tbl>
      <w:tblPr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119"/>
        <w:gridCol w:w="850"/>
        <w:gridCol w:w="709"/>
        <w:gridCol w:w="1275"/>
        <w:gridCol w:w="2410"/>
      </w:tblGrid>
      <w:tr w:rsidR="00C42813" w:rsidRPr="0078239A" w:rsidTr="003F11D4">
        <w:trPr>
          <w:cantSplit/>
          <w:trHeight w:val="471"/>
        </w:trPr>
        <w:tc>
          <w:tcPr>
            <w:tcW w:w="3119" w:type="dxa"/>
            <w:tcBorders>
              <w:bottom w:val="single" w:sz="4" w:space="0" w:color="auto"/>
            </w:tcBorders>
          </w:tcPr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Name, Restriction,</w:t>
            </w:r>
          </w:p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Manner of administration and form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Max.</w:t>
            </w:r>
          </w:p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№.of</w:t>
            </w:r>
          </w:p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Rpts</w:t>
            </w:r>
            <w:proofErr w:type="spellEnd"/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C42813" w:rsidRPr="0078239A" w:rsidRDefault="00C42813" w:rsidP="003F11D4">
            <w:pPr>
              <w:keepNext/>
              <w:jc w:val="both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Proprietary Name and Manufacturer</w:t>
            </w:r>
          </w:p>
        </w:tc>
      </w:tr>
      <w:tr w:rsidR="00C42813" w:rsidRPr="0078239A" w:rsidTr="003F11D4">
        <w:trPr>
          <w:cantSplit/>
          <w:trHeight w:val="932"/>
        </w:trPr>
        <w:tc>
          <w:tcPr>
            <w:tcW w:w="3119" w:type="dxa"/>
          </w:tcPr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mallCaps/>
                <w:sz w:val="20"/>
                <w:szCs w:val="20"/>
              </w:rPr>
              <w:t>FOLLITROPIN ALFA + LUTROPIN ALFA</w:t>
            </w:r>
          </w:p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z w:val="20"/>
                <w:szCs w:val="20"/>
              </w:rPr>
              <w:t>follitropin alfa 150 units + lutropin alfa 75 units [1 vial] (&amp;) inert substance diluent [1 vial], 1 pack</w:t>
            </w:r>
          </w:p>
        </w:tc>
        <w:tc>
          <w:tcPr>
            <w:tcW w:w="850" w:type="dxa"/>
          </w:tcPr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42813" w:rsidRPr="0078239A" w:rsidRDefault="00C42813" w:rsidP="003F11D4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42813" w:rsidRPr="0078239A" w:rsidRDefault="00C42813" w:rsidP="003F11D4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z w:val="20"/>
                <w:szCs w:val="20"/>
              </w:rPr>
              <w:t>Pergoveris®</w:t>
            </w:r>
          </w:p>
        </w:tc>
        <w:tc>
          <w:tcPr>
            <w:tcW w:w="2410" w:type="dxa"/>
          </w:tcPr>
          <w:p w:rsidR="00C42813" w:rsidRPr="0078239A" w:rsidRDefault="00C42813" w:rsidP="003F11D4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42813" w:rsidRPr="0078239A" w:rsidRDefault="00C42813" w:rsidP="003F11D4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z w:val="20"/>
                <w:szCs w:val="20"/>
              </w:rPr>
              <w:t>Merck Serono Australia</w:t>
            </w:r>
          </w:p>
        </w:tc>
      </w:tr>
    </w:tbl>
    <w:p w:rsidR="00C42813" w:rsidRPr="0078239A" w:rsidRDefault="00C42813" w:rsidP="00C42813">
      <w:pPr>
        <w:pStyle w:val="ListParagraph"/>
        <w:jc w:val="both"/>
        <w:rPr>
          <w:rFonts w:ascii="Arial" w:hAnsi="Arial"/>
          <w:sz w:val="22"/>
          <w:szCs w:val="22"/>
        </w:rPr>
      </w:pPr>
    </w:p>
    <w:p w:rsidR="00C42813" w:rsidRPr="0078239A" w:rsidRDefault="00C42813" w:rsidP="00C42813">
      <w:pPr>
        <w:pStyle w:val="ListParagraph"/>
        <w:jc w:val="both"/>
      </w:pPr>
    </w:p>
    <w:tbl>
      <w:tblPr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119"/>
        <w:gridCol w:w="850"/>
        <w:gridCol w:w="709"/>
        <w:gridCol w:w="1275"/>
        <w:gridCol w:w="2410"/>
      </w:tblGrid>
      <w:tr w:rsidR="00C42813" w:rsidRPr="0078239A" w:rsidTr="003F11D4">
        <w:trPr>
          <w:cantSplit/>
          <w:trHeight w:val="471"/>
        </w:trPr>
        <w:tc>
          <w:tcPr>
            <w:tcW w:w="3119" w:type="dxa"/>
            <w:tcBorders>
              <w:bottom w:val="single" w:sz="4" w:space="0" w:color="auto"/>
            </w:tcBorders>
          </w:tcPr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Name, Restriction,</w:t>
            </w:r>
          </w:p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Manner of administration and form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Max.</w:t>
            </w:r>
          </w:p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№.of</w:t>
            </w:r>
          </w:p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Rpts</w:t>
            </w:r>
            <w:proofErr w:type="spellEnd"/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C42813" w:rsidRPr="0078239A" w:rsidRDefault="00C42813" w:rsidP="003F11D4">
            <w:pPr>
              <w:keepNext/>
              <w:jc w:val="both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78239A">
              <w:rPr>
                <w:rFonts w:ascii="Arial Narrow" w:hAnsi="Arial Narrow" w:cs="Arial"/>
                <w:b/>
                <w:sz w:val="20"/>
                <w:szCs w:val="20"/>
              </w:rPr>
              <w:t>Proprietary Name and Manufacturer</w:t>
            </w:r>
          </w:p>
        </w:tc>
      </w:tr>
      <w:tr w:rsidR="00C42813" w:rsidRPr="0078239A" w:rsidTr="003F11D4">
        <w:trPr>
          <w:cantSplit/>
          <w:trHeight w:val="577"/>
        </w:trPr>
        <w:tc>
          <w:tcPr>
            <w:tcW w:w="3119" w:type="dxa"/>
          </w:tcPr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mallCaps/>
                <w:sz w:val="20"/>
                <w:szCs w:val="20"/>
              </w:rPr>
              <w:t>LUTROPIN ALFA</w:t>
            </w:r>
          </w:p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z w:val="20"/>
                <w:szCs w:val="20"/>
              </w:rPr>
              <w:t>lutropin alfa 75 international units injection [1 x 75 international units vial] (&amp;) inert substance diluent [1 x 1 mL vial], 1 pack</w:t>
            </w:r>
          </w:p>
        </w:tc>
        <w:tc>
          <w:tcPr>
            <w:tcW w:w="850" w:type="dxa"/>
          </w:tcPr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42813" w:rsidRPr="0078239A" w:rsidRDefault="00C42813" w:rsidP="003F11D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42813" w:rsidRPr="0078239A" w:rsidRDefault="00C42813" w:rsidP="003F11D4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42813" w:rsidRPr="0078239A" w:rsidRDefault="00C42813" w:rsidP="003F11D4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z w:val="20"/>
                <w:szCs w:val="20"/>
              </w:rPr>
              <w:t>Luveris®</w:t>
            </w:r>
          </w:p>
        </w:tc>
        <w:tc>
          <w:tcPr>
            <w:tcW w:w="2410" w:type="dxa"/>
          </w:tcPr>
          <w:p w:rsidR="00C42813" w:rsidRPr="0078239A" w:rsidRDefault="00C42813" w:rsidP="003F11D4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42813" w:rsidRPr="0078239A" w:rsidRDefault="00C42813" w:rsidP="003F11D4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8239A">
              <w:rPr>
                <w:rFonts w:ascii="Arial Narrow" w:hAnsi="Arial Narrow" w:cs="Arial"/>
                <w:sz w:val="20"/>
                <w:szCs w:val="20"/>
              </w:rPr>
              <w:t>Merck Serono Australia</w:t>
            </w:r>
          </w:p>
        </w:tc>
      </w:tr>
    </w:tbl>
    <w:p w:rsidR="00CF1410" w:rsidRDefault="00CF1410" w:rsidP="00CF1410">
      <w:pPr>
        <w:rPr>
          <w:lang w:val="en-GB" w:eastAsia="en-US"/>
        </w:rPr>
      </w:pPr>
    </w:p>
    <w:p w:rsidR="005202B7" w:rsidRPr="004304F6" w:rsidRDefault="005202B7" w:rsidP="005202B7">
      <w:pPr>
        <w:pStyle w:val="Heading1"/>
        <w:spacing w:after="240"/>
      </w:pPr>
      <w:r w:rsidRPr="004304F6">
        <w:t>Context for Decision</w:t>
      </w:r>
    </w:p>
    <w:p w:rsidR="005202B7" w:rsidRDefault="005202B7" w:rsidP="005202B7">
      <w:pPr>
        <w:ind w:left="720"/>
        <w:jc w:val="both"/>
        <w:rPr>
          <w:rFonts w:ascii="Arial" w:hAnsi="Arial" w:cs="Arial"/>
          <w:sz w:val="22"/>
        </w:rPr>
      </w:pPr>
      <w:r w:rsidRPr="004304F6">
        <w:rPr>
          <w:rFonts w:ascii="Arial" w:hAnsi="Arial" w:cs="Arial"/>
          <w:sz w:val="22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5202B7" w:rsidRPr="004304F6" w:rsidRDefault="005202B7" w:rsidP="005202B7">
      <w:pPr>
        <w:ind w:left="720"/>
        <w:rPr>
          <w:rFonts w:ascii="Arial" w:hAnsi="Arial" w:cs="Arial"/>
          <w:sz w:val="22"/>
        </w:rPr>
      </w:pPr>
    </w:p>
    <w:p w:rsidR="005202B7" w:rsidRPr="004304F6" w:rsidRDefault="005202B7" w:rsidP="005202B7">
      <w:pPr>
        <w:pStyle w:val="Heading1"/>
        <w:spacing w:after="240"/>
      </w:pPr>
      <w:r w:rsidRPr="004304F6">
        <w:t>Sponsor’s Comment</w:t>
      </w:r>
    </w:p>
    <w:p w:rsidR="000F5809" w:rsidRPr="000F5809" w:rsidRDefault="00543A18" w:rsidP="000F5809">
      <w:pPr>
        <w:spacing w:after="120"/>
        <w:ind w:left="720"/>
        <w:jc w:val="both"/>
        <w:rPr>
          <w:rFonts w:ascii="Arial" w:hAnsi="Arial" w:cs="Arial"/>
          <w:bCs/>
          <w:sz w:val="22"/>
        </w:rPr>
      </w:pPr>
      <w:r w:rsidRPr="0024384F">
        <w:rPr>
          <w:rFonts w:ascii="Arial" w:hAnsi="Arial" w:cs="Arial"/>
          <w:bCs/>
          <w:sz w:val="22"/>
        </w:rPr>
        <w:t xml:space="preserve">Merck </w:t>
      </w:r>
      <w:proofErr w:type="spellStart"/>
      <w:r w:rsidRPr="0024384F">
        <w:rPr>
          <w:rFonts w:ascii="Arial" w:hAnsi="Arial" w:cs="Arial"/>
          <w:bCs/>
          <w:sz w:val="22"/>
        </w:rPr>
        <w:t>Serono</w:t>
      </w:r>
      <w:proofErr w:type="spellEnd"/>
      <w:r w:rsidRPr="0024384F">
        <w:rPr>
          <w:rFonts w:ascii="Arial" w:hAnsi="Arial" w:cs="Arial"/>
          <w:bCs/>
          <w:sz w:val="22"/>
        </w:rPr>
        <w:t xml:space="preserve"> is pleased that the PBAC recognises that optimal quality use of medicine for </w:t>
      </w:r>
      <w:proofErr w:type="spellStart"/>
      <w:r w:rsidRPr="0024384F">
        <w:rPr>
          <w:rFonts w:ascii="Arial" w:hAnsi="Arial" w:cs="Arial"/>
          <w:bCs/>
          <w:sz w:val="22"/>
        </w:rPr>
        <w:t>Luveris</w:t>
      </w:r>
      <w:proofErr w:type="spellEnd"/>
      <w:r w:rsidRPr="0024384F">
        <w:rPr>
          <w:rFonts w:ascii="Arial" w:hAnsi="Arial" w:cs="Arial"/>
          <w:bCs/>
          <w:sz w:val="22"/>
        </w:rPr>
        <w:t xml:space="preserve"> and </w:t>
      </w:r>
      <w:proofErr w:type="spellStart"/>
      <w:r w:rsidRPr="0024384F">
        <w:rPr>
          <w:rFonts w:ascii="Arial" w:hAnsi="Arial" w:cs="Arial"/>
          <w:bCs/>
          <w:sz w:val="22"/>
        </w:rPr>
        <w:t>Pergoveris</w:t>
      </w:r>
      <w:proofErr w:type="spellEnd"/>
      <w:r w:rsidRPr="0024384F">
        <w:rPr>
          <w:rFonts w:ascii="Arial" w:hAnsi="Arial" w:cs="Arial"/>
          <w:bCs/>
          <w:sz w:val="22"/>
        </w:rPr>
        <w:t xml:space="preserve"> requires that the duration of treatment, and therefore the Maximum Qu</w:t>
      </w:r>
      <w:r w:rsidR="000F5809">
        <w:rPr>
          <w:rFonts w:ascii="Arial" w:hAnsi="Arial" w:cs="Arial"/>
          <w:bCs/>
          <w:sz w:val="22"/>
        </w:rPr>
        <w:t xml:space="preserve">antities, needed to be extended, </w:t>
      </w:r>
      <w:r w:rsidR="000F5809" w:rsidRPr="000F5809">
        <w:rPr>
          <w:rFonts w:ascii="Arial" w:hAnsi="Arial" w:cs="Arial"/>
          <w:bCs/>
          <w:sz w:val="22"/>
        </w:rPr>
        <w:t>in accordance with consistent feedback from expert fertility clinicians in Australia.</w:t>
      </w:r>
    </w:p>
    <w:p w:rsidR="005202B7" w:rsidRPr="0024384F" w:rsidRDefault="005202B7" w:rsidP="005202B7">
      <w:pPr>
        <w:spacing w:after="120"/>
        <w:ind w:left="720"/>
        <w:jc w:val="both"/>
        <w:rPr>
          <w:rFonts w:ascii="Arial" w:hAnsi="Arial" w:cs="Arial"/>
          <w:bCs/>
          <w:sz w:val="22"/>
        </w:rPr>
      </w:pPr>
    </w:p>
    <w:p w:rsidR="006C0097" w:rsidRPr="005202B7" w:rsidRDefault="006C0097" w:rsidP="005202B7">
      <w:pPr>
        <w:spacing w:after="120"/>
        <w:ind w:left="720"/>
        <w:jc w:val="both"/>
        <w:rPr>
          <w:rFonts w:ascii="Arial" w:hAnsi="Arial" w:cs="Arial"/>
          <w:bCs/>
          <w:sz w:val="22"/>
        </w:rPr>
      </w:pPr>
    </w:p>
    <w:sectPr w:rsidR="006C0097" w:rsidRPr="005202B7" w:rsidSect="008F447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440" w:right="1440" w:bottom="1440" w:left="1440" w:header="1440" w:footer="14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79" w:rsidRDefault="008F4479" w:rsidP="008F4479">
      <w:r>
        <w:separator/>
      </w:r>
    </w:p>
  </w:endnote>
  <w:endnote w:type="continuationSeparator" w:id="0">
    <w:p w:rsidR="008F4479" w:rsidRDefault="008F4479" w:rsidP="008F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995"/>
      <w:gridCol w:w="1252"/>
      <w:gridCol w:w="3995"/>
    </w:tblGrid>
    <w:tr w:rsidR="008F4479" w:rsidTr="008F4479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8F4479" w:rsidRPr="005A3173" w:rsidRDefault="008F4479" w:rsidP="008F4479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8F4479" w:rsidRPr="005A3173" w:rsidRDefault="008F4479" w:rsidP="008F4479">
          <w:pPr>
            <w:pStyle w:val="MediumGrid21"/>
            <w:spacing w:line="276" w:lineRule="auto"/>
            <w:rPr>
              <w:rFonts w:ascii="Calibri" w:hAnsi="Calibri"/>
              <w:color w:val="365F91"/>
            </w:rPr>
          </w:pPr>
          <w:r w:rsidRPr="005A3173">
            <w:rPr>
              <w:rFonts w:ascii="Cambria" w:hAnsi="Cambria"/>
              <w:color w:val="365F91"/>
            </w:rPr>
            <w:t>[Type text]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8F4479" w:rsidRPr="005A3173" w:rsidRDefault="008F4479" w:rsidP="008F4479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8F4479" w:rsidTr="008F4479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8F4479" w:rsidRPr="005A3173" w:rsidRDefault="008F4479" w:rsidP="008F4479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8F4479" w:rsidRPr="005A3173" w:rsidRDefault="008F4479" w:rsidP="008F4479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8F4479" w:rsidRPr="005A3173" w:rsidRDefault="008F4479" w:rsidP="008F4479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:rsidR="008F4479" w:rsidRDefault="008F4479" w:rsidP="008F44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4479" w:rsidRDefault="008F4479">
    <w:pPr>
      <w:pStyle w:val="Footer"/>
    </w:pPr>
  </w:p>
  <w:p w:rsidR="008F4479" w:rsidRDefault="008F44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3181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3AB4" w:rsidRDefault="00653AB4">
        <w:pPr>
          <w:pStyle w:val="Footer"/>
          <w:jc w:val="center"/>
        </w:pPr>
      </w:p>
      <w:p w:rsidR="008F4479" w:rsidRPr="00653AB4" w:rsidRDefault="0078239A" w:rsidP="00653AB4">
        <w:pPr>
          <w:pStyle w:val="Footer"/>
          <w:jc w:val="center"/>
        </w:pPr>
        <w:r w:rsidRPr="00653AB4">
          <w:rPr>
            <w:rFonts w:ascii="Arial" w:hAnsi="Arial" w:cs="Arial"/>
            <w:sz w:val="22"/>
          </w:rPr>
          <w:fldChar w:fldCharType="begin"/>
        </w:r>
        <w:r w:rsidRPr="00653AB4">
          <w:rPr>
            <w:rFonts w:ascii="Arial" w:hAnsi="Arial" w:cs="Arial"/>
            <w:sz w:val="22"/>
          </w:rPr>
          <w:instrText xml:space="preserve"> PAGE   \* MERGEFORMAT </w:instrText>
        </w:r>
        <w:r w:rsidRPr="00653AB4">
          <w:rPr>
            <w:rFonts w:ascii="Arial" w:hAnsi="Arial" w:cs="Arial"/>
            <w:sz w:val="22"/>
          </w:rPr>
          <w:fldChar w:fldCharType="separate"/>
        </w:r>
        <w:r w:rsidR="00162DEF">
          <w:rPr>
            <w:rFonts w:ascii="Arial" w:hAnsi="Arial" w:cs="Arial"/>
            <w:noProof/>
            <w:sz w:val="22"/>
          </w:rPr>
          <w:t>1</w:t>
        </w:r>
        <w:r w:rsidRPr="00653AB4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995"/>
      <w:gridCol w:w="1252"/>
      <w:gridCol w:w="3995"/>
    </w:tblGrid>
    <w:tr w:rsidR="008F4479" w:rsidTr="008F4479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8F4479" w:rsidRPr="005A3173" w:rsidRDefault="008F4479" w:rsidP="008F4479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8F4479" w:rsidRPr="005A3173" w:rsidRDefault="008F4479" w:rsidP="008F4479">
          <w:pPr>
            <w:pStyle w:val="MediumGrid21"/>
            <w:spacing w:line="276" w:lineRule="auto"/>
            <w:rPr>
              <w:rFonts w:ascii="Calibri" w:hAnsi="Calibri"/>
              <w:color w:val="365F91"/>
            </w:rPr>
          </w:pPr>
          <w:r w:rsidRPr="005A3173">
            <w:rPr>
              <w:rFonts w:ascii="Cambria" w:hAnsi="Cambria"/>
              <w:color w:val="365F91"/>
            </w:rPr>
            <w:t>[Type text]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8F4479" w:rsidRPr="005A3173" w:rsidRDefault="008F4479" w:rsidP="008F4479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8F4479" w:rsidTr="008F4479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8F4479" w:rsidRPr="005A3173" w:rsidRDefault="008F4479" w:rsidP="008F4479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8F4479" w:rsidRPr="005A3173" w:rsidRDefault="008F4479" w:rsidP="008F4479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8F4479" w:rsidRPr="005A3173" w:rsidRDefault="008F4479" w:rsidP="008F4479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995"/>
      <w:gridCol w:w="1252"/>
      <w:gridCol w:w="3995"/>
    </w:tblGrid>
    <w:tr w:rsidR="008F4479" w:rsidTr="008F4479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8F4479" w:rsidRPr="005A3173" w:rsidRDefault="008F4479" w:rsidP="008F4479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8F4479" w:rsidRPr="005A3173" w:rsidRDefault="008F4479" w:rsidP="008F4479">
          <w:pPr>
            <w:pStyle w:val="MediumGrid21"/>
            <w:spacing w:line="276" w:lineRule="auto"/>
            <w:rPr>
              <w:rFonts w:ascii="Calibri" w:hAnsi="Calibri"/>
              <w:color w:val="365F91"/>
            </w:rPr>
          </w:pPr>
          <w:r w:rsidRPr="005A3173">
            <w:rPr>
              <w:rFonts w:ascii="Cambria" w:hAnsi="Cambria"/>
              <w:color w:val="365F91"/>
            </w:rPr>
            <w:t>[Type text]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8F4479" w:rsidRPr="005A3173" w:rsidRDefault="008F4479" w:rsidP="008F4479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8F4479" w:rsidTr="008F4479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8F4479" w:rsidRPr="005A3173" w:rsidRDefault="008F4479" w:rsidP="008F4479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8F4479" w:rsidRPr="005A3173" w:rsidRDefault="008F4479" w:rsidP="008F4479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8F4479" w:rsidRPr="005A3173" w:rsidRDefault="008F4479" w:rsidP="008F4479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:rsidR="008F4479" w:rsidRPr="007C0F57" w:rsidRDefault="008F4479" w:rsidP="008F4479">
    <w:pPr>
      <w:pStyle w:val="Footer"/>
      <w:jc w:val="center"/>
      <w:rPr>
        <w:b/>
        <w:i/>
        <w:sz w:val="20"/>
        <w:szCs w:val="20"/>
      </w:rPr>
    </w:pPr>
    <w:r w:rsidRPr="007C0F57">
      <w:rPr>
        <w:b/>
        <w:i/>
        <w:sz w:val="20"/>
        <w:szCs w:val="20"/>
      </w:rPr>
      <w:t xml:space="preserve">Draft Minutes </w:t>
    </w:r>
    <w:r>
      <w:rPr>
        <w:b/>
        <w:i/>
        <w:sz w:val="20"/>
        <w:szCs w:val="20"/>
      </w:rPr>
      <w:t xml:space="preserve">November 2011 </w:t>
    </w:r>
    <w:r w:rsidRPr="007C0F57">
      <w:rPr>
        <w:b/>
        <w:i/>
        <w:sz w:val="20"/>
        <w:szCs w:val="20"/>
      </w:rPr>
      <w:t>P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 w:rsidRPr="007C0F57">
      <w:rPr>
        <w:b/>
        <w:i/>
        <w:sz w:val="20"/>
        <w:szCs w:val="20"/>
      </w:rPr>
      <w:t>BAC Meeting</w:t>
    </w:r>
  </w:p>
  <w:p w:rsidR="008F4479" w:rsidRPr="007C0F57" w:rsidRDefault="008F4479" w:rsidP="008F4479">
    <w:pPr>
      <w:pStyle w:val="Footer"/>
      <w:jc w:val="center"/>
      <w:rPr>
        <w:b/>
        <w:i/>
        <w:sz w:val="20"/>
        <w:szCs w:val="20"/>
      </w:rPr>
    </w:pPr>
    <w:r w:rsidRPr="007C0F57">
      <w:rPr>
        <w:b/>
        <w:i/>
        <w:sz w:val="20"/>
        <w:szCs w:val="20"/>
      </w:rPr>
      <w:t>Commercial-in-Confidence</w:t>
    </w:r>
  </w:p>
  <w:p w:rsidR="008F4479" w:rsidRDefault="008F44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79" w:rsidRDefault="008F4479" w:rsidP="008F4479">
      <w:r>
        <w:separator/>
      </w:r>
    </w:p>
  </w:footnote>
  <w:footnote w:type="continuationSeparator" w:id="0">
    <w:p w:rsidR="008F4479" w:rsidRDefault="008F4479" w:rsidP="008F4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38"/>
      <w:gridCol w:w="1252"/>
      <w:gridCol w:w="3836"/>
    </w:tblGrid>
    <w:tr w:rsidR="008F4479" w:rsidRPr="008E0D90" w:rsidTr="008F447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8F4479" w:rsidRPr="00A06225" w:rsidRDefault="008F4479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8F4479" w:rsidRPr="00A06225" w:rsidRDefault="008F4479" w:rsidP="008F4479">
          <w:pPr>
            <w:pStyle w:val="MediumGrid21"/>
            <w:rPr>
              <w:rFonts w:ascii="Cambria" w:hAnsi="Cambria"/>
              <w:color w:val="4F81BD"/>
              <w:szCs w:val="20"/>
            </w:rPr>
          </w:pPr>
          <w:r w:rsidRPr="00A06225">
            <w:rPr>
              <w:rFonts w:ascii="Cambria" w:hAnsi="Cambria"/>
              <w:color w:val="4F81BD"/>
            </w:rPr>
            <w:t>[Type text]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8F4479" w:rsidRPr="00A06225" w:rsidRDefault="008F4479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  <w:tr w:rsidR="008F4479" w:rsidRPr="008E0D90" w:rsidTr="008F4479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8F4479" w:rsidRPr="00A06225" w:rsidRDefault="008F4479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8F4479" w:rsidRPr="00A06225" w:rsidRDefault="008F4479">
          <w:pPr>
            <w:rPr>
              <w:rFonts w:ascii="Cambria" w:hAnsi="Cambria"/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8F4479" w:rsidRPr="00A06225" w:rsidRDefault="008F4479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</w:tbl>
  <w:p w:rsidR="008F4479" w:rsidRDefault="008F4479">
    <w:pPr>
      <w:pStyle w:val="Header"/>
    </w:pPr>
  </w:p>
  <w:p w:rsidR="008F4479" w:rsidRDefault="008F447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97" w:rsidRPr="00150152" w:rsidRDefault="006C0097" w:rsidP="006C0097">
    <w:pPr>
      <w:pStyle w:val="Header"/>
      <w:ind w:left="360"/>
      <w:jc w:val="center"/>
      <w:rPr>
        <w:rFonts w:ascii="Arial" w:hAnsi="Arial" w:cs="Arial"/>
        <w:i/>
        <w:color w:val="808080"/>
        <w:sz w:val="22"/>
      </w:rPr>
    </w:pPr>
    <w:r>
      <w:rPr>
        <w:rFonts w:ascii="Arial" w:hAnsi="Arial" w:cs="Arial"/>
        <w:i/>
        <w:color w:val="808080"/>
        <w:sz w:val="22"/>
      </w:rPr>
      <w:t>Public Summary Document –</w:t>
    </w:r>
    <w:r w:rsidRPr="00DF217D">
      <w:rPr>
        <w:rFonts w:ascii="Arial" w:hAnsi="Arial" w:cs="Arial"/>
        <w:i/>
        <w:color w:val="808080"/>
        <w:sz w:val="22"/>
      </w:rPr>
      <w:t xml:space="preserve"> </w:t>
    </w:r>
    <w:r>
      <w:rPr>
        <w:rFonts w:ascii="Arial" w:hAnsi="Arial" w:cs="Arial"/>
        <w:i/>
        <w:color w:val="808080"/>
        <w:sz w:val="22"/>
      </w:rPr>
      <w:t xml:space="preserve">March 2016 </w:t>
    </w:r>
    <w:r w:rsidRPr="00DF217D">
      <w:rPr>
        <w:rFonts w:ascii="Arial" w:hAnsi="Arial" w:cs="Arial"/>
        <w:i/>
        <w:color w:val="808080"/>
        <w:sz w:val="22"/>
      </w:rPr>
      <w:t>PBAC</w:t>
    </w:r>
    <w:r>
      <w:rPr>
        <w:rFonts w:ascii="Arial" w:hAnsi="Arial" w:cs="Arial"/>
        <w:i/>
        <w:color w:val="808080"/>
        <w:sz w:val="22"/>
      </w:rPr>
      <w:t xml:space="preserve"> </w:t>
    </w:r>
    <w:r w:rsidRPr="00DF217D">
      <w:rPr>
        <w:rFonts w:ascii="Arial" w:hAnsi="Arial" w:cs="Arial"/>
        <w:i/>
        <w:color w:val="808080"/>
        <w:sz w:val="22"/>
      </w:rPr>
      <w:t>Meeting</w:t>
    </w:r>
  </w:p>
  <w:p w:rsidR="008F4479" w:rsidRDefault="008F4479" w:rsidP="008F4479">
    <w:pPr>
      <w:pStyle w:val="NoSpaci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60B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0AC0811"/>
    <w:multiLevelType w:val="hybridMultilevel"/>
    <w:tmpl w:val="9E3E2776"/>
    <w:lvl w:ilvl="0" w:tplc="369A0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321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7CC4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2E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0EB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4EB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EA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2F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92A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9011D"/>
    <w:multiLevelType w:val="hybridMultilevel"/>
    <w:tmpl w:val="54025948"/>
    <w:lvl w:ilvl="0" w:tplc="48F662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3F35A3"/>
    <w:multiLevelType w:val="hybridMultilevel"/>
    <w:tmpl w:val="E3F01BEA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0AAF0EBA"/>
    <w:multiLevelType w:val="multilevel"/>
    <w:tmpl w:val="642C45D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0015B3"/>
    <w:multiLevelType w:val="hybridMultilevel"/>
    <w:tmpl w:val="67C6A6E6"/>
    <w:lvl w:ilvl="0" w:tplc="18143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B87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008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5AF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C82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40D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CF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2E8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C6F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2C3364"/>
    <w:multiLevelType w:val="hybridMultilevel"/>
    <w:tmpl w:val="8CA87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F422C"/>
    <w:multiLevelType w:val="hybridMultilevel"/>
    <w:tmpl w:val="BCDA9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821623"/>
    <w:multiLevelType w:val="hybridMultilevel"/>
    <w:tmpl w:val="DFFEA42C"/>
    <w:lvl w:ilvl="0" w:tplc="27E62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9C86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EE92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80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CB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20B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E8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1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DC3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FB11E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45C20FA"/>
    <w:multiLevelType w:val="hybridMultilevel"/>
    <w:tmpl w:val="9E222D92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2C0459B2"/>
    <w:multiLevelType w:val="hybridMultilevel"/>
    <w:tmpl w:val="75D4E6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5D750B"/>
    <w:multiLevelType w:val="hybridMultilevel"/>
    <w:tmpl w:val="09729876"/>
    <w:lvl w:ilvl="0" w:tplc="27E62F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7E6951"/>
    <w:multiLevelType w:val="hybridMultilevel"/>
    <w:tmpl w:val="10389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904E0"/>
    <w:multiLevelType w:val="hybridMultilevel"/>
    <w:tmpl w:val="B4FCD872"/>
    <w:lvl w:ilvl="0" w:tplc="21D66824">
      <w:start w:val="1"/>
      <w:numFmt w:val="lowerLetter"/>
      <w:lvlText w:val="(%1)"/>
      <w:lvlJc w:val="left"/>
      <w:pPr>
        <w:ind w:left="720" w:hanging="360"/>
      </w:pPr>
      <w:rPr>
        <w:rFonts w:hint="default"/>
        <w:i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703EF"/>
    <w:multiLevelType w:val="hybridMultilevel"/>
    <w:tmpl w:val="52B2F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D75DA6"/>
    <w:multiLevelType w:val="hybridMultilevel"/>
    <w:tmpl w:val="DA22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C4877"/>
    <w:multiLevelType w:val="hybridMultilevel"/>
    <w:tmpl w:val="7C14A7FA"/>
    <w:lvl w:ilvl="0" w:tplc="8DCC726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A2B0988"/>
    <w:multiLevelType w:val="hybridMultilevel"/>
    <w:tmpl w:val="90AA54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8B2658"/>
    <w:multiLevelType w:val="hybridMultilevel"/>
    <w:tmpl w:val="81921DDC"/>
    <w:lvl w:ilvl="0" w:tplc="E620DD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031277"/>
    <w:multiLevelType w:val="hybridMultilevel"/>
    <w:tmpl w:val="25882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432A6"/>
    <w:multiLevelType w:val="hybridMultilevel"/>
    <w:tmpl w:val="00A293AC"/>
    <w:lvl w:ilvl="0" w:tplc="1DFA45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360A5B"/>
    <w:multiLevelType w:val="hybridMultilevel"/>
    <w:tmpl w:val="EF60CE2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FB468B"/>
    <w:multiLevelType w:val="hybridMultilevel"/>
    <w:tmpl w:val="0130ED8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4D033C"/>
    <w:multiLevelType w:val="multilevel"/>
    <w:tmpl w:val="255C9C80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8"/>
  </w:num>
  <w:num w:numId="5">
    <w:abstractNumId w:val="24"/>
  </w:num>
  <w:num w:numId="6">
    <w:abstractNumId w:val="7"/>
  </w:num>
  <w:num w:numId="7">
    <w:abstractNumId w:val="15"/>
  </w:num>
  <w:num w:numId="8">
    <w:abstractNumId w:val="2"/>
  </w:num>
  <w:num w:numId="9">
    <w:abstractNumId w:val="14"/>
  </w:num>
  <w:num w:numId="10">
    <w:abstractNumId w:val="13"/>
  </w:num>
  <w:num w:numId="11">
    <w:abstractNumId w:val="11"/>
  </w:num>
  <w:num w:numId="12">
    <w:abstractNumId w:val="6"/>
  </w:num>
  <w:num w:numId="13">
    <w:abstractNumId w:val="22"/>
  </w:num>
  <w:num w:numId="14">
    <w:abstractNumId w:val="16"/>
  </w:num>
  <w:num w:numId="15">
    <w:abstractNumId w:val="23"/>
  </w:num>
  <w:num w:numId="16">
    <w:abstractNumId w:val="10"/>
  </w:num>
  <w:num w:numId="17">
    <w:abstractNumId w:val="3"/>
  </w:num>
  <w:num w:numId="18">
    <w:abstractNumId w:val="17"/>
  </w:num>
  <w:num w:numId="19">
    <w:abstractNumId w:val="19"/>
  </w:num>
  <w:num w:numId="20">
    <w:abstractNumId w:val="12"/>
  </w:num>
  <w:num w:numId="21">
    <w:abstractNumId w:val="21"/>
  </w:num>
  <w:num w:numId="22">
    <w:abstractNumId w:val="20"/>
  </w:num>
  <w:num w:numId="23">
    <w:abstractNumId w:val="4"/>
  </w:num>
  <w:num w:numId="24">
    <w:abstractNumId w:val="0"/>
  </w:num>
  <w:num w:numId="25">
    <w:abstractNumId w:val="9"/>
  </w:num>
  <w:num w:numId="26">
    <w:abstractNumId w:val="24"/>
  </w:num>
  <w:num w:numId="27">
    <w:abstractNumId w:val="24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44"/>
    <w:rsid w:val="00003743"/>
    <w:rsid w:val="00044143"/>
    <w:rsid w:val="00067456"/>
    <w:rsid w:val="000B2CC2"/>
    <w:rsid w:val="000F321C"/>
    <w:rsid w:val="000F5809"/>
    <w:rsid w:val="0015705F"/>
    <w:rsid w:val="00162DEF"/>
    <w:rsid w:val="001652F9"/>
    <w:rsid w:val="00166F70"/>
    <w:rsid w:val="001954AB"/>
    <w:rsid w:val="001B3443"/>
    <w:rsid w:val="001E1619"/>
    <w:rsid w:val="00234D5F"/>
    <w:rsid w:val="0024384F"/>
    <w:rsid w:val="00280808"/>
    <w:rsid w:val="0030786C"/>
    <w:rsid w:val="00327846"/>
    <w:rsid w:val="00327F1E"/>
    <w:rsid w:val="003357D2"/>
    <w:rsid w:val="00360D29"/>
    <w:rsid w:val="0038634D"/>
    <w:rsid w:val="003A5578"/>
    <w:rsid w:val="003C5B87"/>
    <w:rsid w:val="003C5D01"/>
    <w:rsid w:val="003D17F9"/>
    <w:rsid w:val="003D565C"/>
    <w:rsid w:val="003F45CE"/>
    <w:rsid w:val="00416BF9"/>
    <w:rsid w:val="0042177D"/>
    <w:rsid w:val="0042289A"/>
    <w:rsid w:val="004358B9"/>
    <w:rsid w:val="004867E2"/>
    <w:rsid w:val="004E5E4D"/>
    <w:rsid w:val="004F0CAA"/>
    <w:rsid w:val="005172CA"/>
    <w:rsid w:val="005202B7"/>
    <w:rsid w:val="00543A18"/>
    <w:rsid w:val="005638F3"/>
    <w:rsid w:val="00575C02"/>
    <w:rsid w:val="005A4DBC"/>
    <w:rsid w:val="00614F44"/>
    <w:rsid w:val="00653AB4"/>
    <w:rsid w:val="006B63BD"/>
    <w:rsid w:val="006C0097"/>
    <w:rsid w:val="006C5F5C"/>
    <w:rsid w:val="0075090E"/>
    <w:rsid w:val="00753A8E"/>
    <w:rsid w:val="0077508A"/>
    <w:rsid w:val="0078239A"/>
    <w:rsid w:val="00795E83"/>
    <w:rsid w:val="007D2E8A"/>
    <w:rsid w:val="00821673"/>
    <w:rsid w:val="008264EB"/>
    <w:rsid w:val="00844C0A"/>
    <w:rsid w:val="00857B84"/>
    <w:rsid w:val="008C6A5F"/>
    <w:rsid w:val="008E0515"/>
    <w:rsid w:val="008F4479"/>
    <w:rsid w:val="00920E64"/>
    <w:rsid w:val="00951898"/>
    <w:rsid w:val="0096677A"/>
    <w:rsid w:val="0096684C"/>
    <w:rsid w:val="009B3DA0"/>
    <w:rsid w:val="009C6633"/>
    <w:rsid w:val="009E46D4"/>
    <w:rsid w:val="00A07BA4"/>
    <w:rsid w:val="00A13591"/>
    <w:rsid w:val="00A23C7D"/>
    <w:rsid w:val="00A4512D"/>
    <w:rsid w:val="00A5457D"/>
    <w:rsid w:val="00A67A6F"/>
    <w:rsid w:val="00A705AF"/>
    <w:rsid w:val="00A73F71"/>
    <w:rsid w:val="00AA7605"/>
    <w:rsid w:val="00AE70EE"/>
    <w:rsid w:val="00B42851"/>
    <w:rsid w:val="00BC7550"/>
    <w:rsid w:val="00C26032"/>
    <w:rsid w:val="00C42813"/>
    <w:rsid w:val="00C6459E"/>
    <w:rsid w:val="00C66643"/>
    <w:rsid w:val="00CB5B1A"/>
    <w:rsid w:val="00CF1410"/>
    <w:rsid w:val="00CF73EC"/>
    <w:rsid w:val="00D12D3A"/>
    <w:rsid w:val="00D525B7"/>
    <w:rsid w:val="00D8308B"/>
    <w:rsid w:val="00D9070A"/>
    <w:rsid w:val="00D94057"/>
    <w:rsid w:val="00DC3D2B"/>
    <w:rsid w:val="00DE363F"/>
    <w:rsid w:val="00E116A8"/>
    <w:rsid w:val="00E613E3"/>
    <w:rsid w:val="00EC59E7"/>
    <w:rsid w:val="00EE492E"/>
    <w:rsid w:val="00F1757A"/>
    <w:rsid w:val="00FD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13"/>
    <w:rPr>
      <w:sz w:val="24"/>
      <w:szCs w:val="24"/>
    </w:rPr>
  </w:style>
  <w:style w:type="paragraph" w:styleId="Heading1">
    <w:name w:val="heading 1"/>
    <w:basedOn w:val="ListParagraph"/>
    <w:next w:val="Normal"/>
    <w:qFormat/>
    <w:rsid w:val="00D12D3A"/>
    <w:pPr>
      <w:numPr>
        <w:numId w:val="5"/>
      </w:numPr>
      <w:jc w:val="both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qFormat/>
    <w:rsid w:val="006C0097"/>
    <w:pPr>
      <w:jc w:val="both"/>
      <w:outlineLvl w:val="1"/>
    </w:pPr>
    <w:rPr>
      <w:rFonts w:ascii="Arial" w:hAnsi="Arial"/>
      <w:b/>
      <w:i/>
      <w:sz w:val="22"/>
      <w:szCs w:val="22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99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72"/>
    <w:qFormat/>
    <w:rsid w:val="00A4512D"/>
    <w:pPr>
      <w:ind w:left="720"/>
      <w:contextualSpacing/>
    </w:pPr>
  </w:style>
  <w:style w:type="paragraph" w:styleId="Header">
    <w:name w:val="header"/>
    <w:aliases w:val="Page Header,Header title,he=header,cntr/bld"/>
    <w:basedOn w:val="Normal"/>
    <w:link w:val="HeaderChar"/>
    <w:uiPriority w:val="99"/>
    <w:rsid w:val="00614F4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614F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4F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F44"/>
    <w:rPr>
      <w:sz w:val="24"/>
      <w:szCs w:val="24"/>
    </w:rPr>
  </w:style>
  <w:style w:type="character" w:styleId="PageNumber">
    <w:name w:val="page number"/>
    <w:basedOn w:val="DefaultParagraphFont"/>
    <w:rsid w:val="00614F44"/>
  </w:style>
  <w:style w:type="paragraph" w:customStyle="1" w:styleId="MediumGrid21">
    <w:name w:val="Medium Grid 21"/>
    <w:link w:val="MediumGrid2Char"/>
    <w:qFormat/>
    <w:rsid w:val="00614F44"/>
    <w:rPr>
      <w:rFonts w:ascii="PMingLiU" w:eastAsia="MS Mincho" w:hAnsi="PMingLiU"/>
      <w:sz w:val="22"/>
      <w:szCs w:val="22"/>
      <w:lang w:val="en-US" w:eastAsia="en-US"/>
    </w:rPr>
  </w:style>
  <w:style w:type="character" w:customStyle="1" w:styleId="MediumGrid2Char">
    <w:name w:val="Medium Grid 2 Char"/>
    <w:link w:val="MediumGrid21"/>
    <w:rsid w:val="00614F44"/>
    <w:rPr>
      <w:rFonts w:ascii="PMingLiU" w:eastAsia="MS Mincho" w:hAnsi="PMingLiU"/>
      <w:sz w:val="22"/>
      <w:szCs w:val="22"/>
      <w:lang w:val="en-US" w:eastAsia="en-US"/>
    </w:rPr>
  </w:style>
  <w:style w:type="character" w:styleId="CommentReference">
    <w:name w:val="annotation reference"/>
    <w:aliases w:val="Table Title"/>
    <w:basedOn w:val="DefaultParagraphFont"/>
    <w:qFormat/>
    <w:rsid w:val="00614F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4F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4F44"/>
  </w:style>
  <w:style w:type="paragraph" w:customStyle="1" w:styleId="tablenotes">
    <w:name w:val="table notes"/>
    <w:basedOn w:val="BodyText2"/>
    <w:qFormat/>
    <w:rsid w:val="00614F44"/>
    <w:pPr>
      <w:widowControl w:val="0"/>
      <w:spacing w:after="0" w:line="240" w:lineRule="auto"/>
      <w:jc w:val="both"/>
    </w:pPr>
    <w:rPr>
      <w:rFonts w:ascii="Arial" w:hAnsi="Arial"/>
      <w:snapToGrid w:val="0"/>
      <w:sz w:val="20"/>
      <w:szCs w:val="20"/>
      <w:lang w:eastAsia="en-US"/>
    </w:rPr>
  </w:style>
  <w:style w:type="character" w:styleId="Hyperlink">
    <w:name w:val="Hyperlink"/>
    <w:uiPriority w:val="99"/>
    <w:rsid w:val="00614F44"/>
    <w:rPr>
      <w:color w:val="0000FF"/>
      <w:u w:val="single"/>
    </w:rPr>
  </w:style>
  <w:style w:type="paragraph" w:styleId="BodyText2">
    <w:name w:val="Body Text 2"/>
    <w:basedOn w:val="Normal"/>
    <w:link w:val="BodyText2Char"/>
    <w:rsid w:val="00614F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14F44"/>
    <w:rPr>
      <w:sz w:val="24"/>
      <w:szCs w:val="24"/>
    </w:rPr>
  </w:style>
  <w:style w:type="paragraph" w:styleId="BalloonText">
    <w:name w:val="Balloon Text"/>
    <w:basedOn w:val="Normal"/>
    <w:link w:val="BalloonTextChar"/>
    <w:rsid w:val="00614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F4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13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3591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72"/>
    <w:locked/>
    <w:rsid w:val="0078239A"/>
    <w:rPr>
      <w:sz w:val="24"/>
      <w:szCs w:val="24"/>
    </w:rPr>
  </w:style>
  <w:style w:type="paragraph" w:customStyle="1" w:styleId="PBACHeading1">
    <w:name w:val="PBAC Heading 1"/>
    <w:qFormat/>
    <w:rsid w:val="00CF1410"/>
    <w:pPr>
      <w:ind w:left="720" w:hanging="720"/>
    </w:pPr>
    <w:rPr>
      <w:rFonts w:ascii="Arial" w:hAnsi="Arial" w:cs="Arial"/>
      <w:b/>
      <w:snapToGrid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13"/>
    <w:rPr>
      <w:sz w:val="24"/>
      <w:szCs w:val="24"/>
    </w:rPr>
  </w:style>
  <w:style w:type="paragraph" w:styleId="Heading1">
    <w:name w:val="heading 1"/>
    <w:basedOn w:val="ListParagraph"/>
    <w:next w:val="Normal"/>
    <w:qFormat/>
    <w:rsid w:val="00D12D3A"/>
    <w:pPr>
      <w:numPr>
        <w:numId w:val="5"/>
      </w:numPr>
      <w:jc w:val="both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qFormat/>
    <w:rsid w:val="006C0097"/>
    <w:pPr>
      <w:jc w:val="both"/>
      <w:outlineLvl w:val="1"/>
    </w:pPr>
    <w:rPr>
      <w:rFonts w:ascii="Arial" w:hAnsi="Arial"/>
      <w:b/>
      <w:i/>
      <w:sz w:val="22"/>
      <w:szCs w:val="22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99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72"/>
    <w:qFormat/>
    <w:rsid w:val="00A4512D"/>
    <w:pPr>
      <w:ind w:left="720"/>
      <w:contextualSpacing/>
    </w:pPr>
  </w:style>
  <w:style w:type="paragraph" w:styleId="Header">
    <w:name w:val="header"/>
    <w:aliases w:val="Page Header,Header title,he=header,cntr/bld"/>
    <w:basedOn w:val="Normal"/>
    <w:link w:val="HeaderChar"/>
    <w:uiPriority w:val="99"/>
    <w:rsid w:val="00614F4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614F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4F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F44"/>
    <w:rPr>
      <w:sz w:val="24"/>
      <w:szCs w:val="24"/>
    </w:rPr>
  </w:style>
  <w:style w:type="character" w:styleId="PageNumber">
    <w:name w:val="page number"/>
    <w:basedOn w:val="DefaultParagraphFont"/>
    <w:rsid w:val="00614F44"/>
  </w:style>
  <w:style w:type="paragraph" w:customStyle="1" w:styleId="MediumGrid21">
    <w:name w:val="Medium Grid 21"/>
    <w:link w:val="MediumGrid2Char"/>
    <w:qFormat/>
    <w:rsid w:val="00614F44"/>
    <w:rPr>
      <w:rFonts w:ascii="PMingLiU" w:eastAsia="MS Mincho" w:hAnsi="PMingLiU"/>
      <w:sz w:val="22"/>
      <w:szCs w:val="22"/>
      <w:lang w:val="en-US" w:eastAsia="en-US"/>
    </w:rPr>
  </w:style>
  <w:style w:type="character" w:customStyle="1" w:styleId="MediumGrid2Char">
    <w:name w:val="Medium Grid 2 Char"/>
    <w:link w:val="MediumGrid21"/>
    <w:rsid w:val="00614F44"/>
    <w:rPr>
      <w:rFonts w:ascii="PMingLiU" w:eastAsia="MS Mincho" w:hAnsi="PMingLiU"/>
      <w:sz w:val="22"/>
      <w:szCs w:val="22"/>
      <w:lang w:val="en-US" w:eastAsia="en-US"/>
    </w:rPr>
  </w:style>
  <w:style w:type="character" w:styleId="CommentReference">
    <w:name w:val="annotation reference"/>
    <w:aliases w:val="Table Title"/>
    <w:basedOn w:val="DefaultParagraphFont"/>
    <w:qFormat/>
    <w:rsid w:val="00614F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4F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4F44"/>
  </w:style>
  <w:style w:type="paragraph" w:customStyle="1" w:styleId="tablenotes">
    <w:name w:val="table notes"/>
    <w:basedOn w:val="BodyText2"/>
    <w:qFormat/>
    <w:rsid w:val="00614F44"/>
    <w:pPr>
      <w:widowControl w:val="0"/>
      <w:spacing w:after="0" w:line="240" w:lineRule="auto"/>
      <w:jc w:val="both"/>
    </w:pPr>
    <w:rPr>
      <w:rFonts w:ascii="Arial" w:hAnsi="Arial"/>
      <w:snapToGrid w:val="0"/>
      <w:sz w:val="20"/>
      <w:szCs w:val="20"/>
      <w:lang w:eastAsia="en-US"/>
    </w:rPr>
  </w:style>
  <w:style w:type="character" w:styleId="Hyperlink">
    <w:name w:val="Hyperlink"/>
    <w:uiPriority w:val="99"/>
    <w:rsid w:val="00614F44"/>
    <w:rPr>
      <w:color w:val="0000FF"/>
      <w:u w:val="single"/>
    </w:rPr>
  </w:style>
  <w:style w:type="paragraph" w:styleId="BodyText2">
    <w:name w:val="Body Text 2"/>
    <w:basedOn w:val="Normal"/>
    <w:link w:val="BodyText2Char"/>
    <w:rsid w:val="00614F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14F44"/>
    <w:rPr>
      <w:sz w:val="24"/>
      <w:szCs w:val="24"/>
    </w:rPr>
  </w:style>
  <w:style w:type="paragraph" w:styleId="BalloonText">
    <w:name w:val="Balloon Text"/>
    <w:basedOn w:val="Normal"/>
    <w:link w:val="BalloonTextChar"/>
    <w:rsid w:val="00614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F4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13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3591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72"/>
    <w:locked/>
    <w:rsid w:val="0078239A"/>
    <w:rPr>
      <w:sz w:val="24"/>
      <w:szCs w:val="24"/>
    </w:rPr>
  </w:style>
  <w:style w:type="paragraph" w:customStyle="1" w:styleId="PBACHeading1">
    <w:name w:val="PBAC Heading 1"/>
    <w:qFormat/>
    <w:rsid w:val="00CF1410"/>
    <w:pPr>
      <w:ind w:left="720" w:hanging="720"/>
    </w:pPr>
    <w:rPr>
      <w:rFonts w:ascii="Arial" w:hAnsi="Arial" w:cs="Arial"/>
      <w:b/>
      <w:snapToGrid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4391</Characters>
  <Application>Microsoft Office Word</Application>
  <DocSecurity>0</DocSecurity>
  <Lines>133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2016-05-30T03:03:00Z</dcterms:created>
  <dcterms:modified xsi:type="dcterms:W3CDTF">2016-06-21T23:06:00Z</dcterms:modified>
</cp:coreProperties>
</file>