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246558" w:rsidRDefault="00130E77" w:rsidP="00A525AA">
      <w:pPr>
        <w:pStyle w:val="Title"/>
      </w:pPr>
      <w:r w:rsidRPr="00246558">
        <w:t>5.15</w:t>
      </w:r>
      <w:r w:rsidR="007C0F57" w:rsidRPr="00246558">
        <w:tab/>
      </w:r>
      <w:r w:rsidR="00EB2CFE" w:rsidRPr="00246558">
        <w:t>FOLLITROPIN ALFA</w:t>
      </w:r>
      <w:r w:rsidR="00560F39" w:rsidRPr="00246558">
        <w:t xml:space="preserve"> (biosimilar)</w:t>
      </w:r>
      <w:r w:rsidR="00A525AA">
        <w:t xml:space="preserve"> </w:t>
      </w:r>
      <w:r w:rsidR="00A525AA">
        <w:br/>
      </w:r>
      <w:r w:rsidR="00FD73FD" w:rsidRPr="00246558">
        <w:t>75 units (5.5 microgram)/0.125 mL injection, 5 x 0.125 mL injection devices</w:t>
      </w:r>
      <w:r w:rsidR="00A525AA">
        <w:t xml:space="preserve"> </w:t>
      </w:r>
      <w:r w:rsidR="00A525AA">
        <w:br/>
      </w:r>
      <w:r w:rsidR="00FD73FD" w:rsidRPr="00246558">
        <w:t>150 units (11 microgram)/0.25 mL injection, 5 x 0.25 mL injection devices</w:t>
      </w:r>
      <w:r w:rsidR="00A525AA">
        <w:t xml:space="preserve"> </w:t>
      </w:r>
      <w:r w:rsidR="00A525AA">
        <w:br/>
      </w:r>
      <w:r w:rsidR="00FD73FD" w:rsidRPr="00246558">
        <w:t>225 units (16.5 microgram)/0.375 mL injection, 5 x 0.375 mL injection devices</w:t>
      </w:r>
      <w:r w:rsidR="00A525AA">
        <w:t xml:space="preserve"> </w:t>
      </w:r>
      <w:r w:rsidR="00A525AA">
        <w:br/>
      </w:r>
      <w:r w:rsidR="00FD73FD" w:rsidRPr="00246558">
        <w:t>300 units (22 microgram)/0.5 mL injection, 5 x 0.5 mL injection devices</w:t>
      </w:r>
      <w:r w:rsidR="00A525AA">
        <w:t xml:space="preserve"> </w:t>
      </w:r>
      <w:r w:rsidR="00A525AA">
        <w:br/>
      </w:r>
      <w:r w:rsidR="00FD73FD" w:rsidRPr="00246558">
        <w:t>450 units (33 microgram)/0.75 mL injection, 5 x 0.75 mL injection devices</w:t>
      </w:r>
      <w:r w:rsidR="00A525AA">
        <w:t xml:space="preserve"> </w:t>
      </w:r>
      <w:r w:rsidR="00A525AA">
        <w:br/>
      </w:r>
      <w:r w:rsidR="00EB2CFE" w:rsidRPr="00246558">
        <w:t>Bemfola®,</w:t>
      </w:r>
      <w:r w:rsidR="00EF44A0" w:rsidRPr="00246558">
        <w:t xml:space="preserve"> </w:t>
      </w:r>
      <w:r w:rsidR="00EB2CFE" w:rsidRPr="00246558">
        <w:t>FINOX Biotech Australia</w:t>
      </w:r>
    </w:p>
    <w:p w:rsidR="00CE10C4" w:rsidRDefault="00CE10C4" w:rsidP="00C27B58">
      <w:pPr>
        <w:pStyle w:val="NoSpacing"/>
      </w:pPr>
    </w:p>
    <w:p w:rsidR="00EA2E17" w:rsidRDefault="00EA2E17" w:rsidP="00C27B58">
      <w:pPr>
        <w:pStyle w:val="NoSpacing"/>
      </w:pPr>
    </w:p>
    <w:p w:rsidR="00CE10C4" w:rsidRPr="00A62E6C" w:rsidRDefault="00CE10C4" w:rsidP="00A62E6C">
      <w:pPr>
        <w:pStyle w:val="Heading1"/>
      </w:pPr>
      <w:r w:rsidRPr="00A62E6C">
        <w:t xml:space="preserve">Purpose of </w:t>
      </w:r>
      <w:r w:rsidR="0004240E" w:rsidRPr="00A62E6C">
        <w:t>Application</w:t>
      </w:r>
    </w:p>
    <w:p w:rsidR="006A12A5" w:rsidRPr="00882085" w:rsidRDefault="006A12A5" w:rsidP="00882085">
      <w:pPr>
        <w:jc w:val="both"/>
        <w:rPr>
          <w:szCs w:val="22"/>
        </w:rPr>
      </w:pPr>
    </w:p>
    <w:p w:rsidR="002B4C43" w:rsidRPr="001D57AE" w:rsidRDefault="00EF44A0" w:rsidP="00A650B9">
      <w:pPr>
        <w:pStyle w:val="ListParagraph"/>
        <w:numPr>
          <w:ilvl w:val="1"/>
          <w:numId w:val="2"/>
        </w:numPr>
        <w:jc w:val="both"/>
        <w:rPr>
          <w:b/>
          <w:szCs w:val="22"/>
        </w:rPr>
      </w:pPr>
      <w:r w:rsidRPr="001D57AE">
        <w:rPr>
          <w:szCs w:val="22"/>
        </w:rPr>
        <w:t xml:space="preserve">The minor submission </w:t>
      </w:r>
      <w:r w:rsidR="00EB2CFE" w:rsidRPr="001D57AE">
        <w:rPr>
          <w:szCs w:val="22"/>
        </w:rPr>
        <w:t>request</w:t>
      </w:r>
      <w:r w:rsidR="00126AD4" w:rsidRPr="001D57AE">
        <w:rPr>
          <w:szCs w:val="22"/>
        </w:rPr>
        <w:t>ed</w:t>
      </w:r>
      <w:r w:rsidR="00252E97">
        <w:rPr>
          <w:szCs w:val="22"/>
        </w:rPr>
        <w:t>:</w:t>
      </w:r>
    </w:p>
    <w:p w:rsidR="002B4C43" w:rsidRPr="001D57AE" w:rsidRDefault="002B4C43" w:rsidP="00A650B9">
      <w:pPr>
        <w:pStyle w:val="ListParagraph"/>
        <w:numPr>
          <w:ilvl w:val="1"/>
          <w:numId w:val="5"/>
        </w:numPr>
        <w:ind w:left="1276" w:hanging="567"/>
        <w:jc w:val="both"/>
        <w:rPr>
          <w:szCs w:val="22"/>
        </w:rPr>
      </w:pPr>
      <w:r w:rsidRPr="001D57AE">
        <w:rPr>
          <w:szCs w:val="22"/>
        </w:rPr>
        <w:t>A</w:t>
      </w:r>
      <w:r w:rsidR="00EB2CFE" w:rsidRPr="001D57AE">
        <w:rPr>
          <w:szCs w:val="22"/>
        </w:rPr>
        <w:t xml:space="preserve"> Section 100 (</w:t>
      </w:r>
      <w:r w:rsidR="003F4303" w:rsidRPr="001D57AE">
        <w:rPr>
          <w:szCs w:val="22"/>
        </w:rPr>
        <w:t>In-Vitro Fertilisation (IVF)</w:t>
      </w:r>
      <w:r w:rsidR="00EB2CFE" w:rsidRPr="001D57AE">
        <w:rPr>
          <w:szCs w:val="22"/>
        </w:rPr>
        <w:t xml:space="preserve"> Program) listing </w:t>
      </w:r>
      <w:r w:rsidR="003F19B4" w:rsidRPr="001D57AE">
        <w:rPr>
          <w:szCs w:val="22"/>
        </w:rPr>
        <w:t>of Bemfola</w:t>
      </w:r>
      <w:r w:rsidR="003F19B4" w:rsidRPr="001D57AE">
        <w:rPr>
          <w:szCs w:val="22"/>
          <w:vertAlign w:val="superscript"/>
        </w:rPr>
        <w:t>®</w:t>
      </w:r>
      <w:r w:rsidR="003F19B4" w:rsidRPr="001D57AE">
        <w:rPr>
          <w:szCs w:val="22"/>
        </w:rPr>
        <w:t xml:space="preserve"> (follitropin alfa) </w:t>
      </w:r>
      <w:r w:rsidR="00EB2CFE" w:rsidRPr="001D57AE">
        <w:rPr>
          <w:szCs w:val="22"/>
        </w:rPr>
        <w:t xml:space="preserve">for </w:t>
      </w:r>
      <w:r w:rsidRPr="001D57AE">
        <w:rPr>
          <w:szCs w:val="22"/>
        </w:rPr>
        <w:t xml:space="preserve">treatment of </w:t>
      </w:r>
      <w:r w:rsidR="00EB2CFE" w:rsidRPr="001D57AE">
        <w:rPr>
          <w:szCs w:val="22"/>
        </w:rPr>
        <w:t xml:space="preserve">women who are undergoing assisted reproductive </w:t>
      </w:r>
      <w:r w:rsidR="005E2DBE" w:rsidRPr="001D57AE">
        <w:rPr>
          <w:szCs w:val="22"/>
        </w:rPr>
        <w:t xml:space="preserve">technology </w:t>
      </w:r>
      <w:r w:rsidR="00EB2CFE" w:rsidRPr="001D57AE">
        <w:rPr>
          <w:szCs w:val="22"/>
        </w:rPr>
        <w:t>(ART)</w:t>
      </w:r>
      <w:r w:rsidR="00252E97">
        <w:rPr>
          <w:szCs w:val="22"/>
        </w:rPr>
        <w:t>;</w:t>
      </w:r>
    </w:p>
    <w:p w:rsidR="00EF44A0" w:rsidRPr="001D57AE" w:rsidRDefault="002B4C43" w:rsidP="00E967DF">
      <w:pPr>
        <w:pStyle w:val="ListParagraph"/>
        <w:numPr>
          <w:ilvl w:val="1"/>
          <w:numId w:val="5"/>
        </w:numPr>
        <w:ind w:left="1276" w:hanging="567"/>
        <w:jc w:val="both"/>
        <w:rPr>
          <w:b/>
          <w:szCs w:val="22"/>
        </w:rPr>
      </w:pPr>
      <w:r w:rsidRPr="001D57AE">
        <w:rPr>
          <w:szCs w:val="22"/>
        </w:rPr>
        <w:t xml:space="preserve">A Section 85 listing </w:t>
      </w:r>
      <w:r w:rsidR="003F19B4" w:rsidRPr="001D57AE">
        <w:rPr>
          <w:szCs w:val="22"/>
        </w:rPr>
        <w:t>of Bemfola</w:t>
      </w:r>
      <w:r w:rsidR="003F19B4" w:rsidRPr="001D57AE">
        <w:rPr>
          <w:szCs w:val="22"/>
          <w:vertAlign w:val="superscript"/>
        </w:rPr>
        <w:t>®</w:t>
      </w:r>
      <w:r w:rsidR="003F19B4" w:rsidRPr="001D57AE">
        <w:rPr>
          <w:szCs w:val="22"/>
        </w:rPr>
        <w:t xml:space="preserve"> </w:t>
      </w:r>
      <w:r w:rsidRPr="001D57AE">
        <w:rPr>
          <w:szCs w:val="22"/>
        </w:rPr>
        <w:t>for treatment of women with anovulatory infertility and</w:t>
      </w:r>
      <w:r w:rsidR="00E967DF" w:rsidRPr="001D57AE">
        <w:rPr>
          <w:szCs w:val="22"/>
        </w:rPr>
        <w:t xml:space="preserve"> </w:t>
      </w:r>
      <w:r w:rsidRPr="001D57AE">
        <w:rPr>
          <w:szCs w:val="22"/>
        </w:rPr>
        <w:t xml:space="preserve">for men with infertility due to </w:t>
      </w:r>
      <w:r w:rsidR="003F4303" w:rsidRPr="001D57AE">
        <w:rPr>
          <w:szCs w:val="22"/>
        </w:rPr>
        <w:t>hypogonadotropic hypogonadism.</w:t>
      </w:r>
    </w:p>
    <w:p w:rsidR="00F9629A" w:rsidRPr="001D57AE" w:rsidRDefault="00F9629A" w:rsidP="00C27B58">
      <w:pPr>
        <w:pStyle w:val="NoSpacing"/>
      </w:pPr>
    </w:p>
    <w:p w:rsidR="00CB43E2" w:rsidRPr="001D57AE" w:rsidRDefault="00CB43E2" w:rsidP="00A650B9">
      <w:pPr>
        <w:pStyle w:val="ListParagraph"/>
        <w:numPr>
          <w:ilvl w:val="1"/>
          <w:numId w:val="2"/>
        </w:numPr>
        <w:jc w:val="both"/>
        <w:rPr>
          <w:b/>
          <w:szCs w:val="22"/>
        </w:rPr>
      </w:pPr>
      <w:r w:rsidRPr="001D57AE">
        <w:rPr>
          <w:szCs w:val="22"/>
        </w:rPr>
        <w:t xml:space="preserve">The Minister (delegate) also </w:t>
      </w:r>
      <w:r w:rsidR="00CD54BF" w:rsidRPr="001D57AE">
        <w:rPr>
          <w:szCs w:val="22"/>
        </w:rPr>
        <w:t>request</w:t>
      </w:r>
      <w:r w:rsidR="00CD54BF">
        <w:rPr>
          <w:szCs w:val="22"/>
        </w:rPr>
        <w:t>ed</w:t>
      </w:r>
      <w:r w:rsidR="00CD54BF" w:rsidRPr="001D57AE">
        <w:rPr>
          <w:szCs w:val="22"/>
        </w:rPr>
        <w:t xml:space="preserve"> </w:t>
      </w:r>
      <w:r w:rsidRPr="001D57AE">
        <w:rPr>
          <w:szCs w:val="22"/>
        </w:rPr>
        <w:t>the PBAC provide advice under section 101(3) of the National Health Act 1953 (the Act) on the marking Bemfola as equivalent (i.e. “a” flagging) to Gonal-f</w:t>
      </w:r>
      <w:r w:rsidR="00902E85" w:rsidRPr="007F32DD">
        <w:rPr>
          <w:szCs w:val="22"/>
          <w:vertAlign w:val="superscript"/>
        </w:rPr>
        <w:t>®</w:t>
      </w:r>
      <w:r w:rsidRPr="001D57AE">
        <w:rPr>
          <w:szCs w:val="22"/>
        </w:rPr>
        <w:t xml:space="preserve"> </w:t>
      </w:r>
      <w:r w:rsidR="00902E85" w:rsidRPr="001D57AE">
        <w:rPr>
          <w:szCs w:val="22"/>
        </w:rPr>
        <w:t>(follitropin alfa)</w:t>
      </w:r>
      <w:r w:rsidR="00902E85">
        <w:rPr>
          <w:szCs w:val="22"/>
        </w:rPr>
        <w:t xml:space="preserve"> </w:t>
      </w:r>
      <w:r w:rsidRPr="001D57AE">
        <w:rPr>
          <w:szCs w:val="22"/>
        </w:rPr>
        <w:t>in the Schedule.</w:t>
      </w:r>
    </w:p>
    <w:p w:rsidR="00CB43E2" w:rsidRPr="001D57AE" w:rsidRDefault="00CB43E2" w:rsidP="00CB43E2">
      <w:pPr>
        <w:pStyle w:val="ListParagraph"/>
        <w:jc w:val="both"/>
        <w:rPr>
          <w:b/>
          <w:szCs w:val="22"/>
        </w:rPr>
      </w:pPr>
    </w:p>
    <w:p w:rsidR="003F4303" w:rsidRPr="001D57AE" w:rsidRDefault="003F4303" w:rsidP="00A650B9">
      <w:pPr>
        <w:pStyle w:val="ListParagraph"/>
        <w:numPr>
          <w:ilvl w:val="1"/>
          <w:numId w:val="2"/>
        </w:numPr>
        <w:jc w:val="both"/>
        <w:rPr>
          <w:b/>
          <w:szCs w:val="22"/>
        </w:rPr>
      </w:pPr>
      <w:r w:rsidRPr="001D57AE">
        <w:rPr>
          <w:szCs w:val="22"/>
        </w:rPr>
        <w:t xml:space="preserve">The minor submission </w:t>
      </w:r>
      <w:r w:rsidR="004D08C2" w:rsidRPr="001D57AE">
        <w:rPr>
          <w:szCs w:val="22"/>
        </w:rPr>
        <w:t>indicate</w:t>
      </w:r>
      <w:r w:rsidR="00126AD4" w:rsidRPr="001D57AE">
        <w:rPr>
          <w:szCs w:val="22"/>
        </w:rPr>
        <w:t>d</w:t>
      </w:r>
      <w:r w:rsidR="004D08C2" w:rsidRPr="001D57AE">
        <w:rPr>
          <w:szCs w:val="22"/>
        </w:rPr>
        <w:t xml:space="preserve"> that Bemfola is a </w:t>
      </w:r>
      <w:r w:rsidR="003F19B4" w:rsidRPr="001D57AE">
        <w:rPr>
          <w:szCs w:val="22"/>
        </w:rPr>
        <w:t xml:space="preserve">similar </w:t>
      </w:r>
      <w:r w:rsidR="004D08C2" w:rsidRPr="001D57AE">
        <w:rPr>
          <w:szCs w:val="22"/>
        </w:rPr>
        <w:t>bio</w:t>
      </w:r>
      <w:r w:rsidR="003F19B4" w:rsidRPr="001D57AE">
        <w:rPr>
          <w:szCs w:val="22"/>
        </w:rPr>
        <w:t>logical</w:t>
      </w:r>
      <w:r w:rsidR="004D08C2" w:rsidRPr="001D57AE">
        <w:rPr>
          <w:szCs w:val="22"/>
        </w:rPr>
        <w:t xml:space="preserve"> medicinal product </w:t>
      </w:r>
      <w:r w:rsidR="003F19B4" w:rsidRPr="001D57AE">
        <w:rPr>
          <w:szCs w:val="22"/>
        </w:rPr>
        <w:t xml:space="preserve">(SBMP) </w:t>
      </w:r>
      <w:r w:rsidR="004D08C2" w:rsidRPr="001D57AE">
        <w:rPr>
          <w:szCs w:val="22"/>
        </w:rPr>
        <w:t xml:space="preserve">to </w:t>
      </w:r>
      <w:r w:rsidR="003F19B4" w:rsidRPr="001D57AE">
        <w:rPr>
          <w:szCs w:val="22"/>
        </w:rPr>
        <w:t xml:space="preserve">the current PBS listed brand of Gonal-f. Gonal-f is listed on the PBS for the same </w:t>
      </w:r>
      <w:r w:rsidR="005E2DBE" w:rsidRPr="001D57AE">
        <w:rPr>
          <w:szCs w:val="22"/>
        </w:rPr>
        <w:t xml:space="preserve">clinical </w:t>
      </w:r>
      <w:r w:rsidR="003F19B4" w:rsidRPr="001D57AE">
        <w:rPr>
          <w:szCs w:val="22"/>
        </w:rPr>
        <w:t xml:space="preserve">indications as </w:t>
      </w:r>
      <w:r w:rsidR="005E2DBE" w:rsidRPr="001D57AE">
        <w:rPr>
          <w:szCs w:val="22"/>
        </w:rPr>
        <w:t>requested for</w:t>
      </w:r>
      <w:r w:rsidR="003F19B4" w:rsidRPr="001D57AE">
        <w:rPr>
          <w:szCs w:val="22"/>
        </w:rPr>
        <w:t xml:space="preserve"> Bemfola.</w:t>
      </w:r>
    </w:p>
    <w:p w:rsidR="003F4303" w:rsidRPr="00F9629A" w:rsidRDefault="003F4303" w:rsidP="00C27B58">
      <w:pPr>
        <w:pStyle w:val="NoSpacing"/>
      </w:pPr>
    </w:p>
    <w:p w:rsidR="00EF44A0" w:rsidRPr="00C27B58" w:rsidRDefault="00EF44A0" w:rsidP="00C27B58">
      <w:pPr>
        <w:pStyle w:val="NoSpacing"/>
      </w:pPr>
    </w:p>
    <w:p w:rsidR="00614159" w:rsidRPr="00882085" w:rsidRDefault="006A12A5" w:rsidP="00A62E6C">
      <w:pPr>
        <w:pStyle w:val="Heading1"/>
        <w:rPr>
          <w:b w:val="0"/>
        </w:rPr>
      </w:pPr>
      <w:r w:rsidRPr="00882085">
        <w:t>Requested listing</w:t>
      </w:r>
    </w:p>
    <w:p w:rsidR="006A12A5" w:rsidRPr="00882085" w:rsidRDefault="006A12A5" w:rsidP="00882085">
      <w:pPr>
        <w:jc w:val="both"/>
        <w:rPr>
          <w:b/>
          <w:szCs w:val="22"/>
        </w:rPr>
      </w:pPr>
    </w:p>
    <w:p w:rsidR="00CB6C65" w:rsidRDefault="00EF44A0" w:rsidP="00181524">
      <w:pPr>
        <w:pStyle w:val="ListParagraph"/>
        <w:numPr>
          <w:ilvl w:val="1"/>
          <w:numId w:val="2"/>
        </w:numPr>
        <w:jc w:val="both"/>
        <w:rPr>
          <w:szCs w:val="22"/>
        </w:rPr>
      </w:pPr>
      <w:r>
        <w:rPr>
          <w:szCs w:val="22"/>
        </w:rPr>
        <w:t xml:space="preserve">The </w:t>
      </w:r>
      <w:r w:rsidR="001A5CF2">
        <w:rPr>
          <w:szCs w:val="22"/>
        </w:rPr>
        <w:t xml:space="preserve">minor </w:t>
      </w:r>
      <w:r>
        <w:rPr>
          <w:szCs w:val="22"/>
        </w:rPr>
        <w:t xml:space="preserve">submission </w:t>
      </w:r>
      <w:r w:rsidR="00126AD4">
        <w:rPr>
          <w:szCs w:val="22"/>
        </w:rPr>
        <w:t>sought</w:t>
      </w:r>
      <w:r>
        <w:rPr>
          <w:szCs w:val="22"/>
        </w:rPr>
        <w:t xml:space="preserve"> </w:t>
      </w:r>
      <w:r w:rsidR="00965F37">
        <w:rPr>
          <w:szCs w:val="22"/>
        </w:rPr>
        <w:t xml:space="preserve">new </w:t>
      </w:r>
      <w:r>
        <w:rPr>
          <w:szCs w:val="22"/>
        </w:rPr>
        <w:t>listing</w:t>
      </w:r>
      <w:r w:rsidR="003F4303">
        <w:rPr>
          <w:szCs w:val="22"/>
        </w:rPr>
        <w:t>s</w:t>
      </w:r>
      <w:r w:rsidR="00246F92">
        <w:rPr>
          <w:szCs w:val="22"/>
        </w:rPr>
        <w:t xml:space="preserve"> in the General Schedule and Section 100 (IVF Program)</w:t>
      </w:r>
      <w:r w:rsidR="005E2DBE">
        <w:rPr>
          <w:szCs w:val="22"/>
        </w:rPr>
        <w:t>, as follows</w:t>
      </w:r>
      <w:r w:rsidR="000474B0">
        <w:rPr>
          <w:szCs w:val="22"/>
        </w:rPr>
        <w:t>.</w:t>
      </w:r>
      <w:r w:rsidR="000474B0" w:rsidRPr="000474B0">
        <w:rPr>
          <w:szCs w:val="22"/>
        </w:rPr>
        <w:t xml:space="preserve"> </w:t>
      </w:r>
      <w:r w:rsidR="000474B0" w:rsidRPr="000474B0">
        <w:rPr>
          <w:iCs/>
          <w:color w:val="000000"/>
          <w:szCs w:val="22"/>
        </w:rPr>
        <w:t>Suggestions and additions proposed by the Secretariat to the requested listing are added in italics and suggested deletions are crossed out with strikethrough</w:t>
      </w:r>
      <w:r w:rsidR="004D08C2">
        <w:rPr>
          <w:szCs w:val="22"/>
        </w:rPr>
        <w:t>:</w:t>
      </w:r>
    </w:p>
    <w:p w:rsidR="000474B0" w:rsidRDefault="000474B0" w:rsidP="000474B0">
      <w:pPr>
        <w:pStyle w:val="ListParagraph"/>
        <w:jc w:val="both"/>
        <w:rPr>
          <w:szCs w:val="22"/>
        </w:rPr>
      </w:pPr>
    </w:p>
    <w:tbl>
      <w:tblPr>
        <w:tblW w:w="8397" w:type="dxa"/>
        <w:tblInd w:w="817" w:type="dxa"/>
        <w:tblLayout w:type="fixed"/>
        <w:tblLook w:val="0000" w:firstRow="0" w:lastRow="0" w:firstColumn="0" w:lastColumn="0" w:noHBand="0" w:noVBand="0"/>
      </w:tblPr>
      <w:tblGrid>
        <w:gridCol w:w="1985"/>
        <w:gridCol w:w="2268"/>
        <w:gridCol w:w="600"/>
        <w:gridCol w:w="567"/>
        <w:gridCol w:w="1134"/>
        <w:gridCol w:w="851"/>
        <w:gridCol w:w="992"/>
      </w:tblGrid>
      <w:tr w:rsidR="000474B0" w:rsidRPr="0039782C" w:rsidTr="001A4DB3">
        <w:trPr>
          <w:cantSplit/>
          <w:trHeight w:val="471"/>
        </w:trPr>
        <w:tc>
          <w:tcPr>
            <w:tcW w:w="4253" w:type="dxa"/>
            <w:gridSpan w:val="2"/>
            <w:tcBorders>
              <w:bottom w:val="single" w:sz="4" w:space="0" w:color="auto"/>
            </w:tcBorders>
          </w:tcPr>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600" w:type="dxa"/>
            <w:tcBorders>
              <w:bottom w:val="single" w:sz="4" w:space="0" w:color="auto"/>
            </w:tcBorders>
          </w:tcPr>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t>Max.</w:t>
            </w:r>
          </w:p>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Units</w:t>
            </w:r>
          </w:p>
        </w:tc>
        <w:tc>
          <w:tcPr>
            <w:tcW w:w="567" w:type="dxa"/>
            <w:tcBorders>
              <w:bottom w:val="single" w:sz="4" w:space="0" w:color="auto"/>
            </w:tcBorders>
          </w:tcPr>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t>№.of</w:t>
            </w:r>
          </w:p>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t>Rpts</w:t>
            </w:r>
          </w:p>
        </w:tc>
        <w:tc>
          <w:tcPr>
            <w:tcW w:w="1134" w:type="dxa"/>
            <w:tcBorders>
              <w:bottom w:val="single" w:sz="4" w:space="0" w:color="auto"/>
            </w:tcBorders>
          </w:tcPr>
          <w:p w:rsidR="000474B0" w:rsidRPr="0039782C" w:rsidRDefault="000474B0" w:rsidP="001A4DB3">
            <w:pPr>
              <w:keepNext/>
              <w:ind w:left="-108" w:right="-57"/>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843" w:type="dxa"/>
            <w:gridSpan w:val="2"/>
            <w:tcBorders>
              <w:bottom w:val="single" w:sz="4" w:space="0" w:color="auto"/>
            </w:tcBorders>
          </w:tcPr>
          <w:p w:rsidR="000474B0" w:rsidRPr="0039782C" w:rsidRDefault="000474B0" w:rsidP="001A4DB3">
            <w:pPr>
              <w:keepNext/>
              <w:ind w:right="-57"/>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474B0" w:rsidRPr="00291388" w:rsidTr="001A4DB3">
        <w:trPr>
          <w:cantSplit/>
          <w:trHeight w:val="577"/>
        </w:trPr>
        <w:tc>
          <w:tcPr>
            <w:tcW w:w="4253" w:type="dxa"/>
            <w:gridSpan w:val="2"/>
          </w:tcPr>
          <w:p w:rsidR="000474B0" w:rsidRPr="00291388" w:rsidRDefault="000474B0" w:rsidP="001A4DB3">
            <w:pPr>
              <w:keepNext/>
              <w:ind w:right="-57"/>
              <w:rPr>
                <w:rFonts w:ascii="Arial Narrow" w:hAnsi="Arial Narrow"/>
                <w:sz w:val="20"/>
              </w:rPr>
            </w:pPr>
            <w:r w:rsidRPr="00291388">
              <w:rPr>
                <w:rFonts w:ascii="Arial Narrow" w:hAnsi="Arial Narrow"/>
                <w:smallCaps/>
                <w:sz w:val="20"/>
              </w:rPr>
              <w:t>Follitropin alfa</w:t>
            </w:r>
          </w:p>
          <w:p w:rsidR="000474B0" w:rsidRPr="00FD73FD" w:rsidRDefault="000474B0" w:rsidP="001A4DB3">
            <w:pPr>
              <w:keepNext/>
              <w:ind w:right="-57"/>
              <w:rPr>
                <w:rFonts w:ascii="Arial Narrow" w:hAnsi="Arial Narrow"/>
                <w:sz w:val="20"/>
              </w:rPr>
            </w:pPr>
            <w:r w:rsidRPr="00FD73FD">
              <w:rPr>
                <w:rFonts w:ascii="Arial Narrow" w:hAnsi="Arial Narrow"/>
                <w:sz w:val="20"/>
              </w:rPr>
              <w:t>75 units (5.5 microgram)/0.125 mL injection, 5 x 0.125 mL injection devices</w:t>
            </w:r>
          </w:p>
          <w:p w:rsidR="000474B0" w:rsidRPr="00FD73FD" w:rsidRDefault="000474B0" w:rsidP="001A4DB3">
            <w:pPr>
              <w:keepNext/>
              <w:ind w:right="-57"/>
              <w:rPr>
                <w:rFonts w:ascii="Arial Narrow" w:hAnsi="Arial Narrow"/>
                <w:sz w:val="20"/>
              </w:rPr>
            </w:pPr>
            <w:r w:rsidRPr="00FD73FD">
              <w:rPr>
                <w:rFonts w:ascii="Arial Narrow" w:hAnsi="Arial Narrow"/>
                <w:sz w:val="20"/>
              </w:rPr>
              <w:t>150 units (11 microgram)/0.25 mL injection, 5 x 0.25 mL injection devices</w:t>
            </w:r>
          </w:p>
          <w:p w:rsidR="000474B0" w:rsidRPr="00FD73FD" w:rsidRDefault="000474B0" w:rsidP="001A4DB3">
            <w:pPr>
              <w:keepNext/>
              <w:ind w:right="-57"/>
              <w:rPr>
                <w:rFonts w:ascii="Arial Narrow" w:hAnsi="Arial Narrow"/>
                <w:sz w:val="20"/>
              </w:rPr>
            </w:pPr>
            <w:r w:rsidRPr="00FD73FD">
              <w:rPr>
                <w:rFonts w:ascii="Arial Narrow" w:hAnsi="Arial Narrow"/>
                <w:sz w:val="20"/>
              </w:rPr>
              <w:t>225 units (16.5 microgram)/0.375 mL injection, 5 x 0.375 mL injection devices</w:t>
            </w:r>
          </w:p>
          <w:p w:rsidR="000474B0" w:rsidRPr="00FD73FD" w:rsidRDefault="000474B0" w:rsidP="001A4DB3">
            <w:pPr>
              <w:keepNext/>
              <w:ind w:right="-57"/>
              <w:rPr>
                <w:rFonts w:ascii="Arial Narrow" w:hAnsi="Arial Narrow"/>
                <w:sz w:val="20"/>
              </w:rPr>
            </w:pPr>
            <w:r w:rsidRPr="00FD73FD">
              <w:rPr>
                <w:rFonts w:ascii="Arial Narrow" w:hAnsi="Arial Narrow"/>
                <w:sz w:val="20"/>
              </w:rPr>
              <w:t>300 units (22 microgram)/0.5 mL injection, 5 x 0.5 mL injection devices</w:t>
            </w:r>
          </w:p>
          <w:p w:rsidR="000474B0" w:rsidRPr="00291388" w:rsidRDefault="000474B0" w:rsidP="001A4DB3">
            <w:pPr>
              <w:keepNext/>
              <w:ind w:right="-57"/>
              <w:rPr>
                <w:rFonts w:ascii="Arial Narrow" w:hAnsi="Arial Narrow"/>
                <w:sz w:val="20"/>
              </w:rPr>
            </w:pPr>
            <w:r w:rsidRPr="00FD73FD">
              <w:rPr>
                <w:rFonts w:ascii="Arial Narrow" w:hAnsi="Arial Narrow"/>
                <w:sz w:val="20"/>
              </w:rPr>
              <w:t>450 units (33 microgram)/0.75 mL injection, 5 x 0.75 mL injection devices</w:t>
            </w:r>
          </w:p>
        </w:tc>
        <w:tc>
          <w:tcPr>
            <w:tcW w:w="600" w:type="dxa"/>
          </w:tcPr>
          <w:p w:rsidR="000474B0" w:rsidRPr="00291388" w:rsidRDefault="000474B0" w:rsidP="001A4DB3">
            <w:pPr>
              <w:keepNext/>
              <w:ind w:right="-57"/>
              <w:rPr>
                <w:rFonts w:ascii="Arial Narrow" w:hAnsi="Arial Narrow"/>
                <w:sz w:val="20"/>
              </w:rPr>
            </w:pPr>
          </w:p>
          <w:p w:rsidR="000474B0" w:rsidRPr="00291388" w:rsidRDefault="000474B0" w:rsidP="001A4DB3">
            <w:pPr>
              <w:keepNext/>
              <w:ind w:right="-57"/>
              <w:rPr>
                <w:rFonts w:ascii="Arial Narrow" w:hAnsi="Arial Narrow"/>
                <w:sz w:val="20"/>
              </w:rPr>
            </w:pPr>
            <w:r w:rsidRPr="00291388">
              <w:rPr>
                <w:rFonts w:ascii="Arial Narrow" w:hAnsi="Arial Narrow"/>
                <w:sz w:val="20"/>
              </w:rPr>
              <w:t>15</w:t>
            </w:r>
          </w:p>
          <w:p w:rsidR="000474B0" w:rsidRDefault="000474B0" w:rsidP="001A4DB3">
            <w:pPr>
              <w:keepNext/>
              <w:ind w:right="-57"/>
              <w:rPr>
                <w:rFonts w:ascii="Arial Narrow" w:hAnsi="Arial Narrow"/>
                <w:sz w:val="20"/>
              </w:rPr>
            </w:pPr>
          </w:p>
          <w:p w:rsidR="000474B0" w:rsidRPr="00291388" w:rsidRDefault="000474B0" w:rsidP="001A4DB3">
            <w:pPr>
              <w:keepNext/>
              <w:ind w:right="-57"/>
              <w:rPr>
                <w:rFonts w:ascii="Arial Narrow" w:hAnsi="Arial Narrow"/>
                <w:sz w:val="20"/>
              </w:rPr>
            </w:pPr>
            <w:r w:rsidRPr="00291388">
              <w:rPr>
                <w:rFonts w:ascii="Arial Narrow" w:hAnsi="Arial Narrow"/>
                <w:sz w:val="20"/>
              </w:rPr>
              <w:t>15</w:t>
            </w:r>
          </w:p>
          <w:p w:rsidR="000474B0" w:rsidRDefault="000474B0" w:rsidP="001A4DB3">
            <w:pPr>
              <w:keepNext/>
              <w:ind w:right="-57"/>
              <w:rPr>
                <w:rFonts w:ascii="Arial Narrow" w:hAnsi="Arial Narrow"/>
                <w:sz w:val="20"/>
              </w:rPr>
            </w:pPr>
          </w:p>
          <w:p w:rsidR="000474B0" w:rsidRPr="00291388" w:rsidRDefault="000474B0" w:rsidP="001A4DB3">
            <w:pPr>
              <w:keepNext/>
              <w:ind w:right="-57"/>
              <w:rPr>
                <w:rFonts w:ascii="Arial Narrow" w:hAnsi="Arial Narrow"/>
                <w:sz w:val="20"/>
              </w:rPr>
            </w:pPr>
            <w:r w:rsidRPr="00291388">
              <w:rPr>
                <w:rFonts w:ascii="Arial Narrow" w:hAnsi="Arial Narrow"/>
                <w:sz w:val="20"/>
              </w:rPr>
              <w:t>15</w:t>
            </w:r>
          </w:p>
          <w:p w:rsidR="000474B0" w:rsidRDefault="000474B0" w:rsidP="001A4DB3">
            <w:pPr>
              <w:keepNext/>
              <w:ind w:right="-57"/>
              <w:rPr>
                <w:rFonts w:ascii="Arial Narrow" w:hAnsi="Arial Narrow"/>
                <w:sz w:val="20"/>
              </w:rPr>
            </w:pPr>
          </w:p>
          <w:p w:rsidR="000474B0" w:rsidRPr="00291388" w:rsidRDefault="000474B0" w:rsidP="001A4DB3">
            <w:pPr>
              <w:keepNext/>
              <w:ind w:right="-57"/>
              <w:rPr>
                <w:rFonts w:ascii="Arial Narrow" w:hAnsi="Arial Narrow"/>
                <w:sz w:val="20"/>
              </w:rPr>
            </w:pPr>
            <w:r w:rsidRPr="00291388">
              <w:rPr>
                <w:rFonts w:ascii="Arial Narrow" w:hAnsi="Arial Narrow"/>
                <w:sz w:val="20"/>
              </w:rPr>
              <w:t>15</w:t>
            </w:r>
          </w:p>
          <w:p w:rsidR="000474B0" w:rsidRDefault="000474B0" w:rsidP="001A4DB3">
            <w:pPr>
              <w:keepNext/>
              <w:ind w:right="-57"/>
              <w:rPr>
                <w:rFonts w:ascii="Arial Narrow" w:hAnsi="Arial Narrow"/>
                <w:sz w:val="20"/>
              </w:rPr>
            </w:pPr>
          </w:p>
          <w:p w:rsidR="000474B0" w:rsidRPr="00291388" w:rsidRDefault="000474B0" w:rsidP="001A4DB3">
            <w:pPr>
              <w:keepNext/>
              <w:ind w:right="-57"/>
              <w:rPr>
                <w:rFonts w:ascii="Arial Narrow" w:hAnsi="Arial Narrow"/>
                <w:sz w:val="20"/>
              </w:rPr>
            </w:pPr>
            <w:r w:rsidRPr="00291388">
              <w:rPr>
                <w:rFonts w:ascii="Arial Narrow" w:hAnsi="Arial Narrow"/>
                <w:sz w:val="20"/>
              </w:rPr>
              <w:t>15</w:t>
            </w:r>
          </w:p>
        </w:tc>
        <w:tc>
          <w:tcPr>
            <w:tcW w:w="567" w:type="dxa"/>
          </w:tcPr>
          <w:p w:rsidR="000474B0" w:rsidRPr="00291388" w:rsidRDefault="000474B0" w:rsidP="001A4DB3">
            <w:pPr>
              <w:keepNext/>
              <w:ind w:right="-57"/>
              <w:jc w:val="center"/>
              <w:rPr>
                <w:rFonts w:ascii="Arial Narrow" w:hAnsi="Arial Narrow"/>
                <w:sz w:val="20"/>
              </w:rPr>
            </w:pPr>
          </w:p>
          <w:p w:rsidR="000474B0" w:rsidRPr="00291388" w:rsidRDefault="000474B0" w:rsidP="001A4DB3">
            <w:pPr>
              <w:keepNext/>
              <w:ind w:right="-57"/>
              <w:jc w:val="center"/>
              <w:rPr>
                <w:rFonts w:ascii="Arial Narrow" w:hAnsi="Arial Narrow"/>
                <w:sz w:val="20"/>
              </w:rPr>
            </w:pPr>
            <w:r w:rsidRPr="00291388">
              <w:rPr>
                <w:rFonts w:ascii="Arial Narrow" w:hAnsi="Arial Narrow"/>
                <w:sz w:val="20"/>
              </w:rPr>
              <w:t>0</w:t>
            </w:r>
          </w:p>
          <w:p w:rsidR="000474B0" w:rsidRDefault="000474B0" w:rsidP="001A4DB3">
            <w:pPr>
              <w:keepNext/>
              <w:ind w:right="-57"/>
              <w:jc w:val="center"/>
              <w:rPr>
                <w:rFonts w:ascii="Arial Narrow" w:hAnsi="Arial Narrow"/>
                <w:sz w:val="20"/>
              </w:rPr>
            </w:pPr>
          </w:p>
          <w:p w:rsidR="000474B0" w:rsidRPr="00291388" w:rsidRDefault="000474B0" w:rsidP="001A4DB3">
            <w:pPr>
              <w:keepNext/>
              <w:ind w:right="-57"/>
              <w:jc w:val="center"/>
              <w:rPr>
                <w:rFonts w:ascii="Arial Narrow" w:hAnsi="Arial Narrow"/>
                <w:sz w:val="20"/>
              </w:rPr>
            </w:pPr>
            <w:r w:rsidRPr="00291388">
              <w:rPr>
                <w:rFonts w:ascii="Arial Narrow" w:hAnsi="Arial Narrow"/>
                <w:sz w:val="20"/>
              </w:rPr>
              <w:t>0</w:t>
            </w:r>
          </w:p>
          <w:p w:rsidR="000474B0" w:rsidRDefault="000474B0" w:rsidP="001A4DB3">
            <w:pPr>
              <w:keepNext/>
              <w:ind w:right="-57"/>
              <w:jc w:val="center"/>
              <w:rPr>
                <w:rFonts w:ascii="Arial Narrow" w:hAnsi="Arial Narrow"/>
                <w:sz w:val="20"/>
              </w:rPr>
            </w:pPr>
          </w:p>
          <w:p w:rsidR="000474B0" w:rsidRPr="00291388" w:rsidRDefault="000474B0" w:rsidP="001A4DB3">
            <w:pPr>
              <w:keepNext/>
              <w:ind w:right="-57"/>
              <w:jc w:val="center"/>
              <w:rPr>
                <w:rFonts w:ascii="Arial Narrow" w:hAnsi="Arial Narrow"/>
                <w:sz w:val="20"/>
              </w:rPr>
            </w:pPr>
            <w:r w:rsidRPr="00291388">
              <w:rPr>
                <w:rFonts w:ascii="Arial Narrow" w:hAnsi="Arial Narrow"/>
                <w:sz w:val="20"/>
              </w:rPr>
              <w:t>0</w:t>
            </w:r>
          </w:p>
          <w:p w:rsidR="000474B0" w:rsidRDefault="000474B0" w:rsidP="001A4DB3">
            <w:pPr>
              <w:keepNext/>
              <w:ind w:right="-57"/>
              <w:jc w:val="center"/>
              <w:rPr>
                <w:rFonts w:ascii="Arial Narrow" w:hAnsi="Arial Narrow"/>
                <w:sz w:val="20"/>
              </w:rPr>
            </w:pPr>
          </w:p>
          <w:p w:rsidR="000474B0" w:rsidRPr="00291388" w:rsidRDefault="000474B0" w:rsidP="001A4DB3">
            <w:pPr>
              <w:keepNext/>
              <w:ind w:right="-57"/>
              <w:jc w:val="center"/>
              <w:rPr>
                <w:rFonts w:ascii="Arial Narrow" w:hAnsi="Arial Narrow"/>
                <w:sz w:val="20"/>
              </w:rPr>
            </w:pPr>
            <w:r w:rsidRPr="00291388">
              <w:rPr>
                <w:rFonts w:ascii="Arial Narrow" w:hAnsi="Arial Narrow"/>
                <w:sz w:val="20"/>
              </w:rPr>
              <w:t>0</w:t>
            </w:r>
          </w:p>
          <w:p w:rsidR="000474B0" w:rsidRDefault="000474B0" w:rsidP="001A4DB3">
            <w:pPr>
              <w:keepNext/>
              <w:ind w:right="-57"/>
              <w:jc w:val="center"/>
              <w:rPr>
                <w:rFonts w:ascii="Arial Narrow" w:hAnsi="Arial Narrow"/>
                <w:sz w:val="20"/>
              </w:rPr>
            </w:pPr>
          </w:p>
          <w:p w:rsidR="000474B0" w:rsidRPr="00291388" w:rsidRDefault="000474B0" w:rsidP="001A4DB3">
            <w:pPr>
              <w:keepNext/>
              <w:ind w:right="-57"/>
              <w:jc w:val="center"/>
              <w:rPr>
                <w:rFonts w:ascii="Arial Narrow" w:hAnsi="Arial Narrow"/>
                <w:sz w:val="20"/>
              </w:rPr>
            </w:pPr>
            <w:r w:rsidRPr="00291388">
              <w:rPr>
                <w:rFonts w:ascii="Arial Narrow" w:hAnsi="Arial Narrow"/>
                <w:sz w:val="20"/>
              </w:rPr>
              <w:t>0</w:t>
            </w:r>
          </w:p>
        </w:tc>
        <w:tc>
          <w:tcPr>
            <w:tcW w:w="1134" w:type="dxa"/>
          </w:tcPr>
          <w:p w:rsidR="000474B0" w:rsidRPr="00291388" w:rsidRDefault="000474B0" w:rsidP="001A4DB3">
            <w:pPr>
              <w:keepNext/>
              <w:ind w:right="98"/>
              <w:jc w:val="right"/>
              <w:rPr>
                <w:rFonts w:ascii="Arial Narrow" w:hAnsi="Arial Narrow"/>
                <w:sz w:val="20"/>
              </w:rPr>
            </w:pPr>
          </w:p>
          <w:p w:rsidR="000474B0" w:rsidRPr="005F52F9" w:rsidRDefault="000474B0" w:rsidP="001A4DB3">
            <w:pPr>
              <w:keepNext/>
              <w:ind w:right="9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p w:rsidR="000474B0" w:rsidRDefault="000474B0" w:rsidP="001A4DB3">
            <w:pPr>
              <w:keepNext/>
              <w:ind w:right="98"/>
              <w:jc w:val="right"/>
              <w:rPr>
                <w:rFonts w:ascii="Arial Narrow" w:hAnsi="Arial Narrow"/>
                <w:sz w:val="20"/>
              </w:rPr>
            </w:pPr>
          </w:p>
          <w:p w:rsidR="000474B0" w:rsidRPr="00291388" w:rsidRDefault="000474B0" w:rsidP="001A4DB3">
            <w:pPr>
              <w:keepNext/>
              <w:ind w:right="9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p w:rsidR="000474B0" w:rsidRDefault="000474B0" w:rsidP="001A4DB3">
            <w:pPr>
              <w:keepNext/>
              <w:ind w:right="98"/>
              <w:jc w:val="right"/>
              <w:rPr>
                <w:rFonts w:ascii="Arial Narrow" w:hAnsi="Arial Narrow"/>
                <w:sz w:val="20"/>
              </w:rPr>
            </w:pPr>
          </w:p>
          <w:p w:rsidR="000474B0" w:rsidRPr="00291388" w:rsidRDefault="000474B0" w:rsidP="001A4DB3">
            <w:pPr>
              <w:keepNext/>
              <w:ind w:right="9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p w:rsidR="000474B0" w:rsidRDefault="000474B0" w:rsidP="001A4DB3">
            <w:pPr>
              <w:keepNext/>
              <w:ind w:right="98"/>
              <w:jc w:val="right"/>
              <w:rPr>
                <w:rFonts w:ascii="Arial Narrow" w:hAnsi="Arial Narrow"/>
                <w:sz w:val="20"/>
              </w:rPr>
            </w:pPr>
          </w:p>
          <w:p w:rsidR="000474B0" w:rsidRPr="00291388" w:rsidRDefault="000474B0" w:rsidP="001A4DB3">
            <w:pPr>
              <w:keepNext/>
              <w:ind w:right="9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p w:rsidR="000474B0" w:rsidRDefault="000474B0" w:rsidP="001A4DB3">
            <w:pPr>
              <w:keepNext/>
              <w:ind w:right="98"/>
              <w:jc w:val="right"/>
              <w:rPr>
                <w:rFonts w:ascii="Arial Narrow" w:hAnsi="Arial Narrow"/>
                <w:sz w:val="20"/>
              </w:rPr>
            </w:pPr>
          </w:p>
          <w:p w:rsidR="000474B0" w:rsidRPr="00291388" w:rsidRDefault="000474B0" w:rsidP="001A4DB3">
            <w:pPr>
              <w:keepNext/>
              <w:ind w:right="9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tc>
        <w:tc>
          <w:tcPr>
            <w:tcW w:w="851" w:type="dxa"/>
          </w:tcPr>
          <w:p w:rsidR="000474B0" w:rsidRPr="00291388" w:rsidRDefault="000474B0" w:rsidP="001A4DB3">
            <w:pPr>
              <w:keepNext/>
              <w:ind w:right="-108"/>
              <w:jc w:val="center"/>
              <w:rPr>
                <w:rFonts w:ascii="Arial Narrow" w:hAnsi="Arial Narrow"/>
                <w:sz w:val="20"/>
              </w:rPr>
            </w:pPr>
            <w:r w:rsidRPr="00291388">
              <w:rPr>
                <w:rFonts w:ascii="Arial Narrow" w:hAnsi="Arial Narrow"/>
                <w:sz w:val="20"/>
              </w:rPr>
              <w:t>Bemfola</w:t>
            </w:r>
            <w:r w:rsidRPr="00291388">
              <w:rPr>
                <w:rFonts w:ascii="Arial Narrow" w:hAnsi="Arial Narrow"/>
                <w:sz w:val="20"/>
                <w:vertAlign w:val="superscript"/>
              </w:rPr>
              <w:t>®</w:t>
            </w:r>
          </w:p>
        </w:tc>
        <w:tc>
          <w:tcPr>
            <w:tcW w:w="992" w:type="dxa"/>
          </w:tcPr>
          <w:p w:rsidR="000474B0" w:rsidRPr="00291388" w:rsidRDefault="000474B0" w:rsidP="001A4DB3">
            <w:pPr>
              <w:keepNext/>
              <w:ind w:right="-57"/>
              <w:jc w:val="center"/>
              <w:rPr>
                <w:rFonts w:ascii="Arial Narrow" w:hAnsi="Arial Narrow"/>
                <w:sz w:val="20"/>
              </w:rPr>
            </w:pPr>
            <w:r w:rsidRPr="00291388">
              <w:rPr>
                <w:rFonts w:ascii="Arial Narrow" w:hAnsi="Arial Narrow"/>
                <w:sz w:val="20"/>
              </w:rPr>
              <w:t>FINOX Biotech Australia</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jc w:val="both"/>
              <w:rPr>
                <w:rFonts w:ascii="Arial Narrow" w:hAnsi="Arial Narrow" w:cs="Arial"/>
                <w:b/>
                <w:sz w:val="20"/>
                <w:szCs w:val="20"/>
              </w:rPr>
            </w:pPr>
            <w:r w:rsidRPr="00260CE3">
              <w:rPr>
                <w:rFonts w:ascii="Arial Narrow" w:hAnsi="Arial Narrow" w:cs="Arial"/>
                <w:b/>
                <w:sz w:val="20"/>
                <w:szCs w:val="20"/>
              </w:rPr>
              <w:t xml:space="preserve">Category / </w:t>
            </w:r>
          </w:p>
          <w:p w:rsidR="000474B0" w:rsidRPr="00260CE3" w:rsidRDefault="000474B0" w:rsidP="001A4DB3">
            <w:pPr>
              <w:ind w:right="-57"/>
              <w:jc w:val="both"/>
              <w:rPr>
                <w:rFonts w:ascii="Arial Narrow" w:hAnsi="Arial Narrow" w:cs="Arial"/>
                <w:b/>
                <w:sz w:val="20"/>
                <w:szCs w:val="20"/>
              </w:rPr>
            </w:pPr>
            <w:r w:rsidRPr="00260CE3">
              <w:rPr>
                <w:rFonts w:ascii="Arial Narrow" w:hAnsi="Arial Narrow" w:cs="Arial"/>
                <w:b/>
                <w:sz w:val="20"/>
                <w:szCs w:val="20"/>
              </w:rPr>
              <w:t>Program</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rPr>
                <w:rFonts w:ascii="Arial Narrow" w:hAnsi="Arial Narrow" w:cs="Arial"/>
                <w:sz w:val="20"/>
                <w:szCs w:val="20"/>
              </w:rPr>
            </w:pPr>
            <w:r w:rsidRPr="00260CE3">
              <w:rPr>
                <w:rFonts w:ascii="Arial Narrow" w:hAnsi="Arial Narrow" w:cs="Arial"/>
                <w:sz w:val="20"/>
                <w:szCs w:val="20"/>
              </w:rPr>
              <w:t>Section 100 – IVF</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jc w:val="both"/>
              <w:rPr>
                <w:rFonts w:ascii="Arial Narrow" w:hAnsi="Arial Narrow" w:cs="Arial"/>
                <w:b/>
                <w:sz w:val="20"/>
                <w:szCs w:val="20"/>
              </w:rPr>
            </w:pPr>
            <w:r w:rsidRPr="00260CE3">
              <w:rPr>
                <w:rFonts w:ascii="Arial Narrow" w:hAnsi="Arial Narrow" w:cs="Arial"/>
                <w:b/>
                <w:sz w:val="20"/>
                <w:szCs w:val="20"/>
              </w:rPr>
              <w:t>Prescriber type:</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Pr="005C3612">
              <w:rPr>
                <w:rFonts w:ascii="Arial Narrow" w:hAnsi="Arial Narrow"/>
                <w:sz w:val="20"/>
              </w:rPr>
              <w:fldChar w:fldCharType="begin">
                <w:ffData>
                  <w:name w:val=""/>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474B0" w:rsidRPr="00260CE3" w:rsidRDefault="000474B0" w:rsidP="001A4DB3">
            <w:pPr>
              <w:ind w:right="-57"/>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474B0" w:rsidRPr="00260CE3" w:rsidTr="001A4DB3">
        <w:trPr>
          <w:cantSplit/>
          <w:trHeight w:val="225"/>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jc w:val="both"/>
              <w:rPr>
                <w:rFonts w:ascii="Arial Narrow" w:hAnsi="Arial Narrow" w:cs="Arial"/>
                <w:b/>
                <w:sz w:val="20"/>
                <w:szCs w:val="20"/>
              </w:rPr>
            </w:pPr>
            <w:r w:rsidRPr="00260CE3">
              <w:rPr>
                <w:rFonts w:ascii="Arial Narrow" w:hAnsi="Arial Narrow" w:cs="Arial"/>
                <w:b/>
                <w:sz w:val="20"/>
                <w:szCs w:val="20"/>
              </w:rPr>
              <w:t>Condition:</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7F27FE" w:rsidRDefault="000474B0" w:rsidP="001A4DB3">
            <w:pPr>
              <w:ind w:right="-57"/>
              <w:rPr>
                <w:rFonts w:ascii="Arial Narrow" w:hAnsi="Arial Narrow"/>
                <w:sz w:val="20"/>
              </w:rPr>
            </w:pPr>
            <w:r w:rsidRPr="00246F92">
              <w:rPr>
                <w:rFonts w:ascii="Arial Narrow" w:hAnsi="Arial Narrow"/>
                <w:strike/>
                <w:sz w:val="20"/>
              </w:rPr>
              <w:t>Controlled ovarian hyperstimulation</w:t>
            </w:r>
            <w:r w:rsidRPr="00F748D9">
              <w:rPr>
                <w:rFonts w:ascii="Arial Narrow" w:hAnsi="Arial Narrow"/>
                <w:sz w:val="20"/>
              </w:rPr>
              <w:t xml:space="preserve">  </w:t>
            </w:r>
            <w:r w:rsidRPr="00246F92">
              <w:rPr>
                <w:rFonts w:ascii="Arial Narrow" w:hAnsi="Arial Narrow"/>
                <w:i/>
                <w:sz w:val="20"/>
              </w:rPr>
              <w:t>Assisted Reproductive Technology</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jc w:val="both"/>
              <w:rPr>
                <w:rFonts w:ascii="Arial Narrow" w:hAnsi="Arial Narrow" w:cs="Arial"/>
                <w:b/>
                <w:sz w:val="20"/>
                <w:szCs w:val="20"/>
              </w:rPr>
            </w:pPr>
            <w:r w:rsidRPr="00260CE3">
              <w:rPr>
                <w:rFonts w:ascii="Arial Narrow" w:hAnsi="Arial Narrow" w:cs="Arial"/>
                <w:b/>
                <w:sz w:val="20"/>
                <w:szCs w:val="20"/>
              </w:rPr>
              <w:t>PBS Indication:</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7F27FE" w:rsidRDefault="000474B0" w:rsidP="001A4DB3">
            <w:pPr>
              <w:ind w:right="-57"/>
              <w:rPr>
                <w:rFonts w:ascii="Arial Narrow" w:hAnsi="Arial Narrow"/>
                <w:sz w:val="20"/>
              </w:rPr>
            </w:pPr>
            <w:r w:rsidRPr="00246F92">
              <w:rPr>
                <w:rFonts w:ascii="Arial Narrow" w:hAnsi="Arial Narrow"/>
                <w:strike/>
                <w:sz w:val="20"/>
              </w:rPr>
              <w:t xml:space="preserve">Controlled ovarian hyperstimulation in women undergoing assisted reproductive technologies </w:t>
            </w:r>
            <w:r w:rsidRPr="00246F92">
              <w:rPr>
                <w:rFonts w:ascii="Arial Narrow" w:hAnsi="Arial Narrow"/>
                <w:i/>
                <w:sz w:val="20"/>
              </w:rPr>
              <w:t>Assisted Reproductive Technology</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474B0" w:rsidRPr="00260CE3" w:rsidRDefault="000474B0" w:rsidP="001A4DB3">
            <w:pPr>
              <w:ind w:right="-57"/>
              <w:rPr>
                <w:rFonts w:ascii="Arial Narrow" w:hAnsi="Arial Narrow" w:cs="Arial"/>
                <w:sz w:val="20"/>
                <w:szCs w:val="20"/>
              </w:rPr>
            </w:pPr>
          </w:p>
        </w:tc>
        <w:tc>
          <w:tcPr>
            <w:tcW w:w="6412" w:type="dxa"/>
            <w:gridSpan w:val="6"/>
            <w:tcBorders>
              <w:top w:val="single" w:sz="4" w:space="0" w:color="auto"/>
              <w:left w:val="single" w:sz="4" w:space="0" w:color="auto"/>
              <w:bottom w:val="single" w:sz="4" w:space="0" w:color="auto"/>
              <w:right w:val="single" w:sz="4" w:space="0" w:color="auto"/>
            </w:tcBorders>
          </w:tcPr>
          <w:p w:rsidR="000474B0" w:rsidRPr="00106BCF" w:rsidRDefault="000474B0"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0474B0" w:rsidRPr="00106BCF" w:rsidRDefault="000474B0"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0474B0" w:rsidRPr="00106BCF" w:rsidRDefault="000474B0"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0474B0" w:rsidRPr="00106BCF" w:rsidRDefault="000474B0"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0474B0" w:rsidRPr="00106BCF" w:rsidRDefault="000474B0"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0474B0" w:rsidRPr="00260CE3" w:rsidRDefault="000474B0" w:rsidP="001A4DB3">
            <w:pPr>
              <w:ind w:right="-57"/>
              <w:rPr>
                <w:rFonts w:ascii="Arial Narrow" w:hAnsi="Arial Narrow" w:cs="Arial"/>
                <w:sz w:val="20"/>
                <w:szCs w:val="20"/>
              </w:rPr>
            </w:pPr>
            <w:r w:rsidRPr="005C3612">
              <w:rPr>
                <w:rFonts w:ascii="Arial Narrow" w:hAnsi="Arial Narrow"/>
                <w:sz w:val="20"/>
              </w:rPr>
              <w:fldChar w:fldCharType="begin">
                <w:ffData>
                  <w:name w:val=""/>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106BCF">
              <w:rPr>
                <w:rFonts w:ascii="Arial Narrow" w:hAnsi="Arial Narrow" w:cs="Arial"/>
                <w:sz w:val="20"/>
                <w:szCs w:val="20"/>
              </w:rPr>
              <w:t>Streamlined</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91388" w:rsidRDefault="000474B0" w:rsidP="001A4DB3">
            <w:pPr>
              <w:ind w:right="-57"/>
              <w:jc w:val="both"/>
              <w:rPr>
                <w:rFonts w:ascii="Arial Narrow" w:hAnsi="Arial Narrow" w:cs="Arial"/>
                <w:b/>
                <w:sz w:val="20"/>
                <w:szCs w:val="20"/>
              </w:rPr>
            </w:pPr>
            <w:r w:rsidRPr="00260CE3">
              <w:rPr>
                <w:rFonts w:ascii="Arial Narrow" w:hAnsi="Arial Narrow" w:cs="Arial"/>
                <w:b/>
                <w:sz w:val="20"/>
                <w:szCs w:val="20"/>
              </w:rPr>
              <w:t>Clinical criteria:</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260CE3" w:rsidRDefault="000474B0" w:rsidP="001A4DB3">
            <w:pPr>
              <w:ind w:right="-57"/>
              <w:rPr>
                <w:rFonts w:ascii="Arial Narrow" w:hAnsi="Arial Narrow" w:cs="Arial"/>
                <w:sz w:val="20"/>
                <w:szCs w:val="20"/>
              </w:rPr>
            </w:pPr>
            <w:r w:rsidRPr="007F27FE">
              <w:rPr>
                <w:rFonts w:ascii="Arial Narrow" w:hAnsi="Arial Narrow"/>
                <w:sz w:val="20"/>
              </w:rPr>
              <w:t>Patient must be receiving medical services as described in items 13200, 13201, 13202 or 13203 of the Medicare Benefits Schedule</w:t>
            </w:r>
          </w:p>
        </w:tc>
      </w:tr>
    </w:tbl>
    <w:p w:rsidR="000474B0" w:rsidRDefault="000474B0" w:rsidP="000474B0">
      <w:pPr>
        <w:pStyle w:val="ListParagraph"/>
        <w:jc w:val="both"/>
        <w:rPr>
          <w:szCs w:val="22"/>
        </w:rPr>
      </w:pPr>
    </w:p>
    <w:tbl>
      <w:tblPr>
        <w:tblW w:w="8397" w:type="dxa"/>
        <w:tblInd w:w="817" w:type="dxa"/>
        <w:tblLayout w:type="fixed"/>
        <w:tblLook w:val="0000" w:firstRow="0" w:lastRow="0" w:firstColumn="0" w:lastColumn="0" w:noHBand="0" w:noVBand="0"/>
      </w:tblPr>
      <w:tblGrid>
        <w:gridCol w:w="1985"/>
        <w:gridCol w:w="2268"/>
        <w:gridCol w:w="742"/>
        <w:gridCol w:w="567"/>
        <w:gridCol w:w="992"/>
        <w:gridCol w:w="851"/>
        <w:gridCol w:w="992"/>
      </w:tblGrid>
      <w:tr w:rsidR="000474B0" w:rsidRPr="0039782C" w:rsidTr="001A4DB3">
        <w:trPr>
          <w:cantSplit/>
          <w:trHeight w:val="471"/>
        </w:trPr>
        <w:tc>
          <w:tcPr>
            <w:tcW w:w="4253" w:type="dxa"/>
            <w:gridSpan w:val="2"/>
            <w:tcBorders>
              <w:bottom w:val="single" w:sz="4" w:space="0" w:color="auto"/>
            </w:tcBorders>
          </w:tcPr>
          <w:p w:rsidR="000474B0" w:rsidRPr="0039782C" w:rsidRDefault="000474B0" w:rsidP="001A4DB3">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0474B0" w:rsidRPr="0039782C" w:rsidRDefault="000474B0" w:rsidP="001A4DB3">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42" w:type="dxa"/>
            <w:tcBorders>
              <w:bottom w:val="single" w:sz="4" w:space="0" w:color="auto"/>
            </w:tcBorders>
          </w:tcPr>
          <w:p w:rsidR="000474B0" w:rsidRPr="0039782C" w:rsidRDefault="000474B0" w:rsidP="001A4DB3">
            <w:pPr>
              <w:keepNext/>
              <w:ind w:left="-108"/>
              <w:jc w:val="both"/>
              <w:rPr>
                <w:rFonts w:ascii="Arial Narrow" w:hAnsi="Arial Narrow" w:cs="Arial"/>
                <w:b/>
                <w:sz w:val="20"/>
                <w:szCs w:val="20"/>
              </w:rPr>
            </w:pPr>
            <w:r w:rsidRPr="0039782C">
              <w:rPr>
                <w:rFonts w:ascii="Arial Narrow" w:hAnsi="Arial Narrow" w:cs="Arial"/>
                <w:b/>
                <w:sz w:val="20"/>
                <w:szCs w:val="20"/>
              </w:rPr>
              <w:t>Max.</w:t>
            </w:r>
          </w:p>
          <w:p w:rsidR="000474B0" w:rsidRPr="0039782C" w:rsidRDefault="000474B0" w:rsidP="001A4DB3">
            <w:pPr>
              <w:keepNext/>
              <w:ind w:left="-108"/>
              <w:jc w:val="both"/>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Units</w:t>
            </w:r>
          </w:p>
        </w:tc>
        <w:tc>
          <w:tcPr>
            <w:tcW w:w="567" w:type="dxa"/>
            <w:tcBorders>
              <w:bottom w:val="single" w:sz="4" w:space="0" w:color="auto"/>
            </w:tcBorders>
          </w:tcPr>
          <w:p w:rsidR="000474B0" w:rsidRPr="0039782C" w:rsidRDefault="000474B0" w:rsidP="001A4DB3">
            <w:pPr>
              <w:keepNext/>
              <w:ind w:left="-108"/>
              <w:rPr>
                <w:rFonts w:ascii="Arial Narrow" w:hAnsi="Arial Narrow" w:cs="Arial"/>
                <w:b/>
                <w:sz w:val="20"/>
                <w:szCs w:val="20"/>
              </w:rPr>
            </w:pPr>
            <w:r w:rsidRPr="0039782C">
              <w:rPr>
                <w:rFonts w:ascii="Arial Narrow" w:hAnsi="Arial Narrow" w:cs="Arial"/>
                <w:b/>
                <w:sz w:val="20"/>
                <w:szCs w:val="20"/>
              </w:rPr>
              <w:t>№.of</w:t>
            </w:r>
          </w:p>
          <w:p w:rsidR="000474B0" w:rsidRPr="0039782C" w:rsidRDefault="000474B0" w:rsidP="001A4DB3">
            <w:pPr>
              <w:keepNext/>
              <w:ind w:left="-108"/>
              <w:rPr>
                <w:rFonts w:ascii="Arial Narrow" w:hAnsi="Arial Narrow" w:cs="Arial"/>
                <w:b/>
                <w:sz w:val="20"/>
                <w:szCs w:val="20"/>
              </w:rPr>
            </w:pPr>
            <w:r w:rsidRPr="0039782C">
              <w:rPr>
                <w:rFonts w:ascii="Arial Narrow" w:hAnsi="Arial Narrow" w:cs="Arial"/>
                <w:b/>
                <w:sz w:val="20"/>
                <w:szCs w:val="20"/>
              </w:rPr>
              <w:t>Rpts</w:t>
            </w:r>
          </w:p>
        </w:tc>
        <w:tc>
          <w:tcPr>
            <w:tcW w:w="992" w:type="dxa"/>
            <w:tcBorders>
              <w:bottom w:val="single" w:sz="4" w:space="0" w:color="auto"/>
            </w:tcBorders>
          </w:tcPr>
          <w:p w:rsidR="000474B0" w:rsidRPr="0039782C" w:rsidRDefault="000474B0" w:rsidP="001A4DB3">
            <w:pPr>
              <w:keepNext/>
              <w:ind w:left="-108"/>
              <w:rPr>
                <w:rFonts w:ascii="Arial Narrow" w:hAnsi="Arial Narrow" w:cs="Arial"/>
                <w:b/>
                <w:sz w:val="20"/>
                <w:szCs w:val="20"/>
              </w:rPr>
            </w:pPr>
            <w:r w:rsidRPr="0039782C">
              <w:rPr>
                <w:rFonts w:ascii="Arial Narrow" w:hAnsi="Arial Narrow" w:cs="Arial"/>
                <w:b/>
                <w:sz w:val="20"/>
                <w:szCs w:val="20"/>
              </w:rPr>
              <w:t>Dispensed Price for Max. Qty</w:t>
            </w:r>
          </w:p>
        </w:tc>
        <w:tc>
          <w:tcPr>
            <w:tcW w:w="1843" w:type="dxa"/>
            <w:gridSpan w:val="2"/>
            <w:tcBorders>
              <w:bottom w:val="single" w:sz="4" w:space="0" w:color="auto"/>
            </w:tcBorders>
          </w:tcPr>
          <w:p w:rsidR="000474B0" w:rsidRPr="0039782C" w:rsidRDefault="000474B0" w:rsidP="001A4DB3">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474B0" w:rsidRPr="00291388" w:rsidTr="001A4DB3">
        <w:trPr>
          <w:cantSplit/>
          <w:trHeight w:val="577"/>
        </w:trPr>
        <w:tc>
          <w:tcPr>
            <w:tcW w:w="4253" w:type="dxa"/>
            <w:gridSpan w:val="2"/>
          </w:tcPr>
          <w:p w:rsidR="000474B0" w:rsidRPr="00291388" w:rsidRDefault="000474B0" w:rsidP="001A4DB3">
            <w:pPr>
              <w:keepNext/>
              <w:ind w:right="-57"/>
              <w:rPr>
                <w:rFonts w:ascii="Arial Narrow" w:hAnsi="Arial Narrow"/>
                <w:sz w:val="20"/>
              </w:rPr>
            </w:pPr>
            <w:r w:rsidRPr="00291388">
              <w:rPr>
                <w:rFonts w:ascii="Arial Narrow" w:hAnsi="Arial Narrow"/>
                <w:smallCaps/>
                <w:sz w:val="20"/>
              </w:rPr>
              <w:t>Follitropin alfa</w:t>
            </w:r>
          </w:p>
          <w:p w:rsidR="000474B0" w:rsidRPr="00FD73FD" w:rsidRDefault="000474B0" w:rsidP="001A4DB3">
            <w:pPr>
              <w:keepNext/>
              <w:ind w:right="-57"/>
              <w:rPr>
                <w:rFonts w:ascii="Arial Narrow" w:hAnsi="Arial Narrow"/>
                <w:sz w:val="20"/>
              </w:rPr>
            </w:pPr>
            <w:r w:rsidRPr="00FD73FD">
              <w:rPr>
                <w:rFonts w:ascii="Arial Narrow" w:hAnsi="Arial Narrow"/>
                <w:sz w:val="20"/>
              </w:rPr>
              <w:t>75 units (5.5 microgram)/0.125 mL injection, 5 x 0.125 mL injection devices</w:t>
            </w:r>
          </w:p>
          <w:p w:rsidR="000474B0" w:rsidRPr="00FD73FD" w:rsidRDefault="000474B0" w:rsidP="001A4DB3">
            <w:pPr>
              <w:keepNext/>
              <w:ind w:right="-57"/>
              <w:rPr>
                <w:rFonts w:ascii="Arial Narrow" w:hAnsi="Arial Narrow"/>
                <w:sz w:val="20"/>
              </w:rPr>
            </w:pPr>
            <w:r w:rsidRPr="00FD73FD">
              <w:rPr>
                <w:rFonts w:ascii="Arial Narrow" w:hAnsi="Arial Narrow"/>
                <w:sz w:val="20"/>
              </w:rPr>
              <w:t>150 units (11 microgram)/0.25 mL injection, 5 x 0.25 mL injection devices</w:t>
            </w:r>
          </w:p>
          <w:p w:rsidR="000474B0" w:rsidRPr="00291388" w:rsidRDefault="000474B0" w:rsidP="001A4DB3">
            <w:pPr>
              <w:keepNext/>
              <w:ind w:right="-57"/>
              <w:rPr>
                <w:rFonts w:ascii="Arial Narrow" w:hAnsi="Arial Narrow"/>
                <w:sz w:val="20"/>
              </w:rPr>
            </w:pPr>
            <w:r w:rsidRPr="00FD73FD">
              <w:rPr>
                <w:rFonts w:ascii="Arial Narrow" w:hAnsi="Arial Narrow"/>
                <w:sz w:val="20"/>
              </w:rPr>
              <w:t>225 units (16.5 microgram)/0.375 mL injection, 5 x 0.375 mL injection devices</w:t>
            </w:r>
          </w:p>
        </w:tc>
        <w:tc>
          <w:tcPr>
            <w:tcW w:w="742" w:type="dxa"/>
          </w:tcPr>
          <w:p w:rsidR="000474B0" w:rsidRPr="00291388" w:rsidRDefault="000474B0" w:rsidP="001A4DB3">
            <w:pPr>
              <w:keepNext/>
              <w:jc w:val="center"/>
              <w:rPr>
                <w:rFonts w:ascii="Arial Narrow" w:hAnsi="Arial Narrow"/>
                <w:sz w:val="20"/>
              </w:rPr>
            </w:pPr>
          </w:p>
          <w:p w:rsidR="000474B0" w:rsidRPr="00291388" w:rsidRDefault="000474B0" w:rsidP="001A4DB3">
            <w:pPr>
              <w:keepNext/>
              <w:jc w:val="center"/>
              <w:rPr>
                <w:rFonts w:ascii="Arial Narrow" w:hAnsi="Arial Narrow"/>
                <w:sz w:val="20"/>
              </w:rPr>
            </w:pPr>
            <w:r w:rsidRPr="00291388">
              <w:rPr>
                <w:rFonts w:ascii="Arial Narrow" w:hAnsi="Arial Narrow"/>
                <w:sz w:val="20"/>
              </w:rPr>
              <w:t>15</w:t>
            </w:r>
          </w:p>
          <w:p w:rsidR="000474B0" w:rsidRDefault="000474B0" w:rsidP="001A4DB3">
            <w:pPr>
              <w:keepNext/>
              <w:jc w:val="center"/>
              <w:rPr>
                <w:rFonts w:ascii="Arial Narrow" w:hAnsi="Arial Narrow"/>
                <w:sz w:val="20"/>
              </w:rPr>
            </w:pPr>
          </w:p>
          <w:p w:rsidR="000474B0" w:rsidRPr="00291388" w:rsidRDefault="000474B0" w:rsidP="001A4DB3">
            <w:pPr>
              <w:keepNext/>
              <w:jc w:val="center"/>
              <w:rPr>
                <w:rFonts w:ascii="Arial Narrow" w:hAnsi="Arial Narrow"/>
                <w:sz w:val="20"/>
              </w:rPr>
            </w:pPr>
            <w:r w:rsidRPr="00291388">
              <w:rPr>
                <w:rFonts w:ascii="Arial Narrow" w:hAnsi="Arial Narrow"/>
                <w:sz w:val="20"/>
              </w:rPr>
              <w:t>15</w:t>
            </w:r>
          </w:p>
          <w:p w:rsidR="000474B0" w:rsidRDefault="000474B0" w:rsidP="001A4DB3">
            <w:pPr>
              <w:keepNext/>
              <w:jc w:val="center"/>
              <w:rPr>
                <w:rFonts w:ascii="Arial Narrow" w:hAnsi="Arial Narrow"/>
                <w:sz w:val="20"/>
              </w:rPr>
            </w:pPr>
          </w:p>
          <w:p w:rsidR="000474B0" w:rsidRPr="00291388" w:rsidRDefault="000474B0" w:rsidP="001A4DB3">
            <w:pPr>
              <w:keepNext/>
              <w:jc w:val="center"/>
              <w:rPr>
                <w:rFonts w:ascii="Arial Narrow" w:hAnsi="Arial Narrow"/>
                <w:sz w:val="20"/>
              </w:rPr>
            </w:pPr>
            <w:r w:rsidRPr="00291388">
              <w:rPr>
                <w:rFonts w:ascii="Arial Narrow" w:hAnsi="Arial Narrow"/>
                <w:sz w:val="20"/>
              </w:rPr>
              <w:t>15</w:t>
            </w:r>
          </w:p>
        </w:tc>
        <w:tc>
          <w:tcPr>
            <w:tcW w:w="567" w:type="dxa"/>
          </w:tcPr>
          <w:p w:rsidR="000474B0" w:rsidRPr="00291388" w:rsidRDefault="000474B0" w:rsidP="001A4DB3">
            <w:pPr>
              <w:keepNext/>
              <w:jc w:val="center"/>
              <w:rPr>
                <w:rFonts w:ascii="Arial Narrow" w:hAnsi="Arial Narrow"/>
                <w:sz w:val="20"/>
              </w:rPr>
            </w:pPr>
          </w:p>
          <w:p w:rsidR="000474B0" w:rsidRPr="00291388" w:rsidRDefault="000474B0" w:rsidP="001A4DB3">
            <w:pPr>
              <w:keepNext/>
              <w:jc w:val="center"/>
              <w:rPr>
                <w:rFonts w:ascii="Arial Narrow" w:hAnsi="Arial Narrow"/>
                <w:sz w:val="20"/>
              </w:rPr>
            </w:pPr>
            <w:r w:rsidRPr="00291388">
              <w:rPr>
                <w:rFonts w:ascii="Arial Narrow" w:hAnsi="Arial Narrow"/>
                <w:sz w:val="20"/>
              </w:rPr>
              <w:t>1</w:t>
            </w:r>
          </w:p>
          <w:p w:rsidR="000474B0" w:rsidRDefault="000474B0" w:rsidP="001A4DB3">
            <w:pPr>
              <w:keepNext/>
              <w:jc w:val="center"/>
              <w:rPr>
                <w:rFonts w:ascii="Arial Narrow" w:hAnsi="Arial Narrow"/>
                <w:sz w:val="20"/>
              </w:rPr>
            </w:pPr>
          </w:p>
          <w:p w:rsidR="000474B0" w:rsidRPr="00291388" w:rsidRDefault="000474B0" w:rsidP="001A4DB3">
            <w:pPr>
              <w:keepNext/>
              <w:jc w:val="center"/>
              <w:rPr>
                <w:rFonts w:ascii="Arial Narrow" w:hAnsi="Arial Narrow"/>
                <w:sz w:val="20"/>
              </w:rPr>
            </w:pPr>
            <w:r w:rsidRPr="00291388">
              <w:rPr>
                <w:rFonts w:ascii="Arial Narrow" w:hAnsi="Arial Narrow"/>
                <w:sz w:val="20"/>
              </w:rPr>
              <w:t>1</w:t>
            </w:r>
          </w:p>
          <w:p w:rsidR="000474B0" w:rsidRDefault="000474B0" w:rsidP="001A4DB3">
            <w:pPr>
              <w:keepNext/>
              <w:jc w:val="center"/>
              <w:rPr>
                <w:rFonts w:ascii="Arial Narrow" w:hAnsi="Arial Narrow"/>
                <w:sz w:val="20"/>
              </w:rPr>
            </w:pPr>
          </w:p>
          <w:p w:rsidR="000474B0" w:rsidRPr="00291388" w:rsidRDefault="000474B0" w:rsidP="001A4DB3">
            <w:pPr>
              <w:keepNext/>
              <w:jc w:val="center"/>
              <w:rPr>
                <w:rFonts w:ascii="Arial Narrow" w:hAnsi="Arial Narrow"/>
                <w:sz w:val="20"/>
              </w:rPr>
            </w:pPr>
            <w:r w:rsidRPr="00291388">
              <w:rPr>
                <w:rFonts w:ascii="Arial Narrow" w:hAnsi="Arial Narrow"/>
                <w:sz w:val="20"/>
              </w:rPr>
              <w:t>1</w:t>
            </w:r>
          </w:p>
        </w:tc>
        <w:tc>
          <w:tcPr>
            <w:tcW w:w="992" w:type="dxa"/>
          </w:tcPr>
          <w:p w:rsidR="000474B0" w:rsidRPr="00291388" w:rsidRDefault="000474B0" w:rsidP="001A4DB3">
            <w:pPr>
              <w:keepNext/>
              <w:jc w:val="center"/>
              <w:rPr>
                <w:rFonts w:ascii="Arial Narrow" w:hAnsi="Arial Narrow"/>
                <w:sz w:val="20"/>
              </w:rPr>
            </w:pPr>
          </w:p>
          <w:p w:rsidR="000474B0" w:rsidRPr="00291388" w:rsidRDefault="000474B0" w:rsidP="001A4DB3">
            <w:pPr>
              <w:keepNext/>
              <w:ind w:right="2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p w:rsidR="000474B0" w:rsidRDefault="000474B0" w:rsidP="001A4DB3">
            <w:pPr>
              <w:keepNext/>
              <w:ind w:right="28"/>
              <w:jc w:val="right"/>
              <w:rPr>
                <w:rFonts w:ascii="Arial Narrow" w:hAnsi="Arial Narrow"/>
                <w:sz w:val="20"/>
              </w:rPr>
            </w:pPr>
          </w:p>
          <w:p w:rsidR="000474B0" w:rsidRPr="00291388" w:rsidRDefault="000474B0" w:rsidP="001A4DB3">
            <w:pPr>
              <w:keepNext/>
              <w:ind w:right="2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p w:rsidR="000474B0" w:rsidRDefault="000474B0" w:rsidP="001A4DB3">
            <w:pPr>
              <w:keepNext/>
              <w:ind w:right="28"/>
              <w:jc w:val="right"/>
              <w:rPr>
                <w:rFonts w:ascii="Arial Narrow" w:hAnsi="Arial Narrow"/>
                <w:sz w:val="20"/>
              </w:rPr>
            </w:pPr>
          </w:p>
          <w:p w:rsidR="000474B0" w:rsidRPr="00291388" w:rsidRDefault="000474B0" w:rsidP="001A4DB3">
            <w:pPr>
              <w:keepNext/>
              <w:ind w:right="28"/>
              <w:jc w:val="right"/>
              <w:rPr>
                <w:rFonts w:ascii="Arial Narrow" w:hAnsi="Arial Narrow"/>
                <w:sz w:val="20"/>
              </w:rPr>
            </w:pPr>
            <w:r w:rsidRPr="00291388">
              <w:rPr>
                <w:rFonts w:ascii="Arial Narrow" w:hAnsi="Arial Narrow"/>
                <w:sz w:val="20"/>
              </w:rPr>
              <w:t>$</w:t>
            </w:r>
            <w:r w:rsidR="005F52F9">
              <w:rPr>
                <w:rFonts w:ascii="Arial Narrow" w:hAnsi="Arial Narrow"/>
                <w:noProof/>
                <w:color w:val="000000"/>
                <w:sz w:val="20"/>
                <w:highlight w:val="black"/>
              </w:rPr>
              <w:t>'''''''''''''''''''</w:t>
            </w:r>
          </w:p>
        </w:tc>
        <w:tc>
          <w:tcPr>
            <w:tcW w:w="851" w:type="dxa"/>
          </w:tcPr>
          <w:p w:rsidR="000474B0" w:rsidRPr="00291388" w:rsidRDefault="000474B0" w:rsidP="001A4DB3">
            <w:pPr>
              <w:keepNext/>
              <w:ind w:right="-57"/>
              <w:jc w:val="center"/>
              <w:rPr>
                <w:rFonts w:ascii="Arial Narrow" w:hAnsi="Arial Narrow"/>
                <w:sz w:val="20"/>
              </w:rPr>
            </w:pPr>
            <w:r w:rsidRPr="00291388">
              <w:rPr>
                <w:rFonts w:ascii="Arial Narrow" w:hAnsi="Arial Narrow"/>
                <w:sz w:val="20"/>
              </w:rPr>
              <w:t>Bemfola</w:t>
            </w:r>
            <w:r w:rsidRPr="00291388">
              <w:rPr>
                <w:rFonts w:ascii="Arial Narrow" w:hAnsi="Arial Narrow"/>
                <w:sz w:val="20"/>
                <w:vertAlign w:val="superscript"/>
              </w:rPr>
              <w:t>®</w:t>
            </w:r>
            <w:r w:rsidRPr="00291388">
              <w:rPr>
                <w:rFonts w:ascii="Arial Narrow" w:hAnsi="Arial Narrow"/>
                <w:sz w:val="20"/>
              </w:rPr>
              <w:t xml:space="preserve"> </w:t>
            </w:r>
          </w:p>
        </w:tc>
        <w:tc>
          <w:tcPr>
            <w:tcW w:w="992" w:type="dxa"/>
          </w:tcPr>
          <w:p w:rsidR="000474B0" w:rsidRPr="00291388" w:rsidRDefault="000474B0" w:rsidP="001A4DB3">
            <w:pPr>
              <w:keepNext/>
              <w:jc w:val="center"/>
              <w:rPr>
                <w:rFonts w:ascii="Arial Narrow" w:hAnsi="Arial Narrow"/>
                <w:sz w:val="20"/>
              </w:rPr>
            </w:pPr>
            <w:r w:rsidRPr="00291388">
              <w:rPr>
                <w:rFonts w:ascii="Arial Narrow" w:hAnsi="Arial Narrow"/>
                <w:sz w:val="20"/>
              </w:rPr>
              <w:t>FINOX Biotech Australia</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jc w:val="both"/>
              <w:rPr>
                <w:rFonts w:ascii="Arial Narrow" w:hAnsi="Arial Narrow" w:cs="Arial"/>
                <w:b/>
                <w:sz w:val="20"/>
                <w:szCs w:val="20"/>
              </w:rPr>
            </w:pPr>
            <w:r w:rsidRPr="00260CE3">
              <w:rPr>
                <w:rFonts w:ascii="Arial Narrow" w:hAnsi="Arial Narrow" w:cs="Arial"/>
                <w:b/>
                <w:sz w:val="20"/>
                <w:szCs w:val="20"/>
              </w:rPr>
              <w:t xml:space="preserve">Category / </w:t>
            </w:r>
          </w:p>
          <w:p w:rsidR="000474B0" w:rsidRPr="00260CE3" w:rsidRDefault="000474B0" w:rsidP="001A4DB3">
            <w:pPr>
              <w:jc w:val="both"/>
              <w:rPr>
                <w:rFonts w:ascii="Arial Narrow" w:hAnsi="Arial Narrow" w:cs="Arial"/>
                <w:b/>
                <w:sz w:val="20"/>
                <w:szCs w:val="20"/>
              </w:rPr>
            </w:pPr>
            <w:r w:rsidRPr="00260CE3">
              <w:rPr>
                <w:rFonts w:ascii="Arial Narrow" w:hAnsi="Arial Narrow" w:cs="Arial"/>
                <w:b/>
                <w:sz w:val="20"/>
                <w:szCs w:val="20"/>
              </w:rPr>
              <w:t>Program</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260CE3" w:rsidRDefault="000474B0" w:rsidP="001A4DB3">
            <w:pPr>
              <w:rPr>
                <w:rFonts w:ascii="Arial Narrow" w:hAnsi="Arial Narrow" w:cs="Arial"/>
                <w:sz w:val="20"/>
                <w:szCs w:val="20"/>
              </w:rPr>
            </w:pPr>
            <w:r>
              <w:rPr>
                <w:rFonts w:ascii="Arial Narrow" w:hAnsi="Arial Narrow" w:cs="Arial"/>
                <w:sz w:val="20"/>
                <w:szCs w:val="20"/>
              </w:rPr>
              <w:t>Section 85</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jc w:val="both"/>
              <w:rPr>
                <w:rFonts w:ascii="Arial Narrow" w:hAnsi="Arial Narrow" w:cs="Arial"/>
                <w:b/>
                <w:sz w:val="20"/>
                <w:szCs w:val="20"/>
              </w:rPr>
            </w:pPr>
            <w:r w:rsidRPr="00260CE3">
              <w:rPr>
                <w:rFonts w:ascii="Arial Narrow" w:hAnsi="Arial Narrow" w:cs="Arial"/>
                <w:b/>
                <w:sz w:val="20"/>
                <w:szCs w:val="20"/>
              </w:rPr>
              <w:t>Prescriber type:</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260CE3" w:rsidRDefault="000474B0" w:rsidP="001A4DB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Pr="005C3612">
              <w:rPr>
                <w:rFonts w:ascii="Arial Narrow" w:hAnsi="Arial Narrow"/>
                <w:sz w:val="20"/>
              </w:rPr>
              <w:fldChar w:fldCharType="begin">
                <w:ffData>
                  <w:name w:val=""/>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474B0" w:rsidRPr="00260CE3" w:rsidRDefault="000474B0" w:rsidP="001A4DB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jc w:val="both"/>
              <w:rPr>
                <w:rFonts w:ascii="Arial Narrow" w:hAnsi="Arial Narrow" w:cs="Arial"/>
                <w:b/>
                <w:sz w:val="20"/>
                <w:szCs w:val="20"/>
              </w:rPr>
            </w:pPr>
            <w:r w:rsidRPr="00260CE3">
              <w:rPr>
                <w:rFonts w:ascii="Arial Narrow" w:hAnsi="Arial Narrow" w:cs="Arial"/>
                <w:b/>
                <w:sz w:val="20"/>
                <w:szCs w:val="20"/>
              </w:rPr>
              <w:t>Condition:</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5C3612" w:rsidRDefault="000474B0" w:rsidP="001A4DB3">
            <w:pPr>
              <w:rPr>
                <w:rFonts w:ascii="Arial Narrow" w:hAnsi="Arial Narrow"/>
                <w:sz w:val="20"/>
              </w:rPr>
            </w:pPr>
            <w:r w:rsidRPr="005C3612">
              <w:rPr>
                <w:rFonts w:ascii="Arial Narrow" w:hAnsi="Arial Narrow"/>
                <w:sz w:val="20"/>
              </w:rPr>
              <w:t xml:space="preserve">Anovulatory infertility </w:t>
            </w:r>
          </w:p>
          <w:p w:rsidR="000474B0" w:rsidRPr="005B7CCA" w:rsidRDefault="000474B0" w:rsidP="001A4DB3">
            <w:pPr>
              <w:rPr>
                <w:rFonts w:ascii="Arial Narrow" w:hAnsi="Arial Narrow"/>
                <w:strike/>
                <w:sz w:val="20"/>
              </w:rPr>
            </w:pPr>
            <w:r w:rsidRPr="005B7CCA">
              <w:rPr>
                <w:rFonts w:ascii="Arial Narrow" w:hAnsi="Arial Narrow"/>
                <w:strike/>
                <w:sz w:val="20"/>
              </w:rPr>
              <w:t>Hypogonadotrophic hypogonadism</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jc w:val="both"/>
              <w:rPr>
                <w:rFonts w:ascii="Arial Narrow" w:hAnsi="Arial Narrow" w:cs="Arial"/>
                <w:b/>
                <w:sz w:val="20"/>
                <w:szCs w:val="20"/>
              </w:rPr>
            </w:pPr>
            <w:r w:rsidRPr="00260CE3">
              <w:rPr>
                <w:rFonts w:ascii="Arial Narrow" w:hAnsi="Arial Narrow" w:cs="Arial"/>
                <w:b/>
                <w:sz w:val="20"/>
                <w:szCs w:val="20"/>
              </w:rPr>
              <w:t>PBS Indication:</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i/>
                <w:sz w:val="20"/>
              </w:rPr>
            </w:pPr>
            <w:r w:rsidRPr="005B7CCA">
              <w:rPr>
                <w:rFonts w:ascii="Arial Narrow" w:hAnsi="Arial Narrow"/>
                <w:i/>
                <w:sz w:val="20"/>
              </w:rPr>
              <w:t xml:space="preserve">Anovulatory infertility </w:t>
            </w:r>
          </w:p>
          <w:p w:rsidR="000474B0" w:rsidRPr="00CB6C65" w:rsidRDefault="000474B0" w:rsidP="001A4DB3">
            <w:pPr>
              <w:rPr>
                <w:rFonts w:ascii="Arial Narrow" w:hAnsi="Arial Narrow"/>
                <w:strike/>
                <w:sz w:val="20"/>
              </w:rPr>
            </w:pPr>
            <w:r w:rsidRPr="005B7CCA">
              <w:rPr>
                <w:rFonts w:ascii="Arial Narrow" w:hAnsi="Arial Narrow"/>
                <w:strike/>
                <w:sz w:val="20"/>
              </w:rPr>
              <w:t xml:space="preserve">For the treatment of anovulatory infertility in women who have been unresponsive to clomiphene citrate or where clomiphene citrate is contraindicated </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60CE3" w:rsidRDefault="000474B0" w:rsidP="001A4DB3">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474B0" w:rsidRPr="00260CE3" w:rsidRDefault="000474B0" w:rsidP="001A4DB3">
            <w:pPr>
              <w:rPr>
                <w:rFonts w:ascii="Arial Narrow" w:hAnsi="Arial Narrow" w:cs="Arial"/>
                <w:sz w:val="20"/>
                <w:szCs w:val="20"/>
              </w:rPr>
            </w:pPr>
          </w:p>
        </w:tc>
        <w:tc>
          <w:tcPr>
            <w:tcW w:w="6412" w:type="dxa"/>
            <w:gridSpan w:val="6"/>
            <w:tcBorders>
              <w:top w:val="single" w:sz="4" w:space="0" w:color="auto"/>
              <w:left w:val="single" w:sz="4" w:space="0" w:color="auto"/>
              <w:bottom w:val="single" w:sz="4" w:space="0" w:color="auto"/>
              <w:right w:val="single" w:sz="4" w:space="0" w:color="auto"/>
            </w:tcBorders>
          </w:tcPr>
          <w:p w:rsidR="000474B0" w:rsidRPr="005C3612" w:rsidRDefault="000474B0" w:rsidP="001A4DB3">
            <w:pPr>
              <w:rPr>
                <w:rFonts w:ascii="Arial Narrow" w:hAnsi="Arial Narrow"/>
                <w:sz w:val="20"/>
              </w:rPr>
            </w:pPr>
            <w:r w:rsidRPr="005C3612">
              <w:rPr>
                <w:rFonts w:ascii="Arial Narrow" w:hAnsi="Arial Narrow"/>
                <w:sz w:val="20"/>
              </w:rPr>
              <w:fldChar w:fldCharType="begin">
                <w:ffData>
                  <w:name w:val="Check5"/>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Restricted benefit</w:t>
            </w:r>
          </w:p>
          <w:p w:rsidR="000474B0" w:rsidRPr="005C3612" w:rsidRDefault="000474B0" w:rsidP="001A4DB3">
            <w:pPr>
              <w:rPr>
                <w:rFonts w:ascii="Arial Narrow" w:hAnsi="Arial Narrow"/>
                <w:sz w:val="20"/>
              </w:rPr>
            </w:pPr>
            <w:r w:rsidRPr="005C3612">
              <w:rPr>
                <w:rFonts w:ascii="Arial Narrow" w:hAnsi="Arial Narrow"/>
                <w:sz w:val="20"/>
              </w:rPr>
              <w:fldChar w:fldCharType="begin">
                <w:ffData>
                  <w:name w:val=""/>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Authority Required - In Writing</w:t>
            </w:r>
          </w:p>
          <w:p w:rsidR="000474B0" w:rsidRPr="005C3612" w:rsidRDefault="000474B0" w:rsidP="001A4DB3">
            <w:pPr>
              <w:rPr>
                <w:rFonts w:ascii="Arial Narrow" w:hAnsi="Arial Narrow"/>
                <w:sz w:val="20"/>
              </w:rPr>
            </w:pPr>
            <w:r w:rsidRPr="005C3612">
              <w:rPr>
                <w:rFonts w:ascii="Arial Narrow" w:hAnsi="Arial Narrow"/>
                <w:sz w:val="20"/>
              </w:rPr>
              <w:fldChar w:fldCharType="begin">
                <w:ffData>
                  <w:name w:val="Check3"/>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Authority Required - Telephone</w:t>
            </w:r>
          </w:p>
          <w:p w:rsidR="000474B0" w:rsidRPr="005C3612" w:rsidRDefault="000474B0" w:rsidP="001A4DB3">
            <w:pPr>
              <w:rPr>
                <w:rFonts w:ascii="Arial Narrow" w:hAnsi="Arial Narrow"/>
                <w:sz w:val="20"/>
              </w:rPr>
            </w:pPr>
            <w:r w:rsidRPr="005C3612">
              <w:rPr>
                <w:rFonts w:ascii="Arial Narrow" w:hAnsi="Arial Narrow"/>
                <w:sz w:val="20"/>
              </w:rPr>
              <w:fldChar w:fldCharType="begin">
                <w:ffData>
                  <w:name w:val=""/>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Pr>
                <w:rFonts w:ascii="Arial Narrow" w:hAnsi="Arial Narrow"/>
                <w:sz w:val="20"/>
              </w:rPr>
              <w:t>Authority Required -</w:t>
            </w:r>
            <w:r w:rsidRPr="005C3612">
              <w:rPr>
                <w:rFonts w:ascii="Arial Narrow" w:hAnsi="Arial Narrow"/>
                <w:sz w:val="20"/>
              </w:rPr>
              <w:t xml:space="preserve"> Emergency</w:t>
            </w:r>
          </w:p>
          <w:p w:rsidR="000474B0" w:rsidRPr="005C3612" w:rsidRDefault="000474B0" w:rsidP="001A4DB3">
            <w:pPr>
              <w:rPr>
                <w:rFonts w:ascii="Arial Narrow" w:hAnsi="Arial Narrow"/>
                <w:sz w:val="20"/>
              </w:rPr>
            </w:pPr>
            <w:r w:rsidRPr="005C3612">
              <w:rPr>
                <w:rFonts w:ascii="Arial Narrow" w:hAnsi="Arial Narrow"/>
                <w:sz w:val="20"/>
              </w:rPr>
              <w:fldChar w:fldCharType="begin">
                <w:ffData>
                  <w:name w:val="Check5"/>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Authority Required - Electronic</w:t>
            </w:r>
          </w:p>
          <w:p w:rsidR="000474B0" w:rsidRPr="005C3612" w:rsidRDefault="000474B0" w:rsidP="001A4DB3">
            <w:pPr>
              <w:rPr>
                <w:rFonts w:ascii="Arial Narrow" w:hAnsi="Arial Narrow"/>
                <w:sz w:val="20"/>
              </w:rPr>
            </w:pPr>
            <w:r w:rsidRPr="005C3612">
              <w:rPr>
                <w:rFonts w:ascii="Arial Narrow" w:hAnsi="Arial Narrow"/>
                <w:sz w:val="20"/>
              </w:rPr>
              <w:fldChar w:fldCharType="begin">
                <w:ffData>
                  <w:name w:val="Check1"/>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Streamlined</w:t>
            </w:r>
          </w:p>
        </w:tc>
      </w:tr>
      <w:tr w:rsidR="000474B0"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291388" w:rsidRDefault="000474B0" w:rsidP="001A4DB3">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5C3612" w:rsidRDefault="000474B0" w:rsidP="001A4DB3">
            <w:pPr>
              <w:rPr>
                <w:rFonts w:ascii="Arial Narrow" w:hAnsi="Arial Narrow"/>
                <w:b/>
                <w:sz w:val="20"/>
                <w:u w:val="single"/>
              </w:rPr>
            </w:pPr>
            <w:r w:rsidRPr="005C3612">
              <w:rPr>
                <w:rFonts w:ascii="Arial Narrow" w:hAnsi="Arial Narrow"/>
                <w:b/>
                <w:sz w:val="20"/>
                <w:u w:val="single"/>
              </w:rPr>
              <w:t>NOTE:</w:t>
            </w:r>
          </w:p>
          <w:p w:rsidR="000474B0" w:rsidRPr="005C3612" w:rsidRDefault="000474B0" w:rsidP="001A4DB3">
            <w:pPr>
              <w:rPr>
                <w:rFonts w:ascii="Arial Narrow" w:hAnsi="Arial Narrow"/>
                <w:sz w:val="20"/>
              </w:rPr>
            </w:pPr>
            <w:r w:rsidRPr="005C3612">
              <w:rPr>
                <w:rFonts w:ascii="Arial Narrow" w:hAnsi="Arial Narrow"/>
                <w:sz w:val="20"/>
              </w:rPr>
              <w:t>Except in cases of hypopituitarism or primary amenorrhoea, the patient should have been adequately treated with clomiphene citrate and/or gonadorelin and failed to have conceived.</w:t>
            </w:r>
          </w:p>
          <w:p w:rsidR="000474B0" w:rsidRPr="005C3612" w:rsidRDefault="000474B0" w:rsidP="001A4DB3">
            <w:pPr>
              <w:rPr>
                <w:rFonts w:ascii="Arial Narrow" w:hAnsi="Arial Narrow"/>
                <w:sz w:val="20"/>
              </w:rPr>
            </w:pPr>
            <w:r w:rsidRPr="005C3612">
              <w:rPr>
                <w:rFonts w:ascii="Arial Narrow" w:hAnsi="Arial Narrow"/>
                <w:sz w:val="20"/>
              </w:rPr>
              <w:t>Women who have had apparent ovulation induced by other agents and have failed to conceive should have laparoscopic evidence that there is no other impediment to conception.</w:t>
            </w:r>
          </w:p>
          <w:p w:rsidR="000474B0" w:rsidRPr="005C3612" w:rsidRDefault="000474B0" w:rsidP="001A4DB3">
            <w:pPr>
              <w:rPr>
                <w:rFonts w:ascii="Arial Narrow" w:hAnsi="Arial Narrow"/>
                <w:sz w:val="20"/>
              </w:rPr>
            </w:pPr>
            <w:r w:rsidRPr="005C3612">
              <w:rPr>
                <w:rFonts w:ascii="Arial Narrow" w:hAnsi="Arial Narrow"/>
                <w:sz w:val="20"/>
              </w:rPr>
              <w:t>Oligomenorrhoea should have been present for at least twelve months or amenorrhoea for at least six months prior to treatment.</w:t>
            </w:r>
          </w:p>
          <w:p w:rsidR="000474B0" w:rsidRPr="007F27FE" w:rsidRDefault="000474B0" w:rsidP="001A4DB3">
            <w:pPr>
              <w:rPr>
                <w:rFonts w:ascii="Arial Narrow" w:hAnsi="Arial Narrow"/>
                <w:sz w:val="20"/>
              </w:rPr>
            </w:pPr>
            <w:r w:rsidRPr="005C3612">
              <w:rPr>
                <w:rFonts w:ascii="Arial Narrow" w:hAnsi="Arial Narrow"/>
                <w:sz w:val="20"/>
              </w:rPr>
              <w:t>Patients with hyperprolactinaemia should have had appropriate surgical or medical treatment prior to treatment.</w:t>
            </w:r>
          </w:p>
        </w:tc>
      </w:tr>
      <w:tr w:rsidR="000474B0" w:rsidRPr="005B7CCA" w:rsidTr="001A4DB3">
        <w:trPr>
          <w:cantSplit/>
          <w:trHeight w:val="360"/>
        </w:trPr>
        <w:tc>
          <w:tcPr>
            <w:tcW w:w="1985" w:type="dxa"/>
            <w:tcBorders>
              <w:top w:val="single" w:sz="4" w:space="0" w:color="auto"/>
              <w:bottom w:val="single" w:sz="4" w:space="0" w:color="auto"/>
            </w:tcBorders>
          </w:tcPr>
          <w:p w:rsidR="000474B0" w:rsidRPr="005B7CCA" w:rsidRDefault="000474B0" w:rsidP="001A4DB3">
            <w:pPr>
              <w:rPr>
                <w:rFonts w:ascii="Arial Narrow" w:hAnsi="Arial Narrow" w:cs="Arial"/>
                <w:b/>
                <w:sz w:val="20"/>
                <w:szCs w:val="20"/>
              </w:rPr>
            </w:pPr>
          </w:p>
        </w:tc>
        <w:tc>
          <w:tcPr>
            <w:tcW w:w="6412" w:type="dxa"/>
            <w:gridSpan w:val="6"/>
            <w:tcBorders>
              <w:top w:val="single" w:sz="4" w:space="0" w:color="auto"/>
              <w:bottom w:val="single" w:sz="4" w:space="0" w:color="auto"/>
            </w:tcBorders>
          </w:tcPr>
          <w:p w:rsidR="000474B0" w:rsidRPr="005B7CCA" w:rsidRDefault="000474B0" w:rsidP="001A4DB3">
            <w:pPr>
              <w:rPr>
                <w:rFonts w:ascii="Arial Narrow" w:hAnsi="Arial Narrow"/>
                <w:strike/>
                <w:sz w:val="20"/>
              </w:rPr>
            </w:pPr>
          </w:p>
        </w:tc>
      </w:tr>
      <w:tr w:rsidR="000474B0" w:rsidRPr="005B7CCA"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cs="Arial"/>
                <w:b/>
                <w:sz w:val="20"/>
                <w:szCs w:val="20"/>
              </w:rPr>
            </w:pPr>
            <w:r w:rsidRPr="005B7CCA">
              <w:rPr>
                <w:rFonts w:ascii="Arial Narrow" w:hAnsi="Arial Narrow" w:cs="Arial"/>
                <w:b/>
                <w:sz w:val="20"/>
                <w:szCs w:val="20"/>
              </w:rPr>
              <w:t>Condition:</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strike/>
                <w:sz w:val="20"/>
              </w:rPr>
            </w:pPr>
            <w:r w:rsidRPr="005B7CCA">
              <w:rPr>
                <w:rFonts w:ascii="Arial Narrow" w:hAnsi="Arial Narrow"/>
                <w:strike/>
                <w:sz w:val="20"/>
              </w:rPr>
              <w:t xml:space="preserve">Anovulatory infertility </w:t>
            </w:r>
          </w:p>
          <w:p w:rsidR="000474B0" w:rsidRDefault="000474B0" w:rsidP="001A4DB3">
            <w:pPr>
              <w:rPr>
                <w:rFonts w:ascii="Arial Narrow" w:hAnsi="Arial Narrow"/>
                <w:strike/>
                <w:sz w:val="20"/>
              </w:rPr>
            </w:pPr>
            <w:r w:rsidRPr="005B7CCA">
              <w:rPr>
                <w:rFonts w:ascii="Arial Narrow" w:hAnsi="Arial Narrow"/>
                <w:strike/>
                <w:sz w:val="20"/>
              </w:rPr>
              <w:t>Hypogonadotrophic hypogonadism</w:t>
            </w:r>
          </w:p>
          <w:p w:rsidR="000474B0" w:rsidRPr="00CB6C65" w:rsidRDefault="000474B0" w:rsidP="001A4DB3">
            <w:pPr>
              <w:rPr>
                <w:rFonts w:ascii="Arial Narrow" w:hAnsi="Arial Narrow"/>
                <w:i/>
                <w:sz w:val="20"/>
              </w:rPr>
            </w:pPr>
            <w:r w:rsidRPr="00CB6C65">
              <w:rPr>
                <w:rFonts w:ascii="Arial Narrow" w:hAnsi="Arial Narrow"/>
                <w:i/>
                <w:sz w:val="20"/>
              </w:rPr>
              <w:t>Infertility</w:t>
            </w:r>
          </w:p>
        </w:tc>
      </w:tr>
      <w:tr w:rsidR="000474B0"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cs="Arial"/>
                <w:b/>
                <w:sz w:val="20"/>
                <w:szCs w:val="20"/>
              </w:rPr>
            </w:pPr>
            <w:r w:rsidRPr="005B7CCA">
              <w:rPr>
                <w:rFonts w:ascii="Arial Narrow" w:hAnsi="Arial Narrow" w:cs="Arial"/>
                <w:b/>
                <w:sz w:val="20"/>
                <w:szCs w:val="20"/>
              </w:rPr>
              <w:t>PBS Indication:</w:t>
            </w:r>
          </w:p>
        </w:tc>
        <w:tc>
          <w:tcPr>
            <w:tcW w:w="6412" w:type="dxa"/>
            <w:gridSpan w:val="6"/>
            <w:tcBorders>
              <w:top w:val="single" w:sz="4" w:space="0" w:color="auto"/>
              <w:left w:val="single" w:sz="4" w:space="0" w:color="auto"/>
              <w:bottom w:val="single" w:sz="4" w:space="0" w:color="auto"/>
              <w:right w:val="single" w:sz="4" w:space="0" w:color="auto"/>
            </w:tcBorders>
          </w:tcPr>
          <w:p w:rsidR="000474B0" w:rsidRDefault="000474B0" w:rsidP="001A4DB3">
            <w:pPr>
              <w:rPr>
                <w:rFonts w:ascii="Arial Narrow" w:hAnsi="Arial Narrow"/>
                <w:strike/>
                <w:sz w:val="20"/>
              </w:rPr>
            </w:pPr>
            <w:r w:rsidRPr="00CB6C65">
              <w:rPr>
                <w:rFonts w:ascii="Arial Narrow" w:hAnsi="Arial Narrow"/>
                <w:strike/>
                <w:sz w:val="20"/>
              </w:rPr>
              <w:t>Bemfola is indicated with concomitant human chorionic gonadotrophin (hCG) therapy for the stimulation of spermatogenesis in gonadotrophin-deficient men in whom hCG alone is ineffective</w:t>
            </w:r>
          </w:p>
          <w:p w:rsidR="000474B0" w:rsidRPr="00CB6C65" w:rsidRDefault="000474B0" w:rsidP="001A4DB3">
            <w:pPr>
              <w:rPr>
                <w:rFonts w:ascii="Arial Narrow" w:hAnsi="Arial Narrow"/>
                <w:i/>
                <w:sz w:val="20"/>
              </w:rPr>
            </w:pPr>
            <w:r w:rsidRPr="00CB6C65">
              <w:rPr>
                <w:rFonts w:ascii="Arial Narrow" w:hAnsi="Arial Narrow"/>
                <w:i/>
                <w:sz w:val="20"/>
              </w:rPr>
              <w:t>Infertility</w:t>
            </w:r>
          </w:p>
        </w:tc>
      </w:tr>
      <w:tr w:rsidR="000474B0"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cs="Arial"/>
                <w:b/>
                <w:sz w:val="20"/>
                <w:szCs w:val="20"/>
              </w:rPr>
            </w:pPr>
            <w:r>
              <w:rPr>
                <w:rFonts w:ascii="Arial Narrow" w:hAnsi="Arial Narrow" w:cs="Arial"/>
                <w:b/>
                <w:sz w:val="20"/>
                <w:szCs w:val="20"/>
              </w:rPr>
              <w:t>Clinical criteria</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CB6C65" w:rsidRDefault="000474B0" w:rsidP="001A4DB3">
            <w:pPr>
              <w:rPr>
                <w:rFonts w:ascii="Arial Narrow" w:hAnsi="Arial Narrow"/>
                <w:i/>
                <w:sz w:val="20"/>
              </w:rPr>
            </w:pPr>
            <w:r w:rsidRPr="00CB6C65">
              <w:rPr>
                <w:rFonts w:ascii="Arial Narrow" w:hAnsi="Arial Narrow"/>
                <w:i/>
                <w:sz w:val="20"/>
              </w:rPr>
              <w:t>The condition must be due to hypogonadotrophic hypogonadism,</w:t>
            </w:r>
          </w:p>
          <w:p w:rsidR="000474B0" w:rsidRPr="00CB6C65" w:rsidRDefault="000474B0" w:rsidP="001A4DB3">
            <w:pPr>
              <w:rPr>
                <w:rFonts w:ascii="Arial Narrow" w:hAnsi="Arial Narrow"/>
                <w:i/>
                <w:sz w:val="20"/>
              </w:rPr>
            </w:pPr>
            <w:r w:rsidRPr="00CB6C65">
              <w:rPr>
                <w:rFonts w:ascii="Arial Narrow" w:hAnsi="Arial Narrow"/>
                <w:i/>
                <w:sz w:val="20"/>
              </w:rPr>
              <w:t>AND</w:t>
            </w:r>
          </w:p>
          <w:p w:rsidR="000474B0" w:rsidRPr="00CB6C65" w:rsidRDefault="000474B0" w:rsidP="001A4DB3">
            <w:pPr>
              <w:rPr>
                <w:rFonts w:ascii="Arial Narrow" w:hAnsi="Arial Narrow"/>
                <w:i/>
                <w:sz w:val="20"/>
              </w:rPr>
            </w:pPr>
            <w:r w:rsidRPr="00CB6C65">
              <w:rPr>
                <w:rFonts w:ascii="Arial Narrow" w:hAnsi="Arial Narrow"/>
                <w:i/>
                <w:sz w:val="20"/>
              </w:rPr>
              <w:t>The treatment must be following failure of 6 months' treatment with human chorionic gonadotrophin to achieve adequate spermatogenesis,</w:t>
            </w:r>
          </w:p>
          <w:p w:rsidR="000474B0" w:rsidRPr="00CB6C65" w:rsidRDefault="000474B0" w:rsidP="001A4DB3">
            <w:pPr>
              <w:rPr>
                <w:rFonts w:ascii="Arial Narrow" w:hAnsi="Arial Narrow"/>
                <w:i/>
                <w:sz w:val="20"/>
              </w:rPr>
            </w:pPr>
            <w:r w:rsidRPr="00CB6C65">
              <w:rPr>
                <w:rFonts w:ascii="Arial Narrow" w:hAnsi="Arial Narrow"/>
                <w:i/>
                <w:sz w:val="20"/>
              </w:rPr>
              <w:t>AND</w:t>
            </w:r>
          </w:p>
          <w:p w:rsidR="000474B0" w:rsidRPr="005B7CCA" w:rsidRDefault="000474B0" w:rsidP="001A4DB3">
            <w:pPr>
              <w:rPr>
                <w:rFonts w:ascii="Arial Narrow" w:hAnsi="Arial Narrow"/>
                <w:sz w:val="20"/>
              </w:rPr>
            </w:pPr>
            <w:r w:rsidRPr="00CB6C65">
              <w:rPr>
                <w:rFonts w:ascii="Arial Narrow" w:hAnsi="Arial Narrow"/>
                <w:i/>
                <w:sz w:val="20"/>
              </w:rPr>
              <w:t>The treatment must be administered with human chorionic gonadotrophin.</w:t>
            </w:r>
          </w:p>
        </w:tc>
      </w:tr>
      <w:tr w:rsidR="000474B0"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cs="Arial"/>
                <w:b/>
                <w:sz w:val="20"/>
                <w:szCs w:val="20"/>
              </w:rPr>
            </w:pPr>
            <w:r>
              <w:rPr>
                <w:rFonts w:ascii="Arial Narrow" w:hAnsi="Arial Narrow" w:cs="Arial"/>
                <w:b/>
                <w:sz w:val="20"/>
                <w:szCs w:val="20"/>
              </w:rPr>
              <w:t>Population criteria</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CB6C65" w:rsidRDefault="000474B0" w:rsidP="001A4DB3">
            <w:pPr>
              <w:rPr>
                <w:rFonts w:ascii="Arial Narrow" w:hAnsi="Arial Narrow"/>
                <w:i/>
                <w:sz w:val="20"/>
              </w:rPr>
            </w:pPr>
            <w:r w:rsidRPr="00CB6C65">
              <w:rPr>
                <w:rFonts w:ascii="Arial Narrow" w:hAnsi="Arial Narrow"/>
                <w:i/>
                <w:sz w:val="20"/>
              </w:rPr>
              <w:t>Patient must be male.</w:t>
            </w:r>
          </w:p>
        </w:tc>
      </w:tr>
      <w:tr w:rsidR="000474B0" w:rsidRPr="005C3612"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cs="Arial"/>
                <w:b/>
                <w:sz w:val="20"/>
                <w:szCs w:val="20"/>
              </w:rPr>
            </w:pPr>
            <w:r w:rsidRPr="005B7CCA">
              <w:rPr>
                <w:rFonts w:ascii="Arial Narrow" w:hAnsi="Arial Narrow" w:cs="Arial"/>
                <w:b/>
                <w:sz w:val="20"/>
                <w:szCs w:val="20"/>
              </w:rPr>
              <w:t>Restriction Level / Method:</w:t>
            </w:r>
          </w:p>
          <w:p w:rsidR="000474B0" w:rsidRPr="005B7CCA" w:rsidRDefault="000474B0" w:rsidP="001A4DB3">
            <w:pPr>
              <w:rPr>
                <w:rFonts w:ascii="Arial Narrow" w:hAnsi="Arial Narrow" w:cs="Arial"/>
                <w:b/>
                <w:sz w:val="20"/>
                <w:szCs w:val="20"/>
              </w:rPr>
            </w:pPr>
          </w:p>
        </w:tc>
        <w:tc>
          <w:tcPr>
            <w:tcW w:w="6412" w:type="dxa"/>
            <w:gridSpan w:val="6"/>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sz w:val="20"/>
              </w:rPr>
            </w:pPr>
            <w:r w:rsidRPr="005B7CCA">
              <w:rPr>
                <w:rFonts w:ascii="Arial Narrow" w:hAnsi="Arial Narrow"/>
                <w:sz w:val="20"/>
              </w:rPr>
              <w:fldChar w:fldCharType="begin">
                <w:ffData>
                  <w:name w:val="Check5"/>
                  <w:enabled/>
                  <w:calcOnExit w:val="0"/>
                  <w:checkBox>
                    <w:sizeAuto/>
                    <w:default w:val="1"/>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Restricted benefit</w:t>
            </w:r>
          </w:p>
          <w:p w:rsidR="000474B0" w:rsidRPr="005B7CCA" w:rsidRDefault="000474B0" w:rsidP="001A4DB3">
            <w:pPr>
              <w:rPr>
                <w:rFonts w:ascii="Arial Narrow" w:hAnsi="Arial Narrow"/>
                <w:sz w:val="20"/>
              </w:rPr>
            </w:pPr>
            <w:r w:rsidRPr="005B7CCA">
              <w:rPr>
                <w:rFonts w:ascii="Arial Narrow" w:hAnsi="Arial Narrow"/>
                <w:sz w:val="20"/>
              </w:rPr>
              <w:fldChar w:fldCharType="begin">
                <w:ffData>
                  <w:name w:val=""/>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In Writing</w:t>
            </w:r>
          </w:p>
          <w:p w:rsidR="000474B0" w:rsidRPr="005B7CCA" w:rsidRDefault="000474B0" w:rsidP="001A4DB3">
            <w:pPr>
              <w:rPr>
                <w:rFonts w:ascii="Arial Narrow" w:hAnsi="Arial Narrow"/>
                <w:sz w:val="20"/>
              </w:rPr>
            </w:pPr>
            <w:r w:rsidRPr="005B7CCA">
              <w:rPr>
                <w:rFonts w:ascii="Arial Narrow" w:hAnsi="Arial Narrow"/>
                <w:sz w:val="20"/>
              </w:rPr>
              <w:fldChar w:fldCharType="begin">
                <w:ffData>
                  <w:name w:val="Check3"/>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Telephone</w:t>
            </w:r>
          </w:p>
          <w:p w:rsidR="000474B0" w:rsidRPr="005B7CCA" w:rsidRDefault="000474B0" w:rsidP="001A4DB3">
            <w:pPr>
              <w:rPr>
                <w:rFonts w:ascii="Arial Narrow" w:hAnsi="Arial Narrow"/>
                <w:sz w:val="20"/>
              </w:rPr>
            </w:pPr>
            <w:r w:rsidRPr="005B7CCA">
              <w:rPr>
                <w:rFonts w:ascii="Arial Narrow" w:hAnsi="Arial Narrow"/>
                <w:sz w:val="20"/>
              </w:rPr>
              <w:fldChar w:fldCharType="begin">
                <w:ffData>
                  <w:name w:val=""/>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Emergency</w:t>
            </w:r>
          </w:p>
          <w:p w:rsidR="000474B0" w:rsidRPr="005B7CCA" w:rsidRDefault="000474B0" w:rsidP="001A4DB3">
            <w:pPr>
              <w:rPr>
                <w:rFonts w:ascii="Arial Narrow" w:hAnsi="Arial Narrow"/>
                <w:sz w:val="20"/>
              </w:rPr>
            </w:pPr>
            <w:r w:rsidRPr="005B7CCA">
              <w:rPr>
                <w:rFonts w:ascii="Arial Narrow" w:hAnsi="Arial Narrow"/>
                <w:sz w:val="20"/>
              </w:rPr>
              <w:fldChar w:fldCharType="begin">
                <w:ffData>
                  <w:name w:val="Check5"/>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Electronic</w:t>
            </w:r>
          </w:p>
          <w:p w:rsidR="000474B0" w:rsidRPr="005B7CCA" w:rsidRDefault="000474B0" w:rsidP="001A4DB3">
            <w:pPr>
              <w:rPr>
                <w:rFonts w:ascii="Arial Narrow" w:hAnsi="Arial Narrow"/>
                <w:sz w:val="20"/>
              </w:rPr>
            </w:pPr>
            <w:r w:rsidRPr="005B7CCA">
              <w:rPr>
                <w:rFonts w:ascii="Arial Narrow" w:hAnsi="Arial Narrow"/>
                <w:sz w:val="20"/>
              </w:rPr>
              <w:fldChar w:fldCharType="begin">
                <w:ffData>
                  <w:name w:val="Check1"/>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Streamlined</w:t>
            </w:r>
          </w:p>
        </w:tc>
      </w:tr>
      <w:tr w:rsidR="000474B0"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cs="Arial"/>
                <w:b/>
                <w:sz w:val="20"/>
                <w:szCs w:val="20"/>
              </w:rPr>
            </w:pPr>
            <w:r w:rsidRPr="005B7CCA">
              <w:rPr>
                <w:rFonts w:ascii="Arial Narrow" w:hAnsi="Arial Narrow" w:cs="Arial"/>
                <w:b/>
                <w:sz w:val="20"/>
                <w:szCs w:val="20"/>
              </w:rPr>
              <w:t>Administrative Advice</w:t>
            </w:r>
          </w:p>
        </w:tc>
        <w:tc>
          <w:tcPr>
            <w:tcW w:w="6412" w:type="dxa"/>
            <w:gridSpan w:val="6"/>
            <w:tcBorders>
              <w:top w:val="single" w:sz="4" w:space="0" w:color="auto"/>
              <w:left w:val="single" w:sz="4" w:space="0" w:color="auto"/>
              <w:bottom w:val="single" w:sz="4" w:space="0" w:color="auto"/>
              <w:right w:val="single" w:sz="4" w:space="0" w:color="auto"/>
            </w:tcBorders>
          </w:tcPr>
          <w:p w:rsidR="000474B0" w:rsidRPr="005B7CCA" w:rsidRDefault="000474B0" w:rsidP="001A4DB3">
            <w:pPr>
              <w:rPr>
                <w:rFonts w:ascii="Arial Narrow" w:hAnsi="Arial Narrow"/>
                <w:b/>
                <w:sz w:val="20"/>
                <w:u w:val="single"/>
              </w:rPr>
            </w:pPr>
            <w:r w:rsidRPr="005B7CCA">
              <w:rPr>
                <w:rFonts w:ascii="Arial Narrow" w:hAnsi="Arial Narrow"/>
                <w:b/>
                <w:sz w:val="20"/>
                <w:u w:val="single"/>
              </w:rPr>
              <w:t>NOTE:</w:t>
            </w:r>
          </w:p>
          <w:p w:rsidR="000474B0" w:rsidRPr="005B7CCA" w:rsidRDefault="000474B0" w:rsidP="001A4DB3">
            <w:pPr>
              <w:rPr>
                <w:rFonts w:ascii="Arial Narrow" w:hAnsi="Arial Narrow"/>
                <w:sz w:val="20"/>
              </w:rPr>
            </w:pPr>
            <w:r w:rsidRPr="005B7CCA">
              <w:rPr>
                <w:rFonts w:ascii="Arial Narrow" w:hAnsi="Arial Narrow"/>
                <w:sz w:val="20"/>
              </w:rPr>
              <w:t>Except in cases of hypopituitarism or primary amenorrhoea, the patient should have been adequately treated with clomiphene citrate and/or gonadorelin and failed to have conceived.</w:t>
            </w:r>
          </w:p>
          <w:p w:rsidR="000474B0" w:rsidRPr="005B7CCA" w:rsidRDefault="000474B0" w:rsidP="001A4DB3">
            <w:pPr>
              <w:rPr>
                <w:rFonts w:ascii="Arial Narrow" w:hAnsi="Arial Narrow"/>
                <w:sz w:val="20"/>
              </w:rPr>
            </w:pPr>
            <w:r w:rsidRPr="005B7CCA">
              <w:rPr>
                <w:rFonts w:ascii="Arial Narrow" w:hAnsi="Arial Narrow"/>
                <w:sz w:val="20"/>
              </w:rPr>
              <w:t>Women who have had apparent ovulation induced by other agents and have failed to conceive should have laparoscopic evidence that there is no other impediment to conception.</w:t>
            </w:r>
          </w:p>
          <w:p w:rsidR="000474B0" w:rsidRPr="005B7CCA" w:rsidRDefault="000474B0" w:rsidP="001A4DB3">
            <w:pPr>
              <w:rPr>
                <w:rFonts w:ascii="Arial Narrow" w:hAnsi="Arial Narrow"/>
                <w:sz w:val="20"/>
              </w:rPr>
            </w:pPr>
            <w:r w:rsidRPr="005B7CCA">
              <w:rPr>
                <w:rFonts w:ascii="Arial Narrow" w:hAnsi="Arial Narrow"/>
                <w:sz w:val="20"/>
              </w:rPr>
              <w:t>Oligomenorrhoea should have been present for at least twelve months or amenorrhoea for at least six months prior to treatment.</w:t>
            </w:r>
          </w:p>
          <w:p w:rsidR="000474B0" w:rsidRPr="005B7CCA" w:rsidRDefault="000474B0" w:rsidP="001A4DB3">
            <w:pPr>
              <w:rPr>
                <w:rFonts w:ascii="Arial Narrow" w:hAnsi="Arial Narrow"/>
                <w:sz w:val="20"/>
              </w:rPr>
            </w:pPr>
            <w:r w:rsidRPr="005B7CCA">
              <w:rPr>
                <w:rFonts w:ascii="Arial Narrow" w:hAnsi="Arial Narrow"/>
                <w:sz w:val="20"/>
              </w:rPr>
              <w:t>Patients with hyperprolactinaemia should have had appropriate surgical or medical treatment prior to treatment.</w:t>
            </w:r>
          </w:p>
        </w:tc>
      </w:tr>
    </w:tbl>
    <w:p w:rsidR="00CB6C65" w:rsidRPr="00CB6C65" w:rsidRDefault="00CB6C65" w:rsidP="00CB6C65">
      <w:pPr>
        <w:pStyle w:val="ListParagraph"/>
        <w:jc w:val="both"/>
        <w:rPr>
          <w:rFonts w:cs="Arial"/>
          <w:szCs w:val="22"/>
        </w:rPr>
      </w:pPr>
    </w:p>
    <w:p w:rsidR="00CB6C65" w:rsidRPr="00CB6C65" w:rsidRDefault="00CB6C65" w:rsidP="00CB6C65">
      <w:pPr>
        <w:pStyle w:val="ListParagraph"/>
        <w:jc w:val="both"/>
        <w:rPr>
          <w:rFonts w:cs="Arial"/>
          <w:szCs w:val="22"/>
        </w:rPr>
      </w:pPr>
    </w:p>
    <w:p w:rsidR="008A5DBD" w:rsidRPr="001D57AE" w:rsidRDefault="009C4703" w:rsidP="009C4703">
      <w:pPr>
        <w:pStyle w:val="ListParagraph"/>
        <w:numPr>
          <w:ilvl w:val="1"/>
          <w:numId w:val="2"/>
        </w:numPr>
        <w:jc w:val="both"/>
        <w:rPr>
          <w:rFonts w:cs="Arial"/>
          <w:snapToGrid w:val="0"/>
          <w:szCs w:val="20"/>
          <w:lang w:eastAsia="en-US"/>
        </w:rPr>
      </w:pPr>
      <w:r w:rsidRPr="001D57AE">
        <w:rPr>
          <w:rFonts w:cs="Arial"/>
          <w:snapToGrid w:val="0"/>
          <w:szCs w:val="20"/>
          <w:lang w:eastAsia="en-US"/>
        </w:rPr>
        <w:t>To be eligible, women receiving Bemfola for controlled ovarian hyperstimul</w:t>
      </w:r>
      <w:r w:rsidR="008B5049">
        <w:rPr>
          <w:rFonts w:cs="Arial"/>
          <w:snapToGrid w:val="0"/>
          <w:szCs w:val="20"/>
          <w:lang w:eastAsia="en-US"/>
        </w:rPr>
        <w:t>ation as part of an ART service</w:t>
      </w:r>
      <w:r w:rsidRPr="001D57AE">
        <w:rPr>
          <w:rFonts w:cs="Arial"/>
          <w:snapToGrid w:val="0"/>
          <w:szCs w:val="20"/>
          <w:lang w:eastAsia="en-US"/>
        </w:rPr>
        <w:t xml:space="preserve"> must be receiving the services described in items 13200, 13201, 13202 or 13203 of the MBS. The description of these MBS items and their fees are summarised in Table 1. Each dose of Bemfola is tailored to the individual patient </w:t>
      </w:r>
      <w:r w:rsidR="00723047" w:rsidRPr="001D57AE">
        <w:rPr>
          <w:rFonts w:cs="Arial"/>
          <w:snapToGrid w:val="0"/>
          <w:szCs w:val="20"/>
          <w:lang w:eastAsia="en-US"/>
        </w:rPr>
        <w:t>according to response. Using the total dose reported in the key trial FIN3001, the cost of Bemfola was estimated to be $</w:t>
      </w:r>
      <w:r w:rsidR="005F52F9">
        <w:rPr>
          <w:rFonts w:cs="Arial"/>
          <w:noProof/>
          <w:snapToGrid w:val="0"/>
          <w:color w:val="000000"/>
          <w:szCs w:val="20"/>
          <w:highlight w:val="black"/>
          <w:lang w:eastAsia="en-US"/>
        </w:rPr>
        <w:t xml:space="preserve">''''''''''''''''' </w:t>
      </w:r>
      <w:r w:rsidR="00723047" w:rsidRPr="001D57AE">
        <w:rPr>
          <w:rFonts w:cs="Arial"/>
          <w:snapToGrid w:val="0"/>
          <w:szCs w:val="20"/>
          <w:lang w:eastAsia="en-US"/>
        </w:rPr>
        <w:t>per cycle per woman undergoing assisted reproduction (excluding any wastage, refer to the “Economic analy</w:t>
      </w:r>
      <w:r w:rsidR="00B30F0F">
        <w:rPr>
          <w:rFonts w:cs="Arial"/>
          <w:snapToGrid w:val="0"/>
          <w:szCs w:val="20"/>
          <w:lang w:eastAsia="en-US"/>
        </w:rPr>
        <w:t>sis” section for calculations).</w:t>
      </w:r>
    </w:p>
    <w:p w:rsidR="008A5DBD" w:rsidRDefault="008A5DBD" w:rsidP="008A5DBD">
      <w:pPr>
        <w:jc w:val="both"/>
        <w:rPr>
          <w:rFonts w:cs="Arial"/>
          <w:snapToGrid w:val="0"/>
          <w:szCs w:val="20"/>
          <w:lang w:eastAsia="en-US"/>
        </w:rPr>
      </w:pPr>
    </w:p>
    <w:p w:rsidR="008A5DBD" w:rsidRPr="003030B8" w:rsidRDefault="008A5DBD" w:rsidP="008A5DBD">
      <w:pPr>
        <w:pStyle w:val="NoSpacing"/>
        <w:ind w:left="709"/>
        <w:rPr>
          <w:rFonts w:ascii="Arial Narrow" w:hAnsi="Arial Narrow"/>
          <w:b/>
          <w:sz w:val="20"/>
        </w:rPr>
      </w:pPr>
      <w:r>
        <w:rPr>
          <w:rFonts w:ascii="Arial Narrow" w:hAnsi="Arial Narrow"/>
          <w:b/>
          <w:sz w:val="20"/>
        </w:rPr>
        <w:t xml:space="preserve">Table 1: MBS items associated with the </w:t>
      </w:r>
      <w:r w:rsidR="00475906">
        <w:rPr>
          <w:rFonts w:ascii="Arial Narrow" w:hAnsi="Arial Narrow"/>
          <w:b/>
          <w:sz w:val="20"/>
        </w:rPr>
        <w:t xml:space="preserve">proposed Section 100 - </w:t>
      </w:r>
      <w:r>
        <w:rPr>
          <w:rFonts w:ascii="Arial Narrow" w:hAnsi="Arial Narrow"/>
          <w:b/>
          <w:sz w:val="20"/>
        </w:rPr>
        <w:t xml:space="preserve">IVF listing of </w:t>
      </w:r>
      <w:r w:rsidRPr="002330FB">
        <w:rPr>
          <w:rFonts w:ascii="Arial Narrow" w:hAnsi="Arial Narrow"/>
          <w:b/>
          <w:sz w:val="20"/>
        </w:rPr>
        <w:t>Bemfola</w:t>
      </w:r>
    </w:p>
    <w:tbl>
      <w:tblPr>
        <w:tblStyle w:val="TableGrid"/>
        <w:tblW w:w="0" w:type="auto"/>
        <w:tblInd w:w="720" w:type="dxa"/>
        <w:tblLook w:val="04A0" w:firstRow="1" w:lastRow="0" w:firstColumn="1" w:lastColumn="0" w:noHBand="0" w:noVBand="1"/>
        <w:tblCaption w:val="Table 1: MBS items associated with the proposed Section 100 - IVF listing of Bemfola"/>
      </w:tblPr>
      <w:tblGrid>
        <w:gridCol w:w="976"/>
        <w:gridCol w:w="5529"/>
        <w:gridCol w:w="1791"/>
      </w:tblGrid>
      <w:tr w:rsidR="008A5DBD" w:rsidTr="00002A96">
        <w:trPr>
          <w:tblHeader/>
        </w:trPr>
        <w:tc>
          <w:tcPr>
            <w:tcW w:w="976" w:type="dxa"/>
          </w:tcPr>
          <w:p w:rsidR="008A5DBD" w:rsidRPr="005C1F33" w:rsidRDefault="008A5DBD" w:rsidP="008A5DBD">
            <w:pPr>
              <w:jc w:val="both"/>
              <w:rPr>
                <w:rFonts w:ascii="Arial Narrow" w:hAnsi="Arial Narrow" w:cs="Arial"/>
                <w:b/>
                <w:snapToGrid w:val="0"/>
                <w:sz w:val="20"/>
                <w:szCs w:val="20"/>
                <w:lang w:eastAsia="en-US"/>
              </w:rPr>
            </w:pPr>
            <w:r w:rsidRPr="005C1F33">
              <w:rPr>
                <w:rFonts w:ascii="Arial Narrow" w:hAnsi="Arial Narrow" w:cs="Arial"/>
                <w:b/>
                <w:snapToGrid w:val="0"/>
                <w:sz w:val="20"/>
                <w:szCs w:val="20"/>
                <w:lang w:eastAsia="en-US"/>
              </w:rPr>
              <w:t xml:space="preserve">Item </w:t>
            </w:r>
          </w:p>
        </w:tc>
        <w:tc>
          <w:tcPr>
            <w:tcW w:w="5529" w:type="dxa"/>
          </w:tcPr>
          <w:p w:rsidR="008A5DBD" w:rsidRPr="005C1F33" w:rsidRDefault="001F31D7" w:rsidP="008A5DBD">
            <w:pPr>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Description</w:t>
            </w:r>
          </w:p>
        </w:tc>
        <w:tc>
          <w:tcPr>
            <w:tcW w:w="1791" w:type="dxa"/>
          </w:tcPr>
          <w:p w:rsidR="008A5DBD" w:rsidRPr="00175B0A" w:rsidRDefault="008A5DBD" w:rsidP="008A5DBD">
            <w:pPr>
              <w:jc w:val="both"/>
              <w:rPr>
                <w:rFonts w:ascii="Arial Narrow" w:hAnsi="Arial Narrow" w:cs="Arial"/>
                <w:b/>
                <w:snapToGrid w:val="0"/>
                <w:sz w:val="20"/>
                <w:szCs w:val="20"/>
                <w:lang w:eastAsia="en-US"/>
              </w:rPr>
            </w:pPr>
            <w:r w:rsidRPr="00175B0A">
              <w:rPr>
                <w:rFonts w:ascii="Arial Narrow" w:hAnsi="Arial Narrow" w:cs="Arial"/>
                <w:b/>
                <w:snapToGrid w:val="0"/>
                <w:sz w:val="20"/>
                <w:szCs w:val="20"/>
                <w:lang w:eastAsia="en-US"/>
              </w:rPr>
              <w:t>MBS fee/benefit</w:t>
            </w:r>
          </w:p>
        </w:tc>
      </w:tr>
      <w:tr w:rsidR="008A5DBD" w:rsidTr="008A5DBD">
        <w:tc>
          <w:tcPr>
            <w:tcW w:w="976"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 xml:space="preserve">13200 </w:t>
            </w:r>
            <w:r w:rsidRPr="005C1F33">
              <w:rPr>
                <w:rFonts w:ascii="Arial Narrow" w:hAnsi="Arial Narrow" w:cs="Arial"/>
                <w:snapToGrid w:val="0"/>
                <w:sz w:val="20"/>
                <w:szCs w:val="20"/>
                <w:lang w:eastAsia="en-US"/>
              </w:rPr>
              <w:tab/>
            </w:r>
          </w:p>
          <w:p w:rsidR="008A5DBD" w:rsidRPr="005C1F33" w:rsidRDefault="008A5DBD" w:rsidP="008A5DBD">
            <w:pPr>
              <w:jc w:val="both"/>
              <w:rPr>
                <w:rFonts w:ascii="Arial Narrow" w:hAnsi="Arial Narrow" w:cs="Arial"/>
                <w:snapToGrid w:val="0"/>
                <w:sz w:val="20"/>
                <w:szCs w:val="20"/>
                <w:lang w:eastAsia="en-US"/>
              </w:rPr>
            </w:pPr>
          </w:p>
        </w:tc>
        <w:tc>
          <w:tcPr>
            <w:tcW w:w="5529"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13201, 13202, 13203, 13206 or 13218 applies, being services rendered during 1 treatment cycle - initial cycle in a single calendar year</w:t>
            </w:r>
          </w:p>
        </w:tc>
        <w:tc>
          <w:tcPr>
            <w:tcW w:w="1791" w:type="dxa"/>
          </w:tcPr>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Fee: $3,110.75 </w:t>
            </w:r>
          </w:p>
          <w:p w:rsidR="008A5DBD" w:rsidRPr="00175B0A" w:rsidRDefault="008A5DBD" w:rsidP="008A5DBD">
            <w:pPr>
              <w:jc w:val="both"/>
              <w:rPr>
                <w:rFonts w:ascii="Arial Narrow" w:hAnsi="Arial Narrow" w:cs="Arial"/>
                <w:snapToGrid w:val="0"/>
                <w:sz w:val="20"/>
                <w:szCs w:val="20"/>
                <w:lang w:eastAsia="en-US"/>
              </w:rPr>
            </w:pP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Benefit: </w:t>
            </w: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75% = $2,333.10</w:t>
            </w:r>
          </w:p>
          <w:p w:rsidR="008A5DBD" w:rsidRPr="00175B0A" w:rsidRDefault="008A5DBD" w:rsidP="008A5DBD">
            <w:pPr>
              <w:jc w:val="both"/>
              <w:rPr>
                <w:rFonts w:cs="Arial"/>
                <w:snapToGrid w:val="0"/>
                <w:szCs w:val="20"/>
                <w:lang w:eastAsia="en-US"/>
              </w:rPr>
            </w:pPr>
            <w:r w:rsidRPr="00175B0A">
              <w:rPr>
                <w:rFonts w:ascii="Arial Narrow" w:hAnsi="Arial Narrow" w:cs="Arial"/>
                <w:snapToGrid w:val="0"/>
                <w:sz w:val="20"/>
                <w:szCs w:val="20"/>
                <w:lang w:eastAsia="en-US"/>
              </w:rPr>
              <w:t>85% = $3,031.25</w:t>
            </w:r>
          </w:p>
        </w:tc>
      </w:tr>
      <w:tr w:rsidR="008A5DBD" w:rsidTr="008A5DBD">
        <w:tc>
          <w:tcPr>
            <w:tcW w:w="976"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 xml:space="preserve">13201 </w:t>
            </w:r>
            <w:r w:rsidRPr="005C1F33">
              <w:rPr>
                <w:rFonts w:ascii="Arial Narrow" w:hAnsi="Arial Narrow" w:cs="Arial"/>
                <w:snapToGrid w:val="0"/>
                <w:sz w:val="20"/>
                <w:szCs w:val="20"/>
                <w:lang w:eastAsia="en-US"/>
              </w:rPr>
              <w:tab/>
            </w:r>
          </w:p>
          <w:p w:rsidR="008A5DBD" w:rsidRPr="005C1F33" w:rsidRDefault="008A5DBD" w:rsidP="008A5DBD">
            <w:pPr>
              <w:jc w:val="both"/>
              <w:rPr>
                <w:rFonts w:ascii="Arial Narrow" w:hAnsi="Arial Narrow" w:cs="Arial"/>
                <w:snapToGrid w:val="0"/>
                <w:sz w:val="20"/>
                <w:szCs w:val="20"/>
                <w:lang w:eastAsia="en-US"/>
              </w:rPr>
            </w:pPr>
          </w:p>
        </w:tc>
        <w:tc>
          <w:tcPr>
            <w:tcW w:w="5529"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13200, 13202, 13203, 13206 or 13218 applies, being services rendered during 1 treatment cycle - each cycle after the 1st in a single calendar year</w:t>
            </w:r>
          </w:p>
        </w:tc>
        <w:tc>
          <w:tcPr>
            <w:tcW w:w="1791" w:type="dxa"/>
          </w:tcPr>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Fee: $2,909.75 </w:t>
            </w:r>
          </w:p>
          <w:p w:rsidR="008A5DBD" w:rsidRPr="00175B0A" w:rsidRDefault="008A5DBD" w:rsidP="008A5DBD">
            <w:pPr>
              <w:jc w:val="both"/>
              <w:rPr>
                <w:rFonts w:ascii="Arial Narrow" w:hAnsi="Arial Narrow" w:cs="Arial"/>
                <w:snapToGrid w:val="0"/>
                <w:sz w:val="20"/>
                <w:szCs w:val="20"/>
                <w:lang w:eastAsia="en-US"/>
              </w:rPr>
            </w:pP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Benefit: </w:t>
            </w: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75% = $2,182.35 </w:t>
            </w:r>
          </w:p>
          <w:p w:rsidR="008A5DBD" w:rsidRPr="00175B0A" w:rsidRDefault="008A5DBD" w:rsidP="008A5DBD">
            <w:pPr>
              <w:jc w:val="both"/>
              <w:rPr>
                <w:rFonts w:cs="Arial"/>
                <w:snapToGrid w:val="0"/>
                <w:szCs w:val="20"/>
                <w:lang w:eastAsia="en-US"/>
              </w:rPr>
            </w:pPr>
            <w:r w:rsidRPr="00175B0A">
              <w:rPr>
                <w:rFonts w:ascii="Arial Narrow" w:hAnsi="Arial Narrow" w:cs="Arial"/>
                <w:snapToGrid w:val="0"/>
                <w:sz w:val="20"/>
                <w:szCs w:val="20"/>
                <w:lang w:eastAsia="en-US"/>
              </w:rPr>
              <w:t>85% = $2,830.25</w:t>
            </w:r>
          </w:p>
        </w:tc>
      </w:tr>
      <w:tr w:rsidR="008A5DBD" w:rsidTr="008A5DBD">
        <w:tc>
          <w:tcPr>
            <w:tcW w:w="976"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 xml:space="preserve">13202 </w:t>
            </w:r>
            <w:r w:rsidRPr="005C1F33">
              <w:rPr>
                <w:rFonts w:ascii="Arial Narrow" w:hAnsi="Arial Narrow" w:cs="Arial"/>
                <w:snapToGrid w:val="0"/>
                <w:sz w:val="20"/>
                <w:szCs w:val="20"/>
                <w:lang w:eastAsia="en-US"/>
              </w:rPr>
              <w:tab/>
            </w:r>
          </w:p>
          <w:p w:rsidR="008A5DBD" w:rsidRPr="005C1F33" w:rsidRDefault="008A5DBD" w:rsidP="008A5DBD">
            <w:pPr>
              <w:jc w:val="both"/>
              <w:rPr>
                <w:rFonts w:ascii="Arial Narrow" w:hAnsi="Arial Narrow" w:cs="Arial"/>
                <w:snapToGrid w:val="0"/>
                <w:sz w:val="20"/>
                <w:szCs w:val="20"/>
                <w:lang w:eastAsia="en-US"/>
              </w:rPr>
            </w:pPr>
          </w:p>
        </w:tc>
        <w:tc>
          <w:tcPr>
            <w:tcW w:w="5529"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Assisted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 13200, 13201, 13203, 13206 or 13218 applies, being services rendered during 1 treatment cycle</w:t>
            </w:r>
          </w:p>
        </w:tc>
        <w:tc>
          <w:tcPr>
            <w:tcW w:w="1791" w:type="dxa"/>
          </w:tcPr>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Fee: $465.55</w:t>
            </w:r>
          </w:p>
          <w:p w:rsidR="008A5DBD" w:rsidRPr="00175B0A" w:rsidRDefault="008A5DBD" w:rsidP="008A5DBD">
            <w:pPr>
              <w:jc w:val="both"/>
              <w:rPr>
                <w:rFonts w:ascii="Arial Narrow" w:hAnsi="Arial Narrow" w:cs="Arial"/>
                <w:snapToGrid w:val="0"/>
                <w:sz w:val="20"/>
                <w:szCs w:val="20"/>
                <w:lang w:eastAsia="en-US"/>
              </w:rPr>
            </w:pP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Benefit: </w:t>
            </w: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75% = $349.20 </w:t>
            </w:r>
          </w:p>
          <w:p w:rsidR="008A5DBD" w:rsidRPr="00175B0A" w:rsidRDefault="008A5DBD" w:rsidP="008A5DBD">
            <w:pPr>
              <w:jc w:val="both"/>
              <w:rPr>
                <w:rFonts w:cs="Arial"/>
                <w:snapToGrid w:val="0"/>
                <w:szCs w:val="20"/>
                <w:lang w:eastAsia="en-US"/>
              </w:rPr>
            </w:pPr>
            <w:r w:rsidRPr="00175B0A">
              <w:rPr>
                <w:rFonts w:ascii="Arial Narrow" w:hAnsi="Arial Narrow" w:cs="Arial"/>
                <w:snapToGrid w:val="0"/>
                <w:sz w:val="20"/>
                <w:szCs w:val="20"/>
                <w:lang w:eastAsia="en-US"/>
              </w:rPr>
              <w:t>85% = $395.75</w:t>
            </w:r>
          </w:p>
        </w:tc>
      </w:tr>
      <w:tr w:rsidR="008A5DBD" w:rsidTr="008A5DBD">
        <w:tc>
          <w:tcPr>
            <w:tcW w:w="976"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 xml:space="preserve">13203 </w:t>
            </w:r>
            <w:r w:rsidRPr="005C1F33">
              <w:rPr>
                <w:rFonts w:ascii="Arial Narrow" w:hAnsi="Arial Narrow" w:cs="Arial"/>
                <w:snapToGrid w:val="0"/>
                <w:sz w:val="20"/>
                <w:szCs w:val="20"/>
                <w:lang w:eastAsia="en-US"/>
              </w:rPr>
              <w:tab/>
            </w:r>
          </w:p>
        </w:tc>
        <w:tc>
          <w:tcPr>
            <w:tcW w:w="5529" w:type="dxa"/>
          </w:tcPr>
          <w:p w:rsidR="008A5DBD" w:rsidRPr="005C1F33" w:rsidRDefault="008A5DBD" w:rsidP="008A5DBD">
            <w:pPr>
              <w:jc w:val="both"/>
              <w:rPr>
                <w:rFonts w:ascii="Arial Narrow" w:hAnsi="Arial Narrow" w:cs="Arial"/>
                <w:snapToGrid w:val="0"/>
                <w:sz w:val="20"/>
                <w:szCs w:val="20"/>
                <w:lang w:eastAsia="en-US"/>
              </w:rPr>
            </w:pPr>
            <w:r w:rsidRPr="005C1F33">
              <w:rPr>
                <w:rFonts w:ascii="Arial Narrow" w:hAnsi="Arial Narrow" w:cs="Arial"/>
                <w:snapToGrid w:val="0"/>
                <w:sz w:val="20"/>
                <w:szCs w:val="20"/>
                <w:lang w:eastAsia="en-US"/>
              </w:rPr>
              <w:t>Ovulation monitoring services for artificial insemination, including quantitative estimation of hormones and ultrasound examinations, being services rendered during 1 treatment cycle but excluding a service to which item 13200, 13201, 13202, 13206, 13212, 13215 or 13218 applies</w:t>
            </w:r>
          </w:p>
        </w:tc>
        <w:tc>
          <w:tcPr>
            <w:tcW w:w="1791" w:type="dxa"/>
          </w:tcPr>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Fee: $486.75 </w:t>
            </w:r>
          </w:p>
          <w:p w:rsidR="008A5DBD" w:rsidRPr="00175B0A" w:rsidRDefault="008A5DBD" w:rsidP="008A5DBD">
            <w:pPr>
              <w:jc w:val="both"/>
              <w:rPr>
                <w:rFonts w:ascii="Arial Narrow" w:hAnsi="Arial Narrow" w:cs="Arial"/>
                <w:snapToGrid w:val="0"/>
                <w:sz w:val="20"/>
                <w:szCs w:val="20"/>
                <w:lang w:eastAsia="en-US"/>
              </w:rPr>
            </w:pP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 xml:space="preserve">Benefit: </w:t>
            </w: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75% = $365.10</w:t>
            </w:r>
          </w:p>
          <w:p w:rsidR="008A5DBD" w:rsidRPr="00175B0A" w:rsidRDefault="008A5DBD" w:rsidP="008A5DBD">
            <w:pPr>
              <w:jc w:val="both"/>
              <w:rPr>
                <w:rFonts w:ascii="Arial Narrow" w:hAnsi="Arial Narrow" w:cs="Arial"/>
                <w:snapToGrid w:val="0"/>
                <w:sz w:val="20"/>
                <w:szCs w:val="20"/>
                <w:lang w:eastAsia="en-US"/>
              </w:rPr>
            </w:pPr>
            <w:r w:rsidRPr="00175B0A">
              <w:rPr>
                <w:rFonts w:ascii="Arial Narrow" w:hAnsi="Arial Narrow" w:cs="Arial"/>
                <w:snapToGrid w:val="0"/>
                <w:sz w:val="20"/>
                <w:szCs w:val="20"/>
                <w:lang w:eastAsia="en-US"/>
              </w:rPr>
              <w:t>85% = $413.75</w:t>
            </w:r>
          </w:p>
        </w:tc>
      </w:tr>
    </w:tbl>
    <w:p w:rsidR="005B7CCA" w:rsidRPr="00CB6C65" w:rsidRDefault="005B7CCA" w:rsidP="005B02A9">
      <w:pPr>
        <w:jc w:val="both"/>
        <w:rPr>
          <w:szCs w:val="22"/>
        </w:rPr>
      </w:pPr>
    </w:p>
    <w:p w:rsidR="001D57AE" w:rsidRDefault="001D57AE" w:rsidP="00F9629A">
      <w:pPr>
        <w:jc w:val="both"/>
        <w:rPr>
          <w:rFonts w:cs="Arial"/>
          <w:szCs w:val="22"/>
        </w:rPr>
      </w:pPr>
    </w:p>
    <w:p w:rsidR="00CE10C4" w:rsidRPr="000E3CC0" w:rsidRDefault="00CE10C4" w:rsidP="00A62E6C">
      <w:pPr>
        <w:pStyle w:val="Heading1"/>
      </w:pPr>
      <w:r w:rsidRPr="000E3CC0">
        <w:t>Background</w:t>
      </w:r>
    </w:p>
    <w:p w:rsidR="006A12A5" w:rsidRPr="000E3CC0" w:rsidRDefault="006A12A5" w:rsidP="00882085">
      <w:pPr>
        <w:jc w:val="both"/>
        <w:rPr>
          <w:szCs w:val="22"/>
        </w:rPr>
      </w:pPr>
    </w:p>
    <w:p w:rsidR="009028BA" w:rsidRPr="000E3CC0" w:rsidRDefault="009028BA" w:rsidP="00A650B9">
      <w:pPr>
        <w:pStyle w:val="ListParagraph"/>
        <w:numPr>
          <w:ilvl w:val="1"/>
          <w:numId w:val="2"/>
        </w:numPr>
        <w:jc w:val="both"/>
        <w:rPr>
          <w:szCs w:val="22"/>
        </w:rPr>
      </w:pPr>
      <w:r w:rsidRPr="000E3CC0">
        <w:rPr>
          <w:szCs w:val="22"/>
        </w:rPr>
        <w:t>Bemfola was approved for registration by the TGA as a biosimilar medicine for the following indications:</w:t>
      </w:r>
    </w:p>
    <w:p w:rsidR="00A04DE5" w:rsidRPr="000E3CC0" w:rsidRDefault="00A04DE5" w:rsidP="00A04DE5">
      <w:pPr>
        <w:pStyle w:val="ListParagraph"/>
        <w:numPr>
          <w:ilvl w:val="1"/>
          <w:numId w:val="6"/>
        </w:numPr>
        <w:ind w:left="1276" w:hanging="425"/>
        <w:jc w:val="both"/>
        <w:rPr>
          <w:szCs w:val="22"/>
        </w:rPr>
      </w:pPr>
      <w:r w:rsidRPr="000E3CC0">
        <w:rPr>
          <w:szCs w:val="22"/>
        </w:rPr>
        <w:t>For controlled ovarian hyperstimu</w:t>
      </w:r>
      <w:r w:rsidR="00252E97">
        <w:rPr>
          <w:szCs w:val="22"/>
        </w:rPr>
        <w:t>lation in women undergoing ART;</w:t>
      </w:r>
    </w:p>
    <w:p w:rsidR="009028BA" w:rsidRPr="000E3CC0" w:rsidRDefault="00AB0005" w:rsidP="00A650B9">
      <w:pPr>
        <w:pStyle w:val="ListParagraph"/>
        <w:numPr>
          <w:ilvl w:val="1"/>
          <w:numId w:val="6"/>
        </w:numPr>
        <w:ind w:left="1276" w:hanging="425"/>
        <w:jc w:val="both"/>
        <w:rPr>
          <w:szCs w:val="22"/>
        </w:rPr>
      </w:pPr>
      <w:r w:rsidRPr="000E3CC0">
        <w:rPr>
          <w:szCs w:val="22"/>
        </w:rPr>
        <w:t>For</w:t>
      </w:r>
      <w:r w:rsidR="009028BA" w:rsidRPr="000E3CC0">
        <w:rPr>
          <w:szCs w:val="22"/>
        </w:rPr>
        <w:t xml:space="preserve"> </w:t>
      </w:r>
      <w:r w:rsidR="00A04DE5" w:rsidRPr="000E3CC0">
        <w:rPr>
          <w:szCs w:val="22"/>
        </w:rPr>
        <w:t xml:space="preserve">the </w:t>
      </w:r>
      <w:r w:rsidR="009028BA" w:rsidRPr="000E3CC0">
        <w:rPr>
          <w:szCs w:val="22"/>
        </w:rPr>
        <w:t>treatment of anovulatory infertility in women who have been unresponsive to clomiphene citrate or where clomiph</w:t>
      </w:r>
      <w:r w:rsidR="00252E97">
        <w:rPr>
          <w:szCs w:val="22"/>
        </w:rPr>
        <w:t>ene citrate is contraindicated;</w:t>
      </w:r>
    </w:p>
    <w:p w:rsidR="004C1EE2" w:rsidRPr="000E3CC0" w:rsidRDefault="009028BA" w:rsidP="00A04DE5">
      <w:pPr>
        <w:pStyle w:val="ListParagraph"/>
        <w:numPr>
          <w:ilvl w:val="1"/>
          <w:numId w:val="6"/>
        </w:numPr>
        <w:ind w:left="1276" w:hanging="425"/>
        <w:jc w:val="both"/>
        <w:rPr>
          <w:szCs w:val="22"/>
        </w:rPr>
      </w:pPr>
      <w:r w:rsidRPr="000E3CC0">
        <w:rPr>
          <w:szCs w:val="22"/>
        </w:rPr>
        <w:t xml:space="preserve">In </w:t>
      </w:r>
      <w:r w:rsidR="00A04DE5" w:rsidRPr="000E3CC0">
        <w:rPr>
          <w:szCs w:val="22"/>
        </w:rPr>
        <w:t xml:space="preserve">combination with </w:t>
      </w:r>
      <w:r w:rsidRPr="000E3CC0">
        <w:rPr>
          <w:szCs w:val="22"/>
        </w:rPr>
        <w:t xml:space="preserve">a </w:t>
      </w:r>
      <w:r w:rsidR="00A04DE5" w:rsidRPr="000E3CC0">
        <w:rPr>
          <w:szCs w:val="22"/>
        </w:rPr>
        <w:t>luteinising hormone (</w:t>
      </w:r>
      <w:r w:rsidRPr="000E3CC0">
        <w:rPr>
          <w:szCs w:val="22"/>
        </w:rPr>
        <w:t>LH</w:t>
      </w:r>
      <w:r w:rsidR="00A04DE5" w:rsidRPr="000E3CC0">
        <w:rPr>
          <w:szCs w:val="22"/>
        </w:rPr>
        <w:t>)</w:t>
      </w:r>
      <w:r w:rsidRPr="000E3CC0">
        <w:rPr>
          <w:szCs w:val="22"/>
        </w:rPr>
        <w:t xml:space="preserve"> preparation for the stimulation of follicular development in women with severe LH and </w:t>
      </w:r>
      <w:r w:rsidR="003F576A" w:rsidRPr="000E3CC0">
        <w:rPr>
          <w:szCs w:val="22"/>
        </w:rPr>
        <w:t>follicle-stimulating hormone (</w:t>
      </w:r>
      <w:r w:rsidRPr="000E3CC0">
        <w:rPr>
          <w:szCs w:val="22"/>
        </w:rPr>
        <w:t>FSH</w:t>
      </w:r>
      <w:r w:rsidR="003F576A" w:rsidRPr="000E3CC0">
        <w:rPr>
          <w:szCs w:val="22"/>
        </w:rPr>
        <w:t>)</w:t>
      </w:r>
      <w:r w:rsidRPr="000E3CC0">
        <w:rPr>
          <w:szCs w:val="22"/>
        </w:rPr>
        <w:t xml:space="preserve"> deficiency</w:t>
      </w:r>
      <w:r w:rsidRPr="000E3CC0">
        <w:rPr>
          <w:szCs w:val="22"/>
          <w:vertAlign w:val="superscript"/>
        </w:rPr>
        <w:footnoteReference w:id="1"/>
      </w:r>
      <w:r w:rsidR="00252E97">
        <w:rPr>
          <w:szCs w:val="22"/>
        </w:rPr>
        <w:t>; and</w:t>
      </w:r>
    </w:p>
    <w:p w:rsidR="006B0D94" w:rsidRPr="000E3CC0" w:rsidRDefault="004C1EE2" w:rsidP="007F1381">
      <w:pPr>
        <w:pStyle w:val="ListParagraph"/>
        <w:numPr>
          <w:ilvl w:val="1"/>
          <w:numId w:val="6"/>
        </w:numPr>
        <w:ind w:left="1276" w:hanging="425"/>
        <w:jc w:val="both"/>
        <w:rPr>
          <w:szCs w:val="22"/>
        </w:rPr>
      </w:pPr>
      <w:r w:rsidRPr="000E3CC0">
        <w:rPr>
          <w:szCs w:val="22"/>
        </w:rPr>
        <w:t>With concomitant hCG therapy for the stimulation of spermatogenesis in gonadotrophin-deficient men in whom hCG alone is ineffective.</w:t>
      </w:r>
    </w:p>
    <w:p w:rsidR="009028BA" w:rsidRPr="001D57AE" w:rsidRDefault="009028BA" w:rsidP="009028BA">
      <w:pPr>
        <w:pStyle w:val="ListParagraph"/>
        <w:jc w:val="both"/>
        <w:rPr>
          <w:szCs w:val="22"/>
        </w:rPr>
      </w:pPr>
    </w:p>
    <w:p w:rsidR="00B60400" w:rsidRPr="001D57AE" w:rsidRDefault="00B60400" w:rsidP="00B60400">
      <w:pPr>
        <w:pStyle w:val="ListParagraph"/>
        <w:numPr>
          <w:ilvl w:val="1"/>
          <w:numId w:val="2"/>
        </w:numPr>
        <w:jc w:val="both"/>
        <w:rPr>
          <w:szCs w:val="22"/>
        </w:rPr>
      </w:pPr>
      <w:r w:rsidRPr="001D57AE">
        <w:rPr>
          <w:szCs w:val="22"/>
        </w:rPr>
        <w:t>The minor submission did not request a PBS listing of Bemfola, in combination with LH, for women with severe LH and FSH deficiency, as the comparator</w:t>
      </w:r>
      <w:r w:rsidR="009039B2">
        <w:rPr>
          <w:szCs w:val="22"/>
        </w:rPr>
        <w:t xml:space="preserve"> (</w:t>
      </w:r>
      <w:r w:rsidRPr="001D57AE">
        <w:rPr>
          <w:szCs w:val="22"/>
        </w:rPr>
        <w:t>Gonal-f</w:t>
      </w:r>
      <w:r w:rsidR="009039B2" w:rsidRPr="009039B2">
        <w:rPr>
          <w:szCs w:val="22"/>
        </w:rPr>
        <w:t>)</w:t>
      </w:r>
      <w:r w:rsidR="005E2DBE" w:rsidRPr="001D57AE">
        <w:rPr>
          <w:szCs w:val="22"/>
        </w:rPr>
        <w:t xml:space="preserve"> is not PBS listed for this indication.</w:t>
      </w:r>
    </w:p>
    <w:p w:rsidR="00B60400" w:rsidRPr="001D57AE" w:rsidRDefault="00B60400" w:rsidP="00B60400">
      <w:pPr>
        <w:pStyle w:val="ListParagraph"/>
        <w:jc w:val="both"/>
        <w:rPr>
          <w:szCs w:val="22"/>
        </w:rPr>
      </w:pPr>
    </w:p>
    <w:p w:rsidR="00A550B3" w:rsidRPr="00646C08" w:rsidRDefault="005E2DBE" w:rsidP="00520C77">
      <w:pPr>
        <w:pStyle w:val="ListParagraph"/>
        <w:numPr>
          <w:ilvl w:val="1"/>
          <w:numId w:val="2"/>
        </w:numPr>
        <w:jc w:val="both"/>
        <w:rPr>
          <w:szCs w:val="22"/>
        </w:rPr>
      </w:pPr>
      <w:r w:rsidRPr="00646C08">
        <w:rPr>
          <w:szCs w:val="22"/>
        </w:rPr>
        <w:lastRenderedPageBreak/>
        <w:t>Through the TGA biosimilar evaluation pathway, t</w:t>
      </w:r>
      <w:r w:rsidR="008F40AD" w:rsidRPr="00646C08">
        <w:rPr>
          <w:szCs w:val="22"/>
        </w:rPr>
        <w:t xml:space="preserve">he TGA Delegate </w:t>
      </w:r>
      <w:r w:rsidR="00A04DE5" w:rsidRPr="00646C08">
        <w:rPr>
          <w:szCs w:val="22"/>
        </w:rPr>
        <w:t>c</w:t>
      </w:r>
      <w:r w:rsidR="00F502B7" w:rsidRPr="00646C08">
        <w:rPr>
          <w:szCs w:val="22"/>
        </w:rPr>
        <w:t>onsider</w:t>
      </w:r>
      <w:r w:rsidR="00A04DE5" w:rsidRPr="00646C08">
        <w:rPr>
          <w:szCs w:val="22"/>
        </w:rPr>
        <w:t>ed</w:t>
      </w:r>
      <w:r w:rsidR="00F502B7" w:rsidRPr="00646C08">
        <w:rPr>
          <w:szCs w:val="22"/>
        </w:rPr>
        <w:t xml:space="preserve"> </w:t>
      </w:r>
      <w:r w:rsidR="00A04DE5" w:rsidRPr="00646C08">
        <w:rPr>
          <w:szCs w:val="22"/>
        </w:rPr>
        <w:t xml:space="preserve">the </w:t>
      </w:r>
      <w:r w:rsidR="00F502B7" w:rsidRPr="00646C08">
        <w:rPr>
          <w:szCs w:val="22"/>
        </w:rPr>
        <w:t xml:space="preserve">evidence from Trials FIN1001 and </w:t>
      </w:r>
      <w:r w:rsidR="00A04DE5" w:rsidRPr="00646C08">
        <w:rPr>
          <w:szCs w:val="22"/>
        </w:rPr>
        <w:t>FIN</w:t>
      </w:r>
      <w:r w:rsidR="00F502B7" w:rsidRPr="00646C08">
        <w:rPr>
          <w:szCs w:val="22"/>
        </w:rPr>
        <w:t xml:space="preserve">3001 (same trials presented in the minor PBAC submission) </w:t>
      </w:r>
      <w:r w:rsidR="000A07A9" w:rsidRPr="00646C08">
        <w:rPr>
          <w:szCs w:val="22"/>
        </w:rPr>
        <w:t>and</w:t>
      </w:r>
      <w:r w:rsidR="00F502B7" w:rsidRPr="00646C08">
        <w:rPr>
          <w:szCs w:val="22"/>
        </w:rPr>
        <w:t xml:space="preserve"> concluded that </w:t>
      </w:r>
      <w:r w:rsidR="005E2A21" w:rsidRPr="00646C08">
        <w:rPr>
          <w:szCs w:val="22"/>
        </w:rPr>
        <w:t xml:space="preserve">“the study satisfactorily demonstrated bioequivalence and the clinical study satisfactorily demonstrated equivalence for the primary and most of the secondary endpoints in an appropriate and sensitive </w:t>
      </w:r>
      <w:r w:rsidR="00F502B7" w:rsidRPr="00646C08">
        <w:rPr>
          <w:szCs w:val="22"/>
        </w:rPr>
        <w:t>population” (p13, Delegate</w:t>
      </w:r>
      <w:r w:rsidR="00664537" w:rsidRPr="00646C08">
        <w:rPr>
          <w:szCs w:val="22"/>
        </w:rPr>
        <w:t>’</w:t>
      </w:r>
      <w:r w:rsidR="00F502B7" w:rsidRPr="00646C08">
        <w:rPr>
          <w:szCs w:val="22"/>
        </w:rPr>
        <w:t xml:space="preserve">s Overview). </w:t>
      </w:r>
      <w:r w:rsidR="008F40AD" w:rsidRPr="00646C08">
        <w:rPr>
          <w:szCs w:val="22"/>
        </w:rPr>
        <w:t xml:space="preserve">At </w:t>
      </w:r>
      <w:r w:rsidRPr="00646C08">
        <w:rPr>
          <w:szCs w:val="22"/>
        </w:rPr>
        <w:t xml:space="preserve">a meeting in October 2015 of </w:t>
      </w:r>
      <w:r w:rsidR="008F40AD" w:rsidRPr="00646C08">
        <w:rPr>
          <w:szCs w:val="22"/>
        </w:rPr>
        <w:t>the Advisory Committee on Prescription Medicines (ACPM), t</w:t>
      </w:r>
      <w:r w:rsidR="00F502B7" w:rsidRPr="00646C08">
        <w:rPr>
          <w:szCs w:val="22"/>
        </w:rPr>
        <w:t xml:space="preserve">he ACPM resolved to recommend to the TGA Delegate of the Minister and </w:t>
      </w:r>
      <w:r w:rsidRPr="00646C08">
        <w:rPr>
          <w:szCs w:val="22"/>
        </w:rPr>
        <w:t xml:space="preserve">the </w:t>
      </w:r>
      <w:r w:rsidR="00F502B7" w:rsidRPr="00646C08">
        <w:rPr>
          <w:szCs w:val="22"/>
        </w:rPr>
        <w:t>Secretary</w:t>
      </w:r>
      <w:r w:rsidR="008C1B7A" w:rsidRPr="00646C08">
        <w:rPr>
          <w:szCs w:val="22"/>
        </w:rPr>
        <w:t xml:space="preserve"> that</w:t>
      </w:r>
      <w:r w:rsidR="00F502B7" w:rsidRPr="00646C08">
        <w:rPr>
          <w:szCs w:val="22"/>
        </w:rPr>
        <w:t xml:space="preserve"> </w:t>
      </w:r>
      <w:r w:rsidR="00272435" w:rsidRPr="00646C08">
        <w:rPr>
          <w:szCs w:val="22"/>
        </w:rPr>
        <w:t xml:space="preserve">Bemfola </w:t>
      </w:r>
      <w:r w:rsidR="00A56C81" w:rsidRPr="00646C08">
        <w:rPr>
          <w:szCs w:val="22"/>
        </w:rPr>
        <w:t xml:space="preserve">has </w:t>
      </w:r>
      <w:r w:rsidR="00F502B7" w:rsidRPr="00646C08">
        <w:rPr>
          <w:szCs w:val="22"/>
        </w:rPr>
        <w:t>an overall</w:t>
      </w:r>
      <w:r w:rsidR="00A56C81" w:rsidRPr="00646C08">
        <w:rPr>
          <w:szCs w:val="22"/>
        </w:rPr>
        <w:t xml:space="preserve"> positive benefit-risk profile</w:t>
      </w:r>
      <w:r w:rsidR="00F502B7" w:rsidRPr="00646C08">
        <w:rPr>
          <w:szCs w:val="22"/>
        </w:rPr>
        <w:t xml:space="preserve"> for the proposed indications.</w:t>
      </w:r>
    </w:p>
    <w:p w:rsidR="00A550B3" w:rsidRPr="001D57AE" w:rsidRDefault="00F502B7" w:rsidP="00A550B3">
      <w:pPr>
        <w:pStyle w:val="ListParagraph"/>
        <w:jc w:val="both"/>
        <w:rPr>
          <w:szCs w:val="22"/>
        </w:rPr>
      </w:pPr>
      <w:r w:rsidRPr="001D57AE">
        <w:rPr>
          <w:szCs w:val="22"/>
        </w:rPr>
        <w:t xml:space="preserve"> </w:t>
      </w:r>
    </w:p>
    <w:p w:rsidR="006A12A5" w:rsidRPr="001D57AE" w:rsidRDefault="009B70AE" w:rsidP="009B70AE">
      <w:pPr>
        <w:pStyle w:val="ListParagraph"/>
        <w:numPr>
          <w:ilvl w:val="1"/>
          <w:numId w:val="2"/>
        </w:numPr>
        <w:jc w:val="both"/>
        <w:rPr>
          <w:szCs w:val="22"/>
        </w:rPr>
      </w:pPr>
      <w:r w:rsidRPr="001D57AE">
        <w:rPr>
          <w:szCs w:val="22"/>
        </w:rPr>
        <w:t xml:space="preserve">Bemfola </w:t>
      </w:r>
      <w:r w:rsidR="001A5CF2" w:rsidRPr="001D57AE">
        <w:rPr>
          <w:szCs w:val="22"/>
        </w:rPr>
        <w:t>i</w:t>
      </w:r>
      <w:r w:rsidRPr="001D57AE">
        <w:rPr>
          <w:szCs w:val="22"/>
        </w:rPr>
        <w:t>s the first follitropin biosimilar registered in Australia and has not been previously considered by the PBAC.</w:t>
      </w:r>
    </w:p>
    <w:p w:rsidR="00537680" w:rsidRPr="001D57AE" w:rsidRDefault="00537680" w:rsidP="00537680">
      <w:pPr>
        <w:jc w:val="both"/>
        <w:rPr>
          <w:szCs w:val="22"/>
        </w:rPr>
      </w:pPr>
    </w:p>
    <w:p w:rsidR="00343367" w:rsidRPr="001D57AE" w:rsidRDefault="00C10767" w:rsidP="00343367">
      <w:pPr>
        <w:pStyle w:val="ListParagraph"/>
        <w:numPr>
          <w:ilvl w:val="1"/>
          <w:numId w:val="2"/>
        </w:numPr>
        <w:jc w:val="both"/>
        <w:rPr>
          <w:szCs w:val="22"/>
        </w:rPr>
      </w:pPr>
      <w:r w:rsidRPr="001D57AE">
        <w:rPr>
          <w:szCs w:val="22"/>
        </w:rPr>
        <w:t>At its December 1997 meeting, the PBAC recommended the listing of follitropin alfa (Gonal-</w:t>
      </w:r>
      <w:r w:rsidR="00E967DF" w:rsidRPr="001D57AE">
        <w:rPr>
          <w:szCs w:val="22"/>
        </w:rPr>
        <w:t>f</w:t>
      </w:r>
      <w:r w:rsidRPr="001D57AE">
        <w:rPr>
          <w:szCs w:val="22"/>
        </w:rPr>
        <w:t>) on the PBS in the Section</w:t>
      </w:r>
      <w:r w:rsidR="00544186">
        <w:rPr>
          <w:szCs w:val="22"/>
        </w:rPr>
        <w:t xml:space="preserve"> </w:t>
      </w:r>
      <w:r w:rsidRPr="001D57AE">
        <w:rPr>
          <w:szCs w:val="22"/>
        </w:rPr>
        <w:t xml:space="preserve">100 IVF Program </w:t>
      </w:r>
      <w:r w:rsidR="00FA08AA" w:rsidRPr="001D57AE">
        <w:rPr>
          <w:szCs w:val="22"/>
        </w:rPr>
        <w:t xml:space="preserve">(for women undergoing ART) </w:t>
      </w:r>
      <w:r w:rsidRPr="001D57AE">
        <w:rPr>
          <w:szCs w:val="22"/>
        </w:rPr>
        <w:t xml:space="preserve">and as a Restricted </w:t>
      </w:r>
      <w:r w:rsidR="00F11916" w:rsidRPr="001D57AE">
        <w:rPr>
          <w:szCs w:val="22"/>
        </w:rPr>
        <w:t>B</w:t>
      </w:r>
      <w:r w:rsidRPr="001D57AE">
        <w:rPr>
          <w:szCs w:val="22"/>
        </w:rPr>
        <w:t xml:space="preserve">enefit listing in the General Schedule </w:t>
      </w:r>
      <w:r w:rsidR="00802600" w:rsidRPr="001D57AE">
        <w:rPr>
          <w:szCs w:val="22"/>
        </w:rPr>
        <w:t xml:space="preserve">(for women with anovulatory infertility and for male infertility due to </w:t>
      </w:r>
      <w:r w:rsidR="00802600" w:rsidRPr="001D57AE">
        <w:t>hypogonadotrophic hypogonadism</w:t>
      </w:r>
      <w:r w:rsidR="00802600" w:rsidRPr="001D57AE">
        <w:rPr>
          <w:szCs w:val="22"/>
        </w:rPr>
        <w:t>)</w:t>
      </w:r>
      <w:r w:rsidRPr="001D57AE">
        <w:rPr>
          <w:szCs w:val="22"/>
        </w:rPr>
        <w:t xml:space="preserve"> </w:t>
      </w:r>
      <w:r w:rsidR="00802600" w:rsidRPr="001D57AE">
        <w:rPr>
          <w:szCs w:val="22"/>
        </w:rPr>
        <w:t xml:space="preserve">on </w:t>
      </w:r>
      <w:r w:rsidRPr="001D57AE">
        <w:rPr>
          <w:szCs w:val="22"/>
        </w:rPr>
        <w:t>the basis of equivalency to follitropin beta.</w:t>
      </w:r>
    </w:p>
    <w:p w:rsidR="00537680" w:rsidRPr="001D57AE" w:rsidRDefault="00537680" w:rsidP="00537680">
      <w:pPr>
        <w:jc w:val="both"/>
        <w:rPr>
          <w:szCs w:val="22"/>
        </w:rPr>
      </w:pPr>
    </w:p>
    <w:p w:rsidR="00343367" w:rsidRPr="001D57AE" w:rsidRDefault="00343367" w:rsidP="00691B0A">
      <w:pPr>
        <w:pStyle w:val="ListParagraph"/>
        <w:numPr>
          <w:ilvl w:val="1"/>
          <w:numId w:val="2"/>
        </w:numPr>
        <w:jc w:val="both"/>
        <w:rPr>
          <w:szCs w:val="22"/>
        </w:rPr>
      </w:pPr>
      <w:r w:rsidRPr="001D57AE">
        <w:rPr>
          <w:szCs w:val="22"/>
        </w:rPr>
        <w:t xml:space="preserve">A minor submission </w:t>
      </w:r>
      <w:r w:rsidR="009349AF" w:rsidRPr="001D57AE">
        <w:rPr>
          <w:szCs w:val="22"/>
        </w:rPr>
        <w:t xml:space="preserve">from </w:t>
      </w:r>
      <w:r w:rsidR="00351BB9" w:rsidRPr="001D57AE">
        <w:rPr>
          <w:szCs w:val="22"/>
        </w:rPr>
        <w:t xml:space="preserve">the sponsor of </w:t>
      </w:r>
      <w:r w:rsidR="009349AF" w:rsidRPr="001D57AE">
        <w:rPr>
          <w:szCs w:val="22"/>
        </w:rPr>
        <w:t xml:space="preserve">Gonal-f </w:t>
      </w:r>
      <w:r w:rsidR="00351BB9" w:rsidRPr="001D57AE">
        <w:rPr>
          <w:szCs w:val="22"/>
        </w:rPr>
        <w:t>(Merck Ser</w:t>
      </w:r>
      <w:r w:rsidR="00DA39E6" w:rsidRPr="001D57AE">
        <w:rPr>
          <w:szCs w:val="22"/>
        </w:rPr>
        <w:t>o</w:t>
      </w:r>
      <w:r w:rsidR="00351BB9" w:rsidRPr="001D57AE">
        <w:rPr>
          <w:szCs w:val="22"/>
        </w:rPr>
        <w:t xml:space="preserve">no) </w:t>
      </w:r>
      <w:r w:rsidR="005E2DBE" w:rsidRPr="001D57AE">
        <w:rPr>
          <w:szCs w:val="22"/>
        </w:rPr>
        <w:t xml:space="preserve">is due to </w:t>
      </w:r>
      <w:r w:rsidR="00E83D79" w:rsidRPr="001D57AE">
        <w:rPr>
          <w:szCs w:val="22"/>
        </w:rPr>
        <w:t>be considered at the PBAC meeting in March 2016</w:t>
      </w:r>
      <w:r w:rsidR="005E2DBE" w:rsidRPr="001D57AE">
        <w:rPr>
          <w:szCs w:val="22"/>
        </w:rPr>
        <w:t>, along with the Bemfola submission,</w:t>
      </w:r>
      <w:r w:rsidR="00E83D79" w:rsidRPr="001D57AE">
        <w:rPr>
          <w:szCs w:val="22"/>
        </w:rPr>
        <w:t xml:space="preserve"> </w:t>
      </w:r>
      <w:r w:rsidR="005E2DBE" w:rsidRPr="001D57AE">
        <w:rPr>
          <w:szCs w:val="22"/>
        </w:rPr>
        <w:t xml:space="preserve">with a </w:t>
      </w:r>
      <w:r w:rsidR="00E83D79" w:rsidRPr="001D57AE">
        <w:rPr>
          <w:szCs w:val="22"/>
        </w:rPr>
        <w:t>request</w:t>
      </w:r>
      <w:r w:rsidR="00DA39E6" w:rsidRPr="001D57AE">
        <w:rPr>
          <w:szCs w:val="22"/>
        </w:rPr>
        <w:t xml:space="preserve"> </w:t>
      </w:r>
      <w:r w:rsidR="005E2DBE" w:rsidRPr="001D57AE">
        <w:rPr>
          <w:szCs w:val="22"/>
        </w:rPr>
        <w:t>that</w:t>
      </w:r>
      <w:r w:rsidR="00E83D79" w:rsidRPr="001D57AE">
        <w:rPr>
          <w:szCs w:val="22"/>
        </w:rPr>
        <w:t xml:space="preserve"> Gonal-f </w:t>
      </w:r>
      <w:r w:rsidR="005E2DBE" w:rsidRPr="001D57AE">
        <w:rPr>
          <w:szCs w:val="22"/>
        </w:rPr>
        <w:t xml:space="preserve">should </w:t>
      </w:r>
      <w:r w:rsidR="009D388B" w:rsidRPr="001D57AE">
        <w:rPr>
          <w:szCs w:val="22"/>
        </w:rPr>
        <w:t>not be</w:t>
      </w:r>
      <w:r w:rsidR="00E83D79" w:rsidRPr="001D57AE">
        <w:rPr>
          <w:szCs w:val="22"/>
        </w:rPr>
        <w:t xml:space="preserve"> ‘a</w:t>
      </w:r>
      <w:r w:rsidR="009D388B" w:rsidRPr="001D57AE">
        <w:rPr>
          <w:szCs w:val="22"/>
        </w:rPr>
        <w:t>’-</w:t>
      </w:r>
      <w:r w:rsidR="00E83D79" w:rsidRPr="001D57AE">
        <w:rPr>
          <w:szCs w:val="22"/>
        </w:rPr>
        <w:t xml:space="preserve">flagged to Bemfola or any further follitropin alfa </w:t>
      </w:r>
      <w:r w:rsidR="00E83D79" w:rsidRPr="00646C08">
        <w:rPr>
          <w:szCs w:val="22"/>
        </w:rPr>
        <w:t>biosimilar</w:t>
      </w:r>
      <w:r w:rsidR="00EF6B97" w:rsidRPr="00646C08">
        <w:rPr>
          <w:szCs w:val="22"/>
        </w:rPr>
        <w:t xml:space="preserve"> (</w:t>
      </w:r>
      <w:r w:rsidR="00646C08">
        <w:rPr>
          <w:szCs w:val="22"/>
        </w:rPr>
        <w:t>refer to Other Matters, PBAC March 2016 Outcomes</w:t>
      </w:r>
      <w:r w:rsidR="00EF6B97" w:rsidRPr="001D57AE">
        <w:rPr>
          <w:szCs w:val="22"/>
        </w:rPr>
        <w:t>)</w:t>
      </w:r>
      <w:r w:rsidR="009349AF" w:rsidRPr="001D57AE">
        <w:rPr>
          <w:szCs w:val="22"/>
        </w:rPr>
        <w:t>.</w:t>
      </w:r>
    </w:p>
    <w:p w:rsidR="001D57AE" w:rsidRPr="00E87FA7" w:rsidRDefault="001D57AE" w:rsidP="00E87FA7">
      <w:pPr>
        <w:pStyle w:val="ListParagraph"/>
        <w:rPr>
          <w:szCs w:val="22"/>
        </w:rPr>
      </w:pPr>
    </w:p>
    <w:p w:rsidR="008A1956" w:rsidRPr="00882085" w:rsidRDefault="008A1956" w:rsidP="009028BA"/>
    <w:p w:rsidR="00CE10C4" w:rsidRPr="00882085" w:rsidRDefault="00CE10C4" w:rsidP="00A62E6C">
      <w:pPr>
        <w:pStyle w:val="Heading1"/>
        <w:rPr>
          <w:b w:val="0"/>
        </w:rPr>
      </w:pPr>
      <w:r w:rsidRPr="00882085">
        <w:t>Clinical place for the proposed ther</w:t>
      </w:r>
      <w:r w:rsidR="006A12A5" w:rsidRPr="00882085">
        <w:t>apy</w:t>
      </w:r>
    </w:p>
    <w:p w:rsidR="00CE10C4" w:rsidRPr="00882085" w:rsidRDefault="00CE10C4" w:rsidP="004C1595">
      <w:pPr>
        <w:keepNext/>
        <w:jc w:val="both"/>
        <w:rPr>
          <w:szCs w:val="22"/>
        </w:rPr>
      </w:pPr>
    </w:p>
    <w:p w:rsidR="00E61E86" w:rsidRPr="00B36ACE" w:rsidRDefault="00C023C5" w:rsidP="00A650B9">
      <w:pPr>
        <w:pStyle w:val="ListParagraph"/>
        <w:numPr>
          <w:ilvl w:val="1"/>
          <w:numId w:val="2"/>
        </w:numPr>
        <w:jc w:val="both"/>
        <w:rPr>
          <w:szCs w:val="22"/>
        </w:rPr>
      </w:pPr>
      <w:r w:rsidRPr="00B36ACE">
        <w:rPr>
          <w:szCs w:val="22"/>
        </w:rPr>
        <w:t xml:space="preserve">Bemfola is a recombinant </w:t>
      </w:r>
      <w:r w:rsidR="004B0B86">
        <w:rPr>
          <w:szCs w:val="22"/>
        </w:rPr>
        <w:t xml:space="preserve">human </w:t>
      </w:r>
      <w:r w:rsidR="005F40FF">
        <w:rPr>
          <w:szCs w:val="22"/>
        </w:rPr>
        <w:t xml:space="preserve">follicle stimulating hormone </w:t>
      </w:r>
      <w:r w:rsidRPr="00B36ACE">
        <w:rPr>
          <w:szCs w:val="22"/>
        </w:rPr>
        <w:t>(r</w:t>
      </w:r>
      <w:r w:rsidR="004B0B86">
        <w:rPr>
          <w:szCs w:val="22"/>
        </w:rPr>
        <w:t>-h</w:t>
      </w:r>
      <w:r w:rsidRPr="00B36ACE">
        <w:rPr>
          <w:szCs w:val="22"/>
        </w:rPr>
        <w:t xml:space="preserve">FSH) (follitropin alfa). FSH is a pituitary glycoprotein hormone which plays a key role in regulating reproductive function in both </w:t>
      </w:r>
      <w:r w:rsidR="00CC5E29" w:rsidRPr="00B36ACE">
        <w:rPr>
          <w:szCs w:val="22"/>
        </w:rPr>
        <w:t xml:space="preserve">females and </w:t>
      </w:r>
      <w:r w:rsidRPr="00B36ACE">
        <w:rPr>
          <w:szCs w:val="22"/>
        </w:rPr>
        <w:t xml:space="preserve">males. Once secreted into the blood stream by the endocrine cells of the anterior pituitary, FSH controls ovarian follicular growth in females and </w:t>
      </w:r>
      <w:r w:rsidR="00A07F3E" w:rsidRPr="00B36ACE">
        <w:rPr>
          <w:szCs w:val="22"/>
        </w:rPr>
        <w:t>induc</w:t>
      </w:r>
      <w:r w:rsidR="00A07F3E">
        <w:rPr>
          <w:szCs w:val="22"/>
        </w:rPr>
        <w:t>es</w:t>
      </w:r>
      <w:r w:rsidR="00A07F3E" w:rsidRPr="00B36ACE">
        <w:rPr>
          <w:szCs w:val="22"/>
        </w:rPr>
        <w:t xml:space="preserve"> spermatogenesis </w:t>
      </w:r>
      <w:r w:rsidRPr="00B36ACE">
        <w:rPr>
          <w:szCs w:val="22"/>
        </w:rPr>
        <w:t xml:space="preserve">in males. Deficiency of FSH leads to ovulatory failure or dysfunction in women and impaired spermatogenesis in men. </w:t>
      </w:r>
    </w:p>
    <w:p w:rsidR="00E61E86" w:rsidRPr="00B36ACE" w:rsidRDefault="00E61E86" w:rsidP="00E61E86">
      <w:pPr>
        <w:pStyle w:val="ListParagraph"/>
        <w:jc w:val="both"/>
        <w:rPr>
          <w:szCs w:val="22"/>
        </w:rPr>
      </w:pPr>
    </w:p>
    <w:p w:rsidR="00C023C5" w:rsidRPr="00B36ACE" w:rsidRDefault="00E61E86" w:rsidP="00E059B6">
      <w:pPr>
        <w:pStyle w:val="ListParagraph"/>
        <w:numPr>
          <w:ilvl w:val="1"/>
          <w:numId w:val="2"/>
        </w:numPr>
        <w:jc w:val="both"/>
        <w:rPr>
          <w:szCs w:val="22"/>
        </w:rPr>
      </w:pPr>
      <w:r w:rsidRPr="00B36ACE">
        <w:rPr>
          <w:szCs w:val="22"/>
        </w:rPr>
        <w:t xml:space="preserve">Bemfola is proposed to </w:t>
      </w:r>
      <w:r w:rsidR="008018FA">
        <w:rPr>
          <w:szCs w:val="22"/>
        </w:rPr>
        <w:t>be used as an alternative to</w:t>
      </w:r>
      <w:r w:rsidRPr="00B36ACE">
        <w:rPr>
          <w:szCs w:val="22"/>
        </w:rPr>
        <w:t xml:space="preserve"> Gonal-f: 1) in </w:t>
      </w:r>
      <w:r w:rsidR="00B36ACE" w:rsidRPr="00B36ACE">
        <w:rPr>
          <w:szCs w:val="22"/>
        </w:rPr>
        <w:t>women</w:t>
      </w:r>
      <w:r w:rsidRPr="00B36ACE">
        <w:rPr>
          <w:szCs w:val="22"/>
        </w:rPr>
        <w:t xml:space="preserve"> undergoing controlled ovarian stimulation for ART; 2) </w:t>
      </w:r>
      <w:r w:rsidR="00B36ACE" w:rsidRPr="00B36ACE">
        <w:rPr>
          <w:szCs w:val="22"/>
        </w:rPr>
        <w:t xml:space="preserve">for treatment of women with </w:t>
      </w:r>
      <w:r w:rsidRPr="00B36ACE">
        <w:rPr>
          <w:szCs w:val="22"/>
        </w:rPr>
        <w:t>anovulatory infertility</w:t>
      </w:r>
      <w:r w:rsidR="00B36ACE" w:rsidRPr="00B36ACE">
        <w:rPr>
          <w:szCs w:val="22"/>
        </w:rPr>
        <w:t xml:space="preserve">; and 3) in combination with </w:t>
      </w:r>
      <w:r w:rsidRPr="00B36ACE">
        <w:rPr>
          <w:szCs w:val="22"/>
        </w:rPr>
        <w:t>hCG</w:t>
      </w:r>
      <w:r w:rsidR="00B36ACE" w:rsidRPr="00B36ACE">
        <w:rPr>
          <w:szCs w:val="22"/>
        </w:rPr>
        <w:t xml:space="preserve">, </w:t>
      </w:r>
      <w:r w:rsidRPr="00B36ACE">
        <w:rPr>
          <w:szCs w:val="22"/>
        </w:rPr>
        <w:t xml:space="preserve">for stimulation of spermatogenesis in </w:t>
      </w:r>
      <w:r w:rsidR="00B533EF" w:rsidRPr="00B533EF">
        <w:rPr>
          <w:szCs w:val="22"/>
        </w:rPr>
        <w:t xml:space="preserve">gonadotrophin-deficient men </w:t>
      </w:r>
      <w:r w:rsidR="00857304">
        <w:rPr>
          <w:szCs w:val="22"/>
        </w:rPr>
        <w:t xml:space="preserve">who </w:t>
      </w:r>
      <w:r w:rsidR="00E059B6">
        <w:rPr>
          <w:szCs w:val="22"/>
        </w:rPr>
        <w:t xml:space="preserve">have failed </w:t>
      </w:r>
      <w:r w:rsidRPr="00B36ACE">
        <w:rPr>
          <w:szCs w:val="22"/>
        </w:rPr>
        <w:t>hCG</w:t>
      </w:r>
      <w:r w:rsidR="00857304">
        <w:rPr>
          <w:szCs w:val="22"/>
        </w:rPr>
        <w:t xml:space="preserve"> therapy</w:t>
      </w:r>
      <w:r w:rsidR="00B36ACE" w:rsidRPr="00B36ACE">
        <w:rPr>
          <w:szCs w:val="22"/>
        </w:rPr>
        <w:t>.</w:t>
      </w:r>
    </w:p>
    <w:p w:rsidR="001D57AE" w:rsidRDefault="001D57AE" w:rsidP="001D57AE">
      <w:pPr>
        <w:rPr>
          <w:szCs w:val="22"/>
        </w:rPr>
      </w:pPr>
    </w:p>
    <w:p w:rsidR="008A1956" w:rsidRPr="00882085" w:rsidRDefault="008A1956" w:rsidP="00882085">
      <w:pPr>
        <w:pStyle w:val="Header"/>
        <w:tabs>
          <w:tab w:val="clear" w:pos="4153"/>
          <w:tab w:val="clear" w:pos="8306"/>
        </w:tabs>
        <w:jc w:val="both"/>
        <w:rPr>
          <w:szCs w:val="22"/>
        </w:rPr>
      </w:pPr>
    </w:p>
    <w:p w:rsidR="005A3173" w:rsidRPr="00882085" w:rsidRDefault="005A3173" w:rsidP="00A62E6C">
      <w:pPr>
        <w:pStyle w:val="Heading1"/>
        <w:rPr>
          <w:b w:val="0"/>
        </w:rPr>
      </w:pPr>
      <w:r w:rsidRPr="00882085">
        <w:t>Comparator</w:t>
      </w:r>
    </w:p>
    <w:p w:rsidR="005A3173" w:rsidRPr="00882085" w:rsidRDefault="005A3173" w:rsidP="00882085">
      <w:pPr>
        <w:pStyle w:val="Header"/>
        <w:tabs>
          <w:tab w:val="clear" w:pos="4153"/>
          <w:tab w:val="clear" w:pos="8306"/>
        </w:tabs>
        <w:jc w:val="both"/>
        <w:rPr>
          <w:b/>
          <w:szCs w:val="22"/>
        </w:rPr>
      </w:pPr>
    </w:p>
    <w:p w:rsidR="00476245" w:rsidRPr="001D57AE" w:rsidRDefault="00476245" w:rsidP="00A650B9">
      <w:pPr>
        <w:pStyle w:val="ListParagraph"/>
        <w:numPr>
          <w:ilvl w:val="1"/>
          <w:numId w:val="2"/>
        </w:numPr>
        <w:jc w:val="both"/>
        <w:rPr>
          <w:szCs w:val="22"/>
        </w:rPr>
      </w:pPr>
      <w:r w:rsidRPr="001D57AE">
        <w:rPr>
          <w:szCs w:val="22"/>
        </w:rPr>
        <w:t xml:space="preserve">The minor submission </w:t>
      </w:r>
      <w:r w:rsidR="00544186">
        <w:rPr>
          <w:szCs w:val="22"/>
        </w:rPr>
        <w:t xml:space="preserve">appropriately </w:t>
      </w:r>
      <w:r w:rsidRPr="001D57AE">
        <w:rPr>
          <w:szCs w:val="22"/>
        </w:rPr>
        <w:t>nominate</w:t>
      </w:r>
      <w:r w:rsidR="00126AD4" w:rsidRPr="001D57AE">
        <w:rPr>
          <w:szCs w:val="22"/>
        </w:rPr>
        <w:t>d</w:t>
      </w:r>
      <w:r w:rsidR="00B533EF" w:rsidRPr="001D57AE">
        <w:rPr>
          <w:szCs w:val="22"/>
        </w:rPr>
        <w:t xml:space="preserve"> Gonal-f as the main comparator. The main arguments provided in support of this nomination are: 1) both Bemfola and Gonal-f are </w:t>
      </w:r>
      <w:r w:rsidR="004B0B86" w:rsidRPr="001D57AE">
        <w:rPr>
          <w:szCs w:val="22"/>
        </w:rPr>
        <w:t>r-hFSH</w:t>
      </w:r>
      <w:r w:rsidR="00B533EF" w:rsidRPr="001D57AE">
        <w:rPr>
          <w:szCs w:val="22"/>
        </w:rPr>
        <w:t xml:space="preserve"> (follitropin alfa); and 2) Gonal-f is currently available and listed on the PBS for the same indications as those proposed for Bemfola. </w:t>
      </w:r>
    </w:p>
    <w:p w:rsidR="00287E63" w:rsidRDefault="00287E63" w:rsidP="00287E63">
      <w:pPr>
        <w:jc w:val="both"/>
      </w:pPr>
    </w:p>
    <w:p w:rsidR="006C28A0" w:rsidRDefault="006C28A0">
      <w:pPr>
        <w:rPr>
          <w:szCs w:val="22"/>
        </w:rPr>
      </w:pPr>
      <w:r>
        <w:rPr>
          <w:szCs w:val="22"/>
        </w:rPr>
        <w:br w:type="page"/>
      </w:r>
    </w:p>
    <w:p w:rsidR="008A1956" w:rsidRPr="00476245" w:rsidRDefault="008A1956" w:rsidP="000E3CC0">
      <w:pPr>
        <w:jc w:val="both"/>
        <w:rPr>
          <w:szCs w:val="22"/>
        </w:rPr>
      </w:pPr>
    </w:p>
    <w:p w:rsidR="000B558D" w:rsidRPr="00882085" w:rsidRDefault="008D7A41" w:rsidP="00A62E6C">
      <w:pPr>
        <w:pStyle w:val="Heading1"/>
        <w:rPr>
          <w:b w:val="0"/>
        </w:rPr>
      </w:pPr>
      <w:r>
        <w:t>C</w:t>
      </w:r>
      <w:r w:rsidR="00D84934">
        <w:t>onsideration of the evidence</w:t>
      </w:r>
    </w:p>
    <w:p w:rsidR="001D57AE" w:rsidRPr="002367C7" w:rsidRDefault="001D57AE" w:rsidP="000E3CC0">
      <w:pPr>
        <w:rPr>
          <w:rFonts w:cs="Arial"/>
          <w:b/>
          <w:snapToGrid w:val="0"/>
          <w:szCs w:val="22"/>
          <w:lang w:eastAsia="en-US"/>
        </w:rPr>
      </w:pPr>
    </w:p>
    <w:p w:rsidR="001D57AE" w:rsidRPr="00A62E6C" w:rsidRDefault="001D57AE" w:rsidP="00A62E6C">
      <w:pPr>
        <w:pStyle w:val="Heading2"/>
      </w:pPr>
      <w:r w:rsidRPr="00A62E6C">
        <w:t>Sponsor hearing</w:t>
      </w:r>
    </w:p>
    <w:p w:rsidR="000E3CC0" w:rsidRPr="000E3CC0" w:rsidRDefault="000E3CC0" w:rsidP="000E3CC0">
      <w:pPr>
        <w:jc w:val="both"/>
        <w:rPr>
          <w:b/>
          <w:i/>
          <w:szCs w:val="22"/>
        </w:rPr>
      </w:pPr>
    </w:p>
    <w:p w:rsidR="001D57AE" w:rsidRPr="000E3CC0" w:rsidRDefault="001D57AE" w:rsidP="000E3CC0">
      <w:pPr>
        <w:widowControl w:val="0"/>
        <w:numPr>
          <w:ilvl w:val="1"/>
          <w:numId w:val="2"/>
        </w:numPr>
        <w:contextualSpacing/>
        <w:jc w:val="both"/>
        <w:rPr>
          <w:rFonts w:cs="Arial"/>
          <w:bCs/>
          <w:snapToGrid w:val="0"/>
          <w:szCs w:val="22"/>
          <w:lang w:eastAsia="en-US"/>
        </w:rPr>
      </w:pPr>
      <w:r w:rsidRPr="000E3CC0">
        <w:rPr>
          <w:rFonts w:cs="Arial"/>
          <w:bCs/>
          <w:snapToGrid w:val="0"/>
          <w:szCs w:val="22"/>
          <w:lang w:eastAsia="en-US"/>
        </w:rPr>
        <w:t>There was no hearing for this ite</w:t>
      </w:r>
      <w:r w:rsidR="000E3CC0" w:rsidRPr="000E3CC0">
        <w:rPr>
          <w:rFonts w:cs="Arial"/>
          <w:bCs/>
          <w:snapToGrid w:val="0"/>
          <w:szCs w:val="22"/>
          <w:lang w:eastAsia="en-US"/>
        </w:rPr>
        <w:t>m as it was a minor submission.</w:t>
      </w:r>
    </w:p>
    <w:p w:rsidR="001D57AE" w:rsidRPr="002367C7" w:rsidRDefault="001D57AE" w:rsidP="000E3CC0">
      <w:pPr>
        <w:widowControl w:val="0"/>
        <w:jc w:val="both"/>
        <w:rPr>
          <w:rFonts w:cs="Arial"/>
          <w:bCs/>
          <w:snapToGrid w:val="0"/>
          <w:szCs w:val="22"/>
          <w:highlight w:val="yellow"/>
          <w:lang w:eastAsia="en-US"/>
        </w:rPr>
      </w:pPr>
    </w:p>
    <w:p w:rsidR="001D57AE" w:rsidRDefault="001D57AE" w:rsidP="00A62E6C">
      <w:pPr>
        <w:pStyle w:val="Heading2"/>
        <w:rPr>
          <w:b w:val="0"/>
          <w:i w:val="0"/>
        </w:rPr>
      </w:pPr>
      <w:r w:rsidRPr="000E3CC0">
        <w:t>Consumer comments</w:t>
      </w:r>
    </w:p>
    <w:p w:rsidR="008E55FF" w:rsidRPr="000E3CC0" w:rsidRDefault="008E55FF" w:rsidP="008E55FF">
      <w:pPr>
        <w:jc w:val="both"/>
        <w:rPr>
          <w:b/>
          <w:i/>
          <w:szCs w:val="22"/>
        </w:rPr>
      </w:pPr>
    </w:p>
    <w:p w:rsidR="008E55FF" w:rsidRPr="008E55FF" w:rsidRDefault="008E55FF" w:rsidP="008E55FF">
      <w:pPr>
        <w:widowControl w:val="0"/>
        <w:numPr>
          <w:ilvl w:val="1"/>
          <w:numId w:val="2"/>
        </w:numPr>
        <w:contextualSpacing/>
        <w:jc w:val="both"/>
        <w:rPr>
          <w:rFonts w:cs="Arial"/>
          <w:bCs/>
          <w:snapToGrid w:val="0"/>
          <w:szCs w:val="22"/>
          <w:lang w:eastAsia="en-US"/>
        </w:rPr>
      </w:pPr>
      <w:r w:rsidRPr="008E55FF">
        <w:rPr>
          <w:rFonts w:cs="Arial"/>
          <w:bCs/>
          <w:snapToGrid w:val="0"/>
          <w:szCs w:val="22"/>
          <w:lang w:eastAsia="en-US"/>
        </w:rPr>
        <w:t xml:space="preserve">The PBAC noted and welcomed the input from health care professionals (3) and </w:t>
      </w:r>
      <w:r w:rsidR="009039B2">
        <w:rPr>
          <w:rFonts w:cs="Arial"/>
          <w:bCs/>
          <w:snapToGrid w:val="0"/>
          <w:szCs w:val="22"/>
          <w:lang w:eastAsia="en-US"/>
        </w:rPr>
        <w:t xml:space="preserve">an </w:t>
      </w:r>
      <w:r w:rsidRPr="008E55FF">
        <w:rPr>
          <w:rFonts w:cs="Arial"/>
          <w:bCs/>
          <w:snapToGrid w:val="0"/>
          <w:szCs w:val="22"/>
          <w:lang w:eastAsia="en-US"/>
        </w:rPr>
        <w:t>organisation (1) via the Consumer Comments facility on the PBS website. Many of the comments expressed concern about potential substitution between the biosimilar and reference biologic. Correspondence from Access Australia highlighted that training of patients on how to administer medications is brand specific due to different delivery systems and that clinicians may wish to maintain a particular brand for some patients “if they have any concerns (real or perceived) of intra-patient variability of the products.”</w:t>
      </w:r>
    </w:p>
    <w:p w:rsidR="008E55FF" w:rsidRPr="008E55FF" w:rsidRDefault="008E55FF" w:rsidP="008E55FF">
      <w:pPr>
        <w:widowControl w:val="0"/>
        <w:contextualSpacing/>
        <w:jc w:val="both"/>
        <w:rPr>
          <w:rFonts w:cs="Arial"/>
          <w:bCs/>
          <w:snapToGrid w:val="0"/>
          <w:szCs w:val="22"/>
          <w:lang w:eastAsia="en-US"/>
        </w:rPr>
      </w:pPr>
      <w:r w:rsidRPr="008E55FF">
        <w:rPr>
          <w:rFonts w:cs="Arial"/>
          <w:bCs/>
          <w:snapToGrid w:val="0"/>
          <w:szCs w:val="22"/>
          <w:lang w:eastAsia="en-US"/>
        </w:rPr>
        <w:t xml:space="preserve"> </w:t>
      </w:r>
    </w:p>
    <w:p w:rsidR="00D84934" w:rsidRPr="00882085" w:rsidRDefault="00D84934" w:rsidP="00FD0E71">
      <w:pPr>
        <w:pStyle w:val="PBACHeading1"/>
        <w:rPr>
          <w:i/>
        </w:rPr>
      </w:pPr>
      <w:r>
        <w:t>Clinical trials</w:t>
      </w:r>
    </w:p>
    <w:p w:rsidR="00FD0E71" w:rsidRPr="00F9629A" w:rsidRDefault="00FD0E71" w:rsidP="00F9629A">
      <w:pPr>
        <w:jc w:val="both"/>
        <w:rPr>
          <w:szCs w:val="22"/>
        </w:rPr>
      </w:pPr>
    </w:p>
    <w:p w:rsidR="00803CCA" w:rsidRDefault="00126AD4" w:rsidP="00A650B9">
      <w:pPr>
        <w:pStyle w:val="ListParagraph"/>
        <w:numPr>
          <w:ilvl w:val="1"/>
          <w:numId w:val="2"/>
        </w:numPr>
        <w:jc w:val="both"/>
        <w:rPr>
          <w:szCs w:val="22"/>
        </w:rPr>
      </w:pPr>
      <w:r>
        <w:rPr>
          <w:szCs w:val="22"/>
        </w:rPr>
        <w:t xml:space="preserve">The minor submission presented </w:t>
      </w:r>
      <w:r w:rsidR="00803CCA">
        <w:rPr>
          <w:szCs w:val="22"/>
        </w:rPr>
        <w:t xml:space="preserve">two </w:t>
      </w:r>
      <w:r w:rsidR="004A3533">
        <w:rPr>
          <w:szCs w:val="22"/>
        </w:rPr>
        <w:t xml:space="preserve">direct randomised </w:t>
      </w:r>
      <w:r w:rsidR="00803CCA">
        <w:rPr>
          <w:szCs w:val="22"/>
        </w:rPr>
        <w:t>trials</w:t>
      </w:r>
      <w:r w:rsidR="004A3533">
        <w:rPr>
          <w:szCs w:val="22"/>
        </w:rPr>
        <w:t>:</w:t>
      </w:r>
    </w:p>
    <w:p w:rsidR="00BF4EF9" w:rsidRDefault="00AA2D8C" w:rsidP="00A650B9">
      <w:pPr>
        <w:pStyle w:val="ListParagraph"/>
        <w:numPr>
          <w:ilvl w:val="1"/>
          <w:numId w:val="6"/>
        </w:numPr>
        <w:ind w:left="1276" w:hanging="425"/>
        <w:jc w:val="both"/>
        <w:rPr>
          <w:szCs w:val="22"/>
        </w:rPr>
      </w:pPr>
      <w:r>
        <w:rPr>
          <w:szCs w:val="22"/>
        </w:rPr>
        <w:t xml:space="preserve">FIN1001: comparing </w:t>
      </w:r>
      <w:r w:rsidR="0068733D">
        <w:rPr>
          <w:szCs w:val="22"/>
        </w:rPr>
        <w:t xml:space="preserve">the </w:t>
      </w:r>
      <w:r>
        <w:rPr>
          <w:szCs w:val="22"/>
        </w:rPr>
        <w:t xml:space="preserve">clinical pharmacokinetic and safety profiles of </w:t>
      </w:r>
      <w:r w:rsidRPr="00AA2D8C">
        <w:rPr>
          <w:szCs w:val="22"/>
        </w:rPr>
        <w:t>Bemfola</w:t>
      </w:r>
      <w:r>
        <w:rPr>
          <w:szCs w:val="22"/>
        </w:rPr>
        <w:t xml:space="preserve"> </w:t>
      </w:r>
      <w:r w:rsidR="0068733D">
        <w:rPr>
          <w:szCs w:val="22"/>
        </w:rPr>
        <w:t>with</w:t>
      </w:r>
      <w:r>
        <w:rPr>
          <w:szCs w:val="22"/>
        </w:rPr>
        <w:t xml:space="preserve"> </w:t>
      </w:r>
      <w:r w:rsidRPr="00AA2D8C">
        <w:rPr>
          <w:szCs w:val="22"/>
        </w:rPr>
        <w:t>Gonal-f</w:t>
      </w:r>
      <w:r>
        <w:rPr>
          <w:szCs w:val="22"/>
        </w:rPr>
        <w:t xml:space="preserve"> </w:t>
      </w:r>
      <w:r w:rsidR="00BF4EF9">
        <w:rPr>
          <w:szCs w:val="22"/>
        </w:rPr>
        <w:t>in healthy females (n=25);</w:t>
      </w:r>
    </w:p>
    <w:p w:rsidR="0076420C" w:rsidRDefault="00BF4EF9" w:rsidP="00A650B9">
      <w:pPr>
        <w:pStyle w:val="ListParagraph"/>
        <w:numPr>
          <w:ilvl w:val="1"/>
          <w:numId w:val="6"/>
        </w:numPr>
        <w:ind w:left="1276" w:hanging="425"/>
        <w:jc w:val="both"/>
        <w:rPr>
          <w:szCs w:val="22"/>
        </w:rPr>
      </w:pPr>
      <w:r>
        <w:rPr>
          <w:szCs w:val="22"/>
        </w:rPr>
        <w:t>FIN3001: comparing</w:t>
      </w:r>
      <w:r w:rsidR="005F40FF">
        <w:rPr>
          <w:szCs w:val="22"/>
        </w:rPr>
        <w:t xml:space="preserve"> the</w:t>
      </w:r>
      <w:r>
        <w:rPr>
          <w:szCs w:val="22"/>
        </w:rPr>
        <w:t xml:space="preserve"> efficacy and safety of </w:t>
      </w:r>
      <w:r w:rsidRPr="00BF4EF9">
        <w:rPr>
          <w:szCs w:val="22"/>
        </w:rPr>
        <w:t>Bemfola</w:t>
      </w:r>
      <w:r>
        <w:rPr>
          <w:szCs w:val="22"/>
        </w:rPr>
        <w:t xml:space="preserve"> with </w:t>
      </w:r>
      <w:r w:rsidRPr="00BF4EF9">
        <w:rPr>
          <w:szCs w:val="22"/>
        </w:rPr>
        <w:t>Gonal-f</w:t>
      </w:r>
      <w:r>
        <w:rPr>
          <w:szCs w:val="22"/>
        </w:rPr>
        <w:t xml:space="preserve"> in women undergoing </w:t>
      </w:r>
      <w:r w:rsidR="0068733D">
        <w:rPr>
          <w:szCs w:val="22"/>
        </w:rPr>
        <w:t>ART</w:t>
      </w:r>
      <w:r w:rsidR="00252E97">
        <w:rPr>
          <w:szCs w:val="22"/>
        </w:rPr>
        <w:t xml:space="preserve"> (n=410).</w:t>
      </w:r>
    </w:p>
    <w:p w:rsidR="00BF4EF9" w:rsidRDefault="00BF4EF9" w:rsidP="00BF4EF9">
      <w:pPr>
        <w:pStyle w:val="ListParagraph"/>
        <w:jc w:val="both"/>
        <w:rPr>
          <w:i/>
          <w:szCs w:val="22"/>
        </w:rPr>
      </w:pPr>
    </w:p>
    <w:p w:rsidR="0076420C" w:rsidRPr="00D84934" w:rsidRDefault="0097056C" w:rsidP="004C1595">
      <w:pPr>
        <w:pStyle w:val="NoSpacing"/>
        <w:keepNext/>
        <w:ind w:left="709"/>
        <w:rPr>
          <w:rFonts w:ascii="Arial Narrow" w:hAnsi="Arial Narrow"/>
          <w:b/>
          <w:sz w:val="20"/>
        </w:rPr>
      </w:pPr>
      <w:r>
        <w:rPr>
          <w:rFonts w:ascii="Arial Narrow" w:hAnsi="Arial Narrow"/>
          <w:b/>
          <w:sz w:val="20"/>
        </w:rPr>
        <w:t xml:space="preserve">Table </w:t>
      </w:r>
      <w:r w:rsidR="004819A0">
        <w:rPr>
          <w:rFonts w:ascii="Arial Narrow" w:hAnsi="Arial Narrow"/>
          <w:b/>
          <w:sz w:val="20"/>
        </w:rPr>
        <w:t>2</w:t>
      </w:r>
      <w:r>
        <w:rPr>
          <w:rFonts w:ascii="Arial Narrow" w:hAnsi="Arial Narrow"/>
          <w:b/>
          <w:sz w:val="20"/>
        </w:rPr>
        <w:t xml:space="preserve">: </w:t>
      </w:r>
      <w:r w:rsidR="0076420C" w:rsidRPr="00D84934">
        <w:rPr>
          <w:rFonts w:ascii="Arial Narrow" w:hAnsi="Arial Narrow"/>
          <w:b/>
          <w:sz w:val="20"/>
        </w:rPr>
        <w:t xml:space="preserve">Trials and associated reports presented in the </w:t>
      </w:r>
      <w:r w:rsidR="001A5CF2">
        <w:rPr>
          <w:rFonts w:ascii="Arial Narrow" w:hAnsi="Arial Narrow"/>
          <w:b/>
          <w:sz w:val="20"/>
        </w:rPr>
        <w:t xml:space="preserve">minor </w:t>
      </w:r>
      <w:r w:rsidR="0076420C" w:rsidRPr="00D84934">
        <w:rPr>
          <w:rFonts w:ascii="Arial Narrow" w:hAnsi="Arial Narrow"/>
          <w:b/>
          <w:sz w:val="20"/>
        </w:rPr>
        <w:t>submission</w:t>
      </w:r>
    </w:p>
    <w:tbl>
      <w:tblPr>
        <w:tblW w:w="85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678"/>
        <w:gridCol w:w="2835"/>
      </w:tblGrid>
      <w:tr w:rsidR="0076420C" w:rsidRPr="005838CB" w:rsidTr="00F4007A">
        <w:trPr>
          <w:cantSplit/>
          <w:tblHeader/>
        </w:trPr>
        <w:tc>
          <w:tcPr>
            <w:tcW w:w="992" w:type="dxa"/>
            <w:tcBorders>
              <w:bottom w:val="single" w:sz="4" w:space="0" w:color="auto"/>
            </w:tcBorders>
          </w:tcPr>
          <w:p w:rsidR="0076420C" w:rsidRPr="008B20DD" w:rsidRDefault="0076420C" w:rsidP="004C1595">
            <w:pPr>
              <w:pStyle w:val="NoSpacing"/>
              <w:keepNext/>
              <w:rPr>
                <w:rFonts w:ascii="Arial Narrow" w:hAnsi="Arial Narrow"/>
                <w:b/>
                <w:sz w:val="20"/>
                <w:szCs w:val="20"/>
              </w:rPr>
            </w:pPr>
            <w:r w:rsidRPr="008B20DD">
              <w:rPr>
                <w:rFonts w:ascii="Arial Narrow" w:hAnsi="Arial Narrow"/>
                <w:b/>
                <w:sz w:val="20"/>
                <w:szCs w:val="20"/>
              </w:rPr>
              <w:t>Trial ID</w:t>
            </w:r>
          </w:p>
        </w:tc>
        <w:tc>
          <w:tcPr>
            <w:tcW w:w="4678" w:type="dxa"/>
            <w:tcBorders>
              <w:bottom w:val="single" w:sz="4" w:space="0" w:color="auto"/>
            </w:tcBorders>
          </w:tcPr>
          <w:p w:rsidR="0076420C" w:rsidRPr="008B20DD" w:rsidRDefault="0076420C" w:rsidP="004C1595">
            <w:pPr>
              <w:keepNext/>
              <w:jc w:val="center"/>
              <w:rPr>
                <w:rFonts w:ascii="Arial Narrow" w:hAnsi="Arial Narrow"/>
                <w:b/>
                <w:sz w:val="20"/>
                <w:szCs w:val="20"/>
              </w:rPr>
            </w:pPr>
            <w:r w:rsidRPr="008B20DD">
              <w:rPr>
                <w:rFonts w:ascii="Arial Narrow" w:hAnsi="Arial Narrow"/>
                <w:b/>
                <w:sz w:val="20"/>
                <w:szCs w:val="20"/>
              </w:rPr>
              <w:t>Protocol title/ Publication title</w:t>
            </w:r>
          </w:p>
        </w:tc>
        <w:tc>
          <w:tcPr>
            <w:tcW w:w="2835" w:type="dxa"/>
            <w:tcBorders>
              <w:bottom w:val="single" w:sz="4" w:space="0" w:color="auto"/>
            </w:tcBorders>
          </w:tcPr>
          <w:p w:rsidR="0076420C" w:rsidRPr="008B20DD" w:rsidRDefault="0076420C" w:rsidP="004C1595">
            <w:pPr>
              <w:keepNext/>
              <w:rPr>
                <w:rFonts w:ascii="Arial Narrow" w:hAnsi="Arial Narrow"/>
                <w:b/>
                <w:sz w:val="20"/>
                <w:szCs w:val="20"/>
              </w:rPr>
            </w:pPr>
            <w:r w:rsidRPr="008B20DD">
              <w:rPr>
                <w:rFonts w:ascii="Arial Narrow" w:hAnsi="Arial Narrow"/>
                <w:b/>
                <w:sz w:val="20"/>
                <w:szCs w:val="20"/>
              </w:rPr>
              <w:t>Publication citation</w:t>
            </w:r>
          </w:p>
        </w:tc>
      </w:tr>
      <w:tr w:rsidR="00BF4EF9" w:rsidRPr="005838CB" w:rsidTr="00F4007A">
        <w:trPr>
          <w:cantSplit/>
        </w:trPr>
        <w:tc>
          <w:tcPr>
            <w:tcW w:w="992" w:type="dxa"/>
            <w:tcBorders>
              <w:bottom w:val="nil"/>
            </w:tcBorders>
          </w:tcPr>
          <w:p w:rsidR="00BF4EF9" w:rsidRPr="008B20DD" w:rsidRDefault="00BF4EF9" w:rsidP="004C1595">
            <w:pPr>
              <w:pStyle w:val="NoSpacing"/>
              <w:keepNext/>
              <w:rPr>
                <w:rFonts w:ascii="Arial Narrow" w:hAnsi="Arial Narrow"/>
                <w:b/>
                <w:sz w:val="20"/>
                <w:szCs w:val="20"/>
              </w:rPr>
            </w:pPr>
            <w:r w:rsidRPr="008B20DD">
              <w:rPr>
                <w:rFonts w:ascii="Arial Narrow" w:hAnsi="Arial Narrow"/>
                <w:b/>
                <w:sz w:val="20"/>
                <w:szCs w:val="20"/>
              </w:rPr>
              <w:t>FIN1001</w:t>
            </w:r>
          </w:p>
        </w:tc>
        <w:tc>
          <w:tcPr>
            <w:tcW w:w="4678" w:type="dxa"/>
            <w:tcBorders>
              <w:bottom w:val="dotted" w:sz="4" w:space="0" w:color="auto"/>
            </w:tcBorders>
          </w:tcPr>
          <w:p w:rsidR="00BF4EF9" w:rsidRPr="008B20DD" w:rsidRDefault="008B20DD" w:rsidP="004C1595">
            <w:pPr>
              <w:keepNext/>
              <w:rPr>
                <w:rFonts w:ascii="Arial Narrow" w:hAnsi="Arial Narrow"/>
                <w:sz w:val="20"/>
                <w:szCs w:val="20"/>
              </w:rPr>
            </w:pPr>
            <w:r w:rsidRPr="008B20DD">
              <w:rPr>
                <w:rFonts w:ascii="Arial Narrow" w:hAnsi="Arial Narrow"/>
                <w:sz w:val="20"/>
                <w:szCs w:val="20"/>
              </w:rPr>
              <w:t>Clinical study report</w:t>
            </w:r>
            <w:r w:rsidR="00E87887">
              <w:rPr>
                <w:rFonts w:ascii="Arial Narrow" w:hAnsi="Arial Narrow"/>
                <w:sz w:val="20"/>
                <w:szCs w:val="20"/>
              </w:rPr>
              <w:t xml:space="preserve"> FIN1001. Comparative pharmacokinetics of AFOLIA and </w:t>
            </w:r>
            <w:r w:rsidR="00E87887" w:rsidRPr="00E87887">
              <w:rPr>
                <w:rFonts w:ascii="Arial Narrow" w:hAnsi="Arial Narrow"/>
                <w:sz w:val="20"/>
                <w:szCs w:val="20"/>
              </w:rPr>
              <w:t>Gonal-f</w:t>
            </w:r>
            <w:r w:rsidR="00E87887" w:rsidRPr="00E87887">
              <w:rPr>
                <w:rFonts w:ascii="Arial Narrow" w:hAnsi="Arial Narrow"/>
                <w:sz w:val="20"/>
                <w:szCs w:val="20"/>
                <w:vertAlign w:val="superscript"/>
              </w:rPr>
              <w:t>®</w:t>
            </w:r>
            <w:r w:rsidR="00E87887">
              <w:rPr>
                <w:rFonts w:ascii="Arial Narrow" w:hAnsi="Arial Narrow"/>
                <w:sz w:val="20"/>
                <w:szCs w:val="20"/>
              </w:rPr>
              <w:t xml:space="preserve"> after single subcutaneous application.</w:t>
            </w:r>
          </w:p>
        </w:tc>
        <w:tc>
          <w:tcPr>
            <w:tcW w:w="2835" w:type="dxa"/>
            <w:tcBorders>
              <w:bottom w:val="dotted" w:sz="4" w:space="0" w:color="auto"/>
            </w:tcBorders>
          </w:tcPr>
          <w:p w:rsidR="00BF4EF9" w:rsidRPr="00E87887" w:rsidRDefault="00E87887" w:rsidP="004C1595">
            <w:pPr>
              <w:keepNext/>
              <w:rPr>
                <w:rFonts w:ascii="Arial Narrow" w:hAnsi="Arial Narrow"/>
                <w:sz w:val="20"/>
                <w:szCs w:val="20"/>
              </w:rPr>
            </w:pPr>
            <w:r w:rsidRPr="00E87887">
              <w:rPr>
                <w:rFonts w:ascii="Arial Narrow" w:hAnsi="Arial Narrow"/>
                <w:sz w:val="20"/>
                <w:szCs w:val="20"/>
              </w:rPr>
              <w:t>December 2009</w:t>
            </w:r>
          </w:p>
        </w:tc>
      </w:tr>
      <w:tr w:rsidR="0076420C" w:rsidRPr="005838CB" w:rsidTr="00F4007A">
        <w:trPr>
          <w:cantSplit/>
        </w:trPr>
        <w:tc>
          <w:tcPr>
            <w:tcW w:w="992" w:type="dxa"/>
            <w:tcBorders>
              <w:top w:val="nil"/>
              <w:bottom w:val="single" w:sz="4" w:space="0" w:color="auto"/>
            </w:tcBorders>
          </w:tcPr>
          <w:p w:rsidR="0076420C" w:rsidRPr="008B20DD" w:rsidRDefault="0076420C" w:rsidP="004C1595">
            <w:pPr>
              <w:pStyle w:val="NoSpacing"/>
              <w:keepNext/>
              <w:rPr>
                <w:rFonts w:ascii="Arial Narrow" w:hAnsi="Arial Narrow"/>
                <w:b/>
                <w:sz w:val="20"/>
                <w:szCs w:val="20"/>
              </w:rPr>
            </w:pPr>
          </w:p>
        </w:tc>
        <w:tc>
          <w:tcPr>
            <w:tcW w:w="4678" w:type="dxa"/>
            <w:tcBorders>
              <w:top w:val="dotted" w:sz="4" w:space="0" w:color="auto"/>
              <w:bottom w:val="single" w:sz="4" w:space="0" w:color="auto"/>
            </w:tcBorders>
          </w:tcPr>
          <w:p w:rsidR="0076420C" w:rsidRPr="008B20DD" w:rsidRDefault="00BF4EF9" w:rsidP="004C1595">
            <w:pPr>
              <w:keepNext/>
              <w:rPr>
                <w:rFonts w:ascii="Arial Narrow" w:hAnsi="Arial Narrow"/>
                <w:sz w:val="20"/>
                <w:szCs w:val="20"/>
              </w:rPr>
            </w:pPr>
            <w:r w:rsidRPr="003F3626">
              <w:rPr>
                <w:rFonts w:ascii="Arial Narrow" w:hAnsi="Arial Narrow"/>
                <w:sz w:val="20"/>
                <w:szCs w:val="20"/>
                <w:lang w:val="fr-FR"/>
              </w:rPr>
              <w:t xml:space="preserve">Wolzt M., Gouya G., Sator M., </w:t>
            </w:r>
            <w:r w:rsidR="008B20DD" w:rsidRPr="003F3626">
              <w:rPr>
                <w:rFonts w:ascii="Arial Narrow" w:hAnsi="Arial Narrow"/>
                <w:i/>
                <w:sz w:val="20"/>
                <w:szCs w:val="20"/>
                <w:lang w:val="fr-FR"/>
              </w:rPr>
              <w:t xml:space="preserve">et al. </w:t>
            </w:r>
            <w:r w:rsidRPr="008B20DD">
              <w:rPr>
                <w:rFonts w:ascii="Arial Narrow" w:hAnsi="Arial Narrow"/>
                <w:sz w:val="20"/>
                <w:szCs w:val="20"/>
              </w:rPr>
              <w:t>Comparison of pharmacokinetic and safety profiles between Bemfola</w:t>
            </w:r>
            <w:r w:rsidRPr="008B20DD">
              <w:rPr>
                <w:rFonts w:ascii="Arial Narrow" w:hAnsi="Arial Narrow"/>
                <w:sz w:val="20"/>
                <w:szCs w:val="20"/>
                <w:vertAlign w:val="superscript"/>
              </w:rPr>
              <w:t>®</w:t>
            </w:r>
            <w:r w:rsidRPr="008B20DD">
              <w:rPr>
                <w:rFonts w:ascii="Arial Narrow" w:hAnsi="Arial Narrow"/>
                <w:sz w:val="20"/>
                <w:szCs w:val="20"/>
              </w:rPr>
              <w:t xml:space="preserve"> and Gonal-f</w:t>
            </w:r>
            <w:r w:rsidRPr="008B20DD">
              <w:rPr>
                <w:rFonts w:ascii="Arial Narrow" w:hAnsi="Arial Narrow"/>
                <w:sz w:val="20"/>
                <w:szCs w:val="20"/>
                <w:vertAlign w:val="superscript"/>
              </w:rPr>
              <w:t>®</w:t>
            </w:r>
            <w:r w:rsidRPr="008B20DD">
              <w:rPr>
                <w:rFonts w:ascii="Arial Narrow" w:hAnsi="Arial Narrow"/>
                <w:sz w:val="20"/>
                <w:szCs w:val="20"/>
              </w:rPr>
              <w:t xml:space="preserve"> after subcutaneous application</w:t>
            </w:r>
            <w:r w:rsidR="008B20DD" w:rsidRPr="008B20DD">
              <w:rPr>
                <w:rFonts w:ascii="Arial Narrow" w:hAnsi="Arial Narrow"/>
                <w:sz w:val="20"/>
                <w:szCs w:val="20"/>
              </w:rPr>
              <w:t>.</w:t>
            </w:r>
            <w:r w:rsidRPr="008B20DD">
              <w:rPr>
                <w:rFonts w:ascii="Arial Narrow" w:hAnsi="Arial Narrow"/>
                <w:sz w:val="20"/>
                <w:szCs w:val="20"/>
              </w:rPr>
              <w:t xml:space="preserve"> </w:t>
            </w:r>
          </w:p>
        </w:tc>
        <w:tc>
          <w:tcPr>
            <w:tcW w:w="2835" w:type="dxa"/>
            <w:tcBorders>
              <w:top w:val="dotted" w:sz="4" w:space="0" w:color="auto"/>
              <w:bottom w:val="single" w:sz="4" w:space="0" w:color="auto"/>
            </w:tcBorders>
          </w:tcPr>
          <w:p w:rsidR="0076420C" w:rsidRPr="008B20DD" w:rsidRDefault="008B20DD" w:rsidP="004C1595">
            <w:pPr>
              <w:keepNext/>
              <w:rPr>
                <w:rFonts w:ascii="Arial Narrow" w:hAnsi="Arial Narrow"/>
                <w:b/>
                <w:sz w:val="20"/>
                <w:szCs w:val="20"/>
              </w:rPr>
            </w:pPr>
            <w:r w:rsidRPr="008B20DD">
              <w:rPr>
                <w:rFonts w:ascii="Arial Narrow" w:hAnsi="Arial Narrow"/>
                <w:i/>
                <w:sz w:val="20"/>
                <w:szCs w:val="20"/>
              </w:rPr>
              <w:t>European Journal of Drug Metabolism and Pharmacokinetics</w:t>
            </w:r>
            <w:r w:rsidRPr="008B20DD">
              <w:rPr>
                <w:rFonts w:ascii="Arial Narrow" w:hAnsi="Arial Narrow"/>
                <w:sz w:val="20"/>
                <w:szCs w:val="20"/>
              </w:rPr>
              <w:t xml:space="preserve"> 2015 [Epub ahead of print]</w:t>
            </w:r>
          </w:p>
        </w:tc>
      </w:tr>
      <w:tr w:rsidR="0076420C" w:rsidRPr="005838CB" w:rsidTr="00F4007A">
        <w:trPr>
          <w:cantSplit/>
        </w:trPr>
        <w:tc>
          <w:tcPr>
            <w:tcW w:w="992" w:type="dxa"/>
            <w:tcBorders>
              <w:bottom w:val="nil"/>
            </w:tcBorders>
          </w:tcPr>
          <w:p w:rsidR="0076420C" w:rsidRPr="008B20DD" w:rsidRDefault="00BF4EF9" w:rsidP="004C1595">
            <w:pPr>
              <w:pStyle w:val="NoSpacing"/>
              <w:keepNext/>
              <w:rPr>
                <w:rFonts w:ascii="Arial Narrow" w:hAnsi="Arial Narrow"/>
                <w:b/>
                <w:sz w:val="20"/>
                <w:szCs w:val="20"/>
              </w:rPr>
            </w:pPr>
            <w:r w:rsidRPr="008B20DD">
              <w:rPr>
                <w:rFonts w:ascii="Arial Narrow" w:hAnsi="Arial Narrow"/>
                <w:b/>
                <w:sz w:val="20"/>
                <w:szCs w:val="20"/>
              </w:rPr>
              <w:t>FIN3001</w:t>
            </w:r>
          </w:p>
        </w:tc>
        <w:tc>
          <w:tcPr>
            <w:tcW w:w="4678" w:type="dxa"/>
            <w:tcBorders>
              <w:bottom w:val="dotted" w:sz="4" w:space="0" w:color="auto"/>
            </w:tcBorders>
          </w:tcPr>
          <w:p w:rsidR="0076420C" w:rsidRPr="008B20DD" w:rsidRDefault="008B20DD" w:rsidP="004C1595">
            <w:pPr>
              <w:keepNext/>
              <w:rPr>
                <w:rFonts w:ascii="Arial Narrow" w:hAnsi="Arial Narrow"/>
                <w:b/>
                <w:sz w:val="20"/>
                <w:szCs w:val="20"/>
              </w:rPr>
            </w:pPr>
            <w:r w:rsidRPr="008B20DD">
              <w:rPr>
                <w:rFonts w:ascii="Arial Narrow" w:hAnsi="Arial Narrow"/>
                <w:sz w:val="20"/>
                <w:szCs w:val="20"/>
              </w:rPr>
              <w:t>Clinical study report</w:t>
            </w:r>
            <w:r w:rsidR="00E87887">
              <w:rPr>
                <w:rFonts w:ascii="Arial Narrow" w:hAnsi="Arial Narrow"/>
                <w:sz w:val="20"/>
                <w:szCs w:val="20"/>
              </w:rPr>
              <w:t xml:space="preserve"> FIN3001</w:t>
            </w:r>
            <w:r w:rsidRPr="008B20DD">
              <w:rPr>
                <w:rFonts w:ascii="Arial Narrow" w:hAnsi="Arial Narrow"/>
                <w:sz w:val="20"/>
                <w:szCs w:val="20"/>
              </w:rPr>
              <w:t>.</w:t>
            </w:r>
            <w:r w:rsidR="00E87887">
              <w:rPr>
                <w:rFonts w:ascii="Arial Narrow" w:hAnsi="Arial Narrow"/>
                <w:sz w:val="20"/>
                <w:szCs w:val="20"/>
              </w:rPr>
              <w:t xml:space="preserve"> </w:t>
            </w:r>
            <w:r w:rsidR="00E87887" w:rsidRPr="00E87887">
              <w:rPr>
                <w:rFonts w:ascii="Arial Narrow" w:hAnsi="Arial Narrow"/>
                <w:sz w:val="20"/>
                <w:szCs w:val="20"/>
              </w:rPr>
              <w:t>A Phase III assessor-blinded randomised parallel</w:t>
            </w:r>
            <w:r w:rsidR="00E87887">
              <w:rPr>
                <w:rFonts w:ascii="Arial Narrow" w:hAnsi="Arial Narrow"/>
                <w:sz w:val="20"/>
                <w:szCs w:val="20"/>
              </w:rPr>
              <w:t xml:space="preserve"> </w:t>
            </w:r>
            <w:r w:rsidR="00E87887" w:rsidRPr="00E87887">
              <w:rPr>
                <w:rFonts w:ascii="Arial Narrow" w:hAnsi="Arial Narrow"/>
                <w:sz w:val="20"/>
                <w:szCs w:val="20"/>
              </w:rPr>
              <w:t>group multi-centre study to compare efficacy</w:t>
            </w:r>
            <w:r w:rsidR="00E87887">
              <w:rPr>
                <w:rFonts w:ascii="Arial Narrow" w:hAnsi="Arial Narrow"/>
                <w:sz w:val="20"/>
                <w:szCs w:val="20"/>
              </w:rPr>
              <w:t xml:space="preserve"> </w:t>
            </w:r>
            <w:r w:rsidR="00E87887" w:rsidRPr="00E87887">
              <w:rPr>
                <w:rFonts w:ascii="Arial Narrow" w:hAnsi="Arial Narrow"/>
                <w:sz w:val="20"/>
                <w:szCs w:val="20"/>
              </w:rPr>
              <w:t>and safety of two r-hFSH formulations</w:t>
            </w:r>
            <w:r w:rsidR="00E87887">
              <w:rPr>
                <w:rFonts w:ascii="Arial Narrow" w:hAnsi="Arial Narrow"/>
                <w:sz w:val="20"/>
                <w:szCs w:val="20"/>
              </w:rPr>
              <w:t xml:space="preserve"> </w:t>
            </w:r>
            <w:r w:rsidR="00E87887" w:rsidRPr="00E87887">
              <w:rPr>
                <w:rFonts w:ascii="Arial Narrow" w:hAnsi="Arial Narrow"/>
                <w:sz w:val="20"/>
                <w:szCs w:val="20"/>
              </w:rPr>
              <w:t>(AFOLIA vs Gonal-f</w:t>
            </w:r>
            <w:r w:rsidR="00E87887" w:rsidRPr="0068733D">
              <w:rPr>
                <w:rFonts w:ascii="Arial Narrow" w:hAnsi="Arial Narrow"/>
                <w:sz w:val="20"/>
                <w:szCs w:val="20"/>
                <w:vertAlign w:val="superscript"/>
              </w:rPr>
              <w:t>®</w:t>
            </w:r>
            <w:r w:rsidR="00E87887" w:rsidRPr="00E87887">
              <w:rPr>
                <w:rFonts w:ascii="Arial Narrow" w:hAnsi="Arial Narrow"/>
                <w:sz w:val="20"/>
                <w:szCs w:val="20"/>
              </w:rPr>
              <w:t>) in women for assisted</w:t>
            </w:r>
            <w:r w:rsidR="00E87887">
              <w:rPr>
                <w:rFonts w:ascii="Arial Narrow" w:hAnsi="Arial Narrow"/>
                <w:sz w:val="20"/>
                <w:szCs w:val="20"/>
              </w:rPr>
              <w:t xml:space="preserve"> </w:t>
            </w:r>
            <w:r w:rsidR="00E87887" w:rsidRPr="00E87887">
              <w:rPr>
                <w:rFonts w:ascii="Arial Narrow" w:hAnsi="Arial Narrow"/>
                <w:sz w:val="20"/>
                <w:szCs w:val="20"/>
              </w:rPr>
              <w:t>reproductive treatment</w:t>
            </w:r>
            <w:r w:rsidR="00E87887">
              <w:rPr>
                <w:rFonts w:ascii="Arial Narrow" w:hAnsi="Arial Narrow"/>
                <w:sz w:val="20"/>
                <w:szCs w:val="20"/>
              </w:rPr>
              <w:t>.</w:t>
            </w:r>
          </w:p>
        </w:tc>
        <w:tc>
          <w:tcPr>
            <w:tcW w:w="2835" w:type="dxa"/>
            <w:tcBorders>
              <w:bottom w:val="dotted" w:sz="4" w:space="0" w:color="auto"/>
            </w:tcBorders>
          </w:tcPr>
          <w:p w:rsidR="0076420C" w:rsidRPr="00E87887" w:rsidRDefault="00E87887" w:rsidP="004C1595">
            <w:pPr>
              <w:keepNext/>
              <w:rPr>
                <w:rFonts w:ascii="Arial Narrow" w:hAnsi="Arial Narrow"/>
                <w:sz w:val="20"/>
                <w:szCs w:val="20"/>
              </w:rPr>
            </w:pPr>
            <w:r w:rsidRPr="00E87887">
              <w:rPr>
                <w:rFonts w:ascii="Arial Narrow" w:hAnsi="Arial Narrow"/>
                <w:sz w:val="20"/>
                <w:szCs w:val="20"/>
              </w:rPr>
              <w:t>September 2012</w:t>
            </w:r>
          </w:p>
        </w:tc>
      </w:tr>
      <w:tr w:rsidR="0076420C" w:rsidRPr="005838CB" w:rsidTr="00F4007A">
        <w:trPr>
          <w:cantSplit/>
          <w:trHeight w:val="127"/>
        </w:trPr>
        <w:tc>
          <w:tcPr>
            <w:tcW w:w="992" w:type="dxa"/>
            <w:tcBorders>
              <w:top w:val="nil"/>
            </w:tcBorders>
          </w:tcPr>
          <w:p w:rsidR="0076420C" w:rsidRPr="008B20DD" w:rsidRDefault="0076420C" w:rsidP="004C1595">
            <w:pPr>
              <w:pStyle w:val="NoSpacing"/>
              <w:keepNext/>
              <w:rPr>
                <w:rFonts w:ascii="Arial Narrow" w:hAnsi="Arial Narrow"/>
                <w:b/>
                <w:sz w:val="20"/>
                <w:szCs w:val="20"/>
              </w:rPr>
            </w:pPr>
          </w:p>
        </w:tc>
        <w:tc>
          <w:tcPr>
            <w:tcW w:w="4678" w:type="dxa"/>
            <w:tcBorders>
              <w:top w:val="dotted" w:sz="4" w:space="0" w:color="auto"/>
            </w:tcBorders>
          </w:tcPr>
          <w:p w:rsidR="0076420C" w:rsidRPr="008B20DD" w:rsidRDefault="008B20DD" w:rsidP="004C1595">
            <w:pPr>
              <w:keepNext/>
              <w:rPr>
                <w:rFonts w:ascii="Arial Narrow" w:hAnsi="Arial Narrow"/>
                <w:sz w:val="20"/>
                <w:szCs w:val="20"/>
              </w:rPr>
            </w:pPr>
            <w:r w:rsidRPr="008B20DD">
              <w:rPr>
                <w:rFonts w:ascii="Arial Narrow" w:hAnsi="Arial Narrow"/>
                <w:sz w:val="20"/>
                <w:szCs w:val="20"/>
                <w:lang w:val="fr-FR"/>
              </w:rPr>
              <w:t xml:space="preserve">Rettenbacher M., Andersen A.N., Garcia-Velasco J.A., </w:t>
            </w:r>
            <w:r w:rsidRPr="008B20DD">
              <w:rPr>
                <w:rFonts w:ascii="Arial Narrow" w:hAnsi="Arial Narrow"/>
                <w:i/>
                <w:sz w:val="20"/>
                <w:szCs w:val="20"/>
                <w:lang w:val="fr-FR"/>
              </w:rPr>
              <w:t xml:space="preserve">et al. </w:t>
            </w:r>
            <w:r w:rsidRPr="008B20DD">
              <w:rPr>
                <w:rFonts w:ascii="Arial Narrow" w:hAnsi="Arial Narrow"/>
                <w:sz w:val="20"/>
                <w:szCs w:val="20"/>
              </w:rPr>
              <w:t>A multi-centre phase 3 study comparing efficacy and safety of Bemfola</w:t>
            </w:r>
            <w:r w:rsidRPr="008B20DD">
              <w:rPr>
                <w:rFonts w:ascii="Arial Narrow" w:hAnsi="Arial Narrow"/>
                <w:sz w:val="20"/>
                <w:szCs w:val="20"/>
                <w:vertAlign w:val="superscript"/>
              </w:rPr>
              <w:t>®</w:t>
            </w:r>
            <w:r w:rsidRPr="008B20DD">
              <w:rPr>
                <w:rFonts w:ascii="Arial Narrow" w:hAnsi="Arial Narrow"/>
                <w:sz w:val="20"/>
                <w:szCs w:val="20"/>
              </w:rPr>
              <w:t xml:space="preserve"> versus Gonal-f</w:t>
            </w:r>
            <w:r w:rsidRPr="008B20DD">
              <w:rPr>
                <w:rFonts w:ascii="Arial Narrow" w:hAnsi="Arial Narrow"/>
                <w:sz w:val="20"/>
                <w:szCs w:val="20"/>
                <w:vertAlign w:val="superscript"/>
              </w:rPr>
              <w:t>®</w:t>
            </w:r>
            <w:r w:rsidRPr="008B20DD">
              <w:rPr>
                <w:rFonts w:ascii="Arial Narrow" w:hAnsi="Arial Narrow"/>
                <w:sz w:val="20"/>
                <w:szCs w:val="20"/>
              </w:rPr>
              <w:t xml:space="preserve"> in women undergoing ovarian stimulation for IVF</w:t>
            </w:r>
            <w:r>
              <w:rPr>
                <w:rFonts w:ascii="Arial Narrow" w:hAnsi="Arial Narrow"/>
                <w:sz w:val="20"/>
                <w:szCs w:val="20"/>
              </w:rPr>
              <w:t>.</w:t>
            </w:r>
            <w:r w:rsidRPr="008B20DD">
              <w:rPr>
                <w:rFonts w:ascii="Arial Narrow" w:hAnsi="Arial Narrow"/>
                <w:sz w:val="20"/>
                <w:szCs w:val="20"/>
              </w:rPr>
              <w:t xml:space="preserve"> </w:t>
            </w:r>
          </w:p>
        </w:tc>
        <w:tc>
          <w:tcPr>
            <w:tcW w:w="2835" w:type="dxa"/>
            <w:tcBorders>
              <w:top w:val="dotted" w:sz="4" w:space="0" w:color="auto"/>
            </w:tcBorders>
          </w:tcPr>
          <w:p w:rsidR="0076420C" w:rsidRPr="008B20DD" w:rsidRDefault="00F4007A" w:rsidP="004C1595">
            <w:pPr>
              <w:keepNext/>
              <w:rPr>
                <w:rFonts w:ascii="Arial Narrow" w:hAnsi="Arial Narrow"/>
                <w:b/>
                <w:sz w:val="20"/>
                <w:szCs w:val="20"/>
              </w:rPr>
            </w:pPr>
            <w:r>
              <w:rPr>
                <w:rFonts w:ascii="Arial Narrow" w:hAnsi="Arial Narrow"/>
                <w:i/>
                <w:sz w:val="20"/>
                <w:szCs w:val="20"/>
              </w:rPr>
              <w:t>Reproductive BioM</w:t>
            </w:r>
            <w:r w:rsidR="008B20DD" w:rsidRPr="008B20DD">
              <w:rPr>
                <w:rFonts w:ascii="Arial Narrow" w:hAnsi="Arial Narrow"/>
                <w:i/>
                <w:sz w:val="20"/>
                <w:szCs w:val="20"/>
              </w:rPr>
              <w:t>edicine Online</w:t>
            </w:r>
            <w:r w:rsidR="008B20DD">
              <w:rPr>
                <w:rFonts w:ascii="Arial Narrow" w:hAnsi="Arial Narrow"/>
                <w:sz w:val="20"/>
                <w:szCs w:val="20"/>
              </w:rPr>
              <w:t xml:space="preserve"> 2015;</w:t>
            </w:r>
            <w:r w:rsidR="008B20DD" w:rsidRPr="008B20DD">
              <w:rPr>
                <w:rFonts w:ascii="Arial Narrow" w:hAnsi="Arial Narrow"/>
                <w:sz w:val="20"/>
                <w:szCs w:val="20"/>
              </w:rPr>
              <w:t xml:space="preserve"> 30</w:t>
            </w:r>
            <w:r w:rsidR="008B20DD">
              <w:rPr>
                <w:rFonts w:ascii="Arial Narrow" w:hAnsi="Arial Narrow"/>
                <w:sz w:val="20"/>
                <w:szCs w:val="20"/>
              </w:rPr>
              <w:t>(</w:t>
            </w:r>
            <w:r w:rsidR="008B20DD" w:rsidRPr="008B20DD">
              <w:rPr>
                <w:rFonts w:ascii="Arial Narrow" w:hAnsi="Arial Narrow"/>
                <w:sz w:val="20"/>
                <w:szCs w:val="20"/>
              </w:rPr>
              <w:t>5</w:t>
            </w:r>
            <w:r w:rsidR="008B20DD">
              <w:rPr>
                <w:rFonts w:ascii="Arial Narrow" w:hAnsi="Arial Narrow"/>
                <w:sz w:val="20"/>
                <w:szCs w:val="20"/>
              </w:rPr>
              <w:t>): 504-13</w:t>
            </w:r>
          </w:p>
        </w:tc>
      </w:tr>
    </w:tbl>
    <w:p w:rsidR="0076420C" w:rsidRPr="0076420C" w:rsidRDefault="0076420C" w:rsidP="0076420C">
      <w:pPr>
        <w:pStyle w:val="tablenotes"/>
        <w:ind w:firstLine="709"/>
        <w:rPr>
          <w:szCs w:val="18"/>
        </w:rPr>
      </w:pPr>
      <w:r w:rsidRPr="005838CB">
        <w:rPr>
          <w:szCs w:val="18"/>
        </w:rPr>
        <w:t xml:space="preserve">Source: </w:t>
      </w:r>
      <w:r w:rsidR="008B20DD">
        <w:rPr>
          <w:szCs w:val="18"/>
        </w:rPr>
        <w:t>Table 2-1, pp12-13 of the minor submission</w:t>
      </w:r>
    </w:p>
    <w:p w:rsidR="0076420C" w:rsidRDefault="0076420C" w:rsidP="0076420C">
      <w:pPr>
        <w:pStyle w:val="ListParagraph"/>
        <w:ind w:left="709"/>
        <w:jc w:val="both"/>
        <w:rPr>
          <w:szCs w:val="22"/>
        </w:rPr>
      </w:pPr>
    </w:p>
    <w:p w:rsidR="00E13495" w:rsidRPr="001D57AE" w:rsidRDefault="00E13495" w:rsidP="00E13495">
      <w:pPr>
        <w:pStyle w:val="ListParagraph"/>
        <w:numPr>
          <w:ilvl w:val="1"/>
          <w:numId w:val="2"/>
        </w:numPr>
        <w:jc w:val="both"/>
        <w:rPr>
          <w:szCs w:val="22"/>
        </w:rPr>
      </w:pPr>
      <w:r w:rsidRPr="001D57AE">
        <w:rPr>
          <w:szCs w:val="22"/>
        </w:rPr>
        <w:t xml:space="preserve">The </w:t>
      </w:r>
      <w:r w:rsidR="001A5CF2" w:rsidRPr="001D57AE">
        <w:rPr>
          <w:szCs w:val="22"/>
        </w:rPr>
        <w:t xml:space="preserve">minor </w:t>
      </w:r>
      <w:r w:rsidRPr="001D57AE">
        <w:rPr>
          <w:szCs w:val="22"/>
        </w:rPr>
        <w:t xml:space="preserve">submission indicated that the pharmacokinetic and clinical evidence </w:t>
      </w:r>
      <w:r w:rsidR="005F40FF" w:rsidRPr="001D57AE">
        <w:rPr>
          <w:szCs w:val="22"/>
        </w:rPr>
        <w:t xml:space="preserve">concerning </w:t>
      </w:r>
      <w:r w:rsidRPr="001D57AE">
        <w:rPr>
          <w:szCs w:val="22"/>
        </w:rPr>
        <w:t>Bemfola was developed in line with the European Medicines Agency (EMA) guideline on non-clinical and clinical development of similar biological medicinal products containing r-hFSH.</w:t>
      </w:r>
    </w:p>
    <w:p w:rsidR="00E13495" w:rsidRPr="001D57AE" w:rsidRDefault="00E13495" w:rsidP="00E13495">
      <w:pPr>
        <w:pStyle w:val="ListParagraph"/>
        <w:jc w:val="both"/>
        <w:rPr>
          <w:szCs w:val="22"/>
        </w:rPr>
      </w:pPr>
    </w:p>
    <w:p w:rsidR="00021006" w:rsidRPr="001D57AE" w:rsidRDefault="00021006" w:rsidP="00D12584">
      <w:pPr>
        <w:pStyle w:val="ListParagraph"/>
        <w:numPr>
          <w:ilvl w:val="1"/>
          <w:numId w:val="2"/>
        </w:numPr>
        <w:jc w:val="both"/>
        <w:rPr>
          <w:szCs w:val="22"/>
        </w:rPr>
      </w:pPr>
      <w:r w:rsidRPr="001D57AE">
        <w:rPr>
          <w:szCs w:val="22"/>
        </w:rPr>
        <w:t xml:space="preserve">The </w:t>
      </w:r>
      <w:r w:rsidR="001A5CF2" w:rsidRPr="001D57AE">
        <w:rPr>
          <w:szCs w:val="22"/>
        </w:rPr>
        <w:t xml:space="preserve">minor </w:t>
      </w:r>
      <w:r w:rsidRPr="001D57AE">
        <w:rPr>
          <w:szCs w:val="22"/>
        </w:rPr>
        <w:t xml:space="preserve">submission </w:t>
      </w:r>
      <w:r w:rsidR="0049545B" w:rsidRPr="001D57AE">
        <w:rPr>
          <w:szCs w:val="22"/>
        </w:rPr>
        <w:t xml:space="preserve">did not </w:t>
      </w:r>
      <w:r w:rsidRPr="001D57AE">
        <w:rPr>
          <w:szCs w:val="22"/>
        </w:rPr>
        <w:t xml:space="preserve">present </w:t>
      </w:r>
      <w:r w:rsidR="00F4007A" w:rsidRPr="001D57AE">
        <w:rPr>
          <w:szCs w:val="22"/>
        </w:rPr>
        <w:t xml:space="preserve">clinical evidence on the use of </w:t>
      </w:r>
      <w:r w:rsidRPr="001D57AE">
        <w:rPr>
          <w:szCs w:val="22"/>
        </w:rPr>
        <w:t xml:space="preserve">Bemfola versus Gonal-f for </w:t>
      </w:r>
      <w:r w:rsidR="005F40FF" w:rsidRPr="001D57AE">
        <w:rPr>
          <w:szCs w:val="22"/>
        </w:rPr>
        <w:t xml:space="preserve">the </w:t>
      </w:r>
      <w:r w:rsidR="0049545B" w:rsidRPr="001D57AE">
        <w:rPr>
          <w:szCs w:val="22"/>
        </w:rPr>
        <w:t xml:space="preserve">treatment of anovulatory infertility </w:t>
      </w:r>
      <w:r w:rsidR="005F40FF" w:rsidRPr="001D57AE">
        <w:rPr>
          <w:szCs w:val="22"/>
        </w:rPr>
        <w:t>in women</w:t>
      </w:r>
      <w:r w:rsidR="0049545B" w:rsidRPr="001D57AE">
        <w:rPr>
          <w:szCs w:val="22"/>
        </w:rPr>
        <w:t xml:space="preserve"> </w:t>
      </w:r>
      <w:r w:rsidR="005F40FF" w:rsidRPr="001D57AE">
        <w:rPr>
          <w:szCs w:val="22"/>
        </w:rPr>
        <w:t xml:space="preserve">or </w:t>
      </w:r>
      <w:r w:rsidR="0049545B" w:rsidRPr="001D57AE">
        <w:rPr>
          <w:szCs w:val="22"/>
        </w:rPr>
        <w:t>for stimulation of spermatogenesis in gonadotrophin-deficient men</w:t>
      </w:r>
      <w:r w:rsidRPr="001D57AE">
        <w:rPr>
          <w:szCs w:val="22"/>
        </w:rPr>
        <w:t xml:space="preserve">. Both the US Food and Drug </w:t>
      </w:r>
      <w:r w:rsidRPr="001D57AE">
        <w:rPr>
          <w:szCs w:val="22"/>
        </w:rPr>
        <w:lastRenderedPageBreak/>
        <w:t xml:space="preserve">Administration (FDA) and the EMA </w:t>
      </w:r>
      <w:r w:rsidR="00A7039A" w:rsidRPr="001D57AE">
        <w:rPr>
          <w:szCs w:val="22"/>
        </w:rPr>
        <w:t>specify</w:t>
      </w:r>
      <w:r w:rsidRPr="001D57AE">
        <w:rPr>
          <w:szCs w:val="22"/>
        </w:rPr>
        <w:t xml:space="preserve"> criteria for extrapolat</w:t>
      </w:r>
      <w:r w:rsidR="001A5CF2" w:rsidRPr="001D57AE">
        <w:rPr>
          <w:szCs w:val="22"/>
        </w:rPr>
        <w:t>ing</w:t>
      </w:r>
      <w:r w:rsidRPr="001D57AE">
        <w:rPr>
          <w:szCs w:val="22"/>
        </w:rPr>
        <w:t xml:space="preserve"> </w:t>
      </w:r>
      <w:r w:rsidR="005F40FF" w:rsidRPr="001D57AE">
        <w:rPr>
          <w:szCs w:val="22"/>
        </w:rPr>
        <w:t xml:space="preserve">findings concerning </w:t>
      </w:r>
      <w:r w:rsidRPr="001D57AE">
        <w:rPr>
          <w:szCs w:val="22"/>
        </w:rPr>
        <w:t>the efficacy and safety of the follow-on biological product in one</w:t>
      </w:r>
      <w:r w:rsidR="005F40FF" w:rsidRPr="001D57AE">
        <w:rPr>
          <w:szCs w:val="22"/>
        </w:rPr>
        <w:t xml:space="preserve"> clinical </w:t>
      </w:r>
      <w:r w:rsidRPr="001D57AE">
        <w:rPr>
          <w:szCs w:val="22"/>
        </w:rPr>
        <w:t xml:space="preserve">indication to other </w:t>
      </w:r>
      <w:r w:rsidR="005F40FF" w:rsidRPr="001D57AE">
        <w:rPr>
          <w:szCs w:val="22"/>
        </w:rPr>
        <w:t xml:space="preserve">clinical </w:t>
      </w:r>
      <w:r w:rsidRPr="001D57AE">
        <w:rPr>
          <w:szCs w:val="22"/>
        </w:rPr>
        <w:t xml:space="preserve">indications of </w:t>
      </w:r>
      <w:r w:rsidR="005F40FF" w:rsidRPr="001D57AE">
        <w:rPr>
          <w:szCs w:val="22"/>
        </w:rPr>
        <w:t>the</w:t>
      </w:r>
      <w:r w:rsidRPr="001D57AE">
        <w:rPr>
          <w:szCs w:val="22"/>
        </w:rPr>
        <w:t xml:space="preserve"> reference biological product</w:t>
      </w:r>
      <w:r w:rsidR="005F40FF" w:rsidRPr="001D57AE">
        <w:rPr>
          <w:szCs w:val="22"/>
        </w:rPr>
        <w:t>. These criteria include:</w:t>
      </w:r>
      <w:r w:rsidRPr="001D57AE">
        <w:rPr>
          <w:szCs w:val="22"/>
        </w:rPr>
        <w:t xml:space="preserve"> </w:t>
      </w:r>
      <w:r w:rsidR="00233616" w:rsidRPr="001D57AE">
        <w:rPr>
          <w:szCs w:val="22"/>
        </w:rPr>
        <w:t>i</w:t>
      </w:r>
      <w:r w:rsidR="001A5CF2" w:rsidRPr="001D57AE">
        <w:rPr>
          <w:szCs w:val="22"/>
        </w:rPr>
        <w:t xml:space="preserve">) </w:t>
      </w:r>
      <w:r w:rsidR="00A7039A" w:rsidRPr="001D57AE">
        <w:rPr>
          <w:szCs w:val="22"/>
        </w:rPr>
        <w:t>w</w:t>
      </w:r>
      <w:r w:rsidR="005F40FF" w:rsidRPr="001D57AE">
        <w:rPr>
          <w:szCs w:val="22"/>
        </w:rPr>
        <w:t>hether there is the</w:t>
      </w:r>
      <w:r w:rsidR="00A7039A" w:rsidRPr="001D57AE">
        <w:rPr>
          <w:szCs w:val="22"/>
        </w:rPr>
        <w:t xml:space="preserve"> same clinically relevant mechanisms of action for the different </w:t>
      </w:r>
      <w:r w:rsidR="005F40FF" w:rsidRPr="001D57AE">
        <w:rPr>
          <w:szCs w:val="22"/>
        </w:rPr>
        <w:t xml:space="preserve">clinical </w:t>
      </w:r>
      <w:r w:rsidR="00A7039A" w:rsidRPr="001D57AE">
        <w:rPr>
          <w:szCs w:val="22"/>
        </w:rPr>
        <w:t>indications</w:t>
      </w:r>
      <w:r w:rsidR="001A5CF2" w:rsidRPr="001D57AE">
        <w:rPr>
          <w:szCs w:val="22"/>
        </w:rPr>
        <w:t>;</w:t>
      </w:r>
      <w:r w:rsidR="00A7039A" w:rsidRPr="001D57AE">
        <w:rPr>
          <w:szCs w:val="22"/>
        </w:rPr>
        <w:t xml:space="preserve"> and </w:t>
      </w:r>
      <w:r w:rsidR="00233616" w:rsidRPr="001D57AE">
        <w:rPr>
          <w:szCs w:val="22"/>
        </w:rPr>
        <w:t>ii</w:t>
      </w:r>
      <w:r w:rsidR="001A5CF2" w:rsidRPr="001D57AE">
        <w:rPr>
          <w:szCs w:val="22"/>
        </w:rPr>
        <w:t xml:space="preserve">) </w:t>
      </w:r>
      <w:r w:rsidR="005F40FF" w:rsidRPr="001D57AE">
        <w:rPr>
          <w:szCs w:val="22"/>
        </w:rPr>
        <w:t xml:space="preserve">whether the assessment has occurred </w:t>
      </w:r>
      <w:r w:rsidR="00A7039A" w:rsidRPr="001D57AE">
        <w:rPr>
          <w:szCs w:val="22"/>
        </w:rPr>
        <w:t xml:space="preserve">in </w:t>
      </w:r>
      <w:r w:rsidRPr="001D57AE">
        <w:rPr>
          <w:szCs w:val="22"/>
        </w:rPr>
        <w:t>the most sensitive clinical condition</w:t>
      </w:r>
      <w:r w:rsidR="005F40FF" w:rsidRPr="001D57AE">
        <w:rPr>
          <w:szCs w:val="22"/>
        </w:rPr>
        <w:t xml:space="preserve">, in order </w:t>
      </w:r>
      <w:r w:rsidRPr="001D57AE">
        <w:rPr>
          <w:szCs w:val="22"/>
        </w:rPr>
        <w:t xml:space="preserve"> to detect clinically meaningful difference</w:t>
      </w:r>
      <w:r w:rsidR="00A7039A" w:rsidRPr="001D57AE">
        <w:rPr>
          <w:szCs w:val="22"/>
        </w:rPr>
        <w:t>s</w:t>
      </w:r>
      <w:r w:rsidRPr="001D57AE">
        <w:rPr>
          <w:szCs w:val="22"/>
        </w:rPr>
        <w:t xml:space="preserve"> in efficacy</w:t>
      </w:r>
      <w:r w:rsidR="00A7039A" w:rsidRPr="001D57AE">
        <w:rPr>
          <w:szCs w:val="22"/>
        </w:rPr>
        <w:t xml:space="preserve"> and </w:t>
      </w:r>
      <w:r w:rsidRPr="001D57AE">
        <w:rPr>
          <w:szCs w:val="22"/>
        </w:rPr>
        <w:t>safety</w:t>
      </w:r>
      <w:r w:rsidR="00A7039A" w:rsidRPr="001D57AE">
        <w:rPr>
          <w:szCs w:val="22"/>
        </w:rPr>
        <w:t>, par</w:t>
      </w:r>
      <w:r w:rsidRPr="001D57AE">
        <w:rPr>
          <w:szCs w:val="22"/>
        </w:rPr>
        <w:t>ticularly immunogenicity. I</w:t>
      </w:r>
      <w:r w:rsidR="005F40FF" w:rsidRPr="001D57AE">
        <w:rPr>
          <w:szCs w:val="22"/>
        </w:rPr>
        <w:t>n the current submission i</w:t>
      </w:r>
      <w:r w:rsidRPr="001D57AE">
        <w:rPr>
          <w:szCs w:val="22"/>
        </w:rPr>
        <w:t xml:space="preserve">t </w:t>
      </w:r>
      <w:r w:rsidR="005F40FF" w:rsidRPr="001D57AE">
        <w:rPr>
          <w:szCs w:val="22"/>
        </w:rPr>
        <w:t xml:space="preserve">would be </w:t>
      </w:r>
      <w:r w:rsidRPr="001D57AE">
        <w:rPr>
          <w:szCs w:val="22"/>
        </w:rPr>
        <w:t>reasonable to assume that ART is the most sensitive indication, as a small difference in the level of stimulation produced b</w:t>
      </w:r>
      <w:r w:rsidR="00557CCF" w:rsidRPr="001D57AE">
        <w:rPr>
          <w:szCs w:val="22"/>
        </w:rPr>
        <w:t xml:space="preserve">y follitropin alfa could have clinically relevant </w:t>
      </w:r>
      <w:r w:rsidRPr="001D57AE">
        <w:rPr>
          <w:szCs w:val="22"/>
        </w:rPr>
        <w:t>impact</w:t>
      </w:r>
      <w:r w:rsidR="00C0446E" w:rsidRPr="001D57AE">
        <w:rPr>
          <w:szCs w:val="22"/>
        </w:rPr>
        <w:t>s</w:t>
      </w:r>
      <w:r w:rsidRPr="001D57AE">
        <w:rPr>
          <w:szCs w:val="22"/>
        </w:rPr>
        <w:t xml:space="preserve"> on </w:t>
      </w:r>
      <w:r w:rsidR="00557CCF" w:rsidRPr="001D57AE">
        <w:rPr>
          <w:szCs w:val="22"/>
        </w:rPr>
        <w:t>health</w:t>
      </w:r>
      <w:r w:rsidRPr="001D57AE">
        <w:rPr>
          <w:szCs w:val="22"/>
        </w:rPr>
        <w:t xml:space="preserve"> outcomes in women with different causes of infertility and </w:t>
      </w:r>
      <w:r w:rsidR="005F40FF" w:rsidRPr="001D57AE">
        <w:rPr>
          <w:szCs w:val="22"/>
        </w:rPr>
        <w:t xml:space="preserve">with </w:t>
      </w:r>
      <w:r w:rsidRPr="001D57AE">
        <w:rPr>
          <w:szCs w:val="22"/>
        </w:rPr>
        <w:t xml:space="preserve">individually variable responses to treatment. </w:t>
      </w:r>
      <w:r w:rsidR="00C0446E" w:rsidRPr="001D57AE">
        <w:rPr>
          <w:szCs w:val="22"/>
        </w:rPr>
        <w:t>The o</w:t>
      </w:r>
      <w:r w:rsidRPr="001D57AE">
        <w:rPr>
          <w:szCs w:val="22"/>
        </w:rPr>
        <w:t xml:space="preserve">ther </w:t>
      </w:r>
      <w:r w:rsidR="00C0446E" w:rsidRPr="001D57AE">
        <w:rPr>
          <w:szCs w:val="22"/>
        </w:rPr>
        <w:t xml:space="preserve">proposed </w:t>
      </w:r>
      <w:r w:rsidRPr="001D57AE">
        <w:rPr>
          <w:szCs w:val="22"/>
        </w:rPr>
        <w:t>PBS indications</w:t>
      </w:r>
      <w:r w:rsidR="00C0446E" w:rsidRPr="001D57AE">
        <w:rPr>
          <w:szCs w:val="22"/>
        </w:rPr>
        <w:t>, namely anovulatory infertility and hypogonadotrophic hypogonadism, a</w:t>
      </w:r>
      <w:r w:rsidRPr="001D57AE">
        <w:rPr>
          <w:szCs w:val="22"/>
        </w:rPr>
        <w:t xml:space="preserve">re mediated through the same well-characterised receptor system as ART. </w:t>
      </w:r>
      <w:r w:rsidR="00D12584" w:rsidRPr="001D57AE">
        <w:rPr>
          <w:szCs w:val="22"/>
        </w:rPr>
        <w:t xml:space="preserve">Both the TGA and </w:t>
      </w:r>
      <w:r w:rsidR="00233616" w:rsidRPr="001D57AE">
        <w:rPr>
          <w:szCs w:val="22"/>
        </w:rPr>
        <w:t xml:space="preserve">the </w:t>
      </w:r>
      <w:r w:rsidR="00D12584" w:rsidRPr="001D57AE">
        <w:rPr>
          <w:szCs w:val="22"/>
        </w:rPr>
        <w:t xml:space="preserve">EMA considered that </w:t>
      </w:r>
      <w:r w:rsidR="005F40FF" w:rsidRPr="001D57AE">
        <w:rPr>
          <w:szCs w:val="22"/>
        </w:rPr>
        <w:t xml:space="preserve">the </w:t>
      </w:r>
      <w:r w:rsidR="00D12584" w:rsidRPr="001D57AE">
        <w:rPr>
          <w:szCs w:val="22"/>
        </w:rPr>
        <w:t xml:space="preserve">extrapolation of clinical findings in women receiving ART to </w:t>
      </w:r>
      <w:r w:rsidR="005F40FF" w:rsidRPr="001D57AE">
        <w:rPr>
          <w:szCs w:val="22"/>
        </w:rPr>
        <w:t>anovulatory infertility and hypogonadotrophic hypogonadism</w:t>
      </w:r>
      <w:r w:rsidR="00D12584" w:rsidRPr="001D57AE">
        <w:rPr>
          <w:szCs w:val="22"/>
        </w:rPr>
        <w:t xml:space="preserve"> </w:t>
      </w:r>
      <w:r w:rsidR="005F40FF" w:rsidRPr="001D57AE">
        <w:rPr>
          <w:szCs w:val="22"/>
        </w:rPr>
        <w:t>was</w:t>
      </w:r>
      <w:r w:rsidR="00D12584" w:rsidRPr="001D57AE">
        <w:rPr>
          <w:szCs w:val="22"/>
        </w:rPr>
        <w:t xml:space="preserve"> scientifically justified.</w:t>
      </w:r>
    </w:p>
    <w:p w:rsidR="00E83D79" w:rsidRPr="001D57AE" w:rsidRDefault="00E83D79" w:rsidP="00E83D79">
      <w:pPr>
        <w:pStyle w:val="ListParagraph"/>
        <w:jc w:val="both"/>
        <w:rPr>
          <w:szCs w:val="22"/>
        </w:rPr>
      </w:pPr>
    </w:p>
    <w:p w:rsidR="00E83D79" w:rsidRPr="001D57AE" w:rsidRDefault="00E83D79" w:rsidP="00E83D79">
      <w:pPr>
        <w:pStyle w:val="ListParagraph"/>
        <w:numPr>
          <w:ilvl w:val="1"/>
          <w:numId w:val="2"/>
        </w:numPr>
        <w:jc w:val="both"/>
        <w:rPr>
          <w:szCs w:val="22"/>
        </w:rPr>
      </w:pPr>
      <w:r w:rsidRPr="001D57AE">
        <w:rPr>
          <w:szCs w:val="22"/>
        </w:rPr>
        <w:t xml:space="preserve">The minor submission did not provide any evidence demonstrating the efficacy and safety of drug switching between Bemfola and Gonal-f </w:t>
      </w:r>
      <w:r w:rsidR="005F40FF" w:rsidRPr="001D57AE">
        <w:rPr>
          <w:szCs w:val="22"/>
        </w:rPr>
        <w:t xml:space="preserve">either </w:t>
      </w:r>
      <w:r w:rsidR="00B94ACD" w:rsidRPr="001D57AE">
        <w:rPr>
          <w:szCs w:val="22"/>
        </w:rPr>
        <w:t xml:space="preserve">within or between treatment cycles </w:t>
      </w:r>
      <w:r w:rsidRPr="001D57AE">
        <w:rPr>
          <w:szCs w:val="22"/>
        </w:rPr>
        <w:t>in the proposed PBS populations.</w:t>
      </w:r>
    </w:p>
    <w:p w:rsidR="0097056C" w:rsidRPr="00694012" w:rsidRDefault="0097056C" w:rsidP="00A550B3">
      <w:pPr>
        <w:jc w:val="both"/>
        <w:rPr>
          <w:szCs w:val="22"/>
        </w:rPr>
      </w:pPr>
    </w:p>
    <w:p w:rsidR="0097056C" w:rsidRDefault="0097056C" w:rsidP="00A650B9">
      <w:pPr>
        <w:pStyle w:val="ListParagraph"/>
        <w:numPr>
          <w:ilvl w:val="1"/>
          <w:numId w:val="2"/>
        </w:numPr>
        <w:jc w:val="both"/>
        <w:rPr>
          <w:szCs w:val="22"/>
        </w:rPr>
      </w:pPr>
      <w:r w:rsidRPr="0097056C">
        <w:rPr>
          <w:szCs w:val="22"/>
        </w:rPr>
        <w:t xml:space="preserve">The key features of the two trials </w:t>
      </w:r>
      <w:r w:rsidR="000C4A15">
        <w:rPr>
          <w:szCs w:val="22"/>
        </w:rPr>
        <w:t xml:space="preserve">presented in the minor submission </w:t>
      </w:r>
      <w:r w:rsidRPr="0097056C">
        <w:rPr>
          <w:szCs w:val="22"/>
        </w:rPr>
        <w:t xml:space="preserve">are summarised in </w:t>
      </w:r>
      <w:r>
        <w:rPr>
          <w:szCs w:val="22"/>
        </w:rPr>
        <w:t xml:space="preserve">Table </w:t>
      </w:r>
      <w:r w:rsidR="004819A0">
        <w:rPr>
          <w:szCs w:val="22"/>
        </w:rPr>
        <w:t>3</w:t>
      </w:r>
      <w:r>
        <w:rPr>
          <w:szCs w:val="22"/>
        </w:rPr>
        <w:t>.</w:t>
      </w:r>
      <w:r w:rsidR="007D5B07">
        <w:rPr>
          <w:szCs w:val="22"/>
        </w:rPr>
        <w:t xml:space="preserve"> </w:t>
      </w:r>
    </w:p>
    <w:p w:rsidR="007D5B07" w:rsidRPr="007D5B07" w:rsidRDefault="007D5B07" w:rsidP="007D5B07">
      <w:pPr>
        <w:pStyle w:val="ListParagraph"/>
        <w:rPr>
          <w:szCs w:val="22"/>
        </w:rPr>
      </w:pPr>
    </w:p>
    <w:p w:rsidR="0097056C" w:rsidRPr="0097056C" w:rsidRDefault="0097056C" w:rsidP="004C1595">
      <w:pPr>
        <w:keepNext/>
        <w:keepLines/>
        <w:ind w:left="709"/>
        <w:contextualSpacing/>
        <w:jc w:val="both"/>
        <w:rPr>
          <w:rFonts w:ascii="Arial Narrow" w:eastAsiaTheme="majorEastAsia" w:hAnsi="Arial Narrow" w:cstheme="minorHAnsi"/>
          <w:b/>
          <w:bCs/>
          <w:sz w:val="20"/>
          <w:szCs w:val="18"/>
          <w:lang w:eastAsia="en-US" w:bidi="en-US"/>
        </w:rPr>
      </w:pPr>
      <w:r w:rsidRPr="0097056C">
        <w:rPr>
          <w:rFonts w:ascii="Arial Narrow" w:eastAsiaTheme="majorEastAsia" w:hAnsi="Arial Narrow" w:cstheme="minorHAnsi"/>
          <w:b/>
          <w:bCs/>
          <w:sz w:val="20"/>
          <w:szCs w:val="18"/>
          <w:lang w:eastAsia="en-US" w:bidi="en-US"/>
        </w:rPr>
        <w:t xml:space="preserve">Table </w:t>
      </w:r>
      <w:r w:rsidR="004819A0">
        <w:rPr>
          <w:rFonts w:ascii="Arial Narrow" w:eastAsiaTheme="majorEastAsia" w:hAnsi="Arial Narrow" w:cstheme="minorHAnsi"/>
          <w:b/>
          <w:bCs/>
          <w:sz w:val="20"/>
          <w:szCs w:val="18"/>
          <w:lang w:eastAsia="en-US" w:bidi="en-US"/>
        </w:rPr>
        <w:t>3</w:t>
      </w:r>
      <w:r w:rsidRPr="0097056C">
        <w:rPr>
          <w:rFonts w:ascii="Arial Narrow" w:eastAsiaTheme="majorEastAsia" w:hAnsi="Arial Narrow" w:cstheme="minorHAnsi"/>
          <w:b/>
          <w:bCs/>
          <w:sz w:val="20"/>
          <w:szCs w:val="18"/>
          <w:lang w:eastAsia="en-US" w:bidi="en-US"/>
        </w:rPr>
        <w:t xml:space="preserve">: Key features of </w:t>
      </w:r>
      <w:r>
        <w:rPr>
          <w:rFonts w:ascii="Arial Narrow" w:eastAsiaTheme="majorEastAsia" w:hAnsi="Arial Narrow" w:cstheme="minorHAnsi"/>
          <w:b/>
          <w:bCs/>
          <w:sz w:val="20"/>
          <w:szCs w:val="18"/>
          <w:lang w:eastAsia="en-US" w:bidi="en-US"/>
        </w:rPr>
        <w:t>Trials FIN1001 and FIN3001</w:t>
      </w:r>
      <w:r w:rsidRPr="0097056C">
        <w:rPr>
          <w:rFonts w:ascii="Arial Narrow" w:eastAsiaTheme="majorEastAsia" w:hAnsi="Arial Narrow" w:cstheme="minorHAnsi"/>
          <w:b/>
          <w:bCs/>
          <w:sz w:val="20"/>
          <w:szCs w:val="18"/>
          <w:lang w:eastAsia="en-US" w:bidi="en-US"/>
        </w:rPr>
        <w:t xml:space="preserve"> </w:t>
      </w:r>
    </w:p>
    <w:tbl>
      <w:tblPr>
        <w:tblStyle w:val="TableGrid"/>
        <w:tblW w:w="0" w:type="auto"/>
        <w:tblInd w:w="709" w:type="dxa"/>
        <w:tblLook w:val="04A0" w:firstRow="1" w:lastRow="0" w:firstColumn="1" w:lastColumn="0" w:noHBand="0" w:noVBand="1"/>
        <w:tblCaption w:val="Table 3: Key features of Trials FIN1001 and FIN3001 "/>
      </w:tblPr>
      <w:tblGrid>
        <w:gridCol w:w="1370"/>
        <w:gridCol w:w="2901"/>
        <w:gridCol w:w="4036"/>
      </w:tblGrid>
      <w:tr w:rsidR="0097056C" w:rsidRPr="0097056C" w:rsidTr="00002A96">
        <w:trPr>
          <w:tblHeader/>
        </w:trPr>
        <w:tc>
          <w:tcPr>
            <w:tcW w:w="1370" w:type="dxa"/>
          </w:tcPr>
          <w:p w:rsidR="0097056C" w:rsidRPr="00E80A2C" w:rsidRDefault="00E80A2C" w:rsidP="004C1595">
            <w:pPr>
              <w:keepNext/>
              <w:keepLines/>
              <w:contextualSpacing/>
              <w:jc w:val="both"/>
              <w:rPr>
                <w:rFonts w:ascii="Arial Narrow" w:hAnsi="Arial Narrow"/>
                <w:b/>
                <w:sz w:val="20"/>
                <w:szCs w:val="20"/>
              </w:rPr>
            </w:pPr>
            <w:r w:rsidRPr="00E80A2C">
              <w:rPr>
                <w:rFonts w:ascii="Arial Narrow" w:hAnsi="Arial Narrow"/>
                <w:b/>
                <w:sz w:val="20"/>
                <w:szCs w:val="20"/>
              </w:rPr>
              <w:t>Component</w:t>
            </w:r>
          </w:p>
        </w:tc>
        <w:tc>
          <w:tcPr>
            <w:tcW w:w="2901" w:type="dxa"/>
          </w:tcPr>
          <w:p w:rsidR="0097056C" w:rsidRPr="0097056C" w:rsidRDefault="0097056C" w:rsidP="004C1595">
            <w:pPr>
              <w:keepNext/>
              <w:keepLines/>
              <w:contextualSpacing/>
              <w:jc w:val="center"/>
              <w:rPr>
                <w:rFonts w:ascii="Arial Narrow" w:hAnsi="Arial Narrow"/>
                <w:b/>
                <w:sz w:val="20"/>
                <w:szCs w:val="20"/>
              </w:rPr>
            </w:pPr>
            <w:r>
              <w:rPr>
                <w:rFonts w:ascii="Arial Narrow" w:hAnsi="Arial Narrow"/>
                <w:b/>
                <w:sz w:val="20"/>
                <w:szCs w:val="20"/>
              </w:rPr>
              <w:t>FIN1001</w:t>
            </w:r>
          </w:p>
        </w:tc>
        <w:tc>
          <w:tcPr>
            <w:tcW w:w="4036" w:type="dxa"/>
          </w:tcPr>
          <w:p w:rsidR="0097056C" w:rsidRPr="0097056C" w:rsidRDefault="0097056C" w:rsidP="004C1595">
            <w:pPr>
              <w:keepNext/>
              <w:keepLines/>
              <w:contextualSpacing/>
              <w:jc w:val="center"/>
              <w:rPr>
                <w:rFonts w:ascii="Arial Narrow" w:hAnsi="Arial Narrow"/>
                <w:b/>
                <w:sz w:val="20"/>
                <w:szCs w:val="20"/>
              </w:rPr>
            </w:pPr>
            <w:r>
              <w:rPr>
                <w:rFonts w:ascii="Arial Narrow" w:hAnsi="Arial Narrow"/>
                <w:b/>
                <w:sz w:val="20"/>
                <w:szCs w:val="20"/>
              </w:rPr>
              <w:t>FIN3001</w:t>
            </w:r>
          </w:p>
        </w:tc>
      </w:tr>
      <w:tr w:rsidR="003C7549" w:rsidRPr="0097056C" w:rsidTr="00002A96">
        <w:tc>
          <w:tcPr>
            <w:tcW w:w="1370" w:type="dxa"/>
          </w:tcPr>
          <w:p w:rsidR="003C7549" w:rsidRPr="001B17D6" w:rsidRDefault="003C7549" w:rsidP="004C1595">
            <w:pPr>
              <w:keepNext/>
              <w:keepLines/>
              <w:contextualSpacing/>
              <w:rPr>
                <w:rFonts w:ascii="Arial Narrow" w:hAnsi="Arial Narrow"/>
                <w:sz w:val="20"/>
                <w:szCs w:val="20"/>
              </w:rPr>
            </w:pPr>
            <w:r w:rsidRPr="001B17D6">
              <w:rPr>
                <w:rFonts w:ascii="Arial Narrow" w:hAnsi="Arial Narrow"/>
                <w:sz w:val="20"/>
                <w:szCs w:val="20"/>
              </w:rPr>
              <w:t xml:space="preserve">Study design </w:t>
            </w:r>
          </w:p>
        </w:tc>
        <w:tc>
          <w:tcPr>
            <w:tcW w:w="2901" w:type="dxa"/>
          </w:tcPr>
          <w:p w:rsidR="003C7549" w:rsidRDefault="003C7549" w:rsidP="004C1595">
            <w:pPr>
              <w:keepNext/>
              <w:keepLines/>
              <w:contextualSpacing/>
              <w:jc w:val="both"/>
              <w:rPr>
                <w:rFonts w:ascii="Arial Narrow" w:hAnsi="Arial Narrow"/>
                <w:sz w:val="20"/>
                <w:szCs w:val="20"/>
              </w:rPr>
            </w:pPr>
            <w:r>
              <w:rPr>
                <w:rFonts w:ascii="Arial Narrow" w:hAnsi="Arial Narrow"/>
                <w:sz w:val="20"/>
                <w:szCs w:val="20"/>
              </w:rPr>
              <w:t>Randomised, open-lab</w:t>
            </w:r>
            <w:r w:rsidR="00AE00AE">
              <w:rPr>
                <w:rFonts w:ascii="Arial Narrow" w:hAnsi="Arial Narrow"/>
                <w:sz w:val="20"/>
                <w:szCs w:val="20"/>
              </w:rPr>
              <w:t>el, two-period, cross-over, bio</w:t>
            </w:r>
            <w:r>
              <w:rPr>
                <w:rFonts w:ascii="Arial Narrow" w:hAnsi="Arial Narrow"/>
                <w:sz w:val="20"/>
                <w:szCs w:val="20"/>
              </w:rPr>
              <w:t xml:space="preserve">equivalence </w:t>
            </w:r>
            <w:r w:rsidR="00AE00AE">
              <w:rPr>
                <w:rFonts w:ascii="Arial Narrow" w:hAnsi="Arial Narrow"/>
                <w:sz w:val="20"/>
                <w:szCs w:val="20"/>
              </w:rPr>
              <w:t>trial</w:t>
            </w:r>
            <w:r>
              <w:rPr>
                <w:rFonts w:ascii="Arial Narrow" w:hAnsi="Arial Narrow"/>
                <w:sz w:val="20"/>
                <w:szCs w:val="20"/>
              </w:rPr>
              <w:t xml:space="preserve"> </w:t>
            </w:r>
          </w:p>
        </w:tc>
        <w:tc>
          <w:tcPr>
            <w:tcW w:w="4036" w:type="dxa"/>
          </w:tcPr>
          <w:p w:rsidR="003C7549" w:rsidRDefault="00AE00AE" w:rsidP="004C1595">
            <w:pPr>
              <w:keepNext/>
              <w:keepLines/>
              <w:contextualSpacing/>
              <w:jc w:val="both"/>
              <w:rPr>
                <w:rFonts w:ascii="Arial Narrow" w:hAnsi="Arial Narrow"/>
                <w:sz w:val="20"/>
                <w:szCs w:val="20"/>
              </w:rPr>
            </w:pPr>
            <w:r>
              <w:rPr>
                <w:rFonts w:ascii="Arial Narrow" w:hAnsi="Arial Narrow"/>
                <w:sz w:val="20"/>
                <w:szCs w:val="20"/>
              </w:rPr>
              <w:t xml:space="preserve">Randomised, </w:t>
            </w:r>
            <w:r w:rsidR="00D9422C">
              <w:rPr>
                <w:rFonts w:ascii="Arial Narrow" w:hAnsi="Arial Narrow"/>
                <w:sz w:val="20"/>
                <w:szCs w:val="20"/>
              </w:rPr>
              <w:t>assessor-blinded</w:t>
            </w:r>
            <w:r>
              <w:rPr>
                <w:rFonts w:ascii="Arial Narrow" w:hAnsi="Arial Narrow"/>
                <w:sz w:val="20"/>
                <w:szCs w:val="20"/>
              </w:rPr>
              <w:t xml:space="preserve">, multi-centre, </w:t>
            </w:r>
            <w:r w:rsidR="009746E5">
              <w:rPr>
                <w:rFonts w:ascii="Arial Narrow" w:hAnsi="Arial Narrow"/>
                <w:sz w:val="20"/>
                <w:szCs w:val="20"/>
              </w:rPr>
              <w:t>equivalence trial</w:t>
            </w:r>
          </w:p>
        </w:tc>
      </w:tr>
      <w:tr w:rsidR="00F33B99" w:rsidRPr="0097056C" w:rsidTr="00002A96">
        <w:tc>
          <w:tcPr>
            <w:tcW w:w="1370" w:type="dxa"/>
          </w:tcPr>
          <w:p w:rsidR="00F33B99" w:rsidRPr="001B17D6" w:rsidRDefault="00F33B99" w:rsidP="00021006">
            <w:pPr>
              <w:keepLines/>
              <w:contextualSpacing/>
              <w:rPr>
                <w:rFonts w:ascii="Arial Narrow" w:hAnsi="Arial Narrow"/>
                <w:sz w:val="20"/>
                <w:szCs w:val="20"/>
              </w:rPr>
            </w:pPr>
            <w:r>
              <w:rPr>
                <w:rFonts w:ascii="Arial Narrow" w:hAnsi="Arial Narrow"/>
                <w:sz w:val="20"/>
                <w:szCs w:val="20"/>
              </w:rPr>
              <w:t>Overall risk of bias</w:t>
            </w:r>
          </w:p>
        </w:tc>
        <w:tc>
          <w:tcPr>
            <w:tcW w:w="2901" w:type="dxa"/>
          </w:tcPr>
          <w:p w:rsidR="00F33B99" w:rsidRDefault="00F33B99" w:rsidP="00021006">
            <w:pPr>
              <w:keepLines/>
              <w:contextualSpacing/>
              <w:jc w:val="both"/>
              <w:rPr>
                <w:rFonts w:ascii="Arial Narrow" w:hAnsi="Arial Narrow"/>
                <w:sz w:val="20"/>
                <w:szCs w:val="20"/>
              </w:rPr>
            </w:pPr>
            <w:r>
              <w:rPr>
                <w:rFonts w:ascii="Arial Narrow" w:hAnsi="Arial Narrow"/>
                <w:sz w:val="20"/>
                <w:szCs w:val="20"/>
              </w:rPr>
              <w:t>Low</w:t>
            </w:r>
          </w:p>
        </w:tc>
        <w:tc>
          <w:tcPr>
            <w:tcW w:w="4036" w:type="dxa"/>
          </w:tcPr>
          <w:p w:rsidR="00F33B99" w:rsidRDefault="00F33B99" w:rsidP="00D9422C">
            <w:pPr>
              <w:keepLines/>
              <w:contextualSpacing/>
              <w:jc w:val="both"/>
              <w:rPr>
                <w:rFonts w:ascii="Arial Narrow" w:hAnsi="Arial Narrow"/>
                <w:sz w:val="20"/>
                <w:szCs w:val="20"/>
              </w:rPr>
            </w:pPr>
            <w:r>
              <w:rPr>
                <w:rFonts w:ascii="Arial Narrow" w:hAnsi="Arial Narrow"/>
                <w:sz w:val="20"/>
                <w:szCs w:val="20"/>
              </w:rPr>
              <w:t>Low</w:t>
            </w:r>
          </w:p>
        </w:tc>
      </w:tr>
      <w:tr w:rsidR="003C7549" w:rsidRPr="0097056C" w:rsidTr="00002A96">
        <w:tc>
          <w:tcPr>
            <w:tcW w:w="1370" w:type="dxa"/>
          </w:tcPr>
          <w:p w:rsidR="003C7549" w:rsidRPr="001B17D6" w:rsidRDefault="003C7549" w:rsidP="00E407E2">
            <w:pPr>
              <w:keepLines/>
              <w:contextualSpacing/>
              <w:rPr>
                <w:rFonts w:ascii="Arial Narrow" w:hAnsi="Arial Narrow"/>
                <w:sz w:val="20"/>
                <w:szCs w:val="20"/>
              </w:rPr>
            </w:pPr>
            <w:r w:rsidRPr="001B17D6">
              <w:rPr>
                <w:rFonts w:ascii="Arial Narrow" w:hAnsi="Arial Narrow"/>
                <w:sz w:val="20"/>
                <w:szCs w:val="20"/>
              </w:rPr>
              <w:t>Number of patients</w:t>
            </w:r>
            <w:r w:rsidR="00D87187">
              <w:rPr>
                <w:rFonts w:ascii="Arial Narrow" w:hAnsi="Arial Narrow"/>
                <w:sz w:val="20"/>
                <w:szCs w:val="20"/>
              </w:rPr>
              <w:t xml:space="preserve"> randomised</w:t>
            </w:r>
          </w:p>
        </w:tc>
        <w:tc>
          <w:tcPr>
            <w:tcW w:w="2901" w:type="dxa"/>
          </w:tcPr>
          <w:p w:rsidR="003C7549" w:rsidRPr="0097056C" w:rsidRDefault="003C7549" w:rsidP="00021006">
            <w:pPr>
              <w:keepLines/>
              <w:contextualSpacing/>
              <w:jc w:val="both"/>
              <w:rPr>
                <w:rFonts w:ascii="Arial Narrow" w:hAnsi="Arial Narrow"/>
                <w:sz w:val="20"/>
                <w:szCs w:val="20"/>
              </w:rPr>
            </w:pPr>
            <w:r>
              <w:rPr>
                <w:rFonts w:ascii="Arial Narrow" w:hAnsi="Arial Narrow"/>
                <w:sz w:val="20"/>
                <w:szCs w:val="20"/>
              </w:rPr>
              <w:t>N=25</w:t>
            </w:r>
          </w:p>
        </w:tc>
        <w:tc>
          <w:tcPr>
            <w:tcW w:w="4036" w:type="dxa"/>
          </w:tcPr>
          <w:p w:rsidR="003C7549" w:rsidRPr="0097056C" w:rsidRDefault="003C7549" w:rsidP="00021006">
            <w:pPr>
              <w:keepLines/>
              <w:contextualSpacing/>
              <w:jc w:val="both"/>
              <w:rPr>
                <w:rFonts w:ascii="Arial Narrow" w:hAnsi="Arial Narrow"/>
                <w:sz w:val="20"/>
                <w:szCs w:val="20"/>
              </w:rPr>
            </w:pPr>
            <w:r>
              <w:rPr>
                <w:rFonts w:ascii="Arial Narrow" w:hAnsi="Arial Narrow"/>
                <w:sz w:val="20"/>
                <w:szCs w:val="20"/>
              </w:rPr>
              <w:t>N=410</w:t>
            </w:r>
          </w:p>
        </w:tc>
      </w:tr>
      <w:tr w:rsidR="0097056C" w:rsidRPr="0097056C" w:rsidTr="00002A96">
        <w:tc>
          <w:tcPr>
            <w:tcW w:w="1370" w:type="dxa"/>
          </w:tcPr>
          <w:p w:rsidR="0097056C" w:rsidRPr="0097056C" w:rsidRDefault="000C4A15" w:rsidP="00021006">
            <w:pPr>
              <w:keepLines/>
              <w:contextualSpacing/>
              <w:rPr>
                <w:rFonts w:ascii="Arial Narrow" w:hAnsi="Arial Narrow"/>
                <w:sz w:val="20"/>
                <w:szCs w:val="20"/>
              </w:rPr>
            </w:pPr>
            <w:r>
              <w:rPr>
                <w:rFonts w:ascii="Arial Narrow" w:hAnsi="Arial Narrow"/>
                <w:sz w:val="20"/>
                <w:szCs w:val="20"/>
              </w:rPr>
              <w:t>Key eligibility criteria</w:t>
            </w:r>
          </w:p>
        </w:tc>
        <w:tc>
          <w:tcPr>
            <w:tcW w:w="2901" w:type="dxa"/>
          </w:tcPr>
          <w:p w:rsidR="00392DEA" w:rsidRDefault="003C7549" w:rsidP="009A35C5">
            <w:pPr>
              <w:pStyle w:val="ListParagraph"/>
              <w:keepLines/>
              <w:numPr>
                <w:ilvl w:val="0"/>
                <w:numId w:val="12"/>
              </w:numPr>
              <w:ind w:left="175" w:hanging="175"/>
              <w:jc w:val="both"/>
              <w:rPr>
                <w:rFonts w:ascii="Arial Narrow" w:hAnsi="Arial Narrow"/>
                <w:sz w:val="20"/>
                <w:szCs w:val="20"/>
              </w:rPr>
            </w:pPr>
            <w:r w:rsidRPr="009746E5">
              <w:rPr>
                <w:rFonts w:ascii="Arial Narrow" w:hAnsi="Arial Narrow"/>
                <w:sz w:val="20"/>
                <w:szCs w:val="20"/>
              </w:rPr>
              <w:t>Healthy women</w:t>
            </w:r>
            <w:r w:rsidR="000C4A15">
              <w:rPr>
                <w:rFonts w:ascii="Arial Narrow" w:hAnsi="Arial Narrow"/>
                <w:sz w:val="20"/>
                <w:szCs w:val="20"/>
              </w:rPr>
              <w:t>;</w:t>
            </w:r>
          </w:p>
          <w:p w:rsidR="00392DEA" w:rsidRDefault="00392DEA"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B</w:t>
            </w:r>
            <w:r w:rsidR="009746E5" w:rsidRPr="009746E5">
              <w:rPr>
                <w:rFonts w:ascii="Arial Narrow" w:hAnsi="Arial Narrow"/>
                <w:sz w:val="20"/>
                <w:szCs w:val="20"/>
              </w:rPr>
              <w:t>etween 18-</w:t>
            </w:r>
            <w:r w:rsidR="003C7549" w:rsidRPr="009746E5">
              <w:rPr>
                <w:rFonts w:ascii="Arial Narrow" w:hAnsi="Arial Narrow"/>
                <w:sz w:val="20"/>
                <w:szCs w:val="20"/>
              </w:rPr>
              <w:t>38 years</w:t>
            </w:r>
            <w:r w:rsidR="000C4A15">
              <w:rPr>
                <w:rFonts w:ascii="Arial Narrow" w:hAnsi="Arial Narrow"/>
                <w:sz w:val="20"/>
                <w:szCs w:val="20"/>
              </w:rPr>
              <w:t>;</w:t>
            </w:r>
          </w:p>
          <w:p w:rsidR="00392DEA" w:rsidRDefault="00392DEA"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U</w:t>
            </w:r>
            <w:r w:rsidR="00C35ABD" w:rsidRPr="009746E5">
              <w:rPr>
                <w:rFonts w:ascii="Arial Narrow" w:hAnsi="Arial Narrow"/>
                <w:sz w:val="20"/>
                <w:szCs w:val="20"/>
              </w:rPr>
              <w:t>se of oral contraceptives for at least 3 months before study entry</w:t>
            </w:r>
            <w:r w:rsidR="000C4A15">
              <w:rPr>
                <w:rFonts w:ascii="Arial Narrow" w:hAnsi="Arial Narrow"/>
                <w:sz w:val="20"/>
                <w:szCs w:val="20"/>
              </w:rPr>
              <w:t>; and</w:t>
            </w:r>
          </w:p>
          <w:p w:rsidR="0097056C" w:rsidRPr="009746E5" w:rsidRDefault="00392DEA" w:rsidP="000C4A1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Excluded if with</w:t>
            </w:r>
            <w:r w:rsidR="00C35ABD" w:rsidRPr="009746E5">
              <w:rPr>
                <w:rFonts w:ascii="Arial Narrow" w:hAnsi="Arial Narrow"/>
                <w:sz w:val="20"/>
                <w:szCs w:val="20"/>
              </w:rPr>
              <w:t xml:space="preserve"> </w:t>
            </w:r>
            <w:r w:rsidR="00A15890">
              <w:rPr>
                <w:rFonts w:ascii="Arial Narrow" w:hAnsi="Arial Narrow"/>
                <w:sz w:val="20"/>
                <w:szCs w:val="20"/>
              </w:rPr>
              <w:t xml:space="preserve">presence of </w:t>
            </w:r>
            <w:r w:rsidR="00C35ABD" w:rsidRPr="009746E5">
              <w:rPr>
                <w:rFonts w:ascii="Arial Narrow" w:hAnsi="Arial Narrow"/>
                <w:sz w:val="20"/>
                <w:szCs w:val="20"/>
              </w:rPr>
              <w:t xml:space="preserve">POCS </w:t>
            </w:r>
            <w:r>
              <w:rPr>
                <w:rFonts w:ascii="Arial Narrow" w:hAnsi="Arial Narrow"/>
                <w:sz w:val="20"/>
                <w:szCs w:val="20"/>
              </w:rPr>
              <w:t xml:space="preserve">or </w:t>
            </w:r>
            <w:r w:rsidR="000C4A15">
              <w:rPr>
                <w:rFonts w:ascii="Arial Narrow" w:hAnsi="Arial Narrow"/>
                <w:sz w:val="20"/>
                <w:szCs w:val="20"/>
              </w:rPr>
              <w:t xml:space="preserve">with a </w:t>
            </w:r>
            <w:r w:rsidR="003F576A" w:rsidRPr="009746E5">
              <w:rPr>
                <w:rFonts w:ascii="Arial Narrow" w:hAnsi="Arial Narrow"/>
                <w:sz w:val="20"/>
                <w:szCs w:val="20"/>
              </w:rPr>
              <w:t>history of hypersensitivity to FSH (OHSS)</w:t>
            </w:r>
            <w:r w:rsidR="000C4A15">
              <w:rPr>
                <w:rFonts w:ascii="Arial Narrow" w:hAnsi="Arial Narrow"/>
                <w:sz w:val="20"/>
                <w:szCs w:val="20"/>
              </w:rPr>
              <w:t>.</w:t>
            </w:r>
          </w:p>
        </w:tc>
        <w:tc>
          <w:tcPr>
            <w:tcW w:w="4036" w:type="dxa"/>
          </w:tcPr>
          <w:p w:rsidR="000F6D3D" w:rsidRDefault="000C4A15"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Women a</w:t>
            </w:r>
            <w:r w:rsidR="009746E5" w:rsidRPr="009746E5">
              <w:rPr>
                <w:rFonts w:ascii="Arial Narrow" w:hAnsi="Arial Narrow"/>
                <w:sz w:val="20"/>
                <w:szCs w:val="20"/>
              </w:rPr>
              <w:t>ged between 20-38 years</w:t>
            </w:r>
            <w:r>
              <w:rPr>
                <w:rFonts w:ascii="Arial Narrow" w:hAnsi="Arial Narrow"/>
                <w:sz w:val="20"/>
                <w:szCs w:val="20"/>
              </w:rPr>
              <w:t>;</w:t>
            </w:r>
          </w:p>
          <w:p w:rsidR="0097056C" w:rsidRPr="009746E5" w:rsidRDefault="000F6D3D"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F</w:t>
            </w:r>
            <w:r w:rsidR="009746E5" w:rsidRPr="009746E5">
              <w:rPr>
                <w:rFonts w:ascii="Arial Narrow" w:hAnsi="Arial Narrow"/>
                <w:sz w:val="20"/>
                <w:szCs w:val="20"/>
              </w:rPr>
              <w:t>irst or second cycle in th</w:t>
            </w:r>
            <w:r>
              <w:rPr>
                <w:rFonts w:ascii="Arial Narrow" w:hAnsi="Arial Narrow"/>
                <w:sz w:val="20"/>
                <w:szCs w:val="20"/>
              </w:rPr>
              <w:t>e present series of ART</w:t>
            </w:r>
            <w:r w:rsidR="000C4A15">
              <w:rPr>
                <w:rFonts w:ascii="Arial Narrow" w:hAnsi="Arial Narrow"/>
                <w:sz w:val="20"/>
                <w:szCs w:val="20"/>
              </w:rPr>
              <w:t>;</w:t>
            </w:r>
          </w:p>
          <w:p w:rsidR="000C4A15" w:rsidRPr="000F6D3D" w:rsidRDefault="000C4A15" w:rsidP="000C4A15">
            <w:pPr>
              <w:pStyle w:val="ListParagraph"/>
              <w:keepLines/>
              <w:numPr>
                <w:ilvl w:val="0"/>
                <w:numId w:val="12"/>
              </w:numPr>
              <w:ind w:left="175" w:hanging="175"/>
              <w:jc w:val="both"/>
              <w:rPr>
                <w:rFonts w:ascii="Arial Narrow" w:hAnsi="Arial Narrow"/>
                <w:sz w:val="20"/>
                <w:szCs w:val="20"/>
              </w:rPr>
            </w:pPr>
            <w:r w:rsidRPr="000F6D3D">
              <w:rPr>
                <w:rFonts w:ascii="Arial Narrow" w:hAnsi="Arial Narrow"/>
                <w:sz w:val="20"/>
                <w:szCs w:val="20"/>
              </w:rPr>
              <w:t>Infertility due to tubal factor, mild endometriosis, male factor</w:t>
            </w:r>
            <w:r>
              <w:rPr>
                <w:rFonts w:ascii="Arial Narrow" w:hAnsi="Arial Narrow"/>
                <w:sz w:val="20"/>
                <w:szCs w:val="20"/>
              </w:rPr>
              <w:t xml:space="preserve"> or</w:t>
            </w:r>
            <w:r w:rsidRPr="000F6D3D">
              <w:rPr>
                <w:rFonts w:ascii="Arial Narrow" w:hAnsi="Arial Narrow"/>
                <w:sz w:val="20"/>
                <w:szCs w:val="20"/>
              </w:rPr>
              <w:t xml:space="preserve"> unexplained infertility</w:t>
            </w:r>
            <w:r>
              <w:rPr>
                <w:rFonts w:ascii="Arial Narrow" w:hAnsi="Arial Narrow"/>
                <w:sz w:val="20"/>
                <w:szCs w:val="20"/>
              </w:rPr>
              <w:t>;</w:t>
            </w:r>
          </w:p>
          <w:p w:rsidR="009746E5" w:rsidRPr="009746E5" w:rsidRDefault="000F6D3D"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Basal FSH &lt;10</w:t>
            </w:r>
            <w:r w:rsidR="009746E5" w:rsidRPr="009746E5">
              <w:rPr>
                <w:rFonts w:ascii="Arial Narrow" w:hAnsi="Arial Narrow"/>
                <w:sz w:val="20"/>
                <w:szCs w:val="20"/>
              </w:rPr>
              <w:t>IU/L (cycle day 2-5)</w:t>
            </w:r>
            <w:r w:rsidR="000C4A15">
              <w:rPr>
                <w:rFonts w:ascii="Arial Narrow" w:hAnsi="Arial Narrow"/>
                <w:sz w:val="20"/>
                <w:szCs w:val="20"/>
              </w:rPr>
              <w:t>;</w:t>
            </w:r>
          </w:p>
          <w:p w:rsidR="009746E5" w:rsidRPr="009746E5" w:rsidRDefault="000F6D3D"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E2 levels &lt;50pg/mL (&lt;0.18</w:t>
            </w:r>
            <w:r w:rsidR="009746E5" w:rsidRPr="009746E5">
              <w:rPr>
                <w:rFonts w:ascii="Arial Narrow" w:hAnsi="Arial Narrow"/>
                <w:sz w:val="20"/>
                <w:szCs w:val="20"/>
              </w:rPr>
              <w:t>nmol/L) at the day of FSH administration</w:t>
            </w:r>
            <w:r w:rsidR="000C4A15">
              <w:rPr>
                <w:rFonts w:ascii="Arial Narrow" w:hAnsi="Arial Narrow"/>
                <w:sz w:val="20"/>
                <w:szCs w:val="20"/>
              </w:rPr>
              <w:t>;</w:t>
            </w:r>
          </w:p>
          <w:p w:rsidR="009746E5" w:rsidRPr="009746E5" w:rsidRDefault="009746E5" w:rsidP="009A35C5">
            <w:pPr>
              <w:pStyle w:val="ListParagraph"/>
              <w:keepLines/>
              <w:numPr>
                <w:ilvl w:val="0"/>
                <w:numId w:val="12"/>
              </w:numPr>
              <w:ind w:left="175" w:hanging="175"/>
              <w:jc w:val="both"/>
              <w:rPr>
                <w:rFonts w:ascii="Arial Narrow" w:hAnsi="Arial Narrow"/>
                <w:sz w:val="20"/>
                <w:szCs w:val="20"/>
              </w:rPr>
            </w:pPr>
            <w:r w:rsidRPr="009746E5">
              <w:rPr>
                <w:rFonts w:ascii="Arial Narrow" w:hAnsi="Arial Narrow"/>
                <w:sz w:val="20"/>
                <w:szCs w:val="20"/>
              </w:rPr>
              <w:t xml:space="preserve">AFC </w:t>
            </w:r>
            <w:r w:rsidR="00D87187">
              <w:rPr>
                <w:rFonts w:ascii="Arial Narrow" w:hAnsi="Arial Narrow"/>
                <w:sz w:val="20"/>
                <w:szCs w:val="20"/>
              </w:rPr>
              <w:t xml:space="preserve">of 10-25 </w:t>
            </w:r>
            <w:r w:rsidRPr="009746E5">
              <w:rPr>
                <w:rFonts w:ascii="Arial Narrow" w:hAnsi="Arial Narrow"/>
                <w:sz w:val="20"/>
                <w:szCs w:val="20"/>
              </w:rPr>
              <w:t>(sum of both ovaries)</w:t>
            </w:r>
            <w:r w:rsidR="000C4A15">
              <w:rPr>
                <w:rFonts w:ascii="Arial Narrow" w:hAnsi="Arial Narrow"/>
                <w:sz w:val="20"/>
                <w:szCs w:val="20"/>
              </w:rPr>
              <w:t>;</w:t>
            </w:r>
          </w:p>
          <w:p w:rsidR="000F6D3D" w:rsidRDefault="000F6D3D"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Excluded if with</w:t>
            </w:r>
            <w:r w:rsidRPr="009746E5">
              <w:rPr>
                <w:rFonts w:ascii="Arial Narrow" w:hAnsi="Arial Narrow"/>
                <w:sz w:val="20"/>
                <w:szCs w:val="20"/>
              </w:rPr>
              <w:t xml:space="preserve"> POCS </w:t>
            </w:r>
            <w:r>
              <w:rPr>
                <w:rFonts w:ascii="Arial Narrow" w:hAnsi="Arial Narrow"/>
                <w:sz w:val="20"/>
                <w:szCs w:val="20"/>
              </w:rPr>
              <w:t xml:space="preserve">or </w:t>
            </w:r>
            <w:r w:rsidR="00A15890">
              <w:rPr>
                <w:rFonts w:ascii="Arial Narrow" w:hAnsi="Arial Narrow"/>
                <w:sz w:val="20"/>
                <w:szCs w:val="20"/>
              </w:rPr>
              <w:t xml:space="preserve">with presence/history of </w:t>
            </w:r>
            <w:r w:rsidRPr="009746E5">
              <w:rPr>
                <w:rFonts w:ascii="Arial Narrow" w:hAnsi="Arial Narrow"/>
                <w:sz w:val="20"/>
                <w:szCs w:val="20"/>
              </w:rPr>
              <w:t>OHSS</w:t>
            </w:r>
            <w:r w:rsidR="000C4A15">
              <w:rPr>
                <w:rFonts w:ascii="Arial Narrow" w:hAnsi="Arial Narrow"/>
                <w:sz w:val="20"/>
                <w:szCs w:val="20"/>
              </w:rPr>
              <w:t>; and</w:t>
            </w:r>
          </w:p>
          <w:p w:rsidR="00A15890" w:rsidRPr="009746E5" w:rsidRDefault="00A15890"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 xml:space="preserve">Excluded if with </w:t>
            </w:r>
            <w:r w:rsidR="000C4A15">
              <w:rPr>
                <w:rFonts w:ascii="Arial Narrow" w:hAnsi="Arial Narrow"/>
                <w:sz w:val="20"/>
                <w:szCs w:val="20"/>
              </w:rPr>
              <w:t xml:space="preserve">a </w:t>
            </w:r>
            <w:r>
              <w:rPr>
                <w:rFonts w:ascii="Arial Narrow" w:hAnsi="Arial Narrow"/>
                <w:sz w:val="20"/>
                <w:szCs w:val="20"/>
              </w:rPr>
              <w:t>h</w:t>
            </w:r>
            <w:r w:rsidRPr="00A15890">
              <w:rPr>
                <w:rFonts w:ascii="Arial Narrow" w:hAnsi="Arial Narrow"/>
                <w:sz w:val="20"/>
                <w:szCs w:val="20"/>
              </w:rPr>
              <w:t>istory of poor response to gonadotropin treatment</w:t>
            </w:r>
            <w:r w:rsidRPr="004D1311">
              <w:rPr>
                <w:rFonts w:ascii="Arial Narrow" w:hAnsi="Arial Narrow"/>
                <w:sz w:val="20"/>
                <w:szCs w:val="20"/>
                <w:vertAlign w:val="superscript"/>
              </w:rPr>
              <w:t>a</w:t>
            </w:r>
          </w:p>
        </w:tc>
      </w:tr>
      <w:tr w:rsidR="00201FDA" w:rsidRPr="0097056C" w:rsidTr="00002A96">
        <w:tc>
          <w:tcPr>
            <w:tcW w:w="1370" w:type="dxa"/>
          </w:tcPr>
          <w:p w:rsidR="00201FDA" w:rsidRPr="0097056C" w:rsidRDefault="00201FDA" w:rsidP="000C4A15">
            <w:pPr>
              <w:keepLines/>
              <w:contextualSpacing/>
              <w:rPr>
                <w:rFonts w:ascii="Arial Narrow" w:hAnsi="Arial Narrow"/>
                <w:sz w:val="20"/>
                <w:szCs w:val="20"/>
              </w:rPr>
            </w:pPr>
            <w:r w:rsidRPr="001B17D6">
              <w:rPr>
                <w:rFonts w:ascii="Arial Narrow" w:hAnsi="Arial Narrow"/>
                <w:sz w:val="20"/>
                <w:szCs w:val="20"/>
              </w:rPr>
              <w:t xml:space="preserve">Treatment regimen </w:t>
            </w:r>
            <w:r w:rsidR="000C4A15">
              <w:rPr>
                <w:rFonts w:ascii="Arial Narrow" w:hAnsi="Arial Narrow"/>
                <w:sz w:val="20"/>
                <w:szCs w:val="20"/>
              </w:rPr>
              <w:t>of</w:t>
            </w:r>
            <w:r w:rsidRPr="001B17D6">
              <w:rPr>
                <w:rFonts w:ascii="Arial Narrow" w:hAnsi="Arial Narrow"/>
                <w:sz w:val="20"/>
                <w:szCs w:val="20"/>
              </w:rPr>
              <w:t xml:space="preserve"> </w:t>
            </w:r>
            <w:r w:rsidR="000C4A15">
              <w:rPr>
                <w:rFonts w:ascii="Arial Narrow" w:hAnsi="Arial Narrow"/>
                <w:sz w:val="20"/>
                <w:szCs w:val="20"/>
              </w:rPr>
              <w:t>r-h</w:t>
            </w:r>
            <w:r w:rsidRPr="001B17D6">
              <w:rPr>
                <w:rFonts w:ascii="Arial Narrow" w:hAnsi="Arial Narrow"/>
                <w:sz w:val="20"/>
                <w:szCs w:val="20"/>
              </w:rPr>
              <w:t>FSH during the trial</w:t>
            </w:r>
          </w:p>
        </w:tc>
        <w:tc>
          <w:tcPr>
            <w:tcW w:w="2901" w:type="dxa"/>
          </w:tcPr>
          <w:p w:rsidR="00201FDA" w:rsidRPr="0097056C" w:rsidRDefault="00201FDA" w:rsidP="000C4A15">
            <w:pPr>
              <w:keepLines/>
              <w:contextualSpacing/>
              <w:jc w:val="both"/>
              <w:rPr>
                <w:rFonts w:ascii="Arial Narrow" w:hAnsi="Arial Narrow"/>
                <w:sz w:val="20"/>
                <w:szCs w:val="20"/>
              </w:rPr>
            </w:pPr>
            <w:r w:rsidRPr="00B832E7">
              <w:rPr>
                <w:rFonts w:ascii="Arial Narrow" w:hAnsi="Arial Narrow"/>
                <w:sz w:val="20"/>
                <w:szCs w:val="20"/>
              </w:rPr>
              <w:t>Bemfola</w:t>
            </w:r>
            <w:r w:rsidRPr="00B832E7">
              <w:rPr>
                <w:rFonts w:ascii="Arial Narrow" w:hAnsi="Arial Narrow"/>
                <w:sz w:val="20"/>
                <w:szCs w:val="20"/>
                <w:vertAlign w:val="superscript"/>
              </w:rPr>
              <w:t>®</w:t>
            </w:r>
            <w:r>
              <w:rPr>
                <w:rFonts w:ascii="Arial Narrow" w:hAnsi="Arial Narrow"/>
                <w:sz w:val="20"/>
                <w:szCs w:val="20"/>
              </w:rPr>
              <w:t xml:space="preserve"> 225IU </w:t>
            </w:r>
            <w:r w:rsidR="009E19AB">
              <w:rPr>
                <w:rFonts w:ascii="Arial Narrow" w:hAnsi="Arial Narrow"/>
                <w:sz w:val="20"/>
                <w:szCs w:val="20"/>
              </w:rPr>
              <w:t xml:space="preserve">single SC dose, followed by </w:t>
            </w:r>
            <w:r w:rsidRPr="00FC2663">
              <w:rPr>
                <w:rFonts w:ascii="Arial Narrow" w:hAnsi="Arial Narrow"/>
                <w:sz w:val="20"/>
                <w:szCs w:val="20"/>
              </w:rPr>
              <w:t>Gonal-f</w:t>
            </w:r>
            <w:r w:rsidRPr="00FC2663">
              <w:rPr>
                <w:rFonts w:ascii="Arial Narrow" w:hAnsi="Arial Narrow"/>
                <w:sz w:val="20"/>
                <w:szCs w:val="20"/>
                <w:vertAlign w:val="superscript"/>
              </w:rPr>
              <w:t>®</w:t>
            </w:r>
            <w:r>
              <w:rPr>
                <w:rFonts w:ascii="Arial Narrow" w:hAnsi="Arial Narrow"/>
                <w:sz w:val="20"/>
                <w:szCs w:val="20"/>
              </w:rPr>
              <w:t xml:space="preserve"> 225IU </w:t>
            </w:r>
            <w:r w:rsidR="009E19AB">
              <w:rPr>
                <w:rFonts w:ascii="Arial Narrow" w:hAnsi="Arial Narrow"/>
                <w:sz w:val="20"/>
                <w:szCs w:val="20"/>
              </w:rPr>
              <w:t xml:space="preserve">single </w:t>
            </w:r>
            <w:r>
              <w:rPr>
                <w:rFonts w:ascii="Arial Narrow" w:hAnsi="Arial Narrow"/>
                <w:sz w:val="20"/>
                <w:szCs w:val="20"/>
              </w:rPr>
              <w:t xml:space="preserve">SC </w:t>
            </w:r>
            <w:r w:rsidR="009E19AB">
              <w:rPr>
                <w:rFonts w:ascii="Arial Narrow" w:hAnsi="Arial Narrow"/>
                <w:sz w:val="20"/>
                <w:szCs w:val="20"/>
              </w:rPr>
              <w:t xml:space="preserve">dose </w:t>
            </w:r>
            <w:r w:rsidR="000C4A15">
              <w:rPr>
                <w:rFonts w:ascii="Arial Narrow" w:hAnsi="Arial Narrow"/>
                <w:sz w:val="20"/>
                <w:szCs w:val="20"/>
              </w:rPr>
              <w:t>at an interval of 14 days</w:t>
            </w:r>
            <w:r>
              <w:rPr>
                <w:rFonts w:ascii="Arial Narrow" w:hAnsi="Arial Narrow"/>
                <w:sz w:val="20"/>
                <w:szCs w:val="20"/>
              </w:rPr>
              <w:t>. Or v</w:t>
            </w:r>
            <w:r>
              <w:rPr>
                <w:rFonts w:ascii="Arial Narrow" w:hAnsi="Arial Narrow"/>
                <w:i/>
                <w:sz w:val="20"/>
                <w:szCs w:val="20"/>
              </w:rPr>
              <w:t xml:space="preserve">ice </w:t>
            </w:r>
            <w:r w:rsidRPr="00FC2663">
              <w:rPr>
                <w:rFonts w:ascii="Arial Narrow" w:hAnsi="Arial Narrow"/>
                <w:i/>
                <w:sz w:val="20"/>
                <w:szCs w:val="20"/>
              </w:rPr>
              <w:t>versa</w:t>
            </w:r>
            <w:r>
              <w:rPr>
                <w:rFonts w:ascii="Arial Narrow" w:hAnsi="Arial Narrow"/>
                <w:sz w:val="20"/>
                <w:szCs w:val="20"/>
              </w:rPr>
              <w:t xml:space="preserve">. </w:t>
            </w:r>
          </w:p>
        </w:tc>
        <w:tc>
          <w:tcPr>
            <w:tcW w:w="4036" w:type="dxa"/>
          </w:tcPr>
          <w:p w:rsidR="00201FDA" w:rsidRPr="0097056C" w:rsidRDefault="00201FDA" w:rsidP="00722FE8">
            <w:pPr>
              <w:keepLines/>
              <w:contextualSpacing/>
              <w:jc w:val="both"/>
              <w:rPr>
                <w:rFonts w:ascii="Arial Narrow" w:hAnsi="Arial Narrow"/>
                <w:sz w:val="20"/>
                <w:szCs w:val="20"/>
              </w:rPr>
            </w:pPr>
            <w:r w:rsidRPr="00B26BD3">
              <w:rPr>
                <w:rFonts w:ascii="Arial Narrow" w:hAnsi="Arial Narrow"/>
                <w:sz w:val="20"/>
                <w:szCs w:val="20"/>
              </w:rPr>
              <w:t>Bemfola</w:t>
            </w:r>
            <w:r w:rsidRPr="00B26BD3">
              <w:rPr>
                <w:rFonts w:ascii="Arial Narrow" w:hAnsi="Arial Narrow"/>
                <w:sz w:val="20"/>
                <w:szCs w:val="20"/>
                <w:vertAlign w:val="superscript"/>
              </w:rPr>
              <w:t>®</w:t>
            </w:r>
            <w:r>
              <w:rPr>
                <w:rFonts w:ascii="Arial Narrow" w:hAnsi="Arial Narrow"/>
                <w:sz w:val="20"/>
                <w:szCs w:val="20"/>
              </w:rPr>
              <w:t xml:space="preserve"> or </w:t>
            </w:r>
            <w:r w:rsidRPr="00B26BD3">
              <w:rPr>
                <w:rFonts w:ascii="Arial Narrow" w:hAnsi="Arial Narrow"/>
                <w:sz w:val="20"/>
                <w:szCs w:val="20"/>
              </w:rPr>
              <w:t>Gonal-f</w:t>
            </w:r>
            <w:r w:rsidRPr="00B26BD3">
              <w:rPr>
                <w:rFonts w:ascii="Arial Narrow" w:hAnsi="Arial Narrow"/>
                <w:sz w:val="20"/>
                <w:szCs w:val="20"/>
                <w:vertAlign w:val="superscript"/>
              </w:rPr>
              <w:t>®</w:t>
            </w:r>
            <w:r>
              <w:rPr>
                <w:rFonts w:ascii="Arial Narrow" w:hAnsi="Arial Narrow"/>
                <w:sz w:val="20"/>
                <w:szCs w:val="20"/>
              </w:rPr>
              <w:t xml:space="preserve"> 150IU SC daily for a maximum of 16 days. </w:t>
            </w:r>
          </w:p>
        </w:tc>
      </w:tr>
      <w:tr w:rsidR="00201FDA" w:rsidRPr="0097056C" w:rsidTr="00002A96">
        <w:tc>
          <w:tcPr>
            <w:tcW w:w="1370" w:type="dxa"/>
          </w:tcPr>
          <w:p w:rsidR="00201FDA" w:rsidRPr="0097056C" w:rsidRDefault="00201FDA" w:rsidP="00722FE8">
            <w:pPr>
              <w:keepLines/>
              <w:contextualSpacing/>
              <w:rPr>
                <w:rFonts w:ascii="Arial Narrow" w:hAnsi="Arial Narrow"/>
                <w:sz w:val="20"/>
                <w:szCs w:val="20"/>
              </w:rPr>
            </w:pPr>
            <w:r w:rsidRPr="0097056C">
              <w:rPr>
                <w:rFonts w:ascii="Arial Narrow" w:hAnsi="Arial Narrow"/>
                <w:sz w:val="20"/>
                <w:szCs w:val="20"/>
              </w:rPr>
              <w:t>Concomitant medicines</w:t>
            </w:r>
          </w:p>
        </w:tc>
        <w:tc>
          <w:tcPr>
            <w:tcW w:w="2901" w:type="dxa"/>
          </w:tcPr>
          <w:p w:rsidR="00201FDA" w:rsidRPr="0097056C" w:rsidRDefault="00201FDA" w:rsidP="00FA3487">
            <w:pPr>
              <w:keepLines/>
              <w:contextualSpacing/>
              <w:jc w:val="both"/>
              <w:rPr>
                <w:rFonts w:ascii="Arial Narrow" w:hAnsi="Arial Narrow"/>
                <w:sz w:val="20"/>
                <w:szCs w:val="20"/>
              </w:rPr>
            </w:pPr>
            <w:r>
              <w:rPr>
                <w:rFonts w:ascii="Arial Narrow" w:hAnsi="Arial Narrow"/>
                <w:sz w:val="20"/>
                <w:szCs w:val="20"/>
              </w:rPr>
              <w:t>Enantone</w:t>
            </w:r>
            <w:r w:rsidR="00FA3487" w:rsidRPr="00FA3487">
              <w:rPr>
                <w:rFonts w:ascii="Arial Narrow" w:hAnsi="Arial Narrow"/>
                <w:sz w:val="20"/>
                <w:szCs w:val="20"/>
                <w:vertAlign w:val="superscript"/>
              </w:rPr>
              <w:t>®</w:t>
            </w:r>
            <w:r w:rsidR="003606C0">
              <w:rPr>
                <w:rFonts w:ascii="Arial Narrow" w:hAnsi="Arial Narrow"/>
                <w:sz w:val="20"/>
                <w:szCs w:val="20"/>
              </w:rPr>
              <w:t>-Gyn (leupro</w:t>
            </w:r>
            <w:r>
              <w:rPr>
                <w:rFonts w:ascii="Arial Narrow" w:hAnsi="Arial Narrow"/>
                <w:sz w:val="20"/>
                <w:szCs w:val="20"/>
              </w:rPr>
              <w:t>relin</w:t>
            </w:r>
            <w:r w:rsidR="003606C0">
              <w:rPr>
                <w:rFonts w:ascii="Arial Narrow" w:hAnsi="Arial Narrow"/>
                <w:sz w:val="20"/>
                <w:szCs w:val="20"/>
              </w:rPr>
              <w:t xml:space="preserve"> </w:t>
            </w:r>
            <w:r w:rsidR="003606C0" w:rsidRPr="003606C0">
              <w:rPr>
                <w:rFonts w:ascii="Arial Narrow" w:hAnsi="Arial Narrow"/>
                <w:sz w:val="20"/>
                <w:szCs w:val="20"/>
              </w:rPr>
              <w:t>acetate</w:t>
            </w:r>
            <w:r>
              <w:rPr>
                <w:rFonts w:ascii="Arial Narrow" w:hAnsi="Arial Narrow"/>
                <w:sz w:val="20"/>
                <w:szCs w:val="20"/>
              </w:rPr>
              <w:t xml:space="preserve">) </w:t>
            </w:r>
            <w:r w:rsidR="003606C0">
              <w:rPr>
                <w:rFonts w:ascii="Arial Narrow" w:hAnsi="Arial Narrow"/>
                <w:sz w:val="20"/>
                <w:szCs w:val="20"/>
              </w:rPr>
              <w:t xml:space="preserve">given prior to each injection of </w:t>
            </w:r>
            <w:r w:rsidR="003606C0" w:rsidRPr="003606C0">
              <w:rPr>
                <w:rFonts w:ascii="Arial Narrow" w:hAnsi="Arial Narrow"/>
                <w:sz w:val="20"/>
                <w:szCs w:val="22"/>
              </w:rPr>
              <w:t>Bemfola</w:t>
            </w:r>
            <w:r w:rsidR="003606C0" w:rsidRPr="003606C0">
              <w:rPr>
                <w:rFonts w:ascii="Arial Narrow" w:hAnsi="Arial Narrow"/>
                <w:sz w:val="20"/>
                <w:szCs w:val="22"/>
                <w:vertAlign w:val="superscript"/>
              </w:rPr>
              <w:t>®</w:t>
            </w:r>
            <w:r w:rsidR="003606C0">
              <w:rPr>
                <w:rFonts w:ascii="Arial Narrow" w:hAnsi="Arial Narrow"/>
                <w:sz w:val="20"/>
                <w:szCs w:val="20"/>
              </w:rPr>
              <w:t xml:space="preserve"> or </w:t>
            </w:r>
            <w:r w:rsidR="003606C0" w:rsidRPr="003606C0">
              <w:rPr>
                <w:rFonts w:ascii="Arial Narrow" w:hAnsi="Arial Narrow"/>
                <w:sz w:val="20"/>
                <w:szCs w:val="22"/>
              </w:rPr>
              <w:t>Gonal-f</w:t>
            </w:r>
            <w:r w:rsidR="003606C0" w:rsidRPr="003606C0">
              <w:rPr>
                <w:rFonts w:ascii="Arial Narrow" w:hAnsi="Arial Narrow"/>
                <w:sz w:val="20"/>
                <w:szCs w:val="22"/>
                <w:vertAlign w:val="superscript"/>
              </w:rPr>
              <w:t>®</w:t>
            </w:r>
            <w:r w:rsidR="003606C0" w:rsidRPr="003606C0">
              <w:rPr>
                <w:rFonts w:ascii="Arial Narrow" w:hAnsi="Arial Narrow"/>
                <w:sz w:val="20"/>
                <w:szCs w:val="22"/>
              </w:rPr>
              <w:t xml:space="preserve"> </w:t>
            </w:r>
            <w:r w:rsidR="003606C0">
              <w:rPr>
                <w:rFonts w:ascii="Arial Narrow" w:hAnsi="Arial Narrow"/>
                <w:sz w:val="20"/>
                <w:szCs w:val="20"/>
              </w:rPr>
              <w:t xml:space="preserve"> to down regulate </w:t>
            </w:r>
            <w:r w:rsidR="00960C87">
              <w:rPr>
                <w:rFonts w:ascii="Arial Narrow" w:hAnsi="Arial Narrow"/>
                <w:sz w:val="20"/>
                <w:szCs w:val="20"/>
              </w:rPr>
              <w:t>endogenous FSH levels</w:t>
            </w:r>
          </w:p>
        </w:tc>
        <w:tc>
          <w:tcPr>
            <w:tcW w:w="4036" w:type="dxa"/>
          </w:tcPr>
          <w:p w:rsidR="00F3028E" w:rsidRPr="00F3028E" w:rsidRDefault="00201FDA" w:rsidP="00F3028E">
            <w:pPr>
              <w:pStyle w:val="ListParagraph"/>
              <w:keepLines/>
              <w:numPr>
                <w:ilvl w:val="0"/>
                <w:numId w:val="12"/>
              </w:numPr>
              <w:ind w:left="175" w:hanging="175"/>
              <w:jc w:val="both"/>
              <w:rPr>
                <w:rFonts w:ascii="Arial Narrow" w:hAnsi="Arial Narrow"/>
                <w:sz w:val="20"/>
                <w:szCs w:val="20"/>
              </w:rPr>
            </w:pPr>
            <w:r w:rsidRPr="006119D8">
              <w:rPr>
                <w:rFonts w:ascii="Arial Narrow" w:hAnsi="Arial Narrow"/>
                <w:sz w:val="20"/>
                <w:szCs w:val="20"/>
              </w:rPr>
              <w:t>GnRH agonist during the screening phase, administered according to centre's procedures to all eligible patients in the luteal phase</w:t>
            </w:r>
          </w:p>
          <w:p w:rsidR="00201FDA" w:rsidRPr="006119D8" w:rsidRDefault="00201FDA" w:rsidP="00722FE8">
            <w:pPr>
              <w:pStyle w:val="ListParagraph"/>
              <w:keepLines/>
              <w:numPr>
                <w:ilvl w:val="0"/>
                <w:numId w:val="12"/>
              </w:numPr>
              <w:ind w:left="175" w:hanging="175"/>
              <w:jc w:val="both"/>
              <w:rPr>
                <w:rFonts w:ascii="Arial Narrow" w:hAnsi="Arial Narrow"/>
                <w:sz w:val="20"/>
                <w:szCs w:val="20"/>
              </w:rPr>
            </w:pPr>
            <w:r w:rsidRPr="006119D8">
              <w:rPr>
                <w:rFonts w:ascii="Arial Narrow" w:hAnsi="Arial Narrow"/>
                <w:sz w:val="20"/>
                <w:szCs w:val="20"/>
              </w:rPr>
              <w:t>Ovitrelle</w:t>
            </w:r>
            <w:r w:rsidRPr="001C6D23">
              <w:rPr>
                <w:rFonts w:ascii="Arial Narrow" w:hAnsi="Arial Narrow"/>
                <w:sz w:val="20"/>
                <w:szCs w:val="20"/>
                <w:vertAlign w:val="superscript"/>
              </w:rPr>
              <w:t>®</w:t>
            </w:r>
            <w:r w:rsidRPr="006119D8">
              <w:rPr>
                <w:rFonts w:ascii="Arial Narrow" w:hAnsi="Arial Narrow"/>
                <w:sz w:val="20"/>
                <w:szCs w:val="20"/>
              </w:rPr>
              <w:t xml:space="preserve"> (a hCG) </w:t>
            </w:r>
            <w:r w:rsidRPr="001C6D23">
              <w:rPr>
                <w:rFonts w:ascii="Arial Narrow" w:hAnsi="Arial Narrow"/>
                <w:sz w:val="20"/>
                <w:szCs w:val="20"/>
              </w:rPr>
              <w:t>for ovulation induction</w:t>
            </w:r>
            <w:r>
              <w:rPr>
                <w:rFonts w:ascii="Arial Narrow" w:hAnsi="Arial Narrow"/>
                <w:sz w:val="20"/>
                <w:szCs w:val="20"/>
              </w:rPr>
              <w:t xml:space="preserve">. </w:t>
            </w:r>
            <w:r>
              <w:rPr>
                <w:rFonts w:ascii="Arial Narrow" w:hAnsi="Arial Narrow"/>
                <w:sz w:val="20"/>
                <w:szCs w:val="20"/>
              </w:rPr>
              <w:lastRenderedPageBreak/>
              <w:t>A</w:t>
            </w:r>
            <w:r w:rsidR="00F3028E">
              <w:rPr>
                <w:rFonts w:ascii="Arial Narrow" w:hAnsi="Arial Narrow"/>
                <w:sz w:val="20"/>
                <w:szCs w:val="20"/>
              </w:rPr>
              <w:t>dministered 16 days after initiation of r-hFSH treatment</w:t>
            </w:r>
            <w:r w:rsidRPr="006119D8">
              <w:rPr>
                <w:rFonts w:ascii="Arial Narrow" w:hAnsi="Arial Narrow"/>
                <w:sz w:val="20"/>
                <w:szCs w:val="20"/>
              </w:rPr>
              <w:t xml:space="preserve"> </w:t>
            </w:r>
            <w:r w:rsidR="00F3028E">
              <w:rPr>
                <w:rFonts w:ascii="Arial Narrow" w:hAnsi="Arial Narrow"/>
                <w:sz w:val="20"/>
                <w:szCs w:val="20"/>
              </w:rPr>
              <w:t xml:space="preserve">at the latest and </w:t>
            </w:r>
            <w:r w:rsidRPr="006119D8">
              <w:rPr>
                <w:rFonts w:ascii="Arial Narrow" w:hAnsi="Arial Narrow"/>
                <w:sz w:val="20"/>
                <w:szCs w:val="20"/>
              </w:rPr>
              <w:t>within 24 hours after criteria for ov</w:t>
            </w:r>
            <w:r w:rsidR="00F3028E">
              <w:rPr>
                <w:rFonts w:ascii="Arial Narrow" w:hAnsi="Arial Narrow"/>
                <w:sz w:val="20"/>
                <w:szCs w:val="20"/>
              </w:rPr>
              <w:t>ulation induction</w:t>
            </w:r>
            <w:r w:rsidR="008B60CF" w:rsidRPr="008B60CF">
              <w:rPr>
                <w:rFonts w:ascii="Arial Narrow" w:hAnsi="Arial Narrow"/>
                <w:sz w:val="20"/>
                <w:szCs w:val="20"/>
                <w:vertAlign w:val="superscript"/>
              </w:rPr>
              <w:t>b</w:t>
            </w:r>
            <w:r w:rsidR="00F3028E">
              <w:rPr>
                <w:rFonts w:ascii="Arial Narrow" w:hAnsi="Arial Narrow"/>
                <w:sz w:val="20"/>
                <w:szCs w:val="20"/>
              </w:rPr>
              <w:t xml:space="preserve"> have been met</w:t>
            </w:r>
          </w:p>
          <w:p w:rsidR="00201FDA" w:rsidRPr="001C6D23" w:rsidRDefault="00201FDA" w:rsidP="00722FE8">
            <w:pPr>
              <w:pStyle w:val="ListParagraph"/>
              <w:keepLines/>
              <w:numPr>
                <w:ilvl w:val="0"/>
                <w:numId w:val="12"/>
              </w:numPr>
              <w:ind w:left="175" w:hanging="175"/>
              <w:jc w:val="both"/>
              <w:rPr>
                <w:rFonts w:ascii="Arial Narrow" w:hAnsi="Arial Narrow"/>
                <w:sz w:val="20"/>
                <w:szCs w:val="20"/>
              </w:rPr>
            </w:pPr>
            <w:r w:rsidRPr="001C6D23">
              <w:rPr>
                <w:rFonts w:ascii="Arial Narrow" w:hAnsi="Arial Narrow"/>
                <w:sz w:val="20"/>
                <w:szCs w:val="20"/>
              </w:rPr>
              <w:t>Utrogestan</w:t>
            </w:r>
            <w:r w:rsidRPr="001C6D23">
              <w:rPr>
                <w:rFonts w:ascii="Arial Narrow" w:hAnsi="Arial Narrow"/>
                <w:sz w:val="20"/>
                <w:szCs w:val="20"/>
                <w:vertAlign w:val="superscript"/>
              </w:rPr>
              <w:t>®</w:t>
            </w:r>
            <w:r w:rsidRPr="001C6D23">
              <w:rPr>
                <w:rFonts w:ascii="Arial Narrow" w:hAnsi="Arial Narrow"/>
                <w:sz w:val="20"/>
                <w:szCs w:val="20"/>
              </w:rPr>
              <w:t xml:space="preserve"> as luteal support. Given at the day of oocyte retrieval or embryo/blastocyst transfer until after the confirmation of clinical pregnancy up to 35-42 days after oocyte retrieval or upon a negative serum β-hCG test at 16-18 days after oocyte retrieval </w:t>
            </w:r>
          </w:p>
        </w:tc>
      </w:tr>
      <w:tr w:rsidR="00201FDA" w:rsidRPr="0097056C" w:rsidTr="00002A96">
        <w:tc>
          <w:tcPr>
            <w:tcW w:w="1370" w:type="dxa"/>
          </w:tcPr>
          <w:p w:rsidR="00201FDA" w:rsidRPr="0097056C" w:rsidRDefault="00201FDA" w:rsidP="00722FE8">
            <w:pPr>
              <w:keepLines/>
              <w:contextualSpacing/>
              <w:rPr>
                <w:rFonts w:ascii="Arial Narrow" w:hAnsi="Arial Narrow"/>
                <w:sz w:val="20"/>
                <w:szCs w:val="20"/>
              </w:rPr>
            </w:pPr>
            <w:r w:rsidRPr="0097056C">
              <w:rPr>
                <w:rFonts w:ascii="Arial Narrow" w:hAnsi="Arial Narrow"/>
                <w:sz w:val="20"/>
                <w:szCs w:val="20"/>
              </w:rPr>
              <w:lastRenderedPageBreak/>
              <w:t>Duration of follow-up</w:t>
            </w:r>
          </w:p>
        </w:tc>
        <w:tc>
          <w:tcPr>
            <w:tcW w:w="2901" w:type="dxa"/>
          </w:tcPr>
          <w:p w:rsidR="00201FDA" w:rsidRPr="0097056C" w:rsidRDefault="00201FDA" w:rsidP="00722FE8">
            <w:pPr>
              <w:keepLines/>
              <w:contextualSpacing/>
              <w:jc w:val="both"/>
              <w:rPr>
                <w:rFonts w:ascii="Arial Narrow" w:hAnsi="Arial Narrow"/>
                <w:sz w:val="20"/>
                <w:szCs w:val="20"/>
              </w:rPr>
            </w:pPr>
            <w:r>
              <w:rPr>
                <w:rFonts w:ascii="Arial Narrow" w:hAnsi="Arial Narrow"/>
                <w:sz w:val="20"/>
                <w:szCs w:val="20"/>
              </w:rPr>
              <w:t xml:space="preserve">Day 38-66 </w:t>
            </w:r>
          </w:p>
        </w:tc>
        <w:tc>
          <w:tcPr>
            <w:tcW w:w="4036" w:type="dxa"/>
          </w:tcPr>
          <w:p w:rsidR="00201FDA" w:rsidRPr="0097056C" w:rsidRDefault="00201FDA" w:rsidP="00722FE8">
            <w:pPr>
              <w:keepLines/>
              <w:contextualSpacing/>
              <w:jc w:val="both"/>
              <w:rPr>
                <w:rFonts w:ascii="Arial Narrow" w:hAnsi="Arial Narrow"/>
                <w:sz w:val="20"/>
                <w:szCs w:val="20"/>
              </w:rPr>
            </w:pPr>
            <w:r>
              <w:rPr>
                <w:rFonts w:ascii="Arial Narrow" w:hAnsi="Arial Narrow"/>
                <w:sz w:val="20"/>
                <w:szCs w:val="20"/>
              </w:rPr>
              <w:t>Up to 35</w:t>
            </w:r>
            <w:r w:rsidRPr="0041454F">
              <w:rPr>
                <w:rFonts w:ascii="Arial Narrow" w:hAnsi="Arial Narrow"/>
                <w:sz w:val="20"/>
                <w:szCs w:val="20"/>
              </w:rPr>
              <w:t xml:space="preserve">-42 days after oocyte </w:t>
            </w:r>
            <w:r>
              <w:rPr>
                <w:rFonts w:ascii="Arial Narrow" w:hAnsi="Arial Narrow"/>
                <w:sz w:val="20"/>
                <w:szCs w:val="20"/>
              </w:rPr>
              <w:t>retrieval or until child birth/miscarriage</w:t>
            </w:r>
          </w:p>
        </w:tc>
      </w:tr>
      <w:tr w:rsidR="0097056C" w:rsidRPr="0097056C" w:rsidTr="00002A96">
        <w:tc>
          <w:tcPr>
            <w:tcW w:w="1370" w:type="dxa"/>
          </w:tcPr>
          <w:p w:rsidR="0097056C" w:rsidRPr="0097056C" w:rsidRDefault="00C35ABD" w:rsidP="00E407E2">
            <w:pPr>
              <w:keepLines/>
              <w:contextualSpacing/>
              <w:rPr>
                <w:rFonts w:ascii="Arial Narrow" w:hAnsi="Arial Narrow"/>
                <w:sz w:val="20"/>
                <w:szCs w:val="20"/>
              </w:rPr>
            </w:pPr>
            <w:r w:rsidRPr="001B17D6">
              <w:rPr>
                <w:rFonts w:ascii="Arial Narrow" w:hAnsi="Arial Narrow"/>
                <w:sz w:val="20"/>
                <w:szCs w:val="20"/>
              </w:rPr>
              <w:t xml:space="preserve">Primary </w:t>
            </w:r>
            <w:r w:rsidR="00E407E2">
              <w:rPr>
                <w:rFonts w:ascii="Arial Narrow" w:hAnsi="Arial Narrow"/>
                <w:sz w:val="20"/>
                <w:szCs w:val="20"/>
              </w:rPr>
              <w:t>endpoint</w:t>
            </w:r>
          </w:p>
        </w:tc>
        <w:tc>
          <w:tcPr>
            <w:tcW w:w="2901" w:type="dxa"/>
          </w:tcPr>
          <w:p w:rsidR="0097056C" w:rsidRPr="0097056C" w:rsidRDefault="00C35ABD" w:rsidP="00021006">
            <w:pPr>
              <w:keepLines/>
              <w:contextualSpacing/>
              <w:jc w:val="both"/>
              <w:rPr>
                <w:rFonts w:ascii="Arial Narrow" w:hAnsi="Arial Narrow"/>
                <w:sz w:val="20"/>
                <w:szCs w:val="20"/>
                <w:vertAlign w:val="subscript"/>
              </w:rPr>
            </w:pPr>
            <w:r w:rsidRPr="003F576A">
              <w:rPr>
                <w:rFonts w:ascii="Arial Narrow" w:hAnsi="Arial Narrow"/>
                <w:sz w:val="20"/>
                <w:szCs w:val="20"/>
              </w:rPr>
              <w:t>AUC</w:t>
            </w:r>
            <w:r w:rsidRPr="003F576A">
              <w:rPr>
                <w:rFonts w:ascii="Arial Narrow" w:hAnsi="Arial Narrow"/>
                <w:sz w:val="20"/>
                <w:szCs w:val="20"/>
                <w:vertAlign w:val="subscript"/>
              </w:rPr>
              <w:t>0-192</w:t>
            </w:r>
          </w:p>
        </w:tc>
        <w:tc>
          <w:tcPr>
            <w:tcW w:w="4036" w:type="dxa"/>
          </w:tcPr>
          <w:p w:rsidR="0097056C" w:rsidRPr="0097056C" w:rsidRDefault="001C6D23" w:rsidP="00E407E2">
            <w:pPr>
              <w:keepLines/>
              <w:contextualSpacing/>
              <w:jc w:val="both"/>
              <w:rPr>
                <w:rFonts w:ascii="Arial Narrow" w:hAnsi="Arial Narrow"/>
                <w:sz w:val="20"/>
                <w:szCs w:val="20"/>
              </w:rPr>
            </w:pPr>
            <w:r>
              <w:rPr>
                <w:rFonts w:ascii="Arial Narrow" w:hAnsi="Arial Narrow"/>
                <w:sz w:val="20"/>
                <w:szCs w:val="20"/>
              </w:rPr>
              <w:t>Number of oocyte</w:t>
            </w:r>
            <w:r w:rsidR="00B96708">
              <w:rPr>
                <w:rFonts w:ascii="Arial Narrow" w:hAnsi="Arial Narrow"/>
                <w:sz w:val="20"/>
                <w:szCs w:val="20"/>
              </w:rPr>
              <w:t>s</w:t>
            </w:r>
            <w:r>
              <w:rPr>
                <w:rFonts w:ascii="Arial Narrow" w:hAnsi="Arial Narrow"/>
                <w:sz w:val="20"/>
                <w:szCs w:val="20"/>
              </w:rPr>
              <w:t xml:space="preserve"> retrieved </w:t>
            </w:r>
            <w:r w:rsidR="00E407E2" w:rsidRPr="00E407E2">
              <w:rPr>
                <w:rFonts w:ascii="Arial Narrow" w:hAnsi="Arial Narrow"/>
                <w:sz w:val="20"/>
                <w:szCs w:val="20"/>
              </w:rPr>
              <w:t>34-36 hours after hCG administration</w:t>
            </w:r>
          </w:p>
        </w:tc>
      </w:tr>
      <w:tr w:rsidR="00C35ABD" w:rsidRPr="0097056C" w:rsidTr="00002A96">
        <w:tc>
          <w:tcPr>
            <w:tcW w:w="1370" w:type="dxa"/>
          </w:tcPr>
          <w:p w:rsidR="00C35ABD" w:rsidRPr="001B17D6" w:rsidRDefault="00C35ABD" w:rsidP="00021006">
            <w:pPr>
              <w:keepLines/>
              <w:contextualSpacing/>
              <w:rPr>
                <w:rFonts w:ascii="Arial Narrow" w:hAnsi="Arial Narrow"/>
                <w:sz w:val="20"/>
                <w:szCs w:val="20"/>
              </w:rPr>
            </w:pPr>
            <w:r w:rsidRPr="001B17D6">
              <w:rPr>
                <w:rFonts w:ascii="Arial Narrow" w:hAnsi="Arial Narrow"/>
                <w:sz w:val="20"/>
                <w:szCs w:val="20"/>
              </w:rPr>
              <w:t>Secondary outcome</w:t>
            </w:r>
            <w:r w:rsidR="00E407E2">
              <w:rPr>
                <w:rFonts w:ascii="Arial Narrow" w:hAnsi="Arial Narrow"/>
                <w:sz w:val="20"/>
                <w:szCs w:val="20"/>
              </w:rPr>
              <w:t>s</w:t>
            </w:r>
          </w:p>
        </w:tc>
        <w:tc>
          <w:tcPr>
            <w:tcW w:w="2901" w:type="dxa"/>
          </w:tcPr>
          <w:p w:rsidR="003F576A" w:rsidRPr="009746E5" w:rsidRDefault="009746E5"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P</w:t>
            </w:r>
            <w:r w:rsidRPr="009746E5">
              <w:rPr>
                <w:rFonts w:ascii="Arial Narrow" w:hAnsi="Arial Narrow"/>
                <w:sz w:val="20"/>
                <w:szCs w:val="20"/>
              </w:rPr>
              <w:t xml:space="preserve">harmacokinetic parameters: </w:t>
            </w:r>
            <w:r w:rsidRPr="004B5601">
              <w:rPr>
                <w:rFonts w:ascii="Arial Narrow" w:hAnsi="Arial Narrow"/>
                <w:i/>
                <w:sz w:val="20"/>
                <w:szCs w:val="20"/>
              </w:rPr>
              <w:t>eg</w:t>
            </w:r>
            <w:r w:rsidRPr="009A35C5">
              <w:rPr>
                <w:rFonts w:ascii="Arial Narrow" w:hAnsi="Arial Narrow"/>
                <w:sz w:val="20"/>
                <w:szCs w:val="20"/>
              </w:rPr>
              <w:t xml:space="preserve"> </w:t>
            </w:r>
            <w:r w:rsidR="003F576A" w:rsidRPr="009746E5">
              <w:rPr>
                <w:rFonts w:ascii="Arial Narrow" w:hAnsi="Arial Narrow"/>
                <w:sz w:val="20"/>
                <w:szCs w:val="20"/>
              </w:rPr>
              <w:t>C</w:t>
            </w:r>
            <w:r w:rsidR="003F576A" w:rsidRPr="004D1311">
              <w:rPr>
                <w:rFonts w:ascii="Arial Narrow" w:hAnsi="Arial Narrow"/>
                <w:sz w:val="20"/>
                <w:szCs w:val="20"/>
                <w:vertAlign w:val="subscript"/>
              </w:rPr>
              <w:t>max</w:t>
            </w:r>
            <w:r w:rsidRPr="009A35C5">
              <w:rPr>
                <w:rFonts w:ascii="Arial Narrow" w:hAnsi="Arial Narrow"/>
                <w:sz w:val="20"/>
                <w:szCs w:val="20"/>
              </w:rPr>
              <w:t xml:space="preserve">, </w:t>
            </w:r>
            <w:r w:rsidR="003F576A" w:rsidRPr="009746E5">
              <w:rPr>
                <w:rFonts w:ascii="Arial Narrow" w:hAnsi="Arial Narrow"/>
                <w:sz w:val="20"/>
                <w:szCs w:val="20"/>
              </w:rPr>
              <w:t>T</w:t>
            </w:r>
            <w:r w:rsidR="003F576A" w:rsidRPr="004D1311">
              <w:rPr>
                <w:rFonts w:ascii="Arial Narrow" w:hAnsi="Arial Narrow"/>
                <w:sz w:val="20"/>
                <w:szCs w:val="20"/>
                <w:vertAlign w:val="subscript"/>
              </w:rPr>
              <w:t>max</w:t>
            </w:r>
            <w:r w:rsidRPr="009A35C5">
              <w:rPr>
                <w:rFonts w:ascii="Arial Narrow" w:hAnsi="Arial Narrow"/>
                <w:sz w:val="20"/>
                <w:szCs w:val="20"/>
              </w:rPr>
              <w:t xml:space="preserve">, </w:t>
            </w:r>
            <w:r w:rsidR="005D0FA8" w:rsidRPr="004D1311">
              <w:rPr>
                <w:rFonts w:ascii="Arial Narrow" w:hAnsi="Arial Narrow"/>
                <w:sz w:val="20"/>
                <w:szCs w:val="20"/>
              </w:rPr>
              <w:t>t</w:t>
            </w:r>
            <w:r w:rsidR="003F576A" w:rsidRPr="004D1311">
              <w:rPr>
                <w:rFonts w:ascii="Arial Narrow" w:hAnsi="Arial Narrow"/>
                <w:sz w:val="20"/>
                <w:szCs w:val="20"/>
                <w:vertAlign w:val="subscript"/>
              </w:rPr>
              <w:t>1/2</w:t>
            </w:r>
          </w:p>
          <w:p w:rsidR="00B832E7" w:rsidRPr="003F576A" w:rsidRDefault="009746E5" w:rsidP="004D1311">
            <w:pPr>
              <w:pStyle w:val="ListParagraph"/>
              <w:keepLines/>
              <w:numPr>
                <w:ilvl w:val="0"/>
                <w:numId w:val="12"/>
              </w:numPr>
              <w:ind w:left="175" w:hanging="175"/>
              <w:jc w:val="both"/>
              <w:rPr>
                <w:rFonts w:ascii="Arial Narrow" w:hAnsi="Arial Narrow"/>
                <w:sz w:val="20"/>
                <w:szCs w:val="20"/>
              </w:rPr>
            </w:pPr>
            <w:r w:rsidRPr="009746E5">
              <w:rPr>
                <w:rFonts w:ascii="Arial Narrow" w:hAnsi="Arial Narrow"/>
                <w:sz w:val="20"/>
                <w:szCs w:val="20"/>
              </w:rPr>
              <w:t>Safety outcomes</w:t>
            </w:r>
            <w:r w:rsidR="009A35C5">
              <w:rPr>
                <w:rFonts w:ascii="Arial Narrow" w:hAnsi="Arial Narrow"/>
                <w:sz w:val="20"/>
                <w:szCs w:val="20"/>
              </w:rPr>
              <w:t xml:space="preserve">: </w:t>
            </w:r>
            <w:r w:rsidR="009A35C5" w:rsidRPr="004D1311">
              <w:rPr>
                <w:rFonts w:ascii="Arial Narrow" w:hAnsi="Arial Narrow"/>
                <w:i/>
                <w:sz w:val="20"/>
                <w:szCs w:val="20"/>
              </w:rPr>
              <w:t>eg</w:t>
            </w:r>
            <w:r w:rsidR="009A35C5" w:rsidRPr="009A35C5">
              <w:rPr>
                <w:rFonts w:ascii="Arial Narrow" w:hAnsi="Arial Narrow"/>
                <w:sz w:val="20"/>
                <w:szCs w:val="20"/>
              </w:rPr>
              <w:t xml:space="preserve"> </w:t>
            </w:r>
            <w:r w:rsidRPr="009746E5">
              <w:rPr>
                <w:rFonts w:ascii="Arial Narrow" w:hAnsi="Arial Narrow"/>
                <w:sz w:val="20"/>
                <w:szCs w:val="20"/>
              </w:rPr>
              <w:t>a</w:t>
            </w:r>
            <w:r w:rsidR="003F576A" w:rsidRPr="009746E5">
              <w:rPr>
                <w:rFonts w:ascii="Arial Narrow" w:hAnsi="Arial Narrow"/>
                <w:sz w:val="20"/>
                <w:szCs w:val="20"/>
              </w:rPr>
              <w:t>dverse events</w:t>
            </w:r>
            <w:r w:rsidR="009A35C5">
              <w:rPr>
                <w:rFonts w:ascii="Arial Narrow" w:hAnsi="Arial Narrow"/>
                <w:sz w:val="20"/>
                <w:szCs w:val="20"/>
              </w:rPr>
              <w:t xml:space="preserve"> and </w:t>
            </w:r>
            <w:r w:rsidRPr="009746E5">
              <w:rPr>
                <w:rFonts w:ascii="Arial Narrow" w:hAnsi="Arial Narrow"/>
                <w:sz w:val="20"/>
                <w:szCs w:val="20"/>
              </w:rPr>
              <w:t>v</w:t>
            </w:r>
            <w:r w:rsidR="00B832E7" w:rsidRPr="009746E5">
              <w:rPr>
                <w:rFonts w:ascii="Arial Narrow" w:hAnsi="Arial Narrow"/>
                <w:sz w:val="20"/>
                <w:szCs w:val="20"/>
              </w:rPr>
              <w:t>ital signs</w:t>
            </w:r>
          </w:p>
        </w:tc>
        <w:tc>
          <w:tcPr>
            <w:tcW w:w="4036" w:type="dxa"/>
          </w:tcPr>
          <w:p w:rsidR="00C35ABD" w:rsidRPr="009A35C5" w:rsidRDefault="009A35C5"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Clinical endpoints: q</w:t>
            </w:r>
            <w:r w:rsidRPr="009A35C5">
              <w:rPr>
                <w:rFonts w:ascii="Arial Narrow" w:hAnsi="Arial Narrow"/>
                <w:sz w:val="20"/>
                <w:szCs w:val="20"/>
              </w:rPr>
              <w:t>uality of oocytes retrieved</w:t>
            </w:r>
            <w:r>
              <w:rPr>
                <w:rFonts w:ascii="Arial Narrow" w:hAnsi="Arial Narrow"/>
                <w:sz w:val="20"/>
                <w:szCs w:val="20"/>
              </w:rPr>
              <w:t>, f</w:t>
            </w:r>
            <w:r w:rsidRPr="009A35C5">
              <w:rPr>
                <w:rFonts w:ascii="Arial Narrow" w:hAnsi="Arial Narrow"/>
                <w:sz w:val="20"/>
                <w:szCs w:val="20"/>
              </w:rPr>
              <w:t>ertilisation rate of oocytes</w:t>
            </w:r>
            <w:r>
              <w:rPr>
                <w:rFonts w:ascii="Arial Narrow" w:hAnsi="Arial Narrow"/>
                <w:sz w:val="20"/>
                <w:szCs w:val="20"/>
              </w:rPr>
              <w:t>, e</w:t>
            </w:r>
            <w:r w:rsidRPr="009A35C5">
              <w:rPr>
                <w:rFonts w:ascii="Arial Narrow" w:hAnsi="Arial Narrow"/>
                <w:sz w:val="20"/>
                <w:szCs w:val="20"/>
              </w:rPr>
              <w:t>mbryo quality</w:t>
            </w:r>
            <w:r>
              <w:rPr>
                <w:rFonts w:ascii="Arial Narrow" w:hAnsi="Arial Narrow"/>
                <w:sz w:val="20"/>
                <w:szCs w:val="20"/>
              </w:rPr>
              <w:t>, t</w:t>
            </w:r>
            <w:r w:rsidRPr="009A35C5">
              <w:rPr>
                <w:rFonts w:ascii="Arial Narrow" w:hAnsi="Arial Narrow"/>
                <w:sz w:val="20"/>
                <w:szCs w:val="20"/>
              </w:rPr>
              <w:t>otal dose of r-hFSH required</w:t>
            </w:r>
            <w:r>
              <w:rPr>
                <w:rFonts w:ascii="Arial Narrow" w:hAnsi="Arial Narrow"/>
                <w:sz w:val="20"/>
                <w:szCs w:val="20"/>
              </w:rPr>
              <w:t xml:space="preserve"> </w:t>
            </w:r>
            <w:r w:rsidRPr="004D1311">
              <w:rPr>
                <w:rFonts w:ascii="Arial Narrow" w:hAnsi="Arial Narrow"/>
                <w:i/>
                <w:sz w:val="20"/>
                <w:szCs w:val="20"/>
              </w:rPr>
              <w:t>etc</w:t>
            </w:r>
          </w:p>
          <w:p w:rsidR="009A35C5" w:rsidRDefault="009A35C5" w:rsidP="009A35C5">
            <w:pPr>
              <w:pStyle w:val="ListParagraph"/>
              <w:keepLines/>
              <w:numPr>
                <w:ilvl w:val="0"/>
                <w:numId w:val="12"/>
              </w:numPr>
              <w:ind w:left="175" w:hanging="175"/>
              <w:jc w:val="both"/>
              <w:rPr>
                <w:rFonts w:ascii="Arial Narrow" w:hAnsi="Arial Narrow"/>
                <w:sz w:val="20"/>
                <w:szCs w:val="20"/>
              </w:rPr>
            </w:pPr>
            <w:r>
              <w:rPr>
                <w:rFonts w:ascii="Arial Narrow" w:hAnsi="Arial Narrow"/>
                <w:sz w:val="20"/>
                <w:szCs w:val="20"/>
              </w:rPr>
              <w:t>Pregnancy endpoints: i</w:t>
            </w:r>
            <w:r w:rsidRPr="009A35C5">
              <w:rPr>
                <w:rFonts w:ascii="Arial Narrow" w:hAnsi="Arial Narrow"/>
                <w:sz w:val="20"/>
                <w:szCs w:val="20"/>
              </w:rPr>
              <w:t>mplantation rate</w:t>
            </w:r>
            <w:r>
              <w:rPr>
                <w:rFonts w:ascii="Arial Narrow" w:hAnsi="Arial Narrow"/>
                <w:sz w:val="20"/>
                <w:szCs w:val="20"/>
              </w:rPr>
              <w:t>, c</w:t>
            </w:r>
            <w:r w:rsidRPr="009A35C5">
              <w:rPr>
                <w:rFonts w:ascii="Arial Narrow" w:hAnsi="Arial Narrow"/>
                <w:sz w:val="20"/>
                <w:szCs w:val="20"/>
              </w:rPr>
              <w:t>linical pregnancy rate</w:t>
            </w:r>
            <w:r>
              <w:rPr>
                <w:rFonts w:ascii="Arial Narrow" w:hAnsi="Arial Narrow"/>
                <w:sz w:val="20"/>
                <w:szCs w:val="20"/>
              </w:rPr>
              <w:t>, o</w:t>
            </w:r>
            <w:r w:rsidRPr="009A35C5">
              <w:rPr>
                <w:rFonts w:ascii="Arial Narrow" w:hAnsi="Arial Narrow"/>
                <w:sz w:val="20"/>
                <w:szCs w:val="20"/>
              </w:rPr>
              <w:t>ngoing p</w:t>
            </w:r>
            <w:r>
              <w:rPr>
                <w:rFonts w:ascii="Arial Narrow" w:hAnsi="Arial Narrow"/>
                <w:sz w:val="20"/>
                <w:szCs w:val="20"/>
              </w:rPr>
              <w:t>regnancy</w:t>
            </w:r>
            <w:r w:rsidR="00E32898">
              <w:rPr>
                <w:rFonts w:ascii="Arial Narrow" w:hAnsi="Arial Narrow"/>
                <w:sz w:val="20"/>
                <w:szCs w:val="20"/>
              </w:rPr>
              <w:t xml:space="preserve"> rate</w:t>
            </w:r>
            <w:r>
              <w:rPr>
                <w:rFonts w:ascii="Arial Narrow" w:hAnsi="Arial Narrow"/>
                <w:sz w:val="20"/>
                <w:szCs w:val="20"/>
              </w:rPr>
              <w:t>, l</w:t>
            </w:r>
            <w:r w:rsidRPr="009A35C5">
              <w:rPr>
                <w:rFonts w:ascii="Arial Narrow" w:hAnsi="Arial Narrow"/>
                <w:sz w:val="20"/>
                <w:szCs w:val="20"/>
              </w:rPr>
              <w:t xml:space="preserve">ive birth rate </w:t>
            </w:r>
          </w:p>
          <w:p w:rsidR="009A35C5" w:rsidRPr="009A35C5" w:rsidRDefault="004D1311" w:rsidP="009A35C5">
            <w:pPr>
              <w:pStyle w:val="ListParagraph"/>
              <w:keepLines/>
              <w:numPr>
                <w:ilvl w:val="0"/>
                <w:numId w:val="12"/>
              </w:numPr>
              <w:ind w:left="175" w:hanging="175"/>
              <w:jc w:val="both"/>
              <w:rPr>
                <w:rFonts w:ascii="Arial Narrow" w:hAnsi="Arial Narrow"/>
                <w:sz w:val="20"/>
                <w:szCs w:val="20"/>
              </w:rPr>
            </w:pPr>
            <w:r w:rsidRPr="009746E5">
              <w:rPr>
                <w:rFonts w:ascii="Arial Narrow" w:hAnsi="Arial Narrow"/>
                <w:sz w:val="20"/>
                <w:szCs w:val="20"/>
              </w:rPr>
              <w:t>Safety outcomes</w:t>
            </w:r>
            <w:r>
              <w:rPr>
                <w:rFonts w:ascii="Arial Narrow" w:hAnsi="Arial Narrow"/>
                <w:sz w:val="20"/>
                <w:szCs w:val="20"/>
              </w:rPr>
              <w:t xml:space="preserve">: </w:t>
            </w:r>
            <w:r w:rsidRPr="004D1311">
              <w:rPr>
                <w:rFonts w:ascii="Arial Narrow" w:hAnsi="Arial Narrow"/>
                <w:i/>
                <w:sz w:val="20"/>
                <w:szCs w:val="20"/>
              </w:rPr>
              <w:t>eg</w:t>
            </w:r>
            <w:r w:rsidRPr="009A35C5">
              <w:rPr>
                <w:rFonts w:ascii="Arial Narrow" w:hAnsi="Arial Narrow"/>
                <w:sz w:val="20"/>
                <w:szCs w:val="20"/>
              </w:rPr>
              <w:t xml:space="preserve"> </w:t>
            </w:r>
            <w:r w:rsidRPr="009746E5">
              <w:rPr>
                <w:rFonts w:ascii="Arial Narrow" w:hAnsi="Arial Narrow"/>
                <w:sz w:val="20"/>
                <w:szCs w:val="20"/>
              </w:rPr>
              <w:t>adverse events</w:t>
            </w:r>
            <w:r>
              <w:rPr>
                <w:rFonts w:ascii="Arial Narrow" w:hAnsi="Arial Narrow"/>
                <w:sz w:val="20"/>
                <w:szCs w:val="20"/>
              </w:rPr>
              <w:t xml:space="preserve"> and </w:t>
            </w:r>
            <w:r w:rsidRPr="009746E5">
              <w:rPr>
                <w:rFonts w:ascii="Arial Narrow" w:hAnsi="Arial Narrow"/>
                <w:sz w:val="20"/>
                <w:szCs w:val="20"/>
              </w:rPr>
              <w:t>vital signs</w:t>
            </w:r>
          </w:p>
        </w:tc>
      </w:tr>
      <w:tr w:rsidR="00EC789E" w:rsidRPr="0097056C" w:rsidTr="00002A96">
        <w:tc>
          <w:tcPr>
            <w:tcW w:w="1370" w:type="dxa"/>
          </w:tcPr>
          <w:p w:rsidR="00EC789E" w:rsidRPr="0097056C" w:rsidRDefault="00EC789E" w:rsidP="00520C77">
            <w:pPr>
              <w:keepLines/>
              <w:contextualSpacing/>
              <w:rPr>
                <w:rFonts w:ascii="Arial Narrow" w:hAnsi="Arial Narrow"/>
                <w:sz w:val="20"/>
                <w:szCs w:val="20"/>
              </w:rPr>
            </w:pPr>
            <w:r w:rsidRPr="001B17D6">
              <w:rPr>
                <w:rFonts w:ascii="Arial Narrow" w:hAnsi="Arial Narrow"/>
                <w:sz w:val="20"/>
                <w:szCs w:val="20"/>
              </w:rPr>
              <w:t>Pre-defined margin</w:t>
            </w:r>
          </w:p>
        </w:tc>
        <w:tc>
          <w:tcPr>
            <w:tcW w:w="2901" w:type="dxa"/>
          </w:tcPr>
          <w:p w:rsidR="00EC789E" w:rsidRPr="0097056C" w:rsidRDefault="00EC789E" w:rsidP="00520C77">
            <w:pPr>
              <w:keepLines/>
              <w:contextualSpacing/>
              <w:jc w:val="both"/>
              <w:rPr>
                <w:rFonts w:ascii="Arial Narrow" w:hAnsi="Arial Narrow"/>
                <w:sz w:val="20"/>
                <w:szCs w:val="20"/>
              </w:rPr>
            </w:pPr>
            <w:r>
              <w:rPr>
                <w:rFonts w:ascii="Arial Narrow" w:hAnsi="Arial Narrow"/>
                <w:sz w:val="20"/>
                <w:szCs w:val="20"/>
              </w:rPr>
              <w:t xml:space="preserve">Bioequivalence margin: 90% CI of the ratios of the geometric means of </w:t>
            </w:r>
            <w:r w:rsidRPr="003F576A">
              <w:rPr>
                <w:rFonts w:ascii="Arial Narrow" w:hAnsi="Arial Narrow"/>
                <w:sz w:val="20"/>
                <w:szCs w:val="20"/>
              </w:rPr>
              <w:t>AUC</w:t>
            </w:r>
            <w:r w:rsidRPr="003F576A">
              <w:rPr>
                <w:rFonts w:ascii="Arial Narrow" w:hAnsi="Arial Narrow"/>
                <w:sz w:val="20"/>
                <w:szCs w:val="20"/>
                <w:vertAlign w:val="subscript"/>
              </w:rPr>
              <w:t>0-192</w:t>
            </w:r>
            <w:r w:rsidR="004B5601">
              <w:rPr>
                <w:rFonts w:ascii="Arial Narrow" w:hAnsi="Arial Narrow"/>
                <w:sz w:val="20"/>
                <w:szCs w:val="20"/>
                <w:vertAlign w:val="subscript"/>
              </w:rPr>
              <w:t xml:space="preserve"> </w:t>
            </w:r>
            <w:r w:rsidR="004B5601" w:rsidRPr="004B5601">
              <w:rPr>
                <w:rFonts w:ascii="Arial Narrow" w:hAnsi="Arial Narrow"/>
                <w:sz w:val="20"/>
                <w:szCs w:val="20"/>
              </w:rPr>
              <w:t>and C</w:t>
            </w:r>
            <w:r w:rsidR="004B5601">
              <w:rPr>
                <w:rFonts w:ascii="Arial Narrow" w:hAnsi="Arial Narrow"/>
                <w:sz w:val="20"/>
                <w:szCs w:val="20"/>
                <w:vertAlign w:val="subscript"/>
              </w:rPr>
              <w:t>max</w:t>
            </w:r>
            <w:r>
              <w:rPr>
                <w:rFonts w:ascii="Arial Narrow" w:hAnsi="Arial Narrow"/>
                <w:sz w:val="20"/>
                <w:szCs w:val="20"/>
                <w:vertAlign w:val="superscript"/>
              </w:rPr>
              <w:t xml:space="preserve"> </w:t>
            </w:r>
            <w:r>
              <w:rPr>
                <w:rFonts w:ascii="Arial Narrow" w:hAnsi="Arial Narrow"/>
                <w:sz w:val="20"/>
                <w:szCs w:val="20"/>
              </w:rPr>
              <w:t xml:space="preserve">of </w:t>
            </w:r>
            <w:r w:rsidRPr="00C35ABD">
              <w:rPr>
                <w:rFonts w:ascii="Arial Narrow" w:hAnsi="Arial Narrow"/>
                <w:sz w:val="20"/>
                <w:szCs w:val="20"/>
              </w:rPr>
              <w:t>Bemfola</w:t>
            </w:r>
            <w:r w:rsidRPr="00C35ABD">
              <w:rPr>
                <w:rFonts w:ascii="Arial Narrow" w:hAnsi="Arial Narrow"/>
                <w:sz w:val="20"/>
                <w:szCs w:val="20"/>
                <w:vertAlign w:val="superscript"/>
              </w:rPr>
              <w:t>®</w:t>
            </w:r>
            <w:r>
              <w:rPr>
                <w:rFonts w:ascii="Arial Narrow" w:hAnsi="Arial Narrow"/>
                <w:sz w:val="20"/>
                <w:szCs w:val="20"/>
              </w:rPr>
              <w:t xml:space="preserve"> </w:t>
            </w:r>
            <w:r w:rsidRPr="004B5601">
              <w:rPr>
                <w:rFonts w:ascii="Arial Narrow" w:hAnsi="Arial Narrow"/>
                <w:i/>
                <w:sz w:val="20"/>
                <w:szCs w:val="20"/>
              </w:rPr>
              <w:t>versus</w:t>
            </w:r>
            <w:r>
              <w:rPr>
                <w:rFonts w:ascii="Arial Narrow" w:hAnsi="Arial Narrow"/>
                <w:sz w:val="20"/>
                <w:szCs w:val="20"/>
              </w:rPr>
              <w:t xml:space="preserve"> </w:t>
            </w:r>
            <w:r w:rsidRPr="00C35ABD">
              <w:rPr>
                <w:rFonts w:ascii="Arial Narrow" w:hAnsi="Arial Narrow"/>
                <w:sz w:val="20"/>
                <w:szCs w:val="20"/>
              </w:rPr>
              <w:t>Gonal-f</w:t>
            </w:r>
            <w:r w:rsidRPr="00C35ABD">
              <w:rPr>
                <w:rFonts w:ascii="Arial Narrow" w:hAnsi="Arial Narrow"/>
                <w:sz w:val="20"/>
                <w:szCs w:val="20"/>
                <w:vertAlign w:val="superscript"/>
              </w:rPr>
              <w:t>®</w:t>
            </w:r>
            <w:r>
              <w:rPr>
                <w:rFonts w:ascii="Arial Narrow" w:hAnsi="Arial Narrow"/>
                <w:sz w:val="20"/>
                <w:szCs w:val="20"/>
              </w:rPr>
              <w:t xml:space="preserve"> within the 80% to 125% margin</w:t>
            </w:r>
          </w:p>
        </w:tc>
        <w:tc>
          <w:tcPr>
            <w:tcW w:w="4036" w:type="dxa"/>
          </w:tcPr>
          <w:p w:rsidR="00EC789E" w:rsidRPr="0097056C" w:rsidRDefault="00EC789E" w:rsidP="00727CE3">
            <w:pPr>
              <w:keepLines/>
              <w:contextualSpacing/>
              <w:jc w:val="both"/>
              <w:rPr>
                <w:rFonts w:ascii="Arial Narrow" w:hAnsi="Arial Narrow"/>
                <w:sz w:val="20"/>
                <w:szCs w:val="20"/>
              </w:rPr>
            </w:pPr>
            <w:r>
              <w:rPr>
                <w:rFonts w:ascii="Arial Narrow" w:hAnsi="Arial Narrow"/>
                <w:sz w:val="20"/>
                <w:szCs w:val="20"/>
              </w:rPr>
              <w:t xml:space="preserve">Equivalence margin: mean difference of +/- 2.9 in the number of oocytes retrieved between the </w:t>
            </w:r>
            <w:r w:rsidR="00727CE3">
              <w:rPr>
                <w:rFonts w:ascii="Arial Narrow" w:hAnsi="Arial Narrow"/>
                <w:sz w:val="20"/>
                <w:szCs w:val="20"/>
              </w:rPr>
              <w:t>two</w:t>
            </w:r>
            <w:r w:rsidR="00E32898" w:rsidRPr="00E32898">
              <w:rPr>
                <w:rFonts w:ascii="Arial Narrow" w:hAnsi="Arial Narrow"/>
                <w:sz w:val="20"/>
                <w:szCs w:val="22"/>
              </w:rPr>
              <w:t xml:space="preserve"> </w:t>
            </w:r>
            <w:r w:rsidR="00E32898">
              <w:rPr>
                <w:rFonts w:ascii="Arial Narrow" w:hAnsi="Arial Narrow"/>
                <w:sz w:val="20"/>
                <w:szCs w:val="20"/>
              </w:rPr>
              <w:t xml:space="preserve"> </w:t>
            </w:r>
            <w:r>
              <w:rPr>
                <w:rFonts w:ascii="Arial Narrow" w:hAnsi="Arial Narrow"/>
                <w:sz w:val="20"/>
                <w:szCs w:val="20"/>
              </w:rPr>
              <w:t xml:space="preserve">treatment arms </w:t>
            </w:r>
          </w:p>
        </w:tc>
      </w:tr>
    </w:tbl>
    <w:p w:rsidR="00C35ABD" w:rsidRPr="000C4A15" w:rsidRDefault="000F6D3D" w:rsidP="00021006">
      <w:pPr>
        <w:keepLines/>
        <w:ind w:left="720"/>
        <w:contextualSpacing/>
        <w:jc w:val="both"/>
        <w:rPr>
          <w:rFonts w:ascii="Arial Narrow" w:hAnsi="Arial Narrow"/>
          <w:sz w:val="18"/>
          <w:szCs w:val="18"/>
        </w:rPr>
      </w:pPr>
      <w:r w:rsidRPr="000C4A15">
        <w:rPr>
          <w:rFonts w:ascii="Arial Narrow" w:hAnsi="Arial Narrow"/>
          <w:sz w:val="18"/>
          <w:szCs w:val="18"/>
        </w:rPr>
        <w:t xml:space="preserve">AFC = antral follicle count; </w:t>
      </w:r>
      <w:r w:rsidR="00C35ABD" w:rsidRPr="000C4A15">
        <w:rPr>
          <w:rFonts w:ascii="Arial Narrow" w:hAnsi="Arial Narrow"/>
          <w:sz w:val="18"/>
          <w:szCs w:val="18"/>
        </w:rPr>
        <w:t>AUC</w:t>
      </w:r>
      <w:r w:rsidR="003F576A" w:rsidRPr="000C4A15">
        <w:rPr>
          <w:rFonts w:ascii="Arial Narrow" w:hAnsi="Arial Narrow"/>
          <w:sz w:val="18"/>
          <w:szCs w:val="18"/>
          <w:vertAlign w:val="subscript"/>
        </w:rPr>
        <w:t>0-192</w:t>
      </w:r>
      <w:r w:rsidR="00C35ABD" w:rsidRPr="000C4A15">
        <w:rPr>
          <w:rFonts w:ascii="Arial Narrow" w:hAnsi="Arial Narrow"/>
          <w:sz w:val="18"/>
          <w:szCs w:val="18"/>
        </w:rPr>
        <w:t xml:space="preserve"> </w:t>
      </w:r>
      <w:r w:rsidR="005D0FA8" w:rsidRPr="000C4A15">
        <w:rPr>
          <w:rFonts w:ascii="Arial Narrow" w:hAnsi="Arial Narrow"/>
          <w:sz w:val="18"/>
          <w:szCs w:val="18"/>
        </w:rPr>
        <w:t xml:space="preserve">= </w:t>
      </w:r>
      <w:r w:rsidR="00C35ABD" w:rsidRPr="000C4A15">
        <w:rPr>
          <w:rFonts w:ascii="Arial Narrow" w:hAnsi="Arial Narrow"/>
          <w:sz w:val="18"/>
          <w:szCs w:val="18"/>
        </w:rPr>
        <w:t>area under curve</w:t>
      </w:r>
      <w:r w:rsidR="003F576A" w:rsidRPr="000C4A15">
        <w:rPr>
          <w:rFonts w:ascii="Arial Narrow" w:hAnsi="Arial Narrow"/>
          <w:sz w:val="18"/>
          <w:szCs w:val="18"/>
        </w:rPr>
        <w:t xml:space="preserve"> from 0 to 192 hours</w:t>
      </w:r>
      <w:r w:rsidR="005D0FA8" w:rsidRPr="000C4A15">
        <w:rPr>
          <w:rFonts w:ascii="Arial Narrow" w:hAnsi="Arial Narrow"/>
          <w:sz w:val="18"/>
          <w:szCs w:val="18"/>
        </w:rPr>
        <w:t xml:space="preserve">; </w:t>
      </w:r>
      <w:r w:rsidR="00933CC8">
        <w:rPr>
          <w:rFonts w:ascii="Arial Narrow" w:hAnsi="Arial Narrow"/>
          <w:sz w:val="18"/>
          <w:szCs w:val="18"/>
        </w:rPr>
        <w:t xml:space="preserve">CI = confidence interval; </w:t>
      </w:r>
      <w:r w:rsidR="005D0FA8" w:rsidRPr="000C4A15">
        <w:rPr>
          <w:rFonts w:ascii="Arial Narrow" w:hAnsi="Arial Narrow"/>
          <w:sz w:val="18"/>
          <w:szCs w:val="18"/>
        </w:rPr>
        <w:t>C</w:t>
      </w:r>
      <w:r w:rsidR="005D0FA8" w:rsidRPr="000C4A15">
        <w:rPr>
          <w:rFonts w:ascii="Arial Narrow" w:hAnsi="Arial Narrow"/>
          <w:sz w:val="18"/>
          <w:szCs w:val="18"/>
          <w:vertAlign w:val="subscript"/>
        </w:rPr>
        <w:t>max</w:t>
      </w:r>
      <w:r w:rsidR="005D0FA8" w:rsidRPr="000C4A15">
        <w:rPr>
          <w:rFonts w:ascii="Arial Narrow" w:hAnsi="Arial Narrow"/>
          <w:sz w:val="18"/>
          <w:szCs w:val="18"/>
        </w:rPr>
        <w:t xml:space="preserve"> = peak serum concentration; </w:t>
      </w:r>
      <w:r w:rsidR="004D1311" w:rsidRPr="000C4A15">
        <w:rPr>
          <w:rFonts w:ascii="Arial Narrow" w:hAnsi="Arial Narrow"/>
          <w:sz w:val="18"/>
          <w:szCs w:val="18"/>
        </w:rPr>
        <w:t xml:space="preserve">GnRH = gonadotropin-releasing hormone; </w:t>
      </w:r>
      <w:r w:rsidR="00E407E2" w:rsidRPr="000C4A15">
        <w:rPr>
          <w:rFonts w:ascii="Arial Narrow" w:hAnsi="Arial Narrow"/>
          <w:sz w:val="18"/>
          <w:szCs w:val="18"/>
        </w:rPr>
        <w:t>hCG</w:t>
      </w:r>
      <w:r w:rsidR="006119D8" w:rsidRPr="000C4A15">
        <w:rPr>
          <w:rFonts w:ascii="Arial Narrow" w:hAnsi="Arial Narrow"/>
          <w:sz w:val="18"/>
          <w:szCs w:val="18"/>
        </w:rPr>
        <w:t xml:space="preserve"> = human chorionic gonadotropin; </w:t>
      </w:r>
      <w:r w:rsidR="00392DEA" w:rsidRPr="000C4A15">
        <w:rPr>
          <w:rFonts w:ascii="Arial Narrow" w:hAnsi="Arial Narrow"/>
          <w:sz w:val="18"/>
          <w:szCs w:val="18"/>
        </w:rPr>
        <w:t xml:space="preserve">OHSS = ovarian hyperstimulation syndrome; POCS = polycystic ovary syndrome; </w:t>
      </w:r>
      <w:r w:rsidR="004B5601">
        <w:rPr>
          <w:rFonts w:ascii="Arial Narrow" w:hAnsi="Arial Narrow"/>
          <w:sz w:val="18"/>
          <w:szCs w:val="18"/>
        </w:rPr>
        <w:t>r-h</w:t>
      </w:r>
      <w:r w:rsidR="004B5601" w:rsidRPr="000C4A15">
        <w:rPr>
          <w:rFonts w:ascii="Arial Narrow" w:hAnsi="Arial Narrow"/>
          <w:sz w:val="18"/>
          <w:szCs w:val="18"/>
        </w:rPr>
        <w:t xml:space="preserve">FSH = </w:t>
      </w:r>
      <w:r w:rsidR="004B5601">
        <w:rPr>
          <w:rFonts w:ascii="Arial Narrow" w:hAnsi="Arial Narrow"/>
          <w:sz w:val="18"/>
          <w:szCs w:val="18"/>
        </w:rPr>
        <w:t xml:space="preserve">recombinant human </w:t>
      </w:r>
      <w:r w:rsidR="004B5601" w:rsidRPr="000C4A15">
        <w:rPr>
          <w:rFonts w:ascii="Arial Narrow" w:hAnsi="Arial Narrow"/>
          <w:sz w:val="18"/>
          <w:szCs w:val="18"/>
        </w:rPr>
        <w:t xml:space="preserve">follicle-stimulating hormone; </w:t>
      </w:r>
      <w:r w:rsidR="00E87887" w:rsidRPr="000C4A15">
        <w:rPr>
          <w:rFonts w:ascii="Arial Narrow" w:hAnsi="Arial Narrow"/>
          <w:sz w:val="18"/>
          <w:szCs w:val="18"/>
        </w:rPr>
        <w:t>SC = subcutaneous</w:t>
      </w:r>
      <w:r w:rsidR="004B5601">
        <w:rPr>
          <w:rFonts w:ascii="Arial Narrow" w:hAnsi="Arial Narrow"/>
          <w:sz w:val="18"/>
          <w:szCs w:val="18"/>
        </w:rPr>
        <w:t>ly</w:t>
      </w:r>
      <w:r w:rsidR="004B5601" w:rsidRPr="000C4A15">
        <w:rPr>
          <w:rFonts w:ascii="Arial Narrow" w:hAnsi="Arial Narrow"/>
          <w:sz w:val="18"/>
          <w:szCs w:val="18"/>
        </w:rPr>
        <w:t>; t</w:t>
      </w:r>
      <w:r w:rsidR="004B5601" w:rsidRPr="000C4A15">
        <w:rPr>
          <w:rFonts w:ascii="Arial Narrow" w:hAnsi="Arial Narrow"/>
          <w:sz w:val="18"/>
          <w:szCs w:val="18"/>
          <w:vertAlign w:val="subscript"/>
        </w:rPr>
        <w:t xml:space="preserve">1/2 </w:t>
      </w:r>
      <w:r w:rsidR="004B5601" w:rsidRPr="000C4A15">
        <w:rPr>
          <w:rFonts w:ascii="Arial Narrow" w:hAnsi="Arial Narrow"/>
          <w:sz w:val="18"/>
          <w:szCs w:val="18"/>
        </w:rPr>
        <w:t>= elimination half-life</w:t>
      </w:r>
      <w:r w:rsidR="00E87887" w:rsidRPr="000C4A15">
        <w:rPr>
          <w:rFonts w:ascii="Arial Narrow" w:hAnsi="Arial Narrow"/>
          <w:sz w:val="18"/>
          <w:szCs w:val="18"/>
        </w:rPr>
        <w:t xml:space="preserve">; </w:t>
      </w:r>
      <w:r w:rsidR="005D0FA8" w:rsidRPr="000C4A15">
        <w:rPr>
          <w:rFonts w:ascii="Arial Narrow" w:hAnsi="Arial Narrow"/>
          <w:sz w:val="18"/>
          <w:szCs w:val="18"/>
        </w:rPr>
        <w:t>T</w:t>
      </w:r>
      <w:r w:rsidR="005D0FA8" w:rsidRPr="000C4A15">
        <w:rPr>
          <w:rFonts w:ascii="Arial Narrow" w:hAnsi="Arial Narrow"/>
          <w:sz w:val="18"/>
          <w:szCs w:val="18"/>
          <w:vertAlign w:val="subscript"/>
        </w:rPr>
        <w:t>max</w:t>
      </w:r>
      <w:r w:rsidR="005D0FA8" w:rsidRPr="000C4A15">
        <w:rPr>
          <w:rFonts w:ascii="Arial Narrow" w:hAnsi="Arial Narrow"/>
          <w:sz w:val="18"/>
          <w:szCs w:val="18"/>
        </w:rPr>
        <w:t xml:space="preserve"> = time to peak serum concentration</w:t>
      </w:r>
    </w:p>
    <w:p w:rsidR="00A15890" w:rsidRDefault="00A15890" w:rsidP="00021006">
      <w:pPr>
        <w:keepLines/>
        <w:ind w:left="720"/>
        <w:contextualSpacing/>
        <w:jc w:val="both"/>
        <w:rPr>
          <w:rFonts w:ascii="Arial Narrow" w:hAnsi="Arial Narrow"/>
          <w:sz w:val="18"/>
          <w:szCs w:val="18"/>
        </w:rPr>
      </w:pPr>
      <w:r w:rsidRPr="000C4A15">
        <w:rPr>
          <w:rFonts w:ascii="Arial Narrow" w:hAnsi="Arial Narrow"/>
          <w:sz w:val="18"/>
          <w:szCs w:val="18"/>
          <w:vertAlign w:val="superscript"/>
        </w:rPr>
        <w:t>a</w:t>
      </w:r>
      <w:r w:rsidRPr="000C4A15">
        <w:rPr>
          <w:rFonts w:ascii="Arial Narrow" w:hAnsi="Arial Narrow"/>
          <w:sz w:val="18"/>
          <w:szCs w:val="18"/>
        </w:rPr>
        <w:t xml:space="preserve"> Defined as fewer than 5 oocytes retrieved in a previous attempt</w:t>
      </w:r>
    </w:p>
    <w:p w:rsidR="008B60CF" w:rsidRPr="000C4A15" w:rsidRDefault="008B60CF" w:rsidP="00021006">
      <w:pPr>
        <w:keepLines/>
        <w:ind w:left="720"/>
        <w:contextualSpacing/>
        <w:jc w:val="both"/>
        <w:rPr>
          <w:rFonts w:ascii="Arial Narrow" w:hAnsi="Arial Narrow"/>
          <w:sz w:val="18"/>
          <w:szCs w:val="18"/>
        </w:rPr>
      </w:pPr>
      <w:r w:rsidRPr="008B60CF">
        <w:rPr>
          <w:rFonts w:ascii="Arial Narrow" w:hAnsi="Arial Narrow"/>
          <w:sz w:val="18"/>
          <w:szCs w:val="18"/>
          <w:vertAlign w:val="superscript"/>
        </w:rPr>
        <w:t>b</w:t>
      </w:r>
      <w:r>
        <w:rPr>
          <w:rFonts w:ascii="Arial Narrow" w:hAnsi="Arial Narrow"/>
          <w:sz w:val="18"/>
          <w:szCs w:val="18"/>
        </w:rPr>
        <w:t xml:space="preserve"> A</w:t>
      </w:r>
      <w:r w:rsidRPr="008B60CF">
        <w:rPr>
          <w:rFonts w:ascii="Arial Narrow" w:hAnsi="Arial Narrow"/>
          <w:sz w:val="18"/>
          <w:szCs w:val="18"/>
        </w:rPr>
        <w:t>t least one follicle reached a diameter of ≥18mm and two additional follicles reached a diameter of ≥16mm</w:t>
      </w:r>
    </w:p>
    <w:p w:rsidR="0097056C" w:rsidRPr="000C4A15" w:rsidRDefault="0097056C" w:rsidP="00021006">
      <w:pPr>
        <w:keepLines/>
        <w:ind w:left="720"/>
        <w:contextualSpacing/>
        <w:jc w:val="both"/>
        <w:rPr>
          <w:rFonts w:ascii="Arial Narrow" w:hAnsi="Arial Narrow"/>
          <w:sz w:val="18"/>
          <w:szCs w:val="18"/>
        </w:rPr>
      </w:pPr>
      <w:r w:rsidRPr="000C4A15">
        <w:rPr>
          <w:rFonts w:ascii="Arial Narrow" w:hAnsi="Arial Narrow"/>
          <w:sz w:val="18"/>
          <w:szCs w:val="18"/>
        </w:rPr>
        <w:t xml:space="preserve">Source: </w:t>
      </w:r>
      <w:r w:rsidR="00E32898">
        <w:rPr>
          <w:rFonts w:ascii="Arial Narrow" w:hAnsi="Arial Narrow"/>
          <w:i/>
          <w:sz w:val="18"/>
          <w:szCs w:val="18"/>
        </w:rPr>
        <w:t>Table c</w:t>
      </w:r>
      <w:r w:rsidRPr="004B5601">
        <w:rPr>
          <w:rFonts w:ascii="Arial Narrow" w:hAnsi="Arial Narrow"/>
          <w:i/>
          <w:sz w:val="18"/>
          <w:szCs w:val="18"/>
        </w:rPr>
        <w:t xml:space="preserve">omplied during </w:t>
      </w:r>
      <w:r w:rsidR="00471E93">
        <w:rPr>
          <w:rFonts w:ascii="Arial Narrow" w:hAnsi="Arial Narrow"/>
          <w:i/>
          <w:sz w:val="18"/>
          <w:szCs w:val="18"/>
        </w:rPr>
        <w:t>the evaluation</w:t>
      </w:r>
      <w:r w:rsidRPr="000C4A15">
        <w:rPr>
          <w:rFonts w:ascii="Arial Narrow" w:hAnsi="Arial Narrow"/>
          <w:sz w:val="18"/>
          <w:szCs w:val="18"/>
        </w:rPr>
        <w:t xml:space="preserve">. </w:t>
      </w:r>
    </w:p>
    <w:p w:rsidR="00021006" w:rsidRPr="00776BFB" w:rsidRDefault="00021006" w:rsidP="00776BFB">
      <w:pPr>
        <w:jc w:val="both"/>
        <w:rPr>
          <w:szCs w:val="22"/>
        </w:rPr>
      </w:pPr>
    </w:p>
    <w:p w:rsidR="00021006" w:rsidRPr="001D57AE" w:rsidRDefault="005F40FF" w:rsidP="00021006">
      <w:pPr>
        <w:pStyle w:val="ListParagraph"/>
        <w:numPr>
          <w:ilvl w:val="1"/>
          <w:numId w:val="2"/>
        </w:numPr>
        <w:jc w:val="both"/>
        <w:rPr>
          <w:szCs w:val="22"/>
        </w:rPr>
      </w:pPr>
      <w:r w:rsidRPr="001D57AE">
        <w:rPr>
          <w:szCs w:val="22"/>
        </w:rPr>
        <w:t>When</w:t>
      </w:r>
      <w:r w:rsidR="00021006" w:rsidRPr="001D57AE">
        <w:rPr>
          <w:szCs w:val="22"/>
        </w:rPr>
        <w:t xml:space="preserve"> investigati</w:t>
      </w:r>
      <w:r w:rsidR="00FA385D" w:rsidRPr="001D57AE">
        <w:rPr>
          <w:szCs w:val="22"/>
        </w:rPr>
        <w:t>ng the</w:t>
      </w:r>
      <w:r w:rsidR="00021006" w:rsidRPr="001D57AE">
        <w:rPr>
          <w:szCs w:val="22"/>
        </w:rPr>
        <w:t xml:space="preserve"> pharmacokinetics </w:t>
      </w:r>
      <w:r w:rsidR="00FA385D" w:rsidRPr="001D57AE">
        <w:rPr>
          <w:szCs w:val="22"/>
        </w:rPr>
        <w:t>of</w:t>
      </w:r>
      <w:r w:rsidR="00021006" w:rsidRPr="001D57AE">
        <w:rPr>
          <w:szCs w:val="22"/>
        </w:rPr>
        <w:t xml:space="preserve"> Bemfola </w:t>
      </w:r>
      <w:r w:rsidR="00FA385D" w:rsidRPr="001D57AE">
        <w:rPr>
          <w:szCs w:val="22"/>
        </w:rPr>
        <w:t xml:space="preserve">relative to </w:t>
      </w:r>
      <w:r w:rsidR="00021006" w:rsidRPr="001D57AE">
        <w:rPr>
          <w:szCs w:val="22"/>
        </w:rPr>
        <w:t xml:space="preserve">Gonal-f in FIN1001, a single dose of 225IU of </w:t>
      </w:r>
      <w:r w:rsidR="001A6C2F" w:rsidRPr="001D57AE">
        <w:rPr>
          <w:szCs w:val="22"/>
        </w:rPr>
        <w:t xml:space="preserve">the </w:t>
      </w:r>
      <w:r w:rsidR="00021006" w:rsidRPr="001D57AE">
        <w:rPr>
          <w:szCs w:val="22"/>
        </w:rPr>
        <w:t xml:space="preserve">test or reference </w:t>
      </w:r>
      <w:r w:rsidR="001A6C2F" w:rsidRPr="001D57AE">
        <w:rPr>
          <w:szCs w:val="22"/>
        </w:rPr>
        <w:t>product</w:t>
      </w:r>
      <w:r w:rsidR="00021006" w:rsidRPr="001D57AE">
        <w:rPr>
          <w:szCs w:val="22"/>
        </w:rPr>
        <w:t xml:space="preserve"> was selected, as this dose was in the range of doses used in stimulation protocols for superovulation (150-450IU) where FSH treatment was applied daily for a period of 10-14 days. </w:t>
      </w:r>
      <w:r w:rsidR="00BD7CA1" w:rsidRPr="001D57AE">
        <w:rPr>
          <w:szCs w:val="22"/>
        </w:rPr>
        <w:t>T</w:t>
      </w:r>
      <w:r w:rsidR="00021006" w:rsidRPr="001D57AE">
        <w:rPr>
          <w:szCs w:val="22"/>
        </w:rPr>
        <w:t>reatments with Bemfola and Gonal-f</w:t>
      </w:r>
      <w:r w:rsidR="00D91052" w:rsidRPr="001D57AE">
        <w:rPr>
          <w:szCs w:val="22"/>
        </w:rPr>
        <w:t xml:space="preserve"> were separated by a wash</w:t>
      </w:r>
      <w:r w:rsidR="00021006" w:rsidRPr="001D57AE">
        <w:rPr>
          <w:szCs w:val="22"/>
        </w:rPr>
        <w:t>out period of 14 days.</w:t>
      </w:r>
      <w:r w:rsidR="00D91052" w:rsidRPr="001D57AE">
        <w:rPr>
          <w:szCs w:val="22"/>
        </w:rPr>
        <w:t xml:space="preserve"> The wash</w:t>
      </w:r>
      <w:r w:rsidR="00021006" w:rsidRPr="001D57AE">
        <w:rPr>
          <w:szCs w:val="22"/>
        </w:rPr>
        <w:t xml:space="preserve">out period </w:t>
      </w:r>
      <w:r w:rsidR="00D91052" w:rsidRPr="001D57AE">
        <w:rPr>
          <w:szCs w:val="22"/>
        </w:rPr>
        <w:t>wa</w:t>
      </w:r>
      <w:r w:rsidR="00021006" w:rsidRPr="001D57AE">
        <w:rPr>
          <w:szCs w:val="22"/>
        </w:rPr>
        <w:t>s much longer than the 5 elimination half-lives (</w:t>
      </w:r>
      <w:r w:rsidR="00D91052" w:rsidRPr="001D57AE">
        <w:rPr>
          <w:szCs w:val="22"/>
        </w:rPr>
        <w:t xml:space="preserve">around </w:t>
      </w:r>
      <w:r w:rsidR="00021006" w:rsidRPr="001D57AE">
        <w:rPr>
          <w:szCs w:val="22"/>
        </w:rPr>
        <w:t xml:space="preserve">43 hours) as required by the EMA and </w:t>
      </w:r>
      <w:r w:rsidR="009F0F39" w:rsidRPr="001D57AE">
        <w:rPr>
          <w:szCs w:val="22"/>
        </w:rPr>
        <w:t xml:space="preserve">the </w:t>
      </w:r>
      <w:r w:rsidR="00021006" w:rsidRPr="001D57AE">
        <w:rPr>
          <w:szCs w:val="22"/>
        </w:rPr>
        <w:t xml:space="preserve">FDA for a crossover design and was sufficient to ensure that drug concentrations were below the lower limit of bioanalytical quantification in all subjects at the beginning of the second treatment period. </w:t>
      </w:r>
    </w:p>
    <w:p w:rsidR="00021006" w:rsidRPr="001D57AE" w:rsidRDefault="00021006" w:rsidP="00021006">
      <w:pPr>
        <w:pStyle w:val="ListParagraph"/>
        <w:rPr>
          <w:szCs w:val="22"/>
        </w:rPr>
      </w:pPr>
    </w:p>
    <w:p w:rsidR="00021006" w:rsidRPr="001D57AE" w:rsidRDefault="00021006" w:rsidP="00021006">
      <w:pPr>
        <w:pStyle w:val="ListParagraph"/>
        <w:numPr>
          <w:ilvl w:val="1"/>
          <w:numId w:val="2"/>
        </w:numPr>
        <w:jc w:val="both"/>
        <w:rPr>
          <w:szCs w:val="22"/>
        </w:rPr>
      </w:pPr>
      <w:r w:rsidRPr="001D57AE">
        <w:rPr>
          <w:szCs w:val="22"/>
        </w:rPr>
        <w:t xml:space="preserve">FIN1001 </w:t>
      </w:r>
      <w:r w:rsidR="00772A71" w:rsidRPr="001D57AE">
        <w:rPr>
          <w:szCs w:val="22"/>
        </w:rPr>
        <w:t xml:space="preserve">specified that, if the 90% confidence intervals (CIs) of the ratios (Bemfola/ Gonal-f) of the geometric means for the primary endpoint, </w:t>
      </w:r>
      <w:r w:rsidR="00E80A2C" w:rsidRPr="001D57AE">
        <w:rPr>
          <w:szCs w:val="22"/>
        </w:rPr>
        <w:t>i.e.</w:t>
      </w:r>
      <w:r w:rsidR="00772A71" w:rsidRPr="001D57AE">
        <w:rPr>
          <w:szCs w:val="22"/>
        </w:rPr>
        <w:t xml:space="preserve"> area under serum concentration-time curve from 0 to 192 hours after FSH application (AUC</w:t>
      </w:r>
      <w:r w:rsidR="00772A71" w:rsidRPr="001D57AE">
        <w:rPr>
          <w:szCs w:val="22"/>
          <w:vertAlign w:val="subscript"/>
        </w:rPr>
        <w:t>0-192</w:t>
      </w:r>
      <w:r w:rsidR="00772A71" w:rsidRPr="001D57AE">
        <w:rPr>
          <w:szCs w:val="22"/>
        </w:rPr>
        <w:t>), and the secondary outcome of peak serum concentration (C</w:t>
      </w:r>
      <w:r w:rsidR="00772A71" w:rsidRPr="001D57AE">
        <w:rPr>
          <w:szCs w:val="22"/>
          <w:vertAlign w:val="subscript"/>
        </w:rPr>
        <w:t>max</w:t>
      </w:r>
      <w:r w:rsidR="00772A71" w:rsidRPr="001D57AE">
        <w:rPr>
          <w:szCs w:val="22"/>
        </w:rPr>
        <w:t xml:space="preserve">) fell within the interval of 80% to 125%, the two drugs were considered bioequivalent. The acceptance range for bioequivalence as used in the </w:t>
      </w:r>
      <w:r w:rsidR="009F0F39" w:rsidRPr="001D57AE">
        <w:rPr>
          <w:szCs w:val="22"/>
        </w:rPr>
        <w:t>trial</w:t>
      </w:r>
      <w:r w:rsidR="00772A71" w:rsidRPr="001D57AE">
        <w:rPr>
          <w:szCs w:val="22"/>
        </w:rPr>
        <w:t xml:space="preserve"> </w:t>
      </w:r>
      <w:r w:rsidR="00F67811" w:rsidRPr="001D57AE">
        <w:rPr>
          <w:szCs w:val="22"/>
        </w:rPr>
        <w:t>i</w:t>
      </w:r>
      <w:r w:rsidR="00772A71" w:rsidRPr="001D57AE">
        <w:rPr>
          <w:szCs w:val="22"/>
        </w:rPr>
        <w:t xml:space="preserve">s reasonable and is the accepted standard for </w:t>
      </w:r>
      <w:r w:rsidR="00FA385D" w:rsidRPr="001D57AE">
        <w:rPr>
          <w:szCs w:val="22"/>
        </w:rPr>
        <w:t xml:space="preserve">the </w:t>
      </w:r>
      <w:r w:rsidR="00772A71" w:rsidRPr="001D57AE">
        <w:rPr>
          <w:szCs w:val="22"/>
        </w:rPr>
        <w:t>evaluation of bioequivalence between two formulations.</w:t>
      </w:r>
      <w:r w:rsidRPr="001D57AE">
        <w:rPr>
          <w:szCs w:val="22"/>
        </w:rPr>
        <w:t xml:space="preserve"> </w:t>
      </w:r>
    </w:p>
    <w:p w:rsidR="00021006" w:rsidRPr="001D57AE" w:rsidRDefault="00021006" w:rsidP="00021006">
      <w:pPr>
        <w:pStyle w:val="ListParagraph"/>
        <w:rPr>
          <w:szCs w:val="22"/>
        </w:rPr>
      </w:pPr>
    </w:p>
    <w:p w:rsidR="00980C23" w:rsidRPr="001D57AE" w:rsidRDefault="00045DBB" w:rsidP="00554D9A">
      <w:pPr>
        <w:pStyle w:val="ListParagraph"/>
        <w:numPr>
          <w:ilvl w:val="1"/>
          <w:numId w:val="2"/>
        </w:numPr>
        <w:jc w:val="both"/>
        <w:rPr>
          <w:szCs w:val="22"/>
        </w:rPr>
      </w:pPr>
      <w:r w:rsidRPr="001D57AE">
        <w:rPr>
          <w:szCs w:val="22"/>
        </w:rPr>
        <w:lastRenderedPageBreak/>
        <w:t>In FIN3001, s</w:t>
      </w:r>
      <w:r w:rsidR="00980C23" w:rsidRPr="001D57AE">
        <w:rPr>
          <w:szCs w:val="22"/>
        </w:rPr>
        <w:t xml:space="preserve">ubjects were randomised to receive either Bemfola 150IU daily or Gonal-f 150IU daily for a maximum of 16 days. </w:t>
      </w:r>
      <w:r w:rsidR="00263472" w:rsidRPr="001D57AE">
        <w:rPr>
          <w:szCs w:val="22"/>
        </w:rPr>
        <w:t>No dose adjustments were made</w:t>
      </w:r>
      <w:r w:rsidR="008B60CF" w:rsidRPr="001D57AE">
        <w:rPr>
          <w:szCs w:val="22"/>
        </w:rPr>
        <w:t xml:space="preserve">, except for </w:t>
      </w:r>
      <w:r w:rsidR="00263472" w:rsidRPr="001D57AE">
        <w:rPr>
          <w:szCs w:val="22"/>
        </w:rPr>
        <w:t xml:space="preserve">dose reductions </w:t>
      </w:r>
      <w:r w:rsidR="00980C23" w:rsidRPr="001D57AE">
        <w:rPr>
          <w:szCs w:val="22"/>
        </w:rPr>
        <w:t xml:space="preserve">in cases </w:t>
      </w:r>
      <w:r w:rsidR="005E2DBE" w:rsidRPr="001D57AE">
        <w:rPr>
          <w:szCs w:val="22"/>
        </w:rPr>
        <w:t>where there was a</w:t>
      </w:r>
      <w:r w:rsidR="00980C23" w:rsidRPr="001D57AE">
        <w:rPr>
          <w:szCs w:val="22"/>
        </w:rPr>
        <w:t xml:space="preserve"> risk of ovarian hyperstimulation syndrome (OHSS)</w:t>
      </w:r>
      <w:r w:rsidR="004C0299" w:rsidRPr="001D57AE">
        <w:rPr>
          <w:szCs w:val="22"/>
        </w:rPr>
        <w:t xml:space="preserve"> or other safety concerns</w:t>
      </w:r>
      <w:r w:rsidR="00980C23" w:rsidRPr="001D57AE">
        <w:rPr>
          <w:szCs w:val="22"/>
        </w:rPr>
        <w:t xml:space="preserve">. </w:t>
      </w:r>
      <w:r w:rsidR="00177EF2" w:rsidRPr="001D57AE">
        <w:rPr>
          <w:szCs w:val="22"/>
        </w:rPr>
        <w:t>Although t</w:t>
      </w:r>
      <w:r w:rsidR="00532F8E" w:rsidRPr="001D57AE">
        <w:rPr>
          <w:szCs w:val="22"/>
        </w:rPr>
        <w:t>he fixed dose regimen specified in the trial cannot reflect clinical practice</w:t>
      </w:r>
      <w:r w:rsidR="005E2DBE" w:rsidRPr="001D57AE">
        <w:rPr>
          <w:szCs w:val="22"/>
        </w:rPr>
        <w:t>,</w:t>
      </w:r>
      <w:r w:rsidR="00532F8E" w:rsidRPr="001D57AE">
        <w:rPr>
          <w:szCs w:val="22"/>
        </w:rPr>
        <w:t xml:space="preserve"> where the </w:t>
      </w:r>
      <w:r w:rsidR="008B2E2D" w:rsidRPr="001D57AE">
        <w:rPr>
          <w:szCs w:val="22"/>
        </w:rPr>
        <w:t xml:space="preserve">dosage of </w:t>
      </w:r>
      <w:r w:rsidR="008B60CF" w:rsidRPr="001D57AE">
        <w:rPr>
          <w:szCs w:val="22"/>
        </w:rPr>
        <w:t>follitropin alfa</w:t>
      </w:r>
      <w:r w:rsidR="008B2E2D" w:rsidRPr="001D57AE">
        <w:rPr>
          <w:szCs w:val="22"/>
        </w:rPr>
        <w:t xml:space="preserve"> is finely adjusted according to the patient’s response</w:t>
      </w:r>
      <w:r w:rsidR="00177EF2" w:rsidRPr="001D57AE">
        <w:rPr>
          <w:szCs w:val="22"/>
        </w:rPr>
        <w:t xml:space="preserve">, </w:t>
      </w:r>
      <w:r w:rsidR="00CE7193" w:rsidRPr="001D57AE">
        <w:rPr>
          <w:szCs w:val="22"/>
        </w:rPr>
        <w:t>FIN3001 provided comparative data</w:t>
      </w:r>
      <w:r w:rsidR="00924057" w:rsidRPr="001D57AE">
        <w:rPr>
          <w:szCs w:val="22"/>
        </w:rPr>
        <w:t xml:space="preserve"> on the </w:t>
      </w:r>
      <w:r w:rsidR="00CE7193" w:rsidRPr="001D57AE">
        <w:rPr>
          <w:szCs w:val="22"/>
        </w:rPr>
        <w:t xml:space="preserve">relative </w:t>
      </w:r>
      <w:r w:rsidR="00924057" w:rsidRPr="001D57AE">
        <w:rPr>
          <w:szCs w:val="22"/>
        </w:rPr>
        <w:t xml:space="preserve">treatment effect of Bemfola </w:t>
      </w:r>
      <w:r w:rsidR="00CE7193" w:rsidRPr="001D57AE">
        <w:rPr>
          <w:szCs w:val="22"/>
        </w:rPr>
        <w:t>over</w:t>
      </w:r>
      <w:r w:rsidR="00924057" w:rsidRPr="001D57AE">
        <w:rPr>
          <w:szCs w:val="22"/>
        </w:rPr>
        <w:t xml:space="preserve"> Gonal-f on an IU to IU basis given t</w:t>
      </w:r>
      <w:r w:rsidR="004C0299" w:rsidRPr="001D57AE">
        <w:rPr>
          <w:szCs w:val="22"/>
        </w:rPr>
        <w:t xml:space="preserve">he </w:t>
      </w:r>
      <w:r w:rsidR="00924057" w:rsidRPr="001D57AE">
        <w:rPr>
          <w:szCs w:val="22"/>
        </w:rPr>
        <w:t xml:space="preserve">similar </w:t>
      </w:r>
      <w:r w:rsidR="00C93A50" w:rsidRPr="001D57AE">
        <w:rPr>
          <w:szCs w:val="22"/>
        </w:rPr>
        <w:t xml:space="preserve">total dose of follitropin alfa between the two treatment arms (mean: 1581.8IU </w:t>
      </w:r>
      <w:r w:rsidR="00924057" w:rsidRPr="001D57AE">
        <w:rPr>
          <w:szCs w:val="22"/>
        </w:rPr>
        <w:t>Bemfola</w:t>
      </w:r>
      <w:r w:rsidR="00924057" w:rsidRPr="001D57AE">
        <w:rPr>
          <w:szCs w:val="22"/>
          <w:vertAlign w:val="superscript"/>
        </w:rPr>
        <w:t xml:space="preserve"> </w:t>
      </w:r>
      <w:r w:rsidR="00C93A50" w:rsidRPr="001D57AE">
        <w:rPr>
          <w:szCs w:val="22"/>
        </w:rPr>
        <w:t>vs 1582.6IU</w:t>
      </w:r>
      <w:r w:rsidR="00924057" w:rsidRPr="001D57AE">
        <w:rPr>
          <w:szCs w:val="22"/>
        </w:rPr>
        <w:t xml:space="preserve"> Gonal-f</w:t>
      </w:r>
      <w:r w:rsidR="00C93A50" w:rsidRPr="001D57AE">
        <w:rPr>
          <w:szCs w:val="22"/>
        </w:rPr>
        <w:t>).</w:t>
      </w:r>
      <w:r w:rsidR="008B2E2D" w:rsidRPr="001D57AE">
        <w:rPr>
          <w:szCs w:val="22"/>
        </w:rPr>
        <w:t xml:space="preserve"> </w:t>
      </w:r>
    </w:p>
    <w:p w:rsidR="00980C23" w:rsidRPr="001D57AE" w:rsidRDefault="00980C23" w:rsidP="00980C23">
      <w:pPr>
        <w:pStyle w:val="ListParagraph"/>
        <w:jc w:val="both"/>
        <w:rPr>
          <w:szCs w:val="22"/>
        </w:rPr>
      </w:pPr>
    </w:p>
    <w:p w:rsidR="00021006" w:rsidRPr="001D57AE" w:rsidRDefault="00021006" w:rsidP="00340D3F">
      <w:pPr>
        <w:pStyle w:val="ListParagraph"/>
        <w:numPr>
          <w:ilvl w:val="1"/>
          <w:numId w:val="2"/>
        </w:numPr>
        <w:jc w:val="both"/>
        <w:rPr>
          <w:szCs w:val="22"/>
        </w:rPr>
      </w:pPr>
      <w:r w:rsidRPr="001D57AE">
        <w:rPr>
          <w:szCs w:val="22"/>
        </w:rPr>
        <w:t xml:space="preserve">Subjects in the two treatment arms </w:t>
      </w:r>
      <w:r w:rsidR="00CE7193" w:rsidRPr="001D57AE">
        <w:rPr>
          <w:szCs w:val="22"/>
        </w:rPr>
        <w:t xml:space="preserve">in FIN3001 </w:t>
      </w:r>
      <w:r w:rsidRPr="001D57AE">
        <w:rPr>
          <w:szCs w:val="22"/>
        </w:rPr>
        <w:t xml:space="preserve">were comparable in terms of patient characteristics at baseline. </w:t>
      </w:r>
      <w:r w:rsidR="00DE22A4" w:rsidRPr="001D57AE">
        <w:rPr>
          <w:szCs w:val="22"/>
        </w:rPr>
        <w:t>T</w:t>
      </w:r>
      <w:r w:rsidR="007D460D" w:rsidRPr="001D57AE">
        <w:rPr>
          <w:szCs w:val="22"/>
        </w:rPr>
        <w:t xml:space="preserve">he </w:t>
      </w:r>
      <w:r w:rsidR="00723F59" w:rsidRPr="001D57AE">
        <w:rPr>
          <w:szCs w:val="22"/>
        </w:rPr>
        <w:t xml:space="preserve">patients enrolled in FIN3001 (mean: 32 years) were younger than women who seek ART in Australia. </w:t>
      </w:r>
      <w:r w:rsidR="00CE7193" w:rsidRPr="001D57AE">
        <w:rPr>
          <w:szCs w:val="22"/>
        </w:rPr>
        <w:t>D</w:t>
      </w:r>
      <w:r w:rsidR="00723F59" w:rsidRPr="001D57AE">
        <w:rPr>
          <w:szCs w:val="22"/>
        </w:rPr>
        <w:t xml:space="preserve">emographic data </w:t>
      </w:r>
      <w:r w:rsidR="00FC348B" w:rsidRPr="001D57AE">
        <w:rPr>
          <w:szCs w:val="22"/>
        </w:rPr>
        <w:t xml:space="preserve">on </w:t>
      </w:r>
      <w:r w:rsidR="00723F59" w:rsidRPr="001D57AE">
        <w:rPr>
          <w:szCs w:val="22"/>
        </w:rPr>
        <w:t xml:space="preserve">the Medicare items associated with </w:t>
      </w:r>
      <w:r w:rsidR="009F0F39" w:rsidRPr="001D57AE">
        <w:rPr>
          <w:szCs w:val="22"/>
        </w:rPr>
        <w:t>AR</w:t>
      </w:r>
      <w:r w:rsidR="00704DEC" w:rsidRPr="001D57AE">
        <w:rPr>
          <w:szCs w:val="22"/>
        </w:rPr>
        <w:t>T</w:t>
      </w:r>
      <w:r w:rsidR="00FC348B" w:rsidRPr="001D57AE">
        <w:rPr>
          <w:szCs w:val="22"/>
        </w:rPr>
        <w:t xml:space="preserve"> </w:t>
      </w:r>
      <w:r w:rsidR="00723F59" w:rsidRPr="001D57AE">
        <w:rPr>
          <w:szCs w:val="22"/>
        </w:rPr>
        <w:t>show</w:t>
      </w:r>
      <w:r w:rsidR="00FC348B" w:rsidRPr="001D57AE">
        <w:rPr>
          <w:szCs w:val="22"/>
        </w:rPr>
        <w:t>ed</w:t>
      </w:r>
      <w:r w:rsidR="00723F59" w:rsidRPr="001D57AE">
        <w:rPr>
          <w:szCs w:val="22"/>
        </w:rPr>
        <w:t xml:space="preserve"> that</w:t>
      </w:r>
      <w:r w:rsidR="00FC348B" w:rsidRPr="001D57AE">
        <w:rPr>
          <w:szCs w:val="22"/>
        </w:rPr>
        <w:t xml:space="preserve">, in 2015, </w:t>
      </w:r>
      <w:r w:rsidR="00723F59" w:rsidRPr="001D57AE">
        <w:rPr>
          <w:szCs w:val="22"/>
        </w:rPr>
        <w:t>the majority of patients using these services were 35 years or above (62% for MBS item 13200; 75% for MBS item 13201; 73% for MBS item 13202</w:t>
      </w:r>
      <w:r w:rsidR="00723F59" w:rsidRPr="001D57AE">
        <w:rPr>
          <w:rStyle w:val="FootnoteReference"/>
          <w:szCs w:val="22"/>
        </w:rPr>
        <w:footnoteReference w:id="2"/>
      </w:r>
      <w:r w:rsidR="00FC348B" w:rsidRPr="001D57AE">
        <w:rPr>
          <w:szCs w:val="22"/>
        </w:rPr>
        <w:t>)</w:t>
      </w:r>
      <w:r w:rsidR="00723F59" w:rsidRPr="001D57AE">
        <w:rPr>
          <w:szCs w:val="22"/>
        </w:rPr>
        <w:t>.</w:t>
      </w:r>
      <w:r w:rsidR="00FC348B" w:rsidRPr="001D57AE">
        <w:rPr>
          <w:szCs w:val="22"/>
        </w:rPr>
        <w:t xml:space="preserve"> In addition, </w:t>
      </w:r>
      <w:r w:rsidR="00481C98" w:rsidRPr="001D57AE">
        <w:rPr>
          <w:szCs w:val="22"/>
        </w:rPr>
        <w:t xml:space="preserve">patients with </w:t>
      </w:r>
      <w:r w:rsidR="00471E93" w:rsidRPr="001D57AE">
        <w:rPr>
          <w:szCs w:val="22"/>
        </w:rPr>
        <w:t xml:space="preserve">a </w:t>
      </w:r>
      <w:r w:rsidR="00481C98" w:rsidRPr="001D57AE">
        <w:rPr>
          <w:szCs w:val="22"/>
        </w:rPr>
        <w:t>high risk of OHSS were not represented in FIN3001, as this trial excluded patients with history</w:t>
      </w:r>
      <w:r w:rsidR="00704DEC" w:rsidRPr="001D57AE">
        <w:rPr>
          <w:szCs w:val="22"/>
        </w:rPr>
        <w:t>/presence</w:t>
      </w:r>
      <w:r w:rsidR="00481C98" w:rsidRPr="001D57AE">
        <w:rPr>
          <w:szCs w:val="22"/>
        </w:rPr>
        <w:t xml:space="preserve"> of OHSS, polycystic ovary syndrome (PCOS) or an antral follicle count of &gt;20. </w:t>
      </w:r>
      <w:r w:rsidR="00181524" w:rsidRPr="001D57AE">
        <w:rPr>
          <w:szCs w:val="22"/>
        </w:rPr>
        <w:t>As</w:t>
      </w:r>
      <w:r w:rsidR="00340D3F" w:rsidRPr="001D57AE">
        <w:rPr>
          <w:szCs w:val="22"/>
        </w:rPr>
        <w:t xml:space="preserve"> these factors affect</w:t>
      </w:r>
      <w:r w:rsidR="00B47F1E" w:rsidRPr="001D57AE">
        <w:rPr>
          <w:szCs w:val="22"/>
        </w:rPr>
        <w:t>ed</w:t>
      </w:r>
      <w:r w:rsidR="00340D3F" w:rsidRPr="001D57AE">
        <w:rPr>
          <w:szCs w:val="22"/>
        </w:rPr>
        <w:t xml:space="preserve"> both treatment arms in FIN3001 </w:t>
      </w:r>
      <w:r w:rsidR="00181524" w:rsidRPr="001D57AE">
        <w:rPr>
          <w:szCs w:val="22"/>
        </w:rPr>
        <w:t>the</w:t>
      </w:r>
      <w:r w:rsidR="00340D3F" w:rsidRPr="001D57AE">
        <w:rPr>
          <w:szCs w:val="22"/>
        </w:rPr>
        <w:t xml:space="preserve"> internal valid</w:t>
      </w:r>
      <w:r w:rsidR="00B47F1E" w:rsidRPr="001D57AE">
        <w:rPr>
          <w:szCs w:val="22"/>
        </w:rPr>
        <w:t>ity of the trial result</w:t>
      </w:r>
      <w:r w:rsidR="00181524" w:rsidRPr="001D57AE">
        <w:rPr>
          <w:szCs w:val="22"/>
        </w:rPr>
        <w:t xml:space="preserve"> was not compromised.</w:t>
      </w:r>
    </w:p>
    <w:p w:rsidR="009151C5" w:rsidRPr="001D57AE" w:rsidRDefault="009151C5" w:rsidP="009151C5">
      <w:pPr>
        <w:pStyle w:val="ListParagraph"/>
        <w:rPr>
          <w:szCs w:val="22"/>
        </w:rPr>
      </w:pPr>
    </w:p>
    <w:p w:rsidR="009151C5" w:rsidRPr="001D57AE" w:rsidRDefault="00181524" w:rsidP="00EF6D59">
      <w:pPr>
        <w:pStyle w:val="ListParagraph"/>
        <w:numPr>
          <w:ilvl w:val="1"/>
          <w:numId w:val="2"/>
        </w:numPr>
        <w:jc w:val="both"/>
        <w:rPr>
          <w:szCs w:val="22"/>
        </w:rPr>
      </w:pPr>
      <w:r w:rsidRPr="001D57AE">
        <w:rPr>
          <w:szCs w:val="22"/>
        </w:rPr>
        <w:t>The primary endpoint in FIN3001 was the n</w:t>
      </w:r>
      <w:r w:rsidR="009151C5" w:rsidRPr="001D57AE">
        <w:rPr>
          <w:szCs w:val="22"/>
        </w:rPr>
        <w:t xml:space="preserve">umber of oocytes retrieved. </w:t>
      </w:r>
      <w:r w:rsidR="005840E6" w:rsidRPr="001D57AE">
        <w:rPr>
          <w:szCs w:val="22"/>
        </w:rPr>
        <w:t>This is consistent with EMA recommendation</w:t>
      </w:r>
      <w:r w:rsidR="003E55E0" w:rsidRPr="001D57AE">
        <w:rPr>
          <w:szCs w:val="22"/>
        </w:rPr>
        <w:t>s</w:t>
      </w:r>
      <w:r w:rsidR="005840E6" w:rsidRPr="001D57AE">
        <w:rPr>
          <w:szCs w:val="22"/>
        </w:rPr>
        <w:t xml:space="preserve"> </w:t>
      </w:r>
      <w:r w:rsidR="003E55E0" w:rsidRPr="001D57AE">
        <w:rPr>
          <w:szCs w:val="22"/>
        </w:rPr>
        <w:t xml:space="preserve">on </w:t>
      </w:r>
      <w:r w:rsidR="009151C5" w:rsidRPr="001D57AE">
        <w:rPr>
          <w:szCs w:val="22"/>
        </w:rPr>
        <w:t xml:space="preserve">clinical studies </w:t>
      </w:r>
      <w:r w:rsidR="00FA385D" w:rsidRPr="001D57AE">
        <w:rPr>
          <w:szCs w:val="22"/>
        </w:rPr>
        <w:t xml:space="preserve">that </w:t>
      </w:r>
      <w:r w:rsidR="009151C5" w:rsidRPr="001D57AE">
        <w:rPr>
          <w:szCs w:val="22"/>
        </w:rPr>
        <w:t>demonstrat</w:t>
      </w:r>
      <w:r w:rsidR="00FA385D" w:rsidRPr="001D57AE">
        <w:rPr>
          <w:szCs w:val="22"/>
        </w:rPr>
        <w:t>e</w:t>
      </w:r>
      <w:r w:rsidR="009151C5" w:rsidRPr="001D57AE">
        <w:rPr>
          <w:szCs w:val="22"/>
        </w:rPr>
        <w:t xml:space="preserve"> comparability of biological medicinal products containing r-hFSH</w:t>
      </w:r>
      <w:r w:rsidR="00C17493" w:rsidRPr="001D57AE">
        <w:rPr>
          <w:noProof/>
          <w:szCs w:val="22"/>
          <w:vertAlign w:val="superscript"/>
        </w:rPr>
        <w:t>1</w:t>
      </w:r>
      <w:r w:rsidR="009151C5" w:rsidRPr="001D57AE">
        <w:rPr>
          <w:szCs w:val="22"/>
        </w:rPr>
        <w:t xml:space="preserve"> </w:t>
      </w:r>
      <w:r w:rsidR="006F62FB" w:rsidRPr="001D57AE">
        <w:rPr>
          <w:szCs w:val="22"/>
        </w:rPr>
        <w:t xml:space="preserve">However, </w:t>
      </w:r>
      <w:r w:rsidR="00471E93" w:rsidRPr="001D57AE">
        <w:rPr>
          <w:szCs w:val="22"/>
        </w:rPr>
        <w:t xml:space="preserve">the </w:t>
      </w:r>
      <w:r w:rsidR="006F62FB" w:rsidRPr="001D57AE">
        <w:rPr>
          <w:szCs w:val="22"/>
        </w:rPr>
        <w:t xml:space="preserve">number of oocytes retrieved </w:t>
      </w:r>
      <w:r w:rsidR="009151C5" w:rsidRPr="001D57AE">
        <w:rPr>
          <w:szCs w:val="22"/>
        </w:rPr>
        <w:t xml:space="preserve">is </w:t>
      </w:r>
      <w:r w:rsidR="00A94771" w:rsidRPr="001D57AE">
        <w:rPr>
          <w:szCs w:val="22"/>
        </w:rPr>
        <w:t xml:space="preserve">an explanatory intermediate endpoint but is </w:t>
      </w:r>
      <w:r w:rsidR="009151C5" w:rsidRPr="001D57AE">
        <w:rPr>
          <w:szCs w:val="22"/>
        </w:rPr>
        <w:t>not a good predictor of pregnancy.</w:t>
      </w:r>
      <w:r w:rsidR="006F62FB" w:rsidRPr="001D57AE">
        <w:rPr>
          <w:szCs w:val="22"/>
        </w:rPr>
        <w:t xml:space="preserve"> The PBAC has previously accepted the ongoing pregnancy rate (defined as the percentage of women with at least one viable foetus 10 weeks after embryo transfer) as a primary endpoint for the assessment of corifollitropin alfa and Menopur</w:t>
      </w:r>
      <w:r w:rsidR="006F62FB" w:rsidRPr="001D57AE">
        <w:rPr>
          <w:szCs w:val="22"/>
          <w:vertAlign w:val="superscript"/>
        </w:rPr>
        <w:t>®</w:t>
      </w:r>
      <w:r w:rsidR="006F62FB" w:rsidRPr="001D57AE">
        <w:rPr>
          <w:szCs w:val="22"/>
        </w:rPr>
        <w:t xml:space="preserve"> in women participating in an ART program</w:t>
      </w:r>
      <w:r w:rsidR="00EF6D59" w:rsidRPr="001D57AE">
        <w:rPr>
          <w:szCs w:val="22"/>
        </w:rPr>
        <w:t xml:space="preserve"> (Menopur </w:t>
      </w:r>
      <w:r w:rsidR="00CC17C1" w:rsidRPr="001D57AE">
        <w:rPr>
          <w:szCs w:val="22"/>
        </w:rPr>
        <w:t>Public Summary Document (</w:t>
      </w:r>
      <w:r w:rsidR="00EF6D59" w:rsidRPr="001D57AE">
        <w:rPr>
          <w:szCs w:val="22"/>
        </w:rPr>
        <w:t>PSD</w:t>
      </w:r>
      <w:r w:rsidR="00CC17C1" w:rsidRPr="001D57AE">
        <w:rPr>
          <w:szCs w:val="22"/>
        </w:rPr>
        <w:t>)</w:t>
      </w:r>
      <w:r w:rsidR="00EF6D59" w:rsidRPr="001D57AE">
        <w:rPr>
          <w:szCs w:val="22"/>
        </w:rPr>
        <w:t>, March 2012 PBAC meeting; Corifollitropin alfa PSD, November 2010 PBAC meeting)</w:t>
      </w:r>
      <w:r w:rsidR="006F62FB" w:rsidRPr="001D57AE">
        <w:rPr>
          <w:szCs w:val="22"/>
        </w:rPr>
        <w:t xml:space="preserve">. Ongoing pregnancy rate is considered a valid surrogate for live birth. </w:t>
      </w:r>
      <w:r w:rsidR="00EF6D59" w:rsidRPr="001D57AE">
        <w:rPr>
          <w:szCs w:val="22"/>
        </w:rPr>
        <w:t>Live birth is the outcome of interest to couples, although it can be argued that the lag time from exposure to the measured outcome (live birth) is an important limitation as it includes multiple factors that could confound or distort the final endpoint of live birth.</w:t>
      </w:r>
    </w:p>
    <w:p w:rsidR="009151C5" w:rsidRPr="001D57AE" w:rsidRDefault="009151C5" w:rsidP="002B5E05">
      <w:pPr>
        <w:pStyle w:val="ListParagraph"/>
        <w:jc w:val="both"/>
        <w:rPr>
          <w:szCs w:val="22"/>
        </w:rPr>
      </w:pPr>
    </w:p>
    <w:p w:rsidR="009151C5" w:rsidRPr="001D57AE" w:rsidRDefault="002B5E05" w:rsidP="0027085F">
      <w:pPr>
        <w:pStyle w:val="ListParagraph"/>
        <w:numPr>
          <w:ilvl w:val="1"/>
          <w:numId w:val="2"/>
        </w:numPr>
        <w:jc w:val="both"/>
        <w:rPr>
          <w:szCs w:val="22"/>
        </w:rPr>
      </w:pPr>
      <w:r w:rsidRPr="001D57AE">
        <w:rPr>
          <w:szCs w:val="22"/>
        </w:rPr>
        <w:t xml:space="preserve">FIN3001 assessed </w:t>
      </w:r>
      <w:r w:rsidR="0019587F" w:rsidRPr="001D57AE">
        <w:rPr>
          <w:szCs w:val="22"/>
        </w:rPr>
        <w:t xml:space="preserve">the </w:t>
      </w:r>
      <w:r w:rsidRPr="001D57AE">
        <w:rPr>
          <w:szCs w:val="22"/>
        </w:rPr>
        <w:t xml:space="preserve">equivalence </w:t>
      </w:r>
      <w:r w:rsidR="0019587F" w:rsidRPr="001D57AE">
        <w:rPr>
          <w:szCs w:val="22"/>
        </w:rPr>
        <w:t xml:space="preserve">between Bemfola and Gonal-f </w:t>
      </w:r>
      <w:r w:rsidRPr="001D57AE">
        <w:rPr>
          <w:szCs w:val="22"/>
        </w:rPr>
        <w:t>in terms of the number of oocytes retrieved</w:t>
      </w:r>
      <w:r w:rsidR="0019587F" w:rsidRPr="001D57AE">
        <w:rPr>
          <w:szCs w:val="22"/>
        </w:rPr>
        <w:t>. A</w:t>
      </w:r>
      <w:r w:rsidRPr="001D57AE">
        <w:rPr>
          <w:szCs w:val="22"/>
        </w:rPr>
        <w:t xml:space="preserve"> margin of </w:t>
      </w:r>
      <w:r w:rsidR="00944356" w:rsidRPr="001D57AE">
        <w:rPr>
          <w:rFonts w:cs="Arial"/>
          <w:szCs w:val="22"/>
        </w:rPr>
        <w:t>±</w:t>
      </w:r>
      <w:r w:rsidR="00D87187" w:rsidRPr="001D57AE">
        <w:rPr>
          <w:szCs w:val="22"/>
        </w:rPr>
        <w:t>2.9</w:t>
      </w:r>
      <w:r w:rsidRPr="001D57AE">
        <w:rPr>
          <w:szCs w:val="22"/>
        </w:rPr>
        <w:t xml:space="preserve"> oocytes </w:t>
      </w:r>
      <w:r w:rsidR="0019587F" w:rsidRPr="001D57AE">
        <w:rPr>
          <w:szCs w:val="22"/>
        </w:rPr>
        <w:t xml:space="preserve">was used </w:t>
      </w:r>
      <w:r w:rsidRPr="001D57AE">
        <w:rPr>
          <w:szCs w:val="22"/>
        </w:rPr>
        <w:t xml:space="preserve">for </w:t>
      </w:r>
      <w:r w:rsidR="0019587F" w:rsidRPr="001D57AE">
        <w:rPr>
          <w:szCs w:val="22"/>
        </w:rPr>
        <w:t xml:space="preserve">determining whether the </w:t>
      </w:r>
      <w:r w:rsidRPr="001D57AE">
        <w:rPr>
          <w:szCs w:val="22"/>
        </w:rPr>
        <w:t>difference between the treatment groups</w:t>
      </w:r>
      <w:r w:rsidR="0019587F" w:rsidRPr="001D57AE">
        <w:rPr>
          <w:szCs w:val="22"/>
        </w:rPr>
        <w:t xml:space="preserve"> was clinically important</w:t>
      </w:r>
      <w:r w:rsidRPr="001D57AE">
        <w:rPr>
          <w:szCs w:val="22"/>
        </w:rPr>
        <w:t xml:space="preserve">. The PBAC </w:t>
      </w:r>
      <w:r w:rsidR="00776BFB" w:rsidRPr="001D57AE">
        <w:rPr>
          <w:szCs w:val="22"/>
        </w:rPr>
        <w:t>previous</w:t>
      </w:r>
      <w:r w:rsidR="00471E93" w:rsidRPr="001D57AE">
        <w:rPr>
          <w:szCs w:val="22"/>
        </w:rPr>
        <w:t>ly</w:t>
      </w:r>
      <w:r w:rsidR="00776BFB" w:rsidRPr="001D57AE">
        <w:rPr>
          <w:szCs w:val="22"/>
        </w:rPr>
        <w:t xml:space="preserve"> </w:t>
      </w:r>
      <w:r w:rsidRPr="001D57AE">
        <w:rPr>
          <w:szCs w:val="22"/>
        </w:rPr>
        <w:t xml:space="preserve">considered </w:t>
      </w:r>
      <w:r w:rsidR="00776BFB" w:rsidRPr="001D57AE">
        <w:rPr>
          <w:szCs w:val="22"/>
        </w:rPr>
        <w:t>a lower margin of</w:t>
      </w:r>
      <w:r w:rsidRPr="001D57AE">
        <w:rPr>
          <w:szCs w:val="22"/>
        </w:rPr>
        <w:t xml:space="preserve"> -3 oocytes and an upper margin of +5 oocytes </w:t>
      </w:r>
      <w:r w:rsidR="0019587F" w:rsidRPr="001D57AE">
        <w:rPr>
          <w:szCs w:val="22"/>
        </w:rPr>
        <w:t xml:space="preserve">as the minimal clinically important difference (MCID) </w:t>
      </w:r>
      <w:r w:rsidR="00776BFB" w:rsidRPr="001D57AE">
        <w:rPr>
          <w:szCs w:val="22"/>
        </w:rPr>
        <w:t>appropriate for patients undergoing ART</w:t>
      </w:r>
      <w:r w:rsidR="0019587F" w:rsidRPr="001D57AE">
        <w:rPr>
          <w:szCs w:val="22"/>
        </w:rPr>
        <w:t>. Three</w:t>
      </w:r>
      <w:r w:rsidR="0027085F" w:rsidRPr="001D57AE">
        <w:rPr>
          <w:szCs w:val="22"/>
        </w:rPr>
        <w:t xml:space="preserve"> oocytes are usually required to produce one good quality embryo for </w:t>
      </w:r>
      <w:r w:rsidR="00471E93" w:rsidRPr="001D57AE">
        <w:rPr>
          <w:szCs w:val="22"/>
        </w:rPr>
        <w:t xml:space="preserve">transferring </w:t>
      </w:r>
      <w:r w:rsidR="0027085F" w:rsidRPr="001D57AE">
        <w:rPr>
          <w:szCs w:val="22"/>
        </w:rPr>
        <w:t xml:space="preserve">(or freezing) and an excess of </w:t>
      </w:r>
      <w:r w:rsidR="00C753C9" w:rsidRPr="001D57AE">
        <w:rPr>
          <w:szCs w:val="22"/>
        </w:rPr>
        <w:t>&gt;5</w:t>
      </w:r>
      <w:r w:rsidR="0027085F" w:rsidRPr="001D57AE">
        <w:rPr>
          <w:szCs w:val="22"/>
        </w:rPr>
        <w:t xml:space="preserve"> oocytes </w:t>
      </w:r>
      <w:r w:rsidR="0019587F" w:rsidRPr="001D57AE">
        <w:rPr>
          <w:szCs w:val="22"/>
        </w:rPr>
        <w:t>is considered</w:t>
      </w:r>
      <w:r w:rsidR="0027085F" w:rsidRPr="001D57AE">
        <w:rPr>
          <w:szCs w:val="22"/>
        </w:rPr>
        <w:t xml:space="preserve"> undesirable due to the increased risk of developing OHSS </w:t>
      </w:r>
      <w:r w:rsidR="00776BFB" w:rsidRPr="001D57AE">
        <w:rPr>
          <w:szCs w:val="22"/>
        </w:rPr>
        <w:t xml:space="preserve">(Corifollitropin alfa PSD, November 2010 PBAC meeting). With regard to the MCID </w:t>
      </w:r>
      <w:r w:rsidR="0019587F" w:rsidRPr="001D57AE">
        <w:rPr>
          <w:szCs w:val="22"/>
        </w:rPr>
        <w:t>for</w:t>
      </w:r>
      <w:r w:rsidR="00EF4F97" w:rsidRPr="001D57AE">
        <w:rPr>
          <w:szCs w:val="22"/>
        </w:rPr>
        <w:t xml:space="preserve"> </w:t>
      </w:r>
      <w:r w:rsidR="00776BFB" w:rsidRPr="001D57AE">
        <w:rPr>
          <w:szCs w:val="22"/>
        </w:rPr>
        <w:t xml:space="preserve">pregnancy rate, the PBAC </w:t>
      </w:r>
      <w:r w:rsidR="00487B36" w:rsidRPr="001D57AE">
        <w:rPr>
          <w:szCs w:val="22"/>
        </w:rPr>
        <w:t xml:space="preserve">indicated </w:t>
      </w:r>
      <w:r w:rsidR="00776BFB" w:rsidRPr="001D57AE">
        <w:rPr>
          <w:szCs w:val="22"/>
        </w:rPr>
        <w:t>that</w:t>
      </w:r>
      <w:r w:rsidR="00F419B4" w:rsidRPr="001D57AE">
        <w:rPr>
          <w:szCs w:val="22"/>
        </w:rPr>
        <w:t>, for women undergoing ART,</w:t>
      </w:r>
      <w:r w:rsidR="00776BFB" w:rsidRPr="001D57AE">
        <w:rPr>
          <w:szCs w:val="22"/>
        </w:rPr>
        <w:t xml:space="preserve"> </w:t>
      </w:r>
      <w:r w:rsidR="00DC5B6E" w:rsidRPr="001D57AE">
        <w:rPr>
          <w:szCs w:val="22"/>
        </w:rPr>
        <w:t>a</w:t>
      </w:r>
      <w:r w:rsidR="00776BFB" w:rsidRPr="001D57AE">
        <w:rPr>
          <w:szCs w:val="22"/>
        </w:rPr>
        <w:t xml:space="preserve"> non-inferiority margin of -8% appeared large in terms of a patient relevant difference in pregnancy rates</w:t>
      </w:r>
      <w:r w:rsidR="00DC5B6E" w:rsidRPr="001D57AE">
        <w:rPr>
          <w:szCs w:val="22"/>
        </w:rPr>
        <w:t xml:space="preserve"> and </w:t>
      </w:r>
      <w:r w:rsidR="00DC5B6E" w:rsidRPr="001D57AE">
        <w:rPr>
          <w:szCs w:val="22"/>
        </w:rPr>
        <w:lastRenderedPageBreak/>
        <w:t xml:space="preserve">considered a difference of </w:t>
      </w:r>
      <w:r w:rsidR="00DC5B6E" w:rsidRPr="001D57AE">
        <w:rPr>
          <w:rFonts w:cs="Arial"/>
          <w:szCs w:val="22"/>
        </w:rPr>
        <w:t>±</w:t>
      </w:r>
      <w:r w:rsidR="00DC5B6E" w:rsidRPr="001D57AE">
        <w:rPr>
          <w:szCs w:val="22"/>
        </w:rPr>
        <w:t xml:space="preserve">4% a reasonable MCID </w:t>
      </w:r>
      <w:r w:rsidR="00F82634" w:rsidRPr="001D57AE">
        <w:rPr>
          <w:szCs w:val="22"/>
        </w:rPr>
        <w:t xml:space="preserve">in </w:t>
      </w:r>
      <w:r w:rsidR="00471E93" w:rsidRPr="001D57AE">
        <w:rPr>
          <w:szCs w:val="22"/>
        </w:rPr>
        <w:t>evaluating</w:t>
      </w:r>
      <w:r w:rsidR="00F82634" w:rsidRPr="001D57AE">
        <w:rPr>
          <w:szCs w:val="22"/>
        </w:rPr>
        <w:t xml:space="preserve"> data on ongoing pregnancy rate </w:t>
      </w:r>
      <w:r w:rsidR="00DC5B6E" w:rsidRPr="001D57AE">
        <w:rPr>
          <w:szCs w:val="22"/>
        </w:rPr>
        <w:t>(Corifollitropin alfa PSD, March 2013 PBAC meeting)</w:t>
      </w:r>
      <w:r w:rsidRPr="001D57AE">
        <w:rPr>
          <w:szCs w:val="22"/>
        </w:rPr>
        <w:t>.</w:t>
      </w:r>
    </w:p>
    <w:p w:rsidR="007D460D" w:rsidRPr="001D57AE" w:rsidRDefault="007D460D" w:rsidP="007D460D">
      <w:pPr>
        <w:pStyle w:val="ListParagraph"/>
        <w:rPr>
          <w:szCs w:val="22"/>
        </w:rPr>
      </w:pPr>
    </w:p>
    <w:p w:rsidR="00AF3264" w:rsidRPr="001D57AE" w:rsidRDefault="002B0BF2" w:rsidP="00AF3264">
      <w:pPr>
        <w:pStyle w:val="ListParagraph"/>
        <w:numPr>
          <w:ilvl w:val="1"/>
          <w:numId w:val="2"/>
        </w:numPr>
        <w:jc w:val="both"/>
        <w:rPr>
          <w:szCs w:val="22"/>
        </w:rPr>
      </w:pPr>
      <w:r w:rsidRPr="001D57AE">
        <w:rPr>
          <w:szCs w:val="22"/>
        </w:rPr>
        <w:t>Both the TGA and the EMA approved Bemfola as a follitropin biosimilar to Gonal-f on</w:t>
      </w:r>
      <w:r w:rsidR="00EF4F97" w:rsidRPr="001D57AE">
        <w:rPr>
          <w:szCs w:val="22"/>
        </w:rPr>
        <w:t xml:space="preserve"> the</w:t>
      </w:r>
      <w:r w:rsidRPr="001D57AE">
        <w:rPr>
          <w:szCs w:val="22"/>
        </w:rPr>
        <w:t xml:space="preserve"> basis of </w:t>
      </w:r>
      <w:r w:rsidR="00EF4F97" w:rsidRPr="001D57AE">
        <w:rPr>
          <w:szCs w:val="22"/>
        </w:rPr>
        <w:t xml:space="preserve">the </w:t>
      </w:r>
      <w:r w:rsidRPr="001D57AE">
        <w:rPr>
          <w:szCs w:val="22"/>
        </w:rPr>
        <w:t>evidence</w:t>
      </w:r>
      <w:r w:rsidR="00EF4F97" w:rsidRPr="001D57AE">
        <w:rPr>
          <w:szCs w:val="22"/>
        </w:rPr>
        <w:t xml:space="preserve"> also presented in the minor submission</w:t>
      </w:r>
      <w:r w:rsidRPr="001D57AE">
        <w:rPr>
          <w:szCs w:val="22"/>
        </w:rPr>
        <w:t xml:space="preserve">. </w:t>
      </w:r>
      <w:r w:rsidR="001B3F23" w:rsidRPr="001D57AE">
        <w:rPr>
          <w:szCs w:val="22"/>
        </w:rPr>
        <w:t>A</w:t>
      </w:r>
      <w:r w:rsidR="00471E93" w:rsidRPr="001D57AE">
        <w:rPr>
          <w:szCs w:val="22"/>
        </w:rPr>
        <w:t>n application for</w:t>
      </w:r>
      <w:r w:rsidR="007D460D" w:rsidRPr="001D57AE">
        <w:rPr>
          <w:szCs w:val="22"/>
        </w:rPr>
        <w:t xml:space="preserve"> </w:t>
      </w:r>
      <w:r w:rsidR="00AF3264" w:rsidRPr="001D57AE">
        <w:rPr>
          <w:szCs w:val="22"/>
        </w:rPr>
        <w:t xml:space="preserve">Bemfola </w:t>
      </w:r>
      <w:r w:rsidR="007D460D" w:rsidRPr="001D57AE">
        <w:rPr>
          <w:szCs w:val="22"/>
        </w:rPr>
        <w:t>was submitted to the US FDA</w:t>
      </w:r>
      <w:r w:rsidR="001933BF" w:rsidRPr="001D57AE">
        <w:rPr>
          <w:szCs w:val="22"/>
        </w:rPr>
        <w:t>. But</w:t>
      </w:r>
      <w:r w:rsidR="007D460D" w:rsidRPr="001D57AE">
        <w:rPr>
          <w:szCs w:val="22"/>
        </w:rPr>
        <w:t xml:space="preserve"> the FDA required an additional efficacy and safety study </w:t>
      </w:r>
      <w:r w:rsidR="00EF4F97" w:rsidRPr="001D57AE">
        <w:rPr>
          <w:szCs w:val="22"/>
        </w:rPr>
        <w:t xml:space="preserve">in </w:t>
      </w:r>
      <w:r w:rsidR="007D460D" w:rsidRPr="001D57AE">
        <w:rPr>
          <w:szCs w:val="22"/>
        </w:rPr>
        <w:t xml:space="preserve">a patient population deemed more appropriate to its requirements. </w:t>
      </w:r>
      <w:r w:rsidR="009627EA" w:rsidRPr="001D57AE">
        <w:rPr>
          <w:szCs w:val="22"/>
        </w:rPr>
        <w:t>The t</w:t>
      </w:r>
      <w:r w:rsidR="007D460D" w:rsidRPr="001D57AE">
        <w:rPr>
          <w:szCs w:val="22"/>
        </w:rPr>
        <w:t>rial (FIN3002) in progress</w:t>
      </w:r>
      <w:r w:rsidR="009627EA" w:rsidRPr="001D57AE">
        <w:rPr>
          <w:szCs w:val="22"/>
        </w:rPr>
        <w:t xml:space="preserve"> enrolled patients older than those in FIN3001 (35-42 years</w:t>
      </w:r>
      <w:r w:rsidR="00AF3264" w:rsidRPr="001D57AE">
        <w:rPr>
          <w:szCs w:val="22"/>
        </w:rPr>
        <w:t xml:space="preserve"> vs 20-38 years</w:t>
      </w:r>
      <w:r w:rsidR="009627EA" w:rsidRPr="001D57AE">
        <w:rPr>
          <w:szCs w:val="22"/>
        </w:rPr>
        <w:t>)</w:t>
      </w:r>
      <w:r w:rsidR="00AF3264" w:rsidRPr="001D57AE">
        <w:rPr>
          <w:szCs w:val="22"/>
        </w:rPr>
        <w:t xml:space="preserve"> and</w:t>
      </w:r>
      <w:r w:rsidR="00A45F9F" w:rsidRPr="001D57AE">
        <w:rPr>
          <w:szCs w:val="22"/>
        </w:rPr>
        <w:t>,</w:t>
      </w:r>
      <w:r w:rsidR="00AF3264" w:rsidRPr="001D57AE">
        <w:rPr>
          <w:szCs w:val="22"/>
        </w:rPr>
        <w:t xml:space="preserve"> </w:t>
      </w:r>
      <w:r w:rsidR="00A45F9F" w:rsidRPr="001D57AE">
        <w:rPr>
          <w:szCs w:val="22"/>
        </w:rPr>
        <w:t xml:space="preserve">as requested by the FDA, </w:t>
      </w:r>
      <w:r w:rsidR="00AF3264" w:rsidRPr="001D57AE">
        <w:rPr>
          <w:szCs w:val="22"/>
        </w:rPr>
        <w:t>specified pregnanc</w:t>
      </w:r>
      <w:r w:rsidR="008E7DB0" w:rsidRPr="001D57AE">
        <w:rPr>
          <w:szCs w:val="22"/>
        </w:rPr>
        <w:t xml:space="preserve">y rate </w:t>
      </w:r>
      <w:r w:rsidR="00AF3264" w:rsidRPr="001D57AE">
        <w:rPr>
          <w:szCs w:val="22"/>
        </w:rPr>
        <w:t>as the primary endpoint</w:t>
      </w:r>
      <w:r w:rsidR="007D460D" w:rsidRPr="001D57AE">
        <w:rPr>
          <w:szCs w:val="22"/>
        </w:rPr>
        <w:t>.</w:t>
      </w:r>
      <w:r w:rsidR="009713D9" w:rsidRPr="001D57AE">
        <w:rPr>
          <w:szCs w:val="22"/>
        </w:rPr>
        <w:t xml:space="preserve"> </w:t>
      </w:r>
      <w:r w:rsidR="00BD7CA1" w:rsidRPr="001D57AE">
        <w:rPr>
          <w:szCs w:val="22"/>
        </w:rPr>
        <w:t>The ACPM</w:t>
      </w:r>
      <w:r w:rsidR="00D31798" w:rsidRPr="001D57AE">
        <w:rPr>
          <w:szCs w:val="22"/>
        </w:rPr>
        <w:t xml:space="preserve"> indicated that the requirement of an additional clinical trial by the FDA was based on regulatory requirements in the US as opposed to concerns about efficacy or safety.</w:t>
      </w:r>
    </w:p>
    <w:p w:rsidR="00BB7EC3" w:rsidRPr="00882085" w:rsidRDefault="00BB7EC3" w:rsidP="009B0F67">
      <w:pPr>
        <w:jc w:val="both"/>
        <w:rPr>
          <w:szCs w:val="22"/>
        </w:rPr>
      </w:pPr>
    </w:p>
    <w:p w:rsidR="005A3173" w:rsidRPr="00882085" w:rsidRDefault="005A3173" w:rsidP="00A62E6C">
      <w:pPr>
        <w:pStyle w:val="Heading2"/>
        <w:rPr>
          <w:b w:val="0"/>
          <w:i w:val="0"/>
        </w:rPr>
      </w:pPr>
      <w:r w:rsidRPr="00882085">
        <w:t>Comparative effectiveness</w:t>
      </w:r>
    </w:p>
    <w:p w:rsidR="005A3173" w:rsidRPr="00882085" w:rsidRDefault="005A3173" w:rsidP="00882085">
      <w:pPr>
        <w:jc w:val="both"/>
        <w:rPr>
          <w:szCs w:val="22"/>
        </w:rPr>
      </w:pPr>
    </w:p>
    <w:p w:rsidR="00105147" w:rsidRPr="00105147" w:rsidRDefault="00A3467D" w:rsidP="00105147">
      <w:pPr>
        <w:pStyle w:val="ListParagraph"/>
        <w:numPr>
          <w:ilvl w:val="1"/>
          <w:numId w:val="2"/>
        </w:numPr>
        <w:jc w:val="both"/>
        <w:rPr>
          <w:szCs w:val="22"/>
        </w:rPr>
      </w:pPr>
      <w:r w:rsidRPr="00105147">
        <w:rPr>
          <w:szCs w:val="22"/>
        </w:rPr>
        <w:t>T</w:t>
      </w:r>
      <w:r w:rsidR="00471E93">
        <w:rPr>
          <w:szCs w:val="22"/>
        </w:rPr>
        <w:t>he</w:t>
      </w:r>
      <w:r w:rsidRPr="00105147">
        <w:rPr>
          <w:szCs w:val="22"/>
        </w:rPr>
        <w:t xml:space="preserve"> results </w:t>
      </w:r>
      <w:r w:rsidR="005B3741">
        <w:rPr>
          <w:szCs w:val="22"/>
        </w:rPr>
        <w:t>of</w:t>
      </w:r>
      <w:r w:rsidRPr="00105147">
        <w:rPr>
          <w:szCs w:val="22"/>
        </w:rPr>
        <w:t xml:space="preserve"> </w:t>
      </w:r>
      <w:r w:rsidR="00105147">
        <w:rPr>
          <w:szCs w:val="22"/>
        </w:rPr>
        <w:t>AUC</w:t>
      </w:r>
      <w:r w:rsidR="00105147" w:rsidRPr="003F3626">
        <w:rPr>
          <w:szCs w:val="22"/>
          <w:vertAlign w:val="subscript"/>
        </w:rPr>
        <w:t xml:space="preserve">0-192 </w:t>
      </w:r>
      <w:r w:rsidR="00EE2E32">
        <w:rPr>
          <w:szCs w:val="22"/>
        </w:rPr>
        <w:t>(</w:t>
      </w:r>
      <w:r w:rsidR="00EE2E32" w:rsidRPr="00105147">
        <w:rPr>
          <w:szCs w:val="22"/>
        </w:rPr>
        <w:t xml:space="preserve">the </w:t>
      </w:r>
      <w:r w:rsidR="00EE2E32">
        <w:rPr>
          <w:szCs w:val="22"/>
        </w:rPr>
        <w:t xml:space="preserve">primary outcome) </w:t>
      </w:r>
      <w:r w:rsidR="00105147">
        <w:rPr>
          <w:szCs w:val="22"/>
        </w:rPr>
        <w:t>and C</w:t>
      </w:r>
      <w:r w:rsidR="00105147" w:rsidRPr="003F3626">
        <w:rPr>
          <w:szCs w:val="22"/>
          <w:vertAlign w:val="subscript"/>
        </w:rPr>
        <w:t>max</w:t>
      </w:r>
      <w:r w:rsidR="00105147">
        <w:rPr>
          <w:szCs w:val="22"/>
        </w:rPr>
        <w:t xml:space="preserve"> </w:t>
      </w:r>
      <w:r w:rsidR="005B3741">
        <w:rPr>
          <w:szCs w:val="22"/>
        </w:rPr>
        <w:t xml:space="preserve">reported in FIN1001 </w:t>
      </w:r>
      <w:r w:rsidR="00105147">
        <w:rPr>
          <w:szCs w:val="22"/>
        </w:rPr>
        <w:t xml:space="preserve">are </w:t>
      </w:r>
      <w:r w:rsidR="004E681A">
        <w:rPr>
          <w:szCs w:val="22"/>
        </w:rPr>
        <w:t xml:space="preserve">presented </w:t>
      </w:r>
      <w:r w:rsidR="00105147">
        <w:rPr>
          <w:szCs w:val="22"/>
        </w:rPr>
        <w:t xml:space="preserve">in Table </w:t>
      </w:r>
      <w:r w:rsidR="004819A0">
        <w:rPr>
          <w:szCs w:val="22"/>
        </w:rPr>
        <w:t>4</w:t>
      </w:r>
      <w:r w:rsidR="00105147">
        <w:rPr>
          <w:szCs w:val="22"/>
        </w:rPr>
        <w:t xml:space="preserve">. </w:t>
      </w:r>
    </w:p>
    <w:p w:rsidR="009B0F67" w:rsidRDefault="009B0F67" w:rsidP="009B0F67">
      <w:pPr>
        <w:pStyle w:val="ListParagraph"/>
        <w:ind w:left="709"/>
        <w:jc w:val="both"/>
        <w:rPr>
          <w:szCs w:val="22"/>
        </w:rPr>
      </w:pPr>
    </w:p>
    <w:p w:rsidR="00105147" w:rsidRPr="00A3467D" w:rsidRDefault="00105147" w:rsidP="001B0885">
      <w:pPr>
        <w:pStyle w:val="Tablename"/>
        <w:keepNext/>
        <w:rPr>
          <w:rFonts w:eastAsiaTheme="minorHAnsi"/>
          <w:lang w:eastAsia="en-US"/>
        </w:rPr>
      </w:pPr>
      <w:bookmarkStart w:id="0" w:name="_Ref436141436"/>
      <w:bookmarkStart w:id="1" w:name="_Toc438116909"/>
      <w:r w:rsidRPr="00A3467D">
        <w:rPr>
          <w:rFonts w:eastAsiaTheme="minorHAnsi"/>
          <w:lang w:eastAsia="en-US"/>
        </w:rPr>
        <w:t xml:space="preserve">Table </w:t>
      </w:r>
      <w:r w:rsidR="004819A0">
        <w:rPr>
          <w:rFonts w:eastAsiaTheme="minorHAnsi"/>
          <w:lang w:eastAsia="en-US"/>
        </w:rPr>
        <w:t>4</w:t>
      </w:r>
      <w:r w:rsidR="003F3626">
        <w:rPr>
          <w:rFonts w:eastAsiaTheme="minorHAnsi"/>
          <w:lang w:eastAsia="en-US"/>
        </w:rPr>
        <w:t xml:space="preserve">: </w:t>
      </w:r>
      <w:bookmarkEnd w:id="0"/>
      <w:r w:rsidR="003F3626">
        <w:rPr>
          <w:rFonts w:eastAsiaTheme="minorHAnsi"/>
          <w:lang w:eastAsia="en-US"/>
        </w:rPr>
        <w:t>Results of AUC</w:t>
      </w:r>
      <w:r w:rsidR="003F3626" w:rsidRPr="008655DE">
        <w:rPr>
          <w:rFonts w:eastAsiaTheme="minorHAnsi"/>
          <w:vertAlign w:val="subscript"/>
          <w:lang w:eastAsia="en-US"/>
        </w:rPr>
        <w:t>0-192</w:t>
      </w:r>
      <w:r w:rsidR="003F3626">
        <w:rPr>
          <w:rFonts w:eastAsiaTheme="minorHAnsi"/>
          <w:lang w:eastAsia="en-US"/>
        </w:rPr>
        <w:t xml:space="preserve"> and C</w:t>
      </w:r>
      <w:r w:rsidR="003F3626" w:rsidRPr="008655DE">
        <w:rPr>
          <w:rFonts w:eastAsiaTheme="minorHAnsi"/>
          <w:vertAlign w:val="subscript"/>
          <w:lang w:eastAsia="en-US"/>
        </w:rPr>
        <w:t>max</w:t>
      </w:r>
      <w:r w:rsidR="003F3626">
        <w:rPr>
          <w:rFonts w:eastAsiaTheme="minorHAnsi"/>
          <w:lang w:eastAsia="en-US"/>
        </w:rPr>
        <w:t xml:space="preserve"> in FIN1001,</w:t>
      </w:r>
      <w:r w:rsidRPr="00A3467D">
        <w:rPr>
          <w:rFonts w:eastAsiaTheme="minorHAnsi"/>
          <w:lang w:eastAsia="en-US"/>
        </w:rPr>
        <w:t xml:space="preserve"> PP</w:t>
      </w:r>
      <w:bookmarkEnd w:id="1"/>
      <w:r w:rsidR="00A615D2">
        <w:rPr>
          <w:rFonts w:eastAsiaTheme="minorHAnsi"/>
          <w:lang w:eastAsia="en-US"/>
        </w:rPr>
        <w:t xml:space="preserve"> and </w:t>
      </w:r>
      <w:r w:rsidR="003F3626">
        <w:rPr>
          <w:rFonts w:eastAsiaTheme="minorHAnsi"/>
          <w:lang w:eastAsia="en-US"/>
        </w:rPr>
        <w:t>mITT population</w:t>
      </w:r>
      <w:r w:rsidR="00A615D2">
        <w:rPr>
          <w:rFonts w:eastAsiaTheme="minorHAnsi"/>
          <w:lang w:eastAsia="en-US"/>
        </w:rPr>
        <w:t>s</w:t>
      </w:r>
      <w:r w:rsidR="00A615D2" w:rsidRPr="00A615D2">
        <w:rPr>
          <w:rFonts w:eastAsiaTheme="minorHAnsi"/>
          <w:vertAlign w:val="superscript"/>
          <w:lang w:eastAsia="en-US"/>
        </w:rPr>
        <w:t>a</w:t>
      </w:r>
    </w:p>
    <w:tbl>
      <w:tblPr>
        <w:tblStyle w:val="Summarybox1"/>
        <w:tblW w:w="0" w:type="auto"/>
        <w:tblInd w:w="720" w:type="dxa"/>
        <w:shd w:val="clear" w:color="auto" w:fill="FFFFFF" w:themeFill="background1"/>
        <w:tblLook w:val="04A0" w:firstRow="1" w:lastRow="0" w:firstColumn="1" w:lastColumn="0" w:noHBand="0" w:noVBand="1"/>
        <w:tblCaption w:val="Table 4: Results of AUC0-192 and Cmax in FIN1001, PP and mITT populationsa"/>
      </w:tblPr>
      <w:tblGrid>
        <w:gridCol w:w="1262"/>
        <w:gridCol w:w="1413"/>
        <w:gridCol w:w="1430"/>
        <w:gridCol w:w="1452"/>
        <w:gridCol w:w="2739"/>
      </w:tblGrid>
      <w:tr w:rsidR="007A4CB6" w:rsidRPr="003F3626" w:rsidTr="00002A96">
        <w:trPr>
          <w:tblHeader/>
        </w:trPr>
        <w:tc>
          <w:tcPr>
            <w:tcW w:w="1262" w:type="dxa"/>
            <w:vMerge w:val="restart"/>
            <w:shd w:val="clear" w:color="auto" w:fill="FFFFFF" w:themeFill="background1"/>
            <w:vAlign w:val="center"/>
          </w:tcPr>
          <w:p w:rsidR="007A4CB6" w:rsidRPr="003F3626" w:rsidRDefault="007A4CB6" w:rsidP="001B0885">
            <w:pPr>
              <w:keepNext/>
              <w:rPr>
                <w:rFonts w:ascii="Arial Narrow" w:hAnsi="Arial Narrow"/>
                <w:b/>
                <w:sz w:val="20"/>
                <w:szCs w:val="22"/>
              </w:rPr>
            </w:pPr>
            <w:r>
              <w:rPr>
                <w:rFonts w:ascii="Arial Narrow" w:hAnsi="Arial Narrow"/>
                <w:b/>
                <w:sz w:val="20"/>
                <w:szCs w:val="22"/>
              </w:rPr>
              <w:t>P</w:t>
            </w:r>
            <w:r w:rsidRPr="003F3626">
              <w:rPr>
                <w:rFonts w:ascii="Arial Narrow" w:hAnsi="Arial Narrow"/>
                <w:b/>
                <w:sz w:val="20"/>
                <w:szCs w:val="22"/>
              </w:rPr>
              <w:t>arameter</w:t>
            </w:r>
          </w:p>
        </w:tc>
        <w:tc>
          <w:tcPr>
            <w:tcW w:w="2843" w:type="dxa"/>
            <w:gridSpan w:val="2"/>
            <w:shd w:val="clear" w:color="auto" w:fill="FFFFFF" w:themeFill="background1"/>
          </w:tcPr>
          <w:p w:rsidR="007A4CB6" w:rsidRDefault="007A4CB6" w:rsidP="001B0885">
            <w:pPr>
              <w:keepNext/>
              <w:jc w:val="center"/>
              <w:rPr>
                <w:rFonts w:ascii="Arial Narrow" w:hAnsi="Arial Narrow"/>
                <w:b/>
                <w:sz w:val="20"/>
                <w:szCs w:val="22"/>
              </w:rPr>
            </w:pPr>
            <w:r>
              <w:rPr>
                <w:rFonts w:ascii="Arial Narrow" w:hAnsi="Arial Narrow"/>
                <w:b/>
                <w:sz w:val="20"/>
                <w:szCs w:val="22"/>
              </w:rPr>
              <w:t>Geometric means</w:t>
            </w:r>
          </w:p>
        </w:tc>
        <w:tc>
          <w:tcPr>
            <w:tcW w:w="4191" w:type="dxa"/>
            <w:gridSpan w:val="2"/>
            <w:shd w:val="clear" w:color="auto" w:fill="FFFFFF" w:themeFill="background1"/>
            <w:vAlign w:val="center"/>
          </w:tcPr>
          <w:p w:rsidR="007A4CB6" w:rsidRPr="0006429C" w:rsidRDefault="007A4CB6" w:rsidP="001B0885">
            <w:pPr>
              <w:keepNext/>
              <w:jc w:val="center"/>
              <w:rPr>
                <w:rFonts w:ascii="Arial Narrow" w:hAnsi="Arial Narrow"/>
                <w:b/>
                <w:sz w:val="20"/>
                <w:szCs w:val="22"/>
              </w:rPr>
            </w:pPr>
            <w:r>
              <w:rPr>
                <w:rFonts w:ascii="Arial Narrow" w:hAnsi="Arial Narrow"/>
                <w:b/>
                <w:sz w:val="20"/>
                <w:szCs w:val="22"/>
              </w:rPr>
              <w:t>Ratio of geometric mean (</w:t>
            </w:r>
            <w:r w:rsidRPr="0006429C">
              <w:rPr>
                <w:rFonts w:ascii="Arial Narrow" w:hAnsi="Arial Narrow"/>
                <w:b/>
                <w:sz w:val="20"/>
                <w:szCs w:val="22"/>
              </w:rPr>
              <w:t>Bemfola</w:t>
            </w:r>
            <w:r w:rsidRPr="0006429C">
              <w:rPr>
                <w:rFonts w:ascii="Arial Narrow" w:hAnsi="Arial Narrow"/>
                <w:b/>
                <w:sz w:val="20"/>
                <w:szCs w:val="22"/>
                <w:vertAlign w:val="superscript"/>
              </w:rPr>
              <w:t>®</w:t>
            </w:r>
            <w:r>
              <w:rPr>
                <w:rFonts w:ascii="Arial Narrow" w:hAnsi="Arial Narrow"/>
                <w:b/>
                <w:sz w:val="20"/>
                <w:szCs w:val="22"/>
              </w:rPr>
              <w:t xml:space="preserve"> </w:t>
            </w:r>
            <w:r>
              <w:rPr>
                <w:rFonts w:ascii="Arial Narrow" w:hAnsi="Arial Narrow"/>
                <w:b/>
                <w:i/>
                <w:sz w:val="20"/>
                <w:szCs w:val="22"/>
              </w:rPr>
              <w:t xml:space="preserve">vs </w:t>
            </w:r>
            <w:r w:rsidRPr="0006429C">
              <w:rPr>
                <w:rFonts w:ascii="Arial Narrow" w:hAnsi="Arial Narrow"/>
                <w:b/>
                <w:sz w:val="20"/>
                <w:szCs w:val="22"/>
              </w:rPr>
              <w:t>Gonal-f</w:t>
            </w:r>
            <w:r w:rsidRPr="0006429C">
              <w:rPr>
                <w:rFonts w:ascii="Arial Narrow" w:hAnsi="Arial Narrow"/>
                <w:b/>
                <w:sz w:val="20"/>
                <w:szCs w:val="22"/>
                <w:vertAlign w:val="superscript"/>
              </w:rPr>
              <w:t>®</w:t>
            </w:r>
            <w:r>
              <w:rPr>
                <w:rFonts w:ascii="Arial Narrow" w:hAnsi="Arial Narrow"/>
                <w:b/>
                <w:sz w:val="20"/>
                <w:szCs w:val="22"/>
              </w:rPr>
              <w:t>)</w:t>
            </w:r>
            <w:r w:rsidR="00C134D1" w:rsidRPr="00C134D1">
              <w:rPr>
                <w:rFonts w:ascii="Arial Narrow" w:hAnsi="Arial Narrow"/>
                <w:b/>
                <w:sz w:val="20"/>
                <w:szCs w:val="22"/>
                <w:vertAlign w:val="superscript"/>
              </w:rPr>
              <w:t>b</w:t>
            </w:r>
          </w:p>
        </w:tc>
      </w:tr>
      <w:tr w:rsidR="00AD16B2" w:rsidRPr="003F3626" w:rsidTr="00002A96">
        <w:trPr>
          <w:tblHeader/>
        </w:trPr>
        <w:tc>
          <w:tcPr>
            <w:tcW w:w="1262" w:type="dxa"/>
            <w:vMerge/>
            <w:shd w:val="clear" w:color="auto" w:fill="FFFFFF" w:themeFill="background1"/>
          </w:tcPr>
          <w:p w:rsidR="00AD16B2" w:rsidRPr="003F3626" w:rsidRDefault="00AD16B2" w:rsidP="001B0885">
            <w:pPr>
              <w:keepNext/>
              <w:jc w:val="both"/>
              <w:rPr>
                <w:rFonts w:ascii="Arial Narrow" w:hAnsi="Arial Narrow"/>
                <w:b/>
                <w:sz w:val="20"/>
                <w:szCs w:val="22"/>
              </w:rPr>
            </w:pPr>
          </w:p>
        </w:tc>
        <w:tc>
          <w:tcPr>
            <w:tcW w:w="1413" w:type="dxa"/>
            <w:shd w:val="clear" w:color="auto" w:fill="FFFFFF" w:themeFill="background1"/>
          </w:tcPr>
          <w:p w:rsidR="00AD16B2" w:rsidRPr="003F3626" w:rsidRDefault="00AD16B2" w:rsidP="001B0885">
            <w:pPr>
              <w:keepNext/>
              <w:jc w:val="center"/>
              <w:rPr>
                <w:rFonts w:ascii="Arial Narrow" w:hAnsi="Arial Narrow"/>
                <w:b/>
                <w:sz w:val="20"/>
                <w:szCs w:val="22"/>
              </w:rPr>
            </w:pPr>
            <w:r w:rsidRPr="007A4CB6">
              <w:rPr>
                <w:rFonts w:ascii="Arial Narrow" w:hAnsi="Arial Narrow"/>
                <w:b/>
                <w:sz w:val="20"/>
                <w:szCs w:val="22"/>
              </w:rPr>
              <w:t>Bemfola</w:t>
            </w:r>
            <w:r w:rsidRPr="007A4CB6">
              <w:rPr>
                <w:rFonts w:ascii="Arial Narrow" w:hAnsi="Arial Narrow"/>
                <w:b/>
                <w:sz w:val="20"/>
                <w:szCs w:val="22"/>
                <w:vertAlign w:val="superscript"/>
              </w:rPr>
              <w:t>®</w:t>
            </w:r>
          </w:p>
        </w:tc>
        <w:tc>
          <w:tcPr>
            <w:tcW w:w="1430" w:type="dxa"/>
            <w:shd w:val="clear" w:color="auto" w:fill="FFFFFF" w:themeFill="background1"/>
          </w:tcPr>
          <w:p w:rsidR="00AD16B2" w:rsidRPr="003F3626" w:rsidRDefault="00AD16B2" w:rsidP="001B0885">
            <w:pPr>
              <w:keepNext/>
              <w:jc w:val="center"/>
              <w:rPr>
                <w:rFonts w:ascii="Arial Narrow" w:hAnsi="Arial Narrow"/>
                <w:b/>
                <w:sz w:val="20"/>
                <w:szCs w:val="22"/>
              </w:rPr>
            </w:pPr>
            <w:r w:rsidRPr="007A4CB6">
              <w:rPr>
                <w:rFonts w:ascii="Arial Narrow" w:hAnsi="Arial Narrow"/>
                <w:b/>
                <w:sz w:val="20"/>
                <w:szCs w:val="22"/>
              </w:rPr>
              <w:t>Gonal-f</w:t>
            </w:r>
            <w:r w:rsidRPr="007A4CB6">
              <w:rPr>
                <w:rFonts w:ascii="Arial Narrow" w:hAnsi="Arial Narrow"/>
                <w:b/>
                <w:sz w:val="20"/>
                <w:szCs w:val="22"/>
                <w:vertAlign w:val="superscript"/>
              </w:rPr>
              <w:t>®</w:t>
            </w:r>
          </w:p>
        </w:tc>
        <w:tc>
          <w:tcPr>
            <w:tcW w:w="1452" w:type="dxa"/>
            <w:shd w:val="clear" w:color="auto" w:fill="FFFFFF" w:themeFill="background1"/>
          </w:tcPr>
          <w:p w:rsidR="00AD16B2" w:rsidRPr="003F3626" w:rsidRDefault="00AD16B2" w:rsidP="001B0885">
            <w:pPr>
              <w:keepNext/>
              <w:jc w:val="center"/>
              <w:rPr>
                <w:rFonts w:ascii="Arial Narrow" w:hAnsi="Arial Narrow"/>
                <w:b/>
                <w:sz w:val="20"/>
                <w:szCs w:val="22"/>
              </w:rPr>
            </w:pPr>
            <w:r w:rsidRPr="003F3626">
              <w:rPr>
                <w:rFonts w:ascii="Arial Narrow" w:hAnsi="Arial Narrow"/>
                <w:b/>
                <w:sz w:val="20"/>
                <w:szCs w:val="22"/>
              </w:rPr>
              <w:t>Point estimate</w:t>
            </w:r>
          </w:p>
        </w:tc>
        <w:tc>
          <w:tcPr>
            <w:tcW w:w="2739" w:type="dxa"/>
            <w:shd w:val="clear" w:color="auto" w:fill="FFFFFF" w:themeFill="background1"/>
            <w:vAlign w:val="center"/>
          </w:tcPr>
          <w:p w:rsidR="00AD16B2" w:rsidRPr="003F3626" w:rsidRDefault="00AD16B2" w:rsidP="001B0885">
            <w:pPr>
              <w:keepNext/>
              <w:jc w:val="center"/>
              <w:rPr>
                <w:rFonts w:ascii="Arial Narrow" w:hAnsi="Arial Narrow"/>
                <w:b/>
                <w:sz w:val="20"/>
                <w:szCs w:val="22"/>
              </w:rPr>
            </w:pPr>
            <w:r>
              <w:rPr>
                <w:rFonts w:ascii="Arial Narrow" w:hAnsi="Arial Narrow"/>
                <w:b/>
                <w:sz w:val="20"/>
                <w:szCs w:val="22"/>
              </w:rPr>
              <w:t>90%</w:t>
            </w:r>
            <w:r w:rsidR="00490F87">
              <w:rPr>
                <w:rFonts w:ascii="Arial Narrow" w:hAnsi="Arial Narrow"/>
                <w:b/>
                <w:sz w:val="20"/>
                <w:szCs w:val="22"/>
              </w:rPr>
              <w:t xml:space="preserve"> </w:t>
            </w:r>
            <w:r w:rsidR="004F2093">
              <w:rPr>
                <w:rFonts w:ascii="Arial Narrow" w:hAnsi="Arial Narrow"/>
                <w:b/>
                <w:sz w:val="20"/>
                <w:szCs w:val="22"/>
              </w:rPr>
              <w:t>CI</w:t>
            </w:r>
          </w:p>
        </w:tc>
      </w:tr>
      <w:tr w:rsidR="00490F87" w:rsidRPr="003F3626" w:rsidTr="00520C77">
        <w:tc>
          <w:tcPr>
            <w:tcW w:w="1262" w:type="dxa"/>
            <w:shd w:val="clear" w:color="auto" w:fill="FFFFFF" w:themeFill="background1"/>
          </w:tcPr>
          <w:p w:rsidR="00490F87" w:rsidRPr="003F3626" w:rsidRDefault="00490F87" w:rsidP="001B0885">
            <w:pPr>
              <w:keepNext/>
              <w:jc w:val="both"/>
              <w:rPr>
                <w:rFonts w:ascii="Arial Narrow" w:hAnsi="Arial Narrow"/>
                <w:sz w:val="20"/>
                <w:szCs w:val="22"/>
              </w:rPr>
            </w:pPr>
            <w:r w:rsidRPr="003F3626">
              <w:rPr>
                <w:rFonts w:ascii="Arial Narrow" w:hAnsi="Arial Narrow"/>
                <w:sz w:val="20"/>
                <w:szCs w:val="22"/>
              </w:rPr>
              <w:t>AUC</w:t>
            </w:r>
            <w:r w:rsidRPr="003F3626">
              <w:rPr>
                <w:rFonts w:ascii="Arial Narrow" w:hAnsi="Arial Narrow"/>
                <w:sz w:val="20"/>
                <w:szCs w:val="22"/>
                <w:vertAlign w:val="subscript"/>
              </w:rPr>
              <w:t>0-192</w:t>
            </w:r>
          </w:p>
        </w:tc>
        <w:tc>
          <w:tcPr>
            <w:tcW w:w="1413" w:type="dxa"/>
            <w:shd w:val="clear" w:color="auto" w:fill="FFFFFF" w:themeFill="background1"/>
          </w:tcPr>
          <w:p w:rsidR="00490F87" w:rsidRPr="003F3626" w:rsidRDefault="00490F87" w:rsidP="001B0885">
            <w:pPr>
              <w:keepNext/>
              <w:jc w:val="center"/>
              <w:rPr>
                <w:rFonts w:ascii="Arial Narrow" w:hAnsi="Arial Narrow"/>
                <w:sz w:val="20"/>
                <w:szCs w:val="22"/>
              </w:rPr>
            </w:pPr>
            <w:r>
              <w:rPr>
                <w:rFonts w:ascii="Arial Narrow" w:hAnsi="Arial Narrow"/>
                <w:sz w:val="20"/>
                <w:szCs w:val="22"/>
              </w:rPr>
              <w:t>424.9mIU.h/mL</w:t>
            </w:r>
          </w:p>
        </w:tc>
        <w:tc>
          <w:tcPr>
            <w:tcW w:w="1430" w:type="dxa"/>
            <w:shd w:val="clear" w:color="auto" w:fill="FFFFFF" w:themeFill="background1"/>
          </w:tcPr>
          <w:p w:rsidR="00490F87" w:rsidRPr="003F3626" w:rsidRDefault="00490F87" w:rsidP="001B0885">
            <w:pPr>
              <w:keepNext/>
              <w:jc w:val="center"/>
              <w:rPr>
                <w:rFonts w:ascii="Arial Narrow" w:hAnsi="Arial Narrow"/>
                <w:sz w:val="20"/>
                <w:szCs w:val="22"/>
              </w:rPr>
            </w:pPr>
            <w:r>
              <w:rPr>
                <w:rFonts w:ascii="Arial Narrow" w:hAnsi="Arial Narrow"/>
                <w:sz w:val="20"/>
                <w:szCs w:val="22"/>
              </w:rPr>
              <w:t>432.7mIU.h/mL</w:t>
            </w:r>
          </w:p>
        </w:tc>
        <w:tc>
          <w:tcPr>
            <w:tcW w:w="1452" w:type="dxa"/>
            <w:shd w:val="clear" w:color="auto" w:fill="FFFFFF" w:themeFill="background1"/>
            <w:vAlign w:val="center"/>
          </w:tcPr>
          <w:p w:rsidR="00490F87" w:rsidRPr="003F3626" w:rsidRDefault="00490F87" w:rsidP="001B0885">
            <w:pPr>
              <w:keepNext/>
              <w:jc w:val="center"/>
              <w:rPr>
                <w:rFonts w:ascii="Arial Narrow" w:hAnsi="Arial Narrow"/>
                <w:sz w:val="20"/>
                <w:szCs w:val="22"/>
              </w:rPr>
            </w:pPr>
            <w:r w:rsidRPr="003F3626">
              <w:rPr>
                <w:rFonts w:ascii="Arial Narrow" w:hAnsi="Arial Narrow"/>
                <w:sz w:val="20"/>
                <w:szCs w:val="22"/>
              </w:rPr>
              <w:t>98.2</w:t>
            </w:r>
            <w:r>
              <w:rPr>
                <w:rFonts w:ascii="Arial Narrow" w:hAnsi="Arial Narrow"/>
                <w:sz w:val="20"/>
                <w:szCs w:val="22"/>
              </w:rPr>
              <w:t>%</w:t>
            </w:r>
          </w:p>
        </w:tc>
        <w:tc>
          <w:tcPr>
            <w:tcW w:w="2739" w:type="dxa"/>
            <w:shd w:val="clear" w:color="auto" w:fill="FFFFFF" w:themeFill="background1"/>
            <w:vAlign w:val="center"/>
          </w:tcPr>
          <w:p w:rsidR="00490F87" w:rsidRPr="003F3626" w:rsidRDefault="00490F87" w:rsidP="001B0885">
            <w:pPr>
              <w:keepNext/>
              <w:jc w:val="center"/>
              <w:rPr>
                <w:rFonts w:ascii="Arial Narrow" w:hAnsi="Arial Narrow"/>
                <w:sz w:val="20"/>
                <w:szCs w:val="22"/>
              </w:rPr>
            </w:pPr>
            <w:r>
              <w:rPr>
                <w:rFonts w:ascii="Arial Narrow" w:hAnsi="Arial Narrow"/>
                <w:sz w:val="20"/>
                <w:szCs w:val="22"/>
              </w:rPr>
              <w:t>[</w:t>
            </w:r>
            <w:r w:rsidRPr="003F3626">
              <w:rPr>
                <w:rFonts w:ascii="Arial Narrow" w:hAnsi="Arial Narrow"/>
                <w:sz w:val="20"/>
                <w:szCs w:val="22"/>
              </w:rPr>
              <w:t>84.7</w:t>
            </w:r>
            <w:r>
              <w:rPr>
                <w:rFonts w:ascii="Arial Narrow" w:hAnsi="Arial Narrow"/>
                <w:sz w:val="20"/>
                <w:szCs w:val="22"/>
              </w:rPr>
              <w:t xml:space="preserve">%, </w:t>
            </w:r>
            <w:r w:rsidRPr="003F3626">
              <w:rPr>
                <w:rFonts w:ascii="Arial Narrow" w:hAnsi="Arial Narrow"/>
                <w:sz w:val="20"/>
                <w:szCs w:val="22"/>
              </w:rPr>
              <w:t>113.9</w:t>
            </w:r>
            <w:r>
              <w:rPr>
                <w:rFonts w:ascii="Arial Narrow" w:hAnsi="Arial Narrow"/>
                <w:sz w:val="20"/>
                <w:szCs w:val="22"/>
              </w:rPr>
              <w:t>%]</w:t>
            </w:r>
          </w:p>
        </w:tc>
      </w:tr>
      <w:tr w:rsidR="00490F87" w:rsidRPr="003F3626" w:rsidTr="00520C77">
        <w:tc>
          <w:tcPr>
            <w:tcW w:w="1262" w:type="dxa"/>
            <w:shd w:val="clear" w:color="auto" w:fill="FFFFFF" w:themeFill="background1"/>
          </w:tcPr>
          <w:p w:rsidR="00490F87" w:rsidRPr="003F3626" w:rsidRDefault="00490F87" w:rsidP="001B0885">
            <w:pPr>
              <w:keepNext/>
              <w:jc w:val="both"/>
              <w:rPr>
                <w:rFonts w:ascii="Arial Narrow" w:hAnsi="Arial Narrow"/>
                <w:sz w:val="20"/>
                <w:szCs w:val="22"/>
              </w:rPr>
            </w:pPr>
            <w:r w:rsidRPr="003F3626">
              <w:rPr>
                <w:rFonts w:ascii="Arial Narrow" w:hAnsi="Arial Narrow"/>
                <w:sz w:val="20"/>
                <w:szCs w:val="22"/>
              </w:rPr>
              <w:t>C</w:t>
            </w:r>
            <w:r w:rsidRPr="003F3626">
              <w:rPr>
                <w:rFonts w:ascii="Arial Narrow" w:hAnsi="Arial Narrow"/>
                <w:sz w:val="20"/>
                <w:szCs w:val="22"/>
                <w:vertAlign w:val="subscript"/>
              </w:rPr>
              <w:t>max</w:t>
            </w:r>
          </w:p>
        </w:tc>
        <w:tc>
          <w:tcPr>
            <w:tcW w:w="1413" w:type="dxa"/>
            <w:shd w:val="clear" w:color="auto" w:fill="FFFFFF" w:themeFill="background1"/>
          </w:tcPr>
          <w:p w:rsidR="00490F87" w:rsidRPr="003F3626" w:rsidRDefault="00490F87" w:rsidP="001B0885">
            <w:pPr>
              <w:keepNext/>
              <w:jc w:val="center"/>
              <w:rPr>
                <w:rFonts w:ascii="Arial Narrow" w:hAnsi="Arial Narrow"/>
                <w:sz w:val="20"/>
                <w:szCs w:val="22"/>
              </w:rPr>
            </w:pPr>
            <w:r>
              <w:rPr>
                <w:rFonts w:ascii="Arial Narrow" w:hAnsi="Arial Narrow"/>
                <w:sz w:val="20"/>
                <w:szCs w:val="22"/>
              </w:rPr>
              <w:t>5.69mIU/mL</w:t>
            </w:r>
          </w:p>
        </w:tc>
        <w:tc>
          <w:tcPr>
            <w:tcW w:w="1430" w:type="dxa"/>
            <w:shd w:val="clear" w:color="auto" w:fill="FFFFFF" w:themeFill="background1"/>
          </w:tcPr>
          <w:p w:rsidR="00490F87" w:rsidRPr="003F3626" w:rsidRDefault="00490F87" w:rsidP="001B0885">
            <w:pPr>
              <w:keepNext/>
              <w:jc w:val="center"/>
              <w:rPr>
                <w:rFonts w:ascii="Arial Narrow" w:hAnsi="Arial Narrow"/>
                <w:sz w:val="20"/>
                <w:szCs w:val="22"/>
              </w:rPr>
            </w:pPr>
            <w:r>
              <w:rPr>
                <w:rFonts w:ascii="Arial Narrow" w:hAnsi="Arial Narrow"/>
                <w:sz w:val="20"/>
                <w:szCs w:val="22"/>
              </w:rPr>
              <w:t>6.01mIU/mL</w:t>
            </w:r>
          </w:p>
        </w:tc>
        <w:tc>
          <w:tcPr>
            <w:tcW w:w="1452" w:type="dxa"/>
            <w:shd w:val="clear" w:color="auto" w:fill="FFFFFF" w:themeFill="background1"/>
            <w:vAlign w:val="center"/>
          </w:tcPr>
          <w:p w:rsidR="00490F87" w:rsidRPr="003F3626" w:rsidRDefault="00490F87" w:rsidP="001B0885">
            <w:pPr>
              <w:keepNext/>
              <w:jc w:val="center"/>
              <w:rPr>
                <w:rFonts w:ascii="Arial Narrow" w:hAnsi="Arial Narrow"/>
                <w:sz w:val="20"/>
                <w:szCs w:val="22"/>
              </w:rPr>
            </w:pPr>
            <w:r w:rsidRPr="003F3626">
              <w:rPr>
                <w:rFonts w:ascii="Arial Narrow" w:hAnsi="Arial Narrow"/>
                <w:sz w:val="20"/>
                <w:szCs w:val="22"/>
              </w:rPr>
              <w:t>94.7</w:t>
            </w:r>
            <w:r>
              <w:rPr>
                <w:rFonts w:ascii="Arial Narrow" w:hAnsi="Arial Narrow"/>
                <w:sz w:val="20"/>
                <w:szCs w:val="22"/>
              </w:rPr>
              <w:t>%</w:t>
            </w:r>
          </w:p>
        </w:tc>
        <w:tc>
          <w:tcPr>
            <w:tcW w:w="2739" w:type="dxa"/>
            <w:shd w:val="clear" w:color="auto" w:fill="FFFFFF" w:themeFill="background1"/>
            <w:vAlign w:val="center"/>
          </w:tcPr>
          <w:p w:rsidR="00490F87" w:rsidRPr="003F3626" w:rsidRDefault="00490F87" w:rsidP="001B0885">
            <w:pPr>
              <w:keepNext/>
              <w:jc w:val="center"/>
              <w:rPr>
                <w:rFonts w:ascii="Arial Narrow" w:hAnsi="Arial Narrow"/>
                <w:sz w:val="20"/>
                <w:szCs w:val="22"/>
              </w:rPr>
            </w:pPr>
            <w:r>
              <w:rPr>
                <w:rFonts w:ascii="Arial Narrow" w:hAnsi="Arial Narrow"/>
                <w:sz w:val="20"/>
                <w:szCs w:val="22"/>
              </w:rPr>
              <w:t>[</w:t>
            </w:r>
            <w:r w:rsidRPr="003F3626">
              <w:rPr>
                <w:rFonts w:ascii="Arial Narrow" w:hAnsi="Arial Narrow"/>
                <w:sz w:val="20"/>
                <w:szCs w:val="22"/>
              </w:rPr>
              <w:t>89.2</w:t>
            </w:r>
            <w:r>
              <w:rPr>
                <w:rFonts w:ascii="Arial Narrow" w:hAnsi="Arial Narrow"/>
                <w:sz w:val="20"/>
                <w:szCs w:val="22"/>
              </w:rPr>
              <w:t>%, 100.6%]</w:t>
            </w:r>
          </w:p>
        </w:tc>
      </w:tr>
    </w:tbl>
    <w:p w:rsidR="008655DE" w:rsidRDefault="008655DE" w:rsidP="001B0885">
      <w:pPr>
        <w:pStyle w:val="tablenotes"/>
        <w:keepNext/>
        <w:ind w:left="720"/>
        <w:rPr>
          <w:rFonts w:eastAsiaTheme="minorHAnsi"/>
        </w:rPr>
      </w:pPr>
      <w:r w:rsidRPr="008655DE">
        <w:rPr>
          <w:rFonts w:eastAsiaTheme="minorHAnsi"/>
        </w:rPr>
        <w:t>AUC</w:t>
      </w:r>
      <w:r w:rsidRPr="005B3741">
        <w:rPr>
          <w:rFonts w:eastAsiaTheme="minorHAnsi"/>
          <w:vertAlign w:val="subscript"/>
        </w:rPr>
        <w:t>0-192</w:t>
      </w:r>
      <w:r w:rsidRPr="008655DE">
        <w:rPr>
          <w:rFonts w:eastAsiaTheme="minorHAnsi"/>
        </w:rPr>
        <w:t xml:space="preserve"> = area under curve from 0 to 192 hours; </w:t>
      </w:r>
      <w:r w:rsidR="004F2093">
        <w:rPr>
          <w:rFonts w:eastAsiaTheme="minorHAnsi"/>
        </w:rPr>
        <w:t xml:space="preserve">CI = </w:t>
      </w:r>
      <w:r w:rsidR="004F2093" w:rsidRPr="004F2093">
        <w:rPr>
          <w:rFonts w:eastAsiaTheme="minorHAnsi"/>
        </w:rPr>
        <w:t>confidence interval</w:t>
      </w:r>
      <w:r w:rsidR="004F2093">
        <w:rPr>
          <w:rFonts w:eastAsiaTheme="minorHAnsi"/>
        </w:rPr>
        <w:t xml:space="preserve">; </w:t>
      </w:r>
      <w:r>
        <w:rPr>
          <w:rFonts w:eastAsiaTheme="minorHAnsi"/>
        </w:rPr>
        <w:t>C</w:t>
      </w:r>
      <w:r w:rsidRPr="003D11C9">
        <w:rPr>
          <w:rFonts w:eastAsiaTheme="minorHAnsi"/>
          <w:vertAlign w:val="subscript"/>
        </w:rPr>
        <w:t>max</w:t>
      </w:r>
      <w:r>
        <w:rPr>
          <w:rFonts w:eastAsiaTheme="minorHAnsi"/>
        </w:rPr>
        <w:t xml:space="preserve"> = peak serum concentration</w:t>
      </w:r>
      <w:r w:rsidR="00A615D2">
        <w:rPr>
          <w:rFonts w:eastAsiaTheme="minorHAnsi"/>
        </w:rPr>
        <w:t xml:space="preserve">; </w:t>
      </w:r>
      <w:r w:rsidR="00176D6B">
        <w:rPr>
          <w:rFonts w:eastAsiaTheme="minorHAnsi"/>
        </w:rPr>
        <w:t>m</w:t>
      </w:r>
      <w:r w:rsidR="00A615D2">
        <w:rPr>
          <w:rFonts w:eastAsiaTheme="minorHAnsi"/>
        </w:rPr>
        <w:t xml:space="preserve">ITT = </w:t>
      </w:r>
      <w:r w:rsidR="00176D6B">
        <w:rPr>
          <w:rFonts w:eastAsiaTheme="minorHAnsi"/>
        </w:rPr>
        <w:t xml:space="preserve">modified </w:t>
      </w:r>
      <w:r w:rsidR="00A615D2">
        <w:rPr>
          <w:rFonts w:eastAsiaTheme="minorHAnsi"/>
        </w:rPr>
        <w:t>intention-to-treat</w:t>
      </w:r>
      <w:r w:rsidR="00310988">
        <w:rPr>
          <w:rFonts w:eastAsiaTheme="minorHAnsi"/>
        </w:rPr>
        <w:t>; PP = per protocol</w:t>
      </w:r>
    </w:p>
    <w:p w:rsidR="00A615D2" w:rsidRDefault="00A615D2" w:rsidP="001B0885">
      <w:pPr>
        <w:pStyle w:val="tablenotes"/>
        <w:keepNext/>
        <w:ind w:left="720"/>
        <w:rPr>
          <w:rFonts w:eastAsiaTheme="minorHAnsi"/>
        </w:rPr>
      </w:pPr>
      <w:r w:rsidRPr="00A615D2">
        <w:rPr>
          <w:rFonts w:eastAsiaTheme="minorHAnsi"/>
          <w:vertAlign w:val="superscript"/>
        </w:rPr>
        <w:t>a</w:t>
      </w:r>
      <w:r>
        <w:rPr>
          <w:rFonts w:eastAsiaTheme="minorHAnsi"/>
        </w:rPr>
        <w:t xml:space="preserve"> Both </w:t>
      </w:r>
      <w:r w:rsidR="00C134D1">
        <w:rPr>
          <w:rFonts w:eastAsiaTheme="minorHAnsi"/>
        </w:rPr>
        <w:t>N</w:t>
      </w:r>
      <w:r>
        <w:rPr>
          <w:rFonts w:eastAsiaTheme="minorHAnsi"/>
        </w:rPr>
        <w:t>=23.</w:t>
      </w:r>
    </w:p>
    <w:p w:rsidR="00C134D1" w:rsidRDefault="00C134D1" w:rsidP="001B0885">
      <w:pPr>
        <w:pStyle w:val="tablenotes"/>
        <w:keepNext/>
        <w:ind w:left="720"/>
        <w:rPr>
          <w:rFonts w:eastAsiaTheme="minorHAnsi"/>
        </w:rPr>
      </w:pPr>
      <w:r w:rsidRPr="00C134D1">
        <w:rPr>
          <w:rFonts w:eastAsiaTheme="minorHAnsi"/>
          <w:vertAlign w:val="superscript"/>
        </w:rPr>
        <w:t>b</w:t>
      </w:r>
      <w:r>
        <w:rPr>
          <w:rFonts w:eastAsiaTheme="minorHAnsi"/>
        </w:rPr>
        <w:t xml:space="preserve"> Using </w:t>
      </w:r>
      <w:r w:rsidRPr="00C134D1">
        <w:rPr>
          <w:rFonts w:eastAsiaTheme="minorHAnsi"/>
        </w:rPr>
        <w:t xml:space="preserve">a method equivalent to fitting an analysis of variance </w:t>
      </w:r>
      <w:r>
        <w:rPr>
          <w:rFonts w:eastAsiaTheme="minorHAnsi"/>
        </w:rPr>
        <w:t>to the primary endpoint</w:t>
      </w:r>
      <w:r w:rsidRPr="00C134D1">
        <w:rPr>
          <w:rFonts w:eastAsiaTheme="minorHAnsi"/>
        </w:rPr>
        <w:t>, where the factors formulation, period, sequence and subject nested within the sequence were used to explain the overall variability in the observations</w:t>
      </w:r>
    </w:p>
    <w:p w:rsidR="00105147" w:rsidRPr="0006429C" w:rsidRDefault="00105147" w:rsidP="00EF3E6E">
      <w:pPr>
        <w:pStyle w:val="tablenotes"/>
        <w:ind w:left="720"/>
        <w:rPr>
          <w:rFonts w:eastAsiaTheme="minorHAnsi"/>
        </w:rPr>
      </w:pPr>
      <w:r w:rsidRPr="0006429C">
        <w:rPr>
          <w:rFonts w:eastAsiaTheme="minorHAnsi"/>
        </w:rPr>
        <w:t xml:space="preserve">Source: </w:t>
      </w:r>
      <w:r w:rsidR="0006429C" w:rsidRPr="0006429C">
        <w:rPr>
          <w:rFonts w:eastAsiaTheme="minorHAnsi"/>
        </w:rPr>
        <w:t>Table 2-6, p24 of the minor submission</w:t>
      </w:r>
    </w:p>
    <w:p w:rsidR="00105147" w:rsidRPr="0006429C" w:rsidRDefault="00105147" w:rsidP="009B0F67">
      <w:pPr>
        <w:pStyle w:val="ListParagraph"/>
        <w:ind w:left="709"/>
        <w:jc w:val="both"/>
        <w:rPr>
          <w:szCs w:val="22"/>
        </w:rPr>
      </w:pPr>
    </w:p>
    <w:p w:rsidR="00A3467D" w:rsidRPr="001D57AE" w:rsidRDefault="00937421" w:rsidP="009713D9">
      <w:pPr>
        <w:pStyle w:val="ListParagraph"/>
        <w:numPr>
          <w:ilvl w:val="1"/>
          <w:numId w:val="2"/>
        </w:numPr>
        <w:jc w:val="both"/>
        <w:rPr>
          <w:szCs w:val="22"/>
        </w:rPr>
      </w:pPr>
      <w:r w:rsidRPr="001D57AE">
        <w:rPr>
          <w:szCs w:val="22"/>
        </w:rPr>
        <w:t xml:space="preserve">In FIN1001, </w:t>
      </w:r>
      <w:r w:rsidR="00490F87" w:rsidRPr="001D57AE">
        <w:rPr>
          <w:szCs w:val="22"/>
        </w:rPr>
        <w:t xml:space="preserve">the </w:t>
      </w:r>
      <w:r w:rsidR="003D11C9" w:rsidRPr="001D57AE">
        <w:rPr>
          <w:szCs w:val="22"/>
        </w:rPr>
        <w:t>per protocol (</w:t>
      </w:r>
      <w:r w:rsidRPr="001D57AE">
        <w:rPr>
          <w:szCs w:val="22"/>
        </w:rPr>
        <w:t>PP</w:t>
      </w:r>
      <w:r w:rsidR="003D11C9" w:rsidRPr="001D57AE">
        <w:rPr>
          <w:szCs w:val="22"/>
        </w:rPr>
        <w:t>)</w:t>
      </w:r>
      <w:r w:rsidRPr="001D57AE">
        <w:rPr>
          <w:szCs w:val="22"/>
        </w:rPr>
        <w:t xml:space="preserve"> and </w:t>
      </w:r>
      <w:r w:rsidR="003D11C9" w:rsidRPr="001D57AE">
        <w:rPr>
          <w:szCs w:val="22"/>
        </w:rPr>
        <w:t>modified intention-to-treat (</w:t>
      </w:r>
      <w:r w:rsidR="004D4380" w:rsidRPr="001D57AE">
        <w:rPr>
          <w:szCs w:val="22"/>
        </w:rPr>
        <w:t>m</w:t>
      </w:r>
      <w:r w:rsidRPr="001D57AE">
        <w:rPr>
          <w:szCs w:val="22"/>
        </w:rPr>
        <w:t>ITT</w:t>
      </w:r>
      <w:r w:rsidR="003D11C9" w:rsidRPr="001D57AE">
        <w:rPr>
          <w:szCs w:val="22"/>
        </w:rPr>
        <w:t>)</w:t>
      </w:r>
      <w:r w:rsidRPr="001D57AE">
        <w:rPr>
          <w:szCs w:val="22"/>
        </w:rPr>
        <w:t xml:space="preserve"> analysis sets were identical</w:t>
      </w:r>
      <w:r w:rsidR="00EF4F97" w:rsidRPr="001D57AE">
        <w:rPr>
          <w:szCs w:val="22"/>
        </w:rPr>
        <w:t>. Each set</w:t>
      </w:r>
      <w:r w:rsidRPr="001D57AE">
        <w:rPr>
          <w:szCs w:val="22"/>
        </w:rPr>
        <w:t xml:space="preserve"> exclud</w:t>
      </w:r>
      <w:r w:rsidR="00EF4F97" w:rsidRPr="001D57AE">
        <w:rPr>
          <w:szCs w:val="22"/>
        </w:rPr>
        <w:t>ed</w:t>
      </w:r>
      <w:r w:rsidRPr="001D57AE">
        <w:rPr>
          <w:szCs w:val="22"/>
        </w:rPr>
        <w:t xml:space="preserve"> two (8%) randomised patients from </w:t>
      </w:r>
      <w:r w:rsidR="00EF4F97" w:rsidRPr="001D57AE">
        <w:rPr>
          <w:szCs w:val="22"/>
        </w:rPr>
        <w:t xml:space="preserve">the </w:t>
      </w:r>
      <w:r w:rsidRPr="001D57AE">
        <w:rPr>
          <w:szCs w:val="22"/>
        </w:rPr>
        <w:t xml:space="preserve">pharmacokinetic analysis (1 not receiving treatment and 1 discontinuing treatment due to abnormal ultrasound scan). </w:t>
      </w:r>
      <w:r w:rsidR="00425C72" w:rsidRPr="001D57AE">
        <w:rPr>
          <w:szCs w:val="22"/>
        </w:rPr>
        <w:t>AUC</w:t>
      </w:r>
      <w:r w:rsidR="00490F87" w:rsidRPr="001D57AE">
        <w:rPr>
          <w:szCs w:val="22"/>
          <w:vertAlign w:val="subscript"/>
        </w:rPr>
        <w:t>0</w:t>
      </w:r>
      <w:r w:rsidR="00425C72" w:rsidRPr="001D57AE">
        <w:rPr>
          <w:szCs w:val="22"/>
          <w:vertAlign w:val="subscript"/>
        </w:rPr>
        <w:t>-192</w:t>
      </w:r>
      <w:r w:rsidR="00425C72" w:rsidRPr="001D57AE">
        <w:rPr>
          <w:szCs w:val="22"/>
        </w:rPr>
        <w:t xml:space="preserve"> </w:t>
      </w:r>
      <w:r w:rsidR="00490F87" w:rsidRPr="001D57AE">
        <w:rPr>
          <w:szCs w:val="22"/>
        </w:rPr>
        <w:t>and C</w:t>
      </w:r>
      <w:r w:rsidR="00490F87" w:rsidRPr="001D57AE">
        <w:rPr>
          <w:szCs w:val="22"/>
          <w:vertAlign w:val="subscript"/>
        </w:rPr>
        <w:t>max</w:t>
      </w:r>
      <w:r w:rsidR="00490F87" w:rsidRPr="001D57AE">
        <w:rPr>
          <w:szCs w:val="22"/>
        </w:rPr>
        <w:t xml:space="preserve"> </w:t>
      </w:r>
      <w:r w:rsidR="00425C72" w:rsidRPr="001D57AE">
        <w:rPr>
          <w:szCs w:val="22"/>
        </w:rPr>
        <w:t xml:space="preserve">following application of Bemfola was </w:t>
      </w:r>
      <w:r w:rsidR="00490F87" w:rsidRPr="001D57AE">
        <w:rPr>
          <w:szCs w:val="22"/>
        </w:rPr>
        <w:t xml:space="preserve">numerically </w:t>
      </w:r>
      <w:r w:rsidR="00425C72" w:rsidRPr="001D57AE">
        <w:rPr>
          <w:szCs w:val="22"/>
        </w:rPr>
        <w:t xml:space="preserve">lower than </w:t>
      </w:r>
      <w:r w:rsidR="00EF4F97" w:rsidRPr="001D57AE">
        <w:rPr>
          <w:szCs w:val="22"/>
        </w:rPr>
        <w:t>when</w:t>
      </w:r>
      <w:r w:rsidRPr="001D57AE">
        <w:rPr>
          <w:szCs w:val="22"/>
        </w:rPr>
        <w:t xml:space="preserve"> Gonal-f </w:t>
      </w:r>
      <w:r w:rsidR="00EF4F97" w:rsidRPr="001D57AE">
        <w:rPr>
          <w:szCs w:val="22"/>
        </w:rPr>
        <w:t xml:space="preserve">was used </w:t>
      </w:r>
      <w:r w:rsidRPr="001D57AE">
        <w:rPr>
          <w:szCs w:val="22"/>
        </w:rPr>
        <w:t>(424.9mIU.h/mL vs 432.7mIU.h/mL</w:t>
      </w:r>
      <w:r w:rsidR="00490F87" w:rsidRPr="001D57AE">
        <w:rPr>
          <w:szCs w:val="22"/>
        </w:rPr>
        <w:t xml:space="preserve">; </w:t>
      </w:r>
      <w:r w:rsidRPr="001D57AE">
        <w:rPr>
          <w:szCs w:val="22"/>
        </w:rPr>
        <w:t xml:space="preserve">5.69mIU/mL vs 6.01mIU/mL). </w:t>
      </w:r>
      <w:r w:rsidR="009B0272" w:rsidRPr="001D57AE">
        <w:rPr>
          <w:szCs w:val="22"/>
        </w:rPr>
        <w:t>T</w:t>
      </w:r>
      <w:r w:rsidR="00425C72" w:rsidRPr="001D57AE">
        <w:rPr>
          <w:szCs w:val="22"/>
        </w:rPr>
        <w:t xml:space="preserve">he 90% </w:t>
      </w:r>
      <w:r w:rsidR="009B0272" w:rsidRPr="001D57AE">
        <w:rPr>
          <w:szCs w:val="22"/>
        </w:rPr>
        <w:t>CI</w:t>
      </w:r>
      <w:r w:rsidR="00425C72" w:rsidRPr="001D57AE">
        <w:rPr>
          <w:szCs w:val="22"/>
        </w:rPr>
        <w:t xml:space="preserve"> ranged from 0.85 to 1.14 </w:t>
      </w:r>
      <w:r w:rsidR="00490F87" w:rsidRPr="001D57AE">
        <w:rPr>
          <w:szCs w:val="22"/>
        </w:rPr>
        <w:t>for AUC</w:t>
      </w:r>
      <w:r w:rsidR="00490F87" w:rsidRPr="001D57AE">
        <w:rPr>
          <w:szCs w:val="22"/>
          <w:vertAlign w:val="subscript"/>
        </w:rPr>
        <w:t xml:space="preserve">0-192 </w:t>
      </w:r>
      <w:r w:rsidR="00425C72" w:rsidRPr="001D57AE">
        <w:rPr>
          <w:szCs w:val="22"/>
        </w:rPr>
        <w:t>and from 0.89 to 1.01</w:t>
      </w:r>
      <w:r w:rsidR="00490F87" w:rsidRPr="001D57AE">
        <w:rPr>
          <w:szCs w:val="22"/>
        </w:rPr>
        <w:t xml:space="preserve"> for C</w:t>
      </w:r>
      <w:r w:rsidR="00490F87" w:rsidRPr="001D57AE">
        <w:rPr>
          <w:szCs w:val="22"/>
          <w:vertAlign w:val="subscript"/>
        </w:rPr>
        <w:t>max</w:t>
      </w:r>
      <w:r w:rsidR="009B0272" w:rsidRPr="001D57AE">
        <w:rPr>
          <w:szCs w:val="22"/>
        </w:rPr>
        <w:t xml:space="preserve">, both </w:t>
      </w:r>
      <w:r w:rsidR="00EF4F97" w:rsidRPr="001D57AE">
        <w:rPr>
          <w:szCs w:val="22"/>
        </w:rPr>
        <w:t xml:space="preserve">were </w:t>
      </w:r>
      <w:r w:rsidR="009B0272" w:rsidRPr="001D57AE">
        <w:rPr>
          <w:szCs w:val="22"/>
        </w:rPr>
        <w:t xml:space="preserve">within the pre-specified equivalence interval of 0.80-1.25. </w:t>
      </w:r>
      <w:r w:rsidR="00D638C5" w:rsidRPr="001D57AE">
        <w:rPr>
          <w:szCs w:val="22"/>
        </w:rPr>
        <w:t xml:space="preserve">The </w:t>
      </w:r>
      <w:r w:rsidR="001A5CF2" w:rsidRPr="001D57AE">
        <w:rPr>
          <w:szCs w:val="22"/>
        </w:rPr>
        <w:t xml:space="preserve">minor </w:t>
      </w:r>
      <w:r w:rsidR="00D638C5" w:rsidRPr="001D57AE">
        <w:rPr>
          <w:szCs w:val="22"/>
        </w:rPr>
        <w:t>submission indicated that n</w:t>
      </w:r>
      <w:r w:rsidR="00A937D8" w:rsidRPr="001D57AE">
        <w:rPr>
          <w:szCs w:val="22"/>
        </w:rPr>
        <w:t>o significant differences were observed for other pharmacokinetic parameters</w:t>
      </w:r>
      <w:r w:rsidR="00D638C5" w:rsidRPr="001D57AE">
        <w:rPr>
          <w:szCs w:val="22"/>
        </w:rPr>
        <w:t xml:space="preserve">, </w:t>
      </w:r>
      <w:r w:rsidR="00A937D8" w:rsidRPr="001D57AE">
        <w:rPr>
          <w:szCs w:val="22"/>
        </w:rPr>
        <w:t xml:space="preserve">eg </w:t>
      </w:r>
      <w:r w:rsidR="00591836" w:rsidRPr="001D57AE">
        <w:t>time to peak serum concentration</w:t>
      </w:r>
      <w:r w:rsidR="00591836" w:rsidRPr="001D57AE">
        <w:rPr>
          <w:szCs w:val="22"/>
        </w:rPr>
        <w:t xml:space="preserve"> (</w:t>
      </w:r>
      <w:r w:rsidR="00A937D8" w:rsidRPr="001D57AE">
        <w:rPr>
          <w:szCs w:val="22"/>
        </w:rPr>
        <w:t>T</w:t>
      </w:r>
      <w:r w:rsidR="00A937D8" w:rsidRPr="001D57AE">
        <w:rPr>
          <w:szCs w:val="22"/>
          <w:vertAlign w:val="subscript"/>
        </w:rPr>
        <w:t>max</w:t>
      </w:r>
      <w:r w:rsidR="00591836" w:rsidRPr="001D57AE">
        <w:rPr>
          <w:szCs w:val="22"/>
        </w:rPr>
        <w:t>)</w:t>
      </w:r>
      <w:r w:rsidR="00D638C5" w:rsidRPr="001D57AE">
        <w:rPr>
          <w:szCs w:val="22"/>
          <w:vertAlign w:val="subscript"/>
        </w:rPr>
        <w:t xml:space="preserve"> </w:t>
      </w:r>
      <w:r w:rsidR="00D638C5" w:rsidRPr="001D57AE">
        <w:rPr>
          <w:szCs w:val="22"/>
        </w:rPr>
        <w:t>and</w:t>
      </w:r>
      <w:r w:rsidR="00D638C5" w:rsidRPr="001D57AE">
        <w:rPr>
          <w:szCs w:val="22"/>
          <w:vertAlign w:val="subscript"/>
        </w:rPr>
        <w:t xml:space="preserve"> </w:t>
      </w:r>
      <w:r w:rsidR="00591836" w:rsidRPr="001D57AE">
        <w:rPr>
          <w:szCs w:val="22"/>
        </w:rPr>
        <w:t>elimination half-life</w:t>
      </w:r>
      <w:r w:rsidR="00591836" w:rsidRPr="001D57AE">
        <w:rPr>
          <w:szCs w:val="22"/>
          <w:vertAlign w:val="subscript"/>
        </w:rPr>
        <w:t xml:space="preserve"> </w:t>
      </w:r>
      <w:r w:rsidR="00591836" w:rsidRPr="001D57AE">
        <w:rPr>
          <w:szCs w:val="22"/>
        </w:rPr>
        <w:t>(</w:t>
      </w:r>
      <w:r w:rsidR="00A937D8" w:rsidRPr="001D57AE">
        <w:rPr>
          <w:szCs w:val="22"/>
        </w:rPr>
        <w:t>t</w:t>
      </w:r>
      <w:r w:rsidR="00A937D8" w:rsidRPr="001D57AE">
        <w:rPr>
          <w:szCs w:val="22"/>
          <w:vertAlign w:val="subscript"/>
        </w:rPr>
        <w:t>1/2</w:t>
      </w:r>
      <w:r w:rsidR="00591836" w:rsidRPr="001D57AE">
        <w:rPr>
          <w:szCs w:val="22"/>
        </w:rPr>
        <w:t>)</w:t>
      </w:r>
      <w:r w:rsidR="00A937D8" w:rsidRPr="001D57AE">
        <w:rPr>
          <w:szCs w:val="22"/>
        </w:rPr>
        <w:t xml:space="preserve">. </w:t>
      </w:r>
      <w:r w:rsidR="00B70C6E" w:rsidRPr="001D57AE">
        <w:rPr>
          <w:szCs w:val="22"/>
        </w:rPr>
        <w:t xml:space="preserve">The large gap </w:t>
      </w:r>
      <w:r w:rsidR="00FD042F" w:rsidRPr="001D57AE">
        <w:rPr>
          <w:szCs w:val="22"/>
        </w:rPr>
        <w:t xml:space="preserve">between measurements of </w:t>
      </w:r>
      <w:r w:rsidR="00591836" w:rsidRPr="001D57AE">
        <w:rPr>
          <w:szCs w:val="22"/>
        </w:rPr>
        <w:t>follitropin alfa co</w:t>
      </w:r>
      <w:r w:rsidR="00FD042F" w:rsidRPr="001D57AE">
        <w:rPr>
          <w:szCs w:val="22"/>
        </w:rPr>
        <w:t xml:space="preserve">ncentration </w:t>
      </w:r>
      <w:r w:rsidR="00365341" w:rsidRPr="001D57AE">
        <w:rPr>
          <w:szCs w:val="22"/>
        </w:rPr>
        <w:t>around T</w:t>
      </w:r>
      <w:r w:rsidR="00365341" w:rsidRPr="001D57AE">
        <w:rPr>
          <w:szCs w:val="22"/>
          <w:vertAlign w:val="subscript"/>
        </w:rPr>
        <w:t>max</w:t>
      </w:r>
      <w:r w:rsidR="00365341" w:rsidRPr="001D57AE">
        <w:rPr>
          <w:szCs w:val="22"/>
        </w:rPr>
        <w:t xml:space="preserve"> </w:t>
      </w:r>
      <w:r w:rsidR="00EF4F97" w:rsidRPr="001D57AE">
        <w:rPr>
          <w:szCs w:val="22"/>
        </w:rPr>
        <w:t xml:space="preserve">was </w:t>
      </w:r>
      <w:r w:rsidR="009713D9" w:rsidRPr="001D57AE">
        <w:rPr>
          <w:szCs w:val="22"/>
        </w:rPr>
        <w:t xml:space="preserve">noted </w:t>
      </w:r>
      <w:r w:rsidR="00EF4F97" w:rsidRPr="001D57AE">
        <w:rPr>
          <w:szCs w:val="22"/>
        </w:rPr>
        <w:t>in</w:t>
      </w:r>
      <w:r w:rsidR="009713D9" w:rsidRPr="001D57AE">
        <w:rPr>
          <w:szCs w:val="22"/>
        </w:rPr>
        <w:t xml:space="preserve"> the </w:t>
      </w:r>
      <w:r w:rsidR="00EF4F97" w:rsidRPr="001D57AE">
        <w:rPr>
          <w:szCs w:val="22"/>
        </w:rPr>
        <w:t xml:space="preserve">TGA </w:t>
      </w:r>
      <w:r w:rsidR="009713D9" w:rsidRPr="001D57AE">
        <w:rPr>
          <w:szCs w:val="22"/>
        </w:rPr>
        <w:t>Delegate Overview</w:t>
      </w:r>
      <w:r w:rsidR="00EF4F97" w:rsidRPr="001D57AE">
        <w:rPr>
          <w:szCs w:val="22"/>
        </w:rPr>
        <w:t xml:space="preserve"> but overall the </w:t>
      </w:r>
      <w:r w:rsidR="009713D9" w:rsidRPr="001D57AE">
        <w:rPr>
          <w:szCs w:val="22"/>
        </w:rPr>
        <w:t>TGA accept</w:t>
      </w:r>
      <w:r w:rsidR="00EF4F97" w:rsidRPr="001D57AE">
        <w:rPr>
          <w:szCs w:val="22"/>
        </w:rPr>
        <w:t>ed</w:t>
      </w:r>
      <w:r w:rsidR="009713D9" w:rsidRPr="001D57AE">
        <w:rPr>
          <w:szCs w:val="22"/>
        </w:rPr>
        <w:t xml:space="preserve"> th</w:t>
      </w:r>
      <w:r w:rsidR="00EF4F97" w:rsidRPr="001D57AE">
        <w:rPr>
          <w:szCs w:val="22"/>
        </w:rPr>
        <w:t>at there was</w:t>
      </w:r>
      <w:r w:rsidR="009713D9" w:rsidRPr="001D57AE">
        <w:rPr>
          <w:szCs w:val="22"/>
        </w:rPr>
        <w:t xml:space="preserve"> bioequivalence between Bemfola and Gonal-f.</w:t>
      </w:r>
    </w:p>
    <w:p w:rsidR="00EA31DC" w:rsidRPr="001D57AE" w:rsidRDefault="00EA31DC" w:rsidP="00EA31DC">
      <w:pPr>
        <w:pStyle w:val="ListParagraph"/>
        <w:jc w:val="both"/>
        <w:rPr>
          <w:szCs w:val="22"/>
        </w:rPr>
      </w:pPr>
    </w:p>
    <w:p w:rsidR="00EA31DC" w:rsidRPr="001D57AE" w:rsidRDefault="007D0A96" w:rsidP="007D0A96">
      <w:pPr>
        <w:pStyle w:val="ListParagraph"/>
        <w:numPr>
          <w:ilvl w:val="1"/>
          <w:numId w:val="2"/>
        </w:numPr>
        <w:jc w:val="both"/>
        <w:rPr>
          <w:szCs w:val="22"/>
        </w:rPr>
      </w:pPr>
      <w:r w:rsidRPr="001D57AE">
        <w:rPr>
          <w:szCs w:val="22"/>
        </w:rPr>
        <w:t>R</w:t>
      </w:r>
      <w:r w:rsidR="00EA31DC" w:rsidRPr="001D57AE">
        <w:rPr>
          <w:szCs w:val="22"/>
        </w:rPr>
        <w:t xml:space="preserve">esults of </w:t>
      </w:r>
      <w:r w:rsidR="00471E93" w:rsidRPr="001D57AE">
        <w:rPr>
          <w:szCs w:val="22"/>
        </w:rPr>
        <w:t xml:space="preserve">the </w:t>
      </w:r>
      <w:r w:rsidR="00EE2E32" w:rsidRPr="001D57AE">
        <w:rPr>
          <w:szCs w:val="22"/>
        </w:rPr>
        <w:t xml:space="preserve">number of oocytes retrieved, </w:t>
      </w:r>
      <w:r w:rsidR="00EA31DC" w:rsidRPr="001D57AE">
        <w:rPr>
          <w:szCs w:val="22"/>
        </w:rPr>
        <w:t xml:space="preserve">the primary endpoint, </w:t>
      </w:r>
      <w:r w:rsidR="00EE2E32" w:rsidRPr="001D57AE">
        <w:rPr>
          <w:szCs w:val="22"/>
        </w:rPr>
        <w:t>from</w:t>
      </w:r>
      <w:r w:rsidR="00EA31DC" w:rsidRPr="001D57AE">
        <w:rPr>
          <w:szCs w:val="22"/>
        </w:rPr>
        <w:t xml:space="preserve"> Trial FIN3001</w:t>
      </w:r>
      <w:r w:rsidRPr="001D57AE">
        <w:rPr>
          <w:szCs w:val="22"/>
        </w:rPr>
        <w:t xml:space="preserve"> are presented in Table </w:t>
      </w:r>
      <w:r w:rsidR="004819A0" w:rsidRPr="001D57AE">
        <w:rPr>
          <w:szCs w:val="22"/>
        </w:rPr>
        <w:t>5</w:t>
      </w:r>
      <w:r w:rsidR="00EA31DC" w:rsidRPr="001D57AE">
        <w:rPr>
          <w:szCs w:val="22"/>
        </w:rPr>
        <w:t>.</w:t>
      </w:r>
    </w:p>
    <w:p w:rsidR="006C28A0" w:rsidRDefault="006C28A0">
      <w:pPr>
        <w:rPr>
          <w:szCs w:val="22"/>
        </w:rPr>
      </w:pPr>
      <w:r>
        <w:rPr>
          <w:szCs w:val="22"/>
        </w:rPr>
        <w:br w:type="page"/>
      </w:r>
    </w:p>
    <w:p w:rsidR="00A3467D" w:rsidRDefault="00A3467D" w:rsidP="009B0F67">
      <w:pPr>
        <w:pStyle w:val="ListParagraph"/>
        <w:ind w:left="709"/>
        <w:jc w:val="both"/>
        <w:rPr>
          <w:szCs w:val="22"/>
        </w:rPr>
      </w:pPr>
    </w:p>
    <w:p w:rsidR="00A615D2" w:rsidRPr="00A615D2" w:rsidRDefault="00A615D2" w:rsidP="00A615D2">
      <w:pPr>
        <w:pStyle w:val="Tablename"/>
        <w:rPr>
          <w:rFonts w:eastAsiaTheme="minorHAnsi"/>
          <w:lang w:eastAsia="en-US"/>
        </w:rPr>
      </w:pPr>
      <w:bookmarkStart w:id="2" w:name="_Ref436144782"/>
      <w:bookmarkStart w:id="3" w:name="_Toc438116917"/>
      <w:r w:rsidRPr="00A615D2">
        <w:rPr>
          <w:rFonts w:eastAsiaTheme="minorHAnsi"/>
          <w:lang w:eastAsia="en-US"/>
        </w:rPr>
        <w:t xml:space="preserve">Table </w:t>
      </w:r>
      <w:r w:rsidR="004819A0">
        <w:rPr>
          <w:rFonts w:eastAsiaTheme="minorHAnsi"/>
          <w:lang w:eastAsia="en-US"/>
        </w:rPr>
        <w:t>5</w:t>
      </w:r>
      <w:r>
        <w:rPr>
          <w:rFonts w:eastAsiaTheme="minorHAnsi"/>
          <w:lang w:eastAsia="en-US"/>
        </w:rPr>
        <w:t xml:space="preserve">: </w:t>
      </w:r>
      <w:bookmarkEnd w:id="2"/>
      <w:r>
        <w:rPr>
          <w:rFonts w:eastAsiaTheme="minorHAnsi"/>
          <w:lang w:eastAsia="en-US"/>
        </w:rPr>
        <w:t xml:space="preserve">Results of </w:t>
      </w:r>
      <w:r w:rsidR="00471E93">
        <w:rPr>
          <w:rFonts w:eastAsiaTheme="minorHAnsi"/>
          <w:lang w:eastAsia="en-US"/>
        </w:rPr>
        <w:t xml:space="preserve">the </w:t>
      </w:r>
      <w:r>
        <w:rPr>
          <w:rFonts w:eastAsiaTheme="minorHAnsi"/>
          <w:lang w:eastAsia="en-US"/>
        </w:rPr>
        <w:t>n</w:t>
      </w:r>
      <w:r w:rsidRPr="00A615D2">
        <w:rPr>
          <w:rFonts w:eastAsiaTheme="minorHAnsi"/>
          <w:lang w:eastAsia="en-US"/>
        </w:rPr>
        <w:t>umber of oocytes retrieved</w:t>
      </w:r>
      <w:r>
        <w:rPr>
          <w:rFonts w:eastAsiaTheme="minorHAnsi"/>
          <w:lang w:eastAsia="en-US"/>
        </w:rPr>
        <w:t xml:space="preserve"> in FIN3001</w:t>
      </w:r>
      <w:bookmarkEnd w:id="3"/>
      <w:r>
        <w:rPr>
          <w:rFonts w:eastAsiaTheme="minorHAnsi"/>
          <w:lang w:eastAsia="en-US"/>
        </w:rPr>
        <w:t>, PP and mITT populations</w:t>
      </w:r>
    </w:p>
    <w:tbl>
      <w:tblPr>
        <w:tblStyle w:val="Summarybox3"/>
        <w:tblW w:w="4629" w:type="pct"/>
        <w:tblInd w:w="720" w:type="dxa"/>
        <w:tblLook w:val="04A0" w:firstRow="1" w:lastRow="0" w:firstColumn="1" w:lastColumn="0" w:noHBand="0" w:noVBand="1"/>
        <w:tblCaption w:val="Table 5: Results of the number of oocytes retrieved in FIN3001, PP and mITT populations"/>
      </w:tblPr>
      <w:tblGrid>
        <w:gridCol w:w="2274"/>
        <w:gridCol w:w="1489"/>
        <w:gridCol w:w="1453"/>
        <w:gridCol w:w="1742"/>
        <w:gridCol w:w="1598"/>
      </w:tblGrid>
      <w:tr w:rsidR="00925FD1" w:rsidRPr="00A615D2" w:rsidTr="00002A96">
        <w:trPr>
          <w:tblHeader/>
        </w:trPr>
        <w:tc>
          <w:tcPr>
            <w:tcW w:w="1329" w:type="pct"/>
            <w:shd w:val="clear" w:color="auto" w:fill="FFFFFF" w:themeFill="background1"/>
            <w:vAlign w:val="center"/>
          </w:tcPr>
          <w:p w:rsidR="00925FD1" w:rsidRPr="00A615D2" w:rsidRDefault="00925FD1" w:rsidP="00A615D2">
            <w:pPr>
              <w:rPr>
                <w:rFonts w:ascii="Arial Narrow" w:hAnsi="Arial Narrow"/>
                <w:b/>
                <w:sz w:val="20"/>
                <w:szCs w:val="20"/>
              </w:rPr>
            </w:pPr>
          </w:p>
        </w:tc>
        <w:tc>
          <w:tcPr>
            <w:tcW w:w="870" w:type="pct"/>
            <w:shd w:val="clear" w:color="auto" w:fill="FFFFFF" w:themeFill="background1"/>
          </w:tcPr>
          <w:p w:rsidR="00925FD1" w:rsidRPr="00A615D2" w:rsidRDefault="00925FD1" w:rsidP="00925FD1">
            <w:pPr>
              <w:jc w:val="center"/>
              <w:rPr>
                <w:rFonts w:ascii="Arial Narrow" w:hAnsi="Arial Narrow"/>
                <w:b/>
                <w:sz w:val="20"/>
                <w:szCs w:val="20"/>
              </w:rPr>
            </w:pPr>
            <w:r w:rsidRPr="00A615D2">
              <w:rPr>
                <w:rFonts w:ascii="Arial Narrow" w:hAnsi="Arial Narrow"/>
                <w:b/>
                <w:sz w:val="20"/>
                <w:szCs w:val="20"/>
              </w:rPr>
              <w:t>Bemfola</w:t>
            </w:r>
            <w:r w:rsidRPr="00A615D2">
              <w:rPr>
                <w:rFonts w:ascii="Arial Narrow" w:hAnsi="Arial Narrow"/>
                <w:b/>
                <w:sz w:val="20"/>
                <w:szCs w:val="20"/>
                <w:vertAlign w:val="superscript"/>
              </w:rPr>
              <w:t>®</w:t>
            </w:r>
          </w:p>
        </w:tc>
        <w:tc>
          <w:tcPr>
            <w:tcW w:w="849" w:type="pct"/>
            <w:shd w:val="clear" w:color="auto" w:fill="FFFFFF" w:themeFill="background1"/>
          </w:tcPr>
          <w:p w:rsidR="00925FD1" w:rsidRPr="00A615D2" w:rsidRDefault="00925FD1" w:rsidP="00925FD1">
            <w:pPr>
              <w:jc w:val="center"/>
              <w:rPr>
                <w:rFonts w:ascii="Arial Narrow" w:hAnsi="Arial Narrow"/>
                <w:b/>
                <w:sz w:val="20"/>
                <w:szCs w:val="20"/>
              </w:rPr>
            </w:pPr>
            <w:r w:rsidRPr="00A615D2">
              <w:rPr>
                <w:rFonts w:ascii="Arial Narrow" w:hAnsi="Arial Narrow"/>
                <w:b/>
                <w:sz w:val="20"/>
                <w:szCs w:val="20"/>
              </w:rPr>
              <w:t>Gonal-f</w:t>
            </w:r>
            <w:r w:rsidRPr="00A615D2">
              <w:rPr>
                <w:rFonts w:ascii="Arial Narrow" w:hAnsi="Arial Narrow"/>
                <w:b/>
                <w:sz w:val="20"/>
                <w:szCs w:val="20"/>
                <w:vertAlign w:val="superscript"/>
              </w:rPr>
              <w:t>®</w:t>
            </w:r>
          </w:p>
        </w:tc>
        <w:tc>
          <w:tcPr>
            <w:tcW w:w="1018" w:type="pct"/>
            <w:shd w:val="clear" w:color="auto" w:fill="FFFFFF" w:themeFill="background1"/>
          </w:tcPr>
          <w:p w:rsidR="00925FD1" w:rsidRPr="00EB2899" w:rsidRDefault="00EB2899" w:rsidP="00EB2899">
            <w:pPr>
              <w:jc w:val="center"/>
              <w:rPr>
                <w:rFonts w:ascii="Arial Narrow" w:hAnsi="Arial Narrow"/>
                <w:b/>
                <w:sz w:val="20"/>
                <w:szCs w:val="20"/>
              </w:rPr>
            </w:pPr>
            <w:r w:rsidRPr="00EB2899">
              <w:rPr>
                <w:rFonts w:ascii="Arial Narrow" w:hAnsi="Arial Narrow"/>
                <w:b/>
                <w:sz w:val="20"/>
                <w:szCs w:val="20"/>
              </w:rPr>
              <w:t xml:space="preserve">T-test TOST Equivalence Analysis </w:t>
            </w:r>
          </w:p>
        </w:tc>
        <w:tc>
          <w:tcPr>
            <w:tcW w:w="934" w:type="pct"/>
            <w:shd w:val="clear" w:color="auto" w:fill="FFFFFF" w:themeFill="background1"/>
          </w:tcPr>
          <w:p w:rsidR="00925FD1" w:rsidRPr="00EB2899" w:rsidRDefault="00EB2899" w:rsidP="00EB2899">
            <w:pPr>
              <w:jc w:val="center"/>
              <w:rPr>
                <w:rFonts w:ascii="Arial Narrow" w:hAnsi="Arial Narrow"/>
                <w:b/>
                <w:sz w:val="20"/>
                <w:szCs w:val="20"/>
              </w:rPr>
            </w:pPr>
            <w:r w:rsidRPr="00EB2899">
              <w:rPr>
                <w:rFonts w:ascii="Arial Narrow" w:hAnsi="Arial Narrow"/>
                <w:b/>
                <w:sz w:val="20"/>
                <w:szCs w:val="20"/>
              </w:rPr>
              <w:t xml:space="preserve">Equivalence Analysis for non-normal data </w:t>
            </w:r>
          </w:p>
        </w:tc>
      </w:tr>
      <w:tr w:rsidR="00925FD1" w:rsidRPr="00A615D2" w:rsidTr="00EB2899">
        <w:tc>
          <w:tcPr>
            <w:tcW w:w="5000" w:type="pct"/>
            <w:gridSpan w:val="5"/>
          </w:tcPr>
          <w:p w:rsidR="00925FD1" w:rsidRPr="00A615D2" w:rsidRDefault="00925FD1" w:rsidP="00310988">
            <w:pPr>
              <w:rPr>
                <w:rFonts w:ascii="Arial Narrow" w:hAnsi="Arial Narrow"/>
                <w:b/>
                <w:sz w:val="20"/>
                <w:szCs w:val="20"/>
              </w:rPr>
            </w:pPr>
            <w:r w:rsidRPr="00A615D2">
              <w:rPr>
                <w:rFonts w:ascii="Arial Narrow" w:hAnsi="Arial Narrow"/>
                <w:b/>
                <w:sz w:val="20"/>
                <w:szCs w:val="20"/>
              </w:rPr>
              <w:t>PP population</w:t>
            </w:r>
          </w:p>
        </w:tc>
      </w:tr>
      <w:tr w:rsidR="00925FD1" w:rsidRPr="00A615D2" w:rsidTr="00EB2899">
        <w:tc>
          <w:tcPr>
            <w:tcW w:w="1329" w:type="pct"/>
          </w:tcPr>
          <w:p w:rsidR="00925FD1" w:rsidRPr="00310988" w:rsidRDefault="00925FD1" w:rsidP="00722FE8">
            <w:pPr>
              <w:jc w:val="both"/>
              <w:rPr>
                <w:rFonts w:ascii="Arial Narrow" w:hAnsi="Arial Narrow"/>
                <w:sz w:val="20"/>
                <w:szCs w:val="20"/>
              </w:rPr>
            </w:pPr>
            <w:r w:rsidRPr="00310988">
              <w:rPr>
                <w:rFonts w:ascii="Arial Narrow" w:hAnsi="Arial Narrow"/>
                <w:sz w:val="20"/>
                <w:szCs w:val="20"/>
              </w:rPr>
              <w:t>N</w:t>
            </w:r>
          </w:p>
        </w:tc>
        <w:tc>
          <w:tcPr>
            <w:tcW w:w="870" w:type="pct"/>
            <w:vAlign w:val="center"/>
          </w:tcPr>
          <w:p w:rsidR="00925FD1" w:rsidRPr="00310988" w:rsidRDefault="00925FD1" w:rsidP="00722FE8">
            <w:pPr>
              <w:jc w:val="center"/>
              <w:rPr>
                <w:rFonts w:ascii="Arial Narrow" w:hAnsi="Arial Narrow"/>
                <w:sz w:val="20"/>
                <w:szCs w:val="20"/>
              </w:rPr>
            </w:pPr>
            <w:r w:rsidRPr="00A615D2">
              <w:rPr>
                <w:rFonts w:ascii="Arial Narrow" w:hAnsi="Arial Narrow"/>
                <w:sz w:val="20"/>
                <w:szCs w:val="20"/>
              </w:rPr>
              <w:t>N = 243</w:t>
            </w:r>
          </w:p>
        </w:tc>
        <w:tc>
          <w:tcPr>
            <w:tcW w:w="849" w:type="pct"/>
            <w:vAlign w:val="center"/>
          </w:tcPr>
          <w:p w:rsidR="00925FD1" w:rsidRPr="00310988" w:rsidRDefault="00925FD1" w:rsidP="00722FE8">
            <w:pPr>
              <w:jc w:val="center"/>
              <w:rPr>
                <w:rFonts w:ascii="Arial Narrow" w:hAnsi="Arial Narrow"/>
                <w:sz w:val="20"/>
                <w:szCs w:val="20"/>
              </w:rPr>
            </w:pPr>
            <w:r w:rsidRPr="00A615D2">
              <w:rPr>
                <w:rFonts w:ascii="Arial Narrow" w:hAnsi="Arial Narrow"/>
                <w:sz w:val="20"/>
                <w:szCs w:val="20"/>
              </w:rPr>
              <w:t>N = 125</w:t>
            </w:r>
          </w:p>
        </w:tc>
        <w:tc>
          <w:tcPr>
            <w:tcW w:w="1018" w:type="pct"/>
            <w:vMerge w:val="restart"/>
            <w:vAlign w:val="center"/>
          </w:tcPr>
          <w:p w:rsidR="00EB2899" w:rsidRDefault="00EB2899" w:rsidP="00EB2899">
            <w:pPr>
              <w:ind w:right="-57"/>
              <w:jc w:val="center"/>
              <w:rPr>
                <w:rFonts w:ascii="Arial Narrow" w:hAnsi="Arial Narrow"/>
                <w:sz w:val="20"/>
                <w:szCs w:val="20"/>
              </w:rPr>
            </w:pPr>
            <w:r w:rsidRPr="00EB2899">
              <w:rPr>
                <w:rFonts w:ascii="Arial Narrow" w:hAnsi="Arial Narrow"/>
                <w:sz w:val="20"/>
                <w:szCs w:val="20"/>
              </w:rPr>
              <w:t>Difference</w:t>
            </w:r>
            <w:r w:rsidR="003C54BE">
              <w:rPr>
                <w:rFonts w:ascii="Arial Narrow" w:hAnsi="Arial Narrow"/>
                <w:sz w:val="20"/>
                <w:szCs w:val="20"/>
              </w:rPr>
              <w:t xml:space="preserve"> in</w:t>
            </w:r>
            <w:r w:rsidRPr="00EB2899">
              <w:rPr>
                <w:rFonts w:ascii="Arial Narrow" w:hAnsi="Arial Narrow"/>
                <w:sz w:val="20"/>
                <w:szCs w:val="20"/>
              </w:rPr>
              <w:t xml:space="preserve"> mean [95% CI]:</w:t>
            </w:r>
            <w:r>
              <w:rPr>
                <w:rFonts w:ascii="Arial Narrow" w:hAnsi="Arial Narrow"/>
                <w:sz w:val="20"/>
                <w:szCs w:val="20"/>
              </w:rPr>
              <w:t xml:space="preserve"> </w:t>
            </w:r>
            <w:r>
              <w:rPr>
                <w:rFonts w:ascii="Arial Narrow" w:hAnsi="Arial Narrow"/>
                <w:sz w:val="20"/>
                <w:szCs w:val="20"/>
              </w:rPr>
              <w:br/>
              <w:t>0.52 [-0.74, 1.77]</w:t>
            </w:r>
            <w:r w:rsidR="00FB4530" w:rsidRPr="00FB4530">
              <w:rPr>
                <w:rFonts w:ascii="Arial Narrow" w:hAnsi="Arial Narrow"/>
                <w:sz w:val="20"/>
                <w:szCs w:val="20"/>
                <w:vertAlign w:val="superscript"/>
              </w:rPr>
              <w:t>a</w:t>
            </w:r>
            <w:r w:rsidR="00082BEF">
              <w:rPr>
                <w:rFonts w:ascii="Arial Narrow" w:hAnsi="Arial Narrow"/>
                <w:sz w:val="20"/>
                <w:szCs w:val="20"/>
              </w:rPr>
              <w:t>;</w:t>
            </w:r>
          </w:p>
          <w:p w:rsidR="00925FD1" w:rsidRPr="00925FD1" w:rsidRDefault="00EB2899" w:rsidP="00082BEF">
            <w:pPr>
              <w:ind w:right="-57"/>
              <w:jc w:val="center"/>
              <w:rPr>
                <w:rFonts w:ascii="Arial Narrow" w:hAnsi="Arial Narrow"/>
                <w:sz w:val="20"/>
                <w:szCs w:val="20"/>
              </w:rPr>
            </w:pPr>
            <w:r>
              <w:rPr>
                <w:rFonts w:ascii="Arial Narrow" w:hAnsi="Arial Narrow"/>
                <w:sz w:val="20"/>
                <w:szCs w:val="20"/>
              </w:rPr>
              <w:t>p</w:t>
            </w:r>
            <w:r w:rsidR="00082BEF">
              <w:rPr>
                <w:rFonts w:ascii="Arial Narrow" w:hAnsi="Arial Narrow"/>
                <w:sz w:val="20"/>
                <w:szCs w:val="20"/>
              </w:rPr>
              <w:t xml:space="preserve">-value: </w:t>
            </w:r>
            <w:r>
              <w:rPr>
                <w:rFonts w:ascii="Arial Narrow" w:hAnsi="Arial Narrow"/>
                <w:sz w:val="20"/>
                <w:szCs w:val="20"/>
              </w:rPr>
              <w:t>0.0001</w:t>
            </w:r>
            <w:r w:rsidR="00520C77">
              <w:rPr>
                <w:rFonts w:ascii="Arial Narrow" w:hAnsi="Arial Narrow"/>
                <w:sz w:val="20"/>
                <w:szCs w:val="20"/>
                <w:vertAlign w:val="superscript"/>
              </w:rPr>
              <w:t>b</w:t>
            </w:r>
          </w:p>
        </w:tc>
        <w:tc>
          <w:tcPr>
            <w:tcW w:w="934" w:type="pct"/>
            <w:vMerge w:val="restart"/>
            <w:vAlign w:val="center"/>
          </w:tcPr>
          <w:p w:rsidR="00082BEF" w:rsidRDefault="003C54BE" w:rsidP="00925FD1">
            <w:pPr>
              <w:ind w:right="-57"/>
              <w:jc w:val="center"/>
              <w:rPr>
                <w:rFonts w:ascii="Arial Narrow" w:hAnsi="Arial Narrow"/>
                <w:sz w:val="20"/>
                <w:szCs w:val="20"/>
              </w:rPr>
            </w:pPr>
            <w:r>
              <w:rPr>
                <w:rFonts w:ascii="Arial Narrow" w:hAnsi="Arial Narrow"/>
                <w:sz w:val="20"/>
                <w:szCs w:val="20"/>
              </w:rPr>
              <w:t xml:space="preserve">Difference in </w:t>
            </w:r>
            <w:r w:rsidR="00EB2899" w:rsidRPr="00EB2899">
              <w:rPr>
                <w:rFonts w:ascii="Arial Narrow" w:hAnsi="Arial Narrow"/>
                <w:sz w:val="20"/>
                <w:szCs w:val="20"/>
              </w:rPr>
              <w:t xml:space="preserve">mean [95% CI]: </w:t>
            </w:r>
            <w:r w:rsidR="00EB2899">
              <w:rPr>
                <w:rFonts w:ascii="Arial Narrow" w:hAnsi="Arial Narrow"/>
                <w:sz w:val="20"/>
                <w:szCs w:val="20"/>
              </w:rPr>
              <w:br/>
            </w:r>
            <w:r w:rsidR="00EB2899" w:rsidRPr="00A615D2">
              <w:rPr>
                <w:rFonts w:ascii="Arial Narrow" w:hAnsi="Arial Narrow"/>
                <w:sz w:val="20"/>
                <w:szCs w:val="20"/>
              </w:rPr>
              <w:t xml:space="preserve">0.52 </w:t>
            </w:r>
            <w:r w:rsidR="00EB2899">
              <w:rPr>
                <w:rFonts w:ascii="Arial Narrow" w:hAnsi="Arial Narrow"/>
                <w:sz w:val="20"/>
                <w:szCs w:val="20"/>
              </w:rPr>
              <w:t>[-0.81, 1.79]</w:t>
            </w:r>
            <w:r w:rsidR="00520C77">
              <w:rPr>
                <w:rFonts w:ascii="Arial Narrow" w:hAnsi="Arial Narrow"/>
                <w:sz w:val="20"/>
                <w:szCs w:val="20"/>
                <w:vertAlign w:val="superscript"/>
              </w:rPr>
              <w:t>c</w:t>
            </w:r>
            <w:r w:rsidR="00082BEF">
              <w:rPr>
                <w:rFonts w:ascii="Arial Narrow" w:hAnsi="Arial Narrow"/>
                <w:sz w:val="20"/>
                <w:szCs w:val="20"/>
              </w:rPr>
              <w:t xml:space="preserve">; </w:t>
            </w:r>
          </w:p>
          <w:p w:rsidR="00925FD1" w:rsidRDefault="00925FD1" w:rsidP="007A4775">
            <w:pPr>
              <w:ind w:right="-57"/>
              <w:jc w:val="center"/>
              <w:rPr>
                <w:rFonts w:ascii="Arial Narrow" w:hAnsi="Arial Narrow"/>
                <w:sz w:val="20"/>
                <w:szCs w:val="20"/>
              </w:rPr>
            </w:pPr>
            <w:r w:rsidRPr="00DE0F9C">
              <w:rPr>
                <w:rFonts w:ascii="Arial Narrow" w:hAnsi="Arial Narrow"/>
                <w:sz w:val="20"/>
                <w:szCs w:val="20"/>
              </w:rPr>
              <w:t>p</w:t>
            </w:r>
            <w:r w:rsidR="00082BEF">
              <w:rPr>
                <w:rFonts w:ascii="Arial Narrow" w:hAnsi="Arial Narrow"/>
                <w:sz w:val="20"/>
                <w:szCs w:val="20"/>
              </w:rPr>
              <w:t xml:space="preserve">-value: </w:t>
            </w:r>
            <w:r w:rsidRPr="00DE0F9C">
              <w:rPr>
                <w:rFonts w:ascii="Arial Narrow" w:hAnsi="Arial Narrow"/>
                <w:sz w:val="20"/>
                <w:szCs w:val="20"/>
              </w:rPr>
              <w:t>0.00</w:t>
            </w:r>
            <w:r>
              <w:rPr>
                <w:rFonts w:ascii="Arial Narrow" w:hAnsi="Arial Narrow"/>
                <w:sz w:val="20"/>
                <w:szCs w:val="20"/>
              </w:rPr>
              <w:t>09</w:t>
            </w:r>
            <w:r w:rsidR="00FB4530">
              <w:rPr>
                <w:rFonts w:ascii="Arial Narrow" w:hAnsi="Arial Narrow"/>
                <w:sz w:val="20"/>
                <w:szCs w:val="20"/>
                <w:vertAlign w:val="superscript"/>
              </w:rPr>
              <w:t>d</w:t>
            </w:r>
          </w:p>
        </w:tc>
      </w:tr>
      <w:tr w:rsidR="00925FD1" w:rsidRPr="00A615D2" w:rsidTr="00EB2899">
        <w:tc>
          <w:tcPr>
            <w:tcW w:w="1329" w:type="pct"/>
          </w:tcPr>
          <w:p w:rsidR="00925FD1" w:rsidRPr="00A615D2" w:rsidRDefault="00925FD1" w:rsidP="00FD1717">
            <w:pPr>
              <w:jc w:val="both"/>
              <w:rPr>
                <w:rFonts w:ascii="Arial Narrow" w:hAnsi="Arial Narrow"/>
                <w:sz w:val="20"/>
                <w:szCs w:val="20"/>
              </w:rPr>
            </w:pPr>
            <w:r w:rsidRPr="00A615D2">
              <w:rPr>
                <w:rFonts w:ascii="Arial Narrow" w:hAnsi="Arial Narrow"/>
                <w:sz w:val="20"/>
                <w:szCs w:val="20"/>
              </w:rPr>
              <w:t xml:space="preserve">Mean </w:t>
            </w:r>
            <w:r>
              <w:rPr>
                <w:rFonts w:ascii="Arial Narrow" w:hAnsi="Arial Narrow"/>
                <w:sz w:val="20"/>
                <w:szCs w:val="20"/>
              </w:rPr>
              <w:t>(SD)</w:t>
            </w:r>
          </w:p>
        </w:tc>
        <w:tc>
          <w:tcPr>
            <w:tcW w:w="870" w:type="pct"/>
            <w:vAlign w:val="center"/>
          </w:tcPr>
          <w:p w:rsidR="00925FD1" w:rsidRPr="00A615D2" w:rsidRDefault="00925FD1" w:rsidP="00FD1717">
            <w:pPr>
              <w:jc w:val="center"/>
              <w:rPr>
                <w:rFonts w:ascii="Arial Narrow" w:hAnsi="Arial Narrow"/>
                <w:sz w:val="20"/>
                <w:szCs w:val="20"/>
              </w:rPr>
            </w:pPr>
            <w:r w:rsidRPr="00A615D2">
              <w:rPr>
                <w:rFonts w:ascii="Arial Narrow" w:hAnsi="Arial Narrow"/>
                <w:sz w:val="20"/>
                <w:szCs w:val="20"/>
              </w:rPr>
              <w:t xml:space="preserve">11.28 </w:t>
            </w:r>
            <w:r>
              <w:rPr>
                <w:rFonts w:ascii="Arial Narrow" w:hAnsi="Arial Narrow"/>
                <w:sz w:val="20"/>
                <w:szCs w:val="20"/>
              </w:rPr>
              <w:t>(5.56)</w:t>
            </w:r>
          </w:p>
        </w:tc>
        <w:tc>
          <w:tcPr>
            <w:tcW w:w="849" w:type="pct"/>
            <w:vAlign w:val="center"/>
          </w:tcPr>
          <w:p w:rsidR="00925FD1" w:rsidRPr="00A615D2" w:rsidRDefault="00925FD1" w:rsidP="00FD1717">
            <w:pPr>
              <w:jc w:val="center"/>
              <w:rPr>
                <w:rFonts w:ascii="Arial Narrow" w:hAnsi="Arial Narrow"/>
                <w:sz w:val="20"/>
                <w:szCs w:val="20"/>
              </w:rPr>
            </w:pPr>
            <w:r w:rsidRPr="00A615D2">
              <w:rPr>
                <w:rFonts w:ascii="Arial Narrow" w:hAnsi="Arial Narrow"/>
                <w:sz w:val="20"/>
                <w:szCs w:val="20"/>
              </w:rPr>
              <w:t xml:space="preserve">10.77 </w:t>
            </w:r>
            <w:r>
              <w:rPr>
                <w:rFonts w:ascii="Arial Narrow" w:hAnsi="Arial Narrow"/>
                <w:sz w:val="20"/>
                <w:szCs w:val="20"/>
              </w:rPr>
              <w:t>(6.23)</w:t>
            </w:r>
          </w:p>
        </w:tc>
        <w:tc>
          <w:tcPr>
            <w:tcW w:w="1018" w:type="pct"/>
            <w:vMerge/>
          </w:tcPr>
          <w:p w:rsidR="00925FD1" w:rsidRPr="00A615D2" w:rsidRDefault="00925FD1" w:rsidP="00310988">
            <w:pPr>
              <w:ind w:right="-57"/>
              <w:rPr>
                <w:rFonts w:ascii="Arial Narrow" w:hAnsi="Arial Narrow"/>
                <w:sz w:val="20"/>
                <w:szCs w:val="20"/>
              </w:rPr>
            </w:pPr>
          </w:p>
        </w:tc>
        <w:tc>
          <w:tcPr>
            <w:tcW w:w="934" w:type="pct"/>
            <w:vMerge/>
          </w:tcPr>
          <w:p w:rsidR="00925FD1" w:rsidRPr="00A615D2" w:rsidRDefault="00925FD1" w:rsidP="00310988">
            <w:pPr>
              <w:ind w:right="-57"/>
              <w:rPr>
                <w:rFonts w:ascii="Arial Narrow" w:hAnsi="Arial Narrow"/>
                <w:sz w:val="20"/>
                <w:szCs w:val="20"/>
              </w:rPr>
            </w:pPr>
          </w:p>
        </w:tc>
      </w:tr>
      <w:tr w:rsidR="00925FD1" w:rsidRPr="00A615D2" w:rsidTr="00EB2899">
        <w:tc>
          <w:tcPr>
            <w:tcW w:w="1329" w:type="pct"/>
          </w:tcPr>
          <w:p w:rsidR="00925FD1" w:rsidRPr="00A615D2" w:rsidRDefault="00925FD1" w:rsidP="00A615D2">
            <w:pPr>
              <w:jc w:val="both"/>
              <w:rPr>
                <w:rFonts w:ascii="Arial Narrow" w:hAnsi="Arial Narrow"/>
                <w:sz w:val="20"/>
                <w:szCs w:val="20"/>
              </w:rPr>
            </w:pPr>
            <w:r w:rsidRPr="00A615D2">
              <w:rPr>
                <w:rFonts w:ascii="Arial Narrow" w:hAnsi="Arial Narrow"/>
                <w:sz w:val="20"/>
                <w:szCs w:val="20"/>
              </w:rPr>
              <w:t>Median</w:t>
            </w:r>
            <w:r>
              <w:rPr>
                <w:rFonts w:ascii="Arial Narrow" w:hAnsi="Arial Narrow"/>
                <w:sz w:val="20"/>
                <w:szCs w:val="20"/>
              </w:rPr>
              <w:t xml:space="preserve"> (range)</w:t>
            </w:r>
          </w:p>
        </w:tc>
        <w:tc>
          <w:tcPr>
            <w:tcW w:w="870" w:type="pct"/>
            <w:vAlign w:val="center"/>
          </w:tcPr>
          <w:p w:rsidR="00925FD1" w:rsidRPr="00A615D2" w:rsidRDefault="00925FD1" w:rsidP="00A615D2">
            <w:pPr>
              <w:jc w:val="center"/>
              <w:rPr>
                <w:rFonts w:ascii="Arial Narrow" w:hAnsi="Arial Narrow"/>
                <w:sz w:val="20"/>
                <w:szCs w:val="20"/>
              </w:rPr>
            </w:pPr>
            <w:r w:rsidRPr="00A615D2">
              <w:rPr>
                <w:rFonts w:ascii="Arial Narrow" w:hAnsi="Arial Narrow"/>
                <w:sz w:val="20"/>
                <w:szCs w:val="20"/>
              </w:rPr>
              <w:t>11.0</w:t>
            </w:r>
            <w:r>
              <w:rPr>
                <w:rFonts w:ascii="Arial Narrow" w:hAnsi="Arial Narrow"/>
                <w:sz w:val="20"/>
                <w:szCs w:val="20"/>
              </w:rPr>
              <w:t xml:space="preserve"> (</w:t>
            </w:r>
            <w:r w:rsidRPr="00A615D2">
              <w:rPr>
                <w:rFonts w:ascii="Arial Narrow" w:hAnsi="Arial Narrow"/>
                <w:sz w:val="20"/>
                <w:szCs w:val="20"/>
              </w:rPr>
              <w:t>1</w:t>
            </w:r>
            <w:r>
              <w:rPr>
                <w:rFonts w:ascii="Arial Narrow" w:hAnsi="Arial Narrow"/>
                <w:sz w:val="20"/>
                <w:szCs w:val="20"/>
              </w:rPr>
              <w:t>,</w:t>
            </w:r>
            <w:r w:rsidRPr="00A615D2">
              <w:rPr>
                <w:rFonts w:ascii="Arial Narrow" w:hAnsi="Arial Narrow"/>
                <w:sz w:val="20"/>
                <w:szCs w:val="20"/>
              </w:rPr>
              <w:t xml:space="preserve"> 32</w:t>
            </w:r>
            <w:r>
              <w:rPr>
                <w:rFonts w:ascii="Arial Narrow" w:hAnsi="Arial Narrow"/>
                <w:sz w:val="20"/>
                <w:szCs w:val="20"/>
              </w:rPr>
              <w:t>)</w:t>
            </w:r>
          </w:p>
        </w:tc>
        <w:tc>
          <w:tcPr>
            <w:tcW w:w="849" w:type="pct"/>
            <w:vAlign w:val="center"/>
          </w:tcPr>
          <w:p w:rsidR="00925FD1" w:rsidRPr="00A615D2" w:rsidRDefault="00925FD1" w:rsidP="00A615D2">
            <w:pPr>
              <w:jc w:val="center"/>
              <w:rPr>
                <w:rFonts w:ascii="Arial Narrow" w:hAnsi="Arial Narrow"/>
                <w:sz w:val="20"/>
                <w:szCs w:val="20"/>
              </w:rPr>
            </w:pPr>
            <w:r w:rsidRPr="00A615D2">
              <w:rPr>
                <w:rFonts w:ascii="Arial Narrow" w:hAnsi="Arial Narrow"/>
                <w:sz w:val="20"/>
                <w:szCs w:val="20"/>
              </w:rPr>
              <w:t>10.0</w:t>
            </w:r>
            <w:r>
              <w:rPr>
                <w:rFonts w:ascii="Arial Narrow" w:hAnsi="Arial Narrow"/>
                <w:sz w:val="20"/>
                <w:szCs w:val="20"/>
              </w:rPr>
              <w:t xml:space="preserve"> (1, </w:t>
            </w:r>
            <w:r w:rsidRPr="00A615D2">
              <w:rPr>
                <w:rFonts w:ascii="Arial Narrow" w:hAnsi="Arial Narrow"/>
                <w:sz w:val="20"/>
                <w:szCs w:val="20"/>
              </w:rPr>
              <w:t>46</w:t>
            </w:r>
            <w:r>
              <w:rPr>
                <w:rFonts w:ascii="Arial Narrow" w:hAnsi="Arial Narrow"/>
                <w:sz w:val="20"/>
                <w:szCs w:val="20"/>
              </w:rPr>
              <w:t>)</w:t>
            </w:r>
          </w:p>
        </w:tc>
        <w:tc>
          <w:tcPr>
            <w:tcW w:w="1018" w:type="pct"/>
            <w:vMerge/>
          </w:tcPr>
          <w:p w:rsidR="00925FD1" w:rsidRPr="00A615D2" w:rsidRDefault="00925FD1" w:rsidP="00310988">
            <w:pPr>
              <w:ind w:right="-57"/>
              <w:jc w:val="center"/>
              <w:rPr>
                <w:rFonts w:ascii="Arial Narrow" w:hAnsi="Arial Narrow"/>
                <w:sz w:val="20"/>
                <w:szCs w:val="20"/>
              </w:rPr>
            </w:pPr>
          </w:p>
        </w:tc>
        <w:tc>
          <w:tcPr>
            <w:tcW w:w="934" w:type="pct"/>
            <w:vMerge/>
          </w:tcPr>
          <w:p w:rsidR="00925FD1" w:rsidRPr="00A615D2" w:rsidRDefault="00925FD1" w:rsidP="00310988">
            <w:pPr>
              <w:ind w:right="-57"/>
              <w:jc w:val="center"/>
              <w:rPr>
                <w:rFonts w:ascii="Arial Narrow" w:hAnsi="Arial Narrow"/>
                <w:sz w:val="20"/>
                <w:szCs w:val="20"/>
              </w:rPr>
            </w:pPr>
          </w:p>
        </w:tc>
      </w:tr>
      <w:tr w:rsidR="00925FD1" w:rsidRPr="00A615D2" w:rsidTr="00EB2899">
        <w:tc>
          <w:tcPr>
            <w:tcW w:w="1329" w:type="pct"/>
            <w:tcBorders>
              <w:bottom w:val="single" w:sz="4" w:space="0" w:color="auto"/>
            </w:tcBorders>
          </w:tcPr>
          <w:p w:rsidR="00925FD1" w:rsidRPr="00A615D2" w:rsidRDefault="00925FD1" w:rsidP="007A4775">
            <w:pPr>
              <w:jc w:val="both"/>
              <w:rPr>
                <w:rFonts w:ascii="Arial Narrow" w:hAnsi="Arial Narrow"/>
                <w:sz w:val="20"/>
                <w:szCs w:val="20"/>
              </w:rPr>
            </w:pPr>
            <w:r>
              <w:rPr>
                <w:rFonts w:ascii="Arial Narrow" w:hAnsi="Arial Narrow"/>
                <w:sz w:val="20"/>
                <w:szCs w:val="20"/>
              </w:rPr>
              <w:t>p-</w:t>
            </w:r>
            <w:r w:rsidRPr="00A615D2">
              <w:rPr>
                <w:rFonts w:ascii="Arial Narrow" w:hAnsi="Arial Narrow"/>
                <w:sz w:val="20"/>
                <w:szCs w:val="20"/>
              </w:rPr>
              <w:t>value of test for normality</w:t>
            </w:r>
          </w:p>
        </w:tc>
        <w:tc>
          <w:tcPr>
            <w:tcW w:w="870" w:type="pct"/>
            <w:tcBorders>
              <w:bottom w:val="single" w:sz="4" w:space="0" w:color="auto"/>
            </w:tcBorders>
            <w:vAlign w:val="center"/>
          </w:tcPr>
          <w:p w:rsidR="00925FD1" w:rsidRPr="00A615D2" w:rsidRDefault="00925FD1" w:rsidP="00A615D2">
            <w:pPr>
              <w:jc w:val="center"/>
              <w:rPr>
                <w:rFonts w:ascii="Arial Narrow" w:hAnsi="Arial Narrow"/>
                <w:sz w:val="20"/>
                <w:szCs w:val="20"/>
              </w:rPr>
            </w:pPr>
            <w:r w:rsidRPr="00A615D2">
              <w:rPr>
                <w:rFonts w:ascii="Arial Narrow" w:hAnsi="Arial Narrow"/>
                <w:sz w:val="20"/>
                <w:szCs w:val="20"/>
              </w:rPr>
              <w:t>&lt;0.0001</w:t>
            </w:r>
          </w:p>
        </w:tc>
        <w:tc>
          <w:tcPr>
            <w:tcW w:w="849" w:type="pct"/>
            <w:tcBorders>
              <w:bottom w:val="single" w:sz="4" w:space="0" w:color="auto"/>
            </w:tcBorders>
            <w:vAlign w:val="center"/>
          </w:tcPr>
          <w:p w:rsidR="00925FD1" w:rsidRPr="00A615D2" w:rsidRDefault="00925FD1" w:rsidP="00A615D2">
            <w:pPr>
              <w:jc w:val="center"/>
              <w:rPr>
                <w:rFonts w:ascii="Arial Narrow" w:hAnsi="Arial Narrow"/>
                <w:sz w:val="20"/>
                <w:szCs w:val="20"/>
              </w:rPr>
            </w:pPr>
            <w:r w:rsidRPr="00A615D2">
              <w:rPr>
                <w:rFonts w:ascii="Arial Narrow" w:hAnsi="Arial Narrow"/>
                <w:sz w:val="20"/>
                <w:szCs w:val="20"/>
              </w:rPr>
              <w:t>&lt;0.0001</w:t>
            </w:r>
          </w:p>
        </w:tc>
        <w:tc>
          <w:tcPr>
            <w:tcW w:w="1018" w:type="pct"/>
            <w:vMerge/>
            <w:tcBorders>
              <w:bottom w:val="single" w:sz="4" w:space="0" w:color="auto"/>
            </w:tcBorders>
          </w:tcPr>
          <w:p w:rsidR="00925FD1" w:rsidRPr="00A615D2" w:rsidRDefault="00925FD1" w:rsidP="00310988">
            <w:pPr>
              <w:ind w:right="-57"/>
              <w:jc w:val="center"/>
              <w:rPr>
                <w:rFonts w:ascii="Arial Narrow" w:hAnsi="Arial Narrow"/>
                <w:sz w:val="20"/>
                <w:szCs w:val="20"/>
              </w:rPr>
            </w:pPr>
          </w:p>
        </w:tc>
        <w:tc>
          <w:tcPr>
            <w:tcW w:w="934" w:type="pct"/>
            <w:vMerge/>
            <w:tcBorders>
              <w:bottom w:val="single" w:sz="4" w:space="0" w:color="auto"/>
            </w:tcBorders>
          </w:tcPr>
          <w:p w:rsidR="00925FD1" w:rsidRPr="00A615D2" w:rsidRDefault="00925FD1" w:rsidP="00310988">
            <w:pPr>
              <w:ind w:right="-57"/>
              <w:jc w:val="center"/>
              <w:rPr>
                <w:rFonts w:ascii="Arial Narrow" w:hAnsi="Arial Narrow"/>
                <w:sz w:val="20"/>
                <w:szCs w:val="20"/>
              </w:rPr>
            </w:pPr>
          </w:p>
        </w:tc>
      </w:tr>
      <w:tr w:rsidR="00925FD1" w:rsidRPr="00A615D2" w:rsidTr="00EB2899">
        <w:tc>
          <w:tcPr>
            <w:tcW w:w="5000" w:type="pct"/>
            <w:gridSpan w:val="5"/>
            <w:shd w:val="clear" w:color="auto" w:fill="FFFFFF" w:themeFill="background1"/>
            <w:vAlign w:val="center"/>
          </w:tcPr>
          <w:p w:rsidR="00925FD1" w:rsidRDefault="00176D6B" w:rsidP="003C54BE">
            <w:pPr>
              <w:ind w:right="-57"/>
              <w:rPr>
                <w:rFonts w:ascii="Arial Narrow" w:hAnsi="Arial Narrow"/>
                <w:b/>
                <w:sz w:val="20"/>
                <w:szCs w:val="20"/>
              </w:rPr>
            </w:pPr>
            <w:r>
              <w:rPr>
                <w:rFonts w:ascii="Arial Narrow" w:hAnsi="Arial Narrow"/>
                <w:b/>
                <w:sz w:val="20"/>
                <w:szCs w:val="20"/>
              </w:rPr>
              <w:t>m</w:t>
            </w:r>
            <w:r w:rsidR="00925FD1">
              <w:rPr>
                <w:rFonts w:ascii="Arial Narrow" w:hAnsi="Arial Narrow"/>
                <w:b/>
                <w:sz w:val="20"/>
                <w:szCs w:val="20"/>
              </w:rPr>
              <w:t>ITT</w:t>
            </w:r>
            <w:r w:rsidR="00101C0D">
              <w:rPr>
                <w:rFonts w:ascii="Arial Narrow" w:hAnsi="Arial Narrow"/>
                <w:b/>
                <w:sz w:val="20"/>
                <w:szCs w:val="20"/>
              </w:rPr>
              <w:t xml:space="preserve"> population</w:t>
            </w:r>
          </w:p>
        </w:tc>
      </w:tr>
      <w:tr w:rsidR="00925FD1" w:rsidRPr="00A615D2" w:rsidTr="00EB2899">
        <w:tc>
          <w:tcPr>
            <w:tcW w:w="1329" w:type="pct"/>
            <w:shd w:val="clear" w:color="auto" w:fill="FFFFFF" w:themeFill="background1"/>
            <w:vAlign w:val="center"/>
          </w:tcPr>
          <w:p w:rsidR="00925FD1" w:rsidRPr="00310988" w:rsidRDefault="00925FD1" w:rsidP="00A615D2">
            <w:pPr>
              <w:rPr>
                <w:rFonts w:ascii="Arial Narrow" w:hAnsi="Arial Narrow"/>
                <w:sz w:val="20"/>
                <w:szCs w:val="20"/>
              </w:rPr>
            </w:pPr>
            <w:r w:rsidRPr="00310988">
              <w:rPr>
                <w:rFonts w:ascii="Arial Narrow" w:hAnsi="Arial Narrow"/>
                <w:sz w:val="20"/>
                <w:szCs w:val="20"/>
              </w:rPr>
              <w:t>N</w:t>
            </w:r>
          </w:p>
        </w:tc>
        <w:tc>
          <w:tcPr>
            <w:tcW w:w="870" w:type="pct"/>
            <w:shd w:val="clear" w:color="auto" w:fill="FFFFFF" w:themeFill="background1"/>
            <w:vAlign w:val="center"/>
          </w:tcPr>
          <w:p w:rsidR="00925FD1" w:rsidRPr="00310988" w:rsidRDefault="00925FD1" w:rsidP="00A615D2">
            <w:pPr>
              <w:jc w:val="center"/>
              <w:rPr>
                <w:rFonts w:ascii="Arial Narrow" w:hAnsi="Arial Narrow"/>
                <w:sz w:val="20"/>
                <w:szCs w:val="20"/>
              </w:rPr>
            </w:pPr>
            <w:r w:rsidRPr="00A615D2">
              <w:rPr>
                <w:rFonts w:ascii="Arial Narrow" w:hAnsi="Arial Narrow"/>
                <w:sz w:val="20"/>
                <w:szCs w:val="20"/>
              </w:rPr>
              <w:t>N = 272</w:t>
            </w:r>
          </w:p>
        </w:tc>
        <w:tc>
          <w:tcPr>
            <w:tcW w:w="849" w:type="pct"/>
            <w:shd w:val="clear" w:color="auto" w:fill="FFFFFF" w:themeFill="background1"/>
            <w:vAlign w:val="center"/>
          </w:tcPr>
          <w:p w:rsidR="00925FD1" w:rsidRPr="00310988" w:rsidRDefault="00925FD1" w:rsidP="00A615D2">
            <w:pPr>
              <w:jc w:val="center"/>
              <w:rPr>
                <w:rFonts w:ascii="Arial Narrow" w:hAnsi="Arial Narrow"/>
                <w:sz w:val="20"/>
                <w:szCs w:val="20"/>
              </w:rPr>
            </w:pPr>
            <w:r w:rsidRPr="00A615D2">
              <w:rPr>
                <w:rFonts w:ascii="Arial Narrow" w:hAnsi="Arial Narrow"/>
                <w:sz w:val="20"/>
                <w:szCs w:val="20"/>
              </w:rPr>
              <w:t>N = 135</w:t>
            </w:r>
          </w:p>
        </w:tc>
        <w:tc>
          <w:tcPr>
            <w:tcW w:w="1018" w:type="pct"/>
            <w:vMerge w:val="restart"/>
            <w:shd w:val="clear" w:color="auto" w:fill="FFFFFF" w:themeFill="background1"/>
            <w:vAlign w:val="center"/>
          </w:tcPr>
          <w:p w:rsidR="007A4775" w:rsidRDefault="007A4775" w:rsidP="007A4775">
            <w:pPr>
              <w:jc w:val="center"/>
              <w:rPr>
                <w:rFonts w:ascii="Arial Narrow" w:hAnsi="Arial Narrow"/>
                <w:sz w:val="20"/>
                <w:szCs w:val="20"/>
              </w:rPr>
            </w:pPr>
            <w:r w:rsidRPr="00EB2899">
              <w:rPr>
                <w:rFonts w:ascii="Arial Narrow" w:hAnsi="Arial Narrow"/>
                <w:sz w:val="20"/>
                <w:szCs w:val="20"/>
              </w:rPr>
              <w:t>Difference</w:t>
            </w:r>
            <w:r w:rsidR="003C54BE">
              <w:rPr>
                <w:rFonts w:ascii="Arial Narrow" w:hAnsi="Arial Narrow"/>
                <w:sz w:val="20"/>
                <w:szCs w:val="20"/>
              </w:rPr>
              <w:t xml:space="preserve"> in</w:t>
            </w:r>
            <w:r w:rsidRPr="00EB2899">
              <w:rPr>
                <w:rFonts w:ascii="Arial Narrow" w:hAnsi="Arial Narrow"/>
                <w:sz w:val="20"/>
                <w:szCs w:val="20"/>
              </w:rPr>
              <w:t xml:space="preserve"> mean [95% CI]:</w:t>
            </w:r>
            <w:r>
              <w:rPr>
                <w:rFonts w:ascii="Arial Narrow" w:hAnsi="Arial Narrow"/>
                <w:sz w:val="20"/>
                <w:szCs w:val="20"/>
              </w:rPr>
              <w:t xml:space="preserve"> </w:t>
            </w:r>
            <w:r>
              <w:rPr>
                <w:rFonts w:ascii="Arial Narrow" w:hAnsi="Arial Narrow"/>
                <w:sz w:val="20"/>
                <w:szCs w:val="20"/>
              </w:rPr>
              <w:br/>
            </w:r>
            <w:r w:rsidR="00925FD1" w:rsidRPr="00A615D2">
              <w:rPr>
                <w:rFonts w:ascii="Arial Narrow" w:hAnsi="Arial Narrow"/>
                <w:sz w:val="20"/>
                <w:szCs w:val="20"/>
              </w:rPr>
              <w:t xml:space="preserve">0.46 </w:t>
            </w:r>
            <w:r>
              <w:rPr>
                <w:rFonts w:ascii="Arial Narrow" w:hAnsi="Arial Narrow"/>
                <w:sz w:val="20"/>
                <w:szCs w:val="20"/>
              </w:rPr>
              <w:t>[-0.79</w:t>
            </w:r>
            <w:r w:rsidR="00925FD1">
              <w:rPr>
                <w:rFonts w:ascii="Arial Narrow" w:hAnsi="Arial Narrow"/>
                <w:sz w:val="20"/>
                <w:szCs w:val="20"/>
              </w:rPr>
              <w:t xml:space="preserve">, </w:t>
            </w:r>
            <w:r>
              <w:rPr>
                <w:rFonts w:ascii="Arial Narrow" w:hAnsi="Arial Narrow"/>
                <w:sz w:val="20"/>
                <w:szCs w:val="20"/>
              </w:rPr>
              <w:t>0</w:t>
            </w:r>
            <w:r w:rsidR="00925FD1">
              <w:rPr>
                <w:rFonts w:ascii="Arial Narrow" w:hAnsi="Arial Narrow"/>
                <w:sz w:val="20"/>
                <w:szCs w:val="20"/>
              </w:rPr>
              <w:t>.</w:t>
            </w:r>
            <w:r>
              <w:rPr>
                <w:rFonts w:ascii="Arial Narrow" w:hAnsi="Arial Narrow"/>
                <w:sz w:val="20"/>
                <w:szCs w:val="20"/>
              </w:rPr>
              <w:t>72</w:t>
            </w:r>
            <w:r w:rsidR="00925FD1">
              <w:rPr>
                <w:rFonts w:ascii="Arial Narrow" w:hAnsi="Arial Narrow"/>
                <w:sz w:val="20"/>
                <w:szCs w:val="20"/>
              </w:rPr>
              <w:t>]</w:t>
            </w:r>
            <w:r w:rsidR="00FB4530" w:rsidRPr="00FB4530">
              <w:rPr>
                <w:rFonts w:ascii="Arial Narrow" w:hAnsi="Arial Narrow"/>
                <w:sz w:val="20"/>
                <w:szCs w:val="20"/>
                <w:vertAlign w:val="superscript"/>
              </w:rPr>
              <w:t>a</w:t>
            </w:r>
            <w:r w:rsidR="00082BEF">
              <w:rPr>
                <w:rFonts w:ascii="Arial Narrow" w:hAnsi="Arial Narrow"/>
                <w:sz w:val="20"/>
                <w:szCs w:val="20"/>
              </w:rPr>
              <w:t>;</w:t>
            </w:r>
          </w:p>
          <w:p w:rsidR="00925FD1" w:rsidRPr="006F078E" w:rsidRDefault="00082BEF" w:rsidP="00082BEF">
            <w:pPr>
              <w:jc w:val="center"/>
              <w:rPr>
                <w:rFonts w:ascii="Arial Narrow" w:hAnsi="Arial Narrow"/>
                <w:sz w:val="20"/>
                <w:szCs w:val="20"/>
              </w:rPr>
            </w:pPr>
            <w:r>
              <w:rPr>
                <w:rFonts w:ascii="Arial Narrow" w:hAnsi="Arial Narrow"/>
                <w:sz w:val="20"/>
                <w:szCs w:val="20"/>
              </w:rPr>
              <w:t xml:space="preserve">p-value: </w:t>
            </w:r>
            <w:r w:rsidR="007A4775">
              <w:rPr>
                <w:rFonts w:ascii="Arial Narrow" w:hAnsi="Arial Narrow"/>
                <w:sz w:val="20"/>
                <w:szCs w:val="20"/>
              </w:rPr>
              <w:t>&lt;0.0001</w:t>
            </w:r>
            <w:r w:rsidR="00520C77">
              <w:rPr>
                <w:rFonts w:ascii="Arial Narrow" w:hAnsi="Arial Narrow"/>
                <w:sz w:val="20"/>
                <w:szCs w:val="20"/>
                <w:vertAlign w:val="superscript"/>
              </w:rPr>
              <w:t>b</w:t>
            </w:r>
            <w:r w:rsidR="007A4775">
              <w:rPr>
                <w:rFonts w:ascii="Arial Narrow" w:hAnsi="Arial Narrow"/>
                <w:sz w:val="20"/>
                <w:szCs w:val="20"/>
              </w:rPr>
              <w:t xml:space="preserve"> </w:t>
            </w:r>
          </w:p>
        </w:tc>
        <w:tc>
          <w:tcPr>
            <w:tcW w:w="934" w:type="pct"/>
            <w:vMerge w:val="restart"/>
            <w:shd w:val="clear" w:color="auto" w:fill="FFFFFF" w:themeFill="background1"/>
            <w:vAlign w:val="center"/>
          </w:tcPr>
          <w:p w:rsidR="007A4775" w:rsidRDefault="003C54BE" w:rsidP="00FB4530">
            <w:pPr>
              <w:ind w:left="-57" w:right="-57"/>
              <w:jc w:val="center"/>
              <w:rPr>
                <w:rFonts w:ascii="Arial Narrow" w:hAnsi="Arial Narrow"/>
                <w:sz w:val="20"/>
                <w:szCs w:val="20"/>
              </w:rPr>
            </w:pPr>
            <w:r>
              <w:rPr>
                <w:rFonts w:ascii="Arial Narrow" w:hAnsi="Arial Narrow"/>
                <w:sz w:val="20"/>
                <w:szCs w:val="20"/>
              </w:rPr>
              <w:t>Difference in</w:t>
            </w:r>
            <w:r w:rsidR="007A4775" w:rsidRPr="00EB2899">
              <w:rPr>
                <w:rFonts w:ascii="Arial Narrow" w:hAnsi="Arial Narrow"/>
                <w:sz w:val="20"/>
                <w:szCs w:val="20"/>
              </w:rPr>
              <w:t xml:space="preserve"> mean [95% CI]:</w:t>
            </w:r>
            <w:r w:rsidR="007A4775" w:rsidRPr="00A615D2">
              <w:rPr>
                <w:rFonts w:ascii="Arial Narrow" w:hAnsi="Arial Narrow"/>
                <w:sz w:val="20"/>
                <w:szCs w:val="20"/>
              </w:rPr>
              <w:t xml:space="preserve"> </w:t>
            </w:r>
            <w:r w:rsidR="007A4775">
              <w:rPr>
                <w:rFonts w:ascii="Arial Narrow" w:hAnsi="Arial Narrow"/>
                <w:sz w:val="20"/>
                <w:szCs w:val="20"/>
              </w:rPr>
              <w:br/>
            </w:r>
            <w:r w:rsidR="007A4775" w:rsidRPr="00A615D2">
              <w:rPr>
                <w:rFonts w:ascii="Arial Narrow" w:hAnsi="Arial Narrow"/>
                <w:sz w:val="20"/>
                <w:szCs w:val="20"/>
              </w:rPr>
              <w:t xml:space="preserve">0.46 </w:t>
            </w:r>
            <w:r w:rsidR="007A4775">
              <w:rPr>
                <w:rFonts w:ascii="Arial Narrow" w:hAnsi="Arial Narrow"/>
                <w:sz w:val="20"/>
                <w:szCs w:val="20"/>
              </w:rPr>
              <w:t>[-0.90, 1.67]</w:t>
            </w:r>
            <w:r w:rsidR="00520C77">
              <w:rPr>
                <w:rFonts w:ascii="Arial Narrow" w:hAnsi="Arial Narrow"/>
                <w:sz w:val="20"/>
                <w:szCs w:val="20"/>
                <w:vertAlign w:val="superscript"/>
              </w:rPr>
              <w:t>c</w:t>
            </w:r>
            <w:r w:rsidR="00082BEF">
              <w:rPr>
                <w:rFonts w:ascii="Arial Narrow" w:hAnsi="Arial Narrow"/>
                <w:sz w:val="20"/>
                <w:szCs w:val="20"/>
              </w:rPr>
              <w:t>;</w:t>
            </w:r>
          </w:p>
          <w:p w:rsidR="00925FD1" w:rsidRDefault="00082BEF" w:rsidP="00082BEF">
            <w:pPr>
              <w:jc w:val="center"/>
              <w:rPr>
                <w:rFonts w:ascii="Arial Narrow" w:hAnsi="Arial Narrow"/>
                <w:sz w:val="20"/>
                <w:szCs w:val="20"/>
              </w:rPr>
            </w:pPr>
            <w:r>
              <w:rPr>
                <w:rFonts w:ascii="Arial Narrow" w:hAnsi="Arial Narrow"/>
                <w:sz w:val="20"/>
                <w:szCs w:val="20"/>
              </w:rPr>
              <w:t xml:space="preserve">p-value: </w:t>
            </w:r>
            <w:r w:rsidR="007A4775" w:rsidRPr="00DE0F9C">
              <w:rPr>
                <w:rFonts w:ascii="Arial Narrow" w:hAnsi="Arial Narrow"/>
                <w:sz w:val="20"/>
                <w:szCs w:val="20"/>
              </w:rPr>
              <w:t>0.00</w:t>
            </w:r>
            <w:r w:rsidR="007A4775">
              <w:rPr>
                <w:rFonts w:ascii="Arial Narrow" w:hAnsi="Arial Narrow"/>
                <w:sz w:val="20"/>
                <w:szCs w:val="20"/>
              </w:rPr>
              <w:t>06</w:t>
            </w:r>
            <w:r w:rsidR="00FB4530">
              <w:rPr>
                <w:rFonts w:ascii="Arial Narrow" w:hAnsi="Arial Narrow"/>
                <w:sz w:val="20"/>
                <w:szCs w:val="20"/>
                <w:vertAlign w:val="superscript"/>
              </w:rPr>
              <w:t>d</w:t>
            </w:r>
          </w:p>
        </w:tc>
      </w:tr>
      <w:tr w:rsidR="00925FD1" w:rsidRPr="00A615D2" w:rsidTr="00EB2899">
        <w:tc>
          <w:tcPr>
            <w:tcW w:w="1329" w:type="pct"/>
          </w:tcPr>
          <w:p w:rsidR="00925FD1" w:rsidRPr="00A615D2" w:rsidRDefault="00925FD1" w:rsidP="00FD1717">
            <w:pPr>
              <w:jc w:val="both"/>
              <w:rPr>
                <w:rFonts w:ascii="Arial Narrow" w:hAnsi="Arial Narrow"/>
                <w:sz w:val="20"/>
                <w:szCs w:val="20"/>
              </w:rPr>
            </w:pPr>
            <w:r w:rsidRPr="00A615D2">
              <w:rPr>
                <w:rFonts w:ascii="Arial Narrow" w:hAnsi="Arial Narrow"/>
                <w:sz w:val="20"/>
                <w:szCs w:val="20"/>
              </w:rPr>
              <w:t xml:space="preserve">Mean </w:t>
            </w:r>
            <w:r>
              <w:rPr>
                <w:rFonts w:ascii="Arial Narrow" w:hAnsi="Arial Narrow"/>
                <w:sz w:val="20"/>
                <w:szCs w:val="20"/>
              </w:rPr>
              <w:t>(SD)</w:t>
            </w:r>
          </w:p>
        </w:tc>
        <w:tc>
          <w:tcPr>
            <w:tcW w:w="870" w:type="pct"/>
            <w:vAlign w:val="center"/>
          </w:tcPr>
          <w:p w:rsidR="00925FD1" w:rsidRPr="00A615D2" w:rsidRDefault="00925FD1" w:rsidP="00FD1717">
            <w:pPr>
              <w:jc w:val="center"/>
              <w:rPr>
                <w:rFonts w:ascii="Arial Narrow" w:hAnsi="Arial Narrow"/>
                <w:sz w:val="20"/>
                <w:szCs w:val="20"/>
              </w:rPr>
            </w:pPr>
            <w:r w:rsidRPr="00A615D2">
              <w:rPr>
                <w:rFonts w:ascii="Arial Narrow" w:hAnsi="Arial Narrow"/>
                <w:sz w:val="20"/>
                <w:szCs w:val="20"/>
              </w:rPr>
              <w:t xml:space="preserve">11.03 </w:t>
            </w:r>
            <w:r>
              <w:rPr>
                <w:rFonts w:ascii="Arial Narrow" w:hAnsi="Arial Narrow"/>
                <w:sz w:val="20"/>
                <w:szCs w:val="20"/>
              </w:rPr>
              <w:t>(5.96)</w:t>
            </w:r>
          </w:p>
        </w:tc>
        <w:tc>
          <w:tcPr>
            <w:tcW w:w="849" w:type="pct"/>
            <w:vAlign w:val="center"/>
          </w:tcPr>
          <w:p w:rsidR="00925FD1" w:rsidRPr="00A615D2" w:rsidRDefault="00925FD1" w:rsidP="00FD1717">
            <w:pPr>
              <w:jc w:val="center"/>
              <w:rPr>
                <w:rFonts w:ascii="Arial Narrow" w:hAnsi="Arial Narrow"/>
                <w:sz w:val="20"/>
                <w:szCs w:val="20"/>
              </w:rPr>
            </w:pPr>
            <w:r w:rsidRPr="00A615D2">
              <w:rPr>
                <w:rFonts w:ascii="Arial Narrow" w:hAnsi="Arial Narrow"/>
                <w:sz w:val="20"/>
                <w:szCs w:val="20"/>
              </w:rPr>
              <w:t xml:space="preserve">10.56 </w:t>
            </w:r>
            <w:r>
              <w:rPr>
                <w:rFonts w:ascii="Arial Narrow" w:hAnsi="Arial Narrow"/>
                <w:sz w:val="20"/>
                <w:szCs w:val="20"/>
              </w:rPr>
              <w:t>(6.30)</w:t>
            </w:r>
          </w:p>
        </w:tc>
        <w:tc>
          <w:tcPr>
            <w:tcW w:w="1018" w:type="pct"/>
            <w:vMerge/>
          </w:tcPr>
          <w:p w:rsidR="00925FD1" w:rsidRPr="00A615D2" w:rsidRDefault="00925FD1" w:rsidP="00DE0F9C">
            <w:pPr>
              <w:rPr>
                <w:rFonts w:ascii="Arial Narrow" w:hAnsi="Arial Narrow"/>
                <w:sz w:val="20"/>
                <w:szCs w:val="20"/>
              </w:rPr>
            </w:pPr>
          </w:p>
        </w:tc>
        <w:tc>
          <w:tcPr>
            <w:tcW w:w="934" w:type="pct"/>
            <w:vMerge/>
          </w:tcPr>
          <w:p w:rsidR="00925FD1" w:rsidRPr="00A615D2" w:rsidRDefault="00925FD1" w:rsidP="00DE0F9C">
            <w:pPr>
              <w:rPr>
                <w:rFonts w:ascii="Arial Narrow" w:hAnsi="Arial Narrow"/>
                <w:sz w:val="20"/>
                <w:szCs w:val="20"/>
              </w:rPr>
            </w:pPr>
          </w:p>
        </w:tc>
      </w:tr>
      <w:tr w:rsidR="00925FD1" w:rsidRPr="00A615D2" w:rsidTr="00EB2899">
        <w:tc>
          <w:tcPr>
            <w:tcW w:w="1329" w:type="pct"/>
          </w:tcPr>
          <w:p w:rsidR="00925FD1" w:rsidRPr="00A615D2" w:rsidRDefault="00925FD1" w:rsidP="00310988">
            <w:pPr>
              <w:jc w:val="both"/>
              <w:rPr>
                <w:rFonts w:ascii="Arial Narrow" w:hAnsi="Arial Narrow"/>
                <w:sz w:val="20"/>
                <w:szCs w:val="20"/>
              </w:rPr>
            </w:pPr>
            <w:r w:rsidRPr="00A615D2">
              <w:rPr>
                <w:rFonts w:ascii="Arial Narrow" w:hAnsi="Arial Narrow"/>
                <w:sz w:val="20"/>
                <w:szCs w:val="20"/>
              </w:rPr>
              <w:t>Median</w:t>
            </w:r>
            <w:r>
              <w:rPr>
                <w:rFonts w:ascii="Arial Narrow" w:hAnsi="Arial Narrow"/>
                <w:sz w:val="20"/>
                <w:szCs w:val="20"/>
              </w:rPr>
              <w:t xml:space="preserve"> (range)</w:t>
            </w:r>
          </w:p>
        </w:tc>
        <w:tc>
          <w:tcPr>
            <w:tcW w:w="870" w:type="pct"/>
            <w:vAlign w:val="center"/>
          </w:tcPr>
          <w:p w:rsidR="00925FD1" w:rsidRPr="00A615D2" w:rsidRDefault="00925FD1" w:rsidP="00DE0F9C">
            <w:pPr>
              <w:jc w:val="center"/>
              <w:rPr>
                <w:rFonts w:ascii="Arial Narrow" w:hAnsi="Arial Narrow"/>
                <w:sz w:val="20"/>
                <w:szCs w:val="20"/>
              </w:rPr>
            </w:pPr>
            <w:r w:rsidRPr="00A615D2">
              <w:rPr>
                <w:rFonts w:ascii="Arial Narrow" w:hAnsi="Arial Narrow"/>
                <w:sz w:val="20"/>
                <w:szCs w:val="20"/>
              </w:rPr>
              <w:t>10.0</w:t>
            </w:r>
            <w:r>
              <w:rPr>
                <w:rFonts w:ascii="Arial Narrow" w:hAnsi="Arial Narrow"/>
                <w:sz w:val="20"/>
                <w:szCs w:val="20"/>
              </w:rPr>
              <w:t xml:space="preserve"> (</w:t>
            </w:r>
            <w:r w:rsidRPr="00A615D2">
              <w:rPr>
                <w:rFonts w:ascii="Arial Narrow" w:hAnsi="Arial Narrow"/>
                <w:sz w:val="20"/>
                <w:szCs w:val="20"/>
              </w:rPr>
              <w:t>0</w:t>
            </w:r>
            <w:r>
              <w:rPr>
                <w:rFonts w:ascii="Arial Narrow" w:hAnsi="Arial Narrow"/>
                <w:sz w:val="20"/>
                <w:szCs w:val="20"/>
              </w:rPr>
              <w:t xml:space="preserve">, </w:t>
            </w:r>
            <w:r w:rsidRPr="00A615D2">
              <w:rPr>
                <w:rFonts w:ascii="Arial Narrow" w:hAnsi="Arial Narrow"/>
                <w:sz w:val="20"/>
                <w:szCs w:val="20"/>
              </w:rPr>
              <w:t>32</w:t>
            </w:r>
            <w:r>
              <w:rPr>
                <w:rFonts w:ascii="Arial Narrow" w:hAnsi="Arial Narrow"/>
                <w:sz w:val="20"/>
                <w:szCs w:val="20"/>
              </w:rPr>
              <w:t>)</w:t>
            </w:r>
          </w:p>
        </w:tc>
        <w:tc>
          <w:tcPr>
            <w:tcW w:w="849" w:type="pct"/>
            <w:vAlign w:val="center"/>
          </w:tcPr>
          <w:p w:rsidR="00925FD1" w:rsidRPr="00A615D2" w:rsidRDefault="00925FD1" w:rsidP="00DE0F9C">
            <w:pPr>
              <w:jc w:val="center"/>
              <w:rPr>
                <w:rFonts w:ascii="Arial Narrow" w:hAnsi="Arial Narrow"/>
                <w:sz w:val="20"/>
                <w:szCs w:val="20"/>
              </w:rPr>
            </w:pPr>
            <w:r w:rsidRPr="00A615D2">
              <w:rPr>
                <w:rFonts w:ascii="Arial Narrow" w:hAnsi="Arial Narrow"/>
                <w:sz w:val="20"/>
                <w:szCs w:val="20"/>
              </w:rPr>
              <w:t>10.0</w:t>
            </w:r>
            <w:r>
              <w:rPr>
                <w:rFonts w:ascii="Arial Narrow" w:hAnsi="Arial Narrow"/>
                <w:sz w:val="20"/>
                <w:szCs w:val="20"/>
              </w:rPr>
              <w:t xml:space="preserve"> (0,</w:t>
            </w:r>
            <w:r w:rsidRPr="00A615D2">
              <w:rPr>
                <w:rFonts w:ascii="Arial Narrow" w:hAnsi="Arial Narrow"/>
                <w:sz w:val="20"/>
                <w:szCs w:val="20"/>
              </w:rPr>
              <w:t xml:space="preserve"> 46</w:t>
            </w:r>
            <w:r>
              <w:rPr>
                <w:rFonts w:ascii="Arial Narrow" w:hAnsi="Arial Narrow"/>
                <w:sz w:val="20"/>
                <w:szCs w:val="20"/>
              </w:rPr>
              <w:t>)</w:t>
            </w:r>
          </w:p>
        </w:tc>
        <w:tc>
          <w:tcPr>
            <w:tcW w:w="1018" w:type="pct"/>
            <w:vMerge/>
          </w:tcPr>
          <w:p w:rsidR="00925FD1" w:rsidRPr="00A615D2" w:rsidRDefault="00925FD1" w:rsidP="00A615D2">
            <w:pPr>
              <w:jc w:val="center"/>
              <w:rPr>
                <w:rFonts w:ascii="Arial Narrow" w:hAnsi="Arial Narrow"/>
                <w:sz w:val="20"/>
                <w:szCs w:val="20"/>
              </w:rPr>
            </w:pPr>
          </w:p>
        </w:tc>
        <w:tc>
          <w:tcPr>
            <w:tcW w:w="934" w:type="pct"/>
            <w:vMerge/>
          </w:tcPr>
          <w:p w:rsidR="00925FD1" w:rsidRPr="00A615D2" w:rsidRDefault="00925FD1" w:rsidP="00A615D2">
            <w:pPr>
              <w:jc w:val="center"/>
              <w:rPr>
                <w:rFonts w:ascii="Arial Narrow" w:hAnsi="Arial Narrow"/>
                <w:sz w:val="20"/>
                <w:szCs w:val="20"/>
              </w:rPr>
            </w:pPr>
          </w:p>
        </w:tc>
      </w:tr>
      <w:tr w:rsidR="00925FD1" w:rsidRPr="00A615D2" w:rsidTr="00EB2899">
        <w:tc>
          <w:tcPr>
            <w:tcW w:w="1329" w:type="pct"/>
          </w:tcPr>
          <w:p w:rsidR="00925FD1" w:rsidRPr="00A615D2" w:rsidRDefault="00925FD1" w:rsidP="00310988">
            <w:pPr>
              <w:jc w:val="both"/>
              <w:rPr>
                <w:rFonts w:ascii="Arial Narrow" w:hAnsi="Arial Narrow"/>
                <w:sz w:val="20"/>
                <w:szCs w:val="20"/>
              </w:rPr>
            </w:pPr>
            <w:r>
              <w:rPr>
                <w:rFonts w:ascii="Arial Narrow" w:hAnsi="Arial Narrow"/>
                <w:sz w:val="20"/>
                <w:szCs w:val="20"/>
              </w:rPr>
              <w:t>p-</w:t>
            </w:r>
            <w:r w:rsidRPr="00A615D2">
              <w:rPr>
                <w:rFonts w:ascii="Arial Narrow" w:hAnsi="Arial Narrow"/>
                <w:sz w:val="20"/>
                <w:szCs w:val="20"/>
              </w:rPr>
              <w:t>value of test for normality</w:t>
            </w:r>
          </w:p>
        </w:tc>
        <w:tc>
          <w:tcPr>
            <w:tcW w:w="870" w:type="pct"/>
            <w:vAlign w:val="center"/>
          </w:tcPr>
          <w:p w:rsidR="00925FD1" w:rsidRPr="00A615D2" w:rsidRDefault="00925FD1" w:rsidP="00A615D2">
            <w:pPr>
              <w:jc w:val="center"/>
              <w:rPr>
                <w:rFonts w:ascii="Arial Narrow" w:hAnsi="Arial Narrow"/>
                <w:sz w:val="20"/>
                <w:szCs w:val="20"/>
              </w:rPr>
            </w:pPr>
            <w:r w:rsidRPr="00A615D2">
              <w:rPr>
                <w:rFonts w:ascii="Arial Narrow" w:hAnsi="Arial Narrow"/>
                <w:sz w:val="20"/>
                <w:szCs w:val="20"/>
              </w:rPr>
              <w:t>&lt;0.0001</w:t>
            </w:r>
          </w:p>
        </w:tc>
        <w:tc>
          <w:tcPr>
            <w:tcW w:w="849" w:type="pct"/>
            <w:vAlign w:val="center"/>
          </w:tcPr>
          <w:p w:rsidR="00925FD1" w:rsidRPr="00A615D2" w:rsidRDefault="00925FD1" w:rsidP="00A615D2">
            <w:pPr>
              <w:jc w:val="center"/>
              <w:rPr>
                <w:rFonts w:ascii="Arial Narrow" w:hAnsi="Arial Narrow"/>
                <w:sz w:val="20"/>
                <w:szCs w:val="20"/>
              </w:rPr>
            </w:pPr>
            <w:r w:rsidRPr="00A615D2">
              <w:rPr>
                <w:rFonts w:ascii="Arial Narrow" w:hAnsi="Arial Narrow"/>
                <w:sz w:val="20"/>
                <w:szCs w:val="20"/>
              </w:rPr>
              <w:t>&lt;0.0001</w:t>
            </w:r>
          </w:p>
        </w:tc>
        <w:tc>
          <w:tcPr>
            <w:tcW w:w="1018" w:type="pct"/>
            <w:vMerge/>
          </w:tcPr>
          <w:p w:rsidR="00925FD1" w:rsidRPr="00A615D2" w:rsidRDefault="00925FD1" w:rsidP="00A615D2">
            <w:pPr>
              <w:jc w:val="center"/>
              <w:rPr>
                <w:rFonts w:ascii="Arial Narrow" w:hAnsi="Arial Narrow"/>
                <w:sz w:val="20"/>
                <w:szCs w:val="20"/>
              </w:rPr>
            </w:pPr>
          </w:p>
        </w:tc>
        <w:tc>
          <w:tcPr>
            <w:tcW w:w="934" w:type="pct"/>
            <w:vMerge/>
          </w:tcPr>
          <w:p w:rsidR="00925FD1" w:rsidRPr="00A615D2" w:rsidRDefault="00925FD1" w:rsidP="00A615D2">
            <w:pPr>
              <w:jc w:val="center"/>
              <w:rPr>
                <w:rFonts w:ascii="Arial Narrow" w:hAnsi="Arial Narrow"/>
                <w:sz w:val="20"/>
                <w:szCs w:val="20"/>
              </w:rPr>
            </w:pPr>
          </w:p>
        </w:tc>
      </w:tr>
    </w:tbl>
    <w:p w:rsidR="00A615D2" w:rsidRDefault="004F2093" w:rsidP="00EF3E6E">
      <w:pPr>
        <w:pStyle w:val="tablenotes"/>
        <w:ind w:left="720"/>
        <w:rPr>
          <w:rFonts w:eastAsiaTheme="minorHAnsi"/>
        </w:rPr>
      </w:pPr>
      <w:r>
        <w:rPr>
          <w:rFonts w:eastAsiaTheme="minorHAnsi"/>
        </w:rPr>
        <w:t>CI = confidence interval</w:t>
      </w:r>
      <w:r w:rsidR="00310988">
        <w:rPr>
          <w:rFonts w:eastAsiaTheme="minorHAnsi"/>
        </w:rPr>
        <w:t xml:space="preserve">; </w:t>
      </w:r>
      <w:r w:rsidR="0086680E">
        <w:rPr>
          <w:rFonts w:eastAsiaTheme="minorHAnsi"/>
        </w:rPr>
        <w:t>m</w:t>
      </w:r>
      <w:r w:rsidR="00310988">
        <w:rPr>
          <w:rFonts w:eastAsiaTheme="minorHAnsi"/>
        </w:rPr>
        <w:t>ITT =</w:t>
      </w:r>
      <w:r w:rsidR="0086680E">
        <w:rPr>
          <w:rFonts w:eastAsiaTheme="minorHAnsi"/>
        </w:rPr>
        <w:t xml:space="preserve"> modified</w:t>
      </w:r>
      <w:r w:rsidR="00310988">
        <w:rPr>
          <w:rFonts w:eastAsiaTheme="minorHAnsi"/>
        </w:rPr>
        <w:t xml:space="preserve"> intention-to-treat;</w:t>
      </w:r>
      <w:r w:rsidR="00FD1717">
        <w:rPr>
          <w:rFonts w:eastAsiaTheme="minorHAnsi"/>
        </w:rPr>
        <w:t xml:space="preserve"> PP = per protocol; SD = standard deviation</w:t>
      </w:r>
    </w:p>
    <w:p w:rsidR="00FB4530" w:rsidRDefault="00DE0F9C" w:rsidP="00EF3E6E">
      <w:pPr>
        <w:pStyle w:val="tablenotes"/>
        <w:ind w:left="720"/>
        <w:rPr>
          <w:rFonts w:eastAsiaTheme="minorHAnsi"/>
        </w:rPr>
      </w:pPr>
      <w:r w:rsidRPr="00310988">
        <w:rPr>
          <w:rFonts w:eastAsiaTheme="minorHAnsi"/>
          <w:vertAlign w:val="superscript"/>
        </w:rPr>
        <w:t>a</w:t>
      </w:r>
      <w:r>
        <w:rPr>
          <w:rFonts w:eastAsiaTheme="minorHAnsi"/>
        </w:rPr>
        <w:t xml:space="preserve"> </w:t>
      </w:r>
      <w:r w:rsidR="00FB4530">
        <w:rPr>
          <w:rFonts w:eastAsiaTheme="minorHAnsi"/>
        </w:rPr>
        <w:t xml:space="preserve">Using </w:t>
      </w:r>
      <w:r w:rsidR="00FB4530" w:rsidRPr="00FB4530">
        <w:rPr>
          <w:rFonts w:eastAsiaTheme="minorHAnsi"/>
        </w:rPr>
        <w:t>Schuirmann’s TOST test</w:t>
      </w:r>
    </w:p>
    <w:p w:rsidR="00FB4530" w:rsidRDefault="00FB4530" w:rsidP="00EF3E6E">
      <w:pPr>
        <w:pStyle w:val="tablenotes"/>
        <w:ind w:left="720"/>
        <w:rPr>
          <w:rFonts w:eastAsiaTheme="minorHAnsi"/>
        </w:rPr>
      </w:pPr>
      <w:r w:rsidRPr="00FB4530">
        <w:rPr>
          <w:rFonts w:eastAsiaTheme="minorHAnsi"/>
          <w:vertAlign w:val="superscript"/>
        </w:rPr>
        <w:t>b</w:t>
      </w:r>
      <w:r>
        <w:rPr>
          <w:rFonts w:eastAsiaTheme="minorHAnsi"/>
        </w:rPr>
        <w:t xml:space="preserve"> </w:t>
      </w:r>
      <w:r w:rsidR="00520C77">
        <w:rPr>
          <w:rFonts w:eastAsiaTheme="minorHAnsi"/>
        </w:rPr>
        <w:t>Using Pooled method. L</w:t>
      </w:r>
      <w:r w:rsidR="00520C77" w:rsidRPr="007A4775">
        <w:rPr>
          <w:rFonts w:eastAsiaTheme="minorHAnsi"/>
        </w:rPr>
        <w:t>arger of the two one-sided p-values</w:t>
      </w:r>
    </w:p>
    <w:p w:rsidR="00925FD1" w:rsidRDefault="00FB4530" w:rsidP="00EF3E6E">
      <w:pPr>
        <w:pStyle w:val="tablenotes"/>
        <w:ind w:left="720"/>
        <w:rPr>
          <w:rFonts w:eastAsiaTheme="minorHAnsi"/>
        </w:rPr>
      </w:pPr>
      <w:r w:rsidRPr="00FB4530">
        <w:rPr>
          <w:rFonts w:eastAsiaTheme="minorHAnsi"/>
          <w:vertAlign w:val="superscript"/>
        </w:rPr>
        <w:t>c</w:t>
      </w:r>
      <w:r>
        <w:rPr>
          <w:rFonts w:eastAsiaTheme="minorHAnsi"/>
        </w:rPr>
        <w:t xml:space="preserve"> </w:t>
      </w:r>
      <w:r w:rsidR="00520C77">
        <w:rPr>
          <w:rFonts w:eastAsiaTheme="minorHAnsi"/>
        </w:rPr>
        <w:t>Using bootstrap-t approach</w:t>
      </w:r>
    </w:p>
    <w:p w:rsidR="007A4775" w:rsidRDefault="00FB4530" w:rsidP="007A4775">
      <w:pPr>
        <w:pStyle w:val="tablenotes"/>
        <w:ind w:left="720"/>
        <w:rPr>
          <w:rFonts w:eastAsiaTheme="minorHAnsi"/>
        </w:rPr>
      </w:pPr>
      <w:r>
        <w:rPr>
          <w:rFonts w:eastAsiaTheme="minorHAnsi"/>
          <w:vertAlign w:val="superscript"/>
        </w:rPr>
        <w:t>d</w:t>
      </w:r>
      <w:r w:rsidR="007A4775" w:rsidRPr="007A4775">
        <w:rPr>
          <w:rFonts w:eastAsiaTheme="minorHAnsi"/>
          <w:vertAlign w:val="superscript"/>
        </w:rPr>
        <w:t xml:space="preserve"> </w:t>
      </w:r>
      <w:r w:rsidR="007A4775" w:rsidRPr="007A4775">
        <w:rPr>
          <w:rFonts w:eastAsiaTheme="minorHAnsi"/>
        </w:rPr>
        <w:t>Using Mann-Whitney U test.</w:t>
      </w:r>
      <w:r w:rsidR="007A4775" w:rsidRPr="007A4775">
        <w:rPr>
          <w:rFonts w:eastAsiaTheme="minorHAnsi"/>
          <w:vertAlign w:val="superscript"/>
        </w:rPr>
        <w:t xml:space="preserve"> </w:t>
      </w:r>
      <w:r w:rsidR="00082BEF">
        <w:rPr>
          <w:rFonts w:eastAsiaTheme="minorHAnsi"/>
        </w:rPr>
        <w:t>L</w:t>
      </w:r>
      <w:r w:rsidR="00082BEF" w:rsidRPr="007A4775">
        <w:rPr>
          <w:rFonts w:eastAsiaTheme="minorHAnsi"/>
        </w:rPr>
        <w:t>arger of the two one-sided p-values</w:t>
      </w:r>
    </w:p>
    <w:p w:rsidR="00310988" w:rsidRPr="00A615D2" w:rsidRDefault="00310988" w:rsidP="00EF3E6E">
      <w:pPr>
        <w:pStyle w:val="tablenotes"/>
        <w:ind w:left="720"/>
        <w:rPr>
          <w:rFonts w:eastAsiaTheme="minorHAnsi"/>
        </w:rPr>
      </w:pPr>
      <w:r>
        <w:rPr>
          <w:rFonts w:eastAsiaTheme="minorHAnsi"/>
        </w:rPr>
        <w:t>Source: Table 2-14, p42 of the minor submission</w:t>
      </w:r>
    </w:p>
    <w:p w:rsidR="00A615D2" w:rsidRDefault="00A615D2" w:rsidP="009B0F67">
      <w:pPr>
        <w:pStyle w:val="ListParagraph"/>
        <w:ind w:left="709"/>
        <w:jc w:val="both"/>
        <w:rPr>
          <w:szCs w:val="22"/>
        </w:rPr>
      </w:pPr>
    </w:p>
    <w:p w:rsidR="00FD1717" w:rsidRPr="001D57AE" w:rsidRDefault="00FD1717" w:rsidP="003C54BE">
      <w:pPr>
        <w:pStyle w:val="ListParagraph"/>
        <w:numPr>
          <w:ilvl w:val="1"/>
          <w:numId w:val="2"/>
        </w:numPr>
        <w:jc w:val="both"/>
        <w:rPr>
          <w:szCs w:val="22"/>
        </w:rPr>
      </w:pPr>
      <w:r w:rsidRPr="001D57AE">
        <w:rPr>
          <w:szCs w:val="22"/>
        </w:rPr>
        <w:t>The mean number</w:t>
      </w:r>
      <w:r w:rsidR="00082BEF" w:rsidRPr="001D57AE">
        <w:rPr>
          <w:szCs w:val="22"/>
        </w:rPr>
        <w:t>s</w:t>
      </w:r>
      <w:r w:rsidRPr="001D57AE">
        <w:rPr>
          <w:szCs w:val="22"/>
        </w:rPr>
        <w:t xml:space="preserve"> of oocytes retrieved in the PP population of the Bemfola and Gonal-f treatment groups were 11.28 and 10.77, respectively. </w:t>
      </w:r>
      <w:r w:rsidR="00082BEF" w:rsidRPr="001D57AE">
        <w:rPr>
          <w:szCs w:val="22"/>
        </w:rPr>
        <w:t xml:space="preserve">In the PP population, the difference in the mean number of oocytes retrieved </w:t>
      </w:r>
      <w:r w:rsidR="001C7585" w:rsidRPr="001D57AE">
        <w:rPr>
          <w:szCs w:val="22"/>
        </w:rPr>
        <w:t xml:space="preserve">between the two treatment groups </w:t>
      </w:r>
      <w:r w:rsidR="00082BEF" w:rsidRPr="001D57AE">
        <w:rPr>
          <w:szCs w:val="22"/>
        </w:rPr>
        <w:t xml:space="preserve">was 0.52, with </w:t>
      </w:r>
      <w:r w:rsidR="001C7585" w:rsidRPr="001D57AE">
        <w:rPr>
          <w:szCs w:val="22"/>
        </w:rPr>
        <w:t>a</w:t>
      </w:r>
      <w:r w:rsidR="00082BEF" w:rsidRPr="001D57AE">
        <w:rPr>
          <w:szCs w:val="22"/>
        </w:rPr>
        <w:t xml:space="preserve"> bootstrap-t 95% CI of [-0.81, 1.79]</w:t>
      </w:r>
      <w:r w:rsidR="00FB4530" w:rsidRPr="001D57AE">
        <w:rPr>
          <w:szCs w:val="22"/>
        </w:rPr>
        <w:t xml:space="preserve"> (</w:t>
      </w:r>
      <w:r w:rsidR="00FB4530" w:rsidRPr="001D57AE">
        <w:t xml:space="preserve">this method </w:t>
      </w:r>
      <w:r w:rsidR="00EF4F97" w:rsidRPr="001D57AE">
        <w:t xml:space="preserve">was used </w:t>
      </w:r>
      <w:r w:rsidR="00FB4530" w:rsidRPr="001D57AE">
        <w:t>d</w:t>
      </w:r>
      <w:r w:rsidR="00FB4530" w:rsidRPr="001D57AE">
        <w:rPr>
          <w:szCs w:val="22"/>
        </w:rPr>
        <w:t>ue to the non-normality of the distribution of the primary endpoint)</w:t>
      </w:r>
      <w:r w:rsidR="00082BEF" w:rsidRPr="001D57AE">
        <w:rPr>
          <w:szCs w:val="22"/>
        </w:rPr>
        <w:t>. The equivalence analysis using the Mann-Whitney U test was significant for both one</w:t>
      </w:r>
      <w:r w:rsidR="00E80A2C">
        <w:rPr>
          <w:szCs w:val="22"/>
        </w:rPr>
        <w:noBreakHyphen/>
      </w:r>
      <w:r w:rsidR="00082BEF" w:rsidRPr="001D57AE">
        <w:rPr>
          <w:szCs w:val="22"/>
        </w:rPr>
        <w:t xml:space="preserve">sided tests of the null hypothesis (p-values = 0.0009). </w:t>
      </w:r>
      <w:r w:rsidR="004D4380" w:rsidRPr="001D57AE">
        <w:rPr>
          <w:szCs w:val="22"/>
        </w:rPr>
        <w:t>Similar results were reported in the mITT population</w:t>
      </w:r>
      <w:r w:rsidR="003C54BE" w:rsidRPr="001D57AE">
        <w:rPr>
          <w:szCs w:val="22"/>
        </w:rPr>
        <w:t xml:space="preserve"> (defined as all randomised patients having received at least one administration of the study treatment and with </w:t>
      </w:r>
      <w:r w:rsidR="00B65D0A" w:rsidRPr="001D57AE">
        <w:rPr>
          <w:szCs w:val="22"/>
        </w:rPr>
        <w:t xml:space="preserve">data for </w:t>
      </w:r>
      <w:r w:rsidR="00D818DE" w:rsidRPr="001D57AE">
        <w:rPr>
          <w:szCs w:val="22"/>
        </w:rPr>
        <w:t xml:space="preserve">analysis of the </w:t>
      </w:r>
      <w:r w:rsidR="00B65D0A" w:rsidRPr="001D57AE">
        <w:rPr>
          <w:szCs w:val="22"/>
        </w:rPr>
        <w:t xml:space="preserve">primary </w:t>
      </w:r>
      <w:r w:rsidR="00D818DE" w:rsidRPr="001D57AE">
        <w:rPr>
          <w:szCs w:val="22"/>
        </w:rPr>
        <w:t>outcome</w:t>
      </w:r>
      <w:r w:rsidR="003C54BE" w:rsidRPr="001D57AE">
        <w:rPr>
          <w:szCs w:val="22"/>
        </w:rPr>
        <w:t>)</w:t>
      </w:r>
      <w:r w:rsidR="004D4380" w:rsidRPr="001D57AE">
        <w:rPr>
          <w:szCs w:val="22"/>
        </w:rPr>
        <w:t xml:space="preserve">. </w:t>
      </w:r>
      <w:r w:rsidR="006F078E" w:rsidRPr="001D57AE">
        <w:rPr>
          <w:szCs w:val="22"/>
        </w:rPr>
        <w:t>The equivalence of the treatment groups regarding the number of oocytes retrieved was achieved</w:t>
      </w:r>
      <w:r w:rsidR="004D4380" w:rsidRPr="001D57AE">
        <w:rPr>
          <w:szCs w:val="22"/>
        </w:rPr>
        <w:t xml:space="preserve"> for both study populations</w:t>
      </w:r>
      <w:r w:rsidR="006F078E" w:rsidRPr="001D57AE">
        <w:rPr>
          <w:szCs w:val="22"/>
        </w:rPr>
        <w:t>, using a</w:t>
      </w:r>
      <w:r w:rsidR="00925FD1" w:rsidRPr="001D57AE">
        <w:rPr>
          <w:szCs w:val="22"/>
        </w:rPr>
        <w:t>n</w:t>
      </w:r>
      <w:r w:rsidR="006F078E" w:rsidRPr="001D57AE">
        <w:rPr>
          <w:szCs w:val="22"/>
        </w:rPr>
        <w:t xml:space="preserve"> equivalence margin of </w:t>
      </w:r>
      <w:r w:rsidR="00925FD1" w:rsidRPr="001D57AE">
        <w:rPr>
          <w:szCs w:val="22"/>
        </w:rPr>
        <w:t>&lt;</w:t>
      </w:r>
      <w:r w:rsidR="006F078E" w:rsidRPr="001D57AE">
        <w:rPr>
          <w:szCs w:val="22"/>
        </w:rPr>
        <w:t xml:space="preserve">+/- </w:t>
      </w:r>
      <w:r w:rsidR="004D4380" w:rsidRPr="001D57AE">
        <w:rPr>
          <w:szCs w:val="22"/>
        </w:rPr>
        <w:t>2.9</w:t>
      </w:r>
      <w:r w:rsidR="006F078E" w:rsidRPr="001D57AE">
        <w:rPr>
          <w:szCs w:val="22"/>
        </w:rPr>
        <w:t xml:space="preserve">. </w:t>
      </w:r>
      <w:r w:rsidR="005700F2" w:rsidRPr="001D57AE">
        <w:rPr>
          <w:szCs w:val="22"/>
        </w:rPr>
        <w:t>The 95% CI (-0.81</w:t>
      </w:r>
      <w:r w:rsidR="00D440E6" w:rsidRPr="001D57AE">
        <w:rPr>
          <w:szCs w:val="22"/>
        </w:rPr>
        <w:t>, 1.79</w:t>
      </w:r>
      <w:r w:rsidR="005700F2" w:rsidRPr="001D57AE">
        <w:rPr>
          <w:szCs w:val="22"/>
        </w:rPr>
        <w:t>) was within the non-inferiority margin previously accepted by the PBAC (-3</w:t>
      </w:r>
      <w:r w:rsidR="00D440E6" w:rsidRPr="001D57AE">
        <w:rPr>
          <w:szCs w:val="22"/>
        </w:rPr>
        <w:t>, +5</w:t>
      </w:r>
      <w:r w:rsidR="005700F2" w:rsidRPr="001D57AE">
        <w:rPr>
          <w:szCs w:val="22"/>
        </w:rPr>
        <w:t xml:space="preserve">). </w:t>
      </w:r>
      <w:r w:rsidR="004D4380" w:rsidRPr="001D57AE">
        <w:rPr>
          <w:szCs w:val="22"/>
        </w:rPr>
        <w:t>Th</w:t>
      </w:r>
      <w:r w:rsidR="00B90994" w:rsidRPr="001D57AE">
        <w:rPr>
          <w:szCs w:val="22"/>
        </w:rPr>
        <w:t>e robustness of this</w:t>
      </w:r>
      <w:r w:rsidR="004D4380" w:rsidRPr="001D57AE">
        <w:rPr>
          <w:szCs w:val="22"/>
        </w:rPr>
        <w:t xml:space="preserve"> result was confirmed by Schuirmann’s TOST test.</w:t>
      </w:r>
    </w:p>
    <w:p w:rsidR="008241F3" w:rsidRPr="001D57AE" w:rsidRDefault="008241F3" w:rsidP="008241F3">
      <w:pPr>
        <w:pStyle w:val="ListParagraph"/>
        <w:jc w:val="both"/>
        <w:rPr>
          <w:szCs w:val="22"/>
        </w:rPr>
      </w:pPr>
    </w:p>
    <w:p w:rsidR="008241F3" w:rsidRPr="001D57AE" w:rsidRDefault="008241F3" w:rsidP="006F078E">
      <w:pPr>
        <w:pStyle w:val="ListParagraph"/>
        <w:numPr>
          <w:ilvl w:val="1"/>
          <w:numId w:val="2"/>
        </w:numPr>
        <w:jc w:val="both"/>
        <w:rPr>
          <w:szCs w:val="22"/>
        </w:rPr>
      </w:pPr>
      <w:r w:rsidRPr="001D57AE">
        <w:rPr>
          <w:szCs w:val="22"/>
        </w:rPr>
        <w:t xml:space="preserve">Table </w:t>
      </w:r>
      <w:r w:rsidR="004819A0" w:rsidRPr="001D57AE">
        <w:rPr>
          <w:szCs w:val="22"/>
        </w:rPr>
        <w:t xml:space="preserve">6 </w:t>
      </w:r>
      <w:r w:rsidR="007D0A96" w:rsidRPr="001D57AE">
        <w:rPr>
          <w:szCs w:val="22"/>
        </w:rPr>
        <w:t xml:space="preserve">presents </w:t>
      </w:r>
      <w:r w:rsidR="005700F2" w:rsidRPr="001D57AE">
        <w:rPr>
          <w:szCs w:val="22"/>
        </w:rPr>
        <w:t>the</w:t>
      </w:r>
      <w:r w:rsidRPr="001D57AE">
        <w:rPr>
          <w:szCs w:val="22"/>
        </w:rPr>
        <w:t xml:space="preserve"> patient-relevant </w:t>
      </w:r>
      <w:r w:rsidR="00237377" w:rsidRPr="001D57AE">
        <w:rPr>
          <w:szCs w:val="22"/>
        </w:rPr>
        <w:t xml:space="preserve">pregnancy </w:t>
      </w:r>
      <w:r w:rsidRPr="001D57AE">
        <w:rPr>
          <w:szCs w:val="22"/>
        </w:rPr>
        <w:t>outcomes</w:t>
      </w:r>
      <w:r w:rsidR="005700F2" w:rsidRPr="001D57AE">
        <w:rPr>
          <w:szCs w:val="22"/>
        </w:rPr>
        <w:t xml:space="preserve"> (</w:t>
      </w:r>
      <w:r w:rsidR="00237377" w:rsidRPr="001D57AE">
        <w:rPr>
          <w:szCs w:val="22"/>
        </w:rPr>
        <w:t>secondary efficacy endpoints</w:t>
      </w:r>
      <w:r w:rsidR="005700F2" w:rsidRPr="001D57AE">
        <w:rPr>
          <w:szCs w:val="22"/>
        </w:rPr>
        <w:t>)</w:t>
      </w:r>
      <w:r w:rsidR="00237377" w:rsidRPr="001D57AE">
        <w:rPr>
          <w:szCs w:val="22"/>
        </w:rPr>
        <w:t xml:space="preserve"> in FIN3001.</w:t>
      </w:r>
    </w:p>
    <w:p w:rsidR="006C28A0" w:rsidRDefault="006C28A0">
      <w:pPr>
        <w:rPr>
          <w:szCs w:val="22"/>
        </w:rPr>
      </w:pPr>
      <w:r>
        <w:rPr>
          <w:szCs w:val="22"/>
        </w:rPr>
        <w:br w:type="page"/>
      </w:r>
    </w:p>
    <w:p w:rsidR="00237377" w:rsidRPr="00237377" w:rsidRDefault="00237377" w:rsidP="00237377">
      <w:pPr>
        <w:pStyle w:val="ListParagraph"/>
        <w:rPr>
          <w:szCs w:val="22"/>
        </w:rPr>
      </w:pPr>
    </w:p>
    <w:p w:rsidR="00237377" w:rsidRPr="00237377" w:rsidRDefault="00237377" w:rsidP="00237377">
      <w:pPr>
        <w:pStyle w:val="Tablename"/>
        <w:rPr>
          <w:rFonts w:eastAsiaTheme="minorHAnsi"/>
          <w:lang w:eastAsia="en-US"/>
        </w:rPr>
      </w:pPr>
      <w:bookmarkStart w:id="4" w:name="_Ref436145641"/>
      <w:bookmarkStart w:id="5" w:name="_Toc438116926"/>
      <w:r w:rsidRPr="00237377">
        <w:rPr>
          <w:rFonts w:eastAsiaTheme="minorHAnsi"/>
          <w:lang w:eastAsia="en-US"/>
        </w:rPr>
        <w:t>Table</w:t>
      </w:r>
      <w:bookmarkEnd w:id="4"/>
      <w:r w:rsidR="000272AC">
        <w:rPr>
          <w:rFonts w:eastAsiaTheme="minorHAnsi"/>
          <w:lang w:eastAsia="en-US"/>
        </w:rPr>
        <w:t xml:space="preserve"> </w:t>
      </w:r>
      <w:r w:rsidR="004819A0">
        <w:rPr>
          <w:rFonts w:eastAsiaTheme="minorHAnsi"/>
          <w:lang w:eastAsia="en-US"/>
        </w:rPr>
        <w:t>6</w:t>
      </w:r>
      <w:r>
        <w:rPr>
          <w:rFonts w:eastAsiaTheme="minorHAnsi"/>
          <w:lang w:eastAsia="en-US"/>
        </w:rPr>
        <w:t>: Results of pregnancy rates</w:t>
      </w:r>
      <w:bookmarkEnd w:id="5"/>
      <w:r w:rsidR="000272AC">
        <w:rPr>
          <w:rFonts w:eastAsiaTheme="minorHAnsi"/>
          <w:lang w:eastAsia="en-US"/>
        </w:rPr>
        <w:t xml:space="preserve"> in FIN3001</w:t>
      </w:r>
      <w:r>
        <w:rPr>
          <w:rFonts w:eastAsiaTheme="minorHAnsi"/>
          <w:lang w:eastAsia="en-US"/>
        </w:rPr>
        <w:t xml:space="preserve">, </w:t>
      </w:r>
      <w:r w:rsidR="0086680E">
        <w:rPr>
          <w:rFonts w:eastAsiaTheme="minorHAnsi"/>
          <w:lang w:eastAsia="en-US"/>
        </w:rPr>
        <w:t xml:space="preserve">PP and </w:t>
      </w:r>
      <w:r>
        <w:rPr>
          <w:rFonts w:eastAsiaTheme="minorHAnsi"/>
          <w:lang w:eastAsia="en-US"/>
        </w:rPr>
        <w:t>mITT population</w:t>
      </w:r>
      <w:r w:rsidR="0086680E">
        <w:rPr>
          <w:rFonts w:eastAsiaTheme="minorHAnsi"/>
          <w:lang w:eastAsia="en-US"/>
        </w:rPr>
        <w:t>s</w:t>
      </w:r>
      <w:r>
        <w:rPr>
          <w:rFonts w:eastAsiaTheme="minorHAnsi"/>
          <w:lang w:eastAsia="en-US"/>
        </w:rPr>
        <w:t xml:space="preserve"> </w:t>
      </w:r>
    </w:p>
    <w:tbl>
      <w:tblPr>
        <w:tblStyle w:val="Summarybox4"/>
        <w:tblW w:w="4602" w:type="pct"/>
        <w:tblInd w:w="720" w:type="dxa"/>
        <w:tblLook w:val="04A0" w:firstRow="1" w:lastRow="0" w:firstColumn="1" w:lastColumn="0" w:noHBand="0" w:noVBand="1"/>
        <w:tblCaption w:val="Table 6: Results of pregnancy rates in FIN3001, PP and mITT populations "/>
      </w:tblPr>
      <w:tblGrid>
        <w:gridCol w:w="2127"/>
        <w:gridCol w:w="1558"/>
        <w:gridCol w:w="1558"/>
        <w:gridCol w:w="1841"/>
        <w:gridCol w:w="1422"/>
      </w:tblGrid>
      <w:tr w:rsidR="00985186" w:rsidRPr="00237377" w:rsidTr="00002A96">
        <w:trPr>
          <w:tblHeader/>
        </w:trPr>
        <w:tc>
          <w:tcPr>
            <w:tcW w:w="1250" w:type="pct"/>
            <w:shd w:val="clear" w:color="auto" w:fill="FFFFFF" w:themeFill="background1"/>
            <w:vAlign w:val="center"/>
          </w:tcPr>
          <w:p w:rsidR="003260A9" w:rsidRPr="00237377" w:rsidRDefault="003260A9" w:rsidP="00237377">
            <w:pPr>
              <w:rPr>
                <w:rFonts w:ascii="Arial Narrow" w:hAnsi="Arial Narrow"/>
                <w:b/>
                <w:sz w:val="20"/>
                <w:szCs w:val="22"/>
              </w:rPr>
            </w:pPr>
          </w:p>
        </w:tc>
        <w:tc>
          <w:tcPr>
            <w:tcW w:w="916" w:type="pct"/>
            <w:shd w:val="clear" w:color="auto" w:fill="FFFFFF" w:themeFill="background1"/>
            <w:vAlign w:val="center"/>
          </w:tcPr>
          <w:p w:rsidR="003260A9" w:rsidRDefault="003260A9" w:rsidP="003260A9">
            <w:pPr>
              <w:jc w:val="center"/>
              <w:rPr>
                <w:rFonts w:ascii="Arial Narrow" w:hAnsi="Arial Narrow"/>
                <w:b/>
                <w:sz w:val="20"/>
                <w:szCs w:val="22"/>
              </w:rPr>
            </w:pPr>
            <w:r w:rsidRPr="003260A9">
              <w:rPr>
                <w:rFonts w:ascii="Arial Narrow" w:hAnsi="Arial Narrow"/>
                <w:b/>
                <w:sz w:val="20"/>
                <w:szCs w:val="22"/>
              </w:rPr>
              <w:t>Bemfola</w:t>
            </w:r>
            <w:r w:rsidRPr="003260A9">
              <w:rPr>
                <w:rFonts w:ascii="Arial Narrow" w:hAnsi="Arial Narrow"/>
                <w:b/>
                <w:sz w:val="20"/>
                <w:szCs w:val="22"/>
                <w:vertAlign w:val="superscript"/>
              </w:rPr>
              <w:t>®</w:t>
            </w:r>
            <w:r>
              <w:rPr>
                <w:rFonts w:ascii="Arial Narrow" w:hAnsi="Arial Narrow"/>
                <w:b/>
                <w:sz w:val="20"/>
                <w:szCs w:val="22"/>
              </w:rPr>
              <w:t xml:space="preserve"> </w:t>
            </w:r>
          </w:p>
          <w:p w:rsidR="003260A9" w:rsidRPr="00237377" w:rsidRDefault="003260A9" w:rsidP="003260A9">
            <w:pPr>
              <w:jc w:val="center"/>
              <w:rPr>
                <w:rFonts w:ascii="Arial Narrow" w:hAnsi="Arial Narrow"/>
                <w:b/>
                <w:sz w:val="20"/>
                <w:szCs w:val="22"/>
              </w:rPr>
            </w:pPr>
            <w:r>
              <w:rPr>
                <w:rFonts w:ascii="Arial Narrow" w:hAnsi="Arial Narrow"/>
                <w:b/>
                <w:sz w:val="20"/>
                <w:szCs w:val="22"/>
              </w:rPr>
              <w:t>n/N (%)</w:t>
            </w:r>
          </w:p>
        </w:tc>
        <w:tc>
          <w:tcPr>
            <w:tcW w:w="916" w:type="pct"/>
            <w:shd w:val="clear" w:color="auto" w:fill="FFFFFF" w:themeFill="background1"/>
            <w:vAlign w:val="center"/>
          </w:tcPr>
          <w:p w:rsidR="003260A9" w:rsidRDefault="003260A9" w:rsidP="003260A9">
            <w:pPr>
              <w:jc w:val="center"/>
              <w:rPr>
                <w:rFonts w:ascii="Arial Narrow" w:hAnsi="Arial Narrow"/>
                <w:b/>
                <w:sz w:val="20"/>
                <w:szCs w:val="22"/>
              </w:rPr>
            </w:pPr>
            <w:r w:rsidRPr="003260A9">
              <w:rPr>
                <w:rFonts w:ascii="Arial Narrow" w:hAnsi="Arial Narrow"/>
                <w:b/>
                <w:sz w:val="20"/>
                <w:szCs w:val="22"/>
              </w:rPr>
              <w:t>Gonal-f</w:t>
            </w:r>
            <w:r w:rsidRPr="003260A9">
              <w:rPr>
                <w:rFonts w:ascii="Arial Narrow" w:hAnsi="Arial Narrow"/>
                <w:b/>
                <w:sz w:val="20"/>
                <w:szCs w:val="22"/>
                <w:vertAlign w:val="superscript"/>
              </w:rPr>
              <w:t>®</w:t>
            </w:r>
            <w:r>
              <w:rPr>
                <w:rFonts w:ascii="Arial Narrow" w:hAnsi="Arial Narrow"/>
                <w:b/>
                <w:sz w:val="20"/>
                <w:szCs w:val="22"/>
              </w:rPr>
              <w:t xml:space="preserve"> </w:t>
            </w:r>
          </w:p>
          <w:p w:rsidR="003260A9" w:rsidRPr="00237377" w:rsidRDefault="003260A9" w:rsidP="003260A9">
            <w:pPr>
              <w:jc w:val="center"/>
              <w:rPr>
                <w:rFonts w:ascii="Arial Narrow" w:hAnsi="Arial Narrow"/>
                <w:b/>
                <w:sz w:val="20"/>
                <w:szCs w:val="22"/>
              </w:rPr>
            </w:pPr>
            <w:r>
              <w:rPr>
                <w:rFonts w:ascii="Arial Narrow" w:hAnsi="Arial Narrow"/>
                <w:b/>
                <w:sz w:val="20"/>
                <w:szCs w:val="22"/>
              </w:rPr>
              <w:t>n/N (%)</w:t>
            </w:r>
          </w:p>
        </w:tc>
        <w:tc>
          <w:tcPr>
            <w:tcW w:w="1082" w:type="pct"/>
            <w:shd w:val="clear" w:color="auto" w:fill="FFFFFF" w:themeFill="background1"/>
            <w:vAlign w:val="center"/>
          </w:tcPr>
          <w:p w:rsidR="003260A9" w:rsidRPr="00985186" w:rsidRDefault="003260A9" w:rsidP="00237377">
            <w:pPr>
              <w:jc w:val="center"/>
              <w:rPr>
                <w:rFonts w:ascii="Arial Narrow" w:hAnsi="Arial Narrow"/>
                <w:b/>
                <w:i/>
                <w:sz w:val="20"/>
                <w:szCs w:val="22"/>
              </w:rPr>
            </w:pPr>
            <w:r w:rsidRPr="00985186">
              <w:rPr>
                <w:rFonts w:ascii="Arial Narrow" w:hAnsi="Arial Narrow"/>
                <w:b/>
                <w:i/>
                <w:sz w:val="20"/>
                <w:szCs w:val="22"/>
              </w:rPr>
              <w:t>RD</w:t>
            </w:r>
          </w:p>
          <w:p w:rsidR="00985186" w:rsidRPr="00237377" w:rsidRDefault="00985186" w:rsidP="00237377">
            <w:pPr>
              <w:jc w:val="center"/>
              <w:rPr>
                <w:rFonts w:ascii="Arial Narrow" w:hAnsi="Arial Narrow"/>
                <w:b/>
                <w:i/>
                <w:sz w:val="20"/>
                <w:szCs w:val="22"/>
              </w:rPr>
            </w:pPr>
            <w:r w:rsidRPr="00985186">
              <w:rPr>
                <w:rFonts w:ascii="Arial Narrow" w:hAnsi="Arial Narrow"/>
                <w:b/>
                <w:i/>
                <w:sz w:val="20"/>
                <w:szCs w:val="22"/>
              </w:rPr>
              <w:t>[95% CI]</w:t>
            </w:r>
            <w:r w:rsidRPr="00985186">
              <w:rPr>
                <w:rFonts w:ascii="Arial Narrow" w:hAnsi="Arial Narrow"/>
                <w:b/>
                <w:i/>
                <w:sz w:val="20"/>
                <w:szCs w:val="22"/>
                <w:vertAlign w:val="superscript"/>
              </w:rPr>
              <w:t>a</w:t>
            </w:r>
          </w:p>
        </w:tc>
        <w:tc>
          <w:tcPr>
            <w:tcW w:w="836" w:type="pct"/>
            <w:shd w:val="clear" w:color="auto" w:fill="FFFFFF" w:themeFill="background1"/>
          </w:tcPr>
          <w:p w:rsidR="003260A9" w:rsidRPr="00985186" w:rsidRDefault="003260A9" w:rsidP="00237377">
            <w:pPr>
              <w:jc w:val="center"/>
              <w:rPr>
                <w:rFonts w:ascii="Arial Narrow" w:hAnsi="Arial Narrow"/>
                <w:b/>
                <w:i/>
                <w:sz w:val="20"/>
                <w:szCs w:val="22"/>
              </w:rPr>
            </w:pPr>
            <w:r w:rsidRPr="00985186">
              <w:rPr>
                <w:rFonts w:ascii="Arial Narrow" w:hAnsi="Arial Narrow"/>
                <w:b/>
                <w:i/>
                <w:sz w:val="20"/>
                <w:szCs w:val="22"/>
              </w:rPr>
              <w:t>RR</w:t>
            </w:r>
          </w:p>
          <w:p w:rsidR="00985186" w:rsidRPr="00985186" w:rsidRDefault="00985186" w:rsidP="00237377">
            <w:pPr>
              <w:jc w:val="center"/>
              <w:rPr>
                <w:rFonts w:ascii="Arial Narrow" w:hAnsi="Arial Narrow"/>
                <w:b/>
                <w:i/>
                <w:sz w:val="20"/>
                <w:szCs w:val="22"/>
              </w:rPr>
            </w:pPr>
            <w:r w:rsidRPr="00985186">
              <w:rPr>
                <w:rFonts w:ascii="Arial Narrow" w:hAnsi="Arial Narrow"/>
                <w:b/>
                <w:i/>
                <w:sz w:val="20"/>
                <w:szCs w:val="22"/>
              </w:rPr>
              <w:t>[95% CI]</w:t>
            </w:r>
            <w:r w:rsidRPr="00985186">
              <w:rPr>
                <w:rFonts w:ascii="Arial Narrow" w:hAnsi="Arial Narrow"/>
                <w:b/>
                <w:i/>
                <w:sz w:val="20"/>
                <w:szCs w:val="22"/>
                <w:vertAlign w:val="superscript"/>
              </w:rPr>
              <w:t>a</w:t>
            </w:r>
          </w:p>
        </w:tc>
      </w:tr>
      <w:tr w:rsidR="00101C0D" w:rsidRPr="00101C0D" w:rsidTr="00DE1698">
        <w:tc>
          <w:tcPr>
            <w:tcW w:w="5000" w:type="pct"/>
            <w:gridSpan w:val="5"/>
            <w:shd w:val="clear" w:color="auto" w:fill="auto"/>
            <w:vAlign w:val="center"/>
          </w:tcPr>
          <w:p w:rsidR="00101C0D" w:rsidRPr="00101C0D" w:rsidRDefault="00101C0D" w:rsidP="00101C0D">
            <w:pPr>
              <w:ind w:left="-57" w:right="-57"/>
              <w:rPr>
                <w:rFonts w:ascii="Arial Narrow" w:hAnsi="Arial Narrow"/>
                <w:b/>
                <w:i/>
                <w:sz w:val="20"/>
                <w:szCs w:val="22"/>
              </w:rPr>
            </w:pPr>
            <w:r w:rsidRPr="00101C0D">
              <w:rPr>
                <w:rFonts w:ascii="Arial Narrow" w:hAnsi="Arial Narrow"/>
                <w:b/>
                <w:i/>
                <w:sz w:val="20"/>
                <w:szCs w:val="22"/>
              </w:rPr>
              <w:t>PP population</w:t>
            </w:r>
            <w:r w:rsidRPr="00101C0D">
              <w:rPr>
                <w:rFonts w:ascii="Arial Narrow" w:hAnsi="Arial Narrow"/>
                <w:b/>
                <w:i/>
                <w:sz w:val="20"/>
                <w:szCs w:val="22"/>
                <w:vertAlign w:val="superscript"/>
              </w:rPr>
              <w:t>b</w:t>
            </w:r>
          </w:p>
        </w:tc>
      </w:tr>
      <w:tr w:rsidR="00101C0D" w:rsidRPr="00101C0D" w:rsidTr="00DE1698">
        <w:tc>
          <w:tcPr>
            <w:tcW w:w="1250" w:type="pct"/>
            <w:shd w:val="clear" w:color="auto" w:fill="auto"/>
            <w:vAlign w:val="center"/>
          </w:tcPr>
          <w:p w:rsidR="00101C0D" w:rsidRPr="00101C0D" w:rsidRDefault="00101C0D" w:rsidP="00101C0D">
            <w:pPr>
              <w:ind w:right="-57"/>
              <w:rPr>
                <w:rFonts w:ascii="Arial Narrow" w:hAnsi="Arial Narrow"/>
                <w:i/>
                <w:sz w:val="20"/>
                <w:szCs w:val="22"/>
              </w:rPr>
            </w:pPr>
            <w:r w:rsidRPr="00101C0D">
              <w:rPr>
                <w:rFonts w:ascii="Arial Narrow" w:hAnsi="Arial Narrow"/>
                <w:i/>
                <w:sz w:val="20"/>
                <w:szCs w:val="22"/>
              </w:rPr>
              <w:t>Patients undergoing embryo transfer</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Pr>
                <w:rFonts w:ascii="Arial Narrow" w:hAnsi="Arial Narrow"/>
                <w:i/>
                <w:sz w:val="20"/>
                <w:szCs w:val="22"/>
              </w:rPr>
              <w:t xml:space="preserve"> (</w:t>
            </w:r>
            <w:r>
              <w:rPr>
                <w:rFonts w:ascii="Arial Narrow" w:hAnsi="Arial Narrow"/>
                <w:i/>
                <w:noProof/>
                <w:color w:val="000000"/>
                <w:sz w:val="20"/>
                <w:szCs w:val="22"/>
                <w:highlight w:val="black"/>
              </w:rPr>
              <w:t>'''''''''''</w:t>
            </w:r>
            <w:r w:rsidR="00101C0D">
              <w:rPr>
                <w:rFonts w:ascii="Arial Narrow" w:hAnsi="Arial Narrow"/>
                <w:i/>
                <w:sz w:val="20"/>
                <w:szCs w:val="22"/>
              </w:rPr>
              <w:t>%)</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Pr>
                <w:rFonts w:ascii="Arial Narrow" w:hAnsi="Arial Narrow"/>
                <w:i/>
                <w:sz w:val="20"/>
                <w:szCs w:val="22"/>
              </w:rPr>
              <w:t xml:space="preserve"> (</w:t>
            </w:r>
            <w:r>
              <w:rPr>
                <w:rFonts w:ascii="Arial Narrow" w:hAnsi="Arial Narrow"/>
                <w:i/>
                <w:noProof/>
                <w:color w:val="000000"/>
                <w:sz w:val="20"/>
                <w:szCs w:val="22"/>
                <w:highlight w:val="black"/>
              </w:rPr>
              <w:t>'''''''''''</w:t>
            </w:r>
            <w:r w:rsidR="00101C0D">
              <w:rPr>
                <w:rFonts w:ascii="Arial Narrow" w:hAnsi="Arial Narrow"/>
                <w:i/>
                <w:sz w:val="20"/>
                <w:szCs w:val="22"/>
              </w:rPr>
              <w:t>%)</w:t>
            </w:r>
          </w:p>
        </w:tc>
        <w:tc>
          <w:tcPr>
            <w:tcW w:w="1082"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Pr>
                <w:rFonts w:ascii="Arial Narrow" w:hAnsi="Arial Narrow"/>
                <w:i/>
                <w:sz w:val="20"/>
                <w:szCs w:val="22"/>
              </w:rPr>
              <w:t>% [-</w:t>
            </w:r>
            <w:r>
              <w:rPr>
                <w:rFonts w:ascii="Arial Narrow" w:hAnsi="Arial Narrow"/>
                <w:i/>
                <w:noProof/>
                <w:color w:val="000000"/>
                <w:sz w:val="20"/>
                <w:szCs w:val="22"/>
                <w:highlight w:val="black"/>
              </w:rPr>
              <w:t>'''''''''</w:t>
            </w:r>
            <w:r w:rsidR="00101C0D">
              <w:rPr>
                <w:rFonts w:ascii="Arial Narrow" w:hAnsi="Arial Narrow"/>
                <w:i/>
                <w:sz w:val="20"/>
                <w:szCs w:val="22"/>
              </w:rPr>
              <w:t xml:space="preserve">%, </w:t>
            </w:r>
            <w:r>
              <w:rPr>
                <w:rFonts w:ascii="Arial Narrow" w:hAnsi="Arial Narrow"/>
                <w:i/>
                <w:noProof/>
                <w:color w:val="000000"/>
                <w:sz w:val="20"/>
                <w:szCs w:val="22"/>
                <w:highlight w:val="black"/>
              </w:rPr>
              <w:t>''''''''</w:t>
            </w:r>
            <w:r w:rsidR="00101C0D">
              <w:rPr>
                <w:rFonts w:ascii="Arial Narrow" w:hAnsi="Arial Narrow"/>
                <w:i/>
                <w:sz w:val="20"/>
                <w:szCs w:val="22"/>
              </w:rPr>
              <w:t>%]</w:t>
            </w:r>
          </w:p>
        </w:tc>
        <w:tc>
          <w:tcPr>
            <w:tcW w:w="836" w:type="pct"/>
            <w:vAlign w:val="center"/>
          </w:tcPr>
          <w:p w:rsidR="00101C0D" w:rsidRPr="005F52F9" w:rsidRDefault="005F52F9" w:rsidP="0086680E">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101C0D" w:rsidTr="00DE1698">
        <w:tc>
          <w:tcPr>
            <w:tcW w:w="1250" w:type="pct"/>
            <w:shd w:val="clear" w:color="auto" w:fill="auto"/>
          </w:tcPr>
          <w:p w:rsidR="00101C0D" w:rsidRPr="00101C0D" w:rsidRDefault="00101C0D" w:rsidP="00101C0D">
            <w:pPr>
              <w:ind w:right="-57"/>
              <w:rPr>
                <w:rFonts w:ascii="Arial Narrow" w:hAnsi="Arial Narrow"/>
                <w:i/>
                <w:sz w:val="20"/>
                <w:szCs w:val="22"/>
                <w:vertAlign w:val="superscript"/>
              </w:rPr>
            </w:pPr>
            <w:r w:rsidRPr="00101C0D">
              <w:rPr>
                <w:rFonts w:ascii="Arial Narrow" w:hAnsi="Arial Narrow"/>
                <w:i/>
                <w:sz w:val="20"/>
                <w:szCs w:val="22"/>
              </w:rPr>
              <w:t>Biochemical pregnanc</w:t>
            </w:r>
            <w:r>
              <w:rPr>
                <w:rFonts w:ascii="Arial Narrow" w:hAnsi="Arial Narrow"/>
                <w:i/>
                <w:sz w:val="20"/>
                <w:szCs w:val="22"/>
              </w:rPr>
              <w:t>y</w:t>
            </w:r>
            <w:r>
              <w:rPr>
                <w:rFonts w:ascii="Arial Narrow" w:hAnsi="Arial Narrow"/>
                <w:i/>
                <w:sz w:val="20"/>
                <w:szCs w:val="22"/>
                <w:vertAlign w:val="superscript"/>
              </w:rPr>
              <w:t>c,d</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Pr>
                <w:rFonts w:ascii="Arial Narrow" w:hAnsi="Arial Narrow"/>
                <w:i/>
                <w:sz w:val="20"/>
                <w:szCs w:val="22"/>
              </w:rPr>
              <w:t xml:space="preserve"> (</w:t>
            </w:r>
            <w:r>
              <w:rPr>
                <w:rFonts w:ascii="Arial Narrow" w:hAnsi="Arial Narrow"/>
                <w:i/>
                <w:noProof/>
                <w:color w:val="000000"/>
                <w:sz w:val="20"/>
                <w:szCs w:val="22"/>
                <w:highlight w:val="black"/>
              </w:rPr>
              <w:t>''''''''''</w:t>
            </w:r>
            <w:r w:rsidR="00101C0D">
              <w:rPr>
                <w:rFonts w:ascii="Arial Narrow" w:hAnsi="Arial Narrow"/>
                <w:i/>
                <w:sz w:val="20"/>
                <w:szCs w:val="22"/>
              </w:rPr>
              <w:t>%)</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Pr>
                <w:rFonts w:ascii="Arial Narrow" w:hAnsi="Arial Narrow"/>
                <w:i/>
                <w:sz w:val="20"/>
                <w:szCs w:val="22"/>
              </w:rPr>
              <w:t xml:space="preserve"> (</w:t>
            </w:r>
            <w:r>
              <w:rPr>
                <w:rFonts w:ascii="Arial Narrow" w:hAnsi="Arial Narrow"/>
                <w:i/>
                <w:noProof/>
                <w:color w:val="000000"/>
                <w:sz w:val="20"/>
                <w:szCs w:val="22"/>
                <w:highlight w:val="black"/>
              </w:rPr>
              <w:t>'''''''''''</w:t>
            </w:r>
            <w:r w:rsidR="00101C0D">
              <w:rPr>
                <w:rFonts w:ascii="Arial Narrow" w:hAnsi="Arial Narrow"/>
                <w:i/>
                <w:sz w:val="20"/>
                <w:szCs w:val="22"/>
              </w:rPr>
              <w:t>%)</w:t>
            </w:r>
          </w:p>
        </w:tc>
        <w:tc>
          <w:tcPr>
            <w:tcW w:w="1082"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Pr>
                <w:rFonts w:ascii="Arial Narrow" w:hAnsi="Arial Narrow"/>
                <w:i/>
                <w:sz w:val="20"/>
                <w:szCs w:val="22"/>
              </w:rPr>
              <w:t>% [-</w:t>
            </w:r>
            <w:r>
              <w:rPr>
                <w:rFonts w:ascii="Arial Narrow" w:hAnsi="Arial Narrow"/>
                <w:i/>
                <w:noProof/>
                <w:color w:val="000000"/>
                <w:sz w:val="20"/>
                <w:szCs w:val="22"/>
                <w:highlight w:val="black"/>
              </w:rPr>
              <w:t>'''''''''</w:t>
            </w:r>
            <w:r w:rsidR="00101C0D">
              <w:rPr>
                <w:rFonts w:ascii="Arial Narrow" w:hAnsi="Arial Narrow"/>
                <w:i/>
                <w:sz w:val="20"/>
                <w:szCs w:val="22"/>
              </w:rPr>
              <w:t xml:space="preserve">%, </w:t>
            </w:r>
            <w:r>
              <w:rPr>
                <w:rFonts w:ascii="Arial Narrow" w:hAnsi="Arial Narrow"/>
                <w:i/>
                <w:noProof/>
                <w:color w:val="000000"/>
                <w:sz w:val="20"/>
                <w:szCs w:val="22"/>
                <w:highlight w:val="black"/>
              </w:rPr>
              <w:t>''''''''''</w:t>
            </w:r>
            <w:r w:rsidR="00101C0D">
              <w:rPr>
                <w:rFonts w:ascii="Arial Narrow" w:hAnsi="Arial Narrow"/>
                <w:i/>
                <w:sz w:val="20"/>
                <w:szCs w:val="22"/>
              </w:rPr>
              <w:t>%]</w:t>
            </w:r>
          </w:p>
        </w:tc>
        <w:tc>
          <w:tcPr>
            <w:tcW w:w="836" w:type="pct"/>
          </w:tcPr>
          <w:p w:rsidR="00101C0D" w:rsidRPr="005F52F9" w:rsidRDefault="005F52F9" w:rsidP="00101C0D">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101C0D" w:rsidTr="00DE1698">
        <w:tc>
          <w:tcPr>
            <w:tcW w:w="1250" w:type="pct"/>
            <w:shd w:val="clear" w:color="auto" w:fill="auto"/>
          </w:tcPr>
          <w:p w:rsidR="00101C0D" w:rsidRPr="00101C0D" w:rsidRDefault="00101C0D" w:rsidP="00101C0D">
            <w:pPr>
              <w:ind w:right="-57"/>
              <w:rPr>
                <w:rFonts w:ascii="Arial Narrow" w:hAnsi="Arial Narrow"/>
                <w:i/>
                <w:sz w:val="20"/>
                <w:szCs w:val="22"/>
              </w:rPr>
            </w:pPr>
            <w:r w:rsidRPr="00101C0D">
              <w:rPr>
                <w:rFonts w:ascii="Arial Narrow" w:hAnsi="Arial Narrow"/>
                <w:i/>
                <w:sz w:val="20"/>
                <w:szCs w:val="22"/>
              </w:rPr>
              <w:t>Ongoing pregnancy</w:t>
            </w:r>
            <w:r>
              <w:rPr>
                <w:rFonts w:ascii="Arial Narrow" w:hAnsi="Arial Narrow"/>
                <w:i/>
                <w:sz w:val="20"/>
                <w:szCs w:val="22"/>
                <w:vertAlign w:val="superscript"/>
              </w:rPr>
              <w:t>c,e</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86680E">
              <w:rPr>
                <w:rFonts w:ascii="Arial Narrow" w:hAnsi="Arial Narrow"/>
                <w:i/>
                <w:sz w:val="20"/>
                <w:szCs w:val="22"/>
              </w:rPr>
              <w:t xml:space="preserve"> (</w:t>
            </w:r>
            <w:r>
              <w:rPr>
                <w:rFonts w:ascii="Arial Narrow" w:hAnsi="Arial Narrow"/>
                <w:i/>
                <w:noProof/>
                <w:color w:val="000000"/>
                <w:sz w:val="20"/>
                <w:szCs w:val="22"/>
                <w:highlight w:val="black"/>
              </w:rPr>
              <w:t>'''''''''''</w:t>
            </w:r>
            <w:r w:rsidR="0086680E">
              <w:rPr>
                <w:rFonts w:ascii="Arial Narrow" w:hAnsi="Arial Narrow"/>
                <w:i/>
                <w:sz w:val="20"/>
                <w:szCs w:val="22"/>
              </w:rPr>
              <w:t>%)</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86680E">
              <w:rPr>
                <w:rFonts w:ascii="Arial Narrow" w:hAnsi="Arial Narrow"/>
                <w:i/>
                <w:sz w:val="20"/>
                <w:szCs w:val="22"/>
              </w:rPr>
              <w:t xml:space="preserve"> (</w:t>
            </w:r>
            <w:r>
              <w:rPr>
                <w:rFonts w:ascii="Arial Narrow" w:hAnsi="Arial Narrow"/>
                <w:i/>
                <w:noProof/>
                <w:color w:val="000000"/>
                <w:sz w:val="20"/>
                <w:szCs w:val="22"/>
                <w:highlight w:val="black"/>
              </w:rPr>
              <w:t>''''''''''''</w:t>
            </w:r>
            <w:r w:rsidR="0086680E">
              <w:rPr>
                <w:rFonts w:ascii="Arial Narrow" w:hAnsi="Arial Narrow"/>
                <w:i/>
                <w:sz w:val="20"/>
                <w:szCs w:val="22"/>
              </w:rPr>
              <w:t>%)</w:t>
            </w:r>
          </w:p>
        </w:tc>
        <w:tc>
          <w:tcPr>
            <w:tcW w:w="1082" w:type="pct"/>
            <w:shd w:val="clear" w:color="auto" w:fill="auto"/>
            <w:vAlign w:val="center"/>
          </w:tcPr>
          <w:p w:rsidR="00101C0D" w:rsidRPr="00101C0D" w:rsidRDefault="0086680E" w:rsidP="00101C0D">
            <w:pPr>
              <w:jc w:val="center"/>
              <w:rPr>
                <w:rFonts w:ascii="Arial Narrow" w:hAnsi="Arial Narrow"/>
                <w:i/>
                <w:sz w:val="20"/>
                <w:szCs w:val="22"/>
              </w:rPr>
            </w:pPr>
            <w:r>
              <w:rPr>
                <w:rFonts w:ascii="Arial Narrow" w:hAnsi="Arial Narrow"/>
                <w:i/>
                <w:sz w:val="20"/>
                <w:szCs w:val="22"/>
              </w:rPr>
              <w:t>-</w:t>
            </w:r>
            <w:r w:rsidR="005F52F9">
              <w:rPr>
                <w:rFonts w:ascii="Arial Narrow" w:hAnsi="Arial Narrow"/>
                <w:i/>
                <w:noProof/>
                <w:color w:val="000000"/>
                <w:sz w:val="20"/>
                <w:szCs w:val="22"/>
                <w:highlight w:val="black"/>
              </w:rPr>
              <w:t>''''''''</w:t>
            </w:r>
            <w:r>
              <w:rPr>
                <w:rFonts w:ascii="Arial Narrow" w:hAnsi="Arial Narrow"/>
                <w:i/>
                <w:sz w:val="20"/>
                <w:szCs w:val="22"/>
              </w:rPr>
              <w:t>% [-</w:t>
            </w:r>
            <w:r w:rsidR="005F52F9">
              <w:rPr>
                <w:rFonts w:ascii="Arial Narrow" w:hAnsi="Arial Narrow"/>
                <w:i/>
                <w:noProof/>
                <w:color w:val="000000"/>
                <w:sz w:val="20"/>
                <w:szCs w:val="22"/>
                <w:highlight w:val="black"/>
              </w:rPr>
              <w:t>'''''''''''</w:t>
            </w:r>
            <w:r>
              <w:rPr>
                <w:rFonts w:ascii="Arial Narrow" w:hAnsi="Arial Narrow"/>
                <w:i/>
                <w:sz w:val="20"/>
                <w:szCs w:val="22"/>
              </w:rPr>
              <w:t xml:space="preserve">%, </w:t>
            </w:r>
            <w:r w:rsidR="005F52F9">
              <w:rPr>
                <w:rFonts w:ascii="Arial Narrow" w:hAnsi="Arial Narrow"/>
                <w:i/>
                <w:noProof/>
                <w:color w:val="000000"/>
                <w:sz w:val="20"/>
                <w:szCs w:val="22"/>
                <w:highlight w:val="black"/>
              </w:rPr>
              <w:t>'''''''''</w:t>
            </w:r>
            <w:r>
              <w:rPr>
                <w:rFonts w:ascii="Arial Narrow" w:hAnsi="Arial Narrow"/>
                <w:i/>
                <w:sz w:val="20"/>
                <w:szCs w:val="22"/>
              </w:rPr>
              <w:t>%]</w:t>
            </w:r>
          </w:p>
        </w:tc>
        <w:tc>
          <w:tcPr>
            <w:tcW w:w="836" w:type="pct"/>
          </w:tcPr>
          <w:p w:rsidR="00101C0D" w:rsidRPr="005F52F9" w:rsidRDefault="005F52F9" w:rsidP="00101C0D">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101C0D" w:rsidTr="00DE1698">
        <w:tc>
          <w:tcPr>
            <w:tcW w:w="1250" w:type="pct"/>
            <w:shd w:val="clear" w:color="auto" w:fill="auto"/>
          </w:tcPr>
          <w:p w:rsidR="00101C0D" w:rsidRPr="00101C0D" w:rsidRDefault="00101C0D" w:rsidP="00101C0D">
            <w:pPr>
              <w:ind w:right="-57"/>
              <w:rPr>
                <w:rFonts w:ascii="Arial Narrow" w:hAnsi="Arial Narrow"/>
                <w:i/>
                <w:sz w:val="20"/>
                <w:szCs w:val="22"/>
              </w:rPr>
            </w:pPr>
            <w:r w:rsidRPr="00101C0D">
              <w:rPr>
                <w:rFonts w:ascii="Arial Narrow" w:hAnsi="Arial Narrow"/>
                <w:i/>
                <w:sz w:val="20"/>
                <w:szCs w:val="22"/>
              </w:rPr>
              <w:t>Live born children</w:t>
            </w:r>
            <w:r>
              <w:rPr>
                <w:rFonts w:ascii="Arial Narrow" w:hAnsi="Arial Narrow"/>
                <w:i/>
                <w:sz w:val="20"/>
                <w:szCs w:val="22"/>
                <w:vertAlign w:val="superscript"/>
              </w:rPr>
              <w:t>c</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86680E">
              <w:rPr>
                <w:rFonts w:ascii="Arial Narrow" w:hAnsi="Arial Narrow"/>
                <w:i/>
                <w:sz w:val="20"/>
                <w:szCs w:val="22"/>
              </w:rPr>
              <w:t xml:space="preserve"> (</w:t>
            </w:r>
            <w:r>
              <w:rPr>
                <w:rFonts w:ascii="Arial Narrow" w:hAnsi="Arial Narrow"/>
                <w:i/>
                <w:noProof/>
                <w:color w:val="000000"/>
                <w:sz w:val="20"/>
                <w:szCs w:val="22"/>
                <w:highlight w:val="black"/>
              </w:rPr>
              <w:t>''''''''''</w:t>
            </w:r>
            <w:r w:rsidR="0086680E">
              <w:rPr>
                <w:rFonts w:ascii="Arial Narrow" w:hAnsi="Arial Narrow"/>
                <w:i/>
                <w:sz w:val="20"/>
                <w:szCs w:val="22"/>
              </w:rPr>
              <w:t>%)</w:t>
            </w:r>
          </w:p>
        </w:tc>
        <w:tc>
          <w:tcPr>
            <w:tcW w:w="916" w:type="pct"/>
            <w:shd w:val="clear" w:color="auto" w:fill="auto"/>
            <w:vAlign w:val="center"/>
          </w:tcPr>
          <w:p w:rsidR="00101C0D" w:rsidRPr="00101C0D"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86680E">
              <w:rPr>
                <w:rFonts w:ascii="Arial Narrow" w:hAnsi="Arial Narrow"/>
                <w:i/>
                <w:sz w:val="20"/>
                <w:szCs w:val="22"/>
              </w:rPr>
              <w:t xml:space="preserve"> (</w:t>
            </w:r>
            <w:r>
              <w:rPr>
                <w:rFonts w:ascii="Arial Narrow" w:hAnsi="Arial Narrow"/>
                <w:i/>
                <w:noProof/>
                <w:color w:val="000000"/>
                <w:sz w:val="20"/>
                <w:szCs w:val="22"/>
                <w:highlight w:val="black"/>
              </w:rPr>
              <w:t>''''''''''</w:t>
            </w:r>
            <w:r w:rsidR="0086680E">
              <w:rPr>
                <w:rFonts w:ascii="Arial Narrow" w:hAnsi="Arial Narrow"/>
                <w:i/>
                <w:sz w:val="20"/>
                <w:szCs w:val="22"/>
              </w:rPr>
              <w:t>%)</w:t>
            </w:r>
          </w:p>
        </w:tc>
        <w:tc>
          <w:tcPr>
            <w:tcW w:w="1082" w:type="pct"/>
            <w:shd w:val="clear" w:color="auto" w:fill="auto"/>
            <w:vAlign w:val="center"/>
          </w:tcPr>
          <w:p w:rsidR="00101C0D" w:rsidRPr="00101C0D" w:rsidRDefault="0086680E" w:rsidP="0086680E">
            <w:pPr>
              <w:jc w:val="center"/>
              <w:rPr>
                <w:rFonts w:ascii="Arial Narrow" w:hAnsi="Arial Narrow"/>
                <w:i/>
                <w:sz w:val="20"/>
                <w:szCs w:val="22"/>
              </w:rPr>
            </w:pPr>
            <w:r>
              <w:rPr>
                <w:rFonts w:ascii="Arial Narrow" w:hAnsi="Arial Narrow"/>
                <w:i/>
                <w:sz w:val="20"/>
                <w:szCs w:val="22"/>
              </w:rPr>
              <w:t>-</w:t>
            </w:r>
            <w:r w:rsidR="005F52F9">
              <w:rPr>
                <w:rFonts w:ascii="Arial Narrow" w:hAnsi="Arial Narrow"/>
                <w:i/>
                <w:noProof/>
                <w:color w:val="000000"/>
                <w:sz w:val="20"/>
                <w:szCs w:val="22"/>
                <w:highlight w:val="black"/>
              </w:rPr>
              <w:t>'''''''</w:t>
            </w:r>
            <w:r>
              <w:rPr>
                <w:rFonts w:ascii="Arial Narrow" w:hAnsi="Arial Narrow"/>
                <w:i/>
                <w:sz w:val="20"/>
                <w:szCs w:val="22"/>
              </w:rPr>
              <w:t>% [-</w:t>
            </w:r>
            <w:r w:rsidR="005F52F9">
              <w:rPr>
                <w:rFonts w:ascii="Arial Narrow" w:hAnsi="Arial Narrow"/>
                <w:i/>
                <w:noProof/>
                <w:color w:val="000000"/>
                <w:sz w:val="20"/>
                <w:szCs w:val="22"/>
                <w:highlight w:val="black"/>
              </w:rPr>
              <w:t>'''''''''''</w:t>
            </w:r>
            <w:r>
              <w:rPr>
                <w:rFonts w:ascii="Arial Narrow" w:hAnsi="Arial Narrow"/>
                <w:i/>
                <w:sz w:val="20"/>
                <w:szCs w:val="22"/>
              </w:rPr>
              <w:t xml:space="preserve">%, </w:t>
            </w:r>
            <w:r w:rsidR="005F52F9">
              <w:rPr>
                <w:rFonts w:ascii="Arial Narrow" w:hAnsi="Arial Narrow"/>
                <w:i/>
                <w:noProof/>
                <w:color w:val="000000"/>
                <w:sz w:val="20"/>
                <w:szCs w:val="22"/>
                <w:highlight w:val="black"/>
              </w:rPr>
              <w:t>'''''''</w:t>
            </w:r>
            <w:r>
              <w:rPr>
                <w:rFonts w:ascii="Arial Narrow" w:hAnsi="Arial Narrow"/>
                <w:i/>
                <w:sz w:val="20"/>
                <w:szCs w:val="22"/>
              </w:rPr>
              <w:t>%]</w:t>
            </w:r>
          </w:p>
        </w:tc>
        <w:tc>
          <w:tcPr>
            <w:tcW w:w="836" w:type="pct"/>
          </w:tcPr>
          <w:p w:rsidR="00101C0D" w:rsidRPr="005F52F9" w:rsidRDefault="005F52F9" w:rsidP="00101C0D">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237377" w:rsidTr="00DE1698">
        <w:tc>
          <w:tcPr>
            <w:tcW w:w="5000" w:type="pct"/>
            <w:gridSpan w:val="5"/>
            <w:shd w:val="clear" w:color="auto" w:fill="auto"/>
            <w:vAlign w:val="center"/>
          </w:tcPr>
          <w:p w:rsidR="00101C0D" w:rsidRPr="00101C0D" w:rsidRDefault="00176D6B" w:rsidP="00101C0D">
            <w:pPr>
              <w:ind w:left="-57" w:right="-57"/>
              <w:rPr>
                <w:rFonts w:ascii="Arial Narrow" w:hAnsi="Arial Narrow"/>
                <w:b/>
                <w:i/>
                <w:sz w:val="20"/>
                <w:szCs w:val="22"/>
              </w:rPr>
            </w:pPr>
            <w:r>
              <w:rPr>
                <w:rFonts w:ascii="Arial Narrow" w:hAnsi="Arial Narrow"/>
                <w:b/>
                <w:sz w:val="20"/>
                <w:szCs w:val="22"/>
              </w:rPr>
              <w:t>m</w:t>
            </w:r>
            <w:r w:rsidR="00101C0D" w:rsidRPr="00101C0D">
              <w:rPr>
                <w:rFonts w:ascii="Arial Narrow" w:hAnsi="Arial Narrow"/>
                <w:b/>
                <w:sz w:val="20"/>
                <w:szCs w:val="22"/>
              </w:rPr>
              <w:t>ITT population</w:t>
            </w:r>
          </w:p>
        </w:tc>
      </w:tr>
      <w:tr w:rsidR="00101C0D" w:rsidRPr="00237377" w:rsidTr="00DE1698">
        <w:tc>
          <w:tcPr>
            <w:tcW w:w="1250" w:type="pct"/>
            <w:shd w:val="clear" w:color="auto" w:fill="auto"/>
            <w:vAlign w:val="center"/>
          </w:tcPr>
          <w:p w:rsidR="00101C0D" w:rsidRPr="00237377" w:rsidRDefault="00101C0D" w:rsidP="00101C0D">
            <w:pPr>
              <w:ind w:right="-57"/>
              <w:rPr>
                <w:rFonts w:ascii="Arial Narrow" w:hAnsi="Arial Narrow"/>
                <w:sz w:val="20"/>
                <w:szCs w:val="22"/>
              </w:rPr>
            </w:pPr>
            <w:r>
              <w:rPr>
                <w:rFonts w:ascii="Arial Narrow" w:hAnsi="Arial Narrow"/>
                <w:sz w:val="20"/>
                <w:szCs w:val="22"/>
              </w:rPr>
              <w:t>P</w:t>
            </w:r>
            <w:r w:rsidRPr="00237377">
              <w:rPr>
                <w:rFonts w:ascii="Arial Narrow" w:hAnsi="Arial Narrow"/>
                <w:sz w:val="20"/>
                <w:szCs w:val="22"/>
              </w:rPr>
              <w:t xml:space="preserve">atients undergoing </w:t>
            </w:r>
            <w:r>
              <w:rPr>
                <w:rFonts w:ascii="Arial Narrow" w:hAnsi="Arial Narrow"/>
                <w:sz w:val="20"/>
                <w:szCs w:val="22"/>
              </w:rPr>
              <w:t>e</w:t>
            </w:r>
            <w:r w:rsidRPr="00237377">
              <w:rPr>
                <w:rFonts w:ascii="Arial Narrow" w:hAnsi="Arial Narrow"/>
                <w:sz w:val="20"/>
                <w:szCs w:val="22"/>
              </w:rPr>
              <w:t xml:space="preserve">mbryo </w:t>
            </w:r>
            <w:r>
              <w:rPr>
                <w:rFonts w:ascii="Arial Narrow" w:hAnsi="Arial Narrow"/>
                <w:sz w:val="20"/>
                <w:szCs w:val="22"/>
              </w:rPr>
              <w:t>t</w:t>
            </w:r>
            <w:r w:rsidRPr="00237377">
              <w:rPr>
                <w:rFonts w:ascii="Arial Narrow" w:hAnsi="Arial Narrow"/>
                <w:sz w:val="20"/>
                <w:szCs w:val="22"/>
              </w:rPr>
              <w:t>ransfer</w:t>
            </w:r>
          </w:p>
        </w:tc>
        <w:tc>
          <w:tcPr>
            <w:tcW w:w="916" w:type="pct"/>
            <w:shd w:val="clear" w:color="auto" w:fill="auto"/>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r>
              <w:rPr>
                <w:rFonts w:ascii="Arial Narrow" w:hAnsi="Arial Narrow"/>
                <w:noProof/>
                <w:color w:val="000000"/>
                <w:sz w:val="20"/>
                <w:szCs w:val="22"/>
                <w:highlight w:val="black"/>
              </w:rPr>
              <w:t>''''''''''</w:t>
            </w:r>
            <w:r w:rsidR="00101C0D" w:rsidRPr="00237377">
              <w:rPr>
                <w:rFonts w:ascii="Arial Narrow" w:hAnsi="Arial Narrow"/>
                <w:sz w:val="20"/>
                <w:szCs w:val="22"/>
              </w:rPr>
              <w:t>%)</w:t>
            </w:r>
          </w:p>
        </w:tc>
        <w:tc>
          <w:tcPr>
            <w:tcW w:w="916" w:type="pct"/>
            <w:shd w:val="clear" w:color="auto" w:fill="auto"/>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r>
              <w:rPr>
                <w:rFonts w:ascii="Arial Narrow" w:hAnsi="Arial Narrow"/>
                <w:noProof/>
                <w:color w:val="000000"/>
                <w:sz w:val="20"/>
                <w:szCs w:val="22"/>
                <w:highlight w:val="black"/>
              </w:rPr>
              <w:t>'''''''''''</w:t>
            </w:r>
            <w:r w:rsidR="00101C0D" w:rsidRPr="00237377">
              <w:rPr>
                <w:rFonts w:ascii="Arial Narrow" w:hAnsi="Arial Narrow"/>
                <w:sz w:val="20"/>
                <w:szCs w:val="22"/>
              </w:rPr>
              <w:t>%)</w:t>
            </w:r>
          </w:p>
        </w:tc>
        <w:tc>
          <w:tcPr>
            <w:tcW w:w="1082" w:type="pct"/>
            <w:shd w:val="clear" w:color="auto" w:fill="auto"/>
            <w:vAlign w:val="center"/>
          </w:tcPr>
          <w:p w:rsidR="00101C0D" w:rsidRPr="00237377" w:rsidRDefault="00101C0D" w:rsidP="00101C0D">
            <w:pPr>
              <w:jc w:val="center"/>
              <w:rPr>
                <w:rFonts w:ascii="Arial Narrow" w:hAnsi="Arial Narrow"/>
                <w:i/>
                <w:sz w:val="20"/>
                <w:szCs w:val="22"/>
              </w:rPr>
            </w:pPr>
            <w:r w:rsidRPr="00985186">
              <w:rPr>
                <w:rFonts w:ascii="Arial Narrow" w:hAnsi="Arial Narrow"/>
                <w:i/>
                <w:sz w:val="20"/>
                <w:szCs w:val="22"/>
              </w:rPr>
              <w:t>-</w:t>
            </w:r>
            <w:r w:rsidR="005F52F9">
              <w:rPr>
                <w:rFonts w:ascii="Arial Narrow" w:hAnsi="Arial Narrow"/>
                <w:i/>
                <w:noProof/>
                <w:color w:val="000000"/>
                <w:sz w:val="20"/>
                <w:szCs w:val="22"/>
                <w:highlight w:val="black"/>
              </w:rPr>
              <w:t>''''''''</w:t>
            </w:r>
            <w:r w:rsidRPr="00985186">
              <w:rPr>
                <w:rFonts w:ascii="Arial Narrow" w:hAnsi="Arial Narrow"/>
                <w:i/>
                <w:sz w:val="20"/>
                <w:szCs w:val="22"/>
              </w:rPr>
              <w:t>% [-</w:t>
            </w:r>
            <w:r w:rsidR="005F52F9">
              <w:rPr>
                <w:rFonts w:ascii="Arial Narrow" w:hAnsi="Arial Narrow"/>
                <w:i/>
                <w:noProof/>
                <w:color w:val="000000"/>
                <w:sz w:val="20"/>
                <w:szCs w:val="22"/>
                <w:highlight w:val="black"/>
              </w:rPr>
              <w:t>'''''''''</w:t>
            </w:r>
            <w:r w:rsidRPr="00985186">
              <w:rPr>
                <w:rFonts w:ascii="Arial Narrow" w:hAnsi="Arial Narrow"/>
                <w:i/>
                <w:sz w:val="20"/>
                <w:szCs w:val="22"/>
              </w:rPr>
              <w:t xml:space="preserve">%, </w:t>
            </w:r>
            <w:r w:rsidR="005F52F9">
              <w:rPr>
                <w:rFonts w:ascii="Arial Narrow" w:hAnsi="Arial Narrow"/>
                <w:i/>
                <w:noProof/>
                <w:color w:val="000000"/>
                <w:sz w:val="20"/>
                <w:szCs w:val="22"/>
                <w:highlight w:val="black"/>
              </w:rPr>
              <w:t>''''''''</w:t>
            </w:r>
            <w:r w:rsidRPr="00985186">
              <w:rPr>
                <w:rFonts w:ascii="Arial Narrow" w:hAnsi="Arial Narrow"/>
                <w:i/>
                <w:sz w:val="20"/>
                <w:szCs w:val="22"/>
              </w:rPr>
              <w:t>%]</w:t>
            </w:r>
          </w:p>
        </w:tc>
        <w:tc>
          <w:tcPr>
            <w:tcW w:w="836" w:type="pct"/>
            <w:vAlign w:val="center"/>
          </w:tcPr>
          <w:p w:rsidR="00101C0D" w:rsidRPr="005F52F9" w:rsidRDefault="005F52F9" w:rsidP="0086680E">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237377" w:rsidTr="00DE1698">
        <w:tc>
          <w:tcPr>
            <w:tcW w:w="1250" w:type="pct"/>
          </w:tcPr>
          <w:p w:rsidR="00101C0D" w:rsidRPr="00237377" w:rsidRDefault="00101C0D" w:rsidP="00101C0D">
            <w:pPr>
              <w:ind w:right="-57"/>
              <w:jc w:val="both"/>
              <w:rPr>
                <w:rFonts w:ascii="Arial Narrow" w:hAnsi="Arial Narrow"/>
                <w:sz w:val="20"/>
                <w:szCs w:val="22"/>
              </w:rPr>
            </w:pPr>
            <w:r w:rsidRPr="00237377">
              <w:rPr>
                <w:rFonts w:ascii="Arial Narrow" w:hAnsi="Arial Narrow"/>
                <w:sz w:val="20"/>
                <w:szCs w:val="22"/>
              </w:rPr>
              <w:t xml:space="preserve">Biochemical </w:t>
            </w:r>
            <w:r>
              <w:rPr>
                <w:rFonts w:ascii="Arial Narrow" w:hAnsi="Arial Narrow"/>
                <w:sz w:val="20"/>
                <w:szCs w:val="22"/>
              </w:rPr>
              <w:t>p</w:t>
            </w:r>
            <w:r w:rsidRPr="00237377">
              <w:rPr>
                <w:rFonts w:ascii="Arial Narrow" w:hAnsi="Arial Narrow"/>
                <w:sz w:val="20"/>
                <w:szCs w:val="22"/>
              </w:rPr>
              <w:t>regnancy</w:t>
            </w:r>
            <w:r>
              <w:rPr>
                <w:rFonts w:ascii="Arial Narrow" w:hAnsi="Arial Narrow"/>
                <w:sz w:val="20"/>
                <w:szCs w:val="22"/>
                <w:vertAlign w:val="superscript"/>
              </w:rPr>
              <w:t>c,d</w:t>
            </w:r>
          </w:p>
        </w:tc>
        <w:tc>
          <w:tcPr>
            <w:tcW w:w="916" w:type="pct"/>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r>
              <w:rPr>
                <w:rFonts w:ascii="Arial Narrow" w:hAnsi="Arial Narrow"/>
                <w:noProof/>
                <w:color w:val="000000"/>
                <w:sz w:val="20"/>
                <w:szCs w:val="22"/>
                <w:highlight w:val="black"/>
              </w:rPr>
              <w:t>''''''''''</w:t>
            </w:r>
            <w:r w:rsidR="00101C0D" w:rsidRPr="00237377">
              <w:rPr>
                <w:rFonts w:ascii="Arial Narrow" w:hAnsi="Arial Narrow"/>
                <w:sz w:val="20"/>
                <w:szCs w:val="22"/>
              </w:rPr>
              <w:t>%)</w:t>
            </w:r>
          </w:p>
        </w:tc>
        <w:tc>
          <w:tcPr>
            <w:tcW w:w="916" w:type="pct"/>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 xml:space="preserve">''''''''''''''''' </w:t>
            </w:r>
            <w:r w:rsidR="00101C0D" w:rsidRPr="00237377">
              <w:rPr>
                <w:rFonts w:ascii="Arial Narrow" w:hAnsi="Arial Narrow"/>
                <w:sz w:val="20"/>
                <w:szCs w:val="22"/>
              </w:rPr>
              <w:t>(</w:t>
            </w: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p>
        </w:tc>
        <w:tc>
          <w:tcPr>
            <w:tcW w:w="1082" w:type="pct"/>
          </w:tcPr>
          <w:p w:rsidR="00101C0D" w:rsidRPr="00237377" w:rsidRDefault="005F52F9" w:rsidP="00101C0D">
            <w:pPr>
              <w:jc w:val="center"/>
              <w:rPr>
                <w:rFonts w:ascii="Arial Narrow" w:hAnsi="Arial Narrow"/>
                <w:i/>
                <w:sz w:val="20"/>
                <w:szCs w:val="22"/>
              </w:rPr>
            </w:pPr>
            <w:r>
              <w:rPr>
                <w:rFonts w:ascii="Arial Narrow" w:hAnsi="Arial Narrow"/>
                <w:i/>
                <w:noProof/>
                <w:color w:val="000000"/>
                <w:sz w:val="20"/>
                <w:szCs w:val="22"/>
                <w:highlight w:val="black"/>
              </w:rPr>
              <w:t>'''''''</w:t>
            </w:r>
            <w:r w:rsidR="00101C0D" w:rsidRPr="00985186">
              <w:rPr>
                <w:rFonts w:ascii="Arial Narrow" w:hAnsi="Arial Narrow"/>
                <w:i/>
                <w:sz w:val="20"/>
                <w:szCs w:val="22"/>
              </w:rPr>
              <w:t>% [-</w:t>
            </w:r>
            <w:r>
              <w:rPr>
                <w:rFonts w:ascii="Arial Narrow" w:hAnsi="Arial Narrow"/>
                <w:i/>
                <w:noProof/>
                <w:color w:val="000000"/>
                <w:sz w:val="20"/>
                <w:szCs w:val="22"/>
                <w:highlight w:val="black"/>
              </w:rPr>
              <w:t>''''''''</w:t>
            </w:r>
            <w:r w:rsidR="00101C0D" w:rsidRPr="00985186">
              <w:rPr>
                <w:rFonts w:ascii="Arial Narrow" w:hAnsi="Arial Narrow"/>
                <w:i/>
                <w:sz w:val="20"/>
                <w:szCs w:val="22"/>
              </w:rPr>
              <w:t xml:space="preserve">%, </w:t>
            </w:r>
            <w:r>
              <w:rPr>
                <w:rFonts w:ascii="Arial Narrow" w:hAnsi="Arial Narrow"/>
                <w:i/>
                <w:noProof/>
                <w:color w:val="000000"/>
                <w:sz w:val="20"/>
                <w:szCs w:val="22"/>
                <w:highlight w:val="black"/>
              </w:rPr>
              <w:t>''''''''''</w:t>
            </w:r>
            <w:r w:rsidR="00101C0D" w:rsidRPr="00985186">
              <w:rPr>
                <w:rFonts w:ascii="Arial Narrow" w:hAnsi="Arial Narrow"/>
                <w:i/>
                <w:sz w:val="20"/>
                <w:szCs w:val="22"/>
              </w:rPr>
              <w:t>%]</w:t>
            </w:r>
          </w:p>
        </w:tc>
        <w:tc>
          <w:tcPr>
            <w:tcW w:w="836" w:type="pct"/>
          </w:tcPr>
          <w:p w:rsidR="00101C0D" w:rsidRPr="005F52F9" w:rsidRDefault="005F52F9" w:rsidP="00101C0D">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237377" w:rsidTr="00DE1698">
        <w:tc>
          <w:tcPr>
            <w:tcW w:w="1250" w:type="pct"/>
          </w:tcPr>
          <w:p w:rsidR="00101C0D" w:rsidRPr="00237377" w:rsidRDefault="00101C0D" w:rsidP="00101C0D">
            <w:pPr>
              <w:ind w:right="-57"/>
              <w:jc w:val="both"/>
              <w:rPr>
                <w:rFonts w:ascii="Arial Narrow" w:hAnsi="Arial Narrow"/>
                <w:sz w:val="20"/>
                <w:szCs w:val="22"/>
              </w:rPr>
            </w:pPr>
            <w:r w:rsidRPr="00237377">
              <w:rPr>
                <w:rFonts w:ascii="Arial Narrow" w:hAnsi="Arial Narrow"/>
                <w:sz w:val="20"/>
                <w:szCs w:val="22"/>
              </w:rPr>
              <w:t xml:space="preserve">Ongoing </w:t>
            </w:r>
            <w:r>
              <w:rPr>
                <w:rFonts w:ascii="Arial Narrow" w:hAnsi="Arial Narrow"/>
                <w:sz w:val="20"/>
                <w:szCs w:val="22"/>
              </w:rPr>
              <w:t>p</w:t>
            </w:r>
            <w:r w:rsidRPr="00237377">
              <w:rPr>
                <w:rFonts w:ascii="Arial Narrow" w:hAnsi="Arial Narrow"/>
                <w:sz w:val="20"/>
                <w:szCs w:val="22"/>
              </w:rPr>
              <w:t>regnancy</w:t>
            </w:r>
            <w:r>
              <w:rPr>
                <w:rFonts w:ascii="Arial Narrow" w:hAnsi="Arial Narrow"/>
                <w:sz w:val="20"/>
                <w:szCs w:val="22"/>
                <w:vertAlign w:val="superscript"/>
              </w:rPr>
              <w:t>c,e</w:t>
            </w:r>
          </w:p>
        </w:tc>
        <w:tc>
          <w:tcPr>
            <w:tcW w:w="916" w:type="pct"/>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r>
              <w:rPr>
                <w:rFonts w:ascii="Arial Narrow" w:hAnsi="Arial Narrow"/>
                <w:noProof/>
                <w:color w:val="000000"/>
                <w:sz w:val="20"/>
                <w:szCs w:val="22"/>
                <w:highlight w:val="black"/>
              </w:rPr>
              <w:t>'''''''''''</w:t>
            </w:r>
            <w:r w:rsidR="00101C0D">
              <w:rPr>
                <w:rFonts w:ascii="Arial Narrow" w:hAnsi="Arial Narrow"/>
                <w:sz w:val="20"/>
                <w:szCs w:val="22"/>
              </w:rPr>
              <w:t>%</w:t>
            </w:r>
            <w:r w:rsidR="00101C0D" w:rsidRPr="00237377">
              <w:rPr>
                <w:rFonts w:ascii="Arial Narrow" w:hAnsi="Arial Narrow"/>
                <w:sz w:val="20"/>
                <w:szCs w:val="22"/>
              </w:rPr>
              <w:t xml:space="preserve">) </w:t>
            </w:r>
          </w:p>
        </w:tc>
        <w:tc>
          <w:tcPr>
            <w:tcW w:w="916" w:type="pct"/>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 xml:space="preserve">'''''''''''''''' </w:t>
            </w:r>
            <w:r w:rsidR="00101C0D" w:rsidRPr="00237377">
              <w:rPr>
                <w:rFonts w:ascii="Arial Narrow" w:hAnsi="Arial Narrow"/>
                <w:sz w:val="20"/>
                <w:szCs w:val="22"/>
              </w:rPr>
              <w:t>(</w:t>
            </w:r>
            <w:r>
              <w:rPr>
                <w:rFonts w:ascii="Arial Narrow" w:hAnsi="Arial Narrow"/>
                <w:noProof/>
                <w:color w:val="000000"/>
                <w:sz w:val="20"/>
                <w:szCs w:val="22"/>
                <w:highlight w:val="black"/>
              </w:rPr>
              <w:t>'''''''''''</w:t>
            </w:r>
            <w:r w:rsidR="00101C0D">
              <w:rPr>
                <w:rFonts w:ascii="Arial Narrow" w:hAnsi="Arial Narrow"/>
                <w:sz w:val="20"/>
                <w:szCs w:val="22"/>
              </w:rPr>
              <w:t>%</w:t>
            </w:r>
            <w:r w:rsidR="00101C0D" w:rsidRPr="00237377">
              <w:rPr>
                <w:rFonts w:ascii="Arial Narrow" w:hAnsi="Arial Narrow"/>
                <w:sz w:val="20"/>
                <w:szCs w:val="22"/>
              </w:rPr>
              <w:t xml:space="preserve">) </w:t>
            </w:r>
          </w:p>
        </w:tc>
        <w:tc>
          <w:tcPr>
            <w:tcW w:w="1082" w:type="pct"/>
          </w:tcPr>
          <w:p w:rsidR="00101C0D" w:rsidRPr="00237377" w:rsidRDefault="00101C0D" w:rsidP="00101C0D">
            <w:pPr>
              <w:jc w:val="center"/>
              <w:rPr>
                <w:rFonts w:ascii="Arial Narrow" w:hAnsi="Arial Narrow"/>
                <w:i/>
                <w:sz w:val="20"/>
                <w:szCs w:val="22"/>
              </w:rPr>
            </w:pPr>
            <w:r w:rsidRPr="00985186">
              <w:rPr>
                <w:rFonts w:ascii="Arial Narrow" w:hAnsi="Arial Narrow"/>
                <w:i/>
                <w:sz w:val="20"/>
                <w:szCs w:val="22"/>
              </w:rPr>
              <w:t>-</w:t>
            </w:r>
            <w:r w:rsidR="005F52F9">
              <w:rPr>
                <w:rFonts w:ascii="Arial Narrow" w:hAnsi="Arial Narrow"/>
                <w:i/>
                <w:noProof/>
                <w:color w:val="000000"/>
                <w:sz w:val="20"/>
                <w:szCs w:val="22"/>
                <w:highlight w:val="black"/>
              </w:rPr>
              <w:t>''''''''</w:t>
            </w:r>
            <w:r w:rsidRPr="00985186">
              <w:rPr>
                <w:rFonts w:ascii="Arial Narrow" w:hAnsi="Arial Narrow"/>
                <w:i/>
                <w:sz w:val="20"/>
                <w:szCs w:val="22"/>
              </w:rPr>
              <w:t>% [-</w:t>
            </w:r>
            <w:r w:rsidR="005F52F9">
              <w:rPr>
                <w:rFonts w:ascii="Arial Narrow" w:hAnsi="Arial Narrow"/>
                <w:i/>
                <w:noProof/>
                <w:color w:val="000000"/>
                <w:sz w:val="20"/>
                <w:szCs w:val="22"/>
                <w:highlight w:val="black"/>
              </w:rPr>
              <w:t>''''''''''</w:t>
            </w:r>
            <w:r w:rsidRPr="00985186">
              <w:rPr>
                <w:rFonts w:ascii="Arial Narrow" w:hAnsi="Arial Narrow"/>
                <w:i/>
                <w:sz w:val="20"/>
                <w:szCs w:val="22"/>
              </w:rPr>
              <w:t xml:space="preserve">%, </w:t>
            </w:r>
            <w:r w:rsidR="005F52F9">
              <w:rPr>
                <w:rFonts w:ascii="Arial Narrow" w:hAnsi="Arial Narrow"/>
                <w:i/>
                <w:noProof/>
                <w:color w:val="000000"/>
                <w:sz w:val="20"/>
                <w:szCs w:val="22"/>
                <w:highlight w:val="black"/>
              </w:rPr>
              <w:t>''''''''</w:t>
            </w:r>
            <w:r w:rsidRPr="00985186">
              <w:rPr>
                <w:rFonts w:ascii="Arial Narrow" w:hAnsi="Arial Narrow"/>
                <w:i/>
                <w:sz w:val="20"/>
                <w:szCs w:val="22"/>
              </w:rPr>
              <w:t>%]</w:t>
            </w:r>
          </w:p>
        </w:tc>
        <w:tc>
          <w:tcPr>
            <w:tcW w:w="836" w:type="pct"/>
          </w:tcPr>
          <w:p w:rsidR="00101C0D" w:rsidRPr="005F52F9" w:rsidRDefault="005F52F9" w:rsidP="00101C0D">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r w:rsidR="00101C0D" w:rsidRPr="00237377" w:rsidTr="00DE1698">
        <w:tc>
          <w:tcPr>
            <w:tcW w:w="1250" w:type="pct"/>
          </w:tcPr>
          <w:p w:rsidR="00101C0D" w:rsidRPr="00237377" w:rsidRDefault="00101C0D" w:rsidP="00101C0D">
            <w:pPr>
              <w:ind w:right="-57"/>
              <w:rPr>
                <w:rFonts w:ascii="Arial Narrow" w:hAnsi="Arial Narrow"/>
                <w:sz w:val="20"/>
                <w:szCs w:val="22"/>
              </w:rPr>
            </w:pPr>
            <w:r>
              <w:rPr>
                <w:rFonts w:ascii="Arial Narrow" w:hAnsi="Arial Narrow"/>
                <w:sz w:val="20"/>
                <w:szCs w:val="22"/>
              </w:rPr>
              <w:t>L</w:t>
            </w:r>
            <w:r w:rsidRPr="00237377">
              <w:rPr>
                <w:rFonts w:ascii="Arial Narrow" w:hAnsi="Arial Narrow"/>
                <w:sz w:val="20"/>
                <w:szCs w:val="22"/>
              </w:rPr>
              <w:t>ive born children</w:t>
            </w:r>
            <w:r>
              <w:rPr>
                <w:rFonts w:ascii="Arial Narrow" w:hAnsi="Arial Narrow"/>
                <w:sz w:val="20"/>
                <w:szCs w:val="22"/>
                <w:vertAlign w:val="superscript"/>
              </w:rPr>
              <w:t>c</w:t>
            </w:r>
          </w:p>
        </w:tc>
        <w:tc>
          <w:tcPr>
            <w:tcW w:w="916" w:type="pct"/>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p>
        </w:tc>
        <w:tc>
          <w:tcPr>
            <w:tcW w:w="916" w:type="pct"/>
            <w:vAlign w:val="center"/>
          </w:tcPr>
          <w:p w:rsidR="00101C0D" w:rsidRPr="00237377" w:rsidRDefault="005F52F9" w:rsidP="00101C0D">
            <w:pPr>
              <w:jc w:val="center"/>
              <w:rPr>
                <w:rFonts w:ascii="Arial Narrow" w:hAnsi="Arial Narrow"/>
                <w:sz w:val="20"/>
                <w:szCs w:val="22"/>
              </w:rPr>
            </w:pPr>
            <w:r>
              <w:rPr>
                <w:rFonts w:ascii="Arial Narrow" w:hAnsi="Arial Narrow"/>
                <w:noProof/>
                <w:color w:val="000000"/>
                <w:sz w:val="20"/>
                <w:szCs w:val="22"/>
                <w:highlight w:val="black"/>
              </w:rPr>
              <w:t xml:space="preserve">'''''''''''''''''' </w:t>
            </w:r>
            <w:r w:rsidR="00101C0D" w:rsidRPr="00237377">
              <w:rPr>
                <w:rFonts w:ascii="Arial Narrow" w:hAnsi="Arial Narrow"/>
                <w:sz w:val="20"/>
                <w:szCs w:val="22"/>
              </w:rPr>
              <w:t>(</w:t>
            </w:r>
            <w:r>
              <w:rPr>
                <w:rFonts w:ascii="Arial Narrow" w:hAnsi="Arial Narrow"/>
                <w:noProof/>
                <w:color w:val="000000"/>
                <w:sz w:val="20"/>
                <w:szCs w:val="22"/>
                <w:highlight w:val="black"/>
              </w:rPr>
              <w:t>''''''''''</w:t>
            </w:r>
            <w:r w:rsidR="00101C0D" w:rsidRPr="00237377">
              <w:rPr>
                <w:rFonts w:ascii="Arial Narrow" w:hAnsi="Arial Narrow"/>
                <w:sz w:val="20"/>
                <w:szCs w:val="22"/>
              </w:rPr>
              <w:t xml:space="preserve">%) </w:t>
            </w:r>
          </w:p>
        </w:tc>
        <w:tc>
          <w:tcPr>
            <w:tcW w:w="1082" w:type="pct"/>
          </w:tcPr>
          <w:p w:rsidR="00101C0D" w:rsidRPr="00237377" w:rsidRDefault="00101C0D" w:rsidP="00101C0D">
            <w:pPr>
              <w:jc w:val="center"/>
              <w:rPr>
                <w:rFonts w:ascii="Arial Narrow" w:hAnsi="Arial Narrow"/>
                <w:i/>
                <w:sz w:val="20"/>
                <w:szCs w:val="22"/>
              </w:rPr>
            </w:pPr>
            <w:r w:rsidRPr="00985186">
              <w:rPr>
                <w:rFonts w:ascii="Arial Narrow" w:hAnsi="Arial Narrow"/>
                <w:i/>
                <w:sz w:val="20"/>
                <w:szCs w:val="22"/>
              </w:rPr>
              <w:t>-</w:t>
            </w:r>
            <w:r w:rsidR="005F52F9">
              <w:rPr>
                <w:rFonts w:ascii="Arial Narrow" w:hAnsi="Arial Narrow"/>
                <w:i/>
                <w:noProof/>
                <w:color w:val="000000"/>
                <w:sz w:val="20"/>
                <w:szCs w:val="22"/>
                <w:highlight w:val="black"/>
              </w:rPr>
              <w:t>'''''''</w:t>
            </w:r>
            <w:r w:rsidRPr="00985186">
              <w:rPr>
                <w:rFonts w:ascii="Arial Narrow" w:hAnsi="Arial Narrow"/>
                <w:i/>
                <w:sz w:val="20"/>
                <w:szCs w:val="22"/>
              </w:rPr>
              <w:t>% [-</w:t>
            </w:r>
            <w:r w:rsidR="005F52F9">
              <w:rPr>
                <w:rFonts w:ascii="Arial Narrow" w:hAnsi="Arial Narrow"/>
                <w:i/>
                <w:noProof/>
                <w:color w:val="000000"/>
                <w:sz w:val="20"/>
                <w:szCs w:val="22"/>
                <w:highlight w:val="black"/>
              </w:rPr>
              <w:t>'''''''''''</w:t>
            </w:r>
            <w:r w:rsidRPr="00985186">
              <w:rPr>
                <w:rFonts w:ascii="Arial Narrow" w:hAnsi="Arial Narrow"/>
                <w:i/>
                <w:sz w:val="20"/>
                <w:szCs w:val="22"/>
              </w:rPr>
              <w:t xml:space="preserve">%, </w:t>
            </w:r>
            <w:r w:rsidR="005F52F9">
              <w:rPr>
                <w:rFonts w:ascii="Arial Narrow" w:hAnsi="Arial Narrow"/>
                <w:i/>
                <w:noProof/>
                <w:color w:val="000000"/>
                <w:sz w:val="20"/>
                <w:szCs w:val="22"/>
                <w:highlight w:val="black"/>
              </w:rPr>
              <w:t>'''''''</w:t>
            </w:r>
            <w:r w:rsidRPr="00985186">
              <w:rPr>
                <w:rFonts w:ascii="Arial Narrow" w:hAnsi="Arial Narrow"/>
                <w:i/>
                <w:sz w:val="20"/>
                <w:szCs w:val="22"/>
              </w:rPr>
              <w:t>%]</w:t>
            </w:r>
          </w:p>
        </w:tc>
        <w:tc>
          <w:tcPr>
            <w:tcW w:w="836" w:type="pct"/>
          </w:tcPr>
          <w:p w:rsidR="00101C0D" w:rsidRPr="005F52F9" w:rsidRDefault="005F52F9" w:rsidP="00101C0D">
            <w:pPr>
              <w:ind w:left="-57" w:right="-57"/>
              <w:jc w:val="center"/>
              <w:rPr>
                <w:rFonts w:ascii="Arial Narrow" w:hAnsi="Arial Narrow"/>
                <w:i/>
                <w:sz w:val="20"/>
                <w:szCs w:val="22"/>
                <w:highlight w:val="black"/>
              </w:rPr>
            </w:pPr>
            <w:r>
              <w:rPr>
                <w:rFonts w:ascii="Arial Narrow" w:hAnsi="Arial Narrow"/>
                <w:i/>
                <w:noProof/>
                <w:color w:val="000000"/>
                <w:sz w:val="20"/>
                <w:szCs w:val="22"/>
                <w:highlight w:val="black"/>
              </w:rPr>
              <w:t>''''''''''' ''''''''''''' '''''''''''</w:t>
            </w:r>
          </w:p>
        </w:tc>
      </w:tr>
    </w:tbl>
    <w:p w:rsidR="00985186" w:rsidRDefault="00985186" w:rsidP="00237377">
      <w:pPr>
        <w:pStyle w:val="tablenotes"/>
        <w:ind w:left="720"/>
        <w:rPr>
          <w:rFonts w:eastAsiaTheme="minorHAnsi"/>
        </w:rPr>
      </w:pPr>
      <w:r>
        <w:rPr>
          <w:rFonts w:eastAsiaTheme="minorHAnsi"/>
        </w:rPr>
        <w:t xml:space="preserve">CI = confidence interval; </w:t>
      </w:r>
      <w:r w:rsidR="0086680E">
        <w:rPr>
          <w:rFonts w:eastAsiaTheme="minorHAnsi"/>
        </w:rPr>
        <w:t xml:space="preserve">mITT = modified intention-to-treat; PP = per protocol; </w:t>
      </w:r>
      <w:r>
        <w:rPr>
          <w:rFonts w:eastAsiaTheme="minorHAnsi"/>
        </w:rPr>
        <w:t>RD = risk difference; RR = relative risk</w:t>
      </w:r>
    </w:p>
    <w:p w:rsidR="00985186" w:rsidRPr="004E6A13" w:rsidRDefault="00985186" w:rsidP="00237377">
      <w:pPr>
        <w:pStyle w:val="tablenotes"/>
        <w:ind w:left="720"/>
        <w:rPr>
          <w:rFonts w:eastAsiaTheme="minorHAnsi"/>
          <w:i/>
        </w:rPr>
      </w:pPr>
      <w:r w:rsidRPr="004E6A13">
        <w:rPr>
          <w:rFonts w:eastAsiaTheme="minorHAnsi"/>
          <w:i/>
          <w:vertAlign w:val="superscript"/>
        </w:rPr>
        <w:t>a</w:t>
      </w:r>
      <w:r w:rsidRPr="004E6A13">
        <w:rPr>
          <w:rFonts w:eastAsiaTheme="minorHAnsi"/>
          <w:i/>
        </w:rPr>
        <w:t xml:space="preserve"> </w:t>
      </w:r>
      <w:r w:rsidR="0036041B" w:rsidRPr="004E6A13">
        <w:rPr>
          <w:rFonts w:eastAsiaTheme="minorHAnsi"/>
          <w:i/>
        </w:rPr>
        <w:t>RDs and RRs were calculated using Stata</w:t>
      </w:r>
      <w:r w:rsidR="0036041B" w:rsidRPr="0086680E">
        <w:rPr>
          <w:rFonts w:eastAsiaTheme="minorHAnsi"/>
          <w:i/>
          <w:vertAlign w:val="superscript"/>
        </w:rPr>
        <w:t>®</w:t>
      </w:r>
      <w:r w:rsidR="0036041B" w:rsidRPr="004E6A13">
        <w:rPr>
          <w:rFonts w:eastAsiaTheme="minorHAnsi"/>
          <w:i/>
        </w:rPr>
        <w:t>13.1</w:t>
      </w:r>
    </w:p>
    <w:p w:rsidR="00101C0D" w:rsidRDefault="004E6A13" w:rsidP="00237377">
      <w:pPr>
        <w:pStyle w:val="tablenotes"/>
        <w:ind w:left="720"/>
        <w:rPr>
          <w:rFonts w:eastAsiaTheme="minorHAnsi"/>
        </w:rPr>
      </w:pPr>
      <w:r w:rsidRPr="004E6A13">
        <w:rPr>
          <w:rFonts w:eastAsiaTheme="minorHAnsi"/>
          <w:vertAlign w:val="superscript"/>
        </w:rPr>
        <w:t>b</w:t>
      </w:r>
      <w:r>
        <w:rPr>
          <w:rFonts w:eastAsiaTheme="minorHAnsi"/>
        </w:rPr>
        <w:t xml:space="preserve"> </w:t>
      </w:r>
      <w:r w:rsidR="00101C0D" w:rsidRPr="00DE1698">
        <w:rPr>
          <w:rFonts w:eastAsiaTheme="minorHAnsi"/>
          <w:i/>
        </w:rPr>
        <w:t xml:space="preserve">Results of PP analyses were extracted from the clinical study report (Table ES08T, pp204-205) during the </w:t>
      </w:r>
      <w:r w:rsidR="00471E93">
        <w:rPr>
          <w:rFonts w:eastAsiaTheme="minorHAnsi"/>
          <w:i/>
        </w:rPr>
        <w:t>evaluation</w:t>
      </w:r>
      <w:r w:rsidR="00101C0D">
        <w:rPr>
          <w:rFonts w:eastAsiaTheme="minorHAnsi"/>
        </w:rPr>
        <w:t xml:space="preserve"> </w:t>
      </w:r>
    </w:p>
    <w:p w:rsidR="00237377" w:rsidRDefault="00101C0D" w:rsidP="00237377">
      <w:pPr>
        <w:pStyle w:val="tablenotes"/>
        <w:ind w:left="720"/>
        <w:rPr>
          <w:rFonts w:eastAsiaTheme="minorHAnsi"/>
        </w:rPr>
      </w:pPr>
      <w:r w:rsidRPr="004E6A13">
        <w:rPr>
          <w:rFonts w:eastAsiaTheme="minorHAnsi"/>
          <w:vertAlign w:val="superscript"/>
        </w:rPr>
        <w:t>c</w:t>
      </w:r>
      <w:r>
        <w:rPr>
          <w:rFonts w:eastAsiaTheme="minorHAnsi"/>
        </w:rPr>
        <w:t xml:space="preserve"> </w:t>
      </w:r>
      <w:r w:rsidR="00237377" w:rsidRPr="00237377">
        <w:rPr>
          <w:rFonts w:eastAsiaTheme="minorHAnsi"/>
        </w:rPr>
        <w:t xml:space="preserve">Percentages </w:t>
      </w:r>
      <w:r w:rsidR="00DE1698">
        <w:rPr>
          <w:rFonts w:eastAsiaTheme="minorHAnsi"/>
        </w:rPr>
        <w:t>were</w:t>
      </w:r>
      <w:r w:rsidR="00237377" w:rsidRPr="00237377">
        <w:rPr>
          <w:rFonts w:eastAsiaTheme="minorHAnsi"/>
        </w:rPr>
        <w:t xml:space="preserve"> based on the number of patients undergoing embryo transfer</w:t>
      </w:r>
    </w:p>
    <w:p w:rsidR="00985186" w:rsidRPr="00985186" w:rsidRDefault="00101C0D" w:rsidP="00985186">
      <w:pPr>
        <w:pStyle w:val="tablenotes"/>
        <w:ind w:left="720"/>
        <w:rPr>
          <w:rFonts w:eastAsiaTheme="minorHAnsi"/>
        </w:rPr>
      </w:pPr>
      <w:r>
        <w:rPr>
          <w:rFonts w:eastAsiaTheme="minorHAnsi"/>
          <w:vertAlign w:val="superscript"/>
        </w:rPr>
        <w:t>d</w:t>
      </w:r>
      <w:r w:rsidR="004E6A13">
        <w:rPr>
          <w:rFonts w:eastAsiaTheme="minorHAnsi"/>
        </w:rPr>
        <w:t xml:space="preserve"> Biochemical pregnancy was d</w:t>
      </w:r>
      <w:r w:rsidR="00985186">
        <w:rPr>
          <w:rFonts w:eastAsiaTheme="minorHAnsi"/>
        </w:rPr>
        <w:t>efined as a positive serum test for β-hCG (&gt;10</w:t>
      </w:r>
      <w:r w:rsidR="00985186" w:rsidRPr="00985186">
        <w:rPr>
          <w:rFonts w:eastAsiaTheme="minorHAnsi"/>
        </w:rPr>
        <w:t>U/l) 16-18 days after oocyte retrieval.</w:t>
      </w:r>
    </w:p>
    <w:p w:rsidR="00985186" w:rsidRPr="00985186" w:rsidRDefault="00101C0D" w:rsidP="00985186">
      <w:pPr>
        <w:pStyle w:val="tablenotes"/>
        <w:ind w:left="720"/>
        <w:rPr>
          <w:rFonts w:eastAsiaTheme="minorHAnsi"/>
        </w:rPr>
      </w:pPr>
      <w:r>
        <w:rPr>
          <w:rFonts w:eastAsiaTheme="minorHAnsi"/>
          <w:vertAlign w:val="superscript"/>
        </w:rPr>
        <w:t>e</w:t>
      </w:r>
      <w:r w:rsidR="00474710">
        <w:rPr>
          <w:rFonts w:eastAsiaTheme="minorHAnsi"/>
        </w:rPr>
        <w:t xml:space="preserve"> </w:t>
      </w:r>
      <w:r w:rsidR="004E6A13">
        <w:rPr>
          <w:rFonts w:eastAsiaTheme="minorHAnsi"/>
        </w:rPr>
        <w:t>Ongoing pregnancy was d</w:t>
      </w:r>
      <w:r w:rsidR="00985186" w:rsidRPr="00985186">
        <w:rPr>
          <w:rFonts w:eastAsiaTheme="minorHAnsi"/>
        </w:rPr>
        <w:t>efined as presence of at least one viable foetus 10 weeks after embryo transfer documented by ultrasound.</w:t>
      </w:r>
    </w:p>
    <w:p w:rsidR="000515B7" w:rsidRPr="00280420" w:rsidRDefault="000515B7" w:rsidP="000515B7">
      <w:pPr>
        <w:pStyle w:val="tablenotes"/>
        <w:ind w:left="720"/>
        <w:rPr>
          <w:rFonts w:eastAsiaTheme="minorHAnsi"/>
        </w:rPr>
      </w:pPr>
      <w:r w:rsidRPr="00280420">
        <w:rPr>
          <w:rFonts w:eastAsiaTheme="minorHAnsi"/>
        </w:rPr>
        <w:t xml:space="preserve">Source: </w:t>
      </w:r>
      <w:r w:rsidR="00985186" w:rsidRPr="00280420">
        <w:rPr>
          <w:rFonts w:eastAsiaTheme="minorHAnsi"/>
        </w:rPr>
        <w:t>Table 2-23, p49 of the minor submission</w:t>
      </w:r>
    </w:p>
    <w:p w:rsidR="00237377" w:rsidRPr="00280420" w:rsidRDefault="00237377" w:rsidP="00237377">
      <w:pPr>
        <w:pStyle w:val="ListParagraph"/>
        <w:jc w:val="both"/>
        <w:rPr>
          <w:szCs w:val="22"/>
        </w:rPr>
      </w:pPr>
    </w:p>
    <w:p w:rsidR="000A4652" w:rsidRPr="001D57AE" w:rsidRDefault="000A4652" w:rsidP="00C61247">
      <w:pPr>
        <w:pStyle w:val="ListParagraph"/>
        <w:numPr>
          <w:ilvl w:val="1"/>
          <w:numId w:val="2"/>
        </w:numPr>
        <w:jc w:val="both"/>
        <w:rPr>
          <w:szCs w:val="22"/>
        </w:rPr>
      </w:pPr>
      <w:r w:rsidRPr="001D57AE">
        <w:rPr>
          <w:szCs w:val="22"/>
        </w:rPr>
        <w:t xml:space="preserve">In </w:t>
      </w:r>
      <w:r w:rsidR="00F24769" w:rsidRPr="001D57AE">
        <w:rPr>
          <w:szCs w:val="22"/>
        </w:rPr>
        <w:t>both PP and mITT populations</w:t>
      </w:r>
      <w:r w:rsidRPr="001D57AE">
        <w:rPr>
          <w:szCs w:val="22"/>
        </w:rPr>
        <w:t xml:space="preserve">, </w:t>
      </w:r>
      <w:r w:rsidR="005700F2" w:rsidRPr="001D57AE">
        <w:rPr>
          <w:szCs w:val="22"/>
        </w:rPr>
        <w:t xml:space="preserve">the </w:t>
      </w:r>
      <w:r w:rsidRPr="001D57AE">
        <w:rPr>
          <w:szCs w:val="22"/>
        </w:rPr>
        <w:t>ongoing pregnancy rate and live b</w:t>
      </w:r>
      <w:r w:rsidR="005700F2" w:rsidRPr="001D57AE">
        <w:rPr>
          <w:szCs w:val="22"/>
        </w:rPr>
        <w:t>irth</w:t>
      </w:r>
      <w:r w:rsidRPr="001D57AE">
        <w:rPr>
          <w:szCs w:val="22"/>
        </w:rPr>
        <w:t xml:space="preserve"> rate </w:t>
      </w:r>
      <w:r w:rsidR="008B5049" w:rsidRPr="001D57AE">
        <w:rPr>
          <w:szCs w:val="22"/>
        </w:rPr>
        <w:t>in women</w:t>
      </w:r>
      <w:r w:rsidR="005700F2" w:rsidRPr="001D57AE">
        <w:rPr>
          <w:szCs w:val="22"/>
        </w:rPr>
        <w:t xml:space="preserve"> </w:t>
      </w:r>
      <w:r w:rsidRPr="001D57AE">
        <w:rPr>
          <w:szCs w:val="22"/>
        </w:rPr>
        <w:t xml:space="preserve">undergoing embryo transfer were numerically lower </w:t>
      </w:r>
      <w:r w:rsidR="008B5049" w:rsidRPr="001D57AE">
        <w:rPr>
          <w:szCs w:val="22"/>
        </w:rPr>
        <w:t>in those</w:t>
      </w:r>
      <w:r w:rsidR="005700F2" w:rsidRPr="001D57AE">
        <w:rPr>
          <w:szCs w:val="22"/>
        </w:rPr>
        <w:t xml:space="preserve"> </w:t>
      </w:r>
      <w:r w:rsidRPr="001D57AE">
        <w:rPr>
          <w:szCs w:val="22"/>
        </w:rPr>
        <w:t xml:space="preserve">receiving 150IU Bemfola </w:t>
      </w:r>
      <w:r w:rsidR="005700F2" w:rsidRPr="001D57AE">
        <w:rPr>
          <w:szCs w:val="22"/>
        </w:rPr>
        <w:t>when compared to</w:t>
      </w:r>
      <w:r w:rsidRPr="001D57AE">
        <w:rPr>
          <w:szCs w:val="22"/>
        </w:rPr>
        <w:t xml:space="preserve"> </w:t>
      </w:r>
      <w:r w:rsidR="00662344" w:rsidRPr="001D57AE">
        <w:rPr>
          <w:szCs w:val="22"/>
        </w:rPr>
        <w:t xml:space="preserve">the </w:t>
      </w:r>
      <w:r w:rsidRPr="001D57AE">
        <w:rPr>
          <w:szCs w:val="22"/>
        </w:rPr>
        <w:t xml:space="preserve">Gonal-f </w:t>
      </w:r>
      <w:r w:rsidR="00662344" w:rsidRPr="001D57AE">
        <w:rPr>
          <w:szCs w:val="22"/>
        </w:rPr>
        <w:t>group</w:t>
      </w:r>
      <w:r w:rsidR="00520C77" w:rsidRPr="001D57AE">
        <w:rPr>
          <w:szCs w:val="22"/>
        </w:rPr>
        <w:t xml:space="preserve">. </w:t>
      </w:r>
      <w:r w:rsidR="00C61247" w:rsidRPr="001D57AE">
        <w:rPr>
          <w:szCs w:val="22"/>
        </w:rPr>
        <w:t>T</w:t>
      </w:r>
      <w:r w:rsidR="0068274C" w:rsidRPr="001D57AE">
        <w:rPr>
          <w:szCs w:val="22"/>
        </w:rPr>
        <w:t>he lower bound of the 95% CI (</w:t>
      </w:r>
      <w:r w:rsidR="00E80A2C">
        <w:rPr>
          <w:szCs w:val="22"/>
        </w:rPr>
        <w:noBreakHyphen/>
      </w:r>
      <w:r w:rsidR="002227F5" w:rsidRPr="001D57AE">
        <w:rPr>
          <w:szCs w:val="22"/>
        </w:rPr>
        <w:t>16.2</w:t>
      </w:r>
      <w:r w:rsidR="0068274C" w:rsidRPr="001D57AE">
        <w:rPr>
          <w:szCs w:val="22"/>
        </w:rPr>
        <w:t xml:space="preserve">%) </w:t>
      </w:r>
      <w:r w:rsidR="005700F2" w:rsidRPr="001D57AE">
        <w:rPr>
          <w:szCs w:val="22"/>
        </w:rPr>
        <w:t xml:space="preserve">in the PP population </w:t>
      </w:r>
      <w:r w:rsidR="0068274C" w:rsidRPr="001D57AE">
        <w:rPr>
          <w:szCs w:val="22"/>
        </w:rPr>
        <w:t>was below the non-inferiority margin previously accepted by the PBAC</w:t>
      </w:r>
      <w:r w:rsidR="00B96708" w:rsidRPr="001D57AE">
        <w:rPr>
          <w:szCs w:val="22"/>
        </w:rPr>
        <w:t xml:space="preserve"> </w:t>
      </w:r>
      <w:r w:rsidR="005700F2" w:rsidRPr="001D57AE">
        <w:rPr>
          <w:szCs w:val="22"/>
        </w:rPr>
        <w:t>(-4%)</w:t>
      </w:r>
      <w:r w:rsidR="0068274C" w:rsidRPr="001D57AE">
        <w:rPr>
          <w:szCs w:val="22"/>
        </w:rPr>
        <w:t xml:space="preserve">. </w:t>
      </w:r>
      <w:r w:rsidR="005700F2" w:rsidRPr="001D57AE">
        <w:rPr>
          <w:szCs w:val="22"/>
        </w:rPr>
        <w:t>T</w:t>
      </w:r>
      <w:r w:rsidR="00C61247" w:rsidRPr="001D57AE">
        <w:rPr>
          <w:szCs w:val="22"/>
        </w:rPr>
        <w:t xml:space="preserve">he wide </w:t>
      </w:r>
      <w:r w:rsidR="005700F2" w:rsidRPr="001D57AE">
        <w:rPr>
          <w:szCs w:val="22"/>
        </w:rPr>
        <w:t xml:space="preserve">confidence interval </w:t>
      </w:r>
      <w:r w:rsidR="00C61247" w:rsidRPr="001D57AE">
        <w:rPr>
          <w:szCs w:val="22"/>
        </w:rPr>
        <w:t>suggests that the analysis was not sufficiently powered.</w:t>
      </w:r>
    </w:p>
    <w:p w:rsidR="007428C4" w:rsidRPr="001D57AE" w:rsidRDefault="007428C4" w:rsidP="007428C4">
      <w:pPr>
        <w:pStyle w:val="ListParagraph"/>
        <w:rPr>
          <w:szCs w:val="22"/>
        </w:rPr>
      </w:pPr>
    </w:p>
    <w:p w:rsidR="007428C4" w:rsidRPr="001D57AE" w:rsidRDefault="007428C4" w:rsidP="00FA08AA">
      <w:pPr>
        <w:pStyle w:val="ListParagraph"/>
        <w:numPr>
          <w:ilvl w:val="1"/>
          <w:numId w:val="2"/>
        </w:numPr>
        <w:jc w:val="both"/>
        <w:rPr>
          <w:szCs w:val="22"/>
        </w:rPr>
      </w:pPr>
      <w:r w:rsidRPr="001D57AE">
        <w:rPr>
          <w:szCs w:val="22"/>
        </w:rPr>
        <w:t xml:space="preserve">In FIN3001, patients who did not get pregnant after a completed first cycle of Bemfola/Gonal-f treatment and </w:t>
      </w:r>
      <w:r w:rsidR="005A3274" w:rsidRPr="001D57AE">
        <w:rPr>
          <w:szCs w:val="22"/>
        </w:rPr>
        <w:t>ART</w:t>
      </w:r>
      <w:r w:rsidRPr="001D57AE">
        <w:rPr>
          <w:szCs w:val="22"/>
        </w:rPr>
        <w:t xml:space="preserve"> could undergo a second fresh cycle of </w:t>
      </w:r>
      <w:r w:rsidR="004B0B86" w:rsidRPr="001D57AE">
        <w:rPr>
          <w:szCs w:val="22"/>
        </w:rPr>
        <w:t>r-hFSH</w:t>
      </w:r>
      <w:r w:rsidRPr="001D57AE">
        <w:rPr>
          <w:szCs w:val="22"/>
        </w:rPr>
        <w:t xml:space="preserve"> treatment. Results of t</w:t>
      </w:r>
      <w:r w:rsidR="005A3274" w:rsidRPr="001D57AE">
        <w:rPr>
          <w:szCs w:val="22"/>
        </w:rPr>
        <w:t>reatment C</w:t>
      </w:r>
      <w:r w:rsidRPr="001D57AE">
        <w:rPr>
          <w:szCs w:val="22"/>
        </w:rPr>
        <w:t xml:space="preserve">ycle 2 were not provided </w:t>
      </w:r>
      <w:r w:rsidR="005700F2" w:rsidRPr="001D57AE">
        <w:rPr>
          <w:szCs w:val="22"/>
        </w:rPr>
        <w:t xml:space="preserve">in </w:t>
      </w:r>
      <w:r w:rsidRPr="001D57AE">
        <w:rPr>
          <w:szCs w:val="22"/>
        </w:rPr>
        <w:t>the minor submission.</w:t>
      </w:r>
    </w:p>
    <w:p w:rsidR="00310988" w:rsidRPr="002227F5" w:rsidRDefault="00310988" w:rsidP="002227F5">
      <w:pPr>
        <w:jc w:val="both"/>
        <w:rPr>
          <w:szCs w:val="22"/>
        </w:rPr>
      </w:pPr>
    </w:p>
    <w:p w:rsidR="005A3173" w:rsidRPr="00882085" w:rsidRDefault="005A3173" w:rsidP="001B0885">
      <w:pPr>
        <w:pStyle w:val="Heading2"/>
        <w:keepNext/>
        <w:rPr>
          <w:b w:val="0"/>
          <w:i w:val="0"/>
        </w:rPr>
      </w:pPr>
      <w:r w:rsidRPr="00882085">
        <w:t>Comparative harms</w:t>
      </w:r>
    </w:p>
    <w:p w:rsidR="005A3173" w:rsidRPr="00882085" w:rsidRDefault="005A3173" w:rsidP="001B0885">
      <w:pPr>
        <w:keepNext/>
        <w:ind w:left="720" w:hanging="720"/>
        <w:jc w:val="both"/>
        <w:rPr>
          <w:szCs w:val="22"/>
        </w:rPr>
      </w:pPr>
    </w:p>
    <w:p w:rsidR="000B558D" w:rsidRPr="000272AC" w:rsidRDefault="009031A3" w:rsidP="00A650B9">
      <w:pPr>
        <w:pStyle w:val="ListParagraph"/>
        <w:numPr>
          <w:ilvl w:val="1"/>
          <w:numId w:val="2"/>
        </w:numPr>
        <w:jc w:val="both"/>
        <w:rPr>
          <w:szCs w:val="22"/>
        </w:rPr>
      </w:pPr>
      <w:r>
        <w:rPr>
          <w:szCs w:val="22"/>
        </w:rPr>
        <w:t>R</w:t>
      </w:r>
      <w:r w:rsidR="000272AC" w:rsidRPr="000272AC">
        <w:rPr>
          <w:szCs w:val="22"/>
        </w:rPr>
        <w:t>esults of adverse events</w:t>
      </w:r>
      <w:r w:rsidR="001C7FFB">
        <w:rPr>
          <w:szCs w:val="22"/>
        </w:rPr>
        <w:t xml:space="preserve"> (AEs)</w:t>
      </w:r>
      <w:r w:rsidR="000272AC" w:rsidRPr="000272AC">
        <w:rPr>
          <w:szCs w:val="22"/>
        </w:rPr>
        <w:t xml:space="preserve"> in FIN3001</w:t>
      </w:r>
      <w:r>
        <w:rPr>
          <w:szCs w:val="22"/>
        </w:rPr>
        <w:t xml:space="preserve"> are presented in </w:t>
      </w:r>
      <w:r w:rsidRPr="000272AC">
        <w:rPr>
          <w:szCs w:val="22"/>
        </w:rPr>
        <w:t xml:space="preserve">Table </w:t>
      </w:r>
      <w:r w:rsidR="004819A0">
        <w:rPr>
          <w:szCs w:val="22"/>
        </w:rPr>
        <w:t>7</w:t>
      </w:r>
      <w:r w:rsidR="000272AC" w:rsidRPr="000272AC">
        <w:rPr>
          <w:szCs w:val="22"/>
        </w:rPr>
        <w:t xml:space="preserve">. No comparative safety data were reported </w:t>
      </w:r>
      <w:r w:rsidR="00D818DE">
        <w:rPr>
          <w:szCs w:val="22"/>
        </w:rPr>
        <w:t>in</w:t>
      </w:r>
      <w:r w:rsidR="00252E97">
        <w:rPr>
          <w:szCs w:val="22"/>
        </w:rPr>
        <w:t xml:space="preserve"> FIN1001.</w:t>
      </w:r>
    </w:p>
    <w:p w:rsidR="006C28A0" w:rsidRDefault="006C28A0">
      <w:pPr>
        <w:rPr>
          <w:szCs w:val="22"/>
        </w:rPr>
      </w:pPr>
      <w:r>
        <w:rPr>
          <w:szCs w:val="22"/>
        </w:rPr>
        <w:br w:type="page"/>
      </w:r>
    </w:p>
    <w:p w:rsidR="009B0F67" w:rsidRDefault="009B0F67" w:rsidP="009B0F67">
      <w:pPr>
        <w:pStyle w:val="ListParagraph"/>
        <w:ind w:left="709"/>
        <w:jc w:val="both"/>
        <w:rPr>
          <w:szCs w:val="22"/>
        </w:rPr>
      </w:pPr>
    </w:p>
    <w:p w:rsidR="000272AC" w:rsidRPr="000272AC" w:rsidRDefault="000272AC" w:rsidP="000272AC">
      <w:pPr>
        <w:pStyle w:val="Tablename"/>
        <w:rPr>
          <w:rFonts w:eastAsiaTheme="minorHAnsi"/>
          <w:lang w:eastAsia="en-US"/>
        </w:rPr>
      </w:pPr>
      <w:bookmarkStart w:id="6" w:name="_Ref436145673"/>
      <w:bookmarkStart w:id="7" w:name="_Toc438116927"/>
      <w:r w:rsidRPr="000272AC">
        <w:rPr>
          <w:rFonts w:eastAsiaTheme="minorHAnsi"/>
          <w:lang w:eastAsia="en-US"/>
        </w:rPr>
        <w:t xml:space="preserve">Table </w:t>
      </w:r>
      <w:bookmarkEnd w:id="6"/>
      <w:r w:rsidR="004819A0">
        <w:rPr>
          <w:rFonts w:eastAsiaTheme="minorHAnsi"/>
          <w:lang w:eastAsia="en-US"/>
        </w:rPr>
        <w:t>7</w:t>
      </w:r>
      <w:r>
        <w:rPr>
          <w:rFonts w:eastAsiaTheme="minorHAnsi"/>
          <w:lang w:eastAsia="en-US"/>
        </w:rPr>
        <w:t>:</w:t>
      </w:r>
      <w:r w:rsidRPr="000272AC">
        <w:rPr>
          <w:rFonts w:eastAsiaTheme="minorHAnsi"/>
          <w:lang w:eastAsia="en-US"/>
        </w:rPr>
        <w:t xml:space="preserve"> Overview of AEs</w:t>
      </w:r>
      <w:r>
        <w:rPr>
          <w:rFonts w:eastAsiaTheme="minorHAnsi"/>
          <w:lang w:eastAsia="en-US"/>
        </w:rPr>
        <w:t xml:space="preserve"> in FIN3001</w:t>
      </w:r>
      <w:bookmarkEnd w:id="7"/>
    </w:p>
    <w:tbl>
      <w:tblPr>
        <w:tblStyle w:val="Summarybox5"/>
        <w:tblW w:w="8566" w:type="dxa"/>
        <w:tblInd w:w="720" w:type="dxa"/>
        <w:tblLook w:val="04A0" w:firstRow="1" w:lastRow="0" w:firstColumn="1" w:lastColumn="0" w:noHBand="0" w:noVBand="1"/>
        <w:tblCaption w:val="Table 7: Overview of AEs in FIN3001"/>
      </w:tblPr>
      <w:tblGrid>
        <w:gridCol w:w="2127"/>
        <w:gridCol w:w="1500"/>
        <w:gridCol w:w="1619"/>
        <w:gridCol w:w="1749"/>
        <w:gridCol w:w="1571"/>
      </w:tblGrid>
      <w:tr w:rsidR="00BD6FDD" w:rsidRPr="000272AC" w:rsidTr="00002A96">
        <w:trPr>
          <w:trHeight w:val="177"/>
          <w:tblHeader/>
        </w:trPr>
        <w:tc>
          <w:tcPr>
            <w:tcW w:w="2127" w:type="dxa"/>
            <w:shd w:val="clear" w:color="auto" w:fill="FFFFFF" w:themeFill="background1"/>
          </w:tcPr>
          <w:p w:rsidR="00BD6FDD" w:rsidRPr="000272AC" w:rsidRDefault="00BD6FDD" w:rsidP="000272AC">
            <w:pPr>
              <w:rPr>
                <w:rFonts w:ascii="Arial Narrow" w:hAnsi="Arial Narrow"/>
                <w:b/>
                <w:sz w:val="20"/>
                <w:szCs w:val="20"/>
              </w:rPr>
            </w:pPr>
          </w:p>
        </w:tc>
        <w:tc>
          <w:tcPr>
            <w:tcW w:w="1500" w:type="dxa"/>
            <w:shd w:val="clear" w:color="auto" w:fill="FFFFFF" w:themeFill="background1"/>
            <w:vAlign w:val="center"/>
          </w:tcPr>
          <w:p w:rsidR="00BD6FDD" w:rsidRPr="000272AC" w:rsidRDefault="00BD6FDD" w:rsidP="000272AC">
            <w:pPr>
              <w:jc w:val="center"/>
              <w:rPr>
                <w:rFonts w:ascii="Arial Narrow" w:hAnsi="Arial Narrow"/>
                <w:b/>
                <w:sz w:val="20"/>
                <w:szCs w:val="20"/>
              </w:rPr>
            </w:pPr>
            <w:r w:rsidRPr="00C15051">
              <w:rPr>
                <w:rFonts w:ascii="Arial Narrow" w:hAnsi="Arial Narrow"/>
                <w:b/>
                <w:sz w:val="20"/>
                <w:szCs w:val="22"/>
              </w:rPr>
              <w:t>Bemfola</w:t>
            </w:r>
            <w:r w:rsidRPr="00C15051">
              <w:rPr>
                <w:rFonts w:ascii="Arial Narrow" w:hAnsi="Arial Narrow"/>
                <w:b/>
                <w:sz w:val="20"/>
                <w:szCs w:val="22"/>
                <w:vertAlign w:val="superscript"/>
              </w:rPr>
              <w:t>®</w:t>
            </w:r>
            <w:r>
              <w:rPr>
                <w:rFonts w:ascii="Arial Narrow" w:hAnsi="Arial Narrow"/>
                <w:b/>
                <w:sz w:val="20"/>
                <w:szCs w:val="20"/>
              </w:rPr>
              <w:t xml:space="preserve"> </w:t>
            </w:r>
            <w:r w:rsidR="00E10160">
              <w:rPr>
                <w:rFonts w:ascii="Arial Narrow" w:hAnsi="Arial Narrow"/>
                <w:b/>
                <w:sz w:val="20"/>
                <w:szCs w:val="20"/>
              </w:rPr>
              <w:br/>
            </w:r>
            <w:r>
              <w:rPr>
                <w:rFonts w:ascii="Arial Narrow" w:hAnsi="Arial Narrow"/>
                <w:b/>
                <w:sz w:val="20"/>
                <w:szCs w:val="20"/>
              </w:rPr>
              <w:t>(</w:t>
            </w:r>
            <w:r w:rsidRPr="000272AC">
              <w:rPr>
                <w:rFonts w:ascii="Arial Narrow" w:hAnsi="Arial Narrow"/>
                <w:b/>
                <w:sz w:val="20"/>
                <w:szCs w:val="20"/>
              </w:rPr>
              <w:t>N = 275</w:t>
            </w:r>
            <w:r>
              <w:rPr>
                <w:rFonts w:ascii="Arial Narrow" w:hAnsi="Arial Narrow"/>
                <w:b/>
                <w:sz w:val="20"/>
                <w:szCs w:val="20"/>
              </w:rPr>
              <w:t>)</w:t>
            </w:r>
          </w:p>
        </w:tc>
        <w:tc>
          <w:tcPr>
            <w:tcW w:w="1619" w:type="dxa"/>
            <w:shd w:val="clear" w:color="auto" w:fill="FFFFFF" w:themeFill="background1"/>
            <w:vAlign w:val="center"/>
          </w:tcPr>
          <w:p w:rsidR="00BD6FDD" w:rsidRPr="000272AC" w:rsidRDefault="00BD6FDD" w:rsidP="000272AC">
            <w:pPr>
              <w:jc w:val="center"/>
              <w:rPr>
                <w:rFonts w:ascii="Arial Narrow" w:hAnsi="Arial Narrow"/>
                <w:b/>
                <w:sz w:val="20"/>
                <w:szCs w:val="20"/>
              </w:rPr>
            </w:pPr>
            <w:r w:rsidRPr="00C15051">
              <w:rPr>
                <w:rFonts w:ascii="Arial Narrow" w:hAnsi="Arial Narrow"/>
                <w:b/>
                <w:sz w:val="20"/>
                <w:szCs w:val="22"/>
              </w:rPr>
              <w:t>Gonal-f</w:t>
            </w:r>
            <w:r w:rsidRPr="00C15051">
              <w:rPr>
                <w:rFonts w:ascii="Arial Narrow" w:hAnsi="Arial Narrow"/>
                <w:b/>
                <w:sz w:val="20"/>
                <w:szCs w:val="22"/>
                <w:vertAlign w:val="superscript"/>
              </w:rPr>
              <w:t>®</w:t>
            </w:r>
            <w:r>
              <w:rPr>
                <w:rFonts w:ascii="Arial Narrow" w:hAnsi="Arial Narrow"/>
                <w:b/>
                <w:sz w:val="20"/>
                <w:szCs w:val="20"/>
              </w:rPr>
              <w:t xml:space="preserve"> </w:t>
            </w:r>
            <w:r w:rsidR="00E10160">
              <w:rPr>
                <w:rFonts w:ascii="Arial Narrow" w:hAnsi="Arial Narrow"/>
                <w:b/>
                <w:sz w:val="20"/>
                <w:szCs w:val="20"/>
              </w:rPr>
              <w:br/>
            </w:r>
            <w:r>
              <w:rPr>
                <w:rFonts w:ascii="Arial Narrow" w:hAnsi="Arial Narrow"/>
                <w:b/>
                <w:sz w:val="20"/>
                <w:szCs w:val="20"/>
              </w:rPr>
              <w:t>(</w:t>
            </w:r>
            <w:r w:rsidRPr="000272AC">
              <w:rPr>
                <w:rFonts w:ascii="Arial Narrow" w:hAnsi="Arial Narrow"/>
                <w:b/>
                <w:sz w:val="20"/>
                <w:szCs w:val="20"/>
              </w:rPr>
              <w:t>N = 135</w:t>
            </w:r>
            <w:r>
              <w:rPr>
                <w:rFonts w:ascii="Arial Narrow" w:hAnsi="Arial Narrow"/>
                <w:b/>
                <w:sz w:val="20"/>
                <w:szCs w:val="20"/>
              </w:rPr>
              <w:t>)</w:t>
            </w:r>
          </w:p>
        </w:tc>
        <w:tc>
          <w:tcPr>
            <w:tcW w:w="1749" w:type="dxa"/>
            <w:shd w:val="clear" w:color="auto" w:fill="FFFFFF" w:themeFill="background1"/>
          </w:tcPr>
          <w:p w:rsidR="00BD6FDD" w:rsidRPr="00C15051" w:rsidRDefault="00BD6FDD" w:rsidP="000272AC">
            <w:pPr>
              <w:jc w:val="center"/>
              <w:rPr>
                <w:rFonts w:ascii="Arial Narrow" w:hAnsi="Arial Narrow"/>
                <w:b/>
                <w:sz w:val="20"/>
                <w:szCs w:val="22"/>
              </w:rPr>
            </w:pPr>
            <w:r>
              <w:rPr>
                <w:rFonts w:ascii="Arial Narrow" w:hAnsi="Arial Narrow"/>
                <w:b/>
                <w:sz w:val="20"/>
                <w:szCs w:val="22"/>
              </w:rPr>
              <w:t xml:space="preserve">RD </w:t>
            </w:r>
            <w:r w:rsidR="00E10160">
              <w:rPr>
                <w:rFonts w:ascii="Arial Narrow" w:hAnsi="Arial Narrow"/>
                <w:b/>
                <w:sz w:val="20"/>
                <w:szCs w:val="22"/>
              </w:rPr>
              <w:br/>
            </w:r>
            <w:r>
              <w:rPr>
                <w:rFonts w:ascii="Arial Narrow" w:hAnsi="Arial Narrow"/>
                <w:b/>
                <w:sz w:val="20"/>
                <w:szCs w:val="22"/>
              </w:rPr>
              <w:t>[95% CI]</w:t>
            </w:r>
            <w:r w:rsidR="00E10160" w:rsidRPr="00E10160">
              <w:rPr>
                <w:rFonts w:ascii="Arial Narrow" w:hAnsi="Arial Narrow"/>
                <w:b/>
                <w:sz w:val="20"/>
                <w:szCs w:val="22"/>
                <w:vertAlign w:val="superscript"/>
              </w:rPr>
              <w:t>a</w:t>
            </w:r>
          </w:p>
        </w:tc>
        <w:tc>
          <w:tcPr>
            <w:tcW w:w="1571" w:type="dxa"/>
            <w:shd w:val="clear" w:color="auto" w:fill="FFFFFF" w:themeFill="background1"/>
          </w:tcPr>
          <w:p w:rsidR="00BD6FDD" w:rsidRPr="00C15051" w:rsidRDefault="00BD6FDD" w:rsidP="00BD6FDD">
            <w:pPr>
              <w:jc w:val="center"/>
              <w:rPr>
                <w:rFonts w:ascii="Arial Narrow" w:hAnsi="Arial Narrow"/>
                <w:b/>
                <w:sz w:val="20"/>
                <w:szCs w:val="22"/>
              </w:rPr>
            </w:pPr>
            <w:r>
              <w:rPr>
                <w:rFonts w:ascii="Arial Narrow" w:hAnsi="Arial Narrow"/>
                <w:b/>
                <w:sz w:val="20"/>
                <w:szCs w:val="22"/>
              </w:rPr>
              <w:t xml:space="preserve">RR </w:t>
            </w:r>
            <w:r w:rsidR="00E10160">
              <w:rPr>
                <w:rFonts w:ascii="Arial Narrow" w:hAnsi="Arial Narrow"/>
                <w:b/>
                <w:sz w:val="20"/>
                <w:szCs w:val="22"/>
              </w:rPr>
              <w:br/>
            </w:r>
            <w:r>
              <w:rPr>
                <w:rFonts w:ascii="Arial Narrow" w:hAnsi="Arial Narrow"/>
                <w:b/>
                <w:sz w:val="20"/>
                <w:szCs w:val="22"/>
              </w:rPr>
              <w:t>[95% CI]</w:t>
            </w:r>
            <w:r w:rsidR="00E10160" w:rsidRPr="00E10160">
              <w:rPr>
                <w:rFonts w:ascii="Arial Narrow" w:hAnsi="Arial Narrow"/>
                <w:b/>
                <w:sz w:val="20"/>
                <w:szCs w:val="22"/>
                <w:vertAlign w:val="superscript"/>
              </w:rPr>
              <w:t>a</w:t>
            </w:r>
          </w:p>
        </w:tc>
      </w:tr>
      <w:tr w:rsidR="003A4274" w:rsidRPr="000272AC" w:rsidTr="006E1E20">
        <w:tc>
          <w:tcPr>
            <w:tcW w:w="2127" w:type="dxa"/>
          </w:tcPr>
          <w:p w:rsidR="003A4274" w:rsidRPr="000272AC" w:rsidRDefault="003A4274" w:rsidP="003A4274">
            <w:pPr>
              <w:rPr>
                <w:rFonts w:ascii="Arial Narrow" w:hAnsi="Arial Narrow"/>
                <w:sz w:val="20"/>
                <w:szCs w:val="20"/>
              </w:rPr>
            </w:pPr>
            <w:r w:rsidRPr="000272AC">
              <w:rPr>
                <w:rFonts w:ascii="Arial Narrow" w:hAnsi="Arial Narrow"/>
                <w:sz w:val="20"/>
                <w:szCs w:val="20"/>
              </w:rPr>
              <w:t xml:space="preserve">Any </w:t>
            </w:r>
            <w:r>
              <w:rPr>
                <w:rFonts w:ascii="Arial Narrow" w:hAnsi="Arial Narrow"/>
                <w:sz w:val="20"/>
                <w:szCs w:val="20"/>
              </w:rPr>
              <w:t>AEs</w:t>
            </w:r>
          </w:p>
        </w:tc>
        <w:tc>
          <w:tcPr>
            <w:tcW w:w="1500" w:type="dxa"/>
            <w:vAlign w:val="center"/>
          </w:tcPr>
          <w:p w:rsidR="003A4274" w:rsidRPr="000272AC" w:rsidRDefault="003A4274" w:rsidP="003A4274">
            <w:pPr>
              <w:jc w:val="center"/>
              <w:rPr>
                <w:rFonts w:ascii="Arial Narrow" w:hAnsi="Arial Narrow"/>
                <w:sz w:val="20"/>
                <w:szCs w:val="20"/>
              </w:rPr>
            </w:pPr>
            <w:r w:rsidRPr="000272AC">
              <w:rPr>
                <w:rFonts w:ascii="Arial Narrow" w:hAnsi="Arial Narrow"/>
                <w:sz w:val="20"/>
                <w:szCs w:val="20"/>
              </w:rPr>
              <w:t>203 (73.8%)</w:t>
            </w:r>
          </w:p>
        </w:tc>
        <w:tc>
          <w:tcPr>
            <w:tcW w:w="1619" w:type="dxa"/>
            <w:vAlign w:val="center"/>
          </w:tcPr>
          <w:p w:rsidR="003A4274" w:rsidRPr="000272AC" w:rsidRDefault="003A4274" w:rsidP="003A4274">
            <w:pPr>
              <w:jc w:val="center"/>
              <w:rPr>
                <w:rFonts w:ascii="Arial Narrow" w:hAnsi="Arial Narrow"/>
                <w:sz w:val="20"/>
                <w:szCs w:val="20"/>
              </w:rPr>
            </w:pPr>
            <w:r w:rsidRPr="000272AC">
              <w:rPr>
                <w:rFonts w:ascii="Arial Narrow" w:hAnsi="Arial Narrow"/>
                <w:sz w:val="20"/>
                <w:szCs w:val="20"/>
              </w:rPr>
              <w:t>92 (68.1%)</w:t>
            </w:r>
          </w:p>
        </w:tc>
        <w:tc>
          <w:tcPr>
            <w:tcW w:w="1749" w:type="dxa"/>
            <w:vAlign w:val="center"/>
          </w:tcPr>
          <w:p w:rsidR="003A4274" w:rsidRPr="00E10160" w:rsidRDefault="003A4274" w:rsidP="00E10160">
            <w:pPr>
              <w:jc w:val="center"/>
              <w:rPr>
                <w:rFonts w:ascii="Arial Narrow" w:hAnsi="Arial Narrow"/>
                <w:i/>
                <w:sz w:val="20"/>
                <w:szCs w:val="20"/>
              </w:rPr>
            </w:pPr>
            <w:r w:rsidRPr="00E10160">
              <w:rPr>
                <w:rFonts w:ascii="Arial Narrow" w:hAnsi="Arial Narrow"/>
                <w:i/>
                <w:sz w:val="20"/>
                <w:szCs w:val="20"/>
              </w:rPr>
              <w:t>5.7% [-3.8%, 15.1%]</w:t>
            </w:r>
          </w:p>
        </w:tc>
        <w:tc>
          <w:tcPr>
            <w:tcW w:w="1571" w:type="dxa"/>
            <w:vAlign w:val="center"/>
          </w:tcPr>
          <w:p w:rsidR="003A4274" w:rsidRPr="00E10160" w:rsidRDefault="003A4274" w:rsidP="00E10160">
            <w:pPr>
              <w:jc w:val="center"/>
              <w:rPr>
                <w:rFonts w:ascii="Arial Narrow" w:hAnsi="Arial Narrow"/>
                <w:i/>
                <w:sz w:val="20"/>
                <w:szCs w:val="20"/>
              </w:rPr>
            </w:pPr>
            <w:r w:rsidRPr="00E10160">
              <w:rPr>
                <w:rFonts w:ascii="Arial Narrow" w:hAnsi="Arial Narrow"/>
                <w:i/>
                <w:sz w:val="20"/>
                <w:szCs w:val="20"/>
              </w:rPr>
              <w:t>1.08 [0.95, 1.24]</w:t>
            </w:r>
          </w:p>
        </w:tc>
      </w:tr>
      <w:tr w:rsidR="00BD6FDD" w:rsidRPr="000272AC" w:rsidTr="006E1E20">
        <w:tc>
          <w:tcPr>
            <w:tcW w:w="2127" w:type="dxa"/>
          </w:tcPr>
          <w:p w:rsidR="00BD6FDD" w:rsidRPr="000272AC" w:rsidRDefault="00BD6FDD" w:rsidP="00BD6FDD">
            <w:pPr>
              <w:rPr>
                <w:rFonts w:ascii="Arial Narrow" w:hAnsi="Arial Narrow"/>
                <w:sz w:val="20"/>
                <w:szCs w:val="20"/>
              </w:rPr>
            </w:pPr>
            <w:r>
              <w:rPr>
                <w:rFonts w:ascii="Arial Narrow" w:hAnsi="Arial Narrow"/>
                <w:sz w:val="20"/>
                <w:szCs w:val="20"/>
              </w:rPr>
              <w:t>Drug-related AEs</w:t>
            </w:r>
          </w:p>
        </w:tc>
        <w:tc>
          <w:tcPr>
            <w:tcW w:w="1500"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180 (65.5%)</w:t>
            </w:r>
          </w:p>
        </w:tc>
        <w:tc>
          <w:tcPr>
            <w:tcW w:w="1619"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75 (55.6%)</w:t>
            </w:r>
          </w:p>
        </w:tc>
        <w:tc>
          <w:tcPr>
            <w:tcW w:w="1749"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9.9% [-0.2%, 20</w:t>
            </w:r>
            <w:r w:rsidR="00E10160" w:rsidRPr="00E10160">
              <w:rPr>
                <w:rFonts w:ascii="Arial Narrow" w:hAnsi="Arial Narrow"/>
                <w:i/>
                <w:sz w:val="20"/>
                <w:szCs w:val="20"/>
              </w:rPr>
              <w:t>.0</w:t>
            </w:r>
            <w:r w:rsidRPr="00E10160">
              <w:rPr>
                <w:rFonts w:ascii="Arial Narrow" w:hAnsi="Arial Narrow"/>
                <w:i/>
                <w:sz w:val="20"/>
                <w:szCs w:val="20"/>
              </w:rPr>
              <w:t>%]</w:t>
            </w:r>
          </w:p>
        </w:tc>
        <w:tc>
          <w:tcPr>
            <w:tcW w:w="1571"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1.18 [0.99, 1.4</w:t>
            </w:r>
            <w:r w:rsidR="00E10160" w:rsidRPr="00E10160">
              <w:rPr>
                <w:rFonts w:ascii="Arial Narrow" w:hAnsi="Arial Narrow"/>
                <w:i/>
                <w:sz w:val="20"/>
                <w:szCs w:val="20"/>
              </w:rPr>
              <w:t>0</w:t>
            </w:r>
            <w:r w:rsidRPr="00E10160">
              <w:rPr>
                <w:rFonts w:ascii="Arial Narrow" w:hAnsi="Arial Narrow"/>
                <w:i/>
                <w:sz w:val="20"/>
                <w:szCs w:val="20"/>
              </w:rPr>
              <w:t>]</w:t>
            </w:r>
          </w:p>
        </w:tc>
      </w:tr>
      <w:tr w:rsidR="00BD6FDD" w:rsidRPr="000272AC" w:rsidTr="006E1E20">
        <w:tc>
          <w:tcPr>
            <w:tcW w:w="2127" w:type="dxa"/>
          </w:tcPr>
          <w:p w:rsidR="00BD6FDD" w:rsidRPr="000272AC" w:rsidRDefault="00BD6FDD" w:rsidP="00BD6FDD">
            <w:pPr>
              <w:rPr>
                <w:rFonts w:ascii="Arial Narrow" w:hAnsi="Arial Narrow"/>
                <w:sz w:val="20"/>
                <w:szCs w:val="20"/>
              </w:rPr>
            </w:pPr>
            <w:r>
              <w:rPr>
                <w:rFonts w:ascii="Arial Narrow" w:hAnsi="Arial Narrow"/>
                <w:sz w:val="20"/>
                <w:szCs w:val="20"/>
              </w:rPr>
              <w:t xml:space="preserve">Serious </w:t>
            </w:r>
            <w:r w:rsidRPr="000272AC">
              <w:rPr>
                <w:rFonts w:ascii="Arial Narrow" w:hAnsi="Arial Narrow"/>
                <w:sz w:val="20"/>
                <w:szCs w:val="20"/>
              </w:rPr>
              <w:t>AE</w:t>
            </w:r>
            <w:r>
              <w:rPr>
                <w:rFonts w:ascii="Arial Narrow" w:hAnsi="Arial Narrow"/>
                <w:sz w:val="20"/>
                <w:szCs w:val="20"/>
              </w:rPr>
              <w:t>s</w:t>
            </w:r>
          </w:p>
        </w:tc>
        <w:tc>
          <w:tcPr>
            <w:tcW w:w="1500"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11 (4.0%)</w:t>
            </w:r>
          </w:p>
        </w:tc>
        <w:tc>
          <w:tcPr>
            <w:tcW w:w="1619"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3 (2.2%)</w:t>
            </w:r>
          </w:p>
        </w:tc>
        <w:tc>
          <w:tcPr>
            <w:tcW w:w="1749"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1.8% [-1.6%, 5.2%]</w:t>
            </w:r>
          </w:p>
        </w:tc>
        <w:tc>
          <w:tcPr>
            <w:tcW w:w="1571"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1.8</w:t>
            </w:r>
            <w:r w:rsidR="00E10160" w:rsidRPr="00E10160">
              <w:rPr>
                <w:rFonts w:ascii="Arial Narrow" w:hAnsi="Arial Narrow"/>
                <w:i/>
                <w:sz w:val="20"/>
                <w:szCs w:val="20"/>
              </w:rPr>
              <w:t>0</w:t>
            </w:r>
            <w:r w:rsidRPr="00E10160">
              <w:rPr>
                <w:rFonts w:ascii="Arial Narrow" w:hAnsi="Arial Narrow"/>
                <w:i/>
                <w:sz w:val="20"/>
                <w:szCs w:val="20"/>
              </w:rPr>
              <w:t xml:space="preserve"> [0.51, 6.35]</w:t>
            </w:r>
          </w:p>
        </w:tc>
      </w:tr>
      <w:tr w:rsidR="00BD6FDD" w:rsidRPr="000272AC" w:rsidTr="006E1E20">
        <w:tc>
          <w:tcPr>
            <w:tcW w:w="2127" w:type="dxa"/>
          </w:tcPr>
          <w:p w:rsidR="00BD6FDD" w:rsidRDefault="00BD6FDD" w:rsidP="00BD6FDD">
            <w:pPr>
              <w:rPr>
                <w:rFonts w:ascii="Arial Narrow" w:hAnsi="Arial Narrow"/>
                <w:sz w:val="20"/>
                <w:szCs w:val="20"/>
              </w:rPr>
            </w:pPr>
            <w:r>
              <w:rPr>
                <w:rFonts w:ascii="Arial Narrow" w:hAnsi="Arial Narrow"/>
                <w:sz w:val="20"/>
                <w:szCs w:val="20"/>
              </w:rPr>
              <w:t>Drug-related serious AEs</w:t>
            </w:r>
          </w:p>
        </w:tc>
        <w:tc>
          <w:tcPr>
            <w:tcW w:w="1500"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8 (2.9%)</w:t>
            </w:r>
          </w:p>
        </w:tc>
        <w:tc>
          <w:tcPr>
            <w:tcW w:w="1619"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2 (1.5%)</w:t>
            </w:r>
          </w:p>
        </w:tc>
        <w:tc>
          <w:tcPr>
            <w:tcW w:w="1749"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1.4% [-1.4%, 4.3%]</w:t>
            </w:r>
          </w:p>
        </w:tc>
        <w:tc>
          <w:tcPr>
            <w:tcW w:w="1571"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1.96 [0.42, 9.12]</w:t>
            </w:r>
          </w:p>
        </w:tc>
      </w:tr>
      <w:tr w:rsidR="00BD6FDD" w:rsidRPr="000272AC" w:rsidTr="006E1E20">
        <w:tc>
          <w:tcPr>
            <w:tcW w:w="2127" w:type="dxa"/>
          </w:tcPr>
          <w:p w:rsidR="00BD6FDD" w:rsidRPr="000272AC" w:rsidRDefault="00BD6FDD" w:rsidP="00BD6FDD">
            <w:pPr>
              <w:rPr>
                <w:rFonts w:ascii="Arial Narrow" w:hAnsi="Arial Narrow"/>
                <w:sz w:val="20"/>
                <w:szCs w:val="20"/>
              </w:rPr>
            </w:pPr>
            <w:r>
              <w:rPr>
                <w:rFonts w:ascii="Arial Narrow" w:hAnsi="Arial Narrow"/>
                <w:sz w:val="20"/>
                <w:szCs w:val="20"/>
              </w:rPr>
              <w:t>S</w:t>
            </w:r>
            <w:r w:rsidRPr="000272AC">
              <w:rPr>
                <w:rFonts w:ascii="Arial Narrow" w:hAnsi="Arial Narrow"/>
                <w:sz w:val="20"/>
                <w:szCs w:val="20"/>
              </w:rPr>
              <w:t xml:space="preserve">evere </w:t>
            </w:r>
            <w:r>
              <w:rPr>
                <w:rFonts w:ascii="Arial Narrow" w:hAnsi="Arial Narrow"/>
                <w:sz w:val="20"/>
                <w:szCs w:val="20"/>
              </w:rPr>
              <w:t>AEs</w:t>
            </w:r>
          </w:p>
        </w:tc>
        <w:tc>
          <w:tcPr>
            <w:tcW w:w="1500"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17 (6.2%)</w:t>
            </w:r>
          </w:p>
        </w:tc>
        <w:tc>
          <w:tcPr>
            <w:tcW w:w="1619"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7 (5.2%)</w:t>
            </w:r>
          </w:p>
        </w:tc>
        <w:tc>
          <w:tcPr>
            <w:tcW w:w="1749"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1.0% [-3.7%, 5.7%]</w:t>
            </w:r>
          </w:p>
        </w:tc>
        <w:tc>
          <w:tcPr>
            <w:tcW w:w="1571"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1.19 [0.51, 2.81]</w:t>
            </w:r>
          </w:p>
        </w:tc>
      </w:tr>
      <w:tr w:rsidR="00BD6FDD" w:rsidRPr="000272AC" w:rsidTr="006E1E20">
        <w:tc>
          <w:tcPr>
            <w:tcW w:w="2127" w:type="dxa"/>
          </w:tcPr>
          <w:p w:rsidR="00BD6FDD" w:rsidRPr="000272AC" w:rsidRDefault="00BD6FDD" w:rsidP="00BD6FDD">
            <w:pPr>
              <w:rPr>
                <w:rFonts w:ascii="Arial Narrow" w:hAnsi="Arial Narrow"/>
                <w:sz w:val="20"/>
                <w:szCs w:val="20"/>
              </w:rPr>
            </w:pPr>
            <w:r>
              <w:rPr>
                <w:rFonts w:ascii="Arial Narrow" w:hAnsi="Arial Narrow"/>
                <w:sz w:val="20"/>
                <w:szCs w:val="20"/>
              </w:rPr>
              <w:t>Drug-related severe AEs</w:t>
            </w:r>
          </w:p>
        </w:tc>
        <w:tc>
          <w:tcPr>
            <w:tcW w:w="1500"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13 (4.7%)</w:t>
            </w:r>
          </w:p>
        </w:tc>
        <w:tc>
          <w:tcPr>
            <w:tcW w:w="1619"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5 (3.7%)</w:t>
            </w:r>
          </w:p>
        </w:tc>
        <w:tc>
          <w:tcPr>
            <w:tcW w:w="1749"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1.0% [-3</w:t>
            </w:r>
            <w:r w:rsidR="00E10160" w:rsidRPr="00E10160">
              <w:rPr>
                <w:rFonts w:ascii="Arial Narrow" w:hAnsi="Arial Narrow"/>
                <w:i/>
                <w:sz w:val="20"/>
                <w:szCs w:val="20"/>
              </w:rPr>
              <w:t>.0</w:t>
            </w:r>
            <w:r w:rsidRPr="00E10160">
              <w:rPr>
                <w:rFonts w:ascii="Arial Narrow" w:hAnsi="Arial Narrow"/>
                <w:i/>
                <w:sz w:val="20"/>
                <w:szCs w:val="20"/>
              </w:rPr>
              <w:t>%, 5.1%]</w:t>
            </w:r>
          </w:p>
        </w:tc>
        <w:tc>
          <w:tcPr>
            <w:tcW w:w="1571" w:type="dxa"/>
            <w:vAlign w:val="center"/>
          </w:tcPr>
          <w:p w:rsidR="00BD6FDD" w:rsidRPr="00E10160" w:rsidRDefault="003A4274" w:rsidP="00E10160">
            <w:pPr>
              <w:jc w:val="center"/>
              <w:rPr>
                <w:rFonts w:ascii="Arial Narrow" w:hAnsi="Arial Narrow"/>
                <w:i/>
                <w:sz w:val="20"/>
                <w:szCs w:val="20"/>
              </w:rPr>
            </w:pPr>
            <w:r w:rsidRPr="00E10160">
              <w:rPr>
                <w:rFonts w:ascii="Arial Narrow" w:hAnsi="Arial Narrow"/>
                <w:i/>
                <w:sz w:val="20"/>
                <w:szCs w:val="20"/>
              </w:rPr>
              <w:t>1.28 [0.46, 3.51]</w:t>
            </w:r>
          </w:p>
        </w:tc>
      </w:tr>
      <w:tr w:rsidR="00BD6FDD" w:rsidRPr="00BB2F43" w:rsidTr="006E1E20">
        <w:tc>
          <w:tcPr>
            <w:tcW w:w="2127" w:type="dxa"/>
          </w:tcPr>
          <w:p w:rsidR="00BD6FDD" w:rsidRPr="00520C77" w:rsidRDefault="00BD6FDD" w:rsidP="00BD6FDD">
            <w:pPr>
              <w:rPr>
                <w:rFonts w:ascii="Arial Narrow" w:hAnsi="Arial Narrow"/>
                <w:sz w:val="20"/>
                <w:szCs w:val="20"/>
              </w:rPr>
            </w:pPr>
            <w:r w:rsidRPr="00520C77">
              <w:rPr>
                <w:rFonts w:ascii="Arial Narrow" w:hAnsi="Arial Narrow"/>
                <w:sz w:val="20"/>
                <w:szCs w:val="20"/>
              </w:rPr>
              <w:t>AEs leading to discontinuation</w:t>
            </w:r>
          </w:p>
        </w:tc>
        <w:tc>
          <w:tcPr>
            <w:tcW w:w="1500" w:type="dxa"/>
            <w:vAlign w:val="center"/>
          </w:tcPr>
          <w:p w:rsidR="00BD6FDD" w:rsidRPr="00520C77" w:rsidRDefault="00BD6FDD" w:rsidP="000272AC">
            <w:pPr>
              <w:jc w:val="center"/>
              <w:rPr>
                <w:rFonts w:ascii="Arial Narrow" w:hAnsi="Arial Narrow"/>
                <w:sz w:val="20"/>
                <w:szCs w:val="20"/>
              </w:rPr>
            </w:pPr>
            <w:r w:rsidRPr="00520C77">
              <w:rPr>
                <w:rFonts w:ascii="Arial Narrow" w:hAnsi="Arial Narrow"/>
                <w:sz w:val="20"/>
                <w:szCs w:val="20"/>
              </w:rPr>
              <w:t>11 (4.0%)</w:t>
            </w:r>
          </w:p>
        </w:tc>
        <w:tc>
          <w:tcPr>
            <w:tcW w:w="1619" w:type="dxa"/>
            <w:vAlign w:val="center"/>
          </w:tcPr>
          <w:p w:rsidR="00BD6FDD" w:rsidRPr="00520C77" w:rsidRDefault="00BD6FDD" w:rsidP="000272AC">
            <w:pPr>
              <w:jc w:val="center"/>
              <w:rPr>
                <w:rFonts w:ascii="Arial Narrow" w:hAnsi="Arial Narrow"/>
                <w:sz w:val="20"/>
                <w:szCs w:val="20"/>
              </w:rPr>
            </w:pPr>
            <w:r w:rsidRPr="00520C77">
              <w:rPr>
                <w:rFonts w:ascii="Arial Narrow" w:hAnsi="Arial Narrow"/>
                <w:sz w:val="20"/>
                <w:szCs w:val="20"/>
              </w:rPr>
              <w:t>1 (0.7%)</w:t>
            </w:r>
          </w:p>
        </w:tc>
        <w:tc>
          <w:tcPr>
            <w:tcW w:w="1749" w:type="dxa"/>
            <w:vAlign w:val="center"/>
          </w:tcPr>
          <w:p w:rsidR="00BD6FDD" w:rsidRPr="00520C77" w:rsidRDefault="003A4274" w:rsidP="00E10160">
            <w:pPr>
              <w:jc w:val="center"/>
              <w:rPr>
                <w:rFonts w:ascii="Arial Narrow" w:hAnsi="Arial Narrow"/>
                <w:i/>
                <w:sz w:val="20"/>
                <w:szCs w:val="20"/>
              </w:rPr>
            </w:pPr>
            <w:r w:rsidRPr="00520C77">
              <w:rPr>
                <w:rFonts w:ascii="Arial Narrow" w:hAnsi="Arial Narrow"/>
                <w:i/>
                <w:sz w:val="20"/>
                <w:szCs w:val="20"/>
              </w:rPr>
              <w:t>3.3% [0.5%, 6</w:t>
            </w:r>
            <w:r w:rsidR="00E10160" w:rsidRPr="00520C77">
              <w:rPr>
                <w:rFonts w:ascii="Arial Narrow" w:hAnsi="Arial Narrow"/>
                <w:i/>
                <w:sz w:val="20"/>
                <w:szCs w:val="20"/>
              </w:rPr>
              <w:t>.0</w:t>
            </w:r>
            <w:r w:rsidRPr="00520C77">
              <w:rPr>
                <w:rFonts w:ascii="Arial Narrow" w:hAnsi="Arial Narrow"/>
                <w:i/>
                <w:sz w:val="20"/>
                <w:szCs w:val="20"/>
              </w:rPr>
              <w:t>%]</w:t>
            </w:r>
          </w:p>
        </w:tc>
        <w:tc>
          <w:tcPr>
            <w:tcW w:w="1571" w:type="dxa"/>
            <w:vAlign w:val="center"/>
          </w:tcPr>
          <w:p w:rsidR="00BD6FDD" w:rsidRPr="00520C77" w:rsidRDefault="003A4274" w:rsidP="00E10160">
            <w:pPr>
              <w:jc w:val="center"/>
              <w:rPr>
                <w:rFonts w:ascii="Arial Narrow" w:hAnsi="Arial Narrow"/>
                <w:i/>
                <w:sz w:val="20"/>
                <w:szCs w:val="20"/>
              </w:rPr>
            </w:pPr>
            <w:r w:rsidRPr="00520C77">
              <w:rPr>
                <w:rFonts w:ascii="Arial Narrow" w:hAnsi="Arial Narrow"/>
                <w:i/>
                <w:sz w:val="20"/>
                <w:szCs w:val="20"/>
              </w:rPr>
              <w:t>5.4</w:t>
            </w:r>
            <w:r w:rsidR="00520C77">
              <w:rPr>
                <w:rFonts w:ascii="Arial Narrow" w:hAnsi="Arial Narrow"/>
                <w:i/>
                <w:sz w:val="20"/>
                <w:szCs w:val="20"/>
              </w:rPr>
              <w:t>0</w:t>
            </w:r>
            <w:r w:rsidRPr="00520C77">
              <w:rPr>
                <w:rFonts w:ascii="Arial Narrow" w:hAnsi="Arial Narrow"/>
                <w:i/>
                <w:sz w:val="20"/>
                <w:szCs w:val="20"/>
              </w:rPr>
              <w:t xml:space="preserve"> [0.7</w:t>
            </w:r>
            <w:r w:rsidR="00E10160" w:rsidRPr="00520C77">
              <w:rPr>
                <w:rFonts w:ascii="Arial Narrow" w:hAnsi="Arial Narrow"/>
                <w:i/>
                <w:sz w:val="20"/>
                <w:szCs w:val="20"/>
              </w:rPr>
              <w:t>0</w:t>
            </w:r>
            <w:r w:rsidRPr="00520C77">
              <w:rPr>
                <w:rFonts w:ascii="Arial Narrow" w:hAnsi="Arial Narrow"/>
                <w:i/>
                <w:sz w:val="20"/>
                <w:szCs w:val="20"/>
              </w:rPr>
              <w:t>, 41.4</w:t>
            </w:r>
            <w:r w:rsidR="00E10160" w:rsidRPr="00520C77">
              <w:rPr>
                <w:rFonts w:ascii="Arial Narrow" w:hAnsi="Arial Narrow"/>
                <w:i/>
                <w:sz w:val="20"/>
                <w:szCs w:val="20"/>
              </w:rPr>
              <w:t>0</w:t>
            </w:r>
            <w:r w:rsidRPr="00520C77">
              <w:rPr>
                <w:rFonts w:ascii="Arial Narrow" w:hAnsi="Arial Narrow"/>
                <w:i/>
                <w:sz w:val="20"/>
                <w:szCs w:val="20"/>
              </w:rPr>
              <w:t>]</w:t>
            </w:r>
          </w:p>
        </w:tc>
      </w:tr>
      <w:tr w:rsidR="00BD6FDD" w:rsidRPr="00BB2F43" w:rsidTr="006E1E20">
        <w:trPr>
          <w:trHeight w:val="352"/>
        </w:trPr>
        <w:tc>
          <w:tcPr>
            <w:tcW w:w="2127" w:type="dxa"/>
          </w:tcPr>
          <w:p w:rsidR="00BD6FDD" w:rsidRPr="00520C77" w:rsidRDefault="00BD6FDD" w:rsidP="00BB2F43">
            <w:pPr>
              <w:ind w:right="-57"/>
              <w:rPr>
                <w:rFonts w:ascii="Arial Narrow" w:hAnsi="Arial Narrow"/>
                <w:sz w:val="20"/>
                <w:szCs w:val="20"/>
              </w:rPr>
            </w:pPr>
            <w:r w:rsidRPr="00520C77">
              <w:rPr>
                <w:rFonts w:ascii="Arial Narrow" w:hAnsi="Arial Narrow"/>
                <w:sz w:val="20"/>
                <w:szCs w:val="20"/>
              </w:rPr>
              <w:t>Drug-related AEs leading to discontinuation</w:t>
            </w:r>
          </w:p>
        </w:tc>
        <w:tc>
          <w:tcPr>
            <w:tcW w:w="1500" w:type="dxa"/>
            <w:vAlign w:val="center"/>
          </w:tcPr>
          <w:p w:rsidR="00BD6FDD" w:rsidRPr="00520C77" w:rsidRDefault="00BD6FDD" w:rsidP="000272AC">
            <w:pPr>
              <w:jc w:val="center"/>
              <w:rPr>
                <w:rFonts w:ascii="Arial Narrow" w:hAnsi="Arial Narrow"/>
                <w:sz w:val="20"/>
                <w:szCs w:val="20"/>
              </w:rPr>
            </w:pPr>
            <w:r w:rsidRPr="00520C77">
              <w:rPr>
                <w:rFonts w:ascii="Arial Narrow" w:hAnsi="Arial Narrow"/>
                <w:sz w:val="20"/>
                <w:szCs w:val="20"/>
              </w:rPr>
              <w:t>10 (3.6%)</w:t>
            </w:r>
          </w:p>
        </w:tc>
        <w:tc>
          <w:tcPr>
            <w:tcW w:w="1619" w:type="dxa"/>
            <w:vAlign w:val="center"/>
          </w:tcPr>
          <w:p w:rsidR="00BD6FDD" w:rsidRPr="00520C77" w:rsidRDefault="00BD6FDD" w:rsidP="000272AC">
            <w:pPr>
              <w:jc w:val="center"/>
              <w:rPr>
                <w:rFonts w:ascii="Arial Narrow" w:hAnsi="Arial Narrow"/>
                <w:sz w:val="20"/>
                <w:szCs w:val="20"/>
              </w:rPr>
            </w:pPr>
            <w:r w:rsidRPr="00520C77">
              <w:rPr>
                <w:rFonts w:ascii="Arial Narrow" w:hAnsi="Arial Narrow"/>
                <w:sz w:val="20"/>
                <w:szCs w:val="20"/>
              </w:rPr>
              <w:t>1 (0.7%)</w:t>
            </w:r>
          </w:p>
        </w:tc>
        <w:tc>
          <w:tcPr>
            <w:tcW w:w="1749" w:type="dxa"/>
            <w:vAlign w:val="center"/>
          </w:tcPr>
          <w:p w:rsidR="00BD6FDD" w:rsidRPr="00520C77" w:rsidRDefault="003A4274" w:rsidP="00E10160">
            <w:pPr>
              <w:jc w:val="center"/>
              <w:rPr>
                <w:rFonts w:ascii="Arial Narrow" w:hAnsi="Arial Narrow"/>
                <w:i/>
                <w:sz w:val="20"/>
                <w:szCs w:val="20"/>
              </w:rPr>
            </w:pPr>
            <w:r w:rsidRPr="00520C77">
              <w:rPr>
                <w:rFonts w:ascii="Arial Narrow" w:hAnsi="Arial Narrow"/>
                <w:i/>
                <w:sz w:val="20"/>
                <w:szCs w:val="20"/>
              </w:rPr>
              <w:t>2.9% [0.3%, 5.5%]</w:t>
            </w:r>
          </w:p>
        </w:tc>
        <w:tc>
          <w:tcPr>
            <w:tcW w:w="1571" w:type="dxa"/>
            <w:vAlign w:val="center"/>
          </w:tcPr>
          <w:p w:rsidR="00BD6FDD" w:rsidRPr="00520C77" w:rsidRDefault="003A4274" w:rsidP="00E10160">
            <w:pPr>
              <w:jc w:val="center"/>
              <w:rPr>
                <w:rFonts w:ascii="Arial Narrow" w:hAnsi="Arial Narrow"/>
                <w:i/>
                <w:sz w:val="20"/>
                <w:szCs w:val="20"/>
              </w:rPr>
            </w:pPr>
            <w:r w:rsidRPr="00520C77">
              <w:rPr>
                <w:rFonts w:ascii="Arial Narrow" w:hAnsi="Arial Narrow"/>
                <w:i/>
                <w:sz w:val="20"/>
                <w:szCs w:val="20"/>
              </w:rPr>
              <w:t>4.91 [0.63, 37.96]</w:t>
            </w:r>
          </w:p>
        </w:tc>
      </w:tr>
      <w:tr w:rsidR="00BD6FDD" w:rsidRPr="000272AC" w:rsidTr="006E1E20">
        <w:tc>
          <w:tcPr>
            <w:tcW w:w="2127" w:type="dxa"/>
          </w:tcPr>
          <w:p w:rsidR="00BD6FDD" w:rsidRPr="000272AC" w:rsidRDefault="00BD6FDD" w:rsidP="000272AC">
            <w:pPr>
              <w:jc w:val="both"/>
              <w:rPr>
                <w:rFonts w:ascii="Arial Narrow" w:hAnsi="Arial Narrow"/>
                <w:sz w:val="20"/>
                <w:szCs w:val="20"/>
              </w:rPr>
            </w:pPr>
            <w:r w:rsidRPr="000272AC">
              <w:rPr>
                <w:rFonts w:ascii="Arial Narrow" w:hAnsi="Arial Narrow"/>
                <w:sz w:val="20"/>
                <w:szCs w:val="20"/>
              </w:rPr>
              <w:t>Deaths</w:t>
            </w:r>
          </w:p>
        </w:tc>
        <w:tc>
          <w:tcPr>
            <w:tcW w:w="1500"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0</w:t>
            </w:r>
            <w:r>
              <w:rPr>
                <w:rFonts w:ascii="Arial Narrow" w:hAnsi="Arial Narrow"/>
                <w:sz w:val="20"/>
                <w:szCs w:val="20"/>
              </w:rPr>
              <w:t xml:space="preserve"> (0.0%)</w:t>
            </w:r>
          </w:p>
        </w:tc>
        <w:tc>
          <w:tcPr>
            <w:tcW w:w="1619" w:type="dxa"/>
            <w:vAlign w:val="center"/>
          </w:tcPr>
          <w:p w:rsidR="00BD6FDD" w:rsidRPr="000272AC" w:rsidRDefault="00BD6FDD" w:rsidP="000272AC">
            <w:pPr>
              <w:jc w:val="center"/>
              <w:rPr>
                <w:rFonts w:ascii="Arial Narrow" w:hAnsi="Arial Narrow"/>
                <w:sz w:val="20"/>
                <w:szCs w:val="20"/>
              </w:rPr>
            </w:pPr>
            <w:r w:rsidRPr="000272AC">
              <w:rPr>
                <w:rFonts w:ascii="Arial Narrow" w:hAnsi="Arial Narrow"/>
                <w:sz w:val="20"/>
                <w:szCs w:val="20"/>
              </w:rPr>
              <w:t>0</w:t>
            </w:r>
            <w:r>
              <w:rPr>
                <w:rFonts w:ascii="Arial Narrow" w:hAnsi="Arial Narrow"/>
                <w:sz w:val="20"/>
                <w:szCs w:val="20"/>
              </w:rPr>
              <w:t xml:space="preserve"> (0.0%)</w:t>
            </w:r>
          </w:p>
        </w:tc>
        <w:tc>
          <w:tcPr>
            <w:tcW w:w="1749" w:type="dxa"/>
            <w:vAlign w:val="center"/>
          </w:tcPr>
          <w:p w:rsidR="00BD6FDD" w:rsidRPr="000272AC" w:rsidRDefault="003A4274" w:rsidP="00E10160">
            <w:pPr>
              <w:jc w:val="center"/>
              <w:rPr>
                <w:rFonts w:ascii="Arial Narrow" w:hAnsi="Arial Narrow"/>
                <w:sz w:val="20"/>
                <w:szCs w:val="20"/>
              </w:rPr>
            </w:pPr>
            <w:r>
              <w:rPr>
                <w:rFonts w:ascii="Arial Narrow" w:hAnsi="Arial Narrow"/>
                <w:sz w:val="20"/>
                <w:szCs w:val="20"/>
              </w:rPr>
              <w:t>–</w:t>
            </w:r>
          </w:p>
        </w:tc>
        <w:tc>
          <w:tcPr>
            <w:tcW w:w="1571" w:type="dxa"/>
            <w:vAlign w:val="center"/>
          </w:tcPr>
          <w:p w:rsidR="00BD6FDD" w:rsidRPr="000272AC" w:rsidRDefault="003A4274" w:rsidP="00E10160">
            <w:pPr>
              <w:jc w:val="center"/>
              <w:rPr>
                <w:rFonts w:ascii="Arial Narrow" w:hAnsi="Arial Narrow"/>
                <w:sz w:val="20"/>
                <w:szCs w:val="20"/>
              </w:rPr>
            </w:pPr>
            <w:r>
              <w:rPr>
                <w:rFonts w:ascii="Arial Narrow" w:hAnsi="Arial Narrow"/>
                <w:sz w:val="20"/>
                <w:szCs w:val="20"/>
              </w:rPr>
              <w:t>–</w:t>
            </w:r>
          </w:p>
        </w:tc>
      </w:tr>
    </w:tbl>
    <w:p w:rsidR="0066367A" w:rsidRDefault="0066367A" w:rsidP="000272AC">
      <w:pPr>
        <w:pStyle w:val="tablenotes"/>
        <w:ind w:left="720"/>
        <w:rPr>
          <w:rFonts w:eastAsiaTheme="minorHAnsi"/>
        </w:rPr>
      </w:pPr>
      <w:r>
        <w:rPr>
          <w:rFonts w:eastAsiaTheme="minorHAnsi"/>
        </w:rPr>
        <w:t>AE = adverse event</w:t>
      </w:r>
      <w:r w:rsidR="00E10160">
        <w:rPr>
          <w:rFonts w:eastAsiaTheme="minorHAnsi"/>
        </w:rPr>
        <w:t>; CI = confidence interval; RD = risk difference; RR = relative risk</w:t>
      </w:r>
    </w:p>
    <w:p w:rsidR="00E10160" w:rsidRPr="000B2B41" w:rsidRDefault="00E10160" w:rsidP="000272AC">
      <w:pPr>
        <w:pStyle w:val="tablenotes"/>
        <w:ind w:left="720"/>
        <w:rPr>
          <w:rFonts w:eastAsiaTheme="minorHAnsi"/>
        </w:rPr>
      </w:pPr>
      <w:r w:rsidRPr="00E10160">
        <w:rPr>
          <w:rFonts w:eastAsiaTheme="minorHAnsi"/>
          <w:vertAlign w:val="superscript"/>
        </w:rPr>
        <w:t>a</w:t>
      </w:r>
      <w:r>
        <w:rPr>
          <w:rFonts w:eastAsiaTheme="minorHAnsi"/>
        </w:rPr>
        <w:t xml:space="preserve"> </w:t>
      </w:r>
      <w:r w:rsidRPr="0014326C">
        <w:rPr>
          <w:rFonts w:eastAsiaTheme="minorHAnsi"/>
          <w:i/>
        </w:rPr>
        <w:t xml:space="preserve">RDs and RRs were calculated </w:t>
      </w:r>
      <w:r w:rsidRPr="000B2B41">
        <w:rPr>
          <w:rFonts w:eastAsiaTheme="minorHAnsi"/>
          <w:i/>
        </w:rPr>
        <w:t xml:space="preserve">during the </w:t>
      </w:r>
      <w:r w:rsidR="00471E93" w:rsidRPr="000B2B41">
        <w:rPr>
          <w:rFonts w:eastAsiaTheme="minorHAnsi"/>
          <w:i/>
        </w:rPr>
        <w:t>evaluation</w:t>
      </w:r>
    </w:p>
    <w:p w:rsidR="000272AC" w:rsidRPr="000B2B41" w:rsidRDefault="000272AC" w:rsidP="000272AC">
      <w:pPr>
        <w:pStyle w:val="tablenotes"/>
        <w:ind w:left="720"/>
        <w:rPr>
          <w:rFonts w:eastAsiaTheme="minorHAnsi"/>
        </w:rPr>
      </w:pPr>
      <w:r w:rsidRPr="000B2B41">
        <w:rPr>
          <w:rFonts w:eastAsiaTheme="minorHAnsi"/>
        </w:rPr>
        <w:t>Source: Table 2-24, p49 of the minor submission</w:t>
      </w:r>
    </w:p>
    <w:p w:rsidR="00FA6055" w:rsidRPr="001D57AE" w:rsidRDefault="00FA6055" w:rsidP="00B6773F">
      <w:pPr>
        <w:jc w:val="both"/>
        <w:rPr>
          <w:szCs w:val="22"/>
        </w:rPr>
      </w:pPr>
    </w:p>
    <w:p w:rsidR="005E2104" w:rsidRPr="001D57AE" w:rsidRDefault="00A276EA" w:rsidP="004C4423">
      <w:pPr>
        <w:pStyle w:val="ListParagraph"/>
        <w:numPr>
          <w:ilvl w:val="1"/>
          <w:numId w:val="2"/>
        </w:numPr>
        <w:jc w:val="both"/>
        <w:rPr>
          <w:szCs w:val="22"/>
        </w:rPr>
      </w:pPr>
      <w:r w:rsidRPr="001D57AE">
        <w:rPr>
          <w:szCs w:val="22"/>
        </w:rPr>
        <w:t xml:space="preserve">AEs and treatment-related AEs were more common in the </w:t>
      </w:r>
      <w:r w:rsidR="00E10160" w:rsidRPr="001D57AE">
        <w:rPr>
          <w:szCs w:val="22"/>
        </w:rPr>
        <w:t xml:space="preserve">Bemfola </w:t>
      </w:r>
      <w:r w:rsidRPr="001D57AE">
        <w:rPr>
          <w:szCs w:val="22"/>
        </w:rPr>
        <w:t xml:space="preserve">group </w:t>
      </w:r>
      <w:r w:rsidR="005E2104" w:rsidRPr="001D57AE">
        <w:rPr>
          <w:szCs w:val="22"/>
        </w:rPr>
        <w:t xml:space="preserve">than </w:t>
      </w:r>
      <w:r w:rsidRPr="001D57AE">
        <w:rPr>
          <w:szCs w:val="22"/>
        </w:rPr>
        <w:t xml:space="preserve">in the </w:t>
      </w:r>
      <w:r w:rsidR="005E2104" w:rsidRPr="001D57AE">
        <w:rPr>
          <w:szCs w:val="22"/>
        </w:rPr>
        <w:t xml:space="preserve">Gonal-f </w:t>
      </w:r>
      <w:r w:rsidRPr="001D57AE">
        <w:rPr>
          <w:szCs w:val="22"/>
        </w:rPr>
        <w:t xml:space="preserve">group </w:t>
      </w:r>
      <w:r w:rsidR="005E2104" w:rsidRPr="001D57AE">
        <w:rPr>
          <w:szCs w:val="22"/>
        </w:rPr>
        <w:t xml:space="preserve">(73.8% vs 68.1% and 65.5% vs 55.6%, respectively). </w:t>
      </w:r>
      <w:r w:rsidR="006E1E20" w:rsidRPr="001D57AE">
        <w:rPr>
          <w:szCs w:val="22"/>
        </w:rPr>
        <w:t xml:space="preserve">Bemfola was associated with a </w:t>
      </w:r>
      <w:r w:rsidR="005700F2" w:rsidRPr="001D57AE">
        <w:rPr>
          <w:szCs w:val="22"/>
        </w:rPr>
        <w:t xml:space="preserve">slightly </w:t>
      </w:r>
      <w:r w:rsidR="006E1E20" w:rsidRPr="001D57AE">
        <w:rPr>
          <w:szCs w:val="22"/>
        </w:rPr>
        <w:t>higher incidence of serious AEs (4.0% vs 2.2%). The risk of discontinuing due to an adverse event in the Bemfola treatment arm was more than 5 times the risk in the Gonal-f arm (4.0% vs 0.7%)</w:t>
      </w:r>
      <w:r w:rsidR="005700F2" w:rsidRPr="001D57AE">
        <w:rPr>
          <w:szCs w:val="22"/>
        </w:rPr>
        <w:t>, although absolute differences were small</w:t>
      </w:r>
      <w:r w:rsidR="006E1E20" w:rsidRPr="001D57AE">
        <w:rPr>
          <w:szCs w:val="22"/>
        </w:rPr>
        <w:t>.</w:t>
      </w:r>
    </w:p>
    <w:p w:rsidR="001856E2" w:rsidRPr="001D57AE" w:rsidRDefault="001856E2" w:rsidP="001856E2">
      <w:pPr>
        <w:pStyle w:val="ListParagraph"/>
        <w:jc w:val="both"/>
        <w:rPr>
          <w:szCs w:val="22"/>
        </w:rPr>
      </w:pPr>
    </w:p>
    <w:p w:rsidR="0014326C" w:rsidRPr="001D57AE" w:rsidRDefault="009E20DA" w:rsidP="0055466E">
      <w:pPr>
        <w:pStyle w:val="ListParagraph"/>
        <w:numPr>
          <w:ilvl w:val="1"/>
          <w:numId w:val="2"/>
        </w:numPr>
        <w:jc w:val="both"/>
        <w:rPr>
          <w:szCs w:val="22"/>
        </w:rPr>
      </w:pPr>
      <w:r w:rsidRPr="001D57AE">
        <w:rPr>
          <w:szCs w:val="22"/>
        </w:rPr>
        <w:t xml:space="preserve">Table </w:t>
      </w:r>
      <w:r w:rsidR="004819A0" w:rsidRPr="001D57AE">
        <w:rPr>
          <w:szCs w:val="22"/>
        </w:rPr>
        <w:t xml:space="preserve">8 </w:t>
      </w:r>
      <w:r w:rsidR="005700F2" w:rsidRPr="001D57AE">
        <w:rPr>
          <w:szCs w:val="22"/>
        </w:rPr>
        <w:t>reports on the</w:t>
      </w:r>
      <w:r w:rsidRPr="001D57AE">
        <w:rPr>
          <w:szCs w:val="22"/>
        </w:rPr>
        <w:t xml:space="preserve"> incidence and severity of </w:t>
      </w:r>
      <w:r w:rsidR="00BB2F43" w:rsidRPr="001D57AE">
        <w:rPr>
          <w:szCs w:val="22"/>
        </w:rPr>
        <w:t xml:space="preserve">OHSS </w:t>
      </w:r>
      <w:r w:rsidRPr="001D57AE">
        <w:rPr>
          <w:szCs w:val="22"/>
        </w:rPr>
        <w:t xml:space="preserve">in </w:t>
      </w:r>
      <w:r w:rsidR="0014326C" w:rsidRPr="001D57AE">
        <w:rPr>
          <w:szCs w:val="22"/>
        </w:rPr>
        <w:t>FIN3001.</w:t>
      </w:r>
      <w:r w:rsidR="00497ED1" w:rsidRPr="001D57AE">
        <w:rPr>
          <w:szCs w:val="22"/>
        </w:rPr>
        <w:t xml:space="preserve"> </w:t>
      </w:r>
      <w:r w:rsidR="0055466E" w:rsidRPr="001D57AE">
        <w:rPr>
          <w:szCs w:val="22"/>
        </w:rPr>
        <w:t>OHSS is an</w:t>
      </w:r>
      <w:r w:rsidR="00B96708" w:rsidRPr="001D57AE">
        <w:rPr>
          <w:szCs w:val="22"/>
        </w:rPr>
        <w:t xml:space="preserve"> </w:t>
      </w:r>
      <w:r w:rsidR="005700F2" w:rsidRPr="001D57AE">
        <w:rPr>
          <w:szCs w:val="22"/>
        </w:rPr>
        <w:t>AE</w:t>
      </w:r>
      <w:r w:rsidR="0055466E" w:rsidRPr="001D57AE">
        <w:rPr>
          <w:szCs w:val="22"/>
        </w:rPr>
        <w:t xml:space="preserve"> of concern </w:t>
      </w:r>
      <w:r w:rsidR="005700F2" w:rsidRPr="001D57AE">
        <w:rPr>
          <w:szCs w:val="22"/>
        </w:rPr>
        <w:t>when assessing</w:t>
      </w:r>
      <w:r w:rsidR="0055466E" w:rsidRPr="001D57AE">
        <w:rPr>
          <w:szCs w:val="22"/>
        </w:rPr>
        <w:t xml:space="preserve"> medicines </w:t>
      </w:r>
      <w:r w:rsidR="005700F2" w:rsidRPr="001D57AE">
        <w:rPr>
          <w:szCs w:val="22"/>
        </w:rPr>
        <w:t>aimed at</w:t>
      </w:r>
      <w:r w:rsidR="0055466E" w:rsidRPr="001D57AE">
        <w:rPr>
          <w:szCs w:val="22"/>
        </w:rPr>
        <w:t xml:space="preserve"> controlled ovarian hyperstimulation in women undergoing ART</w:t>
      </w:r>
      <w:r w:rsidR="00497ED1" w:rsidRPr="001D57AE">
        <w:rPr>
          <w:szCs w:val="22"/>
        </w:rPr>
        <w:t>.</w:t>
      </w:r>
    </w:p>
    <w:p w:rsidR="0014326C" w:rsidRPr="0014326C" w:rsidRDefault="0014326C" w:rsidP="0014326C">
      <w:pPr>
        <w:jc w:val="both"/>
        <w:rPr>
          <w:szCs w:val="22"/>
        </w:rPr>
      </w:pPr>
    </w:p>
    <w:p w:rsidR="0014326C" w:rsidRPr="000272AC" w:rsidRDefault="0014326C" w:rsidP="0014326C">
      <w:pPr>
        <w:pStyle w:val="Tablename"/>
        <w:rPr>
          <w:rFonts w:eastAsiaTheme="minorHAnsi"/>
          <w:lang w:eastAsia="en-US"/>
        </w:rPr>
      </w:pPr>
      <w:r w:rsidRPr="000272AC">
        <w:rPr>
          <w:rFonts w:eastAsiaTheme="minorHAnsi"/>
          <w:lang w:eastAsia="en-US"/>
        </w:rPr>
        <w:t xml:space="preserve">Table </w:t>
      </w:r>
      <w:r w:rsidR="004819A0">
        <w:rPr>
          <w:rFonts w:eastAsiaTheme="minorHAnsi"/>
          <w:lang w:eastAsia="en-US"/>
        </w:rPr>
        <w:t>8</w:t>
      </w:r>
      <w:r>
        <w:rPr>
          <w:rFonts w:eastAsiaTheme="minorHAnsi"/>
          <w:lang w:eastAsia="en-US"/>
        </w:rPr>
        <w:t>:</w:t>
      </w:r>
      <w:r w:rsidRPr="000272AC">
        <w:rPr>
          <w:rFonts w:eastAsiaTheme="minorHAnsi"/>
          <w:lang w:eastAsia="en-US"/>
        </w:rPr>
        <w:t xml:space="preserve"> </w:t>
      </w:r>
      <w:r>
        <w:rPr>
          <w:rFonts w:eastAsiaTheme="minorHAnsi"/>
          <w:lang w:eastAsia="en-US"/>
        </w:rPr>
        <w:t xml:space="preserve">OHSS </w:t>
      </w:r>
      <w:r w:rsidR="00D440E6">
        <w:rPr>
          <w:rFonts w:eastAsiaTheme="minorHAnsi"/>
          <w:lang w:eastAsia="en-US"/>
        </w:rPr>
        <w:t xml:space="preserve">rates </w:t>
      </w:r>
      <w:r>
        <w:rPr>
          <w:rFonts w:eastAsiaTheme="minorHAnsi"/>
          <w:lang w:eastAsia="en-US"/>
        </w:rPr>
        <w:t>in FIN3001</w:t>
      </w:r>
    </w:p>
    <w:tbl>
      <w:tblPr>
        <w:tblStyle w:val="Summarybox5"/>
        <w:tblW w:w="8347" w:type="dxa"/>
        <w:tblInd w:w="720" w:type="dxa"/>
        <w:tblLook w:val="04A0" w:firstRow="1" w:lastRow="0" w:firstColumn="1" w:lastColumn="0" w:noHBand="0" w:noVBand="1"/>
        <w:tblCaption w:val="Table 8: OHSS rates in FIN3001"/>
      </w:tblPr>
      <w:tblGrid>
        <w:gridCol w:w="1702"/>
        <w:gridCol w:w="1500"/>
        <w:gridCol w:w="1619"/>
        <w:gridCol w:w="1825"/>
        <w:gridCol w:w="1701"/>
      </w:tblGrid>
      <w:tr w:rsidR="009F68BD" w:rsidRPr="000272AC" w:rsidTr="00002A96">
        <w:trPr>
          <w:trHeight w:val="469"/>
          <w:tblHeader/>
        </w:trPr>
        <w:tc>
          <w:tcPr>
            <w:tcW w:w="1702" w:type="dxa"/>
            <w:tcBorders>
              <w:bottom w:val="single" w:sz="4" w:space="0" w:color="auto"/>
            </w:tcBorders>
            <w:shd w:val="clear" w:color="auto" w:fill="FFFFFF" w:themeFill="background1"/>
          </w:tcPr>
          <w:p w:rsidR="009F68BD" w:rsidRPr="000272AC" w:rsidRDefault="009F68BD" w:rsidP="00FD0243">
            <w:pPr>
              <w:rPr>
                <w:rFonts w:ascii="Arial Narrow" w:hAnsi="Arial Narrow"/>
                <w:b/>
                <w:sz w:val="20"/>
                <w:szCs w:val="20"/>
              </w:rPr>
            </w:pPr>
          </w:p>
        </w:tc>
        <w:tc>
          <w:tcPr>
            <w:tcW w:w="1500" w:type="dxa"/>
            <w:tcBorders>
              <w:bottom w:val="single" w:sz="4" w:space="0" w:color="auto"/>
            </w:tcBorders>
            <w:shd w:val="clear" w:color="auto" w:fill="FFFFFF" w:themeFill="background1"/>
            <w:vAlign w:val="center"/>
          </w:tcPr>
          <w:p w:rsidR="009F68BD" w:rsidRPr="000272AC" w:rsidRDefault="009F68BD" w:rsidP="00FD0243">
            <w:pPr>
              <w:jc w:val="center"/>
              <w:rPr>
                <w:rFonts w:ascii="Arial Narrow" w:hAnsi="Arial Narrow"/>
                <w:b/>
                <w:sz w:val="20"/>
                <w:szCs w:val="20"/>
              </w:rPr>
            </w:pPr>
            <w:r w:rsidRPr="00C15051">
              <w:rPr>
                <w:rFonts w:ascii="Arial Narrow" w:hAnsi="Arial Narrow"/>
                <w:b/>
                <w:sz w:val="20"/>
                <w:szCs w:val="22"/>
              </w:rPr>
              <w:t>Bemfola</w:t>
            </w:r>
            <w:r w:rsidRPr="00C15051">
              <w:rPr>
                <w:rFonts w:ascii="Arial Narrow" w:hAnsi="Arial Narrow"/>
                <w:b/>
                <w:sz w:val="20"/>
                <w:szCs w:val="22"/>
                <w:vertAlign w:val="superscript"/>
              </w:rPr>
              <w:t>®</w:t>
            </w:r>
            <w:r>
              <w:rPr>
                <w:rFonts w:ascii="Arial Narrow" w:hAnsi="Arial Narrow"/>
                <w:b/>
                <w:sz w:val="20"/>
                <w:szCs w:val="20"/>
              </w:rPr>
              <w:t xml:space="preserve"> </w:t>
            </w:r>
            <w:r>
              <w:rPr>
                <w:rFonts w:ascii="Arial Narrow" w:hAnsi="Arial Narrow"/>
                <w:b/>
                <w:sz w:val="20"/>
                <w:szCs w:val="20"/>
              </w:rPr>
              <w:br/>
              <w:t>(</w:t>
            </w:r>
            <w:r w:rsidRPr="000272AC">
              <w:rPr>
                <w:rFonts w:ascii="Arial Narrow" w:hAnsi="Arial Narrow"/>
                <w:b/>
                <w:sz w:val="20"/>
                <w:szCs w:val="20"/>
              </w:rPr>
              <w:t>N = 275</w:t>
            </w:r>
            <w:r>
              <w:rPr>
                <w:rFonts w:ascii="Arial Narrow" w:hAnsi="Arial Narrow"/>
                <w:b/>
                <w:sz w:val="20"/>
                <w:szCs w:val="20"/>
              </w:rPr>
              <w:t>)</w:t>
            </w:r>
          </w:p>
        </w:tc>
        <w:tc>
          <w:tcPr>
            <w:tcW w:w="1619" w:type="dxa"/>
            <w:tcBorders>
              <w:bottom w:val="single" w:sz="4" w:space="0" w:color="auto"/>
            </w:tcBorders>
            <w:shd w:val="clear" w:color="auto" w:fill="FFFFFF" w:themeFill="background1"/>
            <w:vAlign w:val="center"/>
          </w:tcPr>
          <w:p w:rsidR="009F68BD" w:rsidRPr="000272AC" w:rsidRDefault="009F68BD" w:rsidP="00FD0243">
            <w:pPr>
              <w:jc w:val="center"/>
              <w:rPr>
                <w:rFonts w:ascii="Arial Narrow" w:hAnsi="Arial Narrow"/>
                <w:b/>
                <w:sz w:val="20"/>
                <w:szCs w:val="20"/>
              </w:rPr>
            </w:pPr>
            <w:r w:rsidRPr="00C15051">
              <w:rPr>
                <w:rFonts w:ascii="Arial Narrow" w:hAnsi="Arial Narrow"/>
                <w:b/>
                <w:sz w:val="20"/>
                <w:szCs w:val="22"/>
              </w:rPr>
              <w:t>Gonal-f</w:t>
            </w:r>
            <w:r w:rsidRPr="00C15051">
              <w:rPr>
                <w:rFonts w:ascii="Arial Narrow" w:hAnsi="Arial Narrow"/>
                <w:b/>
                <w:sz w:val="20"/>
                <w:szCs w:val="22"/>
                <w:vertAlign w:val="superscript"/>
              </w:rPr>
              <w:t>®</w:t>
            </w:r>
            <w:r>
              <w:rPr>
                <w:rFonts w:ascii="Arial Narrow" w:hAnsi="Arial Narrow"/>
                <w:b/>
                <w:sz w:val="20"/>
                <w:szCs w:val="20"/>
              </w:rPr>
              <w:t xml:space="preserve"> </w:t>
            </w:r>
            <w:r>
              <w:rPr>
                <w:rFonts w:ascii="Arial Narrow" w:hAnsi="Arial Narrow"/>
                <w:b/>
                <w:sz w:val="20"/>
                <w:szCs w:val="20"/>
              </w:rPr>
              <w:br/>
              <w:t>(</w:t>
            </w:r>
            <w:r w:rsidRPr="000272AC">
              <w:rPr>
                <w:rFonts w:ascii="Arial Narrow" w:hAnsi="Arial Narrow"/>
                <w:b/>
                <w:sz w:val="20"/>
                <w:szCs w:val="20"/>
              </w:rPr>
              <w:t>N = 135</w:t>
            </w:r>
            <w:r>
              <w:rPr>
                <w:rFonts w:ascii="Arial Narrow" w:hAnsi="Arial Narrow"/>
                <w:b/>
                <w:sz w:val="20"/>
                <w:szCs w:val="20"/>
              </w:rPr>
              <w:t>)</w:t>
            </w:r>
          </w:p>
        </w:tc>
        <w:tc>
          <w:tcPr>
            <w:tcW w:w="1825" w:type="dxa"/>
            <w:tcBorders>
              <w:bottom w:val="single" w:sz="4" w:space="0" w:color="auto"/>
            </w:tcBorders>
            <w:shd w:val="clear" w:color="auto" w:fill="FFFFFF" w:themeFill="background1"/>
          </w:tcPr>
          <w:p w:rsidR="009F68BD" w:rsidRPr="00C15051" w:rsidRDefault="009F68BD" w:rsidP="00FD0243">
            <w:pPr>
              <w:jc w:val="center"/>
              <w:rPr>
                <w:rFonts w:ascii="Arial Narrow" w:hAnsi="Arial Narrow"/>
                <w:b/>
                <w:sz w:val="20"/>
                <w:szCs w:val="22"/>
              </w:rPr>
            </w:pPr>
            <w:r>
              <w:rPr>
                <w:rFonts w:ascii="Arial Narrow" w:hAnsi="Arial Narrow"/>
                <w:b/>
                <w:sz w:val="20"/>
                <w:szCs w:val="22"/>
              </w:rPr>
              <w:t xml:space="preserve">RD </w:t>
            </w:r>
            <w:r>
              <w:rPr>
                <w:rFonts w:ascii="Arial Narrow" w:hAnsi="Arial Narrow"/>
                <w:b/>
                <w:sz w:val="20"/>
                <w:szCs w:val="22"/>
              </w:rPr>
              <w:br/>
              <w:t>[95% CI]</w:t>
            </w:r>
            <w:r w:rsidRPr="009F68BD">
              <w:rPr>
                <w:rFonts w:ascii="Arial Narrow" w:hAnsi="Arial Narrow"/>
                <w:b/>
                <w:sz w:val="20"/>
                <w:szCs w:val="22"/>
                <w:vertAlign w:val="superscript"/>
              </w:rPr>
              <w:t>a</w:t>
            </w:r>
          </w:p>
        </w:tc>
        <w:tc>
          <w:tcPr>
            <w:tcW w:w="1701" w:type="dxa"/>
            <w:tcBorders>
              <w:bottom w:val="single" w:sz="4" w:space="0" w:color="auto"/>
            </w:tcBorders>
            <w:shd w:val="clear" w:color="auto" w:fill="FFFFFF" w:themeFill="background1"/>
          </w:tcPr>
          <w:p w:rsidR="009F68BD" w:rsidRPr="00D405E3" w:rsidRDefault="009F68BD" w:rsidP="00FD0243">
            <w:pPr>
              <w:jc w:val="center"/>
              <w:rPr>
                <w:rFonts w:ascii="Arial Narrow" w:hAnsi="Arial Narrow"/>
                <w:b/>
                <w:i/>
                <w:sz w:val="20"/>
                <w:szCs w:val="20"/>
              </w:rPr>
            </w:pPr>
            <w:r w:rsidRPr="003A75CB">
              <w:rPr>
                <w:rFonts w:ascii="Arial Narrow" w:hAnsi="Arial Narrow"/>
                <w:b/>
                <w:sz w:val="20"/>
                <w:szCs w:val="20"/>
              </w:rPr>
              <w:t>RR</w:t>
            </w:r>
            <w:r w:rsidRPr="003A75CB">
              <w:rPr>
                <w:rFonts w:ascii="Arial Narrow" w:hAnsi="Arial Narrow"/>
                <w:b/>
                <w:sz w:val="20"/>
                <w:szCs w:val="20"/>
              </w:rPr>
              <w:br/>
            </w:r>
            <w:r>
              <w:rPr>
                <w:rFonts w:ascii="Arial Narrow" w:hAnsi="Arial Narrow"/>
                <w:b/>
                <w:sz w:val="20"/>
                <w:szCs w:val="22"/>
              </w:rPr>
              <w:t>[95% CI]</w:t>
            </w:r>
            <w:r w:rsidRPr="009F68BD">
              <w:rPr>
                <w:rFonts w:ascii="Arial Narrow" w:hAnsi="Arial Narrow"/>
                <w:b/>
                <w:sz w:val="20"/>
                <w:szCs w:val="22"/>
                <w:vertAlign w:val="superscript"/>
              </w:rPr>
              <w:t>a</w:t>
            </w:r>
          </w:p>
        </w:tc>
      </w:tr>
      <w:tr w:rsidR="009F68BD" w:rsidRPr="00D405E3" w:rsidTr="003B71D7">
        <w:tc>
          <w:tcPr>
            <w:tcW w:w="1702" w:type="dxa"/>
            <w:tcBorders>
              <w:top w:val="single" w:sz="4" w:space="0" w:color="auto"/>
              <w:bottom w:val="single" w:sz="4" w:space="0" w:color="auto"/>
            </w:tcBorders>
          </w:tcPr>
          <w:p w:rsidR="009F68BD" w:rsidRPr="00520C77" w:rsidRDefault="009F68BD" w:rsidP="003B71D7">
            <w:pPr>
              <w:rPr>
                <w:rFonts w:ascii="Arial Narrow" w:hAnsi="Arial Narrow"/>
                <w:sz w:val="20"/>
                <w:szCs w:val="20"/>
              </w:rPr>
            </w:pPr>
            <w:r w:rsidRPr="00520C77">
              <w:rPr>
                <w:rFonts w:ascii="Arial Narrow" w:hAnsi="Arial Narrow"/>
                <w:sz w:val="20"/>
                <w:szCs w:val="20"/>
              </w:rPr>
              <w:t>Any OHSS</w:t>
            </w:r>
          </w:p>
        </w:tc>
        <w:tc>
          <w:tcPr>
            <w:tcW w:w="1500" w:type="dxa"/>
            <w:tcBorders>
              <w:top w:val="single" w:sz="4" w:space="0" w:color="auto"/>
              <w:bottom w:val="single" w:sz="4" w:space="0" w:color="auto"/>
            </w:tcBorders>
            <w:vAlign w:val="center"/>
          </w:tcPr>
          <w:p w:rsidR="009F68BD" w:rsidRPr="00520C77" w:rsidRDefault="009F68BD" w:rsidP="00FD0243">
            <w:pPr>
              <w:jc w:val="center"/>
              <w:rPr>
                <w:rFonts w:ascii="Arial Narrow" w:hAnsi="Arial Narrow"/>
                <w:sz w:val="20"/>
                <w:szCs w:val="20"/>
              </w:rPr>
            </w:pPr>
            <w:r w:rsidRPr="00520C77">
              <w:rPr>
                <w:rFonts w:ascii="Arial Narrow" w:hAnsi="Arial Narrow"/>
                <w:sz w:val="20"/>
                <w:szCs w:val="20"/>
              </w:rPr>
              <w:t>64 (23.3%)</w:t>
            </w:r>
          </w:p>
        </w:tc>
        <w:tc>
          <w:tcPr>
            <w:tcW w:w="1619" w:type="dxa"/>
            <w:tcBorders>
              <w:top w:val="single" w:sz="4" w:space="0" w:color="auto"/>
              <w:bottom w:val="single" w:sz="4" w:space="0" w:color="auto"/>
            </w:tcBorders>
            <w:vAlign w:val="center"/>
          </w:tcPr>
          <w:p w:rsidR="009F68BD" w:rsidRPr="00520C77" w:rsidRDefault="009F68BD" w:rsidP="00FD0243">
            <w:pPr>
              <w:jc w:val="center"/>
              <w:rPr>
                <w:rFonts w:ascii="Arial Narrow" w:hAnsi="Arial Narrow"/>
                <w:sz w:val="20"/>
                <w:szCs w:val="20"/>
              </w:rPr>
            </w:pPr>
            <w:r w:rsidRPr="00520C77">
              <w:rPr>
                <w:rFonts w:ascii="Arial Narrow" w:hAnsi="Arial Narrow"/>
                <w:sz w:val="20"/>
                <w:szCs w:val="20"/>
              </w:rPr>
              <w:t>18 (13.3%)</w:t>
            </w:r>
          </w:p>
        </w:tc>
        <w:tc>
          <w:tcPr>
            <w:tcW w:w="1825" w:type="dxa"/>
            <w:tcBorders>
              <w:top w:val="single" w:sz="4" w:space="0" w:color="auto"/>
              <w:bottom w:val="single" w:sz="4" w:space="0" w:color="auto"/>
            </w:tcBorders>
            <w:vAlign w:val="center"/>
          </w:tcPr>
          <w:p w:rsidR="009F68BD" w:rsidRPr="00520C77" w:rsidRDefault="009F68BD" w:rsidP="009F68BD">
            <w:pPr>
              <w:jc w:val="center"/>
              <w:rPr>
                <w:rFonts w:ascii="Arial Narrow" w:hAnsi="Arial Narrow"/>
                <w:i/>
                <w:sz w:val="20"/>
                <w:szCs w:val="20"/>
              </w:rPr>
            </w:pPr>
            <w:r w:rsidRPr="00520C77">
              <w:rPr>
                <w:rFonts w:ascii="Arial Narrow" w:hAnsi="Arial Narrow"/>
                <w:i/>
                <w:sz w:val="20"/>
                <w:szCs w:val="20"/>
              </w:rPr>
              <w:t xml:space="preserve">9.9% [2.3%, 17.5%] </w:t>
            </w:r>
          </w:p>
        </w:tc>
        <w:tc>
          <w:tcPr>
            <w:tcW w:w="1701" w:type="dxa"/>
            <w:tcBorders>
              <w:top w:val="single" w:sz="4" w:space="0" w:color="auto"/>
              <w:bottom w:val="single" w:sz="4" w:space="0" w:color="auto"/>
            </w:tcBorders>
          </w:tcPr>
          <w:p w:rsidR="009F68BD" w:rsidRPr="00520C77" w:rsidRDefault="009F68BD" w:rsidP="00D405E3">
            <w:pPr>
              <w:jc w:val="center"/>
              <w:rPr>
                <w:rFonts w:ascii="Arial Narrow" w:hAnsi="Arial Narrow"/>
                <w:i/>
                <w:sz w:val="20"/>
                <w:szCs w:val="20"/>
              </w:rPr>
            </w:pPr>
            <w:r w:rsidRPr="00520C77">
              <w:rPr>
                <w:rFonts w:ascii="Arial Narrow" w:hAnsi="Arial Narrow"/>
                <w:i/>
                <w:sz w:val="20"/>
                <w:szCs w:val="20"/>
              </w:rPr>
              <w:t>1.75 [1.08, 2.82]</w:t>
            </w:r>
          </w:p>
        </w:tc>
      </w:tr>
      <w:tr w:rsidR="009F68BD" w:rsidRPr="00D405E3" w:rsidTr="003B71D7">
        <w:tc>
          <w:tcPr>
            <w:tcW w:w="1702" w:type="dxa"/>
            <w:tcBorders>
              <w:top w:val="single" w:sz="4" w:space="0" w:color="auto"/>
              <w:bottom w:val="nil"/>
            </w:tcBorders>
          </w:tcPr>
          <w:p w:rsidR="009F68BD" w:rsidRPr="00732152" w:rsidRDefault="009F68BD" w:rsidP="003B71D7">
            <w:pPr>
              <w:rPr>
                <w:rFonts w:ascii="Arial Narrow" w:hAnsi="Arial Narrow"/>
                <w:sz w:val="20"/>
                <w:szCs w:val="20"/>
              </w:rPr>
            </w:pPr>
            <w:r w:rsidRPr="00732152">
              <w:rPr>
                <w:rFonts w:ascii="Arial Narrow" w:hAnsi="Arial Narrow"/>
                <w:sz w:val="20"/>
                <w:szCs w:val="20"/>
              </w:rPr>
              <w:t>OHSS grade</w:t>
            </w:r>
            <w:r w:rsidRPr="00385CDC">
              <w:rPr>
                <w:rFonts w:ascii="Arial Narrow" w:hAnsi="Arial Narrow"/>
                <w:sz w:val="20"/>
                <w:szCs w:val="20"/>
                <w:vertAlign w:val="superscript"/>
              </w:rPr>
              <w:t>b</w:t>
            </w:r>
          </w:p>
        </w:tc>
        <w:tc>
          <w:tcPr>
            <w:tcW w:w="1500" w:type="dxa"/>
            <w:tcBorders>
              <w:top w:val="single" w:sz="4" w:space="0" w:color="auto"/>
              <w:bottom w:val="nil"/>
            </w:tcBorders>
            <w:vAlign w:val="center"/>
          </w:tcPr>
          <w:p w:rsidR="009F68BD" w:rsidRPr="00D405E3" w:rsidRDefault="009F68BD" w:rsidP="00FD0243">
            <w:pPr>
              <w:jc w:val="center"/>
              <w:rPr>
                <w:rFonts w:ascii="Arial Narrow" w:hAnsi="Arial Narrow"/>
                <w:b/>
                <w:sz w:val="20"/>
                <w:szCs w:val="20"/>
              </w:rPr>
            </w:pPr>
          </w:p>
        </w:tc>
        <w:tc>
          <w:tcPr>
            <w:tcW w:w="1619" w:type="dxa"/>
            <w:tcBorders>
              <w:top w:val="single" w:sz="4" w:space="0" w:color="auto"/>
              <w:bottom w:val="nil"/>
            </w:tcBorders>
            <w:vAlign w:val="center"/>
          </w:tcPr>
          <w:p w:rsidR="009F68BD" w:rsidRPr="00D405E3" w:rsidRDefault="009F68BD" w:rsidP="00FD0243">
            <w:pPr>
              <w:jc w:val="center"/>
              <w:rPr>
                <w:rFonts w:ascii="Arial Narrow" w:hAnsi="Arial Narrow"/>
                <w:b/>
                <w:sz w:val="20"/>
                <w:szCs w:val="20"/>
              </w:rPr>
            </w:pPr>
          </w:p>
        </w:tc>
        <w:tc>
          <w:tcPr>
            <w:tcW w:w="1825" w:type="dxa"/>
            <w:tcBorders>
              <w:top w:val="single" w:sz="4" w:space="0" w:color="auto"/>
              <w:bottom w:val="nil"/>
            </w:tcBorders>
            <w:vAlign w:val="center"/>
          </w:tcPr>
          <w:p w:rsidR="009F68BD" w:rsidRPr="00D405E3" w:rsidRDefault="009F68BD" w:rsidP="00D405E3">
            <w:pPr>
              <w:jc w:val="center"/>
              <w:rPr>
                <w:rFonts w:ascii="Arial Narrow" w:hAnsi="Arial Narrow"/>
                <w:b/>
                <w:i/>
                <w:sz w:val="20"/>
                <w:szCs w:val="20"/>
              </w:rPr>
            </w:pPr>
          </w:p>
        </w:tc>
        <w:tc>
          <w:tcPr>
            <w:tcW w:w="1701" w:type="dxa"/>
            <w:tcBorders>
              <w:top w:val="single" w:sz="4" w:space="0" w:color="auto"/>
              <w:bottom w:val="nil"/>
            </w:tcBorders>
          </w:tcPr>
          <w:p w:rsidR="009F68BD" w:rsidRPr="00D405E3" w:rsidRDefault="009F68BD" w:rsidP="00D405E3">
            <w:pPr>
              <w:jc w:val="center"/>
              <w:rPr>
                <w:rFonts w:ascii="Arial Narrow" w:hAnsi="Arial Narrow"/>
                <w:b/>
                <w:i/>
                <w:sz w:val="20"/>
                <w:szCs w:val="20"/>
              </w:rPr>
            </w:pPr>
          </w:p>
        </w:tc>
      </w:tr>
      <w:tr w:rsidR="009F68BD" w:rsidRPr="000272AC" w:rsidTr="009F68BD">
        <w:tc>
          <w:tcPr>
            <w:tcW w:w="1702" w:type="dxa"/>
            <w:tcBorders>
              <w:top w:val="nil"/>
              <w:bottom w:val="nil"/>
            </w:tcBorders>
          </w:tcPr>
          <w:p w:rsidR="009F68BD" w:rsidRDefault="009F68BD" w:rsidP="00732152">
            <w:pPr>
              <w:ind w:left="318"/>
              <w:rPr>
                <w:rFonts w:ascii="Arial Narrow" w:hAnsi="Arial Narrow"/>
                <w:sz w:val="20"/>
                <w:szCs w:val="20"/>
              </w:rPr>
            </w:pPr>
            <w:r>
              <w:rPr>
                <w:rFonts w:ascii="Arial Narrow" w:hAnsi="Arial Narrow"/>
                <w:sz w:val="20"/>
                <w:szCs w:val="20"/>
              </w:rPr>
              <w:t>Mild</w:t>
            </w:r>
          </w:p>
        </w:tc>
        <w:tc>
          <w:tcPr>
            <w:tcW w:w="1500" w:type="dxa"/>
            <w:tcBorders>
              <w:top w:val="nil"/>
              <w:bottom w:val="nil"/>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40 (14.5%)</w:t>
            </w:r>
          </w:p>
        </w:tc>
        <w:tc>
          <w:tcPr>
            <w:tcW w:w="1619" w:type="dxa"/>
            <w:tcBorders>
              <w:top w:val="nil"/>
              <w:bottom w:val="nil"/>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14 (10.4%)</w:t>
            </w:r>
          </w:p>
        </w:tc>
        <w:tc>
          <w:tcPr>
            <w:tcW w:w="1825" w:type="dxa"/>
            <w:tcBorders>
              <w:top w:val="nil"/>
              <w:bottom w:val="nil"/>
            </w:tcBorders>
            <w:vAlign w:val="center"/>
          </w:tcPr>
          <w:p w:rsidR="009F68BD" w:rsidRPr="00E10160" w:rsidRDefault="009F68BD" w:rsidP="009F68BD">
            <w:pPr>
              <w:jc w:val="center"/>
              <w:rPr>
                <w:rFonts w:ascii="Arial Narrow" w:hAnsi="Arial Narrow"/>
                <w:i/>
                <w:sz w:val="20"/>
                <w:szCs w:val="20"/>
              </w:rPr>
            </w:pPr>
            <w:r w:rsidRPr="005F6447">
              <w:rPr>
                <w:rFonts w:ascii="Arial Narrow" w:hAnsi="Arial Narrow"/>
                <w:i/>
                <w:sz w:val="20"/>
                <w:szCs w:val="20"/>
              </w:rPr>
              <w:t>4.2% [-2.4%, 10.8%]</w:t>
            </w:r>
            <w:r>
              <w:rPr>
                <w:rFonts w:ascii="Arial Narrow" w:hAnsi="Arial Narrow"/>
                <w:i/>
                <w:sz w:val="20"/>
                <w:szCs w:val="20"/>
              </w:rPr>
              <w:t xml:space="preserve"> </w:t>
            </w:r>
          </w:p>
        </w:tc>
        <w:tc>
          <w:tcPr>
            <w:tcW w:w="1701" w:type="dxa"/>
            <w:tcBorders>
              <w:top w:val="nil"/>
              <w:bottom w:val="nil"/>
            </w:tcBorders>
          </w:tcPr>
          <w:p w:rsidR="009F68BD" w:rsidRDefault="009F68BD" w:rsidP="00D405E3">
            <w:pPr>
              <w:jc w:val="center"/>
              <w:rPr>
                <w:rFonts w:ascii="Arial Narrow" w:hAnsi="Arial Narrow"/>
                <w:i/>
                <w:sz w:val="20"/>
                <w:szCs w:val="20"/>
              </w:rPr>
            </w:pPr>
            <w:r w:rsidRPr="005F6447">
              <w:rPr>
                <w:rFonts w:ascii="Arial Narrow" w:hAnsi="Arial Narrow"/>
                <w:i/>
                <w:sz w:val="20"/>
                <w:szCs w:val="20"/>
              </w:rPr>
              <w:t>1.4</w:t>
            </w:r>
            <w:r w:rsidR="003A75CB">
              <w:rPr>
                <w:rFonts w:ascii="Arial Narrow" w:hAnsi="Arial Narrow"/>
                <w:i/>
                <w:sz w:val="20"/>
                <w:szCs w:val="20"/>
              </w:rPr>
              <w:t>0</w:t>
            </w:r>
            <w:r w:rsidRPr="005F6447">
              <w:rPr>
                <w:rFonts w:ascii="Arial Narrow" w:hAnsi="Arial Narrow"/>
                <w:i/>
                <w:sz w:val="20"/>
                <w:szCs w:val="20"/>
              </w:rPr>
              <w:t xml:space="preserve"> [0.79, 2.49]</w:t>
            </w:r>
          </w:p>
        </w:tc>
      </w:tr>
      <w:tr w:rsidR="009F68BD" w:rsidRPr="000272AC" w:rsidTr="009F68BD">
        <w:trPr>
          <w:trHeight w:val="193"/>
        </w:trPr>
        <w:tc>
          <w:tcPr>
            <w:tcW w:w="1702" w:type="dxa"/>
            <w:tcBorders>
              <w:top w:val="nil"/>
              <w:bottom w:val="nil"/>
            </w:tcBorders>
          </w:tcPr>
          <w:p w:rsidR="009F68BD" w:rsidRDefault="009F68BD" w:rsidP="00D405E3">
            <w:pPr>
              <w:ind w:left="318"/>
              <w:rPr>
                <w:rFonts w:ascii="Arial Narrow" w:hAnsi="Arial Narrow"/>
                <w:sz w:val="20"/>
                <w:szCs w:val="20"/>
              </w:rPr>
            </w:pPr>
            <w:r>
              <w:rPr>
                <w:rFonts w:ascii="Arial Narrow" w:hAnsi="Arial Narrow"/>
                <w:sz w:val="20"/>
                <w:szCs w:val="20"/>
              </w:rPr>
              <w:t xml:space="preserve">Moderate </w:t>
            </w:r>
          </w:p>
        </w:tc>
        <w:tc>
          <w:tcPr>
            <w:tcW w:w="1500" w:type="dxa"/>
            <w:tcBorders>
              <w:top w:val="nil"/>
              <w:bottom w:val="nil"/>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22 (8.0%)</w:t>
            </w:r>
          </w:p>
        </w:tc>
        <w:tc>
          <w:tcPr>
            <w:tcW w:w="1619" w:type="dxa"/>
            <w:tcBorders>
              <w:top w:val="nil"/>
              <w:bottom w:val="nil"/>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5 (3.7%)</w:t>
            </w:r>
          </w:p>
        </w:tc>
        <w:tc>
          <w:tcPr>
            <w:tcW w:w="1825" w:type="dxa"/>
            <w:tcBorders>
              <w:top w:val="nil"/>
              <w:bottom w:val="nil"/>
            </w:tcBorders>
            <w:vAlign w:val="center"/>
          </w:tcPr>
          <w:p w:rsidR="009F68BD" w:rsidRPr="00E10160" w:rsidRDefault="009F68BD" w:rsidP="009F68BD">
            <w:pPr>
              <w:jc w:val="center"/>
              <w:rPr>
                <w:rFonts w:ascii="Arial Narrow" w:hAnsi="Arial Narrow"/>
                <w:i/>
                <w:sz w:val="20"/>
                <w:szCs w:val="20"/>
              </w:rPr>
            </w:pPr>
            <w:r w:rsidRPr="005F6447">
              <w:rPr>
                <w:rFonts w:ascii="Arial Narrow" w:hAnsi="Arial Narrow"/>
                <w:i/>
                <w:sz w:val="20"/>
                <w:szCs w:val="20"/>
              </w:rPr>
              <w:t>4.3% [-0.2%, 8.8%]</w:t>
            </w:r>
          </w:p>
        </w:tc>
        <w:tc>
          <w:tcPr>
            <w:tcW w:w="1701" w:type="dxa"/>
            <w:tcBorders>
              <w:top w:val="nil"/>
              <w:bottom w:val="nil"/>
            </w:tcBorders>
          </w:tcPr>
          <w:p w:rsidR="009F68BD" w:rsidRDefault="009F68BD" w:rsidP="00D405E3">
            <w:pPr>
              <w:jc w:val="center"/>
              <w:rPr>
                <w:rFonts w:ascii="Arial Narrow" w:hAnsi="Arial Narrow"/>
                <w:i/>
                <w:sz w:val="20"/>
                <w:szCs w:val="20"/>
              </w:rPr>
            </w:pPr>
            <w:r w:rsidRPr="005F6447">
              <w:rPr>
                <w:rFonts w:ascii="Arial Narrow" w:hAnsi="Arial Narrow"/>
                <w:i/>
                <w:sz w:val="20"/>
                <w:szCs w:val="20"/>
              </w:rPr>
              <w:t>2.16 [0.84, 5.58]</w:t>
            </w:r>
          </w:p>
        </w:tc>
      </w:tr>
      <w:tr w:rsidR="009F68BD" w:rsidRPr="000272AC" w:rsidTr="003B71D7">
        <w:tc>
          <w:tcPr>
            <w:tcW w:w="1702" w:type="dxa"/>
            <w:tcBorders>
              <w:top w:val="nil"/>
              <w:bottom w:val="single" w:sz="4" w:space="0" w:color="auto"/>
            </w:tcBorders>
          </w:tcPr>
          <w:p w:rsidR="009F68BD" w:rsidRDefault="009F68BD" w:rsidP="00D405E3">
            <w:pPr>
              <w:ind w:left="318"/>
              <w:rPr>
                <w:rFonts w:ascii="Arial Narrow" w:hAnsi="Arial Narrow"/>
                <w:sz w:val="20"/>
                <w:szCs w:val="20"/>
              </w:rPr>
            </w:pPr>
            <w:r>
              <w:rPr>
                <w:rFonts w:ascii="Arial Narrow" w:hAnsi="Arial Narrow"/>
                <w:sz w:val="20"/>
                <w:szCs w:val="20"/>
              </w:rPr>
              <w:t>Severe</w:t>
            </w:r>
          </w:p>
        </w:tc>
        <w:tc>
          <w:tcPr>
            <w:tcW w:w="1500" w:type="dxa"/>
            <w:tcBorders>
              <w:top w:val="nil"/>
              <w:bottom w:val="single" w:sz="4" w:space="0" w:color="auto"/>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2 (0.7%)</w:t>
            </w:r>
          </w:p>
        </w:tc>
        <w:tc>
          <w:tcPr>
            <w:tcW w:w="1619" w:type="dxa"/>
            <w:tcBorders>
              <w:top w:val="nil"/>
              <w:bottom w:val="single" w:sz="4" w:space="0" w:color="auto"/>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1 (0.7%)</w:t>
            </w:r>
          </w:p>
        </w:tc>
        <w:tc>
          <w:tcPr>
            <w:tcW w:w="1825" w:type="dxa"/>
            <w:tcBorders>
              <w:top w:val="nil"/>
              <w:bottom w:val="single" w:sz="4" w:space="0" w:color="auto"/>
            </w:tcBorders>
            <w:vAlign w:val="center"/>
          </w:tcPr>
          <w:p w:rsidR="009F68BD" w:rsidRPr="00E10160" w:rsidRDefault="009F68BD" w:rsidP="009F68BD">
            <w:pPr>
              <w:jc w:val="center"/>
              <w:rPr>
                <w:rFonts w:ascii="Arial Narrow" w:hAnsi="Arial Narrow"/>
                <w:i/>
                <w:sz w:val="20"/>
                <w:szCs w:val="20"/>
              </w:rPr>
            </w:pPr>
            <w:r w:rsidRPr="005F6447">
              <w:rPr>
                <w:rFonts w:ascii="Arial Narrow" w:hAnsi="Arial Narrow"/>
                <w:i/>
                <w:sz w:val="20"/>
                <w:szCs w:val="20"/>
              </w:rPr>
              <w:t>0</w:t>
            </w:r>
            <w:r>
              <w:rPr>
                <w:rFonts w:ascii="Arial Narrow" w:hAnsi="Arial Narrow"/>
                <w:i/>
                <w:sz w:val="20"/>
                <w:szCs w:val="20"/>
              </w:rPr>
              <w:t>.0</w:t>
            </w:r>
            <w:r w:rsidRPr="005F6447">
              <w:rPr>
                <w:rFonts w:ascii="Arial Narrow" w:hAnsi="Arial Narrow"/>
                <w:i/>
                <w:sz w:val="20"/>
                <w:szCs w:val="20"/>
              </w:rPr>
              <w:t>% [-1.8%, 1.7%]</w:t>
            </w:r>
          </w:p>
        </w:tc>
        <w:tc>
          <w:tcPr>
            <w:tcW w:w="1701" w:type="dxa"/>
            <w:tcBorders>
              <w:top w:val="nil"/>
              <w:bottom w:val="single" w:sz="4" w:space="0" w:color="auto"/>
            </w:tcBorders>
          </w:tcPr>
          <w:p w:rsidR="009F68BD" w:rsidRDefault="009F68BD" w:rsidP="00D405E3">
            <w:pPr>
              <w:jc w:val="center"/>
              <w:rPr>
                <w:rFonts w:ascii="Arial Narrow" w:hAnsi="Arial Narrow"/>
                <w:i/>
                <w:sz w:val="20"/>
                <w:szCs w:val="20"/>
              </w:rPr>
            </w:pPr>
            <w:r w:rsidRPr="005F6447">
              <w:rPr>
                <w:rFonts w:ascii="Arial Narrow" w:hAnsi="Arial Narrow"/>
                <w:i/>
                <w:sz w:val="20"/>
                <w:szCs w:val="20"/>
              </w:rPr>
              <w:t>0.98 [0.09, 10.73]</w:t>
            </w:r>
          </w:p>
        </w:tc>
      </w:tr>
      <w:tr w:rsidR="009F68BD" w:rsidRPr="000272AC" w:rsidTr="003B71D7">
        <w:tc>
          <w:tcPr>
            <w:tcW w:w="1702" w:type="dxa"/>
            <w:tcBorders>
              <w:top w:val="single" w:sz="4" w:space="0" w:color="auto"/>
              <w:bottom w:val="single" w:sz="4" w:space="0" w:color="auto"/>
            </w:tcBorders>
          </w:tcPr>
          <w:p w:rsidR="009F68BD" w:rsidRDefault="009F68BD" w:rsidP="003B71D7">
            <w:pPr>
              <w:rPr>
                <w:rFonts w:ascii="Arial Narrow" w:hAnsi="Arial Narrow"/>
                <w:sz w:val="20"/>
                <w:szCs w:val="20"/>
              </w:rPr>
            </w:pPr>
            <w:r>
              <w:rPr>
                <w:rFonts w:ascii="Arial Narrow" w:hAnsi="Arial Narrow"/>
                <w:sz w:val="20"/>
                <w:szCs w:val="20"/>
              </w:rPr>
              <w:t>Serious</w:t>
            </w:r>
            <w:r w:rsidRPr="001C7FFB">
              <w:rPr>
                <w:rFonts w:ascii="Arial Narrow" w:hAnsi="Arial Narrow"/>
                <w:sz w:val="20"/>
                <w:szCs w:val="20"/>
                <w:vertAlign w:val="superscript"/>
              </w:rPr>
              <w:t>c</w:t>
            </w:r>
          </w:p>
        </w:tc>
        <w:tc>
          <w:tcPr>
            <w:tcW w:w="1500" w:type="dxa"/>
            <w:tcBorders>
              <w:top w:val="single" w:sz="4" w:space="0" w:color="auto"/>
              <w:bottom w:val="single" w:sz="4" w:space="0" w:color="auto"/>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8 (2.9%)</w:t>
            </w:r>
          </w:p>
        </w:tc>
        <w:tc>
          <w:tcPr>
            <w:tcW w:w="1619" w:type="dxa"/>
            <w:tcBorders>
              <w:top w:val="single" w:sz="4" w:space="0" w:color="auto"/>
              <w:bottom w:val="single" w:sz="4" w:space="0" w:color="auto"/>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2 (1.5%)</w:t>
            </w:r>
          </w:p>
        </w:tc>
        <w:tc>
          <w:tcPr>
            <w:tcW w:w="1825" w:type="dxa"/>
            <w:tcBorders>
              <w:top w:val="single" w:sz="4" w:space="0" w:color="auto"/>
              <w:bottom w:val="single" w:sz="4" w:space="0" w:color="auto"/>
            </w:tcBorders>
            <w:vAlign w:val="center"/>
          </w:tcPr>
          <w:p w:rsidR="009F68BD" w:rsidRDefault="009F68BD" w:rsidP="009F68BD">
            <w:pPr>
              <w:jc w:val="center"/>
              <w:rPr>
                <w:rFonts w:ascii="Arial Narrow" w:hAnsi="Arial Narrow"/>
                <w:i/>
                <w:sz w:val="20"/>
                <w:szCs w:val="20"/>
              </w:rPr>
            </w:pPr>
            <w:r w:rsidRPr="004E4A0C">
              <w:rPr>
                <w:rFonts w:ascii="Arial Narrow" w:hAnsi="Arial Narrow"/>
                <w:i/>
                <w:sz w:val="20"/>
                <w:szCs w:val="20"/>
              </w:rPr>
              <w:t>1.4% [-1.4%, 4.3%]</w:t>
            </w:r>
          </w:p>
        </w:tc>
        <w:tc>
          <w:tcPr>
            <w:tcW w:w="1701" w:type="dxa"/>
            <w:tcBorders>
              <w:top w:val="single" w:sz="4" w:space="0" w:color="auto"/>
              <w:bottom w:val="single" w:sz="4" w:space="0" w:color="auto"/>
            </w:tcBorders>
          </w:tcPr>
          <w:p w:rsidR="009F68BD" w:rsidRDefault="009F68BD" w:rsidP="004E4A0C">
            <w:pPr>
              <w:jc w:val="center"/>
              <w:rPr>
                <w:rFonts w:ascii="Arial Narrow" w:hAnsi="Arial Narrow"/>
                <w:i/>
                <w:sz w:val="20"/>
                <w:szCs w:val="20"/>
              </w:rPr>
            </w:pPr>
            <w:r w:rsidRPr="004E4A0C">
              <w:rPr>
                <w:rFonts w:ascii="Arial Narrow" w:hAnsi="Arial Narrow"/>
                <w:i/>
                <w:sz w:val="20"/>
                <w:szCs w:val="20"/>
              </w:rPr>
              <w:t>1.96 [0.42, 9.12]</w:t>
            </w:r>
          </w:p>
        </w:tc>
      </w:tr>
      <w:tr w:rsidR="009F68BD" w:rsidRPr="000272AC" w:rsidTr="003B71D7">
        <w:tc>
          <w:tcPr>
            <w:tcW w:w="1702" w:type="dxa"/>
            <w:tcBorders>
              <w:top w:val="single" w:sz="4" w:space="0" w:color="auto"/>
              <w:bottom w:val="single" w:sz="4" w:space="0" w:color="auto"/>
            </w:tcBorders>
          </w:tcPr>
          <w:p w:rsidR="009F68BD" w:rsidRDefault="009F68BD" w:rsidP="003B71D7">
            <w:pPr>
              <w:rPr>
                <w:rFonts w:ascii="Arial Narrow" w:hAnsi="Arial Narrow"/>
                <w:sz w:val="20"/>
                <w:szCs w:val="20"/>
              </w:rPr>
            </w:pPr>
            <w:r>
              <w:rPr>
                <w:rFonts w:ascii="Arial Narrow" w:hAnsi="Arial Narrow"/>
                <w:sz w:val="20"/>
                <w:szCs w:val="20"/>
              </w:rPr>
              <w:t xml:space="preserve">Threatened </w:t>
            </w:r>
          </w:p>
        </w:tc>
        <w:tc>
          <w:tcPr>
            <w:tcW w:w="1500" w:type="dxa"/>
            <w:tcBorders>
              <w:top w:val="single" w:sz="4" w:space="0" w:color="auto"/>
              <w:bottom w:val="single" w:sz="4" w:space="0" w:color="auto"/>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49 (17.8%)</w:t>
            </w:r>
          </w:p>
        </w:tc>
        <w:tc>
          <w:tcPr>
            <w:tcW w:w="1619" w:type="dxa"/>
            <w:tcBorders>
              <w:top w:val="single" w:sz="4" w:space="0" w:color="auto"/>
              <w:bottom w:val="single" w:sz="4" w:space="0" w:color="auto"/>
            </w:tcBorders>
            <w:vAlign w:val="center"/>
          </w:tcPr>
          <w:p w:rsidR="009F68BD" w:rsidRDefault="009F68BD" w:rsidP="00FD0243">
            <w:pPr>
              <w:jc w:val="center"/>
              <w:rPr>
                <w:rFonts w:ascii="Arial Narrow" w:hAnsi="Arial Narrow"/>
                <w:sz w:val="20"/>
                <w:szCs w:val="20"/>
              </w:rPr>
            </w:pPr>
            <w:r>
              <w:rPr>
                <w:rFonts w:ascii="Arial Narrow" w:hAnsi="Arial Narrow"/>
                <w:sz w:val="20"/>
                <w:szCs w:val="20"/>
              </w:rPr>
              <w:t>16 (11.9%)</w:t>
            </w:r>
          </w:p>
        </w:tc>
        <w:tc>
          <w:tcPr>
            <w:tcW w:w="1825" w:type="dxa"/>
            <w:tcBorders>
              <w:top w:val="single" w:sz="4" w:space="0" w:color="auto"/>
              <w:bottom w:val="single" w:sz="4" w:space="0" w:color="auto"/>
            </w:tcBorders>
            <w:vAlign w:val="center"/>
          </w:tcPr>
          <w:p w:rsidR="009F68BD" w:rsidRDefault="009F68BD" w:rsidP="009F68BD">
            <w:pPr>
              <w:jc w:val="center"/>
              <w:rPr>
                <w:rFonts w:ascii="Arial Narrow" w:hAnsi="Arial Narrow"/>
                <w:i/>
                <w:sz w:val="20"/>
                <w:szCs w:val="20"/>
              </w:rPr>
            </w:pPr>
            <w:r w:rsidRPr="00732152">
              <w:rPr>
                <w:rFonts w:ascii="Arial Narrow" w:hAnsi="Arial Narrow"/>
                <w:i/>
                <w:sz w:val="20"/>
                <w:szCs w:val="20"/>
              </w:rPr>
              <w:t>6</w:t>
            </w:r>
            <w:r>
              <w:rPr>
                <w:rFonts w:ascii="Arial Narrow" w:hAnsi="Arial Narrow"/>
                <w:i/>
                <w:sz w:val="20"/>
                <w:szCs w:val="20"/>
              </w:rPr>
              <w:t>.0</w:t>
            </w:r>
            <w:r w:rsidRPr="00732152">
              <w:rPr>
                <w:rFonts w:ascii="Arial Narrow" w:hAnsi="Arial Narrow"/>
                <w:i/>
                <w:sz w:val="20"/>
                <w:szCs w:val="20"/>
              </w:rPr>
              <w:t>% [-1.1%, 13.1%]</w:t>
            </w:r>
          </w:p>
        </w:tc>
        <w:tc>
          <w:tcPr>
            <w:tcW w:w="1701" w:type="dxa"/>
            <w:tcBorders>
              <w:top w:val="single" w:sz="4" w:space="0" w:color="auto"/>
              <w:bottom w:val="single" w:sz="4" w:space="0" w:color="auto"/>
            </w:tcBorders>
          </w:tcPr>
          <w:p w:rsidR="009F68BD" w:rsidRDefault="009F68BD" w:rsidP="00732152">
            <w:pPr>
              <w:jc w:val="center"/>
              <w:rPr>
                <w:rFonts w:ascii="Arial Narrow" w:hAnsi="Arial Narrow"/>
                <w:i/>
                <w:sz w:val="20"/>
                <w:szCs w:val="20"/>
              </w:rPr>
            </w:pPr>
            <w:r w:rsidRPr="00732152">
              <w:rPr>
                <w:rFonts w:ascii="Arial Narrow" w:hAnsi="Arial Narrow"/>
                <w:i/>
                <w:sz w:val="20"/>
                <w:szCs w:val="20"/>
              </w:rPr>
              <w:t>1.5</w:t>
            </w:r>
            <w:r w:rsidR="003A75CB">
              <w:rPr>
                <w:rFonts w:ascii="Arial Narrow" w:hAnsi="Arial Narrow"/>
                <w:i/>
                <w:sz w:val="20"/>
                <w:szCs w:val="20"/>
              </w:rPr>
              <w:t>0</w:t>
            </w:r>
            <w:r w:rsidRPr="00732152">
              <w:rPr>
                <w:rFonts w:ascii="Arial Narrow" w:hAnsi="Arial Narrow"/>
                <w:i/>
                <w:sz w:val="20"/>
                <w:szCs w:val="20"/>
              </w:rPr>
              <w:t xml:space="preserve"> [0.89, 2.54]</w:t>
            </w:r>
          </w:p>
        </w:tc>
      </w:tr>
      <w:tr w:rsidR="003B71D7" w:rsidRPr="000272AC" w:rsidTr="003B71D7">
        <w:tc>
          <w:tcPr>
            <w:tcW w:w="1702" w:type="dxa"/>
            <w:tcBorders>
              <w:top w:val="single" w:sz="4" w:space="0" w:color="auto"/>
              <w:bottom w:val="single" w:sz="4" w:space="0" w:color="auto"/>
            </w:tcBorders>
          </w:tcPr>
          <w:p w:rsidR="003B71D7" w:rsidRDefault="003B71D7" w:rsidP="003B71D7">
            <w:pPr>
              <w:rPr>
                <w:rFonts w:ascii="Arial Narrow" w:hAnsi="Arial Narrow"/>
                <w:sz w:val="20"/>
                <w:szCs w:val="20"/>
              </w:rPr>
            </w:pPr>
            <w:r>
              <w:rPr>
                <w:rFonts w:ascii="Arial Narrow" w:hAnsi="Arial Narrow"/>
                <w:sz w:val="20"/>
                <w:szCs w:val="20"/>
              </w:rPr>
              <w:t>Dose reduction due to OHSS</w:t>
            </w:r>
          </w:p>
        </w:tc>
        <w:tc>
          <w:tcPr>
            <w:tcW w:w="1500" w:type="dxa"/>
            <w:tcBorders>
              <w:top w:val="single" w:sz="4" w:space="0" w:color="auto"/>
              <w:bottom w:val="single" w:sz="4" w:space="0" w:color="auto"/>
            </w:tcBorders>
            <w:vAlign w:val="center"/>
          </w:tcPr>
          <w:p w:rsidR="003B71D7" w:rsidRDefault="003B71D7" w:rsidP="003B71D7">
            <w:pPr>
              <w:jc w:val="center"/>
              <w:rPr>
                <w:rFonts w:ascii="Arial Narrow" w:hAnsi="Arial Narrow"/>
                <w:sz w:val="20"/>
                <w:szCs w:val="20"/>
              </w:rPr>
            </w:pPr>
            <w:r>
              <w:rPr>
                <w:rFonts w:ascii="Arial Narrow" w:hAnsi="Arial Narrow"/>
                <w:sz w:val="20"/>
                <w:szCs w:val="20"/>
              </w:rPr>
              <w:t>32 (11.6%)</w:t>
            </w:r>
          </w:p>
        </w:tc>
        <w:tc>
          <w:tcPr>
            <w:tcW w:w="1619" w:type="dxa"/>
            <w:tcBorders>
              <w:top w:val="single" w:sz="4" w:space="0" w:color="auto"/>
              <w:bottom w:val="single" w:sz="4" w:space="0" w:color="auto"/>
            </w:tcBorders>
            <w:vAlign w:val="center"/>
          </w:tcPr>
          <w:p w:rsidR="003B71D7" w:rsidRDefault="003B71D7" w:rsidP="00FD0243">
            <w:pPr>
              <w:jc w:val="center"/>
              <w:rPr>
                <w:rFonts w:ascii="Arial Narrow" w:hAnsi="Arial Narrow"/>
                <w:sz w:val="20"/>
                <w:szCs w:val="20"/>
              </w:rPr>
            </w:pPr>
            <w:r>
              <w:rPr>
                <w:rFonts w:ascii="Arial Narrow" w:hAnsi="Arial Narrow"/>
                <w:sz w:val="20"/>
                <w:szCs w:val="20"/>
              </w:rPr>
              <w:t>10 (7.4%)</w:t>
            </w:r>
          </w:p>
        </w:tc>
        <w:tc>
          <w:tcPr>
            <w:tcW w:w="1825" w:type="dxa"/>
            <w:tcBorders>
              <w:top w:val="single" w:sz="4" w:space="0" w:color="auto"/>
              <w:bottom w:val="single" w:sz="4" w:space="0" w:color="auto"/>
            </w:tcBorders>
            <w:vAlign w:val="center"/>
          </w:tcPr>
          <w:p w:rsidR="003B71D7" w:rsidRPr="00732152" w:rsidRDefault="003B71D7" w:rsidP="003B71D7">
            <w:pPr>
              <w:jc w:val="center"/>
              <w:rPr>
                <w:rFonts w:ascii="Arial Narrow" w:hAnsi="Arial Narrow"/>
                <w:i/>
                <w:sz w:val="20"/>
                <w:szCs w:val="20"/>
              </w:rPr>
            </w:pPr>
            <w:r w:rsidRPr="003B71D7">
              <w:rPr>
                <w:rFonts w:ascii="Arial Narrow" w:hAnsi="Arial Narrow"/>
                <w:i/>
                <w:sz w:val="20"/>
                <w:szCs w:val="20"/>
              </w:rPr>
              <w:t>4.2% [-1.6%, 10%]</w:t>
            </w:r>
            <w:r w:rsidRPr="003B71D7">
              <w:rPr>
                <w:rFonts w:ascii="Arial Narrow" w:hAnsi="Arial Narrow"/>
                <w:i/>
                <w:sz w:val="20"/>
                <w:szCs w:val="20"/>
              </w:rPr>
              <w:tab/>
            </w:r>
          </w:p>
        </w:tc>
        <w:tc>
          <w:tcPr>
            <w:tcW w:w="1701" w:type="dxa"/>
            <w:tcBorders>
              <w:top w:val="single" w:sz="4" w:space="0" w:color="auto"/>
              <w:bottom w:val="single" w:sz="4" w:space="0" w:color="auto"/>
            </w:tcBorders>
            <w:vAlign w:val="center"/>
          </w:tcPr>
          <w:p w:rsidR="003B71D7" w:rsidRPr="00732152" w:rsidRDefault="003B71D7" w:rsidP="003B71D7">
            <w:pPr>
              <w:jc w:val="center"/>
              <w:rPr>
                <w:rFonts w:ascii="Arial Narrow" w:hAnsi="Arial Narrow"/>
                <w:i/>
                <w:sz w:val="20"/>
                <w:szCs w:val="20"/>
              </w:rPr>
            </w:pPr>
            <w:r w:rsidRPr="003B71D7">
              <w:rPr>
                <w:rFonts w:ascii="Arial Narrow" w:hAnsi="Arial Narrow"/>
                <w:i/>
                <w:sz w:val="20"/>
                <w:szCs w:val="20"/>
              </w:rPr>
              <w:t>1.57 [0.8, 3.1]</w:t>
            </w:r>
          </w:p>
        </w:tc>
      </w:tr>
      <w:tr w:rsidR="003B71D7" w:rsidRPr="000272AC" w:rsidTr="003B71D7">
        <w:tc>
          <w:tcPr>
            <w:tcW w:w="1702" w:type="dxa"/>
            <w:tcBorders>
              <w:top w:val="single" w:sz="4" w:space="0" w:color="auto"/>
              <w:bottom w:val="single" w:sz="4" w:space="0" w:color="auto"/>
            </w:tcBorders>
          </w:tcPr>
          <w:p w:rsidR="003B71D7" w:rsidRDefault="003B71D7" w:rsidP="003B71D7">
            <w:pPr>
              <w:rPr>
                <w:rFonts w:ascii="Arial Narrow" w:hAnsi="Arial Narrow"/>
                <w:sz w:val="20"/>
                <w:szCs w:val="20"/>
              </w:rPr>
            </w:pPr>
            <w:r>
              <w:rPr>
                <w:rFonts w:ascii="Arial Narrow" w:hAnsi="Arial Narrow"/>
                <w:sz w:val="20"/>
                <w:szCs w:val="20"/>
              </w:rPr>
              <w:t>Treatment discontinuation due to OHSS</w:t>
            </w:r>
          </w:p>
        </w:tc>
        <w:tc>
          <w:tcPr>
            <w:tcW w:w="1500" w:type="dxa"/>
            <w:tcBorders>
              <w:top w:val="single" w:sz="4" w:space="0" w:color="auto"/>
              <w:bottom w:val="single" w:sz="4" w:space="0" w:color="auto"/>
            </w:tcBorders>
            <w:vAlign w:val="center"/>
          </w:tcPr>
          <w:p w:rsidR="003B71D7" w:rsidRDefault="003B71D7" w:rsidP="00FD0243">
            <w:pPr>
              <w:jc w:val="center"/>
              <w:rPr>
                <w:rFonts w:ascii="Arial Narrow" w:hAnsi="Arial Narrow"/>
                <w:sz w:val="20"/>
                <w:szCs w:val="20"/>
              </w:rPr>
            </w:pPr>
            <w:r>
              <w:rPr>
                <w:rFonts w:ascii="Arial Narrow" w:hAnsi="Arial Narrow"/>
                <w:sz w:val="20"/>
                <w:szCs w:val="20"/>
              </w:rPr>
              <w:t>9</w:t>
            </w:r>
            <w:r w:rsidR="00E921E8">
              <w:rPr>
                <w:rFonts w:ascii="Arial Narrow" w:hAnsi="Arial Narrow"/>
                <w:sz w:val="20"/>
                <w:szCs w:val="20"/>
              </w:rPr>
              <w:t xml:space="preserve"> (3.3%)</w:t>
            </w:r>
          </w:p>
        </w:tc>
        <w:tc>
          <w:tcPr>
            <w:tcW w:w="1619" w:type="dxa"/>
            <w:tcBorders>
              <w:top w:val="single" w:sz="4" w:space="0" w:color="auto"/>
              <w:bottom w:val="single" w:sz="4" w:space="0" w:color="auto"/>
            </w:tcBorders>
            <w:vAlign w:val="center"/>
          </w:tcPr>
          <w:p w:rsidR="003B71D7" w:rsidRDefault="003B71D7" w:rsidP="00FD0243">
            <w:pPr>
              <w:jc w:val="center"/>
              <w:rPr>
                <w:rFonts w:ascii="Arial Narrow" w:hAnsi="Arial Narrow"/>
                <w:sz w:val="20"/>
                <w:szCs w:val="20"/>
              </w:rPr>
            </w:pPr>
            <w:r>
              <w:rPr>
                <w:rFonts w:ascii="Arial Narrow" w:hAnsi="Arial Narrow"/>
                <w:sz w:val="20"/>
                <w:szCs w:val="20"/>
              </w:rPr>
              <w:t>1</w:t>
            </w:r>
            <w:r w:rsidR="00E921E8">
              <w:rPr>
                <w:rFonts w:ascii="Arial Narrow" w:hAnsi="Arial Narrow"/>
                <w:sz w:val="20"/>
                <w:szCs w:val="20"/>
              </w:rPr>
              <w:t xml:space="preserve"> (0.7%)</w:t>
            </w:r>
          </w:p>
        </w:tc>
        <w:tc>
          <w:tcPr>
            <w:tcW w:w="1825" w:type="dxa"/>
            <w:tcBorders>
              <w:top w:val="single" w:sz="4" w:space="0" w:color="auto"/>
              <w:bottom w:val="single" w:sz="4" w:space="0" w:color="auto"/>
            </w:tcBorders>
            <w:vAlign w:val="center"/>
          </w:tcPr>
          <w:p w:rsidR="003B71D7" w:rsidRPr="00732152" w:rsidRDefault="003B71D7" w:rsidP="003B71D7">
            <w:pPr>
              <w:jc w:val="center"/>
              <w:rPr>
                <w:rFonts w:ascii="Arial Narrow" w:hAnsi="Arial Narrow"/>
                <w:i/>
                <w:sz w:val="20"/>
                <w:szCs w:val="20"/>
              </w:rPr>
            </w:pPr>
            <w:r w:rsidRPr="003B71D7">
              <w:rPr>
                <w:rFonts w:ascii="Arial Narrow" w:hAnsi="Arial Narrow"/>
                <w:i/>
                <w:sz w:val="20"/>
                <w:szCs w:val="20"/>
              </w:rPr>
              <w:t>2.5% [0%, 5.1%]</w:t>
            </w:r>
            <w:r w:rsidRPr="003B71D7">
              <w:rPr>
                <w:rFonts w:ascii="Arial Narrow" w:hAnsi="Arial Narrow"/>
                <w:i/>
                <w:sz w:val="20"/>
                <w:szCs w:val="20"/>
              </w:rPr>
              <w:tab/>
            </w:r>
          </w:p>
        </w:tc>
        <w:tc>
          <w:tcPr>
            <w:tcW w:w="1701" w:type="dxa"/>
            <w:tcBorders>
              <w:top w:val="single" w:sz="4" w:space="0" w:color="auto"/>
              <w:bottom w:val="single" w:sz="4" w:space="0" w:color="auto"/>
            </w:tcBorders>
            <w:vAlign w:val="center"/>
          </w:tcPr>
          <w:p w:rsidR="003B71D7" w:rsidRPr="00732152" w:rsidRDefault="003B71D7" w:rsidP="003B71D7">
            <w:pPr>
              <w:jc w:val="center"/>
              <w:rPr>
                <w:rFonts w:ascii="Arial Narrow" w:hAnsi="Arial Narrow"/>
                <w:i/>
                <w:sz w:val="20"/>
                <w:szCs w:val="20"/>
              </w:rPr>
            </w:pPr>
            <w:r w:rsidRPr="003B71D7">
              <w:rPr>
                <w:rFonts w:ascii="Arial Narrow" w:hAnsi="Arial Narrow"/>
                <w:i/>
                <w:sz w:val="20"/>
                <w:szCs w:val="20"/>
              </w:rPr>
              <w:t>4.42 [0.57, 34.52]</w:t>
            </w:r>
          </w:p>
        </w:tc>
      </w:tr>
    </w:tbl>
    <w:p w:rsidR="0014326C" w:rsidRDefault="009F68BD" w:rsidP="0014326C">
      <w:pPr>
        <w:pStyle w:val="tablenotes"/>
        <w:ind w:left="720"/>
        <w:rPr>
          <w:rFonts w:eastAsiaTheme="minorHAnsi"/>
        </w:rPr>
      </w:pPr>
      <w:r>
        <w:rPr>
          <w:rFonts w:eastAsiaTheme="minorHAnsi"/>
        </w:rPr>
        <w:t xml:space="preserve">CI = confidence interval; </w:t>
      </w:r>
      <w:r w:rsidR="00BB2F43">
        <w:rPr>
          <w:rFonts w:eastAsiaTheme="minorHAnsi"/>
        </w:rPr>
        <w:t xml:space="preserve">OHSS = ovarian hyperstimulation syndrome; </w:t>
      </w:r>
      <w:r w:rsidR="0014326C">
        <w:rPr>
          <w:rFonts w:eastAsiaTheme="minorHAnsi"/>
        </w:rPr>
        <w:t>RD = risk difference; RR = relative risk</w:t>
      </w:r>
    </w:p>
    <w:p w:rsidR="0014326C" w:rsidRDefault="0014326C" w:rsidP="0014326C">
      <w:pPr>
        <w:pStyle w:val="tablenotes"/>
        <w:ind w:left="720"/>
        <w:rPr>
          <w:rFonts w:eastAsiaTheme="minorHAnsi"/>
          <w:i/>
        </w:rPr>
      </w:pPr>
      <w:r w:rsidRPr="00E10160">
        <w:rPr>
          <w:rFonts w:eastAsiaTheme="minorHAnsi"/>
          <w:vertAlign w:val="superscript"/>
        </w:rPr>
        <w:t>a</w:t>
      </w:r>
      <w:r>
        <w:rPr>
          <w:rFonts w:eastAsiaTheme="minorHAnsi"/>
        </w:rPr>
        <w:t xml:space="preserve"> </w:t>
      </w:r>
      <w:r w:rsidRPr="0014326C">
        <w:rPr>
          <w:rFonts w:eastAsiaTheme="minorHAnsi"/>
          <w:i/>
        </w:rPr>
        <w:t xml:space="preserve">RDs and RRs were calculated during the </w:t>
      </w:r>
      <w:r w:rsidR="00471E93">
        <w:rPr>
          <w:rFonts w:eastAsiaTheme="minorHAnsi"/>
          <w:i/>
        </w:rPr>
        <w:t>evaluation</w:t>
      </w:r>
      <w:r w:rsidRPr="0014326C">
        <w:rPr>
          <w:rFonts w:eastAsiaTheme="minorHAnsi"/>
          <w:i/>
        </w:rPr>
        <w:t>.</w:t>
      </w:r>
    </w:p>
    <w:p w:rsidR="00385CDC" w:rsidRDefault="00385CDC" w:rsidP="00385CDC">
      <w:pPr>
        <w:pStyle w:val="tablenotes"/>
        <w:ind w:left="720"/>
        <w:rPr>
          <w:rFonts w:eastAsiaTheme="minorHAnsi"/>
        </w:rPr>
      </w:pPr>
      <w:r w:rsidRPr="00385CDC">
        <w:rPr>
          <w:rFonts w:eastAsiaTheme="minorHAnsi"/>
          <w:vertAlign w:val="superscript"/>
        </w:rPr>
        <w:t>b</w:t>
      </w:r>
      <w:r>
        <w:rPr>
          <w:rFonts w:eastAsiaTheme="minorHAnsi"/>
        </w:rPr>
        <w:t xml:space="preserve"> </w:t>
      </w:r>
      <w:r w:rsidR="004E4A0C">
        <w:rPr>
          <w:rFonts w:eastAsiaTheme="minorHAnsi"/>
        </w:rPr>
        <w:t xml:space="preserve">OHSS was graded according to </w:t>
      </w:r>
      <w:r w:rsidR="004E4A0C" w:rsidRPr="004E4A0C">
        <w:rPr>
          <w:rFonts w:eastAsiaTheme="minorHAnsi"/>
        </w:rPr>
        <w:t xml:space="preserve">the recommendations of the Practice Committee of the American Society for Reproductive Medicine </w:t>
      </w:r>
      <w:r w:rsidRPr="00385CDC">
        <w:rPr>
          <w:rFonts w:eastAsiaTheme="minorHAnsi"/>
        </w:rPr>
        <w:t xml:space="preserve">Mild </w:t>
      </w:r>
      <w:r>
        <w:rPr>
          <w:rFonts w:eastAsiaTheme="minorHAnsi"/>
        </w:rPr>
        <w:t>– mild manifestations of OHSS include</w:t>
      </w:r>
      <w:r w:rsidRPr="00385CDC">
        <w:t xml:space="preserve"> </w:t>
      </w:r>
      <w:r w:rsidRPr="00385CDC">
        <w:rPr>
          <w:rFonts w:eastAsiaTheme="minorHAnsi"/>
        </w:rPr>
        <w:t xml:space="preserve">transient lower abdominal </w:t>
      </w:r>
      <w:r>
        <w:rPr>
          <w:rFonts w:eastAsiaTheme="minorHAnsi"/>
        </w:rPr>
        <w:t xml:space="preserve">discomfort, </w:t>
      </w:r>
      <w:r w:rsidRPr="00385CDC">
        <w:rPr>
          <w:rFonts w:eastAsiaTheme="minorHAnsi"/>
        </w:rPr>
        <w:t>mild nausea</w:t>
      </w:r>
      <w:r>
        <w:rPr>
          <w:rFonts w:eastAsiaTheme="minorHAnsi"/>
        </w:rPr>
        <w:t xml:space="preserve">, </w:t>
      </w:r>
      <w:r w:rsidRPr="00385CDC">
        <w:rPr>
          <w:rFonts w:eastAsiaTheme="minorHAnsi"/>
        </w:rPr>
        <w:t>vomiting</w:t>
      </w:r>
      <w:r>
        <w:rPr>
          <w:rFonts w:eastAsiaTheme="minorHAnsi"/>
        </w:rPr>
        <w:t xml:space="preserve">, </w:t>
      </w:r>
      <w:r w:rsidRPr="00385CDC">
        <w:rPr>
          <w:rFonts w:eastAsiaTheme="minorHAnsi"/>
        </w:rPr>
        <w:t>diarrhoea</w:t>
      </w:r>
      <w:r>
        <w:rPr>
          <w:rFonts w:eastAsiaTheme="minorHAnsi"/>
        </w:rPr>
        <w:t xml:space="preserve"> and </w:t>
      </w:r>
      <w:r w:rsidRPr="00385CDC">
        <w:rPr>
          <w:rFonts w:eastAsiaTheme="minorHAnsi"/>
        </w:rPr>
        <w:t>abdominal distension</w:t>
      </w:r>
      <w:r>
        <w:rPr>
          <w:rFonts w:eastAsiaTheme="minorHAnsi"/>
        </w:rPr>
        <w:t xml:space="preserve">. </w:t>
      </w:r>
      <w:r w:rsidRPr="00385CDC">
        <w:rPr>
          <w:rFonts w:eastAsiaTheme="minorHAnsi"/>
        </w:rPr>
        <w:t xml:space="preserve">Moderate - </w:t>
      </w:r>
      <w:r>
        <w:rPr>
          <w:rFonts w:eastAsiaTheme="minorHAnsi"/>
        </w:rPr>
        <w:t>m</w:t>
      </w:r>
      <w:r w:rsidRPr="00385CDC">
        <w:rPr>
          <w:rFonts w:eastAsiaTheme="minorHAnsi"/>
        </w:rPr>
        <w:t>ild manifestations of OHSS that persisted, worsened, or included ascites</w:t>
      </w:r>
      <w:r>
        <w:rPr>
          <w:rFonts w:eastAsiaTheme="minorHAnsi"/>
        </w:rPr>
        <w:t xml:space="preserve">. </w:t>
      </w:r>
      <w:r w:rsidRPr="00385CDC">
        <w:rPr>
          <w:rFonts w:eastAsiaTheme="minorHAnsi"/>
        </w:rPr>
        <w:t xml:space="preserve">Severe - </w:t>
      </w:r>
      <w:r>
        <w:rPr>
          <w:rFonts w:eastAsiaTheme="minorHAnsi"/>
        </w:rPr>
        <w:t>s</w:t>
      </w:r>
      <w:r w:rsidRPr="00385CDC">
        <w:rPr>
          <w:rFonts w:eastAsiaTheme="minorHAnsi"/>
        </w:rPr>
        <w:t>erious manifestations of OHSS existed when pain is accompanied by one or more</w:t>
      </w:r>
      <w:r>
        <w:rPr>
          <w:rFonts w:eastAsiaTheme="minorHAnsi"/>
        </w:rPr>
        <w:t xml:space="preserve"> </w:t>
      </w:r>
      <w:r w:rsidRPr="00385CDC">
        <w:rPr>
          <w:rFonts w:eastAsiaTheme="minorHAnsi"/>
        </w:rPr>
        <w:t>of the following:</w:t>
      </w:r>
      <w:r>
        <w:rPr>
          <w:rFonts w:eastAsiaTheme="minorHAnsi"/>
        </w:rPr>
        <w:t xml:space="preserve"> </w:t>
      </w:r>
      <w:r w:rsidRPr="00385CDC">
        <w:rPr>
          <w:rFonts w:eastAsiaTheme="minorHAnsi"/>
        </w:rPr>
        <w:t>rapid weight gain</w:t>
      </w:r>
      <w:r>
        <w:rPr>
          <w:rFonts w:eastAsiaTheme="minorHAnsi"/>
        </w:rPr>
        <w:t xml:space="preserve">, </w:t>
      </w:r>
      <w:r w:rsidRPr="00385CDC">
        <w:rPr>
          <w:rFonts w:eastAsiaTheme="minorHAnsi"/>
        </w:rPr>
        <w:t>tense ascites</w:t>
      </w:r>
      <w:r>
        <w:rPr>
          <w:rFonts w:eastAsiaTheme="minorHAnsi"/>
        </w:rPr>
        <w:t xml:space="preserve">, </w:t>
      </w:r>
      <w:r w:rsidRPr="00385CDC">
        <w:rPr>
          <w:rFonts w:eastAsiaTheme="minorHAnsi"/>
        </w:rPr>
        <w:t>h</w:t>
      </w:r>
      <w:r>
        <w:rPr>
          <w:rFonts w:eastAsiaTheme="minorHAnsi"/>
        </w:rPr>
        <w:t>a</w:t>
      </w:r>
      <w:r w:rsidRPr="00385CDC">
        <w:rPr>
          <w:rFonts w:eastAsiaTheme="minorHAnsi"/>
        </w:rPr>
        <w:t>emodynamic instability (orthostatic hypotension, tachycardia)</w:t>
      </w:r>
      <w:r>
        <w:rPr>
          <w:rFonts w:eastAsiaTheme="minorHAnsi"/>
        </w:rPr>
        <w:t xml:space="preserve">; </w:t>
      </w:r>
      <w:r w:rsidRPr="00385CDC">
        <w:rPr>
          <w:rFonts w:eastAsiaTheme="minorHAnsi"/>
        </w:rPr>
        <w:t>respiratory difficulty (tachypn</w:t>
      </w:r>
      <w:r>
        <w:rPr>
          <w:rFonts w:eastAsiaTheme="minorHAnsi"/>
        </w:rPr>
        <w:t>o</w:t>
      </w:r>
      <w:r w:rsidRPr="00385CDC">
        <w:rPr>
          <w:rFonts w:eastAsiaTheme="minorHAnsi"/>
        </w:rPr>
        <w:t>ea)</w:t>
      </w:r>
      <w:r>
        <w:rPr>
          <w:rFonts w:eastAsiaTheme="minorHAnsi"/>
        </w:rPr>
        <w:t xml:space="preserve">; </w:t>
      </w:r>
      <w:r w:rsidRPr="00385CDC">
        <w:rPr>
          <w:rFonts w:eastAsiaTheme="minorHAnsi"/>
        </w:rPr>
        <w:t>progression of oliguria</w:t>
      </w:r>
      <w:r>
        <w:rPr>
          <w:rFonts w:eastAsiaTheme="minorHAnsi"/>
        </w:rPr>
        <w:t>,</w:t>
      </w:r>
      <w:r w:rsidRPr="00385CDC">
        <w:rPr>
          <w:rFonts w:eastAsiaTheme="minorHAnsi"/>
        </w:rPr>
        <w:t xml:space="preserve"> laboratory abnormalities.</w:t>
      </w:r>
    </w:p>
    <w:p w:rsidR="001C7FFB" w:rsidRDefault="001C7FFB" w:rsidP="00385CDC">
      <w:pPr>
        <w:pStyle w:val="tablenotes"/>
        <w:ind w:left="720"/>
        <w:rPr>
          <w:rFonts w:eastAsiaTheme="minorHAnsi"/>
        </w:rPr>
      </w:pPr>
      <w:r w:rsidRPr="001C7FFB">
        <w:rPr>
          <w:rFonts w:eastAsiaTheme="minorHAnsi"/>
          <w:vertAlign w:val="superscript"/>
        </w:rPr>
        <w:t>c</w:t>
      </w:r>
      <w:r>
        <w:rPr>
          <w:rFonts w:eastAsiaTheme="minorHAnsi"/>
        </w:rPr>
        <w:t xml:space="preserve"> </w:t>
      </w:r>
      <w:r>
        <w:rPr>
          <w:szCs w:val="22"/>
        </w:rPr>
        <w:t xml:space="preserve">AEs resulting in death, life-threatening, inpatient hospitalisation, </w:t>
      </w:r>
      <w:r w:rsidR="00E921E8" w:rsidRPr="00E921E8">
        <w:rPr>
          <w:szCs w:val="22"/>
        </w:rPr>
        <w:t>persistent or significant disability/incapacity or other medically important events</w:t>
      </w:r>
      <w:r w:rsidR="00E921E8">
        <w:rPr>
          <w:szCs w:val="22"/>
        </w:rPr>
        <w:t>.</w:t>
      </w:r>
    </w:p>
    <w:p w:rsidR="0014326C" w:rsidRPr="000272AC" w:rsidRDefault="0014326C" w:rsidP="0014326C">
      <w:pPr>
        <w:pStyle w:val="tablenotes"/>
        <w:ind w:left="720"/>
        <w:rPr>
          <w:rFonts w:eastAsiaTheme="minorHAnsi"/>
        </w:rPr>
      </w:pPr>
      <w:r w:rsidRPr="000272AC">
        <w:rPr>
          <w:rFonts w:eastAsiaTheme="minorHAnsi"/>
        </w:rPr>
        <w:lastRenderedPageBreak/>
        <w:t xml:space="preserve">Source: </w:t>
      </w:r>
      <w:r>
        <w:rPr>
          <w:rFonts w:eastAsiaTheme="minorHAnsi"/>
        </w:rPr>
        <w:t xml:space="preserve">Table </w:t>
      </w:r>
      <w:r w:rsidR="003B71D7">
        <w:rPr>
          <w:rFonts w:eastAsiaTheme="minorHAnsi"/>
        </w:rPr>
        <w:t xml:space="preserve">53, p117; </w:t>
      </w:r>
      <w:r w:rsidR="00BB2F43">
        <w:rPr>
          <w:rFonts w:eastAsiaTheme="minorHAnsi"/>
        </w:rPr>
        <w:t>Table 54</w:t>
      </w:r>
      <w:r w:rsidR="003B71D7">
        <w:rPr>
          <w:rFonts w:eastAsiaTheme="minorHAnsi"/>
        </w:rPr>
        <w:t>, p117; Table 56, p119; and Table 58, p123 o</w:t>
      </w:r>
      <w:r w:rsidR="00BB2F43">
        <w:rPr>
          <w:rFonts w:eastAsiaTheme="minorHAnsi"/>
        </w:rPr>
        <w:t>f the clinical study report</w:t>
      </w:r>
    </w:p>
    <w:p w:rsidR="0014326C" w:rsidRPr="0014326C" w:rsidRDefault="0014326C" w:rsidP="0014326C">
      <w:pPr>
        <w:pStyle w:val="ListParagraph"/>
        <w:rPr>
          <w:szCs w:val="22"/>
        </w:rPr>
      </w:pPr>
    </w:p>
    <w:p w:rsidR="00AA277D" w:rsidRPr="001D57AE" w:rsidRDefault="00757CC9" w:rsidP="00BE36AB">
      <w:pPr>
        <w:pStyle w:val="ListParagraph"/>
        <w:numPr>
          <w:ilvl w:val="1"/>
          <w:numId w:val="2"/>
        </w:numPr>
        <w:jc w:val="both"/>
        <w:rPr>
          <w:szCs w:val="22"/>
        </w:rPr>
      </w:pPr>
      <w:r w:rsidRPr="001D57AE">
        <w:rPr>
          <w:szCs w:val="22"/>
        </w:rPr>
        <w:t xml:space="preserve">The incidence of OHSS was </w:t>
      </w:r>
      <w:r w:rsidR="00497ED1" w:rsidRPr="001D57AE">
        <w:rPr>
          <w:szCs w:val="22"/>
        </w:rPr>
        <w:t xml:space="preserve">statistically significantly higher </w:t>
      </w:r>
      <w:r w:rsidRPr="001D57AE">
        <w:rPr>
          <w:szCs w:val="22"/>
        </w:rPr>
        <w:t xml:space="preserve">in patients receiving Bemfola compared to </w:t>
      </w:r>
      <w:r w:rsidR="003940F4" w:rsidRPr="001D57AE">
        <w:rPr>
          <w:szCs w:val="22"/>
        </w:rPr>
        <w:t xml:space="preserve">patients </w:t>
      </w:r>
      <w:r w:rsidRPr="001D57AE">
        <w:rPr>
          <w:szCs w:val="22"/>
        </w:rPr>
        <w:t xml:space="preserve">treated with Gonal-f </w:t>
      </w:r>
      <w:r w:rsidR="00BB2F43" w:rsidRPr="001D57AE">
        <w:rPr>
          <w:szCs w:val="22"/>
        </w:rPr>
        <w:t>(23.3% vs 13.3%; RD: 9.9% [2.3%, 17.5%])</w:t>
      </w:r>
      <w:r w:rsidR="001C7FFB" w:rsidRPr="001D57AE">
        <w:rPr>
          <w:szCs w:val="22"/>
        </w:rPr>
        <w:t xml:space="preserve">, with </w:t>
      </w:r>
      <w:r w:rsidR="00D818DE" w:rsidRPr="001D57AE">
        <w:rPr>
          <w:szCs w:val="22"/>
        </w:rPr>
        <w:t xml:space="preserve">the </w:t>
      </w:r>
      <w:r w:rsidR="001C7FFB" w:rsidRPr="001D57AE">
        <w:rPr>
          <w:szCs w:val="22"/>
        </w:rPr>
        <w:t>majority of the</w:t>
      </w:r>
      <w:r w:rsidR="00D440E6" w:rsidRPr="001D57AE">
        <w:rPr>
          <w:szCs w:val="22"/>
        </w:rPr>
        <w:t>se</w:t>
      </w:r>
      <w:r w:rsidR="001C7FFB" w:rsidRPr="001D57AE">
        <w:rPr>
          <w:szCs w:val="22"/>
        </w:rPr>
        <w:t xml:space="preserve"> OHSS cases reported as </w:t>
      </w:r>
      <w:r w:rsidR="009C4BDD" w:rsidRPr="001D57AE">
        <w:rPr>
          <w:szCs w:val="22"/>
        </w:rPr>
        <w:t>“</w:t>
      </w:r>
      <w:r w:rsidR="001C7FFB" w:rsidRPr="001D57AE">
        <w:rPr>
          <w:szCs w:val="22"/>
        </w:rPr>
        <w:t>threatened</w:t>
      </w:r>
      <w:r w:rsidR="009C4BDD" w:rsidRPr="001D57AE">
        <w:rPr>
          <w:szCs w:val="22"/>
        </w:rPr>
        <w:t>”</w:t>
      </w:r>
      <w:r w:rsidR="0081297B" w:rsidRPr="001D57AE">
        <w:rPr>
          <w:szCs w:val="22"/>
        </w:rPr>
        <w:t xml:space="preserve"> </w:t>
      </w:r>
      <w:r w:rsidR="00A276EA" w:rsidRPr="001D57AE">
        <w:rPr>
          <w:szCs w:val="22"/>
        </w:rPr>
        <w:t xml:space="preserve">OHSS </w:t>
      </w:r>
      <w:r w:rsidRPr="001D57AE">
        <w:rPr>
          <w:szCs w:val="22"/>
        </w:rPr>
        <w:t xml:space="preserve">(17.8% vs 11.9%). </w:t>
      </w:r>
      <w:r w:rsidR="00C61247" w:rsidRPr="001D57AE">
        <w:rPr>
          <w:szCs w:val="22"/>
        </w:rPr>
        <w:t xml:space="preserve">The definition of “threatened” OHSS was not provided in the clinical study report. </w:t>
      </w:r>
      <w:r w:rsidR="00D440E6" w:rsidRPr="001D57AE">
        <w:rPr>
          <w:szCs w:val="22"/>
        </w:rPr>
        <w:t>Serious</w:t>
      </w:r>
      <w:r w:rsidR="00814215" w:rsidRPr="001D57AE">
        <w:rPr>
          <w:szCs w:val="22"/>
        </w:rPr>
        <w:t xml:space="preserve"> OHSS</w:t>
      </w:r>
      <w:r w:rsidR="00814215" w:rsidRPr="001D57AE">
        <w:rPr>
          <w:rStyle w:val="FootnoteReference"/>
          <w:szCs w:val="22"/>
        </w:rPr>
        <w:footnoteReference w:id="3"/>
      </w:r>
      <w:r w:rsidR="00814215" w:rsidRPr="001D57AE">
        <w:rPr>
          <w:szCs w:val="22"/>
        </w:rPr>
        <w:t xml:space="preserve"> </w:t>
      </w:r>
      <w:r w:rsidR="00C61247" w:rsidRPr="001D57AE">
        <w:rPr>
          <w:szCs w:val="22"/>
        </w:rPr>
        <w:t>and s</w:t>
      </w:r>
      <w:r w:rsidR="00814215" w:rsidRPr="001D57AE">
        <w:rPr>
          <w:szCs w:val="22"/>
        </w:rPr>
        <w:t>ever</w:t>
      </w:r>
      <w:r w:rsidR="003940F4" w:rsidRPr="001D57AE">
        <w:rPr>
          <w:szCs w:val="22"/>
        </w:rPr>
        <w:t xml:space="preserve">e manifestations of OHSS, </w:t>
      </w:r>
      <w:r w:rsidR="00814215" w:rsidRPr="001D57AE">
        <w:rPr>
          <w:szCs w:val="22"/>
        </w:rPr>
        <w:t xml:space="preserve">classified </w:t>
      </w:r>
      <w:r w:rsidR="00FC45CF" w:rsidRPr="001D57AE">
        <w:rPr>
          <w:szCs w:val="22"/>
        </w:rPr>
        <w:t>based on the recommendations of the Practice Committee of the American Society for Reproductive Medicine</w:t>
      </w:r>
      <w:r w:rsidR="003940F4" w:rsidRPr="001D57AE">
        <w:rPr>
          <w:szCs w:val="22"/>
        </w:rPr>
        <w:t>,</w:t>
      </w:r>
      <w:r w:rsidR="00FC45CF" w:rsidRPr="001D57AE">
        <w:rPr>
          <w:szCs w:val="22"/>
        </w:rPr>
        <w:t xml:space="preserve"> </w:t>
      </w:r>
      <w:r w:rsidR="00D440E6" w:rsidRPr="001D57AE">
        <w:rPr>
          <w:szCs w:val="22"/>
        </w:rPr>
        <w:t>were relatively uncommon</w:t>
      </w:r>
      <w:r w:rsidR="00C61247" w:rsidRPr="001D57AE">
        <w:rPr>
          <w:szCs w:val="22"/>
        </w:rPr>
        <w:t xml:space="preserve"> in both </w:t>
      </w:r>
      <w:r w:rsidR="0027789E">
        <w:rPr>
          <w:szCs w:val="22"/>
        </w:rPr>
        <w:t>FIN3</w:t>
      </w:r>
      <w:bookmarkStart w:id="8" w:name="_GoBack"/>
      <w:bookmarkEnd w:id="8"/>
      <w:r w:rsidR="00D440E6" w:rsidRPr="001D57AE">
        <w:rPr>
          <w:szCs w:val="22"/>
        </w:rPr>
        <w:t xml:space="preserve">001 </w:t>
      </w:r>
      <w:r w:rsidR="00C61247" w:rsidRPr="001D57AE">
        <w:rPr>
          <w:szCs w:val="22"/>
        </w:rPr>
        <w:t>treatment arms</w:t>
      </w:r>
      <w:r w:rsidR="00AD2D19" w:rsidRPr="001D57AE">
        <w:rPr>
          <w:szCs w:val="22"/>
        </w:rPr>
        <w:t xml:space="preserve"> </w:t>
      </w:r>
      <w:r w:rsidR="00801288" w:rsidRPr="001D57AE">
        <w:rPr>
          <w:szCs w:val="22"/>
        </w:rPr>
        <w:t>(</w:t>
      </w:r>
      <w:r w:rsidR="00D440E6" w:rsidRPr="001D57AE">
        <w:rPr>
          <w:szCs w:val="22"/>
        </w:rPr>
        <w:t xml:space="preserve">Bemfola vs Gonal-f: </w:t>
      </w:r>
      <w:r w:rsidR="005F52F9">
        <w:rPr>
          <w:noProof/>
          <w:color w:val="000000"/>
          <w:szCs w:val="22"/>
          <w:highlight w:val="black"/>
        </w:rPr>
        <w:t>'''''''''</w:t>
      </w:r>
      <w:r w:rsidR="00801288" w:rsidRPr="001D57AE">
        <w:rPr>
          <w:szCs w:val="22"/>
        </w:rPr>
        <w:t xml:space="preserve">% vs </w:t>
      </w:r>
      <w:r w:rsidR="005F52F9">
        <w:rPr>
          <w:noProof/>
          <w:color w:val="000000"/>
          <w:szCs w:val="22"/>
          <w:highlight w:val="black"/>
        </w:rPr>
        <w:t>'''''''</w:t>
      </w:r>
      <w:r w:rsidR="00801288" w:rsidRPr="001D57AE">
        <w:rPr>
          <w:szCs w:val="22"/>
        </w:rPr>
        <w:t>% and 0.7% vs 0.7%, respectively)</w:t>
      </w:r>
      <w:r w:rsidR="00C61247" w:rsidRPr="001D57AE">
        <w:rPr>
          <w:szCs w:val="22"/>
        </w:rPr>
        <w:t>.</w:t>
      </w:r>
    </w:p>
    <w:p w:rsidR="00AA277D" w:rsidRPr="001D57AE" w:rsidRDefault="00AA277D" w:rsidP="00BE36AB">
      <w:pPr>
        <w:pStyle w:val="ListParagraph"/>
        <w:jc w:val="both"/>
        <w:rPr>
          <w:szCs w:val="22"/>
        </w:rPr>
      </w:pPr>
    </w:p>
    <w:p w:rsidR="00B62CC2" w:rsidRPr="001D57AE" w:rsidRDefault="00A1294C" w:rsidP="00BE36AB">
      <w:pPr>
        <w:pStyle w:val="ListParagraph"/>
        <w:numPr>
          <w:ilvl w:val="1"/>
          <w:numId w:val="2"/>
        </w:numPr>
        <w:jc w:val="both"/>
        <w:rPr>
          <w:szCs w:val="22"/>
        </w:rPr>
      </w:pPr>
      <w:r w:rsidRPr="001D57AE">
        <w:rPr>
          <w:szCs w:val="22"/>
        </w:rPr>
        <w:t xml:space="preserve">The higher incidence of overall AEs and OHSS in the Bemfola arm was noted by the TGA </w:t>
      </w:r>
      <w:r w:rsidR="00EB58B6" w:rsidRPr="001D57AE">
        <w:rPr>
          <w:szCs w:val="22"/>
        </w:rPr>
        <w:t>D</w:t>
      </w:r>
      <w:r w:rsidR="00AA277D" w:rsidRPr="001D57AE">
        <w:rPr>
          <w:szCs w:val="22"/>
        </w:rPr>
        <w:t>elegate</w:t>
      </w:r>
      <w:r w:rsidRPr="001D57AE">
        <w:rPr>
          <w:szCs w:val="22"/>
        </w:rPr>
        <w:t xml:space="preserve">. The </w:t>
      </w:r>
      <w:r w:rsidR="00EB58B6" w:rsidRPr="001D57AE">
        <w:rPr>
          <w:szCs w:val="22"/>
        </w:rPr>
        <w:t>D</w:t>
      </w:r>
      <w:r w:rsidRPr="001D57AE">
        <w:rPr>
          <w:szCs w:val="22"/>
        </w:rPr>
        <w:t xml:space="preserve">elegate stated that these results </w:t>
      </w:r>
      <w:r w:rsidR="00E921E8" w:rsidRPr="001D57AE">
        <w:rPr>
          <w:szCs w:val="22"/>
        </w:rPr>
        <w:t>could</w:t>
      </w:r>
      <w:r w:rsidRPr="001D57AE">
        <w:rPr>
          <w:szCs w:val="22"/>
        </w:rPr>
        <w:t xml:space="preserve"> be due to potential biases</w:t>
      </w:r>
      <w:r w:rsidR="00676246" w:rsidRPr="001D57AE">
        <w:rPr>
          <w:szCs w:val="22"/>
        </w:rPr>
        <w:t xml:space="preserve">, differences in </w:t>
      </w:r>
      <w:r w:rsidR="009D2672" w:rsidRPr="001D57AE">
        <w:rPr>
          <w:szCs w:val="22"/>
        </w:rPr>
        <w:t>poten</w:t>
      </w:r>
      <w:r w:rsidR="00C34E7F" w:rsidRPr="001D57AE">
        <w:rPr>
          <w:szCs w:val="22"/>
        </w:rPr>
        <w:t xml:space="preserve">cy </w:t>
      </w:r>
      <w:r w:rsidR="00676246" w:rsidRPr="001D57AE">
        <w:rPr>
          <w:szCs w:val="22"/>
        </w:rPr>
        <w:t>and/or device</w:t>
      </w:r>
      <w:r w:rsidR="009D2672" w:rsidRPr="001D57AE">
        <w:rPr>
          <w:szCs w:val="22"/>
        </w:rPr>
        <w:t xml:space="preserve"> between Bemfola and Gonal-f</w:t>
      </w:r>
      <w:r w:rsidR="00676246" w:rsidRPr="001D57AE">
        <w:rPr>
          <w:szCs w:val="22"/>
        </w:rPr>
        <w:t>,</w:t>
      </w:r>
      <w:r w:rsidR="00BE36AB" w:rsidRPr="001D57AE">
        <w:rPr>
          <w:szCs w:val="22"/>
        </w:rPr>
        <w:t xml:space="preserve"> </w:t>
      </w:r>
      <w:r w:rsidR="00676246" w:rsidRPr="001D57AE">
        <w:rPr>
          <w:szCs w:val="22"/>
        </w:rPr>
        <w:t>etc</w:t>
      </w:r>
      <w:r w:rsidRPr="001D57AE">
        <w:rPr>
          <w:szCs w:val="22"/>
        </w:rPr>
        <w:t xml:space="preserve">. </w:t>
      </w:r>
      <w:r w:rsidR="00EB58B6" w:rsidRPr="001D57AE">
        <w:rPr>
          <w:szCs w:val="22"/>
        </w:rPr>
        <w:t>It was also noted that in clinical practice</w:t>
      </w:r>
      <w:r w:rsidR="00E80A2C">
        <w:rPr>
          <w:szCs w:val="22"/>
        </w:rPr>
        <w:t>,</w:t>
      </w:r>
      <w:r w:rsidR="00EB58B6" w:rsidRPr="001D57AE">
        <w:rPr>
          <w:szCs w:val="22"/>
        </w:rPr>
        <w:t xml:space="preserve"> women </w:t>
      </w:r>
      <w:r w:rsidR="00BE36AB" w:rsidRPr="001D57AE">
        <w:rPr>
          <w:szCs w:val="22"/>
        </w:rPr>
        <w:t xml:space="preserve">receiving follitropin alfa </w:t>
      </w:r>
      <w:r w:rsidR="00EB58B6" w:rsidRPr="001D57AE">
        <w:rPr>
          <w:szCs w:val="22"/>
        </w:rPr>
        <w:t xml:space="preserve">are closely monitored for OHSS and </w:t>
      </w:r>
      <w:r w:rsidR="00F64AB8" w:rsidRPr="001D57AE">
        <w:rPr>
          <w:szCs w:val="22"/>
        </w:rPr>
        <w:t xml:space="preserve">that </w:t>
      </w:r>
      <w:r w:rsidR="00EB58B6" w:rsidRPr="001D57AE">
        <w:rPr>
          <w:szCs w:val="22"/>
        </w:rPr>
        <w:t xml:space="preserve">strategies to prevent adverse outcomes are available. </w:t>
      </w:r>
      <w:r w:rsidR="00AA277D" w:rsidRPr="001D57AE">
        <w:rPr>
          <w:szCs w:val="22"/>
        </w:rPr>
        <w:t>The Delegate requested advice in relation to this issue</w:t>
      </w:r>
      <w:r w:rsidR="00EB58B6" w:rsidRPr="001D57AE">
        <w:rPr>
          <w:szCs w:val="22"/>
        </w:rPr>
        <w:t>. T</w:t>
      </w:r>
      <w:r w:rsidR="00AA277D" w:rsidRPr="001D57AE">
        <w:rPr>
          <w:szCs w:val="22"/>
        </w:rPr>
        <w:t xml:space="preserve">he ACPM advised that </w:t>
      </w:r>
      <w:r w:rsidR="00BE36AB" w:rsidRPr="001D57AE">
        <w:rPr>
          <w:szCs w:val="22"/>
        </w:rPr>
        <w:t xml:space="preserve">the rate of OHSS </w:t>
      </w:r>
      <w:r w:rsidR="00C0427A" w:rsidRPr="001D57AE">
        <w:rPr>
          <w:szCs w:val="22"/>
        </w:rPr>
        <w:t xml:space="preserve">reported </w:t>
      </w:r>
      <w:r w:rsidR="00BE36AB" w:rsidRPr="001D57AE">
        <w:rPr>
          <w:szCs w:val="22"/>
        </w:rPr>
        <w:t>in FIN3001 was high</w:t>
      </w:r>
      <w:r w:rsidR="00D440E6" w:rsidRPr="001D57AE">
        <w:rPr>
          <w:szCs w:val="22"/>
        </w:rPr>
        <w:t>er</w:t>
      </w:r>
      <w:r w:rsidR="00BE36AB" w:rsidRPr="001D57AE">
        <w:rPr>
          <w:szCs w:val="22"/>
        </w:rPr>
        <w:t xml:space="preserve"> than </w:t>
      </w:r>
      <w:r w:rsidR="00C0427A" w:rsidRPr="001D57AE">
        <w:rPr>
          <w:szCs w:val="22"/>
        </w:rPr>
        <w:t xml:space="preserve">that in </w:t>
      </w:r>
      <w:r w:rsidR="00BE36AB" w:rsidRPr="001D57AE">
        <w:rPr>
          <w:szCs w:val="22"/>
        </w:rPr>
        <w:t>clinical practice, where around 4-6% of women undergoing IVF develop OHSS</w:t>
      </w:r>
      <w:r w:rsidR="00D440E6" w:rsidRPr="001D57AE">
        <w:rPr>
          <w:szCs w:val="22"/>
        </w:rPr>
        <w:t>,</w:t>
      </w:r>
      <w:r w:rsidR="00BE36AB" w:rsidRPr="001D57AE">
        <w:rPr>
          <w:szCs w:val="22"/>
        </w:rPr>
        <w:t xml:space="preserve"> and that </w:t>
      </w:r>
      <w:r w:rsidR="00AA277D" w:rsidRPr="001D57AE">
        <w:rPr>
          <w:szCs w:val="22"/>
        </w:rPr>
        <w:t xml:space="preserve">OHSS is clinically manageable </w:t>
      </w:r>
      <w:r w:rsidR="00D440E6" w:rsidRPr="001D57AE">
        <w:rPr>
          <w:szCs w:val="22"/>
        </w:rPr>
        <w:t xml:space="preserve">in </w:t>
      </w:r>
      <w:r w:rsidR="00252E97">
        <w:rPr>
          <w:szCs w:val="22"/>
        </w:rPr>
        <w:t>Australian practice.</w:t>
      </w:r>
    </w:p>
    <w:p w:rsidR="00586948" w:rsidRPr="001D57AE" w:rsidRDefault="00586948" w:rsidP="00586948">
      <w:pPr>
        <w:pStyle w:val="ListParagraph"/>
        <w:rPr>
          <w:szCs w:val="22"/>
        </w:rPr>
      </w:pPr>
    </w:p>
    <w:p w:rsidR="0030539B" w:rsidRPr="001D57AE" w:rsidRDefault="00CB0443" w:rsidP="00147E28">
      <w:pPr>
        <w:pStyle w:val="ListParagraph"/>
        <w:numPr>
          <w:ilvl w:val="1"/>
          <w:numId w:val="2"/>
        </w:numPr>
        <w:jc w:val="both"/>
        <w:rPr>
          <w:szCs w:val="22"/>
        </w:rPr>
      </w:pPr>
      <w:r w:rsidRPr="001D57AE">
        <w:rPr>
          <w:szCs w:val="22"/>
        </w:rPr>
        <w:t xml:space="preserve">Data on immunogenicity were extracted from the FIN3001 clinical study report as they were not reported in the minor submission. </w:t>
      </w:r>
      <w:r w:rsidR="003940F4" w:rsidRPr="001D57AE">
        <w:rPr>
          <w:szCs w:val="22"/>
        </w:rPr>
        <w:t xml:space="preserve">The mean immunogenicity (relRU) was similar in </w:t>
      </w:r>
      <w:r w:rsidR="00D440E6" w:rsidRPr="001D57AE">
        <w:rPr>
          <w:szCs w:val="22"/>
        </w:rPr>
        <w:t xml:space="preserve">the </w:t>
      </w:r>
      <w:r w:rsidRPr="001D57AE">
        <w:rPr>
          <w:szCs w:val="22"/>
        </w:rPr>
        <w:t xml:space="preserve">two treatment arms </w:t>
      </w:r>
      <w:r w:rsidR="003940F4" w:rsidRPr="001D57AE">
        <w:rPr>
          <w:szCs w:val="22"/>
        </w:rPr>
        <w:t>at baseline (</w:t>
      </w:r>
      <w:r w:rsidR="005F52F9">
        <w:rPr>
          <w:noProof/>
          <w:color w:val="000000"/>
          <w:szCs w:val="22"/>
          <w:highlight w:val="black"/>
        </w:rPr>
        <w:t>''''''''''''''</w:t>
      </w:r>
      <w:r w:rsidR="003940F4" w:rsidRPr="001D57AE">
        <w:rPr>
          <w:szCs w:val="22"/>
        </w:rPr>
        <w:t xml:space="preserve"> (</w:t>
      </w:r>
      <w:r w:rsidR="00D818DE" w:rsidRPr="001D57AE">
        <w:rPr>
          <w:szCs w:val="22"/>
        </w:rPr>
        <w:t xml:space="preserve">standard deviation (SD): </w:t>
      </w:r>
      <w:r w:rsidR="005F52F9">
        <w:rPr>
          <w:noProof/>
          <w:color w:val="000000"/>
          <w:szCs w:val="22"/>
          <w:highlight w:val="black"/>
        </w:rPr>
        <w:t>'''''''''''''</w:t>
      </w:r>
      <w:r w:rsidR="003940F4" w:rsidRPr="001D57AE">
        <w:rPr>
          <w:szCs w:val="22"/>
        </w:rPr>
        <w:t xml:space="preserve">) relRU </w:t>
      </w:r>
      <w:r w:rsidRPr="001D57AE">
        <w:rPr>
          <w:szCs w:val="22"/>
        </w:rPr>
        <w:t>vs</w:t>
      </w:r>
      <w:r w:rsidR="003940F4" w:rsidRPr="001D57AE">
        <w:rPr>
          <w:szCs w:val="22"/>
        </w:rPr>
        <w:t xml:space="preserve"> </w:t>
      </w:r>
      <w:r w:rsidR="005F52F9">
        <w:rPr>
          <w:noProof/>
          <w:color w:val="000000"/>
          <w:szCs w:val="22"/>
          <w:highlight w:val="black"/>
        </w:rPr>
        <w:t>'''''''''''''</w:t>
      </w:r>
      <w:r w:rsidR="003940F4" w:rsidRPr="001D57AE">
        <w:rPr>
          <w:szCs w:val="22"/>
        </w:rPr>
        <w:t xml:space="preserve"> (</w:t>
      </w:r>
      <w:r w:rsidR="00D818DE" w:rsidRPr="001D57AE">
        <w:rPr>
          <w:szCs w:val="22"/>
        </w:rPr>
        <w:t xml:space="preserve">SD: </w:t>
      </w:r>
      <w:r w:rsidR="005F52F9">
        <w:rPr>
          <w:noProof/>
          <w:color w:val="000000"/>
          <w:szCs w:val="22"/>
          <w:highlight w:val="black"/>
        </w:rPr>
        <w:t>''''''''''''</w:t>
      </w:r>
      <w:r w:rsidR="003940F4" w:rsidRPr="001D57AE">
        <w:rPr>
          <w:szCs w:val="22"/>
        </w:rPr>
        <w:t>) relRU</w:t>
      </w:r>
      <w:r w:rsidRPr="001D57AE">
        <w:rPr>
          <w:szCs w:val="22"/>
        </w:rPr>
        <w:t>)</w:t>
      </w:r>
      <w:r w:rsidR="003940F4" w:rsidRPr="001D57AE">
        <w:rPr>
          <w:szCs w:val="22"/>
        </w:rPr>
        <w:t>)</w:t>
      </w:r>
      <w:r w:rsidR="00354BA1" w:rsidRPr="001D57AE">
        <w:rPr>
          <w:szCs w:val="22"/>
        </w:rPr>
        <w:t xml:space="preserve">. No remarkable </w:t>
      </w:r>
      <w:r w:rsidRPr="001D57AE">
        <w:rPr>
          <w:szCs w:val="22"/>
        </w:rPr>
        <w:t xml:space="preserve">changes were </w:t>
      </w:r>
      <w:r w:rsidR="003940F4" w:rsidRPr="001D57AE">
        <w:rPr>
          <w:szCs w:val="22"/>
        </w:rPr>
        <w:t>observed over time.</w:t>
      </w:r>
      <w:r w:rsidR="00354BA1" w:rsidRPr="001D57AE">
        <w:rPr>
          <w:szCs w:val="22"/>
        </w:rPr>
        <w:t xml:space="preserve"> </w:t>
      </w:r>
      <w:r w:rsidRPr="001D57AE">
        <w:rPr>
          <w:szCs w:val="22"/>
        </w:rPr>
        <w:t xml:space="preserve">Analysis of antibodies specific for Bemfola or Gonal-f indicated </w:t>
      </w:r>
      <w:r w:rsidR="00D440E6" w:rsidRPr="001D57AE">
        <w:rPr>
          <w:szCs w:val="22"/>
        </w:rPr>
        <w:t xml:space="preserve">there was </w:t>
      </w:r>
      <w:r w:rsidRPr="001D57AE">
        <w:rPr>
          <w:szCs w:val="22"/>
        </w:rPr>
        <w:t>no evidence of immunogenicity (ie antibody reactivity to Bemfola or Gon</w:t>
      </w:r>
      <w:r w:rsidR="00252E97">
        <w:rPr>
          <w:szCs w:val="22"/>
        </w:rPr>
        <w:t>al-f) in either treatment group.</w:t>
      </w:r>
    </w:p>
    <w:p w:rsidR="000272AC" w:rsidRDefault="000272AC" w:rsidP="00B6773F">
      <w:pPr>
        <w:jc w:val="both"/>
        <w:rPr>
          <w:szCs w:val="22"/>
        </w:rPr>
      </w:pPr>
    </w:p>
    <w:p w:rsidR="005A3173" w:rsidRPr="00882085" w:rsidRDefault="005A3173" w:rsidP="00A62E6C">
      <w:pPr>
        <w:pStyle w:val="Heading2"/>
        <w:rPr>
          <w:b w:val="0"/>
          <w:i w:val="0"/>
        </w:rPr>
      </w:pPr>
      <w:r w:rsidRPr="00882085">
        <w:t>Clinical claim</w:t>
      </w:r>
    </w:p>
    <w:p w:rsidR="005A3173" w:rsidRPr="00882085" w:rsidRDefault="005A3173" w:rsidP="004C1595">
      <w:pPr>
        <w:keepNext/>
        <w:ind w:left="720" w:hanging="720"/>
        <w:jc w:val="both"/>
        <w:rPr>
          <w:szCs w:val="22"/>
        </w:rPr>
      </w:pPr>
    </w:p>
    <w:p w:rsidR="00B70C6E" w:rsidRPr="001D57AE" w:rsidRDefault="009B0F67" w:rsidP="0067138E">
      <w:pPr>
        <w:pStyle w:val="ListParagraph"/>
        <w:numPr>
          <w:ilvl w:val="1"/>
          <w:numId w:val="2"/>
        </w:numPr>
        <w:jc w:val="both"/>
        <w:rPr>
          <w:szCs w:val="22"/>
        </w:rPr>
      </w:pPr>
      <w:r w:rsidRPr="001D57AE">
        <w:rPr>
          <w:szCs w:val="22"/>
        </w:rPr>
        <w:t xml:space="preserve">The </w:t>
      </w:r>
      <w:r w:rsidR="001A5CF2" w:rsidRPr="001D57AE">
        <w:rPr>
          <w:szCs w:val="22"/>
        </w:rPr>
        <w:t xml:space="preserve">minor </w:t>
      </w:r>
      <w:r w:rsidRPr="001D57AE">
        <w:rPr>
          <w:szCs w:val="22"/>
        </w:rPr>
        <w:t>submission claim</w:t>
      </w:r>
      <w:r w:rsidR="0067138E" w:rsidRPr="001D57AE">
        <w:rPr>
          <w:szCs w:val="22"/>
        </w:rPr>
        <w:t>ed</w:t>
      </w:r>
      <w:r w:rsidR="00BB7EC3" w:rsidRPr="001D57AE">
        <w:rPr>
          <w:szCs w:val="22"/>
        </w:rPr>
        <w:t xml:space="preserve"> </w:t>
      </w:r>
      <w:r w:rsidR="00D70FCA" w:rsidRPr="001D57AE">
        <w:rPr>
          <w:szCs w:val="22"/>
        </w:rPr>
        <w:t>that Bemfola is bioequivalent to Gonal-f and has comparative effectiveness and safety in females undergoing superov</w:t>
      </w:r>
      <w:r w:rsidR="00252E97">
        <w:rPr>
          <w:szCs w:val="22"/>
        </w:rPr>
        <w:t>ulation for the purpose of ART.</w:t>
      </w:r>
    </w:p>
    <w:p w:rsidR="00D70FCA" w:rsidRPr="001D57AE" w:rsidRDefault="00D70FCA" w:rsidP="00D70FCA">
      <w:pPr>
        <w:pStyle w:val="ListParagraph"/>
        <w:jc w:val="both"/>
        <w:rPr>
          <w:szCs w:val="22"/>
        </w:rPr>
      </w:pPr>
    </w:p>
    <w:p w:rsidR="00D70FCA" w:rsidRPr="001D57AE" w:rsidRDefault="00D70FCA" w:rsidP="008E598B">
      <w:pPr>
        <w:pStyle w:val="ListParagraph"/>
        <w:numPr>
          <w:ilvl w:val="1"/>
          <w:numId w:val="2"/>
        </w:numPr>
        <w:jc w:val="both"/>
        <w:rPr>
          <w:szCs w:val="22"/>
        </w:rPr>
      </w:pPr>
      <w:r w:rsidRPr="001D57AE">
        <w:rPr>
          <w:szCs w:val="22"/>
        </w:rPr>
        <w:t>The bioequivalence claim is supported by</w:t>
      </w:r>
      <w:r w:rsidR="00A02718" w:rsidRPr="001D57AE">
        <w:rPr>
          <w:szCs w:val="22"/>
        </w:rPr>
        <w:t xml:space="preserve"> </w:t>
      </w:r>
      <w:r w:rsidR="00B31244" w:rsidRPr="001D57AE">
        <w:rPr>
          <w:szCs w:val="22"/>
        </w:rPr>
        <w:t xml:space="preserve">the </w:t>
      </w:r>
      <w:r w:rsidR="002031D1" w:rsidRPr="001D57AE">
        <w:rPr>
          <w:szCs w:val="22"/>
        </w:rPr>
        <w:t xml:space="preserve">pharmacokinetic data </w:t>
      </w:r>
      <w:r w:rsidR="00A02718" w:rsidRPr="001D57AE">
        <w:rPr>
          <w:szCs w:val="22"/>
        </w:rPr>
        <w:t xml:space="preserve">from FIN1001 which </w:t>
      </w:r>
      <w:r w:rsidR="002031D1" w:rsidRPr="001D57AE">
        <w:rPr>
          <w:szCs w:val="22"/>
        </w:rPr>
        <w:t>showed</w:t>
      </w:r>
      <w:r w:rsidR="00A02718" w:rsidRPr="001D57AE">
        <w:rPr>
          <w:szCs w:val="22"/>
        </w:rPr>
        <w:t xml:space="preserve"> </w:t>
      </w:r>
      <w:r w:rsidR="0011087D" w:rsidRPr="001D57AE">
        <w:rPr>
          <w:szCs w:val="22"/>
        </w:rPr>
        <w:t xml:space="preserve">that 90% CIs </w:t>
      </w:r>
      <w:r w:rsidR="00B31244" w:rsidRPr="001D57AE">
        <w:rPr>
          <w:szCs w:val="22"/>
        </w:rPr>
        <w:t xml:space="preserve">of the ratios of </w:t>
      </w:r>
      <w:r w:rsidR="0011087D" w:rsidRPr="001D57AE">
        <w:rPr>
          <w:szCs w:val="22"/>
        </w:rPr>
        <w:t>AUC</w:t>
      </w:r>
      <w:r w:rsidR="0011087D" w:rsidRPr="001D57AE">
        <w:rPr>
          <w:szCs w:val="22"/>
          <w:vertAlign w:val="subscript"/>
        </w:rPr>
        <w:t xml:space="preserve">0-192 </w:t>
      </w:r>
      <w:r w:rsidR="0011087D" w:rsidRPr="001D57AE">
        <w:rPr>
          <w:szCs w:val="22"/>
        </w:rPr>
        <w:t>and C</w:t>
      </w:r>
      <w:r w:rsidR="0011087D" w:rsidRPr="001D57AE">
        <w:rPr>
          <w:szCs w:val="22"/>
          <w:vertAlign w:val="subscript"/>
        </w:rPr>
        <w:t>max</w:t>
      </w:r>
      <w:r w:rsidR="0011087D" w:rsidRPr="001D57AE">
        <w:rPr>
          <w:szCs w:val="22"/>
        </w:rPr>
        <w:t xml:space="preserve"> for Bemfola </w:t>
      </w:r>
      <w:r w:rsidR="0004640E" w:rsidRPr="001D57AE">
        <w:rPr>
          <w:szCs w:val="22"/>
        </w:rPr>
        <w:t xml:space="preserve">versus </w:t>
      </w:r>
      <w:r w:rsidR="0011087D" w:rsidRPr="001D57AE">
        <w:rPr>
          <w:szCs w:val="22"/>
        </w:rPr>
        <w:t>Gonal-f were within the required bioequivalence range of 80%-125%</w:t>
      </w:r>
      <w:r w:rsidR="00B95677" w:rsidRPr="001D57AE">
        <w:rPr>
          <w:szCs w:val="22"/>
        </w:rPr>
        <w:t>.</w:t>
      </w:r>
    </w:p>
    <w:p w:rsidR="002031D1" w:rsidRPr="001D57AE" w:rsidRDefault="002031D1" w:rsidP="002031D1">
      <w:pPr>
        <w:pStyle w:val="ListParagraph"/>
        <w:rPr>
          <w:szCs w:val="22"/>
        </w:rPr>
      </w:pPr>
    </w:p>
    <w:p w:rsidR="00E74B95" w:rsidRPr="00E74B95" w:rsidRDefault="00E74B95" w:rsidP="00E74B95">
      <w:pPr>
        <w:pStyle w:val="ListParagraph"/>
        <w:numPr>
          <w:ilvl w:val="1"/>
          <w:numId w:val="2"/>
        </w:numPr>
        <w:rPr>
          <w:szCs w:val="22"/>
        </w:rPr>
      </w:pPr>
      <w:r w:rsidRPr="00E74B95">
        <w:rPr>
          <w:rFonts w:cs="Arial"/>
          <w:bCs/>
          <w:szCs w:val="22"/>
        </w:rPr>
        <w:t>The PBAC noted that the TGA has declared Bemfola a biosimilar to Gonal-f. Therefore, th</w:t>
      </w:r>
      <w:r w:rsidR="00E80A2C">
        <w:rPr>
          <w:rFonts w:cs="Arial"/>
          <w:bCs/>
          <w:szCs w:val="22"/>
        </w:rPr>
        <w:t>e</w:t>
      </w:r>
      <w:r w:rsidRPr="00E74B95">
        <w:rPr>
          <w:rFonts w:cs="Arial"/>
          <w:bCs/>
          <w:szCs w:val="22"/>
        </w:rPr>
        <w:t xml:space="preserve"> claim </w:t>
      </w:r>
      <w:r w:rsidR="00E80A2C">
        <w:rPr>
          <w:rFonts w:cs="Arial"/>
          <w:bCs/>
          <w:szCs w:val="22"/>
        </w:rPr>
        <w:t>of bioequivalence wa</w:t>
      </w:r>
      <w:r w:rsidRPr="00E74B95">
        <w:rPr>
          <w:rFonts w:cs="Arial"/>
          <w:bCs/>
          <w:szCs w:val="22"/>
        </w:rPr>
        <w:t>s appropriate.</w:t>
      </w:r>
    </w:p>
    <w:p w:rsidR="001D57AE" w:rsidRPr="00E74B95" w:rsidRDefault="00E74B95" w:rsidP="00E74B95">
      <w:pPr>
        <w:rPr>
          <w:szCs w:val="22"/>
        </w:rPr>
      </w:pPr>
      <w:r w:rsidRPr="00E74B95">
        <w:rPr>
          <w:szCs w:val="22"/>
        </w:rPr>
        <w:t xml:space="preserve"> </w:t>
      </w:r>
    </w:p>
    <w:p w:rsidR="005A3173" w:rsidRPr="00882085" w:rsidRDefault="005A3173" w:rsidP="00A62E6C">
      <w:pPr>
        <w:pStyle w:val="Heading2"/>
        <w:rPr>
          <w:b w:val="0"/>
          <w:i w:val="0"/>
        </w:rPr>
      </w:pPr>
      <w:r w:rsidRPr="00882085">
        <w:t>Economic analysis</w:t>
      </w:r>
    </w:p>
    <w:p w:rsidR="005A3173" w:rsidRPr="00882085" w:rsidRDefault="005A3173" w:rsidP="00D84934">
      <w:pPr>
        <w:pStyle w:val="NoSpacing"/>
      </w:pPr>
    </w:p>
    <w:p w:rsidR="009B0F67" w:rsidRPr="001D57AE" w:rsidRDefault="00DA03E7" w:rsidP="001D57AE">
      <w:pPr>
        <w:pStyle w:val="ListParagraph"/>
        <w:numPr>
          <w:ilvl w:val="1"/>
          <w:numId w:val="2"/>
        </w:numPr>
        <w:jc w:val="both"/>
        <w:rPr>
          <w:szCs w:val="22"/>
        </w:rPr>
      </w:pPr>
      <w:r w:rsidRPr="001D57AE">
        <w:rPr>
          <w:szCs w:val="22"/>
        </w:rPr>
        <w:t>The m</w:t>
      </w:r>
      <w:r w:rsidR="009B0F67" w:rsidRPr="001D57AE">
        <w:rPr>
          <w:szCs w:val="22"/>
        </w:rPr>
        <w:t>inor submission</w:t>
      </w:r>
      <w:r w:rsidRPr="001D57AE">
        <w:rPr>
          <w:szCs w:val="22"/>
        </w:rPr>
        <w:t xml:space="preserve"> did not present a formal economic analysis. However, a cost</w:t>
      </w:r>
      <w:r w:rsidR="00E80A2C">
        <w:rPr>
          <w:szCs w:val="22"/>
        </w:rPr>
        <w:noBreakHyphen/>
      </w:r>
      <w:r w:rsidRPr="001D57AE">
        <w:rPr>
          <w:szCs w:val="22"/>
        </w:rPr>
        <w:t xml:space="preserve">minimisation approach was </w:t>
      </w:r>
      <w:r w:rsidR="00B31244" w:rsidRPr="001D57AE">
        <w:rPr>
          <w:szCs w:val="22"/>
        </w:rPr>
        <w:t>implied</w:t>
      </w:r>
      <w:r w:rsidRPr="001D57AE">
        <w:rPr>
          <w:szCs w:val="22"/>
        </w:rPr>
        <w:t xml:space="preserve"> as Bemfola was priced on an IU to IU basis with Gonal-f</w:t>
      </w:r>
      <w:r w:rsidR="00824613" w:rsidRPr="001D57AE">
        <w:rPr>
          <w:szCs w:val="22"/>
        </w:rPr>
        <w:t>. T</w:t>
      </w:r>
      <w:r w:rsidRPr="001D57AE">
        <w:rPr>
          <w:szCs w:val="22"/>
        </w:rPr>
        <w:t>he statutory 16% price reduction</w:t>
      </w:r>
      <w:r w:rsidR="00824613" w:rsidRPr="001D57AE">
        <w:rPr>
          <w:szCs w:val="22"/>
        </w:rPr>
        <w:t xml:space="preserve"> for Gonal-f has been taken into </w:t>
      </w:r>
      <w:r w:rsidR="00824613" w:rsidRPr="001D57AE">
        <w:rPr>
          <w:szCs w:val="22"/>
        </w:rPr>
        <w:lastRenderedPageBreak/>
        <w:t>account in calculating the ex-manufacturer price for Bemfola assuming Bemfola will be listed on the PBS as the first bioequivalent or biosimilar to Gonal-f</w:t>
      </w:r>
      <w:r w:rsidRPr="001D57AE">
        <w:rPr>
          <w:szCs w:val="22"/>
        </w:rPr>
        <w:t>.</w:t>
      </w:r>
    </w:p>
    <w:p w:rsidR="009B0F67" w:rsidRPr="001D57AE" w:rsidRDefault="009B0F67" w:rsidP="000B4522">
      <w:pPr>
        <w:pStyle w:val="ListParagraph"/>
        <w:jc w:val="both"/>
        <w:rPr>
          <w:szCs w:val="22"/>
        </w:rPr>
      </w:pPr>
    </w:p>
    <w:p w:rsidR="009B0F67" w:rsidRPr="006C28A0" w:rsidRDefault="00824613" w:rsidP="001D57AE">
      <w:pPr>
        <w:pStyle w:val="ListParagraph"/>
        <w:numPr>
          <w:ilvl w:val="1"/>
          <w:numId w:val="2"/>
        </w:numPr>
        <w:jc w:val="both"/>
        <w:rPr>
          <w:szCs w:val="22"/>
        </w:rPr>
      </w:pPr>
      <w:r w:rsidRPr="001D57AE">
        <w:rPr>
          <w:szCs w:val="22"/>
        </w:rPr>
        <w:t xml:space="preserve">Drug wastage </w:t>
      </w:r>
      <w:r w:rsidR="00D440E6" w:rsidRPr="001D57AE">
        <w:rPr>
          <w:szCs w:val="22"/>
        </w:rPr>
        <w:t xml:space="preserve">was </w:t>
      </w:r>
      <w:r w:rsidRPr="001D57AE">
        <w:rPr>
          <w:szCs w:val="22"/>
        </w:rPr>
        <w:t xml:space="preserve">not considered </w:t>
      </w:r>
      <w:r w:rsidR="00D440E6" w:rsidRPr="001D57AE">
        <w:rPr>
          <w:szCs w:val="22"/>
        </w:rPr>
        <w:t xml:space="preserve">when </w:t>
      </w:r>
      <w:r w:rsidRPr="001D57AE">
        <w:rPr>
          <w:szCs w:val="22"/>
        </w:rPr>
        <w:t>determin</w:t>
      </w:r>
      <w:r w:rsidR="00D440E6" w:rsidRPr="001D57AE">
        <w:rPr>
          <w:szCs w:val="22"/>
        </w:rPr>
        <w:t>ing</w:t>
      </w:r>
      <w:r w:rsidRPr="001D57AE">
        <w:rPr>
          <w:szCs w:val="22"/>
        </w:rPr>
        <w:t xml:space="preserve"> the price for Bemfola. </w:t>
      </w:r>
      <w:r w:rsidR="004756AB" w:rsidRPr="001D57AE">
        <w:rPr>
          <w:szCs w:val="22"/>
        </w:rPr>
        <w:t xml:space="preserve">Bemfola </w:t>
      </w:r>
      <w:r w:rsidR="00CC17C1" w:rsidRPr="001D57AE">
        <w:rPr>
          <w:szCs w:val="22"/>
        </w:rPr>
        <w:t>has</w:t>
      </w:r>
      <w:r w:rsidR="004756AB" w:rsidRPr="001D57AE">
        <w:rPr>
          <w:szCs w:val="22"/>
        </w:rPr>
        <w:t xml:space="preserve"> a formulation</w:t>
      </w:r>
      <w:r w:rsidR="00CC17C1" w:rsidRPr="001D57AE">
        <w:rPr>
          <w:szCs w:val="22"/>
        </w:rPr>
        <w:t xml:space="preserve"> intended for single use</w:t>
      </w:r>
      <w:r w:rsidR="004756AB" w:rsidRPr="001D57AE">
        <w:rPr>
          <w:szCs w:val="22"/>
        </w:rPr>
        <w:t xml:space="preserve">; whereas Gonal-f </w:t>
      </w:r>
      <w:r w:rsidR="00405698" w:rsidRPr="001D57AE">
        <w:rPr>
          <w:szCs w:val="22"/>
        </w:rPr>
        <w:t>is intended for multiple injections</w:t>
      </w:r>
      <w:r w:rsidR="00CC17C1" w:rsidRPr="001D57AE">
        <w:rPr>
          <w:szCs w:val="22"/>
        </w:rPr>
        <w:t xml:space="preserve">. </w:t>
      </w:r>
      <w:r w:rsidR="00B31691" w:rsidRPr="001D57AE">
        <w:rPr>
          <w:szCs w:val="22"/>
        </w:rPr>
        <w:t xml:space="preserve">This has implications </w:t>
      </w:r>
      <w:r w:rsidR="004B07ED" w:rsidRPr="001D57AE">
        <w:rPr>
          <w:szCs w:val="22"/>
        </w:rPr>
        <w:t xml:space="preserve">for </w:t>
      </w:r>
      <w:r w:rsidR="00B31691" w:rsidRPr="001D57AE">
        <w:rPr>
          <w:szCs w:val="22"/>
        </w:rPr>
        <w:t xml:space="preserve">drug wastage </w:t>
      </w:r>
      <w:r w:rsidR="00405698" w:rsidRPr="001D57AE">
        <w:rPr>
          <w:szCs w:val="22"/>
        </w:rPr>
        <w:t xml:space="preserve">when </w:t>
      </w:r>
      <w:r w:rsidR="00B31691" w:rsidRPr="001D57AE">
        <w:rPr>
          <w:szCs w:val="22"/>
        </w:rPr>
        <w:t>dose adjustment</w:t>
      </w:r>
      <w:r w:rsidR="00405698" w:rsidRPr="001D57AE">
        <w:rPr>
          <w:szCs w:val="22"/>
        </w:rPr>
        <w:t xml:space="preserve"> is needed</w:t>
      </w:r>
      <w:r w:rsidR="00B31691" w:rsidRPr="001D57AE">
        <w:rPr>
          <w:szCs w:val="22"/>
        </w:rPr>
        <w:t xml:space="preserve">. </w:t>
      </w:r>
      <w:r w:rsidR="004756AB" w:rsidRPr="001D57AE">
        <w:rPr>
          <w:szCs w:val="22"/>
        </w:rPr>
        <w:t xml:space="preserve">For example, if a woman uses the </w:t>
      </w:r>
      <w:r w:rsidR="00572637" w:rsidRPr="001D57AE">
        <w:rPr>
          <w:szCs w:val="22"/>
        </w:rPr>
        <w:t>225</w:t>
      </w:r>
      <w:r w:rsidR="007A47B5" w:rsidRPr="001D57AE">
        <w:rPr>
          <w:szCs w:val="22"/>
        </w:rPr>
        <w:t xml:space="preserve"> </w:t>
      </w:r>
      <w:r w:rsidR="004756AB" w:rsidRPr="001D57AE">
        <w:rPr>
          <w:szCs w:val="22"/>
        </w:rPr>
        <w:t xml:space="preserve">IU Bemfola pre-filled pen and requires </w:t>
      </w:r>
      <w:r w:rsidR="004B07ED" w:rsidRPr="001D57AE">
        <w:rPr>
          <w:szCs w:val="22"/>
        </w:rPr>
        <w:t xml:space="preserve">a </w:t>
      </w:r>
      <w:r w:rsidR="004756AB" w:rsidRPr="001D57AE">
        <w:rPr>
          <w:szCs w:val="22"/>
        </w:rPr>
        <w:t>dose increase</w:t>
      </w:r>
      <w:r w:rsidR="00572637" w:rsidRPr="001D57AE">
        <w:rPr>
          <w:szCs w:val="22"/>
        </w:rPr>
        <w:t xml:space="preserve"> or dose decrease</w:t>
      </w:r>
      <w:r w:rsidR="004756AB" w:rsidRPr="001D57AE">
        <w:rPr>
          <w:szCs w:val="22"/>
        </w:rPr>
        <w:t xml:space="preserve">, she will need to </w:t>
      </w:r>
      <w:r w:rsidR="00572637" w:rsidRPr="001D57AE">
        <w:rPr>
          <w:szCs w:val="22"/>
        </w:rPr>
        <w:t xml:space="preserve">be given a </w:t>
      </w:r>
      <w:r w:rsidR="004756AB" w:rsidRPr="001D57AE">
        <w:rPr>
          <w:szCs w:val="22"/>
        </w:rPr>
        <w:t xml:space="preserve">different pen, </w:t>
      </w:r>
      <w:r w:rsidR="00572637" w:rsidRPr="001D57AE">
        <w:rPr>
          <w:szCs w:val="22"/>
        </w:rPr>
        <w:t>e</w:t>
      </w:r>
      <w:r w:rsidR="007A47B5" w:rsidRPr="001D57AE">
        <w:rPr>
          <w:szCs w:val="22"/>
        </w:rPr>
        <w:t>.</w:t>
      </w:r>
      <w:r w:rsidR="00572637" w:rsidRPr="001D57AE">
        <w:rPr>
          <w:szCs w:val="22"/>
        </w:rPr>
        <w:t>g</w:t>
      </w:r>
      <w:r w:rsidR="007A47B5" w:rsidRPr="001D57AE">
        <w:rPr>
          <w:szCs w:val="22"/>
        </w:rPr>
        <w:t>.</w:t>
      </w:r>
      <w:r w:rsidR="004756AB" w:rsidRPr="001D57AE">
        <w:rPr>
          <w:szCs w:val="22"/>
        </w:rPr>
        <w:t xml:space="preserve"> </w:t>
      </w:r>
      <w:r w:rsidR="00572637" w:rsidRPr="001D57AE">
        <w:rPr>
          <w:szCs w:val="22"/>
        </w:rPr>
        <w:t>150</w:t>
      </w:r>
      <w:r w:rsidR="007A47B5" w:rsidRPr="001D57AE">
        <w:rPr>
          <w:szCs w:val="22"/>
        </w:rPr>
        <w:t xml:space="preserve"> </w:t>
      </w:r>
      <w:r w:rsidR="00572637" w:rsidRPr="001D57AE">
        <w:rPr>
          <w:szCs w:val="22"/>
        </w:rPr>
        <w:t xml:space="preserve">IU, </w:t>
      </w:r>
      <w:r w:rsidR="004756AB" w:rsidRPr="001D57AE">
        <w:rPr>
          <w:szCs w:val="22"/>
        </w:rPr>
        <w:t>300</w:t>
      </w:r>
      <w:r w:rsidR="007A47B5" w:rsidRPr="001D57AE">
        <w:rPr>
          <w:szCs w:val="22"/>
        </w:rPr>
        <w:t xml:space="preserve"> </w:t>
      </w:r>
      <w:r w:rsidR="004756AB" w:rsidRPr="001D57AE">
        <w:rPr>
          <w:szCs w:val="22"/>
        </w:rPr>
        <w:t>IU or 450</w:t>
      </w:r>
      <w:r w:rsidR="007A47B5" w:rsidRPr="001D57AE">
        <w:rPr>
          <w:szCs w:val="22"/>
        </w:rPr>
        <w:t xml:space="preserve"> </w:t>
      </w:r>
      <w:r w:rsidR="004756AB" w:rsidRPr="001D57AE">
        <w:rPr>
          <w:szCs w:val="22"/>
        </w:rPr>
        <w:t xml:space="preserve">IU. This is not necessary </w:t>
      </w:r>
      <w:r w:rsidR="004B07ED" w:rsidRPr="001D57AE">
        <w:rPr>
          <w:szCs w:val="22"/>
        </w:rPr>
        <w:t xml:space="preserve">when using </w:t>
      </w:r>
      <w:r w:rsidR="004756AB" w:rsidRPr="001D57AE">
        <w:rPr>
          <w:szCs w:val="22"/>
        </w:rPr>
        <w:t xml:space="preserve">Gonal-f, as multiple different doses can be administered with the same pen within 21 days after opening. Consequently, with the single-use system, more unused Bemfola will be discarded. </w:t>
      </w:r>
      <w:r w:rsidR="004819A0" w:rsidRPr="001D57AE">
        <w:rPr>
          <w:szCs w:val="22"/>
        </w:rPr>
        <w:t xml:space="preserve">In addition, the </w:t>
      </w:r>
      <w:r w:rsidR="004B07ED" w:rsidRPr="001D57AE">
        <w:rPr>
          <w:szCs w:val="22"/>
        </w:rPr>
        <w:t xml:space="preserve">maximum amount of </w:t>
      </w:r>
      <w:r w:rsidR="004819A0" w:rsidRPr="001D57AE">
        <w:rPr>
          <w:szCs w:val="22"/>
        </w:rPr>
        <w:t xml:space="preserve">follitropin alfa </w:t>
      </w:r>
      <w:r w:rsidR="00286B53" w:rsidRPr="001D57AE">
        <w:rPr>
          <w:szCs w:val="22"/>
        </w:rPr>
        <w:t xml:space="preserve">is generally higher for </w:t>
      </w:r>
      <w:r w:rsidR="004819A0" w:rsidRPr="001D57AE">
        <w:rPr>
          <w:szCs w:val="22"/>
        </w:rPr>
        <w:t xml:space="preserve">Bemfola </w:t>
      </w:r>
      <w:r w:rsidR="00286B53" w:rsidRPr="001D57AE">
        <w:rPr>
          <w:szCs w:val="22"/>
        </w:rPr>
        <w:t>compared to</w:t>
      </w:r>
      <w:r w:rsidR="004819A0" w:rsidRPr="001D57AE">
        <w:rPr>
          <w:szCs w:val="22"/>
        </w:rPr>
        <w:t xml:space="preserve"> Gonal-f</w:t>
      </w:r>
      <w:r w:rsidR="00286B53" w:rsidRPr="001D57AE">
        <w:rPr>
          <w:szCs w:val="22"/>
        </w:rPr>
        <w:t xml:space="preserve">. This is particularly important given the flexible dosing and treatment duration of follitropin alfa therapy, which may lead to increased drug wastage for Bemfola </w:t>
      </w:r>
      <w:r w:rsidR="004B07ED" w:rsidRPr="001D57AE">
        <w:rPr>
          <w:szCs w:val="22"/>
        </w:rPr>
        <w:t>relative to</w:t>
      </w:r>
      <w:r w:rsidR="00286B53" w:rsidRPr="001D57AE">
        <w:rPr>
          <w:szCs w:val="22"/>
        </w:rPr>
        <w:t xml:space="preserve"> Gonal-f. </w:t>
      </w:r>
      <w:r w:rsidR="004756AB" w:rsidRPr="001D57AE">
        <w:rPr>
          <w:szCs w:val="22"/>
        </w:rPr>
        <w:t>When the PBAC considered Menopur (human menopausal gonadotrophin (hMG)) at the March 2012 meeting, the Committee considered that the price of Menopur</w:t>
      </w:r>
      <w:r w:rsidR="004756AB" w:rsidRPr="001D57AE">
        <w:rPr>
          <w:szCs w:val="22"/>
          <w:vertAlign w:val="superscript"/>
        </w:rPr>
        <w:t xml:space="preserve"> </w:t>
      </w:r>
      <w:r w:rsidR="004756AB" w:rsidRPr="001D57AE">
        <w:rPr>
          <w:szCs w:val="22"/>
        </w:rPr>
        <w:t>“should factor in a percentage wastage for drug loss related to the mode of administration and vial strengths</w:t>
      </w:r>
      <w:r w:rsidR="004756AB" w:rsidRPr="006C28A0">
        <w:rPr>
          <w:szCs w:val="22"/>
        </w:rPr>
        <w:t>” (p6, Menopur PSD, March 2012 PBAC meeting).</w:t>
      </w:r>
    </w:p>
    <w:p w:rsidR="00F401DD" w:rsidRDefault="00F401DD" w:rsidP="00F401DD">
      <w:pPr>
        <w:pStyle w:val="ListParagraph"/>
        <w:ind w:left="709"/>
        <w:jc w:val="both"/>
        <w:rPr>
          <w:szCs w:val="22"/>
        </w:rPr>
      </w:pPr>
    </w:p>
    <w:p w:rsidR="00F401DD" w:rsidRDefault="00F401DD" w:rsidP="00F401DD">
      <w:pPr>
        <w:pStyle w:val="ListParagraph"/>
        <w:numPr>
          <w:ilvl w:val="1"/>
          <w:numId w:val="2"/>
        </w:numPr>
        <w:jc w:val="both"/>
        <w:rPr>
          <w:szCs w:val="22"/>
        </w:rPr>
      </w:pPr>
      <w:r>
        <w:rPr>
          <w:szCs w:val="22"/>
        </w:rPr>
        <w:t>The Pre-PBAC Response (p.2) argued that it was highly unlikely that Bemfola would result in more drug wastage in clinical practice compared with Gonal-f and that for ART, the “standard treatment protocol is informed by the tests performed prior to initiating treatment. Subsequent adjustments to the treatment protocol are made on a case by case basis, but are generally not necessary.” The Pre-PBAC Response further proposed that anecdotal evidence suggests that the majority of prescriptions of Gonal-f are dispensed for the maximum dose and quantity, and therefore “the Gonal-f multi-use pen facilitates overprescribing with any unused drug discarded.”</w:t>
      </w:r>
    </w:p>
    <w:p w:rsidR="005963BB" w:rsidRDefault="005963BB" w:rsidP="00C00DA7">
      <w:pPr>
        <w:jc w:val="both"/>
        <w:rPr>
          <w:szCs w:val="22"/>
        </w:rPr>
      </w:pPr>
    </w:p>
    <w:p w:rsidR="00446F8D" w:rsidRPr="00A55FEE" w:rsidRDefault="00446F8D" w:rsidP="00A62E6C">
      <w:pPr>
        <w:pStyle w:val="Heading2"/>
        <w:rPr>
          <w:b w:val="0"/>
          <w:i w:val="0"/>
        </w:rPr>
      </w:pPr>
      <w:r w:rsidRPr="00A55FEE">
        <w:t>Drug cost/patient</w:t>
      </w:r>
      <w:r>
        <w:t>/cycle</w:t>
      </w:r>
      <w:r w:rsidRPr="00A55FEE">
        <w:t xml:space="preserve">: </w:t>
      </w:r>
      <w:r w:rsidRPr="00E1751F">
        <w:t>$</w:t>
      </w:r>
      <w:r w:rsidR="005F52F9">
        <w:rPr>
          <w:noProof/>
          <w:color w:val="000000"/>
          <w:highlight w:val="black"/>
        </w:rPr>
        <w:t>''''''''''''</w:t>
      </w:r>
    </w:p>
    <w:p w:rsidR="00446F8D" w:rsidRPr="00882085" w:rsidRDefault="00446F8D" w:rsidP="00446F8D">
      <w:pPr>
        <w:ind w:left="720" w:hanging="720"/>
        <w:jc w:val="both"/>
        <w:rPr>
          <w:b/>
          <w:i/>
          <w:szCs w:val="22"/>
        </w:rPr>
      </w:pPr>
    </w:p>
    <w:p w:rsidR="00446F8D" w:rsidRPr="007A47B5" w:rsidRDefault="00446F8D" w:rsidP="001D57AE">
      <w:pPr>
        <w:pStyle w:val="ListParagraph"/>
        <w:numPr>
          <w:ilvl w:val="1"/>
          <w:numId w:val="2"/>
        </w:numPr>
        <w:jc w:val="both"/>
        <w:rPr>
          <w:szCs w:val="22"/>
        </w:rPr>
      </w:pPr>
      <w:r w:rsidRPr="00E1751F">
        <w:rPr>
          <w:szCs w:val="22"/>
        </w:rPr>
        <w:t xml:space="preserve">As the average dose of Bemfola varies significantly </w:t>
      </w:r>
      <w:r w:rsidR="004B07ED">
        <w:rPr>
          <w:szCs w:val="22"/>
        </w:rPr>
        <w:t>for</w:t>
      </w:r>
      <w:r w:rsidR="00007C05">
        <w:rPr>
          <w:szCs w:val="22"/>
        </w:rPr>
        <w:t xml:space="preserve"> </w:t>
      </w:r>
      <w:r w:rsidRPr="00E1751F">
        <w:rPr>
          <w:szCs w:val="22"/>
        </w:rPr>
        <w:t xml:space="preserve">individual patients and patients may undertake more than </w:t>
      </w:r>
      <w:r w:rsidR="008819E9">
        <w:rPr>
          <w:szCs w:val="22"/>
        </w:rPr>
        <w:t xml:space="preserve">one </w:t>
      </w:r>
      <w:r w:rsidRPr="00E1751F">
        <w:rPr>
          <w:szCs w:val="22"/>
        </w:rPr>
        <w:t>cycle of ART per year</w:t>
      </w:r>
      <w:r w:rsidR="00235678">
        <w:rPr>
          <w:szCs w:val="22"/>
        </w:rPr>
        <w:t>,</w:t>
      </w:r>
      <w:r w:rsidRPr="00E1751F">
        <w:rPr>
          <w:szCs w:val="22"/>
        </w:rPr>
        <w:t xml:space="preserve"> the drug cost/patient/year is difficult to determine. However as Bemfola is priced on a cost per IU of $</w:t>
      </w:r>
      <w:r w:rsidR="005F52F9">
        <w:rPr>
          <w:noProof/>
          <w:color w:val="000000"/>
          <w:szCs w:val="22"/>
          <w:highlight w:val="black"/>
        </w:rPr>
        <w:t>''''''''''''</w:t>
      </w:r>
      <w:r w:rsidRPr="00E1751F">
        <w:rPr>
          <w:szCs w:val="22"/>
        </w:rPr>
        <w:t xml:space="preserve"> (</w:t>
      </w:r>
      <w:r w:rsidR="0004640E" w:rsidRPr="0004640E">
        <w:rPr>
          <w:szCs w:val="22"/>
        </w:rPr>
        <w:t>approved ex-manufacturer price</w:t>
      </w:r>
      <w:r w:rsidRPr="00E1751F">
        <w:rPr>
          <w:szCs w:val="22"/>
        </w:rPr>
        <w:t>). For patients undergoing ART, an average cost per cycle can be estimated using the average dose from FIN3001 (1581.8IU). $</w:t>
      </w:r>
      <w:r w:rsidR="005F52F9">
        <w:rPr>
          <w:noProof/>
          <w:color w:val="000000"/>
          <w:szCs w:val="22"/>
          <w:highlight w:val="black"/>
        </w:rPr>
        <w:t>'''''''''''</w:t>
      </w:r>
      <w:r w:rsidRPr="00E1751F">
        <w:rPr>
          <w:szCs w:val="22"/>
        </w:rPr>
        <w:t xml:space="preserve"> x 1581.8 = $</w:t>
      </w:r>
      <w:r w:rsidR="005F52F9">
        <w:rPr>
          <w:noProof/>
          <w:color w:val="000000"/>
          <w:szCs w:val="22"/>
          <w:highlight w:val="black"/>
        </w:rPr>
        <w:t>'''''''''''''''</w:t>
      </w:r>
      <w:r w:rsidRPr="00E1751F">
        <w:rPr>
          <w:szCs w:val="22"/>
        </w:rPr>
        <w:t xml:space="preserve"> per patient/cycle (excluding any wastage). The </w:t>
      </w:r>
      <w:r w:rsidR="001A5CF2">
        <w:rPr>
          <w:szCs w:val="22"/>
        </w:rPr>
        <w:t xml:space="preserve">minor </w:t>
      </w:r>
      <w:r w:rsidRPr="00E1751F">
        <w:rPr>
          <w:szCs w:val="22"/>
        </w:rPr>
        <w:t>submission did not provide any information on the average cost / dose / patient / year for anovulatory infertility and hypogonadotrophic hypogonadism.</w:t>
      </w:r>
    </w:p>
    <w:p w:rsidR="00446F8D" w:rsidRDefault="00446F8D" w:rsidP="00446F8D">
      <w:pPr>
        <w:ind w:left="720" w:hanging="720"/>
        <w:jc w:val="both"/>
        <w:rPr>
          <w:b/>
          <w:i/>
          <w:szCs w:val="22"/>
        </w:rPr>
      </w:pPr>
    </w:p>
    <w:p w:rsidR="00446F8D" w:rsidRPr="00882085" w:rsidRDefault="00446F8D" w:rsidP="001B0885">
      <w:pPr>
        <w:pStyle w:val="Heading2"/>
        <w:keepNext/>
        <w:rPr>
          <w:b w:val="0"/>
          <w:i w:val="0"/>
        </w:rPr>
      </w:pPr>
      <w:r w:rsidRPr="00882085">
        <w:t>Estimated PBS usage &amp; financial implications</w:t>
      </w:r>
    </w:p>
    <w:p w:rsidR="00446F8D" w:rsidRPr="00882085" w:rsidRDefault="00446F8D" w:rsidP="00844D8A">
      <w:pPr>
        <w:keepNext/>
        <w:ind w:left="720" w:hanging="720"/>
        <w:jc w:val="both"/>
        <w:rPr>
          <w:b/>
          <w:i/>
          <w:szCs w:val="22"/>
        </w:rPr>
      </w:pPr>
    </w:p>
    <w:p w:rsidR="00446F8D" w:rsidRDefault="00446F8D" w:rsidP="001D57AE">
      <w:pPr>
        <w:pStyle w:val="ListParagraph"/>
        <w:numPr>
          <w:ilvl w:val="1"/>
          <w:numId w:val="2"/>
        </w:numPr>
        <w:jc w:val="both"/>
        <w:rPr>
          <w:szCs w:val="22"/>
        </w:rPr>
      </w:pPr>
      <w:r w:rsidRPr="00C00DA7">
        <w:rPr>
          <w:szCs w:val="22"/>
        </w:rPr>
        <w:t xml:space="preserve">The minor </w:t>
      </w:r>
      <w:r>
        <w:rPr>
          <w:szCs w:val="22"/>
        </w:rPr>
        <w:t>submission estimate</w:t>
      </w:r>
      <w:r w:rsidR="00235678">
        <w:rPr>
          <w:szCs w:val="22"/>
        </w:rPr>
        <w:t>d</w:t>
      </w:r>
      <w:r>
        <w:rPr>
          <w:szCs w:val="22"/>
        </w:rPr>
        <w:t xml:space="preserve"> a net cost saving to the PBS of </w:t>
      </w:r>
      <w:r w:rsidR="001845E1">
        <w:rPr>
          <w:szCs w:val="22"/>
        </w:rPr>
        <w:t>$20-$30 million</w:t>
      </w:r>
      <w:r w:rsidRPr="00C00DA7">
        <w:rPr>
          <w:szCs w:val="22"/>
        </w:rPr>
        <w:t xml:space="preserve"> in Year 5 of listing, with a total </w:t>
      </w:r>
      <w:r>
        <w:rPr>
          <w:szCs w:val="22"/>
        </w:rPr>
        <w:t xml:space="preserve">net </w:t>
      </w:r>
      <w:r w:rsidR="004B07ED">
        <w:rPr>
          <w:szCs w:val="22"/>
        </w:rPr>
        <w:t xml:space="preserve">saving </w:t>
      </w:r>
      <w:r>
        <w:rPr>
          <w:szCs w:val="22"/>
        </w:rPr>
        <w:t xml:space="preserve">to the PBS of </w:t>
      </w:r>
      <w:r w:rsidR="001845E1">
        <w:rPr>
          <w:szCs w:val="22"/>
        </w:rPr>
        <w:t>more than $100 million</w:t>
      </w:r>
      <w:r w:rsidRPr="00C00DA7">
        <w:rPr>
          <w:szCs w:val="22"/>
        </w:rPr>
        <w:t xml:space="preserve"> over the first </w:t>
      </w:r>
      <w:r w:rsidR="00257B64">
        <w:rPr>
          <w:szCs w:val="22"/>
        </w:rPr>
        <w:t>five</w:t>
      </w:r>
      <w:r w:rsidRPr="00C00DA7">
        <w:rPr>
          <w:szCs w:val="22"/>
        </w:rPr>
        <w:t xml:space="preserve"> years of listing.  This i</w:t>
      </w:r>
      <w:r>
        <w:rPr>
          <w:szCs w:val="22"/>
        </w:rPr>
        <w:t xml:space="preserve">s summarised in </w:t>
      </w:r>
      <w:r w:rsidR="004B07ED">
        <w:rPr>
          <w:szCs w:val="22"/>
        </w:rPr>
        <w:t>T</w:t>
      </w:r>
      <w:r>
        <w:rPr>
          <w:szCs w:val="22"/>
        </w:rPr>
        <w:t xml:space="preserve">able </w:t>
      </w:r>
      <w:r w:rsidR="004B07ED">
        <w:rPr>
          <w:szCs w:val="22"/>
        </w:rPr>
        <w:t>9</w:t>
      </w:r>
      <w:r>
        <w:rPr>
          <w:szCs w:val="22"/>
        </w:rPr>
        <w:t>.</w:t>
      </w:r>
    </w:p>
    <w:p w:rsidR="006C28A0" w:rsidRDefault="006C28A0">
      <w:pPr>
        <w:rPr>
          <w:szCs w:val="22"/>
        </w:rPr>
      </w:pPr>
      <w:r>
        <w:rPr>
          <w:szCs w:val="22"/>
        </w:rPr>
        <w:br w:type="page"/>
      </w:r>
    </w:p>
    <w:p w:rsidR="00446F8D" w:rsidRDefault="00446F8D" w:rsidP="00446F8D">
      <w:pPr>
        <w:pStyle w:val="ListParagraph"/>
        <w:jc w:val="both"/>
        <w:rPr>
          <w:szCs w:val="22"/>
        </w:rPr>
      </w:pPr>
    </w:p>
    <w:p w:rsidR="00446F8D" w:rsidRPr="004260FD" w:rsidRDefault="00446F8D" w:rsidP="00446F8D">
      <w:pPr>
        <w:pStyle w:val="Tablename"/>
      </w:pPr>
      <w:r>
        <w:t xml:space="preserve">Table </w:t>
      </w:r>
      <w:r w:rsidR="004819A0">
        <w:t>9</w:t>
      </w:r>
      <w:r w:rsidR="00235678">
        <w:t xml:space="preserve">: </w:t>
      </w:r>
      <w:r>
        <w:t>Net financial implications to the PBS/RPBS</w:t>
      </w:r>
    </w:p>
    <w:tbl>
      <w:tblPr>
        <w:tblStyle w:val="TableGrid"/>
        <w:tblW w:w="8496" w:type="dxa"/>
        <w:tblInd w:w="720" w:type="dxa"/>
        <w:tblLayout w:type="fixed"/>
        <w:tblLook w:val="04A0" w:firstRow="1" w:lastRow="0" w:firstColumn="1" w:lastColumn="0" w:noHBand="0" w:noVBand="1"/>
        <w:tblCaption w:val="Table 9: Net financial implications to the PBS/RPBS"/>
      </w:tblPr>
      <w:tblGrid>
        <w:gridCol w:w="2223"/>
        <w:gridCol w:w="1254"/>
        <w:gridCol w:w="1255"/>
        <w:gridCol w:w="1254"/>
        <w:gridCol w:w="1255"/>
        <w:gridCol w:w="1255"/>
      </w:tblGrid>
      <w:tr w:rsidR="00446F8D" w:rsidRPr="00E1751F" w:rsidTr="000B2B41">
        <w:trPr>
          <w:tblHeader/>
        </w:trPr>
        <w:tc>
          <w:tcPr>
            <w:tcW w:w="2223" w:type="dxa"/>
            <w:shd w:val="clear" w:color="auto" w:fill="auto"/>
            <w:vAlign w:val="center"/>
          </w:tcPr>
          <w:p w:rsidR="00446F8D" w:rsidRPr="00E1751F" w:rsidRDefault="00446F8D" w:rsidP="00147E28">
            <w:pPr>
              <w:rPr>
                <w:rFonts w:ascii="Arial Narrow" w:hAnsi="Arial Narrow"/>
                <w:b/>
                <w:sz w:val="20"/>
                <w:szCs w:val="20"/>
              </w:rPr>
            </w:pPr>
          </w:p>
        </w:tc>
        <w:tc>
          <w:tcPr>
            <w:tcW w:w="1254" w:type="dxa"/>
            <w:shd w:val="clear" w:color="auto" w:fill="auto"/>
            <w:vAlign w:val="center"/>
          </w:tcPr>
          <w:p w:rsidR="00446F8D" w:rsidRPr="00E1751F" w:rsidRDefault="00446F8D" w:rsidP="00147E28">
            <w:pPr>
              <w:jc w:val="center"/>
              <w:rPr>
                <w:rFonts w:ascii="Arial Narrow" w:hAnsi="Arial Narrow"/>
                <w:b/>
                <w:sz w:val="20"/>
                <w:szCs w:val="20"/>
              </w:rPr>
            </w:pPr>
            <w:r w:rsidRPr="00E1751F">
              <w:rPr>
                <w:rFonts w:ascii="Arial Narrow" w:hAnsi="Arial Narrow"/>
                <w:b/>
                <w:sz w:val="20"/>
                <w:szCs w:val="20"/>
              </w:rPr>
              <w:t>Year 1</w:t>
            </w:r>
          </w:p>
        </w:tc>
        <w:tc>
          <w:tcPr>
            <w:tcW w:w="1255" w:type="dxa"/>
            <w:shd w:val="clear" w:color="auto" w:fill="auto"/>
            <w:vAlign w:val="center"/>
          </w:tcPr>
          <w:p w:rsidR="00446F8D" w:rsidRPr="00E1751F" w:rsidRDefault="00446F8D" w:rsidP="00147E28">
            <w:pPr>
              <w:jc w:val="center"/>
              <w:rPr>
                <w:rFonts w:ascii="Arial Narrow" w:hAnsi="Arial Narrow"/>
                <w:b/>
                <w:sz w:val="20"/>
                <w:szCs w:val="20"/>
              </w:rPr>
            </w:pPr>
            <w:r w:rsidRPr="00E1751F">
              <w:rPr>
                <w:rFonts w:ascii="Arial Narrow" w:hAnsi="Arial Narrow"/>
                <w:b/>
                <w:sz w:val="20"/>
                <w:szCs w:val="20"/>
              </w:rPr>
              <w:t>Year 2</w:t>
            </w:r>
          </w:p>
        </w:tc>
        <w:tc>
          <w:tcPr>
            <w:tcW w:w="1254" w:type="dxa"/>
            <w:shd w:val="clear" w:color="auto" w:fill="auto"/>
            <w:vAlign w:val="center"/>
          </w:tcPr>
          <w:p w:rsidR="00446F8D" w:rsidRPr="00E1751F" w:rsidRDefault="00446F8D" w:rsidP="00147E28">
            <w:pPr>
              <w:jc w:val="center"/>
              <w:rPr>
                <w:rFonts w:ascii="Arial Narrow" w:hAnsi="Arial Narrow"/>
                <w:b/>
                <w:sz w:val="20"/>
                <w:szCs w:val="20"/>
              </w:rPr>
            </w:pPr>
            <w:r w:rsidRPr="00E1751F">
              <w:rPr>
                <w:rFonts w:ascii="Arial Narrow" w:hAnsi="Arial Narrow"/>
                <w:b/>
                <w:sz w:val="20"/>
                <w:szCs w:val="20"/>
              </w:rPr>
              <w:t>Year 3</w:t>
            </w:r>
          </w:p>
        </w:tc>
        <w:tc>
          <w:tcPr>
            <w:tcW w:w="1255" w:type="dxa"/>
            <w:shd w:val="clear" w:color="auto" w:fill="auto"/>
            <w:vAlign w:val="center"/>
          </w:tcPr>
          <w:p w:rsidR="00446F8D" w:rsidRPr="00E1751F" w:rsidRDefault="00446F8D" w:rsidP="00147E28">
            <w:pPr>
              <w:jc w:val="center"/>
              <w:rPr>
                <w:rFonts w:ascii="Arial Narrow" w:hAnsi="Arial Narrow"/>
                <w:b/>
                <w:sz w:val="20"/>
                <w:szCs w:val="20"/>
              </w:rPr>
            </w:pPr>
            <w:r w:rsidRPr="00E1751F">
              <w:rPr>
                <w:rFonts w:ascii="Arial Narrow" w:hAnsi="Arial Narrow"/>
                <w:b/>
                <w:sz w:val="20"/>
                <w:szCs w:val="20"/>
              </w:rPr>
              <w:t>Year 4</w:t>
            </w:r>
          </w:p>
        </w:tc>
        <w:tc>
          <w:tcPr>
            <w:tcW w:w="1255" w:type="dxa"/>
            <w:shd w:val="clear" w:color="auto" w:fill="auto"/>
            <w:vAlign w:val="center"/>
          </w:tcPr>
          <w:p w:rsidR="00446F8D" w:rsidRPr="00E1751F" w:rsidRDefault="00446F8D" w:rsidP="00147E28">
            <w:pPr>
              <w:jc w:val="center"/>
              <w:rPr>
                <w:rFonts w:ascii="Arial Narrow" w:hAnsi="Arial Narrow"/>
                <w:b/>
                <w:sz w:val="20"/>
                <w:szCs w:val="20"/>
              </w:rPr>
            </w:pPr>
            <w:r w:rsidRPr="00E1751F">
              <w:rPr>
                <w:rFonts w:ascii="Arial Narrow" w:hAnsi="Arial Narrow"/>
                <w:b/>
                <w:sz w:val="20"/>
                <w:szCs w:val="20"/>
              </w:rPr>
              <w:t>Year 5</w:t>
            </w:r>
          </w:p>
        </w:tc>
      </w:tr>
      <w:tr w:rsidR="00446F8D" w:rsidRPr="00E1751F" w:rsidTr="000B2B41">
        <w:tc>
          <w:tcPr>
            <w:tcW w:w="8496" w:type="dxa"/>
            <w:gridSpan w:val="6"/>
            <w:shd w:val="clear" w:color="auto" w:fill="auto"/>
            <w:vAlign w:val="center"/>
          </w:tcPr>
          <w:p w:rsidR="00446F8D" w:rsidRPr="00E1751F" w:rsidRDefault="00446F8D" w:rsidP="00147E28">
            <w:pPr>
              <w:rPr>
                <w:rFonts w:ascii="Arial Narrow" w:hAnsi="Arial Narrow"/>
                <w:b/>
                <w:sz w:val="20"/>
                <w:szCs w:val="20"/>
              </w:rPr>
            </w:pPr>
            <w:r w:rsidRPr="00E1751F">
              <w:rPr>
                <w:rFonts w:ascii="Arial Narrow" w:hAnsi="Arial Narrow"/>
                <w:b/>
                <w:sz w:val="20"/>
                <w:szCs w:val="20"/>
              </w:rPr>
              <w:t>Net costs to the PBS/RPBS from anovulatory infertility</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Patient co-payments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Total 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8496" w:type="dxa"/>
            <w:gridSpan w:val="6"/>
            <w:shd w:val="clear" w:color="auto" w:fill="auto"/>
            <w:vAlign w:val="center"/>
          </w:tcPr>
          <w:p w:rsidR="00446F8D" w:rsidRPr="00E1751F" w:rsidRDefault="00446F8D" w:rsidP="00147E28">
            <w:pPr>
              <w:rPr>
                <w:rFonts w:ascii="Arial Narrow" w:hAnsi="Arial Narrow"/>
                <w:b/>
                <w:sz w:val="20"/>
                <w:szCs w:val="20"/>
              </w:rPr>
            </w:pPr>
            <w:r w:rsidRPr="00E1751F">
              <w:rPr>
                <w:rFonts w:ascii="Arial Narrow" w:hAnsi="Arial Narrow"/>
                <w:b/>
                <w:sz w:val="20"/>
                <w:szCs w:val="20"/>
              </w:rPr>
              <w:t>Net costs to the PBS/RPBS from hypogonadotrophic hypogonadism</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Patient co-payments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Total 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8496" w:type="dxa"/>
            <w:gridSpan w:val="6"/>
            <w:shd w:val="clear" w:color="auto" w:fill="auto"/>
            <w:vAlign w:val="center"/>
          </w:tcPr>
          <w:p w:rsidR="00446F8D" w:rsidRPr="00E1751F" w:rsidRDefault="00446F8D" w:rsidP="00147E28">
            <w:pPr>
              <w:rPr>
                <w:rFonts w:ascii="Arial Narrow" w:hAnsi="Arial Narrow"/>
                <w:b/>
                <w:sz w:val="20"/>
                <w:szCs w:val="20"/>
              </w:rPr>
            </w:pPr>
            <w:r w:rsidRPr="00E1751F">
              <w:rPr>
                <w:rFonts w:ascii="Arial Narrow" w:hAnsi="Arial Narrow"/>
                <w:b/>
                <w:sz w:val="20"/>
                <w:szCs w:val="20"/>
              </w:rPr>
              <w:t>Net cost to the PBS/RPBS from assisted reproductive technology (ART)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Patient co-payments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Total 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8496" w:type="dxa"/>
            <w:gridSpan w:val="6"/>
            <w:shd w:val="clear" w:color="auto" w:fill="auto"/>
            <w:vAlign w:val="center"/>
          </w:tcPr>
          <w:p w:rsidR="00446F8D" w:rsidRPr="00E1751F" w:rsidRDefault="00446F8D" w:rsidP="00147E28">
            <w:pPr>
              <w:rPr>
                <w:rFonts w:ascii="Arial Narrow" w:hAnsi="Arial Narrow"/>
                <w:b/>
                <w:sz w:val="20"/>
                <w:szCs w:val="20"/>
              </w:rPr>
            </w:pPr>
            <w:r w:rsidRPr="00E1751F">
              <w:rPr>
                <w:rFonts w:ascii="Arial Narrow" w:hAnsi="Arial Narrow"/>
                <w:b/>
                <w:sz w:val="20"/>
                <w:szCs w:val="20"/>
              </w:rPr>
              <w:t>Net financial implications</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Net cost to the PBS/RPBS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Net patient co-payments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r w:rsidR="00446F8D" w:rsidRPr="00E1751F" w:rsidTr="000B2B41">
        <w:tc>
          <w:tcPr>
            <w:tcW w:w="2223" w:type="dxa"/>
            <w:shd w:val="clear" w:color="auto" w:fill="auto"/>
            <w:vAlign w:val="center"/>
          </w:tcPr>
          <w:p w:rsidR="00446F8D" w:rsidRPr="00E1751F" w:rsidRDefault="00446F8D" w:rsidP="00147E28">
            <w:pPr>
              <w:rPr>
                <w:rFonts w:ascii="Arial Narrow" w:hAnsi="Arial Narrow"/>
                <w:sz w:val="20"/>
                <w:szCs w:val="20"/>
              </w:rPr>
            </w:pPr>
            <w:r w:rsidRPr="00E1751F">
              <w:rPr>
                <w:rFonts w:ascii="Arial Narrow" w:hAnsi="Arial Narrow"/>
                <w:sz w:val="20"/>
                <w:szCs w:val="20"/>
              </w:rPr>
              <w:t>Net financial implications</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4"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c>
          <w:tcPr>
            <w:tcW w:w="1255" w:type="dxa"/>
            <w:shd w:val="clear" w:color="auto" w:fill="auto"/>
            <w:vAlign w:val="center"/>
          </w:tcPr>
          <w:p w:rsidR="00446F8D" w:rsidRPr="00E1751F" w:rsidRDefault="00446F8D" w:rsidP="00147E28">
            <w:pPr>
              <w:jc w:val="center"/>
              <w:rPr>
                <w:rFonts w:ascii="Arial Narrow" w:hAnsi="Arial Narrow"/>
                <w:color w:val="000000"/>
                <w:sz w:val="20"/>
                <w:szCs w:val="20"/>
              </w:rPr>
            </w:pPr>
            <w:r w:rsidRPr="00E1751F">
              <w:rPr>
                <w:rFonts w:ascii="Arial Narrow" w:hAnsi="Arial Narrow"/>
                <w:color w:val="000000"/>
                <w:sz w:val="20"/>
                <w:szCs w:val="20"/>
              </w:rPr>
              <w:t>-$</w:t>
            </w:r>
            <w:r w:rsidR="005F52F9">
              <w:rPr>
                <w:rFonts w:ascii="Arial Narrow" w:hAnsi="Arial Narrow"/>
                <w:noProof/>
                <w:color w:val="000000"/>
                <w:sz w:val="20"/>
                <w:szCs w:val="20"/>
                <w:highlight w:val="black"/>
              </w:rPr>
              <w:t>''''''''''''''''''''''''</w:t>
            </w:r>
          </w:p>
        </w:tc>
      </w:tr>
    </w:tbl>
    <w:p w:rsidR="00446F8D" w:rsidRDefault="00446F8D" w:rsidP="00446F8D">
      <w:pPr>
        <w:pStyle w:val="tablenotes"/>
        <w:ind w:left="709"/>
      </w:pPr>
      <w:r>
        <w:t>Source: Table 3-14, p72 of the submission</w:t>
      </w:r>
    </w:p>
    <w:p w:rsidR="001C3DBC" w:rsidRDefault="001C3DBC" w:rsidP="00446F8D">
      <w:pPr>
        <w:pStyle w:val="ListParagraph"/>
        <w:jc w:val="both"/>
        <w:rPr>
          <w:szCs w:val="22"/>
        </w:rPr>
      </w:pPr>
    </w:p>
    <w:p w:rsidR="00446F8D" w:rsidRPr="001D57AE" w:rsidRDefault="00446F8D" w:rsidP="001D57AE">
      <w:pPr>
        <w:pStyle w:val="ListParagraph"/>
        <w:numPr>
          <w:ilvl w:val="1"/>
          <w:numId w:val="2"/>
        </w:numPr>
        <w:jc w:val="both"/>
        <w:rPr>
          <w:szCs w:val="22"/>
        </w:rPr>
      </w:pPr>
      <w:r w:rsidRPr="001D57AE">
        <w:rPr>
          <w:szCs w:val="22"/>
        </w:rPr>
        <w:t xml:space="preserve">Approximately half of the cost savings associated with </w:t>
      </w:r>
      <w:r w:rsidR="004B07ED" w:rsidRPr="001D57AE">
        <w:rPr>
          <w:szCs w:val="22"/>
        </w:rPr>
        <w:t xml:space="preserve">the proposed </w:t>
      </w:r>
      <w:r w:rsidRPr="001D57AE">
        <w:rPr>
          <w:szCs w:val="22"/>
        </w:rPr>
        <w:t xml:space="preserve">listing </w:t>
      </w:r>
      <w:r w:rsidR="004B07ED" w:rsidRPr="001D57AE">
        <w:rPr>
          <w:szCs w:val="22"/>
        </w:rPr>
        <w:t xml:space="preserve">of </w:t>
      </w:r>
      <w:r w:rsidRPr="001D57AE">
        <w:rPr>
          <w:szCs w:val="22"/>
        </w:rPr>
        <w:t xml:space="preserve">Bemfola are associated with the statutory 16% price reduction, with the remaining being attributed to differences in the number of prescriptions required. The submissions’ estimates do not consider wastage. As highlighted above, </w:t>
      </w:r>
      <w:r w:rsidR="004B07ED" w:rsidRPr="001D57AE">
        <w:rPr>
          <w:szCs w:val="22"/>
        </w:rPr>
        <w:t xml:space="preserve">the </w:t>
      </w:r>
      <w:r w:rsidRPr="001D57AE">
        <w:rPr>
          <w:szCs w:val="22"/>
        </w:rPr>
        <w:t xml:space="preserve">Bemfola formulation is intended for single use; while Gonal-f is supplied as multi-dose </w:t>
      </w:r>
      <w:r w:rsidR="0062418A" w:rsidRPr="001D57AE">
        <w:rPr>
          <w:szCs w:val="22"/>
        </w:rPr>
        <w:t>pen</w:t>
      </w:r>
      <w:r w:rsidRPr="001D57AE">
        <w:rPr>
          <w:szCs w:val="22"/>
        </w:rPr>
        <w:t xml:space="preserve">. It is possible that the use of Bemfola may result in more wastage relative to Gonal-f due to dose adjustment and unused Bemfola being discarded. Furthermore, the submission’s assumption that all patients will be dispensed the maximum quantity of Bemfola </w:t>
      </w:r>
      <w:r w:rsidR="0020343F" w:rsidRPr="001D57AE">
        <w:rPr>
          <w:szCs w:val="22"/>
        </w:rPr>
        <w:t xml:space="preserve">is unlikely to occur in practice and </w:t>
      </w:r>
      <w:r w:rsidRPr="001D57AE">
        <w:rPr>
          <w:szCs w:val="22"/>
        </w:rPr>
        <w:t>overestimates the cost savings to the PBS.</w:t>
      </w:r>
    </w:p>
    <w:p w:rsidR="00F41D70" w:rsidRDefault="00F41D70" w:rsidP="00C00DA7">
      <w:pPr>
        <w:pStyle w:val="ListParagraph"/>
        <w:ind w:left="709"/>
        <w:jc w:val="both"/>
        <w:rPr>
          <w:szCs w:val="22"/>
        </w:rPr>
      </w:pPr>
    </w:p>
    <w:p w:rsidR="00EA6C52" w:rsidRDefault="00EA6C52" w:rsidP="00EE24AF">
      <w:pPr>
        <w:pStyle w:val="ListParagraph"/>
        <w:numPr>
          <w:ilvl w:val="1"/>
          <w:numId w:val="2"/>
        </w:numPr>
        <w:jc w:val="both"/>
        <w:rPr>
          <w:szCs w:val="22"/>
        </w:rPr>
      </w:pPr>
      <w:r>
        <w:rPr>
          <w:szCs w:val="22"/>
        </w:rPr>
        <w:t>The Pre-PBAC Response (p.3) contended that a recent study, a retrospective analysis of Gonal-f and Bemfola prescription and usage data in the United</w:t>
      </w:r>
      <w:r w:rsidR="00EE24AF">
        <w:rPr>
          <w:szCs w:val="22"/>
        </w:rPr>
        <w:t xml:space="preserve"> Kingdom, supported an assertion that there would be reduced wastage with Bemfola compared to Gonal-f. However the PBAC considered that it was difficult to interpret </w:t>
      </w:r>
      <w:r w:rsidR="00493EDC">
        <w:rPr>
          <w:szCs w:val="22"/>
        </w:rPr>
        <w:t>the retrospective analysis in this context as there was uncertainty around how much Bemfola would actually have been supplied.</w:t>
      </w:r>
    </w:p>
    <w:p w:rsidR="00EA6C52" w:rsidRDefault="00EA6C52" w:rsidP="00C00DA7">
      <w:pPr>
        <w:pStyle w:val="ListParagraph"/>
        <w:ind w:left="709"/>
        <w:jc w:val="both"/>
        <w:rPr>
          <w:szCs w:val="22"/>
        </w:rPr>
      </w:pPr>
    </w:p>
    <w:p w:rsidR="00223763" w:rsidRPr="00882085" w:rsidRDefault="00223763" w:rsidP="00A62E6C">
      <w:pPr>
        <w:pStyle w:val="Heading2"/>
        <w:rPr>
          <w:b w:val="0"/>
          <w:i w:val="0"/>
        </w:rPr>
      </w:pPr>
      <w:r>
        <w:t>Quality use of medicines</w:t>
      </w:r>
    </w:p>
    <w:p w:rsidR="00EC5DB8" w:rsidRDefault="00EC5DB8" w:rsidP="00EF6B97">
      <w:pPr>
        <w:pStyle w:val="ListParagraph"/>
        <w:keepNext/>
        <w:jc w:val="both"/>
      </w:pPr>
    </w:p>
    <w:p w:rsidR="00BB6679" w:rsidRPr="001D57AE" w:rsidRDefault="00136A2C" w:rsidP="001D57AE">
      <w:pPr>
        <w:pStyle w:val="ListParagraph"/>
        <w:numPr>
          <w:ilvl w:val="1"/>
          <w:numId w:val="2"/>
        </w:numPr>
        <w:jc w:val="both"/>
      </w:pPr>
      <w:r w:rsidRPr="001D57AE">
        <w:t xml:space="preserve">The </w:t>
      </w:r>
      <w:r w:rsidR="007A1923" w:rsidRPr="001D57AE">
        <w:t xml:space="preserve">postulated </w:t>
      </w:r>
      <w:r w:rsidRPr="001D57AE">
        <w:t xml:space="preserve">advantages of Bemfola over Gonal-f </w:t>
      </w:r>
      <w:r w:rsidR="007A1923" w:rsidRPr="001D57AE">
        <w:t>include:</w:t>
      </w:r>
      <w:r w:rsidRPr="001D57AE">
        <w:t xml:space="preserve"> </w:t>
      </w:r>
      <w:r w:rsidR="00664537" w:rsidRPr="001D57AE">
        <w:t xml:space="preserve">i) </w:t>
      </w:r>
      <w:r w:rsidR="007A1923" w:rsidRPr="001D57AE">
        <w:t>a preservative</w:t>
      </w:r>
      <w:r w:rsidR="001467B5" w:rsidRPr="001D57AE">
        <w:t>-</w:t>
      </w:r>
      <w:r w:rsidR="007A1923" w:rsidRPr="001D57AE">
        <w:t xml:space="preserve">free formulation; </w:t>
      </w:r>
      <w:r w:rsidR="00664537" w:rsidRPr="001D57AE">
        <w:t xml:space="preserve">ii) </w:t>
      </w:r>
      <w:r w:rsidR="007A1923" w:rsidRPr="001D57AE">
        <w:t xml:space="preserve">convenience </w:t>
      </w:r>
      <w:r w:rsidR="00475941" w:rsidRPr="001D57AE">
        <w:t xml:space="preserve">and accurate dosage </w:t>
      </w:r>
      <w:r w:rsidR="007A1923" w:rsidRPr="001D57AE">
        <w:t xml:space="preserve">due to </w:t>
      </w:r>
      <w:r w:rsidR="00664537" w:rsidRPr="001D57AE">
        <w:t>the</w:t>
      </w:r>
      <w:r w:rsidRPr="001D57AE">
        <w:t xml:space="preserve"> device </w:t>
      </w:r>
      <w:r w:rsidR="007A1923" w:rsidRPr="001D57AE">
        <w:t>of</w:t>
      </w:r>
      <w:r w:rsidRPr="001D57AE">
        <w:t xml:space="preserve"> a small single</w:t>
      </w:r>
      <w:r w:rsidR="007A1923" w:rsidRPr="001D57AE">
        <w:t>-</w:t>
      </w:r>
      <w:r w:rsidRPr="001D57AE">
        <w:t xml:space="preserve">use pen with volume and injection control mechanisms; </w:t>
      </w:r>
      <w:r w:rsidR="00664537" w:rsidRPr="001D57AE">
        <w:t xml:space="preserve">and iii) </w:t>
      </w:r>
      <w:r w:rsidR="0014320E" w:rsidRPr="001D57AE">
        <w:t xml:space="preserve">allowance for </w:t>
      </w:r>
      <w:r w:rsidRPr="001D57AE">
        <w:t xml:space="preserve">fine tune dosing (minimum 12.5IU increments </w:t>
      </w:r>
      <w:r w:rsidR="0014320E" w:rsidRPr="001D57AE">
        <w:t>vs</w:t>
      </w:r>
      <w:r w:rsidRPr="001D57AE">
        <w:t xml:space="preserve"> 37.5IU for Gonal-f).</w:t>
      </w:r>
      <w:r w:rsidR="00663AE1" w:rsidRPr="001D57AE">
        <w:t xml:space="preserve"> </w:t>
      </w:r>
      <w:r w:rsidR="009C6CD4" w:rsidRPr="001D57AE">
        <w:t xml:space="preserve">The smaller dosage adjustment claimed to be possible </w:t>
      </w:r>
      <w:r w:rsidR="0020343F" w:rsidRPr="001D57AE">
        <w:t xml:space="preserve">with </w:t>
      </w:r>
      <w:r w:rsidR="009C6CD4" w:rsidRPr="001D57AE">
        <w:rPr>
          <w:szCs w:val="22"/>
        </w:rPr>
        <w:t>Bemfola</w:t>
      </w:r>
      <w:r w:rsidR="009C6CD4" w:rsidRPr="001D57AE">
        <w:t xml:space="preserve"> could be advantageous in the ovarian stimulation ART protocol, but not in the other proposed indications where the dose of </w:t>
      </w:r>
      <w:r w:rsidR="004B0B86" w:rsidRPr="001D57AE">
        <w:t>r-hFSH</w:t>
      </w:r>
      <w:r w:rsidR="009C6CD4" w:rsidRPr="001D57AE">
        <w:t xml:space="preserve"> (including </w:t>
      </w:r>
      <w:r w:rsidR="009C6CD4" w:rsidRPr="001D57AE">
        <w:rPr>
          <w:szCs w:val="22"/>
        </w:rPr>
        <w:t>Bemfola</w:t>
      </w:r>
      <w:r w:rsidR="009C6CD4" w:rsidRPr="001D57AE">
        <w:t xml:space="preserve"> and </w:t>
      </w:r>
      <w:r w:rsidR="009C6CD4" w:rsidRPr="001D57AE">
        <w:rPr>
          <w:szCs w:val="22"/>
        </w:rPr>
        <w:t xml:space="preserve">Gonal-f) is adjusted in </w:t>
      </w:r>
      <w:r w:rsidR="009C6CD4" w:rsidRPr="001D57AE">
        <w:rPr>
          <w:szCs w:val="22"/>
        </w:rPr>
        <w:lastRenderedPageBreak/>
        <w:t xml:space="preserve">increments/decrements of 37.5IU up to 75IU to </w:t>
      </w:r>
      <w:r w:rsidR="00B84493" w:rsidRPr="001D57AE">
        <w:rPr>
          <w:szCs w:val="22"/>
        </w:rPr>
        <w:t>obtain an adequate, but not excessive response</w:t>
      </w:r>
      <w:r w:rsidR="009C6CD4" w:rsidRPr="001D57AE">
        <w:t>.</w:t>
      </w:r>
      <w:r w:rsidR="00B84493" w:rsidRPr="001D57AE">
        <w:t xml:space="preserve"> </w:t>
      </w:r>
    </w:p>
    <w:p w:rsidR="00BB6679" w:rsidRPr="001D57AE" w:rsidRDefault="00BB6679" w:rsidP="00BB6679">
      <w:pPr>
        <w:pStyle w:val="ListParagraph"/>
        <w:jc w:val="both"/>
      </w:pPr>
    </w:p>
    <w:p w:rsidR="00BB6679" w:rsidRPr="001D57AE" w:rsidRDefault="00475906" w:rsidP="001D57AE">
      <w:pPr>
        <w:pStyle w:val="ListParagraph"/>
        <w:numPr>
          <w:ilvl w:val="1"/>
          <w:numId w:val="2"/>
        </w:numPr>
        <w:jc w:val="both"/>
      </w:pPr>
      <w:r w:rsidRPr="001D57AE">
        <w:t>P</w:t>
      </w:r>
      <w:r w:rsidR="00BB6679" w:rsidRPr="001D57AE">
        <w:t>atients requiring dose adjustment</w:t>
      </w:r>
      <w:r w:rsidR="00E91F15" w:rsidRPr="001D57AE">
        <w:t xml:space="preserve"> </w:t>
      </w:r>
      <w:r w:rsidR="00BB6679" w:rsidRPr="001D57AE">
        <w:t xml:space="preserve">may need </w:t>
      </w:r>
      <w:r w:rsidRPr="001D57AE">
        <w:t xml:space="preserve">to </w:t>
      </w:r>
      <w:r w:rsidR="00BB6679" w:rsidRPr="001D57AE">
        <w:t>switch to a different strength</w:t>
      </w:r>
      <w:r w:rsidR="00211E7E" w:rsidRPr="001D57AE">
        <w:t xml:space="preserve"> of the</w:t>
      </w:r>
      <w:r w:rsidR="00BB6679" w:rsidRPr="001D57AE">
        <w:t xml:space="preserve"> Bemfola pen</w:t>
      </w:r>
      <w:r w:rsidR="00037E2D" w:rsidRPr="001D57AE">
        <w:t xml:space="preserve">; whilst </w:t>
      </w:r>
      <w:r w:rsidR="00211E7E" w:rsidRPr="001D57AE">
        <w:t xml:space="preserve">the </w:t>
      </w:r>
      <w:r w:rsidR="00B81B57" w:rsidRPr="001D57AE">
        <w:rPr>
          <w:szCs w:val="22"/>
        </w:rPr>
        <w:t xml:space="preserve">Gonal-f </w:t>
      </w:r>
      <w:r w:rsidR="00B81B57" w:rsidRPr="001D57AE">
        <w:t xml:space="preserve">pen allows for multiple administrations of different doses of </w:t>
      </w:r>
      <w:r w:rsidR="00BB6679" w:rsidRPr="001D57AE">
        <w:t>Gonal-f</w:t>
      </w:r>
      <w:r w:rsidR="00037E2D" w:rsidRPr="001D57AE">
        <w:rPr>
          <w:vertAlign w:val="superscript"/>
        </w:rPr>
        <w:t xml:space="preserve"> </w:t>
      </w:r>
      <w:r w:rsidR="00B81B57" w:rsidRPr="001D57AE">
        <w:t xml:space="preserve">and is likely to reduce drug wastage. </w:t>
      </w:r>
    </w:p>
    <w:p w:rsidR="005C650F" w:rsidRPr="001D57AE" w:rsidRDefault="005C650F" w:rsidP="005C650F">
      <w:pPr>
        <w:pStyle w:val="ListParagraph"/>
        <w:jc w:val="both"/>
      </w:pPr>
    </w:p>
    <w:p w:rsidR="005C650F" w:rsidRPr="001D57AE" w:rsidRDefault="001363BB" w:rsidP="001D57AE">
      <w:pPr>
        <w:pStyle w:val="ListParagraph"/>
        <w:numPr>
          <w:ilvl w:val="1"/>
          <w:numId w:val="2"/>
        </w:numPr>
        <w:jc w:val="both"/>
      </w:pPr>
      <w:r w:rsidRPr="001D57AE">
        <w:t>Bemfola and Gonal-f differ in their presentations: Be</w:t>
      </w:r>
      <w:r w:rsidR="007A47B5" w:rsidRPr="001D57AE">
        <w:t>m</w:t>
      </w:r>
      <w:r w:rsidRPr="001D57AE">
        <w:t>fola is a single dose pen and Gonal-f a multidose pen</w:t>
      </w:r>
      <w:r w:rsidR="00ED41C3" w:rsidRPr="001D57AE">
        <w:t>; only two strengths of the brands are the same (300</w:t>
      </w:r>
      <w:r w:rsidR="00065F77">
        <w:t> </w:t>
      </w:r>
      <w:r w:rsidR="00ED41C3" w:rsidRPr="001D57AE">
        <w:t>IU and 450 IU) and the proposed PBS maximum quantities differ</w:t>
      </w:r>
      <w:r w:rsidRPr="001D57AE">
        <w:t xml:space="preserve">. </w:t>
      </w:r>
      <w:r w:rsidR="00ED41C3" w:rsidRPr="001D57AE">
        <w:rPr>
          <w:szCs w:val="22"/>
        </w:rPr>
        <w:t>P</w:t>
      </w:r>
      <w:r w:rsidR="005C650F" w:rsidRPr="001D57AE">
        <w:rPr>
          <w:szCs w:val="22"/>
        </w:rPr>
        <w:t xml:space="preserve">atients switching from one medicine to the other </w:t>
      </w:r>
      <w:r w:rsidR="0020343F" w:rsidRPr="001D57AE">
        <w:rPr>
          <w:szCs w:val="22"/>
        </w:rPr>
        <w:t xml:space="preserve">would </w:t>
      </w:r>
      <w:r w:rsidR="005C650F" w:rsidRPr="001D57AE">
        <w:rPr>
          <w:szCs w:val="22"/>
        </w:rPr>
        <w:t>require education regard</w:t>
      </w:r>
      <w:r w:rsidR="00FF70E3">
        <w:rPr>
          <w:szCs w:val="22"/>
        </w:rPr>
        <w:t>ing</w:t>
      </w:r>
      <w:r w:rsidR="005C650F" w:rsidRPr="001D57AE">
        <w:rPr>
          <w:szCs w:val="22"/>
        </w:rPr>
        <w:t xml:space="preserve"> </w:t>
      </w:r>
      <w:r w:rsidR="0020343F" w:rsidRPr="001D57AE">
        <w:rPr>
          <w:szCs w:val="22"/>
        </w:rPr>
        <w:t>the two</w:t>
      </w:r>
      <w:r w:rsidR="005C650F" w:rsidRPr="001D57AE">
        <w:rPr>
          <w:szCs w:val="22"/>
        </w:rPr>
        <w:t xml:space="preserve"> medications and their associated injection devices</w:t>
      </w:r>
      <w:r w:rsidR="0020343F" w:rsidRPr="001D57AE">
        <w:rPr>
          <w:szCs w:val="22"/>
        </w:rPr>
        <w:t xml:space="preserve">. </w:t>
      </w:r>
    </w:p>
    <w:p w:rsidR="00BB6679" w:rsidRPr="00E607FD" w:rsidRDefault="00BB6679" w:rsidP="005C650F">
      <w:pPr>
        <w:jc w:val="both"/>
      </w:pPr>
    </w:p>
    <w:p w:rsidR="001D57AE" w:rsidRPr="002D1FDC" w:rsidRDefault="001D57AE" w:rsidP="001D57AE">
      <w:pPr>
        <w:widowControl w:val="0"/>
        <w:ind w:left="709"/>
        <w:contextualSpacing/>
        <w:jc w:val="both"/>
        <w:rPr>
          <w:rFonts w:cs="Arial"/>
          <w:i/>
          <w:snapToGrid w:val="0"/>
          <w:szCs w:val="22"/>
          <w:lang w:eastAsia="en-US"/>
        </w:rPr>
      </w:pPr>
      <w:r w:rsidRPr="006902E3">
        <w:rPr>
          <w:rFonts w:cs="Arial"/>
          <w:i/>
          <w:snapToGrid w:val="0"/>
          <w:szCs w:val="22"/>
          <w:lang w:eastAsia="en-US"/>
        </w:rPr>
        <w:t>For more detail on PBAC’s view, see section 7 “PBAC outcome”</w:t>
      </w:r>
    </w:p>
    <w:p w:rsidR="00645651" w:rsidRPr="001D57AE" w:rsidRDefault="00645651" w:rsidP="00464CF0">
      <w:pPr>
        <w:jc w:val="both"/>
        <w:rPr>
          <w:szCs w:val="22"/>
        </w:rPr>
      </w:pPr>
    </w:p>
    <w:p w:rsidR="009B4546" w:rsidRPr="009630D9" w:rsidRDefault="009B4546" w:rsidP="009B4546">
      <w:pPr>
        <w:ind w:firstLine="709"/>
        <w:rPr>
          <w:rFonts w:ascii="Arial Narrow" w:hAnsi="Arial Narrow"/>
          <w:szCs w:val="22"/>
        </w:rPr>
      </w:pPr>
    </w:p>
    <w:p w:rsidR="009B4546" w:rsidRPr="009D6496" w:rsidRDefault="009B4546" w:rsidP="00A62E6C">
      <w:pPr>
        <w:pStyle w:val="Heading1"/>
      </w:pPr>
      <w:r w:rsidRPr="009D6496">
        <w:t>PBAC Outcome</w:t>
      </w:r>
    </w:p>
    <w:p w:rsidR="009B4546" w:rsidRPr="009D6496" w:rsidRDefault="009B4546" w:rsidP="009B4546">
      <w:pPr>
        <w:contextualSpacing/>
        <w:rPr>
          <w:rFonts w:cs="Arial"/>
          <w:b/>
          <w:bCs/>
          <w:szCs w:val="22"/>
          <w:lang w:val="en-GB"/>
        </w:rPr>
      </w:pPr>
    </w:p>
    <w:p w:rsidR="009B4546" w:rsidRDefault="006C4967" w:rsidP="008E2B9B">
      <w:pPr>
        <w:widowControl w:val="0"/>
        <w:numPr>
          <w:ilvl w:val="1"/>
          <w:numId w:val="2"/>
        </w:numPr>
        <w:contextualSpacing/>
        <w:jc w:val="both"/>
        <w:rPr>
          <w:rFonts w:cs="Arial"/>
          <w:bCs/>
          <w:szCs w:val="22"/>
          <w:lang w:val="en-GB"/>
        </w:rPr>
      </w:pPr>
      <w:r w:rsidRPr="009D6496">
        <w:rPr>
          <w:rFonts w:cs="Arial"/>
          <w:bCs/>
          <w:szCs w:val="22"/>
          <w:lang w:val="en-GB"/>
        </w:rPr>
        <w:t>The PBAC recommended the listing of follitropin alfa (Bemfola) as a biosimilar of follitropin alfa (Gonal-f), on a cost-minimisation basis to follitropin alfa (Gonal-f), where the equi-effective doses are</w:t>
      </w:r>
      <w:r w:rsidR="00614369">
        <w:rPr>
          <w:rFonts w:cs="Arial"/>
          <w:bCs/>
          <w:szCs w:val="22"/>
          <w:lang w:val="en-GB"/>
        </w:rPr>
        <w:t xml:space="preserve"> 1.0 I.U follitropin alfa (Bemfola) and 1.0 I.U follitropin alfa (Gonal-f). </w:t>
      </w:r>
      <w:r w:rsidR="009D6496">
        <w:rPr>
          <w:rFonts w:cs="Arial"/>
          <w:bCs/>
          <w:szCs w:val="22"/>
          <w:lang w:val="en-GB"/>
        </w:rPr>
        <w:t xml:space="preserve">The PBAC recommended that the same indications that apply to follitropin alfa (Gonal-f) should apply to follitropin alfa (Bemfola). Gonal-f is currently listed on the General </w:t>
      </w:r>
      <w:r w:rsidR="00517A14">
        <w:rPr>
          <w:rFonts w:cs="Arial"/>
          <w:bCs/>
          <w:szCs w:val="22"/>
          <w:lang w:val="en-GB"/>
        </w:rPr>
        <w:t>Schedule for anovulatory infertility and hypogonadotrophic hypogonadism, and on the Section 100 IVF Program for Assisted Reproductive Technology.</w:t>
      </w:r>
    </w:p>
    <w:p w:rsidR="008E2B9B" w:rsidRPr="00D92954" w:rsidRDefault="008E2B9B" w:rsidP="008E2B9B">
      <w:pPr>
        <w:widowControl w:val="0"/>
        <w:ind w:left="720"/>
        <w:contextualSpacing/>
        <w:jc w:val="both"/>
        <w:rPr>
          <w:rFonts w:cs="Arial"/>
          <w:bCs/>
          <w:szCs w:val="22"/>
          <w:lang w:val="en-GB"/>
        </w:rPr>
      </w:pPr>
    </w:p>
    <w:p w:rsidR="00B91A0E" w:rsidRDefault="00B91A0E" w:rsidP="009B4546">
      <w:pPr>
        <w:widowControl w:val="0"/>
        <w:numPr>
          <w:ilvl w:val="1"/>
          <w:numId w:val="2"/>
        </w:numPr>
        <w:contextualSpacing/>
        <w:jc w:val="both"/>
        <w:rPr>
          <w:rFonts w:cs="Arial"/>
          <w:bCs/>
          <w:szCs w:val="22"/>
          <w:lang w:val="en-GB"/>
        </w:rPr>
      </w:pPr>
      <w:r>
        <w:rPr>
          <w:rFonts w:cs="Arial"/>
          <w:bCs/>
          <w:szCs w:val="22"/>
          <w:lang w:val="en-GB"/>
        </w:rPr>
        <w:t xml:space="preserve">The PBAC considered that a claim of non-inferior comparative effectiveness and non-inferior comparative safety was adequately supported. The PBAC noted that the </w:t>
      </w:r>
      <w:r w:rsidR="00F3319F">
        <w:rPr>
          <w:rFonts w:cs="Arial"/>
          <w:bCs/>
          <w:szCs w:val="22"/>
          <w:lang w:val="en-GB"/>
        </w:rPr>
        <w:t xml:space="preserve">TGA </w:t>
      </w:r>
      <w:r w:rsidR="00E6634F">
        <w:rPr>
          <w:rFonts w:cs="Arial"/>
          <w:bCs/>
          <w:szCs w:val="22"/>
          <w:lang w:val="en-GB"/>
        </w:rPr>
        <w:t xml:space="preserve">has </w:t>
      </w:r>
      <w:r w:rsidR="00F3319F">
        <w:rPr>
          <w:rFonts w:cs="Arial"/>
          <w:bCs/>
          <w:szCs w:val="22"/>
          <w:lang w:val="en-GB"/>
        </w:rPr>
        <w:t xml:space="preserve">declared Bemfola a biosimilar </w:t>
      </w:r>
      <w:r w:rsidR="005E472E">
        <w:rPr>
          <w:rFonts w:cs="Arial"/>
          <w:bCs/>
          <w:szCs w:val="22"/>
          <w:lang w:val="en-GB"/>
        </w:rPr>
        <w:t>to</w:t>
      </w:r>
      <w:r w:rsidR="00F3319F">
        <w:rPr>
          <w:rFonts w:cs="Arial"/>
          <w:bCs/>
          <w:szCs w:val="22"/>
          <w:lang w:val="en-GB"/>
        </w:rPr>
        <w:t xml:space="preserve"> Gonal-f.</w:t>
      </w:r>
    </w:p>
    <w:p w:rsidR="00B91A0E" w:rsidRDefault="00B91A0E" w:rsidP="00B91A0E">
      <w:pPr>
        <w:pStyle w:val="ListParagraph"/>
        <w:rPr>
          <w:rFonts w:cs="Arial"/>
          <w:bCs/>
          <w:szCs w:val="22"/>
          <w:lang w:val="en-GB"/>
        </w:rPr>
      </w:pPr>
    </w:p>
    <w:p w:rsidR="00B91A0E" w:rsidRDefault="006902E3" w:rsidP="009B4546">
      <w:pPr>
        <w:widowControl w:val="0"/>
        <w:numPr>
          <w:ilvl w:val="1"/>
          <w:numId w:val="2"/>
        </w:numPr>
        <w:contextualSpacing/>
        <w:jc w:val="both"/>
        <w:rPr>
          <w:rFonts w:cs="Arial"/>
          <w:bCs/>
          <w:szCs w:val="22"/>
          <w:lang w:val="en-GB"/>
        </w:rPr>
      </w:pPr>
      <w:r w:rsidRPr="00D92954">
        <w:rPr>
          <w:rFonts w:cs="Arial"/>
          <w:bCs/>
          <w:szCs w:val="22"/>
          <w:lang w:val="en-GB"/>
        </w:rPr>
        <w:t>The PBAC advised the Minister that it considered the Gonal-f and Bemfola brands of follitropin alfa could not be marked as equivalent in the Schedule of Pharmaceutical Benefits (“a” flagged), for the purposes of substitution by the pharma</w:t>
      </w:r>
      <w:r w:rsidR="00FC3C52">
        <w:rPr>
          <w:rFonts w:cs="Arial"/>
          <w:bCs/>
          <w:szCs w:val="22"/>
          <w:lang w:val="en-GB"/>
        </w:rPr>
        <w:t>cist at the point of dispensing</w:t>
      </w:r>
      <w:r w:rsidR="00103BC9">
        <w:rPr>
          <w:rFonts w:cs="Arial"/>
          <w:bCs/>
          <w:szCs w:val="22"/>
          <w:lang w:val="en-GB"/>
        </w:rPr>
        <w:t>. The PBAC advised that this is</w:t>
      </w:r>
      <w:r w:rsidR="00B91A0E">
        <w:rPr>
          <w:rFonts w:cs="Arial"/>
          <w:bCs/>
          <w:szCs w:val="22"/>
          <w:lang w:val="en-GB"/>
        </w:rPr>
        <w:t xml:space="preserve"> </w:t>
      </w:r>
      <w:r w:rsidR="00FC3C52">
        <w:rPr>
          <w:rFonts w:cs="Arial"/>
          <w:bCs/>
          <w:szCs w:val="22"/>
          <w:lang w:val="en-GB"/>
        </w:rPr>
        <w:t>primarily due to differences in the strengths</w:t>
      </w:r>
      <w:r w:rsidR="00AD6108">
        <w:rPr>
          <w:rFonts w:cs="Arial"/>
          <w:bCs/>
          <w:szCs w:val="22"/>
          <w:lang w:val="en-GB"/>
        </w:rPr>
        <w:t>, number of pens per pack</w:t>
      </w:r>
      <w:r w:rsidR="00FC3C52">
        <w:rPr>
          <w:rFonts w:cs="Arial"/>
          <w:bCs/>
          <w:szCs w:val="22"/>
          <w:lang w:val="en-GB"/>
        </w:rPr>
        <w:t xml:space="preserve"> and maximum quantities between the brands, which make substitution </w:t>
      </w:r>
      <w:r w:rsidR="00103BC9">
        <w:rPr>
          <w:rFonts w:cs="Arial"/>
          <w:bCs/>
          <w:szCs w:val="22"/>
          <w:lang w:val="en-GB"/>
        </w:rPr>
        <w:t xml:space="preserve">at the pharmacy level </w:t>
      </w:r>
      <w:r w:rsidR="00FC3C52">
        <w:rPr>
          <w:rFonts w:cs="Arial"/>
          <w:bCs/>
          <w:szCs w:val="22"/>
          <w:lang w:val="en-GB"/>
        </w:rPr>
        <w:t>difficult from a practical perspective.</w:t>
      </w:r>
    </w:p>
    <w:p w:rsidR="00544186" w:rsidRDefault="00544186" w:rsidP="00544186">
      <w:pPr>
        <w:pStyle w:val="ListParagraph"/>
        <w:rPr>
          <w:rFonts w:cs="Arial"/>
          <w:bCs/>
          <w:szCs w:val="22"/>
          <w:lang w:val="en-GB"/>
        </w:rPr>
      </w:pPr>
    </w:p>
    <w:p w:rsidR="007D23A1" w:rsidRPr="007D23A1" w:rsidRDefault="00544186" w:rsidP="007D23A1">
      <w:pPr>
        <w:widowControl w:val="0"/>
        <w:numPr>
          <w:ilvl w:val="1"/>
          <w:numId w:val="2"/>
        </w:numPr>
        <w:contextualSpacing/>
        <w:jc w:val="both"/>
        <w:rPr>
          <w:rFonts w:cs="Arial"/>
          <w:bCs/>
          <w:szCs w:val="22"/>
          <w:lang w:val="en-GB"/>
        </w:rPr>
      </w:pPr>
      <w:r>
        <w:rPr>
          <w:rFonts w:cs="Arial"/>
          <w:bCs/>
          <w:szCs w:val="22"/>
          <w:lang w:val="en-GB"/>
        </w:rPr>
        <w:t xml:space="preserve">The PBAC considered a range of </w:t>
      </w:r>
      <w:r w:rsidR="00AD6108">
        <w:rPr>
          <w:rFonts w:cs="Arial"/>
          <w:bCs/>
          <w:szCs w:val="22"/>
          <w:lang w:val="en-GB"/>
        </w:rPr>
        <w:t xml:space="preserve">other </w:t>
      </w:r>
      <w:r>
        <w:rPr>
          <w:rFonts w:cs="Arial"/>
          <w:bCs/>
          <w:szCs w:val="22"/>
          <w:lang w:val="en-GB"/>
        </w:rPr>
        <w:t>factors in forming its view on brand substitution (“a” flagging) including:</w:t>
      </w:r>
    </w:p>
    <w:p w:rsidR="001572A8" w:rsidRDefault="001572A8" w:rsidP="001572A8">
      <w:pPr>
        <w:pStyle w:val="ListParagraph"/>
        <w:numPr>
          <w:ilvl w:val="0"/>
          <w:numId w:val="32"/>
        </w:numPr>
        <w:ind w:left="1134" w:hanging="414"/>
        <w:jc w:val="both"/>
        <w:rPr>
          <w:rFonts w:cs="Arial"/>
          <w:bCs/>
          <w:snapToGrid w:val="0"/>
          <w:szCs w:val="22"/>
          <w:lang w:val="en-GB"/>
        </w:rPr>
      </w:pPr>
      <w:r>
        <w:rPr>
          <w:rFonts w:cs="Arial"/>
          <w:bCs/>
          <w:snapToGrid w:val="0"/>
          <w:szCs w:val="22"/>
          <w:lang w:val="en-GB"/>
        </w:rPr>
        <w:t>The</w:t>
      </w:r>
      <w:r w:rsidR="007D23A1">
        <w:rPr>
          <w:rFonts w:cs="Arial"/>
          <w:bCs/>
          <w:snapToGrid w:val="0"/>
          <w:szCs w:val="22"/>
          <w:lang w:val="en-GB"/>
        </w:rPr>
        <w:t xml:space="preserve"> results from randomised clinical trials FIN1001, with regard to pharmacokinetic bioequivalence, and FIN3001, with regard to oocyte retrieval, support</w:t>
      </w:r>
      <w:r w:rsidRPr="00B87898">
        <w:rPr>
          <w:rFonts w:cs="Arial"/>
          <w:bCs/>
          <w:snapToGrid w:val="0"/>
          <w:szCs w:val="22"/>
          <w:lang w:val="en-GB"/>
        </w:rPr>
        <w:t xml:space="preserve"> </w:t>
      </w:r>
      <w:r>
        <w:rPr>
          <w:rFonts w:cs="Arial"/>
          <w:bCs/>
          <w:snapToGrid w:val="0"/>
          <w:szCs w:val="22"/>
          <w:lang w:val="en-GB"/>
        </w:rPr>
        <w:t>a finding</w:t>
      </w:r>
      <w:r w:rsidRPr="00B87898">
        <w:rPr>
          <w:rFonts w:cs="Arial"/>
          <w:bCs/>
          <w:snapToGrid w:val="0"/>
          <w:szCs w:val="22"/>
          <w:lang w:val="en-GB"/>
        </w:rPr>
        <w:t xml:space="preserve"> that </w:t>
      </w:r>
      <w:r>
        <w:rPr>
          <w:rFonts w:cs="Arial"/>
          <w:bCs/>
          <w:snapToGrid w:val="0"/>
          <w:szCs w:val="22"/>
          <w:lang w:val="en-GB"/>
        </w:rPr>
        <w:t>Bemfola</w:t>
      </w:r>
      <w:r w:rsidRPr="00B87898">
        <w:rPr>
          <w:rFonts w:cs="Arial"/>
          <w:bCs/>
          <w:snapToGrid w:val="0"/>
          <w:szCs w:val="22"/>
          <w:lang w:val="en-GB"/>
        </w:rPr>
        <w:t xml:space="preserve"> has equivalent effectiveness and equivalent safety compared to </w:t>
      </w:r>
      <w:r w:rsidR="00252E97">
        <w:rPr>
          <w:rFonts w:cs="Arial"/>
          <w:bCs/>
          <w:snapToGrid w:val="0"/>
          <w:szCs w:val="22"/>
          <w:lang w:val="en-GB"/>
        </w:rPr>
        <w:t>Gonal-f.</w:t>
      </w:r>
    </w:p>
    <w:p w:rsidR="007D23A1" w:rsidRDefault="00AD6108" w:rsidP="001572A8">
      <w:pPr>
        <w:pStyle w:val="ListParagraph"/>
        <w:numPr>
          <w:ilvl w:val="0"/>
          <w:numId w:val="32"/>
        </w:numPr>
        <w:ind w:left="1134" w:hanging="414"/>
        <w:jc w:val="both"/>
        <w:rPr>
          <w:rFonts w:cs="Arial"/>
          <w:bCs/>
          <w:snapToGrid w:val="0"/>
          <w:szCs w:val="22"/>
          <w:lang w:val="en-GB"/>
        </w:rPr>
      </w:pPr>
      <w:r>
        <w:rPr>
          <w:rFonts w:cs="Arial"/>
          <w:bCs/>
          <w:snapToGrid w:val="0"/>
          <w:szCs w:val="22"/>
          <w:lang w:val="en-GB"/>
        </w:rPr>
        <w:t>S</w:t>
      </w:r>
      <w:r w:rsidR="007D23A1" w:rsidRPr="007D23A1">
        <w:rPr>
          <w:rFonts w:cs="Arial"/>
          <w:bCs/>
          <w:snapToGrid w:val="0"/>
          <w:szCs w:val="22"/>
          <w:lang w:val="en-GB"/>
        </w:rPr>
        <w:t xml:space="preserve">ubjects in FIN3001, i.e. women receiving ART, </w:t>
      </w:r>
      <w:r>
        <w:rPr>
          <w:rFonts w:cs="Arial"/>
          <w:bCs/>
          <w:snapToGrid w:val="0"/>
          <w:szCs w:val="22"/>
          <w:lang w:val="en-GB"/>
        </w:rPr>
        <w:t>may be</w:t>
      </w:r>
      <w:r w:rsidR="007D23A1" w:rsidRPr="007D23A1">
        <w:rPr>
          <w:rFonts w:cs="Arial"/>
          <w:bCs/>
          <w:snapToGrid w:val="0"/>
          <w:szCs w:val="22"/>
          <w:lang w:val="en-GB"/>
        </w:rPr>
        <w:t xml:space="preserve"> the most “sensitive” population to identify differences, if any, in the benefits and harms associated with Bemfola with Gonal-f</w:t>
      </w:r>
      <w:r>
        <w:rPr>
          <w:rFonts w:cs="Arial"/>
          <w:bCs/>
          <w:snapToGrid w:val="0"/>
          <w:szCs w:val="22"/>
          <w:lang w:val="en-GB"/>
        </w:rPr>
        <w:t>.</w:t>
      </w:r>
    </w:p>
    <w:p w:rsidR="001572A8" w:rsidRPr="00626C74" w:rsidRDefault="000005D9" w:rsidP="000005D9">
      <w:pPr>
        <w:pStyle w:val="ListParagraph"/>
        <w:numPr>
          <w:ilvl w:val="0"/>
          <w:numId w:val="32"/>
        </w:numPr>
        <w:ind w:left="1134" w:hanging="414"/>
        <w:jc w:val="both"/>
        <w:rPr>
          <w:rFonts w:cs="Arial"/>
          <w:bCs/>
          <w:snapToGrid w:val="0"/>
          <w:szCs w:val="22"/>
          <w:lang w:val="en-GB"/>
        </w:rPr>
      </w:pPr>
      <w:r w:rsidRPr="000005D9">
        <w:rPr>
          <w:rFonts w:cs="Arial"/>
          <w:bCs/>
          <w:snapToGrid w:val="0"/>
          <w:szCs w:val="22"/>
          <w:lang w:val="en-GB"/>
        </w:rPr>
        <w:t xml:space="preserve">FIN3001 excluded patients who had received more than one previous treatment cycle. Whilst the number of previous treatment cycles, if any, was not recorded, it is possible that some patients in this trial were treatment-naïve. </w:t>
      </w:r>
      <w:r w:rsidR="00AD6108">
        <w:rPr>
          <w:rFonts w:cs="Arial"/>
          <w:bCs/>
          <w:snapToGrid w:val="0"/>
          <w:szCs w:val="22"/>
          <w:lang w:val="en-GB"/>
        </w:rPr>
        <w:t>R</w:t>
      </w:r>
      <w:r w:rsidRPr="000005D9">
        <w:rPr>
          <w:rFonts w:cs="Arial"/>
          <w:bCs/>
          <w:snapToGrid w:val="0"/>
          <w:szCs w:val="22"/>
          <w:lang w:val="en-GB"/>
        </w:rPr>
        <w:t>esults were not separately reported for these patients.</w:t>
      </w:r>
    </w:p>
    <w:p w:rsidR="000B1907" w:rsidRPr="000B1907" w:rsidRDefault="000B1907" w:rsidP="00F72A73">
      <w:pPr>
        <w:pStyle w:val="ListParagraph"/>
        <w:numPr>
          <w:ilvl w:val="0"/>
          <w:numId w:val="32"/>
        </w:numPr>
        <w:ind w:left="1134" w:hanging="414"/>
        <w:jc w:val="both"/>
        <w:rPr>
          <w:rFonts w:cs="Arial"/>
          <w:bCs/>
          <w:szCs w:val="22"/>
          <w:lang w:val="en-GB"/>
        </w:rPr>
      </w:pPr>
      <w:r>
        <w:rPr>
          <w:rFonts w:cs="Arial"/>
          <w:bCs/>
          <w:snapToGrid w:val="0"/>
          <w:szCs w:val="22"/>
          <w:lang w:val="en-GB"/>
        </w:rPr>
        <w:lastRenderedPageBreak/>
        <w:t xml:space="preserve">The submission did not provide </w:t>
      </w:r>
      <w:r w:rsidRPr="000B1907">
        <w:rPr>
          <w:rFonts w:cs="Arial"/>
          <w:bCs/>
          <w:snapToGrid w:val="0"/>
          <w:szCs w:val="22"/>
          <w:lang w:val="en-GB"/>
        </w:rPr>
        <w:t>any evidence regarding the efficacy and safety of switching patients between Bemfola and Gonal-f or vice versa.</w:t>
      </w:r>
    </w:p>
    <w:p w:rsidR="00544186" w:rsidRPr="001572A8" w:rsidRDefault="001572A8" w:rsidP="00F72A73">
      <w:pPr>
        <w:pStyle w:val="ListParagraph"/>
        <w:numPr>
          <w:ilvl w:val="0"/>
          <w:numId w:val="32"/>
        </w:numPr>
        <w:ind w:left="1134" w:hanging="414"/>
        <w:jc w:val="both"/>
        <w:rPr>
          <w:rFonts w:cs="Arial"/>
          <w:bCs/>
          <w:szCs w:val="22"/>
          <w:lang w:val="en-GB"/>
        </w:rPr>
      </w:pPr>
      <w:r w:rsidRPr="001572A8">
        <w:rPr>
          <w:rFonts w:cs="Arial"/>
          <w:bCs/>
          <w:snapToGrid w:val="0"/>
          <w:szCs w:val="22"/>
          <w:lang w:val="en-GB"/>
        </w:rPr>
        <w:t xml:space="preserve">The </w:t>
      </w:r>
      <w:r>
        <w:rPr>
          <w:rFonts w:cs="Arial"/>
          <w:bCs/>
          <w:snapToGrid w:val="0"/>
          <w:szCs w:val="22"/>
          <w:lang w:val="en-GB"/>
        </w:rPr>
        <w:t>TGA</w:t>
      </w:r>
      <w:r w:rsidRPr="001572A8">
        <w:rPr>
          <w:rFonts w:cs="Arial"/>
          <w:bCs/>
          <w:snapToGrid w:val="0"/>
          <w:szCs w:val="22"/>
          <w:lang w:val="en-GB"/>
        </w:rPr>
        <w:t xml:space="preserve"> has declared </w:t>
      </w:r>
      <w:r>
        <w:rPr>
          <w:rFonts w:cs="Arial"/>
          <w:bCs/>
          <w:snapToGrid w:val="0"/>
          <w:szCs w:val="22"/>
          <w:lang w:val="en-GB"/>
        </w:rPr>
        <w:t>Bemfola</w:t>
      </w:r>
      <w:r w:rsidRPr="001572A8">
        <w:rPr>
          <w:rFonts w:cs="Arial"/>
          <w:bCs/>
          <w:snapToGrid w:val="0"/>
          <w:szCs w:val="22"/>
          <w:lang w:val="en-GB"/>
        </w:rPr>
        <w:t xml:space="preserve"> a biosimilar </w:t>
      </w:r>
      <w:r>
        <w:rPr>
          <w:rFonts w:cs="Arial"/>
          <w:bCs/>
          <w:snapToGrid w:val="0"/>
          <w:szCs w:val="22"/>
          <w:lang w:val="en-GB"/>
        </w:rPr>
        <w:t>to Gonal-f</w:t>
      </w:r>
      <w:r w:rsidRPr="001572A8">
        <w:rPr>
          <w:rFonts w:cs="Arial"/>
          <w:bCs/>
          <w:snapToGrid w:val="0"/>
          <w:szCs w:val="22"/>
          <w:lang w:val="en-GB"/>
        </w:rPr>
        <w:t>.</w:t>
      </w:r>
    </w:p>
    <w:p w:rsidR="00B91A0E" w:rsidRDefault="00B91A0E" w:rsidP="00B91A0E">
      <w:pPr>
        <w:pStyle w:val="ListParagraph"/>
        <w:rPr>
          <w:rFonts w:cs="Arial"/>
          <w:bCs/>
          <w:szCs w:val="22"/>
          <w:lang w:val="en-GB"/>
        </w:rPr>
      </w:pPr>
    </w:p>
    <w:p w:rsidR="009B4546" w:rsidRPr="00566EDC" w:rsidRDefault="00CD2E67">
      <w:pPr>
        <w:widowControl w:val="0"/>
        <w:numPr>
          <w:ilvl w:val="1"/>
          <w:numId w:val="2"/>
        </w:numPr>
        <w:contextualSpacing/>
        <w:jc w:val="both"/>
        <w:rPr>
          <w:rFonts w:cs="Arial"/>
          <w:bCs/>
          <w:szCs w:val="22"/>
          <w:lang w:val="en-GB"/>
        </w:rPr>
      </w:pPr>
      <w:r w:rsidRPr="00566EDC">
        <w:rPr>
          <w:rFonts w:cs="Arial"/>
          <w:bCs/>
          <w:szCs w:val="22"/>
          <w:lang w:val="en-GB"/>
        </w:rPr>
        <w:t xml:space="preserve">The PBAC noted that the submission estimated net overall savings to the PBS of approximately </w:t>
      </w:r>
      <w:r w:rsidR="000137BA">
        <w:rPr>
          <w:rFonts w:cs="Arial"/>
          <w:bCs/>
          <w:szCs w:val="22"/>
          <w:lang w:val="en-GB"/>
        </w:rPr>
        <w:t xml:space="preserve">more than $100 million </w:t>
      </w:r>
      <w:r w:rsidRPr="00566EDC">
        <w:rPr>
          <w:rFonts w:cs="Arial"/>
          <w:bCs/>
          <w:szCs w:val="22"/>
          <w:lang w:val="en-GB"/>
        </w:rPr>
        <w:t xml:space="preserve">over the first five years of listing. </w:t>
      </w:r>
      <w:r w:rsidR="00A25D33" w:rsidRPr="00566EDC">
        <w:rPr>
          <w:rFonts w:cs="Arial"/>
          <w:bCs/>
          <w:szCs w:val="22"/>
          <w:lang w:val="en-GB"/>
        </w:rPr>
        <w:t>Approximately</w:t>
      </w:r>
      <w:r w:rsidRPr="00566EDC">
        <w:rPr>
          <w:rFonts w:cs="Arial"/>
          <w:bCs/>
          <w:szCs w:val="22"/>
          <w:lang w:val="en-GB"/>
        </w:rPr>
        <w:t xml:space="preserve"> half of this was based on the impact of the statu</w:t>
      </w:r>
      <w:r w:rsidR="00A25D33" w:rsidRPr="00566EDC">
        <w:rPr>
          <w:rFonts w:cs="Arial"/>
          <w:bCs/>
          <w:szCs w:val="22"/>
          <w:lang w:val="en-GB"/>
        </w:rPr>
        <w:t>t</w:t>
      </w:r>
      <w:r w:rsidRPr="00566EDC">
        <w:rPr>
          <w:rFonts w:cs="Arial"/>
          <w:bCs/>
          <w:szCs w:val="22"/>
          <w:lang w:val="en-GB"/>
        </w:rPr>
        <w:t xml:space="preserve">ory 16% price reduction following the listing of a biosimilar brand. </w:t>
      </w:r>
      <w:r w:rsidR="00A25D33" w:rsidRPr="00566EDC">
        <w:rPr>
          <w:rFonts w:cs="Arial"/>
          <w:bCs/>
          <w:szCs w:val="22"/>
          <w:lang w:val="en-GB"/>
        </w:rPr>
        <w:t>The remaining savings were attributed to differences in the number of prescriptions</w:t>
      </w:r>
      <w:r w:rsidR="005A0B08" w:rsidRPr="00566EDC">
        <w:rPr>
          <w:rFonts w:cs="Arial"/>
          <w:bCs/>
          <w:szCs w:val="22"/>
          <w:lang w:val="en-GB"/>
        </w:rPr>
        <w:t xml:space="preserve">, which the PBAC </w:t>
      </w:r>
      <w:r w:rsidR="00CD3A57" w:rsidRPr="00566EDC">
        <w:rPr>
          <w:rFonts w:cs="Arial"/>
          <w:bCs/>
          <w:szCs w:val="22"/>
          <w:lang w:val="en-GB"/>
        </w:rPr>
        <w:t>considered may not be</w:t>
      </w:r>
      <w:r w:rsidR="005A0B08" w:rsidRPr="00566EDC">
        <w:rPr>
          <w:rFonts w:cs="Arial"/>
          <w:bCs/>
          <w:szCs w:val="22"/>
          <w:lang w:val="en-GB"/>
        </w:rPr>
        <w:t xml:space="preserve"> plausible. The PBAC</w:t>
      </w:r>
      <w:r w:rsidR="00CD3A57" w:rsidRPr="00566EDC">
        <w:rPr>
          <w:rFonts w:cs="Arial"/>
          <w:bCs/>
          <w:szCs w:val="22"/>
          <w:lang w:val="en-GB"/>
        </w:rPr>
        <w:t xml:space="preserve"> further</w:t>
      </w:r>
      <w:r w:rsidR="005A0B08" w:rsidRPr="00566EDC">
        <w:rPr>
          <w:rFonts w:cs="Arial"/>
          <w:bCs/>
          <w:szCs w:val="22"/>
          <w:lang w:val="en-GB"/>
        </w:rPr>
        <w:t xml:space="preserve"> considered that accounting for potential wastage, the estimated savings may be overestimated.</w:t>
      </w:r>
      <w:r w:rsidR="0092387C" w:rsidRPr="00566EDC">
        <w:rPr>
          <w:rFonts w:cs="Arial"/>
          <w:bCs/>
          <w:szCs w:val="22"/>
          <w:lang w:val="en-GB"/>
        </w:rPr>
        <w:t xml:space="preserve"> The PBAC advised that the Department should take into account increased wastage associated with Bemfola when negotiating the price.</w:t>
      </w:r>
    </w:p>
    <w:p w:rsidR="009B4546" w:rsidRPr="00FE6DD8" w:rsidRDefault="009B4546" w:rsidP="009B4546">
      <w:pPr>
        <w:ind w:left="720"/>
        <w:contextualSpacing/>
        <w:rPr>
          <w:rFonts w:cs="Arial"/>
          <w:bCs/>
          <w:szCs w:val="22"/>
          <w:lang w:val="en-GB"/>
        </w:rPr>
      </w:pPr>
    </w:p>
    <w:p w:rsidR="001B0885" w:rsidRDefault="001B0885" w:rsidP="009B4546">
      <w:pPr>
        <w:widowControl w:val="0"/>
        <w:numPr>
          <w:ilvl w:val="1"/>
          <w:numId w:val="2"/>
        </w:numPr>
        <w:contextualSpacing/>
        <w:jc w:val="both"/>
        <w:rPr>
          <w:rFonts w:cs="Arial"/>
          <w:bCs/>
          <w:szCs w:val="22"/>
          <w:lang w:val="en-GB"/>
        </w:rPr>
      </w:pPr>
      <w:r>
        <w:rPr>
          <w:rFonts w:cs="Arial"/>
          <w:bCs/>
          <w:szCs w:val="22"/>
          <w:lang w:val="en-GB"/>
        </w:rPr>
        <w:t xml:space="preserve">The PBAC recommended </w:t>
      </w:r>
      <w:r w:rsidR="00A312A9">
        <w:rPr>
          <w:rFonts w:cs="Arial"/>
          <w:bCs/>
          <w:szCs w:val="22"/>
          <w:lang w:val="en-GB"/>
        </w:rPr>
        <w:t xml:space="preserve">minor amendments </w:t>
      </w:r>
      <w:r>
        <w:rPr>
          <w:rFonts w:cs="Arial"/>
          <w:bCs/>
          <w:szCs w:val="22"/>
          <w:lang w:val="en-GB"/>
        </w:rPr>
        <w:t>to the requested restriction as per the wording in the recommended listing below. The PBAC noted that these changes would also apply to the current Gonal-f restrictions.</w:t>
      </w:r>
    </w:p>
    <w:p w:rsidR="001B0885" w:rsidRDefault="001B0885" w:rsidP="001B0885">
      <w:pPr>
        <w:pStyle w:val="ListParagraph"/>
        <w:rPr>
          <w:rFonts w:cs="Arial"/>
          <w:bCs/>
          <w:szCs w:val="22"/>
          <w:lang w:val="en-GB"/>
        </w:rPr>
      </w:pPr>
    </w:p>
    <w:p w:rsidR="009B4546" w:rsidRPr="00FE6DD8" w:rsidRDefault="009B4546" w:rsidP="009B4546">
      <w:pPr>
        <w:widowControl w:val="0"/>
        <w:numPr>
          <w:ilvl w:val="1"/>
          <w:numId w:val="2"/>
        </w:numPr>
        <w:contextualSpacing/>
        <w:jc w:val="both"/>
        <w:rPr>
          <w:rFonts w:cs="Arial"/>
          <w:bCs/>
          <w:szCs w:val="22"/>
          <w:lang w:val="en-GB"/>
        </w:rPr>
      </w:pPr>
      <w:r w:rsidRPr="00FE6DD8">
        <w:rPr>
          <w:rFonts w:cs="Arial"/>
          <w:bCs/>
          <w:szCs w:val="22"/>
          <w:lang w:val="en-GB"/>
        </w:rPr>
        <w:t xml:space="preserve">The PBAC advised that </w:t>
      </w:r>
      <w:r w:rsidR="00FE6DD8" w:rsidRPr="00FE6DD8">
        <w:rPr>
          <w:rFonts w:cs="Arial"/>
          <w:bCs/>
          <w:szCs w:val="22"/>
          <w:lang w:val="en-GB"/>
        </w:rPr>
        <w:t>Bemfola</w:t>
      </w:r>
      <w:r w:rsidRPr="00FE6DD8">
        <w:rPr>
          <w:rFonts w:cs="Arial"/>
          <w:bCs/>
          <w:szCs w:val="22"/>
          <w:lang w:val="en-GB"/>
        </w:rPr>
        <w:t xml:space="preserve"> is not suitable for prescribing by nurse practitioners.</w:t>
      </w:r>
    </w:p>
    <w:p w:rsidR="009B4546" w:rsidRPr="00E6634F" w:rsidRDefault="009B4546" w:rsidP="009B4546">
      <w:pPr>
        <w:ind w:left="720"/>
        <w:contextualSpacing/>
        <w:rPr>
          <w:rFonts w:cs="Arial"/>
          <w:bCs/>
          <w:szCs w:val="22"/>
          <w:lang w:val="en-GB"/>
        </w:rPr>
      </w:pPr>
    </w:p>
    <w:p w:rsidR="009B4546" w:rsidRPr="00E6634F" w:rsidRDefault="009B4546" w:rsidP="009B4546">
      <w:pPr>
        <w:widowControl w:val="0"/>
        <w:numPr>
          <w:ilvl w:val="1"/>
          <w:numId w:val="2"/>
        </w:numPr>
        <w:contextualSpacing/>
        <w:jc w:val="both"/>
        <w:rPr>
          <w:rFonts w:cs="Arial"/>
          <w:bCs/>
          <w:szCs w:val="22"/>
          <w:lang w:val="en-GB"/>
        </w:rPr>
      </w:pPr>
      <w:r w:rsidRPr="00E6634F">
        <w:rPr>
          <w:rFonts w:cs="Arial"/>
          <w:bCs/>
          <w:szCs w:val="22"/>
          <w:lang w:val="en-GB"/>
        </w:rPr>
        <w:t xml:space="preserve">The PBAC recommended that the </w:t>
      </w:r>
      <w:r w:rsidR="006B1225">
        <w:rPr>
          <w:rFonts w:cs="Arial"/>
          <w:bCs/>
          <w:szCs w:val="22"/>
          <w:lang w:val="en-GB"/>
        </w:rPr>
        <w:t>Early Supply</w:t>
      </w:r>
      <w:r w:rsidR="00252E97">
        <w:rPr>
          <w:rFonts w:cs="Arial"/>
          <w:bCs/>
          <w:szCs w:val="22"/>
          <w:lang w:val="en-GB"/>
        </w:rPr>
        <w:t xml:space="preserve"> Rule should not apply.</w:t>
      </w:r>
    </w:p>
    <w:p w:rsidR="009B4546" w:rsidRPr="009630D9" w:rsidRDefault="009B4546" w:rsidP="009B4546">
      <w:pPr>
        <w:ind w:left="720"/>
        <w:contextualSpacing/>
        <w:rPr>
          <w:rFonts w:cs="Arial"/>
          <w:bCs/>
          <w:szCs w:val="22"/>
          <w:highlight w:val="yellow"/>
          <w:lang w:val="en-GB"/>
        </w:rPr>
      </w:pPr>
    </w:p>
    <w:p w:rsidR="009B4546" w:rsidRPr="006C4967" w:rsidRDefault="009B4546" w:rsidP="000E3CC0">
      <w:pPr>
        <w:widowControl w:val="0"/>
        <w:numPr>
          <w:ilvl w:val="1"/>
          <w:numId w:val="2"/>
        </w:numPr>
        <w:contextualSpacing/>
        <w:jc w:val="both"/>
        <w:rPr>
          <w:rFonts w:cs="Arial"/>
          <w:b/>
          <w:bCs/>
          <w:szCs w:val="22"/>
          <w:lang w:val="en-GB"/>
        </w:rPr>
      </w:pPr>
      <w:r w:rsidRPr="006C4967">
        <w:rPr>
          <w:rFonts w:cs="Arial"/>
          <w:bCs/>
          <w:szCs w:val="22"/>
          <w:lang w:val="en-GB"/>
        </w:rPr>
        <w:t>The PBAC noted that this submission is not eligible for an Independent Review.</w:t>
      </w:r>
    </w:p>
    <w:p w:rsidR="009B4546" w:rsidRPr="009630D9" w:rsidRDefault="009B4546" w:rsidP="009B4546">
      <w:pPr>
        <w:rPr>
          <w:rFonts w:cs="Arial"/>
          <w:b/>
          <w:szCs w:val="22"/>
          <w:highlight w:val="yellow"/>
          <w:lang w:val="en-GB"/>
        </w:rPr>
      </w:pPr>
    </w:p>
    <w:p w:rsidR="009B4546" w:rsidRPr="000E3CC0" w:rsidRDefault="009B4546" w:rsidP="009B4546">
      <w:pPr>
        <w:rPr>
          <w:rFonts w:cs="Arial"/>
          <w:b/>
          <w:bCs/>
          <w:szCs w:val="22"/>
          <w:lang w:val="en-GB"/>
        </w:rPr>
      </w:pPr>
    </w:p>
    <w:p w:rsidR="009B4546" w:rsidRPr="000E3CC0" w:rsidRDefault="009B4546" w:rsidP="009B4546">
      <w:pPr>
        <w:rPr>
          <w:rFonts w:cs="Arial"/>
          <w:b/>
          <w:bCs/>
          <w:szCs w:val="22"/>
          <w:lang w:val="en-GB"/>
        </w:rPr>
      </w:pPr>
      <w:r w:rsidRPr="000E3CC0">
        <w:rPr>
          <w:rFonts w:cs="Arial"/>
          <w:b/>
          <w:bCs/>
          <w:szCs w:val="22"/>
          <w:lang w:val="en-GB"/>
        </w:rPr>
        <w:t>Outcome:</w:t>
      </w:r>
    </w:p>
    <w:p w:rsidR="009B4546" w:rsidRPr="000E3CC0" w:rsidRDefault="009B4546" w:rsidP="009B4546">
      <w:pPr>
        <w:rPr>
          <w:rFonts w:cs="Arial"/>
          <w:bCs/>
          <w:szCs w:val="22"/>
          <w:lang w:val="en-GB"/>
        </w:rPr>
      </w:pPr>
      <w:r w:rsidRPr="000E3CC0">
        <w:rPr>
          <w:rFonts w:cs="Arial"/>
          <w:bCs/>
          <w:szCs w:val="22"/>
          <w:lang w:val="en-GB"/>
        </w:rPr>
        <w:t>Recommen</w:t>
      </w:r>
      <w:r w:rsidR="000E3CC0" w:rsidRPr="000E3CC0">
        <w:rPr>
          <w:rFonts w:cs="Arial"/>
          <w:bCs/>
          <w:szCs w:val="22"/>
          <w:lang w:val="en-GB"/>
        </w:rPr>
        <w:t>ded</w:t>
      </w:r>
    </w:p>
    <w:p w:rsidR="009B4546" w:rsidRPr="009630D9" w:rsidRDefault="009B4546" w:rsidP="009B4546">
      <w:pPr>
        <w:rPr>
          <w:rFonts w:cs="Arial"/>
          <w:bCs/>
          <w:szCs w:val="22"/>
          <w:highlight w:val="yellow"/>
          <w:lang w:val="en-GB"/>
        </w:rPr>
      </w:pPr>
    </w:p>
    <w:p w:rsidR="009B4546" w:rsidRPr="009630D9" w:rsidRDefault="009B4546" w:rsidP="009B4546">
      <w:pPr>
        <w:rPr>
          <w:rFonts w:cs="Arial"/>
          <w:bCs/>
          <w:szCs w:val="22"/>
          <w:highlight w:val="yellow"/>
        </w:rPr>
      </w:pPr>
    </w:p>
    <w:p w:rsidR="009B4546" w:rsidRPr="006C4967" w:rsidRDefault="009B4546" w:rsidP="00A62E6C">
      <w:pPr>
        <w:pStyle w:val="Heading1"/>
        <w:rPr>
          <w:rFonts w:cs="Arial"/>
          <w:b w:val="0"/>
          <w:bCs/>
          <w:i/>
          <w:lang w:val="en-GB"/>
        </w:rPr>
      </w:pPr>
      <w:r w:rsidRPr="006C4967">
        <w:rPr>
          <w:rFonts w:cs="Arial"/>
          <w:bCs/>
          <w:lang w:val="en-GB"/>
        </w:rPr>
        <w:t>Recommended listing</w:t>
      </w:r>
    </w:p>
    <w:p w:rsidR="009B4546" w:rsidRPr="006C4967" w:rsidRDefault="009B4546" w:rsidP="009B4546">
      <w:pPr>
        <w:rPr>
          <w:rFonts w:cs="Arial"/>
          <w:b/>
          <w:bCs/>
          <w:i/>
          <w:szCs w:val="22"/>
          <w:lang w:val="en-GB"/>
        </w:rPr>
      </w:pPr>
    </w:p>
    <w:p w:rsidR="00EF4F72" w:rsidRPr="000F66E9" w:rsidRDefault="009B4546" w:rsidP="00EF4F72">
      <w:pPr>
        <w:widowControl w:val="0"/>
        <w:numPr>
          <w:ilvl w:val="1"/>
          <w:numId w:val="2"/>
        </w:numPr>
        <w:contextualSpacing/>
        <w:jc w:val="both"/>
        <w:rPr>
          <w:rFonts w:cs="Arial"/>
          <w:b/>
          <w:bCs/>
          <w:szCs w:val="22"/>
        </w:rPr>
      </w:pPr>
      <w:r w:rsidRPr="006C4967">
        <w:rPr>
          <w:rFonts w:cs="Arial"/>
          <w:bCs/>
          <w:szCs w:val="22"/>
        </w:rPr>
        <w:t>Add new item:</w:t>
      </w:r>
    </w:p>
    <w:p w:rsidR="00EF4F72" w:rsidRPr="00EF4F72" w:rsidRDefault="00EF4F72" w:rsidP="00EF4F72">
      <w:pPr>
        <w:widowControl w:val="0"/>
        <w:contextualSpacing/>
        <w:jc w:val="both"/>
        <w:rPr>
          <w:rFonts w:cs="Arial"/>
          <w:b/>
          <w:bCs/>
          <w:szCs w:val="22"/>
        </w:rPr>
      </w:pPr>
    </w:p>
    <w:tbl>
      <w:tblPr>
        <w:tblW w:w="8397" w:type="dxa"/>
        <w:tblInd w:w="817" w:type="dxa"/>
        <w:tblLayout w:type="fixed"/>
        <w:tblLook w:val="0000" w:firstRow="0" w:lastRow="0" w:firstColumn="0" w:lastColumn="0" w:noHBand="0" w:noVBand="0"/>
      </w:tblPr>
      <w:tblGrid>
        <w:gridCol w:w="1985"/>
        <w:gridCol w:w="2268"/>
        <w:gridCol w:w="600"/>
        <w:gridCol w:w="567"/>
        <w:gridCol w:w="851"/>
        <w:gridCol w:w="2092"/>
        <w:gridCol w:w="34"/>
      </w:tblGrid>
      <w:tr w:rsidR="00EF6D7D" w:rsidRPr="0039782C" w:rsidTr="00EF6D7D">
        <w:trPr>
          <w:gridAfter w:val="1"/>
          <w:wAfter w:w="34" w:type="dxa"/>
          <w:cantSplit/>
          <w:trHeight w:val="471"/>
        </w:trPr>
        <w:tc>
          <w:tcPr>
            <w:tcW w:w="4253" w:type="dxa"/>
            <w:gridSpan w:val="2"/>
            <w:tcBorders>
              <w:bottom w:val="single" w:sz="4" w:space="0" w:color="auto"/>
            </w:tcBorders>
          </w:tcPr>
          <w:p w:rsidR="00EF6D7D" w:rsidRPr="0039782C" w:rsidRDefault="00EF6D7D" w:rsidP="001A4DB3">
            <w:pPr>
              <w:keepNext/>
              <w:ind w:left="-108" w:right="-57"/>
              <w:jc w:val="both"/>
              <w:rPr>
                <w:rFonts w:ascii="Arial Narrow" w:hAnsi="Arial Narrow" w:cs="Arial"/>
                <w:b/>
                <w:sz w:val="20"/>
                <w:szCs w:val="20"/>
              </w:rPr>
            </w:pPr>
            <w:r w:rsidRPr="0039782C">
              <w:rPr>
                <w:rFonts w:ascii="Arial Narrow" w:hAnsi="Arial Narrow" w:cs="Arial"/>
                <w:b/>
                <w:sz w:val="20"/>
                <w:szCs w:val="20"/>
              </w:rPr>
              <w:t>Name, Restriction,</w:t>
            </w:r>
          </w:p>
          <w:p w:rsidR="00EF6D7D" w:rsidRPr="0039782C" w:rsidRDefault="00EF6D7D" w:rsidP="001A4DB3">
            <w:pPr>
              <w:keepNext/>
              <w:ind w:left="-108" w:right="-57"/>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600" w:type="dxa"/>
            <w:tcBorders>
              <w:bottom w:val="single" w:sz="4" w:space="0" w:color="auto"/>
            </w:tcBorders>
          </w:tcPr>
          <w:p w:rsidR="00EF6D7D" w:rsidRPr="0039782C" w:rsidRDefault="00EF6D7D" w:rsidP="001A4DB3">
            <w:pPr>
              <w:keepNext/>
              <w:ind w:left="-108" w:right="-57"/>
              <w:jc w:val="both"/>
              <w:rPr>
                <w:rFonts w:ascii="Arial Narrow" w:hAnsi="Arial Narrow" w:cs="Arial"/>
                <w:b/>
                <w:sz w:val="20"/>
                <w:szCs w:val="20"/>
              </w:rPr>
            </w:pPr>
            <w:r w:rsidRPr="0039782C">
              <w:rPr>
                <w:rFonts w:ascii="Arial Narrow" w:hAnsi="Arial Narrow" w:cs="Arial"/>
                <w:b/>
                <w:sz w:val="20"/>
                <w:szCs w:val="20"/>
              </w:rPr>
              <w:t>Max.</w:t>
            </w:r>
          </w:p>
          <w:p w:rsidR="00EF6D7D" w:rsidRPr="0039782C" w:rsidRDefault="00EF6D7D" w:rsidP="001A4DB3">
            <w:pPr>
              <w:keepNext/>
              <w:ind w:left="-108" w:right="-57"/>
              <w:jc w:val="both"/>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Units</w:t>
            </w:r>
          </w:p>
        </w:tc>
        <w:tc>
          <w:tcPr>
            <w:tcW w:w="567" w:type="dxa"/>
            <w:tcBorders>
              <w:bottom w:val="single" w:sz="4" w:space="0" w:color="auto"/>
            </w:tcBorders>
          </w:tcPr>
          <w:p w:rsidR="00EF6D7D" w:rsidRPr="0039782C" w:rsidRDefault="00EF6D7D" w:rsidP="001A4DB3">
            <w:pPr>
              <w:keepNext/>
              <w:ind w:left="-108" w:right="-57"/>
              <w:jc w:val="both"/>
              <w:rPr>
                <w:rFonts w:ascii="Arial Narrow" w:hAnsi="Arial Narrow" w:cs="Arial"/>
                <w:b/>
                <w:sz w:val="20"/>
                <w:szCs w:val="20"/>
              </w:rPr>
            </w:pPr>
            <w:r w:rsidRPr="0039782C">
              <w:rPr>
                <w:rFonts w:ascii="Arial Narrow" w:hAnsi="Arial Narrow" w:cs="Arial"/>
                <w:b/>
                <w:sz w:val="20"/>
                <w:szCs w:val="20"/>
              </w:rPr>
              <w:t>№.of</w:t>
            </w:r>
          </w:p>
          <w:p w:rsidR="00EF6D7D" w:rsidRPr="0039782C" w:rsidRDefault="00EF6D7D" w:rsidP="001A4DB3">
            <w:pPr>
              <w:keepNext/>
              <w:ind w:left="-108" w:right="-57"/>
              <w:jc w:val="both"/>
              <w:rPr>
                <w:rFonts w:ascii="Arial Narrow" w:hAnsi="Arial Narrow" w:cs="Arial"/>
                <w:b/>
                <w:sz w:val="20"/>
                <w:szCs w:val="20"/>
              </w:rPr>
            </w:pPr>
            <w:r w:rsidRPr="0039782C">
              <w:rPr>
                <w:rFonts w:ascii="Arial Narrow" w:hAnsi="Arial Narrow" w:cs="Arial"/>
                <w:b/>
                <w:sz w:val="20"/>
                <w:szCs w:val="20"/>
              </w:rPr>
              <w:t>Rpts</w:t>
            </w:r>
          </w:p>
        </w:tc>
        <w:tc>
          <w:tcPr>
            <w:tcW w:w="2943" w:type="dxa"/>
            <w:gridSpan w:val="2"/>
            <w:tcBorders>
              <w:bottom w:val="single" w:sz="4" w:space="0" w:color="auto"/>
            </w:tcBorders>
          </w:tcPr>
          <w:p w:rsidR="00EF6D7D" w:rsidRPr="0039782C" w:rsidRDefault="00EF6D7D" w:rsidP="001A4DB3">
            <w:pPr>
              <w:keepNext/>
              <w:ind w:right="-57"/>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F6D7D" w:rsidRPr="00291388" w:rsidTr="00EF6D7D">
        <w:trPr>
          <w:gridAfter w:val="1"/>
          <w:wAfter w:w="34" w:type="dxa"/>
          <w:cantSplit/>
          <w:trHeight w:val="577"/>
        </w:trPr>
        <w:tc>
          <w:tcPr>
            <w:tcW w:w="4253" w:type="dxa"/>
            <w:gridSpan w:val="2"/>
          </w:tcPr>
          <w:p w:rsidR="00EF6D7D" w:rsidRPr="00291388" w:rsidRDefault="00EF6D7D" w:rsidP="001A4DB3">
            <w:pPr>
              <w:keepNext/>
              <w:ind w:right="-57"/>
              <w:rPr>
                <w:rFonts w:ascii="Arial Narrow" w:hAnsi="Arial Narrow"/>
                <w:sz w:val="20"/>
              </w:rPr>
            </w:pPr>
            <w:r w:rsidRPr="00291388">
              <w:rPr>
                <w:rFonts w:ascii="Arial Narrow" w:hAnsi="Arial Narrow"/>
                <w:smallCaps/>
                <w:sz w:val="20"/>
              </w:rPr>
              <w:t>Follitropin alfa</w:t>
            </w:r>
          </w:p>
          <w:p w:rsidR="00EF6D7D" w:rsidRPr="00FD73FD" w:rsidRDefault="00EF6D7D" w:rsidP="001A4DB3">
            <w:pPr>
              <w:keepNext/>
              <w:ind w:right="-57"/>
              <w:rPr>
                <w:rFonts w:ascii="Arial Narrow" w:hAnsi="Arial Narrow"/>
                <w:sz w:val="20"/>
              </w:rPr>
            </w:pPr>
            <w:r w:rsidRPr="00FD73FD">
              <w:rPr>
                <w:rFonts w:ascii="Arial Narrow" w:hAnsi="Arial Narrow"/>
                <w:sz w:val="20"/>
              </w:rPr>
              <w:t>75 units (5.5 microgram)/0.125 mL injection, 5 x 0.125 mL injection devices</w:t>
            </w:r>
          </w:p>
          <w:p w:rsidR="00EF6D7D" w:rsidRPr="00FD73FD" w:rsidRDefault="00EF6D7D" w:rsidP="001A4DB3">
            <w:pPr>
              <w:keepNext/>
              <w:ind w:right="-57"/>
              <w:rPr>
                <w:rFonts w:ascii="Arial Narrow" w:hAnsi="Arial Narrow"/>
                <w:sz w:val="20"/>
              </w:rPr>
            </w:pPr>
            <w:r w:rsidRPr="00FD73FD">
              <w:rPr>
                <w:rFonts w:ascii="Arial Narrow" w:hAnsi="Arial Narrow"/>
                <w:sz w:val="20"/>
              </w:rPr>
              <w:t>150 units (11 microgram)/0.25 mL injection, 5 x 0.25 mL injection devices</w:t>
            </w:r>
          </w:p>
          <w:p w:rsidR="00EF6D7D" w:rsidRPr="00FD73FD" w:rsidRDefault="00EF6D7D" w:rsidP="001A4DB3">
            <w:pPr>
              <w:keepNext/>
              <w:ind w:right="-57"/>
              <w:rPr>
                <w:rFonts w:ascii="Arial Narrow" w:hAnsi="Arial Narrow"/>
                <w:sz w:val="20"/>
              </w:rPr>
            </w:pPr>
            <w:r w:rsidRPr="00FD73FD">
              <w:rPr>
                <w:rFonts w:ascii="Arial Narrow" w:hAnsi="Arial Narrow"/>
                <w:sz w:val="20"/>
              </w:rPr>
              <w:t>225 units (16.5 microgram)/0.375 mL injection, 5 x 0.375 mL injection devices</w:t>
            </w:r>
          </w:p>
          <w:p w:rsidR="00EF6D7D" w:rsidRPr="00FD73FD" w:rsidRDefault="00EF6D7D" w:rsidP="001A4DB3">
            <w:pPr>
              <w:keepNext/>
              <w:ind w:right="-57"/>
              <w:rPr>
                <w:rFonts w:ascii="Arial Narrow" w:hAnsi="Arial Narrow"/>
                <w:sz w:val="20"/>
              </w:rPr>
            </w:pPr>
            <w:r w:rsidRPr="00FD73FD">
              <w:rPr>
                <w:rFonts w:ascii="Arial Narrow" w:hAnsi="Arial Narrow"/>
                <w:sz w:val="20"/>
              </w:rPr>
              <w:t>300 units (22 microgram)/0.5 mL injection, 5 x 0.5 mL injection devices</w:t>
            </w:r>
          </w:p>
          <w:p w:rsidR="00EF6D7D" w:rsidRDefault="00EF6D7D" w:rsidP="001A4DB3">
            <w:pPr>
              <w:keepNext/>
              <w:ind w:right="-57"/>
              <w:rPr>
                <w:rFonts w:ascii="Arial Narrow" w:hAnsi="Arial Narrow"/>
                <w:sz w:val="20"/>
              </w:rPr>
            </w:pPr>
            <w:r w:rsidRPr="00FD73FD">
              <w:rPr>
                <w:rFonts w:ascii="Arial Narrow" w:hAnsi="Arial Narrow"/>
                <w:sz w:val="20"/>
              </w:rPr>
              <w:t>450 units (33 microgram)/0.75 mL injection, 5 x 0.75 mL injection devices</w:t>
            </w:r>
          </w:p>
          <w:p w:rsidR="00EF6D7D" w:rsidRPr="00291388" w:rsidRDefault="00EF6D7D" w:rsidP="001A4DB3">
            <w:pPr>
              <w:keepNext/>
              <w:ind w:right="-57"/>
              <w:rPr>
                <w:rFonts w:ascii="Arial Narrow" w:hAnsi="Arial Narrow"/>
                <w:sz w:val="20"/>
              </w:rPr>
            </w:pPr>
          </w:p>
        </w:tc>
        <w:tc>
          <w:tcPr>
            <w:tcW w:w="600" w:type="dxa"/>
          </w:tcPr>
          <w:p w:rsidR="00EF6D7D" w:rsidRPr="00291388" w:rsidRDefault="00EF6D7D" w:rsidP="001A4DB3">
            <w:pPr>
              <w:keepNext/>
              <w:ind w:right="-57"/>
              <w:rPr>
                <w:rFonts w:ascii="Arial Narrow" w:hAnsi="Arial Narrow"/>
                <w:sz w:val="20"/>
              </w:rPr>
            </w:pPr>
          </w:p>
          <w:p w:rsidR="00EF6D7D" w:rsidRPr="00291388" w:rsidRDefault="00EF6D7D" w:rsidP="001A4DB3">
            <w:pPr>
              <w:keepNext/>
              <w:ind w:right="-57"/>
              <w:rPr>
                <w:rFonts w:ascii="Arial Narrow" w:hAnsi="Arial Narrow"/>
                <w:sz w:val="20"/>
              </w:rPr>
            </w:pPr>
            <w:r w:rsidRPr="00291388">
              <w:rPr>
                <w:rFonts w:ascii="Arial Narrow" w:hAnsi="Arial Narrow"/>
                <w:sz w:val="20"/>
              </w:rPr>
              <w:t>15</w:t>
            </w:r>
          </w:p>
          <w:p w:rsidR="00EF6D7D" w:rsidRDefault="00EF6D7D" w:rsidP="001A4DB3">
            <w:pPr>
              <w:keepNext/>
              <w:ind w:right="-57"/>
              <w:rPr>
                <w:rFonts w:ascii="Arial Narrow" w:hAnsi="Arial Narrow"/>
                <w:sz w:val="20"/>
              </w:rPr>
            </w:pPr>
          </w:p>
          <w:p w:rsidR="00EF6D7D" w:rsidRPr="00291388" w:rsidRDefault="00EF6D7D" w:rsidP="001A4DB3">
            <w:pPr>
              <w:keepNext/>
              <w:ind w:right="-57"/>
              <w:rPr>
                <w:rFonts w:ascii="Arial Narrow" w:hAnsi="Arial Narrow"/>
                <w:sz w:val="20"/>
              </w:rPr>
            </w:pPr>
            <w:r w:rsidRPr="00291388">
              <w:rPr>
                <w:rFonts w:ascii="Arial Narrow" w:hAnsi="Arial Narrow"/>
                <w:sz w:val="20"/>
              </w:rPr>
              <w:t>15</w:t>
            </w:r>
          </w:p>
          <w:p w:rsidR="00EF6D7D" w:rsidRDefault="00EF6D7D" w:rsidP="001A4DB3">
            <w:pPr>
              <w:keepNext/>
              <w:ind w:right="-57"/>
              <w:rPr>
                <w:rFonts w:ascii="Arial Narrow" w:hAnsi="Arial Narrow"/>
                <w:sz w:val="20"/>
              </w:rPr>
            </w:pPr>
          </w:p>
          <w:p w:rsidR="00EF6D7D" w:rsidRPr="00291388" w:rsidRDefault="00EF6D7D" w:rsidP="001A4DB3">
            <w:pPr>
              <w:keepNext/>
              <w:ind w:right="-57"/>
              <w:rPr>
                <w:rFonts w:ascii="Arial Narrow" w:hAnsi="Arial Narrow"/>
                <w:sz w:val="20"/>
              </w:rPr>
            </w:pPr>
            <w:r w:rsidRPr="00291388">
              <w:rPr>
                <w:rFonts w:ascii="Arial Narrow" w:hAnsi="Arial Narrow"/>
                <w:sz w:val="20"/>
              </w:rPr>
              <w:t>15</w:t>
            </w:r>
          </w:p>
          <w:p w:rsidR="00EF6D7D" w:rsidRDefault="00EF6D7D" w:rsidP="001A4DB3">
            <w:pPr>
              <w:keepNext/>
              <w:ind w:right="-57"/>
              <w:rPr>
                <w:rFonts w:ascii="Arial Narrow" w:hAnsi="Arial Narrow"/>
                <w:sz w:val="20"/>
              </w:rPr>
            </w:pPr>
          </w:p>
          <w:p w:rsidR="00EF6D7D" w:rsidRPr="00291388" w:rsidRDefault="00EF6D7D" w:rsidP="001A4DB3">
            <w:pPr>
              <w:keepNext/>
              <w:ind w:right="-57"/>
              <w:rPr>
                <w:rFonts w:ascii="Arial Narrow" w:hAnsi="Arial Narrow"/>
                <w:sz w:val="20"/>
              </w:rPr>
            </w:pPr>
            <w:r w:rsidRPr="00291388">
              <w:rPr>
                <w:rFonts w:ascii="Arial Narrow" w:hAnsi="Arial Narrow"/>
                <w:sz w:val="20"/>
              </w:rPr>
              <w:t>15</w:t>
            </w:r>
          </w:p>
          <w:p w:rsidR="00EF6D7D" w:rsidRDefault="00EF6D7D" w:rsidP="001A4DB3">
            <w:pPr>
              <w:keepNext/>
              <w:ind w:right="-57"/>
              <w:rPr>
                <w:rFonts w:ascii="Arial Narrow" w:hAnsi="Arial Narrow"/>
                <w:sz w:val="20"/>
              </w:rPr>
            </w:pPr>
          </w:p>
          <w:p w:rsidR="00EF6D7D" w:rsidRPr="00291388" w:rsidRDefault="00EF6D7D" w:rsidP="001A4DB3">
            <w:pPr>
              <w:keepNext/>
              <w:ind w:right="-57"/>
              <w:rPr>
                <w:rFonts w:ascii="Arial Narrow" w:hAnsi="Arial Narrow"/>
                <w:sz w:val="20"/>
              </w:rPr>
            </w:pPr>
            <w:r w:rsidRPr="00291388">
              <w:rPr>
                <w:rFonts w:ascii="Arial Narrow" w:hAnsi="Arial Narrow"/>
                <w:sz w:val="20"/>
              </w:rPr>
              <w:t>15</w:t>
            </w:r>
          </w:p>
        </w:tc>
        <w:tc>
          <w:tcPr>
            <w:tcW w:w="567" w:type="dxa"/>
          </w:tcPr>
          <w:p w:rsidR="00EF6D7D" w:rsidRPr="00291388" w:rsidRDefault="00EF6D7D" w:rsidP="001A4DB3">
            <w:pPr>
              <w:keepNext/>
              <w:ind w:right="-57"/>
              <w:jc w:val="center"/>
              <w:rPr>
                <w:rFonts w:ascii="Arial Narrow" w:hAnsi="Arial Narrow"/>
                <w:sz w:val="20"/>
              </w:rPr>
            </w:pPr>
          </w:p>
          <w:p w:rsidR="00EF6D7D" w:rsidRPr="00291388" w:rsidRDefault="00EF6D7D" w:rsidP="001A4DB3">
            <w:pPr>
              <w:keepNext/>
              <w:ind w:right="-57"/>
              <w:jc w:val="center"/>
              <w:rPr>
                <w:rFonts w:ascii="Arial Narrow" w:hAnsi="Arial Narrow"/>
                <w:sz w:val="20"/>
              </w:rPr>
            </w:pPr>
            <w:r w:rsidRPr="00291388">
              <w:rPr>
                <w:rFonts w:ascii="Arial Narrow" w:hAnsi="Arial Narrow"/>
                <w:sz w:val="20"/>
              </w:rPr>
              <w:t>0</w:t>
            </w:r>
          </w:p>
          <w:p w:rsidR="00EF6D7D" w:rsidRDefault="00EF6D7D" w:rsidP="001A4DB3">
            <w:pPr>
              <w:keepNext/>
              <w:ind w:right="-57"/>
              <w:jc w:val="center"/>
              <w:rPr>
                <w:rFonts w:ascii="Arial Narrow" w:hAnsi="Arial Narrow"/>
                <w:sz w:val="20"/>
              </w:rPr>
            </w:pPr>
          </w:p>
          <w:p w:rsidR="00EF6D7D" w:rsidRPr="00291388" w:rsidRDefault="00EF6D7D" w:rsidP="001A4DB3">
            <w:pPr>
              <w:keepNext/>
              <w:ind w:right="-57"/>
              <w:jc w:val="center"/>
              <w:rPr>
                <w:rFonts w:ascii="Arial Narrow" w:hAnsi="Arial Narrow"/>
                <w:sz w:val="20"/>
              </w:rPr>
            </w:pPr>
            <w:r w:rsidRPr="00291388">
              <w:rPr>
                <w:rFonts w:ascii="Arial Narrow" w:hAnsi="Arial Narrow"/>
                <w:sz w:val="20"/>
              </w:rPr>
              <w:t>0</w:t>
            </w:r>
          </w:p>
          <w:p w:rsidR="00EF6D7D" w:rsidRDefault="00EF6D7D" w:rsidP="001A4DB3">
            <w:pPr>
              <w:keepNext/>
              <w:ind w:right="-57"/>
              <w:jc w:val="center"/>
              <w:rPr>
                <w:rFonts w:ascii="Arial Narrow" w:hAnsi="Arial Narrow"/>
                <w:sz w:val="20"/>
              </w:rPr>
            </w:pPr>
          </w:p>
          <w:p w:rsidR="00EF6D7D" w:rsidRPr="00291388" w:rsidRDefault="00EF6D7D" w:rsidP="001A4DB3">
            <w:pPr>
              <w:keepNext/>
              <w:ind w:right="-57"/>
              <w:jc w:val="center"/>
              <w:rPr>
                <w:rFonts w:ascii="Arial Narrow" w:hAnsi="Arial Narrow"/>
                <w:sz w:val="20"/>
              </w:rPr>
            </w:pPr>
            <w:r w:rsidRPr="00291388">
              <w:rPr>
                <w:rFonts w:ascii="Arial Narrow" w:hAnsi="Arial Narrow"/>
                <w:sz w:val="20"/>
              </w:rPr>
              <w:t>0</w:t>
            </w:r>
          </w:p>
          <w:p w:rsidR="00EF6D7D" w:rsidRDefault="00EF6D7D" w:rsidP="001A4DB3">
            <w:pPr>
              <w:keepNext/>
              <w:ind w:right="-57"/>
              <w:jc w:val="center"/>
              <w:rPr>
                <w:rFonts w:ascii="Arial Narrow" w:hAnsi="Arial Narrow"/>
                <w:sz w:val="20"/>
              </w:rPr>
            </w:pPr>
          </w:p>
          <w:p w:rsidR="00EF6D7D" w:rsidRPr="00291388" w:rsidRDefault="00EF6D7D" w:rsidP="001A4DB3">
            <w:pPr>
              <w:keepNext/>
              <w:ind w:right="-57"/>
              <w:jc w:val="center"/>
              <w:rPr>
                <w:rFonts w:ascii="Arial Narrow" w:hAnsi="Arial Narrow"/>
                <w:sz w:val="20"/>
              </w:rPr>
            </w:pPr>
            <w:r w:rsidRPr="00291388">
              <w:rPr>
                <w:rFonts w:ascii="Arial Narrow" w:hAnsi="Arial Narrow"/>
                <w:sz w:val="20"/>
              </w:rPr>
              <w:t>0</w:t>
            </w:r>
          </w:p>
          <w:p w:rsidR="00EF6D7D" w:rsidRDefault="00EF6D7D" w:rsidP="001A4DB3">
            <w:pPr>
              <w:keepNext/>
              <w:ind w:right="-57"/>
              <w:jc w:val="center"/>
              <w:rPr>
                <w:rFonts w:ascii="Arial Narrow" w:hAnsi="Arial Narrow"/>
                <w:sz w:val="20"/>
              </w:rPr>
            </w:pPr>
          </w:p>
          <w:p w:rsidR="00EF6D7D" w:rsidRPr="00291388" w:rsidRDefault="00EF6D7D" w:rsidP="001A4DB3">
            <w:pPr>
              <w:keepNext/>
              <w:ind w:right="-57"/>
              <w:jc w:val="center"/>
              <w:rPr>
                <w:rFonts w:ascii="Arial Narrow" w:hAnsi="Arial Narrow"/>
                <w:sz w:val="20"/>
              </w:rPr>
            </w:pPr>
            <w:r w:rsidRPr="00291388">
              <w:rPr>
                <w:rFonts w:ascii="Arial Narrow" w:hAnsi="Arial Narrow"/>
                <w:sz w:val="20"/>
              </w:rPr>
              <w:t>0</w:t>
            </w:r>
          </w:p>
        </w:tc>
        <w:tc>
          <w:tcPr>
            <w:tcW w:w="851" w:type="dxa"/>
          </w:tcPr>
          <w:p w:rsidR="00EF6D7D" w:rsidRPr="00291388" w:rsidRDefault="00EF6D7D" w:rsidP="001A4DB3">
            <w:pPr>
              <w:keepNext/>
              <w:ind w:right="-108"/>
              <w:jc w:val="center"/>
              <w:rPr>
                <w:rFonts w:ascii="Arial Narrow" w:hAnsi="Arial Narrow"/>
                <w:sz w:val="20"/>
              </w:rPr>
            </w:pPr>
            <w:r w:rsidRPr="00291388">
              <w:rPr>
                <w:rFonts w:ascii="Arial Narrow" w:hAnsi="Arial Narrow"/>
                <w:sz w:val="20"/>
              </w:rPr>
              <w:t>Bemfola</w:t>
            </w:r>
            <w:r w:rsidRPr="00291388">
              <w:rPr>
                <w:rFonts w:ascii="Arial Narrow" w:hAnsi="Arial Narrow"/>
                <w:sz w:val="20"/>
                <w:vertAlign w:val="superscript"/>
              </w:rPr>
              <w:t>®</w:t>
            </w:r>
          </w:p>
        </w:tc>
        <w:tc>
          <w:tcPr>
            <w:tcW w:w="2092" w:type="dxa"/>
          </w:tcPr>
          <w:p w:rsidR="00EF6D7D" w:rsidRPr="00291388" w:rsidRDefault="00EF6D7D" w:rsidP="001A4DB3">
            <w:pPr>
              <w:keepNext/>
              <w:ind w:right="-57"/>
              <w:jc w:val="center"/>
              <w:rPr>
                <w:rFonts w:ascii="Arial Narrow" w:hAnsi="Arial Narrow"/>
                <w:sz w:val="20"/>
              </w:rPr>
            </w:pPr>
            <w:r w:rsidRPr="00291388">
              <w:rPr>
                <w:rFonts w:ascii="Arial Narrow" w:hAnsi="Arial Narrow"/>
                <w:sz w:val="20"/>
              </w:rPr>
              <w:t>FINOX Biotech Australia</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jc w:val="both"/>
              <w:rPr>
                <w:rFonts w:ascii="Arial Narrow" w:hAnsi="Arial Narrow" w:cs="Arial"/>
                <w:b/>
                <w:sz w:val="20"/>
                <w:szCs w:val="20"/>
              </w:rPr>
            </w:pPr>
            <w:r w:rsidRPr="00260CE3">
              <w:rPr>
                <w:rFonts w:ascii="Arial Narrow" w:hAnsi="Arial Narrow" w:cs="Arial"/>
                <w:b/>
                <w:sz w:val="20"/>
                <w:szCs w:val="20"/>
              </w:rPr>
              <w:t xml:space="preserve">Category / </w:t>
            </w:r>
          </w:p>
          <w:p w:rsidR="00EF6D7D" w:rsidRPr="00260CE3" w:rsidRDefault="00EF6D7D" w:rsidP="001A4DB3">
            <w:pPr>
              <w:ind w:right="-57"/>
              <w:jc w:val="both"/>
              <w:rPr>
                <w:rFonts w:ascii="Arial Narrow" w:hAnsi="Arial Narrow" w:cs="Arial"/>
                <w:b/>
                <w:sz w:val="20"/>
                <w:szCs w:val="20"/>
              </w:rPr>
            </w:pPr>
            <w:r w:rsidRPr="00260CE3">
              <w:rPr>
                <w:rFonts w:ascii="Arial Narrow" w:hAnsi="Arial Narrow" w:cs="Arial"/>
                <w:b/>
                <w:sz w:val="20"/>
                <w:szCs w:val="20"/>
              </w:rPr>
              <w:t>Program</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rPr>
                <w:rFonts w:ascii="Arial Narrow" w:hAnsi="Arial Narrow" w:cs="Arial"/>
                <w:sz w:val="20"/>
                <w:szCs w:val="20"/>
              </w:rPr>
            </w:pPr>
            <w:r w:rsidRPr="00260CE3">
              <w:rPr>
                <w:rFonts w:ascii="Arial Narrow" w:hAnsi="Arial Narrow" w:cs="Arial"/>
                <w:sz w:val="20"/>
                <w:szCs w:val="20"/>
              </w:rPr>
              <w:t>Section 100 – IVF</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jc w:val="both"/>
              <w:rPr>
                <w:rFonts w:ascii="Arial Narrow" w:hAnsi="Arial Narrow" w:cs="Arial"/>
                <w:b/>
                <w:sz w:val="20"/>
                <w:szCs w:val="20"/>
              </w:rPr>
            </w:pPr>
            <w:r w:rsidRPr="00260CE3">
              <w:rPr>
                <w:rFonts w:ascii="Arial Narrow" w:hAnsi="Arial Narrow" w:cs="Arial"/>
                <w:b/>
                <w:sz w:val="20"/>
                <w:szCs w:val="20"/>
              </w:rPr>
              <w:t>Prescriber type:</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Pr="005C3612">
              <w:rPr>
                <w:rFonts w:ascii="Arial Narrow" w:hAnsi="Arial Narrow"/>
                <w:sz w:val="20"/>
              </w:rPr>
              <w:fldChar w:fldCharType="begin">
                <w:ffData>
                  <w:name w:val=""/>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F6D7D" w:rsidRPr="00260CE3" w:rsidRDefault="00EF6D7D" w:rsidP="001A4DB3">
            <w:pPr>
              <w:ind w:right="-57"/>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F6D7D" w:rsidRPr="00260CE3" w:rsidTr="001A4DB3">
        <w:trPr>
          <w:cantSplit/>
          <w:trHeight w:val="225"/>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jc w:val="both"/>
              <w:rPr>
                <w:rFonts w:ascii="Arial Narrow" w:hAnsi="Arial Narrow" w:cs="Arial"/>
                <w:b/>
                <w:sz w:val="20"/>
                <w:szCs w:val="20"/>
              </w:rPr>
            </w:pPr>
            <w:r w:rsidRPr="00260CE3">
              <w:rPr>
                <w:rFonts w:ascii="Arial Narrow" w:hAnsi="Arial Narrow" w:cs="Arial"/>
                <w:b/>
                <w:sz w:val="20"/>
                <w:szCs w:val="20"/>
              </w:rPr>
              <w:lastRenderedPageBreak/>
              <w:t>Condition:</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EF6D7D" w:rsidRDefault="00EF6D7D" w:rsidP="001A4DB3">
            <w:pPr>
              <w:ind w:right="-57"/>
              <w:rPr>
                <w:rFonts w:ascii="Arial Narrow" w:hAnsi="Arial Narrow"/>
                <w:sz w:val="20"/>
              </w:rPr>
            </w:pPr>
            <w:r w:rsidRPr="00EF6D7D">
              <w:rPr>
                <w:rFonts w:ascii="Arial Narrow" w:hAnsi="Arial Narrow"/>
                <w:sz w:val="20"/>
              </w:rPr>
              <w:t>Assisted Reproductive Technology</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jc w:val="both"/>
              <w:rPr>
                <w:rFonts w:ascii="Arial Narrow" w:hAnsi="Arial Narrow" w:cs="Arial"/>
                <w:b/>
                <w:sz w:val="20"/>
                <w:szCs w:val="20"/>
              </w:rPr>
            </w:pPr>
            <w:r w:rsidRPr="00260CE3">
              <w:rPr>
                <w:rFonts w:ascii="Arial Narrow" w:hAnsi="Arial Narrow" w:cs="Arial"/>
                <w:b/>
                <w:sz w:val="20"/>
                <w:szCs w:val="20"/>
              </w:rPr>
              <w:t>PBS Indication:</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EF6D7D" w:rsidRDefault="00EF6D7D" w:rsidP="001A4DB3">
            <w:pPr>
              <w:ind w:right="-57"/>
              <w:rPr>
                <w:rFonts w:ascii="Arial Narrow" w:hAnsi="Arial Narrow"/>
                <w:sz w:val="20"/>
              </w:rPr>
            </w:pPr>
            <w:r w:rsidRPr="00EF6D7D">
              <w:rPr>
                <w:rFonts w:ascii="Arial Narrow" w:hAnsi="Arial Narrow"/>
                <w:sz w:val="20"/>
              </w:rPr>
              <w:t>Assisted Reproductive Technology</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F6D7D" w:rsidRPr="00260CE3" w:rsidRDefault="00EF6D7D" w:rsidP="001A4DB3">
            <w:pPr>
              <w:ind w:right="-57"/>
              <w:rPr>
                <w:rFonts w:ascii="Arial Narrow" w:hAnsi="Arial Narrow" w:cs="Arial"/>
                <w:sz w:val="20"/>
                <w:szCs w:val="20"/>
              </w:rPr>
            </w:pPr>
          </w:p>
        </w:tc>
        <w:tc>
          <w:tcPr>
            <w:tcW w:w="6412" w:type="dxa"/>
            <w:gridSpan w:val="6"/>
            <w:tcBorders>
              <w:top w:val="single" w:sz="4" w:space="0" w:color="auto"/>
              <w:left w:val="single" w:sz="4" w:space="0" w:color="auto"/>
              <w:bottom w:val="single" w:sz="4" w:space="0" w:color="auto"/>
              <w:right w:val="single" w:sz="4" w:space="0" w:color="auto"/>
            </w:tcBorders>
          </w:tcPr>
          <w:p w:rsidR="00EF6D7D" w:rsidRPr="00106BCF" w:rsidRDefault="00EF6D7D"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F6D7D" w:rsidRPr="00106BCF" w:rsidRDefault="00EF6D7D"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F6D7D" w:rsidRPr="00106BCF" w:rsidRDefault="00EF6D7D"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EF6D7D" w:rsidRPr="00106BCF" w:rsidRDefault="00EF6D7D"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EF6D7D" w:rsidRPr="00106BCF" w:rsidRDefault="00EF6D7D" w:rsidP="001A4DB3">
            <w:pPr>
              <w:ind w:right="-57"/>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F6D7D" w:rsidRPr="00260CE3" w:rsidRDefault="00EF6D7D" w:rsidP="001A4DB3">
            <w:pPr>
              <w:ind w:right="-57"/>
              <w:rPr>
                <w:rFonts w:ascii="Arial Narrow" w:hAnsi="Arial Narrow" w:cs="Arial"/>
                <w:sz w:val="20"/>
                <w:szCs w:val="20"/>
              </w:rPr>
            </w:pPr>
            <w:r w:rsidRPr="005C3612">
              <w:rPr>
                <w:rFonts w:ascii="Arial Narrow" w:hAnsi="Arial Narrow"/>
                <w:sz w:val="20"/>
              </w:rPr>
              <w:fldChar w:fldCharType="begin">
                <w:ffData>
                  <w:name w:val=""/>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106BCF">
              <w:rPr>
                <w:rFonts w:ascii="Arial Narrow" w:hAnsi="Arial Narrow" w:cs="Arial"/>
                <w:sz w:val="20"/>
                <w:szCs w:val="20"/>
              </w:rPr>
              <w:t>Streamlined</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91388" w:rsidRDefault="00EF6D7D" w:rsidP="001A4DB3">
            <w:pPr>
              <w:ind w:right="-57"/>
              <w:jc w:val="both"/>
              <w:rPr>
                <w:rFonts w:ascii="Arial Narrow" w:hAnsi="Arial Narrow" w:cs="Arial"/>
                <w:b/>
                <w:sz w:val="20"/>
                <w:szCs w:val="20"/>
              </w:rPr>
            </w:pPr>
            <w:r w:rsidRPr="00260CE3">
              <w:rPr>
                <w:rFonts w:ascii="Arial Narrow" w:hAnsi="Arial Narrow" w:cs="Arial"/>
                <w:b/>
                <w:sz w:val="20"/>
                <w:szCs w:val="20"/>
              </w:rPr>
              <w:t>Clinical criteria:</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260CE3" w:rsidRDefault="00EF6D7D" w:rsidP="001A4DB3">
            <w:pPr>
              <w:ind w:right="-57"/>
              <w:rPr>
                <w:rFonts w:ascii="Arial Narrow" w:hAnsi="Arial Narrow" w:cs="Arial"/>
                <w:sz w:val="20"/>
                <w:szCs w:val="20"/>
              </w:rPr>
            </w:pPr>
            <w:r w:rsidRPr="007F27FE">
              <w:rPr>
                <w:rFonts w:ascii="Arial Narrow" w:hAnsi="Arial Narrow"/>
                <w:sz w:val="20"/>
              </w:rPr>
              <w:t>Patient must be receiving medical services as described in items 13200, 13201, 13202 or 13203 of the Medicare Benefits Schedule</w:t>
            </w:r>
          </w:p>
        </w:tc>
      </w:tr>
    </w:tbl>
    <w:p w:rsidR="00EF6D7D" w:rsidRDefault="00EF6D7D" w:rsidP="00EF6D7D">
      <w:pPr>
        <w:pStyle w:val="ListParagraph"/>
        <w:jc w:val="both"/>
        <w:rPr>
          <w:szCs w:val="22"/>
        </w:rPr>
      </w:pPr>
    </w:p>
    <w:tbl>
      <w:tblPr>
        <w:tblW w:w="8397" w:type="dxa"/>
        <w:tblInd w:w="817" w:type="dxa"/>
        <w:tblLayout w:type="fixed"/>
        <w:tblLook w:val="0000" w:firstRow="0" w:lastRow="0" w:firstColumn="0" w:lastColumn="0" w:noHBand="0" w:noVBand="0"/>
      </w:tblPr>
      <w:tblGrid>
        <w:gridCol w:w="1985"/>
        <w:gridCol w:w="2268"/>
        <w:gridCol w:w="742"/>
        <w:gridCol w:w="567"/>
        <w:gridCol w:w="851"/>
        <w:gridCol w:w="992"/>
        <w:gridCol w:w="992"/>
      </w:tblGrid>
      <w:tr w:rsidR="008B28CB" w:rsidRPr="0039782C" w:rsidTr="001A4DB3">
        <w:trPr>
          <w:gridAfter w:val="1"/>
          <w:wAfter w:w="992" w:type="dxa"/>
          <w:cantSplit/>
          <w:trHeight w:val="471"/>
        </w:trPr>
        <w:tc>
          <w:tcPr>
            <w:tcW w:w="4253" w:type="dxa"/>
            <w:gridSpan w:val="2"/>
            <w:tcBorders>
              <w:bottom w:val="single" w:sz="4" w:space="0" w:color="auto"/>
            </w:tcBorders>
          </w:tcPr>
          <w:p w:rsidR="008B28CB" w:rsidRPr="0039782C" w:rsidRDefault="008B28CB" w:rsidP="001A4DB3">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B28CB" w:rsidRPr="0039782C" w:rsidRDefault="008B28CB" w:rsidP="001A4DB3">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42" w:type="dxa"/>
            <w:tcBorders>
              <w:bottom w:val="single" w:sz="4" w:space="0" w:color="auto"/>
            </w:tcBorders>
          </w:tcPr>
          <w:p w:rsidR="008B28CB" w:rsidRPr="0039782C" w:rsidRDefault="008B28CB" w:rsidP="001A4DB3">
            <w:pPr>
              <w:keepNext/>
              <w:ind w:left="-108"/>
              <w:jc w:val="both"/>
              <w:rPr>
                <w:rFonts w:ascii="Arial Narrow" w:hAnsi="Arial Narrow" w:cs="Arial"/>
                <w:b/>
                <w:sz w:val="20"/>
                <w:szCs w:val="20"/>
              </w:rPr>
            </w:pPr>
            <w:r w:rsidRPr="0039782C">
              <w:rPr>
                <w:rFonts w:ascii="Arial Narrow" w:hAnsi="Arial Narrow" w:cs="Arial"/>
                <w:b/>
                <w:sz w:val="20"/>
                <w:szCs w:val="20"/>
              </w:rPr>
              <w:t>Max.</w:t>
            </w:r>
          </w:p>
          <w:p w:rsidR="008B28CB" w:rsidRPr="0039782C" w:rsidRDefault="008B28CB" w:rsidP="001A4DB3">
            <w:pPr>
              <w:keepNext/>
              <w:ind w:left="-108"/>
              <w:jc w:val="both"/>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Units</w:t>
            </w:r>
          </w:p>
        </w:tc>
        <w:tc>
          <w:tcPr>
            <w:tcW w:w="567" w:type="dxa"/>
            <w:tcBorders>
              <w:bottom w:val="single" w:sz="4" w:space="0" w:color="auto"/>
            </w:tcBorders>
          </w:tcPr>
          <w:p w:rsidR="008B28CB" w:rsidRPr="0039782C" w:rsidRDefault="008B28CB" w:rsidP="001A4DB3">
            <w:pPr>
              <w:keepNext/>
              <w:ind w:left="-108"/>
              <w:rPr>
                <w:rFonts w:ascii="Arial Narrow" w:hAnsi="Arial Narrow" w:cs="Arial"/>
                <w:b/>
                <w:sz w:val="20"/>
                <w:szCs w:val="20"/>
              </w:rPr>
            </w:pPr>
            <w:r w:rsidRPr="0039782C">
              <w:rPr>
                <w:rFonts w:ascii="Arial Narrow" w:hAnsi="Arial Narrow" w:cs="Arial"/>
                <w:b/>
                <w:sz w:val="20"/>
                <w:szCs w:val="20"/>
              </w:rPr>
              <w:t>№.of</w:t>
            </w:r>
          </w:p>
          <w:p w:rsidR="008B28CB" w:rsidRPr="0039782C" w:rsidRDefault="008B28CB" w:rsidP="001A4DB3">
            <w:pPr>
              <w:keepNext/>
              <w:ind w:left="-108"/>
              <w:rPr>
                <w:rFonts w:ascii="Arial Narrow" w:hAnsi="Arial Narrow" w:cs="Arial"/>
                <w:b/>
                <w:sz w:val="20"/>
                <w:szCs w:val="20"/>
              </w:rPr>
            </w:pPr>
            <w:r w:rsidRPr="0039782C">
              <w:rPr>
                <w:rFonts w:ascii="Arial Narrow" w:hAnsi="Arial Narrow" w:cs="Arial"/>
                <w:b/>
                <w:sz w:val="20"/>
                <w:szCs w:val="20"/>
              </w:rPr>
              <w:t>Rpts</w:t>
            </w:r>
          </w:p>
        </w:tc>
        <w:tc>
          <w:tcPr>
            <w:tcW w:w="1843" w:type="dxa"/>
            <w:gridSpan w:val="2"/>
            <w:tcBorders>
              <w:bottom w:val="single" w:sz="4" w:space="0" w:color="auto"/>
            </w:tcBorders>
          </w:tcPr>
          <w:p w:rsidR="008B28CB" w:rsidRPr="0039782C" w:rsidRDefault="008B28CB" w:rsidP="001A4DB3">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B28CB" w:rsidRPr="00291388" w:rsidTr="001A4DB3">
        <w:trPr>
          <w:gridAfter w:val="1"/>
          <w:wAfter w:w="992" w:type="dxa"/>
          <w:cantSplit/>
          <w:trHeight w:val="577"/>
        </w:trPr>
        <w:tc>
          <w:tcPr>
            <w:tcW w:w="4253" w:type="dxa"/>
            <w:gridSpan w:val="2"/>
          </w:tcPr>
          <w:p w:rsidR="008B28CB" w:rsidRPr="00291388" w:rsidRDefault="008B28CB" w:rsidP="001A4DB3">
            <w:pPr>
              <w:keepNext/>
              <w:ind w:right="-57"/>
              <w:rPr>
                <w:rFonts w:ascii="Arial Narrow" w:hAnsi="Arial Narrow"/>
                <w:sz w:val="20"/>
              </w:rPr>
            </w:pPr>
            <w:r w:rsidRPr="00291388">
              <w:rPr>
                <w:rFonts w:ascii="Arial Narrow" w:hAnsi="Arial Narrow"/>
                <w:smallCaps/>
                <w:sz w:val="20"/>
              </w:rPr>
              <w:t>Follitropin alfa</w:t>
            </w:r>
          </w:p>
          <w:p w:rsidR="008B28CB" w:rsidRPr="00FD73FD" w:rsidRDefault="008B28CB" w:rsidP="001A4DB3">
            <w:pPr>
              <w:keepNext/>
              <w:ind w:right="-57"/>
              <w:rPr>
                <w:rFonts w:ascii="Arial Narrow" w:hAnsi="Arial Narrow"/>
                <w:sz w:val="20"/>
              </w:rPr>
            </w:pPr>
            <w:r w:rsidRPr="00FD73FD">
              <w:rPr>
                <w:rFonts w:ascii="Arial Narrow" w:hAnsi="Arial Narrow"/>
                <w:sz w:val="20"/>
              </w:rPr>
              <w:t>75 units (5.5 microgram)/0.125 mL injection, 5 x 0.125 mL injection devices</w:t>
            </w:r>
          </w:p>
          <w:p w:rsidR="008B28CB" w:rsidRPr="00FD73FD" w:rsidRDefault="008B28CB" w:rsidP="001A4DB3">
            <w:pPr>
              <w:keepNext/>
              <w:ind w:right="-57"/>
              <w:rPr>
                <w:rFonts w:ascii="Arial Narrow" w:hAnsi="Arial Narrow"/>
                <w:sz w:val="20"/>
              </w:rPr>
            </w:pPr>
            <w:r w:rsidRPr="00FD73FD">
              <w:rPr>
                <w:rFonts w:ascii="Arial Narrow" w:hAnsi="Arial Narrow"/>
                <w:sz w:val="20"/>
              </w:rPr>
              <w:t>150 units (11 microgram)/0.25 mL injection, 5 x 0.25 mL injection devices</w:t>
            </w:r>
          </w:p>
          <w:p w:rsidR="008B28CB" w:rsidRDefault="008B28CB" w:rsidP="001A4DB3">
            <w:pPr>
              <w:keepNext/>
              <w:ind w:right="-57"/>
              <w:rPr>
                <w:rFonts w:ascii="Arial Narrow" w:hAnsi="Arial Narrow"/>
                <w:sz w:val="20"/>
              </w:rPr>
            </w:pPr>
            <w:r w:rsidRPr="00FD73FD">
              <w:rPr>
                <w:rFonts w:ascii="Arial Narrow" w:hAnsi="Arial Narrow"/>
                <w:sz w:val="20"/>
              </w:rPr>
              <w:t>225 units (16.5 microgram)/0.375 mL injection, 5 x 0.375 mL injection devices</w:t>
            </w:r>
          </w:p>
          <w:p w:rsidR="008B28CB" w:rsidRPr="00291388" w:rsidRDefault="008B28CB" w:rsidP="001A4DB3">
            <w:pPr>
              <w:keepNext/>
              <w:ind w:right="-57"/>
              <w:rPr>
                <w:rFonts w:ascii="Arial Narrow" w:hAnsi="Arial Narrow"/>
                <w:sz w:val="20"/>
              </w:rPr>
            </w:pPr>
          </w:p>
        </w:tc>
        <w:tc>
          <w:tcPr>
            <w:tcW w:w="742" w:type="dxa"/>
          </w:tcPr>
          <w:p w:rsidR="008B28CB" w:rsidRPr="00291388" w:rsidRDefault="008B28CB" w:rsidP="001A4DB3">
            <w:pPr>
              <w:keepNext/>
              <w:jc w:val="center"/>
              <w:rPr>
                <w:rFonts w:ascii="Arial Narrow" w:hAnsi="Arial Narrow"/>
                <w:sz w:val="20"/>
              </w:rPr>
            </w:pPr>
          </w:p>
          <w:p w:rsidR="008B28CB" w:rsidRPr="00291388" w:rsidRDefault="008B28CB" w:rsidP="001A4DB3">
            <w:pPr>
              <w:keepNext/>
              <w:jc w:val="center"/>
              <w:rPr>
                <w:rFonts w:ascii="Arial Narrow" w:hAnsi="Arial Narrow"/>
                <w:sz w:val="20"/>
              </w:rPr>
            </w:pPr>
            <w:r w:rsidRPr="00291388">
              <w:rPr>
                <w:rFonts w:ascii="Arial Narrow" w:hAnsi="Arial Narrow"/>
                <w:sz w:val="20"/>
              </w:rPr>
              <w:t>15</w:t>
            </w:r>
          </w:p>
          <w:p w:rsidR="008B28CB" w:rsidRDefault="008B28CB" w:rsidP="001A4DB3">
            <w:pPr>
              <w:keepNext/>
              <w:jc w:val="center"/>
              <w:rPr>
                <w:rFonts w:ascii="Arial Narrow" w:hAnsi="Arial Narrow"/>
                <w:sz w:val="20"/>
              </w:rPr>
            </w:pPr>
          </w:p>
          <w:p w:rsidR="008B28CB" w:rsidRPr="00291388" w:rsidRDefault="008B28CB" w:rsidP="001A4DB3">
            <w:pPr>
              <w:keepNext/>
              <w:jc w:val="center"/>
              <w:rPr>
                <w:rFonts w:ascii="Arial Narrow" w:hAnsi="Arial Narrow"/>
                <w:sz w:val="20"/>
              </w:rPr>
            </w:pPr>
            <w:r w:rsidRPr="00291388">
              <w:rPr>
                <w:rFonts w:ascii="Arial Narrow" w:hAnsi="Arial Narrow"/>
                <w:sz w:val="20"/>
              </w:rPr>
              <w:t>15</w:t>
            </w:r>
          </w:p>
          <w:p w:rsidR="008B28CB" w:rsidRDefault="008B28CB" w:rsidP="001A4DB3">
            <w:pPr>
              <w:keepNext/>
              <w:jc w:val="center"/>
              <w:rPr>
                <w:rFonts w:ascii="Arial Narrow" w:hAnsi="Arial Narrow"/>
                <w:sz w:val="20"/>
              </w:rPr>
            </w:pPr>
          </w:p>
          <w:p w:rsidR="008B28CB" w:rsidRPr="00291388" w:rsidRDefault="008B28CB" w:rsidP="001A4DB3">
            <w:pPr>
              <w:keepNext/>
              <w:jc w:val="center"/>
              <w:rPr>
                <w:rFonts w:ascii="Arial Narrow" w:hAnsi="Arial Narrow"/>
                <w:sz w:val="20"/>
              </w:rPr>
            </w:pPr>
            <w:r w:rsidRPr="00291388">
              <w:rPr>
                <w:rFonts w:ascii="Arial Narrow" w:hAnsi="Arial Narrow"/>
                <w:sz w:val="20"/>
              </w:rPr>
              <w:t>15</w:t>
            </w:r>
          </w:p>
        </w:tc>
        <w:tc>
          <w:tcPr>
            <w:tcW w:w="567" w:type="dxa"/>
          </w:tcPr>
          <w:p w:rsidR="008B28CB" w:rsidRPr="00291388" w:rsidRDefault="008B28CB" w:rsidP="001A4DB3">
            <w:pPr>
              <w:keepNext/>
              <w:jc w:val="center"/>
              <w:rPr>
                <w:rFonts w:ascii="Arial Narrow" w:hAnsi="Arial Narrow"/>
                <w:sz w:val="20"/>
              </w:rPr>
            </w:pPr>
          </w:p>
          <w:p w:rsidR="008B28CB" w:rsidRPr="00291388" w:rsidRDefault="008B28CB" w:rsidP="001A4DB3">
            <w:pPr>
              <w:keepNext/>
              <w:jc w:val="center"/>
              <w:rPr>
                <w:rFonts w:ascii="Arial Narrow" w:hAnsi="Arial Narrow"/>
                <w:sz w:val="20"/>
              </w:rPr>
            </w:pPr>
            <w:r w:rsidRPr="00291388">
              <w:rPr>
                <w:rFonts w:ascii="Arial Narrow" w:hAnsi="Arial Narrow"/>
                <w:sz w:val="20"/>
              </w:rPr>
              <w:t>1</w:t>
            </w:r>
          </w:p>
          <w:p w:rsidR="008B28CB" w:rsidRDefault="008B28CB" w:rsidP="001A4DB3">
            <w:pPr>
              <w:keepNext/>
              <w:jc w:val="center"/>
              <w:rPr>
                <w:rFonts w:ascii="Arial Narrow" w:hAnsi="Arial Narrow"/>
                <w:sz w:val="20"/>
              </w:rPr>
            </w:pPr>
          </w:p>
          <w:p w:rsidR="008B28CB" w:rsidRPr="00291388" w:rsidRDefault="008B28CB" w:rsidP="001A4DB3">
            <w:pPr>
              <w:keepNext/>
              <w:jc w:val="center"/>
              <w:rPr>
                <w:rFonts w:ascii="Arial Narrow" w:hAnsi="Arial Narrow"/>
                <w:sz w:val="20"/>
              </w:rPr>
            </w:pPr>
            <w:r w:rsidRPr="00291388">
              <w:rPr>
                <w:rFonts w:ascii="Arial Narrow" w:hAnsi="Arial Narrow"/>
                <w:sz w:val="20"/>
              </w:rPr>
              <w:t>1</w:t>
            </w:r>
          </w:p>
          <w:p w:rsidR="008B28CB" w:rsidRDefault="008B28CB" w:rsidP="001A4DB3">
            <w:pPr>
              <w:keepNext/>
              <w:jc w:val="center"/>
              <w:rPr>
                <w:rFonts w:ascii="Arial Narrow" w:hAnsi="Arial Narrow"/>
                <w:sz w:val="20"/>
              </w:rPr>
            </w:pPr>
          </w:p>
          <w:p w:rsidR="008B28CB" w:rsidRPr="00291388" w:rsidRDefault="008B28CB" w:rsidP="001A4DB3">
            <w:pPr>
              <w:keepNext/>
              <w:jc w:val="center"/>
              <w:rPr>
                <w:rFonts w:ascii="Arial Narrow" w:hAnsi="Arial Narrow"/>
                <w:sz w:val="20"/>
              </w:rPr>
            </w:pPr>
            <w:r w:rsidRPr="00291388">
              <w:rPr>
                <w:rFonts w:ascii="Arial Narrow" w:hAnsi="Arial Narrow"/>
                <w:sz w:val="20"/>
              </w:rPr>
              <w:t>1</w:t>
            </w:r>
          </w:p>
        </w:tc>
        <w:tc>
          <w:tcPr>
            <w:tcW w:w="851" w:type="dxa"/>
          </w:tcPr>
          <w:p w:rsidR="008B28CB" w:rsidRPr="00291388" w:rsidRDefault="008B28CB" w:rsidP="001A4DB3">
            <w:pPr>
              <w:keepNext/>
              <w:ind w:right="-57"/>
              <w:jc w:val="center"/>
              <w:rPr>
                <w:rFonts w:ascii="Arial Narrow" w:hAnsi="Arial Narrow"/>
                <w:sz w:val="20"/>
              </w:rPr>
            </w:pPr>
            <w:r w:rsidRPr="00291388">
              <w:rPr>
                <w:rFonts w:ascii="Arial Narrow" w:hAnsi="Arial Narrow"/>
                <w:sz w:val="20"/>
              </w:rPr>
              <w:t>Bemfola</w:t>
            </w:r>
            <w:r w:rsidRPr="00291388">
              <w:rPr>
                <w:rFonts w:ascii="Arial Narrow" w:hAnsi="Arial Narrow"/>
                <w:sz w:val="20"/>
                <w:vertAlign w:val="superscript"/>
              </w:rPr>
              <w:t>®</w:t>
            </w:r>
            <w:r w:rsidRPr="00291388">
              <w:rPr>
                <w:rFonts w:ascii="Arial Narrow" w:hAnsi="Arial Narrow"/>
                <w:sz w:val="20"/>
              </w:rPr>
              <w:t xml:space="preserve"> </w:t>
            </w:r>
          </w:p>
        </w:tc>
        <w:tc>
          <w:tcPr>
            <w:tcW w:w="992" w:type="dxa"/>
          </w:tcPr>
          <w:p w:rsidR="008B28CB" w:rsidRPr="00291388" w:rsidRDefault="008B28CB" w:rsidP="001A4DB3">
            <w:pPr>
              <w:keepNext/>
              <w:jc w:val="center"/>
              <w:rPr>
                <w:rFonts w:ascii="Arial Narrow" w:hAnsi="Arial Narrow"/>
                <w:sz w:val="20"/>
              </w:rPr>
            </w:pPr>
            <w:r w:rsidRPr="00291388">
              <w:rPr>
                <w:rFonts w:ascii="Arial Narrow" w:hAnsi="Arial Narrow"/>
                <w:sz w:val="20"/>
              </w:rPr>
              <w:t>FINOX Biotech Australia</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jc w:val="both"/>
              <w:rPr>
                <w:rFonts w:ascii="Arial Narrow" w:hAnsi="Arial Narrow" w:cs="Arial"/>
                <w:b/>
                <w:sz w:val="20"/>
                <w:szCs w:val="20"/>
              </w:rPr>
            </w:pPr>
            <w:r w:rsidRPr="00260CE3">
              <w:rPr>
                <w:rFonts w:ascii="Arial Narrow" w:hAnsi="Arial Narrow" w:cs="Arial"/>
                <w:b/>
                <w:sz w:val="20"/>
                <w:szCs w:val="20"/>
              </w:rPr>
              <w:t xml:space="preserve">Category / </w:t>
            </w:r>
          </w:p>
          <w:p w:rsidR="00EF6D7D" w:rsidRPr="00260CE3" w:rsidRDefault="00EF6D7D" w:rsidP="001A4DB3">
            <w:pPr>
              <w:jc w:val="both"/>
              <w:rPr>
                <w:rFonts w:ascii="Arial Narrow" w:hAnsi="Arial Narrow" w:cs="Arial"/>
                <w:b/>
                <w:sz w:val="20"/>
                <w:szCs w:val="20"/>
              </w:rPr>
            </w:pPr>
            <w:r w:rsidRPr="00260CE3">
              <w:rPr>
                <w:rFonts w:ascii="Arial Narrow" w:hAnsi="Arial Narrow" w:cs="Arial"/>
                <w:b/>
                <w:sz w:val="20"/>
                <w:szCs w:val="20"/>
              </w:rPr>
              <w:t>Program</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260CE3" w:rsidRDefault="00EF6D7D" w:rsidP="001A4DB3">
            <w:pPr>
              <w:rPr>
                <w:rFonts w:ascii="Arial Narrow" w:hAnsi="Arial Narrow" w:cs="Arial"/>
                <w:sz w:val="20"/>
                <w:szCs w:val="20"/>
              </w:rPr>
            </w:pPr>
            <w:r>
              <w:rPr>
                <w:rFonts w:ascii="Arial Narrow" w:hAnsi="Arial Narrow" w:cs="Arial"/>
                <w:sz w:val="20"/>
                <w:szCs w:val="20"/>
              </w:rPr>
              <w:t>Section 85</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jc w:val="both"/>
              <w:rPr>
                <w:rFonts w:ascii="Arial Narrow" w:hAnsi="Arial Narrow" w:cs="Arial"/>
                <w:b/>
                <w:sz w:val="20"/>
                <w:szCs w:val="20"/>
              </w:rPr>
            </w:pPr>
            <w:r w:rsidRPr="00260CE3">
              <w:rPr>
                <w:rFonts w:ascii="Arial Narrow" w:hAnsi="Arial Narrow" w:cs="Arial"/>
                <w:b/>
                <w:sz w:val="20"/>
                <w:szCs w:val="20"/>
              </w:rPr>
              <w:t>Prescriber type:</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260CE3" w:rsidRDefault="00EF6D7D" w:rsidP="001A4DB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Pr="005C3612">
              <w:rPr>
                <w:rFonts w:ascii="Arial Narrow" w:hAnsi="Arial Narrow"/>
                <w:sz w:val="20"/>
              </w:rPr>
              <w:fldChar w:fldCharType="begin">
                <w:ffData>
                  <w:name w:val=""/>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F6D7D" w:rsidRPr="00260CE3" w:rsidRDefault="00EF6D7D" w:rsidP="001A4DB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C1874">
              <w:rPr>
                <w:rFonts w:ascii="Arial Narrow" w:hAnsi="Arial Narrow" w:cs="Arial"/>
                <w:sz w:val="20"/>
                <w:szCs w:val="20"/>
              </w:rPr>
            </w:r>
            <w:r w:rsidR="00CC187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jc w:val="both"/>
              <w:rPr>
                <w:rFonts w:ascii="Arial Narrow" w:hAnsi="Arial Narrow" w:cs="Arial"/>
                <w:b/>
                <w:sz w:val="20"/>
                <w:szCs w:val="20"/>
              </w:rPr>
            </w:pPr>
            <w:r w:rsidRPr="00260CE3">
              <w:rPr>
                <w:rFonts w:ascii="Arial Narrow" w:hAnsi="Arial Narrow" w:cs="Arial"/>
                <w:b/>
                <w:sz w:val="20"/>
                <w:szCs w:val="20"/>
              </w:rPr>
              <w:t>Condition:</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5C3612" w:rsidRDefault="00EF6D7D" w:rsidP="001A4DB3">
            <w:pPr>
              <w:rPr>
                <w:rFonts w:ascii="Arial Narrow" w:hAnsi="Arial Narrow"/>
                <w:sz w:val="20"/>
              </w:rPr>
            </w:pPr>
            <w:r w:rsidRPr="005C3612">
              <w:rPr>
                <w:rFonts w:ascii="Arial Narrow" w:hAnsi="Arial Narrow"/>
                <w:sz w:val="20"/>
              </w:rPr>
              <w:t xml:space="preserve">Anovulatory infertility </w:t>
            </w:r>
          </w:p>
          <w:p w:rsidR="00EF6D7D" w:rsidRPr="005B7CCA" w:rsidRDefault="00EF6D7D" w:rsidP="001A4DB3">
            <w:pPr>
              <w:rPr>
                <w:rFonts w:ascii="Arial Narrow" w:hAnsi="Arial Narrow"/>
                <w:strike/>
                <w:sz w:val="20"/>
              </w:rPr>
            </w:pP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jc w:val="both"/>
              <w:rPr>
                <w:rFonts w:ascii="Arial Narrow" w:hAnsi="Arial Narrow" w:cs="Arial"/>
                <w:b/>
                <w:sz w:val="20"/>
                <w:szCs w:val="20"/>
              </w:rPr>
            </w:pPr>
            <w:r w:rsidRPr="00260CE3">
              <w:rPr>
                <w:rFonts w:ascii="Arial Narrow" w:hAnsi="Arial Narrow" w:cs="Arial"/>
                <w:b/>
                <w:sz w:val="20"/>
                <w:szCs w:val="20"/>
              </w:rPr>
              <w:t>PBS Indication:</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EF6D7D" w:rsidRDefault="00EF6D7D" w:rsidP="001A4DB3">
            <w:pPr>
              <w:rPr>
                <w:rFonts w:ascii="Arial Narrow" w:hAnsi="Arial Narrow"/>
                <w:sz w:val="20"/>
              </w:rPr>
            </w:pPr>
            <w:r w:rsidRPr="00EF6D7D">
              <w:rPr>
                <w:rFonts w:ascii="Arial Narrow" w:hAnsi="Arial Narrow"/>
                <w:sz w:val="20"/>
              </w:rPr>
              <w:t xml:space="preserve">Anovulatory infertility </w:t>
            </w:r>
          </w:p>
          <w:p w:rsidR="00EF6D7D" w:rsidRPr="00CB6C65" w:rsidRDefault="00EF6D7D" w:rsidP="001A4DB3">
            <w:pPr>
              <w:rPr>
                <w:rFonts w:ascii="Arial Narrow" w:hAnsi="Arial Narrow"/>
                <w:strike/>
                <w:sz w:val="20"/>
              </w:rPr>
            </w:pP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60CE3" w:rsidRDefault="00EF6D7D" w:rsidP="001A4DB3">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F6D7D" w:rsidRPr="00260CE3" w:rsidRDefault="00EF6D7D" w:rsidP="001A4DB3">
            <w:pPr>
              <w:rPr>
                <w:rFonts w:ascii="Arial Narrow" w:hAnsi="Arial Narrow" w:cs="Arial"/>
                <w:sz w:val="20"/>
                <w:szCs w:val="20"/>
              </w:rPr>
            </w:pPr>
          </w:p>
        </w:tc>
        <w:tc>
          <w:tcPr>
            <w:tcW w:w="6412" w:type="dxa"/>
            <w:gridSpan w:val="6"/>
            <w:tcBorders>
              <w:top w:val="single" w:sz="4" w:space="0" w:color="auto"/>
              <w:left w:val="single" w:sz="4" w:space="0" w:color="auto"/>
              <w:bottom w:val="single" w:sz="4" w:space="0" w:color="auto"/>
              <w:right w:val="single" w:sz="4" w:space="0" w:color="auto"/>
            </w:tcBorders>
          </w:tcPr>
          <w:p w:rsidR="00EF6D7D" w:rsidRPr="005C3612" w:rsidRDefault="00EF6D7D" w:rsidP="001A4DB3">
            <w:pPr>
              <w:rPr>
                <w:rFonts w:ascii="Arial Narrow" w:hAnsi="Arial Narrow"/>
                <w:sz w:val="20"/>
              </w:rPr>
            </w:pPr>
            <w:r w:rsidRPr="005C3612">
              <w:rPr>
                <w:rFonts w:ascii="Arial Narrow" w:hAnsi="Arial Narrow"/>
                <w:sz w:val="20"/>
              </w:rPr>
              <w:fldChar w:fldCharType="begin">
                <w:ffData>
                  <w:name w:val="Check5"/>
                  <w:enabled/>
                  <w:calcOnExit w:val="0"/>
                  <w:checkBox>
                    <w:sizeAuto/>
                    <w:default w:val="1"/>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Restricted benefit</w:t>
            </w:r>
          </w:p>
          <w:p w:rsidR="00EF6D7D" w:rsidRPr="005C3612" w:rsidRDefault="00EF6D7D" w:rsidP="001A4DB3">
            <w:pPr>
              <w:rPr>
                <w:rFonts w:ascii="Arial Narrow" w:hAnsi="Arial Narrow"/>
                <w:sz w:val="20"/>
              </w:rPr>
            </w:pPr>
            <w:r w:rsidRPr="005C3612">
              <w:rPr>
                <w:rFonts w:ascii="Arial Narrow" w:hAnsi="Arial Narrow"/>
                <w:sz w:val="20"/>
              </w:rPr>
              <w:fldChar w:fldCharType="begin">
                <w:ffData>
                  <w:name w:val=""/>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Authority Required - In Writing</w:t>
            </w:r>
          </w:p>
          <w:p w:rsidR="00EF6D7D" w:rsidRPr="005C3612" w:rsidRDefault="00EF6D7D" w:rsidP="001A4DB3">
            <w:pPr>
              <w:rPr>
                <w:rFonts w:ascii="Arial Narrow" w:hAnsi="Arial Narrow"/>
                <w:sz w:val="20"/>
              </w:rPr>
            </w:pPr>
            <w:r w:rsidRPr="005C3612">
              <w:rPr>
                <w:rFonts w:ascii="Arial Narrow" w:hAnsi="Arial Narrow"/>
                <w:sz w:val="20"/>
              </w:rPr>
              <w:fldChar w:fldCharType="begin">
                <w:ffData>
                  <w:name w:val="Check3"/>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Authority Required - Telephone</w:t>
            </w:r>
          </w:p>
          <w:p w:rsidR="00EF6D7D" w:rsidRPr="005C3612" w:rsidRDefault="00EF6D7D" w:rsidP="001A4DB3">
            <w:pPr>
              <w:rPr>
                <w:rFonts w:ascii="Arial Narrow" w:hAnsi="Arial Narrow"/>
                <w:sz w:val="20"/>
              </w:rPr>
            </w:pPr>
            <w:r w:rsidRPr="005C3612">
              <w:rPr>
                <w:rFonts w:ascii="Arial Narrow" w:hAnsi="Arial Narrow"/>
                <w:sz w:val="20"/>
              </w:rPr>
              <w:fldChar w:fldCharType="begin">
                <w:ffData>
                  <w:name w:val=""/>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Pr>
                <w:rFonts w:ascii="Arial Narrow" w:hAnsi="Arial Narrow"/>
                <w:sz w:val="20"/>
              </w:rPr>
              <w:t>Authority Required -</w:t>
            </w:r>
            <w:r w:rsidRPr="005C3612">
              <w:rPr>
                <w:rFonts w:ascii="Arial Narrow" w:hAnsi="Arial Narrow"/>
                <w:sz w:val="20"/>
              </w:rPr>
              <w:t xml:space="preserve"> Emergency</w:t>
            </w:r>
          </w:p>
          <w:p w:rsidR="00EF6D7D" w:rsidRPr="005C3612" w:rsidRDefault="00EF6D7D" w:rsidP="001A4DB3">
            <w:pPr>
              <w:rPr>
                <w:rFonts w:ascii="Arial Narrow" w:hAnsi="Arial Narrow"/>
                <w:sz w:val="20"/>
              </w:rPr>
            </w:pPr>
            <w:r w:rsidRPr="005C3612">
              <w:rPr>
                <w:rFonts w:ascii="Arial Narrow" w:hAnsi="Arial Narrow"/>
                <w:sz w:val="20"/>
              </w:rPr>
              <w:fldChar w:fldCharType="begin">
                <w:ffData>
                  <w:name w:val="Check5"/>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Authority Required - Electronic</w:t>
            </w:r>
          </w:p>
          <w:p w:rsidR="00EF6D7D" w:rsidRPr="005C3612" w:rsidRDefault="00EF6D7D" w:rsidP="001A4DB3">
            <w:pPr>
              <w:rPr>
                <w:rFonts w:ascii="Arial Narrow" w:hAnsi="Arial Narrow"/>
                <w:sz w:val="20"/>
              </w:rPr>
            </w:pPr>
            <w:r w:rsidRPr="005C3612">
              <w:rPr>
                <w:rFonts w:ascii="Arial Narrow" w:hAnsi="Arial Narrow"/>
                <w:sz w:val="20"/>
              </w:rPr>
              <w:fldChar w:fldCharType="begin">
                <w:ffData>
                  <w:name w:val="Check1"/>
                  <w:enabled/>
                  <w:calcOnExit w:val="0"/>
                  <w:checkBox>
                    <w:sizeAuto/>
                    <w:default w:val="0"/>
                  </w:checkBox>
                </w:ffData>
              </w:fldChar>
            </w:r>
            <w:r w:rsidRPr="005C3612">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C3612">
              <w:rPr>
                <w:rFonts w:ascii="Arial Narrow" w:hAnsi="Arial Narrow"/>
                <w:sz w:val="20"/>
              </w:rPr>
              <w:fldChar w:fldCharType="end"/>
            </w:r>
            <w:r w:rsidRPr="005C3612">
              <w:rPr>
                <w:rFonts w:ascii="Arial Narrow" w:hAnsi="Arial Narrow"/>
                <w:sz w:val="20"/>
              </w:rPr>
              <w:t>Streamlined</w:t>
            </w:r>
          </w:p>
        </w:tc>
      </w:tr>
      <w:tr w:rsidR="00EF6D7D" w:rsidRPr="00260CE3"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291388" w:rsidRDefault="00EF6D7D" w:rsidP="001A4DB3">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5C3612" w:rsidRDefault="00EF6D7D" w:rsidP="001A4DB3">
            <w:pPr>
              <w:rPr>
                <w:rFonts w:ascii="Arial Narrow" w:hAnsi="Arial Narrow"/>
                <w:b/>
                <w:sz w:val="20"/>
                <w:u w:val="single"/>
              </w:rPr>
            </w:pPr>
            <w:r w:rsidRPr="005C3612">
              <w:rPr>
                <w:rFonts w:ascii="Arial Narrow" w:hAnsi="Arial Narrow"/>
                <w:b/>
                <w:sz w:val="20"/>
                <w:u w:val="single"/>
              </w:rPr>
              <w:t>NOTE:</w:t>
            </w:r>
          </w:p>
          <w:p w:rsidR="00EF6D7D" w:rsidRPr="005C3612" w:rsidRDefault="00EF6D7D" w:rsidP="001A4DB3">
            <w:pPr>
              <w:rPr>
                <w:rFonts w:ascii="Arial Narrow" w:hAnsi="Arial Narrow"/>
                <w:sz w:val="20"/>
              </w:rPr>
            </w:pPr>
            <w:r w:rsidRPr="005C3612">
              <w:rPr>
                <w:rFonts w:ascii="Arial Narrow" w:hAnsi="Arial Narrow"/>
                <w:sz w:val="20"/>
              </w:rPr>
              <w:t>Except in cases of hypopituitarism or primary amenorrhoea, the patient should have been adequately treated with clomiphene citrate and/or gonadorelin and failed to have conceived.</w:t>
            </w:r>
          </w:p>
          <w:p w:rsidR="00EF6D7D" w:rsidRPr="005C3612" w:rsidRDefault="00EF6D7D" w:rsidP="001A4DB3">
            <w:pPr>
              <w:rPr>
                <w:rFonts w:ascii="Arial Narrow" w:hAnsi="Arial Narrow"/>
                <w:sz w:val="20"/>
              </w:rPr>
            </w:pPr>
            <w:r w:rsidRPr="005C3612">
              <w:rPr>
                <w:rFonts w:ascii="Arial Narrow" w:hAnsi="Arial Narrow"/>
                <w:sz w:val="20"/>
              </w:rPr>
              <w:t>Women who have had apparent ovulation induced by other agents and have failed to conceive should have laparoscopic evidence that there is no other impediment to conception.</w:t>
            </w:r>
          </w:p>
          <w:p w:rsidR="00EF6D7D" w:rsidRPr="005C3612" w:rsidRDefault="00EF6D7D" w:rsidP="001A4DB3">
            <w:pPr>
              <w:rPr>
                <w:rFonts w:ascii="Arial Narrow" w:hAnsi="Arial Narrow"/>
                <w:sz w:val="20"/>
              </w:rPr>
            </w:pPr>
            <w:r w:rsidRPr="005C3612">
              <w:rPr>
                <w:rFonts w:ascii="Arial Narrow" w:hAnsi="Arial Narrow"/>
                <w:sz w:val="20"/>
              </w:rPr>
              <w:t>Oligomenorrhoea should have been present for at least twelve months or amenorrhoea for at least six months prior to treatment.</w:t>
            </w:r>
          </w:p>
          <w:p w:rsidR="00EF6D7D" w:rsidRPr="007F27FE" w:rsidRDefault="00EF6D7D" w:rsidP="001A4DB3">
            <w:pPr>
              <w:rPr>
                <w:rFonts w:ascii="Arial Narrow" w:hAnsi="Arial Narrow"/>
                <w:sz w:val="20"/>
              </w:rPr>
            </w:pPr>
            <w:r w:rsidRPr="005C3612">
              <w:rPr>
                <w:rFonts w:ascii="Arial Narrow" w:hAnsi="Arial Narrow"/>
                <w:sz w:val="20"/>
              </w:rPr>
              <w:t>Patients with hyperprolactinaemia should have had appropriate surgical or medical treatment prior to treatment.</w:t>
            </w:r>
          </w:p>
        </w:tc>
      </w:tr>
      <w:tr w:rsidR="00EF6D7D" w:rsidRPr="005B7CCA" w:rsidTr="001A4DB3">
        <w:trPr>
          <w:cantSplit/>
          <w:trHeight w:val="360"/>
        </w:trPr>
        <w:tc>
          <w:tcPr>
            <w:tcW w:w="1985" w:type="dxa"/>
            <w:tcBorders>
              <w:top w:val="single" w:sz="4" w:space="0" w:color="auto"/>
              <w:bottom w:val="single" w:sz="4" w:space="0" w:color="auto"/>
            </w:tcBorders>
          </w:tcPr>
          <w:p w:rsidR="00EF6D7D" w:rsidRPr="005B7CCA" w:rsidRDefault="00EF6D7D" w:rsidP="001A4DB3">
            <w:pPr>
              <w:rPr>
                <w:rFonts w:ascii="Arial Narrow" w:hAnsi="Arial Narrow" w:cs="Arial"/>
                <w:b/>
                <w:sz w:val="20"/>
                <w:szCs w:val="20"/>
              </w:rPr>
            </w:pPr>
          </w:p>
        </w:tc>
        <w:tc>
          <w:tcPr>
            <w:tcW w:w="6412" w:type="dxa"/>
            <w:gridSpan w:val="6"/>
            <w:tcBorders>
              <w:top w:val="single" w:sz="4" w:space="0" w:color="auto"/>
              <w:bottom w:val="single" w:sz="4" w:space="0" w:color="auto"/>
            </w:tcBorders>
          </w:tcPr>
          <w:p w:rsidR="00EF6D7D" w:rsidRPr="005B7CCA" w:rsidRDefault="00EF6D7D" w:rsidP="001A4DB3">
            <w:pPr>
              <w:rPr>
                <w:rFonts w:ascii="Arial Narrow" w:hAnsi="Arial Narrow"/>
                <w:strike/>
                <w:sz w:val="20"/>
              </w:rPr>
            </w:pPr>
          </w:p>
        </w:tc>
      </w:tr>
      <w:tr w:rsidR="00EF6D7D" w:rsidRPr="005B7CCA"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cs="Arial"/>
                <w:b/>
                <w:sz w:val="20"/>
                <w:szCs w:val="20"/>
              </w:rPr>
            </w:pPr>
            <w:r w:rsidRPr="005B7CCA">
              <w:rPr>
                <w:rFonts w:ascii="Arial Narrow" w:hAnsi="Arial Narrow" w:cs="Arial"/>
                <w:b/>
                <w:sz w:val="20"/>
                <w:szCs w:val="20"/>
              </w:rPr>
              <w:t>Condition:</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EF6D7D" w:rsidRDefault="00EF6D7D" w:rsidP="001A4DB3">
            <w:pPr>
              <w:rPr>
                <w:rFonts w:ascii="Arial Narrow" w:hAnsi="Arial Narrow"/>
                <w:sz w:val="20"/>
              </w:rPr>
            </w:pPr>
            <w:r w:rsidRPr="00EF6D7D">
              <w:rPr>
                <w:rFonts w:ascii="Arial Narrow" w:hAnsi="Arial Narrow"/>
                <w:sz w:val="20"/>
              </w:rPr>
              <w:t>Infertility</w:t>
            </w:r>
          </w:p>
        </w:tc>
      </w:tr>
      <w:tr w:rsidR="00EF6D7D"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cs="Arial"/>
                <w:b/>
                <w:sz w:val="20"/>
                <w:szCs w:val="20"/>
              </w:rPr>
            </w:pPr>
            <w:r w:rsidRPr="005B7CCA">
              <w:rPr>
                <w:rFonts w:ascii="Arial Narrow" w:hAnsi="Arial Narrow" w:cs="Arial"/>
                <w:b/>
                <w:sz w:val="20"/>
                <w:szCs w:val="20"/>
              </w:rPr>
              <w:t>PBS Indication:</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EF6D7D" w:rsidRDefault="00EF6D7D" w:rsidP="001A4DB3">
            <w:pPr>
              <w:rPr>
                <w:rFonts w:ascii="Arial Narrow" w:hAnsi="Arial Narrow"/>
                <w:sz w:val="20"/>
              </w:rPr>
            </w:pPr>
            <w:r w:rsidRPr="00EF6D7D">
              <w:rPr>
                <w:rFonts w:ascii="Arial Narrow" w:hAnsi="Arial Narrow"/>
                <w:sz w:val="20"/>
              </w:rPr>
              <w:t>Infertility</w:t>
            </w:r>
          </w:p>
        </w:tc>
      </w:tr>
      <w:tr w:rsidR="00EF6D7D"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cs="Arial"/>
                <w:b/>
                <w:sz w:val="20"/>
                <w:szCs w:val="20"/>
              </w:rPr>
            </w:pPr>
            <w:r>
              <w:rPr>
                <w:rFonts w:ascii="Arial Narrow" w:hAnsi="Arial Narrow" w:cs="Arial"/>
                <w:b/>
                <w:sz w:val="20"/>
                <w:szCs w:val="20"/>
              </w:rPr>
              <w:lastRenderedPageBreak/>
              <w:t>Clinical criteria</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EF6D7D" w:rsidRDefault="00EF6D7D" w:rsidP="001A4DB3">
            <w:pPr>
              <w:rPr>
                <w:rFonts w:ascii="Arial Narrow" w:hAnsi="Arial Narrow"/>
                <w:sz w:val="20"/>
              </w:rPr>
            </w:pPr>
            <w:r w:rsidRPr="00EF6D7D">
              <w:rPr>
                <w:rFonts w:ascii="Arial Narrow" w:hAnsi="Arial Narrow"/>
                <w:sz w:val="20"/>
              </w:rPr>
              <w:t>The condition must be due to hypogonadotrophic hypogonadism,</w:t>
            </w:r>
          </w:p>
          <w:p w:rsidR="00EF6D7D" w:rsidRPr="00EF6D7D" w:rsidRDefault="00EF6D7D" w:rsidP="001A4DB3">
            <w:pPr>
              <w:rPr>
                <w:rFonts w:ascii="Arial Narrow" w:hAnsi="Arial Narrow"/>
                <w:sz w:val="20"/>
              </w:rPr>
            </w:pPr>
            <w:r w:rsidRPr="00EF6D7D">
              <w:rPr>
                <w:rFonts w:ascii="Arial Narrow" w:hAnsi="Arial Narrow"/>
                <w:sz w:val="20"/>
              </w:rPr>
              <w:t>AND</w:t>
            </w:r>
          </w:p>
          <w:p w:rsidR="00EF6D7D" w:rsidRPr="00EF6D7D" w:rsidRDefault="00EF6D7D" w:rsidP="001A4DB3">
            <w:pPr>
              <w:rPr>
                <w:rFonts w:ascii="Arial Narrow" w:hAnsi="Arial Narrow"/>
                <w:sz w:val="20"/>
              </w:rPr>
            </w:pPr>
            <w:r w:rsidRPr="00EF6D7D">
              <w:rPr>
                <w:rFonts w:ascii="Arial Narrow" w:hAnsi="Arial Narrow"/>
                <w:sz w:val="20"/>
              </w:rPr>
              <w:t>The treatment must be following failure of 6 months' treatment with human chorionic gonadotrophin to achieve adequate spermatogenesis,</w:t>
            </w:r>
          </w:p>
          <w:p w:rsidR="00EF6D7D" w:rsidRPr="00EF6D7D" w:rsidRDefault="00EF6D7D" w:rsidP="001A4DB3">
            <w:pPr>
              <w:rPr>
                <w:rFonts w:ascii="Arial Narrow" w:hAnsi="Arial Narrow"/>
                <w:sz w:val="20"/>
              </w:rPr>
            </w:pPr>
            <w:r w:rsidRPr="00EF6D7D">
              <w:rPr>
                <w:rFonts w:ascii="Arial Narrow" w:hAnsi="Arial Narrow"/>
                <w:sz w:val="20"/>
              </w:rPr>
              <w:t>AND</w:t>
            </w:r>
          </w:p>
          <w:p w:rsidR="00EF6D7D" w:rsidRPr="005B7CCA" w:rsidRDefault="00EF6D7D" w:rsidP="001A4DB3">
            <w:pPr>
              <w:rPr>
                <w:rFonts w:ascii="Arial Narrow" w:hAnsi="Arial Narrow"/>
                <w:sz w:val="20"/>
              </w:rPr>
            </w:pPr>
            <w:r w:rsidRPr="00EF6D7D">
              <w:rPr>
                <w:rFonts w:ascii="Arial Narrow" w:hAnsi="Arial Narrow"/>
                <w:sz w:val="20"/>
              </w:rPr>
              <w:t>The treatment must be administered with human chorionic gonadotrophin.</w:t>
            </w:r>
          </w:p>
        </w:tc>
      </w:tr>
      <w:tr w:rsidR="00EF6D7D" w:rsidRPr="005C3612"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cs="Arial"/>
                <w:b/>
                <w:sz w:val="20"/>
                <w:szCs w:val="20"/>
              </w:rPr>
            </w:pPr>
            <w:r w:rsidRPr="005B7CCA">
              <w:rPr>
                <w:rFonts w:ascii="Arial Narrow" w:hAnsi="Arial Narrow" w:cs="Arial"/>
                <w:b/>
                <w:sz w:val="20"/>
                <w:szCs w:val="20"/>
              </w:rPr>
              <w:t>Restriction Level / Method:</w:t>
            </w:r>
          </w:p>
          <w:p w:rsidR="00EF6D7D" w:rsidRPr="005B7CCA" w:rsidRDefault="00EF6D7D" w:rsidP="001A4DB3">
            <w:pPr>
              <w:rPr>
                <w:rFonts w:ascii="Arial Narrow" w:hAnsi="Arial Narrow" w:cs="Arial"/>
                <w:b/>
                <w:sz w:val="20"/>
                <w:szCs w:val="20"/>
              </w:rPr>
            </w:pPr>
          </w:p>
        </w:tc>
        <w:tc>
          <w:tcPr>
            <w:tcW w:w="6412" w:type="dxa"/>
            <w:gridSpan w:val="6"/>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sz w:val="20"/>
              </w:rPr>
            </w:pPr>
            <w:r w:rsidRPr="005B7CCA">
              <w:rPr>
                <w:rFonts w:ascii="Arial Narrow" w:hAnsi="Arial Narrow"/>
                <w:sz w:val="20"/>
              </w:rPr>
              <w:fldChar w:fldCharType="begin">
                <w:ffData>
                  <w:name w:val="Check5"/>
                  <w:enabled/>
                  <w:calcOnExit w:val="0"/>
                  <w:checkBox>
                    <w:sizeAuto/>
                    <w:default w:val="1"/>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Restricted benefit</w:t>
            </w:r>
          </w:p>
          <w:p w:rsidR="00EF6D7D" w:rsidRPr="005B7CCA" w:rsidRDefault="00EF6D7D" w:rsidP="001A4DB3">
            <w:pPr>
              <w:rPr>
                <w:rFonts w:ascii="Arial Narrow" w:hAnsi="Arial Narrow"/>
                <w:sz w:val="20"/>
              </w:rPr>
            </w:pPr>
            <w:r w:rsidRPr="005B7CCA">
              <w:rPr>
                <w:rFonts w:ascii="Arial Narrow" w:hAnsi="Arial Narrow"/>
                <w:sz w:val="20"/>
              </w:rPr>
              <w:fldChar w:fldCharType="begin">
                <w:ffData>
                  <w:name w:val=""/>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In Writing</w:t>
            </w:r>
          </w:p>
          <w:p w:rsidR="00EF6D7D" w:rsidRPr="005B7CCA" w:rsidRDefault="00EF6D7D" w:rsidP="001A4DB3">
            <w:pPr>
              <w:rPr>
                <w:rFonts w:ascii="Arial Narrow" w:hAnsi="Arial Narrow"/>
                <w:sz w:val="20"/>
              </w:rPr>
            </w:pPr>
            <w:r w:rsidRPr="005B7CCA">
              <w:rPr>
                <w:rFonts w:ascii="Arial Narrow" w:hAnsi="Arial Narrow"/>
                <w:sz w:val="20"/>
              </w:rPr>
              <w:fldChar w:fldCharType="begin">
                <w:ffData>
                  <w:name w:val="Check3"/>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Telephone</w:t>
            </w:r>
          </w:p>
          <w:p w:rsidR="00EF6D7D" w:rsidRPr="005B7CCA" w:rsidRDefault="00EF6D7D" w:rsidP="001A4DB3">
            <w:pPr>
              <w:rPr>
                <w:rFonts w:ascii="Arial Narrow" w:hAnsi="Arial Narrow"/>
                <w:sz w:val="20"/>
              </w:rPr>
            </w:pPr>
            <w:r w:rsidRPr="005B7CCA">
              <w:rPr>
                <w:rFonts w:ascii="Arial Narrow" w:hAnsi="Arial Narrow"/>
                <w:sz w:val="20"/>
              </w:rPr>
              <w:fldChar w:fldCharType="begin">
                <w:ffData>
                  <w:name w:val=""/>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Emergency</w:t>
            </w:r>
          </w:p>
          <w:p w:rsidR="00EF6D7D" w:rsidRPr="005B7CCA" w:rsidRDefault="00EF6D7D" w:rsidP="001A4DB3">
            <w:pPr>
              <w:rPr>
                <w:rFonts w:ascii="Arial Narrow" w:hAnsi="Arial Narrow"/>
                <w:sz w:val="20"/>
              </w:rPr>
            </w:pPr>
            <w:r w:rsidRPr="005B7CCA">
              <w:rPr>
                <w:rFonts w:ascii="Arial Narrow" w:hAnsi="Arial Narrow"/>
                <w:sz w:val="20"/>
              </w:rPr>
              <w:fldChar w:fldCharType="begin">
                <w:ffData>
                  <w:name w:val="Check5"/>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Authority Required - Electronic</w:t>
            </w:r>
          </w:p>
          <w:p w:rsidR="00EF6D7D" w:rsidRPr="005B7CCA" w:rsidRDefault="00EF6D7D" w:rsidP="001A4DB3">
            <w:pPr>
              <w:rPr>
                <w:rFonts w:ascii="Arial Narrow" w:hAnsi="Arial Narrow"/>
                <w:sz w:val="20"/>
              </w:rPr>
            </w:pPr>
            <w:r w:rsidRPr="005B7CCA">
              <w:rPr>
                <w:rFonts w:ascii="Arial Narrow" w:hAnsi="Arial Narrow"/>
                <w:sz w:val="20"/>
              </w:rPr>
              <w:fldChar w:fldCharType="begin">
                <w:ffData>
                  <w:name w:val="Check1"/>
                  <w:enabled/>
                  <w:calcOnExit w:val="0"/>
                  <w:checkBox>
                    <w:sizeAuto/>
                    <w:default w:val="0"/>
                  </w:checkBox>
                </w:ffData>
              </w:fldChar>
            </w:r>
            <w:r w:rsidRPr="005B7CCA">
              <w:rPr>
                <w:rFonts w:ascii="Arial Narrow" w:hAnsi="Arial Narrow"/>
                <w:sz w:val="20"/>
              </w:rPr>
              <w:instrText xml:space="preserve"> FORMCHECKBOX </w:instrText>
            </w:r>
            <w:r w:rsidR="00CC1874">
              <w:rPr>
                <w:rFonts w:ascii="Arial Narrow" w:hAnsi="Arial Narrow"/>
                <w:sz w:val="20"/>
              </w:rPr>
            </w:r>
            <w:r w:rsidR="00CC1874">
              <w:rPr>
                <w:rFonts w:ascii="Arial Narrow" w:hAnsi="Arial Narrow"/>
                <w:sz w:val="20"/>
              </w:rPr>
              <w:fldChar w:fldCharType="separate"/>
            </w:r>
            <w:r w:rsidRPr="005B7CCA">
              <w:rPr>
                <w:rFonts w:ascii="Arial Narrow" w:hAnsi="Arial Narrow"/>
                <w:sz w:val="20"/>
              </w:rPr>
              <w:fldChar w:fldCharType="end"/>
            </w:r>
            <w:r w:rsidRPr="005B7CCA">
              <w:rPr>
                <w:rFonts w:ascii="Arial Narrow" w:hAnsi="Arial Narrow"/>
                <w:sz w:val="20"/>
              </w:rPr>
              <w:t>Streamlined</w:t>
            </w:r>
          </w:p>
        </w:tc>
      </w:tr>
      <w:tr w:rsidR="00EF6D7D" w:rsidRPr="007F27FE" w:rsidTr="001A4DB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cs="Arial"/>
                <w:b/>
                <w:sz w:val="20"/>
                <w:szCs w:val="20"/>
              </w:rPr>
            </w:pPr>
            <w:r w:rsidRPr="005B7CCA">
              <w:rPr>
                <w:rFonts w:ascii="Arial Narrow" w:hAnsi="Arial Narrow" w:cs="Arial"/>
                <w:b/>
                <w:sz w:val="20"/>
                <w:szCs w:val="20"/>
              </w:rPr>
              <w:t>Administrative Advice</w:t>
            </w:r>
          </w:p>
        </w:tc>
        <w:tc>
          <w:tcPr>
            <w:tcW w:w="6412" w:type="dxa"/>
            <w:gridSpan w:val="6"/>
            <w:tcBorders>
              <w:top w:val="single" w:sz="4" w:space="0" w:color="auto"/>
              <w:left w:val="single" w:sz="4" w:space="0" w:color="auto"/>
              <w:bottom w:val="single" w:sz="4" w:space="0" w:color="auto"/>
              <w:right w:val="single" w:sz="4" w:space="0" w:color="auto"/>
            </w:tcBorders>
          </w:tcPr>
          <w:p w:rsidR="00EF6D7D" w:rsidRPr="005B7CCA" w:rsidRDefault="00EF6D7D" w:rsidP="001A4DB3">
            <w:pPr>
              <w:rPr>
                <w:rFonts w:ascii="Arial Narrow" w:hAnsi="Arial Narrow"/>
                <w:b/>
                <w:sz w:val="20"/>
                <w:u w:val="single"/>
              </w:rPr>
            </w:pPr>
            <w:r w:rsidRPr="005B7CCA">
              <w:rPr>
                <w:rFonts w:ascii="Arial Narrow" w:hAnsi="Arial Narrow"/>
                <w:b/>
                <w:sz w:val="20"/>
                <w:u w:val="single"/>
              </w:rPr>
              <w:t>NOTE:</w:t>
            </w:r>
          </w:p>
          <w:p w:rsidR="00EF6D7D" w:rsidRPr="005B7CCA" w:rsidRDefault="00EF6D7D" w:rsidP="001A4DB3">
            <w:pPr>
              <w:rPr>
                <w:rFonts w:ascii="Arial Narrow" w:hAnsi="Arial Narrow"/>
                <w:sz w:val="20"/>
              </w:rPr>
            </w:pPr>
            <w:r w:rsidRPr="005B7CCA">
              <w:rPr>
                <w:rFonts w:ascii="Arial Narrow" w:hAnsi="Arial Narrow"/>
                <w:sz w:val="20"/>
              </w:rPr>
              <w:t>Except in cases of hypopituitarism or primary amenorrhoea, the patient should have been adequately treated with clomiphene citrate and/or gonadorelin and failed to have conceived.</w:t>
            </w:r>
          </w:p>
          <w:p w:rsidR="00EF6D7D" w:rsidRPr="005B7CCA" w:rsidRDefault="00EF6D7D" w:rsidP="001A4DB3">
            <w:pPr>
              <w:rPr>
                <w:rFonts w:ascii="Arial Narrow" w:hAnsi="Arial Narrow"/>
                <w:sz w:val="20"/>
              </w:rPr>
            </w:pPr>
            <w:r w:rsidRPr="005B7CCA">
              <w:rPr>
                <w:rFonts w:ascii="Arial Narrow" w:hAnsi="Arial Narrow"/>
                <w:sz w:val="20"/>
              </w:rPr>
              <w:t>Patients with hyperprolactinaemia should have had appropriate surgical or medical treatment prior to treatment.</w:t>
            </w:r>
          </w:p>
        </w:tc>
      </w:tr>
    </w:tbl>
    <w:p w:rsidR="00EF6D7D" w:rsidRDefault="00EF6D7D" w:rsidP="00EF6D7D">
      <w:pPr>
        <w:pStyle w:val="ListParagraph"/>
        <w:jc w:val="both"/>
        <w:rPr>
          <w:szCs w:val="22"/>
        </w:rPr>
      </w:pPr>
    </w:p>
    <w:p w:rsidR="00F0395E" w:rsidRPr="006C4967" w:rsidRDefault="00F0395E" w:rsidP="00F0395E">
      <w:pPr>
        <w:ind w:firstLine="720"/>
        <w:rPr>
          <w:rFonts w:cs="Arial"/>
          <w:b/>
          <w:bCs/>
          <w:szCs w:val="22"/>
        </w:rPr>
      </w:pPr>
    </w:p>
    <w:p w:rsidR="00246558" w:rsidRDefault="00246558" w:rsidP="00246558">
      <w:pPr>
        <w:pStyle w:val="Heading1"/>
        <w:widowControl w:val="0"/>
        <w:numPr>
          <w:ilvl w:val="0"/>
          <w:numId w:val="41"/>
        </w:numPr>
        <w:contextualSpacing w:val="0"/>
      </w:pPr>
      <w:r w:rsidRPr="004304F6">
        <w:rPr>
          <w:rFonts w:cs="Arial"/>
        </w:rPr>
        <w:t>Context for Decision</w:t>
      </w:r>
    </w:p>
    <w:p w:rsidR="00246558" w:rsidRPr="006B3CD8" w:rsidRDefault="00246558" w:rsidP="00246558"/>
    <w:p w:rsidR="00246558" w:rsidRDefault="00246558" w:rsidP="006F6947">
      <w:pPr>
        <w:ind w:left="720"/>
        <w:jc w:val="both"/>
        <w:rPr>
          <w:rFonts w:cs="Arial"/>
        </w:rPr>
      </w:pPr>
      <w:r w:rsidRPr="004304F6">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46558" w:rsidRPr="004304F6" w:rsidRDefault="00246558" w:rsidP="00246558">
      <w:pPr>
        <w:ind w:left="720"/>
        <w:rPr>
          <w:rFonts w:cs="Arial"/>
        </w:rPr>
      </w:pPr>
    </w:p>
    <w:p w:rsidR="00246558" w:rsidRDefault="00246558" w:rsidP="00246558">
      <w:pPr>
        <w:pStyle w:val="Heading1"/>
        <w:spacing w:after="240"/>
        <w:rPr>
          <w:rFonts w:cs="Arial"/>
        </w:rPr>
      </w:pPr>
      <w:r w:rsidRPr="004304F6">
        <w:rPr>
          <w:rFonts w:cs="Arial"/>
        </w:rPr>
        <w:t>Sponsor’s Comment</w:t>
      </w:r>
    </w:p>
    <w:p w:rsidR="006F6947" w:rsidRDefault="006F6947" w:rsidP="006F6947">
      <w:pPr>
        <w:ind w:left="720"/>
        <w:jc w:val="both"/>
      </w:pPr>
      <w:r>
        <w:t>FINOX welcomes the PBAC’s positive recommendation to list Bemfola on the PBS. FINOX did not apply to the PBAC for a-flagging of Bemfola with Gonal-f due to differences in the prescribing and dispensing patterns with the two forms of follitropin alfa in Australia.</w:t>
      </w:r>
    </w:p>
    <w:p w:rsidR="00AF59C9" w:rsidRPr="00AF59C9" w:rsidRDefault="00AF59C9" w:rsidP="00AF59C9"/>
    <w:p w:rsidR="00803CCA" w:rsidRPr="00694012" w:rsidRDefault="00803CCA" w:rsidP="00694012">
      <w:pPr>
        <w:tabs>
          <w:tab w:val="left" w:pos="7020"/>
        </w:tabs>
        <w:rPr>
          <w:szCs w:val="22"/>
        </w:rPr>
      </w:pPr>
    </w:p>
    <w:sectPr w:rsidR="00803CCA" w:rsidRPr="00694012" w:rsidSect="00C27B58">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8ED06" w15:done="0"/>
  <w15:commentEx w15:paraId="18CE4F74" w15:done="0"/>
  <w15:commentEx w15:paraId="7AAE0D40" w15:done="0"/>
  <w15:commentEx w15:paraId="33DD3DAA" w15:done="0"/>
  <w15:commentEx w15:paraId="18055A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F9" w:rsidRDefault="005F52F9">
      <w:r>
        <w:separator/>
      </w:r>
    </w:p>
    <w:p w:rsidR="005F52F9" w:rsidRDefault="005F52F9"/>
  </w:endnote>
  <w:endnote w:type="continuationSeparator" w:id="0">
    <w:p w:rsidR="005F52F9" w:rsidRDefault="005F52F9">
      <w:r>
        <w:continuationSeparator/>
      </w:r>
    </w:p>
    <w:p w:rsidR="005F52F9" w:rsidRDefault="005F5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E3794" w:rsidTr="005A3173">
      <w:trPr>
        <w:trHeight w:val="151"/>
      </w:trPr>
      <w:tc>
        <w:tcPr>
          <w:tcW w:w="2250" w:type="pct"/>
          <w:tcBorders>
            <w:top w:val="nil"/>
            <w:left w:val="nil"/>
            <w:bottom w:val="single" w:sz="4" w:space="0" w:color="4F81BD"/>
            <w:right w:val="nil"/>
          </w:tcBorders>
        </w:tcPr>
        <w:p w:rsidR="00BE3794" w:rsidRPr="005A3173" w:rsidRDefault="00BE379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E3794" w:rsidRPr="005A3173" w:rsidRDefault="00BE379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E3794" w:rsidRPr="005A3173" w:rsidRDefault="00BE3794" w:rsidP="005A3173">
          <w:pPr>
            <w:pStyle w:val="Header"/>
            <w:spacing w:line="276" w:lineRule="auto"/>
            <w:rPr>
              <w:rFonts w:ascii="Calibri" w:eastAsia="MS Gothic" w:hAnsi="Calibri"/>
              <w:b/>
              <w:bCs/>
              <w:color w:val="4F81BD"/>
            </w:rPr>
          </w:pPr>
        </w:p>
      </w:tc>
    </w:tr>
    <w:tr w:rsidR="00BE3794" w:rsidTr="005A3173">
      <w:trPr>
        <w:trHeight w:val="150"/>
      </w:trPr>
      <w:tc>
        <w:tcPr>
          <w:tcW w:w="2250" w:type="pct"/>
          <w:tcBorders>
            <w:top w:val="single" w:sz="4" w:space="0" w:color="4F81BD"/>
            <w:left w:val="nil"/>
            <w:bottom w:val="nil"/>
            <w:right w:val="nil"/>
          </w:tcBorders>
        </w:tcPr>
        <w:p w:rsidR="00BE3794" w:rsidRPr="005A3173" w:rsidRDefault="00BE3794" w:rsidP="005A3173">
          <w:pPr>
            <w:pStyle w:val="Header"/>
            <w:spacing w:line="276" w:lineRule="auto"/>
            <w:rPr>
              <w:rFonts w:ascii="Calibri" w:eastAsia="MS Gothic" w:hAnsi="Calibri"/>
              <w:b/>
              <w:bCs/>
              <w:color w:val="4F81BD"/>
            </w:rPr>
          </w:pPr>
        </w:p>
      </w:tc>
      <w:tc>
        <w:tcPr>
          <w:tcW w:w="0" w:type="auto"/>
          <w:vMerge/>
          <w:vAlign w:val="center"/>
          <w:hideMark/>
        </w:tcPr>
        <w:p w:rsidR="00BE3794" w:rsidRPr="005A3173" w:rsidRDefault="00BE3794" w:rsidP="005A3173">
          <w:pPr>
            <w:rPr>
              <w:rFonts w:ascii="Calibri" w:hAnsi="Calibri"/>
              <w:color w:val="365F91"/>
              <w:szCs w:val="22"/>
            </w:rPr>
          </w:pPr>
        </w:p>
      </w:tc>
      <w:tc>
        <w:tcPr>
          <w:tcW w:w="2250" w:type="pct"/>
          <w:tcBorders>
            <w:top w:val="single" w:sz="4" w:space="0" w:color="4F81BD"/>
            <w:left w:val="nil"/>
            <w:bottom w:val="nil"/>
            <w:right w:val="nil"/>
          </w:tcBorders>
        </w:tcPr>
        <w:p w:rsidR="00BE3794" w:rsidRPr="005A3173" w:rsidRDefault="00BE3794" w:rsidP="005A3173">
          <w:pPr>
            <w:pStyle w:val="Header"/>
            <w:spacing w:line="276" w:lineRule="auto"/>
            <w:rPr>
              <w:rFonts w:ascii="Calibri" w:eastAsia="MS Gothic" w:hAnsi="Calibri"/>
              <w:b/>
              <w:bCs/>
              <w:color w:val="4F81BD"/>
            </w:rPr>
          </w:pPr>
        </w:p>
      </w:tc>
    </w:tr>
  </w:tbl>
  <w:p w:rsidR="00BE3794" w:rsidRDefault="00BE379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3794" w:rsidRDefault="00BE3794">
    <w:pPr>
      <w:pStyle w:val="Footer"/>
    </w:pPr>
  </w:p>
  <w:p w:rsidR="00BE3794" w:rsidRDefault="00BE37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603961"/>
      <w:docPartObj>
        <w:docPartGallery w:val="Page Numbers (Bottom of Page)"/>
        <w:docPartUnique/>
      </w:docPartObj>
    </w:sdtPr>
    <w:sdtEndPr>
      <w:rPr>
        <w:noProof/>
        <w:sz w:val="20"/>
      </w:rPr>
    </w:sdtEndPr>
    <w:sdtContent>
      <w:p w:rsidR="00BE3794" w:rsidRDefault="00BE3794">
        <w:pPr>
          <w:pStyle w:val="Footer"/>
          <w:jc w:val="center"/>
        </w:pPr>
      </w:p>
      <w:p w:rsidR="00BE3794" w:rsidRPr="008B5049" w:rsidRDefault="00BE3794" w:rsidP="000E3CC0">
        <w:pPr>
          <w:pStyle w:val="Footer"/>
          <w:jc w:val="center"/>
          <w:rPr>
            <w:sz w:val="20"/>
          </w:rPr>
        </w:pPr>
        <w:r w:rsidRPr="008B5049">
          <w:rPr>
            <w:sz w:val="20"/>
          </w:rPr>
          <w:fldChar w:fldCharType="begin"/>
        </w:r>
        <w:r w:rsidRPr="008B5049">
          <w:rPr>
            <w:sz w:val="20"/>
          </w:rPr>
          <w:instrText xml:space="preserve"> PAGE   \* MERGEFORMAT </w:instrText>
        </w:r>
        <w:r w:rsidRPr="008B5049">
          <w:rPr>
            <w:sz w:val="20"/>
          </w:rPr>
          <w:fldChar w:fldCharType="separate"/>
        </w:r>
        <w:r w:rsidR="00CC1874">
          <w:rPr>
            <w:noProof/>
            <w:sz w:val="20"/>
          </w:rPr>
          <w:t>14</w:t>
        </w:r>
        <w:r w:rsidRPr="008B5049">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E3794" w:rsidTr="005A3173">
      <w:trPr>
        <w:trHeight w:val="151"/>
      </w:trPr>
      <w:tc>
        <w:tcPr>
          <w:tcW w:w="2250" w:type="pct"/>
          <w:tcBorders>
            <w:top w:val="nil"/>
            <w:left w:val="nil"/>
            <w:bottom w:val="single" w:sz="4" w:space="0" w:color="4F81BD"/>
            <w:right w:val="nil"/>
          </w:tcBorders>
        </w:tcPr>
        <w:p w:rsidR="00BE3794" w:rsidRPr="005A3173" w:rsidRDefault="00BE379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E3794" w:rsidRPr="005A3173" w:rsidRDefault="00BE379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E3794" w:rsidRPr="005A3173" w:rsidRDefault="00BE3794" w:rsidP="005A3173">
          <w:pPr>
            <w:pStyle w:val="Header"/>
            <w:spacing w:line="276" w:lineRule="auto"/>
            <w:rPr>
              <w:rFonts w:ascii="Calibri" w:eastAsia="MS Gothic" w:hAnsi="Calibri"/>
              <w:b/>
              <w:bCs/>
              <w:color w:val="4F81BD"/>
            </w:rPr>
          </w:pPr>
        </w:p>
      </w:tc>
    </w:tr>
    <w:tr w:rsidR="00BE3794" w:rsidTr="005A3173">
      <w:trPr>
        <w:trHeight w:val="150"/>
      </w:trPr>
      <w:tc>
        <w:tcPr>
          <w:tcW w:w="2250" w:type="pct"/>
          <w:tcBorders>
            <w:top w:val="single" w:sz="4" w:space="0" w:color="4F81BD"/>
            <w:left w:val="nil"/>
            <w:bottom w:val="nil"/>
            <w:right w:val="nil"/>
          </w:tcBorders>
        </w:tcPr>
        <w:p w:rsidR="00BE3794" w:rsidRPr="005A3173" w:rsidRDefault="00BE3794" w:rsidP="005A3173">
          <w:pPr>
            <w:pStyle w:val="Header"/>
            <w:spacing w:line="276" w:lineRule="auto"/>
            <w:rPr>
              <w:rFonts w:ascii="Calibri" w:eastAsia="MS Gothic" w:hAnsi="Calibri"/>
              <w:b/>
              <w:bCs/>
              <w:color w:val="4F81BD"/>
            </w:rPr>
          </w:pPr>
        </w:p>
      </w:tc>
      <w:tc>
        <w:tcPr>
          <w:tcW w:w="0" w:type="auto"/>
          <w:vMerge/>
          <w:vAlign w:val="center"/>
          <w:hideMark/>
        </w:tcPr>
        <w:p w:rsidR="00BE3794" w:rsidRPr="005A3173" w:rsidRDefault="00BE3794" w:rsidP="005A3173">
          <w:pPr>
            <w:rPr>
              <w:rFonts w:ascii="Calibri" w:hAnsi="Calibri"/>
              <w:color w:val="365F91"/>
              <w:szCs w:val="22"/>
            </w:rPr>
          </w:pPr>
        </w:p>
      </w:tc>
      <w:tc>
        <w:tcPr>
          <w:tcW w:w="2250" w:type="pct"/>
          <w:tcBorders>
            <w:top w:val="single" w:sz="4" w:space="0" w:color="4F81BD"/>
            <w:left w:val="nil"/>
            <w:bottom w:val="nil"/>
            <w:right w:val="nil"/>
          </w:tcBorders>
        </w:tcPr>
        <w:p w:rsidR="00BE3794" w:rsidRPr="005A3173" w:rsidRDefault="00BE379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E3794" w:rsidTr="005A3173">
      <w:trPr>
        <w:trHeight w:val="151"/>
      </w:trPr>
      <w:tc>
        <w:tcPr>
          <w:tcW w:w="2250" w:type="pct"/>
          <w:tcBorders>
            <w:top w:val="nil"/>
            <w:left w:val="nil"/>
            <w:bottom w:val="single" w:sz="4" w:space="0" w:color="4F81BD"/>
            <w:right w:val="nil"/>
          </w:tcBorders>
        </w:tcPr>
        <w:p w:rsidR="00BE3794" w:rsidRPr="005A3173" w:rsidRDefault="00BE379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E3794" w:rsidRPr="005A3173" w:rsidRDefault="00BE379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E3794" w:rsidRPr="005A3173" w:rsidRDefault="00BE3794" w:rsidP="005A3173">
          <w:pPr>
            <w:pStyle w:val="Header"/>
            <w:spacing w:line="276" w:lineRule="auto"/>
            <w:rPr>
              <w:rFonts w:ascii="Calibri" w:eastAsia="MS Gothic" w:hAnsi="Calibri"/>
              <w:b/>
              <w:bCs/>
              <w:color w:val="4F81BD"/>
            </w:rPr>
          </w:pPr>
        </w:p>
      </w:tc>
    </w:tr>
    <w:tr w:rsidR="00BE3794" w:rsidTr="005A3173">
      <w:trPr>
        <w:trHeight w:val="150"/>
      </w:trPr>
      <w:tc>
        <w:tcPr>
          <w:tcW w:w="2250" w:type="pct"/>
          <w:tcBorders>
            <w:top w:val="single" w:sz="4" w:space="0" w:color="4F81BD"/>
            <w:left w:val="nil"/>
            <w:bottom w:val="nil"/>
            <w:right w:val="nil"/>
          </w:tcBorders>
        </w:tcPr>
        <w:p w:rsidR="00BE3794" w:rsidRPr="005A3173" w:rsidRDefault="00BE3794" w:rsidP="005A3173">
          <w:pPr>
            <w:pStyle w:val="Header"/>
            <w:spacing w:line="276" w:lineRule="auto"/>
            <w:rPr>
              <w:rFonts w:ascii="Calibri" w:eastAsia="MS Gothic" w:hAnsi="Calibri"/>
              <w:b/>
              <w:bCs/>
              <w:color w:val="4F81BD"/>
            </w:rPr>
          </w:pPr>
        </w:p>
      </w:tc>
      <w:tc>
        <w:tcPr>
          <w:tcW w:w="0" w:type="auto"/>
          <w:vMerge/>
          <w:vAlign w:val="center"/>
          <w:hideMark/>
        </w:tcPr>
        <w:p w:rsidR="00BE3794" w:rsidRPr="005A3173" w:rsidRDefault="00BE3794" w:rsidP="005A3173">
          <w:pPr>
            <w:rPr>
              <w:rFonts w:ascii="Calibri" w:hAnsi="Calibri"/>
              <w:color w:val="365F91"/>
              <w:szCs w:val="22"/>
            </w:rPr>
          </w:pPr>
        </w:p>
      </w:tc>
      <w:tc>
        <w:tcPr>
          <w:tcW w:w="2250" w:type="pct"/>
          <w:tcBorders>
            <w:top w:val="single" w:sz="4" w:space="0" w:color="4F81BD"/>
            <w:left w:val="nil"/>
            <w:bottom w:val="nil"/>
            <w:right w:val="nil"/>
          </w:tcBorders>
        </w:tcPr>
        <w:p w:rsidR="00BE3794" w:rsidRPr="005A3173" w:rsidRDefault="00BE3794" w:rsidP="005A3173">
          <w:pPr>
            <w:pStyle w:val="Header"/>
            <w:spacing w:line="276" w:lineRule="auto"/>
            <w:rPr>
              <w:rFonts w:ascii="Calibri" w:eastAsia="MS Gothic" w:hAnsi="Calibri"/>
              <w:b/>
              <w:bCs/>
              <w:color w:val="4F81BD"/>
            </w:rPr>
          </w:pPr>
        </w:p>
      </w:tc>
    </w:tr>
  </w:tbl>
  <w:p w:rsidR="00BE3794" w:rsidRPr="007C0F57" w:rsidRDefault="00BE379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E3794" w:rsidRPr="007C0F57" w:rsidRDefault="00BE3794" w:rsidP="007C0F57">
    <w:pPr>
      <w:pStyle w:val="Footer"/>
      <w:jc w:val="center"/>
      <w:rPr>
        <w:b/>
        <w:i/>
        <w:sz w:val="20"/>
        <w:szCs w:val="20"/>
      </w:rPr>
    </w:pPr>
    <w:r w:rsidRPr="007C0F57">
      <w:rPr>
        <w:b/>
        <w:i/>
        <w:sz w:val="20"/>
        <w:szCs w:val="20"/>
      </w:rPr>
      <w:t>Commercial-in-Confidence</w:t>
    </w:r>
  </w:p>
  <w:p w:rsidR="00BE3794" w:rsidRDefault="00BE37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F9" w:rsidRDefault="005F52F9">
      <w:r>
        <w:separator/>
      </w:r>
    </w:p>
  </w:footnote>
  <w:footnote w:type="continuationSeparator" w:id="0">
    <w:p w:rsidR="005F52F9" w:rsidRDefault="005F52F9">
      <w:r>
        <w:continuationSeparator/>
      </w:r>
    </w:p>
    <w:p w:rsidR="005F52F9" w:rsidRDefault="005F52F9"/>
  </w:footnote>
  <w:footnote w:id="1">
    <w:p w:rsidR="00BE3794" w:rsidRPr="00065F77" w:rsidRDefault="00BE3794" w:rsidP="009028BA">
      <w:pPr>
        <w:pStyle w:val="FootnoteText"/>
        <w:rPr>
          <w:rFonts w:ascii="Arial Narrow" w:hAnsi="Arial Narrow"/>
        </w:rPr>
      </w:pPr>
      <w:r w:rsidRPr="00065F77">
        <w:rPr>
          <w:rStyle w:val="FootnoteReference"/>
          <w:rFonts w:ascii="Arial Narrow" w:hAnsi="Arial Narrow"/>
        </w:rPr>
        <w:footnoteRef/>
      </w:r>
      <w:r w:rsidRPr="00065F77">
        <w:rPr>
          <w:rFonts w:ascii="Arial Narrow" w:hAnsi="Arial Narrow"/>
        </w:rPr>
        <w:t xml:space="preserve"> In clinical trials these patients were defined by an endogenous serum LH level &lt;1.2 IU/L.</w:t>
      </w:r>
    </w:p>
  </w:footnote>
  <w:footnote w:id="2">
    <w:p w:rsidR="00BE3794" w:rsidRPr="00065F77" w:rsidRDefault="00BE3794">
      <w:pPr>
        <w:pStyle w:val="FootnoteText"/>
        <w:rPr>
          <w:rFonts w:ascii="Arial Narrow" w:hAnsi="Arial Narrow"/>
        </w:rPr>
      </w:pPr>
      <w:r w:rsidRPr="00065F77">
        <w:rPr>
          <w:rStyle w:val="FootnoteReference"/>
          <w:rFonts w:ascii="Arial Narrow" w:hAnsi="Arial Narrow"/>
        </w:rPr>
        <w:footnoteRef/>
      </w:r>
      <w:r w:rsidRPr="00065F77">
        <w:rPr>
          <w:rFonts w:ascii="Arial Narrow" w:hAnsi="Arial Narrow"/>
        </w:rPr>
        <w:t xml:space="preserve"> Medicare Australia Statistics: </w:t>
      </w:r>
      <w:hyperlink r:id="rId1" w:history="1">
        <w:r w:rsidRPr="00065F77">
          <w:rPr>
            <w:rStyle w:val="Hyperlink"/>
            <w:rFonts w:ascii="Arial Narrow" w:hAnsi="Arial Narrow"/>
          </w:rPr>
          <w:t>medicarestatistics.humanservices.gov.au/statistics/</w:t>
        </w:r>
      </w:hyperlink>
      <w:r w:rsidRPr="00065F77">
        <w:rPr>
          <w:rFonts w:ascii="Arial Narrow" w:hAnsi="Arial Narrow"/>
        </w:rPr>
        <w:t xml:space="preserve"> (Medicare Items processed from January 2015 to December 2015)</w:t>
      </w:r>
    </w:p>
  </w:footnote>
  <w:footnote w:id="3">
    <w:p w:rsidR="00BE3794" w:rsidRPr="00065F77" w:rsidRDefault="00BE3794" w:rsidP="00814215">
      <w:pPr>
        <w:pStyle w:val="FootnoteText"/>
        <w:rPr>
          <w:rFonts w:ascii="Arial Narrow" w:hAnsi="Arial Narrow"/>
        </w:rPr>
      </w:pPr>
      <w:r w:rsidRPr="00065F77">
        <w:rPr>
          <w:rStyle w:val="FootnoteReference"/>
          <w:rFonts w:ascii="Arial Narrow" w:hAnsi="Arial Narrow"/>
        </w:rPr>
        <w:footnoteRef/>
      </w:r>
      <w:r w:rsidRPr="00065F77">
        <w:rPr>
          <w:rFonts w:ascii="Arial Narrow" w:hAnsi="Arial Narrow"/>
        </w:rPr>
        <w:t xml:space="preserve"> AEs resulting in death, life-threatening, hospitalisation, persistent or significant disability/incapacity or other medically important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E3794" w:rsidRPr="008E0D90" w:rsidTr="00A06225">
      <w:trPr>
        <w:trHeight w:val="151"/>
      </w:trPr>
      <w:tc>
        <w:tcPr>
          <w:tcW w:w="2389" w:type="pct"/>
          <w:tcBorders>
            <w:top w:val="nil"/>
            <w:left w:val="nil"/>
            <w:bottom w:val="single" w:sz="4" w:space="0" w:color="4F81BD"/>
            <w:right w:val="nil"/>
          </w:tcBorders>
        </w:tcPr>
        <w:p w:rsidR="00BE3794" w:rsidRPr="00A06225" w:rsidRDefault="00BE3794">
          <w:pPr>
            <w:pStyle w:val="Header"/>
            <w:spacing w:line="276" w:lineRule="auto"/>
            <w:rPr>
              <w:rFonts w:ascii="Cambria" w:eastAsia="MS Gothic" w:hAnsi="Cambria"/>
              <w:b/>
              <w:bCs/>
              <w:color w:val="4F81BD"/>
            </w:rPr>
          </w:pPr>
        </w:p>
      </w:tc>
      <w:tc>
        <w:tcPr>
          <w:tcW w:w="333" w:type="pct"/>
          <w:vMerge w:val="restart"/>
          <w:noWrap/>
          <w:vAlign w:val="center"/>
          <w:hideMark/>
        </w:tcPr>
        <w:p w:rsidR="00BE3794" w:rsidRPr="00A06225" w:rsidRDefault="00BE379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E3794" w:rsidRPr="00A06225" w:rsidRDefault="00BE3794">
          <w:pPr>
            <w:pStyle w:val="Header"/>
            <w:spacing w:line="276" w:lineRule="auto"/>
            <w:rPr>
              <w:rFonts w:ascii="Cambria" w:eastAsia="MS Gothic" w:hAnsi="Cambria"/>
              <w:b/>
              <w:bCs/>
              <w:color w:val="4F81BD"/>
            </w:rPr>
          </w:pPr>
        </w:p>
      </w:tc>
    </w:tr>
    <w:tr w:rsidR="00BE3794" w:rsidRPr="008E0D90" w:rsidTr="00A06225">
      <w:trPr>
        <w:trHeight w:val="150"/>
      </w:trPr>
      <w:tc>
        <w:tcPr>
          <w:tcW w:w="2389" w:type="pct"/>
          <w:tcBorders>
            <w:top w:val="single" w:sz="4" w:space="0" w:color="4F81BD"/>
            <w:left w:val="nil"/>
            <w:bottom w:val="nil"/>
            <w:right w:val="nil"/>
          </w:tcBorders>
        </w:tcPr>
        <w:p w:rsidR="00BE3794" w:rsidRPr="00A06225" w:rsidRDefault="00BE3794">
          <w:pPr>
            <w:pStyle w:val="Header"/>
            <w:spacing w:line="276" w:lineRule="auto"/>
            <w:rPr>
              <w:rFonts w:ascii="Cambria" w:eastAsia="MS Gothic" w:hAnsi="Cambria"/>
              <w:b/>
              <w:bCs/>
              <w:color w:val="4F81BD"/>
            </w:rPr>
          </w:pPr>
        </w:p>
      </w:tc>
      <w:tc>
        <w:tcPr>
          <w:tcW w:w="0" w:type="auto"/>
          <w:vMerge/>
          <w:vAlign w:val="center"/>
          <w:hideMark/>
        </w:tcPr>
        <w:p w:rsidR="00BE3794" w:rsidRPr="00A06225" w:rsidRDefault="00BE3794">
          <w:pPr>
            <w:rPr>
              <w:rFonts w:ascii="Cambria" w:hAnsi="Cambria"/>
              <w:color w:val="4F81BD"/>
              <w:szCs w:val="22"/>
            </w:rPr>
          </w:pPr>
        </w:p>
      </w:tc>
      <w:tc>
        <w:tcPr>
          <w:tcW w:w="2278" w:type="pct"/>
          <w:tcBorders>
            <w:top w:val="single" w:sz="4" w:space="0" w:color="4F81BD"/>
            <w:left w:val="nil"/>
            <w:bottom w:val="nil"/>
            <w:right w:val="nil"/>
          </w:tcBorders>
        </w:tcPr>
        <w:p w:rsidR="00BE3794" w:rsidRPr="00A06225" w:rsidRDefault="00BE3794">
          <w:pPr>
            <w:pStyle w:val="Header"/>
            <w:spacing w:line="276" w:lineRule="auto"/>
            <w:rPr>
              <w:rFonts w:ascii="Cambria" w:eastAsia="MS Gothic" w:hAnsi="Cambria"/>
              <w:b/>
              <w:bCs/>
              <w:color w:val="4F81BD"/>
            </w:rPr>
          </w:pPr>
        </w:p>
      </w:tc>
    </w:tr>
  </w:tbl>
  <w:p w:rsidR="00BE3794" w:rsidRDefault="00BE3794">
    <w:pPr>
      <w:pStyle w:val="Header"/>
    </w:pPr>
  </w:p>
  <w:p w:rsidR="00BE3794" w:rsidRDefault="00BE37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794" w:rsidRDefault="00BE3794" w:rsidP="00246558">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BE3794" w:rsidRDefault="00BE3794"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F9" w:rsidRDefault="005F5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01564B"/>
    <w:multiLevelType w:val="hybridMultilevel"/>
    <w:tmpl w:val="7736E95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
    <w:nsid w:val="0C280590"/>
    <w:multiLevelType w:val="hybridMultilevel"/>
    <w:tmpl w:val="32B484F8"/>
    <w:lvl w:ilvl="0" w:tplc="0C090001">
      <w:start w:val="1"/>
      <w:numFmt w:val="bullet"/>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5">
    <w:nsid w:val="170253FF"/>
    <w:multiLevelType w:val="multilevel"/>
    <w:tmpl w:val="52EEE2A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BD412B"/>
    <w:multiLevelType w:val="hybridMultilevel"/>
    <w:tmpl w:val="B4EE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7526A2"/>
    <w:multiLevelType w:val="hybridMultilevel"/>
    <w:tmpl w:val="3A8C82BE"/>
    <w:lvl w:ilvl="0" w:tplc="E17A94BA">
      <w:numFmt w:val="bullet"/>
      <w:lvlText w:val="•"/>
      <w:lvlJc w:val="left"/>
      <w:pPr>
        <w:ind w:left="1443" w:hanging="705"/>
      </w:pPr>
      <w:rPr>
        <w:rFonts w:ascii="Arial" w:eastAsia="Times New Roman" w:hAnsi="Arial" w:cs="Arial" w:hint="default"/>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abstractNum w:abstractNumId="8">
    <w:nsid w:val="1CA47AEB"/>
    <w:multiLevelType w:val="hybridMultilevel"/>
    <w:tmpl w:val="9486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2C637C3"/>
    <w:multiLevelType w:val="hybridMultilevel"/>
    <w:tmpl w:val="0858849C"/>
    <w:lvl w:ilvl="0" w:tplc="EB804F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A40EC8"/>
    <w:multiLevelType w:val="hybridMultilevel"/>
    <w:tmpl w:val="61683F2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nsid w:val="33725DCC"/>
    <w:multiLevelType w:val="hybridMultilevel"/>
    <w:tmpl w:val="6F5C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3F02D5"/>
    <w:multiLevelType w:val="hybridMultilevel"/>
    <w:tmpl w:val="489AC4FE"/>
    <w:lvl w:ilvl="0" w:tplc="56C2B89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5F4A5B"/>
    <w:multiLevelType w:val="multilevel"/>
    <w:tmpl w:val="F8EC315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8F72BC6"/>
    <w:multiLevelType w:val="hybridMultilevel"/>
    <w:tmpl w:val="F6ACBE46"/>
    <w:lvl w:ilvl="0" w:tplc="EB804F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E2165F"/>
    <w:multiLevelType w:val="hybridMultilevel"/>
    <w:tmpl w:val="E294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957815"/>
    <w:multiLevelType w:val="hybridMultilevel"/>
    <w:tmpl w:val="D2C2EE76"/>
    <w:lvl w:ilvl="0" w:tplc="3D042618">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B30DD5"/>
    <w:multiLevelType w:val="hybridMultilevel"/>
    <w:tmpl w:val="B4C68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E1B3583"/>
    <w:multiLevelType w:val="hybridMultilevel"/>
    <w:tmpl w:val="1BF8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0A466F"/>
    <w:multiLevelType w:val="hybridMultilevel"/>
    <w:tmpl w:val="C318E5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0C02CE2"/>
    <w:multiLevelType w:val="multilevel"/>
    <w:tmpl w:val="37EEF51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403122"/>
    <w:multiLevelType w:val="hybridMultilevel"/>
    <w:tmpl w:val="8F94B85E"/>
    <w:lvl w:ilvl="0" w:tplc="01487D4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462FA1"/>
    <w:multiLevelType w:val="multilevel"/>
    <w:tmpl w:val="C842013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36306AC"/>
    <w:multiLevelType w:val="hybridMultilevel"/>
    <w:tmpl w:val="2BE436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98844A0"/>
    <w:multiLevelType w:val="multilevel"/>
    <w:tmpl w:val="04DA6A7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E1E3EF2"/>
    <w:multiLevelType w:val="hybridMultilevel"/>
    <w:tmpl w:val="0F40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4D033C"/>
    <w:multiLevelType w:val="multilevel"/>
    <w:tmpl w:val="C8FC072C"/>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90A5905"/>
    <w:multiLevelType w:val="hybridMultilevel"/>
    <w:tmpl w:val="C09E2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
  </w:num>
  <w:num w:numId="4">
    <w:abstractNumId w:val="28"/>
  </w:num>
  <w:num w:numId="5">
    <w:abstractNumId w:val="5"/>
  </w:num>
  <w:num w:numId="6">
    <w:abstractNumId w:val="27"/>
  </w:num>
  <w:num w:numId="7">
    <w:abstractNumId w:val="18"/>
  </w:num>
  <w:num w:numId="8">
    <w:abstractNumId w:val="13"/>
  </w:num>
  <w:num w:numId="9">
    <w:abstractNumId w:val="19"/>
  </w:num>
  <w:num w:numId="10">
    <w:abstractNumId w:val="30"/>
  </w:num>
  <w:num w:numId="11">
    <w:abstractNumId w:val="6"/>
  </w:num>
  <w:num w:numId="12">
    <w:abstractNumId w:val="10"/>
  </w:num>
  <w:num w:numId="13">
    <w:abstractNumId w:val="21"/>
  </w:num>
  <w:num w:numId="14">
    <w:abstractNumId w:val="12"/>
  </w:num>
  <w:num w:numId="15">
    <w:abstractNumId w:val="22"/>
  </w:num>
  <w:num w:numId="16">
    <w:abstractNumId w:val="4"/>
  </w:num>
  <w:num w:numId="17">
    <w:abstractNumId w:val="7"/>
  </w:num>
  <w:num w:numId="18">
    <w:abstractNumId w:val="3"/>
  </w:num>
  <w:num w:numId="19">
    <w:abstractNumId w:val="32"/>
  </w:num>
  <w:num w:numId="20">
    <w:abstractNumId w:val="26"/>
  </w:num>
  <w:num w:numId="21">
    <w:abstractNumId w:val="16"/>
  </w:num>
  <w:num w:numId="22">
    <w:abstractNumId w:val="14"/>
  </w:num>
  <w:num w:numId="23">
    <w:abstractNumId w:val="8"/>
  </w:num>
  <w:num w:numId="24">
    <w:abstractNumId w:val="23"/>
  </w:num>
  <w:num w:numId="25">
    <w:abstractNumId w:val="2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0"/>
  </w:num>
  <w:num w:numId="30">
    <w:abstractNumId w:val="11"/>
  </w:num>
  <w:num w:numId="31">
    <w:abstractNumId w:val="25"/>
  </w:num>
  <w:num w:numId="32">
    <w:abstractNumId w:val="17"/>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15"/>
  </w:num>
  <w:num w:numId="4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aepvesaaszscevdzjx5aahaedpx2s2zxst&quot;&gt;IVF&lt;record-ids&gt;&lt;item&gt;5&lt;/item&gt;&lt;item&gt;8&lt;/item&gt;&lt;item&gt;15&lt;/item&gt;&lt;item&gt;44&lt;/item&gt;&lt;item&gt;45&lt;/item&gt;&lt;item&gt;46&lt;/item&gt;&lt;item&gt;48&lt;/item&gt;&lt;item&gt;49&lt;/item&gt;&lt;item&gt;50&lt;/item&gt;&lt;item&gt;51&lt;/item&gt;&lt;item&gt;52&lt;/item&gt;&lt;/record-ids&gt;&lt;/item&gt;&lt;/Libraries&gt;"/>
  </w:docVars>
  <w:rsids>
    <w:rsidRoot w:val="0004240E"/>
    <w:rsid w:val="000005D9"/>
    <w:rsid w:val="000025AD"/>
    <w:rsid w:val="00002A96"/>
    <w:rsid w:val="00003511"/>
    <w:rsid w:val="00007B00"/>
    <w:rsid w:val="00007C05"/>
    <w:rsid w:val="00010419"/>
    <w:rsid w:val="000137BA"/>
    <w:rsid w:val="00021006"/>
    <w:rsid w:val="00022216"/>
    <w:rsid w:val="0002464A"/>
    <w:rsid w:val="000272AC"/>
    <w:rsid w:val="00027717"/>
    <w:rsid w:val="0003106B"/>
    <w:rsid w:val="0003642F"/>
    <w:rsid w:val="00037E2D"/>
    <w:rsid w:val="000421A1"/>
    <w:rsid w:val="0004240E"/>
    <w:rsid w:val="000444FC"/>
    <w:rsid w:val="00045DBB"/>
    <w:rsid w:val="00045E26"/>
    <w:rsid w:val="0004640E"/>
    <w:rsid w:val="000474B0"/>
    <w:rsid w:val="000514B5"/>
    <w:rsid w:val="000515B7"/>
    <w:rsid w:val="000525EC"/>
    <w:rsid w:val="00052EF4"/>
    <w:rsid w:val="00055F78"/>
    <w:rsid w:val="00060E64"/>
    <w:rsid w:val="00061861"/>
    <w:rsid w:val="0006429C"/>
    <w:rsid w:val="00065F77"/>
    <w:rsid w:val="00066755"/>
    <w:rsid w:val="00072E65"/>
    <w:rsid w:val="00076839"/>
    <w:rsid w:val="00082BEF"/>
    <w:rsid w:val="000836F3"/>
    <w:rsid w:val="000931B1"/>
    <w:rsid w:val="00094B11"/>
    <w:rsid w:val="0009604A"/>
    <w:rsid w:val="00096192"/>
    <w:rsid w:val="000969AD"/>
    <w:rsid w:val="000A07A9"/>
    <w:rsid w:val="000A4038"/>
    <w:rsid w:val="000A4652"/>
    <w:rsid w:val="000B1907"/>
    <w:rsid w:val="000B2B41"/>
    <w:rsid w:val="000B4522"/>
    <w:rsid w:val="000B558D"/>
    <w:rsid w:val="000B7EF5"/>
    <w:rsid w:val="000C4A15"/>
    <w:rsid w:val="000C6996"/>
    <w:rsid w:val="000D23BA"/>
    <w:rsid w:val="000D78A4"/>
    <w:rsid w:val="000E076C"/>
    <w:rsid w:val="000E3CC0"/>
    <w:rsid w:val="000E53EB"/>
    <w:rsid w:val="000E6713"/>
    <w:rsid w:val="000E681E"/>
    <w:rsid w:val="000F4E6A"/>
    <w:rsid w:val="000F4ECF"/>
    <w:rsid w:val="000F5198"/>
    <w:rsid w:val="000F5E69"/>
    <w:rsid w:val="000F66E9"/>
    <w:rsid w:val="000F6D3D"/>
    <w:rsid w:val="00101C0D"/>
    <w:rsid w:val="00103BC9"/>
    <w:rsid w:val="00104708"/>
    <w:rsid w:val="00105147"/>
    <w:rsid w:val="001107BF"/>
    <w:rsid w:val="0011087D"/>
    <w:rsid w:val="00110ED2"/>
    <w:rsid w:val="00114FD3"/>
    <w:rsid w:val="00117457"/>
    <w:rsid w:val="001226BE"/>
    <w:rsid w:val="0012417C"/>
    <w:rsid w:val="00125107"/>
    <w:rsid w:val="00126AD4"/>
    <w:rsid w:val="00130E77"/>
    <w:rsid w:val="001353BD"/>
    <w:rsid w:val="001363BB"/>
    <w:rsid w:val="00136A2C"/>
    <w:rsid w:val="00142395"/>
    <w:rsid w:val="00142714"/>
    <w:rsid w:val="0014320E"/>
    <w:rsid w:val="0014326C"/>
    <w:rsid w:val="001452ED"/>
    <w:rsid w:val="001467B5"/>
    <w:rsid w:val="00147E28"/>
    <w:rsid w:val="00150104"/>
    <w:rsid w:val="00150EE9"/>
    <w:rsid w:val="00151E49"/>
    <w:rsid w:val="00155AA9"/>
    <w:rsid w:val="00156559"/>
    <w:rsid w:val="001572A8"/>
    <w:rsid w:val="00165512"/>
    <w:rsid w:val="001657BA"/>
    <w:rsid w:val="00166EEA"/>
    <w:rsid w:val="00167FD2"/>
    <w:rsid w:val="00174CC9"/>
    <w:rsid w:val="00175B0A"/>
    <w:rsid w:val="00176D6B"/>
    <w:rsid w:val="001775A9"/>
    <w:rsid w:val="00177EF2"/>
    <w:rsid w:val="00181524"/>
    <w:rsid w:val="001830CE"/>
    <w:rsid w:val="001845E1"/>
    <w:rsid w:val="001856E2"/>
    <w:rsid w:val="001933BF"/>
    <w:rsid w:val="00194F09"/>
    <w:rsid w:val="0019587F"/>
    <w:rsid w:val="00196307"/>
    <w:rsid w:val="00196BBE"/>
    <w:rsid w:val="00197883"/>
    <w:rsid w:val="00197C4A"/>
    <w:rsid w:val="001A2B8A"/>
    <w:rsid w:val="001A2E8B"/>
    <w:rsid w:val="001A4DB3"/>
    <w:rsid w:val="001A5CF2"/>
    <w:rsid w:val="001A6C2F"/>
    <w:rsid w:val="001B017F"/>
    <w:rsid w:val="001B0885"/>
    <w:rsid w:val="001B17D6"/>
    <w:rsid w:val="001B2887"/>
    <w:rsid w:val="001B3B05"/>
    <w:rsid w:val="001B3F23"/>
    <w:rsid w:val="001B5129"/>
    <w:rsid w:val="001B6284"/>
    <w:rsid w:val="001B6514"/>
    <w:rsid w:val="001C1195"/>
    <w:rsid w:val="001C3DBC"/>
    <w:rsid w:val="001C6D23"/>
    <w:rsid w:val="001C7585"/>
    <w:rsid w:val="001C7870"/>
    <w:rsid w:val="001C7FFB"/>
    <w:rsid w:val="001D161C"/>
    <w:rsid w:val="001D57AE"/>
    <w:rsid w:val="001E5867"/>
    <w:rsid w:val="001E58E4"/>
    <w:rsid w:val="001F1DC0"/>
    <w:rsid w:val="001F31D7"/>
    <w:rsid w:val="001F7B00"/>
    <w:rsid w:val="00201FDA"/>
    <w:rsid w:val="002031D1"/>
    <w:rsid w:val="0020343F"/>
    <w:rsid w:val="00205260"/>
    <w:rsid w:val="00211E7E"/>
    <w:rsid w:val="00213CFB"/>
    <w:rsid w:val="00217E6E"/>
    <w:rsid w:val="002227F5"/>
    <w:rsid w:val="00223763"/>
    <w:rsid w:val="00223AB7"/>
    <w:rsid w:val="00231AAA"/>
    <w:rsid w:val="002329FD"/>
    <w:rsid w:val="00233616"/>
    <w:rsid w:val="00235678"/>
    <w:rsid w:val="00237377"/>
    <w:rsid w:val="00246558"/>
    <w:rsid w:val="00246F92"/>
    <w:rsid w:val="002508CE"/>
    <w:rsid w:val="0025239D"/>
    <w:rsid w:val="00252E97"/>
    <w:rsid w:val="0025466E"/>
    <w:rsid w:val="00257B64"/>
    <w:rsid w:val="00263472"/>
    <w:rsid w:val="00265AF7"/>
    <w:rsid w:val="0026769F"/>
    <w:rsid w:val="002702A5"/>
    <w:rsid w:val="0027085F"/>
    <w:rsid w:val="00271BA1"/>
    <w:rsid w:val="00272435"/>
    <w:rsid w:val="00274FE4"/>
    <w:rsid w:val="00277505"/>
    <w:rsid w:val="0027789E"/>
    <w:rsid w:val="00280420"/>
    <w:rsid w:val="0028175F"/>
    <w:rsid w:val="00284A68"/>
    <w:rsid w:val="00286B53"/>
    <w:rsid w:val="00287E63"/>
    <w:rsid w:val="00291388"/>
    <w:rsid w:val="0029458F"/>
    <w:rsid w:val="0029659B"/>
    <w:rsid w:val="002A0220"/>
    <w:rsid w:val="002A104C"/>
    <w:rsid w:val="002A2299"/>
    <w:rsid w:val="002A4673"/>
    <w:rsid w:val="002A4960"/>
    <w:rsid w:val="002B0BF2"/>
    <w:rsid w:val="002B1AE6"/>
    <w:rsid w:val="002B30F8"/>
    <w:rsid w:val="002B4C43"/>
    <w:rsid w:val="002B5E05"/>
    <w:rsid w:val="002B7A8B"/>
    <w:rsid w:val="002C212F"/>
    <w:rsid w:val="002D07DB"/>
    <w:rsid w:val="002E3153"/>
    <w:rsid w:val="002E581E"/>
    <w:rsid w:val="002E60AB"/>
    <w:rsid w:val="002E6CD1"/>
    <w:rsid w:val="002E72CA"/>
    <w:rsid w:val="002F21A7"/>
    <w:rsid w:val="002F6FC0"/>
    <w:rsid w:val="00301330"/>
    <w:rsid w:val="00302342"/>
    <w:rsid w:val="0030539B"/>
    <w:rsid w:val="00310988"/>
    <w:rsid w:val="00311E25"/>
    <w:rsid w:val="003129DD"/>
    <w:rsid w:val="003145BC"/>
    <w:rsid w:val="00315D03"/>
    <w:rsid w:val="003165A9"/>
    <w:rsid w:val="00316AF5"/>
    <w:rsid w:val="00316DED"/>
    <w:rsid w:val="003171E5"/>
    <w:rsid w:val="0031780F"/>
    <w:rsid w:val="00320527"/>
    <w:rsid w:val="00320684"/>
    <w:rsid w:val="003260A9"/>
    <w:rsid w:val="003265AF"/>
    <w:rsid w:val="00326A4F"/>
    <w:rsid w:val="00326E79"/>
    <w:rsid w:val="00334906"/>
    <w:rsid w:val="003359B2"/>
    <w:rsid w:val="003367EF"/>
    <w:rsid w:val="00337E68"/>
    <w:rsid w:val="00340D3F"/>
    <w:rsid w:val="00341AE4"/>
    <w:rsid w:val="00342EEE"/>
    <w:rsid w:val="00343367"/>
    <w:rsid w:val="00351BB9"/>
    <w:rsid w:val="00354BA1"/>
    <w:rsid w:val="003550AC"/>
    <w:rsid w:val="00356454"/>
    <w:rsid w:val="0036041B"/>
    <w:rsid w:val="003606C0"/>
    <w:rsid w:val="00365341"/>
    <w:rsid w:val="00365F45"/>
    <w:rsid w:val="00380735"/>
    <w:rsid w:val="00385CDC"/>
    <w:rsid w:val="00385FFA"/>
    <w:rsid w:val="003872CF"/>
    <w:rsid w:val="00391322"/>
    <w:rsid w:val="00392DEA"/>
    <w:rsid w:val="003940F4"/>
    <w:rsid w:val="00395191"/>
    <w:rsid w:val="00395ACB"/>
    <w:rsid w:val="003975F8"/>
    <w:rsid w:val="0039782C"/>
    <w:rsid w:val="003A3B02"/>
    <w:rsid w:val="003A4274"/>
    <w:rsid w:val="003A5B4A"/>
    <w:rsid w:val="003A64D0"/>
    <w:rsid w:val="003A75CB"/>
    <w:rsid w:val="003B23C5"/>
    <w:rsid w:val="003B2A75"/>
    <w:rsid w:val="003B392D"/>
    <w:rsid w:val="003B4AFC"/>
    <w:rsid w:val="003B71D7"/>
    <w:rsid w:val="003C051B"/>
    <w:rsid w:val="003C3D40"/>
    <w:rsid w:val="003C54BE"/>
    <w:rsid w:val="003C7549"/>
    <w:rsid w:val="003D11C9"/>
    <w:rsid w:val="003D4AC4"/>
    <w:rsid w:val="003D538D"/>
    <w:rsid w:val="003D63B7"/>
    <w:rsid w:val="003D7B18"/>
    <w:rsid w:val="003E0B9A"/>
    <w:rsid w:val="003E468B"/>
    <w:rsid w:val="003E55E0"/>
    <w:rsid w:val="003F0152"/>
    <w:rsid w:val="003F07F7"/>
    <w:rsid w:val="003F19B4"/>
    <w:rsid w:val="003F1D47"/>
    <w:rsid w:val="003F3626"/>
    <w:rsid w:val="003F4303"/>
    <w:rsid w:val="003F576A"/>
    <w:rsid w:val="003F5C8C"/>
    <w:rsid w:val="00402E6F"/>
    <w:rsid w:val="00405698"/>
    <w:rsid w:val="00410584"/>
    <w:rsid w:val="004118A8"/>
    <w:rsid w:val="00411AB5"/>
    <w:rsid w:val="0041454F"/>
    <w:rsid w:val="0041685D"/>
    <w:rsid w:val="00425C72"/>
    <w:rsid w:val="00435A69"/>
    <w:rsid w:val="00437448"/>
    <w:rsid w:val="004456EA"/>
    <w:rsid w:val="004465BD"/>
    <w:rsid w:val="00446F8D"/>
    <w:rsid w:val="00451F77"/>
    <w:rsid w:val="00452413"/>
    <w:rsid w:val="0045257F"/>
    <w:rsid w:val="00456BF3"/>
    <w:rsid w:val="00464CF0"/>
    <w:rsid w:val="00466ADA"/>
    <w:rsid w:val="0047029B"/>
    <w:rsid w:val="00471E93"/>
    <w:rsid w:val="00474710"/>
    <w:rsid w:val="004756AB"/>
    <w:rsid w:val="00475906"/>
    <w:rsid w:val="00475941"/>
    <w:rsid w:val="00476245"/>
    <w:rsid w:val="00477BA5"/>
    <w:rsid w:val="004819A0"/>
    <w:rsid w:val="00481BC1"/>
    <w:rsid w:val="00481C98"/>
    <w:rsid w:val="00482136"/>
    <w:rsid w:val="004828B2"/>
    <w:rsid w:val="00484CDA"/>
    <w:rsid w:val="00485940"/>
    <w:rsid w:val="0048726C"/>
    <w:rsid w:val="00487B36"/>
    <w:rsid w:val="00490F87"/>
    <w:rsid w:val="00491289"/>
    <w:rsid w:val="00493EDC"/>
    <w:rsid w:val="0049545B"/>
    <w:rsid w:val="004975A4"/>
    <w:rsid w:val="00497ED1"/>
    <w:rsid w:val="004A3533"/>
    <w:rsid w:val="004A4288"/>
    <w:rsid w:val="004A4BC1"/>
    <w:rsid w:val="004A5A85"/>
    <w:rsid w:val="004B07ED"/>
    <w:rsid w:val="004B0B86"/>
    <w:rsid w:val="004B5601"/>
    <w:rsid w:val="004B5640"/>
    <w:rsid w:val="004C0299"/>
    <w:rsid w:val="004C1595"/>
    <w:rsid w:val="004C1BD7"/>
    <w:rsid w:val="004C1EE2"/>
    <w:rsid w:val="004C2478"/>
    <w:rsid w:val="004C41DF"/>
    <w:rsid w:val="004C4423"/>
    <w:rsid w:val="004C691D"/>
    <w:rsid w:val="004D08C2"/>
    <w:rsid w:val="004D1311"/>
    <w:rsid w:val="004D248D"/>
    <w:rsid w:val="004D4380"/>
    <w:rsid w:val="004D7D4D"/>
    <w:rsid w:val="004E1D3A"/>
    <w:rsid w:val="004E4A0C"/>
    <w:rsid w:val="004E5E20"/>
    <w:rsid w:val="004E681A"/>
    <w:rsid w:val="004E692D"/>
    <w:rsid w:val="004E6A13"/>
    <w:rsid w:val="004F2093"/>
    <w:rsid w:val="004F2433"/>
    <w:rsid w:val="004F392C"/>
    <w:rsid w:val="004F47D7"/>
    <w:rsid w:val="00501554"/>
    <w:rsid w:val="00504C66"/>
    <w:rsid w:val="00507A57"/>
    <w:rsid w:val="00514CD7"/>
    <w:rsid w:val="00517A14"/>
    <w:rsid w:val="00520C77"/>
    <w:rsid w:val="00525927"/>
    <w:rsid w:val="00526FF4"/>
    <w:rsid w:val="005279CA"/>
    <w:rsid w:val="00530FD7"/>
    <w:rsid w:val="005319B2"/>
    <w:rsid w:val="00532C74"/>
    <w:rsid w:val="00532F8E"/>
    <w:rsid w:val="005337A1"/>
    <w:rsid w:val="00534E2E"/>
    <w:rsid w:val="0053564E"/>
    <w:rsid w:val="005363C3"/>
    <w:rsid w:val="00537680"/>
    <w:rsid w:val="0054089B"/>
    <w:rsid w:val="005418D1"/>
    <w:rsid w:val="00544186"/>
    <w:rsid w:val="00544552"/>
    <w:rsid w:val="00545071"/>
    <w:rsid w:val="005462F2"/>
    <w:rsid w:val="00551EF8"/>
    <w:rsid w:val="00553970"/>
    <w:rsid w:val="0055466E"/>
    <w:rsid w:val="00554D9A"/>
    <w:rsid w:val="00557CCF"/>
    <w:rsid w:val="00560F39"/>
    <w:rsid w:val="00561916"/>
    <w:rsid w:val="00564FB1"/>
    <w:rsid w:val="00566EDC"/>
    <w:rsid w:val="0056753D"/>
    <w:rsid w:val="005700F2"/>
    <w:rsid w:val="00572637"/>
    <w:rsid w:val="00573E96"/>
    <w:rsid w:val="0057665D"/>
    <w:rsid w:val="00577FB5"/>
    <w:rsid w:val="00581932"/>
    <w:rsid w:val="005837E3"/>
    <w:rsid w:val="005840E6"/>
    <w:rsid w:val="00586948"/>
    <w:rsid w:val="00591836"/>
    <w:rsid w:val="005963BB"/>
    <w:rsid w:val="005967B3"/>
    <w:rsid w:val="005A0B08"/>
    <w:rsid w:val="005A2E4F"/>
    <w:rsid w:val="005A3173"/>
    <w:rsid w:val="005A3223"/>
    <w:rsid w:val="005A3274"/>
    <w:rsid w:val="005A3DA3"/>
    <w:rsid w:val="005A52C4"/>
    <w:rsid w:val="005B02A9"/>
    <w:rsid w:val="005B25C8"/>
    <w:rsid w:val="005B3741"/>
    <w:rsid w:val="005B6B81"/>
    <w:rsid w:val="005B6C7C"/>
    <w:rsid w:val="005B7CCA"/>
    <w:rsid w:val="005C074B"/>
    <w:rsid w:val="005C650F"/>
    <w:rsid w:val="005C743D"/>
    <w:rsid w:val="005C7B8A"/>
    <w:rsid w:val="005D03AB"/>
    <w:rsid w:val="005D0FA8"/>
    <w:rsid w:val="005D0FE7"/>
    <w:rsid w:val="005D37C6"/>
    <w:rsid w:val="005D5017"/>
    <w:rsid w:val="005D78CB"/>
    <w:rsid w:val="005E2104"/>
    <w:rsid w:val="005E2A21"/>
    <w:rsid w:val="005E2DBE"/>
    <w:rsid w:val="005E472E"/>
    <w:rsid w:val="005F299E"/>
    <w:rsid w:val="005F364B"/>
    <w:rsid w:val="005F40FF"/>
    <w:rsid w:val="005F52F9"/>
    <w:rsid w:val="005F6447"/>
    <w:rsid w:val="005F6562"/>
    <w:rsid w:val="005F6BE7"/>
    <w:rsid w:val="00601A91"/>
    <w:rsid w:val="00602BA3"/>
    <w:rsid w:val="00610EB3"/>
    <w:rsid w:val="006119D8"/>
    <w:rsid w:val="006134E8"/>
    <w:rsid w:val="00614159"/>
    <w:rsid w:val="00614369"/>
    <w:rsid w:val="00617C00"/>
    <w:rsid w:val="0062104B"/>
    <w:rsid w:val="0062418A"/>
    <w:rsid w:val="00624DFF"/>
    <w:rsid w:val="00625F9D"/>
    <w:rsid w:val="006263BF"/>
    <w:rsid w:val="0062748A"/>
    <w:rsid w:val="00630A2C"/>
    <w:rsid w:val="0063101D"/>
    <w:rsid w:val="00631693"/>
    <w:rsid w:val="00636B9B"/>
    <w:rsid w:val="0064044C"/>
    <w:rsid w:val="00640EE1"/>
    <w:rsid w:val="00640FCA"/>
    <w:rsid w:val="00645651"/>
    <w:rsid w:val="00646327"/>
    <w:rsid w:val="00646C08"/>
    <w:rsid w:val="00651169"/>
    <w:rsid w:val="00651830"/>
    <w:rsid w:val="00651947"/>
    <w:rsid w:val="0065269A"/>
    <w:rsid w:val="00653D69"/>
    <w:rsid w:val="00662344"/>
    <w:rsid w:val="0066367A"/>
    <w:rsid w:val="00663AE1"/>
    <w:rsid w:val="00664537"/>
    <w:rsid w:val="006677F7"/>
    <w:rsid w:val="00670A76"/>
    <w:rsid w:val="00670C22"/>
    <w:rsid w:val="006711AA"/>
    <w:rsid w:val="0067138E"/>
    <w:rsid w:val="00672969"/>
    <w:rsid w:val="00672B57"/>
    <w:rsid w:val="00675622"/>
    <w:rsid w:val="00676246"/>
    <w:rsid w:val="00680490"/>
    <w:rsid w:val="00681DF0"/>
    <w:rsid w:val="00682676"/>
    <w:rsid w:val="0068274C"/>
    <w:rsid w:val="00683079"/>
    <w:rsid w:val="0068733D"/>
    <w:rsid w:val="006902E3"/>
    <w:rsid w:val="006906DB"/>
    <w:rsid w:val="00691B0A"/>
    <w:rsid w:val="00693A7D"/>
    <w:rsid w:val="00694012"/>
    <w:rsid w:val="006A12A5"/>
    <w:rsid w:val="006B0D94"/>
    <w:rsid w:val="006B1225"/>
    <w:rsid w:val="006B485D"/>
    <w:rsid w:val="006C28A0"/>
    <w:rsid w:val="006C3D83"/>
    <w:rsid w:val="006C3DA5"/>
    <w:rsid w:val="006C4967"/>
    <w:rsid w:val="006C708E"/>
    <w:rsid w:val="006D6EC7"/>
    <w:rsid w:val="006E1E20"/>
    <w:rsid w:val="006E6D64"/>
    <w:rsid w:val="006F078E"/>
    <w:rsid w:val="006F3065"/>
    <w:rsid w:val="006F4EB1"/>
    <w:rsid w:val="006F5125"/>
    <w:rsid w:val="006F62FB"/>
    <w:rsid w:val="006F6947"/>
    <w:rsid w:val="0070374E"/>
    <w:rsid w:val="00704879"/>
    <w:rsid w:val="00704DEC"/>
    <w:rsid w:val="00706328"/>
    <w:rsid w:val="0071099E"/>
    <w:rsid w:val="00713318"/>
    <w:rsid w:val="00714F7E"/>
    <w:rsid w:val="007166B6"/>
    <w:rsid w:val="007174BB"/>
    <w:rsid w:val="00722FE8"/>
    <w:rsid w:val="00723047"/>
    <w:rsid w:val="00723F59"/>
    <w:rsid w:val="00726B2B"/>
    <w:rsid w:val="00727CE3"/>
    <w:rsid w:val="0073025C"/>
    <w:rsid w:val="00732152"/>
    <w:rsid w:val="00740184"/>
    <w:rsid w:val="007428C4"/>
    <w:rsid w:val="007442B4"/>
    <w:rsid w:val="007520ED"/>
    <w:rsid w:val="00756D58"/>
    <w:rsid w:val="00757CC9"/>
    <w:rsid w:val="0076420C"/>
    <w:rsid w:val="007707E3"/>
    <w:rsid w:val="00772A71"/>
    <w:rsid w:val="00773F97"/>
    <w:rsid w:val="00774110"/>
    <w:rsid w:val="007753C2"/>
    <w:rsid w:val="00776BFB"/>
    <w:rsid w:val="00777C7E"/>
    <w:rsid w:val="00780B26"/>
    <w:rsid w:val="00781BA6"/>
    <w:rsid w:val="007838B8"/>
    <w:rsid w:val="00784899"/>
    <w:rsid w:val="007849A2"/>
    <w:rsid w:val="007901D9"/>
    <w:rsid w:val="007914DE"/>
    <w:rsid w:val="00796D34"/>
    <w:rsid w:val="007A1923"/>
    <w:rsid w:val="007A4775"/>
    <w:rsid w:val="007A47B5"/>
    <w:rsid w:val="007A4CB6"/>
    <w:rsid w:val="007B0AA6"/>
    <w:rsid w:val="007B5D27"/>
    <w:rsid w:val="007C0F57"/>
    <w:rsid w:val="007C40B6"/>
    <w:rsid w:val="007C729F"/>
    <w:rsid w:val="007D0A96"/>
    <w:rsid w:val="007D23A1"/>
    <w:rsid w:val="007D3C07"/>
    <w:rsid w:val="007D460D"/>
    <w:rsid w:val="007D517A"/>
    <w:rsid w:val="007D5B07"/>
    <w:rsid w:val="007D73F0"/>
    <w:rsid w:val="007D7C10"/>
    <w:rsid w:val="007E1D28"/>
    <w:rsid w:val="007E308B"/>
    <w:rsid w:val="007E68D0"/>
    <w:rsid w:val="007E6C4E"/>
    <w:rsid w:val="007E7ABA"/>
    <w:rsid w:val="007F1381"/>
    <w:rsid w:val="007F2641"/>
    <w:rsid w:val="007F32DD"/>
    <w:rsid w:val="007F7C36"/>
    <w:rsid w:val="00800A78"/>
    <w:rsid w:val="00801288"/>
    <w:rsid w:val="008018FA"/>
    <w:rsid w:val="00802600"/>
    <w:rsid w:val="0080335B"/>
    <w:rsid w:val="00803B72"/>
    <w:rsid w:val="00803CCA"/>
    <w:rsid w:val="00806796"/>
    <w:rsid w:val="0081297B"/>
    <w:rsid w:val="00813AF0"/>
    <w:rsid w:val="00814215"/>
    <w:rsid w:val="0081709E"/>
    <w:rsid w:val="00817D5D"/>
    <w:rsid w:val="00821B52"/>
    <w:rsid w:val="008241F3"/>
    <w:rsid w:val="00824613"/>
    <w:rsid w:val="00826F6D"/>
    <w:rsid w:val="00827824"/>
    <w:rsid w:val="00832617"/>
    <w:rsid w:val="00837545"/>
    <w:rsid w:val="00844D8A"/>
    <w:rsid w:val="00856DDD"/>
    <w:rsid w:val="00857304"/>
    <w:rsid w:val="00863E68"/>
    <w:rsid w:val="008655DE"/>
    <w:rsid w:val="0086680E"/>
    <w:rsid w:val="00872DC1"/>
    <w:rsid w:val="00874AF6"/>
    <w:rsid w:val="008819E9"/>
    <w:rsid w:val="00882085"/>
    <w:rsid w:val="00883188"/>
    <w:rsid w:val="008862BC"/>
    <w:rsid w:val="00891D09"/>
    <w:rsid w:val="00897D58"/>
    <w:rsid w:val="008A1956"/>
    <w:rsid w:val="008A4937"/>
    <w:rsid w:val="008A519E"/>
    <w:rsid w:val="008A5DBD"/>
    <w:rsid w:val="008A630F"/>
    <w:rsid w:val="008B20DD"/>
    <w:rsid w:val="008B28CB"/>
    <w:rsid w:val="008B2E2D"/>
    <w:rsid w:val="008B5049"/>
    <w:rsid w:val="008B60CF"/>
    <w:rsid w:val="008C1B7A"/>
    <w:rsid w:val="008C239D"/>
    <w:rsid w:val="008C5C21"/>
    <w:rsid w:val="008D24C2"/>
    <w:rsid w:val="008D3C82"/>
    <w:rsid w:val="008D447E"/>
    <w:rsid w:val="008D7A41"/>
    <w:rsid w:val="008E2B9B"/>
    <w:rsid w:val="008E3680"/>
    <w:rsid w:val="008E4AE2"/>
    <w:rsid w:val="008E55FF"/>
    <w:rsid w:val="008E5870"/>
    <w:rsid w:val="008E598B"/>
    <w:rsid w:val="008E7DB0"/>
    <w:rsid w:val="008E7DC1"/>
    <w:rsid w:val="008F1434"/>
    <w:rsid w:val="008F40AD"/>
    <w:rsid w:val="008F5DCB"/>
    <w:rsid w:val="008F5F18"/>
    <w:rsid w:val="008F7355"/>
    <w:rsid w:val="009028BA"/>
    <w:rsid w:val="00902AD4"/>
    <w:rsid w:val="00902E85"/>
    <w:rsid w:val="009031A3"/>
    <w:rsid w:val="009036DB"/>
    <w:rsid w:val="009039B2"/>
    <w:rsid w:val="009067B7"/>
    <w:rsid w:val="009151C5"/>
    <w:rsid w:val="00915972"/>
    <w:rsid w:val="009217F2"/>
    <w:rsid w:val="0092387C"/>
    <w:rsid w:val="00924057"/>
    <w:rsid w:val="00925D38"/>
    <w:rsid w:val="00925FD1"/>
    <w:rsid w:val="00930937"/>
    <w:rsid w:val="00933CC8"/>
    <w:rsid w:val="00933E6C"/>
    <w:rsid w:val="009349AF"/>
    <w:rsid w:val="00937421"/>
    <w:rsid w:val="00942160"/>
    <w:rsid w:val="00943BF0"/>
    <w:rsid w:val="00944356"/>
    <w:rsid w:val="0094598F"/>
    <w:rsid w:val="009538C5"/>
    <w:rsid w:val="00955E56"/>
    <w:rsid w:val="009578F0"/>
    <w:rsid w:val="009602C5"/>
    <w:rsid w:val="00960C87"/>
    <w:rsid w:val="009627EA"/>
    <w:rsid w:val="00965F37"/>
    <w:rsid w:val="0097056C"/>
    <w:rsid w:val="009713D9"/>
    <w:rsid w:val="009746E5"/>
    <w:rsid w:val="00974C21"/>
    <w:rsid w:val="00977DE8"/>
    <w:rsid w:val="00980C23"/>
    <w:rsid w:val="00985186"/>
    <w:rsid w:val="009854A9"/>
    <w:rsid w:val="0099277D"/>
    <w:rsid w:val="009929AE"/>
    <w:rsid w:val="009A35C5"/>
    <w:rsid w:val="009A6494"/>
    <w:rsid w:val="009B0272"/>
    <w:rsid w:val="009B0F67"/>
    <w:rsid w:val="009B30C5"/>
    <w:rsid w:val="009B3CDE"/>
    <w:rsid w:val="009B4546"/>
    <w:rsid w:val="009B70AE"/>
    <w:rsid w:val="009B7F1A"/>
    <w:rsid w:val="009C243C"/>
    <w:rsid w:val="009C4703"/>
    <w:rsid w:val="009C4BDD"/>
    <w:rsid w:val="009C4FF3"/>
    <w:rsid w:val="009C6CD4"/>
    <w:rsid w:val="009C703C"/>
    <w:rsid w:val="009D2672"/>
    <w:rsid w:val="009D388B"/>
    <w:rsid w:val="009D3CAA"/>
    <w:rsid w:val="009D4C53"/>
    <w:rsid w:val="009D6496"/>
    <w:rsid w:val="009E19AB"/>
    <w:rsid w:val="009E20DA"/>
    <w:rsid w:val="009E342C"/>
    <w:rsid w:val="009E438F"/>
    <w:rsid w:val="009F0F39"/>
    <w:rsid w:val="009F4E46"/>
    <w:rsid w:val="009F5B65"/>
    <w:rsid w:val="009F5F2E"/>
    <w:rsid w:val="009F68BD"/>
    <w:rsid w:val="009F6D0E"/>
    <w:rsid w:val="00A02718"/>
    <w:rsid w:val="00A033CE"/>
    <w:rsid w:val="00A04DE5"/>
    <w:rsid w:val="00A06225"/>
    <w:rsid w:val="00A07C3B"/>
    <w:rsid w:val="00A07F3E"/>
    <w:rsid w:val="00A10B83"/>
    <w:rsid w:val="00A128E6"/>
    <w:rsid w:val="00A1294C"/>
    <w:rsid w:val="00A15890"/>
    <w:rsid w:val="00A232AD"/>
    <w:rsid w:val="00A240EE"/>
    <w:rsid w:val="00A25D33"/>
    <w:rsid w:val="00A276EA"/>
    <w:rsid w:val="00A312A9"/>
    <w:rsid w:val="00A33982"/>
    <w:rsid w:val="00A3467D"/>
    <w:rsid w:val="00A37C8D"/>
    <w:rsid w:val="00A411D0"/>
    <w:rsid w:val="00A45F9F"/>
    <w:rsid w:val="00A525AA"/>
    <w:rsid w:val="00A5273B"/>
    <w:rsid w:val="00A53A9D"/>
    <w:rsid w:val="00A550B3"/>
    <w:rsid w:val="00A552D9"/>
    <w:rsid w:val="00A55FEE"/>
    <w:rsid w:val="00A56C81"/>
    <w:rsid w:val="00A615D2"/>
    <w:rsid w:val="00A62C1A"/>
    <w:rsid w:val="00A62E6C"/>
    <w:rsid w:val="00A633E7"/>
    <w:rsid w:val="00A63B09"/>
    <w:rsid w:val="00A6426D"/>
    <w:rsid w:val="00A650B9"/>
    <w:rsid w:val="00A673D1"/>
    <w:rsid w:val="00A67885"/>
    <w:rsid w:val="00A67B03"/>
    <w:rsid w:val="00A7039A"/>
    <w:rsid w:val="00A70622"/>
    <w:rsid w:val="00A70977"/>
    <w:rsid w:val="00A717AF"/>
    <w:rsid w:val="00A73F14"/>
    <w:rsid w:val="00A76D46"/>
    <w:rsid w:val="00A824B4"/>
    <w:rsid w:val="00A8390C"/>
    <w:rsid w:val="00A85193"/>
    <w:rsid w:val="00A87A08"/>
    <w:rsid w:val="00A928BD"/>
    <w:rsid w:val="00A937D8"/>
    <w:rsid w:val="00A94771"/>
    <w:rsid w:val="00A94941"/>
    <w:rsid w:val="00A95020"/>
    <w:rsid w:val="00A961D4"/>
    <w:rsid w:val="00AA277D"/>
    <w:rsid w:val="00AA2D8C"/>
    <w:rsid w:val="00AA4D1C"/>
    <w:rsid w:val="00AB0005"/>
    <w:rsid w:val="00AC5206"/>
    <w:rsid w:val="00AD16B2"/>
    <w:rsid w:val="00AD2D19"/>
    <w:rsid w:val="00AD56A8"/>
    <w:rsid w:val="00AD6108"/>
    <w:rsid w:val="00AD69A5"/>
    <w:rsid w:val="00AE00AE"/>
    <w:rsid w:val="00AE11A5"/>
    <w:rsid w:val="00AE13E2"/>
    <w:rsid w:val="00AE459D"/>
    <w:rsid w:val="00AE52AB"/>
    <w:rsid w:val="00AF1932"/>
    <w:rsid w:val="00AF3264"/>
    <w:rsid w:val="00AF5885"/>
    <w:rsid w:val="00AF59C9"/>
    <w:rsid w:val="00AF68CC"/>
    <w:rsid w:val="00B01AB5"/>
    <w:rsid w:val="00B03DC1"/>
    <w:rsid w:val="00B04541"/>
    <w:rsid w:val="00B06C3F"/>
    <w:rsid w:val="00B205AA"/>
    <w:rsid w:val="00B22E84"/>
    <w:rsid w:val="00B25F75"/>
    <w:rsid w:val="00B26BD3"/>
    <w:rsid w:val="00B30F0F"/>
    <w:rsid w:val="00B31244"/>
    <w:rsid w:val="00B31691"/>
    <w:rsid w:val="00B36ACE"/>
    <w:rsid w:val="00B43E90"/>
    <w:rsid w:val="00B44F80"/>
    <w:rsid w:val="00B47F1E"/>
    <w:rsid w:val="00B50D00"/>
    <w:rsid w:val="00B52348"/>
    <w:rsid w:val="00B533EF"/>
    <w:rsid w:val="00B542FB"/>
    <w:rsid w:val="00B56118"/>
    <w:rsid w:val="00B57D98"/>
    <w:rsid w:val="00B60400"/>
    <w:rsid w:val="00B62CC2"/>
    <w:rsid w:val="00B65D0A"/>
    <w:rsid w:val="00B6773F"/>
    <w:rsid w:val="00B70C6E"/>
    <w:rsid w:val="00B727AA"/>
    <w:rsid w:val="00B76D16"/>
    <w:rsid w:val="00B76DE0"/>
    <w:rsid w:val="00B801BA"/>
    <w:rsid w:val="00B81B57"/>
    <w:rsid w:val="00B82C82"/>
    <w:rsid w:val="00B832E7"/>
    <w:rsid w:val="00B84493"/>
    <w:rsid w:val="00B90994"/>
    <w:rsid w:val="00B91A0E"/>
    <w:rsid w:val="00B94ACD"/>
    <w:rsid w:val="00B95677"/>
    <w:rsid w:val="00B9620C"/>
    <w:rsid w:val="00B9643E"/>
    <w:rsid w:val="00B96708"/>
    <w:rsid w:val="00BA0D30"/>
    <w:rsid w:val="00BB2F43"/>
    <w:rsid w:val="00BB3337"/>
    <w:rsid w:val="00BB4FCA"/>
    <w:rsid w:val="00BB6679"/>
    <w:rsid w:val="00BB69F5"/>
    <w:rsid w:val="00BB7EC3"/>
    <w:rsid w:val="00BC4B9A"/>
    <w:rsid w:val="00BD1AEF"/>
    <w:rsid w:val="00BD243A"/>
    <w:rsid w:val="00BD2CF5"/>
    <w:rsid w:val="00BD6FDD"/>
    <w:rsid w:val="00BD784C"/>
    <w:rsid w:val="00BD79EC"/>
    <w:rsid w:val="00BD7CA1"/>
    <w:rsid w:val="00BE36AB"/>
    <w:rsid w:val="00BE3794"/>
    <w:rsid w:val="00BE4F4A"/>
    <w:rsid w:val="00BF0485"/>
    <w:rsid w:val="00BF42D3"/>
    <w:rsid w:val="00BF4CB6"/>
    <w:rsid w:val="00BF4EF9"/>
    <w:rsid w:val="00BF6A67"/>
    <w:rsid w:val="00C00DA7"/>
    <w:rsid w:val="00C0221C"/>
    <w:rsid w:val="00C023C5"/>
    <w:rsid w:val="00C0427A"/>
    <w:rsid w:val="00C0446E"/>
    <w:rsid w:val="00C10767"/>
    <w:rsid w:val="00C12768"/>
    <w:rsid w:val="00C134D1"/>
    <w:rsid w:val="00C15051"/>
    <w:rsid w:val="00C159B7"/>
    <w:rsid w:val="00C170E0"/>
    <w:rsid w:val="00C17493"/>
    <w:rsid w:val="00C2587F"/>
    <w:rsid w:val="00C27B58"/>
    <w:rsid w:val="00C34E7F"/>
    <w:rsid w:val="00C35996"/>
    <w:rsid w:val="00C35ABD"/>
    <w:rsid w:val="00C36C9A"/>
    <w:rsid w:val="00C40860"/>
    <w:rsid w:val="00C40CF1"/>
    <w:rsid w:val="00C53061"/>
    <w:rsid w:val="00C5342C"/>
    <w:rsid w:val="00C57270"/>
    <w:rsid w:val="00C61247"/>
    <w:rsid w:val="00C6256A"/>
    <w:rsid w:val="00C6542E"/>
    <w:rsid w:val="00C6586E"/>
    <w:rsid w:val="00C66569"/>
    <w:rsid w:val="00C7495C"/>
    <w:rsid w:val="00C753C9"/>
    <w:rsid w:val="00C768E0"/>
    <w:rsid w:val="00C7750C"/>
    <w:rsid w:val="00C80942"/>
    <w:rsid w:val="00C80D74"/>
    <w:rsid w:val="00C85AEE"/>
    <w:rsid w:val="00C91449"/>
    <w:rsid w:val="00C92D10"/>
    <w:rsid w:val="00C93A50"/>
    <w:rsid w:val="00C95852"/>
    <w:rsid w:val="00C973CD"/>
    <w:rsid w:val="00CA7E4A"/>
    <w:rsid w:val="00CB0443"/>
    <w:rsid w:val="00CB43E2"/>
    <w:rsid w:val="00CB6C65"/>
    <w:rsid w:val="00CC0562"/>
    <w:rsid w:val="00CC17C1"/>
    <w:rsid w:val="00CC1874"/>
    <w:rsid w:val="00CC50C2"/>
    <w:rsid w:val="00CC5742"/>
    <w:rsid w:val="00CC5E29"/>
    <w:rsid w:val="00CC7742"/>
    <w:rsid w:val="00CD2633"/>
    <w:rsid w:val="00CD2E67"/>
    <w:rsid w:val="00CD3A57"/>
    <w:rsid w:val="00CD4C04"/>
    <w:rsid w:val="00CD54BF"/>
    <w:rsid w:val="00CE10C4"/>
    <w:rsid w:val="00CE27B5"/>
    <w:rsid w:val="00CE3A2F"/>
    <w:rsid w:val="00CE6940"/>
    <w:rsid w:val="00CE7193"/>
    <w:rsid w:val="00CE752E"/>
    <w:rsid w:val="00D0321E"/>
    <w:rsid w:val="00D056A6"/>
    <w:rsid w:val="00D12584"/>
    <w:rsid w:val="00D1455A"/>
    <w:rsid w:val="00D164E4"/>
    <w:rsid w:val="00D23730"/>
    <w:rsid w:val="00D24AEC"/>
    <w:rsid w:val="00D2556C"/>
    <w:rsid w:val="00D31798"/>
    <w:rsid w:val="00D3280C"/>
    <w:rsid w:val="00D3406A"/>
    <w:rsid w:val="00D348C7"/>
    <w:rsid w:val="00D405E3"/>
    <w:rsid w:val="00D440E6"/>
    <w:rsid w:val="00D469B2"/>
    <w:rsid w:val="00D545AD"/>
    <w:rsid w:val="00D556B2"/>
    <w:rsid w:val="00D60E41"/>
    <w:rsid w:val="00D63336"/>
    <w:rsid w:val="00D638C5"/>
    <w:rsid w:val="00D70FCA"/>
    <w:rsid w:val="00D741EB"/>
    <w:rsid w:val="00D74D4C"/>
    <w:rsid w:val="00D818DE"/>
    <w:rsid w:val="00D84934"/>
    <w:rsid w:val="00D87187"/>
    <w:rsid w:val="00D91052"/>
    <w:rsid w:val="00D91271"/>
    <w:rsid w:val="00D9175E"/>
    <w:rsid w:val="00D92954"/>
    <w:rsid w:val="00D9422C"/>
    <w:rsid w:val="00D960EE"/>
    <w:rsid w:val="00D96A53"/>
    <w:rsid w:val="00D97B3B"/>
    <w:rsid w:val="00DA03E7"/>
    <w:rsid w:val="00DA1FD0"/>
    <w:rsid w:val="00DA2CB5"/>
    <w:rsid w:val="00DA39E6"/>
    <w:rsid w:val="00DA46F5"/>
    <w:rsid w:val="00DA4BAC"/>
    <w:rsid w:val="00DB0621"/>
    <w:rsid w:val="00DC03A0"/>
    <w:rsid w:val="00DC157F"/>
    <w:rsid w:val="00DC2761"/>
    <w:rsid w:val="00DC54B5"/>
    <w:rsid w:val="00DC5B6E"/>
    <w:rsid w:val="00DE0F9C"/>
    <w:rsid w:val="00DE11C2"/>
    <w:rsid w:val="00DE1698"/>
    <w:rsid w:val="00DE22A4"/>
    <w:rsid w:val="00DE46C7"/>
    <w:rsid w:val="00DE5B32"/>
    <w:rsid w:val="00DE6D27"/>
    <w:rsid w:val="00DF104A"/>
    <w:rsid w:val="00DF217D"/>
    <w:rsid w:val="00DF26A7"/>
    <w:rsid w:val="00DF32E0"/>
    <w:rsid w:val="00E018EF"/>
    <w:rsid w:val="00E059B6"/>
    <w:rsid w:val="00E0662B"/>
    <w:rsid w:val="00E10160"/>
    <w:rsid w:val="00E13495"/>
    <w:rsid w:val="00E164B3"/>
    <w:rsid w:val="00E16910"/>
    <w:rsid w:val="00E20CA1"/>
    <w:rsid w:val="00E23CD7"/>
    <w:rsid w:val="00E2673A"/>
    <w:rsid w:val="00E31CC9"/>
    <w:rsid w:val="00E31F37"/>
    <w:rsid w:val="00E32898"/>
    <w:rsid w:val="00E32C23"/>
    <w:rsid w:val="00E407E2"/>
    <w:rsid w:val="00E41C48"/>
    <w:rsid w:val="00E431E5"/>
    <w:rsid w:val="00E44DF5"/>
    <w:rsid w:val="00E4584F"/>
    <w:rsid w:val="00E47D51"/>
    <w:rsid w:val="00E52C53"/>
    <w:rsid w:val="00E56644"/>
    <w:rsid w:val="00E57413"/>
    <w:rsid w:val="00E60234"/>
    <w:rsid w:val="00E607FD"/>
    <w:rsid w:val="00E61E86"/>
    <w:rsid w:val="00E65622"/>
    <w:rsid w:val="00E65E34"/>
    <w:rsid w:val="00E65E54"/>
    <w:rsid w:val="00E6634F"/>
    <w:rsid w:val="00E74B95"/>
    <w:rsid w:val="00E80155"/>
    <w:rsid w:val="00E80407"/>
    <w:rsid w:val="00E80791"/>
    <w:rsid w:val="00E80A2C"/>
    <w:rsid w:val="00E83D79"/>
    <w:rsid w:val="00E848C0"/>
    <w:rsid w:val="00E87887"/>
    <w:rsid w:val="00E87FA7"/>
    <w:rsid w:val="00E91B96"/>
    <w:rsid w:val="00E91F15"/>
    <w:rsid w:val="00E921E8"/>
    <w:rsid w:val="00E92945"/>
    <w:rsid w:val="00E941A1"/>
    <w:rsid w:val="00E95CE3"/>
    <w:rsid w:val="00E967DF"/>
    <w:rsid w:val="00E97BB3"/>
    <w:rsid w:val="00E97D69"/>
    <w:rsid w:val="00EA2825"/>
    <w:rsid w:val="00EA2E17"/>
    <w:rsid w:val="00EA31DC"/>
    <w:rsid w:val="00EA3726"/>
    <w:rsid w:val="00EA3848"/>
    <w:rsid w:val="00EA6C52"/>
    <w:rsid w:val="00EB2899"/>
    <w:rsid w:val="00EB2CFE"/>
    <w:rsid w:val="00EB5088"/>
    <w:rsid w:val="00EB5813"/>
    <w:rsid w:val="00EB58B6"/>
    <w:rsid w:val="00EC47A6"/>
    <w:rsid w:val="00EC5DB8"/>
    <w:rsid w:val="00EC789E"/>
    <w:rsid w:val="00ED157E"/>
    <w:rsid w:val="00ED1644"/>
    <w:rsid w:val="00ED2CBC"/>
    <w:rsid w:val="00ED41C3"/>
    <w:rsid w:val="00ED7718"/>
    <w:rsid w:val="00EE1597"/>
    <w:rsid w:val="00EE23B3"/>
    <w:rsid w:val="00EE24AF"/>
    <w:rsid w:val="00EE2E32"/>
    <w:rsid w:val="00EE7674"/>
    <w:rsid w:val="00EF3E6E"/>
    <w:rsid w:val="00EF44A0"/>
    <w:rsid w:val="00EF4F72"/>
    <w:rsid w:val="00EF4F97"/>
    <w:rsid w:val="00EF5530"/>
    <w:rsid w:val="00EF6B97"/>
    <w:rsid w:val="00EF6D59"/>
    <w:rsid w:val="00EF6D7D"/>
    <w:rsid w:val="00F01AD6"/>
    <w:rsid w:val="00F01EDE"/>
    <w:rsid w:val="00F026FC"/>
    <w:rsid w:val="00F0395E"/>
    <w:rsid w:val="00F050BD"/>
    <w:rsid w:val="00F05657"/>
    <w:rsid w:val="00F05C15"/>
    <w:rsid w:val="00F1177E"/>
    <w:rsid w:val="00F11916"/>
    <w:rsid w:val="00F12789"/>
    <w:rsid w:val="00F14D4E"/>
    <w:rsid w:val="00F17BA5"/>
    <w:rsid w:val="00F24036"/>
    <w:rsid w:val="00F24769"/>
    <w:rsid w:val="00F25578"/>
    <w:rsid w:val="00F258E5"/>
    <w:rsid w:val="00F300BC"/>
    <w:rsid w:val="00F3028E"/>
    <w:rsid w:val="00F3319F"/>
    <w:rsid w:val="00F3334E"/>
    <w:rsid w:val="00F33B99"/>
    <w:rsid w:val="00F4007A"/>
    <w:rsid w:val="00F401DD"/>
    <w:rsid w:val="00F414BD"/>
    <w:rsid w:val="00F419B4"/>
    <w:rsid w:val="00F41D70"/>
    <w:rsid w:val="00F46A82"/>
    <w:rsid w:val="00F502B7"/>
    <w:rsid w:val="00F50EC4"/>
    <w:rsid w:val="00F53280"/>
    <w:rsid w:val="00F57A6D"/>
    <w:rsid w:val="00F627CB"/>
    <w:rsid w:val="00F638CC"/>
    <w:rsid w:val="00F64AB8"/>
    <w:rsid w:val="00F66D34"/>
    <w:rsid w:val="00F67811"/>
    <w:rsid w:val="00F72A73"/>
    <w:rsid w:val="00F748D9"/>
    <w:rsid w:val="00F75457"/>
    <w:rsid w:val="00F8247A"/>
    <w:rsid w:val="00F82634"/>
    <w:rsid w:val="00F832D7"/>
    <w:rsid w:val="00F85F87"/>
    <w:rsid w:val="00F9629A"/>
    <w:rsid w:val="00FA08AA"/>
    <w:rsid w:val="00FA18E6"/>
    <w:rsid w:val="00FA222C"/>
    <w:rsid w:val="00FA3487"/>
    <w:rsid w:val="00FA385D"/>
    <w:rsid w:val="00FA3A94"/>
    <w:rsid w:val="00FA5883"/>
    <w:rsid w:val="00FA6055"/>
    <w:rsid w:val="00FB322F"/>
    <w:rsid w:val="00FB442F"/>
    <w:rsid w:val="00FB4530"/>
    <w:rsid w:val="00FB75BC"/>
    <w:rsid w:val="00FC1929"/>
    <w:rsid w:val="00FC2663"/>
    <w:rsid w:val="00FC348B"/>
    <w:rsid w:val="00FC3C52"/>
    <w:rsid w:val="00FC45CF"/>
    <w:rsid w:val="00FC5B46"/>
    <w:rsid w:val="00FC66D9"/>
    <w:rsid w:val="00FD0243"/>
    <w:rsid w:val="00FD042F"/>
    <w:rsid w:val="00FD0E71"/>
    <w:rsid w:val="00FD1717"/>
    <w:rsid w:val="00FD5557"/>
    <w:rsid w:val="00FD5ED2"/>
    <w:rsid w:val="00FD73FD"/>
    <w:rsid w:val="00FE388D"/>
    <w:rsid w:val="00FE6DD8"/>
    <w:rsid w:val="00FF00BD"/>
    <w:rsid w:val="00FF1ED4"/>
    <w:rsid w:val="00FF5841"/>
    <w:rsid w:val="00FF5B0D"/>
    <w:rsid w:val="00FF6E15"/>
    <w:rsid w:val="00FF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023C5"/>
    <w:rPr>
      <w:rFonts w:ascii="Arial" w:hAnsi="Arial"/>
      <w:sz w:val="22"/>
      <w:szCs w:val="24"/>
    </w:rPr>
  </w:style>
  <w:style w:type="paragraph" w:styleId="Heading1">
    <w:name w:val="heading 1"/>
    <w:basedOn w:val="ListParagraph"/>
    <w:next w:val="Normal"/>
    <w:qFormat/>
    <w:rsid w:val="00A62E6C"/>
    <w:pPr>
      <w:numPr>
        <w:numId w:val="2"/>
      </w:numPr>
      <w:jc w:val="both"/>
      <w:outlineLvl w:val="0"/>
    </w:pPr>
    <w:rPr>
      <w:b/>
      <w:szCs w:val="22"/>
    </w:rPr>
  </w:style>
  <w:style w:type="paragraph" w:styleId="Heading2">
    <w:name w:val="heading 2"/>
    <w:basedOn w:val="Normal"/>
    <w:next w:val="Normal"/>
    <w:qFormat/>
    <w:rsid w:val="00A62E6C"/>
    <w:pPr>
      <w:jc w:val="both"/>
      <w:outlineLvl w:val="1"/>
    </w:pPr>
    <w:rPr>
      <w:b/>
      <w:i/>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291388"/>
    <w:rPr>
      <w:rFonts w:ascii="Arial Narrow" w:hAnsi="Arial Narrow"/>
      <w:sz w:val="18"/>
    </w:rPr>
  </w:style>
  <w:style w:type="paragraph" w:styleId="NoSpacing">
    <w:name w:val="No Spacing"/>
    <w:basedOn w:val="Normal"/>
    <w:uiPriority w:val="99"/>
    <w:qFormat/>
    <w:rsid w:val="00C27B58"/>
    <w:pPr>
      <w:jc w:val="both"/>
    </w:pPr>
    <w:rPr>
      <w:szCs w:val="22"/>
    </w:rPr>
  </w:style>
  <w:style w:type="paragraph" w:styleId="FootnoteText">
    <w:name w:val="footnote text"/>
    <w:basedOn w:val="Normal"/>
    <w:link w:val="FootnoteTextChar"/>
    <w:unhideWhenUsed/>
    <w:rsid w:val="009028BA"/>
    <w:pPr>
      <w:widowControl w:val="0"/>
      <w:jc w:val="both"/>
    </w:pPr>
    <w:rPr>
      <w:rFonts w:cs="Arial"/>
      <w:snapToGrid w:val="0"/>
      <w:sz w:val="20"/>
      <w:szCs w:val="20"/>
      <w:lang w:eastAsia="en-US"/>
    </w:rPr>
  </w:style>
  <w:style w:type="character" w:customStyle="1" w:styleId="FootnoteTextChar">
    <w:name w:val="Footnote Text Char"/>
    <w:basedOn w:val="DefaultParagraphFont"/>
    <w:link w:val="FootnoteText"/>
    <w:rsid w:val="009028BA"/>
    <w:rPr>
      <w:rFonts w:ascii="Arial" w:hAnsi="Arial" w:cs="Arial"/>
      <w:snapToGrid w:val="0"/>
      <w:lang w:eastAsia="en-US"/>
    </w:rPr>
  </w:style>
  <w:style w:type="character" w:styleId="FootnoteReference">
    <w:name w:val="footnote reference"/>
    <w:basedOn w:val="DefaultParagraphFont"/>
    <w:unhideWhenUsed/>
    <w:rsid w:val="009028BA"/>
    <w:rPr>
      <w:vertAlign w:val="superscript"/>
    </w:rPr>
  </w:style>
  <w:style w:type="character" w:customStyle="1" w:styleId="TabletextChar">
    <w:name w:val="Table text Char"/>
    <w:link w:val="Tabletext"/>
    <w:uiPriority w:val="2"/>
    <w:rsid w:val="00803CCA"/>
    <w:rPr>
      <w:rFonts w:ascii="Arial" w:hAnsi="Arial"/>
      <w:lang w:eastAsia="en-US"/>
    </w:rPr>
  </w:style>
  <w:style w:type="paragraph" w:customStyle="1" w:styleId="Tablename">
    <w:name w:val="Table name"/>
    <w:basedOn w:val="ListParagraph"/>
    <w:link w:val="TablenameChar"/>
    <w:qFormat/>
    <w:rsid w:val="00B9620C"/>
    <w:rPr>
      <w:rFonts w:ascii="Arial Narrow" w:hAnsi="Arial Narrow"/>
      <w:b/>
      <w:sz w:val="20"/>
      <w:szCs w:val="20"/>
    </w:rPr>
  </w:style>
  <w:style w:type="character" w:customStyle="1" w:styleId="ListParagraphChar">
    <w:name w:val="List Paragraph Char"/>
    <w:aliases w:val="BulletPoints Char"/>
    <w:basedOn w:val="DefaultParagraphFont"/>
    <w:link w:val="ListParagraph"/>
    <w:uiPriority w:val="72"/>
    <w:rsid w:val="00B9620C"/>
    <w:rPr>
      <w:rFonts w:ascii="Arial" w:hAnsi="Arial"/>
      <w:sz w:val="22"/>
      <w:szCs w:val="24"/>
    </w:rPr>
  </w:style>
  <w:style w:type="character" w:customStyle="1" w:styleId="TablenameChar">
    <w:name w:val="Table name Char"/>
    <w:basedOn w:val="ListParagraphChar"/>
    <w:link w:val="Tablename"/>
    <w:rsid w:val="00B9620C"/>
    <w:rPr>
      <w:rFonts w:ascii="Arial Narrow" w:hAnsi="Arial Narrow"/>
      <w:b/>
      <w:sz w:val="22"/>
      <w:szCs w:val="24"/>
    </w:rPr>
  </w:style>
  <w:style w:type="table" w:customStyle="1" w:styleId="Summarybox1">
    <w:name w:val="Summary box1"/>
    <w:basedOn w:val="TableNormal"/>
    <w:next w:val="TableGrid"/>
    <w:uiPriority w:val="59"/>
    <w:rsid w:val="00A346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625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763"/>
    <w:pPr>
      <w:autoSpaceDE w:val="0"/>
      <w:autoSpaceDN w:val="0"/>
      <w:adjustRightInd w:val="0"/>
    </w:pPr>
    <w:rPr>
      <w:rFonts w:ascii="Cambria" w:hAnsi="Cambria" w:cs="Cambria"/>
      <w:color w:val="000000"/>
      <w:sz w:val="24"/>
      <w:szCs w:val="24"/>
    </w:rPr>
  </w:style>
  <w:style w:type="character" w:styleId="Hyperlink">
    <w:name w:val="Hyperlink"/>
    <w:basedOn w:val="DefaultParagraphFont"/>
    <w:rsid w:val="00723F59"/>
    <w:rPr>
      <w:color w:val="0000FF" w:themeColor="hyperlink"/>
      <w:u w:val="single"/>
    </w:rPr>
  </w:style>
  <w:style w:type="table" w:customStyle="1" w:styleId="Summarybox3">
    <w:name w:val="Summary box3"/>
    <w:basedOn w:val="TableNormal"/>
    <w:next w:val="TableGrid"/>
    <w:uiPriority w:val="59"/>
    <w:rsid w:val="00A615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23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74710"/>
    <w:rPr>
      <w:sz w:val="20"/>
      <w:szCs w:val="20"/>
    </w:rPr>
  </w:style>
  <w:style w:type="character" w:customStyle="1" w:styleId="EndnoteTextChar">
    <w:name w:val="Endnote Text Char"/>
    <w:basedOn w:val="DefaultParagraphFont"/>
    <w:link w:val="EndnoteText"/>
    <w:semiHidden/>
    <w:rsid w:val="00474710"/>
    <w:rPr>
      <w:rFonts w:ascii="Arial" w:hAnsi="Arial"/>
    </w:rPr>
  </w:style>
  <w:style w:type="character" w:styleId="EndnoteReference">
    <w:name w:val="endnote reference"/>
    <w:basedOn w:val="DefaultParagraphFont"/>
    <w:semiHidden/>
    <w:unhideWhenUsed/>
    <w:rsid w:val="00474710"/>
    <w:rPr>
      <w:vertAlign w:val="superscript"/>
    </w:rPr>
  </w:style>
  <w:style w:type="table" w:customStyle="1" w:styleId="Summarybox5">
    <w:name w:val="Summary box5"/>
    <w:basedOn w:val="TableNormal"/>
    <w:next w:val="TableGrid"/>
    <w:uiPriority w:val="59"/>
    <w:rsid w:val="000272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606C0"/>
  </w:style>
  <w:style w:type="paragraph" w:styleId="Revision">
    <w:name w:val="Revision"/>
    <w:hidden/>
    <w:uiPriority w:val="71"/>
    <w:semiHidden/>
    <w:rsid w:val="005F6BE7"/>
    <w:rPr>
      <w:rFonts w:ascii="Arial" w:hAnsi="Arial"/>
      <w:sz w:val="22"/>
      <w:szCs w:val="24"/>
    </w:rPr>
  </w:style>
  <w:style w:type="paragraph" w:customStyle="1" w:styleId="EndNoteBibliographyTitle">
    <w:name w:val="EndNote Bibliography Title"/>
    <w:basedOn w:val="Normal"/>
    <w:link w:val="EndNoteBibliographyTitleChar"/>
    <w:rsid w:val="00E32C23"/>
    <w:pPr>
      <w:jc w:val="center"/>
    </w:pPr>
    <w:rPr>
      <w:rFonts w:cs="Arial"/>
      <w:noProof/>
    </w:rPr>
  </w:style>
  <w:style w:type="character" w:customStyle="1" w:styleId="EndNoteBibliographyTitleChar">
    <w:name w:val="EndNote Bibliography Title Char"/>
    <w:basedOn w:val="DefaultParagraphFont"/>
    <w:link w:val="EndNoteBibliographyTitle"/>
    <w:rsid w:val="00E32C23"/>
    <w:rPr>
      <w:rFonts w:ascii="Arial" w:hAnsi="Arial" w:cs="Arial"/>
      <w:noProof/>
      <w:sz w:val="22"/>
      <w:szCs w:val="24"/>
    </w:rPr>
  </w:style>
  <w:style w:type="paragraph" w:customStyle="1" w:styleId="EndNoteBibliography">
    <w:name w:val="EndNote Bibliography"/>
    <w:basedOn w:val="Normal"/>
    <w:link w:val="EndNoteBibliographyChar"/>
    <w:rsid w:val="00E32C23"/>
    <w:rPr>
      <w:rFonts w:cs="Arial"/>
      <w:noProof/>
    </w:rPr>
  </w:style>
  <w:style w:type="character" w:customStyle="1" w:styleId="EndNoteBibliographyChar">
    <w:name w:val="EndNote Bibliography Char"/>
    <w:basedOn w:val="DefaultParagraphFont"/>
    <w:link w:val="EndNoteBibliography"/>
    <w:rsid w:val="00E32C23"/>
    <w:rPr>
      <w:rFonts w:ascii="Arial" w:hAnsi="Arial" w:cs="Arial"/>
      <w:noProof/>
      <w:sz w:val="22"/>
      <w:szCs w:val="24"/>
    </w:rPr>
  </w:style>
  <w:style w:type="character" w:styleId="IntenseReference">
    <w:name w:val="Intense Reference"/>
    <w:basedOn w:val="DefaultParagraphFont"/>
    <w:uiPriority w:val="32"/>
    <w:qFormat/>
    <w:rsid w:val="001D57AE"/>
    <w:rPr>
      <w:b/>
      <w:bCs/>
      <w:i/>
      <w:smallCaps/>
      <w:color w:val="C0504D" w:themeColor="accent2"/>
      <w:spacing w:val="5"/>
      <w:u w:val="none"/>
    </w:rPr>
  </w:style>
  <w:style w:type="paragraph" w:customStyle="1" w:styleId="PBACHeading1">
    <w:name w:val="PBAC Heading 1"/>
    <w:qFormat/>
    <w:rsid w:val="001D57AE"/>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246558"/>
    <w:pPr>
      <w:ind w:left="720" w:right="-187" w:hanging="720"/>
      <w:outlineLvl w:val="0"/>
    </w:pPr>
    <w:rPr>
      <w:b/>
      <w:sz w:val="28"/>
      <w:szCs w:val="28"/>
    </w:rPr>
  </w:style>
  <w:style w:type="character" w:customStyle="1" w:styleId="TitleChar">
    <w:name w:val="Title Char"/>
    <w:basedOn w:val="DefaultParagraphFont"/>
    <w:link w:val="Title"/>
    <w:rsid w:val="00246558"/>
    <w:rPr>
      <w:rFonts w:ascii="Arial" w:hAnsi="Arial"/>
      <w:b/>
      <w:sz w:val="28"/>
      <w:szCs w:val="28"/>
    </w:rPr>
  </w:style>
  <w:style w:type="character" w:styleId="FollowedHyperlink">
    <w:name w:val="FollowedHyperlink"/>
    <w:basedOn w:val="DefaultParagraphFont"/>
    <w:semiHidden/>
    <w:unhideWhenUsed/>
    <w:rsid w:val="006677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023C5"/>
    <w:rPr>
      <w:rFonts w:ascii="Arial" w:hAnsi="Arial"/>
      <w:sz w:val="22"/>
      <w:szCs w:val="24"/>
    </w:rPr>
  </w:style>
  <w:style w:type="paragraph" w:styleId="Heading1">
    <w:name w:val="heading 1"/>
    <w:basedOn w:val="ListParagraph"/>
    <w:next w:val="Normal"/>
    <w:qFormat/>
    <w:rsid w:val="00A62E6C"/>
    <w:pPr>
      <w:numPr>
        <w:numId w:val="2"/>
      </w:numPr>
      <w:jc w:val="both"/>
      <w:outlineLvl w:val="0"/>
    </w:pPr>
    <w:rPr>
      <w:b/>
      <w:szCs w:val="22"/>
    </w:rPr>
  </w:style>
  <w:style w:type="paragraph" w:styleId="Heading2">
    <w:name w:val="heading 2"/>
    <w:basedOn w:val="Normal"/>
    <w:next w:val="Normal"/>
    <w:qFormat/>
    <w:rsid w:val="00A62E6C"/>
    <w:pPr>
      <w:jc w:val="both"/>
      <w:outlineLvl w:val="1"/>
    </w:pPr>
    <w:rPr>
      <w:b/>
      <w:i/>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291388"/>
    <w:rPr>
      <w:rFonts w:ascii="Arial Narrow" w:hAnsi="Arial Narrow"/>
      <w:sz w:val="18"/>
    </w:rPr>
  </w:style>
  <w:style w:type="paragraph" w:styleId="NoSpacing">
    <w:name w:val="No Spacing"/>
    <w:basedOn w:val="Normal"/>
    <w:uiPriority w:val="99"/>
    <w:qFormat/>
    <w:rsid w:val="00C27B58"/>
    <w:pPr>
      <w:jc w:val="both"/>
    </w:pPr>
    <w:rPr>
      <w:szCs w:val="22"/>
    </w:rPr>
  </w:style>
  <w:style w:type="paragraph" w:styleId="FootnoteText">
    <w:name w:val="footnote text"/>
    <w:basedOn w:val="Normal"/>
    <w:link w:val="FootnoteTextChar"/>
    <w:unhideWhenUsed/>
    <w:rsid w:val="009028BA"/>
    <w:pPr>
      <w:widowControl w:val="0"/>
      <w:jc w:val="both"/>
    </w:pPr>
    <w:rPr>
      <w:rFonts w:cs="Arial"/>
      <w:snapToGrid w:val="0"/>
      <w:sz w:val="20"/>
      <w:szCs w:val="20"/>
      <w:lang w:eastAsia="en-US"/>
    </w:rPr>
  </w:style>
  <w:style w:type="character" w:customStyle="1" w:styleId="FootnoteTextChar">
    <w:name w:val="Footnote Text Char"/>
    <w:basedOn w:val="DefaultParagraphFont"/>
    <w:link w:val="FootnoteText"/>
    <w:rsid w:val="009028BA"/>
    <w:rPr>
      <w:rFonts w:ascii="Arial" w:hAnsi="Arial" w:cs="Arial"/>
      <w:snapToGrid w:val="0"/>
      <w:lang w:eastAsia="en-US"/>
    </w:rPr>
  </w:style>
  <w:style w:type="character" w:styleId="FootnoteReference">
    <w:name w:val="footnote reference"/>
    <w:basedOn w:val="DefaultParagraphFont"/>
    <w:unhideWhenUsed/>
    <w:rsid w:val="009028BA"/>
    <w:rPr>
      <w:vertAlign w:val="superscript"/>
    </w:rPr>
  </w:style>
  <w:style w:type="character" w:customStyle="1" w:styleId="TabletextChar">
    <w:name w:val="Table text Char"/>
    <w:link w:val="Tabletext"/>
    <w:uiPriority w:val="2"/>
    <w:rsid w:val="00803CCA"/>
    <w:rPr>
      <w:rFonts w:ascii="Arial" w:hAnsi="Arial"/>
      <w:lang w:eastAsia="en-US"/>
    </w:rPr>
  </w:style>
  <w:style w:type="paragraph" w:customStyle="1" w:styleId="Tablename">
    <w:name w:val="Table name"/>
    <w:basedOn w:val="ListParagraph"/>
    <w:link w:val="TablenameChar"/>
    <w:qFormat/>
    <w:rsid w:val="00B9620C"/>
    <w:rPr>
      <w:rFonts w:ascii="Arial Narrow" w:hAnsi="Arial Narrow"/>
      <w:b/>
      <w:sz w:val="20"/>
      <w:szCs w:val="20"/>
    </w:rPr>
  </w:style>
  <w:style w:type="character" w:customStyle="1" w:styleId="ListParagraphChar">
    <w:name w:val="List Paragraph Char"/>
    <w:aliases w:val="BulletPoints Char"/>
    <w:basedOn w:val="DefaultParagraphFont"/>
    <w:link w:val="ListParagraph"/>
    <w:uiPriority w:val="72"/>
    <w:rsid w:val="00B9620C"/>
    <w:rPr>
      <w:rFonts w:ascii="Arial" w:hAnsi="Arial"/>
      <w:sz w:val="22"/>
      <w:szCs w:val="24"/>
    </w:rPr>
  </w:style>
  <w:style w:type="character" w:customStyle="1" w:styleId="TablenameChar">
    <w:name w:val="Table name Char"/>
    <w:basedOn w:val="ListParagraphChar"/>
    <w:link w:val="Tablename"/>
    <w:rsid w:val="00B9620C"/>
    <w:rPr>
      <w:rFonts w:ascii="Arial Narrow" w:hAnsi="Arial Narrow"/>
      <w:b/>
      <w:sz w:val="22"/>
      <w:szCs w:val="24"/>
    </w:rPr>
  </w:style>
  <w:style w:type="table" w:customStyle="1" w:styleId="Summarybox1">
    <w:name w:val="Summary box1"/>
    <w:basedOn w:val="TableNormal"/>
    <w:next w:val="TableGrid"/>
    <w:uiPriority w:val="59"/>
    <w:rsid w:val="00A346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625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763"/>
    <w:pPr>
      <w:autoSpaceDE w:val="0"/>
      <w:autoSpaceDN w:val="0"/>
      <w:adjustRightInd w:val="0"/>
    </w:pPr>
    <w:rPr>
      <w:rFonts w:ascii="Cambria" w:hAnsi="Cambria" w:cs="Cambria"/>
      <w:color w:val="000000"/>
      <w:sz w:val="24"/>
      <w:szCs w:val="24"/>
    </w:rPr>
  </w:style>
  <w:style w:type="character" w:styleId="Hyperlink">
    <w:name w:val="Hyperlink"/>
    <w:basedOn w:val="DefaultParagraphFont"/>
    <w:rsid w:val="00723F59"/>
    <w:rPr>
      <w:color w:val="0000FF" w:themeColor="hyperlink"/>
      <w:u w:val="single"/>
    </w:rPr>
  </w:style>
  <w:style w:type="table" w:customStyle="1" w:styleId="Summarybox3">
    <w:name w:val="Summary box3"/>
    <w:basedOn w:val="TableNormal"/>
    <w:next w:val="TableGrid"/>
    <w:uiPriority w:val="59"/>
    <w:rsid w:val="00A615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23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74710"/>
    <w:rPr>
      <w:sz w:val="20"/>
      <w:szCs w:val="20"/>
    </w:rPr>
  </w:style>
  <w:style w:type="character" w:customStyle="1" w:styleId="EndnoteTextChar">
    <w:name w:val="Endnote Text Char"/>
    <w:basedOn w:val="DefaultParagraphFont"/>
    <w:link w:val="EndnoteText"/>
    <w:semiHidden/>
    <w:rsid w:val="00474710"/>
    <w:rPr>
      <w:rFonts w:ascii="Arial" w:hAnsi="Arial"/>
    </w:rPr>
  </w:style>
  <w:style w:type="character" w:styleId="EndnoteReference">
    <w:name w:val="endnote reference"/>
    <w:basedOn w:val="DefaultParagraphFont"/>
    <w:semiHidden/>
    <w:unhideWhenUsed/>
    <w:rsid w:val="00474710"/>
    <w:rPr>
      <w:vertAlign w:val="superscript"/>
    </w:rPr>
  </w:style>
  <w:style w:type="table" w:customStyle="1" w:styleId="Summarybox5">
    <w:name w:val="Summary box5"/>
    <w:basedOn w:val="TableNormal"/>
    <w:next w:val="TableGrid"/>
    <w:uiPriority w:val="59"/>
    <w:rsid w:val="000272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606C0"/>
  </w:style>
  <w:style w:type="paragraph" w:styleId="Revision">
    <w:name w:val="Revision"/>
    <w:hidden/>
    <w:uiPriority w:val="71"/>
    <w:semiHidden/>
    <w:rsid w:val="005F6BE7"/>
    <w:rPr>
      <w:rFonts w:ascii="Arial" w:hAnsi="Arial"/>
      <w:sz w:val="22"/>
      <w:szCs w:val="24"/>
    </w:rPr>
  </w:style>
  <w:style w:type="paragraph" w:customStyle="1" w:styleId="EndNoteBibliographyTitle">
    <w:name w:val="EndNote Bibliography Title"/>
    <w:basedOn w:val="Normal"/>
    <w:link w:val="EndNoteBibliographyTitleChar"/>
    <w:rsid w:val="00E32C23"/>
    <w:pPr>
      <w:jc w:val="center"/>
    </w:pPr>
    <w:rPr>
      <w:rFonts w:cs="Arial"/>
      <w:noProof/>
    </w:rPr>
  </w:style>
  <w:style w:type="character" w:customStyle="1" w:styleId="EndNoteBibliographyTitleChar">
    <w:name w:val="EndNote Bibliography Title Char"/>
    <w:basedOn w:val="DefaultParagraphFont"/>
    <w:link w:val="EndNoteBibliographyTitle"/>
    <w:rsid w:val="00E32C23"/>
    <w:rPr>
      <w:rFonts w:ascii="Arial" w:hAnsi="Arial" w:cs="Arial"/>
      <w:noProof/>
      <w:sz w:val="22"/>
      <w:szCs w:val="24"/>
    </w:rPr>
  </w:style>
  <w:style w:type="paragraph" w:customStyle="1" w:styleId="EndNoteBibliography">
    <w:name w:val="EndNote Bibliography"/>
    <w:basedOn w:val="Normal"/>
    <w:link w:val="EndNoteBibliographyChar"/>
    <w:rsid w:val="00E32C23"/>
    <w:rPr>
      <w:rFonts w:cs="Arial"/>
      <w:noProof/>
    </w:rPr>
  </w:style>
  <w:style w:type="character" w:customStyle="1" w:styleId="EndNoteBibliographyChar">
    <w:name w:val="EndNote Bibliography Char"/>
    <w:basedOn w:val="DefaultParagraphFont"/>
    <w:link w:val="EndNoteBibliography"/>
    <w:rsid w:val="00E32C23"/>
    <w:rPr>
      <w:rFonts w:ascii="Arial" w:hAnsi="Arial" w:cs="Arial"/>
      <w:noProof/>
      <w:sz w:val="22"/>
      <w:szCs w:val="24"/>
    </w:rPr>
  </w:style>
  <w:style w:type="character" w:styleId="IntenseReference">
    <w:name w:val="Intense Reference"/>
    <w:basedOn w:val="DefaultParagraphFont"/>
    <w:uiPriority w:val="32"/>
    <w:qFormat/>
    <w:rsid w:val="001D57AE"/>
    <w:rPr>
      <w:b/>
      <w:bCs/>
      <w:i/>
      <w:smallCaps/>
      <w:color w:val="C0504D" w:themeColor="accent2"/>
      <w:spacing w:val="5"/>
      <w:u w:val="none"/>
    </w:rPr>
  </w:style>
  <w:style w:type="paragraph" w:customStyle="1" w:styleId="PBACHeading1">
    <w:name w:val="PBAC Heading 1"/>
    <w:qFormat/>
    <w:rsid w:val="001D57AE"/>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246558"/>
    <w:pPr>
      <w:ind w:left="720" w:right="-187" w:hanging="720"/>
      <w:outlineLvl w:val="0"/>
    </w:pPr>
    <w:rPr>
      <w:b/>
      <w:sz w:val="28"/>
      <w:szCs w:val="28"/>
    </w:rPr>
  </w:style>
  <w:style w:type="character" w:customStyle="1" w:styleId="TitleChar">
    <w:name w:val="Title Char"/>
    <w:basedOn w:val="DefaultParagraphFont"/>
    <w:link w:val="Title"/>
    <w:rsid w:val="00246558"/>
    <w:rPr>
      <w:rFonts w:ascii="Arial" w:hAnsi="Arial"/>
      <w:b/>
      <w:sz w:val="28"/>
      <w:szCs w:val="28"/>
    </w:rPr>
  </w:style>
  <w:style w:type="character" w:styleId="FollowedHyperlink">
    <w:name w:val="FollowedHyperlink"/>
    <w:basedOn w:val="DefaultParagraphFont"/>
    <w:semiHidden/>
    <w:unhideWhenUsed/>
    <w:rsid w:val="00667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521">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405804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0211838">
      <w:bodyDiv w:val="1"/>
      <w:marLeft w:val="0"/>
      <w:marRight w:val="0"/>
      <w:marTop w:val="0"/>
      <w:marBottom w:val="0"/>
      <w:divBdr>
        <w:top w:val="none" w:sz="0" w:space="0" w:color="auto"/>
        <w:left w:val="none" w:sz="0" w:space="0" w:color="auto"/>
        <w:bottom w:val="none" w:sz="0" w:space="0" w:color="auto"/>
        <w:right w:val="none" w:sz="0" w:space="0" w:color="auto"/>
      </w:divBdr>
    </w:div>
    <w:div w:id="155152753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E664-4980-45BD-87DB-7D58C925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7938</Words>
  <Characters>47444</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2016-06-20T05:26:00Z</dcterms:created>
  <dcterms:modified xsi:type="dcterms:W3CDTF">2016-06-23T23:39:00Z</dcterms:modified>
</cp:coreProperties>
</file>