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03" w:rsidRPr="009B047C" w:rsidRDefault="00314D03" w:rsidP="009B047C">
      <w:pPr>
        <w:pStyle w:val="Title"/>
        <w:ind w:left="720" w:hanging="720"/>
      </w:pPr>
      <w:bookmarkStart w:id="0" w:name="_Toc440987221"/>
      <w:r w:rsidRPr="009B047C">
        <w:t>6.04</w:t>
      </w:r>
      <w:r w:rsidRPr="009B047C">
        <w:tab/>
      </w:r>
      <w:r w:rsidR="005A72B9">
        <w:t>HUMAN MENOPAUSAL GONADOTROPHIN</w:t>
      </w:r>
      <w:r w:rsidRPr="009B047C">
        <w:t>, multidose injection, 600 IU, Menopur</w:t>
      </w:r>
      <w:r w:rsidRPr="009B047C">
        <w:rPr>
          <w:vertAlign w:val="superscript"/>
        </w:rPr>
        <w:t>®</w:t>
      </w:r>
      <w:r w:rsidRPr="009B047C">
        <w:t>, Ferring Pharmaceuticals Pty Ltd.</w:t>
      </w:r>
      <w:bookmarkEnd w:id="0"/>
    </w:p>
    <w:p w:rsidR="003D2E91" w:rsidRPr="003D2E91" w:rsidRDefault="003D2E91" w:rsidP="003D2E91"/>
    <w:p w:rsidR="00976835" w:rsidRPr="009B047C" w:rsidRDefault="00976835" w:rsidP="009B047C">
      <w:pPr>
        <w:pStyle w:val="PBACHeading1"/>
      </w:pPr>
      <w:bookmarkStart w:id="1" w:name="_Toc440987223"/>
      <w:r w:rsidRPr="009B047C">
        <w:t>Purpose of Application</w:t>
      </w:r>
      <w:bookmarkEnd w:id="1"/>
    </w:p>
    <w:p w:rsidR="00976835" w:rsidRPr="00976835" w:rsidRDefault="00976835" w:rsidP="00976835">
      <w:pPr>
        <w:rPr>
          <w:szCs w:val="22"/>
        </w:rPr>
      </w:pPr>
    </w:p>
    <w:p w:rsidR="00976835" w:rsidRPr="00976835" w:rsidRDefault="006704EE" w:rsidP="00C72DB6">
      <w:pPr>
        <w:pStyle w:val="ListParagraph"/>
        <w:widowControl/>
        <w:numPr>
          <w:ilvl w:val="1"/>
          <w:numId w:val="1"/>
        </w:numPr>
        <w:rPr>
          <w:szCs w:val="22"/>
        </w:rPr>
      </w:pPr>
      <w:r>
        <w:t xml:space="preserve">The submission requested a </w:t>
      </w:r>
      <w:r w:rsidR="00976835" w:rsidRPr="00976835">
        <w:t>Section 85, Restricted Benefit listing for highly purified human-menopausal-gonadotrophin</w:t>
      </w:r>
      <w:r w:rsidR="00950BE4">
        <w:t xml:space="preserve"> (HP-hMG)</w:t>
      </w:r>
      <w:r w:rsidR="00976835" w:rsidRPr="00976835">
        <w:t xml:space="preserve"> for treatment of anovulatory infertility.</w:t>
      </w:r>
    </w:p>
    <w:p w:rsidR="00976835" w:rsidRPr="00976835" w:rsidRDefault="00976835" w:rsidP="00976835"/>
    <w:p w:rsidR="00976835" w:rsidRPr="00976835" w:rsidRDefault="00976835" w:rsidP="00976835"/>
    <w:p w:rsidR="00976835" w:rsidRPr="00976835" w:rsidRDefault="00976835" w:rsidP="009B047C">
      <w:pPr>
        <w:pStyle w:val="PBACHeading1"/>
      </w:pPr>
      <w:bookmarkStart w:id="2" w:name="_Toc440987224"/>
      <w:r w:rsidRPr="00976835">
        <w:t>Requested listing</w:t>
      </w:r>
      <w:bookmarkEnd w:id="2"/>
    </w:p>
    <w:p w:rsidR="00976835" w:rsidRPr="00976835" w:rsidRDefault="00976835" w:rsidP="00976835"/>
    <w:p w:rsidR="00976835" w:rsidRPr="006E3221" w:rsidRDefault="00014076" w:rsidP="00C72DB6">
      <w:pPr>
        <w:pStyle w:val="ListParagraph"/>
        <w:widowControl/>
        <w:numPr>
          <w:ilvl w:val="1"/>
          <w:numId w:val="1"/>
        </w:numPr>
        <w:rPr>
          <w:szCs w:val="22"/>
        </w:rPr>
      </w:pPr>
      <w:r w:rsidRPr="006E3221">
        <w:rPr>
          <w:szCs w:val="22"/>
        </w:rPr>
        <w:t>The requested listing is shown below.</w:t>
      </w:r>
    </w:p>
    <w:p w:rsidR="001630AF" w:rsidRPr="00552722" w:rsidRDefault="001630AF" w:rsidP="001630AF">
      <w:pPr>
        <w:rPr>
          <w:szCs w:val="22"/>
        </w:rPr>
      </w:pPr>
    </w:p>
    <w:tbl>
      <w:tblPr>
        <w:tblW w:w="8363" w:type="dxa"/>
        <w:tblInd w:w="817" w:type="dxa"/>
        <w:tblLayout w:type="fixed"/>
        <w:tblLook w:val="0000" w:firstRow="0" w:lastRow="0" w:firstColumn="0" w:lastColumn="0" w:noHBand="0" w:noVBand="0"/>
      </w:tblPr>
      <w:tblGrid>
        <w:gridCol w:w="2835"/>
        <w:gridCol w:w="426"/>
        <w:gridCol w:w="567"/>
        <w:gridCol w:w="850"/>
        <w:gridCol w:w="1701"/>
        <w:gridCol w:w="992"/>
        <w:gridCol w:w="992"/>
      </w:tblGrid>
      <w:tr w:rsidR="001630AF" w:rsidRPr="00260CE3" w:rsidTr="006704EE">
        <w:trPr>
          <w:cantSplit/>
          <w:trHeight w:val="471"/>
        </w:trPr>
        <w:tc>
          <w:tcPr>
            <w:tcW w:w="3261" w:type="dxa"/>
            <w:gridSpan w:val="2"/>
            <w:tcBorders>
              <w:bottom w:val="single" w:sz="4" w:space="0" w:color="auto"/>
            </w:tcBorders>
          </w:tcPr>
          <w:p w:rsidR="001630AF" w:rsidRPr="00260CE3" w:rsidRDefault="001630AF" w:rsidP="009429BF">
            <w:pPr>
              <w:keepNext/>
              <w:ind w:left="-108"/>
              <w:rPr>
                <w:rFonts w:ascii="Arial Narrow" w:hAnsi="Arial Narrow"/>
                <w:sz w:val="20"/>
              </w:rPr>
            </w:pPr>
            <w:r w:rsidRPr="00260CE3">
              <w:rPr>
                <w:rFonts w:ascii="Arial Narrow" w:hAnsi="Arial Narrow"/>
                <w:sz w:val="20"/>
              </w:rPr>
              <w:t>Name, Restriction,</w:t>
            </w:r>
          </w:p>
          <w:p w:rsidR="001630AF" w:rsidRPr="00260CE3" w:rsidRDefault="001630AF" w:rsidP="009429BF">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630AF" w:rsidRPr="00260CE3" w:rsidRDefault="001630AF" w:rsidP="009429BF">
            <w:pPr>
              <w:keepNext/>
              <w:ind w:left="-108"/>
              <w:rPr>
                <w:rFonts w:ascii="Arial Narrow" w:hAnsi="Arial Narrow"/>
                <w:sz w:val="20"/>
              </w:rPr>
            </w:pPr>
            <w:r w:rsidRPr="00260CE3">
              <w:rPr>
                <w:rFonts w:ascii="Arial Narrow" w:hAnsi="Arial Narrow"/>
                <w:sz w:val="20"/>
              </w:rPr>
              <w:t>Max.</w:t>
            </w:r>
          </w:p>
          <w:p w:rsidR="001630AF" w:rsidRPr="00260CE3" w:rsidRDefault="001630AF" w:rsidP="009429BF">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1630AF" w:rsidRPr="00260CE3" w:rsidRDefault="001630AF" w:rsidP="009429BF">
            <w:pPr>
              <w:keepNext/>
              <w:ind w:left="-108"/>
              <w:rPr>
                <w:rFonts w:ascii="Arial Narrow" w:hAnsi="Arial Narrow"/>
                <w:sz w:val="20"/>
              </w:rPr>
            </w:pPr>
            <w:r w:rsidRPr="00260CE3">
              <w:rPr>
                <w:rFonts w:ascii="Arial Narrow" w:hAnsi="Arial Narrow"/>
                <w:sz w:val="20"/>
              </w:rPr>
              <w:t>№.of</w:t>
            </w:r>
          </w:p>
          <w:p w:rsidR="001630AF" w:rsidRPr="00260CE3" w:rsidRDefault="001630AF" w:rsidP="009429BF">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1630AF" w:rsidRPr="00260CE3" w:rsidRDefault="001630AF" w:rsidP="009429BF">
            <w:pPr>
              <w:keepNext/>
              <w:ind w:left="-108"/>
              <w:rPr>
                <w:rFonts w:ascii="Arial Narrow" w:hAnsi="Arial Narrow"/>
                <w:sz w:val="20"/>
              </w:rPr>
            </w:pPr>
            <w:r w:rsidRPr="00260CE3">
              <w:rPr>
                <w:rFonts w:ascii="Arial Narrow" w:hAnsi="Arial Narrow"/>
                <w:sz w:val="20"/>
              </w:rPr>
              <w:t>Dispensed Price for Max. Qty</w:t>
            </w:r>
          </w:p>
        </w:tc>
        <w:tc>
          <w:tcPr>
            <w:tcW w:w="1984" w:type="dxa"/>
            <w:gridSpan w:val="2"/>
            <w:tcBorders>
              <w:bottom w:val="single" w:sz="4" w:space="0" w:color="auto"/>
            </w:tcBorders>
          </w:tcPr>
          <w:p w:rsidR="001630AF" w:rsidRPr="00260CE3" w:rsidRDefault="001630AF" w:rsidP="009429BF">
            <w:pPr>
              <w:keepNext/>
              <w:rPr>
                <w:rFonts w:ascii="Arial Narrow" w:hAnsi="Arial Narrow"/>
                <w:sz w:val="20"/>
                <w:lang w:val="fr-FR"/>
              </w:rPr>
            </w:pPr>
            <w:r w:rsidRPr="00260CE3">
              <w:rPr>
                <w:rFonts w:ascii="Arial Narrow" w:hAnsi="Arial Narrow"/>
                <w:sz w:val="20"/>
              </w:rPr>
              <w:t>Proprietary Name and Manufacturer</w:t>
            </w:r>
          </w:p>
        </w:tc>
      </w:tr>
      <w:tr w:rsidR="001630AF" w:rsidRPr="00260CE3" w:rsidTr="006704EE">
        <w:trPr>
          <w:cantSplit/>
          <w:trHeight w:val="577"/>
        </w:trPr>
        <w:tc>
          <w:tcPr>
            <w:tcW w:w="3261" w:type="dxa"/>
            <w:gridSpan w:val="2"/>
          </w:tcPr>
          <w:p w:rsidR="001630AF" w:rsidRPr="00260CE3" w:rsidRDefault="001630AF" w:rsidP="009429BF">
            <w:pPr>
              <w:keepNext/>
              <w:ind w:left="-108"/>
              <w:rPr>
                <w:rFonts w:ascii="Arial Narrow" w:hAnsi="Arial Narrow"/>
                <w:sz w:val="20"/>
              </w:rPr>
            </w:pPr>
            <w:r>
              <w:rPr>
                <w:rFonts w:ascii="Arial Narrow" w:hAnsi="Arial Narrow"/>
                <w:smallCaps/>
                <w:sz w:val="20"/>
              </w:rPr>
              <w:t xml:space="preserve">GONADOTROPHIN- MENOPAUSAL HUMAN (hMG) </w:t>
            </w:r>
            <w:r w:rsidRPr="00B056AC">
              <w:rPr>
                <w:rFonts w:ascii="Arial Narrow" w:hAnsi="Arial Narrow"/>
                <w:sz w:val="18"/>
                <w:szCs w:val="18"/>
                <w:lang w:val="en-US"/>
              </w:rPr>
              <w:t>gonadotrophin-menopausal human 600 international units injection [1 x 600 international units vial] &amp; inert substance diluent [1 x 1mL syringes], 1 pack</w:t>
            </w:r>
          </w:p>
        </w:tc>
        <w:tc>
          <w:tcPr>
            <w:tcW w:w="567" w:type="dxa"/>
          </w:tcPr>
          <w:p w:rsidR="001630AF" w:rsidRPr="00260CE3" w:rsidRDefault="001630AF" w:rsidP="009429BF">
            <w:pPr>
              <w:keepNext/>
              <w:ind w:left="-108"/>
              <w:rPr>
                <w:rFonts w:ascii="Arial Narrow" w:hAnsi="Arial Narrow"/>
                <w:sz w:val="20"/>
              </w:rPr>
            </w:pPr>
          </w:p>
          <w:p w:rsidR="001630AF" w:rsidRPr="00260CE3" w:rsidRDefault="001630AF" w:rsidP="009429BF">
            <w:pPr>
              <w:keepNext/>
              <w:ind w:left="-108"/>
              <w:rPr>
                <w:rFonts w:ascii="Arial Narrow" w:hAnsi="Arial Narrow"/>
                <w:sz w:val="20"/>
              </w:rPr>
            </w:pPr>
            <w:r>
              <w:rPr>
                <w:rFonts w:ascii="Arial Narrow" w:hAnsi="Arial Narrow"/>
                <w:sz w:val="20"/>
              </w:rPr>
              <w:t>3</w:t>
            </w:r>
          </w:p>
        </w:tc>
        <w:tc>
          <w:tcPr>
            <w:tcW w:w="850" w:type="dxa"/>
          </w:tcPr>
          <w:p w:rsidR="001630AF" w:rsidRPr="00260CE3" w:rsidRDefault="001630AF" w:rsidP="009429BF">
            <w:pPr>
              <w:keepNext/>
              <w:ind w:left="-108"/>
              <w:rPr>
                <w:rFonts w:ascii="Arial Narrow" w:hAnsi="Arial Narrow"/>
                <w:sz w:val="20"/>
              </w:rPr>
            </w:pPr>
          </w:p>
          <w:p w:rsidR="001630AF" w:rsidRPr="00260CE3" w:rsidRDefault="001630AF" w:rsidP="009429BF">
            <w:pPr>
              <w:keepNext/>
              <w:ind w:left="-108"/>
              <w:rPr>
                <w:rFonts w:ascii="Arial Narrow" w:hAnsi="Arial Narrow"/>
                <w:sz w:val="20"/>
              </w:rPr>
            </w:pPr>
            <w:r>
              <w:rPr>
                <w:rFonts w:ascii="Arial Narrow" w:hAnsi="Arial Narrow"/>
                <w:sz w:val="20"/>
              </w:rPr>
              <w:t>0</w:t>
            </w:r>
          </w:p>
        </w:tc>
        <w:tc>
          <w:tcPr>
            <w:tcW w:w="1701" w:type="dxa"/>
          </w:tcPr>
          <w:p w:rsidR="001630AF" w:rsidRPr="00260CE3" w:rsidRDefault="001630AF" w:rsidP="009429BF">
            <w:pPr>
              <w:keepNext/>
              <w:ind w:left="-108"/>
              <w:rPr>
                <w:rFonts w:ascii="Arial Narrow" w:hAnsi="Arial Narrow"/>
                <w:sz w:val="20"/>
              </w:rPr>
            </w:pPr>
          </w:p>
          <w:p w:rsidR="001630AF" w:rsidRPr="00260CE3" w:rsidRDefault="001630AF" w:rsidP="009429BF">
            <w:pPr>
              <w:keepNext/>
              <w:ind w:left="-108"/>
              <w:rPr>
                <w:rFonts w:ascii="Arial Narrow" w:hAnsi="Arial Narrow"/>
                <w:sz w:val="20"/>
              </w:rPr>
            </w:pPr>
            <w:r w:rsidRPr="00260CE3">
              <w:rPr>
                <w:rFonts w:ascii="Arial Narrow" w:hAnsi="Arial Narrow"/>
                <w:sz w:val="20"/>
              </w:rPr>
              <w:t>$</w:t>
            </w:r>
            <w:r w:rsidR="00F94496">
              <w:rPr>
                <w:rFonts w:ascii="Arial Narrow" w:hAnsi="Arial Narrow"/>
                <w:noProof/>
                <w:color w:val="000000"/>
                <w:sz w:val="20"/>
                <w:highlight w:val="black"/>
              </w:rPr>
              <w:t>'''''''''''''''</w:t>
            </w:r>
          </w:p>
        </w:tc>
        <w:tc>
          <w:tcPr>
            <w:tcW w:w="992" w:type="dxa"/>
          </w:tcPr>
          <w:p w:rsidR="001630AF" w:rsidRDefault="001630AF" w:rsidP="009429BF">
            <w:pPr>
              <w:keepNext/>
              <w:rPr>
                <w:rFonts w:ascii="Arial Narrow" w:hAnsi="Arial Narrow"/>
                <w:sz w:val="20"/>
              </w:rPr>
            </w:pPr>
          </w:p>
          <w:p w:rsidR="001630AF" w:rsidRPr="00260CE3" w:rsidRDefault="001630AF" w:rsidP="009429BF">
            <w:pPr>
              <w:keepNext/>
              <w:rPr>
                <w:rFonts w:ascii="Arial Narrow" w:hAnsi="Arial Narrow"/>
                <w:sz w:val="20"/>
              </w:rPr>
            </w:pPr>
            <w:r>
              <w:rPr>
                <w:rFonts w:ascii="Arial Narrow" w:hAnsi="Arial Narrow"/>
                <w:sz w:val="20"/>
              </w:rPr>
              <w:t>Menopur</w:t>
            </w:r>
          </w:p>
        </w:tc>
        <w:tc>
          <w:tcPr>
            <w:tcW w:w="992" w:type="dxa"/>
          </w:tcPr>
          <w:p w:rsidR="001630AF" w:rsidRDefault="001630AF" w:rsidP="009429BF">
            <w:pPr>
              <w:keepNext/>
              <w:rPr>
                <w:rFonts w:ascii="Arial Narrow" w:hAnsi="Arial Narrow"/>
                <w:sz w:val="20"/>
              </w:rPr>
            </w:pPr>
          </w:p>
          <w:p w:rsidR="001630AF" w:rsidRPr="00260CE3" w:rsidRDefault="001630AF" w:rsidP="009429BF">
            <w:pPr>
              <w:keepNext/>
              <w:rPr>
                <w:rFonts w:ascii="Arial Narrow" w:hAnsi="Arial Narrow"/>
                <w:sz w:val="20"/>
              </w:rPr>
            </w:pPr>
            <w:r>
              <w:rPr>
                <w:rFonts w:ascii="Arial Narrow" w:hAnsi="Arial Narrow"/>
                <w:sz w:val="20"/>
              </w:rPr>
              <w:t>Ferring</w:t>
            </w:r>
          </w:p>
        </w:tc>
      </w:tr>
      <w:tr w:rsidR="001630AF" w:rsidRPr="00260CE3" w:rsidTr="006704EE">
        <w:trPr>
          <w:cantSplit/>
          <w:trHeight w:val="360"/>
        </w:trPr>
        <w:tc>
          <w:tcPr>
            <w:tcW w:w="8363" w:type="dxa"/>
            <w:gridSpan w:val="7"/>
            <w:tcBorders>
              <w:bottom w:val="single" w:sz="4" w:space="0" w:color="auto"/>
            </w:tcBorders>
          </w:tcPr>
          <w:p w:rsidR="001630AF" w:rsidRPr="00260CE3" w:rsidRDefault="001630AF" w:rsidP="009429BF">
            <w:pPr>
              <w:rPr>
                <w:rFonts w:ascii="Arial Narrow" w:hAnsi="Arial Narrow"/>
                <w:sz w:val="20"/>
              </w:rPr>
            </w:pP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b/>
                <w:sz w:val="20"/>
              </w:rPr>
            </w:pPr>
            <w:r w:rsidRPr="00260CE3">
              <w:rPr>
                <w:rFonts w:ascii="Arial Narrow" w:hAnsi="Arial Narrow"/>
                <w:b/>
                <w:sz w:val="20"/>
              </w:rPr>
              <w:t>Category / Program</w:t>
            </w:r>
          </w:p>
        </w:tc>
        <w:tc>
          <w:tcPr>
            <w:tcW w:w="5528" w:type="dxa"/>
            <w:gridSpan w:val="6"/>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sz w:val="20"/>
              </w:rPr>
            </w:pPr>
            <w:r w:rsidRPr="00260CE3">
              <w:rPr>
                <w:rFonts w:ascii="Arial Narrow" w:hAnsi="Arial Narrow"/>
                <w:sz w:val="20"/>
              </w:rPr>
              <w:t>GENERAL – General Schedule (Code GE)</w:t>
            </w: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Default="001630AF" w:rsidP="009429BF">
            <w:pPr>
              <w:rPr>
                <w:rFonts w:ascii="Arial Narrow" w:hAnsi="Arial Narrow"/>
                <w:b/>
                <w:sz w:val="20"/>
              </w:rPr>
            </w:pPr>
            <w:r w:rsidRPr="00260CE3">
              <w:rPr>
                <w:rFonts w:ascii="Arial Narrow" w:hAnsi="Arial Narrow"/>
                <w:b/>
                <w:sz w:val="20"/>
              </w:rPr>
              <w:t>Prescriber type:</w:t>
            </w:r>
          </w:p>
          <w:p w:rsidR="001630AF" w:rsidRPr="00340D66" w:rsidRDefault="001630AF" w:rsidP="009429BF">
            <w:pPr>
              <w:rPr>
                <w:rFonts w:ascii="Arial Narrow" w:hAnsi="Arial Narrow"/>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sz w:val="20"/>
              </w:rPr>
            </w:pPr>
            <w:r>
              <w:rPr>
                <w:rFonts w:ascii="Arial Narrow" w:hAnsi="Arial Narrow"/>
                <w:sz w:val="20"/>
              </w:rPr>
              <w:fldChar w:fldCharType="begin">
                <w:ffData>
                  <w:name w:val=""/>
                  <w:enabled w:val="0"/>
                  <w:calcOnExit w:val="0"/>
                  <w:checkBox>
                    <w:sizeAuto/>
                    <w:default w:val="1"/>
                  </w:checkBox>
                </w:ffData>
              </w:fldChar>
            </w:r>
            <w:r>
              <w:rPr>
                <w:rFonts w:ascii="Arial Narrow" w:hAnsi="Arial Narrow"/>
                <w:sz w:val="20"/>
              </w:rPr>
              <w:instrText xml:space="preserve"> FORMCHECKBOX </w:instrText>
            </w:r>
            <w:r w:rsidR="00CD7D97">
              <w:rPr>
                <w:rFonts w:ascii="Arial Narrow" w:hAnsi="Arial Narrow"/>
                <w:sz w:val="20"/>
              </w:rPr>
            </w:r>
            <w:r w:rsidR="00CD7D97">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p>
          <w:p w:rsidR="001630AF" w:rsidRPr="00260CE3" w:rsidRDefault="001630AF" w:rsidP="009429BF">
            <w:pPr>
              <w:rPr>
                <w:rFonts w:ascii="Arial Narrow" w:hAnsi="Arial Narrow"/>
                <w:sz w:val="20"/>
              </w:rPr>
            </w:pP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b/>
                <w:sz w:val="20"/>
              </w:rPr>
            </w:pPr>
            <w:r w:rsidRPr="00260CE3">
              <w:rPr>
                <w:rFonts w:ascii="Arial Narrow" w:hAnsi="Arial Narrow"/>
                <w:b/>
                <w:sz w:val="20"/>
              </w:rPr>
              <w:t>Condition:</w:t>
            </w:r>
          </w:p>
        </w:tc>
        <w:tc>
          <w:tcPr>
            <w:tcW w:w="5528" w:type="dxa"/>
            <w:gridSpan w:val="6"/>
            <w:tcBorders>
              <w:top w:val="single" w:sz="4" w:space="0" w:color="auto"/>
              <w:left w:val="single" w:sz="4" w:space="0" w:color="auto"/>
              <w:bottom w:val="single" w:sz="4" w:space="0" w:color="auto"/>
              <w:right w:val="single" w:sz="4" w:space="0" w:color="auto"/>
            </w:tcBorders>
          </w:tcPr>
          <w:p w:rsidR="001630AF" w:rsidRPr="00B056AC" w:rsidRDefault="001630AF" w:rsidP="009429BF">
            <w:pPr>
              <w:spacing w:after="120"/>
              <w:contextualSpacing/>
              <w:rPr>
                <w:rFonts w:ascii="Arial Narrow" w:hAnsi="Arial Narrow"/>
                <w:sz w:val="20"/>
                <w:lang w:val="en-US"/>
              </w:rPr>
            </w:pPr>
            <w:r w:rsidRPr="00B056AC">
              <w:rPr>
                <w:rFonts w:ascii="Arial Narrow" w:hAnsi="Arial Narrow"/>
                <w:sz w:val="20"/>
                <w:lang w:val="en-US"/>
              </w:rPr>
              <w:t>Anovulatory infertility</w:t>
            </w: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b/>
                <w:sz w:val="20"/>
              </w:rPr>
            </w:pPr>
            <w:r w:rsidRPr="00260CE3">
              <w:rPr>
                <w:rFonts w:ascii="Arial Narrow" w:hAnsi="Arial Narrow"/>
                <w:b/>
                <w:sz w:val="20"/>
              </w:rPr>
              <w:t>PBS Indication:</w:t>
            </w:r>
          </w:p>
        </w:tc>
        <w:tc>
          <w:tcPr>
            <w:tcW w:w="5528" w:type="dxa"/>
            <w:gridSpan w:val="6"/>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sz w:val="20"/>
              </w:rPr>
            </w:pPr>
            <w:r>
              <w:rPr>
                <w:rFonts w:ascii="Arial Narrow" w:hAnsi="Arial Narrow"/>
                <w:sz w:val="20"/>
              </w:rPr>
              <w:t xml:space="preserve">Anovulatory infertility </w:t>
            </w: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b/>
                <w:sz w:val="20"/>
              </w:rPr>
            </w:pPr>
            <w:r w:rsidRPr="00260CE3">
              <w:rPr>
                <w:rFonts w:ascii="Arial Narrow" w:hAnsi="Arial Narrow"/>
                <w:b/>
                <w:sz w:val="20"/>
              </w:rPr>
              <w:t>Treatment phase:</w:t>
            </w:r>
          </w:p>
          <w:p w:rsidR="001630AF" w:rsidRPr="00260CE3" w:rsidRDefault="001630AF" w:rsidP="009429BF">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sz w:val="20"/>
              </w:rPr>
            </w:pPr>
            <w:r>
              <w:rPr>
                <w:rFonts w:ascii="Arial Narrow" w:hAnsi="Arial Narrow"/>
                <w:sz w:val="20"/>
              </w:rPr>
              <w:t>-</w:t>
            </w: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1630AF" w:rsidRDefault="001630AF" w:rsidP="009429BF">
            <w:pPr>
              <w:rPr>
                <w:rFonts w:ascii="Arial Narrow" w:hAnsi="Arial Narrow"/>
                <w:i/>
                <w:sz w:val="20"/>
                <w:highlight w:val="yellow"/>
              </w:rPr>
            </w:pPr>
          </w:p>
          <w:p w:rsidR="001630AF" w:rsidRPr="00CD28F3" w:rsidRDefault="001630AF" w:rsidP="009429BF">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1630AF" w:rsidRPr="00106BCF" w:rsidRDefault="001630AF" w:rsidP="009429BF">
            <w:pPr>
              <w:rPr>
                <w:rFonts w:ascii="Arial Narrow" w:hAnsi="Arial Narrow"/>
                <w:sz w:val="20"/>
              </w:rPr>
            </w:pPr>
            <w:r>
              <w:rPr>
                <w:rFonts w:ascii="Arial Narrow" w:hAnsi="Arial Narrow"/>
                <w:sz w:val="20"/>
              </w:rPr>
              <w:fldChar w:fldCharType="begin">
                <w:ffData>
                  <w:name w:val="Check1"/>
                  <w:enabled/>
                  <w:calcOnExit w:val="0"/>
                  <w:checkBox>
                    <w:sizeAuto/>
                    <w:default w:val="1"/>
                  </w:checkBox>
                </w:ffData>
              </w:fldChar>
            </w:r>
            <w:r>
              <w:rPr>
                <w:rFonts w:ascii="Arial Narrow" w:hAnsi="Arial Narrow"/>
                <w:sz w:val="20"/>
              </w:rPr>
              <w:instrText xml:space="preserve"> </w:instrText>
            </w:r>
            <w:bookmarkStart w:id="3" w:name="Check1"/>
            <w:r>
              <w:rPr>
                <w:rFonts w:ascii="Arial Narrow" w:hAnsi="Arial Narrow"/>
                <w:sz w:val="20"/>
              </w:rPr>
              <w:instrText xml:space="preserve">FORMCHECKBOX </w:instrText>
            </w:r>
            <w:r w:rsidR="00CD7D97">
              <w:rPr>
                <w:rFonts w:ascii="Arial Narrow" w:hAnsi="Arial Narrow"/>
                <w:sz w:val="20"/>
              </w:rPr>
            </w:r>
            <w:r w:rsidR="00CD7D97">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Restricted benefit</w:t>
            </w:r>
          </w:p>
          <w:p w:rsidR="001630AF" w:rsidRPr="00106BCF" w:rsidRDefault="001630AF" w:rsidP="009429BF">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D7D97">
              <w:rPr>
                <w:rFonts w:ascii="Arial Narrow" w:hAnsi="Arial Narrow"/>
                <w:sz w:val="20"/>
              </w:rPr>
            </w:r>
            <w:r w:rsidR="00CD7D9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1630AF" w:rsidRPr="00106BCF" w:rsidRDefault="001630AF" w:rsidP="009429BF">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CD7D97">
              <w:rPr>
                <w:rFonts w:ascii="Arial Narrow" w:hAnsi="Arial Narrow"/>
                <w:sz w:val="20"/>
              </w:rPr>
            </w:r>
            <w:r w:rsidR="00CD7D9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1630AF" w:rsidRPr="00106BCF" w:rsidRDefault="001630AF" w:rsidP="009429BF">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D7D97">
              <w:rPr>
                <w:rFonts w:ascii="Arial Narrow" w:hAnsi="Arial Narrow"/>
                <w:sz w:val="20"/>
              </w:rPr>
            </w:r>
            <w:r w:rsidR="00CD7D9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1630AF" w:rsidRPr="00106BCF" w:rsidRDefault="001630AF" w:rsidP="009429BF">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D7D97">
              <w:rPr>
                <w:rFonts w:ascii="Arial Narrow" w:hAnsi="Arial Narrow"/>
                <w:sz w:val="20"/>
              </w:rPr>
            </w:r>
            <w:r w:rsidR="00CD7D9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1630AF" w:rsidRPr="00260CE3" w:rsidRDefault="001630AF" w:rsidP="009429BF">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D7D97">
              <w:rPr>
                <w:rFonts w:ascii="Arial Narrow" w:hAnsi="Arial Narrow"/>
                <w:sz w:val="20"/>
              </w:rPr>
            </w:r>
            <w:r w:rsidR="00CD7D97">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1630AF" w:rsidRPr="00260CE3" w:rsidTr="006704EE">
        <w:trPr>
          <w:cantSplit/>
          <w:trHeight w:val="360"/>
        </w:trPr>
        <w:tc>
          <w:tcPr>
            <w:tcW w:w="2835" w:type="dxa"/>
            <w:tcBorders>
              <w:top w:val="single" w:sz="4" w:space="0" w:color="auto"/>
              <w:left w:val="single" w:sz="4" w:space="0" w:color="auto"/>
              <w:bottom w:val="single" w:sz="4" w:space="0" w:color="auto"/>
              <w:right w:val="single" w:sz="4" w:space="0" w:color="auto"/>
            </w:tcBorders>
          </w:tcPr>
          <w:p w:rsidR="001630AF" w:rsidRPr="00260CE3" w:rsidRDefault="001630AF" w:rsidP="009429BF">
            <w:pPr>
              <w:rPr>
                <w:rFonts w:ascii="Arial Narrow" w:hAnsi="Arial Narrow"/>
                <w:b/>
                <w:sz w:val="20"/>
              </w:rPr>
            </w:pPr>
            <w:r w:rsidRPr="00260CE3">
              <w:rPr>
                <w:rFonts w:ascii="Arial Narrow" w:hAnsi="Arial Narrow"/>
                <w:b/>
                <w:sz w:val="20"/>
              </w:rPr>
              <w:t>Administrative Advice</w:t>
            </w:r>
          </w:p>
          <w:p w:rsidR="001630AF" w:rsidRPr="00260CE3" w:rsidRDefault="001630AF" w:rsidP="009429BF">
            <w:pPr>
              <w:rPr>
                <w:rFonts w:ascii="Arial Narrow" w:hAnsi="Arial Narrow"/>
                <w:i/>
                <w:sz w:val="20"/>
              </w:rPr>
            </w:pPr>
          </w:p>
        </w:tc>
        <w:tc>
          <w:tcPr>
            <w:tcW w:w="5528" w:type="dxa"/>
            <w:gridSpan w:val="6"/>
            <w:tcBorders>
              <w:top w:val="single" w:sz="4" w:space="0" w:color="auto"/>
              <w:left w:val="single" w:sz="4" w:space="0" w:color="auto"/>
              <w:bottom w:val="single" w:sz="4" w:space="0" w:color="auto"/>
              <w:right w:val="single" w:sz="4" w:space="0" w:color="auto"/>
            </w:tcBorders>
          </w:tcPr>
          <w:p w:rsidR="001630AF" w:rsidRPr="005922FA" w:rsidRDefault="001630AF" w:rsidP="009429BF">
            <w:pPr>
              <w:contextualSpacing/>
              <w:rPr>
                <w:rFonts w:ascii="Arial Narrow" w:hAnsi="Arial Narrow"/>
                <w:sz w:val="20"/>
                <w:lang w:val="en-US"/>
              </w:rPr>
            </w:pPr>
            <w:r w:rsidRPr="00B056AC">
              <w:rPr>
                <w:rFonts w:ascii="Arial Narrow" w:hAnsi="Arial Narrow"/>
                <w:sz w:val="20"/>
                <w:lang w:val="en-US"/>
              </w:rPr>
              <w:t>Except in</w:t>
            </w:r>
            <w:r w:rsidRPr="00B056AC">
              <w:rPr>
                <w:rFonts w:ascii="Arial Narrow" w:hAnsi="Arial Narrow"/>
                <w:sz w:val="20"/>
              </w:rPr>
              <w:t xml:space="preserve"> cases of hypopituitarism or primary amenorrhoea, the patient should have been adequately treated with clomiphene citrate and/or gonadorelin and failed to have conceived.</w:t>
            </w:r>
          </w:p>
          <w:p w:rsidR="001630AF" w:rsidRPr="005922FA" w:rsidRDefault="001630AF" w:rsidP="009429BF">
            <w:pPr>
              <w:contextualSpacing/>
              <w:rPr>
                <w:rFonts w:ascii="Arial Narrow" w:hAnsi="Arial Narrow"/>
                <w:sz w:val="20"/>
                <w:lang w:val="en-US"/>
              </w:rPr>
            </w:pPr>
          </w:p>
          <w:p w:rsidR="001630AF" w:rsidRPr="00B056AC" w:rsidRDefault="001630AF" w:rsidP="009429BF">
            <w:pPr>
              <w:contextualSpacing/>
              <w:rPr>
                <w:rFonts w:ascii="Arial Narrow" w:hAnsi="Arial Narrow"/>
                <w:sz w:val="20"/>
              </w:rPr>
            </w:pPr>
            <w:r w:rsidRPr="005922FA">
              <w:rPr>
                <w:rFonts w:ascii="Arial Narrow" w:hAnsi="Arial Narrow"/>
                <w:sz w:val="20"/>
                <w:lang w:val="en-US"/>
              </w:rPr>
              <w:t xml:space="preserve">Women who have </w:t>
            </w:r>
            <w:r w:rsidRPr="00B056AC">
              <w:rPr>
                <w:rFonts w:ascii="Arial Narrow" w:hAnsi="Arial Narrow"/>
                <w:sz w:val="20"/>
              </w:rPr>
              <w:t>had apparent ovulation induced by other agents and have failed to conceive should have laparoscopic evidence that there is no other impediment to conception.</w:t>
            </w:r>
          </w:p>
          <w:p w:rsidR="001630AF" w:rsidRPr="00B056AC" w:rsidRDefault="001630AF" w:rsidP="009429BF">
            <w:pPr>
              <w:contextualSpacing/>
              <w:rPr>
                <w:rFonts w:ascii="Arial Narrow" w:hAnsi="Arial Narrow"/>
                <w:sz w:val="20"/>
              </w:rPr>
            </w:pPr>
          </w:p>
          <w:p w:rsidR="001630AF" w:rsidRPr="00B056AC" w:rsidRDefault="001630AF" w:rsidP="009429BF">
            <w:pPr>
              <w:contextualSpacing/>
              <w:rPr>
                <w:rFonts w:ascii="Arial Narrow" w:hAnsi="Arial Narrow"/>
                <w:sz w:val="20"/>
              </w:rPr>
            </w:pPr>
            <w:r w:rsidRPr="00B056AC">
              <w:rPr>
                <w:rFonts w:ascii="Arial Narrow" w:hAnsi="Arial Narrow"/>
                <w:sz w:val="20"/>
              </w:rPr>
              <w:t>Oligomenorrhoea should have been present for at least twelve months or amenorrhoea for at least six months prior to treatment.</w:t>
            </w:r>
          </w:p>
          <w:p w:rsidR="001630AF" w:rsidRPr="00B056AC" w:rsidRDefault="001630AF" w:rsidP="009429BF">
            <w:pPr>
              <w:contextualSpacing/>
              <w:rPr>
                <w:rFonts w:ascii="Arial Narrow" w:hAnsi="Arial Narrow"/>
                <w:sz w:val="20"/>
              </w:rPr>
            </w:pPr>
          </w:p>
          <w:p w:rsidR="001630AF" w:rsidRPr="00B24518" w:rsidRDefault="001630AF" w:rsidP="009429BF">
            <w:pPr>
              <w:contextualSpacing/>
              <w:rPr>
                <w:rFonts w:ascii="Arial Narrow" w:hAnsi="Arial Narrow"/>
                <w:sz w:val="20"/>
              </w:rPr>
            </w:pPr>
            <w:r w:rsidRPr="00B056AC">
              <w:rPr>
                <w:rFonts w:ascii="Arial Narrow" w:hAnsi="Arial Narrow"/>
                <w:sz w:val="20"/>
              </w:rPr>
              <w:t>Patients with hyperprolactinaemia should have had appropriate surgical or medical treatment prior to treatment.</w:t>
            </w:r>
          </w:p>
        </w:tc>
      </w:tr>
    </w:tbl>
    <w:p w:rsidR="00976835" w:rsidRPr="00976835" w:rsidRDefault="00976835" w:rsidP="00976835"/>
    <w:p w:rsidR="005550D5" w:rsidRPr="005A113E" w:rsidRDefault="005550D5" w:rsidP="00C72DB6">
      <w:pPr>
        <w:pStyle w:val="ListParagraph"/>
        <w:widowControl/>
        <w:numPr>
          <w:ilvl w:val="1"/>
          <w:numId w:val="1"/>
        </w:numPr>
        <w:rPr>
          <w:szCs w:val="22"/>
        </w:rPr>
      </w:pPr>
      <w:r w:rsidRPr="005A113E">
        <w:rPr>
          <w:szCs w:val="22"/>
        </w:rPr>
        <w:t>Listing was requested on a cost-minimisation basis against follitropin alfa for the same indication.</w:t>
      </w:r>
    </w:p>
    <w:p w:rsidR="00C72DB6" w:rsidRPr="00855D1A" w:rsidRDefault="00C72DB6" w:rsidP="00C72DB6">
      <w:pPr>
        <w:pStyle w:val="ListParagraph"/>
        <w:widowControl/>
        <w:rPr>
          <w:szCs w:val="22"/>
        </w:rPr>
      </w:pPr>
    </w:p>
    <w:p w:rsidR="00C72DB6" w:rsidRDefault="00C72DB6">
      <w:pPr>
        <w:widowControl/>
        <w:jc w:val="left"/>
        <w:rPr>
          <w:b/>
          <w:szCs w:val="22"/>
        </w:rPr>
      </w:pPr>
      <w:bookmarkStart w:id="4" w:name="_Toc440987225"/>
    </w:p>
    <w:p w:rsidR="00976835" w:rsidRPr="00976835" w:rsidRDefault="00976835" w:rsidP="009B047C">
      <w:pPr>
        <w:pStyle w:val="PBACHeading1"/>
      </w:pPr>
      <w:r w:rsidRPr="00976835">
        <w:t>Background</w:t>
      </w:r>
      <w:bookmarkEnd w:id="4"/>
    </w:p>
    <w:p w:rsidR="003D2E91" w:rsidRDefault="003D2E91" w:rsidP="009B047C"/>
    <w:p w:rsidR="00976835" w:rsidRPr="003D2E91" w:rsidRDefault="00976835" w:rsidP="00C72DB6">
      <w:pPr>
        <w:pStyle w:val="ListParagraph"/>
        <w:widowControl/>
        <w:numPr>
          <w:ilvl w:val="1"/>
          <w:numId w:val="1"/>
        </w:numPr>
        <w:rPr>
          <w:szCs w:val="22"/>
        </w:rPr>
      </w:pPr>
      <w:r w:rsidRPr="00976835">
        <w:t xml:space="preserve">HP-hMG was TGA registered in July 2011 for women with anovulatory infertility, and controlled ovarian hyperstimulation (COH) as part of an Assisted Reproductive Technology (ART) treatment program. </w:t>
      </w:r>
    </w:p>
    <w:p w:rsidR="003D2E91" w:rsidRPr="003D2E91" w:rsidRDefault="003D2E91" w:rsidP="009B047C"/>
    <w:p w:rsidR="00976835" w:rsidRPr="00976835" w:rsidRDefault="00976835" w:rsidP="00C72DB6">
      <w:pPr>
        <w:pStyle w:val="ListParagraph"/>
        <w:widowControl/>
        <w:numPr>
          <w:ilvl w:val="1"/>
          <w:numId w:val="1"/>
        </w:numPr>
        <w:rPr>
          <w:szCs w:val="22"/>
        </w:rPr>
      </w:pPr>
      <w:r w:rsidRPr="00976835">
        <w:t>HP-hMG has not</w:t>
      </w:r>
      <w:r w:rsidRPr="00976835">
        <w:rPr>
          <w:szCs w:val="22"/>
        </w:rPr>
        <w:t xml:space="preserve"> been previously considered by the PBAC for the anovulatory infertility indication. At the March 2012 meeting, the PBAC recommended the listing of HP-hMG as an Authority required item under the Section 100 IVF program for use as part of ART. Listing was on a cost-minimisation basis against follitropin alfa. The equi-effective doses were 1.01 IU of HP-hMG and 1 IU follitropin alfa. </w:t>
      </w:r>
    </w:p>
    <w:p w:rsidR="00976835" w:rsidRPr="00976835" w:rsidRDefault="00976835" w:rsidP="00976835">
      <w:pPr>
        <w:pStyle w:val="ListParagraph"/>
        <w:rPr>
          <w:szCs w:val="22"/>
        </w:rPr>
      </w:pPr>
    </w:p>
    <w:p w:rsidR="00976835" w:rsidRPr="00976835" w:rsidRDefault="00976835" w:rsidP="00C72DB6">
      <w:pPr>
        <w:pStyle w:val="ListParagraph"/>
        <w:widowControl/>
        <w:numPr>
          <w:ilvl w:val="1"/>
          <w:numId w:val="1"/>
        </w:numPr>
        <w:rPr>
          <w:szCs w:val="22"/>
        </w:rPr>
      </w:pPr>
      <w:r w:rsidRPr="00976835">
        <w:rPr>
          <w:szCs w:val="22"/>
        </w:rPr>
        <w:t xml:space="preserve">Two gonadotrophins are listed under Section 85 for patients with anovulatory infertility, follitropin alfa and follitropin beta. </w:t>
      </w:r>
      <w:r w:rsidRPr="00976835">
        <w:t xml:space="preserve">The PBAC has previously accepted that follitropin beta is equivalent to follitropin alfa </w:t>
      </w:r>
      <w:r w:rsidRPr="00976835">
        <w:rPr>
          <w:bCs/>
        </w:rPr>
        <w:t>on a per unit basis</w:t>
      </w:r>
      <w:r w:rsidR="00CD1AC9">
        <w:t>.</w:t>
      </w:r>
    </w:p>
    <w:p w:rsidR="00976835" w:rsidRPr="00976835" w:rsidRDefault="00976835" w:rsidP="00976835">
      <w:pPr>
        <w:pStyle w:val="ListParagraph"/>
        <w:rPr>
          <w:szCs w:val="22"/>
        </w:rPr>
      </w:pPr>
    </w:p>
    <w:p w:rsidR="00976835" w:rsidRPr="00BB140D" w:rsidRDefault="00976835" w:rsidP="00C72DB6">
      <w:pPr>
        <w:pStyle w:val="ListParagraph"/>
        <w:widowControl/>
        <w:numPr>
          <w:ilvl w:val="1"/>
          <w:numId w:val="1"/>
        </w:numPr>
        <w:rPr>
          <w:szCs w:val="22"/>
        </w:rPr>
      </w:pPr>
      <w:r w:rsidRPr="00BB140D">
        <w:rPr>
          <w:szCs w:val="22"/>
        </w:rPr>
        <w:t>The requested PBS listing is consistent with the TGA registered indication, and is the same as for the gonadotrophins currently available on the PBS for patients with anovulatory infertility (follitropin alfa and follitropin beta).</w:t>
      </w:r>
    </w:p>
    <w:p w:rsidR="00C72DB6" w:rsidRDefault="00C72DB6" w:rsidP="00C72DB6">
      <w:pPr>
        <w:pStyle w:val="ListParagraph"/>
        <w:widowControl/>
      </w:pPr>
    </w:p>
    <w:p w:rsidR="00976835" w:rsidRPr="00976835" w:rsidRDefault="00976835" w:rsidP="00976835"/>
    <w:p w:rsidR="00976835" w:rsidRPr="00976835" w:rsidRDefault="00976835" w:rsidP="009B047C">
      <w:pPr>
        <w:pStyle w:val="PBACHeading1"/>
      </w:pPr>
      <w:bookmarkStart w:id="5" w:name="_Toc440987226"/>
      <w:r w:rsidRPr="00976835">
        <w:t>Clinical place for the proposed therapy</w:t>
      </w:r>
      <w:bookmarkEnd w:id="5"/>
    </w:p>
    <w:p w:rsidR="00976835" w:rsidRPr="00976835" w:rsidRDefault="00976835" w:rsidP="00976835">
      <w:pPr>
        <w:rPr>
          <w:szCs w:val="22"/>
        </w:rPr>
      </w:pPr>
    </w:p>
    <w:p w:rsidR="00976835" w:rsidRPr="00976835" w:rsidRDefault="00976835" w:rsidP="00C72DB6">
      <w:pPr>
        <w:pStyle w:val="ListParagraph"/>
        <w:widowControl/>
        <w:numPr>
          <w:ilvl w:val="1"/>
          <w:numId w:val="1"/>
        </w:numPr>
      </w:pPr>
      <w:r w:rsidRPr="00976835">
        <w:t xml:space="preserve">Gonadotrophins are used as a second-line treatment for ovulation induction in women who do not ovulate or conceive on clomiphene citrate. Follitropin alfa and follitropin beta are follicle stimulating hormones (FSH) and are used to assist follicular growth and ovulation. </w:t>
      </w:r>
    </w:p>
    <w:p w:rsidR="00976835" w:rsidRPr="00976835" w:rsidRDefault="00976835" w:rsidP="00976835">
      <w:pPr>
        <w:widowControl/>
        <w:rPr>
          <w:szCs w:val="22"/>
        </w:rPr>
      </w:pPr>
    </w:p>
    <w:p w:rsidR="00976835" w:rsidRPr="00C72DB6" w:rsidRDefault="00976835" w:rsidP="00C72DB6">
      <w:pPr>
        <w:pStyle w:val="ListParagraph"/>
        <w:widowControl/>
        <w:numPr>
          <w:ilvl w:val="1"/>
          <w:numId w:val="1"/>
        </w:numPr>
      </w:pPr>
      <w:r w:rsidRPr="00976835">
        <w:t>HP-hMG is proposed as an alternative gonadotrophin.</w:t>
      </w:r>
    </w:p>
    <w:p w:rsidR="00C72DB6" w:rsidRDefault="00C72DB6" w:rsidP="00C72DB6">
      <w:pPr>
        <w:pStyle w:val="ListParagraph"/>
        <w:widowControl/>
      </w:pPr>
    </w:p>
    <w:p w:rsidR="00C72DB6" w:rsidRPr="00976835" w:rsidRDefault="00C72DB6" w:rsidP="00976835">
      <w:pPr>
        <w:pStyle w:val="Header"/>
        <w:rPr>
          <w:szCs w:val="22"/>
        </w:rPr>
      </w:pPr>
    </w:p>
    <w:p w:rsidR="00976835" w:rsidRPr="00976835" w:rsidRDefault="00976835" w:rsidP="009B047C">
      <w:pPr>
        <w:pStyle w:val="PBACHeading1"/>
      </w:pPr>
      <w:bookmarkStart w:id="6" w:name="_Toc440987227"/>
      <w:r w:rsidRPr="00976835">
        <w:t>Comparator</w:t>
      </w:r>
      <w:bookmarkEnd w:id="6"/>
    </w:p>
    <w:p w:rsidR="00976835" w:rsidRPr="00976835" w:rsidRDefault="00976835" w:rsidP="00976835"/>
    <w:p w:rsidR="00976835" w:rsidRPr="00976835" w:rsidRDefault="00976835" w:rsidP="00C72DB6">
      <w:pPr>
        <w:pStyle w:val="ListParagraph"/>
        <w:widowControl/>
        <w:numPr>
          <w:ilvl w:val="1"/>
          <w:numId w:val="1"/>
        </w:numPr>
        <w:rPr>
          <w:szCs w:val="22"/>
        </w:rPr>
      </w:pPr>
      <w:r w:rsidRPr="00976835">
        <w:t>The submission nominated follitropin alfa as the main comparator.</w:t>
      </w:r>
    </w:p>
    <w:p w:rsidR="00C72DB6" w:rsidRPr="00C72DB6" w:rsidRDefault="00C72DB6" w:rsidP="00C72DB6">
      <w:pPr>
        <w:widowControl/>
        <w:rPr>
          <w:szCs w:val="22"/>
        </w:rPr>
      </w:pPr>
    </w:p>
    <w:p w:rsidR="00C72DB6" w:rsidRDefault="00C72DB6" w:rsidP="009553FB">
      <w:pPr>
        <w:pStyle w:val="ListParagraph"/>
        <w:ind w:left="709"/>
        <w:rPr>
          <w:i/>
          <w:szCs w:val="22"/>
        </w:rPr>
      </w:pPr>
      <w:r w:rsidRPr="00276201">
        <w:rPr>
          <w:i/>
          <w:szCs w:val="22"/>
        </w:rPr>
        <w:t>For more detail on PBAC’s view, see section 7 “PBAC outcome”</w:t>
      </w:r>
    </w:p>
    <w:p w:rsidR="00C72DB6" w:rsidRDefault="00C72DB6" w:rsidP="00C72DB6">
      <w:pPr>
        <w:pStyle w:val="ListParagraph"/>
        <w:widowControl/>
      </w:pPr>
    </w:p>
    <w:p w:rsidR="00976835" w:rsidRPr="00976835" w:rsidRDefault="00976835" w:rsidP="00976835">
      <w:pPr>
        <w:rPr>
          <w:szCs w:val="22"/>
        </w:rPr>
      </w:pPr>
    </w:p>
    <w:p w:rsidR="00976835" w:rsidRPr="00976835" w:rsidRDefault="00976835" w:rsidP="009B047C">
      <w:pPr>
        <w:pStyle w:val="PBACHeading1"/>
      </w:pPr>
      <w:bookmarkStart w:id="7" w:name="_Toc440987228"/>
      <w:r w:rsidRPr="00976835">
        <w:t>Consideration of the evidence</w:t>
      </w:r>
      <w:bookmarkEnd w:id="7"/>
    </w:p>
    <w:p w:rsidR="00C72DB6" w:rsidRDefault="00C72DB6" w:rsidP="00C72DB6"/>
    <w:p w:rsidR="00C72DB6" w:rsidRDefault="00C72DB6" w:rsidP="00E47950">
      <w:pPr>
        <w:pStyle w:val="Heading2"/>
      </w:pPr>
      <w:r w:rsidRPr="00B31280">
        <w:t>Sponsor hearing</w:t>
      </w:r>
    </w:p>
    <w:p w:rsidR="00E47950" w:rsidRPr="00E47950" w:rsidRDefault="00E47950" w:rsidP="00E47950"/>
    <w:p w:rsidR="00C72DB6" w:rsidRPr="00645860" w:rsidRDefault="00C72DB6" w:rsidP="00645860">
      <w:pPr>
        <w:numPr>
          <w:ilvl w:val="1"/>
          <w:numId w:val="1"/>
        </w:numPr>
        <w:contextualSpacing/>
        <w:rPr>
          <w:bCs/>
          <w:szCs w:val="22"/>
        </w:rPr>
      </w:pPr>
      <w:r w:rsidRPr="00645860">
        <w:rPr>
          <w:bCs/>
          <w:szCs w:val="22"/>
        </w:rPr>
        <w:t>There was no hearing for this item.</w:t>
      </w:r>
    </w:p>
    <w:p w:rsidR="00C72DB6" w:rsidRPr="003A49F2" w:rsidRDefault="00C72DB6" w:rsidP="00645860">
      <w:pPr>
        <w:rPr>
          <w:bCs/>
          <w:szCs w:val="22"/>
          <w:highlight w:val="yellow"/>
        </w:rPr>
      </w:pPr>
    </w:p>
    <w:p w:rsidR="00C72DB6" w:rsidRDefault="00C72DB6" w:rsidP="00E47950">
      <w:pPr>
        <w:pStyle w:val="Heading2"/>
      </w:pPr>
      <w:r w:rsidRPr="00B31280">
        <w:t>Consumer comments</w:t>
      </w:r>
    </w:p>
    <w:p w:rsidR="00E47950" w:rsidRPr="00E47950" w:rsidRDefault="00E47950" w:rsidP="00E47950"/>
    <w:p w:rsidR="00C72DB6" w:rsidRPr="006D7CEF" w:rsidRDefault="00C72DB6" w:rsidP="00645860">
      <w:pPr>
        <w:numPr>
          <w:ilvl w:val="1"/>
          <w:numId w:val="1"/>
        </w:numPr>
        <w:contextualSpacing/>
        <w:rPr>
          <w:bCs/>
          <w:szCs w:val="22"/>
        </w:rPr>
      </w:pPr>
      <w:r w:rsidRPr="006D7CEF">
        <w:rPr>
          <w:bCs/>
          <w:szCs w:val="22"/>
        </w:rPr>
        <w:t>The PBAC noted that no consumer comme</w:t>
      </w:r>
      <w:r w:rsidR="006D7CEF" w:rsidRPr="006D7CEF">
        <w:rPr>
          <w:bCs/>
          <w:szCs w:val="22"/>
        </w:rPr>
        <w:t>nts were received for this item</w:t>
      </w:r>
      <w:r w:rsidRPr="006D7CEF">
        <w:rPr>
          <w:bCs/>
          <w:szCs w:val="22"/>
        </w:rPr>
        <w:t>.</w:t>
      </w:r>
    </w:p>
    <w:p w:rsidR="00976835" w:rsidRPr="00976835" w:rsidRDefault="00976835" w:rsidP="00976835"/>
    <w:p w:rsidR="0046228E" w:rsidRDefault="0046228E">
      <w:pPr>
        <w:widowControl/>
        <w:jc w:val="left"/>
        <w:rPr>
          <w:b/>
          <w:i/>
        </w:rPr>
      </w:pPr>
      <w:bookmarkStart w:id="8" w:name="_Toc440987229"/>
      <w:r>
        <w:br w:type="page"/>
      </w:r>
    </w:p>
    <w:p w:rsidR="00976835" w:rsidRPr="00E47950" w:rsidRDefault="00976835" w:rsidP="00E47950">
      <w:pPr>
        <w:pStyle w:val="Heading2"/>
      </w:pPr>
      <w:r w:rsidRPr="00E47950">
        <w:lastRenderedPageBreak/>
        <w:t>Clinical trials</w:t>
      </w:r>
      <w:bookmarkEnd w:id="8"/>
    </w:p>
    <w:p w:rsidR="00976835" w:rsidRPr="00976835" w:rsidRDefault="00976835" w:rsidP="00976835">
      <w:pPr>
        <w:rPr>
          <w:szCs w:val="22"/>
        </w:rPr>
      </w:pPr>
    </w:p>
    <w:p w:rsidR="00C72DB6" w:rsidRPr="00C72DB6" w:rsidRDefault="00976835" w:rsidP="00C72DB6">
      <w:pPr>
        <w:pStyle w:val="ListParagraph"/>
        <w:widowControl/>
        <w:numPr>
          <w:ilvl w:val="1"/>
          <w:numId w:val="1"/>
        </w:numPr>
        <w:rPr>
          <w:szCs w:val="22"/>
        </w:rPr>
      </w:pPr>
      <w:r w:rsidRPr="00976835">
        <w:t xml:space="preserve">The submission </w:t>
      </w:r>
      <w:r w:rsidR="005E5287">
        <w:t>wa</w:t>
      </w:r>
      <w:r w:rsidRPr="00976835">
        <w:t>s based on one head-to-head trial comparing HP-hMG to follitropin alfa (N=184).</w:t>
      </w:r>
    </w:p>
    <w:p w:rsidR="00C72DB6" w:rsidRPr="00C72DB6" w:rsidRDefault="00C72DB6" w:rsidP="00C72DB6">
      <w:pPr>
        <w:pStyle w:val="ListParagraph"/>
        <w:widowControl/>
        <w:rPr>
          <w:szCs w:val="22"/>
        </w:rPr>
      </w:pPr>
    </w:p>
    <w:p w:rsidR="00976835" w:rsidRPr="00C72DB6" w:rsidRDefault="00976835" w:rsidP="00C72DB6">
      <w:pPr>
        <w:pStyle w:val="ListParagraph"/>
        <w:widowControl/>
        <w:numPr>
          <w:ilvl w:val="1"/>
          <w:numId w:val="1"/>
        </w:numPr>
        <w:rPr>
          <w:szCs w:val="22"/>
        </w:rPr>
      </w:pPr>
      <w:r w:rsidRPr="00C72DB6">
        <w:rPr>
          <w:szCs w:val="22"/>
        </w:rPr>
        <w:t>Details of the trial presented in the submission are provided in the table below.</w:t>
      </w:r>
    </w:p>
    <w:p w:rsidR="009839F3" w:rsidRDefault="009839F3" w:rsidP="009B047C"/>
    <w:p w:rsidR="00976835" w:rsidRPr="00976835" w:rsidRDefault="00976835" w:rsidP="00976835">
      <w:pPr>
        <w:keepNext/>
        <w:ind w:firstLine="720"/>
        <w:rPr>
          <w:rStyle w:val="CommentReference"/>
        </w:rPr>
      </w:pPr>
      <w:r w:rsidRPr="00976835">
        <w:rPr>
          <w:rStyle w:val="CommentReference"/>
        </w:rPr>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976835" w:rsidRPr="00976835" w:rsidTr="005550D5">
        <w:tc>
          <w:tcPr>
            <w:tcW w:w="1019" w:type="pct"/>
          </w:tcPr>
          <w:p w:rsidR="00976835" w:rsidRPr="00976835" w:rsidRDefault="00976835" w:rsidP="005550D5">
            <w:pPr>
              <w:jc w:val="left"/>
              <w:rPr>
                <w:rFonts w:ascii="Arial Narrow" w:hAnsi="Arial Narrow"/>
                <w:b/>
                <w:sz w:val="20"/>
              </w:rPr>
            </w:pPr>
            <w:r w:rsidRPr="00976835">
              <w:rPr>
                <w:rFonts w:ascii="Arial Narrow" w:hAnsi="Arial Narrow"/>
                <w:b/>
                <w:sz w:val="20"/>
              </w:rPr>
              <w:t>Trial ID/First Author</w:t>
            </w:r>
          </w:p>
        </w:tc>
        <w:tc>
          <w:tcPr>
            <w:tcW w:w="2804" w:type="pct"/>
          </w:tcPr>
          <w:p w:rsidR="00976835" w:rsidRPr="00976835" w:rsidRDefault="00976835" w:rsidP="005550D5">
            <w:pPr>
              <w:jc w:val="center"/>
              <w:rPr>
                <w:rFonts w:ascii="Arial Narrow" w:hAnsi="Arial Narrow"/>
                <w:b/>
                <w:sz w:val="20"/>
              </w:rPr>
            </w:pPr>
            <w:r w:rsidRPr="00976835">
              <w:rPr>
                <w:rFonts w:ascii="Arial Narrow" w:hAnsi="Arial Narrow"/>
                <w:b/>
                <w:sz w:val="20"/>
              </w:rPr>
              <w:t>Protocol title/ Publication title</w:t>
            </w:r>
          </w:p>
        </w:tc>
        <w:tc>
          <w:tcPr>
            <w:tcW w:w="1177" w:type="pct"/>
          </w:tcPr>
          <w:p w:rsidR="00976835" w:rsidRPr="00976835" w:rsidRDefault="00976835" w:rsidP="005550D5">
            <w:pPr>
              <w:jc w:val="center"/>
              <w:rPr>
                <w:rFonts w:ascii="Arial Narrow" w:hAnsi="Arial Narrow"/>
                <w:b/>
                <w:sz w:val="20"/>
              </w:rPr>
            </w:pPr>
            <w:r w:rsidRPr="00976835">
              <w:rPr>
                <w:rFonts w:ascii="Arial Narrow" w:hAnsi="Arial Narrow"/>
                <w:b/>
                <w:sz w:val="20"/>
              </w:rPr>
              <w:t>Publication citation</w:t>
            </w:r>
          </w:p>
        </w:tc>
      </w:tr>
      <w:tr w:rsidR="00976835" w:rsidRPr="00976835" w:rsidTr="005550D5">
        <w:tc>
          <w:tcPr>
            <w:tcW w:w="5000" w:type="pct"/>
            <w:gridSpan w:val="3"/>
            <w:tcBorders>
              <w:bottom w:val="single" w:sz="4" w:space="0" w:color="auto"/>
            </w:tcBorders>
          </w:tcPr>
          <w:p w:rsidR="00976835" w:rsidRPr="00976835" w:rsidRDefault="00976835" w:rsidP="005550D5">
            <w:pPr>
              <w:jc w:val="left"/>
              <w:rPr>
                <w:rFonts w:ascii="Arial Narrow" w:hAnsi="Arial Narrow"/>
                <w:b/>
                <w:sz w:val="20"/>
              </w:rPr>
            </w:pPr>
            <w:r w:rsidRPr="00976835">
              <w:rPr>
                <w:rFonts w:ascii="Arial Narrow" w:hAnsi="Arial Narrow"/>
                <w:b/>
                <w:sz w:val="20"/>
              </w:rPr>
              <w:t>Direct randomised trial</w:t>
            </w:r>
          </w:p>
        </w:tc>
      </w:tr>
      <w:tr w:rsidR="00976835" w:rsidRPr="00976835" w:rsidTr="005550D5">
        <w:tc>
          <w:tcPr>
            <w:tcW w:w="1019" w:type="pct"/>
            <w:tcBorders>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CS002</w:t>
            </w:r>
          </w:p>
        </w:tc>
        <w:tc>
          <w:tcPr>
            <w:tcW w:w="2804" w:type="pct"/>
            <w:tcBorders>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FE999906 CS002</w:t>
            </w:r>
          </w:p>
          <w:p w:rsidR="00976835" w:rsidRPr="00976835" w:rsidRDefault="00976835" w:rsidP="005550D5">
            <w:pPr>
              <w:jc w:val="left"/>
              <w:rPr>
                <w:rFonts w:ascii="Arial Narrow" w:hAnsi="Arial Narrow"/>
                <w:sz w:val="20"/>
              </w:rPr>
            </w:pPr>
          </w:p>
          <w:p w:rsidR="00976835" w:rsidRPr="00976835" w:rsidRDefault="00976835" w:rsidP="005550D5">
            <w:pPr>
              <w:jc w:val="left"/>
              <w:rPr>
                <w:rFonts w:ascii="Arial Narrow" w:hAnsi="Arial Narrow"/>
                <w:sz w:val="20"/>
              </w:rPr>
            </w:pPr>
            <w:r w:rsidRPr="00976835">
              <w:rPr>
                <w:rFonts w:ascii="Arial Narrow" w:hAnsi="Arial Narrow"/>
                <w:sz w:val="20"/>
              </w:rPr>
              <w:t>A Randomized, Open-label, Assessor-blind, Parallel Group, Multi-Center, Non-inferiority Study Comparing Highly Purified Menotrophin (MENOPUR) SC and Recombinant FSH (GONAL-F) SC for Ovulation Induction Using a Chronic Low-dose Step-up Protocol in Women with WHO Group II Anovulatory Infertility Failing to Ovulate or Conceive on Clomiphene Citrate</w:t>
            </w:r>
          </w:p>
          <w:p w:rsidR="00976835" w:rsidRPr="00976835" w:rsidRDefault="00976835" w:rsidP="005550D5">
            <w:pPr>
              <w:jc w:val="left"/>
            </w:pPr>
          </w:p>
        </w:tc>
        <w:tc>
          <w:tcPr>
            <w:tcW w:w="1177" w:type="pct"/>
            <w:tcBorders>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 xml:space="preserve">Ferring Pharmaceuticals. Internal study report. </w:t>
            </w:r>
          </w:p>
          <w:p w:rsidR="00976835" w:rsidRPr="00976835" w:rsidRDefault="00976835" w:rsidP="005550D5">
            <w:pPr>
              <w:jc w:val="left"/>
              <w:rPr>
                <w:rFonts w:ascii="Arial Narrow" w:hAnsi="Arial Narrow"/>
                <w:sz w:val="20"/>
              </w:rPr>
            </w:pPr>
            <w:r w:rsidRPr="00976835">
              <w:rPr>
                <w:rFonts w:ascii="Arial Narrow" w:hAnsi="Arial Narrow"/>
                <w:sz w:val="20"/>
              </w:rPr>
              <w:t>23 Feb 2005</w:t>
            </w:r>
          </w:p>
        </w:tc>
      </w:tr>
      <w:tr w:rsidR="00976835" w:rsidRPr="00976835" w:rsidTr="005550D5">
        <w:tc>
          <w:tcPr>
            <w:tcW w:w="1019" w:type="pct"/>
            <w:tcBorders>
              <w:top w:val="nil"/>
              <w:bottom w:val="nil"/>
            </w:tcBorders>
          </w:tcPr>
          <w:p w:rsidR="00976835" w:rsidRPr="00976835" w:rsidRDefault="00976835" w:rsidP="005550D5">
            <w:pPr>
              <w:jc w:val="left"/>
              <w:rPr>
                <w:rFonts w:ascii="Arial Narrow" w:hAnsi="Arial Narrow"/>
                <w:sz w:val="20"/>
              </w:rPr>
            </w:pPr>
          </w:p>
        </w:tc>
        <w:tc>
          <w:tcPr>
            <w:tcW w:w="2804" w:type="pct"/>
            <w:tcBorders>
              <w:top w:val="nil"/>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 xml:space="preserve">Platteau P. Similar ovulation rates, but different follicular development with highly purified menotrophin compared with recombinant FSH in WHO Group II anovulatory infertility: a randomised controlled study. </w:t>
            </w:r>
          </w:p>
          <w:p w:rsidR="00976835" w:rsidRPr="00976835" w:rsidRDefault="00976835" w:rsidP="005550D5">
            <w:pPr>
              <w:jc w:val="left"/>
              <w:rPr>
                <w:rFonts w:ascii="Arial Narrow" w:hAnsi="Arial Narrow"/>
                <w:sz w:val="20"/>
              </w:rPr>
            </w:pPr>
          </w:p>
        </w:tc>
        <w:tc>
          <w:tcPr>
            <w:tcW w:w="1177" w:type="pct"/>
            <w:tcBorders>
              <w:top w:val="nil"/>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Human Reproduction. 2006; 21 (7): 1798-1804.</w:t>
            </w:r>
          </w:p>
          <w:p w:rsidR="00976835" w:rsidRPr="00976835" w:rsidRDefault="00976835" w:rsidP="005550D5">
            <w:pPr>
              <w:jc w:val="left"/>
              <w:rPr>
                <w:rFonts w:ascii="Arial Narrow" w:hAnsi="Arial Narrow"/>
                <w:sz w:val="20"/>
              </w:rPr>
            </w:pPr>
          </w:p>
        </w:tc>
      </w:tr>
      <w:tr w:rsidR="00976835" w:rsidRPr="00976835" w:rsidTr="005550D5">
        <w:tc>
          <w:tcPr>
            <w:tcW w:w="1019" w:type="pct"/>
            <w:tcBorders>
              <w:top w:val="nil"/>
              <w:bottom w:val="nil"/>
            </w:tcBorders>
          </w:tcPr>
          <w:p w:rsidR="00976835" w:rsidRPr="00976835" w:rsidRDefault="00976835" w:rsidP="005550D5">
            <w:pPr>
              <w:jc w:val="left"/>
              <w:rPr>
                <w:rFonts w:ascii="Arial Narrow" w:hAnsi="Arial Narrow"/>
                <w:sz w:val="20"/>
              </w:rPr>
            </w:pPr>
          </w:p>
        </w:tc>
        <w:tc>
          <w:tcPr>
            <w:tcW w:w="2804" w:type="pct"/>
            <w:tcBorders>
              <w:top w:val="nil"/>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 xml:space="preserve">Arce JC &amp; Smitz J: Exogenous hCG activity, but not endogenous LH activity, is positively associated with live birth rates in anovulatory infertility. </w:t>
            </w:r>
          </w:p>
          <w:p w:rsidR="00976835" w:rsidRPr="00976835" w:rsidRDefault="00976835" w:rsidP="005550D5">
            <w:pPr>
              <w:jc w:val="left"/>
              <w:rPr>
                <w:rFonts w:ascii="Arial Narrow" w:hAnsi="Arial Narrow"/>
                <w:sz w:val="20"/>
              </w:rPr>
            </w:pPr>
          </w:p>
        </w:tc>
        <w:tc>
          <w:tcPr>
            <w:tcW w:w="1177" w:type="pct"/>
            <w:tcBorders>
              <w:top w:val="nil"/>
              <w:bottom w:val="nil"/>
            </w:tcBorders>
          </w:tcPr>
          <w:p w:rsidR="00976835" w:rsidRPr="00976835" w:rsidRDefault="00976835" w:rsidP="005550D5">
            <w:pPr>
              <w:jc w:val="left"/>
              <w:rPr>
                <w:rFonts w:ascii="Arial Narrow" w:hAnsi="Arial Narrow"/>
                <w:sz w:val="20"/>
              </w:rPr>
            </w:pPr>
            <w:r w:rsidRPr="00976835">
              <w:rPr>
                <w:rFonts w:ascii="Arial Narrow" w:hAnsi="Arial Narrow"/>
                <w:sz w:val="20"/>
              </w:rPr>
              <w:t>Human Fertility. 2011; 14(3): 192-199.</w:t>
            </w:r>
          </w:p>
          <w:p w:rsidR="00976835" w:rsidRPr="00976835" w:rsidRDefault="00976835" w:rsidP="005550D5">
            <w:pPr>
              <w:jc w:val="left"/>
              <w:rPr>
                <w:rFonts w:ascii="Arial Narrow" w:hAnsi="Arial Narrow"/>
                <w:sz w:val="20"/>
              </w:rPr>
            </w:pPr>
          </w:p>
        </w:tc>
      </w:tr>
      <w:tr w:rsidR="00976835" w:rsidRPr="00976835" w:rsidTr="005550D5">
        <w:tc>
          <w:tcPr>
            <w:tcW w:w="1019" w:type="pct"/>
            <w:tcBorders>
              <w:top w:val="nil"/>
            </w:tcBorders>
          </w:tcPr>
          <w:p w:rsidR="00976835" w:rsidRPr="00976835" w:rsidRDefault="00976835" w:rsidP="005550D5">
            <w:pPr>
              <w:jc w:val="left"/>
              <w:rPr>
                <w:rFonts w:ascii="Arial Narrow" w:hAnsi="Arial Narrow"/>
                <w:sz w:val="20"/>
              </w:rPr>
            </w:pPr>
          </w:p>
        </w:tc>
        <w:tc>
          <w:tcPr>
            <w:tcW w:w="2804" w:type="pct"/>
            <w:tcBorders>
              <w:top w:val="nil"/>
            </w:tcBorders>
          </w:tcPr>
          <w:p w:rsidR="00976835" w:rsidRPr="00976835" w:rsidRDefault="00976835" w:rsidP="005550D5">
            <w:pPr>
              <w:jc w:val="left"/>
              <w:rPr>
                <w:rFonts w:ascii="Arial Narrow" w:hAnsi="Arial Narrow"/>
                <w:sz w:val="20"/>
              </w:rPr>
            </w:pPr>
            <w:r w:rsidRPr="00976835">
              <w:rPr>
                <w:rFonts w:ascii="Arial Narrow" w:hAnsi="Arial Narrow"/>
                <w:sz w:val="20"/>
              </w:rPr>
              <w:t>Platteau P. Ovulation rate with a highly purified menotrophin and a recombinant FSH in women unresponsive to clomiphene citrate.</w:t>
            </w:r>
          </w:p>
          <w:p w:rsidR="00976835" w:rsidRPr="00976835" w:rsidRDefault="00976835" w:rsidP="005550D5">
            <w:pPr>
              <w:jc w:val="left"/>
              <w:rPr>
                <w:rFonts w:ascii="Arial Narrow" w:hAnsi="Arial Narrow"/>
                <w:sz w:val="20"/>
              </w:rPr>
            </w:pPr>
          </w:p>
        </w:tc>
        <w:tc>
          <w:tcPr>
            <w:tcW w:w="1177" w:type="pct"/>
            <w:tcBorders>
              <w:top w:val="nil"/>
            </w:tcBorders>
          </w:tcPr>
          <w:p w:rsidR="00976835" w:rsidRPr="00976835" w:rsidRDefault="00976835" w:rsidP="005550D5">
            <w:pPr>
              <w:jc w:val="left"/>
              <w:rPr>
                <w:rFonts w:ascii="Arial Narrow" w:hAnsi="Arial Narrow"/>
                <w:sz w:val="20"/>
              </w:rPr>
            </w:pPr>
            <w:r w:rsidRPr="00976835">
              <w:rPr>
                <w:rFonts w:ascii="Arial Narrow" w:hAnsi="Arial Narrow"/>
                <w:sz w:val="20"/>
              </w:rPr>
              <w:t>Fertility and Sterility. 2005; 84 (Suppl 1): S324-325.</w:t>
            </w:r>
          </w:p>
        </w:tc>
      </w:tr>
    </w:tbl>
    <w:p w:rsidR="00976835" w:rsidRPr="00976835" w:rsidRDefault="00976835" w:rsidP="00976835">
      <w:pPr>
        <w:pStyle w:val="TableFooter"/>
        <w:ind w:firstLine="720"/>
        <w:rPr>
          <w:szCs w:val="22"/>
        </w:rPr>
      </w:pPr>
      <w:r w:rsidRPr="00976835">
        <w:t>Source: Table B-3 p 18 of the submission.</w:t>
      </w:r>
    </w:p>
    <w:p w:rsidR="00976835" w:rsidRPr="00976835" w:rsidRDefault="00976835" w:rsidP="00976835">
      <w:pPr>
        <w:widowControl/>
        <w:rPr>
          <w:szCs w:val="22"/>
        </w:rPr>
      </w:pPr>
    </w:p>
    <w:p w:rsidR="00976835" w:rsidRPr="00976835" w:rsidRDefault="00976835" w:rsidP="00C72DB6">
      <w:pPr>
        <w:pStyle w:val="ListParagraph"/>
        <w:widowControl/>
        <w:numPr>
          <w:ilvl w:val="1"/>
          <w:numId w:val="1"/>
        </w:numPr>
        <w:rPr>
          <w:szCs w:val="22"/>
        </w:rPr>
      </w:pPr>
      <w:r w:rsidRPr="00976835">
        <w:rPr>
          <w:szCs w:val="22"/>
        </w:rPr>
        <w:t>The key features of the direct randomised trial are summarised in the table below.</w:t>
      </w:r>
    </w:p>
    <w:p w:rsidR="00976835" w:rsidRPr="00976835" w:rsidRDefault="00976835" w:rsidP="00976835">
      <w:pPr>
        <w:pStyle w:val="ListParagraph"/>
        <w:widowControl/>
        <w:rPr>
          <w:szCs w:val="22"/>
        </w:rPr>
      </w:pPr>
    </w:p>
    <w:p w:rsidR="00976835" w:rsidRPr="00976835" w:rsidRDefault="00976835" w:rsidP="00976835">
      <w:pPr>
        <w:keepNext/>
        <w:ind w:firstLine="720"/>
        <w:rPr>
          <w:rStyle w:val="CommentReference"/>
        </w:rPr>
      </w:pPr>
      <w:r w:rsidRPr="00976835">
        <w:rPr>
          <w:rStyle w:val="CommentReference"/>
        </w:rPr>
        <w:t>Table 2: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540"/>
        <w:gridCol w:w="2014"/>
        <w:gridCol w:w="992"/>
        <w:gridCol w:w="1728"/>
        <w:gridCol w:w="1959"/>
      </w:tblGrid>
      <w:tr w:rsidR="00976835" w:rsidRPr="00976835" w:rsidTr="005550D5">
        <w:tc>
          <w:tcPr>
            <w:tcW w:w="676" w:type="pct"/>
            <w:shd w:val="clear" w:color="auto" w:fill="auto"/>
            <w:vAlign w:val="center"/>
          </w:tcPr>
          <w:p w:rsidR="00976835" w:rsidRPr="00976835" w:rsidRDefault="00976835" w:rsidP="005550D5">
            <w:pPr>
              <w:jc w:val="left"/>
              <w:rPr>
                <w:rFonts w:ascii="Arial Narrow" w:hAnsi="Arial Narrow"/>
                <w:b/>
                <w:sz w:val="20"/>
                <w:lang w:val="en-US"/>
              </w:rPr>
            </w:pPr>
            <w:r w:rsidRPr="00976835">
              <w:rPr>
                <w:rFonts w:ascii="Arial Narrow" w:hAnsi="Arial Narrow"/>
                <w:b/>
                <w:sz w:val="20"/>
                <w:lang w:val="en-US"/>
              </w:rPr>
              <w:t>Trial</w:t>
            </w:r>
          </w:p>
        </w:tc>
        <w:tc>
          <w:tcPr>
            <w:tcW w:w="323" w:type="pct"/>
            <w:shd w:val="clear" w:color="auto" w:fill="auto"/>
            <w:vAlign w:val="center"/>
          </w:tcPr>
          <w:p w:rsidR="00976835" w:rsidRPr="00976835" w:rsidRDefault="00976835" w:rsidP="005550D5">
            <w:pPr>
              <w:jc w:val="center"/>
              <w:rPr>
                <w:rFonts w:ascii="Arial Narrow" w:hAnsi="Arial Narrow"/>
                <w:b/>
                <w:sz w:val="20"/>
                <w:lang w:val="en-US"/>
              </w:rPr>
            </w:pPr>
            <w:r w:rsidRPr="00976835">
              <w:rPr>
                <w:rFonts w:ascii="Arial Narrow" w:hAnsi="Arial Narrow"/>
                <w:b/>
                <w:sz w:val="20"/>
                <w:lang w:val="en-US"/>
              </w:rPr>
              <w:t>N</w:t>
            </w:r>
          </w:p>
        </w:tc>
        <w:tc>
          <w:tcPr>
            <w:tcW w:w="1204" w:type="pct"/>
            <w:shd w:val="clear" w:color="auto" w:fill="auto"/>
            <w:vAlign w:val="center"/>
          </w:tcPr>
          <w:p w:rsidR="00976835" w:rsidRPr="00976835" w:rsidRDefault="00976835" w:rsidP="005550D5">
            <w:pPr>
              <w:jc w:val="center"/>
              <w:rPr>
                <w:rFonts w:ascii="Arial Narrow" w:hAnsi="Arial Narrow"/>
                <w:b/>
                <w:sz w:val="20"/>
                <w:lang w:val="en-US"/>
              </w:rPr>
            </w:pPr>
            <w:r w:rsidRPr="00976835">
              <w:rPr>
                <w:rFonts w:ascii="Arial Narrow" w:hAnsi="Arial Narrow"/>
                <w:b/>
                <w:sz w:val="20"/>
                <w:lang w:val="en-US"/>
              </w:rPr>
              <w:t>Design/ duration</w:t>
            </w:r>
          </w:p>
        </w:tc>
        <w:tc>
          <w:tcPr>
            <w:tcW w:w="593" w:type="pct"/>
            <w:shd w:val="clear" w:color="auto" w:fill="auto"/>
            <w:vAlign w:val="center"/>
          </w:tcPr>
          <w:p w:rsidR="00976835" w:rsidRPr="00976835" w:rsidRDefault="00976835" w:rsidP="005550D5">
            <w:pPr>
              <w:jc w:val="center"/>
              <w:rPr>
                <w:rFonts w:ascii="Arial Narrow" w:hAnsi="Arial Narrow"/>
                <w:b/>
                <w:sz w:val="20"/>
                <w:lang w:val="en-US"/>
              </w:rPr>
            </w:pPr>
            <w:r w:rsidRPr="00976835">
              <w:rPr>
                <w:rFonts w:ascii="Arial Narrow" w:hAnsi="Arial Narrow"/>
                <w:b/>
                <w:sz w:val="20"/>
                <w:lang w:val="en-US"/>
              </w:rPr>
              <w:t>Risk of bias</w:t>
            </w:r>
          </w:p>
        </w:tc>
        <w:tc>
          <w:tcPr>
            <w:tcW w:w="1033" w:type="pct"/>
            <w:shd w:val="clear" w:color="auto" w:fill="auto"/>
            <w:vAlign w:val="center"/>
          </w:tcPr>
          <w:p w:rsidR="00976835" w:rsidRPr="00976835" w:rsidRDefault="00976835" w:rsidP="005550D5">
            <w:pPr>
              <w:jc w:val="center"/>
              <w:rPr>
                <w:rFonts w:ascii="Arial Narrow" w:hAnsi="Arial Narrow"/>
                <w:b/>
                <w:sz w:val="20"/>
                <w:lang w:val="en-US"/>
              </w:rPr>
            </w:pPr>
            <w:r w:rsidRPr="00976835">
              <w:rPr>
                <w:rFonts w:ascii="Arial Narrow" w:hAnsi="Arial Narrow"/>
                <w:b/>
                <w:sz w:val="20"/>
                <w:lang w:val="en-US"/>
              </w:rPr>
              <w:t>Patient population</w:t>
            </w:r>
          </w:p>
        </w:tc>
        <w:tc>
          <w:tcPr>
            <w:tcW w:w="1171" w:type="pct"/>
            <w:shd w:val="clear" w:color="auto" w:fill="auto"/>
            <w:vAlign w:val="center"/>
          </w:tcPr>
          <w:p w:rsidR="00976835" w:rsidRPr="00976835" w:rsidRDefault="00976835" w:rsidP="005550D5">
            <w:pPr>
              <w:jc w:val="center"/>
              <w:rPr>
                <w:rFonts w:ascii="Arial Narrow" w:hAnsi="Arial Narrow"/>
                <w:b/>
                <w:sz w:val="20"/>
                <w:lang w:val="en-US"/>
              </w:rPr>
            </w:pPr>
            <w:r w:rsidRPr="00976835">
              <w:rPr>
                <w:rFonts w:ascii="Arial Narrow" w:hAnsi="Arial Narrow"/>
                <w:b/>
                <w:sz w:val="20"/>
                <w:lang w:val="en-US"/>
              </w:rPr>
              <w:t>Outcomes</w:t>
            </w:r>
          </w:p>
        </w:tc>
      </w:tr>
      <w:tr w:rsidR="00976835" w:rsidRPr="00976835" w:rsidTr="005550D5">
        <w:tc>
          <w:tcPr>
            <w:tcW w:w="5000" w:type="pct"/>
            <w:gridSpan w:val="6"/>
            <w:shd w:val="clear" w:color="auto" w:fill="auto"/>
            <w:vAlign w:val="center"/>
          </w:tcPr>
          <w:p w:rsidR="00976835" w:rsidRPr="00976835" w:rsidRDefault="00976835" w:rsidP="005550D5">
            <w:pPr>
              <w:jc w:val="left"/>
              <w:rPr>
                <w:rFonts w:ascii="Arial Narrow" w:hAnsi="Arial Narrow"/>
                <w:b/>
                <w:sz w:val="20"/>
                <w:lang w:val="en-US"/>
              </w:rPr>
            </w:pPr>
            <w:r w:rsidRPr="00976835">
              <w:rPr>
                <w:rFonts w:ascii="Arial Narrow" w:hAnsi="Arial Narrow"/>
                <w:b/>
                <w:sz w:val="20"/>
                <w:lang w:val="en-US"/>
              </w:rPr>
              <w:t>HP-hMG vs follitropin alfa</w:t>
            </w:r>
          </w:p>
        </w:tc>
      </w:tr>
      <w:tr w:rsidR="00976835" w:rsidRPr="00976835" w:rsidTr="005550D5">
        <w:tc>
          <w:tcPr>
            <w:tcW w:w="676" w:type="pct"/>
            <w:shd w:val="clear" w:color="auto" w:fill="auto"/>
            <w:vAlign w:val="center"/>
          </w:tcPr>
          <w:p w:rsidR="00976835" w:rsidRPr="00976835" w:rsidRDefault="00976835" w:rsidP="005550D5">
            <w:pPr>
              <w:jc w:val="left"/>
              <w:rPr>
                <w:rFonts w:ascii="Arial Narrow" w:hAnsi="Arial Narrow"/>
                <w:sz w:val="20"/>
                <w:lang w:val="en-US"/>
              </w:rPr>
            </w:pPr>
            <w:r w:rsidRPr="00976835">
              <w:rPr>
                <w:rFonts w:ascii="Arial Narrow" w:hAnsi="Arial Narrow"/>
                <w:sz w:val="20"/>
                <w:lang w:val="en-US"/>
              </w:rPr>
              <w:t>CS002</w:t>
            </w:r>
          </w:p>
        </w:tc>
        <w:tc>
          <w:tcPr>
            <w:tcW w:w="323" w:type="pct"/>
            <w:shd w:val="clear" w:color="auto" w:fill="auto"/>
            <w:vAlign w:val="center"/>
          </w:tcPr>
          <w:p w:rsidR="00976835" w:rsidRPr="00976835" w:rsidRDefault="00976835" w:rsidP="005550D5">
            <w:pPr>
              <w:jc w:val="center"/>
              <w:rPr>
                <w:rFonts w:ascii="Arial Narrow" w:hAnsi="Arial Narrow"/>
                <w:sz w:val="20"/>
                <w:lang w:val="en-US"/>
              </w:rPr>
            </w:pPr>
            <w:r w:rsidRPr="00976835">
              <w:rPr>
                <w:rFonts w:ascii="Arial Narrow" w:hAnsi="Arial Narrow"/>
                <w:sz w:val="20"/>
                <w:lang w:val="en-US"/>
              </w:rPr>
              <w:t>184</w:t>
            </w:r>
          </w:p>
        </w:tc>
        <w:tc>
          <w:tcPr>
            <w:tcW w:w="1204" w:type="pct"/>
            <w:shd w:val="clear" w:color="auto" w:fill="auto"/>
            <w:vAlign w:val="center"/>
          </w:tcPr>
          <w:p w:rsidR="00976835" w:rsidRPr="00976835" w:rsidRDefault="00976835" w:rsidP="005550D5">
            <w:pPr>
              <w:jc w:val="center"/>
              <w:rPr>
                <w:rFonts w:ascii="Arial Narrow" w:hAnsi="Arial Narrow"/>
                <w:sz w:val="20"/>
                <w:lang w:val="en-US"/>
              </w:rPr>
            </w:pPr>
            <w:r w:rsidRPr="00976835">
              <w:rPr>
                <w:rFonts w:ascii="Arial Narrow" w:hAnsi="Arial Narrow"/>
                <w:sz w:val="20"/>
                <w:lang w:val="en-US"/>
              </w:rPr>
              <w:t>R, OL, Assessor blind, MC</w:t>
            </w:r>
          </w:p>
          <w:p w:rsidR="00976835" w:rsidRPr="00976835" w:rsidRDefault="00976835" w:rsidP="005550D5">
            <w:pPr>
              <w:jc w:val="center"/>
              <w:rPr>
                <w:rFonts w:ascii="Arial Narrow" w:hAnsi="Arial Narrow"/>
                <w:sz w:val="20"/>
                <w:lang w:val="en-US"/>
              </w:rPr>
            </w:pPr>
            <w:r w:rsidRPr="00976835">
              <w:rPr>
                <w:rFonts w:ascii="Arial Narrow" w:hAnsi="Arial Narrow"/>
                <w:sz w:val="20"/>
              </w:rPr>
              <w:t>All pregnancies were followed up until live birth (delivery).</w:t>
            </w:r>
          </w:p>
        </w:tc>
        <w:tc>
          <w:tcPr>
            <w:tcW w:w="593" w:type="pct"/>
            <w:shd w:val="clear" w:color="auto" w:fill="auto"/>
            <w:vAlign w:val="center"/>
          </w:tcPr>
          <w:p w:rsidR="00976835" w:rsidRPr="00976835" w:rsidRDefault="00976835" w:rsidP="005550D5">
            <w:pPr>
              <w:jc w:val="center"/>
              <w:rPr>
                <w:rFonts w:ascii="Arial Narrow" w:hAnsi="Arial Narrow"/>
                <w:sz w:val="20"/>
                <w:lang w:val="en-US"/>
              </w:rPr>
            </w:pPr>
            <w:r w:rsidRPr="00976835">
              <w:rPr>
                <w:rFonts w:ascii="Arial Narrow" w:hAnsi="Arial Narrow"/>
                <w:sz w:val="20"/>
                <w:lang w:val="en-US"/>
              </w:rPr>
              <w:t>Low</w:t>
            </w:r>
          </w:p>
        </w:tc>
        <w:tc>
          <w:tcPr>
            <w:tcW w:w="1033" w:type="pct"/>
            <w:shd w:val="clear" w:color="auto" w:fill="auto"/>
            <w:vAlign w:val="center"/>
          </w:tcPr>
          <w:p w:rsidR="00976835" w:rsidRPr="00976835" w:rsidRDefault="00976835" w:rsidP="005550D5">
            <w:pPr>
              <w:jc w:val="center"/>
              <w:rPr>
                <w:rFonts w:ascii="Arial Narrow" w:hAnsi="Arial Narrow"/>
                <w:sz w:val="20"/>
                <w:lang w:val="en-US"/>
              </w:rPr>
            </w:pPr>
            <w:r w:rsidRPr="00976835">
              <w:rPr>
                <w:rFonts w:ascii="Arial Narrow" w:hAnsi="Arial Narrow"/>
                <w:sz w:val="20"/>
                <w:lang w:val="en-US"/>
              </w:rPr>
              <w:t>Females with anovulatory infertility</w:t>
            </w:r>
          </w:p>
        </w:tc>
        <w:tc>
          <w:tcPr>
            <w:tcW w:w="1171" w:type="pct"/>
            <w:shd w:val="clear" w:color="auto" w:fill="auto"/>
            <w:vAlign w:val="center"/>
          </w:tcPr>
          <w:p w:rsidR="00976835" w:rsidRPr="00976835" w:rsidRDefault="00976835" w:rsidP="005550D5">
            <w:pPr>
              <w:jc w:val="center"/>
              <w:rPr>
                <w:rFonts w:ascii="Arial Narrow" w:hAnsi="Arial Narrow"/>
                <w:sz w:val="20"/>
                <w:lang w:val="en-US"/>
              </w:rPr>
            </w:pPr>
            <w:r w:rsidRPr="00976835">
              <w:rPr>
                <w:rFonts w:ascii="Arial Narrow" w:hAnsi="Arial Narrow"/>
                <w:sz w:val="20"/>
                <w:lang w:val="en-US"/>
              </w:rPr>
              <w:t>Ovulation rate, ongoing pregnancy, live birth rate</w:t>
            </w:r>
          </w:p>
        </w:tc>
      </w:tr>
    </w:tbl>
    <w:p w:rsidR="00976835" w:rsidRPr="00976835" w:rsidRDefault="00976835" w:rsidP="00976835">
      <w:pPr>
        <w:pStyle w:val="TableFooter"/>
        <w:ind w:firstLine="720"/>
      </w:pPr>
      <w:r w:rsidRPr="00976835">
        <w:t>Source: compiled during the evaluation</w:t>
      </w:r>
    </w:p>
    <w:p w:rsidR="00976835" w:rsidRPr="00976835" w:rsidRDefault="00976835" w:rsidP="00976835">
      <w:pPr>
        <w:pStyle w:val="TableFooter"/>
        <w:ind w:firstLine="720"/>
      </w:pPr>
      <w:r w:rsidRPr="00976835">
        <w:t>MC=multi-centre; OL=open label; R=randomised.</w:t>
      </w:r>
    </w:p>
    <w:p w:rsidR="00976835" w:rsidRPr="00976835" w:rsidRDefault="00976835" w:rsidP="00976835"/>
    <w:p w:rsidR="00FD462B" w:rsidRPr="00C72DB6" w:rsidRDefault="00976835" w:rsidP="00C72DB6">
      <w:pPr>
        <w:pStyle w:val="ListParagraph"/>
        <w:widowControl/>
        <w:numPr>
          <w:ilvl w:val="1"/>
          <w:numId w:val="1"/>
        </w:numPr>
      </w:pPr>
      <w:r w:rsidRPr="00C72DB6">
        <w:t xml:space="preserve">Although the overall risk of bias in CS002 was low, there were </w:t>
      </w:r>
      <w:r w:rsidR="00014076" w:rsidRPr="00C72DB6">
        <w:t xml:space="preserve">some </w:t>
      </w:r>
      <w:r w:rsidRPr="00C72DB6">
        <w:t xml:space="preserve">differences in the baseline characteristics across the treatment </w:t>
      </w:r>
      <w:r w:rsidR="00E11BD0" w:rsidRPr="00C72DB6">
        <w:t>groups, which suggest</w:t>
      </w:r>
      <w:r w:rsidR="00014076" w:rsidRPr="00C72DB6">
        <w:t xml:space="preserve"> the trial sample</w:t>
      </w:r>
      <w:r w:rsidR="00624D3A" w:rsidRPr="00C72DB6">
        <w:t xml:space="preserve"> size calculation may have been</w:t>
      </w:r>
      <w:r w:rsidR="00014076" w:rsidRPr="00C72DB6">
        <w:t xml:space="preserve"> slightly under-powered, at least with regards to </w:t>
      </w:r>
      <w:r w:rsidR="004A546D" w:rsidRPr="00C72DB6">
        <w:t xml:space="preserve">the </w:t>
      </w:r>
      <w:r w:rsidR="00014076" w:rsidRPr="00C72DB6">
        <w:t>subset of key prognostic correlates</w:t>
      </w:r>
      <w:r w:rsidRPr="00C72DB6">
        <w:t>. A higher percentage of patients in the HP-hMG group had a BMI ≥ 30 kg/m</w:t>
      </w:r>
      <w:r w:rsidRPr="00C72DB6">
        <w:rPr>
          <w:vertAlign w:val="superscript"/>
        </w:rPr>
        <w:t>2</w:t>
      </w:r>
      <w:r w:rsidRPr="00C72DB6">
        <w:t xml:space="preserve"> (33% vs 15%), failed to ovulate on clomiphene citrate (54% vs 38%), and the primary reason for infertility being po</w:t>
      </w:r>
      <w:r w:rsidR="004A546D" w:rsidRPr="00C72DB6">
        <w:t xml:space="preserve">lycystic ovaries (71% vs 59%). </w:t>
      </w:r>
      <w:r w:rsidR="00FD462B" w:rsidRPr="00C72DB6">
        <w:t>The ESC noted that the primary analysis was not adjusted for differences in these baseline patient characteristics.</w:t>
      </w:r>
      <w:r w:rsidR="007436AA" w:rsidRPr="00C72DB6">
        <w:t xml:space="preserve"> Whilst an adjusted ITT analysis observed comparable effects after adjusting for BMI and age via inclusion as fixed </w:t>
      </w:r>
      <w:r w:rsidR="007436AA" w:rsidRPr="00C72DB6">
        <w:lastRenderedPageBreak/>
        <w:t>effects in the regression model, this additional analysis was not further adjusted for differences in failure to ovulate on prior clomiphene citrate and the primary reason for infertility.</w:t>
      </w:r>
    </w:p>
    <w:p w:rsidR="00976835" w:rsidRPr="00976835" w:rsidRDefault="00976835" w:rsidP="00976835">
      <w:pPr>
        <w:rPr>
          <w:szCs w:val="22"/>
        </w:rPr>
      </w:pPr>
    </w:p>
    <w:p w:rsidR="00976835" w:rsidRPr="00C72DB6" w:rsidRDefault="00976835" w:rsidP="00E47950">
      <w:pPr>
        <w:pStyle w:val="Heading2"/>
      </w:pPr>
      <w:bookmarkStart w:id="9" w:name="_Toc440987230"/>
      <w:r w:rsidRPr="00C72DB6">
        <w:t>Comparative effectiveness</w:t>
      </w:r>
      <w:bookmarkEnd w:id="9"/>
    </w:p>
    <w:p w:rsidR="00976835" w:rsidRPr="00976835" w:rsidRDefault="00976835" w:rsidP="00976835">
      <w:pPr>
        <w:rPr>
          <w:szCs w:val="22"/>
        </w:rPr>
      </w:pPr>
    </w:p>
    <w:p w:rsidR="00976835" w:rsidRPr="00C72DB6" w:rsidRDefault="00976835" w:rsidP="00C72DB6">
      <w:pPr>
        <w:pStyle w:val="ListParagraph"/>
        <w:widowControl/>
        <w:numPr>
          <w:ilvl w:val="1"/>
          <w:numId w:val="1"/>
        </w:numPr>
      </w:pPr>
      <w:r w:rsidRPr="00C72DB6">
        <w:t xml:space="preserve">A summary of the comparative effectiveness for HP-hMG versus follitropin alfa is presented in Table 3 and Table 4. </w:t>
      </w:r>
    </w:p>
    <w:p w:rsidR="00976835" w:rsidRPr="00C72DB6" w:rsidRDefault="00976835" w:rsidP="00976835">
      <w:pPr>
        <w:pStyle w:val="ListParagraph"/>
        <w:widowControl/>
      </w:pPr>
    </w:p>
    <w:p w:rsidR="007436AA" w:rsidRPr="00C72DB6" w:rsidRDefault="00976835" w:rsidP="00C72DB6">
      <w:pPr>
        <w:pStyle w:val="ListParagraph"/>
        <w:widowControl/>
        <w:numPr>
          <w:ilvl w:val="1"/>
          <w:numId w:val="1"/>
        </w:numPr>
      </w:pPr>
      <w:r w:rsidRPr="00C72DB6">
        <w:t xml:space="preserve">For the ITT analysis, the mean difference in the ovulation rate for HP-hMG and follitropin alfa was -1.43% (95% CI: -12.0, 9.1). Based on the non-inferiority </w:t>
      </w:r>
      <w:r w:rsidR="00FD462B" w:rsidRPr="00C72DB6">
        <w:t xml:space="preserve">limit </w:t>
      </w:r>
      <w:r w:rsidR="007C073C" w:rsidRPr="00C72DB6">
        <w:t xml:space="preserve">of </w:t>
      </w:r>
      <w:r w:rsidR="004A546D" w:rsidRPr="00C72DB6">
        <w:noBreakHyphen/>
      </w:r>
      <w:r w:rsidRPr="00C72DB6">
        <w:t xml:space="preserve">20%, the submission claimed that HP-hMG is non-inferior to follitropin alfa. </w:t>
      </w:r>
      <w:r w:rsidR="007436AA" w:rsidRPr="00C72DB6">
        <w:t>The PSCR (p.1) claimed a 20% reduction in ovulation rate is expected to translate to a 5% decrease in live birth rate, and argued that a 5% decrease was considered by the trial designers to be a clinically important difference between the treatments.</w:t>
      </w:r>
    </w:p>
    <w:p w:rsidR="007436AA" w:rsidRPr="00C72DB6" w:rsidRDefault="007436AA" w:rsidP="007436AA">
      <w:pPr>
        <w:pStyle w:val="ListParagraph"/>
      </w:pPr>
    </w:p>
    <w:p w:rsidR="007C073C" w:rsidRDefault="00976835" w:rsidP="00C72DB6">
      <w:pPr>
        <w:pStyle w:val="ListParagraph"/>
        <w:widowControl/>
        <w:numPr>
          <w:ilvl w:val="1"/>
          <w:numId w:val="1"/>
        </w:numPr>
      </w:pPr>
      <w:r w:rsidRPr="00C72DB6">
        <w:t>The results of the PP analysis were consistent with the ITT analysis.</w:t>
      </w:r>
      <w:r w:rsidR="007436AA" w:rsidRPr="00C72DB6">
        <w:t xml:space="preserve"> Whilst the primary analysis was not adjusted for the various imbalance in baseline characteristics by trial arm, a sensitivity analysis of the ITT population (using a logistic regression adjusting for age and continuous BMI only) was generally consistent with the primary unadjusted ITT results, although this adjusted ITT did not control for baseline differences in failure to ovulate on first-line clomiphene citrate and primary reason for infertility.</w:t>
      </w:r>
      <w:r w:rsidR="00B92A41">
        <w:t xml:space="preserve"> The Pre-PBAC Response (p.1) clarified that “the analysis of the primary outcome included a prospectively planned sensitivity analysis of efficacy that was adjusted for age and BMI, because these variables were known to have a potential effect on ovulation rate, and not because an imbalance in any of these variables was expected in the study groups.”</w:t>
      </w:r>
    </w:p>
    <w:p w:rsidR="0046228E" w:rsidRPr="00C72DB6" w:rsidRDefault="0046228E" w:rsidP="0046228E">
      <w:pPr>
        <w:widowControl/>
      </w:pPr>
    </w:p>
    <w:p w:rsidR="00976835" w:rsidRPr="00C72DB6" w:rsidRDefault="00976835" w:rsidP="00C72DB6">
      <w:pPr>
        <w:pStyle w:val="ListParagraph"/>
        <w:widowControl/>
        <w:numPr>
          <w:ilvl w:val="1"/>
          <w:numId w:val="1"/>
        </w:numPr>
      </w:pPr>
      <w:r w:rsidRPr="00C72DB6">
        <w:t xml:space="preserve">All ongoing pregnancies resulted in live births. The mean difference in the proportion of patients with a live birth for HP-hMG and </w:t>
      </w:r>
      <w:r w:rsidR="00232B6B">
        <w:t>follitropin alfa was 2.92% (95% </w:t>
      </w:r>
      <w:r w:rsidR="002F5B2F">
        <w:t>CI</w:t>
      </w:r>
      <w:r w:rsidR="007D5588">
        <w:t xml:space="preserve"> </w:t>
      </w:r>
      <w:r w:rsidR="00232B6B">
        <w:noBreakHyphen/>
        <w:t>1</w:t>
      </w:r>
      <w:r w:rsidRPr="00C72DB6">
        <w:t xml:space="preserve">3.4%, 7.59%). </w:t>
      </w:r>
      <w:r w:rsidRPr="00C72DB6">
        <w:rPr>
          <w:bCs/>
        </w:rPr>
        <w:t>The submission did not nominate a non-inferiority margin for the outcomes of live births or ongoing pregnancy. However, the lower 95% confidence limit exceeds the 10% non-inferiority margin previously accepted by the PBAC.</w:t>
      </w:r>
    </w:p>
    <w:p w:rsidR="00976835" w:rsidRPr="0065726A" w:rsidRDefault="00976835" w:rsidP="00976835">
      <w:pPr>
        <w:widowControl/>
        <w:rPr>
          <w:sz w:val="16"/>
          <w:szCs w:val="16"/>
        </w:rPr>
      </w:pPr>
    </w:p>
    <w:p w:rsidR="00976835" w:rsidRPr="00976835" w:rsidRDefault="00976835" w:rsidP="00976835">
      <w:pPr>
        <w:keepNext/>
        <w:ind w:firstLine="720"/>
        <w:rPr>
          <w:rStyle w:val="CommentReference"/>
        </w:rPr>
      </w:pPr>
      <w:r w:rsidRPr="00976835">
        <w:rPr>
          <w:rStyle w:val="CommentReference"/>
        </w:rPr>
        <w:t>Table 3: Results of the primary outcome across the direct randomised trial</w:t>
      </w:r>
    </w:p>
    <w:tbl>
      <w:tblPr>
        <w:tblW w:w="459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05"/>
        <w:gridCol w:w="1950"/>
        <w:gridCol w:w="1950"/>
        <w:gridCol w:w="1948"/>
      </w:tblGrid>
      <w:tr w:rsidR="00976835" w:rsidRPr="00976835" w:rsidTr="005550D5">
        <w:tc>
          <w:tcPr>
            <w:tcW w:w="1500" w:type="pct"/>
            <w:tcBorders>
              <w:bottom w:val="single" w:sz="4" w:space="0" w:color="auto"/>
            </w:tcBorders>
            <w:shd w:val="clear" w:color="auto" w:fill="auto"/>
            <w:vAlign w:val="center"/>
          </w:tcPr>
          <w:p w:rsidR="00976835" w:rsidRPr="00976835" w:rsidRDefault="00976835" w:rsidP="005550D5">
            <w:pPr>
              <w:keepNext/>
              <w:jc w:val="left"/>
              <w:rPr>
                <w:rFonts w:ascii="Arial Narrow" w:hAnsi="Arial Narrow"/>
                <w:b/>
                <w:sz w:val="20"/>
                <w:lang w:val="en-US"/>
              </w:rPr>
            </w:pPr>
          </w:p>
        </w:tc>
        <w:tc>
          <w:tcPr>
            <w:tcW w:w="1167" w:type="pct"/>
            <w:tcBorders>
              <w:bottom w:val="single" w:sz="4" w:space="0" w:color="auto"/>
            </w:tcBorders>
            <w:shd w:val="clear" w:color="auto" w:fill="auto"/>
            <w:vAlign w:val="center"/>
          </w:tcPr>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HP-hMG</w:t>
            </w:r>
          </w:p>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n with event/N (%)</w:t>
            </w:r>
          </w:p>
        </w:tc>
        <w:tc>
          <w:tcPr>
            <w:tcW w:w="1167" w:type="pct"/>
            <w:tcBorders>
              <w:bottom w:val="single" w:sz="4" w:space="0" w:color="auto"/>
            </w:tcBorders>
            <w:shd w:val="clear" w:color="auto" w:fill="auto"/>
            <w:vAlign w:val="center"/>
          </w:tcPr>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Follitropin alfa</w:t>
            </w:r>
          </w:p>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n with event/N (%)</w:t>
            </w:r>
          </w:p>
        </w:tc>
        <w:tc>
          <w:tcPr>
            <w:tcW w:w="1167" w:type="pct"/>
            <w:tcBorders>
              <w:bottom w:val="single" w:sz="4" w:space="0" w:color="auto"/>
            </w:tcBorders>
            <w:shd w:val="clear" w:color="auto" w:fill="auto"/>
            <w:vAlign w:val="center"/>
          </w:tcPr>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Mean difference</w:t>
            </w:r>
          </w:p>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(95% CI)</w:t>
            </w:r>
            <w:r w:rsidR="00014076" w:rsidRPr="00A36558">
              <w:rPr>
                <w:rFonts w:ascii="Arial Narrow" w:hAnsi="Arial Narrow"/>
                <w:b/>
                <w:i/>
                <w:sz w:val="20"/>
                <w:lang w:val="en-US"/>
              </w:rPr>
              <w:t>*</w:t>
            </w:r>
          </w:p>
        </w:tc>
      </w:tr>
      <w:tr w:rsidR="00976835" w:rsidRPr="00976835" w:rsidTr="005550D5">
        <w:tc>
          <w:tcPr>
            <w:tcW w:w="1500" w:type="pct"/>
            <w:tcBorders>
              <w:right w:val="nil"/>
            </w:tcBorders>
            <w:shd w:val="clear" w:color="auto" w:fill="auto"/>
            <w:vAlign w:val="center"/>
          </w:tcPr>
          <w:p w:rsidR="00976835" w:rsidRPr="00976835" w:rsidRDefault="00976835" w:rsidP="005550D5">
            <w:pPr>
              <w:keepNext/>
              <w:jc w:val="left"/>
              <w:rPr>
                <w:rFonts w:ascii="Arial Narrow" w:hAnsi="Arial Narrow"/>
                <w:sz w:val="20"/>
                <w:lang w:val="en-US"/>
              </w:rPr>
            </w:pPr>
            <w:r w:rsidRPr="00976835">
              <w:rPr>
                <w:rFonts w:ascii="Arial Narrow" w:hAnsi="Arial Narrow"/>
                <w:sz w:val="20"/>
              </w:rPr>
              <w:t>Primary outcome: Ovulation rate</w:t>
            </w:r>
          </w:p>
        </w:tc>
        <w:tc>
          <w:tcPr>
            <w:tcW w:w="1167" w:type="pct"/>
            <w:tcBorders>
              <w:left w:val="nil"/>
              <w:right w:val="nil"/>
            </w:tcBorders>
            <w:shd w:val="clear" w:color="auto" w:fill="auto"/>
            <w:vAlign w:val="center"/>
          </w:tcPr>
          <w:p w:rsidR="00976835" w:rsidRPr="00976835" w:rsidRDefault="00976835" w:rsidP="005550D5">
            <w:pPr>
              <w:keepNext/>
              <w:jc w:val="center"/>
              <w:rPr>
                <w:rFonts w:ascii="Arial Narrow" w:hAnsi="Arial Narrow"/>
                <w:sz w:val="20"/>
                <w:lang w:val="en-US"/>
              </w:rPr>
            </w:pPr>
          </w:p>
        </w:tc>
        <w:tc>
          <w:tcPr>
            <w:tcW w:w="1167" w:type="pct"/>
            <w:tcBorders>
              <w:left w:val="nil"/>
              <w:right w:val="nil"/>
            </w:tcBorders>
            <w:shd w:val="clear" w:color="auto" w:fill="auto"/>
            <w:vAlign w:val="center"/>
          </w:tcPr>
          <w:p w:rsidR="00976835" w:rsidRPr="00976835" w:rsidRDefault="00976835" w:rsidP="005550D5">
            <w:pPr>
              <w:keepNext/>
              <w:jc w:val="center"/>
              <w:rPr>
                <w:rFonts w:ascii="Arial Narrow" w:hAnsi="Arial Narrow"/>
                <w:sz w:val="20"/>
                <w:lang w:val="en-US"/>
              </w:rPr>
            </w:pPr>
          </w:p>
        </w:tc>
        <w:tc>
          <w:tcPr>
            <w:tcW w:w="1167" w:type="pct"/>
            <w:tcBorders>
              <w:left w:val="nil"/>
              <w:right w:val="single" w:sz="4" w:space="0" w:color="auto"/>
            </w:tcBorders>
            <w:shd w:val="clear" w:color="auto" w:fill="auto"/>
            <w:vAlign w:val="center"/>
          </w:tcPr>
          <w:p w:rsidR="00976835" w:rsidRPr="00976835" w:rsidRDefault="00976835" w:rsidP="005550D5">
            <w:pPr>
              <w:keepNext/>
              <w:jc w:val="center"/>
              <w:rPr>
                <w:rFonts w:ascii="Arial Narrow" w:hAnsi="Arial Narrow"/>
                <w:sz w:val="20"/>
                <w:lang w:val="en-US"/>
              </w:rPr>
            </w:pPr>
          </w:p>
        </w:tc>
      </w:tr>
      <w:tr w:rsidR="00976835" w:rsidRPr="00976835" w:rsidTr="005550D5">
        <w:tc>
          <w:tcPr>
            <w:tcW w:w="1500" w:type="pct"/>
            <w:shd w:val="clear" w:color="auto" w:fill="auto"/>
            <w:vAlign w:val="center"/>
          </w:tcPr>
          <w:p w:rsidR="00976835" w:rsidRPr="00976835" w:rsidRDefault="00976835" w:rsidP="005550D5">
            <w:pPr>
              <w:keepNext/>
              <w:jc w:val="left"/>
              <w:rPr>
                <w:rFonts w:ascii="Arial Narrow" w:hAnsi="Arial Narrow"/>
                <w:sz w:val="20"/>
                <w:lang w:val="en-US"/>
              </w:rPr>
            </w:pPr>
            <w:r w:rsidRPr="00976835">
              <w:rPr>
                <w:rFonts w:ascii="Arial Narrow" w:hAnsi="Arial Narrow"/>
                <w:sz w:val="20"/>
                <w:lang w:val="en-US"/>
              </w:rPr>
              <w:t>PP</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60/70 (85.7)</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71/83 (85.5)</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0.17 (-11.0, 11.33)</w:t>
            </w:r>
          </w:p>
        </w:tc>
      </w:tr>
      <w:tr w:rsidR="00976835" w:rsidRPr="00976835" w:rsidTr="005550D5">
        <w:tc>
          <w:tcPr>
            <w:tcW w:w="1500" w:type="pct"/>
            <w:shd w:val="clear" w:color="auto" w:fill="auto"/>
            <w:vAlign w:val="center"/>
          </w:tcPr>
          <w:p w:rsidR="00976835" w:rsidRPr="00976835" w:rsidRDefault="00976835" w:rsidP="005550D5">
            <w:pPr>
              <w:keepNext/>
              <w:jc w:val="left"/>
              <w:rPr>
                <w:rFonts w:ascii="Arial Narrow" w:hAnsi="Arial Narrow"/>
                <w:sz w:val="20"/>
                <w:lang w:val="en-US"/>
              </w:rPr>
            </w:pPr>
            <w:r w:rsidRPr="00976835">
              <w:rPr>
                <w:rFonts w:ascii="Arial Narrow" w:hAnsi="Arial Narrow"/>
                <w:sz w:val="20"/>
                <w:lang w:val="en-US"/>
              </w:rPr>
              <w:t>ITT</w:t>
            </w:r>
          </w:p>
        </w:tc>
        <w:tc>
          <w:tcPr>
            <w:tcW w:w="1167" w:type="pct"/>
            <w:shd w:val="clear" w:color="auto" w:fill="auto"/>
          </w:tcPr>
          <w:p w:rsidR="00976835" w:rsidRPr="00976835" w:rsidRDefault="00976835" w:rsidP="005550D5">
            <w:pPr>
              <w:jc w:val="center"/>
              <w:rPr>
                <w:rFonts w:ascii="Arial Narrow" w:hAnsi="Arial Narrow"/>
                <w:sz w:val="20"/>
              </w:rPr>
            </w:pPr>
            <w:r w:rsidRPr="00976835">
              <w:rPr>
                <w:rFonts w:ascii="Arial Narrow" w:hAnsi="Arial Narrow"/>
                <w:sz w:val="20"/>
              </w:rPr>
              <w:t>76/91 (83.5)</w:t>
            </w:r>
          </w:p>
        </w:tc>
        <w:tc>
          <w:tcPr>
            <w:tcW w:w="1167" w:type="pct"/>
            <w:shd w:val="clear" w:color="auto" w:fill="auto"/>
          </w:tcPr>
          <w:p w:rsidR="00976835" w:rsidRPr="00976835" w:rsidRDefault="00976835" w:rsidP="005550D5">
            <w:pPr>
              <w:jc w:val="center"/>
              <w:rPr>
                <w:rFonts w:ascii="Arial Narrow" w:hAnsi="Arial Narrow"/>
                <w:sz w:val="20"/>
              </w:rPr>
            </w:pPr>
            <w:r w:rsidRPr="00976835">
              <w:rPr>
                <w:rFonts w:ascii="Arial Narrow" w:hAnsi="Arial Narrow"/>
                <w:sz w:val="20"/>
              </w:rPr>
              <w:t>79/93 (84.9)</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-1.43 (-12.0, 9.10)</w:t>
            </w:r>
          </w:p>
        </w:tc>
      </w:tr>
    </w:tbl>
    <w:p w:rsidR="00976835" w:rsidRPr="00976835" w:rsidRDefault="00976835" w:rsidP="00976835">
      <w:pPr>
        <w:pStyle w:val="TableFooter"/>
        <w:ind w:firstLine="720"/>
      </w:pPr>
      <w:r w:rsidRPr="00976835">
        <w:t xml:space="preserve">Source: Table B-17, Table B-18 p48, of the submission; CS002 CSR Table 9-1 p73, Table 9-9 p81. </w:t>
      </w:r>
    </w:p>
    <w:p w:rsidR="00976835" w:rsidRPr="00976835" w:rsidRDefault="00976835" w:rsidP="00976835">
      <w:pPr>
        <w:pStyle w:val="TableFooter"/>
        <w:ind w:left="720"/>
      </w:pPr>
      <w:r w:rsidRPr="00976835">
        <w:t>Abbreviations: CI = confidence interval; HP-hMG = highly purified human menopausal gonadotrophin; ITT = intention-to-treat; PP = per protocol.</w:t>
      </w:r>
      <w:r w:rsidR="007C073C" w:rsidRPr="00A36558">
        <w:rPr>
          <w:i/>
        </w:rPr>
        <w:t xml:space="preserve"> * Pre-specified non-inferiority limit = -20%</w:t>
      </w:r>
    </w:p>
    <w:p w:rsidR="0046228E" w:rsidRDefault="0046228E">
      <w:pPr>
        <w:widowControl/>
        <w:jc w:val="left"/>
        <w:rPr>
          <w:sz w:val="16"/>
          <w:szCs w:val="16"/>
        </w:rPr>
      </w:pPr>
      <w:r>
        <w:rPr>
          <w:sz w:val="16"/>
          <w:szCs w:val="16"/>
        </w:rPr>
        <w:br w:type="page"/>
      </w:r>
    </w:p>
    <w:p w:rsidR="00976835" w:rsidRPr="0065726A" w:rsidRDefault="00976835" w:rsidP="00046B8C">
      <w:pPr>
        <w:ind w:left="720" w:hanging="720"/>
        <w:rPr>
          <w:sz w:val="16"/>
          <w:szCs w:val="16"/>
        </w:rPr>
      </w:pPr>
    </w:p>
    <w:p w:rsidR="00976835" w:rsidRPr="00976835" w:rsidRDefault="00976835" w:rsidP="00976835">
      <w:pPr>
        <w:keepNext/>
        <w:ind w:firstLine="720"/>
        <w:rPr>
          <w:rStyle w:val="CommentReference"/>
        </w:rPr>
      </w:pPr>
      <w:r w:rsidRPr="00976835">
        <w:rPr>
          <w:rStyle w:val="CommentReference"/>
        </w:rPr>
        <w:t>Table 4: Results of the patient-relevant outcome across the direct randomised trial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07"/>
        <w:gridCol w:w="1953"/>
        <w:gridCol w:w="1952"/>
        <w:gridCol w:w="1952"/>
      </w:tblGrid>
      <w:tr w:rsidR="00976835" w:rsidRPr="00976835" w:rsidTr="005550D5">
        <w:tc>
          <w:tcPr>
            <w:tcW w:w="1498" w:type="pct"/>
            <w:tcBorders>
              <w:bottom w:val="single" w:sz="4" w:space="0" w:color="auto"/>
            </w:tcBorders>
            <w:shd w:val="clear" w:color="auto" w:fill="auto"/>
            <w:vAlign w:val="center"/>
          </w:tcPr>
          <w:p w:rsidR="00976835" w:rsidRPr="00976835" w:rsidRDefault="00976835" w:rsidP="005550D5">
            <w:pPr>
              <w:keepNext/>
              <w:jc w:val="left"/>
              <w:rPr>
                <w:rFonts w:ascii="Arial Narrow" w:hAnsi="Arial Narrow"/>
                <w:b/>
                <w:sz w:val="20"/>
                <w:lang w:val="en-US"/>
              </w:rPr>
            </w:pPr>
          </w:p>
        </w:tc>
        <w:tc>
          <w:tcPr>
            <w:tcW w:w="1167" w:type="pct"/>
            <w:tcBorders>
              <w:bottom w:val="single" w:sz="4" w:space="0" w:color="auto"/>
            </w:tcBorders>
            <w:shd w:val="clear" w:color="auto" w:fill="auto"/>
            <w:vAlign w:val="center"/>
          </w:tcPr>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HP-hMG</w:t>
            </w:r>
          </w:p>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n with event/N (%)</w:t>
            </w:r>
          </w:p>
        </w:tc>
        <w:tc>
          <w:tcPr>
            <w:tcW w:w="1167" w:type="pct"/>
            <w:tcBorders>
              <w:bottom w:val="single" w:sz="4" w:space="0" w:color="auto"/>
            </w:tcBorders>
            <w:shd w:val="clear" w:color="auto" w:fill="auto"/>
            <w:vAlign w:val="center"/>
          </w:tcPr>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Follitropin alfa</w:t>
            </w:r>
          </w:p>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 xml:space="preserve">n with event/N (%) </w:t>
            </w:r>
          </w:p>
        </w:tc>
        <w:tc>
          <w:tcPr>
            <w:tcW w:w="1167" w:type="pct"/>
            <w:tcBorders>
              <w:bottom w:val="single" w:sz="4" w:space="0" w:color="auto"/>
            </w:tcBorders>
            <w:shd w:val="clear" w:color="auto" w:fill="auto"/>
            <w:vAlign w:val="center"/>
          </w:tcPr>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Mean difference</w:t>
            </w:r>
          </w:p>
          <w:p w:rsidR="00976835" w:rsidRPr="00976835" w:rsidRDefault="00976835" w:rsidP="005550D5">
            <w:pPr>
              <w:keepNext/>
              <w:jc w:val="center"/>
              <w:rPr>
                <w:rFonts w:ascii="Arial Narrow" w:hAnsi="Arial Narrow"/>
                <w:b/>
                <w:sz w:val="20"/>
                <w:lang w:val="en-US"/>
              </w:rPr>
            </w:pPr>
            <w:r w:rsidRPr="00976835">
              <w:rPr>
                <w:rFonts w:ascii="Arial Narrow" w:hAnsi="Arial Narrow"/>
                <w:b/>
                <w:sz w:val="20"/>
                <w:lang w:val="en-US"/>
              </w:rPr>
              <w:t>(95% CI)</w:t>
            </w:r>
            <w:r w:rsidR="00014076" w:rsidRPr="00A36558">
              <w:rPr>
                <w:rFonts w:ascii="Arial Narrow" w:hAnsi="Arial Narrow"/>
                <w:b/>
                <w:i/>
                <w:sz w:val="20"/>
                <w:lang w:val="en-US"/>
              </w:rPr>
              <w:t>*</w:t>
            </w:r>
          </w:p>
        </w:tc>
      </w:tr>
      <w:tr w:rsidR="00976835" w:rsidRPr="00976835" w:rsidTr="005550D5">
        <w:tc>
          <w:tcPr>
            <w:tcW w:w="1498" w:type="pct"/>
            <w:tcBorders>
              <w:right w:val="nil"/>
            </w:tcBorders>
            <w:shd w:val="clear" w:color="auto" w:fill="auto"/>
            <w:vAlign w:val="center"/>
          </w:tcPr>
          <w:p w:rsidR="00976835" w:rsidRPr="00976835" w:rsidRDefault="00976835" w:rsidP="005550D5">
            <w:pPr>
              <w:jc w:val="left"/>
              <w:rPr>
                <w:rFonts w:ascii="Arial Narrow" w:hAnsi="Arial Narrow"/>
                <w:sz w:val="20"/>
              </w:rPr>
            </w:pPr>
            <w:r w:rsidRPr="00976835">
              <w:rPr>
                <w:rFonts w:ascii="Arial Narrow" w:hAnsi="Arial Narrow"/>
                <w:sz w:val="20"/>
              </w:rPr>
              <w:t>Secondary outcomes</w:t>
            </w:r>
          </w:p>
        </w:tc>
        <w:tc>
          <w:tcPr>
            <w:tcW w:w="1167" w:type="pct"/>
            <w:tcBorders>
              <w:left w:val="nil"/>
              <w:right w:val="nil"/>
            </w:tcBorders>
            <w:shd w:val="clear" w:color="auto" w:fill="auto"/>
            <w:vAlign w:val="center"/>
          </w:tcPr>
          <w:p w:rsidR="00976835" w:rsidRPr="00976835" w:rsidRDefault="00976835" w:rsidP="005550D5">
            <w:pPr>
              <w:keepNext/>
              <w:jc w:val="center"/>
              <w:rPr>
                <w:rFonts w:ascii="Arial Narrow" w:hAnsi="Arial Narrow"/>
                <w:sz w:val="20"/>
                <w:lang w:val="en-US"/>
              </w:rPr>
            </w:pPr>
          </w:p>
        </w:tc>
        <w:tc>
          <w:tcPr>
            <w:tcW w:w="1167" w:type="pct"/>
            <w:tcBorders>
              <w:left w:val="nil"/>
              <w:right w:val="nil"/>
            </w:tcBorders>
            <w:shd w:val="clear" w:color="auto" w:fill="auto"/>
            <w:vAlign w:val="center"/>
          </w:tcPr>
          <w:p w:rsidR="00976835" w:rsidRPr="00976835" w:rsidRDefault="00976835" w:rsidP="005550D5">
            <w:pPr>
              <w:keepNext/>
              <w:jc w:val="center"/>
              <w:rPr>
                <w:rFonts w:ascii="Arial Narrow" w:hAnsi="Arial Narrow"/>
                <w:sz w:val="20"/>
                <w:lang w:val="en-US"/>
              </w:rPr>
            </w:pPr>
          </w:p>
        </w:tc>
        <w:tc>
          <w:tcPr>
            <w:tcW w:w="1167" w:type="pct"/>
            <w:tcBorders>
              <w:left w:val="nil"/>
              <w:right w:val="single" w:sz="4" w:space="0" w:color="auto"/>
            </w:tcBorders>
            <w:shd w:val="clear" w:color="auto" w:fill="auto"/>
            <w:vAlign w:val="center"/>
          </w:tcPr>
          <w:p w:rsidR="00976835" w:rsidRPr="00976835" w:rsidRDefault="00976835" w:rsidP="005550D5">
            <w:pPr>
              <w:keepNext/>
              <w:jc w:val="center"/>
              <w:rPr>
                <w:rFonts w:ascii="Arial Narrow" w:hAnsi="Arial Narrow"/>
                <w:sz w:val="20"/>
                <w:lang w:val="en-US"/>
              </w:rPr>
            </w:pPr>
          </w:p>
        </w:tc>
      </w:tr>
      <w:tr w:rsidR="00976835" w:rsidRPr="00976835" w:rsidTr="005550D5">
        <w:tc>
          <w:tcPr>
            <w:tcW w:w="1498" w:type="pct"/>
            <w:shd w:val="clear" w:color="auto" w:fill="auto"/>
            <w:vAlign w:val="center"/>
          </w:tcPr>
          <w:p w:rsidR="00976835" w:rsidRPr="00976835" w:rsidRDefault="00976835" w:rsidP="005550D5">
            <w:pPr>
              <w:ind w:right="-108"/>
              <w:jc w:val="left"/>
              <w:rPr>
                <w:rFonts w:ascii="Arial Narrow" w:hAnsi="Arial Narrow"/>
                <w:sz w:val="20"/>
              </w:rPr>
            </w:pPr>
            <w:r w:rsidRPr="00976835">
              <w:rPr>
                <w:rFonts w:ascii="Arial Narrow" w:hAnsi="Arial Narrow"/>
                <w:sz w:val="20"/>
              </w:rPr>
              <w:t>Ongoing pregnancy (PP)</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13/70 (18.6)</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14/83 (16.9)</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1.70% (-10.5%, 13.9%)</w:t>
            </w:r>
          </w:p>
        </w:tc>
      </w:tr>
      <w:tr w:rsidR="00976835" w:rsidRPr="00976835" w:rsidTr="005550D5">
        <w:tc>
          <w:tcPr>
            <w:tcW w:w="1498" w:type="pct"/>
            <w:shd w:val="clear" w:color="auto" w:fill="auto"/>
            <w:vAlign w:val="center"/>
          </w:tcPr>
          <w:p w:rsidR="00976835" w:rsidRPr="00976835" w:rsidRDefault="00976835" w:rsidP="005550D5">
            <w:pPr>
              <w:ind w:right="-108"/>
              <w:jc w:val="left"/>
              <w:rPr>
                <w:rFonts w:ascii="Arial Narrow" w:hAnsi="Arial Narrow"/>
                <w:sz w:val="20"/>
              </w:rPr>
            </w:pPr>
            <w:r w:rsidRPr="00976835">
              <w:rPr>
                <w:rFonts w:ascii="Arial Narrow" w:hAnsi="Arial Narrow"/>
                <w:sz w:val="20"/>
              </w:rPr>
              <w:t>Ongoing pregnancy (ITT)</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13/91 (14.3)</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16/93 (17.2)</w:t>
            </w:r>
          </w:p>
        </w:tc>
        <w:tc>
          <w:tcPr>
            <w:tcW w:w="1167" w:type="pct"/>
            <w:shd w:val="clear" w:color="auto" w:fill="auto"/>
            <w:vAlign w:val="center"/>
          </w:tcPr>
          <w:p w:rsidR="00976835" w:rsidRPr="00976835" w:rsidRDefault="007D5588" w:rsidP="005550D5">
            <w:pPr>
              <w:jc w:val="center"/>
              <w:rPr>
                <w:rFonts w:ascii="Arial Narrow" w:hAnsi="Arial Narrow"/>
                <w:sz w:val="20"/>
              </w:rPr>
            </w:pPr>
            <w:r>
              <w:rPr>
                <w:rFonts w:ascii="Arial Narrow" w:hAnsi="Arial Narrow"/>
                <w:sz w:val="20"/>
              </w:rPr>
              <w:t>-</w:t>
            </w:r>
            <w:r w:rsidR="00976835" w:rsidRPr="00976835">
              <w:rPr>
                <w:rFonts w:ascii="Arial Narrow" w:hAnsi="Arial Narrow"/>
                <w:sz w:val="20"/>
              </w:rPr>
              <w:t>2.92% (-13.4%, 7.59%)</w:t>
            </w:r>
          </w:p>
        </w:tc>
      </w:tr>
      <w:tr w:rsidR="00976835" w:rsidRPr="00976835" w:rsidTr="005550D5">
        <w:tc>
          <w:tcPr>
            <w:tcW w:w="1498" w:type="pct"/>
            <w:shd w:val="clear" w:color="auto" w:fill="auto"/>
            <w:vAlign w:val="center"/>
          </w:tcPr>
          <w:p w:rsidR="00976835" w:rsidRPr="00976835" w:rsidRDefault="00976835" w:rsidP="005550D5">
            <w:pPr>
              <w:ind w:right="-108"/>
              <w:jc w:val="left"/>
              <w:rPr>
                <w:rFonts w:ascii="Arial Narrow" w:hAnsi="Arial Narrow"/>
                <w:sz w:val="20"/>
              </w:rPr>
            </w:pPr>
            <w:r w:rsidRPr="00976835">
              <w:rPr>
                <w:rFonts w:ascii="Arial Narrow" w:hAnsi="Arial Narrow"/>
                <w:sz w:val="20"/>
              </w:rPr>
              <w:t>Live births (ITT)</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13/91 (14.3)</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16/93 (17.2)</w:t>
            </w:r>
            <w:r w:rsidRPr="00976835">
              <w:rPr>
                <w:rFonts w:ascii="Arial Narrow" w:hAnsi="Arial Narrow"/>
                <w:sz w:val="20"/>
                <w:vertAlign w:val="superscript"/>
              </w:rPr>
              <w:t>a</w:t>
            </w:r>
          </w:p>
        </w:tc>
        <w:tc>
          <w:tcPr>
            <w:tcW w:w="1167" w:type="pct"/>
            <w:shd w:val="clear" w:color="auto" w:fill="auto"/>
            <w:vAlign w:val="center"/>
          </w:tcPr>
          <w:p w:rsidR="00976835" w:rsidRPr="00976835" w:rsidRDefault="00976835" w:rsidP="005550D5">
            <w:pPr>
              <w:jc w:val="center"/>
              <w:rPr>
                <w:rFonts w:ascii="Arial Narrow" w:hAnsi="Arial Narrow"/>
                <w:sz w:val="20"/>
              </w:rPr>
            </w:pPr>
            <w:r w:rsidRPr="00976835">
              <w:rPr>
                <w:rFonts w:ascii="Arial Narrow" w:hAnsi="Arial Narrow"/>
                <w:sz w:val="20"/>
              </w:rPr>
              <w:t>-2.92% (-13.4%, 7.59%)</w:t>
            </w:r>
          </w:p>
        </w:tc>
      </w:tr>
    </w:tbl>
    <w:p w:rsidR="00976835" w:rsidRPr="00976835" w:rsidRDefault="00976835" w:rsidP="00976835">
      <w:pPr>
        <w:pStyle w:val="TableFooter"/>
        <w:ind w:firstLine="720"/>
      </w:pPr>
      <w:r w:rsidRPr="00976835">
        <w:t xml:space="preserve">Source: Table B-19 p50, text p51 of the submission; CS002 CSR Table 9-1 p73, Table 9-9 p81. </w:t>
      </w:r>
    </w:p>
    <w:p w:rsidR="00976835" w:rsidRPr="00976835" w:rsidRDefault="00976835" w:rsidP="00976835">
      <w:pPr>
        <w:pStyle w:val="TableFooter"/>
        <w:ind w:left="720"/>
      </w:pPr>
      <w:r w:rsidRPr="00976835">
        <w:t>Abbreviations: CI = confidence interval; HP-hMG = highly purified human menopausal gonadotrophin; ITT = intention-to-treat; PP = per protocol.</w:t>
      </w:r>
    </w:p>
    <w:p w:rsidR="00976835" w:rsidRDefault="00976835" w:rsidP="00976835">
      <w:pPr>
        <w:pStyle w:val="TableFooter"/>
        <w:ind w:left="720"/>
      </w:pPr>
      <w:r w:rsidRPr="00976835">
        <w:rPr>
          <w:vertAlign w:val="superscript"/>
        </w:rPr>
        <w:t>a</w:t>
      </w:r>
      <w:r w:rsidRPr="00976835">
        <w:t xml:space="preserve"> The CSR report Table 11-3 p116 there were 18 live-born children in the follitropin alfa group. Two subjects in the trial had multiple pregnancies which resulted in twins. There were no twin pregnancies in the HP-hMG group.</w:t>
      </w:r>
    </w:p>
    <w:p w:rsidR="007C073C" w:rsidRPr="00A36558" w:rsidRDefault="007C073C" w:rsidP="00976835">
      <w:pPr>
        <w:pStyle w:val="TableFooter"/>
        <w:ind w:left="720"/>
        <w:rPr>
          <w:i/>
        </w:rPr>
      </w:pPr>
      <w:r w:rsidRPr="00A36558">
        <w:rPr>
          <w:i/>
        </w:rPr>
        <w:t>* A non-inferiority limit was NOT nominated for either, 10% margin previously accepted by PBAC</w:t>
      </w:r>
    </w:p>
    <w:p w:rsidR="0065726A" w:rsidRPr="0065726A" w:rsidRDefault="0065726A">
      <w:pPr>
        <w:widowControl/>
        <w:jc w:val="left"/>
        <w:rPr>
          <w:sz w:val="16"/>
          <w:szCs w:val="16"/>
        </w:rPr>
      </w:pPr>
    </w:p>
    <w:p w:rsidR="009429BF" w:rsidRPr="00C72DB6" w:rsidRDefault="007436AA" w:rsidP="00C72DB6">
      <w:pPr>
        <w:pStyle w:val="ListParagraph"/>
        <w:widowControl/>
        <w:numPr>
          <w:ilvl w:val="1"/>
          <w:numId w:val="1"/>
        </w:numPr>
      </w:pPr>
      <w:r w:rsidRPr="00C72DB6">
        <w:rPr>
          <w:szCs w:val="22"/>
        </w:rPr>
        <w:t>The PSCR (p.1) stated that the trial was not powered to determine a difference between the study groups on th</w:t>
      </w:r>
      <w:r w:rsidR="0017448E" w:rsidRPr="00C72DB6">
        <w:rPr>
          <w:szCs w:val="22"/>
        </w:rPr>
        <w:t>e</w:t>
      </w:r>
      <w:r w:rsidRPr="00C72DB6">
        <w:rPr>
          <w:szCs w:val="22"/>
        </w:rPr>
        <w:t xml:space="preserve"> outcome</w:t>
      </w:r>
      <w:r w:rsidR="0017448E" w:rsidRPr="00C72DB6">
        <w:rPr>
          <w:szCs w:val="22"/>
        </w:rPr>
        <w:t xml:space="preserve"> of live births</w:t>
      </w:r>
      <w:r w:rsidRPr="00C72DB6">
        <w:rPr>
          <w:szCs w:val="22"/>
        </w:rPr>
        <w:t>. The PSCR also stated that against the main comparator, the outer limits of -10.5% (PP population; live birth rate and ongoing pregnancy rate) and -13.4% (ITT population; ongoing pregnancy rate) for the lower 95% confidence limit were reasonable and consistent with results on for comparisons on other clinically relevant and adequately powered outcomes.</w:t>
      </w:r>
    </w:p>
    <w:p w:rsidR="00976835" w:rsidRPr="0065726A" w:rsidRDefault="00976835" w:rsidP="00576E51">
      <w:pPr>
        <w:ind w:left="720" w:hanging="720"/>
        <w:rPr>
          <w:sz w:val="16"/>
          <w:szCs w:val="16"/>
        </w:rPr>
      </w:pPr>
    </w:p>
    <w:p w:rsidR="00976835" w:rsidRPr="00C72DB6" w:rsidRDefault="00976835" w:rsidP="00E47950">
      <w:pPr>
        <w:pStyle w:val="Heading2"/>
      </w:pPr>
      <w:bookmarkStart w:id="10" w:name="_Toc440987231"/>
      <w:r w:rsidRPr="00C72DB6">
        <w:t>Comparative harms</w:t>
      </w:r>
      <w:bookmarkEnd w:id="10"/>
    </w:p>
    <w:p w:rsidR="00976835" w:rsidRPr="00C72DB6" w:rsidRDefault="00976835" w:rsidP="00976835">
      <w:pPr>
        <w:ind w:left="720" w:hanging="720"/>
        <w:rPr>
          <w:i/>
          <w:sz w:val="12"/>
          <w:szCs w:val="12"/>
        </w:rPr>
      </w:pPr>
    </w:p>
    <w:p w:rsidR="007C073C" w:rsidRPr="00C72DB6" w:rsidRDefault="00976835" w:rsidP="00C72DB6">
      <w:pPr>
        <w:pStyle w:val="ListParagraph"/>
        <w:widowControl/>
        <w:numPr>
          <w:ilvl w:val="1"/>
          <w:numId w:val="1"/>
        </w:numPr>
      </w:pPr>
      <w:r w:rsidRPr="00C72DB6">
        <w:t>The comparison of safety outcomes for HP-hMG and follitropin alfa were based on the direct randomised trial.</w:t>
      </w:r>
      <w:r w:rsidRPr="00C72DB6">
        <w:rPr>
          <w:color w:val="3366FF"/>
        </w:rPr>
        <w:t xml:space="preserve"> </w:t>
      </w:r>
      <w:r w:rsidRPr="00C72DB6">
        <w:t>The proportion of patients experiencing AEs was similar for the two treatment groups (HP-hMG 41% vs follitropin alfa 40%). In both arms 22% of patients experienced an AE that was likely to be related to study treatment. OHSS was reported for four subjects; one in the HP-hMG group (mild grade 1) and three in the follitropin alfa group (one each of mild grade 1, mild grade 2, and moderate grade 3).</w:t>
      </w:r>
    </w:p>
    <w:p w:rsidR="00976835" w:rsidRPr="00C72DB6" w:rsidRDefault="00976835" w:rsidP="007C073C">
      <w:pPr>
        <w:widowControl/>
        <w:rPr>
          <w:sz w:val="12"/>
          <w:szCs w:val="12"/>
        </w:rPr>
      </w:pPr>
    </w:p>
    <w:p w:rsidR="00976835" w:rsidRPr="00C72DB6" w:rsidRDefault="00976835" w:rsidP="00C72DB6">
      <w:pPr>
        <w:pStyle w:val="ListParagraph"/>
        <w:widowControl/>
        <w:numPr>
          <w:ilvl w:val="1"/>
          <w:numId w:val="1"/>
        </w:numPr>
      </w:pPr>
      <w:r w:rsidRPr="00C72DB6">
        <w:t xml:space="preserve">Amongst the infants born after delivery, there was one SAE in the HP-hMG group (meconium in amniotic fluid) and three in the follitropin alfa group (fetal distress syndrome, premature labour, infection) that resulted in admission of the infant to a neonatal unit. All infants recovered. </w:t>
      </w:r>
    </w:p>
    <w:p w:rsidR="00976835" w:rsidRPr="0065726A" w:rsidRDefault="00976835" w:rsidP="00976835">
      <w:pPr>
        <w:pStyle w:val="ListParagraph"/>
        <w:ind w:left="0"/>
        <w:rPr>
          <w:sz w:val="16"/>
          <w:szCs w:val="16"/>
        </w:rPr>
      </w:pPr>
    </w:p>
    <w:p w:rsidR="00976835" w:rsidRPr="00C72DB6" w:rsidRDefault="00976835" w:rsidP="00E47950">
      <w:pPr>
        <w:pStyle w:val="Heading2"/>
        <w:rPr>
          <w:szCs w:val="22"/>
        </w:rPr>
      </w:pPr>
      <w:bookmarkStart w:id="11" w:name="_Toc440987232"/>
      <w:r w:rsidRPr="00C72DB6">
        <w:t>Benefits/harms</w:t>
      </w:r>
      <w:bookmarkEnd w:id="11"/>
    </w:p>
    <w:p w:rsidR="00976835" w:rsidRPr="0065726A" w:rsidRDefault="00976835" w:rsidP="00976835">
      <w:pPr>
        <w:rPr>
          <w:sz w:val="16"/>
          <w:szCs w:val="16"/>
        </w:rPr>
      </w:pPr>
    </w:p>
    <w:p w:rsidR="00976835" w:rsidRPr="00976835" w:rsidRDefault="00976835" w:rsidP="00C72DB6">
      <w:pPr>
        <w:pStyle w:val="ListParagraph"/>
        <w:widowControl/>
        <w:numPr>
          <w:ilvl w:val="1"/>
          <w:numId w:val="1"/>
        </w:numPr>
        <w:rPr>
          <w:szCs w:val="22"/>
        </w:rPr>
      </w:pPr>
      <w:r w:rsidRPr="00976835">
        <w:rPr>
          <w:szCs w:val="22"/>
        </w:rPr>
        <w:t xml:space="preserve">A summary of the comparative benefits and harms for HP-hMG versus follitropin alfa is presented in the table below. </w:t>
      </w:r>
    </w:p>
    <w:p w:rsidR="00976835" w:rsidRPr="0065726A" w:rsidRDefault="00976835" w:rsidP="00976835">
      <w:pPr>
        <w:rPr>
          <w:sz w:val="12"/>
          <w:szCs w:val="12"/>
        </w:rPr>
      </w:pPr>
    </w:p>
    <w:p w:rsidR="0046228E" w:rsidRDefault="0046228E">
      <w:pPr>
        <w:widowControl/>
        <w:jc w:val="left"/>
        <w:rPr>
          <w:rStyle w:val="CommentReference"/>
        </w:rPr>
      </w:pPr>
      <w:r>
        <w:rPr>
          <w:rStyle w:val="CommentReference"/>
        </w:rPr>
        <w:br w:type="page"/>
      </w:r>
    </w:p>
    <w:p w:rsidR="00804B08" w:rsidRDefault="00804B08" w:rsidP="00976835">
      <w:pPr>
        <w:ind w:firstLine="720"/>
        <w:rPr>
          <w:rStyle w:val="CommentReference"/>
        </w:rPr>
      </w:pPr>
    </w:p>
    <w:p w:rsidR="00976835" w:rsidRPr="00976835" w:rsidRDefault="00976835" w:rsidP="00976835">
      <w:pPr>
        <w:ind w:firstLine="720"/>
        <w:rPr>
          <w:rStyle w:val="CommentReference"/>
        </w:rPr>
      </w:pPr>
      <w:r w:rsidRPr="00976835">
        <w:rPr>
          <w:rStyle w:val="CommentReference"/>
        </w:rPr>
        <w:t>Table 5: Summary of comparative benefits and harms for HP-hMG and follitropin alfa</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Summary of comparative benefits and harms for HP-hMG and follitropin alfa"/>
      </w:tblPr>
      <w:tblGrid>
        <w:gridCol w:w="1158"/>
        <w:gridCol w:w="14"/>
        <w:gridCol w:w="7"/>
        <w:gridCol w:w="1129"/>
        <w:gridCol w:w="12"/>
        <w:gridCol w:w="1284"/>
        <w:gridCol w:w="1310"/>
        <w:gridCol w:w="1113"/>
        <w:gridCol w:w="1241"/>
        <w:gridCol w:w="1270"/>
      </w:tblGrid>
      <w:tr w:rsidR="00976835" w:rsidRPr="00976835" w:rsidTr="00CD1AC9">
        <w:trPr>
          <w:trHeight w:val="150"/>
          <w:tblHeader/>
        </w:trPr>
        <w:tc>
          <w:tcPr>
            <w:tcW w:w="678" w:type="pct"/>
            <w:vMerge w:val="restart"/>
            <w:shd w:val="clear" w:color="auto" w:fill="auto"/>
            <w:vAlign w:val="center"/>
          </w:tcPr>
          <w:p w:rsidR="00976835" w:rsidRPr="00976835" w:rsidRDefault="00976835" w:rsidP="0065726A">
            <w:pPr>
              <w:rPr>
                <w:rFonts w:ascii="Arial Narrow" w:hAnsi="Arial Narrow"/>
                <w:b/>
                <w:color w:val="000000"/>
                <w:sz w:val="20"/>
                <w:szCs w:val="18"/>
              </w:rPr>
            </w:pPr>
          </w:p>
        </w:tc>
        <w:tc>
          <w:tcPr>
            <w:tcW w:w="673" w:type="pct"/>
            <w:gridSpan w:val="3"/>
            <w:vMerge w:val="restar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HP-hMG</w:t>
            </w:r>
          </w:p>
        </w:tc>
        <w:tc>
          <w:tcPr>
            <w:tcW w:w="759" w:type="pct"/>
            <w:gridSpan w:val="2"/>
            <w:vMerge w:val="restar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Follitropin alfa</w:t>
            </w:r>
          </w:p>
        </w:tc>
        <w:tc>
          <w:tcPr>
            <w:tcW w:w="767" w:type="pct"/>
            <w:vMerge w:val="restart"/>
            <w:vAlign w:val="center"/>
          </w:tcPr>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RR</w:t>
            </w:r>
          </w:p>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(95% CI)</w:t>
            </w:r>
          </w:p>
        </w:tc>
        <w:tc>
          <w:tcPr>
            <w:tcW w:w="1379" w:type="pct"/>
            <w:gridSpan w:val="2"/>
            <w:vAlign w:val="center"/>
          </w:tcPr>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 xml:space="preserve">Event rate/100 patients* </w:t>
            </w:r>
          </w:p>
        </w:tc>
        <w:tc>
          <w:tcPr>
            <w:tcW w:w="744" w:type="pct"/>
            <w:vMerge w:val="restart"/>
            <w:vAlign w:val="center"/>
          </w:tcPr>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RD</w:t>
            </w:r>
          </w:p>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(95% CI)</w:t>
            </w:r>
          </w:p>
        </w:tc>
      </w:tr>
      <w:tr w:rsidR="00976835" w:rsidRPr="00976835" w:rsidTr="00CD1AC9">
        <w:trPr>
          <w:trHeight w:val="315"/>
          <w:tblHeader/>
        </w:trPr>
        <w:tc>
          <w:tcPr>
            <w:tcW w:w="678" w:type="pct"/>
            <w:vMerge/>
            <w:shd w:val="clear" w:color="auto" w:fill="auto"/>
            <w:vAlign w:val="center"/>
          </w:tcPr>
          <w:p w:rsidR="00976835" w:rsidRPr="00976835" w:rsidRDefault="00976835" w:rsidP="0065726A">
            <w:pPr>
              <w:rPr>
                <w:rFonts w:ascii="Arial Narrow" w:hAnsi="Arial Narrow"/>
                <w:b/>
                <w:color w:val="000000"/>
                <w:sz w:val="20"/>
                <w:szCs w:val="18"/>
              </w:rPr>
            </w:pPr>
          </w:p>
        </w:tc>
        <w:tc>
          <w:tcPr>
            <w:tcW w:w="673" w:type="pct"/>
            <w:gridSpan w:val="3"/>
            <w:vMerge/>
            <w:vAlign w:val="center"/>
          </w:tcPr>
          <w:p w:rsidR="00976835" w:rsidRPr="00976835" w:rsidRDefault="00976835" w:rsidP="0065726A">
            <w:pPr>
              <w:jc w:val="center"/>
              <w:rPr>
                <w:rFonts w:ascii="Arial Narrow" w:hAnsi="Arial Narrow"/>
                <w:b/>
                <w:color w:val="000000"/>
                <w:sz w:val="20"/>
                <w:szCs w:val="18"/>
              </w:rPr>
            </w:pPr>
          </w:p>
        </w:tc>
        <w:tc>
          <w:tcPr>
            <w:tcW w:w="759" w:type="pct"/>
            <w:gridSpan w:val="2"/>
            <w:vMerge/>
            <w:vAlign w:val="center"/>
          </w:tcPr>
          <w:p w:rsidR="00976835" w:rsidRPr="00976835" w:rsidRDefault="00976835" w:rsidP="0065726A">
            <w:pPr>
              <w:jc w:val="center"/>
              <w:rPr>
                <w:rFonts w:ascii="Arial Narrow" w:hAnsi="Arial Narrow"/>
                <w:b/>
                <w:color w:val="000000"/>
                <w:sz w:val="20"/>
                <w:szCs w:val="18"/>
              </w:rPr>
            </w:pPr>
          </w:p>
        </w:tc>
        <w:tc>
          <w:tcPr>
            <w:tcW w:w="767" w:type="pct"/>
            <w:vMerge/>
            <w:vAlign w:val="center"/>
          </w:tcPr>
          <w:p w:rsidR="00976835" w:rsidRPr="00976835" w:rsidRDefault="00976835" w:rsidP="0065726A">
            <w:pPr>
              <w:jc w:val="center"/>
              <w:rPr>
                <w:rFonts w:ascii="Arial Narrow" w:hAnsi="Arial Narrow"/>
                <w:b/>
                <w:color w:val="000000"/>
                <w:sz w:val="20"/>
                <w:szCs w:val="18"/>
              </w:rPr>
            </w:pPr>
          </w:p>
        </w:tc>
        <w:tc>
          <w:tcPr>
            <w:tcW w:w="652" w:type="pc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HP-hMG</w:t>
            </w:r>
          </w:p>
        </w:tc>
        <w:tc>
          <w:tcPr>
            <w:tcW w:w="727" w:type="pc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Follitropin alfa</w:t>
            </w:r>
          </w:p>
        </w:tc>
        <w:tc>
          <w:tcPr>
            <w:tcW w:w="744" w:type="pct"/>
            <w:vMerge/>
            <w:vAlign w:val="center"/>
          </w:tcPr>
          <w:p w:rsidR="00976835" w:rsidRPr="00976835" w:rsidRDefault="00976835" w:rsidP="0065726A">
            <w:pPr>
              <w:jc w:val="center"/>
              <w:rPr>
                <w:rFonts w:ascii="Arial Narrow" w:hAnsi="Arial Narrow"/>
                <w:b/>
                <w:color w:val="000000"/>
                <w:sz w:val="20"/>
                <w:szCs w:val="18"/>
              </w:rPr>
            </w:pPr>
          </w:p>
        </w:tc>
      </w:tr>
      <w:tr w:rsidR="00976835" w:rsidRPr="00976835" w:rsidTr="005550D5">
        <w:tc>
          <w:tcPr>
            <w:tcW w:w="5000" w:type="pct"/>
            <w:gridSpan w:val="10"/>
            <w:tcBorders>
              <w:bottom w:val="double" w:sz="4" w:space="0" w:color="auto"/>
            </w:tcBorders>
            <w:shd w:val="clear" w:color="auto" w:fill="auto"/>
            <w:vAlign w:val="center"/>
          </w:tcPr>
          <w:p w:rsidR="00976835" w:rsidRPr="00976835" w:rsidRDefault="00976835" w:rsidP="0065726A">
            <w:pPr>
              <w:rPr>
                <w:rFonts w:ascii="Arial Narrow" w:hAnsi="Arial Narrow"/>
                <w:b/>
                <w:color w:val="000000"/>
                <w:sz w:val="20"/>
                <w:szCs w:val="18"/>
              </w:rPr>
            </w:pPr>
            <w:r w:rsidRPr="00976835">
              <w:rPr>
                <w:rFonts w:ascii="Arial Narrow" w:hAnsi="Arial Narrow"/>
                <w:b/>
                <w:color w:val="000000"/>
                <w:sz w:val="20"/>
                <w:szCs w:val="18"/>
              </w:rPr>
              <w:t>Benefits</w:t>
            </w:r>
          </w:p>
        </w:tc>
      </w:tr>
      <w:tr w:rsidR="00976835" w:rsidRPr="00976835" w:rsidTr="005550D5">
        <w:tc>
          <w:tcPr>
            <w:tcW w:w="5000" w:type="pct"/>
            <w:gridSpan w:val="10"/>
            <w:tcBorders>
              <w:top w:val="double" w:sz="4" w:space="0" w:color="auto"/>
              <w:bottom w:val="single" w:sz="4" w:space="0" w:color="auto"/>
            </w:tcBorders>
            <w:shd w:val="clear" w:color="auto" w:fill="auto"/>
            <w:vAlign w:val="center"/>
          </w:tcPr>
          <w:p w:rsidR="00976835" w:rsidRPr="00976835" w:rsidRDefault="00976835" w:rsidP="0065726A">
            <w:pPr>
              <w:rPr>
                <w:rFonts w:ascii="Arial Narrow" w:hAnsi="Arial Narrow"/>
                <w:b/>
                <w:color w:val="000000"/>
                <w:sz w:val="20"/>
                <w:szCs w:val="18"/>
              </w:rPr>
            </w:pPr>
            <w:r w:rsidRPr="00976835">
              <w:rPr>
                <w:rFonts w:ascii="Arial Narrow" w:hAnsi="Arial Narrow"/>
                <w:b/>
                <w:color w:val="000000"/>
                <w:sz w:val="20"/>
                <w:szCs w:val="18"/>
              </w:rPr>
              <w:t>Ovulation rate</w:t>
            </w:r>
          </w:p>
        </w:tc>
      </w:tr>
      <w:tr w:rsidR="00976835" w:rsidRPr="00976835" w:rsidTr="0065726A">
        <w:tc>
          <w:tcPr>
            <w:tcW w:w="678" w:type="pct"/>
            <w:tcBorders>
              <w:bottom w:val="single" w:sz="4" w:space="0" w:color="auto"/>
            </w:tcBorders>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color w:val="000000"/>
                <w:sz w:val="20"/>
                <w:szCs w:val="18"/>
              </w:rPr>
              <w:t>ITT</w:t>
            </w:r>
          </w:p>
        </w:tc>
        <w:tc>
          <w:tcPr>
            <w:tcW w:w="673" w:type="pct"/>
            <w:gridSpan w:val="3"/>
            <w:tcBorders>
              <w:bottom w:val="single" w:sz="4" w:space="0" w:color="auto"/>
            </w:tcBorders>
            <w:vAlign w:val="center"/>
          </w:tcPr>
          <w:p w:rsidR="00976835" w:rsidRPr="00976835" w:rsidRDefault="00976835" w:rsidP="0065726A">
            <w:pPr>
              <w:keepNext/>
              <w:jc w:val="center"/>
              <w:rPr>
                <w:rFonts w:ascii="Arial Narrow" w:hAnsi="Arial Narrow"/>
                <w:sz w:val="20"/>
              </w:rPr>
            </w:pPr>
            <w:r w:rsidRPr="00976835">
              <w:rPr>
                <w:rFonts w:ascii="Arial Narrow" w:hAnsi="Arial Narrow"/>
                <w:sz w:val="20"/>
              </w:rPr>
              <w:t>76/91</w:t>
            </w:r>
          </w:p>
        </w:tc>
        <w:tc>
          <w:tcPr>
            <w:tcW w:w="759" w:type="pct"/>
            <w:gridSpan w:val="2"/>
            <w:tcBorders>
              <w:bottom w:val="single" w:sz="4" w:space="0" w:color="auto"/>
            </w:tcBorders>
            <w:vAlign w:val="center"/>
          </w:tcPr>
          <w:p w:rsidR="00976835" w:rsidRPr="00976835" w:rsidRDefault="00976835" w:rsidP="0065726A">
            <w:pPr>
              <w:keepNext/>
              <w:jc w:val="center"/>
              <w:rPr>
                <w:rFonts w:ascii="Arial Narrow" w:hAnsi="Arial Narrow"/>
                <w:sz w:val="20"/>
              </w:rPr>
            </w:pPr>
            <w:r w:rsidRPr="00976835">
              <w:rPr>
                <w:rFonts w:ascii="Arial Narrow" w:hAnsi="Arial Narrow"/>
                <w:sz w:val="20"/>
              </w:rPr>
              <w:t>79/93</w:t>
            </w:r>
          </w:p>
        </w:tc>
        <w:tc>
          <w:tcPr>
            <w:tcW w:w="767"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0.98 </w:t>
            </w:r>
            <w:r w:rsidRPr="00976835">
              <w:rPr>
                <w:rFonts w:ascii="Arial Narrow" w:hAnsi="Arial Narrow"/>
                <w:color w:val="000000"/>
                <w:sz w:val="20"/>
                <w:szCs w:val="18"/>
              </w:rPr>
              <w:br/>
              <w:t>(0.87, 1.11)</w:t>
            </w:r>
          </w:p>
        </w:tc>
        <w:tc>
          <w:tcPr>
            <w:tcW w:w="652"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sz w:val="20"/>
              </w:rPr>
              <w:t>83.5</w:t>
            </w:r>
          </w:p>
        </w:tc>
        <w:tc>
          <w:tcPr>
            <w:tcW w:w="727"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sz w:val="20"/>
              </w:rPr>
              <w:t>84.9</w:t>
            </w:r>
          </w:p>
        </w:tc>
        <w:tc>
          <w:tcPr>
            <w:tcW w:w="744"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-1.43% </w:t>
            </w:r>
            <w:r w:rsidRPr="00976835">
              <w:rPr>
                <w:rFonts w:ascii="Arial Narrow" w:hAnsi="Arial Narrow"/>
                <w:color w:val="000000"/>
                <w:sz w:val="20"/>
                <w:szCs w:val="18"/>
              </w:rPr>
              <w:br/>
              <w:t>(-12.0%, 9.1%)</w:t>
            </w:r>
          </w:p>
        </w:tc>
      </w:tr>
      <w:tr w:rsidR="00976835" w:rsidRPr="00976835" w:rsidTr="005550D5">
        <w:tc>
          <w:tcPr>
            <w:tcW w:w="5000" w:type="pct"/>
            <w:gridSpan w:val="10"/>
            <w:tcBorders>
              <w:top w:val="double" w:sz="4" w:space="0" w:color="auto"/>
              <w:bottom w:val="single" w:sz="4" w:space="0" w:color="auto"/>
            </w:tcBorders>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b/>
                <w:color w:val="000000"/>
                <w:sz w:val="20"/>
                <w:szCs w:val="18"/>
              </w:rPr>
              <w:t xml:space="preserve">Ongoing pregnancy </w:t>
            </w:r>
          </w:p>
        </w:tc>
      </w:tr>
      <w:tr w:rsidR="00976835" w:rsidRPr="00976835" w:rsidTr="0065726A">
        <w:tc>
          <w:tcPr>
            <w:tcW w:w="678" w:type="pct"/>
            <w:tcBorders>
              <w:bottom w:val="single" w:sz="4" w:space="0" w:color="auto"/>
            </w:tcBorders>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color w:val="000000"/>
                <w:sz w:val="20"/>
                <w:szCs w:val="18"/>
              </w:rPr>
              <w:t>ITT</w:t>
            </w:r>
          </w:p>
        </w:tc>
        <w:tc>
          <w:tcPr>
            <w:tcW w:w="673" w:type="pct"/>
            <w:gridSpan w:val="3"/>
            <w:tcBorders>
              <w:bottom w:val="single" w:sz="4" w:space="0" w:color="auto"/>
            </w:tcBorders>
            <w:vAlign w:val="center"/>
          </w:tcPr>
          <w:p w:rsidR="00976835" w:rsidRPr="00976835" w:rsidRDefault="00976835" w:rsidP="0065726A">
            <w:pPr>
              <w:keepNext/>
              <w:jc w:val="center"/>
              <w:rPr>
                <w:rFonts w:ascii="Arial Narrow" w:hAnsi="Arial Narrow"/>
                <w:sz w:val="20"/>
              </w:rPr>
            </w:pPr>
            <w:r w:rsidRPr="00976835">
              <w:rPr>
                <w:rFonts w:ascii="Arial Narrow" w:hAnsi="Arial Narrow"/>
                <w:sz w:val="20"/>
              </w:rPr>
              <w:t>13/91</w:t>
            </w:r>
          </w:p>
        </w:tc>
        <w:tc>
          <w:tcPr>
            <w:tcW w:w="759" w:type="pct"/>
            <w:gridSpan w:val="2"/>
            <w:tcBorders>
              <w:bottom w:val="single" w:sz="4" w:space="0" w:color="auto"/>
            </w:tcBorders>
            <w:vAlign w:val="center"/>
          </w:tcPr>
          <w:p w:rsidR="00976835" w:rsidRPr="00976835" w:rsidRDefault="00976835" w:rsidP="0065726A">
            <w:pPr>
              <w:keepNext/>
              <w:jc w:val="center"/>
              <w:rPr>
                <w:rFonts w:ascii="Arial Narrow" w:hAnsi="Arial Narrow"/>
                <w:sz w:val="20"/>
              </w:rPr>
            </w:pPr>
            <w:r w:rsidRPr="00976835">
              <w:rPr>
                <w:rFonts w:ascii="Arial Narrow" w:hAnsi="Arial Narrow"/>
                <w:sz w:val="20"/>
              </w:rPr>
              <w:t>16/93</w:t>
            </w:r>
          </w:p>
        </w:tc>
        <w:tc>
          <w:tcPr>
            <w:tcW w:w="767"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0.83 </w:t>
            </w:r>
            <w:r w:rsidRPr="00976835">
              <w:rPr>
                <w:rFonts w:ascii="Arial Narrow" w:hAnsi="Arial Narrow"/>
                <w:color w:val="000000"/>
                <w:sz w:val="20"/>
                <w:szCs w:val="18"/>
              </w:rPr>
              <w:br/>
              <w:t>(0.42, 1.63)</w:t>
            </w:r>
          </w:p>
        </w:tc>
        <w:tc>
          <w:tcPr>
            <w:tcW w:w="652"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sz w:val="20"/>
              </w:rPr>
              <w:t>14.3</w:t>
            </w:r>
          </w:p>
        </w:tc>
        <w:tc>
          <w:tcPr>
            <w:tcW w:w="727" w:type="pct"/>
            <w:tcBorders>
              <w:bottom w:val="single" w:sz="4" w:space="0" w:color="auto"/>
            </w:tcBorders>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17.2</w:t>
            </w:r>
          </w:p>
        </w:tc>
        <w:tc>
          <w:tcPr>
            <w:tcW w:w="744" w:type="pct"/>
            <w:tcBorders>
              <w:bottom w:val="single" w:sz="4" w:space="0" w:color="auto"/>
            </w:tcBorders>
            <w:vAlign w:val="center"/>
          </w:tcPr>
          <w:p w:rsidR="00976835" w:rsidRPr="00976835" w:rsidRDefault="00976835" w:rsidP="0065726A">
            <w:pPr>
              <w:ind w:right="-34"/>
              <w:jc w:val="center"/>
              <w:rPr>
                <w:rFonts w:ascii="Arial Narrow" w:hAnsi="Arial Narrow"/>
                <w:color w:val="000000"/>
                <w:sz w:val="20"/>
                <w:szCs w:val="18"/>
              </w:rPr>
            </w:pPr>
            <w:r w:rsidRPr="00976835">
              <w:rPr>
                <w:rFonts w:ascii="Arial Narrow" w:hAnsi="Arial Narrow"/>
                <w:color w:val="000000"/>
                <w:sz w:val="20"/>
                <w:szCs w:val="18"/>
              </w:rPr>
              <w:t xml:space="preserve">-2.92% </w:t>
            </w:r>
            <w:r w:rsidRPr="00976835">
              <w:rPr>
                <w:rFonts w:ascii="Arial Narrow" w:hAnsi="Arial Narrow"/>
                <w:color w:val="000000"/>
                <w:sz w:val="20"/>
                <w:szCs w:val="18"/>
              </w:rPr>
              <w:br/>
              <w:t>(-13.4%, 7.59%).</w:t>
            </w:r>
          </w:p>
        </w:tc>
      </w:tr>
      <w:tr w:rsidR="00976835" w:rsidRPr="00976835" w:rsidTr="005550D5">
        <w:tc>
          <w:tcPr>
            <w:tcW w:w="5000" w:type="pct"/>
            <w:gridSpan w:val="10"/>
            <w:tcBorders>
              <w:top w:val="double" w:sz="4" w:space="0" w:color="auto"/>
            </w:tcBorders>
            <w:shd w:val="clear" w:color="auto" w:fill="auto"/>
            <w:vAlign w:val="center"/>
          </w:tcPr>
          <w:p w:rsidR="00976835" w:rsidRPr="00976835" w:rsidRDefault="00976835" w:rsidP="0065726A">
            <w:pPr>
              <w:jc w:val="left"/>
              <w:rPr>
                <w:rFonts w:ascii="Arial Narrow" w:hAnsi="Arial Narrow"/>
                <w:color w:val="000000"/>
                <w:sz w:val="20"/>
                <w:szCs w:val="18"/>
              </w:rPr>
            </w:pPr>
            <w:r w:rsidRPr="00976835">
              <w:rPr>
                <w:rFonts w:ascii="Arial Narrow" w:hAnsi="Arial Narrow"/>
                <w:b/>
                <w:color w:val="000000"/>
                <w:sz w:val="20"/>
                <w:szCs w:val="18"/>
              </w:rPr>
              <w:t>Live births</w:t>
            </w:r>
          </w:p>
        </w:tc>
      </w:tr>
      <w:tr w:rsidR="00976835" w:rsidRPr="00976835" w:rsidTr="0065726A">
        <w:tc>
          <w:tcPr>
            <w:tcW w:w="678" w:type="pct"/>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color w:val="000000"/>
                <w:sz w:val="20"/>
                <w:szCs w:val="18"/>
              </w:rPr>
              <w:t>ITT</w:t>
            </w:r>
          </w:p>
        </w:tc>
        <w:tc>
          <w:tcPr>
            <w:tcW w:w="673" w:type="pct"/>
            <w:gridSpan w:val="3"/>
            <w:vAlign w:val="center"/>
          </w:tcPr>
          <w:p w:rsidR="00976835" w:rsidRPr="00976835" w:rsidRDefault="00976835" w:rsidP="0065726A">
            <w:pPr>
              <w:keepNext/>
              <w:jc w:val="center"/>
              <w:rPr>
                <w:rFonts w:ascii="Arial Narrow" w:hAnsi="Arial Narrow"/>
                <w:sz w:val="20"/>
              </w:rPr>
            </w:pPr>
            <w:r w:rsidRPr="00976835">
              <w:rPr>
                <w:rFonts w:ascii="Arial Narrow" w:hAnsi="Arial Narrow"/>
                <w:sz w:val="20"/>
              </w:rPr>
              <w:t>13/91</w:t>
            </w:r>
          </w:p>
        </w:tc>
        <w:tc>
          <w:tcPr>
            <w:tcW w:w="759" w:type="pct"/>
            <w:gridSpan w:val="2"/>
            <w:vAlign w:val="center"/>
          </w:tcPr>
          <w:p w:rsidR="00976835" w:rsidRPr="00976835" w:rsidRDefault="00976835" w:rsidP="0065726A">
            <w:pPr>
              <w:keepNext/>
              <w:jc w:val="center"/>
              <w:rPr>
                <w:rFonts w:ascii="Arial Narrow" w:hAnsi="Arial Narrow"/>
                <w:sz w:val="20"/>
              </w:rPr>
            </w:pPr>
            <w:r w:rsidRPr="00976835">
              <w:rPr>
                <w:rFonts w:ascii="Arial Narrow" w:hAnsi="Arial Narrow"/>
                <w:sz w:val="20"/>
              </w:rPr>
              <w:t>16/93</w:t>
            </w:r>
          </w:p>
        </w:tc>
        <w:tc>
          <w:tcPr>
            <w:tcW w:w="76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0.83 </w:t>
            </w:r>
            <w:r w:rsidRPr="00976835">
              <w:rPr>
                <w:rFonts w:ascii="Arial Narrow" w:hAnsi="Arial Narrow"/>
                <w:color w:val="000000"/>
                <w:sz w:val="20"/>
                <w:szCs w:val="18"/>
              </w:rPr>
              <w:br/>
              <w:t>(0.42, 1.63)</w:t>
            </w:r>
          </w:p>
        </w:tc>
        <w:tc>
          <w:tcPr>
            <w:tcW w:w="6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sz w:val="20"/>
              </w:rPr>
              <w:t>14.3</w:t>
            </w:r>
          </w:p>
        </w:tc>
        <w:tc>
          <w:tcPr>
            <w:tcW w:w="72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17.2</w:t>
            </w:r>
          </w:p>
        </w:tc>
        <w:tc>
          <w:tcPr>
            <w:tcW w:w="744" w:type="pct"/>
            <w:vAlign w:val="center"/>
          </w:tcPr>
          <w:p w:rsidR="00976835" w:rsidRPr="00976835" w:rsidRDefault="00976835" w:rsidP="0065726A">
            <w:pPr>
              <w:ind w:right="-34"/>
              <w:jc w:val="center"/>
              <w:rPr>
                <w:rFonts w:ascii="Arial Narrow" w:hAnsi="Arial Narrow"/>
                <w:color w:val="000000"/>
                <w:sz w:val="20"/>
                <w:szCs w:val="18"/>
              </w:rPr>
            </w:pPr>
            <w:r w:rsidRPr="00976835">
              <w:rPr>
                <w:rFonts w:ascii="Arial Narrow" w:hAnsi="Arial Narrow"/>
                <w:color w:val="000000"/>
                <w:sz w:val="20"/>
                <w:szCs w:val="18"/>
              </w:rPr>
              <w:t xml:space="preserve">-2.92% </w:t>
            </w:r>
            <w:r w:rsidRPr="00976835">
              <w:rPr>
                <w:rFonts w:ascii="Arial Narrow" w:hAnsi="Arial Narrow"/>
                <w:color w:val="000000"/>
                <w:sz w:val="20"/>
                <w:szCs w:val="18"/>
              </w:rPr>
              <w:br/>
              <w:t>(-13.4%, 7.59%).</w:t>
            </w:r>
          </w:p>
        </w:tc>
      </w:tr>
      <w:tr w:rsidR="00976835" w:rsidRPr="00976835" w:rsidTr="005550D5">
        <w:tc>
          <w:tcPr>
            <w:tcW w:w="5000" w:type="pct"/>
            <w:gridSpan w:val="10"/>
            <w:tcBorders>
              <w:top w:val="double" w:sz="4" w:space="0" w:color="auto"/>
            </w:tcBorders>
            <w:shd w:val="clear" w:color="auto" w:fill="auto"/>
            <w:vAlign w:val="center"/>
          </w:tcPr>
          <w:p w:rsidR="00976835" w:rsidRPr="00976835" w:rsidRDefault="00976835" w:rsidP="0065726A">
            <w:pPr>
              <w:rPr>
                <w:rFonts w:ascii="Arial Narrow" w:hAnsi="Arial Narrow"/>
                <w:b/>
                <w:color w:val="000000"/>
                <w:sz w:val="20"/>
                <w:szCs w:val="18"/>
              </w:rPr>
            </w:pPr>
            <w:r w:rsidRPr="00976835">
              <w:rPr>
                <w:rFonts w:ascii="Arial Narrow" w:hAnsi="Arial Narrow"/>
                <w:b/>
                <w:color w:val="000000"/>
                <w:sz w:val="20"/>
                <w:szCs w:val="18"/>
              </w:rPr>
              <w:t xml:space="preserve">Harms </w:t>
            </w:r>
          </w:p>
        </w:tc>
      </w:tr>
      <w:tr w:rsidR="00976835" w:rsidRPr="00976835" w:rsidTr="0065726A">
        <w:trPr>
          <w:trHeight w:val="70"/>
        </w:trPr>
        <w:tc>
          <w:tcPr>
            <w:tcW w:w="686" w:type="pct"/>
            <w:gridSpan w:val="2"/>
            <w:vMerge w:val="restart"/>
            <w:shd w:val="clear" w:color="auto" w:fill="auto"/>
            <w:vAlign w:val="center"/>
          </w:tcPr>
          <w:p w:rsidR="00976835" w:rsidRPr="00976835" w:rsidRDefault="00976835" w:rsidP="0065726A">
            <w:pPr>
              <w:rPr>
                <w:rFonts w:ascii="Arial Narrow" w:hAnsi="Arial Narrow"/>
                <w:b/>
                <w:color w:val="000000"/>
                <w:sz w:val="20"/>
                <w:szCs w:val="18"/>
              </w:rPr>
            </w:pPr>
          </w:p>
        </w:tc>
        <w:tc>
          <w:tcPr>
            <w:tcW w:w="665" w:type="pct"/>
            <w:gridSpan w:val="2"/>
            <w:vMerge w:val="restar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HP-hMG</w:t>
            </w:r>
          </w:p>
        </w:tc>
        <w:tc>
          <w:tcPr>
            <w:tcW w:w="759" w:type="pct"/>
            <w:gridSpan w:val="2"/>
            <w:vMerge w:val="restar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Follitropin alfa</w:t>
            </w:r>
          </w:p>
        </w:tc>
        <w:tc>
          <w:tcPr>
            <w:tcW w:w="767" w:type="pct"/>
            <w:vMerge w:val="restart"/>
            <w:vAlign w:val="center"/>
          </w:tcPr>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RR</w:t>
            </w:r>
          </w:p>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(95% CI)</w:t>
            </w:r>
          </w:p>
        </w:tc>
        <w:tc>
          <w:tcPr>
            <w:tcW w:w="1379" w:type="pct"/>
            <w:gridSpan w:val="2"/>
            <w:vAlign w:val="center"/>
          </w:tcPr>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 xml:space="preserve">Event rate/100 patients* </w:t>
            </w:r>
          </w:p>
        </w:tc>
        <w:tc>
          <w:tcPr>
            <w:tcW w:w="744" w:type="pct"/>
            <w:vMerge w:val="restart"/>
            <w:vAlign w:val="center"/>
          </w:tcPr>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RD</w:t>
            </w:r>
          </w:p>
          <w:p w:rsidR="00976835" w:rsidRPr="00976835" w:rsidRDefault="00976835" w:rsidP="0065726A">
            <w:pPr>
              <w:jc w:val="center"/>
              <w:rPr>
                <w:rFonts w:ascii="Arial Narrow" w:hAnsi="Arial Narrow"/>
                <w:b/>
                <w:color w:val="000000"/>
                <w:sz w:val="20"/>
                <w:szCs w:val="18"/>
              </w:rPr>
            </w:pPr>
            <w:r w:rsidRPr="00976835">
              <w:rPr>
                <w:rFonts w:ascii="Arial Narrow" w:hAnsi="Arial Narrow"/>
                <w:b/>
                <w:color w:val="000000"/>
                <w:sz w:val="20"/>
                <w:szCs w:val="18"/>
              </w:rPr>
              <w:t>(95% CI)</w:t>
            </w:r>
          </w:p>
        </w:tc>
      </w:tr>
      <w:tr w:rsidR="00976835" w:rsidRPr="00976835" w:rsidTr="0065726A">
        <w:trPr>
          <w:trHeight w:val="390"/>
        </w:trPr>
        <w:tc>
          <w:tcPr>
            <w:tcW w:w="686" w:type="pct"/>
            <w:gridSpan w:val="2"/>
            <w:vMerge/>
            <w:shd w:val="clear" w:color="auto" w:fill="auto"/>
            <w:vAlign w:val="center"/>
          </w:tcPr>
          <w:p w:rsidR="00976835" w:rsidRPr="00976835" w:rsidRDefault="00976835" w:rsidP="0065726A">
            <w:pPr>
              <w:rPr>
                <w:rFonts w:ascii="Arial Narrow" w:hAnsi="Arial Narrow"/>
                <w:b/>
                <w:color w:val="000000"/>
                <w:sz w:val="20"/>
                <w:szCs w:val="18"/>
              </w:rPr>
            </w:pPr>
          </w:p>
        </w:tc>
        <w:tc>
          <w:tcPr>
            <w:tcW w:w="665" w:type="pct"/>
            <w:gridSpan w:val="2"/>
            <w:vMerge/>
            <w:vAlign w:val="center"/>
          </w:tcPr>
          <w:p w:rsidR="00976835" w:rsidRPr="00976835" w:rsidRDefault="00976835" w:rsidP="0065726A">
            <w:pPr>
              <w:jc w:val="center"/>
              <w:rPr>
                <w:rFonts w:ascii="Arial Narrow" w:hAnsi="Arial Narrow"/>
                <w:b/>
                <w:color w:val="000000"/>
                <w:sz w:val="20"/>
                <w:szCs w:val="18"/>
              </w:rPr>
            </w:pPr>
          </w:p>
        </w:tc>
        <w:tc>
          <w:tcPr>
            <w:tcW w:w="759" w:type="pct"/>
            <w:gridSpan w:val="2"/>
            <w:vMerge/>
            <w:vAlign w:val="center"/>
          </w:tcPr>
          <w:p w:rsidR="00976835" w:rsidRPr="00976835" w:rsidRDefault="00976835" w:rsidP="0065726A">
            <w:pPr>
              <w:jc w:val="center"/>
              <w:rPr>
                <w:rFonts w:ascii="Arial Narrow" w:hAnsi="Arial Narrow"/>
                <w:b/>
                <w:color w:val="000000"/>
                <w:sz w:val="20"/>
                <w:szCs w:val="18"/>
              </w:rPr>
            </w:pPr>
          </w:p>
        </w:tc>
        <w:tc>
          <w:tcPr>
            <w:tcW w:w="767" w:type="pct"/>
            <w:vMerge/>
            <w:vAlign w:val="center"/>
          </w:tcPr>
          <w:p w:rsidR="00976835" w:rsidRPr="00976835" w:rsidRDefault="00976835" w:rsidP="0065726A">
            <w:pPr>
              <w:jc w:val="center"/>
              <w:rPr>
                <w:rFonts w:ascii="Arial Narrow" w:hAnsi="Arial Narrow"/>
                <w:b/>
                <w:color w:val="000000"/>
                <w:sz w:val="20"/>
                <w:szCs w:val="18"/>
              </w:rPr>
            </w:pPr>
          </w:p>
        </w:tc>
        <w:tc>
          <w:tcPr>
            <w:tcW w:w="652" w:type="pc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HP-hMG</w:t>
            </w:r>
          </w:p>
        </w:tc>
        <w:tc>
          <w:tcPr>
            <w:tcW w:w="727" w:type="pct"/>
            <w:vAlign w:val="center"/>
          </w:tcPr>
          <w:p w:rsidR="00976835" w:rsidRPr="00976835" w:rsidRDefault="00976835" w:rsidP="0065726A">
            <w:pPr>
              <w:keepNext/>
              <w:jc w:val="center"/>
              <w:rPr>
                <w:rFonts w:ascii="Arial Narrow" w:hAnsi="Arial Narrow"/>
                <w:b/>
                <w:sz w:val="20"/>
                <w:lang w:val="en-US"/>
              </w:rPr>
            </w:pPr>
            <w:r w:rsidRPr="00976835">
              <w:rPr>
                <w:rFonts w:ascii="Arial Narrow" w:hAnsi="Arial Narrow"/>
                <w:b/>
                <w:sz w:val="20"/>
                <w:lang w:val="en-US"/>
              </w:rPr>
              <w:t>Follitropin alfa</w:t>
            </w:r>
          </w:p>
        </w:tc>
        <w:tc>
          <w:tcPr>
            <w:tcW w:w="744" w:type="pct"/>
            <w:vMerge/>
            <w:vAlign w:val="center"/>
          </w:tcPr>
          <w:p w:rsidR="00976835" w:rsidRPr="00976835" w:rsidRDefault="00976835" w:rsidP="0065726A">
            <w:pPr>
              <w:jc w:val="center"/>
              <w:rPr>
                <w:rFonts w:ascii="Arial Narrow" w:hAnsi="Arial Narrow"/>
                <w:b/>
                <w:color w:val="000000"/>
                <w:sz w:val="20"/>
                <w:szCs w:val="18"/>
              </w:rPr>
            </w:pPr>
          </w:p>
        </w:tc>
      </w:tr>
      <w:tr w:rsidR="00976835" w:rsidRPr="00976835" w:rsidTr="005550D5">
        <w:tc>
          <w:tcPr>
            <w:tcW w:w="5000" w:type="pct"/>
            <w:gridSpan w:val="10"/>
            <w:shd w:val="clear" w:color="auto" w:fill="auto"/>
            <w:vAlign w:val="center"/>
          </w:tcPr>
          <w:p w:rsidR="00976835" w:rsidRPr="00976835" w:rsidRDefault="00976835" w:rsidP="0065726A">
            <w:pPr>
              <w:rPr>
                <w:rFonts w:ascii="Arial Narrow" w:hAnsi="Arial Narrow"/>
                <w:b/>
                <w:color w:val="000000"/>
                <w:sz w:val="20"/>
                <w:szCs w:val="18"/>
              </w:rPr>
            </w:pPr>
            <w:r w:rsidRPr="00976835">
              <w:rPr>
                <w:rFonts w:ascii="Arial Narrow" w:hAnsi="Arial Narrow"/>
                <w:b/>
                <w:color w:val="000000"/>
                <w:sz w:val="20"/>
                <w:szCs w:val="18"/>
              </w:rPr>
              <w:t>All causality AEs</w:t>
            </w:r>
          </w:p>
        </w:tc>
      </w:tr>
      <w:tr w:rsidR="00976835" w:rsidRPr="00976835" w:rsidTr="0065726A">
        <w:tc>
          <w:tcPr>
            <w:tcW w:w="690" w:type="pct"/>
            <w:gridSpan w:val="3"/>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color w:val="000000"/>
                <w:sz w:val="20"/>
                <w:szCs w:val="18"/>
              </w:rPr>
              <w:t>Safety population</w:t>
            </w:r>
          </w:p>
        </w:tc>
        <w:tc>
          <w:tcPr>
            <w:tcW w:w="668" w:type="pct"/>
            <w:gridSpan w:val="2"/>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38/92</w:t>
            </w:r>
          </w:p>
        </w:tc>
        <w:tc>
          <w:tcPr>
            <w:tcW w:w="7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37/92</w:t>
            </w:r>
          </w:p>
        </w:tc>
        <w:tc>
          <w:tcPr>
            <w:tcW w:w="76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1.03 </w:t>
            </w:r>
            <w:r w:rsidRPr="00976835">
              <w:rPr>
                <w:rFonts w:ascii="Arial Narrow" w:hAnsi="Arial Narrow"/>
                <w:color w:val="000000"/>
                <w:sz w:val="20"/>
                <w:szCs w:val="18"/>
              </w:rPr>
              <w:br/>
              <w:t>(0.72, 1.46)</w:t>
            </w:r>
          </w:p>
        </w:tc>
        <w:tc>
          <w:tcPr>
            <w:tcW w:w="6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41.3</w:t>
            </w:r>
          </w:p>
        </w:tc>
        <w:tc>
          <w:tcPr>
            <w:tcW w:w="72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40.2</w:t>
            </w:r>
          </w:p>
        </w:tc>
        <w:tc>
          <w:tcPr>
            <w:tcW w:w="744"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1.1% </w:t>
            </w:r>
            <w:r w:rsidRPr="00976835">
              <w:rPr>
                <w:rFonts w:ascii="Arial Narrow" w:hAnsi="Arial Narrow"/>
                <w:color w:val="000000"/>
                <w:sz w:val="20"/>
                <w:szCs w:val="18"/>
              </w:rPr>
              <w:br/>
              <w:t>(-13.1%, 15.3%)</w:t>
            </w:r>
          </w:p>
        </w:tc>
      </w:tr>
      <w:tr w:rsidR="00976835" w:rsidRPr="00976835" w:rsidTr="005550D5">
        <w:tc>
          <w:tcPr>
            <w:tcW w:w="5000" w:type="pct"/>
            <w:gridSpan w:val="10"/>
            <w:shd w:val="clear" w:color="auto" w:fill="auto"/>
            <w:vAlign w:val="center"/>
          </w:tcPr>
          <w:p w:rsidR="00976835" w:rsidRPr="00976835" w:rsidRDefault="00976835" w:rsidP="0065726A">
            <w:pPr>
              <w:rPr>
                <w:rFonts w:ascii="Arial Narrow" w:hAnsi="Arial Narrow"/>
                <w:b/>
                <w:color w:val="000000"/>
                <w:sz w:val="20"/>
                <w:szCs w:val="18"/>
              </w:rPr>
            </w:pPr>
            <w:r w:rsidRPr="00976835">
              <w:rPr>
                <w:rFonts w:ascii="Arial Narrow" w:hAnsi="Arial Narrow"/>
                <w:b/>
                <w:color w:val="000000"/>
                <w:sz w:val="20"/>
                <w:szCs w:val="18"/>
              </w:rPr>
              <w:t>Mild OHSS (Grade 1 and 2)</w:t>
            </w:r>
          </w:p>
        </w:tc>
      </w:tr>
      <w:tr w:rsidR="00976835" w:rsidRPr="00976835" w:rsidTr="0065726A">
        <w:tc>
          <w:tcPr>
            <w:tcW w:w="690" w:type="pct"/>
            <w:gridSpan w:val="3"/>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color w:val="000000"/>
                <w:sz w:val="20"/>
                <w:szCs w:val="18"/>
              </w:rPr>
              <w:t>Safety population</w:t>
            </w:r>
          </w:p>
        </w:tc>
        <w:tc>
          <w:tcPr>
            <w:tcW w:w="668" w:type="pct"/>
            <w:gridSpan w:val="2"/>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1/92</w:t>
            </w:r>
          </w:p>
        </w:tc>
        <w:tc>
          <w:tcPr>
            <w:tcW w:w="7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2/92</w:t>
            </w:r>
          </w:p>
        </w:tc>
        <w:tc>
          <w:tcPr>
            <w:tcW w:w="76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0.50 </w:t>
            </w:r>
            <w:r w:rsidRPr="00976835">
              <w:rPr>
                <w:rFonts w:ascii="Arial Narrow" w:hAnsi="Arial Narrow"/>
                <w:color w:val="000000"/>
                <w:sz w:val="20"/>
                <w:szCs w:val="18"/>
              </w:rPr>
              <w:br/>
              <w:t>(0.05, 5.42)</w:t>
            </w:r>
          </w:p>
        </w:tc>
        <w:tc>
          <w:tcPr>
            <w:tcW w:w="6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1.1</w:t>
            </w:r>
          </w:p>
        </w:tc>
        <w:tc>
          <w:tcPr>
            <w:tcW w:w="72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2.2</w:t>
            </w:r>
          </w:p>
        </w:tc>
        <w:tc>
          <w:tcPr>
            <w:tcW w:w="744"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-1.1% </w:t>
            </w:r>
            <w:r w:rsidRPr="00976835">
              <w:rPr>
                <w:rFonts w:ascii="Arial Narrow" w:hAnsi="Arial Narrow"/>
                <w:color w:val="000000"/>
                <w:sz w:val="20"/>
                <w:szCs w:val="18"/>
              </w:rPr>
              <w:br/>
              <w:t>(-4.7%, 2.6%)</w:t>
            </w:r>
          </w:p>
        </w:tc>
      </w:tr>
      <w:tr w:rsidR="00976835" w:rsidRPr="00976835" w:rsidTr="005550D5">
        <w:tc>
          <w:tcPr>
            <w:tcW w:w="5000" w:type="pct"/>
            <w:gridSpan w:val="10"/>
            <w:shd w:val="clear" w:color="auto" w:fill="auto"/>
            <w:vAlign w:val="center"/>
          </w:tcPr>
          <w:p w:rsidR="00976835" w:rsidRPr="00976835" w:rsidRDefault="00976835" w:rsidP="0065726A">
            <w:pPr>
              <w:jc w:val="left"/>
              <w:rPr>
                <w:rFonts w:ascii="Arial Narrow" w:hAnsi="Arial Narrow"/>
                <w:color w:val="000000"/>
                <w:sz w:val="20"/>
                <w:szCs w:val="18"/>
              </w:rPr>
            </w:pPr>
            <w:r w:rsidRPr="00976835">
              <w:rPr>
                <w:rFonts w:ascii="Arial Narrow" w:hAnsi="Arial Narrow"/>
                <w:b/>
                <w:color w:val="000000"/>
                <w:sz w:val="20"/>
                <w:szCs w:val="18"/>
              </w:rPr>
              <w:t>Moderate OHSS (Grade 3)</w:t>
            </w:r>
          </w:p>
        </w:tc>
      </w:tr>
      <w:tr w:rsidR="00976835" w:rsidRPr="00976835" w:rsidTr="0065726A">
        <w:tc>
          <w:tcPr>
            <w:tcW w:w="690" w:type="pct"/>
            <w:gridSpan w:val="3"/>
            <w:shd w:val="clear" w:color="auto" w:fill="auto"/>
            <w:vAlign w:val="center"/>
          </w:tcPr>
          <w:p w:rsidR="00976835" w:rsidRPr="00976835" w:rsidRDefault="00976835" w:rsidP="0065726A">
            <w:pPr>
              <w:rPr>
                <w:rFonts w:ascii="Arial Narrow" w:hAnsi="Arial Narrow"/>
                <w:color w:val="000000"/>
                <w:sz w:val="20"/>
                <w:szCs w:val="18"/>
              </w:rPr>
            </w:pPr>
            <w:r w:rsidRPr="00976835">
              <w:rPr>
                <w:rFonts w:ascii="Arial Narrow" w:hAnsi="Arial Narrow"/>
                <w:color w:val="000000"/>
                <w:sz w:val="20"/>
                <w:szCs w:val="18"/>
              </w:rPr>
              <w:t>Safety population</w:t>
            </w:r>
          </w:p>
        </w:tc>
        <w:tc>
          <w:tcPr>
            <w:tcW w:w="668" w:type="pct"/>
            <w:gridSpan w:val="2"/>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0</w:t>
            </w:r>
          </w:p>
        </w:tc>
        <w:tc>
          <w:tcPr>
            <w:tcW w:w="7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1/92</w:t>
            </w:r>
          </w:p>
        </w:tc>
        <w:tc>
          <w:tcPr>
            <w:tcW w:w="76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w:t>
            </w:r>
          </w:p>
        </w:tc>
        <w:tc>
          <w:tcPr>
            <w:tcW w:w="652"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0</w:t>
            </w:r>
          </w:p>
        </w:tc>
        <w:tc>
          <w:tcPr>
            <w:tcW w:w="727"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1.1</w:t>
            </w:r>
          </w:p>
        </w:tc>
        <w:tc>
          <w:tcPr>
            <w:tcW w:w="744" w:type="pct"/>
            <w:vAlign w:val="center"/>
          </w:tcPr>
          <w:p w:rsidR="00976835" w:rsidRPr="00976835" w:rsidRDefault="00976835" w:rsidP="0065726A">
            <w:pPr>
              <w:jc w:val="center"/>
              <w:rPr>
                <w:rFonts w:ascii="Arial Narrow" w:hAnsi="Arial Narrow"/>
                <w:color w:val="000000"/>
                <w:sz w:val="20"/>
                <w:szCs w:val="18"/>
              </w:rPr>
            </w:pPr>
            <w:r w:rsidRPr="00976835">
              <w:rPr>
                <w:rFonts w:ascii="Arial Narrow" w:hAnsi="Arial Narrow"/>
                <w:color w:val="000000"/>
                <w:sz w:val="20"/>
                <w:szCs w:val="18"/>
              </w:rPr>
              <w:t xml:space="preserve">-1.1% </w:t>
            </w:r>
            <w:r w:rsidRPr="00976835">
              <w:rPr>
                <w:rFonts w:ascii="Arial Narrow" w:hAnsi="Arial Narrow"/>
                <w:color w:val="000000"/>
                <w:sz w:val="20"/>
                <w:szCs w:val="18"/>
              </w:rPr>
              <w:br/>
              <w:t>(-3.2%, 1.0%)</w:t>
            </w:r>
          </w:p>
        </w:tc>
      </w:tr>
    </w:tbl>
    <w:p w:rsidR="00976835" w:rsidRPr="0065726A" w:rsidRDefault="00976835" w:rsidP="00976835">
      <w:pPr>
        <w:pStyle w:val="TableFooter"/>
        <w:ind w:left="720"/>
        <w:rPr>
          <w:sz w:val="17"/>
          <w:szCs w:val="17"/>
        </w:rPr>
      </w:pPr>
      <w:r w:rsidRPr="0065726A">
        <w:rPr>
          <w:sz w:val="17"/>
          <w:szCs w:val="17"/>
        </w:rPr>
        <w:t>Source: Table B-17 p48, Table B-19 p50, text p51, Table B-20 p52, Table B-23 p54 of the submission; text in italics were compiled during the evaluation</w:t>
      </w:r>
    </w:p>
    <w:p w:rsidR="00976835" w:rsidRPr="00976835" w:rsidRDefault="00976835" w:rsidP="00976835">
      <w:pPr>
        <w:pStyle w:val="TableFooter"/>
        <w:ind w:left="720"/>
      </w:pPr>
      <w:r w:rsidRPr="00976835">
        <w:t xml:space="preserve">Abbreviations: AE = adverse event; CI = confidence interval; HP-hMG = highly purified human menopausal gonadotrophin; ITT = intention-to-treat; OHSS = ovarian hyperstimulation syndrome; PP = per protocol; RD = risk difference; RR = risk ratio. </w:t>
      </w:r>
    </w:p>
    <w:p w:rsidR="00976835" w:rsidRDefault="00976835" w:rsidP="00976835">
      <w:pPr>
        <w:pStyle w:val="TableFooter"/>
        <w:ind w:firstLine="720"/>
      </w:pPr>
      <w:r w:rsidRPr="00976835">
        <w:t>* Event rate is based on one cycle of treatment.</w:t>
      </w:r>
    </w:p>
    <w:p w:rsidR="00752C32" w:rsidRDefault="00752C32" w:rsidP="00A36558">
      <w:pPr>
        <w:pStyle w:val="TableFooter"/>
        <w:ind w:left="720"/>
      </w:pPr>
      <w:r>
        <w:t>* Non-inferiority limit = -20% for ovulation rate. No limit nominated for either ongoing pregnancy or live births. A 10% non-inferiority margin has been previously accepted by the PBAC for ongoing pregnancy and live birth rates.</w:t>
      </w:r>
    </w:p>
    <w:p w:rsidR="00C72DB6" w:rsidRPr="008951BC" w:rsidRDefault="00C72DB6" w:rsidP="008951BC">
      <w:bookmarkStart w:id="12" w:name="_Toc440987233"/>
    </w:p>
    <w:p w:rsidR="00976835" w:rsidRPr="00C72DB6" w:rsidRDefault="00976835" w:rsidP="00E47950">
      <w:pPr>
        <w:pStyle w:val="Heading2"/>
      </w:pPr>
      <w:r w:rsidRPr="00C72DB6">
        <w:t>Clinical claim</w:t>
      </w:r>
      <w:bookmarkEnd w:id="12"/>
    </w:p>
    <w:p w:rsidR="00976835" w:rsidRPr="0065726A" w:rsidRDefault="00976835" w:rsidP="00976835">
      <w:pPr>
        <w:ind w:left="720" w:hanging="720"/>
        <w:rPr>
          <w:sz w:val="18"/>
          <w:szCs w:val="18"/>
        </w:rPr>
      </w:pPr>
    </w:p>
    <w:p w:rsidR="00976835" w:rsidRPr="00C72DB6" w:rsidRDefault="00976835" w:rsidP="00C72DB6">
      <w:pPr>
        <w:pStyle w:val="ListParagraph"/>
        <w:widowControl/>
        <w:numPr>
          <w:ilvl w:val="1"/>
          <w:numId w:val="1"/>
        </w:numPr>
        <w:rPr>
          <w:szCs w:val="22"/>
        </w:rPr>
      </w:pPr>
      <w:r w:rsidRPr="00C72DB6">
        <w:t xml:space="preserve">The </w:t>
      </w:r>
      <w:r w:rsidRPr="00C72DB6">
        <w:rPr>
          <w:szCs w:val="22"/>
        </w:rPr>
        <w:t>submission described HP-hMG as non-inferior in terms of comparative effectiveness and non-inferior in terms of comparative safety over the primary comparator, follitropin alfa.</w:t>
      </w:r>
    </w:p>
    <w:p w:rsidR="00976835" w:rsidRPr="00C72DB6" w:rsidRDefault="00976835" w:rsidP="00976835">
      <w:pPr>
        <w:pStyle w:val="ListParagraph"/>
        <w:widowControl/>
        <w:rPr>
          <w:sz w:val="18"/>
          <w:szCs w:val="18"/>
        </w:rPr>
      </w:pPr>
    </w:p>
    <w:p w:rsidR="00976835" w:rsidRPr="00C72DB6" w:rsidRDefault="00976835" w:rsidP="00C72DB6">
      <w:pPr>
        <w:pStyle w:val="ListParagraph"/>
        <w:widowControl/>
        <w:numPr>
          <w:ilvl w:val="1"/>
          <w:numId w:val="1"/>
        </w:numPr>
        <w:rPr>
          <w:szCs w:val="22"/>
        </w:rPr>
      </w:pPr>
      <w:r w:rsidRPr="00C72DB6">
        <w:rPr>
          <w:szCs w:val="22"/>
        </w:rPr>
        <w:t xml:space="preserve">The claim may be reasonable for the ovulation rate, but not for the more clinically </w:t>
      </w:r>
      <w:r w:rsidR="006E3221" w:rsidRPr="00C72DB6">
        <w:rPr>
          <w:szCs w:val="22"/>
        </w:rPr>
        <w:t xml:space="preserve">and patient </w:t>
      </w:r>
      <w:r w:rsidRPr="00C72DB6">
        <w:rPr>
          <w:szCs w:val="22"/>
        </w:rPr>
        <w:t>relevant outcome</w:t>
      </w:r>
      <w:r w:rsidR="006E3221" w:rsidRPr="00C72DB6">
        <w:rPr>
          <w:szCs w:val="22"/>
        </w:rPr>
        <w:t>s</w:t>
      </w:r>
      <w:r w:rsidRPr="00C72DB6">
        <w:rPr>
          <w:szCs w:val="22"/>
        </w:rPr>
        <w:t xml:space="preserve"> of ongoing pregnancy and live birth rate. The safety of HP-hMG and follitropin alfa appears similar. </w:t>
      </w:r>
    </w:p>
    <w:p w:rsidR="005A113E" w:rsidRPr="00C72DB6" w:rsidRDefault="005A113E" w:rsidP="005A113E">
      <w:pPr>
        <w:pStyle w:val="ListParagraph"/>
        <w:rPr>
          <w:sz w:val="18"/>
          <w:szCs w:val="18"/>
        </w:rPr>
      </w:pPr>
    </w:p>
    <w:p w:rsidR="005A113E" w:rsidRPr="00C72DB6" w:rsidRDefault="005A113E" w:rsidP="00C72DB6">
      <w:pPr>
        <w:pStyle w:val="ListParagraph"/>
        <w:widowControl/>
        <w:numPr>
          <w:ilvl w:val="1"/>
          <w:numId w:val="1"/>
        </w:numPr>
        <w:rPr>
          <w:szCs w:val="22"/>
        </w:rPr>
      </w:pPr>
      <w:r w:rsidRPr="00C72DB6">
        <w:rPr>
          <w:szCs w:val="22"/>
        </w:rPr>
        <w:t xml:space="preserve">The ESC considered that the submission’s clinical claim of non-inferior comparative effectiveness over follitropin alfa </w:t>
      </w:r>
      <w:r w:rsidR="00046B8C" w:rsidRPr="00C72DB6">
        <w:rPr>
          <w:szCs w:val="22"/>
        </w:rPr>
        <w:t>may be</w:t>
      </w:r>
      <w:r w:rsidRPr="00C72DB6">
        <w:rPr>
          <w:szCs w:val="22"/>
        </w:rPr>
        <w:t xml:space="preserve"> reasonable for the outcome of ovulation rate, but may not adequately supported for the outcome of ongoing pregnancy if using a </w:t>
      </w:r>
      <w:r w:rsidRPr="00C72DB6">
        <w:rPr>
          <w:szCs w:val="22"/>
        </w:rPr>
        <w:noBreakHyphen/>
        <w:t>10% non-inferiority limit as previously accepted by the PBAC for the secondary outcomes.</w:t>
      </w:r>
    </w:p>
    <w:p w:rsidR="00B14882" w:rsidRPr="00C72DB6" w:rsidRDefault="00B14882" w:rsidP="00B14882">
      <w:pPr>
        <w:pStyle w:val="ListParagraph"/>
        <w:rPr>
          <w:sz w:val="18"/>
          <w:szCs w:val="18"/>
        </w:rPr>
      </w:pPr>
    </w:p>
    <w:p w:rsidR="00937874" w:rsidRDefault="00B14882" w:rsidP="00C72DB6">
      <w:pPr>
        <w:pStyle w:val="ListParagraph"/>
        <w:widowControl/>
        <w:numPr>
          <w:ilvl w:val="1"/>
          <w:numId w:val="1"/>
        </w:numPr>
      </w:pPr>
      <w:r w:rsidRPr="00C72DB6">
        <w:t xml:space="preserve">The ESC considered that the comparative harms were likely to be similar between HP-hMG and follitropin alfa, and that a claim of non-inferior comparative safety </w:t>
      </w:r>
      <w:r w:rsidR="007436AA" w:rsidRPr="00C72DB6">
        <w:t xml:space="preserve">may be </w:t>
      </w:r>
      <w:r w:rsidRPr="00C72DB6">
        <w:t>reasonable.</w:t>
      </w:r>
    </w:p>
    <w:p w:rsidR="00C72DB6" w:rsidRPr="00C72DB6" w:rsidRDefault="00C72DB6" w:rsidP="00C72DB6">
      <w:pPr>
        <w:widowControl/>
      </w:pPr>
    </w:p>
    <w:p w:rsidR="00C72DB6" w:rsidRPr="00B31280" w:rsidRDefault="00C72DB6" w:rsidP="00C72DB6">
      <w:pPr>
        <w:pStyle w:val="ListParagraph"/>
        <w:widowControl/>
        <w:numPr>
          <w:ilvl w:val="1"/>
          <w:numId w:val="1"/>
        </w:numPr>
        <w:jc w:val="left"/>
        <w:rPr>
          <w:bCs/>
        </w:rPr>
      </w:pPr>
      <w:r w:rsidRPr="00B31280">
        <w:rPr>
          <w:bCs/>
          <w:szCs w:val="22"/>
        </w:rPr>
        <w:lastRenderedPageBreak/>
        <w:t>The PBAC considered that the claim of non-inferior comparative effectiveness was not adequately supported by the data.</w:t>
      </w:r>
    </w:p>
    <w:p w:rsidR="00C72DB6" w:rsidRPr="00B31280" w:rsidRDefault="00C72DB6" w:rsidP="00C72DB6">
      <w:pPr>
        <w:pStyle w:val="ListParagraph"/>
        <w:widowControl/>
        <w:jc w:val="left"/>
        <w:rPr>
          <w:bCs/>
          <w:szCs w:val="22"/>
        </w:rPr>
      </w:pPr>
    </w:p>
    <w:p w:rsidR="00C72DB6" w:rsidRPr="00B31280" w:rsidRDefault="00C72DB6" w:rsidP="00C72DB6">
      <w:pPr>
        <w:pStyle w:val="ListParagraph"/>
        <w:widowControl/>
        <w:numPr>
          <w:ilvl w:val="1"/>
          <w:numId w:val="1"/>
        </w:numPr>
        <w:rPr>
          <w:szCs w:val="22"/>
        </w:rPr>
      </w:pPr>
      <w:r w:rsidRPr="00B31280">
        <w:rPr>
          <w:szCs w:val="22"/>
        </w:rPr>
        <w:t>The PBAC considered that the claim of non-inferior comparative safety was reasonable.</w:t>
      </w:r>
    </w:p>
    <w:p w:rsidR="00976835" w:rsidRPr="0065726A" w:rsidRDefault="00976835" w:rsidP="00976835">
      <w:pPr>
        <w:widowControl/>
        <w:jc w:val="left"/>
        <w:rPr>
          <w:b/>
          <w:sz w:val="18"/>
          <w:szCs w:val="18"/>
        </w:rPr>
      </w:pPr>
    </w:p>
    <w:p w:rsidR="00976835" w:rsidRPr="00C72DB6" w:rsidRDefault="00976835" w:rsidP="00E47950">
      <w:pPr>
        <w:pStyle w:val="Heading2"/>
      </w:pPr>
      <w:bookmarkStart w:id="13" w:name="_Toc440987234"/>
      <w:r w:rsidRPr="00C72DB6">
        <w:t>Economic analysis</w:t>
      </w:r>
      <w:bookmarkEnd w:id="13"/>
      <w:r w:rsidRPr="00C72DB6">
        <w:t xml:space="preserve"> </w:t>
      </w:r>
    </w:p>
    <w:p w:rsidR="00976835" w:rsidRPr="0065726A" w:rsidRDefault="00976835" w:rsidP="00976835">
      <w:pPr>
        <w:ind w:left="720" w:hanging="720"/>
        <w:rPr>
          <w:sz w:val="18"/>
          <w:szCs w:val="18"/>
        </w:rPr>
      </w:pPr>
    </w:p>
    <w:p w:rsidR="00976835" w:rsidRPr="00C72DB6" w:rsidRDefault="00976835" w:rsidP="00C72DB6">
      <w:pPr>
        <w:pStyle w:val="ListParagraph"/>
        <w:numPr>
          <w:ilvl w:val="1"/>
          <w:numId w:val="1"/>
        </w:numPr>
      </w:pPr>
      <w:r w:rsidRPr="00C72DB6">
        <w:rPr>
          <w:szCs w:val="22"/>
        </w:rPr>
        <w:t xml:space="preserve">The equi-effective doses are estimated in the submission as </w:t>
      </w:r>
      <w:r w:rsidRPr="00C72DB6">
        <w:t xml:space="preserve">1 IU of HP-hMG and 1 IU of follitropin alfa over a treatment cycle based on CS002. </w:t>
      </w:r>
    </w:p>
    <w:p w:rsidR="00976835" w:rsidRPr="00C72DB6" w:rsidRDefault="00976835" w:rsidP="00976835">
      <w:pPr>
        <w:pStyle w:val="ListParagraph"/>
        <w:rPr>
          <w:sz w:val="18"/>
          <w:szCs w:val="18"/>
          <w:highlight w:val="yellow"/>
        </w:rPr>
      </w:pPr>
    </w:p>
    <w:p w:rsidR="00976835" w:rsidRPr="00C72DB6" w:rsidRDefault="00976835" w:rsidP="00C72DB6">
      <w:pPr>
        <w:pStyle w:val="ListParagraph"/>
        <w:numPr>
          <w:ilvl w:val="1"/>
          <w:numId w:val="1"/>
        </w:numPr>
      </w:pPr>
      <w:r w:rsidRPr="00C72DB6">
        <w:rPr>
          <w:szCs w:val="22"/>
        </w:rPr>
        <w:t>Although there were no statistically significant differences in terms of duration, total dose or threshold dose, there was a tendency towards a longer duration of treatment, higher total dose, and higher threshold dose in the HP-hMG group compared with the follitropin alfa group (see Table 6).</w:t>
      </w:r>
    </w:p>
    <w:p w:rsidR="00976835" w:rsidRPr="00C72DB6" w:rsidRDefault="00976835" w:rsidP="00976835">
      <w:pPr>
        <w:pStyle w:val="ListParagraph"/>
        <w:rPr>
          <w:sz w:val="18"/>
          <w:szCs w:val="18"/>
        </w:rPr>
      </w:pPr>
    </w:p>
    <w:p w:rsidR="00976835" w:rsidRPr="00976835" w:rsidRDefault="00976835" w:rsidP="00C72DB6">
      <w:pPr>
        <w:pStyle w:val="ListParagraph"/>
        <w:numPr>
          <w:ilvl w:val="1"/>
          <w:numId w:val="1"/>
        </w:numPr>
      </w:pPr>
      <w:r w:rsidRPr="00C72DB6">
        <w:t>The higher doses used in the HP-hMG group may be, at least in part, due to HP-hMG group including patients with a</w:t>
      </w:r>
      <w:r w:rsidR="00C517F5" w:rsidRPr="00C72DB6">
        <w:t xml:space="preserve"> </w:t>
      </w:r>
      <w:r w:rsidR="008A2B6B" w:rsidRPr="00C72DB6">
        <w:t xml:space="preserve">statistically </w:t>
      </w:r>
      <w:r w:rsidR="00C517F5" w:rsidRPr="00C72DB6">
        <w:t>significantly</w:t>
      </w:r>
      <w:r w:rsidRPr="00C72DB6">
        <w:t xml:space="preserve"> higher average BMI, more patients who previously failed to ovulate on clomiphene citrate, and more patients with primary infertility due to polycystic ovaries. However, even </w:t>
      </w:r>
      <w:r w:rsidR="008A2B6B" w:rsidRPr="00C72DB6">
        <w:t xml:space="preserve">after </w:t>
      </w:r>
      <w:r w:rsidRPr="00C72DB6">
        <w:t>adjusting for these differences in a multivariate analysis, a higher proportion of patients treated with HP-hMG required a threshold dose greater than 75 IU</w:t>
      </w:r>
      <w:r w:rsidRPr="00976835">
        <w:t>.</w:t>
      </w:r>
    </w:p>
    <w:p w:rsidR="00976835" w:rsidRPr="0065726A" w:rsidRDefault="00976835" w:rsidP="00976835">
      <w:pPr>
        <w:pStyle w:val="ListParagraph"/>
        <w:rPr>
          <w:sz w:val="18"/>
          <w:szCs w:val="18"/>
        </w:rPr>
      </w:pPr>
    </w:p>
    <w:p w:rsidR="00976835" w:rsidRPr="00976835" w:rsidRDefault="00976835" w:rsidP="00976835">
      <w:pPr>
        <w:ind w:firstLine="720"/>
        <w:rPr>
          <w:rStyle w:val="CommentReference"/>
        </w:rPr>
      </w:pPr>
      <w:r w:rsidRPr="00976835">
        <w:rPr>
          <w:rStyle w:val="CommentReference"/>
        </w:rPr>
        <w:t>Table 6: Summary of dose administration in the trial</w:t>
      </w:r>
    </w:p>
    <w:tbl>
      <w:tblPr>
        <w:tblStyle w:val="TableGrid"/>
        <w:tblW w:w="0" w:type="auto"/>
        <w:tblInd w:w="850" w:type="dxa"/>
        <w:tblLook w:val="04A0" w:firstRow="1" w:lastRow="0" w:firstColumn="1" w:lastColumn="0" w:noHBand="0" w:noVBand="1"/>
        <w:tblCaption w:val="Table 6: Summary of dose administration in the trial"/>
      </w:tblPr>
      <w:tblGrid>
        <w:gridCol w:w="3057"/>
        <w:gridCol w:w="2666"/>
        <w:gridCol w:w="2670"/>
      </w:tblGrid>
      <w:tr w:rsidR="00976835" w:rsidRPr="00976835" w:rsidTr="00CD1AC9">
        <w:trPr>
          <w:tblHeader/>
        </w:trPr>
        <w:tc>
          <w:tcPr>
            <w:tcW w:w="3086" w:type="dxa"/>
          </w:tcPr>
          <w:p w:rsidR="00976835" w:rsidRPr="00976835" w:rsidRDefault="00976835" w:rsidP="005550D5">
            <w:pPr>
              <w:pStyle w:val="Default"/>
              <w:ind w:right="-154"/>
              <w:jc w:val="both"/>
              <w:rPr>
                <w:bCs/>
                <w:sz w:val="22"/>
                <w:szCs w:val="22"/>
              </w:rPr>
            </w:pPr>
          </w:p>
        </w:tc>
        <w:tc>
          <w:tcPr>
            <w:tcW w:w="2693" w:type="dxa"/>
          </w:tcPr>
          <w:p w:rsidR="00976835" w:rsidRPr="00976835" w:rsidRDefault="00976835" w:rsidP="005550D5">
            <w:pPr>
              <w:jc w:val="center"/>
              <w:rPr>
                <w:rFonts w:ascii="Arial Narrow" w:hAnsi="Arial Narrow"/>
                <w:b/>
                <w:sz w:val="20"/>
              </w:rPr>
            </w:pPr>
            <w:r w:rsidRPr="00976835">
              <w:rPr>
                <w:rFonts w:ascii="Arial Narrow" w:hAnsi="Arial Narrow"/>
                <w:b/>
                <w:sz w:val="20"/>
              </w:rPr>
              <w:t>HP-hMG (N=91)</w:t>
            </w:r>
          </w:p>
        </w:tc>
        <w:tc>
          <w:tcPr>
            <w:tcW w:w="2693" w:type="dxa"/>
          </w:tcPr>
          <w:p w:rsidR="00976835" w:rsidRPr="00976835" w:rsidRDefault="00976835" w:rsidP="005550D5">
            <w:pPr>
              <w:jc w:val="center"/>
              <w:rPr>
                <w:rFonts w:ascii="Arial Narrow" w:hAnsi="Arial Narrow"/>
                <w:b/>
                <w:sz w:val="20"/>
              </w:rPr>
            </w:pPr>
            <w:r w:rsidRPr="00976835">
              <w:rPr>
                <w:rFonts w:ascii="Arial Narrow" w:hAnsi="Arial Narrow"/>
                <w:b/>
                <w:sz w:val="20"/>
              </w:rPr>
              <w:t>Follitropin alfa (N=93)</w:t>
            </w:r>
          </w:p>
        </w:tc>
      </w:tr>
      <w:tr w:rsidR="00976835" w:rsidRPr="00976835" w:rsidTr="005550D5">
        <w:tc>
          <w:tcPr>
            <w:tcW w:w="3086" w:type="dxa"/>
          </w:tcPr>
          <w:p w:rsidR="00976835" w:rsidRPr="00976835" w:rsidRDefault="00976835" w:rsidP="005550D5">
            <w:pPr>
              <w:jc w:val="left"/>
              <w:rPr>
                <w:rFonts w:ascii="Arial Narrow" w:hAnsi="Arial Narrow"/>
                <w:sz w:val="20"/>
              </w:rPr>
            </w:pPr>
            <w:r w:rsidRPr="00976835">
              <w:rPr>
                <w:rFonts w:ascii="Arial Narrow" w:hAnsi="Arial Narrow"/>
                <w:sz w:val="20"/>
              </w:rPr>
              <w:t>Treatment days</w:t>
            </w:r>
          </w:p>
          <w:p w:rsidR="00976835" w:rsidRPr="00976835" w:rsidRDefault="00976835" w:rsidP="005550D5">
            <w:pPr>
              <w:ind w:left="224"/>
              <w:jc w:val="left"/>
              <w:rPr>
                <w:rFonts w:ascii="Arial Narrow" w:hAnsi="Arial Narrow"/>
                <w:sz w:val="20"/>
              </w:rPr>
            </w:pPr>
            <w:r w:rsidRPr="00976835">
              <w:rPr>
                <w:rFonts w:ascii="Arial Narrow" w:hAnsi="Arial Narrow"/>
                <w:sz w:val="20"/>
              </w:rPr>
              <w:t>Mean (SD)</w:t>
            </w:r>
          </w:p>
          <w:p w:rsidR="00976835" w:rsidRPr="00976835" w:rsidRDefault="00976835" w:rsidP="005550D5">
            <w:pPr>
              <w:tabs>
                <w:tab w:val="center" w:pos="2029"/>
              </w:tabs>
              <w:ind w:left="224"/>
              <w:jc w:val="left"/>
              <w:rPr>
                <w:rFonts w:ascii="Arial Narrow" w:hAnsi="Arial Narrow"/>
                <w:sz w:val="20"/>
              </w:rPr>
            </w:pPr>
            <w:r w:rsidRPr="00976835">
              <w:rPr>
                <w:rFonts w:ascii="Arial Narrow" w:hAnsi="Arial Narrow"/>
                <w:sz w:val="20"/>
              </w:rPr>
              <w:t>Median (range)</w:t>
            </w:r>
          </w:p>
        </w:tc>
        <w:tc>
          <w:tcPr>
            <w:tcW w:w="2693" w:type="dxa"/>
          </w:tcPr>
          <w:p w:rsidR="00976835" w:rsidRPr="00976835" w:rsidRDefault="00976835" w:rsidP="005550D5">
            <w:pPr>
              <w:jc w:val="center"/>
              <w:rPr>
                <w:rFonts w:ascii="Arial Narrow" w:hAnsi="Arial Narrow"/>
                <w:sz w:val="20"/>
              </w:rPr>
            </w:pPr>
          </w:p>
          <w:p w:rsidR="00976835" w:rsidRPr="00976835" w:rsidRDefault="00976835" w:rsidP="005550D5">
            <w:pPr>
              <w:jc w:val="center"/>
              <w:rPr>
                <w:rFonts w:ascii="Arial Narrow" w:hAnsi="Arial Narrow"/>
                <w:sz w:val="20"/>
              </w:rPr>
            </w:pPr>
            <w:r w:rsidRPr="00976835">
              <w:rPr>
                <w:rFonts w:ascii="Arial Narrow" w:hAnsi="Arial Narrow"/>
                <w:sz w:val="20"/>
              </w:rPr>
              <w:t>15.3 (7.9)</w:t>
            </w:r>
          </w:p>
          <w:p w:rsidR="00976835" w:rsidRPr="00976835" w:rsidRDefault="00976835" w:rsidP="005550D5">
            <w:pPr>
              <w:jc w:val="center"/>
              <w:rPr>
                <w:rFonts w:ascii="Arial Narrow" w:hAnsi="Arial Narrow"/>
                <w:sz w:val="20"/>
              </w:rPr>
            </w:pPr>
            <w:r w:rsidRPr="00976835">
              <w:rPr>
                <w:rFonts w:ascii="Arial Narrow" w:hAnsi="Arial Narrow"/>
                <w:sz w:val="20"/>
              </w:rPr>
              <w:t>13 (7-42)</w:t>
            </w:r>
          </w:p>
        </w:tc>
        <w:tc>
          <w:tcPr>
            <w:tcW w:w="2693" w:type="dxa"/>
          </w:tcPr>
          <w:p w:rsidR="00976835" w:rsidRPr="00976835" w:rsidRDefault="00976835" w:rsidP="005550D5">
            <w:pPr>
              <w:jc w:val="center"/>
              <w:rPr>
                <w:rFonts w:ascii="Arial Narrow" w:hAnsi="Arial Narrow"/>
                <w:sz w:val="20"/>
              </w:rPr>
            </w:pPr>
          </w:p>
          <w:p w:rsidR="00976835" w:rsidRPr="00976835" w:rsidRDefault="00976835" w:rsidP="005550D5">
            <w:pPr>
              <w:jc w:val="center"/>
              <w:rPr>
                <w:rFonts w:ascii="Arial Narrow" w:hAnsi="Arial Narrow"/>
                <w:sz w:val="20"/>
              </w:rPr>
            </w:pPr>
            <w:r w:rsidRPr="00976835">
              <w:rPr>
                <w:rFonts w:ascii="Arial Narrow" w:hAnsi="Arial Narrow"/>
                <w:sz w:val="20"/>
              </w:rPr>
              <w:t>12.0 (5.0)</w:t>
            </w:r>
          </w:p>
          <w:p w:rsidR="00976835" w:rsidRPr="00976835" w:rsidRDefault="00976835" w:rsidP="005550D5">
            <w:pPr>
              <w:jc w:val="center"/>
              <w:rPr>
                <w:rFonts w:ascii="Arial Narrow" w:hAnsi="Arial Narrow"/>
                <w:sz w:val="20"/>
              </w:rPr>
            </w:pPr>
            <w:r w:rsidRPr="00976835">
              <w:rPr>
                <w:rFonts w:ascii="Arial Narrow" w:hAnsi="Arial Narrow"/>
                <w:sz w:val="20"/>
              </w:rPr>
              <w:t>11 (1-28)</w:t>
            </w:r>
          </w:p>
        </w:tc>
      </w:tr>
      <w:tr w:rsidR="00976835" w:rsidRPr="00976835" w:rsidTr="005550D5">
        <w:tc>
          <w:tcPr>
            <w:tcW w:w="3086" w:type="dxa"/>
          </w:tcPr>
          <w:p w:rsidR="00976835" w:rsidRPr="00976835" w:rsidRDefault="00976835" w:rsidP="005550D5">
            <w:pPr>
              <w:jc w:val="left"/>
              <w:rPr>
                <w:rFonts w:ascii="Arial Narrow" w:hAnsi="Arial Narrow"/>
                <w:sz w:val="20"/>
              </w:rPr>
            </w:pPr>
            <w:r w:rsidRPr="00976835">
              <w:rPr>
                <w:rFonts w:ascii="Arial Narrow" w:hAnsi="Arial Narrow"/>
                <w:sz w:val="20"/>
              </w:rPr>
              <w:t xml:space="preserve">Total dose (IU) </w:t>
            </w:r>
          </w:p>
          <w:p w:rsidR="00976835" w:rsidRPr="00976835" w:rsidRDefault="00976835" w:rsidP="005550D5">
            <w:pPr>
              <w:ind w:left="224"/>
              <w:jc w:val="left"/>
              <w:rPr>
                <w:rFonts w:ascii="Arial Narrow" w:hAnsi="Arial Narrow"/>
                <w:sz w:val="20"/>
              </w:rPr>
            </w:pPr>
            <w:r w:rsidRPr="00976835">
              <w:rPr>
                <w:rFonts w:ascii="Arial Narrow" w:hAnsi="Arial Narrow"/>
                <w:sz w:val="20"/>
              </w:rPr>
              <w:t>Mean (SD)</w:t>
            </w:r>
          </w:p>
          <w:p w:rsidR="00976835" w:rsidRPr="00976835" w:rsidRDefault="00976835" w:rsidP="005550D5">
            <w:pPr>
              <w:ind w:left="224"/>
              <w:jc w:val="left"/>
              <w:rPr>
                <w:rFonts w:ascii="Arial Narrow" w:hAnsi="Arial Narrow"/>
                <w:sz w:val="20"/>
              </w:rPr>
            </w:pPr>
            <w:r w:rsidRPr="00976835">
              <w:rPr>
                <w:rFonts w:ascii="Arial Narrow" w:hAnsi="Arial Narrow"/>
                <w:sz w:val="20"/>
              </w:rPr>
              <w:t>Median (range)</w:t>
            </w:r>
          </w:p>
        </w:tc>
        <w:tc>
          <w:tcPr>
            <w:tcW w:w="2693" w:type="dxa"/>
          </w:tcPr>
          <w:p w:rsidR="00976835" w:rsidRPr="00976835" w:rsidRDefault="00976835" w:rsidP="005550D5">
            <w:pPr>
              <w:jc w:val="center"/>
              <w:rPr>
                <w:rFonts w:ascii="Arial Narrow" w:hAnsi="Arial Narrow"/>
                <w:sz w:val="20"/>
              </w:rPr>
            </w:pPr>
          </w:p>
          <w:p w:rsidR="00976835" w:rsidRPr="00976835" w:rsidRDefault="00976835" w:rsidP="005550D5">
            <w:pPr>
              <w:jc w:val="center"/>
              <w:rPr>
                <w:rFonts w:ascii="Arial Narrow" w:hAnsi="Arial Narrow"/>
                <w:sz w:val="20"/>
              </w:rPr>
            </w:pPr>
            <w:r w:rsidRPr="00976835">
              <w:rPr>
                <w:rFonts w:ascii="Arial Narrow" w:hAnsi="Arial Narrow"/>
                <w:sz w:val="20"/>
              </w:rPr>
              <w:t>1491 (1177)</w:t>
            </w:r>
          </w:p>
          <w:p w:rsidR="00976835" w:rsidRPr="00976835" w:rsidRDefault="00976835" w:rsidP="005550D5">
            <w:pPr>
              <w:jc w:val="center"/>
              <w:rPr>
                <w:rFonts w:ascii="Arial Narrow" w:hAnsi="Arial Narrow"/>
                <w:sz w:val="20"/>
              </w:rPr>
            </w:pPr>
            <w:r w:rsidRPr="00976835">
              <w:rPr>
                <w:rFonts w:ascii="Arial Narrow" w:hAnsi="Arial Narrow"/>
                <w:sz w:val="20"/>
              </w:rPr>
              <w:t>1088 (525-6338)</w:t>
            </w:r>
          </w:p>
        </w:tc>
        <w:tc>
          <w:tcPr>
            <w:tcW w:w="2693" w:type="dxa"/>
          </w:tcPr>
          <w:p w:rsidR="00976835" w:rsidRPr="00976835" w:rsidRDefault="00976835" w:rsidP="005550D5">
            <w:pPr>
              <w:jc w:val="center"/>
              <w:rPr>
                <w:rFonts w:ascii="Arial Narrow" w:hAnsi="Arial Narrow"/>
                <w:sz w:val="20"/>
              </w:rPr>
            </w:pPr>
          </w:p>
          <w:p w:rsidR="00976835" w:rsidRPr="00976835" w:rsidRDefault="00976835" w:rsidP="005550D5">
            <w:pPr>
              <w:jc w:val="center"/>
              <w:rPr>
                <w:rFonts w:ascii="Arial Narrow" w:hAnsi="Arial Narrow"/>
                <w:sz w:val="20"/>
              </w:rPr>
            </w:pPr>
            <w:r w:rsidRPr="00976835">
              <w:rPr>
                <w:rFonts w:ascii="Arial Narrow" w:hAnsi="Arial Narrow"/>
                <w:sz w:val="20"/>
              </w:rPr>
              <w:t>1022 (580)</w:t>
            </w:r>
          </w:p>
          <w:p w:rsidR="00976835" w:rsidRPr="00976835" w:rsidRDefault="00976835" w:rsidP="005550D5">
            <w:pPr>
              <w:jc w:val="center"/>
              <w:rPr>
                <w:rFonts w:ascii="Arial Narrow" w:hAnsi="Arial Narrow"/>
                <w:sz w:val="20"/>
              </w:rPr>
            </w:pPr>
            <w:r w:rsidRPr="00976835">
              <w:rPr>
                <w:rFonts w:ascii="Arial Narrow" w:hAnsi="Arial Narrow"/>
                <w:sz w:val="20"/>
              </w:rPr>
              <w:t>825 (75-2963)</w:t>
            </w:r>
          </w:p>
        </w:tc>
      </w:tr>
      <w:tr w:rsidR="00976835" w:rsidRPr="00976835" w:rsidTr="005550D5">
        <w:tc>
          <w:tcPr>
            <w:tcW w:w="3086" w:type="dxa"/>
          </w:tcPr>
          <w:p w:rsidR="00976835" w:rsidRPr="00976835" w:rsidRDefault="00976835" w:rsidP="005550D5">
            <w:pPr>
              <w:jc w:val="left"/>
              <w:rPr>
                <w:rFonts w:ascii="Arial Narrow" w:hAnsi="Arial Narrow"/>
                <w:sz w:val="20"/>
              </w:rPr>
            </w:pPr>
            <w:r w:rsidRPr="00976835">
              <w:rPr>
                <w:rFonts w:ascii="Arial Narrow" w:hAnsi="Arial Narrow"/>
                <w:sz w:val="20"/>
              </w:rPr>
              <w:t>Threshold dose</w:t>
            </w:r>
            <w:r w:rsidRPr="00976835">
              <w:rPr>
                <w:rFonts w:ascii="Arial Narrow" w:hAnsi="Arial Narrow"/>
                <w:sz w:val="20"/>
                <w:vertAlign w:val="superscript"/>
              </w:rPr>
              <w:t>a</w:t>
            </w:r>
            <w:r w:rsidRPr="00976835">
              <w:rPr>
                <w:rFonts w:ascii="Arial Narrow" w:hAnsi="Arial Narrow"/>
                <w:sz w:val="20"/>
              </w:rPr>
              <w:t>, n (%)</w:t>
            </w:r>
          </w:p>
          <w:p w:rsidR="00976835" w:rsidRPr="00976835" w:rsidRDefault="00976835" w:rsidP="005550D5">
            <w:pPr>
              <w:ind w:left="224"/>
              <w:jc w:val="left"/>
              <w:rPr>
                <w:rFonts w:ascii="Arial Narrow" w:hAnsi="Arial Narrow"/>
                <w:sz w:val="20"/>
              </w:rPr>
            </w:pPr>
            <w:r w:rsidRPr="00976835">
              <w:rPr>
                <w:rFonts w:ascii="Arial Narrow" w:hAnsi="Arial Narrow"/>
                <w:sz w:val="20"/>
              </w:rPr>
              <w:t>75 IU</w:t>
            </w:r>
          </w:p>
          <w:p w:rsidR="00976835" w:rsidRPr="00976835" w:rsidRDefault="00976835" w:rsidP="005550D5">
            <w:pPr>
              <w:ind w:left="224"/>
              <w:jc w:val="left"/>
              <w:rPr>
                <w:rFonts w:ascii="Arial Narrow" w:hAnsi="Arial Narrow"/>
                <w:sz w:val="20"/>
              </w:rPr>
            </w:pPr>
            <w:r w:rsidRPr="00976835">
              <w:rPr>
                <w:rFonts w:ascii="Arial Narrow" w:hAnsi="Arial Narrow"/>
                <w:sz w:val="20"/>
              </w:rPr>
              <w:t>112.5 IU</w:t>
            </w:r>
          </w:p>
          <w:p w:rsidR="00976835" w:rsidRPr="00976835" w:rsidRDefault="00976835" w:rsidP="005550D5">
            <w:pPr>
              <w:ind w:left="224"/>
              <w:jc w:val="left"/>
              <w:rPr>
                <w:rFonts w:ascii="Arial Narrow" w:hAnsi="Arial Narrow"/>
                <w:sz w:val="20"/>
              </w:rPr>
            </w:pPr>
            <w:r w:rsidRPr="00976835">
              <w:rPr>
                <w:rFonts w:ascii="Arial Narrow" w:hAnsi="Arial Narrow"/>
                <w:sz w:val="20"/>
              </w:rPr>
              <w:t>150 IU</w:t>
            </w:r>
          </w:p>
          <w:p w:rsidR="00976835" w:rsidRPr="00976835" w:rsidRDefault="00976835" w:rsidP="005550D5">
            <w:pPr>
              <w:ind w:left="224"/>
              <w:jc w:val="left"/>
              <w:rPr>
                <w:rFonts w:ascii="Arial Narrow" w:hAnsi="Arial Narrow"/>
                <w:sz w:val="20"/>
              </w:rPr>
            </w:pPr>
            <w:r w:rsidRPr="00976835">
              <w:rPr>
                <w:rFonts w:ascii="Arial Narrow" w:hAnsi="Arial Narrow"/>
                <w:sz w:val="20"/>
              </w:rPr>
              <w:t>187.5 IU</w:t>
            </w:r>
          </w:p>
        </w:tc>
        <w:tc>
          <w:tcPr>
            <w:tcW w:w="2693" w:type="dxa"/>
          </w:tcPr>
          <w:p w:rsidR="00976835" w:rsidRPr="00976835" w:rsidRDefault="00976835" w:rsidP="005550D5">
            <w:pPr>
              <w:jc w:val="center"/>
              <w:rPr>
                <w:rFonts w:ascii="Arial Narrow" w:hAnsi="Arial Narrow"/>
                <w:sz w:val="20"/>
              </w:rPr>
            </w:pPr>
            <w:r w:rsidRPr="00976835">
              <w:rPr>
                <w:rFonts w:ascii="Arial Narrow" w:hAnsi="Arial Narrow"/>
                <w:sz w:val="20"/>
              </w:rPr>
              <w:t>83 (100%)</w:t>
            </w:r>
          </w:p>
          <w:p w:rsidR="00976835" w:rsidRPr="00976835" w:rsidRDefault="00976835" w:rsidP="005550D5">
            <w:pPr>
              <w:jc w:val="center"/>
              <w:rPr>
                <w:rFonts w:ascii="Arial Narrow" w:hAnsi="Arial Narrow"/>
                <w:sz w:val="20"/>
              </w:rPr>
            </w:pPr>
            <w:r w:rsidRPr="00976835">
              <w:rPr>
                <w:rFonts w:ascii="Arial Narrow" w:hAnsi="Arial Narrow"/>
                <w:sz w:val="20"/>
              </w:rPr>
              <w:t>44 (53%)</w:t>
            </w:r>
          </w:p>
          <w:p w:rsidR="00976835" w:rsidRPr="00976835" w:rsidRDefault="00976835" w:rsidP="005550D5">
            <w:pPr>
              <w:jc w:val="center"/>
              <w:rPr>
                <w:rFonts w:ascii="Arial Narrow" w:hAnsi="Arial Narrow"/>
                <w:sz w:val="20"/>
              </w:rPr>
            </w:pPr>
            <w:r w:rsidRPr="00976835">
              <w:rPr>
                <w:rFonts w:ascii="Arial Narrow" w:hAnsi="Arial Narrow"/>
                <w:sz w:val="20"/>
              </w:rPr>
              <w:t>28 (34%)</w:t>
            </w:r>
          </w:p>
          <w:p w:rsidR="00976835" w:rsidRPr="00976835" w:rsidRDefault="00976835" w:rsidP="005550D5">
            <w:pPr>
              <w:jc w:val="center"/>
              <w:rPr>
                <w:rFonts w:ascii="Arial Narrow" w:hAnsi="Arial Narrow"/>
                <w:sz w:val="20"/>
              </w:rPr>
            </w:pPr>
            <w:r w:rsidRPr="00976835">
              <w:rPr>
                <w:rFonts w:ascii="Arial Narrow" w:hAnsi="Arial Narrow"/>
                <w:sz w:val="20"/>
              </w:rPr>
              <w:t>6 (7%)</w:t>
            </w:r>
          </w:p>
          <w:p w:rsidR="00976835" w:rsidRPr="00976835" w:rsidRDefault="00976835" w:rsidP="005550D5">
            <w:pPr>
              <w:jc w:val="center"/>
              <w:rPr>
                <w:rFonts w:ascii="Arial Narrow" w:hAnsi="Arial Narrow"/>
                <w:sz w:val="20"/>
              </w:rPr>
            </w:pPr>
            <w:r w:rsidRPr="00976835">
              <w:rPr>
                <w:rFonts w:ascii="Arial Narrow" w:hAnsi="Arial Narrow"/>
                <w:sz w:val="20"/>
              </w:rPr>
              <w:t>5 (6%)</w:t>
            </w:r>
          </w:p>
        </w:tc>
        <w:tc>
          <w:tcPr>
            <w:tcW w:w="2693" w:type="dxa"/>
          </w:tcPr>
          <w:p w:rsidR="00976835" w:rsidRPr="00976835" w:rsidRDefault="00976835" w:rsidP="005550D5">
            <w:pPr>
              <w:jc w:val="center"/>
              <w:rPr>
                <w:rFonts w:ascii="Arial Narrow" w:hAnsi="Arial Narrow"/>
                <w:sz w:val="20"/>
              </w:rPr>
            </w:pPr>
            <w:r w:rsidRPr="00976835">
              <w:rPr>
                <w:rFonts w:ascii="Arial Narrow" w:hAnsi="Arial Narrow"/>
                <w:sz w:val="20"/>
              </w:rPr>
              <w:t>82 (100%)</w:t>
            </w:r>
          </w:p>
          <w:p w:rsidR="00976835" w:rsidRPr="00976835" w:rsidRDefault="00976835" w:rsidP="005550D5">
            <w:pPr>
              <w:jc w:val="center"/>
              <w:rPr>
                <w:rFonts w:ascii="Arial Narrow" w:hAnsi="Arial Narrow"/>
                <w:sz w:val="20"/>
              </w:rPr>
            </w:pPr>
            <w:r w:rsidRPr="00976835">
              <w:rPr>
                <w:rFonts w:ascii="Arial Narrow" w:hAnsi="Arial Narrow"/>
                <w:sz w:val="20"/>
              </w:rPr>
              <w:t>61 (74%)</w:t>
            </w:r>
          </w:p>
          <w:p w:rsidR="00976835" w:rsidRPr="00976835" w:rsidRDefault="00976835" w:rsidP="005550D5">
            <w:pPr>
              <w:jc w:val="center"/>
              <w:rPr>
                <w:rFonts w:ascii="Arial Narrow" w:hAnsi="Arial Narrow"/>
                <w:sz w:val="20"/>
              </w:rPr>
            </w:pPr>
            <w:r w:rsidRPr="00976835">
              <w:rPr>
                <w:rFonts w:ascii="Arial Narrow" w:hAnsi="Arial Narrow"/>
                <w:sz w:val="20"/>
              </w:rPr>
              <w:t>17 (21%)</w:t>
            </w:r>
          </w:p>
          <w:p w:rsidR="00976835" w:rsidRPr="00976835" w:rsidRDefault="00976835" w:rsidP="005550D5">
            <w:pPr>
              <w:jc w:val="center"/>
              <w:rPr>
                <w:rFonts w:ascii="Arial Narrow" w:hAnsi="Arial Narrow"/>
                <w:sz w:val="20"/>
              </w:rPr>
            </w:pPr>
            <w:r w:rsidRPr="00976835">
              <w:rPr>
                <w:rFonts w:ascii="Arial Narrow" w:hAnsi="Arial Narrow"/>
                <w:sz w:val="20"/>
              </w:rPr>
              <w:t>4 (5%)</w:t>
            </w:r>
          </w:p>
          <w:p w:rsidR="00976835" w:rsidRPr="00976835" w:rsidRDefault="00976835" w:rsidP="005550D5">
            <w:pPr>
              <w:jc w:val="center"/>
              <w:rPr>
                <w:rFonts w:ascii="Arial Narrow" w:hAnsi="Arial Narrow"/>
                <w:sz w:val="20"/>
              </w:rPr>
            </w:pPr>
            <w:r w:rsidRPr="00976835">
              <w:rPr>
                <w:rFonts w:ascii="Arial Narrow" w:hAnsi="Arial Narrow"/>
                <w:sz w:val="20"/>
              </w:rPr>
              <w:t>-</w:t>
            </w:r>
          </w:p>
        </w:tc>
      </w:tr>
    </w:tbl>
    <w:p w:rsidR="00976835" w:rsidRPr="00976835" w:rsidRDefault="00976835" w:rsidP="00976835">
      <w:pPr>
        <w:pStyle w:val="TableFooter"/>
        <w:ind w:left="720"/>
      </w:pPr>
      <w:r w:rsidRPr="00976835">
        <w:t>Source: submission Table B-12 p34</w:t>
      </w:r>
    </w:p>
    <w:p w:rsidR="00976835" w:rsidRPr="00976835" w:rsidRDefault="00976835" w:rsidP="00976835">
      <w:pPr>
        <w:pStyle w:val="TableFooter"/>
        <w:ind w:left="720"/>
      </w:pPr>
      <w:r w:rsidRPr="00976835">
        <w:t>Abbreviations: hCG = human chorionic gonadotrophin; HP-hMG = highly purified human menopausal gonadotrophin; SD = standard deviation</w:t>
      </w:r>
    </w:p>
    <w:p w:rsidR="00976835" w:rsidRDefault="00976835" w:rsidP="00976835">
      <w:pPr>
        <w:pStyle w:val="TableFooter"/>
        <w:ind w:left="720"/>
      </w:pPr>
      <w:r w:rsidRPr="00976835">
        <w:rPr>
          <w:vertAlign w:val="superscript"/>
        </w:rPr>
        <w:t>a</w:t>
      </w:r>
      <w:r w:rsidRPr="00976835">
        <w:t xml:space="preserve"> Only applicable, if the hCG criteria are met</w:t>
      </w:r>
    </w:p>
    <w:p w:rsidR="00C72DB6" w:rsidRPr="00976835" w:rsidRDefault="00C72DB6" w:rsidP="00976835">
      <w:pPr>
        <w:pStyle w:val="TableFooter"/>
        <w:ind w:left="720"/>
      </w:pPr>
    </w:p>
    <w:p w:rsidR="00976835" w:rsidRPr="00C72DB6" w:rsidRDefault="00976835" w:rsidP="00C72DB6">
      <w:pPr>
        <w:pStyle w:val="ListParagraph"/>
        <w:widowControl/>
        <w:numPr>
          <w:ilvl w:val="1"/>
          <w:numId w:val="1"/>
        </w:numPr>
      </w:pPr>
      <w:r w:rsidRPr="00C72DB6">
        <w:t>The equi-effective doses of HP-hMG and follitropin alfa for the ART indication were based on the weighted average doses reported in the six key trials included in the ART submission. Using the same approach for the anovulatory infertility indication, the equi-effective doses would be HP-hMG 1.46 IU (1491 / 1022) and follitropin alfa 1.00 IU</w:t>
      </w:r>
      <w:r w:rsidR="00E37A5D" w:rsidRPr="00C72DB6">
        <w:t>, based on the mean trial doses</w:t>
      </w:r>
      <w:r w:rsidRPr="00C72DB6">
        <w:t xml:space="preserve">. </w:t>
      </w:r>
    </w:p>
    <w:p w:rsidR="00B77ED4" w:rsidRPr="00C72DB6" w:rsidRDefault="00B77ED4" w:rsidP="009B047C"/>
    <w:p w:rsidR="00B77ED4" w:rsidRDefault="00B77ED4" w:rsidP="00C72DB6">
      <w:pPr>
        <w:pStyle w:val="ListParagraph"/>
        <w:numPr>
          <w:ilvl w:val="1"/>
          <w:numId w:val="1"/>
        </w:numPr>
        <w:rPr>
          <w:i/>
        </w:rPr>
      </w:pPr>
      <w:r w:rsidRPr="00C72DB6">
        <w:t xml:space="preserve">The PSCR </w:t>
      </w:r>
      <w:r w:rsidR="003D1801" w:rsidRPr="00C72DB6">
        <w:t xml:space="preserve">(p.1-2) </w:t>
      </w:r>
      <w:r w:rsidRPr="00C72DB6">
        <w:t>dispute</w:t>
      </w:r>
      <w:r w:rsidR="00F50F85" w:rsidRPr="00C72DB6">
        <w:t>d</w:t>
      </w:r>
      <w:r w:rsidRPr="00C72DB6">
        <w:t xml:space="preserve"> the </w:t>
      </w:r>
      <w:r w:rsidR="003D1801" w:rsidRPr="00C72DB6">
        <w:t>e</w:t>
      </w:r>
      <w:r w:rsidRPr="00C72DB6">
        <w:t xml:space="preserve">valuator’s proposal that </w:t>
      </w:r>
      <w:r w:rsidR="00E37A5D" w:rsidRPr="00C72DB6">
        <w:t>the</w:t>
      </w:r>
      <w:r w:rsidR="003D1801" w:rsidRPr="00C72DB6">
        <w:t xml:space="preserve"> </w:t>
      </w:r>
      <w:r w:rsidRPr="00C72DB6">
        <w:t>equi-effective dose</w:t>
      </w:r>
      <w:r w:rsidR="003D1801" w:rsidRPr="00C72DB6">
        <w:t xml:space="preserve"> ratio should be</w:t>
      </w:r>
      <w:r w:rsidRPr="00C72DB6">
        <w:t xml:space="preserve"> HP-hMG 1.46 IU and follitropin alfa 1.00 IU. The PSCR </w:t>
      </w:r>
      <w:r w:rsidR="003D1801" w:rsidRPr="00C72DB6">
        <w:t>argued</w:t>
      </w:r>
      <w:r w:rsidRPr="00C72DB6">
        <w:t xml:space="preserve"> that the higher doses used in the HP-hMG group may be at least in part due to differences in major baseline characteristics at entry</w:t>
      </w:r>
      <w:r w:rsidRPr="008E51EE">
        <w:rPr>
          <w:i/>
        </w:rPr>
        <w:t>.</w:t>
      </w:r>
    </w:p>
    <w:p w:rsidR="00E37A5D" w:rsidRDefault="00E37A5D" w:rsidP="00E37A5D">
      <w:pPr>
        <w:pStyle w:val="ListParagraph"/>
      </w:pPr>
    </w:p>
    <w:p w:rsidR="0046228E" w:rsidRDefault="0046228E">
      <w:pPr>
        <w:widowControl/>
        <w:jc w:val="left"/>
      </w:pPr>
      <w:r>
        <w:br w:type="page"/>
      </w:r>
    </w:p>
    <w:p w:rsidR="00804B08" w:rsidRDefault="00804B08" w:rsidP="00E37A5D">
      <w:pPr>
        <w:pStyle w:val="ListParagraph"/>
      </w:pPr>
    </w:p>
    <w:p w:rsidR="00804B08" w:rsidRDefault="00804B08" w:rsidP="00E37A5D">
      <w:pPr>
        <w:pStyle w:val="ListParagraph"/>
        <w:rPr>
          <w:rFonts w:ascii="Arial Narrow" w:hAnsi="Arial Narrow"/>
          <w:b/>
          <w:sz w:val="20"/>
        </w:rPr>
      </w:pPr>
    </w:p>
    <w:p w:rsidR="00E37A5D" w:rsidRPr="009F7C6E" w:rsidRDefault="00E37A5D" w:rsidP="00E37A5D">
      <w:pPr>
        <w:pStyle w:val="ListParagraph"/>
        <w:rPr>
          <w:rFonts w:ascii="Arial Narrow" w:hAnsi="Arial Narrow"/>
          <w:b/>
          <w:sz w:val="20"/>
        </w:rPr>
      </w:pPr>
      <w:r w:rsidRPr="009F7C6E">
        <w:rPr>
          <w:rFonts w:ascii="Arial Narrow" w:hAnsi="Arial Narrow"/>
          <w:b/>
          <w:sz w:val="20"/>
        </w:rPr>
        <w:t>Table 7: Summary statistics of total gonadotrophin dose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10"/>
        <w:gridCol w:w="2310"/>
        <w:gridCol w:w="1431"/>
      </w:tblGrid>
      <w:tr w:rsidR="00E37A5D" w:rsidRPr="009F7C6E" w:rsidTr="00E37A5D">
        <w:tc>
          <w:tcPr>
            <w:tcW w:w="2312" w:type="dxa"/>
            <w:vMerge w:val="restart"/>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Summary statistic</w:t>
            </w:r>
          </w:p>
        </w:tc>
        <w:tc>
          <w:tcPr>
            <w:tcW w:w="4620" w:type="dxa"/>
            <w:gridSpan w:val="2"/>
            <w:shd w:val="clear" w:color="auto" w:fill="auto"/>
          </w:tcPr>
          <w:p w:rsidR="00E37A5D" w:rsidRPr="009F7C6E" w:rsidRDefault="00E37A5D" w:rsidP="00CB3789">
            <w:pPr>
              <w:ind w:right="-650"/>
              <w:jc w:val="center"/>
              <w:rPr>
                <w:rFonts w:ascii="Arial Narrow" w:hAnsi="Arial Narrow"/>
                <w:sz w:val="20"/>
                <w:szCs w:val="22"/>
              </w:rPr>
            </w:pPr>
            <w:r w:rsidRPr="009F7C6E">
              <w:rPr>
                <w:rFonts w:ascii="Arial Narrow" w:hAnsi="Arial Narrow"/>
                <w:sz w:val="20"/>
                <w:szCs w:val="22"/>
              </w:rPr>
              <w:t>Total gonadotrophin dose</w:t>
            </w:r>
          </w:p>
        </w:tc>
        <w:tc>
          <w:tcPr>
            <w:tcW w:w="1431" w:type="dxa"/>
            <w:shd w:val="clear" w:color="auto" w:fill="auto"/>
          </w:tcPr>
          <w:p w:rsidR="00E37A5D" w:rsidRPr="009F7C6E" w:rsidRDefault="00E37A5D" w:rsidP="00CB3789">
            <w:pPr>
              <w:ind w:right="-650"/>
              <w:rPr>
                <w:rFonts w:ascii="Arial Narrow" w:hAnsi="Arial Narrow"/>
                <w:sz w:val="20"/>
                <w:szCs w:val="22"/>
              </w:rPr>
            </w:pPr>
          </w:p>
        </w:tc>
      </w:tr>
      <w:tr w:rsidR="00E37A5D" w:rsidRPr="009F7C6E" w:rsidTr="00E37A5D">
        <w:tc>
          <w:tcPr>
            <w:tcW w:w="2312" w:type="dxa"/>
            <w:vMerge/>
            <w:shd w:val="clear" w:color="auto" w:fill="auto"/>
          </w:tcPr>
          <w:p w:rsidR="00E37A5D" w:rsidRPr="009F7C6E" w:rsidRDefault="00E37A5D" w:rsidP="00CB3789">
            <w:pPr>
              <w:ind w:right="-650"/>
              <w:rPr>
                <w:rFonts w:ascii="Arial Narrow" w:hAnsi="Arial Narrow"/>
                <w:sz w:val="20"/>
                <w:szCs w:val="22"/>
              </w:rPr>
            </w:pP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HP-hMG (IU)</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rFSH (IU)</w:t>
            </w:r>
          </w:p>
        </w:tc>
        <w:tc>
          <w:tcPr>
            <w:tcW w:w="1431"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Ratio</w:t>
            </w:r>
          </w:p>
        </w:tc>
      </w:tr>
      <w:tr w:rsidR="00E37A5D" w:rsidRPr="009F7C6E" w:rsidTr="00E37A5D">
        <w:tc>
          <w:tcPr>
            <w:tcW w:w="2312"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Mean ITT</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1491</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1022</w:t>
            </w:r>
          </w:p>
        </w:tc>
        <w:tc>
          <w:tcPr>
            <w:tcW w:w="1431"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1.46</w:t>
            </w:r>
          </w:p>
        </w:tc>
      </w:tr>
      <w:tr w:rsidR="00E37A5D" w:rsidRPr="009F7C6E" w:rsidTr="00E37A5D">
        <w:tc>
          <w:tcPr>
            <w:tcW w:w="2312" w:type="dxa"/>
            <w:shd w:val="clear" w:color="auto" w:fill="auto"/>
          </w:tcPr>
          <w:p w:rsidR="00E37A5D" w:rsidRPr="009F7C6E" w:rsidRDefault="00E37A5D" w:rsidP="00CB3789">
            <w:pPr>
              <w:rPr>
                <w:rFonts w:ascii="Arial Narrow" w:hAnsi="Arial Narrow"/>
                <w:sz w:val="20"/>
              </w:rPr>
            </w:pPr>
            <w:r w:rsidRPr="009F7C6E">
              <w:rPr>
                <w:rFonts w:ascii="Arial Narrow" w:hAnsi="Arial Narrow"/>
                <w:sz w:val="20"/>
              </w:rPr>
              <w:t xml:space="preserve">Median ITT </w:t>
            </w:r>
          </w:p>
        </w:tc>
        <w:tc>
          <w:tcPr>
            <w:tcW w:w="2310" w:type="dxa"/>
            <w:shd w:val="clear" w:color="auto" w:fill="auto"/>
          </w:tcPr>
          <w:p w:rsidR="00E37A5D" w:rsidRPr="009F7C6E" w:rsidRDefault="00E37A5D" w:rsidP="00CB3789">
            <w:pPr>
              <w:rPr>
                <w:rFonts w:ascii="Arial Narrow" w:hAnsi="Arial Narrow"/>
                <w:sz w:val="20"/>
              </w:rPr>
            </w:pPr>
            <w:r w:rsidRPr="009F7C6E">
              <w:rPr>
                <w:rFonts w:ascii="Arial Narrow" w:hAnsi="Arial Narrow"/>
                <w:sz w:val="20"/>
              </w:rPr>
              <w:t>1088</w:t>
            </w:r>
          </w:p>
        </w:tc>
        <w:tc>
          <w:tcPr>
            <w:tcW w:w="2310" w:type="dxa"/>
            <w:shd w:val="clear" w:color="auto" w:fill="auto"/>
          </w:tcPr>
          <w:p w:rsidR="00E37A5D" w:rsidRPr="009F7C6E" w:rsidRDefault="00E37A5D" w:rsidP="00CB3789">
            <w:pPr>
              <w:rPr>
                <w:rFonts w:ascii="Arial Narrow" w:hAnsi="Arial Narrow"/>
                <w:sz w:val="20"/>
              </w:rPr>
            </w:pPr>
            <w:r w:rsidRPr="009F7C6E">
              <w:rPr>
                <w:rFonts w:ascii="Arial Narrow" w:hAnsi="Arial Narrow"/>
                <w:sz w:val="20"/>
              </w:rPr>
              <w:t>825</w:t>
            </w:r>
          </w:p>
        </w:tc>
        <w:tc>
          <w:tcPr>
            <w:tcW w:w="1431" w:type="dxa"/>
            <w:shd w:val="clear" w:color="auto" w:fill="auto"/>
          </w:tcPr>
          <w:p w:rsidR="00E37A5D" w:rsidRPr="009F7C6E" w:rsidRDefault="00E37A5D" w:rsidP="00CB3789">
            <w:pPr>
              <w:rPr>
                <w:rFonts w:ascii="Arial Narrow" w:hAnsi="Arial Narrow"/>
                <w:sz w:val="20"/>
              </w:rPr>
            </w:pPr>
            <w:r w:rsidRPr="009F7C6E">
              <w:rPr>
                <w:rFonts w:ascii="Arial Narrow" w:hAnsi="Arial Narrow"/>
                <w:sz w:val="20"/>
              </w:rPr>
              <w:t>1.32</w:t>
            </w:r>
          </w:p>
        </w:tc>
      </w:tr>
      <w:tr w:rsidR="00E37A5D" w:rsidRPr="009F7C6E" w:rsidTr="00E37A5D">
        <w:tc>
          <w:tcPr>
            <w:tcW w:w="2312"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Mean PP</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1390</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981</w:t>
            </w:r>
          </w:p>
        </w:tc>
        <w:tc>
          <w:tcPr>
            <w:tcW w:w="1431"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1.42</w:t>
            </w:r>
          </w:p>
        </w:tc>
      </w:tr>
      <w:tr w:rsidR="00E37A5D" w:rsidRPr="009F7C6E" w:rsidTr="00E37A5D">
        <w:tc>
          <w:tcPr>
            <w:tcW w:w="2312"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Median PP</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938</w:t>
            </w:r>
          </w:p>
        </w:tc>
        <w:tc>
          <w:tcPr>
            <w:tcW w:w="2310"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825</w:t>
            </w:r>
          </w:p>
        </w:tc>
        <w:tc>
          <w:tcPr>
            <w:tcW w:w="1431" w:type="dxa"/>
            <w:shd w:val="clear" w:color="auto" w:fill="auto"/>
          </w:tcPr>
          <w:p w:rsidR="00E37A5D" w:rsidRPr="009F7C6E" w:rsidRDefault="00E37A5D" w:rsidP="00CB3789">
            <w:pPr>
              <w:ind w:right="-650"/>
              <w:rPr>
                <w:rFonts w:ascii="Arial Narrow" w:hAnsi="Arial Narrow"/>
                <w:sz w:val="20"/>
                <w:szCs w:val="22"/>
              </w:rPr>
            </w:pPr>
            <w:r w:rsidRPr="009F7C6E">
              <w:rPr>
                <w:rFonts w:ascii="Arial Narrow" w:hAnsi="Arial Narrow"/>
                <w:sz w:val="20"/>
                <w:szCs w:val="22"/>
              </w:rPr>
              <w:t>1.14</w:t>
            </w:r>
          </w:p>
        </w:tc>
      </w:tr>
    </w:tbl>
    <w:p w:rsidR="00E37A5D" w:rsidRPr="009F7C6E" w:rsidRDefault="00E37A5D" w:rsidP="00E37A5D">
      <w:pPr>
        <w:pStyle w:val="ListParagraph"/>
        <w:rPr>
          <w:rFonts w:ascii="Arial Narrow" w:hAnsi="Arial Narrow"/>
          <w:sz w:val="18"/>
        </w:rPr>
      </w:pPr>
      <w:r w:rsidRPr="009F7C6E">
        <w:rPr>
          <w:rFonts w:ascii="Arial Narrow" w:hAnsi="Arial Narrow"/>
          <w:sz w:val="18"/>
        </w:rPr>
        <w:t xml:space="preserve">Source: </w:t>
      </w:r>
      <w:r w:rsidR="008A2B6B" w:rsidRPr="009F7C6E">
        <w:rPr>
          <w:rFonts w:ascii="Arial Narrow" w:hAnsi="Arial Narrow"/>
          <w:sz w:val="18"/>
        </w:rPr>
        <w:t xml:space="preserve">Gonadotrophin </w:t>
      </w:r>
      <w:r w:rsidRPr="009F7C6E">
        <w:rPr>
          <w:rFonts w:ascii="Arial Narrow" w:hAnsi="Arial Narrow"/>
          <w:sz w:val="18"/>
        </w:rPr>
        <w:t>Pre-Sub-Committee Response, p.2</w:t>
      </w:r>
    </w:p>
    <w:p w:rsidR="00F50F85" w:rsidRDefault="00F50F85" w:rsidP="00F50F85">
      <w:pPr>
        <w:pStyle w:val="ListParagraph"/>
      </w:pPr>
    </w:p>
    <w:p w:rsidR="008E51EE" w:rsidRPr="00C72DB6" w:rsidRDefault="008E51EE" w:rsidP="00C72DB6">
      <w:pPr>
        <w:pStyle w:val="ListParagraph"/>
        <w:numPr>
          <w:ilvl w:val="1"/>
          <w:numId w:val="1"/>
        </w:numPr>
      </w:pPr>
      <w:r w:rsidRPr="00C72DB6">
        <w:t xml:space="preserve">The ESC </w:t>
      </w:r>
      <w:r w:rsidR="00DD433F" w:rsidRPr="00C72DB6">
        <w:t xml:space="preserve">agreed with the PSCR that the distribution of doses used was skewed, </w:t>
      </w:r>
      <w:r w:rsidR="000C3517" w:rsidRPr="00C72DB6">
        <w:t>however</w:t>
      </w:r>
      <w:r w:rsidR="00DD433F" w:rsidRPr="00C72DB6">
        <w:t xml:space="preserve"> </w:t>
      </w:r>
      <w:r w:rsidRPr="00C72DB6">
        <w:t xml:space="preserve">considered </w:t>
      </w:r>
      <w:r w:rsidR="00DD433F" w:rsidRPr="00C72DB6">
        <w:t>that</w:t>
      </w:r>
      <w:r w:rsidRPr="00C72DB6">
        <w:t xml:space="preserve"> it was appropriate to use the median </w:t>
      </w:r>
      <w:r w:rsidR="00DD433F" w:rsidRPr="00C72DB6">
        <w:t xml:space="preserve">ITT </w:t>
      </w:r>
      <w:r w:rsidRPr="00C72DB6">
        <w:t xml:space="preserve">doses to determine the equi-effective doses. The ESC </w:t>
      </w:r>
      <w:r w:rsidR="00331DE8" w:rsidRPr="00C72DB6">
        <w:t>considered</w:t>
      </w:r>
      <w:r w:rsidRPr="00C72DB6">
        <w:t xml:space="preserve"> that using the median </w:t>
      </w:r>
      <w:r w:rsidR="00DD433F" w:rsidRPr="00C72DB6">
        <w:t xml:space="preserve">ITT </w:t>
      </w:r>
      <w:r w:rsidRPr="00C72DB6">
        <w:t>dose</w:t>
      </w:r>
      <w:r w:rsidR="00DD433F" w:rsidRPr="00C72DB6">
        <w:t>s</w:t>
      </w:r>
      <w:r w:rsidRPr="00C72DB6">
        <w:t xml:space="preserve">, the equi-effective doses </w:t>
      </w:r>
      <w:r w:rsidR="00DD433F" w:rsidRPr="00C72DB6">
        <w:t>would be</w:t>
      </w:r>
      <w:r w:rsidRPr="00C72DB6">
        <w:t xml:space="preserve"> HP-hMG 1.32</w:t>
      </w:r>
      <w:r w:rsidR="00DD433F" w:rsidRPr="00C72DB6">
        <w:t xml:space="preserve"> </w:t>
      </w:r>
      <w:r w:rsidRPr="00C72DB6">
        <w:t>IU and follitropin alfa 1.00</w:t>
      </w:r>
      <w:r w:rsidR="00DD433F" w:rsidRPr="00C72DB6">
        <w:t xml:space="preserve"> </w:t>
      </w:r>
      <w:r w:rsidRPr="00C72DB6">
        <w:t>IU.</w:t>
      </w:r>
    </w:p>
    <w:p w:rsidR="00976835" w:rsidRPr="00C72DB6" w:rsidRDefault="00976835" w:rsidP="009B047C"/>
    <w:p w:rsidR="00976835" w:rsidRPr="00C72DB6" w:rsidRDefault="00976835" w:rsidP="00C72DB6">
      <w:pPr>
        <w:pStyle w:val="ListParagraph"/>
        <w:widowControl/>
        <w:numPr>
          <w:ilvl w:val="1"/>
          <w:numId w:val="1"/>
        </w:numPr>
      </w:pPr>
      <w:r w:rsidRPr="00C72DB6">
        <w:t>The requested price for HP-hMG 600 IU (AEMP $</w:t>
      </w:r>
      <w:r w:rsidR="00F94496">
        <w:rPr>
          <w:noProof/>
          <w:color w:val="000000"/>
          <w:highlight w:val="black"/>
        </w:rPr>
        <w:t>''''''''''''''''''</w:t>
      </w:r>
      <w:r w:rsidRPr="00C72DB6">
        <w:t xml:space="preserve"> per pack) is the same as the current price for HP-hMG for the ART indication. HP-hMG was listed at a lower price per IU compared with follitropin alfa for the ART indication to reflect the dose relativity of 1.01:1 and additional wastage. The overall price reduction was </w:t>
      </w:r>
      <w:r w:rsidR="00F94496">
        <w:rPr>
          <w:noProof/>
          <w:color w:val="000000"/>
          <w:highlight w:val="black"/>
        </w:rPr>
        <w:t>'''''''</w:t>
      </w:r>
      <w:r w:rsidRPr="00C72DB6">
        <w:t>% and hence HP-hMG was listed with an AEMP of $</w:t>
      </w:r>
      <w:r w:rsidR="00F94496">
        <w:rPr>
          <w:noProof/>
          <w:color w:val="000000"/>
          <w:highlight w:val="black"/>
        </w:rPr>
        <w:t>'''''''''''''''</w:t>
      </w:r>
      <w:r w:rsidRPr="00C72DB6">
        <w:t xml:space="preserve"> per IU compared with an AEMP of $</w:t>
      </w:r>
      <w:r w:rsidR="00F94496">
        <w:rPr>
          <w:noProof/>
          <w:color w:val="000000"/>
          <w:highlight w:val="black"/>
        </w:rPr>
        <w:t>''''''''''</w:t>
      </w:r>
      <w:r w:rsidRPr="00C72DB6">
        <w:t xml:space="preserve"> per IU for follitropin alfa.</w:t>
      </w:r>
    </w:p>
    <w:p w:rsidR="00976835" w:rsidRPr="00C72DB6" w:rsidRDefault="00976835" w:rsidP="00976835">
      <w:pPr>
        <w:pStyle w:val="ListParagraph"/>
        <w:widowControl/>
        <w:rPr>
          <w:szCs w:val="22"/>
        </w:rPr>
      </w:pPr>
    </w:p>
    <w:p w:rsidR="00976835" w:rsidRPr="00C72DB6" w:rsidRDefault="00976835" w:rsidP="00C72DB6">
      <w:pPr>
        <w:pStyle w:val="ListParagraph"/>
        <w:widowControl/>
        <w:numPr>
          <w:ilvl w:val="1"/>
          <w:numId w:val="1"/>
        </w:numPr>
        <w:rPr>
          <w:szCs w:val="22"/>
        </w:rPr>
      </w:pPr>
      <w:r w:rsidRPr="00C72DB6">
        <w:t xml:space="preserve">The proposed price for HP-hMG and the current prices for follitropin alfa are presented in Table </w:t>
      </w:r>
      <w:r w:rsidR="006E3221" w:rsidRPr="00C72DB6">
        <w:t>8</w:t>
      </w:r>
      <w:r w:rsidRPr="00C72DB6">
        <w:t xml:space="preserve">. The revised price calculated using the equi-effective doses from the </w:t>
      </w:r>
      <w:r w:rsidR="00E37A5D" w:rsidRPr="00C72DB6">
        <w:t xml:space="preserve">median </w:t>
      </w:r>
      <w:r w:rsidRPr="00C72DB6">
        <w:t xml:space="preserve">doses in CS002 to estimate the equi-effective doses are also presented in Table </w:t>
      </w:r>
      <w:r w:rsidR="006E3221" w:rsidRPr="00C72DB6">
        <w:t>8</w:t>
      </w:r>
      <w:r w:rsidRPr="00C72DB6">
        <w:t>.</w:t>
      </w:r>
      <w:bookmarkStart w:id="14" w:name="_GoBack"/>
      <w:bookmarkEnd w:id="14"/>
    </w:p>
    <w:p w:rsidR="00976835" w:rsidRPr="00C72DB6" w:rsidRDefault="00976835" w:rsidP="00976835">
      <w:pPr>
        <w:widowControl/>
      </w:pPr>
    </w:p>
    <w:p w:rsidR="00976835" w:rsidRPr="00C72DB6" w:rsidRDefault="00976835" w:rsidP="00C72DB6">
      <w:pPr>
        <w:pStyle w:val="ListParagraph"/>
        <w:widowControl/>
        <w:numPr>
          <w:ilvl w:val="1"/>
          <w:numId w:val="1"/>
        </w:numPr>
      </w:pPr>
      <w:r w:rsidRPr="00C72DB6">
        <w:t xml:space="preserve">As for the ART indication, there may be additional wastage with HP-hMG for the anovulatory infertility indication due to the availability of only one strength (600 IU) compared with three strengths for follitropin alfa (300 IU, 450 IU and 900 IU). </w:t>
      </w:r>
    </w:p>
    <w:p w:rsidR="00976835" w:rsidRPr="00976835" w:rsidRDefault="00976835" w:rsidP="009B047C"/>
    <w:p w:rsidR="00413DA7" w:rsidRPr="00804B08" w:rsidRDefault="00413DA7" w:rsidP="00413DA7">
      <w:pPr>
        <w:keepNext/>
        <w:ind w:firstLine="720"/>
        <w:rPr>
          <w:rStyle w:val="CommentReference"/>
        </w:rPr>
      </w:pPr>
      <w:r w:rsidRPr="00804B08">
        <w:rPr>
          <w:rStyle w:val="CommentReference"/>
        </w:rPr>
        <w:t xml:space="preserve">Table </w:t>
      </w:r>
      <w:r w:rsidR="006E3221" w:rsidRPr="00804B08">
        <w:rPr>
          <w:rStyle w:val="CommentReference"/>
        </w:rPr>
        <w:t>8</w:t>
      </w:r>
      <w:r w:rsidRPr="00804B08">
        <w:rPr>
          <w:rStyle w:val="CommentReference"/>
        </w:rPr>
        <w:t>: Proposed and revised HP-hMG prices using me</w:t>
      </w:r>
      <w:r w:rsidR="005E7692" w:rsidRPr="00804B08">
        <w:rPr>
          <w:rStyle w:val="CommentReference"/>
        </w:rPr>
        <w:t>dia</w:t>
      </w:r>
      <w:r w:rsidRPr="00804B08">
        <w:rPr>
          <w:rStyle w:val="CommentReference"/>
        </w:rPr>
        <w:t>n trial doses</w:t>
      </w:r>
    </w:p>
    <w:tbl>
      <w:tblPr>
        <w:tblStyle w:val="TableGrid"/>
        <w:tblW w:w="0" w:type="auto"/>
        <w:tblInd w:w="850" w:type="dxa"/>
        <w:tblLook w:val="04A0" w:firstRow="1" w:lastRow="0" w:firstColumn="1" w:lastColumn="0" w:noHBand="0" w:noVBand="1"/>
        <w:tblCaption w:val="Table 8: Proposed and revised HP-hMG prices using median trial doses"/>
      </w:tblPr>
      <w:tblGrid>
        <w:gridCol w:w="3511"/>
        <w:gridCol w:w="1276"/>
        <w:gridCol w:w="1417"/>
        <w:gridCol w:w="992"/>
        <w:gridCol w:w="1197"/>
      </w:tblGrid>
      <w:tr w:rsidR="00413DA7" w:rsidRPr="00976835" w:rsidTr="00CD1AC9">
        <w:trPr>
          <w:tblHeader/>
        </w:trPr>
        <w:tc>
          <w:tcPr>
            <w:tcW w:w="3511" w:type="dxa"/>
            <w:tcBorders>
              <w:bottom w:val="single" w:sz="4" w:space="0" w:color="auto"/>
            </w:tcBorders>
          </w:tcPr>
          <w:p w:rsidR="00413DA7" w:rsidRPr="00976835" w:rsidRDefault="00413DA7" w:rsidP="0087793E">
            <w:pPr>
              <w:keepNext/>
              <w:rPr>
                <w:rStyle w:val="CommentReference"/>
              </w:rPr>
            </w:pPr>
          </w:p>
        </w:tc>
        <w:tc>
          <w:tcPr>
            <w:tcW w:w="1276" w:type="dxa"/>
            <w:tcBorders>
              <w:bottom w:val="single" w:sz="4" w:space="0" w:color="auto"/>
            </w:tcBorders>
          </w:tcPr>
          <w:p w:rsidR="00413DA7" w:rsidRPr="00976835" w:rsidRDefault="00413DA7" w:rsidP="0087793E">
            <w:pPr>
              <w:keepNext/>
              <w:jc w:val="center"/>
              <w:rPr>
                <w:rStyle w:val="CommentReference"/>
              </w:rPr>
            </w:pPr>
            <w:r w:rsidRPr="00976835">
              <w:rPr>
                <w:rStyle w:val="CommentReference"/>
              </w:rPr>
              <w:t>AEMP per IU</w:t>
            </w:r>
          </w:p>
        </w:tc>
        <w:tc>
          <w:tcPr>
            <w:tcW w:w="1417" w:type="dxa"/>
            <w:tcBorders>
              <w:bottom w:val="single" w:sz="4" w:space="0" w:color="auto"/>
            </w:tcBorders>
          </w:tcPr>
          <w:p w:rsidR="00413DA7" w:rsidRPr="00976835" w:rsidRDefault="00413DA7" w:rsidP="0087793E">
            <w:pPr>
              <w:keepNext/>
              <w:jc w:val="center"/>
              <w:rPr>
                <w:rStyle w:val="CommentReference"/>
              </w:rPr>
            </w:pPr>
            <w:r w:rsidRPr="00976835">
              <w:rPr>
                <w:rStyle w:val="CommentReference"/>
              </w:rPr>
              <w:t>AEMP per pack</w:t>
            </w:r>
          </w:p>
        </w:tc>
        <w:tc>
          <w:tcPr>
            <w:tcW w:w="992" w:type="dxa"/>
            <w:tcBorders>
              <w:bottom w:val="single" w:sz="4" w:space="0" w:color="auto"/>
            </w:tcBorders>
          </w:tcPr>
          <w:p w:rsidR="00413DA7" w:rsidRPr="00976835" w:rsidRDefault="00413DA7" w:rsidP="0087793E">
            <w:pPr>
              <w:keepNext/>
              <w:jc w:val="center"/>
              <w:rPr>
                <w:rStyle w:val="CommentReference"/>
              </w:rPr>
            </w:pPr>
            <w:r w:rsidRPr="00976835">
              <w:rPr>
                <w:rStyle w:val="CommentReference"/>
              </w:rPr>
              <w:t>Max Qty</w:t>
            </w:r>
          </w:p>
        </w:tc>
        <w:tc>
          <w:tcPr>
            <w:tcW w:w="1197" w:type="dxa"/>
            <w:tcBorders>
              <w:bottom w:val="single" w:sz="4" w:space="0" w:color="auto"/>
            </w:tcBorders>
          </w:tcPr>
          <w:p w:rsidR="00413DA7" w:rsidRPr="00976835" w:rsidRDefault="00413DA7" w:rsidP="0087793E">
            <w:pPr>
              <w:keepNext/>
              <w:jc w:val="center"/>
              <w:rPr>
                <w:rStyle w:val="CommentReference"/>
              </w:rPr>
            </w:pPr>
            <w:r w:rsidRPr="00976835">
              <w:rPr>
                <w:rStyle w:val="CommentReference"/>
              </w:rPr>
              <w:t>DPMQ</w:t>
            </w:r>
          </w:p>
        </w:tc>
      </w:tr>
      <w:tr w:rsidR="00413DA7" w:rsidRPr="00976835" w:rsidTr="0087793E">
        <w:tc>
          <w:tcPr>
            <w:tcW w:w="3511" w:type="dxa"/>
            <w:tcBorders>
              <w:bottom w:val="nil"/>
            </w:tcBorders>
          </w:tcPr>
          <w:p w:rsidR="00413DA7" w:rsidRPr="00976835" w:rsidRDefault="00413DA7" w:rsidP="0087793E">
            <w:pPr>
              <w:keepNext/>
              <w:jc w:val="left"/>
              <w:rPr>
                <w:rStyle w:val="CommentReference"/>
              </w:rPr>
            </w:pPr>
            <w:r w:rsidRPr="00976835">
              <w:rPr>
                <w:rStyle w:val="CommentReference"/>
              </w:rPr>
              <w:t>Follitropin alfa 900 IU</w:t>
            </w:r>
          </w:p>
        </w:tc>
        <w:tc>
          <w:tcPr>
            <w:tcW w:w="1276" w:type="dxa"/>
            <w:tcBorders>
              <w:bottom w:val="nil"/>
            </w:tcBorders>
          </w:tcPr>
          <w:p w:rsidR="00413DA7" w:rsidRPr="00976835" w:rsidRDefault="00413DA7" w:rsidP="0087793E">
            <w:pPr>
              <w:keepNext/>
              <w:jc w:val="center"/>
              <w:rPr>
                <w:rStyle w:val="CommentReference"/>
                <w:b w:val="0"/>
              </w:rPr>
            </w:pPr>
          </w:p>
        </w:tc>
        <w:tc>
          <w:tcPr>
            <w:tcW w:w="1417" w:type="dxa"/>
            <w:tcBorders>
              <w:bottom w:val="nil"/>
            </w:tcBorders>
          </w:tcPr>
          <w:p w:rsidR="00413DA7" w:rsidRPr="00976835" w:rsidRDefault="00413DA7" w:rsidP="0087793E">
            <w:pPr>
              <w:keepNext/>
              <w:jc w:val="center"/>
              <w:rPr>
                <w:rStyle w:val="CommentReference"/>
                <w:b w:val="0"/>
              </w:rPr>
            </w:pPr>
          </w:p>
        </w:tc>
        <w:tc>
          <w:tcPr>
            <w:tcW w:w="992" w:type="dxa"/>
            <w:tcBorders>
              <w:bottom w:val="nil"/>
            </w:tcBorders>
          </w:tcPr>
          <w:p w:rsidR="00413DA7" w:rsidRPr="00976835" w:rsidRDefault="00413DA7" w:rsidP="0087793E">
            <w:pPr>
              <w:keepNext/>
              <w:jc w:val="center"/>
              <w:rPr>
                <w:rStyle w:val="CommentReference"/>
                <w:b w:val="0"/>
              </w:rPr>
            </w:pPr>
          </w:p>
        </w:tc>
        <w:tc>
          <w:tcPr>
            <w:tcW w:w="1197" w:type="dxa"/>
            <w:tcBorders>
              <w:bottom w:val="nil"/>
            </w:tcBorders>
          </w:tcPr>
          <w:p w:rsidR="00413DA7" w:rsidRPr="00976835" w:rsidRDefault="00413DA7" w:rsidP="0087793E">
            <w:pPr>
              <w:keepNext/>
              <w:jc w:val="center"/>
              <w:rPr>
                <w:rStyle w:val="CommentReference"/>
                <w:b w:val="0"/>
              </w:rPr>
            </w:pPr>
          </w:p>
        </w:tc>
      </w:tr>
      <w:tr w:rsidR="00375B6D" w:rsidRPr="00976835" w:rsidTr="0087793E">
        <w:tc>
          <w:tcPr>
            <w:tcW w:w="3511" w:type="dxa"/>
            <w:tcBorders>
              <w:top w:val="nil"/>
              <w:bottom w:val="single" w:sz="4" w:space="0" w:color="auto"/>
            </w:tcBorders>
          </w:tcPr>
          <w:p w:rsidR="00375B6D" w:rsidRPr="00976835" w:rsidRDefault="00375B6D" w:rsidP="0087793E">
            <w:pPr>
              <w:keepNext/>
              <w:jc w:val="left"/>
              <w:rPr>
                <w:rStyle w:val="CommentReference"/>
                <w:b w:val="0"/>
              </w:rPr>
            </w:pPr>
            <w:r w:rsidRPr="00976835">
              <w:rPr>
                <w:rStyle w:val="CommentReference"/>
                <w:b w:val="0"/>
              </w:rPr>
              <w:t>Current price</w:t>
            </w:r>
          </w:p>
        </w:tc>
        <w:tc>
          <w:tcPr>
            <w:tcW w:w="1276" w:type="dxa"/>
            <w:tcBorders>
              <w:top w:val="nil"/>
              <w:bottom w:val="single" w:sz="4" w:space="0" w:color="auto"/>
            </w:tcBorders>
          </w:tcPr>
          <w:p w:rsidR="00375B6D" w:rsidRPr="00976835" w:rsidRDefault="00375B6D" w:rsidP="0087793E">
            <w:pPr>
              <w:keepNext/>
              <w:jc w:val="center"/>
              <w:rPr>
                <w:rStyle w:val="CommentReference"/>
                <w:b w:val="0"/>
              </w:rPr>
            </w:pPr>
            <w:r w:rsidRPr="00976835">
              <w:rPr>
                <w:rStyle w:val="CommentReference"/>
                <w:b w:val="0"/>
              </w:rPr>
              <w:t>$</w:t>
            </w:r>
            <w:r w:rsidR="00F94496">
              <w:rPr>
                <w:rStyle w:val="CommentReference"/>
                <w:b w:val="0"/>
                <w:noProof/>
                <w:color w:val="000000"/>
                <w:highlight w:val="black"/>
              </w:rPr>
              <w:t>''''''''''</w:t>
            </w:r>
          </w:p>
        </w:tc>
        <w:tc>
          <w:tcPr>
            <w:tcW w:w="1417" w:type="dxa"/>
            <w:tcBorders>
              <w:top w:val="nil"/>
              <w:bottom w:val="single" w:sz="4" w:space="0" w:color="auto"/>
            </w:tcBorders>
          </w:tcPr>
          <w:p w:rsidR="00375B6D" w:rsidRPr="00976835" w:rsidRDefault="00375B6D" w:rsidP="0087793E">
            <w:pPr>
              <w:keepNext/>
              <w:jc w:val="center"/>
              <w:rPr>
                <w:rFonts w:ascii="Arial Narrow" w:hAnsi="Arial Narrow" w:cs="Times New Roman"/>
                <w:sz w:val="20"/>
              </w:rPr>
            </w:pPr>
            <w:r w:rsidRPr="00976835">
              <w:rPr>
                <w:rFonts w:ascii="Arial Narrow" w:hAnsi="Arial Narrow" w:cs="Times New Roman"/>
                <w:sz w:val="20"/>
              </w:rPr>
              <w:t>$</w:t>
            </w:r>
            <w:r w:rsidR="00F94496">
              <w:rPr>
                <w:rFonts w:ascii="Arial Narrow" w:hAnsi="Arial Narrow" w:cs="Times New Roman"/>
                <w:noProof/>
                <w:color w:val="000000"/>
                <w:sz w:val="20"/>
                <w:highlight w:val="black"/>
              </w:rPr>
              <w:t>''''''''''''''''</w:t>
            </w:r>
          </w:p>
        </w:tc>
        <w:tc>
          <w:tcPr>
            <w:tcW w:w="992" w:type="dxa"/>
            <w:tcBorders>
              <w:top w:val="nil"/>
              <w:bottom w:val="single" w:sz="4" w:space="0" w:color="auto"/>
            </w:tcBorders>
          </w:tcPr>
          <w:p w:rsidR="00375B6D" w:rsidRPr="00976835" w:rsidRDefault="00375B6D" w:rsidP="0087793E">
            <w:pPr>
              <w:keepNext/>
              <w:jc w:val="center"/>
              <w:rPr>
                <w:rStyle w:val="CommentReference"/>
                <w:b w:val="0"/>
              </w:rPr>
            </w:pPr>
            <w:r w:rsidRPr="00976835">
              <w:rPr>
                <w:rStyle w:val="CommentReference"/>
                <w:b w:val="0"/>
              </w:rPr>
              <w:t>1800</w:t>
            </w:r>
          </w:p>
        </w:tc>
        <w:tc>
          <w:tcPr>
            <w:tcW w:w="1197" w:type="dxa"/>
            <w:tcBorders>
              <w:top w:val="nil"/>
              <w:bottom w:val="single" w:sz="4" w:space="0" w:color="auto"/>
            </w:tcBorders>
          </w:tcPr>
          <w:p w:rsidR="00375B6D" w:rsidRPr="00976835" w:rsidRDefault="00375B6D" w:rsidP="0087793E">
            <w:pPr>
              <w:keepNext/>
              <w:jc w:val="center"/>
              <w:rPr>
                <w:rFonts w:ascii="Arial Narrow" w:hAnsi="Arial Narrow" w:cs="Times New Roman"/>
                <w:sz w:val="20"/>
              </w:rPr>
            </w:pPr>
            <w:r w:rsidRPr="00976835">
              <w:rPr>
                <w:rFonts w:ascii="Arial Narrow" w:hAnsi="Arial Narrow" w:cs="Times New Roman"/>
                <w:sz w:val="20"/>
              </w:rPr>
              <w:t>$</w:t>
            </w:r>
            <w:r w:rsidR="00F94496">
              <w:rPr>
                <w:rFonts w:ascii="Arial Narrow" w:hAnsi="Arial Narrow" w:cs="Times New Roman"/>
                <w:noProof/>
                <w:color w:val="000000"/>
                <w:sz w:val="20"/>
                <w:highlight w:val="black"/>
              </w:rPr>
              <w:t>''''''''''''''''</w:t>
            </w:r>
          </w:p>
        </w:tc>
      </w:tr>
      <w:tr w:rsidR="00375B6D" w:rsidRPr="00976835" w:rsidTr="0087793E">
        <w:tc>
          <w:tcPr>
            <w:tcW w:w="3511" w:type="dxa"/>
            <w:tcBorders>
              <w:bottom w:val="nil"/>
            </w:tcBorders>
          </w:tcPr>
          <w:p w:rsidR="00375B6D" w:rsidRPr="00976835" w:rsidRDefault="00375B6D" w:rsidP="0087793E">
            <w:pPr>
              <w:keepNext/>
              <w:rPr>
                <w:rStyle w:val="CommentReference"/>
              </w:rPr>
            </w:pPr>
            <w:r w:rsidRPr="00976835">
              <w:rPr>
                <w:rStyle w:val="CommentReference"/>
              </w:rPr>
              <w:t>HP-hMG 600 IU</w:t>
            </w:r>
          </w:p>
        </w:tc>
        <w:tc>
          <w:tcPr>
            <w:tcW w:w="1276" w:type="dxa"/>
            <w:tcBorders>
              <w:bottom w:val="nil"/>
            </w:tcBorders>
          </w:tcPr>
          <w:p w:rsidR="00375B6D" w:rsidRPr="00976835" w:rsidRDefault="00375B6D" w:rsidP="0087793E">
            <w:pPr>
              <w:keepNext/>
              <w:jc w:val="center"/>
              <w:rPr>
                <w:rStyle w:val="CommentReference"/>
                <w:b w:val="0"/>
              </w:rPr>
            </w:pPr>
          </w:p>
        </w:tc>
        <w:tc>
          <w:tcPr>
            <w:tcW w:w="1417" w:type="dxa"/>
            <w:tcBorders>
              <w:bottom w:val="nil"/>
            </w:tcBorders>
          </w:tcPr>
          <w:p w:rsidR="00375B6D" w:rsidRPr="00976835" w:rsidRDefault="00375B6D" w:rsidP="0087793E">
            <w:pPr>
              <w:keepNext/>
              <w:jc w:val="center"/>
              <w:rPr>
                <w:rStyle w:val="CommentReference"/>
                <w:b w:val="0"/>
              </w:rPr>
            </w:pPr>
          </w:p>
        </w:tc>
        <w:tc>
          <w:tcPr>
            <w:tcW w:w="992" w:type="dxa"/>
            <w:tcBorders>
              <w:bottom w:val="nil"/>
            </w:tcBorders>
          </w:tcPr>
          <w:p w:rsidR="00375B6D" w:rsidRPr="00976835" w:rsidRDefault="00375B6D" w:rsidP="0087793E">
            <w:pPr>
              <w:keepNext/>
              <w:jc w:val="center"/>
              <w:rPr>
                <w:rStyle w:val="CommentReference"/>
                <w:b w:val="0"/>
              </w:rPr>
            </w:pPr>
          </w:p>
        </w:tc>
        <w:tc>
          <w:tcPr>
            <w:tcW w:w="1197" w:type="dxa"/>
            <w:tcBorders>
              <w:bottom w:val="nil"/>
            </w:tcBorders>
          </w:tcPr>
          <w:p w:rsidR="00375B6D" w:rsidRPr="00976835" w:rsidRDefault="00375B6D" w:rsidP="0087793E">
            <w:pPr>
              <w:keepNext/>
              <w:jc w:val="center"/>
              <w:rPr>
                <w:rStyle w:val="CommentReference"/>
                <w:b w:val="0"/>
              </w:rPr>
            </w:pPr>
          </w:p>
        </w:tc>
      </w:tr>
      <w:tr w:rsidR="00375B6D" w:rsidRPr="00976835" w:rsidTr="0087793E">
        <w:tc>
          <w:tcPr>
            <w:tcW w:w="3511" w:type="dxa"/>
            <w:tcBorders>
              <w:top w:val="nil"/>
              <w:bottom w:val="nil"/>
            </w:tcBorders>
          </w:tcPr>
          <w:p w:rsidR="00375B6D" w:rsidRPr="00976835" w:rsidRDefault="00375B6D" w:rsidP="0087793E">
            <w:pPr>
              <w:keepNext/>
              <w:rPr>
                <w:rStyle w:val="CommentReference"/>
                <w:b w:val="0"/>
              </w:rPr>
            </w:pPr>
            <w:r w:rsidRPr="00976835">
              <w:rPr>
                <w:rStyle w:val="CommentReference"/>
                <w:b w:val="0"/>
              </w:rPr>
              <w:t xml:space="preserve">Proposed price </w:t>
            </w:r>
          </w:p>
        </w:tc>
        <w:tc>
          <w:tcPr>
            <w:tcW w:w="1276" w:type="dxa"/>
            <w:tcBorders>
              <w:top w:val="nil"/>
              <w:bottom w:val="nil"/>
            </w:tcBorders>
          </w:tcPr>
          <w:p w:rsidR="00375B6D" w:rsidRPr="00976835" w:rsidRDefault="00375B6D" w:rsidP="0087793E">
            <w:pPr>
              <w:keepNext/>
              <w:jc w:val="center"/>
              <w:rPr>
                <w:rStyle w:val="CommentReference"/>
                <w:b w:val="0"/>
              </w:rPr>
            </w:pPr>
            <w:r w:rsidRPr="00976835">
              <w:rPr>
                <w:rStyle w:val="CommentReference"/>
                <w:b w:val="0"/>
              </w:rPr>
              <w:t>$</w:t>
            </w:r>
            <w:r w:rsidR="00F94496">
              <w:rPr>
                <w:rStyle w:val="CommentReference"/>
                <w:b w:val="0"/>
                <w:noProof/>
                <w:color w:val="000000"/>
                <w:highlight w:val="black"/>
              </w:rPr>
              <w:t>''''''''''</w:t>
            </w:r>
          </w:p>
        </w:tc>
        <w:tc>
          <w:tcPr>
            <w:tcW w:w="1417" w:type="dxa"/>
            <w:tcBorders>
              <w:top w:val="nil"/>
              <w:bottom w:val="nil"/>
            </w:tcBorders>
          </w:tcPr>
          <w:p w:rsidR="00375B6D" w:rsidRPr="00976835" w:rsidRDefault="00375B6D" w:rsidP="0087793E">
            <w:pPr>
              <w:keepNext/>
              <w:jc w:val="center"/>
              <w:rPr>
                <w:rStyle w:val="CommentReference"/>
                <w:b w:val="0"/>
              </w:rPr>
            </w:pPr>
            <w:r w:rsidRPr="00976835">
              <w:rPr>
                <w:rFonts w:ascii="Arial Narrow" w:hAnsi="Arial Narrow" w:cs="Times New Roman"/>
                <w:sz w:val="20"/>
              </w:rPr>
              <w:t>$</w:t>
            </w:r>
            <w:r w:rsidR="00F94496">
              <w:rPr>
                <w:rFonts w:ascii="Arial Narrow" w:hAnsi="Arial Narrow" w:cs="Times New Roman"/>
                <w:noProof/>
                <w:color w:val="000000"/>
                <w:sz w:val="20"/>
                <w:highlight w:val="black"/>
              </w:rPr>
              <w:t>'''''''''''''''</w:t>
            </w:r>
          </w:p>
        </w:tc>
        <w:tc>
          <w:tcPr>
            <w:tcW w:w="992" w:type="dxa"/>
            <w:tcBorders>
              <w:top w:val="nil"/>
              <w:bottom w:val="nil"/>
            </w:tcBorders>
          </w:tcPr>
          <w:p w:rsidR="00375B6D" w:rsidRPr="00976835" w:rsidRDefault="00375B6D" w:rsidP="0087793E">
            <w:pPr>
              <w:keepNext/>
              <w:jc w:val="center"/>
              <w:rPr>
                <w:rStyle w:val="CommentReference"/>
                <w:b w:val="0"/>
              </w:rPr>
            </w:pPr>
            <w:r w:rsidRPr="00976835">
              <w:rPr>
                <w:rStyle w:val="CommentReference"/>
                <w:b w:val="0"/>
              </w:rPr>
              <w:t>1800</w:t>
            </w:r>
          </w:p>
        </w:tc>
        <w:tc>
          <w:tcPr>
            <w:tcW w:w="1197" w:type="dxa"/>
            <w:tcBorders>
              <w:top w:val="nil"/>
              <w:bottom w:val="nil"/>
            </w:tcBorders>
          </w:tcPr>
          <w:p w:rsidR="00375B6D" w:rsidRPr="00976835" w:rsidRDefault="00375B6D" w:rsidP="0087793E">
            <w:pPr>
              <w:keepNext/>
              <w:jc w:val="center"/>
              <w:rPr>
                <w:rStyle w:val="CommentReference"/>
                <w:b w:val="0"/>
              </w:rPr>
            </w:pPr>
            <w:r w:rsidRPr="00976835">
              <w:rPr>
                <w:rFonts w:ascii="Arial Narrow" w:hAnsi="Arial Narrow" w:cs="Times New Roman"/>
                <w:sz w:val="20"/>
              </w:rPr>
              <w:t>$</w:t>
            </w:r>
            <w:r w:rsidR="00F94496">
              <w:rPr>
                <w:rFonts w:ascii="Arial Narrow" w:hAnsi="Arial Narrow" w:cs="Times New Roman"/>
                <w:noProof/>
                <w:color w:val="000000"/>
                <w:sz w:val="20"/>
                <w:highlight w:val="black"/>
              </w:rPr>
              <w:t>'''''''''''''''''</w:t>
            </w:r>
          </w:p>
        </w:tc>
      </w:tr>
      <w:tr w:rsidR="00B61614" w:rsidRPr="00976835" w:rsidTr="0087793E">
        <w:tc>
          <w:tcPr>
            <w:tcW w:w="3511" w:type="dxa"/>
            <w:tcBorders>
              <w:top w:val="nil"/>
              <w:bottom w:val="nil"/>
            </w:tcBorders>
          </w:tcPr>
          <w:p w:rsidR="00B61614" w:rsidRPr="00976835" w:rsidRDefault="00B61614" w:rsidP="0087793E">
            <w:pPr>
              <w:keepNext/>
              <w:jc w:val="left"/>
              <w:rPr>
                <w:rStyle w:val="CommentReference"/>
                <w:b w:val="0"/>
              </w:rPr>
            </w:pPr>
            <w:r w:rsidRPr="00976835">
              <w:rPr>
                <w:rStyle w:val="CommentReference"/>
                <w:b w:val="0"/>
              </w:rPr>
              <w:t>Based on equi-effective doses of HP-hMG 1.</w:t>
            </w:r>
            <w:r>
              <w:rPr>
                <w:rStyle w:val="CommentReference"/>
                <w:b w:val="0"/>
              </w:rPr>
              <w:t>32</w:t>
            </w:r>
            <w:r w:rsidRPr="00976835">
              <w:rPr>
                <w:rStyle w:val="CommentReference"/>
                <w:b w:val="0"/>
              </w:rPr>
              <w:t> IU and follitropin alfa 1.00 IU</w:t>
            </w:r>
          </w:p>
        </w:tc>
        <w:tc>
          <w:tcPr>
            <w:tcW w:w="1276" w:type="dxa"/>
            <w:tcBorders>
              <w:top w:val="nil"/>
              <w:bottom w:val="nil"/>
            </w:tcBorders>
          </w:tcPr>
          <w:p w:rsidR="00B61614" w:rsidRPr="00B61614" w:rsidRDefault="00B61614" w:rsidP="0087793E">
            <w:pPr>
              <w:keepNext/>
              <w:jc w:val="center"/>
              <w:rPr>
                <w:rStyle w:val="CommentReference"/>
                <w:b w:val="0"/>
              </w:rPr>
            </w:pPr>
            <w:r w:rsidRPr="00B61614">
              <w:rPr>
                <w:rStyle w:val="CommentReference"/>
                <w:b w:val="0"/>
                <w:i/>
              </w:rPr>
              <w:t>$</w:t>
            </w:r>
            <w:r w:rsidR="00F94496">
              <w:rPr>
                <w:rStyle w:val="CommentReference"/>
                <w:b w:val="0"/>
                <w:i/>
                <w:noProof/>
                <w:color w:val="000000"/>
                <w:highlight w:val="black"/>
              </w:rPr>
              <w:t>''''''''''</w:t>
            </w:r>
            <w:r w:rsidRPr="00B61614">
              <w:rPr>
                <w:rStyle w:val="CommentReference"/>
                <w:b w:val="0"/>
                <w:i/>
              </w:rPr>
              <w:t xml:space="preserve"> </w:t>
            </w:r>
            <w:r w:rsidRPr="00B61614">
              <w:rPr>
                <w:rStyle w:val="CommentReference"/>
                <w:b w:val="0"/>
                <w:i/>
                <w:vertAlign w:val="superscript"/>
              </w:rPr>
              <w:t>a</w:t>
            </w:r>
          </w:p>
        </w:tc>
        <w:tc>
          <w:tcPr>
            <w:tcW w:w="1417" w:type="dxa"/>
            <w:tcBorders>
              <w:top w:val="nil"/>
              <w:bottom w:val="nil"/>
            </w:tcBorders>
          </w:tcPr>
          <w:p w:rsidR="00B61614" w:rsidRPr="00B61614" w:rsidRDefault="00B61614" w:rsidP="0087793E">
            <w:pPr>
              <w:keepNext/>
              <w:jc w:val="center"/>
              <w:rPr>
                <w:rStyle w:val="CommentReference"/>
                <w:b w:val="0"/>
              </w:rPr>
            </w:pPr>
            <w:r w:rsidRPr="00B61614">
              <w:rPr>
                <w:rStyle w:val="CommentReference"/>
                <w:b w:val="0"/>
                <w:i/>
              </w:rPr>
              <w:t>$</w:t>
            </w:r>
            <w:r w:rsidR="00F94496">
              <w:rPr>
                <w:rStyle w:val="CommentReference"/>
                <w:b w:val="0"/>
                <w:i/>
                <w:noProof/>
                <w:color w:val="000000"/>
                <w:highlight w:val="black"/>
              </w:rPr>
              <w:t>''''''''''''''''</w:t>
            </w:r>
          </w:p>
        </w:tc>
        <w:tc>
          <w:tcPr>
            <w:tcW w:w="992" w:type="dxa"/>
            <w:tcBorders>
              <w:top w:val="nil"/>
              <w:bottom w:val="nil"/>
            </w:tcBorders>
          </w:tcPr>
          <w:p w:rsidR="00B61614" w:rsidRPr="00B61614" w:rsidRDefault="00B61614" w:rsidP="00B61614">
            <w:pPr>
              <w:keepNext/>
              <w:jc w:val="center"/>
              <w:rPr>
                <w:rStyle w:val="CommentReference"/>
                <w:b w:val="0"/>
              </w:rPr>
            </w:pPr>
            <w:r w:rsidRPr="00B61614">
              <w:rPr>
                <w:rStyle w:val="CommentReference"/>
                <w:b w:val="0"/>
              </w:rPr>
              <w:t>1800</w:t>
            </w:r>
          </w:p>
        </w:tc>
        <w:tc>
          <w:tcPr>
            <w:tcW w:w="1197" w:type="dxa"/>
            <w:tcBorders>
              <w:top w:val="nil"/>
              <w:bottom w:val="nil"/>
            </w:tcBorders>
          </w:tcPr>
          <w:p w:rsidR="00B61614" w:rsidRPr="00B61614" w:rsidRDefault="00B61614" w:rsidP="0087793E">
            <w:pPr>
              <w:keepNext/>
              <w:jc w:val="center"/>
              <w:rPr>
                <w:rStyle w:val="CommentReference"/>
                <w:b w:val="0"/>
              </w:rPr>
            </w:pPr>
            <w:r w:rsidRPr="00B61614">
              <w:rPr>
                <w:rStyle w:val="CommentReference"/>
                <w:b w:val="0"/>
                <w:i/>
              </w:rPr>
              <w:t>$</w:t>
            </w:r>
            <w:r w:rsidR="00F94496">
              <w:rPr>
                <w:rStyle w:val="CommentReference"/>
                <w:b w:val="0"/>
                <w:i/>
                <w:noProof/>
                <w:color w:val="000000"/>
                <w:highlight w:val="black"/>
              </w:rPr>
              <w:t>'''''''''''''''</w:t>
            </w:r>
          </w:p>
        </w:tc>
      </w:tr>
      <w:tr w:rsidR="00B61614" w:rsidRPr="00976835" w:rsidTr="0087793E">
        <w:tc>
          <w:tcPr>
            <w:tcW w:w="3511" w:type="dxa"/>
            <w:tcBorders>
              <w:top w:val="nil"/>
            </w:tcBorders>
          </w:tcPr>
          <w:p w:rsidR="00B61614" w:rsidRPr="00976835" w:rsidRDefault="00B61614" w:rsidP="0087793E">
            <w:pPr>
              <w:keepNext/>
              <w:jc w:val="left"/>
              <w:rPr>
                <w:rStyle w:val="CommentReference"/>
                <w:b w:val="0"/>
              </w:rPr>
            </w:pPr>
            <w:r w:rsidRPr="00976835">
              <w:rPr>
                <w:rStyle w:val="CommentReference"/>
                <w:b w:val="0"/>
              </w:rPr>
              <w:t>Based on equi-effective doses of HP-hMG 1.</w:t>
            </w:r>
            <w:r>
              <w:rPr>
                <w:rStyle w:val="CommentReference"/>
                <w:b w:val="0"/>
              </w:rPr>
              <w:t>32</w:t>
            </w:r>
            <w:r w:rsidRPr="00976835">
              <w:rPr>
                <w:rStyle w:val="CommentReference"/>
                <w:b w:val="0"/>
              </w:rPr>
              <w:t xml:space="preserve"> IU and follitropin alfa 1.00 IU + </w:t>
            </w:r>
            <w:r w:rsidR="00F94496">
              <w:rPr>
                <w:rStyle w:val="CommentReference"/>
                <w:b w:val="0"/>
                <w:noProof/>
                <w:color w:val="000000"/>
                <w:highlight w:val="black"/>
              </w:rPr>
              <w:t>'''''''</w:t>
            </w:r>
            <w:r w:rsidRPr="00976835">
              <w:rPr>
                <w:rStyle w:val="CommentReference"/>
                <w:b w:val="0"/>
              </w:rPr>
              <w:t>% price reduction</w:t>
            </w:r>
          </w:p>
        </w:tc>
        <w:tc>
          <w:tcPr>
            <w:tcW w:w="1276" w:type="dxa"/>
            <w:tcBorders>
              <w:top w:val="nil"/>
            </w:tcBorders>
          </w:tcPr>
          <w:p w:rsidR="00B61614" w:rsidRPr="00B61614" w:rsidRDefault="00B61614" w:rsidP="0087793E">
            <w:pPr>
              <w:keepNext/>
              <w:jc w:val="center"/>
              <w:rPr>
                <w:rStyle w:val="CommentReference"/>
                <w:b w:val="0"/>
              </w:rPr>
            </w:pPr>
            <w:r w:rsidRPr="00B61614">
              <w:rPr>
                <w:rStyle w:val="CommentReference"/>
                <w:b w:val="0"/>
                <w:i/>
              </w:rPr>
              <w:t>$</w:t>
            </w:r>
            <w:r w:rsidR="00F94496">
              <w:rPr>
                <w:rStyle w:val="CommentReference"/>
                <w:b w:val="0"/>
                <w:i/>
                <w:noProof/>
                <w:color w:val="000000"/>
                <w:highlight w:val="black"/>
              </w:rPr>
              <w:t>'''''''''''</w:t>
            </w:r>
            <w:r w:rsidRPr="00B61614">
              <w:rPr>
                <w:rStyle w:val="CommentReference"/>
                <w:b w:val="0"/>
                <w:i/>
              </w:rPr>
              <w:t xml:space="preserve"> </w:t>
            </w:r>
            <w:r w:rsidRPr="00B61614">
              <w:rPr>
                <w:rStyle w:val="CommentReference"/>
                <w:b w:val="0"/>
                <w:i/>
                <w:vertAlign w:val="superscript"/>
              </w:rPr>
              <w:t>b</w:t>
            </w:r>
          </w:p>
        </w:tc>
        <w:tc>
          <w:tcPr>
            <w:tcW w:w="1417" w:type="dxa"/>
            <w:tcBorders>
              <w:top w:val="nil"/>
            </w:tcBorders>
          </w:tcPr>
          <w:p w:rsidR="00B61614" w:rsidRPr="00B61614" w:rsidRDefault="00B61614" w:rsidP="0087793E">
            <w:pPr>
              <w:keepNext/>
              <w:jc w:val="center"/>
              <w:rPr>
                <w:rStyle w:val="CommentReference"/>
                <w:b w:val="0"/>
              </w:rPr>
            </w:pPr>
            <w:r w:rsidRPr="00B61614">
              <w:rPr>
                <w:rStyle w:val="CommentReference"/>
                <w:b w:val="0"/>
                <w:i/>
              </w:rPr>
              <w:t>$</w:t>
            </w:r>
            <w:r w:rsidR="00F94496">
              <w:rPr>
                <w:rStyle w:val="CommentReference"/>
                <w:b w:val="0"/>
                <w:i/>
                <w:noProof/>
                <w:color w:val="000000"/>
                <w:highlight w:val="black"/>
              </w:rPr>
              <w:t>''''''''''''''''</w:t>
            </w:r>
          </w:p>
        </w:tc>
        <w:tc>
          <w:tcPr>
            <w:tcW w:w="992" w:type="dxa"/>
            <w:tcBorders>
              <w:top w:val="nil"/>
            </w:tcBorders>
          </w:tcPr>
          <w:p w:rsidR="00B61614" w:rsidRPr="00B61614" w:rsidRDefault="00B61614" w:rsidP="00B61614">
            <w:pPr>
              <w:keepNext/>
              <w:jc w:val="center"/>
              <w:rPr>
                <w:rStyle w:val="CommentReference"/>
                <w:b w:val="0"/>
              </w:rPr>
            </w:pPr>
            <w:r w:rsidRPr="00B61614">
              <w:rPr>
                <w:rStyle w:val="CommentReference"/>
                <w:b w:val="0"/>
              </w:rPr>
              <w:t>1800</w:t>
            </w:r>
          </w:p>
        </w:tc>
        <w:tc>
          <w:tcPr>
            <w:tcW w:w="1197" w:type="dxa"/>
            <w:tcBorders>
              <w:top w:val="nil"/>
            </w:tcBorders>
          </w:tcPr>
          <w:p w:rsidR="00B61614" w:rsidRPr="00B61614" w:rsidRDefault="00B61614" w:rsidP="0087793E">
            <w:pPr>
              <w:keepNext/>
              <w:jc w:val="center"/>
              <w:rPr>
                <w:rStyle w:val="CommentReference"/>
                <w:b w:val="0"/>
              </w:rPr>
            </w:pPr>
            <w:r w:rsidRPr="00B61614">
              <w:rPr>
                <w:rStyle w:val="CommentReference"/>
                <w:b w:val="0"/>
                <w:i/>
              </w:rPr>
              <w:t>$</w:t>
            </w:r>
            <w:r w:rsidR="00F94496">
              <w:rPr>
                <w:rStyle w:val="CommentReference"/>
                <w:b w:val="0"/>
                <w:i/>
                <w:noProof/>
                <w:color w:val="000000"/>
                <w:highlight w:val="black"/>
              </w:rPr>
              <w:t>''''''''''''''''</w:t>
            </w:r>
          </w:p>
        </w:tc>
      </w:tr>
    </w:tbl>
    <w:p w:rsidR="00413DA7" w:rsidRPr="00976835" w:rsidRDefault="00413DA7" w:rsidP="00413DA7">
      <w:pPr>
        <w:pStyle w:val="TableFooter"/>
        <w:ind w:left="720"/>
      </w:pPr>
      <w:r w:rsidRPr="00976835">
        <w:t xml:space="preserve">Source: compiled during the evaluation. </w:t>
      </w:r>
      <w:r w:rsidRPr="00D11228">
        <w:rPr>
          <w:i/>
        </w:rPr>
        <w:t>Texts in italics were calculated during the evaluation.</w:t>
      </w:r>
      <w:r w:rsidRPr="00976835">
        <w:t xml:space="preserve">  </w:t>
      </w:r>
    </w:p>
    <w:p w:rsidR="00413DA7" w:rsidRPr="00976835" w:rsidRDefault="00413DA7" w:rsidP="00413DA7">
      <w:pPr>
        <w:pStyle w:val="TableFooter"/>
        <w:ind w:left="720"/>
      </w:pPr>
      <w:r w:rsidRPr="00976835">
        <w:t>Abbreviations: AEMP = approved ex-manufacturer price; DPMQ = dispensed price for maximum quantity; HP-hMG = highly purified human menopausal gonadotrophin.</w:t>
      </w:r>
    </w:p>
    <w:p w:rsidR="00D11228" w:rsidRPr="00915B1F" w:rsidRDefault="00D11228" w:rsidP="00D11228">
      <w:pPr>
        <w:keepNext/>
        <w:widowControl/>
        <w:ind w:firstLine="720"/>
        <w:jc w:val="left"/>
        <w:rPr>
          <w:rFonts w:ascii="Arial Narrow" w:hAnsi="Arial Narrow"/>
          <w:i/>
          <w:sz w:val="18"/>
        </w:rPr>
      </w:pPr>
      <w:r w:rsidRPr="00CB7C73">
        <w:rPr>
          <w:rFonts w:ascii="Arial Narrow" w:hAnsi="Arial Narrow"/>
          <w:i/>
          <w:sz w:val="18"/>
          <w:vertAlign w:val="superscript"/>
        </w:rPr>
        <w:t>a</w:t>
      </w:r>
      <w:r w:rsidRPr="00CB7C73">
        <w:rPr>
          <w:rFonts w:ascii="Arial Narrow" w:hAnsi="Arial Narrow"/>
          <w:i/>
          <w:sz w:val="18"/>
        </w:rPr>
        <w:t xml:space="preserve"> </w:t>
      </w:r>
      <w:r>
        <w:rPr>
          <w:rFonts w:ascii="Arial Narrow" w:hAnsi="Arial Narrow"/>
          <w:i/>
          <w:sz w:val="18"/>
        </w:rPr>
        <w:t>$</w:t>
      </w:r>
      <w:r w:rsidR="0088186E">
        <w:rPr>
          <w:rFonts w:ascii="Arial Narrow" w:hAnsi="Arial Narrow"/>
          <w:i/>
          <w:noProof/>
          <w:color w:val="000000"/>
          <w:sz w:val="18"/>
          <w:highlight w:val="black"/>
        </w:rPr>
        <w:t>''''''''''</w:t>
      </w:r>
      <w:r>
        <w:rPr>
          <w:rFonts w:ascii="Arial Narrow" w:hAnsi="Arial Narrow"/>
          <w:i/>
          <w:sz w:val="18"/>
        </w:rPr>
        <w:t xml:space="preserve"> / </w:t>
      </w:r>
      <w:r w:rsidR="0088186E">
        <w:rPr>
          <w:rFonts w:ascii="Arial Narrow" w:hAnsi="Arial Narrow"/>
          <w:i/>
          <w:noProof/>
          <w:color w:val="000000"/>
          <w:sz w:val="18"/>
          <w:highlight w:val="black"/>
        </w:rPr>
        <w:t>'''''''''''</w:t>
      </w:r>
    </w:p>
    <w:p w:rsidR="00413DA7" w:rsidRPr="00FF465F" w:rsidRDefault="00D11228" w:rsidP="00FF465F">
      <w:pPr>
        <w:keepNext/>
        <w:widowControl/>
        <w:ind w:firstLine="720"/>
        <w:jc w:val="left"/>
        <w:rPr>
          <w:i/>
        </w:rPr>
      </w:pPr>
      <w:r w:rsidRPr="00915B1F">
        <w:rPr>
          <w:rFonts w:ascii="Arial Narrow" w:hAnsi="Arial Narrow"/>
          <w:i/>
          <w:sz w:val="18"/>
          <w:vertAlign w:val="superscript"/>
        </w:rPr>
        <w:t>b</w:t>
      </w:r>
      <w:r w:rsidRPr="00915B1F">
        <w:rPr>
          <w:rFonts w:ascii="Arial Narrow" w:hAnsi="Arial Narrow"/>
          <w:i/>
          <w:sz w:val="18"/>
        </w:rPr>
        <w:t xml:space="preserve"> </w:t>
      </w:r>
      <w:r>
        <w:rPr>
          <w:rFonts w:ascii="Arial Narrow" w:hAnsi="Arial Narrow"/>
          <w:i/>
          <w:sz w:val="18"/>
        </w:rPr>
        <w:t>($</w:t>
      </w:r>
      <w:r w:rsidR="0088186E">
        <w:rPr>
          <w:rFonts w:ascii="Arial Narrow" w:hAnsi="Arial Narrow"/>
          <w:i/>
          <w:noProof/>
          <w:color w:val="000000"/>
          <w:sz w:val="18"/>
          <w:highlight w:val="black"/>
        </w:rPr>
        <w:t>'''''''''</w:t>
      </w:r>
      <w:r>
        <w:rPr>
          <w:rFonts w:ascii="Arial Narrow" w:hAnsi="Arial Narrow"/>
          <w:i/>
          <w:sz w:val="18"/>
        </w:rPr>
        <w:t xml:space="preserve"> / </w:t>
      </w:r>
      <w:r w:rsidR="0088186E">
        <w:rPr>
          <w:rFonts w:ascii="Arial Narrow" w:hAnsi="Arial Narrow"/>
          <w:i/>
          <w:noProof/>
          <w:color w:val="000000"/>
          <w:sz w:val="18"/>
          <w:highlight w:val="black"/>
        </w:rPr>
        <w:t>''''''''''</w:t>
      </w:r>
      <w:r>
        <w:rPr>
          <w:rFonts w:ascii="Arial Narrow" w:hAnsi="Arial Narrow"/>
          <w:i/>
          <w:sz w:val="18"/>
        </w:rPr>
        <w:t>) x (</w:t>
      </w:r>
      <w:r w:rsidR="0088186E">
        <w:rPr>
          <w:rFonts w:ascii="Arial Narrow" w:hAnsi="Arial Narrow"/>
          <w:i/>
          <w:noProof/>
          <w:color w:val="000000"/>
          <w:sz w:val="18"/>
          <w:highlight w:val="black"/>
        </w:rPr>
        <w:t>''''</w:t>
      </w:r>
      <w:r>
        <w:rPr>
          <w:rFonts w:ascii="Arial Narrow" w:hAnsi="Arial Narrow"/>
          <w:i/>
          <w:sz w:val="18"/>
        </w:rPr>
        <w:t>-</w:t>
      </w:r>
      <w:r w:rsidR="0088186E">
        <w:rPr>
          <w:rFonts w:ascii="Arial Narrow" w:hAnsi="Arial Narrow"/>
          <w:i/>
          <w:noProof/>
          <w:color w:val="000000"/>
          <w:sz w:val="18"/>
          <w:highlight w:val="black"/>
        </w:rPr>
        <w:t>''''''''''''''</w:t>
      </w:r>
      <w:r>
        <w:rPr>
          <w:rFonts w:ascii="Arial Narrow" w:hAnsi="Arial Narrow"/>
          <w:i/>
          <w:sz w:val="18"/>
        </w:rPr>
        <w:t>)</w:t>
      </w:r>
    </w:p>
    <w:p w:rsidR="00976835" w:rsidRPr="00976835" w:rsidRDefault="00976835" w:rsidP="00976835">
      <w:pPr>
        <w:widowControl/>
        <w:rPr>
          <w:szCs w:val="22"/>
        </w:rPr>
      </w:pPr>
    </w:p>
    <w:p w:rsidR="00976835" w:rsidRPr="00C72DB6" w:rsidRDefault="00976835" w:rsidP="00E47950">
      <w:pPr>
        <w:pStyle w:val="Heading2"/>
        <w:rPr>
          <w:szCs w:val="22"/>
        </w:rPr>
      </w:pPr>
      <w:bookmarkStart w:id="15" w:name="_Toc440987235"/>
      <w:r w:rsidRPr="00C72DB6">
        <w:t>Drug cost/patient/cycle: $</w:t>
      </w:r>
      <w:bookmarkEnd w:id="15"/>
      <w:r w:rsidR="00F94496">
        <w:rPr>
          <w:noProof/>
          <w:color w:val="000000"/>
          <w:highlight w:val="black"/>
        </w:rPr>
        <w:t>'''''''''''''</w:t>
      </w:r>
    </w:p>
    <w:p w:rsidR="00976835" w:rsidRPr="00976835" w:rsidRDefault="00976835" w:rsidP="00976835">
      <w:pPr>
        <w:widowControl/>
        <w:rPr>
          <w:szCs w:val="22"/>
        </w:rPr>
      </w:pPr>
    </w:p>
    <w:p w:rsidR="00976835" w:rsidRPr="00976835" w:rsidRDefault="00976835" w:rsidP="00C72DB6">
      <w:pPr>
        <w:pStyle w:val="ListParagraph"/>
        <w:widowControl/>
        <w:numPr>
          <w:ilvl w:val="1"/>
          <w:numId w:val="1"/>
        </w:numPr>
        <w:rPr>
          <w:szCs w:val="22"/>
        </w:rPr>
      </w:pPr>
      <w:r w:rsidRPr="00976835">
        <w:t>For patients requiring a total dose of ≤ 1800 IU the dispensed cost of HP-hMG is $</w:t>
      </w:r>
      <w:r w:rsidR="00F94496">
        <w:rPr>
          <w:noProof/>
          <w:color w:val="000000"/>
          <w:highlight w:val="black"/>
        </w:rPr>
        <w:t>''''''''''''''''''</w:t>
      </w:r>
      <w:r w:rsidRPr="00976835">
        <w:t xml:space="preserve"> per patient per cycle and the dispensed cost of follitropin alfa is $</w:t>
      </w:r>
      <w:r w:rsidR="00F94496">
        <w:rPr>
          <w:noProof/>
          <w:color w:val="000000"/>
          <w:highlight w:val="black"/>
        </w:rPr>
        <w:t>''''''''''''''''''</w:t>
      </w:r>
      <w:r w:rsidRPr="00976835">
        <w:t xml:space="preserve">. A proportion of patients treated with HP-hMG and follitropin alfa would require a second </w:t>
      </w:r>
      <w:r w:rsidRPr="00976835">
        <w:lastRenderedPageBreak/>
        <w:t>script. The proportion is likely to be higher with HP-hMG than with follitropin alfa due to the requirement for higher doses. For patients taking follitropin alfa there is also the possibility of providing smaller quantities for the second script (300 or 450 IU compared with 600 IU for HP-hMG).</w:t>
      </w:r>
    </w:p>
    <w:p w:rsidR="00976835" w:rsidRPr="00976835" w:rsidRDefault="00976835" w:rsidP="00976835">
      <w:pPr>
        <w:rPr>
          <w:szCs w:val="22"/>
        </w:rPr>
      </w:pPr>
    </w:p>
    <w:p w:rsidR="00976835" w:rsidRPr="00C72DB6" w:rsidRDefault="00976835" w:rsidP="00E47950">
      <w:pPr>
        <w:pStyle w:val="Heading2"/>
      </w:pPr>
      <w:bookmarkStart w:id="16" w:name="_Toc440987236"/>
      <w:r w:rsidRPr="00C72DB6">
        <w:t>Estimated PBS usage &amp; financial implications</w:t>
      </w:r>
      <w:bookmarkEnd w:id="16"/>
    </w:p>
    <w:p w:rsidR="00976835" w:rsidRPr="00976835" w:rsidRDefault="00976835" w:rsidP="00976835">
      <w:pPr>
        <w:ind w:left="720" w:hanging="720"/>
        <w:rPr>
          <w:b/>
          <w:szCs w:val="22"/>
        </w:rPr>
      </w:pPr>
    </w:p>
    <w:p w:rsidR="00976835" w:rsidRPr="00976835" w:rsidRDefault="00976835" w:rsidP="00C72DB6">
      <w:pPr>
        <w:pStyle w:val="ListParagraph"/>
        <w:widowControl/>
        <w:numPr>
          <w:ilvl w:val="1"/>
          <w:numId w:val="1"/>
        </w:numPr>
        <w:rPr>
          <w:szCs w:val="22"/>
        </w:rPr>
      </w:pPr>
      <w:r w:rsidRPr="00976835">
        <w:t xml:space="preserve">This submission </w:t>
      </w:r>
      <w:r w:rsidR="003D2E91">
        <w:t xml:space="preserve">was not </w:t>
      </w:r>
      <w:r w:rsidRPr="00976835">
        <w:t>considered by DUSC</w:t>
      </w:r>
      <w:r w:rsidRPr="00976835">
        <w:rPr>
          <w:color w:val="0070C0"/>
        </w:rPr>
        <w:t xml:space="preserve">. </w:t>
      </w:r>
      <w:r w:rsidRPr="00976835">
        <w:rPr>
          <w:szCs w:val="22"/>
        </w:rPr>
        <w:t xml:space="preserve">A summary of the estimated use and financial implications for listing HP-hMG on the PBS is presented in Table </w:t>
      </w:r>
      <w:r w:rsidR="006E3221">
        <w:rPr>
          <w:szCs w:val="22"/>
        </w:rPr>
        <w:t>9</w:t>
      </w:r>
      <w:r w:rsidRPr="00976835">
        <w:rPr>
          <w:szCs w:val="22"/>
        </w:rPr>
        <w:t>.</w:t>
      </w:r>
    </w:p>
    <w:p w:rsidR="00976835" w:rsidRPr="00976835" w:rsidRDefault="00976835" w:rsidP="00976835">
      <w:pPr>
        <w:pStyle w:val="ListParagraph"/>
        <w:widowControl/>
        <w:rPr>
          <w:szCs w:val="22"/>
        </w:rPr>
      </w:pPr>
    </w:p>
    <w:p w:rsidR="00976835" w:rsidRPr="00976835" w:rsidRDefault="00976835" w:rsidP="00976835">
      <w:pPr>
        <w:ind w:firstLine="709"/>
        <w:rPr>
          <w:rStyle w:val="CommentReference"/>
        </w:rPr>
      </w:pPr>
      <w:r w:rsidRPr="00976835">
        <w:rPr>
          <w:rStyle w:val="CommentReference"/>
        </w:rPr>
        <w:t xml:space="preserve">Table </w:t>
      </w:r>
      <w:r w:rsidR="006E3221">
        <w:rPr>
          <w:rStyle w:val="CommentReference"/>
        </w:rPr>
        <w:t>9</w:t>
      </w:r>
      <w:r w:rsidRPr="00976835">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976835" w:rsidRPr="00976835" w:rsidTr="005550D5">
        <w:trPr>
          <w:tblHeader/>
        </w:trPr>
        <w:tc>
          <w:tcPr>
            <w:tcW w:w="1359" w:type="pct"/>
            <w:shd w:val="clear" w:color="auto" w:fill="auto"/>
            <w:vAlign w:val="center"/>
          </w:tcPr>
          <w:p w:rsidR="00976835" w:rsidRPr="00976835" w:rsidRDefault="00976835" w:rsidP="005550D5">
            <w:pPr>
              <w:tabs>
                <w:tab w:val="left" w:pos="142"/>
              </w:tabs>
              <w:jc w:val="left"/>
              <w:rPr>
                <w:rFonts w:ascii="Arial Narrow" w:hAnsi="Arial Narrow"/>
                <w:b/>
                <w:sz w:val="20"/>
              </w:rPr>
            </w:pPr>
          </w:p>
        </w:tc>
        <w:tc>
          <w:tcPr>
            <w:tcW w:w="679" w:type="pct"/>
            <w:shd w:val="clear" w:color="auto" w:fill="auto"/>
            <w:vAlign w:val="center"/>
          </w:tcPr>
          <w:p w:rsidR="00976835" w:rsidRPr="00976835" w:rsidRDefault="00976835" w:rsidP="005550D5">
            <w:pPr>
              <w:jc w:val="center"/>
              <w:rPr>
                <w:rFonts w:ascii="Arial Narrow" w:hAnsi="Arial Narrow"/>
                <w:b/>
                <w:sz w:val="20"/>
              </w:rPr>
            </w:pPr>
            <w:r w:rsidRPr="00976835">
              <w:rPr>
                <w:rFonts w:ascii="Arial Narrow" w:hAnsi="Arial Narrow"/>
                <w:b/>
                <w:sz w:val="20"/>
              </w:rPr>
              <w:t>Year 1</w:t>
            </w:r>
          </w:p>
        </w:tc>
        <w:tc>
          <w:tcPr>
            <w:tcW w:w="679" w:type="pct"/>
            <w:shd w:val="clear" w:color="auto" w:fill="auto"/>
            <w:vAlign w:val="center"/>
          </w:tcPr>
          <w:p w:rsidR="00976835" w:rsidRPr="00976835" w:rsidRDefault="00976835" w:rsidP="005550D5">
            <w:pPr>
              <w:jc w:val="center"/>
              <w:rPr>
                <w:rFonts w:ascii="Arial Narrow" w:hAnsi="Arial Narrow"/>
                <w:b/>
                <w:sz w:val="20"/>
              </w:rPr>
            </w:pPr>
            <w:r w:rsidRPr="00976835">
              <w:rPr>
                <w:rFonts w:ascii="Arial Narrow" w:hAnsi="Arial Narrow"/>
                <w:b/>
                <w:sz w:val="20"/>
              </w:rPr>
              <w:t>Year 2</w:t>
            </w:r>
          </w:p>
        </w:tc>
        <w:tc>
          <w:tcPr>
            <w:tcW w:w="764" w:type="pct"/>
            <w:shd w:val="clear" w:color="auto" w:fill="auto"/>
            <w:vAlign w:val="center"/>
          </w:tcPr>
          <w:p w:rsidR="00976835" w:rsidRPr="00976835" w:rsidRDefault="00976835" w:rsidP="005550D5">
            <w:pPr>
              <w:jc w:val="center"/>
              <w:rPr>
                <w:rFonts w:ascii="Arial Narrow" w:hAnsi="Arial Narrow"/>
                <w:b/>
                <w:sz w:val="20"/>
              </w:rPr>
            </w:pPr>
            <w:r w:rsidRPr="00976835">
              <w:rPr>
                <w:rFonts w:ascii="Arial Narrow" w:hAnsi="Arial Narrow"/>
                <w:b/>
                <w:sz w:val="20"/>
              </w:rPr>
              <w:t>Year 3</w:t>
            </w:r>
          </w:p>
        </w:tc>
        <w:tc>
          <w:tcPr>
            <w:tcW w:w="764" w:type="pct"/>
            <w:shd w:val="clear" w:color="auto" w:fill="auto"/>
            <w:vAlign w:val="center"/>
          </w:tcPr>
          <w:p w:rsidR="00976835" w:rsidRPr="00976835" w:rsidRDefault="00976835" w:rsidP="005550D5">
            <w:pPr>
              <w:jc w:val="center"/>
              <w:rPr>
                <w:rFonts w:ascii="Arial Narrow" w:hAnsi="Arial Narrow"/>
                <w:b/>
                <w:sz w:val="20"/>
              </w:rPr>
            </w:pPr>
            <w:r w:rsidRPr="00976835">
              <w:rPr>
                <w:rFonts w:ascii="Arial Narrow" w:hAnsi="Arial Narrow"/>
                <w:b/>
                <w:sz w:val="20"/>
              </w:rPr>
              <w:t>Year 4</w:t>
            </w:r>
          </w:p>
        </w:tc>
        <w:tc>
          <w:tcPr>
            <w:tcW w:w="755" w:type="pct"/>
            <w:shd w:val="clear" w:color="auto" w:fill="auto"/>
            <w:vAlign w:val="center"/>
          </w:tcPr>
          <w:p w:rsidR="00976835" w:rsidRPr="00976835" w:rsidRDefault="00976835" w:rsidP="005550D5">
            <w:pPr>
              <w:jc w:val="center"/>
              <w:rPr>
                <w:rFonts w:ascii="Arial Narrow" w:hAnsi="Arial Narrow"/>
                <w:b/>
                <w:sz w:val="20"/>
              </w:rPr>
            </w:pPr>
            <w:r w:rsidRPr="00976835">
              <w:rPr>
                <w:rFonts w:ascii="Arial Narrow" w:hAnsi="Arial Narrow"/>
                <w:b/>
                <w:sz w:val="20"/>
              </w:rPr>
              <w:t>Year 5</w:t>
            </w:r>
          </w:p>
        </w:tc>
      </w:tr>
      <w:tr w:rsidR="00976835" w:rsidRPr="00976835" w:rsidTr="005550D5">
        <w:tc>
          <w:tcPr>
            <w:tcW w:w="5000" w:type="pct"/>
            <w:gridSpan w:val="6"/>
            <w:shd w:val="clear" w:color="auto" w:fill="auto"/>
            <w:vAlign w:val="center"/>
          </w:tcPr>
          <w:p w:rsidR="00976835" w:rsidRPr="00976835" w:rsidRDefault="00976835" w:rsidP="005550D5">
            <w:pPr>
              <w:jc w:val="left"/>
              <w:rPr>
                <w:rFonts w:ascii="Arial Narrow" w:hAnsi="Arial Narrow"/>
                <w:b/>
                <w:bCs/>
                <w:color w:val="000000"/>
                <w:sz w:val="20"/>
              </w:rPr>
            </w:pPr>
            <w:r w:rsidRPr="00976835">
              <w:rPr>
                <w:rFonts w:ascii="Arial Narrow" w:hAnsi="Arial Narrow"/>
                <w:b/>
                <w:bCs/>
                <w:color w:val="000000"/>
                <w:sz w:val="20"/>
              </w:rPr>
              <w:t>Estimated extent of use</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sz w:val="20"/>
              </w:rPr>
            </w:pPr>
            <w:r w:rsidRPr="00976835">
              <w:rPr>
                <w:rFonts w:ascii="Arial Narrow" w:hAnsi="Arial Narrow"/>
                <w:iCs/>
                <w:sz w:val="20"/>
              </w:rPr>
              <w:t>Follitropin alfa 900 IU scripts</w:t>
            </w:r>
          </w:p>
        </w:tc>
        <w:tc>
          <w:tcPr>
            <w:tcW w:w="679"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679"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64"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64"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55"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sz w:val="20"/>
              </w:rPr>
            </w:pPr>
            <w:r w:rsidRPr="00976835">
              <w:rPr>
                <w:rFonts w:ascii="Arial Narrow" w:hAnsi="Arial Narrow"/>
                <w:sz w:val="20"/>
              </w:rPr>
              <w:t>HP-hMG 600 IU market share</w:t>
            </w:r>
          </w:p>
        </w:tc>
        <w:tc>
          <w:tcPr>
            <w:tcW w:w="679"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2%</w:t>
            </w:r>
          </w:p>
        </w:tc>
        <w:tc>
          <w:tcPr>
            <w:tcW w:w="679"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6%</w:t>
            </w:r>
          </w:p>
        </w:tc>
        <w:tc>
          <w:tcPr>
            <w:tcW w:w="764"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18%</w:t>
            </w:r>
          </w:p>
        </w:tc>
        <w:tc>
          <w:tcPr>
            <w:tcW w:w="764"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30%</w:t>
            </w:r>
          </w:p>
        </w:tc>
        <w:tc>
          <w:tcPr>
            <w:tcW w:w="755"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33%</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sz w:val="20"/>
              </w:rPr>
            </w:pPr>
            <w:r w:rsidRPr="00976835">
              <w:rPr>
                <w:rFonts w:ascii="Arial Narrow" w:hAnsi="Arial Narrow"/>
                <w:sz w:val="20"/>
              </w:rPr>
              <w:t>HP-hMG 600 IU scripts</w:t>
            </w:r>
          </w:p>
        </w:tc>
        <w:tc>
          <w:tcPr>
            <w:tcW w:w="679"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679"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64"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64"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55" w:type="pct"/>
            <w:shd w:val="clear" w:color="auto" w:fill="auto"/>
            <w:vAlign w:val="bottom"/>
          </w:tcPr>
          <w:p w:rsidR="00976835" w:rsidRPr="00F94496" w:rsidRDefault="00F94496" w:rsidP="005550D5">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r>
      <w:tr w:rsidR="00976835" w:rsidRPr="00976835" w:rsidTr="005550D5">
        <w:tc>
          <w:tcPr>
            <w:tcW w:w="5000" w:type="pct"/>
            <w:gridSpan w:val="6"/>
            <w:tcBorders>
              <w:bottom w:val="single" w:sz="4" w:space="0" w:color="auto"/>
            </w:tcBorders>
            <w:shd w:val="clear" w:color="auto" w:fill="auto"/>
            <w:vAlign w:val="center"/>
          </w:tcPr>
          <w:p w:rsidR="00976835" w:rsidRPr="00976835" w:rsidRDefault="00976835" w:rsidP="005550D5">
            <w:pPr>
              <w:jc w:val="left"/>
              <w:rPr>
                <w:rFonts w:ascii="Arial Narrow" w:hAnsi="Arial Narrow"/>
                <w:b/>
                <w:bCs/>
                <w:color w:val="000000"/>
                <w:sz w:val="20"/>
              </w:rPr>
            </w:pPr>
            <w:r w:rsidRPr="00976835">
              <w:rPr>
                <w:rFonts w:ascii="Arial Narrow" w:hAnsi="Arial Narrow"/>
                <w:b/>
                <w:bCs/>
                <w:color w:val="000000"/>
                <w:sz w:val="20"/>
              </w:rPr>
              <w:t>Estimated net cost to PBS/RPBS</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sz w:val="19"/>
                <w:szCs w:val="19"/>
              </w:rPr>
            </w:pPr>
            <w:r w:rsidRPr="00976835">
              <w:rPr>
                <w:rFonts w:ascii="Arial Narrow" w:hAnsi="Arial Narrow"/>
                <w:sz w:val="19"/>
                <w:szCs w:val="19"/>
              </w:rPr>
              <w:t>HP-hMG 600 IU</w:t>
            </w:r>
          </w:p>
        </w:tc>
        <w:tc>
          <w:tcPr>
            <w:tcW w:w="679"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679"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764"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764"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755" w:type="pct"/>
            <w:shd w:val="clear" w:color="auto" w:fill="auto"/>
            <w:vAlign w:val="bottom"/>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sz w:val="19"/>
                <w:szCs w:val="19"/>
              </w:rPr>
            </w:pPr>
            <w:r w:rsidRPr="00976835">
              <w:rPr>
                <w:rFonts w:ascii="Arial Narrow" w:hAnsi="Arial Narrow"/>
                <w:iCs/>
                <w:sz w:val="20"/>
              </w:rPr>
              <w:t>Follitropin alfa 900 IU</w:t>
            </w:r>
          </w:p>
        </w:tc>
        <w:tc>
          <w:tcPr>
            <w:tcW w:w="679" w:type="pct"/>
            <w:shd w:val="clear" w:color="auto" w:fill="auto"/>
            <w:vAlign w:val="bottom"/>
          </w:tcPr>
          <w:p w:rsidR="00976835" w:rsidRPr="00976835" w:rsidRDefault="00976835" w:rsidP="005550D5">
            <w:pPr>
              <w:pStyle w:val="TableTextleft"/>
              <w:jc w:val="center"/>
              <w:rPr>
                <w:rFonts w:ascii="Arial Narrow" w:hAnsi="Arial Narrow"/>
                <w:iCs/>
                <w:sz w:val="20"/>
                <w:highlight w:val="yellow"/>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679" w:type="pct"/>
            <w:shd w:val="clear" w:color="auto" w:fill="auto"/>
            <w:vAlign w:val="bottom"/>
          </w:tcPr>
          <w:p w:rsidR="00976835" w:rsidRPr="00976835" w:rsidRDefault="00976835" w:rsidP="005550D5">
            <w:pPr>
              <w:pStyle w:val="TableTextleft"/>
              <w:jc w:val="center"/>
              <w:rPr>
                <w:rFonts w:ascii="Arial Narrow" w:hAnsi="Arial Narrow"/>
                <w:iCs/>
                <w:sz w:val="20"/>
                <w:highlight w:val="yellow"/>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764" w:type="pct"/>
            <w:shd w:val="clear" w:color="auto" w:fill="auto"/>
            <w:vAlign w:val="bottom"/>
          </w:tcPr>
          <w:p w:rsidR="00976835" w:rsidRPr="00976835" w:rsidRDefault="00976835" w:rsidP="005550D5">
            <w:pPr>
              <w:pStyle w:val="TableTextleft"/>
              <w:jc w:val="center"/>
              <w:rPr>
                <w:rFonts w:ascii="Arial Narrow" w:hAnsi="Arial Narrow"/>
                <w:iCs/>
                <w:sz w:val="20"/>
                <w:highlight w:val="yellow"/>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764" w:type="pct"/>
            <w:shd w:val="clear" w:color="auto" w:fill="auto"/>
            <w:vAlign w:val="bottom"/>
          </w:tcPr>
          <w:p w:rsidR="00976835" w:rsidRPr="00976835" w:rsidRDefault="00976835" w:rsidP="005550D5">
            <w:pPr>
              <w:pStyle w:val="TableTextleft"/>
              <w:jc w:val="center"/>
              <w:rPr>
                <w:rFonts w:ascii="Arial Narrow" w:hAnsi="Arial Narrow"/>
                <w:iCs/>
                <w:sz w:val="20"/>
                <w:highlight w:val="yellow"/>
              </w:rPr>
            </w:pPr>
            <w:r w:rsidRPr="00976835">
              <w:rPr>
                <w:rFonts w:ascii="Arial Narrow" w:hAnsi="Arial Narrow"/>
                <w:iCs/>
                <w:sz w:val="20"/>
              </w:rPr>
              <w:t>$</w:t>
            </w:r>
            <w:r w:rsidR="00F94496">
              <w:rPr>
                <w:rFonts w:ascii="Arial Narrow" w:hAnsi="Arial Narrow"/>
                <w:iCs/>
                <w:noProof/>
                <w:color w:val="000000"/>
                <w:sz w:val="20"/>
                <w:highlight w:val="black"/>
              </w:rPr>
              <w:t>'''''''''''''''''''''</w:t>
            </w:r>
          </w:p>
        </w:tc>
        <w:tc>
          <w:tcPr>
            <w:tcW w:w="755" w:type="pct"/>
            <w:shd w:val="clear" w:color="auto" w:fill="auto"/>
            <w:vAlign w:val="bottom"/>
          </w:tcPr>
          <w:p w:rsidR="00976835" w:rsidRPr="00976835" w:rsidRDefault="00976835" w:rsidP="005550D5">
            <w:pPr>
              <w:pStyle w:val="TableTextleft"/>
              <w:jc w:val="center"/>
              <w:rPr>
                <w:rFonts w:ascii="Arial Narrow" w:hAnsi="Arial Narrow"/>
                <w:iCs/>
                <w:sz w:val="20"/>
                <w:highlight w:val="yellow"/>
              </w:rPr>
            </w:pPr>
            <w:r w:rsidRPr="00976835">
              <w:rPr>
                <w:rFonts w:ascii="Arial Narrow" w:hAnsi="Arial Narrow"/>
                <w:iCs/>
                <w:sz w:val="20"/>
              </w:rPr>
              <w:t>$</w:t>
            </w:r>
            <w:r w:rsidR="00F94496">
              <w:rPr>
                <w:rFonts w:ascii="Arial Narrow" w:hAnsi="Arial Narrow"/>
                <w:iCs/>
                <w:noProof/>
                <w:color w:val="000000"/>
                <w:sz w:val="20"/>
                <w:highlight w:val="black"/>
              </w:rPr>
              <w:t>''''''''''''''''''''''''</w:t>
            </w:r>
          </w:p>
        </w:tc>
      </w:tr>
      <w:tr w:rsidR="00976835" w:rsidRPr="00976835" w:rsidTr="005550D5">
        <w:tc>
          <w:tcPr>
            <w:tcW w:w="5000" w:type="pct"/>
            <w:gridSpan w:val="6"/>
            <w:shd w:val="clear" w:color="auto" w:fill="auto"/>
            <w:vAlign w:val="center"/>
          </w:tcPr>
          <w:p w:rsidR="00976835" w:rsidRPr="00976835" w:rsidRDefault="00976835" w:rsidP="005550D5">
            <w:pPr>
              <w:pStyle w:val="TableTextleft"/>
              <w:rPr>
                <w:rFonts w:ascii="Arial Narrow" w:hAnsi="Arial Narrow"/>
                <w:iCs/>
                <w:sz w:val="20"/>
              </w:rPr>
            </w:pPr>
            <w:r w:rsidRPr="00976835">
              <w:rPr>
                <w:rFonts w:ascii="Arial Narrow" w:hAnsi="Arial Narrow"/>
                <w:b/>
                <w:bCs/>
                <w:color w:val="000000"/>
                <w:sz w:val="20"/>
              </w:rPr>
              <w:t>Estimated net cost to MBS</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sz w:val="20"/>
              </w:rPr>
            </w:pPr>
            <w:r w:rsidRPr="00976835">
              <w:rPr>
                <w:rFonts w:ascii="Arial Narrow" w:hAnsi="Arial Narrow"/>
                <w:sz w:val="19"/>
                <w:szCs w:val="19"/>
              </w:rPr>
              <w:t>Net cost to MBS</w:t>
            </w:r>
          </w:p>
        </w:tc>
        <w:tc>
          <w:tcPr>
            <w:tcW w:w="679" w:type="pct"/>
            <w:shd w:val="clear" w:color="auto" w:fill="auto"/>
            <w:vAlign w:val="center"/>
          </w:tcPr>
          <w:p w:rsidR="00976835" w:rsidRPr="00976835" w:rsidRDefault="00976835" w:rsidP="005550D5">
            <w:pPr>
              <w:jc w:val="center"/>
              <w:rPr>
                <w:rFonts w:ascii="Arial Narrow" w:hAnsi="Arial Narrow"/>
                <w:bCs/>
                <w:color w:val="000000"/>
                <w:sz w:val="20"/>
              </w:rPr>
            </w:pPr>
            <w:r w:rsidRPr="00976835">
              <w:rPr>
                <w:rFonts w:ascii="Arial Narrow" w:hAnsi="Arial Narrow"/>
                <w:bCs/>
                <w:color w:val="000000"/>
                <w:sz w:val="20"/>
              </w:rPr>
              <w:t>$0</w:t>
            </w:r>
          </w:p>
        </w:tc>
        <w:tc>
          <w:tcPr>
            <w:tcW w:w="679" w:type="pct"/>
            <w:shd w:val="clear" w:color="auto" w:fill="auto"/>
            <w:vAlign w:val="center"/>
          </w:tcPr>
          <w:p w:rsidR="00976835" w:rsidRPr="00976835" w:rsidRDefault="00976835" w:rsidP="005550D5">
            <w:pPr>
              <w:jc w:val="center"/>
              <w:rPr>
                <w:rFonts w:ascii="Arial Narrow" w:hAnsi="Arial Narrow"/>
                <w:bCs/>
                <w:color w:val="000000"/>
                <w:sz w:val="20"/>
              </w:rPr>
            </w:pPr>
            <w:r w:rsidRPr="00976835">
              <w:rPr>
                <w:rFonts w:ascii="Arial Narrow" w:hAnsi="Arial Narrow"/>
                <w:bCs/>
                <w:color w:val="000000"/>
                <w:sz w:val="20"/>
              </w:rPr>
              <w:t>$0</w:t>
            </w:r>
          </w:p>
        </w:tc>
        <w:tc>
          <w:tcPr>
            <w:tcW w:w="764" w:type="pct"/>
            <w:shd w:val="clear" w:color="auto" w:fill="auto"/>
            <w:vAlign w:val="center"/>
          </w:tcPr>
          <w:p w:rsidR="00976835" w:rsidRPr="00976835" w:rsidRDefault="00976835" w:rsidP="005550D5">
            <w:pPr>
              <w:jc w:val="center"/>
              <w:rPr>
                <w:rFonts w:ascii="Arial Narrow" w:hAnsi="Arial Narrow"/>
                <w:bCs/>
                <w:color w:val="000000"/>
                <w:sz w:val="20"/>
              </w:rPr>
            </w:pPr>
            <w:r w:rsidRPr="00976835">
              <w:rPr>
                <w:rFonts w:ascii="Arial Narrow" w:hAnsi="Arial Narrow"/>
                <w:bCs/>
                <w:color w:val="000000"/>
                <w:sz w:val="20"/>
              </w:rPr>
              <w:t>$0</w:t>
            </w:r>
          </w:p>
        </w:tc>
        <w:tc>
          <w:tcPr>
            <w:tcW w:w="764" w:type="pct"/>
            <w:shd w:val="clear" w:color="auto" w:fill="auto"/>
            <w:vAlign w:val="center"/>
          </w:tcPr>
          <w:p w:rsidR="00976835" w:rsidRPr="00976835" w:rsidRDefault="00976835" w:rsidP="005550D5">
            <w:pPr>
              <w:jc w:val="center"/>
              <w:rPr>
                <w:rFonts w:ascii="Arial Narrow" w:hAnsi="Arial Narrow"/>
                <w:bCs/>
                <w:color w:val="000000"/>
                <w:sz w:val="20"/>
              </w:rPr>
            </w:pPr>
            <w:r w:rsidRPr="00976835">
              <w:rPr>
                <w:rFonts w:ascii="Arial Narrow" w:hAnsi="Arial Narrow"/>
                <w:bCs/>
                <w:color w:val="000000"/>
                <w:sz w:val="20"/>
              </w:rPr>
              <w:t>$0</w:t>
            </w:r>
          </w:p>
        </w:tc>
        <w:tc>
          <w:tcPr>
            <w:tcW w:w="755" w:type="pct"/>
            <w:shd w:val="clear" w:color="auto" w:fill="auto"/>
            <w:vAlign w:val="center"/>
          </w:tcPr>
          <w:p w:rsidR="00976835" w:rsidRPr="00976835" w:rsidRDefault="00976835" w:rsidP="005550D5">
            <w:pPr>
              <w:jc w:val="center"/>
              <w:rPr>
                <w:rFonts w:ascii="Arial Narrow" w:hAnsi="Arial Narrow"/>
                <w:bCs/>
                <w:color w:val="000000"/>
                <w:sz w:val="20"/>
              </w:rPr>
            </w:pPr>
            <w:r w:rsidRPr="00976835">
              <w:rPr>
                <w:rFonts w:ascii="Arial Narrow" w:hAnsi="Arial Narrow"/>
                <w:bCs/>
                <w:color w:val="000000"/>
                <w:sz w:val="20"/>
              </w:rPr>
              <w:t>$0</w:t>
            </w:r>
          </w:p>
        </w:tc>
      </w:tr>
      <w:tr w:rsidR="00976835" w:rsidRPr="00976835" w:rsidTr="005550D5">
        <w:tc>
          <w:tcPr>
            <w:tcW w:w="5000" w:type="pct"/>
            <w:gridSpan w:val="6"/>
            <w:shd w:val="clear" w:color="auto" w:fill="auto"/>
            <w:vAlign w:val="center"/>
          </w:tcPr>
          <w:p w:rsidR="00976835" w:rsidRPr="00976835" w:rsidRDefault="00976835" w:rsidP="005550D5">
            <w:pPr>
              <w:jc w:val="left"/>
              <w:rPr>
                <w:rFonts w:ascii="Arial Narrow" w:hAnsi="Arial Narrow"/>
                <w:b/>
                <w:color w:val="000000"/>
                <w:sz w:val="20"/>
              </w:rPr>
            </w:pPr>
            <w:r w:rsidRPr="00976835">
              <w:rPr>
                <w:rFonts w:ascii="Arial Narrow" w:hAnsi="Arial Narrow"/>
                <w:b/>
                <w:color w:val="000000"/>
                <w:sz w:val="20"/>
              </w:rPr>
              <w:t>Estimated total net cost</w:t>
            </w:r>
          </w:p>
        </w:tc>
      </w:tr>
      <w:tr w:rsidR="00976835" w:rsidRPr="00976835" w:rsidTr="005550D5">
        <w:tc>
          <w:tcPr>
            <w:tcW w:w="1359" w:type="pct"/>
            <w:shd w:val="clear" w:color="auto" w:fill="auto"/>
            <w:vAlign w:val="center"/>
          </w:tcPr>
          <w:p w:rsidR="00976835" w:rsidRPr="00976835" w:rsidRDefault="00976835" w:rsidP="005550D5">
            <w:pPr>
              <w:tabs>
                <w:tab w:val="left" w:pos="142"/>
              </w:tabs>
              <w:jc w:val="left"/>
              <w:rPr>
                <w:rFonts w:ascii="Arial Narrow" w:hAnsi="Arial Narrow"/>
                <w:b/>
                <w:sz w:val="20"/>
              </w:rPr>
            </w:pPr>
            <w:r w:rsidRPr="00976835">
              <w:rPr>
                <w:rFonts w:ascii="Arial Narrow" w:hAnsi="Arial Narrow"/>
                <w:b/>
                <w:bCs/>
                <w:color w:val="000000"/>
                <w:sz w:val="20"/>
              </w:rPr>
              <w:t>Net cost to PBS/RPBS/MBS</w:t>
            </w:r>
          </w:p>
        </w:tc>
        <w:tc>
          <w:tcPr>
            <w:tcW w:w="679" w:type="pct"/>
            <w:shd w:val="clear" w:color="auto" w:fill="auto"/>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r w:rsidRPr="00976835">
              <w:rPr>
                <w:rFonts w:ascii="Arial Narrow" w:hAnsi="Arial Narrow"/>
                <w:iCs/>
                <w:sz w:val="20"/>
              </w:rPr>
              <w:t xml:space="preserve"> </w:t>
            </w:r>
          </w:p>
        </w:tc>
        <w:tc>
          <w:tcPr>
            <w:tcW w:w="679" w:type="pct"/>
            <w:shd w:val="clear" w:color="auto" w:fill="auto"/>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r w:rsidRPr="00976835">
              <w:rPr>
                <w:rFonts w:ascii="Arial Narrow" w:hAnsi="Arial Narrow"/>
                <w:iCs/>
                <w:sz w:val="20"/>
              </w:rPr>
              <w:t xml:space="preserve"> </w:t>
            </w:r>
          </w:p>
        </w:tc>
        <w:tc>
          <w:tcPr>
            <w:tcW w:w="764" w:type="pct"/>
            <w:shd w:val="clear" w:color="auto" w:fill="auto"/>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r w:rsidRPr="00976835">
              <w:rPr>
                <w:rFonts w:ascii="Arial Narrow" w:hAnsi="Arial Narrow"/>
                <w:iCs/>
                <w:sz w:val="20"/>
              </w:rPr>
              <w:t xml:space="preserve"> </w:t>
            </w:r>
          </w:p>
        </w:tc>
        <w:tc>
          <w:tcPr>
            <w:tcW w:w="764" w:type="pct"/>
            <w:shd w:val="clear" w:color="auto" w:fill="auto"/>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r w:rsidRPr="00976835">
              <w:rPr>
                <w:rFonts w:ascii="Arial Narrow" w:hAnsi="Arial Narrow"/>
                <w:iCs/>
                <w:sz w:val="20"/>
              </w:rPr>
              <w:t xml:space="preserve"> </w:t>
            </w:r>
          </w:p>
        </w:tc>
        <w:tc>
          <w:tcPr>
            <w:tcW w:w="755" w:type="pct"/>
            <w:shd w:val="clear" w:color="auto" w:fill="auto"/>
          </w:tcPr>
          <w:p w:rsidR="00976835" w:rsidRPr="00976835" w:rsidRDefault="00976835" w:rsidP="005550D5">
            <w:pPr>
              <w:pStyle w:val="TableTextleft"/>
              <w:jc w:val="center"/>
              <w:rPr>
                <w:rFonts w:ascii="Arial Narrow" w:hAnsi="Arial Narrow"/>
                <w:iCs/>
                <w:sz w:val="20"/>
              </w:rPr>
            </w:pPr>
            <w:r w:rsidRPr="00976835">
              <w:rPr>
                <w:rFonts w:ascii="Arial Narrow" w:hAnsi="Arial Narrow"/>
                <w:iCs/>
                <w:sz w:val="20"/>
              </w:rPr>
              <w:t>-$</w:t>
            </w:r>
            <w:r w:rsidR="00F94496">
              <w:rPr>
                <w:rFonts w:ascii="Arial Narrow" w:hAnsi="Arial Narrow"/>
                <w:iCs/>
                <w:noProof/>
                <w:color w:val="000000"/>
                <w:sz w:val="20"/>
                <w:highlight w:val="black"/>
              </w:rPr>
              <w:t>'''''''''''''''''''''</w:t>
            </w:r>
            <w:r w:rsidRPr="00976835">
              <w:rPr>
                <w:rFonts w:ascii="Arial Narrow" w:hAnsi="Arial Narrow"/>
                <w:iCs/>
                <w:sz w:val="20"/>
              </w:rPr>
              <w:t xml:space="preserve"> </w:t>
            </w:r>
          </w:p>
        </w:tc>
      </w:tr>
    </w:tbl>
    <w:p w:rsidR="00976835" w:rsidRPr="00976835" w:rsidRDefault="00976835" w:rsidP="00976835">
      <w:pPr>
        <w:pStyle w:val="TableFooter"/>
        <w:ind w:left="720"/>
      </w:pPr>
      <w:r w:rsidRPr="00976835">
        <w:t>Source: Table E-4 p68, Table E-5 p68, Table E-6 p89, Table E-9 and Table E-10 p71 of the submission.</w:t>
      </w:r>
    </w:p>
    <w:p w:rsidR="00F50F85" w:rsidRDefault="00976835" w:rsidP="00976835">
      <w:pPr>
        <w:pStyle w:val="TableFooter"/>
        <w:ind w:left="720"/>
      </w:pPr>
      <w:r w:rsidRPr="00976835">
        <w:t>Abbreviations: HP-hMG = highly purified human menopausal gonadotrophin; MBS = Medicare Benefits Schedule; PBS = Pharmaceutical Benefits Scheme; RPBS = Repatriation Pharmaceutical Benefits Scheme.</w:t>
      </w:r>
    </w:p>
    <w:p w:rsidR="0046228E" w:rsidRPr="00976835" w:rsidRDefault="0046228E" w:rsidP="00976835">
      <w:pPr>
        <w:pStyle w:val="TableFooter"/>
        <w:ind w:left="720"/>
      </w:pPr>
    </w:p>
    <w:p w:rsidR="0065726A" w:rsidRDefault="0046228E" w:rsidP="00A1544F">
      <w:pPr>
        <w:widowControl/>
        <w:ind w:left="720"/>
        <w:rPr>
          <w:szCs w:val="22"/>
        </w:rPr>
      </w:pPr>
      <w:r>
        <w:rPr>
          <w:szCs w:val="22"/>
        </w:rPr>
        <w:t>The redacted table above shows that at year 5, the estimated number of scripts would be less than 10,000 and the net savings to PBS would be less than $10 million.</w:t>
      </w:r>
    </w:p>
    <w:p w:rsidR="0046228E" w:rsidRDefault="0046228E">
      <w:pPr>
        <w:widowControl/>
        <w:jc w:val="left"/>
        <w:rPr>
          <w:szCs w:val="22"/>
        </w:rPr>
      </w:pPr>
    </w:p>
    <w:p w:rsidR="00976835" w:rsidRPr="00C72DB6" w:rsidRDefault="00976835" w:rsidP="00C72DB6">
      <w:pPr>
        <w:pStyle w:val="ListParagraph"/>
        <w:widowControl/>
        <w:numPr>
          <w:ilvl w:val="1"/>
          <w:numId w:val="1"/>
        </w:numPr>
        <w:rPr>
          <w:szCs w:val="22"/>
        </w:rPr>
      </w:pPr>
      <w:r w:rsidRPr="00C72DB6">
        <w:rPr>
          <w:szCs w:val="24"/>
        </w:rPr>
        <w:t>The uptake of HP-hMG does not consider that patients treated with HP-hMG may require higher doses</w:t>
      </w:r>
      <w:r w:rsidR="003F5CF3" w:rsidRPr="00C72DB6">
        <w:rPr>
          <w:szCs w:val="24"/>
        </w:rPr>
        <w:t>, as observed in the trial data,</w:t>
      </w:r>
      <w:r w:rsidRPr="00C72DB6">
        <w:rPr>
          <w:szCs w:val="24"/>
        </w:rPr>
        <w:t xml:space="preserve"> and that only one presentation is available. </w:t>
      </w:r>
      <w:r w:rsidRPr="00C72DB6">
        <w:rPr>
          <w:szCs w:val="22"/>
        </w:rPr>
        <w:t xml:space="preserve">Revised estimated financial implications are provided in Table 9 assuming </w:t>
      </w:r>
      <w:r w:rsidR="003F5CF3" w:rsidRPr="00C72DB6">
        <w:rPr>
          <w:szCs w:val="22"/>
        </w:rPr>
        <w:t xml:space="preserve">an </w:t>
      </w:r>
      <w:r w:rsidRPr="00C72DB6">
        <w:rPr>
          <w:szCs w:val="22"/>
        </w:rPr>
        <w:t>equi-effective dose</w:t>
      </w:r>
      <w:r w:rsidR="003F5CF3" w:rsidRPr="00C72DB6">
        <w:rPr>
          <w:szCs w:val="22"/>
        </w:rPr>
        <w:t xml:space="preserve"> ratio</w:t>
      </w:r>
      <w:r w:rsidR="006704EE" w:rsidRPr="00C72DB6">
        <w:rPr>
          <w:szCs w:val="22"/>
        </w:rPr>
        <w:t xml:space="preserve"> as suggested by the ESC, of 1.32:1</w:t>
      </w:r>
      <w:r w:rsidRPr="00C72DB6">
        <w:rPr>
          <w:szCs w:val="22"/>
        </w:rPr>
        <w:t>. These costs do not include the potential for increased wastage with HP-hMG compared with follitropin alfa.</w:t>
      </w:r>
    </w:p>
    <w:p w:rsidR="00976835" w:rsidRPr="00976835" w:rsidRDefault="00976835" w:rsidP="00976835">
      <w:pPr>
        <w:pStyle w:val="ListParagraph"/>
        <w:widowControl/>
        <w:rPr>
          <w:szCs w:val="22"/>
        </w:rPr>
      </w:pPr>
    </w:p>
    <w:p w:rsidR="00F50F85" w:rsidRPr="00F50F85" w:rsidRDefault="00F50F85" w:rsidP="00F50F85">
      <w:pPr>
        <w:keepNext/>
        <w:widowControl/>
        <w:ind w:firstLine="709"/>
        <w:jc w:val="left"/>
        <w:rPr>
          <w:rFonts w:ascii="Arial Narrow" w:eastAsia="Calibri" w:hAnsi="Arial Narrow" w:cs="Times New Roman"/>
          <w:b/>
          <w:bCs/>
          <w:i/>
          <w:iCs/>
          <w:snapToGrid/>
          <w:sz w:val="20"/>
        </w:rPr>
      </w:pPr>
      <w:r w:rsidRPr="00F50F85">
        <w:rPr>
          <w:rFonts w:ascii="Arial Narrow" w:eastAsia="Calibri" w:hAnsi="Arial Narrow" w:cs="Times New Roman"/>
          <w:b/>
          <w:bCs/>
          <w:i/>
          <w:iCs/>
          <w:snapToGrid/>
          <w:sz w:val="20"/>
        </w:rPr>
        <w:t xml:space="preserve">Table </w:t>
      </w:r>
      <w:r w:rsidR="00E025C9">
        <w:rPr>
          <w:rFonts w:ascii="Arial Narrow" w:eastAsia="Calibri" w:hAnsi="Arial Narrow" w:cs="Times New Roman"/>
          <w:b/>
          <w:bCs/>
          <w:i/>
          <w:iCs/>
          <w:snapToGrid/>
          <w:sz w:val="20"/>
        </w:rPr>
        <w:t>10</w:t>
      </w:r>
      <w:r w:rsidRPr="00F50F85">
        <w:rPr>
          <w:rFonts w:ascii="Arial Narrow" w:eastAsia="Calibri" w:hAnsi="Arial Narrow" w:cs="Times New Roman"/>
          <w:b/>
          <w:bCs/>
          <w:i/>
          <w:iCs/>
          <w:snapToGrid/>
          <w:sz w:val="20"/>
        </w:rPr>
        <w:t>: Revised estimated financial implications to the PBS assuming equi-effective doses of 1.32:1</w:t>
      </w:r>
    </w:p>
    <w:tbl>
      <w:tblPr>
        <w:tblW w:w="4566" w:type="pct"/>
        <w:tblInd w:w="817" w:type="dxa"/>
        <w:tblCellMar>
          <w:left w:w="0" w:type="dxa"/>
          <w:right w:w="0" w:type="dxa"/>
        </w:tblCellMar>
        <w:tblLook w:val="04A0" w:firstRow="1" w:lastRow="0" w:firstColumn="1" w:lastColumn="0" w:noHBand="0" w:noVBand="1"/>
      </w:tblPr>
      <w:tblGrid>
        <w:gridCol w:w="2229"/>
        <w:gridCol w:w="1242"/>
        <w:gridCol w:w="1243"/>
        <w:gridCol w:w="1243"/>
        <w:gridCol w:w="1243"/>
        <w:gridCol w:w="1241"/>
      </w:tblGrid>
      <w:tr w:rsidR="00F50F85" w:rsidRPr="00F50F85" w:rsidTr="00F50F85">
        <w:trPr>
          <w:tblHeader/>
        </w:trPr>
        <w:tc>
          <w:tcPr>
            <w:tcW w:w="13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0F85" w:rsidRPr="00BF2D6A" w:rsidRDefault="00F50F85" w:rsidP="00F50F85">
            <w:pPr>
              <w:keepNext/>
              <w:widowControl/>
              <w:jc w:val="center"/>
              <w:rPr>
                <w:rFonts w:ascii="Arial Narrow" w:hAnsi="Arial Narrow" w:cs="Times New Roman"/>
                <w:b/>
                <w:bCs/>
                <w:i/>
                <w:iCs/>
                <w:snapToGrid/>
                <w:sz w:val="20"/>
              </w:rPr>
            </w:pPr>
          </w:p>
        </w:tc>
        <w:tc>
          <w:tcPr>
            <w:tcW w:w="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center"/>
              <w:rPr>
                <w:rFonts w:ascii="Arial Narrow" w:hAnsi="Arial Narrow" w:cs="Times New Roman"/>
                <w:b/>
                <w:bCs/>
                <w:i/>
                <w:iCs/>
                <w:snapToGrid/>
                <w:sz w:val="20"/>
              </w:rPr>
            </w:pPr>
            <w:r w:rsidRPr="00BF2D6A">
              <w:rPr>
                <w:rFonts w:ascii="Arial Narrow" w:hAnsi="Arial Narrow" w:cs="Times New Roman"/>
                <w:b/>
                <w:bCs/>
                <w:i/>
                <w:iCs/>
                <w:snapToGrid/>
                <w:sz w:val="20"/>
                <w:lang w:eastAsia="en-AU"/>
              </w:rPr>
              <w:t>Year 1</w:t>
            </w:r>
            <w:r w:rsidRPr="00BF2D6A">
              <w:rPr>
                <w:rFonts w:ascii="Arial Narrow" w:hAnsi="Arial Narrow" w:cs="Times New Roman"/>
                <w:b/>
                <w:bCs/>
                <w:i/>
                <w:iCs/>
                <w:snapToGrid/>
                <w:sz w:val="20"/>
                <w:lang w:eastAsia="en-AU"/>
              </w:rPr>
              <w:br/>
              <w:t>2015/16</w:t>
            </w:r>
          </w:p>
        </w:tc>
        <w:tc>
          <w:tcPr>
            <w:tcW w:w="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center"/>
              <w:rPr>
                <w:rFonts w:ascii="Arial Narrow" w:hAnsi="Arial Narrow" w:cs="Times New Roman"/>
                <w:b/>
                <w:bCs/>
                <w:i/>
                <w:iCs/>
                <w:snapToGrid/>
                <w:sz w:val="20"/>
              </w:rPr>
            </w:pPr>
            <w:r w:rsidRPr="00BF2D6A">
              <w:rPr>
                <w:rFonts w:ascii="Arial Narrow" w:hAnsi="Arial Narrow" w:cs="Times New Roman"/>
                <w:b/>
                <w:bCs/>
                <w:i/>
                <w:iCs/>
                <w:snapToGrid/>
                <w:sz w:val="20"/>
                <w:lang w:eastAsia="en-AU"/>
              </w:rPr>
              <w:t>Year 2</w:t>
            </w:r>
            <w:r w:rsidRPr="00BF2D6A">
              <w:rPr>
                <w:rFonts w:ascii="Arial Narrow" w:hAnsi="Arial Narrow" w:cs="Times New Roman"/>
                <w:b/>
                <w:bCs/>
                <w:i/>
                <w:iCs/>
                <w:snapToGrid/>
                <w:sz w:val="20"/>
                <w:lang w:eastAsia="en-AU"/>
              </w:rPr>
              <w:br/>
              <w:t>2016/17</w:t>
            </w:r>
          </w:p>
        </w:tc>
        <w:tc>
          <w:tcPr>
            <w:tcW w:w="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center"/>
              <w:rPr>
                <w:rFonts w:ascii="Arial Narrow" w:hAnsi="Arial Narrow" w:cs="Times New Roman"/>
                <w:b/>
                <w:bCs/>
                <w:i/>
                <w:iCs/>
                <w:snapToGrid/>
                <w:sz w:val="20"/>
              </w:rPr>
            </w:pPr>
            <w:r w:rsidRPr="00BF2D6A">
              <w:rPr>
                <w:rFonts w:ascii="Arial Narrow" w:hAnsi="Arial Narrow" w:cs="Times New Roman"/>
                <w:b/>
                <w:bCs/>
                <w:i/>
                <w:iCs/>
                <w:snapToGrid/>
                <w:sz w:val="20"/>
                <w:lang w:eastAsia="en-AU"/>
              </w:rPr>
              <w:t>Year 3</w:t>
            </w:r>
            <w:r w:rsidRPr="00BF2D6A">
              <w:rPr>
                <w:rFonts w:ascii="Arial Narrow" w:hAnsi="Arial Narrow" w:cs="Times New Roman"/>
                <w:b/>
                <w:bCs/>
                <w:i/>
                <w:iCs/>
                <w:snapToGrid/>
                <w:sz w:val="20"/>
                <w:lang w:eastAsia="en-AU"/>
              </w:rPr>
              <w:br/>
              <w:t>2017/18</w:t>
            </w:r>
          </w:p>
        </w:tc>
        <w:tc>
          <w:tcPr>
            <w:tcW w:w="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center"/>
              <w:rPr>
                <w:rFonts w:ascii="Arial Narrow" w:hAnsi="Arial Narrow" w:cs="Times New Roman"/>
                <w:b/>
                <w:bCs/>
                <w:i/>
                <w:iCs/>
                <w:snapToGrid/>
                <w:sz w:val="20"/>
              </w:rPr>
            </w:pPr>
            <w:r w:rsidRPr="00BF2D6A">
              <w:rPr>
                <w:rFonts w:ascii="Arial Narrow" w:hAnsi="Arial Narrow" w:cs="Times New Roman"/>
                <w:b/>
                <w:bCs/>
                <w:i/>
                <w:iCs/>
                <w:snapToGrid/>
                <w:sz w:val="20"/>
                <w:lang w:eastAsia="en-AU"/>
              </w:rPr>
              <w:t>Year 4</w:t>
            </w:r>
            <w:r w:rsidRPr="00BF2D6A">
              <w:rPr>
                <w:rFonts w:ascii="Arial Narrow" w:hAnsi="Arial Narrow" w:cs="Times New Roman"/>
                <w:b/>
                <w:bCs/>
                <w:i/>
                <w:iCs/>
                <w:snapToGrid/>
                <w:sz w:val="20"/>
                <w:lang w:eastAsia="en-AU"/>
              </w:rPr>
              <w:br/>
              <w:t>2018/19</w:t>
            </w:r>
          </w:p>
        </w:tc>
        <w:tc>
          <w:tcPr>
            <w:tcW w:w="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center"/>
              <w:rPr>
                <w:rFonts w:ascii="Arial Narrow" w:hAnsi="Arial Narrow" w:cs="Times New Roman"/>
                <w:b/>
                <w:bCs/>
                <w:i/>
                <w:iCs/>
                <w:snapToGrid/>
                <w:sz w:val="20"/>
              </w:rPr>
            </w:pPr>
            <w:r w:rsidRPr="00BF2D6A">
              <w:rPr>
                <w:rFonts w:ascii="Arial Narrow" w:hAnsi="Arial Narrow" w:cs="Times New Roman"/>
                <w:b/>
                <w:bCs/>
                <w:i/>
                <w:iCs/>
                <w:snapToGrid/>
                <w:sz w:val="20"/>
                <w:lang w:eastAsia="en-AU"/>
              </w:rPr>
              <w:t>Year 5</w:t>
            </w:r>
            <w:r w:rsidRPr="00BF2D6A">
              <w:rPr>
                <w:rFonts w:ascii="Arial Narrow" w:hAnsi="Arial Narrow" w:cs="Times New Roman"/>
                <w:b/>
                <w:bCs/>
                <w:i/>
                <w:iCs/>
                <w:snapToGrid/>
                <w:sz w:val="20"/>
                <w:lang w:eastAsia="en-AU"/>
              </w:rPr>
              <w:br/>
              <w:t>2019/20</w:t>
            </w:r>
          </w:p>
        </w:tc>
      </w:tr>
      <w:tr w:rsidR="00F50F85" w:rsidRPr="00F50F85" w:rsidTr="00F50F85">
        <w:tc>
          <w:tcPr>
            <w:tcW w:w="1321" w:type="pct"/>
            <w:tcBorders>
              <w:top w:val="nil"/>
              <w:left w:val="single" w:sz="8" w:space="0" w:color="auto"/>
              <w:bottom w:val="single" w:sz="8" w:space="0" w:color="auto"/>
              <w:right w:val="nil"/>
            </w:tcBorders>
            <w:tcMar>
              <w:top w:w="0" w:type="dxa"/>
              <w:left w:w="108" w:type="dxa"/>
              <w:bottom w:w="0" w:type="dxa"/>
              <w:right w:w="108" w:type="dxa"/>
            </w:tcMar>
            <w:hideMark/>
          </w:tcPr>
          <w:p w:rsidR="00F50F85" w:rsidRPr="00BF2D6A" w:rsidRDefault="00F50F85" w:rsidP="00804B08">
            <w:pPr>
              <w:keepNext/>
              <w:widowControl/>
              <w:jc w:val="left"/>
              <w:rPr>
                <w:rFonts w:ascii="Arial Narrow" w:eastAsia="Calibri" w:hAnsi="Arial Narrow"/>
                <w:i/>
                <w:iCs/>
                <w:snapToGrid/>
                <w:sz w:val="20"/>
                <w:lang w:eastAsia="en-AU"/>
              </w:rPr>
            </w:pPr>
            <w:r w:rsidRPr="00BF2D6A">
              <w:rPr>
                <w:rFonts w:ascii="Arial Narrow" w:eastAsia="Calibri" w:hAnsi="Arial Narrow"/>
                <w:i/>
                <w:iCs/>
                <w:snapToGrid/>
                <w:sz w:val="20"/>
                <w:lang w:eastAsia="en-AU"/>
              </w:rPr>
              <w:t xml:space="preserve">Net Cost to </w:t>
            </w:r>
            <w:r w:rsidR="00804B08" w:rsidRPr="00BF2D6A">
              <w:rPr>
                <w:rFonts w:ascii="Arial Narrow" w:eastAsia="Calibri" w:hAnsi="Arial Narrow"/>
                <w:i/>
                <w:iCs/>
                <w:snapToGrid/>
                <w:sz w:val="20"/>
                <w:lang w:eastAsia="en-AU"/>
              </w:rPr>
              <w:t>Gov</w:t>
            </w:r>
            <w:r w:rsidR="00804B08">
              <w:rPr>
                <w:rFonts w:ascii="Arial Narrow" w:eastAsia="Calibri" w:hAnsi="Arial Narrow"/>
                <w:i/>
                <w:iCs/>
                <w:snapToGrid/>
                <w:sz w:val="20"/>
                <w:lang w:eastAsia="en-AU"/>
              </w:rPr>
              <w:t>ernment</w:t>
            </w:r>
          </w:p>
        </w:tc>
        <w:tc>
          <w:tcPr>
            <w:tcW w:w="736" w:type="pct"/>
            <w:tcBorders>
              <w:top w:val="nil"/>
              <w:left w:val="nil"/>
              <w:bottom w:val="single" w:sz="8" w:space="0" w:color="auto"/>
              <w:right w:val="nil"/>
            </w:tcBorders>
            <w:tcMar>
              <w:top w:w="0" w:type="dxa"/>
              <w:left w:w="108" w:type="dxa"/>
              <w:bottom w:w="0" w:type="dxa"/>
              <w:right w:w="108" w:type="dxa"/>
            </w:tcMar>
          </w:tcPr>
          <w:p w:rsidR="00F50F85" w:rsidRPr="00BF2D6A" w:rsidRDefault="00F50F85" w:rsidP="00F50F85">
            <w:pPr>
              <w:keepNext/>
              <w:widowControl/>
              <w:jc w:val="center"/>
              <w:rPr>
                <w:rFonts w:ascii="Arial Narrow" w:eastAsia="Calibri" w:hAnsi="Arial Narrow"/>
                <w:i/>
                <w:iCs/>
                <w:snapToGrid/>
                <w:sz w:val="20"/>
                <w:highlight w:val="yellow"/>
                <w:lang w:eastAsia="en-AU"/>
              </w:rPr>
            </w:pPr>
          </w:p>
        </w:tc>
        <w:tc>
          <w:tcPr>
            <w:tcW w:w="736" w:type="pct"/>
            <w:tcBorders>
              <w:top w:val="nil"/>
              <w:left w:val="nil"/>
              <w:bottom w:val="single" w:sz="8" w:space="0" w:color="auto"/>
              <w:right w:val="nil"/>
            </w:tcBorders>
            <w:tcMar>
              <w:top w:w="0" w:type="dxa"/>
              <w:left w:w="108" w:type="dxa"/>
              <w:bottom w:w="0" w:type="dxa"/>
              <w:right w:w="108" w:type="dxa"/>
            </w:tcMar>
          </w:tcPr>
          <w:p w:rsidR="00F50F85" w:rsidRPr="00BF2D6A" w:rsidRDefault="00F50F85" w:rsidP="00F50F85">
            <w:pPr>
              <w:keepNext/>
              <w:widowControl/>
              <w:jc w:val="center"/>
              <w:rPr>
                <w:rFonts w:ascii="Arial Narrow" w:eastAsia="Calibri" w:hAnsi="Arial Narrow"/>
                <w:i/>
                <w:iCs/>
                <w:snapToGrid/>
                <w:sz w:val="20"/>
                <w:highlight w:val="yellow"/>
                <w:lang w:eastAsia="en-AU"/>
              </w:rPr>
            </w:pPr>
          </w:p>
        </w:tc>
        <w:tc>
          <w:tcPr>
            <w:tcW w:w="736" w:type="pct"/>
            <w:tcBorders>
              <w:top w:val="nil"/>
              <w:left w:val="nil"/>
              <w:bottom w:val="single" w:sz="8" w:space="0" w:color="auto"/>
              <w:right w:val="nil"/>
            </w:tcBorders>
            <w:tcMar>
              <w:top w:w="0" w:type="dxa"/>
              <w:left w:w="108" w:type="dxa"/>
              <w:bottom w:w="0" w:type="dxa"/>
              <w:right w:w="108" w:type="dxa"/>
            </w:tcMar>
          </w:tcPr>
          <w:p w:rsidR="00F50F85" w:rsidRPr="00BF2D6A" w:rsidRDefault="00F50F85" w:rsidP="00F50F85">
            <w:pPr>
              <w:keepNext/>
              <w:widowControl/>
              <w:jc w:val="center"/>
              <w:rPr>
                <w:rFonts w:ascii="Arial Narrow" w:eastAsia="Calibri" w:hAnsi="Arial Narrow"/>
                <w:i/>
                <w:iCs/>
                <w:snapToGrid/>
                <w:sz w:val="20"/>
                <w:highlight w:val="yellow"/>
                <w:lang w:eastAsia="en-AU"/>
              </w:rPr>
            </w:pPr>
          </w:p>
        </w:tc>
        <w:tc>
          <w:tcPr>
            <w:tcW w:w="736" w:type="pct"/>
            <w:tcBorders>
              <w:top w:val="nil"/>
              <w:left w:val="nil"/>
              <w:bottom w:val="single" w:sz="8" w:space="0" w:color="auto"/>
              <w:right w:val="nil"/>
            </w:tcBorders>
            <w:tcMar>
              <w:top w:w="0" w:type="dxa"/>
              <w:left w:w="108" w:type="dxa"/>
              <w:bottom w:w="0" w:type="dxa"/>
              <w:right w:w="108" w:type="dxa"/>
            </w:tcMar>
          </w:tcPr>
          <w:p w:rsidR="00F50F85" w:rsidRPr="00BF2D6A" w:rsidRDefault="00F50F85" w:rsidP="00F50F85">
            <w:pPr>
              <w:keepNext/>
              <w:widowControl/>
              <w:jc w:val="center"/>
              <w:rPr>
                <w:rFonts w:ascii="Arial Narrow" w:eastAsia="Calibri" w:hAnsi="Arial Narrow"/>
                <w:i/>
                <w:iCs/>
                <w:snapToGrid/>
                <w:sz w:val="20"/>
                <w:highlight w:val="yellow"/>
                <w:lang w:eastAsia="en-AU"/>
              </w:rPr>
            </w:pPr>
          </w:p>
        </w:tc>
        <w:tc>
          <w:tcPr>
            <w:tcW w:w="735" w:type="pct"/>
            <w:tcBorders>
              <w:top w:val="nil"/>
              <w:left w:val="nil"/>
              <w:bottom w:val="single" w:sz="8" w:space="0" w:color="auto"/>
              <w:right w:val="single" w:sz="8" w:space="0" w:color="auto"/>
            </w:tcBorders>
            <w:tcMar>
              <w:top w:w="0" w:type="dxa"/>
              <w:left w:w="108" w:type="dxa"/>
              <w:bottom w:w="0" w:type="dxa"/>
              <w:right w:w="108" w:type="dxa"/>
            </w:tcMar>
          </w:tcPr>
          <w:p w:rsidR="00F50F85" w:rsidRPr="00BF2D6A" w:rsidRDefault="00F50F85" w:rsidP="00F50F85">
            <w:pPr>
              <w:keepNext/>
              <w:widowControl/>
              <w:jc w:val="center"/>
              <w:rPr>
                <w:rFonts w:ascii="Arial Narrow" w:eastAsia="Calibri" w:hAnsi="Arial Narrow"/>
                <w:i/>
                <w:iCs/>
                <w:snapToGrid/>
                <w:sz w:val="20"/>
                <w:highlight w:val="yellow"/>
                <w:lang w:eastAsia="en-AU"/>
              </w:rPr>
            </w:pPr>
          </w:p>
        </w:tc>
      </w:tr>
      <w:tr w:rsidR="00F50F85" w:rsidRPr="00F50F85" w:rsidTr="00F50F85">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left"/>
              <w:rPr>
                <w:rFonts w:ascii="Arial Narrow" w:eastAsia="Calibri" w:hAnsi="Arial Narrow"/>
                <w:i/>
                <w:iCs/>
                <w:snapToGrid/>
                <w:sz w:val="20"/>
                <w:lang w:eastAsia="en-AU"/>
              </w:rPr>
            </w:pPr>
            <w:r w:rsidRPr="00BF2D6A">
              <w:rPr>
                <w:rFonts w:ascii="Arial Narrow" w:eastAsia="Calibri" w:hAnsi="Arial Narrow"/>
                <w:i/>
                <w:iCs/>
                <w:snapToGrid/>
                <w:sz w:val="20"/>
                <w:lang w:eastAsia="en-AU"/>
              </w:rPr>
              <w:t>HP-hMG 600 IU x 3</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i/>
                <w:iCs/>
                <w:snapToGrid/>
                <w:sz w:val="20"/>
              </w:rPr>
            </w:pPr>
            <w:r w:rsidRPr="00BF2D6A">
              <w:rPr>
                <w:rFonts w:ascii="Arial Narrow" w:eastAsia="Calibri" w:hAnsi="Arial Narrow" w:cs="Times New Roman"/>
                <w:i/>
                <w:iCs/>
                <w:snapToGrid/>
                <w:sz w:val="20"/>
              </w:rPr>
              <w:t>$</w:t>
            </w:r>
            <w:r w:rsidR="00F94496">
              <w:rPr>
                <w:rFonts w:ascii="Arial Narrow" w:eastAsia="Calibri" w:hAnsi="Arial Narrow" w:cs="Times New Roman"/>
                <w:i/>
                <w:iCs/>
                <w:noProof/>
                <w:snapToGrid/>
                <w:color w:val="000000"/>
                <w:sz w:val="20"/>
                <w:highlight w:val="black"/>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i/>
                <w:iCs/>
                <w:snapToGrid/>
                <w:sz w:val="20"/>
              </w:rPr>
            </w:pPr>
            <w:r w:rsidRPr="00BF2D6A">
              <w:rPr>
                <w:rFonts w:ascii="Arial Narrow" w:eastAsia="Calibri" w:hAnsi="Arial Narrow" w:cs="Times New Roman"/>
                <w:i/>
                <w:iCs/>
                <w:snapToGrid/>
                <w:sz w:val="20"/>
              </w:rPr>
              <w:t>$</w:t>
            </w:r>
            <w:r w:rsidR="00F94496">
              <w:rPr>
                <w:rFonts w:ascii="Arial Narrow" w:eastAsia="Calibri" w:hAnsi="Arial Narrow" w:cs="Times New Roman"/>
                <w:i/>
                <w:iCs/>
                <w:noProof/>
                <w:snapToGrid/>
                <w:color w:val="000000"/>
                <w:sz w:val="20"/>
                <w:highlight w:val="black"/>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i/>
                <w:iCs/>
                <w:snapToGrid/>
                <w:sz w:val="20"/>
              </w:rPr>
            </w:pPr>
            <w:r w:rsidRPr="00BF2D6A">
              <w:rPr>
                <w:rFonts w:ascii="Arial Narrow" w:eastAsia="Calibri" w:hAnsi="Arial Narrow" w:cs="Times New Roman"/>
                <w:i/>
                <w:iCs/>
                <w:snapToGrid/>
                <w:sz w:val="20"/>
              </w:rPr>
              <w:t>$</w:t>
            </w:r>
            <w:r w:rsidR="00F94496">
              <w:rPr>
                <w:rFonts w:ascii="Arial Narrow" w:eastAsia="Calibri" w:hAnsi="Arial Narrow" w:cs="Times New Roman"/>
                <w:i/>
                <w:iCs/>
                <w:noProof/>
                <w:snapToGrid/>
                <w:color w:val="000000"/>
                <w:sz w:val="20"/>
                <w:highlight w:val="black"/>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i/>
                <w:iCs/>
                <w:snapToGrid/>
                <w:sz w:val="20"/>
              </w:rPr>
            </w:pPr>
            <w:r w:rsidRPr="00BF2D6A">
              <w:rPr>
                <w:rFonts w:ascii="Arial Narrow" w:eastAsia="Calibri" w:hAnsi="Arial Narrow" w:cs="Times New Roman"/>
                <w:i/>
                <w:iCs/>
                <w:snapToGrid/>
                <w:sz w:val="20"/>
              </w:rPr>
              <w:t>$</w:t>
            </w:r>
            <w:r w:rsidR="00F94496">
              <w:rPr>
                <w:rFonts w:ascii="Arial Narrow" w:eastAsia="Calibri" w:hAnsi="Arial Narrow" w:cs="Times New Roman"/>
                <w:i/>
                <w:iCs/>
                <w:noProof/>
                <w:snapToGrid/>
                <w:color w:val="000000"/>
                <w:sz w:val="20"/>
                <w:highlight w:val="black"/>
              </w:rPr>
              <w:t>'''''''''''''''''''''''</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i/>
                <w:iCs/>
                <w:snapToGrid/>
                <w:sz w:val="20"/>
              </w:rPr>
            </w:pPr>
            <w:r w:rsidRPr="00BF2D6A">
              <w:rPr>
                <w:rFonts w:ascii="Arial Narrow" w:eastAsia="Calibri" w:hAnsi="Arial Narrow" w:cs="Times New Roman"/>
                <w:i/>
                <w:iCs/>
                <w:snapToGrid/>
                <w:sz w:val="20"/>
              </w:rPr>
              <w:t>$</w:t>
            </w:r>
            <w:r w:rsidR="00F94496">
              <w:rPr>
                <w:rFonts w:ascii="Arial Narrow" w:eastAsia="Calibri" w:hAnsi="Arial Narrow" w:cs="Times New Roman"/>
                <w:i/>
                <w:iCs/>
                <w:noProof/>
                <w:snapToGrid/>
                <w:color w:val="000000"/>
                <w:sz w:val="20"/>
                <w:highlight w:val="black"/>
              </w:rPr>
              <w:t>'''''''''''''''''''''''''</w:t>
            </w:r>
          </w:p>
        </w:tc>
      </w:tr>
      <w:tr w:rsidR="00F50F85" w:rsidRPr="00F50F85" w:rsidTr="00F50F85">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left"/>
              <w:rPr>
                <w:rFonts w:ascii="Arial Narrow" w:eastAsia="Calibri" w:hAnsi="Arial Narrow"/>
                <w:snapToGrid/>
                <w:sz w:val="20"/>
                <w:lang w:eastAsia="en-AU"/>
              </w:rPr>
            </w:pPr>
            <w:r w:rsidRPr="00BF2D6A">
              <w:rPr>
                <w:rFonts w:ascii="Arial Narrow" w:eastAsia="Calibri" w:hAnsi="Arial Narrow"/>
                <w:snapToGrid/>
                <w:sz w:val="20"/>
                <w:lang w:eastAsia="en-AU"/>
              </w:rPr>
              <w:t>Follitropin alfa 900 IU x 2</w:t>
            </w:r>
          </w:p>
        </w:tc>
        <w:tc>
          <w:tcPr>
            <w:tcW w:w="73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F85" w:rsidRPr="00BF2D6A" w:rsidRDefault="00F50F85" w:rsidP="00F50F85">
            <w:pPr>
              <w:keepNext/>
              <w:widowControl/>
              <w:jc w:val="center"/>
              <w:rPr>
                <w:rFonts w:ascii="Arial Narrow" w:eastAsia="Calibri" w:hAnsi="Arial Narrow"/>
                <w:i/>
                <w:iCs/>
                <w:snapToGrid/>
                <w:sz w:val="20"/>
                <w:highlight w:val="yellow"/>
                <w:lang w:eastAsia="en-AU"/>
              </w:rPr>
            </w:pPr>
            <w:r w:rsidRPr="00BF2D6A">
              <w:rPr>
                <w:rFonts w:ascii="Arial Narrow" w:eastAsia="Calibri" w:hAnsi="Arial Narrow"/>
                <w:snapToGrid/>
                <w:sz w:val="20"/>
                <w:lang w:eastAsia="en-AU"/>
              </w:rPr>
              <w:t>$</w:t>
            </w:r>
            <w:r w:rsidR="00F94496">
              <w:rPr>
                <w:rFonts w:ascii="Arial Narrow" w:eastAsia="Calibri" w:hAnsi="Arial Narrow"/>
                <w:noProof/>
                <w:snapToGrid/>
                <w:color w:val="000000"/>
                <w:sz w:val="20"/>
                <w:highlight w:val="black"/>
                <w:lang w:eastAsia="en-AU"/>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F85" w:rsidRPr="00BF2D6A" w:rsidRDefault="00F50F85" w:rsidP="00F50F85">
            <w:pPr>
              <w:keepNext/>
              <w:widowControl/>
              <w:jc w:val="center"/>
              <w:rPr>
                <w:rFonts w:ascii="Arial Narrow" w:eastAsia="Calibri" w:hAnsi="Arial Narrow"/>
                <w:i/>
                <w:iCs/>
                <w:snapToGrid/>
                <w:sz w:val="20"/>
                <w:highlight w:val="yellow"/>
                <w:lang w:eastAsia="en-AU"/>
              </w:rPr>
            </w:pPr>
            <w:r w:rsidRPr="00BF2D6A">
              <w:rPr>
                <w:rFonts w:ascii="Arial Narrow" w:eastAsia="Calibri" w:hAnsi="Arial Narrow"/>
                <w:snapToGrid/>
                <w:sz w:val="20"/>
                <w:lang w:eastAsia="en-AU"/>
              </w:rPr>
              <w:t>$</w:t>
            </w:r>
            <w:r w:rsidR="00F94496">
              <w:rPr>
                <w:rFonts w:ascii="Arial Narrow" w:eastAsia="Calibri" w:hAnsi="Arial Narrow"/>
                <w:noProof/>
                <w:snapToGrid/>
                <w:color w:val="000000"/>
                <w:sz w:val="20"/>
                <w:highlight w:val="black"/>
                <w:lang w:eastAsia="en-AU"/>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F85" w:rsidRPr="00BF2D6A" w:rsidRDefault="00F50F85" w:rsidP="00F50F85">
            <w:pPr>
              <w:keepNext/>
              <w:widowControl/>
              <w:jc w:val="center"/>
              <w:rPr>
                <w:rFonts w:ascii="Arial Narrow" w:eastAsia="Calibri" w:hAnsi="Arial Narrow"/>
                <w:i/>
                <w:iCs/>
                <w:snapToGrid/>
                <w:sz w:val="20"/>
                <w:highlight w:val="yellow"/>
                <w:lang w:eastAsia="en-AU"/>
              </w:rPr>
            </w:pPr>
            <w:r w:rsidRPr="00BF2D6A">
              <w:rPr>
                <w:rFonts w:ascii="Arial Narrow" w:eastAsia="Calibri" w:hAnsi="Arial Narrow"/>
                <w:snapToGrid/>
                <w:sz w:val="20"/>
                <w:lang w:eastAsia="en-AU"/>
              </w:rPr>
              <w:t>$</w:t>
            </w:r>
            <w:r w:rsidR="00F94496">
              <w:rPr>
                <w:rFonts w:ascii="Arial Narrow" w:eastAsia="Calibri" w:hAnsi="Arial Narrow"/>
                <w:noProof/>
                <w:snapToGrid/>
                <w:color w:val="000000"/>
                <w:sz w:val="20"/>
                <w:highlight w:val="black"/>
                <w:lang w:eastAsia="en-AU"/>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F85" w:rsidRPr="00BF2D6A" w:rsidRDefault="00F50F85" w:rsidP="00F50F85">
            <w:pPr>
              <w:keepNext/>
              <w:widowControl/>
              <w:jc w:val="center"/>
              <w:rPr>
                <w:rFonts w:ascii="Arial Narrow" w:eastAsia="Calibri" w:hAnsi="Arial Narrow"/>
                <w:i/>
                <w:iCs/>
                <w:snapToGrid/>
                <w:sz w:val="20"/>
                <w:highlight w:val="yellow"/>
                <w:lang w:eastAsia="en-AU"/>
              </w:rPr>
            </w:pPr>
            <w:r w:rsidRPr="00BF2D6A">
              <w:rPr>
                <w:rFonts w:ascii="Arial Narrow" w:eastAsia="Calibri" w:hAnsi="Arial Narrow"/>
                <w:snapToGrid/>
                <w:sz w:val="20"/>
                <w:lang w:eastAsia="en-AU"/>
              </w:rPr>
              <w:t>$</w:t>
            </w:r>
            <w:r w:rsidR="00F94496">
              <w:rPr>
                <w:rFonts w:ascii="Arial Narrow" w:eastAsia="Calibri" w:hAnsi="Arial Narrow"/>
                <w:noProof/>
                <w:snapToGrid/>
                <w:color w:val="000000"/>
                <w:sz w:val="20"/>
                <w:highlight w:val="black"/>
                <w:lang w:eastAsia="en-AU"/>
              </w:rPr>
              <w:t>'''''''''''''''''''''</w:t>
            </w:r>
          </w:p>
        </w:tc>
        <w:tc>
          <w:tcPr>
            <w:tcW w:w="73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50F85" w:rsidRPr="00BF2D6A" w:rsidRDefault="00F50F85" w:rsidP="00F50F85">
            <w:pPr>
              <w:keepNext/>
              <w:widowControl/>
              <w:jc w:val="center"/>
              <w:rPr>
                <w:rFonts w:ascii="Arial Narrow" w:eastAsia="Calibri" w:hAnsi="Arial Narrow"/>
                <w:i/>
                <w:iCs/>
                <w:snapToGrid/>
                <w:sz w:val="20"/>
                <w:highlight w:val="yellow"/>
                <w:lang w:eastAsia="en-AU"/>
              </w:rPr>
            </w:pPr>
            <w:r w:rsidRPr="00BF2D6A">
              <w:rPr>
                <w:rFonts w:ascii="Arial Narrow" w:eastAsia="Calibri" w:hAnsi="Arial Narrow"/>
                <w:snapToGrid/>
                <w:sz w:val="20"/>
                <w:lang w:eastAsia="en-AU"/>
              </w:rPr>
              <w:t>$</w:t>
            </w:r>
            <w:r w:rsidR="00F94496">
              <w:rPr>
                <w:rFonts w:ascii="Arial Narrow" w:eastAsia="Calibri" w:hAnsi="Arial Narrow"/>
                <w:noProof/>
                <w:snapToGrid/>
                <w:color w:val="000000"/>
                <w:sz w:val="20"/>
                <w:highlight w:val="black"/>
                <w:lang w:eastAsia="en-AU"/>
              </w:rPr>
              <w:t>''''''''''''''''''''''''</w:t>
            </w:r>
          </w:p>
        </w:tc>
      </w:tr>
      <w:tr w:rsidR="00F50F85" w:rsidRPr="00F50F85" w:rsidTr="00F50F85">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keepNext/>
              <w:widowControl/>
              <w:jc w:val="left"/>
              <w:rPr>
                <w:rFonts w:ascii="Arial Narrow" w:eastAsia="Calibri" w:hAnsi="Arial Narrow"/>
                <w:b/>
                <w:bCs/>
                <w:i/>
                <w:iCs/>
                <w:snapToGrid/>
                <w:sz w:val="20"/>
                <w:lang w:eastAsia="en-AU"/>
              </w:rPr>
            </w:pPr>
            <w:r w:rsidRPr="00BF2D6A">
              <w:rPr>
                <w:rFonts w:ascii="Arial Narrow" w:eastAsia="Calibri" w:hAnsi="Arial Narrow"/>
                <w:b/>
                <w:bCs/>
                <w:i/>
                <w:iCs/>
                <w:snapToGrid/>
                <w:sz w:val="20"/>
                <w:lang w:eastAsia="en-AU"/>
              </w:rPr>
              <w:t>Net impact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b/>
                <w:bCs/>
                <w:i/>
                <w:iCs/>
                <w:snapToGrid/>
                <w:sz w:val="20"/>
              </w:rPr>
            </w:pPr>
            <w:r w:rsidRPr="00BF2D6A">
              <w:rPr>
                <w:rFonts w:ascii="Arial Narrow" w:eastAsia="Calibri" w:hAnsi="Arial Narrow" w:cs="Times New Roman"/>
                <w:b/>
                <w:bCs/>
                <w:i/>
                <w:iCs/>
                <w:snapToGrid/>
                <w:sz w:val="20"/>
              </w:rPr>
              <w:t>$</w:t>
            </w:r>
            <w:r w:rsidR="00F94496">
              <w:rPr>
                <w:rFonts w:ascii="Arial Narrow" w:eastAsia="Calibri" w:hAnsi="Arial Narrow" w:cs="Times New Roman"/>
                <w:b/>
                <w:bCs/>
                <w:i/>
                <w:iCs/>
                <w:noProof/>
                <w:snapToGrid/>
                <w:color w:val="000000"/>
                <w:sz w:val="20"/>
                <w:highlight w:val="black"/>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b/>
                <w:bCs/>
                <w:i/>
                <w:iCs/>
                <w:snapToGrid/>
                <w:sz w:val="20"/>
              </w:rPr>
            </w:pPr>
            <w:r w:rsidRPr="00BF2D6A">
              <w:rPr>
                <w:rFonts w:ascii="Arial Narrow" w:eastAsia="Calibri" w:hAnsi="Arial Narrow" w:cs="Times New Roman"/>
                <w:b/>
                <w:bCs/>
                <w:i/>
                <w:iCs/>
                <w:snapToGrid/>
                <w:sz w:val="20"/>
              </w:rPr>
              <w:t>$</w:t>
            </w:r>
            <w:r w:rsidR="00F94496">
              <w:rPr>
                <w:rFonts w:ascii="Arial Narrow" w:eastAsia="Calibri" w:hAnsi="Arial Narrow" w:cs="Times New Roman"/>
                <w:b/>
                <w:bCs/>
                <w:i/>
                <w:iCs/>
                <w:noProof/>
                <w:snapToGrid/>
                <w:color w:val="000000"/>
                <w:sz w:val="20"/>
                <w:highlight w:val="black"/>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b/>
                <w:bCs/>
                <w:i/>
                <w:iCs/>
                <w:snapToGrid/>
                <w:sz w:val="20"/>
              </w:rPr>
            </w:pPr>
            <w:r w:rsidRPr="00BF2D6A">
              <w:rPr>
                <w:rFonts w:ascii="Arial Narrow" w:eastAsia="Calibri" w:hAnsi="Arial Narrow" w:cs="Times New Roman"/>
                <w:b/>
                <w:bCs/>
                <w:i/>
                <w:iCs/>
                <w:snapToGrid/>
                <w:sz w:val="20"/>
              </w:rPr>
              <w:t>$</w:t>
            </w:r>
            <w:r w:rsidR="00F94496">
              <w:rPr>
                <w:rFonts w:ascii="Arial Narrow" w:eastAsia="Calibri" w:hAnsi="Arial Narrow" w:cs="Times New Roman"/>
                <w:b/>
                <w:bCs/>
                <w:i/>
                <w:iCs/>
                <w:noProof/>
                <w:snapToGrid/>
                <w:color w:val="000000"/>
                <w:sz w:val="20"/>
                <w:highlight w:val="black"/>
              </w:rPr>
              <w:t>'''''''''''''''''</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b/>
                <w:bCs/>
                <w:i/>
                <w:iCs/>
                <w:snapToGrid/>
                <w:sz w:val="20"/>
              </w:rPr>
            </w:pPr>
            <w:r w:rsidRPr="00BF2D6A">
              <w:rPr>
                <w:rFonts w:ascii="Arial Narrow" w:eastAsia="Calibri" w:hAnsi="Arial Narrow" w:cs="Times New Roman"/>
                <w:b/>
                <w:bCs/>
                <w:i/>
                <w:iCs/>
                <w:snapToGrid/>
                <w:sz w:val="20"/>
              </w:rPr>
              <w:t>$</w:t>
            </w:r>
            <w:r w:rsidR="00F94496">
              <w:rPr>
                <w:rFonts w:ascii="Arial Narrow" w:eastAsia="Calibri" w:hAnsi="Arial Narrow" w:cs="Times New Roman"/>
                <w:b/>
                <w:bCs/>
                <w:i/>
                <w:iCs/>
                <w:noProof/>
                <w:snapToGrid/>
                <w:color w:val="000000"/>
                <w:sz w:val="20"/>
                <w:highlight w:val="black"/>
              </w:rPr>
              <w:t>''''''''''''''</w:t>
            </w:r>
          </w:p>
        </w:tc>
        <w:tc>
          <w:tcPr>
            <w:tcW w:w="735" w:type="pct"/>
            <w:tcBorders>
              <w:top w:val="nil"/>
              <w:left w:val="nil"/>
              <w:bottom w:val="single" w:sz="8" w:space="0" w:color="auto"/>
              <w:right w:val="single" w:sz="8" w:space="0" w:color="auto"/>
            </w:tcBorders>
            <w:tcMar>
              <w:top w:w="0" w:type="dxa"/>
              <w:left w:w="108" w:type="dxa"/>
              <w:bottom w:w="0" w:type="dxa"/>
              <w:right w:w="108" w:type="dxa"/>
            </w:tcMar>
            <w:hideMark/>
          </w:tcPr>
          <w:p w:rsidR="00F50F85" w:rsidRPr="00BF2D6A" w:rsidRDefault="00F50F85" w:rsidP="00F50F85">
            <w:pPr>
              <w:widowControl/>
              <w:jc w:val="center"/>
              <w:rPr>
                <w:rFonts w:ascii="Arial Narrow" w:eastAsia="Calibri" w:hAnsi="Arial Narrow" w:cs="Times New Roman"/>
                <w:b/>
                <w:bCs/>
                <w:i/>
                <w:iCs/>
                <w:snapToGrid/>
                <w:sz w:val="20"/>
              </w:rPr>
            </w:pPr>
            <w:r w:rsidRPr="00BF2D6A">
              <w:rPr>
                <w:rFonts w:ascii="Arial Narrow" w:eastAsia="Calibri" w:hAnsi="Arial Narrow" w:cs="Times New Roman"/>
                <w:b/>
                <w:bCs/>
                <w:i/>
                <w:iCs/>
                <w:snapToGrid/>
                <w:sz w:val="20"/>
              </w:rPr>
              <w:t>$</w:t>
            </w:r>
            <w:r w:rsidR="00F94496">
              <w:rPr>
                <w:rFonts w:ascii="Arial Narrow" w:eastAsia="Calibri" w:hAnsi="Arial Narrow" w:cs="Times New Roman"/>
                <w:b/>
                <w:bCs/>
                <w:i/>
                <w:iCs/>
                <w:noProof/>
                <w:snapToGrid/>
                <w:color w:val="000000"/>
                <w:sz w:val="20"/>
                <w:highlight w:val="black"/>
              </w:rPr>
              <w:t>'''''''''''''''</w:t>
            </w:r>
          </w:p>
        </w:tc>
      </w:tr>
    </w:tbl>
    <w:p w:rsidR="00F50F85" w:rsidRPr="00BF2D6A" w:rsidRDefault="00F50F85" w:rsidP="00F50F85">
      <w:pPr>
        <w:widowControl/>
        <w:snapToGrid w:val="0"/>
        <w:ind w:left="720"/>
        <w:rPr>
          <w:rFonts w:ascii="Arial Narrow" w:eastAsia="Calibri" w:hAnsi="Arial Narrow" w:cs="Times New Roman"/>
          <w:i/>
          <w:snapToGrid/>
          <w:sz w:val="18"/>
          <w:szCs w:val="18"/>
        </w:rPr>
      </w:pPr>
      <w:r w:rsidRPr="00BF2D6A">
        <w:rPr>
          <w:rFonts w:ascii="Arial Narrow" w:eastAsia="Calibri" w:hAnsi="Arial Narrow" w:cs="Times New Roman"/>
          <w:i/>
          <w:snapToGrid/>
          <w:sz w:val="18"/>
          <w:szCs w:val="18"/>
        </w:rPr>
        <w:t xml:space="preserve">Source: Table E-9 and Table E-10 p71 of the submission; text in italics were compiled during the evaluation. </w:t>
      </w:r>
    </w:p>
    <w:p w:rsidR="00F50F85" w:rsidRPr="00BF2D6A" w:rsidRDefault="00F50F85" w:rsidP="00F50F85">
      <w:pPr>
        <w:widowControl/>
        <w:snapToGrid w:val="0"/>
        <w:ind w:left="720"/>
        <w:rPr>
          <w:rFonts w:ascii="Arial Narrow" w:eastAsia="Calibri" w:hAnsi="Arial Narrow" w:cs="Times New Roman"/>
          <w:i/>
          <w:snapToGrid/>
          <w:sz w:val="18"/>
          <w:szCs w:val="18"/>
        </w:rPr>
      </w:pPr>
      <w:r w:rsidRPr="00BF2D6A">
        <w:rPr>
          <w:rFonts w:ascii="Arial Narrow" w:eastAsia="Calibri" w:hAnsi="Arial Narrow" w:cs="Times New Roman"/>
          <w:i/>
          <w:snapToGrid/>
          <w:sz w:val="18"/>
          <w:szCs w:val="18"/>
        </w:rPr>
        <w:t>Abbreviations: HP-hMG = highly purified human menopausal gonadotrophin; PBS = Pharmaceutical Benefits Scheme.</w:t>
      </w:r>
    </w:p>
    <w:p w:rsidR="00976835" w:rsidRPr="00976835" w:rsidRDefault="00976835" w:rsidP="00976835">
      <w:pPr>
        <w:widowControl/>
        <w:rPr>
          <w:szCs w:val="22"/>
        </w:rPr>
      </w:pPr>
    </w:p>
    <w:p w:rsidR="00976835" w:rsidRPr="00C72DB6" w:rsidRDefault="00976835" w:rsidP="00E47950">
      <w:pPr>
        <w:pStyle w:val="Heading2"/>
      </w:pPr>
      <w:bookmarkStart w:id="17" w:name="_Toc440987237"/>
      <w:r w:rsidRPr="00C72DB6">
        <w:t>Quality Use of Medicines</w:t>
      </w:r>
      <w:bookmarkEnd w:id="17"/>
    </w:p>
    <w:p w:rsidR="00976835" w:rsidRPr="00976835" w:rsidRDefault="00976835" w:rsidP="00976835">
      <w:pPr>
        <w:widowControl/>
        <w:rPr>
          <w:szCs w:val="22"/>
        </w:rPr>
      </w:pPr>
    </w:p>
    <w:p w:rsidR="00D32D9D" w:rsidRPr="00B31280" w:rsidRDefault="00976835" w:rsidP="00576972">
      <w:pPr>
        <w:pStyle w:val="ListParagraph"/>
        <w:widowControl/>
        <w:numPr>
          <w:ilvl w:val="1"/>
          <w:numId w:val="1"/>
        </w:numPr>
        <w:rPr>
          <w:szCs w:val="22"/>
        </w:rPr>
      </w:pPr>
      <w:r w:rsidRPr="00976835">
        <w:t xml:space="preserve">The submission stated activities are in place to support quality use of medicines. </w:t>
      </w:r>
    </w:p>
    <w:p w:rsidR="00C72DB6" w:rsidRDefault="00C72DB6" w:rsidP="00C72DB6">
      <w:pPr>
        <w:widowControl/>
        <w:rPr>
          <w:szCs w:val="22"/>
        </w:rPr>
      </w:pPr>
    </w:p>
    <w:p w:rsidR="00C72DB6" w:rsidRDefault="00C72DB6" w:rsidP="009553FB">
      <w:pPr>
        <w:pStyle w:val="ListParagraph"/>
        <w:ind w:left="709"/>
        <w:rPr>
          <w:i/>
          <w:szCs w:val="22"/>
        </w:rPr>
      </w:pPr>
      <w:r w:rsidRPr="00A35313">
        <w:rPr>
          <w:i/>
          <w:szCs w:val="22"/>
        </w:rPr>
        <w:t>For more detail on PBAC’s view, see section 7 “PBAC outcome”</w:t>
      </w:r>
    </w:p>
    <w:p w:rsidR="00804B08" w:rsidRDefault="00804B08" w:rsidP="00E025C9">
      <w:pPr>
        <w:spacing w:line="276" w:lineRule="auto"/>
        <w:rPr>
          <w:b/>
          <w:bCs/>
          <w:szCs w:val="22"/>
        </w:rPr>
      </w:pPr>
    </w:p>
    <w:p w:rsidR="00E025C9" w:rsidRDefault="00E025C9" w:rsidP="00E025C9">
      <w:pPr>
        <w:spacing w:line="276" w:lineRule="auto"/>
        <w:rPr>
          <w:b/>
          <w:bCs/>
          <w:szCs w:val="22"/>
        </w:rPr>
      </w:pPr>
    </w:p>
    <w:p w:rsidR="00C72DB6" w:rsidRPr="009D07D1" w:rsidRDefault="00C72DB6" w:rsidP="009B047C">
      <w:pPr>
        <w:pStyle w:val="PBACHeading1"/>
      </w:pPr>
      <w:r w:rsidRPr="009D07D1">
        <w:t>PBAC Outcome</w:t>
      </w:r>
    </w:p>
    <w:p w:rsidR="00C72DB6" w:rsidRPr="009D07D1" w:rsidRDefault="00C72DB6" w:rsidP="00C72DB6">
      <w:pPr>
        <w:ind w:left="720"/>
        <w:contextualSpacing/>
        <w:rPr>
          <w:bCs/>
          <w:szCs w:val="22"/>
          <w:lang w:val="en-GB"/>
        </w:rPr>
      </w:pPr>
    </w:p>
    <w:p w:rsidR="001E2665" w:rsidRDefault="00A35313" w:rsidP="00AD2951">
      <w:pPr>
        <w:numPr>
          <w:ilvl w:val="1"/>
          <w:numId w:val="1"/>
        </w:numPr>
        <w:contextualSpacing/>
        <w:rPr>
          <w:bCs/>
          <w:szCs w:val="22"/>
          <w:lang w:val="en-GB"/>
        </w:rPr>
      </w:pPr>
      <w:r>
        <w:rPr>
          <w:bCs/>
          <w:szCs w:val="22"/>
          <w:lang w:val="en-GB"/>
        </w:rPr>
        <w:t xml:space="preserve">The PBAC decided not to recommend </w:t>
      </w:r>
      <w:r w:rsidR="005F2B75">
        <w:rPr>
          <w:bCs/>
          <w:szCs w:val="22"/>
          <w:lang w:val="en-GB"/>
        </w:rPr>
        <w:t xml:space="preserve">that the PBS listing for </w:t>
      </w:r>
      <w:r>
        <w:rPr>
          <w:bCs/>
          <w:szCs w:val="22"/>
          <w:lang w:val="en-GB"/>
        </w:rPr>
        <w:t xml:space="preserve">human menopausal gonadotrophin </w:t>
      </w:r>
      <w:r w:rsidR="005F2B75">
        <w:rPr>
          <w:bCs/>
          <w:szCs w:val="22"/>
          <w:lang w:val="en-GB"/>
        </w:rPr>
        <w:t>be extended to include treatment of anovulatory infertility</w:t>
      </w:r>
      <w:r>
        <w:rPr>
          <w:bCs/>
          <w:szCs w:val="22"/>
          <w:lang w:val="en-GB"/>
        </w:rPr>
        <w:t xml:space="preserve">. In making </w:t>
      </w:r>
      <w:r w:rsidR="00BB140D">
        <w:rPr>
          <w:bCs/>
          <w:szCs w:val="22"/>
          <w:lang w:val="en-GB"/>
        </w:rPr>
        <w:t>its</w:t>
      </w:r>
      <w:r>
        <w:rPr>
          <w:bCs/>
          <w:szCs w:val="22"/>
          <w:lang w:val="en-GB"/>
        </w:rPr>
        <w:t xml:space="preserve"> recommendation, the PBAC considered that the evidence presented in the submission did not adequately support a claim of non-inferiority to the comparator, follitropin alfa.</w:t>
      </w:r>
      <w:r w:rsidR="001B76F4">
        <w:rPr>
          <w:bCs/>
          <w:szCs w:val="22"/>
          <w:lang w:val="en-GB"/>
        </w:rPr>
        <w:t xml:space="preserve"> The PBAC </w:t>
      </w:r>
      <w:r w:rsidR="008E719E">
        <w:rPr>
          <w:bCs/>
          <w:szCs w:val="22"/>
          <w:lang w:val="en-GB"/>
        </w:rPr>
        <w:t>further considered</w:t>
      </w:r>
      <w:r w:rsidR="001B76F4">
        <w:rPr>
          <w:bCs/>
          <w:szCs w:val="22"/>
          <w:lang w:val="en-GB"/>
        </w:rPr>
        <w:t xml:space="preserve"> that extending </w:t>
      </w:r>
      <w:r w:rsidR="008E719E">
        <w:rPr>
          <w:bCs/>
          <w:szCs w:val="22"/>
          <w:lang w:val="en-GB"/>
        </w:rPr>
        <w:t xml:space="preserve">the </w:t>
      </w:r>
      <w:r w:rsidR="001B76F4">
        <w:rPr>
          <w:bCs/>
          <w:szCs w:val="22"/>
          <w:lang w:val="en-GB"/>
        </w:rPr>
        <w:t>listing of human menopausal gonadotrophin would not address any unmet clinical need.</w:t>
      </w:r>
    </w:p>
    <w:p w:rsidR="001E2665" w:rsidRDefault="001E2665" w:rsidP="009B047C">
      <w:pPr>
        <w:rPr>
          <w:lang w:val="en-GB"/>
        </w:rPr>
      </w:pPr>
    </w:p>
    <w:p w:rsidR="005F2B75" w:rsidRPr="001E2665" w:rsidRDefault="001E2665" w:rsidP="001E2665">
      <w:pPr>
        <w:numPr>
          <w:ilvl w:val="1"/>
          <w:numId w:val="1"/>
        </w:numPr>
        <w:contextualSpacing/>
        <w:rPr>
          <w:bCs/>
          <w:szCs w:val="22"/>
          <w:lang w:val="en-GB"/>
        </w:rPr>
      </w:pPr>
      <w:r w:rsidRPr="001E2665">
        <w:rPr>
          <w:bCs/>
          <w:szCs w:val="22"/>
          <w:lang w:val="en-GB"/>
        </w:rPr>
        <w:t>The PBAC considered that there was considerable uncertainty regarding the equi-effective doses</w:t>
      </w:r>
      <w:r>
        <w:rPr>
          <w:bCs/>
          <w:szCs w:val="22"/>
          <w:lang w:val="en-GB"/>
        </w:rPr>
        <w:t xml:space="preserve">, noting that the </w:t>
      </w:r>
      <w:r w:rsidR="00BB140D">
        <w:rPr>
          <w:bCs/>
          <w:szCs w:val="22"/>
          <w:lang w:val="en-GB"/>
        </w:rPr>
        <w:t xml:space="preserve">evaluation and the ESC </w:t>
      </w:r>
      <w:r w:rsidR="00DF2DCB">
        <w:rPr>
          <w:bCs/>
          <w:szCs w:val="22"/>
          <w:lang w:val="en-GB"/>
        </w:rPr>
        <w:t>advised</w:t>
      </w:r>
      <w:r w:rsidR="00BB140D">
        <w:rPr>
          <w:bCs/>
          <w:szCs w:val="22"/>
          <w:lang w:val="en-GB"/>
        </w:rPr>
        <w:t xml:space="preserve"> different </w:t>
      </w:r>
      <w:r w:rsidR="00DA2564">
        <w:rPr>
          <w:bCs/>
          <w:szCs w:val="22"/>
          <w:lang w:val="en-GB"/>
        </w:rPr>
        <w:t xml:space="preserve">equi-effective </w:t>
      </w:r>
      <w:r w:rsidR="00D17D33">
        <w:rPr>
          <w:bCs/>
          <w:szCs w:val="22"/>
          <w:lang w:val="en-GB"/>
        </w:rPr>
        <w:t xml:space="preserve">dose </w:t>
      </w:r>
      <w:r w:rsidR="00BB140D">
        <w:rPr>
          <w:bCs/>
          <w:szCs w:val="22"/>
          <w:lang w:val="en-GB"/>
        </w:rPr>
        <w:t>ratios</w:t>
      </w:r>
      <w:r w:rsidR="00DA2564">
        <w:rPr>
          <w:bCs/>
          <w:szCs w:val="22"/>
          <w:lang w:val="en-GB"/>
        </w:rPr>
        <w:t xml:space="preserve"> (1.46:1 and 1.32:1 respectively)</w:t>
      </w:r>
      <w:r w:rsidR="00BB140D">
        <w:rPr>
          <w:bCs/>
          <w:szCs w:val="22"/>
          <w:lang w:val="en-GB"/>
        </w:rPr>
        <w:t xml:space="preserve"> to the submission’</w:t>
      </w:r>
      <w:r w:rsidR="005E5287">
        <w:rPr>
          <w:bCs/>
          <w:szCs w:val="22"/>
          <w:lang w:val="en-GB"/>
        </w:rPr>
        <w:t>s proposed 1:1 ratio.</w:t>
      </w:r>
    </w:p>
    <w:p w:rsidR="007A092C" w:rsidRPr="009D07D1" w:rsidRDefault="007A092C" w:rsidP="009B047C">
      <w:pPr>
        <w:rPr>
          <w:lang w:val="en-GB"/>
        </w:rPr>
      </w:pPr>
    </w:p>
    <w:p w:rsidR="007A092C" w:rsidRDefault="005F2B75" w:rsidP="005F2B75">
      <w:pPr>
        <w:numPr>
          <w:ilvl w:val="1"/>
          <w:numId w:val="1"/>
        </w:numPr>
        <w:contextualSpacing/>
        <w:rPr>
          <w:bCs/>
          <w:szCs w:val="22"/>
          <w:lang w:val="en-GB"/>
        </w:rPr>
      </w:pPr>
      <w:r w:rsidRPr="009D07D1">
        <w:rPr>
          <w:bCs/>
          <w:szCs w:val="22"/>
          <w:lang w:val="en-GB"/>
        </w:rPr>
        <w:t xml:space="preserve">The PBAC </w:t>
      </w:r>
      <w:r>
        <w:rPr>
          <w:bCs/>
          <w:szCs w:val="22"/>
          <w:lang w:val="en-GB"/>
        </w:rPr>
        <w:t xml:space="preserve">considered that </w:t>
      </w:r>
      <w:r w:rsidRPr="009D07D1">
        <w:rPr>
          <w:bCs/>
          <w:szCs w:val="22"/>
          <w:lang w:val="en-GB"/>
        </w:rPr>
        <w:t>the</w:t>
      </w:r>
      <w:r>
        <w:rPr>
          <w:bCs/>
          <w:szCs w:val="22"/>
          <w:lang w:val="en-GB"/>
        </w:rPr>
        <w:t xml:space="preserve"> submission’s</w:t>
      </w:r>
      <w:r w:rsidRPr="009D07D1">
        <w:rPr>
          <w:bCs/>
          <w:szCs w:val="22"/>
          <w:lang w:val="en-GB"/>
        </w:rPr>
        <w:t xml:space="preserve"> </w:t>
      </w:r>
      <w:r w:rsidR="001E2665">
        <w:rPr>
          <w:bCs/>
          <w:szCs w:val="22"/>
          <w:lang w:val="en-GB"/>
        </w:rPr>
        <w:t xml:space="preserve">nominated </w:t>
      </w:r>
      <w:r w:rsidRPr="009D07D1">
        <w:rPr>
          <w:bCs/>
          <w:szCs w:val="22"/>
          <w:lang w:val="en-GB"/>
        </w:rPr>
        <w:t>main comparator</w:t>
      </w:r>
      <w:r>
        <w:rPr>
          <w:bCs/>
          <w:szCs w:val="22"/>
          <w:lang w:val="en-GB"/>
        </w:rPr>
        <w:t>,</w:t>
      </w:r>
      <w:r w:rsidRPr="009D07D1">
        <w:rPr>
          <w:bCs/>
          <w:szCs w:val="22"/>
          <w:lang w:val="en-GB"/>
        </w:rPr>
        <w:t xml:space="preserve"> follitropin alfa</w:t>
      </w:r>
      <w:r>
        <w:rPr>
          <w:bCs/>
          <w:szCs w:val="22"/>
          <w:lang w:val="en-GB"/>
        </w:rPr>
        <w:t>, was appropriate</w:t>
      </w:r>
      <w:r w:rsidRPr="009D07D1">
        <w:rPr>
          <w:bCs/>
          <w:szCs w:val="22"/>
          <w:lang w:val="en-GB"/>
        </w:rPr>
        <w:t xml:space="preserve">. </w:t>
      </w:r>
    </w:p>
    <w:p w:rsidR="005F2B75" w:rsidRPr="009D07D1" w:rsidRDefault="005F2B75" w:rsidP="007A092C">
      <w:pPr>
        <w:pStyle w:val="ListParagraph"/>
        <w:rPr>
          <w:bCs/>
          <w:szCs w:val="22"/>
        </w:rPr>
      </w:pPr>
    </w:p>
    <w:p w:rsidR="007A092C" w:rsidRPr="009D07D1" w:rsidRDefault="007A092C" w:rsidP="00C502F8">
      <w:pPr>
        <w:numPr>
          <w:ilvl w:val="1"/>
          <w:numId w:val="1"/>
        </w:numPr>
        <w:contextualSpacing/>
        <w:rPr>
          <w:bCs/>
          <w:szCs w:val="22"/>
          <w:lang w:val="en-GB"/>
        </w:rPr>
      </w:pPr>
      <w:r w:rsidRPr="009D07D1">
        <w:rPr>
          <w:bCs/>
          <w:szCs w:val="22"/>
        </w:rPr>
        <w:t xml:space="preserve">The PBAC </w:t>
      </w:r>
      <w:r w:rsidR="00A35313">
        <w:rPr>
          <w:bCs/>
          <w:szCs w:val="22"/>
        </w:rPr>
        <w:t>noted</w:t>
      </w:r>
      <w:r w:rsidR="00C502F8">
        <w:rPr>
          <w:bCs/>
          <w:szCs w:val="22"/>
        </w:rPr>
        <w:t xml:space="preserve"> that the submission was based on a direct trial comparing</w:t>
      </w:r>
      <w:r w:rsidRPr="009D07D1">
        <w:rPr>
          <w:bCs/>
          <w:szCs w:val="22"/>
        </w:rPr>
        <w:t xml:space="preserve"> </w:t>
      </w:r>
      <w:r w:rsidR="00C502F8">
        <w:rPr>
          <w:bCs/>
          <w:szCs w:val="22"/>
        </w:rPr>
        <w:t xml:space="preserve">human </w:t>
      </w:r>
      <w:r w:rsidR="00804B08">
        <w:rPr>
          <w:bCs/>
          <w:szCs w:val="22"/>
        </w:rPr>
        <w:t>menopausal</w:t>
      </w:r>
      <w:r w:rsidR="00C502F8">
        <w:rPr>
          <w:bCs/>
          <w:szCs w:val="22"/>
        </w:rPr>
        <w:t xml:space="preserve"> gonadotrophin and follitropin alfa. The PBAC considered </w:t>
      </w:r>
      <w:r w:rsidRPr="009D07D1">
        <w:rPr>
          <w:bCs/>
          <w:szCs w:val="22"/>
        </w:rPr>
        <w:t xml:space="preserve">that </w:t>
      </w:r>
      <w:r w:rsidR="004B094A" w:rsidRPr="009D07D1">
        <w:rPr>
          <w:bCs/>
          <w:szCs w:val="22"/>
        </w:rPr>
        <w:t xml:space="preserve">there were some differences in the baseline characteristics across the treatment groups </w:t>
      </w:r>
      <w:r w:rsidR="004B094A">
        <w:rPr>
          <w:bCs/>
          <w:szCs w:val="22"/>
        </w:rPr>
        <w:t>in</w:t>
      </w:r>
      <w:r w:rsidRPr="009D07D1">
        <w:rPr>
          <w:bCs/>
          <w:szCs w:val="22"/>
        </w:rPr>
        <w:t xml:space="preserve"> the </w:t>
      </w:r>
      <w:r w:rsidR="004B094A">
        <w:rPr>
          <w:bCs/>
          <w:szCs w:val="22"/>
        </w:rPr>
        <w:t xml:space="preserve">key </w:t>
      </w:r>
      <w:r w:rsidRPr="009D07D1">
        <w:rPr>
          <w:bCs/>
          <w:szCs w:val="22"/>
        </w:rPr>
        <w:t xml:space="preserve">clinical trial CS002, </w:t>
      </w:r>
      <w:r w:rsidR="005E5287">
        <w:rPr>
          <w:bCs/>
          <w:szCs w:val="22"/>
        </w:rPr>
        <w:t xml:space="preserve">noting that a higher proportion of patients in the </w:t>
      </w:r>
      <w:r w:rsidR="00C502F8">
        <w:rPr>
          <w:bCs/>
          <w:szCs w:val="22"/>
        </w:rPr>
        <w:t>human menopausal gonadotrophin group had a BMI ≥ 30 kg/m2</w:t>
      </w:r>
      <w:r w:rsidR="00C502F8" w:rsidRPr="00C502F8">
        <w:rPr>
          <w:bCs/>
          <w:szCs w:val="22"/>
        </w:rPr>
        <w:t>, failed to</w:t>
      </w:r>
      <w:r w:rsidR="00C502F8">
        <w:rPr>
          <w:bCs/>
          <w:szCs w:val="22"/>
        </w:rPr>
        <w:t xml:space="preserve"> ovulate on clomiphene citrate, </w:t>
      </w:r>
      <w:r w:rsidR="00C502F8" w:rsidRPr="00C502F8">
        <w:rPr>
          <w:bCs/>
          <w:szCs w:val="22"/>
        </w:rPr>
        <w:t>and the primary reason for infertility being polycystic ovaries</w:t>
      </w:r>
      <w:r w:rsidR="00AD2951" w:rsidRPr="009D07D1">
        <w:rPr>
          <w:bCs/>
          <w:szCs w:val="22"/>
        </w:rPr>
        <w:t>.</w:t>
      </w:r>
      <w:r w:rsidR="005E5287" w:rsidRPr="005E5287">
        <w:t xml:space="preserve"> </w:t>
      </w:r>
    </w:p>
    <w:p w:rsidR="00544FB2" w:rsidRPr="009D07D1" w:rsidRDefault="00544FB2" w:rsidP="00544FB2">
      <w:pPr>
        <w:pStyle w:val="ListParagraph"/>
        <w:rPr>
          <w:bCs/>
          <w:szCs w:val="22"/>
          <w:lang w:val="en-GB"/>
        </w:rPr>
      </w:pPr>
    </w:p>
    <w:p w:rsidR="00544FB2" w:rsidRDefault="00B801C3" w:rsidP="00BE781A">
      <w:pPr>
        <w:numPr>
          <w:ilvl w:val="1"/>
          <w:numId w:val="1"/>
        </w:numPr>
        <w:contextualSpacing/>
        <w:rPr>
          <w:bCs/>
          <w:szCs w:val="22"/>
          <w:lang w:val="en-GB"/>
        </w:rPr>
      </w:pPr>
      <w:r>
        <w:rPr>
          <w:bCs/>
          <w:szCs w:val="22"/>
          <w:lang w:val="en-GB"/>
        </w:rPr>
        <w:t>T</w:t>
      </w:r>
      <w:r w:rsidR="00856797">
        <w:rPr>
          <w:bCs/>
          <w:szCs w:val="22"/>
          <w:lang w:val="en-GB"/>
        </w:rPr>
        <w:t xml:space="preserve">he </w:t>
      </w:r>
      <w:r w:rsidR="00A656C1">
        <w:rPr>
          <w:bCs/>
          <w:szCs w:val="22"/>
          <w:lang w:val="en-GB"/>
        </w:rPr>
        <w:t xml:space="preserve">PBAC noted that the non-inferiority margin of -20% was met for the </w:t>
      </w:r>
      <w:r w:rsidR="00856797">
        <w:rPr>
          <w:bCs/>
          <w:szCs w:val="22"/>
          <w:lang w:val="en-GB"/>
        </w:rPr>
        <w:t xml:space="preserve">primary outcome of ovulation rate, </w:t>
      </w:r>
      <w:r w:rsidR="00A656C1">
        <w:rPr>
          <w:bCs/>
          <w:szCs w:val="22"/>
          <w:lang w:val="en-GB"/>
        </w:rPr>
        <w:t xml:space="preserve">however the </w:t>
      </w:r>
      <w:r w:rsidR="00351FA1">
        <w:rPr>
          <w:bCs/>
          <w:szCs w:val="22"/>
          <w:lang w:val="en-GB"/>
        </w:rPr>
        <w:t xml:space="preserve">PBAC considered the confidence interval around </w:t>
      </w:r>
      <w:r w:rsidR="00736AAD">
        <w:rPr>
          <w:bCs/>
          <w:szCs w:val="22"/>
          <w:lang w:val="en-GB"/>
        </w:rPr>
        <w:t xml:space="preserve">the </w:t>
      </w:r>
      <w:r w:rsidR="00351FA1">
        <w:rPr>
          <w:bCs/>
          <w:szCs w:val="22"/>
          <w:lang w:val="en-GB"/>
        </w:rPr>
        <w:t xml:space="preserve">mean difference </w:t>
      </w:r>
      <w:r w:rsidR="00BE781A">
        <w:rPr>
          <w:bCs/>
          <w:szCs w:val="22"/>
          <w:lang w:val="en-GB"/>
        </w:rPr>
        <w:t>to be wide (</w:t>
      </w:r>
      <w:r w:rsidR="00BE781A" w:rsidRPr="00BE781A">
        <w:rPr>
          <w:bCs/>
          <w:szCs w:val="22"/>
          <w:lang w:val="en-GB"/>
        </w:rPr>
        <w:t>-1.43% (95% CI: -12.0, 9.1))</w:t>
      </w:r>
      <w:r w:rsidR="00856797">
        <w:rPr>
          <w:bCs/>
          <w:szCs w:val="22"/>
          <w:lang w:val="en-GB"/>
        </w:rPr>
        <w:t>.</w:t>
      </w:r>
      <w:r w:rsidR="00163E94">
        <w:rPr>
          <w:bCs/>
          <w:szCs w:val="22"/>
          <w:lang w:val="en-GB"/>
        </w:rPr>
        <w:t xml:space="preserve"> </w:t>
      </w:r>
      <w:r w:rsidR="00BE781A">
        <w:rPr>
          <w:bCs/>
          <w:szCs w:val="22"/>
          <w:lang w:val="en-GB"/>
        </w:rPr>
        <w:t>The PBAC noted that for the patient relevant outcome of live births and ongoing pregnancy, the lower confidence interval exceeded the 10% non-inferiority margin previously accepted by the PBAC. Although it was acknowledged that the trial was not powered to determine a difference between groups for these secondary outcomes, the PBAC considered that it could not confidently accept a claim of non-inferiority</w:t>
      </w:r>
      <w:r w:rsidR="00901533">
        <w:rPr>
          <w:bCs/>
          <w:szCs w:val="22"/>
          <w:lang w:val="en-GB"/>
        </w:rPr>
        <w:t xml:space="preserve"> based on the results </w:t>
      </w:r>
      <w:r w:rsidR="00736AAD">
        <w:rPr>
          <w:bCs/>
          <w:szCs w:val="22"/>
          <w:lang w:val="en-GB"/>
        </w:rPr>
        <w:t>for</w:t>
      </w:r>
      <w:r w:rsidR="00901533">
        <w:rPr>
          <w:bCs/>
          <w:szCs w:val="22"/>
          <w:lang w:val="en-GB"/>
        </w:rPr>
        <w:t xml:space="preserve"> ovulation rate</w:t>
      </w:r>
      <w:r w:rsidR="00BE781A">
        <w:rPr>
          <w:bCs/>
          <w:szCs w:val="22"/>
          <w:lang w:val="en-GB"/>
        </w:rPr>
        <w:t xml:space="preserve">. </w:t>
      </w:r>
    </w:p>
    <w:p w:rsidR="008951BC" w:rsidRDefault="008951BC" w:rsidP="008951BC">
      <w:pPr>
        <w:pStyle w:val="ListParagraph"/>
        <w:rPr>
          <w:bCs/>
          <w:szCs w:val="22"/>
          <w:lang w:val="en-GB"/>
        </w:rPr>
      </w:pPr>
    </w:p>
    <w:p w:rsidR="008951BC" w:rsidRPr="009D07D1" w:rsidRDefault="008951BC" w:rsidP="00BE781A">
      <w:pPr>
        <w:numPr>
          <w:ilvl w:val="1"/>
          <w:numId w:val="1"/>
        </w:numPr>
        <w:contextualSpacing/>
        <w:rPr>
          <w:bCs/>
          <w:szCs w:val="22"/>
          <w:lang w:val="en-GB"/>
        </w:rPr>
      </w:pPr>
      <w:r>
        <w:rPr>
          <w:bCs/>
          <w:szCs w:val="22"/>
          <w:lang w:val="en-GB"/>
        </w:rPr>
        <w:t>The PBAC considered that a claim of non-inferior safety of human menopausal gonadotrophin to follitropin alfa may be reasonable, given the similar proportion of patients experiencing adverse events in the two treatment groups in the trial.</w:t>
      </w:r>
    </w:p>
    <w:p w:rsidR="00C963E5" w:rsidRDefault="00C963E5" w:rsidP="00C963E5">
      <w:pPr>
        <w:rPr>
          <w:bCs/>
          <w:szCs w:val="22"/>
          <w:lang w:val="en-GB"/>
        </w:rPr>
      </w:pPr>
    </w:p>
    <w:p w:rsidR="00C963E5" w:rsidRPr="00C963E5" w:rsidRDefault="00C963E5" w:rsidP="00C963E5">
      <w:pPr>
        <w:pStyle w:val="ListParagraph"/>
        <w:numPr>
          <w:ilvl w:val="1"/>
          <w:numId w:val="1"/>
        </w:numPr>
        <w:contextualSpacing w:val="0"/>
        <w:rPr>
          <w:bCs/>
          <w:szCs w:val="22"/>
          <w:lang w:val="en-GB"/>
        </w:rPr>
      </w:pPr>
      <w:r w:rsidRPr="00C963E5">
        <w:rPr>
          <w:bCs/>
          <w:szCs w:val="22"/>
          <w:lang w:val="en-GB"/>
        </w:rPr>
        <w:t xml:space="preserve">The PBAC </w:t>
      </w:r>
      <w:r w:rsidR="00646449">
        <w:rPr>
          <w:bCs/>
          <w:szCs w:val="22"/>
          <w:lang w:val="en-GB"/>
        </w:rPr>
        <w:t>noted</w:t>
      </w:r>
      <w:r w:rsidRPr="00C963E5">
        <w:rPr>
          <w:bCs/>
          <w:szCs w:val="22"/>
          <w:lang w:val="en-GB"/>
        </w:rPr>
        <w:t xml:space="preserve"> that the proportion of patients requiring a second </w:t>
      </w:r>
      <w:r w:rsidR="0068303C">
        <w:rPr>
          <w:bCs/>
          <w:szCs w:val="22"/>
          <w:lang w:val="en-GB"/>
        </w:rPr>
        <w:t>pre</w:t>
      </w:r>
      <w:r w:rsidRPr="00C963E5">
        <w:rPr>
          <w:bCs/>
          <w:szCs w:val="22"/>
          <w:lang w:val="en-GB"/>
        </w:rPr>
        <w:t>script</w:t>
      </w:r>
      <w:r w:rsidR="0068303C">
        <w:rPr>
          <w:bCs/>
          <w:szCs w:val="22"/>
          <w:lang w:val="en-GB"/>
        </w:rPr>
        <w:t>ion</w:t>
      </w:r>
      <w:r w:rsidRPr="00C963E5">
        <w:rPr>
          <w:bCs/>
          <w:szCs w:val="22"/>
          <w:lang w:val="en-GB"/>
        </w:rPr>
        <w:t xml:space="preserve"> was likely to be higher with gonadotrophin</w:t>
      </w:r>
      <w:r w:rsidR="00E978A3">
        <w:rPr>
          <w:bCs/>
          <w:szCs w:val="22"/>
          <w:lang w:val="en-GB"/>
        </w:rPr>
        <w:t xml:space="preserve"> compared to follitropin alfa due to the</w:t>
      </w:r>
      <w:r w:rsidR="005E5287">
        <w:rPr>
          <w:bCs/>
          <w:szCs w:val="22"/>
          <w:lang w:val="en-GB"/>
        </w:rPr>
        <w:t xml:space="preserve"> potential</w:t>
      </w:r>
      <w:r w:rsidR="00E978A3">
        <w:rPr>
          <w:bCs/>
          <w:szCs w:val="22"/>
          <w:lang w:val="en-GB"/>
        </w:rPr>
        <w:t xml:space="preserve"> requirement for higher doses. There was also</w:t>
      </w:r>
      <w:r w:rsidRPr="00C963E5">
        <w:rPr>
          <w:bCs/>
          <w:szCs w:val="22"/>
          <w:lang w:val="en-GB"/>
        </w:rPr>
        <w:t xml:space="preserve"> potential for more wastage as </w:t>
      </w:r>
      <w:r w:rsidR="001167B1">
        <w:rPr>
          <w:bCs/>
          <w:szCs w:val="22"/>
          <w:lang w:val="en-GB"/>
        </w:rPr>
        <w:t xml:space="preserve">human menopausal gonadotrophin is </w:t>
      </w:r>
      <w:r w:rsidR="0068303C">
        <w:rPr>
          <w:bCs/>
          <w:szCs w:val="22"/>
          <w:lang w:val="en-GB"/>
        </w:rPr>
        <w:t xml:space="preserve">only </w:t>
      </w:r>
      <w:r w:rsidR="001167B1">
        <w:rPr>
          <w:bCs/>
          <w:szCs w:val="22"/>
          <w:lang w:val="en-GB"/>
        </w:rPr>
        <w:t xml:space="preserve">available in one strength while </w:t>
      </w:r>
      <w:r w:rsidRPr="00C963E5">
        <w:rPr>
          <w:bCs/>
          <w:szCs w:val="22"/>
          <w:lang w:val="en-GB"/>
        </w:rPr>
        <w:t xml:space="preserve">follitropin alfa </w:t>
      </w:r>
      <w:r w:rsidR="001167B1">
        <w:rPr>
          <w:bCs/>
          <w:szCs w:val="22"/>
          <w:lang w:val="en-GB"/>
        </w:rPr>
        <w:t>is available in three strengths</w:t>
      </w:r>
      <w:r w:rsidRPr="00C963E5">
        <w:rPr>
          <w:bCs/>
          <w:szCs w:val="22"/>
          <w:lang w:val="en-GB"/>
        </w:rPr>
        <w:t>.</w:t>
      </w:r>
      <w:r w:rsidR="007220CF">
        <w:rPr>
          <w:bCs/>
          <w:szCs w:val="22"/>
          <w:lang w:val="en-GB"/>
        </w:rPr>
        <w:t xml:space="preserve"> The PBAC considered that due to uncertainty around the clinical claim and equi-effective doses, the financial estimates provided in the submission could not be relied upon. </w:t>
      </w:r>
    </w:p>
    <w:p w:rsidR="00F64CA0" w:rsidRPr="009F7C6E" w:rsidRDefault="00F64CA0" w:rsidP="00C963E5">
      <w:pPr>
        <w:rPr>
          <w:bCs/>
          <w:szCs w:val="22"/>
          <w:lang w:val="en-GB"/>
        </w:rPr>
      </w:pPr>
    </w:p>
    <w:p w:rsidR="00F64CA0" w:rsidRDefault="00F64CA0" w:rsidP="00C963E5">
      <w:pPr>
        <w:numPr>
          <w:ilvl w:val="1"/>
          <w:numId w:val="1"/>
        </w:numPr>
        <w:rPr>
          <w:bCs/>
          <w:szCs w:val="22"/>
          <w:lang w:val="en-GB"/>
        </w:rPr>
      </w:pPr>
      <w:r w:rsidRPr="009D07D1">
        <w:rPr>
          <w:bCs/>
          <w:szCs w:val="22"/>
          <w:lang w:val="en-GB"/>
        </w:rPr>
        <w:t xml:space="preserve">The PBAC advised that </w:t>
      </w:r>
      <w:r w:rsidR="00DF0331">
        <w:rPr>
          <w:bCs/>
          <w:szCs w:val="22"/>
          <w:lang w:val="en-GB"/>
        </w:rPr>
        <w:t>should the sponsor wish to make a</w:t>
      </w:r>
      <w:r w:rsidRPr="009D07D1">
        <w:rPr>
          <w:bCs/>
          <w:szCs w:val="22"/>
          <w:lang w:val="en-GB"/>
        </w:rPr>
        <w:t xml:space="preserve"> resubmission, </w:t>
      </w:r>
      <w:r w:rsidR="00DF0331">
        <w:rPr>
          <w:bCs/>
          <w:szCs w:val="22"/>
          <w:lang w:val="en-GB"/>
        </w:rPr>
        <w:t xml:space="preserve">in the absence of new clinical data, </w:t>
      </w:r>
      <w:r w:rsidRPr="009D07D1">
        <w:rPr>
          <w:bCs/>
          <w:szCs w:val="22"/>
          <w:lang w:val="en-GB"/>
        </w:rPr>
        <w:t xml:space="preserve">the sponsor could </w:t>
      </w:r>
      <w:r w:rsidR="00360C97">
        <w:rPr>
          <w:bCs/>
          <w:szCs w:val="22"/>
          <w:lang w:val="en-GB"/>
        </w:rPr>
        <w:t>propose a claim of inferior comparative effectiveness to follitropin alfa and provide appropriately adjusted estimates of cost-effectiveness</w:t>
      </w:r>
      <w:r w:rsidRPr="009D07D1">
        <w:rPr>
          <w:bCs/>
          <w:szCs w:val="22"/>
          <w:lang w:val="en-GB"/>
        </w:rPr>
        <w:t>.</w:t>
      </w:r>
    </w:p>
    <w:p w:rsidR="00A35313" w:rsidRPr="009D07D1" w:rsidRDefault="00A35313" w:rsidP="00C963E5">
      <w:pPr>
        <w:rPr>
          <w:bCs/>
          <w:szCs w:val="22"/>
          <w:lang w:val="en-GB"/>
        </w:rPr>
      </w:pPr>
    </w:p>
    <w:p w:rsidR="00C72DB6" w:rsidRPr="00037491" w:rsidRDefault="00C72DB6" w:rsidP="00C963E5">
      <w:pPr>
        <w:numPr>
          <w:ilvl w:val="1"/>
          <w:numId w:val="1"/>
        </w:numPr>
        <w:rPr>
          <w:b/>
          <w:bCs/>
          <w:szCs w:val="22"/>
          <w:lang w:val="en-GB"/>
        </w:rPr>
      </w:pPr>
      <w:r w:rsidRPr="00A35313">
        <w:rPr>
          <w:bCs/>
          <w:szCs w:val="22"/>
          <w:lang w:val="en-GB"/>
        </w:rPr>
        <w:lastRenderedPageBreak/>
        <w:t xml:space="preserve"> </w:t>
      </w:r>
      <w:r w:rsidRPr="00037491">
        <w:rPr>
          <w:bCs/>
          <w:szCs w:val="22"/>
          <w:lang w:val="en-GB"/>
        </w:rPr>
        <w:t xml:space="preserve">The PBAC noted that this submission is eligible for an Independent Review. </w:t>
      </w:r>
    </w:p>
    <w:p w:rsidR="00C72DB6" w:rsidRPr="00037491" w:rsidRDefault="00C72DB6" w:rsidP="00C72DB6">
      <w:pPr>
        <w:rPr>
          <w:b/>
          <w:szCs w:val="22"/>
          <w:lang w:val="en-GB"/>
        </w:rPr>
      </w:pPr>
    </w:p>
    <w:p w:rsidR="00C72DB6" w:rsidRPr="00A2106A" w:rsidRDefault="00C72DB6" w:rsidP="00C72DB6">
      <w:pPr>
        <w:rPr>
          <w:b/>
          <w:bCs/>
          <w:szCs w:val="22"/>
          <w:lang w:val="en-GB"/>
        </w:rPr>
      </w:pPr>
      <w:r w:rsidRPr="00A2106A">
        <w:rPr>
          <w:b/>
          <w:bCs/>
          <w:szCs w:val="22"/>
          <w:lang w:val="en-GB"/>
        </w:rPr>
        <w:t>Outcome:</w:t>
      </w:r>
    </w:p>
    <w:p w:rsidR="00C72DB6" w:rsidRPr="00A2106A" w:rsidRDefault="00A2106A" w:rsidP="00C72DB6">
      <w:pPr>
        <w:rPr>
          <w:bCs/>
          <w:szCs w:val="22"/>
          <w:lang w:val="en-GB"/>
        </w:rPr>
      </w:pPr>
      <w:r>
        <w:rPr>
          <w:bCs/>
          <w:szCs w:val="22"/>
          <w:lang w:val="en-GB"/>
        </w:rPr>
        <w:t>Rejected</w:t>
      </w:r>
    </w:p>
    <w:p w:rsidR="00EB7D55" w:rsidRPr="00C72DB6" w:rsidRDefault="00EB7D55" w:rsidP="00EB7D55">
      <w:pPr>
        <w:rPr>
          <w:rFonts w:ascii="Arial Narrow" w:hAnsi="Arial Narrow"/>
          <w:sz w:val="18"/>
          <w:szCs w:val="18"/>
        </w:rPr>
      </w:pPr>
    </w:p>
    <w:p w:rsidR="00E7499B" w:rsidRDefault="00E7499B" w:rsidP="00E7499B">
      <w:pPr>
        <w:pStyle w:val="Heading1"/>
      </w:pPr>
      <w:r w:rsidRPr="00632206">
        <w:t>Context for Decision</w:t>
      </w:r>
    </w:p>
    <w:p w:rsidR="00E7499B" w:rsidRDefault="00E7499B" w:rsidP="00E7499B">
      <w:pPr>
        <w:ind w:left="720"/>
      </w:pPr>
    </w:p>
    <w:p w:rsidR="00E7499B" w:rsidRDefault="00E7499B" w:rsidP="00E7499B">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7499B" w:rsidRDefault="00E7499B" w:rsidP="00E7499B">
      <w:pPr>
        <w:ind w:left="720"/>
      </w:pPr>
    </w:p>
    <w:p w:rsidR="00E7499B" w:rsidRDefault="00E7499B" w:rsidP="00E7499B">
      <w:pPr>
        <w:pStyle w:val="Heading1"/>
      </w:pPr>
      <w:r w:rsidRPr="00451386">
        <w:t>Sponsor’s Comment</w:t>
      </w:r>
    </w:p>
    <w:p w:rsidR="00E7499B" w:rsidRDefault="00E7499B" w:rsidP="00E7499B">
      <w:pPr>
        <w:ind w:left="720"/>
        <w:rPr>
          <w:bCs/>
          <w:highlight w:val="yellow"/>
          <w:lang w:val="en-GB"/>
        </w:rPr>
      </w:pPr>
    </w:p>
    <w:p w:rsidR="00707FFA" w:rsidRPr="00B946D6" w:rsidRDefault="007536F3" w:rsidP="00B946D6">
      <w:pPr>
        <w:widowControl/>
        <w:ind w:left="709"/>
        <w:jc w:val="left"/>
        <w:rPr>
          <w:bCs/>
        </w:rPr>
      </w:pPr>
      <w:r>
        <w:rPr>
          <w:bCs/>
        </w:rPr>
        <w:t>Ferring is disappointed with the outcome and will continue to work constructively with</w:t>
      </w:r>
      <w:r w:rsidR="00B946D6">
        <w:rPr>
          <w:bCs/>
        </w:rPr>
        <w:t xml:space="preserve"> </w:t>
      </w:r>
      <w:r>
        <w:rPr>
          <w:bCs/>
        </w:rPr>
        <w:t>the PBAC towards the listing of MENOPUR for patients with anovulatory infertility.</w:t>
      </w:r>
    </w:p>
    <w:sectPr w:rsidR="00707FFA" w:rsidRPr="00B946D6" w:rsidSect="00FB5949">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86E" w:rsidRDefault="0088186E" w:rsidP="00124A51">
      <w:r>
        <w:separator/>
      </w:r>
    </w:p>
  </w:endnote>
  <w:endnote w:type="continuationSeparator" w:id="0">
    <w:p w:rsidR="0088186E" w:rsidRDefault="0088186E"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522538"/>
      <w:docPartObj>
        <w:docPartGallery w:val="Page Numbers (Bottom of Page)"/>
        <w:docPartUnique/>
      </w:docPartObj>
    </w:sdtPr>
    <w:sdtEndPr>
      <w:rPr>
        <w:noProof/>
      </w:rPr>
    </w:sdtEndPr>
    <w:sdtContent>
      <w:p w:rsidR="003E2A1F" w:rsidRPr="002801FE" w:rsidRDefault="003E2A1F" w:rsidP="002801FE">
        <w:pPr>
          <w:pStyle w:val="Footer"/>
          <w:jc w:val="center"/>
        </w:pPr>
        <w:r>
          <w:fldChar w:fldCharType="begin"/>
        </w:r>
        <w:r>
          <w:instrText xml:space="preserve"> PAGE   \* MERGEFORMAT </w:instrText>
        </w:r>
        <w:r>
          <w:fldChar w:fldCharType="separate"/>
        </w:r>
        <w:r w:rsidR="00CD7D9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86E" w:rsidRDefault="0088186E" w:rsidP="00124A51">
      <w:r>
        <w:separator/>
      </w:r>
    </w:p>
  </w:footnote>
  <w:footnote w:type="continuationSeparator" w:id="0">
    <w:p w:rsidR="0088186E" w:rsidRDefault="0088186E"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1F" w:rsidRDefault="00E7499B" w:rsidP="00C72DB6">
    <w:pPr>
      <w:pStyle w:val="Header"/>
      <w:jc w:val="center"/>
      <w:rPr>
        <w:i/>
        <w:color w:val="808080"/>
      </w:rPr>
    </w:pPr>
    <w:r>
      <w:rPr>
        <w:i/>
        <w:color w:val="808080"/>
      </w:rPr>
      <w:t>Public Summary Document</w:t>
    </w:r>
    <w:r w:rsidR="003E2A1F" w:rsidRPr="00DF217D">
      <w:rPr>
        <w:i/>
        <w:color w:val="808080"/>
      </w:rPr>
      <w:t xml:space="preserve"> – </w:t>
    </w:r>
    <w:r w:rsidR="003E2A1F">
      <w:rPr>
        <w:i/>
        <w:color w:val="808080"/>
      </w:rPr>
      <w:t xml:space="preserve">March 2016 </w:t>
    </w:r>
    <w:r w:rsidR="003E2A1F" w:rsidRPr="00DF217D">
      <w:rPr>
        <w:i/>
        <w:color w:val="808080"/>
      </w:rPr>
      <w:t>PBAC</w:t>
    </w:r>
    <w:r w:rsidR="003E2A1F">
      <w:rPr>
        <w:i/>
        <w:color w:val="808080"/>
      </w:rPr>
      <w:t xml:space="preserve"> Meeting</w:t>
    </w:r>
  </w:p>
  <w:p w:rsidR="003E2A1F" w:rsidRDefault="003E2A1F" w:rsidP="00C72DB6">
    <w:pPr>
      <w:pStyle w:val="Header"/>
      <w:jc w:val="cent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691951"/>
    <w:multiLevelType w:val="hybridMultilevel"/>
    <w:tmpl w:val="22A45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2CD7ABF"/>
    <w:multiLevelType w:val="hybridMultilevel"/>
    <w:tmpl w:val="71288AF6"/>
    <w:lvl w:ilvl="0" w:tplc="9C5AC6D8">
      <w:start w:val="1"/>
      <w:numFmt w:val="bullet"/>
      <w:lvlText w:val="•"/>
      <w:lvlJc w:val="left"/>
      <w:pPr>
        <w:tabs>
          <w:tab w:val="num" w:pos="720"/>
        </w:tabs>
        <w:ind w:left="720" w:hanging="360"/>
      </w:pPr>
      <w:rPr>
        <w:rFonts w:ascii="Arial" w:hAnsi="Arial" w:hint="default"/>
      </w:rPr>
    </w:lvl>
    <w:lvl w:ilvl="1" w:tplc="F6C8E846">
      <w:start w:val="1"/>
      <w:numFmt w:val="bullet"/>
      <w:lvlText w:val="•"/>
      <w:lvlJc w:val="left"/>
      <w:pPr>
        <w:tabs>
          <w:tab w:val="num" w:pos="1440"/>
        </w:tabs>
        <w:ind w:left="1440" w:hanging="360"/>
      </w:pPr>
      <w:rPr>
        <w:rFonts w:ascii="Arial" w:hAnsi="Arial" w:hint="default"/>
      </w:rPr>
    </w:lvl>
    <w:lvl w:ilvl="2" w:tplc="482875F8" w:tentative="1">
      <w:start w:val="1"/>
      <w:numFmt w:val="bullet"/>
      <w:lvlText w:val="•"/>
      <w:lvlJc w:val="left"/>
      <w:pPr>
        <w:tabs>
          <w:tab w:val="num" w:pos="2160"/>
        </w:tabs>
        <w:ind w:left="2160" w:hanging="360"/>
      </w:pPr>
      <w:rPr>
        <w:rFonts w:ascii="Arial" w:hAnsi="Arial" w:hint="default"/>
      </w:rPr>
    </w:lvl>
    <w:lvl w:ilvl="3" w:tplc="19484AD4" w:tentative="1">
      <w:start w:val="1"/>
      <w:numFmt w:val="bullet"/>
      <w:lvlText w:val="•"/>
      <w:lvlJc w:val="left"/>
      <w:pPr>
        <w:tabs>
          <w:tab w:val="num" w:pos="2880"/>
        </w:tabs>
        <w:ind w:left="2880" w:hanging="360"/>
      </w:pPr>
      <w:rPr>
        <w:rFonts w:ascii="Arial" w:hAnsi="Arial" w:hint="default"/>
      </w:rPr>
    </w:lvl>
    <w:lvl w:ilvl="4" w:tplc="1F461AF4" w:tentative="1">
      <w:start w:val="1"/>
      <w:numFmt w:val="bullet"/>
      <w:lvlText w:val="•"/>
      <w:lvlJc w:val="left"/>
      <w:pPr>
        <w:tabs>
          <w:tab w:val="num" w:pos="3600"/>
        </w:tabs>
        <w:ind w:left="3600" w:hanging="360"/>
      </w:pPr>
      <w:rPr>
        <w:rFonts w:ascii="Arial" w:hAnsi="Arial" w:hint="default"/>
      </w:rPr>
    </w:lvl>
    <w:lvl w:ilvl="5" w:tplc="4754E012" w:tentative="1">
      <w:start w:val="1"/>
      <w:numFmt w:val="bullet"/>
      <w:lvlText w:val="•"/>
      <w:lvlJc w:val="left"/>
      <w:pPr>
        <w:tabs>
          <w:tab w:val="num" w:pos="4320"/>
        </w:tabs>
        <w:ind w:left="4320" w:hanging="360"/>
      </w:pPr>
      <w:rPr>
        <w:rFonts w:ascii="Arial" w:hAnsi="Arial" w:hint="default"/>
      </w:rPr>
    </w:lvl>
    <w:lvl w:ilvl="6" w:tplc="B5EE0348" w:tentative="1">
      <w:start w:val="1"/>
      <w:numFmt w:val="bullet"/>
      <w:lvlText w:val="•"/>
      <w:lvlJc w:val="left"/>
      <w:pPr>
        <w:tabs>
          <w:tab w:val="num" w:pos="5040"/>
        </w:tabs>
        <w:ind w:left="5040" w:hanging="360"/>
      </w:pPr>
      <w:rPr>
        <w:rFonts w:ascii="Arial" w:hAnsi="Arial" w:hint="default"/>
      </w:rPr>
    </w:lvl>
    <w:lvl w:ilvl="7" w:tplc="1E40D656" w:tentative="1">
      <w:start w:val="1"/>
      <w:numFmt w:val="bullet"/>
      <w:lvlText w:val="•"/>
      <w:lvlJc w:val="left"/>
      <w:pPr>
        <w:tabs>
          <w:tab w:val="num" w:pos="5760"/>
        </w:tabs>
        <w:ind w:left="5760" w:hanging="360"/>
      </w:pPr>
      <w:rPr>
        <w:rFonts w:ascii="Arial" w:hAnsi="Arial" w:hint="default"/>
      </w:rPr>
    </w:lvl>
    <w:lvl w:ilvl="8" w:tplc="456EF6C8" w:tentative="1">
      <w:start w:val="1"/>
      <w:numFmt w:val="bullet"/>
      <w:lvlText w:val="•"/>
      <w:lvlJc w:val="left"/>
      <w:pPr>
        <w:tabs>
          <w:tab w:val="num" w:pos="6480"/>
        </w:tabs>
        <w:ind w:left="6480" w:hanging="360"/>
      </w:pPr>
      <w:rPr>
        <w:rFonts w:ascii="Arial" w:hAnsi="Arial" w:hint="default"/>
      </w:rPr>
    </w:lvl>
  </w:abstractNum>
  <w:abstractNum w:abstractNumId="5">
    <w:nsid w:val="1F0252C4"/>
    <w:multiLevelType w:val="hybridMultilevel"/>
    <w:tmpl w:val="60F29EB6"/>
    <w:lvl w:ilvl="0" w:tplc="353EF3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4D033C"/>
    <w:multiLevelType w:val="multilevel"/>
    <w:tmpl w:val="02CC9F6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7"/>
  </w:num>
  <w:num w:numId="4">
    <w:abstractNumId w:val="2"/>
  </w:num>
  <w:num w:numId="5">
    <w:abstractNumId w:val="0"/>
  </w:num>
  <w:num w:numId="6">
    <w:abstractNumId w:val="6"/>
  </w:num>
  <w:num w:numId="7">
    <w:abstractNumId w:val="5"/>
  </w:num>
  <w:num w:numId="8">
    <w:abstractNumId w:val="4"/>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11B84"/>
    <w:rsid w:val="00013247"/>
    <w:rsid w:val="0001332E"/>
    <w:rsid w:val="00014076"/>
    <w:rsid w:val="00015886"/>
    <w:rsid w:val="00015B24"/>
    <w:rsid w:val="000162EF"/>
    <w:rsid w:val="00017441"/>
    <w:rsid w:val="00017817"/>
    <w:rsid w:val="0002225F"/>
    <w:rsid w:val="00023512"/>
    <w:rsid w:val="00023763"/>
    <w:rsid w:val="00027631"/>
    <w:rsid w:val="00030723"/>
    <w:rsid w:val="00037491"/>
    <w:rsid w:val="00040895"/>
    <w:rsid w:val="000425A1"/>
    <w:rsid w:val="00043744"/>
    <w:rsid w:val="0004389D"/>
    <w:rsid w:val="00043C37"/>
    <w:rsid w:val="00046377"/>
    <w:rsid w:val="00046B8C"/>
    <w:rsid w:val="00051289"/>
    <w:rsid w:val="000546D7"/>
    <w:rsid w:val="00054DB8"/>
    <w:rsid w:val="00055438"/>
    <w:rsid w:val="0006685E"/>
    <w:rsid w:val="00071248"/>
    <w:rsid w:val="000720B9"/>
    <w:rsid w:val="000731F6"/>
    <w:rsid w:val="00075F6B"/>
    <w:rsid w:val="000812CA"/>
    <w:rsid w:val="0008305D"/>
    <w:rsid w:val="00084912"/>
    <w:rsid w:val="00090C7E"/>
    <w:rsid w:val="000950CE"/>
    <w:rsid w:val="000A1E7D"/>
    <w:rsid w:val="000A7A02"/>
    <w:rsid w:val="000B07A8"/>
    <w:rsid w:val="000B6DE7"/>
    <w:rsid w:val="000C3517"/>
    <w:rsid w:val="000C5125"/>
    <w:rsid w:val="000D01DC"/>
    <w:rsid w:val="000D1476"/>
    <w:rsid w:val="000D1951"/>
    <w:rsid w:val="000D1BFC"/>
    <w:rsid w:val="000D4A1A"/>
    <w:rsid w:val="000D6159"/>
    <w:rsid w:val="000D676A"/>
    <w:rsid w:val="000E022E"/>
    <w:rsid w:val="000E0A43"/>
    <w:rsid w:val="000F4BB8"/>
    <w:rsid w:val="000F6141"/>
    <w:rsid w:val="000F7127"/>
    <w:rsid w:val="00100068"/>
    <w:rsid w:val="00100E56"/>
    <w:rsid w:val="00100F8A"/>
    <w:rsid w:val="001019A1"/>
    <w:rsid w:val="0010487C"/>
    <w:rsid w:val="00106964"/>
    <w:rsid w:val="0011032E"/>
    <w:rsid w:val="00111F56"/>
    <w:rsid w:val="00113463"/>
    <w:rsid w:val="0011348B"/>
    <w:rsid w:val="001167B1"/>
    <w:rsid w:val="00117690"/>
    <w:rsid w:val="00121554"/>
    <w:rsid w:val="00121799"/>
    <w:rsid w:val="00121A30"/>
    <w:rsid w:val="001222FC"/>
    <w:rsid w:val="00124A51"/>
    <w:rsid w:val="00126621"/>
    <w:rsid w:val="001301E9"/>
    <w:rsid w:val="00137645"/>
    <w:rsid w:val="0014015A"/>
    <w:rsid w:val="00140E99"/>
    <w:rsid w:val="00141F18"/>
    <w:rsid w:val="00142819"/>
    <w:rsid w:val="00145540"/>
    <w:rsid w:val="001455AE"/>
    <w:rsid w:val="001456B0"/>
    <w:rsid w:val="00145CAB"/>
    <w:rsid w:val="00153525"/>
    <w:rsid w:val="00154377"/>
    <w:rsid w:val="00157130"/>
    <w:rsid w:val="00157247"/>
    <w:rsid w:val="00162913"/>
    <w:rsid w:val="001630AF"/>
    <w:rsid w:val="00163E94"/>
    <w:rsid w:val="00163EFF"/>
    <w:rsid w:val="001661FB"/>
    <w:rsid w:val="00170DC4"/>
    <w:rsid w:val="00173A63"/>
    <w:rsid w:val="0017448E"/>
    <w:rsid w:val="00176B15"/>
    <w:rsid w:val="00177672"/>
    <w:rsid w:val="001801E6"/>
    <w:rsid w:val="001856E4"/>
    <w:rsid w:val="0018752F"/>
    <w:rsid w:val="00190007"/>
    <w:rsid w:val="00195222"/>
    <w:rsid w:val="001975D8"/>
    <w:rsid w:val="001A263E"/>
    <w:rsid w:val="001A34A7"/>
    <w:rsid w:val="001B223D"/>
    <w:rsid w:val="001B3263"/>
    <w:rsid w:val="001B3443"/>
    <w:rsid w:val="001B749F"/>
    <w:rsid w:val="001B76F4"/>
    <w:rsid w:val="001B7A8D"/>
    <w:rsid w:val="001C6E66"/>
    <w:rsid w:val="001D0789"/>
    <w:rsid w:val="001D0CD4"/>
    <w:rsid w:val="001D2B51"/>
    <w:rsid w:val="001D3BA0"/>
    <w:rsid w:val="001E2361"/>
    <w:rsid w:val="001E238E"/>
    <w:rsid w:val="001E2665"/>
    <w:rsid w:val="001E2B1E"/>
    <w:rsid w:val="001E4041"/>
    <w:rsid w:val="001E4873"/>
    <w:rsid w:val="001E52EB"/>
    <w:rsid w:val="001E740C"/>
    <w:rsid w:val="001F0683"/>
    <w:rsid w:val="001F1235"/>
    <w:rsid w:val="001F1CB3"/>
    <w:rsid w:val="001F1F7D"/>
    <w:rsid w:val="001F4487"/>
    <w:rsid w:val="001F7255"/>
    <w:rsid w:val="001F7361"/>
    <w:rsid w:val="001F75D2"/>
    <w:rsid w:val="00201493"/>
    <w:rsid w:val="00202F4E"/>
    <w:rsid w:val="0020385F"/>
    <w:rsid w:val="00203F9F"/>
    <w:rsid w:val="00207021"/>
    <w:rsid w:val="00207D00"/>
    <w:rsid w:val="002105C1"/>
    <w:rsid w:val="002119DD"/>
    <w:rsid w:val="0021376F"/>
    <w:rsid w:val="00222B74"/>
    <w:rsid w:val="00223682"/>
    <w:rsid w:val="00223A95"/>
    <w:rsid w:val="00223B49"/>
    <w:rsid w:val="0022494C"/>
    <w:rsid w:val="00224DD4"/>
    <w:rsid w:val="002309CC"/>
    <w:rsid w:val="00232B6B"/>
    <w:rsid w:val="00234104"/>
    <w:rsid w:val="00237923"/>
    <w:rsid w:val="00237A2D"/>
    <w:rsid w:val="00242984"/>
    <w:rsid w:val="00243639"/>
    <w:rsid w:val="00247696"/>
    <w:rsid w:val="00252741"/>
    <w:rsid w:val="00252DFB"/>
    <w:rsid w:val="00254DCF"/>
    <w:rsid w:val="0025534B"/>
    <w:rsid w:val="002553A2"/>
    <w:rsid w:val="00255BB7"/>
    <w:rsid w:val="00262A87"/>
    <w:rsid w:val="002655AF"/>
    <w:rsid w:val="00266F2E"/>
    <w:rsid w:val="00270910"/>
    <w:rsid w:val="00275C5A"/>
    <w:rsid w:val="00276201"/>
    <w:rsid w:val="00276F53"/>
    <w:rsid w:val="00277F0D"/>
    <w:rsid w:val="002801FE"/>
    <w:rsid w:val="00281014"/>
    <w:rsid w:val="00282CE7"/>
    <w:rsid w:val="0028575D"/>
    <w:rsid w:val="0028668D"/>
    <w:rsid w:val="002903A4"/>
    <w:rsid w:val="00294D18"/>
    <w:rsid w:val="002A0829"/>
    <w:rsid w:val="002A14AB"/>
    <w:rsid w:val="002A1DE3"/>
    <w:rsid w:val="002A2D27"/>
    <w:rsid w:val="002B1C1F"/>
    <w:rsid w:val="002B432F"/>
    <w:rsid w:val="002B5068"/>
    <w:rsid w:val="002B6CCE"/>
    <w:rsid w:val="002B7398"/>
    <w:rsid w:val="002B7FE4"/>
    <w:rsid w:val="002C2775"/>
    <w:rsid w:val="002C27C1"/>
    <w:rsid w:val="002C5319"/>
    <w:rsid w:val="002C54E5"/>
    <w:rsid w:val="002D4307"/>
    <w:rsid w:val="002D712D"/>
    <w:rsid w:val="002E5562"/>
    <w:rsid w:val="002F021B"/>
    <w:rsid w:val="002F12BB"/>
    <w:rsid w:val="002F5B2F"/>
    <w:rsid w:val="00301017"/>
    <w:rsid w:val="0030786C"/>
    <w:rsid w:val="0031031A"/>
    <w:rsid w:val="003105CE"/>
    <w:rsid w:val="00310981"/>
    <w:rsid w:val="00311838"/>
    <w:rsid w:val="00314D03"/>
    <w:rsid w:val="00315498"/>
    <w:rsid w:val="003213D2"/>
    <w:rsid w:val="00331DE8"/>
    <w:rsid w:val="00334F42"/>
    <w:rsid w:val="003366C9"/>
    <w:rsid w:val="003371B0"/>
    <w:rsid w:val="0034482A"/>
    <w:rsid w:val="00346010"/>
    <w:rsid w:val="0034680E"/>
    <w:rsid w:val="003475B4"/>
    <w:rsid w:val="0035165C"/>
    <w:rsid w:val="00351FA1"/>
    <w:rsid w:val="00355262"/>
    <w:rsid w:val="00355BBA"/>
    <w:rsid w:val="0035620E"/>
    <w:rsid w:val="00356C61"/>
    <w:rsid w:val="00360C97"/>
    <w:rsid w:val="00363DCB"/>
    <w:rsid w:val="00366279"/>
    <w:rsid w:val="003733AF"/>
    <w:rsid w:val="00375880"/>
    <w:rsid w:val="00375B6D"/>
    <w:rsid w:val="00375F81"/>
    <w:rsid w:val="0038365C"/>
    <w:rsid w:val="0038799A"/>
    <w:rsid w:val="0039012A"/>
    <w:rsid w:val="0039179A"/>
    <w:rsid w:val="00391A3E"/>
    <w:rsid w:val="00393A51"/>
    <w:rsid w:val="00395C4D"/>
    <w:rsid w:val="00396FD0"/>
    <w:rsid w:val="003A1A7A"/>
    <w:rsid w:val="003A681A"/>
    <w:rsid w:val="003B2F43"/>
    <w:rsid w:val="003B4F78"/>
    <w:rsid w:val="003C6EDA"/>
    <w:rsid w:val="003C7FFD"/>
    <w:rsid w:val="003D0563"/>
    <w:rsid w:val="003D162A"/>
    <w:rsid w:val="003D1801"/>
    <w:rsid w:val="003D1828"/>
    <w:rsid w:val="003D2422"/>
    <w:rsid w:val="003D2A4C"/>
    <w:rsid w:val="003D2E91"/>
    <w:rsid w:val="003D420E"/>
    <w:rsid w:val="003D5145"/>
    <w:rsid w:val="003E1562"/>
    <w:rsid w:val="003E2A1F"/>
    <w:rsid w:val="003F4156"/>
    <w:rsid w:val="003F4DA5"/>
    <w:rsid w:val="003F4DAF"/>
    <w:rsid w:val="003F5CF3"/>
    <w:rsid w:val="00407617"/>
    <w:rsid w:val="00410594"/>
    <w:rsid w:val="00410708"/>
    <w:rsid w:val="00410EC7"/>
    <w:rsid w:val="00413DA7"/>
    <w:rsid w:val="00414476"/>
    <w:rsid w:val="004152EB"/>
    <w:rsid w:val="00420B9F"/>
    <w:rsid w:val="00422713"/>
    <w:rsid w:val="004314F9"/>
    <w:rsid w:val="004319F8"/>
    <w:rsid w:val="00433044"/>
    <w:rsid w:val="004443A7"/>
    <w:rsid w:val="00444E9D"/>
    <w:rsid w:val="004464EB"/>
    <w:rsid w:val="004469E4"/>
    <w:rsid w:val="00451BD1"/>
    <w:rsid w:val="00455D45"/>
    <w:rsid w:val="004613BE"/>
    <w:rsid w:val="0046228E"/>
    <w:rsid w:val="00464595"/>
    <w:rsid w:val="004668E9"/>
    <w:rsid w:val="004867E2"/>
    <w:rsid w:val="00491B3A"/>
    <w:rsid w:val="00491BA2"/>
    <w:rsid w:val="00492CFD"/>
    <w:rsid w:val="0049468B"/>
    <w:rsid w:val="0049567E"/>
    <w:rsid w:val="004962D2"/>
    <w:rsid w:val="00497FBE"/>
    <w:rsid w:val="004A0DA1"/>
    <w:rsid w:val="004A351F"/>
    <w:rsid w:val="004A3BDE"/>
    <w:rsid w:val="004A501C"/>
    <w:rsid w:val="004A5088"/>
    <w:rsid w:val="004A546D"/>
    <w:rsid w:val="004A6597"/>
    <w:rsid w:val="004A769C"/>
    <w:rsid w:val="004B0758"/>
    <w:rsid w:val="004B0902"/>
    <w:rsid w:val="004B094A"/>
    <w:rsid w:val="004B1CB4"/>
    <w:rsid w:val="004B2F18"/>
    <w:rsid w:val="004B39ED"/>
    <w:rsid w:val="004B3DDB"/>
    <w:rsid w:val="004B44FD"/>
    <w:rsid w:val="004B5CFC"/>
    <w:rsid w:val="004B628A"/>
    <w:rsid w:val="004C045A"/>
    <w:rsid w:val="004C4AED"/>
    <w:rsid w:val="004C6088"/>
    <w:rsid w:val="004C6B13"/>
    <w:rsid w:val="004D3E59"/>
    <w:rsid w:val="004D5A1E"/>
    <w:rsid w:val="004E0130"/>
    <w:rsid w:val="004E013E"/>
    <w:rsid w:val="004E0EB8"/>
    <w:rsid w:val="004E2ADC"/>
    <w:rsid w:val="004E43B2"/>
    <w:rsid w:val="004E4A32"/>
    <w:rsid w:val="004E4B68"/>
    <w:rsid w:val="004F1D02"/>
    <w:rsid w:val="004F2679"/>
    <w:rsid w:val="004F50BD"/>
    <w:rsid w:val="004F6AC5"/>
    <w:rsid w:val="004F7865"/>
    <w:rsid w:val="004F787A"/>
    <w:rsid w:val="00501A80"/>
    <w:rsid w:val="0050214B"/>
    <w:rsid w:val="00504BCE"/>
    <w:rsid w:val="00506928"/>
    <w:rsid w:val="00510F71"/>
    <w:rsid w:val="005152B5"/>
    <w:rsid w:val="005155F5"/>
    <w:rsid w:val="00515A8A"/>
    <w:rsid w:val="00515F92"/>
    <w:rsid w:val="00521319"/>
    <w:rsid w:val="00523C28"/>
    <w:rsid w:val="00524DC7"/>
    <w:rsid w:val="00527A1E"/>
    <w:rsid w:val="005309DF"/>
    <w:rsid w:val="00530EAA"/>
    <w:rsid w:val="00532BF0"/>
    <w:rsid w:val="0053467D"/>
    <w:rsid w:val="00536AD9"/>
    <w:rsid w:val="00540DDB"/>
    <w:rsid w:val="0054356B"/>
    <w:rsid w:val="00544B30"/>
    <w:rsid w:val="00544FB2"/>
    <w:rsid w:val="00545CB0"/>
    <w:rsid w:val="00551EFB"/>
    <w:rsid w:val="005521B8"/>
    <w:rsid w:val="005527EF"/>
    <w:rsid w:val="00552BD3"/>
    <w:rsid w:val="005540FB"/>
    <w:rsid w:val="005550D5"/>
    <w:rsid w:val="00555109"/>
    <w:rsid w:val="00555EAF"/>
    <w:rsid w:val="00562EBE"/>
    <w:rsid w:val="0056696F"/>
    <w:rsid w:val="005711D5"/>
    <w:rsid w:val="00574858"/>
    <w:rsid w:val="00575D8D"/>
    <w:rsid w:val="00576972"/>
    <w:rsid w:val="00576E51"/>
    <w:rsid w:val="00583699"/>
    <w:rsid w:val="00583EE4"/>
    <w:rsid w:val="00584994"/>
    <w:rsid w:val="0059653B"/>
    <w:rsid w:val="005A113E"/>
    <w:rsid w:val="005A2E4A"/>
    <w:rsid w:val="005A50F5"/>
    <w:rsid w:val="005A72B9"/>
    <w:rsid w:val="005B07E0"/>
    <w:rsid w:val="005B4D29"/>
    <w:rsid w:val="005B5857"/>
    <w:rsid w:val="005C050B"/>
    <w:rsid w:val="005C191B"/>
    <w:rsid w:val="005C1B83"/>
    <w:rsid w:val="005C2EB9"/>
    <w:rsid w:val="005C32D4"/>
    <w:rsid w:val="005C346B"/>
    <w:rsid w:val="005D044D"/>
    <w:rsid w:val="005D18AD"/>
    <w:rsid w:val="005D24A7"/>
    <w:rsid w:val="005D448E"/>
    <w:rsid w:val="005D525E"/>
    <w:rsid w:val="005D6E3A"/>
    <w:rsid w:val="005E3C38"/>
    <w:rsid w:val="005E5287"/>
    <w:rsid w:val="005E6D14"/>
    <w:rsid w:val="005E73C0"/>
    <w:rsid w:val="005E7692"/>
    <w:rsid w:val="005F2706"/>
    <w:rsid w:val="005F2B75"/>
    <w:rsid w:val="005F422D"/>
    <w:rsid w:val="005F4ABE"/>
    <w:rsid w:val="005F5CCD"/>
    <w:rsid w:val="005F6A8F"/>
    <w:rsid w:val="005F7A62"/>
    <w:rsid w:val="00603C07"/>
    <w:rsid w:val="00606A04"/>
    <w:rsid w:val="00607669"/>
    <w:rsid w:val="00611A13"/>
    <w:rsid w:val="00612F97"/>
    <w:rsid w:val="00616802"/>
    <w:rsid w:val="00617E12"/>
    <w:rsid w:val="00621477"/>
    <w:rsid w:val="006236B9"/>
    <w:rsid w:val="00624D3A"/>
    <w:rsid w:val="00631D6B"/>
    <w:rsid w:val="00632476"/>
    <w:rsid w:val="0063280A"/>
    <w:rsid w:val="0063479F"/>
    <w:rsid w:val="006350B6"/>
    <w:rsid w:val="006364A1"/>
    <w:rsid w:val="006371CA"/>
    <w:rsid w:val="00637BFD"/>
    <w:rsid w:val="006418CB"/>
    <w:rsid w:val="006432D0"/>
    <w:rsid w:val="00645860"/>
    <w:rsid w:val="00646318"/>
    <w:rsid w:val="00646449"/>
    <w:rsid w:val="006471CC"/>
    <w:rsid w:val="0065079F"/>
    <w:rsid w:val="00653F40"/>
    <w:rsid w:val="0065726A"/>
    <w:rsid w:val="00662B12"/>
    <w:rsid w:val="00663787"/>
    <w:rsid w:val="006665FE"/>
    <w:rsid w:val="006704EE"/>
    <w:rsid w:val="00674C5D"/>
    <w:rsid w:val="00674E42"/>
    <w:rsid w:val="00675FB0"/>
    <w:rsid w:val="00677159"/>
    <w:rsid w:val="006778AB"/>
    <w:rsid w:val="00677B7D"/>
    <w:rsid w:val="00682112"/>
    <w:rsid w:val="0068303C"/>
    <w:rsid w:val="006872BA"/>
    <w:rsid w:val="006917D7"/>
    <w:rsid w:val="00692C79"/>
    <w:rsid w:val="00694F44"/>
    <w:rsid w:val="00695909"/>
    <w:rsid w:val="006B3EBF"/>
    <w:rsid w:val="006B3F04"/>
    <w:rsid w:val="006B684D"/>
    <w:rsid w:val="006C20F9"/>
    <w:rsid w:val="006C2A8E"/>
    <w:rsid w:val="006C5115"/>
    <w:rsid w:val="006D3C7D"/>
    <w:rsid w:val="006D5D5F"/>
    <w:rsid w:val="006D7CEF"/>
    <w:rsid w:val="006E155D"/>
    <w:rsid w:val="006E2E28"/>
    <w:rsid w:val="006E3221"/>
    <w:rsid w:val="006E5580"/>
    <w:rsid w:val="006E636C"/>
    <w:rsid w:val="006E64B0"/>
    <w:rsid w:val="006E7FF4"/>
    <w:rsid w:val="006F63A5"/>
    <w:rsid w:val="007000D5"/>
    <w:rsid w:val="007000EC"/>
    <w:rsid w:val="00702284"/>
    <w:rsid w:val="0070276E"/>
    <w:rsid w:val="00702A85"/>
    <w:rsid w:val="00702F8F"/>
    <w:rsid w:val="00704D4A"/>
    <w:rsid w:val="0070601A"/>
    <w:rsid w:val="007072D3"/>
    <w:rsid w:val="0070736E"/>
    <w:rsid w:val="00707FFA"/>
    <w:rsid w:val="00711A36"/>
    <w:rsid w:val="00714204"/>
    <w:rsid w:val="0071590B"/>
    <w:rsid w:val="007172AD"/>
    <w:rsid w:val="007220CF"/>
    <w:rsid w:val="0072416F"/>
    <w:rsid w:val="0072490E"/>
    <w:rsid w:val="00727FEC"/>
    <w:rsid w:val="00731937"/>
    <w:rsid w:val="00731FB0"/>
    <w:rsid w:val="00732C6D"/>
    <w:rsid w:val="00732CDB"/>
    <w:rsid w:val="00734998"/>
    <w:rsid w:val="00734B34"/>
    <w:rsid w:val="00735328"/>
    <w:rsid w:val="0073685B"/>
    <w:rsid w:val="00736AAD"/>
    <w:rsid w:val="00737261"/>
    <w:rsid w:val="00740399"/>
    <w:rsid w:val="007436AA"/>
    <w:rsid w:val="00745084"/>
    <w:rsid w:val="00752C32"/>
    <w:rsid w:val="007536F3"/>
    <w:rsid w:val="00760179"/>
    <w:rsid w:val="00762E96"/>
    <w:rsid w:val="00763442"/>
    <w:rsid w:val="007656A0"/>
    <w:rsid w:val="00774113"/>
    <w:rsid w:val="0078791F"/>
    <w:rsid w:val="007A088B"/>
    <w:rsid w:val="007A092C"/>
    <w:rsid w:val="007A0A12"/>
    <w:rsid w:val="007A45FC"/>
    <w:rsid w:val="007A5C9A"/>
    <w:rsid w:val="007A5DF3"/>
    <w:rsid w:val="007B251D"/>
    <w:rsid w:val="007B29EC"/>
    <w:rsid w:val="007B58A4"/>
    <w:rsid w:val="007B77D1"/>
    <w:rsid w:val="007C073C"/>
    <w:rsid w:val="007C361D"/>
    <w:rsid w:val="007C408E"/>
    <w:rsid w:val="007C40A0"/>
    <w:rsid w:val="007C430E"/>
    <w:rsid w:val="007C5391"/>
    <w:rsid w:val="007C6667"/>
    <w:rsid w:val="007C7C25"/>
    <w:rsid w:val="007D0B38"/>
    <w:rsid w:val="007D5471"/>
    <w:rsid w:val="007D5588"/>
    <w:rsid w:val="007E3636"/>
    <w:rsid w:val="007E6CE9"/>
    <w:rsid w:val="007E765E"/>
    <w:rsid w:val="007F0A56"/>
    <w:rsid w:val="007F1017"/>
    <w:rsid w:val="007F17A4"/>
    <w:rsid w:val="007F23AF"/>
    <w:rsid w:val="007F39B8"/>
    <w:rsid w:val="007F3B19"/>
    <w:rsid w:val="007F4A3F"/>
    <w:rsid w:val="007F7979"/>
    <w:rsid w:val="0080015C"/>
    <w:rsid w:val="0080245D"/>
    <w:rsid w:val="0080445B"/>
    <w:rsid w:val="00804B08"/>
    <w:rsid w:val="00805142"/>
    <w:rsid w:val="008060E5"/>
    <w:rsid w:val="00807A8B"/>
    <w:rsid w:val="00810162"/>
    <w:rsid w:val="00811DAB"/>
    <w:rsid w:val="00812149"/>
    <w:rsid w:val="008166EF"/>
    <w:rsid w:val="008264EB"/>
    <w:rsid w:val="00830E5C"/>
    <w:rsid w:val="00832612"/>
    <w:rsid w:val="00832B65"/>
    <w:rsid w:val="00833642"/>
    <w:rsid w:val="00833B05"/>
    <w:rsid w:val="00833E94"/>
    <w:rsid w:val="00834C4D"/>
    <w:rsid w:val="00840CA2"/>
    <w:rsid w:val="0084246B"/>
    <w:rsid w:val="008440C9"/>
    <w:rsid w:val="0085067B"/>
    <w:rsid w:val="00852B9D"/>
    <w:rsid w:val="00856797"/>
    <w:rsid w:val="00856E9A"/>
    <w:rsid w:val="00862502"/>
    <w:rsid w:val="00865383"/>
    <w:rsid w:val="0087793E"/>
    <w:rsid w:val="008812FE"/>
    <w:rsid w:val="0088186E"/>
    <w:rsid w:val="00882874"/>
    <w:rsid w:val="00883136"/>
    <w:rsid w:val="00883787"/>
    <w:rsid w:val="00887111"/>
    <w:rsid w:val="00887B85"/>
    <w:rsid w:val="00890CC7"/>
    <w:rsid w:val="008913CC"/>
    <w:rsid w:val="00894489"/>
    <w:rsid w:val="008951BC"/>
    <w:rsid w:val="00895A9A"/>
    <w:rsid w:val="008963A5"/>
    <w:rsid w:val="00896F30"/>
    <w:rsid w:val="008976AF"/>
    <w:rsid w:val="008A2B6B"/>
    <w:rsid w:val="008A39FC"/>
    <w:rsid w:val="008A3C3E"/>
    <w:rsid w:val="008A4B25"/>
    <w:rsid w:val="008A4BA9"/>
    <w:rsid w:val="008A79DE"/>
    <w:rsid w:val="008B3088"/>
    <w:rsid w:val="008B7D1F"/>
    <w:rsid w:val="008B7D7E"/>
    <w:rsid w:val="008C61EA"/>
    <w:rsid w:val="008C75C6"/>
    <w:rsid w:val="008C7ECB"/>
    <w:rsid w:val="008D0376"/>
    <w:rsid w:val="008D3ABB"/>
    <w:rsid w:val="008D5C22"/>
    <w:rsid w:val="008D697E"/>
    <w:rsid w:val="008E07FF"/>
    <w:rsid w:val="008E1B9E"/>
    <w:rsid w:val="008E37D5"/>
    <w:rsid w:val="008E4263"/>
    <w:rsid w:val="008E51EE"/>
    <w:rsid w:val="008E6BE7"/>
    <w:rsid w:val="008E719E"/>
    <w:rsid w:val="008F120A"/>
    <w:rsid w:val="008F15E4"/>
    <w:rsid w:val="008F1BB1"/>
    <w:rsid w:val="008F3D1B"/>
    <w:rsid w:val="008F48A6"/>
    <w:rsid w:val="008F48EB"/>
    <w:rsid w:val="008F4F0B"/>
    <w:rsid w:val="00901533"/>
    <w:rsid w:val="0090431A"/>
    <w:rsid w:val="00905A3D"/>
    <w:rsid w:val="009062A5"/>
    <w:rsid w:val="00910EC0"/>
    <w:rsid w:val="00911272"/>
    <w:rsid w:val="0091135E"/>
    <w:rsid w:val="00912E11"/>
    <w:rsid w:val="00915E9E"/>
    <w:rsid w:val="009176E7"/>
    <w:rsid w:val="00921781"/>
    <w:rsid w:val="00927966"/>
    <w:rsid w:val="00931558"/>
    <w:rsid w:val="0093281D"/>
    <w:rsid w:val="009354A5"/>
    <w:rsid w:val="00935DB0"/>
    <w:rsid w:val="00935EE7"/>
    <w:rsid w:val="00936647"/>
    <w:rsid w:val="009367AC"/>
    <w:rsid w:val="00937874"/>
    <w:rsid w:val="00941E2C"/>
    <w:rsid w:val="009429BF"/>
    <w:rsid w:val="00943291"/>
    <w:rsid w:val="00944383"/>
    <w:rsid w:val="00944D45"/>
    <w:rsid w:val="00950B02"/>
    <w:rsid w:val="00950BE4"/>
    <w:rsid w:val="0095468F"/>
    <w:rsid w:val="009548F3"/>
    <w:rsid w:val="009553FB"/>
    <w:rsid w:val="00962710"/>
    <w:rsid w:val="00962CB9"/>
    <w:rsid w:val="00964312"/>
    <w:rsid w:val="00970110"/>
    <w:rsid w:val="00973F36"/>
    <w:rsid w:val="00976835"/>
    <w:rsid w:val="00980209"/>
    <w:rsid w:val="00981472"/>
    <w:rsid w:val="00982166"/>
    <w:rsid w:val="00982D49"/>
    <w:rsid w:val="009839F3"/>
    <w:rsid w:val="00983E57"/>
    <w:rsid w:val="00987065"/>
    <w:rsid w:val="00995783"/>
    <w:rsid w:val="009957BF"/>
    <w:rsid w:val="0099686A"/>
    <w:rsid w:val="00996B1A"/>
    <w:rsid w:val="009A0C02"/>
    <w:rsid w:val="009B047C"/>
    <w:rsid w:val="009B197E"/>
    <w:rsid w:val="009B345B"/>
    <w:rsid w:val="009B3E26"/>
    <w:rsid w:val="009B6105"/>
    <w:rsid w:val="009C2A38"/>
    <w:rsid w:val="009D07D1"/>
    <w:rsid w:val="009D5B91"/>
    <w:rsid w:val="009D6665"/>
    <w:rsid w:val="009E0946"/>
    <w:rsid w:val="009E1514"/>
    <w:rsid w:val="009E287A"/>
    <w:rsid w:val="009E467C"/>
    <w:rsid w:val="009E4C07"/>
    <w:rsid w:val="009E649A"/>
    <w:rsid w:val="009F68F5"/>
    <w:rsid w:val="009F7C6E"/>
    <w:rsid w:val="00A03D43"/>
    <w:rsid w:val="00A04380"/>
    <w:rsid w:val="00A04F8E"/>
    <w:rsid w:val="00A07F5A"/>
    <w:rsid w:val="00A13948"/>
    <w:rsid w:val="00A14A9C"/>
    <w:rsid w:val="00A1544F"/>
    <w:rsid w:val="00A17B65"/>
    <w:rsid w:val="00A2106A"/>
    <w:rsid w:val="00A21C68"/>
    <w:rsid w:val="00A2595D"/>
    <w:rsid w:val="00A27AEC"/>
    <w:rsid w:val="00A31E14"/>
    <w:rsid w:val="00A35313"/>
    <w:rsid w:val="00A35D16"/>
    <w:rsid w:val="00A364D3"/>
    <w:rsid w:val="00A36558"/>
    <w:rsid w:val="00A426F2"/>
    <w:rsid w:val="00A43C59"/>
    <w:rsid w:val="00A50ECD"/>
    <w:rsid w:val="00A51CBB"/>
    <w:rsid w:val="00A52729"/>
    <w:rsid w:val="00A53675"/>
    <w:rsid w:val="00A55E7A"/>
    <w:rsid w:val="00A560D8"/>
    <w:rsid w:val="00A56B6A"/>
    <w:rsid w:val="00A575C7"/>
    <w:rsid w:val="00A578DC"/>
    <w:rsid w:val="00A656C1"/>
    <w:rsid w:val="00A658A9"/>
    <w:rsid w:val="00A6725B"/>
    <w:rsid w:val="00A74875"/>
    <w:rsid w:val="00A75F30"/>
    <w:rsid w:val="00A760D3"/>
    <w:rsid w:val="00A7755B"/>
    <w:rsid w:val="00A77FC4"/>
    <w:rsid w:val="00A825DC"/>
    <w:rsid w:val="00A8361C"/>
    <w:rsid w:val="00A85225"/>
    <w:rsid w:val="00A86E8B"/>
    <w:rsid w:val="00A916AE"/>
    <w:rsid w:val="00A93072"/>
    <w:rsid w:val="00A959D8"/>
    <w:rsid w:val="00A96E76"/>
    <w:rsid w:val="00AB042A"/>
    <w:rsid w:val="00AB20B6"/>
    <w:rsid w:val="00AB2D34"/>
    <w:rsid w:val="00AB3430"/>
    <w:rsid w:val="00AB7CFA"/>
    <w:rsid w:val="00AC006C"/>
    <w:rsid w:val="00AC4D26"/>
    <w:rsid w:val="00AD1D16"/>
    <w:rsid w:val="00AD2951"/>
    <w:rsid w:val="00AD7071"/>
    <w:rsid w:val="00AE090A"/>
    <w:rsid w:val="00AE18DA"/>
    <w:rsid w:val="00AE6D5E"/>
    <w:rsid w:val="00AE7D13"/>
    <w:rsid w:val="00AF68DE"/>
    <w:rsid w:val="00B06AB6"/>
    <w:rsid w:val="00B072D5"/>
    <w:rsid w:val="00B14882"/>
    <w:rsid w:val="00B246AC"/>
    <w:rsid w:val="00B31280"/>
    <w:rsid w:val="00B42851"/>
    <w:rsid w:val="00B464A8"/>
    <w:rsid w:val="00B47103"/>
    <w:rsid w:val="00B50DB8"/>
    <w:rsid w:val="00B527F0"/>
    <w:rsid w:val="00B53761"/>
    <w:rsid w:val="00B53905"/>
    <w:rsid w:val="00B54B5B"/>
    <w:rsid w:val="00B5562E"/>
    <w:rsid w:val="00B57000"/>
    <w:rsid w:val="00B60939"/>
    <w:rsid w:val="00B60AFD"/>
    <w:rsid w:val="00B61613"/>
    <w:rsid w:val="00B61614"/>
    <w:rsid w:val="00B62715"/>
    <w:rsid w:val="00B62955"/>
    <w:rsid w:val="00B648EB"/>
    <w:rsid w:val="00B65578"/>
    <w:rsid w:val="00B655B3"/>
    <w:rsid w:val="00B67C0D"/>
    <w:rsid w:val="00B67E8F"/>
    <w:rsid w:val="00B73D07"/>
    <w:rsid w:val="00B77ED4"/>
    <w:rsid w:val="00B801C3"/>
    <w:rsid w:val="00B818A4"/>
    <w:rsid w:val="00B8461C"/>
    <w:rsid w:val="00B85893"/>
    <w:rsid w:val="00B8649C"/>
    <w:rsid w:val="00B90102"/>
    <w:rsid w:val="00B90CDA"/>
    <w:rsid w:val="00B92A41"/>
    <w:rsid w:val="00B92D0B"/>
    <w:rsid w:val="00B93FE9"/>
    <w:rsid w:val="00B946D6"/>
    <w:rsid w:val="00B94945"/>
    <w:rsid w:val="00B9494B"/>
    <w:rsid w:val="00BA3E38"/>
    <w:rsid w:val="00BA7921"/>
    <w:rsid w:val="00BB140D"/>
    <w:rsid w:val="00BB4A32"/>
    <w:rsid w:val="00BB7405"/>
    <w:rsid w:val="00BD0290"/>
    <w:rsid w:val="00BD2F50"/>
    <w:rsid w:val="00BD6CF3"/>
    <w:rsid w:val="00BE180C"/>
    <w:rsid w:val="00BE2180"/>
    <w:rsid w:val="00BE4275"/>
    <w:rsid w:val="00BE4ECE"/>
    <w:rsid w:val="00BE6F2E"/>
    <w:rsid w:val="00BE781A"/>
    <w:rsid w:val="00BF2433"/>
    <w:rsid w:val="00BF2D6A"/>
    <w:rsid w:val="00BF4617"/>
    <w:rsid w:val="00BF4FBC"/>
    <w:rsid w:val="00BF58E8"/>
    <w:rsid w:val="00BF61C9"/>
    <w:rsid w:val="00BF6FD1"/>
    <w:rsid w:val="00BF7844"/>
    <w:rsid w:val="00C01932"/>
    <w:rsid w:val="00C0195F"/>
    <w:rsid w:val="00C0243B"/>
    <w:rsid w:val="00C05699"/>
    <w:rsid w:val="00C060DD"/>
    <w:rsid w:val="00C06681"/>
    <w:rsid w:val="00C11F94"/>
    <w:rsid w:val="00C12015"/>
    <w:rsid w:val="00C13B74"/>
    <w:rsid w:val="00C176C0"/>
    <w:rsid w:val="00C226B9"/>
    <w:rsid w:val="00C237DA"/>
    <w:rsid w:val="00C2395A"/>
    <w:rsid w:val="00C246AD"/>
    <w:rsid w:val="00C25418"/>
    <w:rsid w:val="00C25D9C"/>
    <w:rsid w:val="00C2712D"/>
    <w:rsid w:val="00C31649"/>
    <w:rsid w:val="00C34E2E"/>
    <w:rsid w:val="00C40385"/>
    <w:rsid w:val="00C502F8"/>
    <w:rsid w:val="00C517F5"/>
    <w:rsid w:val="00C537C9"/>
    <w:rsid w:val="00C605E4"/>
    <w:rsid w:val="00C637D8"/>
    <w:rsid w:val="00C65576"/>
    <w:rsid w:val="00C66165"/>
    <w:rsid w:val="00C66FFE"/>
    <w:rsid w:val="00C72DB6"/>
    <w:rsid w:val="00C750C8"/>
    <w:rsid w:val="00C75FA7"/>
    <w:rsid w:val="00C762EA"/>
    <w:rsid w:val="00C8213F"/>
    <w:rsid w:val="00C82592"/>
    <w:rsid w:val="00C8797A"/>
    <w:rsid w:val="00C87F81"/>
    <w:rsid w:val="00C938CF"/>
    <w:rsid w:val="00C95BE1"/>
    <w:rsid w:val="00C963E5"/>
    <w:rsid w:val="00CA5245"/>
    <w:rsid w:val="00CA5FAA"/>
    <w:rsid w:val="00CA7B09"/>
    <w:rsid w:val="00CB0679"/>
    <w:rsid w:val="00CB21BE"/>
    <w:rsid w:val="00CB3789"/>
    <w:rsid w:val="00CB4CBB"/>
    <w:rsid w:val="00CB5B1A"/>
    <w:rsid w:val="00CB611F"/>
    <w:rsid w:val="00CB694F"/>
    <w:rsid w:val="00CC05A0"/>
    <w:rsid w:val="00CC08A1"/>
    <w:rsid w:val="00CC53FB"/>
    <w:rsid w:val="00CD1AC9"/>
    <w:rsid w:val="00CD54EF"/>
    <w:rsid w:val="00CD5E76"/>
    <w:rsid w:val="00CD6ADC"/>
    <w:rsid w:val="00CD7D97"/>
    <w:rsid w:val="00CE12D7"/>
    <w:rsid w:val="00CE37DE"/>
    <w:rsid w:val="00CE4610"/>
    <w:rsid w:val="00CE48D2"/>
    <w:rsid w:val="00CE5B1A"/>
    <w:rsid w:val="00CE6274"/>
    <w:rsid w:val="00CE6535"/>
    <w:rsid w:val="00CE72BD"/>
    <w:rsid w:val="00CF456B"/>
    <w:rsid w:val="00CF4D4C"/>
    <w:rsid w:val="00CF5A22"/>
    <w:rsid w:val="00D008E8"/>
    <w:rsid w:val="00D0262E"/>
    <w:rsid w:val="00D02FAE"/>
    <w:rsid w:val="00D110BD"/>
    <w:rsid w:val="00D11228"/>
    <w:rsid w:val="00D12681"/>
    <w:rsid w:val="00D170DA"/>
    <w:rsid w:val="00D17D33"/>
    <w:rsid w:val="00D17D6C"/>
    <w:rsid w:val="00D17EFC"/>
    <w:rsid w:val="00D20562"/>
    <w:rsid w:val="00D239DD"/>
    <w:rsid w:val="00D244CE"/>
    <w:rsid w:val="00D250EB"/>
    <w:rsid w:val="00D300BE"/>
    <w:rsid w:val="00D32D9D"/>
    <w:rsid w:val="00D357FF"/>
    <w:rsid w:val="00D5791C"/>
    <w:rsid w:val="00D6022A"/>
    <w:rsid w:val="00D60BC5"/>
    <w:rsid w:val="00D6375C"/>
    <w:rsid w:val="00D76A44"/>
    <w:rsid w:val="00D82577"/>
    <w:rsid w:val="00D84CDA"/>
    <w:rsid w:val="00D8508A"/>
    <w:rsid w:val="00D93753"/>
    <w:rsid w:val="00D970DE"/>
    <w:rsid w:val="00DA2564"/>
    <w:rsid w:val="00DA4266"/>
    <w:rsid w:val="00DA6C34"/>
    <w:rsid w:val="00DA77A5"/>
    <w:rsid w:val="00DB1604"/>
    <w:rsid w:val="00DB18DB"/>
    <w:rsid w:val="00DB7929"/>
    <w:rsid w:val="00DC0F50"/>
    <w:rsid w:val="00DC5501"/>
    <w:rsid w:val="00DD02B8"/>
    <w:rsid w:val="00DD3F28"/>
    <w:rsid w:val="00DD433F"/>
    <w:rsid w:val="00DD4537"/>
    <w:rsid w:val="00DD4E15"/>
    <w:rsid w:val="00DD717A"/>
    <w:rsid w:val="00DE4FCB"/>
    <w:rsid w:val="00DF0331"/>
    <w:rsid w:val="00DF0897"/>
    <w:rsid w:val="00DF0B1E"/>
    <w:rsid w:val="00DF10B6"/>
    <w:rsid w:val="00DF2DCB"/>
    <w:rsid w:val="00DF4680"/>
    <w:rsid w:val="00DF4747"/>
    <w:rsid w:val="00DF5969"/>
    <w:rsid w:val="00DF59AB"/>
    <w:rsid w:val="00DF5D2B"/>
    <w:rsid w:val="00E025C9"/>
    <w:rsid w:val="00E10149"/>
    <w:rsid w:val="00E11BD0"/>
    <w:rsid w:val="00E11EDB"/>
    <w:rsid w:val="00E16372"/>
    <w:rsid w:val="00E20ED6"/>
    <w:rsid w:val="00E21358"/>
    <w:rsid w:val="00E2249A"/>
    <w:rsid w:val="00E2249B"/>
    <w:rsid w:val="00E22A0D"/>
    <w:rsid w:val="00E2388B"/>
    <w:rsid w:val="00E25326"/>
    <w:rsid w:val="00E256B5"/>
    <w:rsid w:val="00E257B0"/>
    <w:rsid w:val="00E2771E"/>
    <w:rsid w:val="00E331B5"/>
    <w:rsid w:val="00E367CA"/>
    <w:rsid w:val="00E36CB7"/>
    <w:rsid w:val="00E36D50"/>
    <w:rsid w:val="00E37569"/>
    <w:rsid w:val="00E37856"/>
    <w:rsid w:val="00E37A5D"/>
    <w:rsid w:val="00E40DC5"/>
    <w:rsid w:val="00E41E30"/>
    <w:rsid w:val="00E436FA"/>
    <w:rsid w:val="00E43D70"/>
    <w:rsid w:val="00E451AB"/>
    <w:rsid w:val="00E46FAB"/>
    <w:rsid w:val="00E47950"/>
    <w:rsid w:val="00E47B2C"/>
    <w:rsid w:val="00E51560"/>
    <w:rsid w:val="00E515B9"/>
    <w:rsid w:val="00E55424"/>
    <w:rsid w:val="00E55BB5"/>
    <w:rsid w:val="00E56B1E"/>
    <w:rsid w:val="00E573F6"/>
    <w:rsid w:val="00E6341B"/>
    <w:rsid w:val="00E65E79"/>
    <w:rsid w:val="00E67416"/>
    <w:rsid w:val="00E718B6"/>
    <w:rsid w:val="00E72F3F"/>
    <w:rsid w:val="00E73581"/>
    <w:rsid w:val="00E7499B"/>
    <w:rsid w:val="00E8153E"/>
    <w:rsid w:val="00E83BDF"/>
    <w:rsid w:val="00E97261"/>
    <w:rsid w:val="00E978A3"/>
    <w:rsid w:val="00EA3227"/>
    <w:rsid w:val="00EA3864"/>
    <w:rsid w:val="00EA7D3C"/>
    <w:rsid w:val="00EB15B6"/>
    <w:rsid w:val="00EB4916"/>
    <w:rsid w:val="00EB5C38"/>
    <w:rsid w:val="00EB7D55"/>
    <w:rsid w:val="00EC00C9"/>
    <w:rsid w:val="00EC30A9"/>
    <w:rsid w:val="00EC3C1E"/>
    <w:rsid w:val="00EC6073"/>
    <w:rsid w:val="00ED0C22"/>
    <w:rsid w:val="00EE07D3"/>
    <w:rsid w:val="00EE547E"/>
    <w:rsid w:val="00EF2C2A"/>
    <w:rsid w:val="00F067A2"/>
    <w:rsid w:val="00F07674"/>
    <w:rsid w:val="00F0773F"/>
    <w:rsid w:val="00F23A8B"/>
    <w:rsid w:val="00F24837"/>
    <w:rsid w:val="00F2575F"/>
    <w:rsid w:val="00F309EA"/>
    <w:rsid w:val="00F33DE9"/>
    <w:rsid w:val="00F357EE"/>
    <w:rsid w:val="00F3619A"/>
    <w:rsid w:val="00F46CB6"/>
    <w:rsid w:val="00F47240"/>
    <w:rsid w:val="00F47EBC"/>
    <w:rsid w:val="00F5049E"/>
    <w:rsid w:val="00F50F85"/>
    <w:rsid w:val="00F51F11"/>
    <w:rsid w:val="00F53F62"/>
    <w:rsid w:val="00F55E73"/>
    <w:rsid w:val="00F57627"/>
    <w:rsid w:val="00F60092"/>
    <w:rsid w:val="00F63E21"/>
    <w:rsid w:val="00F64CA0"/>
    <w:rsid w:val="00F72C58"/>
    <w:rsid w:val="00F734DC"/>
    <w:rsid w:val="00F73BBE"/>
    <w:rsid w:val="00F75A98"/>
    <w:rsid w:val="00F80E5D"/>
    <w:rsid w:val="00F851CE"/>
    <w:rsid w:val="00F8532D"/>
    <w:rsid w:val="00F905BF"/>
    <w:rsid w:val="00F91290"/>
    <w:rsid w:val="00F93013"/>
    <w:rsid w:val="00F94496"/>
    <w:rsid w:val="00F959A0"/>
    <w:rsid w:val="00F960F4"/>
    <w:rsid w:val="00F96FAB"/>
    <w:rsid w:val="00F97A78"/>
    <w:rsid w:val="00FA24E7"/>
    <w:rsid w:val="00FA4214"/>
    <w:rsid w:val="00FA518A"/>
    <w:rsid w:val="00FA7A86"/>
    <w:rsid w:val="00FB07F8"/>
    <w:rsid w:val="00FB2FCB"/>
    <w:rsid w:val="00FB3E34"/>
    <w:rsid w:val="00FB5949"/>
    <w:rsid w:val="00FC0CC4"/>
    <w:rsid w:val="00FC1074"/>
    <w:rsid w:val="00FC1884"/>
    <w:rsid w:val="00FC2CA1"/>
    <w:rsid w:val="00FC386E"/>
    <w:rsid w:val="00FC5021"/>
    <w:rsid w:val="00FD1670"/>
    <w:rsid w:val="00FD2100"/>
    <w:rsid w:val="00FD446D"/>
    <w:rsid w:val="00FD462B"/>
    <w:rsid w:val="00FD682D"/>
    <w:rsid w:val="00FE0B67"/>
    <w:rsid w:val="00FE1605"/>
    <w:rsid w:val="00FE19B1"/>
    <w:rsid w:val="00FE211A"/>
    <w:rsid w:val="00FE5545"/>
    <w:rsid w:val="00FF3DCF"/>
    <w:rsid w:val="00FF465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F7979"/>
    <w:pPr>
      <w:widowControl w:val="0"/>
      <w:jc w:val="both"/>
    </w:pPr>
    <w:rPr>
      <w:rFonts w:ascii="Arial" w:hAnsi="Arial" w:cs="Arial"/>
      <w:snapToGrid w:val="0"/>
      <w:sz w:val="22"/>
      <w:lang w:eastAsia="en-US"/>
    </w:rPr>
  </w:style>
  <w:style w:type="paragraph" w:styleId="Heading1">
    <w:name w:val="heading 1"/>
    <w:basedOn w:val="PBACHeading1"/>
    <w:next w:val="Normal"/>
    <w:qFormat/>
    <w:rsid w:val="009B047C"/>
  </w:style>
  <w:style w:type="paragraph" w:styleId="Heading2">
    <w:name w:val="heading 2"/>
    <w:basedOn w:val="Normal"/>
    <w:next w:val="Normal"/>
    <w:link w:val="Heading2Char"/>
    <w:qFormat/>
    <w:rsid w:val="00E47950"/>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E47950"/>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9B047C"/>
    <w:pPr>
      <w:spacing w:before="240" w:after="60"/>
      <w:jc w:val="left"/>
      <w:outlineLvl w:val="0"/>
    </w:pPr>
    <w:rPr>
      <w:b/>
      <w:bCs/>
      <w:kern w:val="28"/>
      <w:sz w:val="28"/>
      <w:szCs w:val="32"/>
    </w:rPr>
  </w:style>
  <w:style w:type="character" w:customStyle="1" w:styleId="TitleChar">
    <w:name w:val="Title Char"/>
    <w:basedOn w:val="DefaultParagraphFont"/>
    <w:link w:val="Title"/>
    <w:rsid w:val="009B047C"/>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53F40"/>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B047C"/>
    <w:pPr>
      <w:numPr>
        <w:numId w:val="1"/>
      </w:numPr>
      <w:outlineLvl w:val="0"/>
    </w:pPr>
    <w:rPr>
      <w:rFonts w:ascii="Arial" w:hAnsi="Arial" w:cs="Arial"/>
      <w:b/>
      <w:snapToGrid w:val="0"/>
      <w:sz w:val="22"/>
      <w:szCs w:val="22"/>
      <w:lang w:eastAsia="en-US"/>
    </w:rPr>
  </w:style>
  <w:style w:type="paragraph" w:customStyle="1" w:styleId="PBACTableFootnote">
    <w:name w:val="PBAC Table Footnote"/>
    <w:basedOn w:val="Normal"/>
    <w:link w:val="PBACTableFootnoteChar"/>
    <w:qFormat/>
    <w:rsid w:val="002A0829"/>
    <w:pPr>
      <w:widowControl/>
      <w:spacing w:before="60" w:after="200"/>
      <w:contextualSpacing/>
      <w:jc w:val="left"/>
    </w:pPr>
    <w:rPr>
      <w:rFonts w:ascii="News Gothic MT" w:eastAsia="MS Mincho" w:hAnsi="News Gothic MT" w:cs="Times New Roman"/>
      <w:snapToGrid/>
      <w:sz w:val="16"/>
      <w:szCs w:val="24"/>
      <w:lang w:val="en-US"/>
    </w:rPr>
  </w:style>
  <w:style w:type="character" w:customStyle="1" w:styleId="PBACTableFootnoteChar">
    <w:name w:val="PBAC Table Footnote Char"/>
    <w:basedOn w:val="DefaultParagraphFont"/>
    <w:link w:val="PBACTableFootnote"/>
    <w:rsid w:val="002A0829"/>
    <w:rPr>
      <w:rFonts w:ascii="News Gothic MT" w:eastAsia="MS Mincho" w:hAnsi="News Gothic MT"/>
      <w:sz w:val="16"/>
      <w:szCs w:val="24"/>
      <w:lang w:val="en-US" w:eastAsia="en-US"/>
    </w:rPr>
  </w:style>
  <w:style w:type="paragraph" w:customStyle="1" w:styleId="COMBody">
    <w:name w:val="COMBody"/>
    <w:basedOn w:val="Normal"/>
    <w:link w:val="COMBodyChar"/>
    <w:qFormat/>
    <w:rsid w:val="00935DB0"/>
    <w:pPr>
      <w:widowControl/>
    </w:pPr>
    <w:rPr>
      <w:bCs/>
      <w:snapToGrid/>
      <w:szCs w:val="22"/>
      <w:lang w:val="en-US"/>
    </w:rPr>
  </w:style>
  <w:style w:type="character" w:customStyle="1" w:styleId="COMBodyChar">
    <w:name w:val="COMBody Char"/>
    <w:link w:val="COMBody"/>
    <w:rsid w:val="00935DB0"/>
    <w:rPr>
      <w:rFonts w:ascii="Arial" w:hAnsi="Arial" w:cs="Arial"/>
      <w:bCs/>
      <w:sz w:val="22"/>
      <w:szCs w:val="22"/>
      <w:lang w:val="en-US" w:eastAsia="en-US"/>
    </w:rPr>
  </w:style>
  <w:style w:type="paragraph" w:customStyle="1" w:styleId="COMtblcap">
    <w:name w:val="COMtblcap"/>
    <w:basedOn w:val="Normal"/>
    <w:link w:val="COMtblcapChar"/>
    <w:qFormat/>
    <w:rsid w:val="00935DB0"/>
    <w:pPr>
      <w:keepNext/>
      <w:widowControl/>
    </w:pPr>
    <w:rPr>
      <w:b/>
      <w:snapToGrid/>
      <w:sz w:val="20"/>
      <w:lang w:val="en-US"/>
    </w:rPr>
  </w:style>
  <w:style w:type="character" w:customStyle="1" w:styleId="COMtblcapChar">
    <w:name w:val="COMtblcap Char"/>
    <w:link w:val="COMtblcap"/>
    <w:rsid w:val="00935DB0"/>
    <w:rPr>
      <w:rFonts w:ascii="Arial" w:hAnsi="Arial" w:cs="Arial"/>
      <w:b/>
      <w:lang w:val="en-US" w:eastAsia="en-US"/>
    </w:rPr>
  </w:style>
  <w:style w:type="paragraph" w:customStyle="1" w:styleId="PBACTableText">
    <w:name w:val="PBAC Table Text"/>
    <w:basedOn w:val="Normal"/>
    <w:link w:val="PBACTableTextChar"/>
    <w:qFormat/>
    <w:rsid w:val="001B7A8D"/>
    <w:pPr>
      <w:widowControl/>
      <w:spacing w:before="40" w:after="40"/>
      <w:jc w:val="left"/>
    </w:pPr>
    <w:rPr>
      <w:rFonts w:ascii="News Gothic MT" w:eastAsia="MS Mincho" w:hAnsi="News Gothic MT" w:cs="Times New Roman"/>
      <w:snapToGrid/>
      <w:sz w:val="20"/>
      <w:lang w:val="en-US"/>
    </w:rPr>
  </w:style>
  <w:style w:type="character" w:customStyle="1" w:styleId="PBACTableTextChar">
    <w:name w:val="PBAC Table Text Char"/>
    <w:basedOn w:val="DefaultParagraphFont"/>
    <w:link w:val="PBACTableText"/>
    <w:rsid w:val="001B7A8D"/>
    <w:rPr>
      <w:rFonts w:ascii="News Gothic MT" w:eastAsia="MS Mincho" w:hAnsi="News Gothic MT"/>
      <w:lang w:val="en-US" w:eastAsia="en-US"/>
    </w:rPr>
  </w:style>
  <w:style w:type="paragraph" w:customStyle="1" w:styleId="PBACTableTextBoldCentered">
    <w:name w:val="PBAC Table Text + Bold + Centered"/>
    <w:basedOn w:val="Normal"/>
    <w:rsid w:val="001B7A8D"/>
    <w:pPr>
      <w:keepNext/>
      <w:widowControl/>
      <w:spacing w:before="40" w:after="40"/>
      <w:jc w:val="center"/>
    </w:pPr>
    <w:rPr>
      <w:rFonts w:ascii="News Gothic MT" w:eastAsia="MS Mincho" w:hAnsi="News Gothic MT" w:cs="Times New Roman"/>
      <w:b/>
      <w:bCs/>
      <w:snapToGrid/>
      <w:sz w:val="20"/>
      <w:lang w:val="en-US"/>
    </w:rPr>
  </w:style>
  <w:style w:type="paragraph" w:customStyle="1" w:styleId="PBACTableTextBoldLeft">
    <w:name w:val="PBAC Table Text + Bold + Left"/>
    <w:basedOn w:val="PBACTableText"/>
    <w:qFormat/>
    <w:rsid w:val="00D008E8"/>
    <w:pPr>
      <w:keepNext/>
    </w:pPr>
    <w:rPr>
      <w:b/>
      <w:bCs/>
    </w:rPr>
  </w:style>
  <w:style w:type="paragraph" w:customStyle="1" w:styleId="Default">
    <w:name w:val="Default"/>
    <w:rsid w:val="00030723"/>
    <w:pPr>
      <w:autoSpaceDE w:val="0"/>
      <w:autoSpaceDN w:val="0"/>
      <w:adjustRightInd w:val="0"/>
    </w:pPr>
    <w:rPr>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51AB"/>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BE180C"/>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link w:val="ListParagraph"/>
    <w:uiPriority w:val="34"/>
    <w:locked/>
    <w:rsid w:val="00BE180C"/>
    <w:rPr>
      <w:rFonts w:ascii="Arial" w:hAnsi="Arial" w:cs="Arial"/>
      <w:snapToGrid w:val="0"/>
      <w:sz w:val="22"/>
      <w:lang w:eastAsia="en-US"/>
    </w:rPr>
  </w:style>
  <w:style w:type="character" w:customStyle="1" w:styleId="TableHeadingChar">
    <w:name w:val="TableHeading Char"/>
    <w:link w:val="TableHeading"/>
    <w:rsid w:val="007C430E"/>
    <w:rPr>
      <w:rFonts w:ascii="Arial Narrow" w:hAnsi="Arial Narrow" w:cs="Arial Narrow"/>
      <w:b/>
      <w:bCs/>
      <w:lang w:eastAsia="en-US"/>
    </w:rPr>
  </w:style>
  <w:style w:type="paragraph" w:customStyle="1" w:styleId="TableTextleft">
    <w:name w:val="Table Text left"/>
    <w:basedOn w:val="Normal"/>
    <w:rsid w:val="007C430E"/>
    <w:pPr>
      <w:widowControl/>
      <w:jc w:val="left"/>
    </w:pPr>
    <w:rPr>
      <w:snapToGrid/>
      <w:sz w:val="18"/>
      <w:szCs w:val="18"/>
      <w:lang w:eastAsia="en-AU"/>
    </w:rPr>
  </w:style>
  <w:style w:type="character" w:styleId="FollowedHyperlink">
    <w:name w:val="FollowedHyperlink"/>
    <w:basedOn w:val="DefaultParagraphFont"/>
    <w:semiHidden/>
    <w:unhideWhenUsed/>
    <w:rsid w:val="0028668D"/>
    <w:rPr>
      <w:color w:val="800080" w:themeColor="followedHyperlink"/>
      <w:u w:val="single"/>
    </w:rPr>
  </w:style>
  <w:style w:type="paragraph" w:customStyle="1" w:styleId="Numberbullet2">
    <w:name w:val="Number bullet 2"/>
    <w:basedOn w:val="ListBullet2"/>
    <w:qFormat/>
    <w:rsid w:val="00E7499B"/>
    <w:pPr>
      <w:widowControl/>
      <w:numPr>
        <w:ilvl w:val="1"/>
      </w:numPr>
      <w:spacing w:before="120" w:after="180" w:line="240" w:lineRule="atLeast"/>
      <w:ind w:left="1080" w:hanging="360"/>
      <w:contextualSpacing w:val="0"/>
      <w:jc w:val="left"/>
    </w:pPr>
    <w:rPr>
      <w:rFonts w:ascii="Cambria" w:eastAsia="Cambria" w:hAnsi="Cambria" w:cs="Times New Roman"/>
      <w:snapToGrid/>
      <w:szCs w:val="22"/>
    </w:rPr>
  </w:style>
  <w:style w:type="paragraph" w:customStyle="1" w:styleId="Numberbullet3">
    <w:name w:val="Number bullet 3"/>
    <w:basedOn w:val="ListBullet3"/>
    <w:qFormat/>
    <w:rsid w:val="00E7499B"/>
    <w:pPr>
      <w:widowControl/>
      <w:numPr>
        <w:ilvl w:val="2"/>
        <w:numId w:val="9"/>
      </w:numPr>
      <w:spacing w:before="120" w:after="180" w:line="240" w:lineRule="atLeast"/>
      <w:ind w:left="1800" w:hanging="180"/>
      <w:contextualSpacing w:val="0"/>
      <w:jc w:val="left"/>
    </w:pPr>
    <w:rPr>
      <w:rFonts w:ascii="Cambria" w:eastAsia="Cambria" w:hAnsi="Cambria" w:cs="Times New Roman"/>
      <w:snapToGrid/>
      <w:szCs w:val="22"/>
    </w:rPr>
  </w:style>
  <w:style w:type="numbering" w:customStyle="1" w:styleId="NumberBullet">
    <w:name w:val="NumberBullet"/>
    <w:uiPriority w:val="99"/>
    <w:locked/>
    <w:rsid w:val="00E7499B"/>
    <w:pPr>
      <w:numPr>
        <w:numId w:val="9"/>
      </w:numPr>
    </w:pPr>
  </w:style>
  <w:style w:type="paragraph" w:styleId="ListBullet2">
    <w:name w:val="List Bullet 2"/>
    <w:basedOn w:val="Normal"/>
    <w:semiHidden/>
    <w:unhideWhenUsed/>
    <w:rsid w:val="00E7499B"/>
    <w:pPr>
      <w:numPr>
        <w:numId w:val="9"/>
      </w:numPr>
      <w:contextualSpacing/>
    </w:pPr>
  </w:style>
  <w:style w:type="paragraph" w:styleId="ListBullet3">
    <w:name w:val="List Bullet 3"/>
    <w:basedOn w:val="Normal"/>
    <w:semiHidden/>
    <w:unhideWhenUsed/>
    <w:rsid w:val="00E7499B"/>
    <w:pPr>
      <w:tabs>
        <w:tab w:val="num" w:pos="36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F7979"/>
    <w:pPr>
      <w:widowControl w:val="0"/>
      <w:jc w:val="both"/>
    </w:pPr>
    <w:rPr>
      <w:rFonts w:ascii="Arial" w:hAnsi="Arial" w:cs="Arial"/>
      <w:snapToGrid w:val="0"/>
      <w:sz w:val="22"/>
      <w:lang w:eastAsia="en-US"/>
    </w:rPr>
  </w:style>
  <w:style w:type="paragraph" w:styleId="Heading1">
    <w:name w:val="heading 1"/>
    <w:basedOn w:val="PBACHeading1"/>
    <w:next w:val="Normal"/>
    <w:qFormat/>
    <w:rsid w:val="009B047C"/>
  </w:style>
  <w:style w:type="paragraph" w:styleId="Heading2">
    <w:name w:val="heading 2"/>
    <w:basedOn w:val="Normal"/>
    <w:next w:val="Normal"/>
    <w:link w:val="Heading2Char"/>
    <w:qFormat/>
    <w:rsid w:val="00E47950"/>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E47950"/>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9B047C"/>
    <w:pPr>
      <w:spacing w:before="240" w:after="60"/>
      <w:jc w:val="left"/>
      <w:outlineLvl w:val="0"/>
    </w:pPr>
    <w:rPr>
      <w:b/>
      <w:bCs/>
      <w:kern w:val="28"/>
      <w:sz w:val="28"/>
      <w:szCs w:val="32"/>
    </w:rPr>
  </w:style>
  <w:style w:type="character" w:customStyle="1" w:styleId="TitleChar">
    <w:name w:val="Title Char"/>
    <w:basedOn w:val="DefaultParagraphFont"/>
    <w:link w:val="Title"/>
    <w:rsid w:val="009B047C"/>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53F40"/>
    <w:pPr>
      <w:tabs>
        <w:tab w:val="left" w:pos="880"/>
        <w:tab w:val="right" w:leader="dot" w:pos="9016"/>
      </w:tabs>
      <w:spacing w:before="120"/>
      <w:ind w:left="851" w:hanging="63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B047C"/>
    <w:pPr>
      <w:numPr>
        <w:numId w:val="1"/>
      </w:numPr>
      <w:outlineLvl w:val="0"/>
    </w:pPr>
    <w:rPr>
      <w:rFonts w:ascii="Arial" w:hAnsi="Arial" w:cs="Arial"/>
      <w:b/>
      <w:snapToGrid w:val="0"/>
      <w:sz w:val="22"/>
      <w:szCs w:val="22"/>
      <w:lang w:eastAsia="en-US"/>
    </w:rPr>
  </w:style>
  <w:style w:type="paragraph" w:customStyle="1" w:styleId="PBACTableFootnote">
    <w:name w:val="PBAC Table Footnote"/>
    <w:basedOn w:val="Normal"/>
    <w:link w:val="PBACTableFootnoteChar"/>
    <w:qFormat/>
    <w:rsid w:val="002A0829"/>
    <w:pPr>
      <w:widowControl/>
      <w:spacing w:before="60" w:after="200"/>
      <w:contextualSpacing/>
      <w:jc w:val="left"/>
    </w:pPr>
    <w:rPr>
      <w:rFonts w:ascii="News Gothic MT" w:eastAsia="MS Mincho" w:hAnsi="News Gothic MT" w:cs="Times New Roman"/>
      <w:snapToGrid/>
      <w:sz w:val="16"/>
      <w:szCs w:val="24"/>
      <w:lang w:val="en-US"/>
    </w:rPr>
  </w:style>
  <w:style w:type="character" w:customStyle="1" w:styleId="PBACTableFootnoteChar">
    <w:name w:val="PBAC Table Footnote Char"/>
    <w:basedOn w:val="DefaultParagraphFont"/>
    <w:link w:val="PBACTableFootnote"/>
    <w:rsid w:val="002A0829"/>
    <w:rPr>
      <w:rFonts w:ascii="News Gothic MT" w:eastAsia="MS Mincho" w:hAnsi="News Gothic MT"/>
      <w:sz w:val="16"/>
      <w:szCs w:val="24"/>
      <w:lang w:val="en-US" w:eastAsia="en-US"/>
    </w:rPr>
  </w:style>
  <w:style w:type="paragraph" w:customStyle="1" w:styleId="COMBody">
    <w:name w:val="COMBody"/>
    <w:basedOn w:val="Normal"/>
    <w:link w:val="COMBodyChar"/>
    <w:qFormat/>
    <w:rsid w:val="00935DB0"/>
    <w:pPr>
      <w:widowControl/>
    </w:pPr>
    <w:rPr>
      <w:bCs/>
      <w:snapToGrid/>
      <w:szCs w:val="22"/>
      <w:lang w:val="en-US"/>
    </w:rPr>
  </w:style>
  <w:style w:type="character" w:customStyle="1" w:styleId="COMBodyChar">
    <w:name w:val="COMBody Char"/>
    <w:link w:val="COMBody"/>
    <w:rsid w:val="00935DB0"/>
    <w:rPr>
      <w:rFonts w:ascii="Arial" w:hAnsi="Arial" w:cs="Arial"/>
      <w:bCs/>
      <w:sz w:val="22"/>
      <w:szCs w:val="22"/>
      <w:lang w:val="en-US" w:eastAsia="en-US"/>
    </w:rPr>
  </w:style>
  <w:style w:type="paragraph" w:customStyle="1" w:styleId="COMtblcap">
    <w:name w:val="COMtblcap"/>
    <w:basedOn w:val="Normal"/>
    <w:link w:val="COMtblcapChar"/>
    <w:qFormat/>
    <w:rsid w:val="00935DB0"/>
    <w:pPr>
      <w:keepNext/>
      <w:widowControl/>
    </w:pPr>
    <w:rPr>
      <w:b/>
      <w:snapToGrid/>
      <w:sz w:val="20"/>
      <w:lang w:val="en-US"/>
    </w:rPr>
  </w:style>
  <w:style w:type="character" w:customStyle="1" w:styleId="COMtblcapChar">
    <w:name w:val="COMtblcap Char"/>
    <w:link w:val="COMtblcap"/>
    <w:rsid w:val="00935DB0"/>
    <w:rPr>
      <w:rFonts w:ascii="Arial" w:hAnsi="Arial" w:cs="Arial"/>
      <w:b/>
      <w:lang w:val="en-US" w:eastAsia="en-US"/>
    </w:rPr>
  </w:style>
  <w:style w:type="paragraph" w:customStyle="1" w:styleId="PBACTableText">
    <w:name w:val="PBAC Table Text"/>
    <w:basedOn w:val="Normal"/>
    <w:link w:val="PBACTableTextChar"/>
    <w:qFormat/>
    <w:rsid w:val="001B7A8D"/>
    <w:pPr>
      <w:widowControl/>
      <w:spacing w:before="40" w:after="40"/>
      <w:jc w:val="left"/>
    </w:pPr>
    <w:rPr>
      <w:rFonts w:ascii="News Gothic MT" w:eastAsia="MS Mincho" w:hAnsi="News Gothic MT" w:cs="Times New Roman"/>
      <w:snapToGrid/>
      <w:sz w:val="20"/>
      <w:lang w:val="en-US"/>
    </w:rPr>
  </w:style>
  <w:style w:type="character" w:customStyle="1" w:styleId="PBACTableTextChar">
    <w:name w:val="PBAC Table Text Char"/>
    <w:basedOn w:val="DefaultParagraphFont"/>
    <w:link w:val="PBACTableText"/>
    <w:rsid w:val="001B7A8D"/>
    <w:rPr>
      <w:rFonts w:ascii="News Gothic MT" w:eastAsia="MS Mincho" w:hAnsi="News Gothic MT"/>
      <w:lang w:val="en-US" w:eastAsia="en-US"/>
    </w:rPr>
  </w:style>
  <w:style w:type="paragraph" w:customStyle="1" w:styleId="PBACTableTextBoldCentered">
    <w:name w:val="PBAC Table Text + Bold + Centered"/>
    <w:basedOn w:val="Normal"/>
    <w:rsid w:val="001B7A8D"/>
    <w:pPr>
      <w:keepNext/>
      <w:widowControl/>
      <w:spacing w:before="40" w:after="40"/>
      <w:jc w:val="center"/>
    </w:pPr>
    <w:rPr>
      <w:rFonts w:ascii="News Gothic MT" w:eastAsia="MS Mincho" w:hAnsi="News Gothic MT" w:cs="Times New Roman"/>
      <w:b/>
      <w:bCs/>
      <w:snapToGrid/>
      <w:sz w:val="20"/>
      <w:lang w:val="en-US"/>
    </w:rPr>
  </w:style>
  <w:style w:type="paragraph" w:customStyle="1" w:styleId="PBACTableTextBoldLeft">
    <w:name w:val="PBAC Table Text + Bold + Left"/>
    <w:basedOn w:val="PBACTableText"/>
    <w:qFormat/>
    <w:rsid w:val="00D008E8"/>
    <w:pPr>
      <w:keepNext/>
    </w:pPr>
    <w:rPr>
      <w:b/>
      <w:bCs/>
    </w:rPr>
  </w:style>
  <w:style w:type="paragraph" w:customStyle="1" w:styleId="Default">
    <w:name w:val="Default"/>
    <w:rsid w:val="00030723"/>
    <w:pPr>
      <w:autoSpaceDE w:val="0"/>
      <w:autoSpaceDN w:val="0"/>
      <w:adjustRightInd w:val="0"/>
    </w:pPr>
    <w:rPr>
      <w:color w:val="000000"/>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451AB"/>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BE180C"/>
    <w:pPr>
      <w:ind w:left="720" w:hanging="720"/>
    </w:pPr>
    <w:rPr>
      <w:rFonts w:ascii="Arial" w:hAnsi="Arial" w:cs="Arial"/>
      <w:snapToGrid w:val="0"/>
      <w:sz w:val="22"/>
      <w:szCs w:val="22"/>
      <w:lang w:eastAsia="en-US"/>
    </w:rPr>
  </w:style>
  <w:style w:type="character" w:customStyle="1" w:styleId="ListParagraphChar">
    <w:name w:val="List Paragraph Char"/>
    <w:aliases w:val="BulletPoints Char"/>
    <w:link w:val="ListParagraph"/>
    <w:uiPriority w:val="34"/>
    <w:locked/>
    <w:rsid w:val="00BE180C"/>
    <w:rPr>
      <w:rFonts w:ascii="Arial" w:hAnsi="Arial" w:cs="Arial"/>
      <w:snapToGrid w:val="0"/>
      <w:sz w:val="22"/>
      <w:lang w:eastAsia="en-US"/>
    </w:rPr>
  </w:style>
  <w:style w:type="character" w:customStyle="1" w:styleId="TableHeadingChar">
    <w:name w:val="TableHeading Char"/>
    <w:link w:val="TableHeading"/>
    <w:rsid w:val="007C430E"/>
    <w:rPr>
      <w:rFonts w:ascii="Arial Narrow" w:hAnsi="Arial Narrow" w:cs="Arial Narrow"/>
      <w:b/>
      <w:bCs/>
      <w:lang w:eastAsia="en-US"/>
    </w:rPr>
  </w:style>
  <w:style w:type="paragraph" w:customStyle="1" w:styleId="TableTextleft">
    <w:name w:val="Table Text left"/>
    <w:basedOn w:val="Normal"/>
    <w:rsid w:val="007C430E"/>
    <w:pPr>
      <w:widowControl/>
      <w:jc w:val="left"/>
    </w:pPr>
    <w:rPr>
      <w:snapToGrid/>
      <w:sz w:val="18"/>
      <w:szCs w:val="18"/>
      <w:lang w:eastAsia="en-AU"/>
    </w:rPr>
  </w:style>
  <w:style w:type="character" w:styleId="FollowedHyperlink">
    <w:name w:val="FollowedHyperlink"/>
    <w:basedOn w:val="DefaultParagraphFont"/>
    <w:semiHidden/>
    <w:unhideWhenUsed/>
    <w:rsid w:val="0028668D"/>
    <w:rPr>
      <w:color w:val="800080" w:themeColor="followedHyperlink"/>
      <w:u w:val="single"/>
    </w:rPr>
  </w:style>
  <w:style w:type="paragraph" w:customStyle="1" w:styleId="Numberbullet2">
    <w:name w:val="Number bullet 2"/>
    <w:basedOn w:val="ListBullet2"/>
    <w:qFormat/>
    <w:rsid w:val="00E7499B"/>
    <w:pPr>
      <w:widowControl/>
      <w:numPr>
        <w:ilvl w:val="1"/>
      </w:numPr>
      <w:spacing w:before="120" w:after="180" w:line="240" w:lineRule="atLeast"/>
      <w:ind w:left="1080" w:hanging="360"/>
      <w:contextualSpacing w:val="0"/>
      <w:jc w:val="left"/>
    </w:pPr>
    <w:rPr>
      <w:rFonts w:ascii="Cambria" w:eastAsia="Cambria" w:hAnsi="Cambria" w:cs="Times New Roman"/>
      <w:snapToGrid/>
      <w:szCs w:val="22"/>
    </w:rPr>
  </w:style>
  <w:style w:type="paragraph" w:customStyle="1" w:styleId="Numberbullet3">
    <w:name w:val="Number bullet 3"/>
    <w:basedOn w:val="ListBullet3"/>
    <w:qFormat/>
    <w:rsid w:val="00E7499B"/>
    <w:pPr>
      <w:widowControl/>
      <w:numPr>
        <w:ilvl w:val="2"/>
        <w:numId w:val="9"/>
      </w:numPr>
      <w:spacing w:before="120" w:after="180" w:line="240" w:lineRule="atLeast"/>
      <w:ind w:left="1800" w:hanging="180"/>
      <w:contextualSpacing w:val="0"/>
      <w:jc w:val="left"/>
    </w:pPr>
    <w:rPr>
      <w:rFonts w:ascii="Cambria" w:eastAsia="Cambria" w:hAnsi="Cambria" w:cs="Times New Roman"/>
      <w:snapToGrid/>
      <w:szCs w:val="22"/>
    </w:rPr>
  </w:style>
  <w:style w:type="numbering" w:customStyle="1" w:styleId="NumberBullet">
    <w:name w:val="NumberBullet"/>
    <w:uiPriority w:val="99"/>
    <w:locked/>
    <w:rsid w:val="00E7499B"/>
    <w:pPr>
      <w:numPr>
        <w:numId w:val="9"/>
      </w:numPr>
    </w:pPr>
  </w:style>
  <w:style w:type="paragraph" w:styleId="ListBullet2">
    <w:name w:val="List Bullet 2"/>
    <w:basedOn w:val="Normal"/>
    <w:semiHidden/>
    <w:unhideWhenUsed/>
    <w:rsid w:val="00E7499B"/>
    <w:pPr>
      <w:numPr>
        <w:numId w:val="9"/>
      </w:numPr>
      <w:contextualSpacing/>
    </w:pPr>
  </w:style>
  <w:style w:type="paragraph" w:styleId="ListBullet3">
    <w:name w:val="List Bullet 3"/>
    <w:basedOn w:val="Normal"/>
    <w:semiHidden/>
    <w:unhideWhenUsed/>
    <w:rsid w:val="00E7499B"/>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460">
      <w:bodyDiv w:val="1"/>
      <w:marLeft w:val="0"/>
      <w:marRight w:val="0"/>
      <w:marTop w:val="0"/>
      <w:marBottom w:val="0"/>
      <w:divBdr>
        <w:top w:val="none" w:sz="0" w:space="0" w:color="auto"/>
        <w:left w:val="none" w:sz="0" w:space="0" w:color="auto"/>
        <w:bottom w:val="none" w:sz="0" w:space="0" w:color="auto"/>
        <w:right w:val="none" w:sz="0" w:space="0" w:color="auto"/>
      </w:divBdr>
    </w:div>
    <w:div w:id="156575206">
      <w:bodyDiv w:val="1"/>
      <w:marLeft w:val="0"/>
      <w:marRight w:val="0"/>
      <w:marTop w:val="0"/>
      <w:marBottom w:val="0"/>
      <w:divBdr>
        <w:top w:val="none" w:sz="0" w:space="0" w:color="auto"/>
        <w:left w:val="none" w:sz="0" w:space="0" w:color="auto"/>
        <w:bottom w:val="none" w:sz="0" w:space="0" w:color="auto"/>
        <w:right w:val="none" w:sz="0" w:space="0" w:color="auto"/>
      </w:divBdr>
    </w:div>
    <w:div w:id="261498339">
      <w:bodyDiv w:val="1"/>
      <w:marLeft w:val="0"/>
      <w:marRight w:val="0"/>
      <w:marTop w:val="0"/>
      <w:marBottom w:val="0"/>
      <w:divBdr>
        <w:top w:val="none" w:sz="0" w:space="0" w:color="auto"/>
        <w:left w:val="none" w:sz="0" w:space="0" w:color="auto"/>
        <w:bottom w:val="none" w:sz="0" w:space="0" w:color="auto"/>
        <w:right w:val="none" w:sz="0" w:space="0" w:color="auto"/>
      </w:divBdr>
    </w:div>
    <w:div w:id="273487031">
      <w:bodyDiv w:val="1"/>
      <w:marLeft w:val="0"/>
      <w:marRight w:val="0"/>
      <w:marTop w:val="0"/>
      <w:marBottom w:val="0"/>
      <w:divBdr>
        <w:top w:val="none" w:sz="0" w:space="0" w:color="auto"/>
        <w:left w:val="none" w:sz="0" w:space="0" w:color="auto"/>
        <w:bottom w:val="none" w:sz="0" w:space="0" w:color="auto"/>
        <w:right w:val="none" w:sz="0" w:space="0" w:color="auto"/>
      </w:divBdr>
    </w:div>
    <w:div w:id="692269504">
      <w:bodyDiv w:val="1"/>
      <w:marLeft w:val="0"/>
      <w:marRight w:val="0"/>
      <w:marTop w:val="0"/>
      <w:marBottom w:val="0"/>
      <w:divBdr>
        <w:top w:val="none" w:sz="0" w:space="0" w:color="auto"/>
        <w:left w:val="none" w:sz="0" w:space="0" w:color="auto"/>
        <w:bottom w:val="none" w:sz="0" w:space="0" w:color="auto"/>
        <w:right w:val="none" w:sz="0" w:space="0" w:color="auto"/>
      </w:divBdr>
      <w:divsChild>
        <w:div w:id="98572768">
          <w:marLeft w:val="547"/>
          <w:marRight w:val="0"/>
          <w:marTop w:val="106"/>
          <w:marBottom w:val="0"/>
          <w:divBdr>
            <w:top w:val="none" w:sz="0" w:space="0" w:color="auto"/>
            <w:left w:val="none" w:sz="0" w:space="0" w:color="auto"/>
            <w:bottom w:val="none" w:sz="0" w:space="0" w:color="auto"/>
            <w:right w:val="none" w:sz="0" w:space="0" w:color="auto"/>
          </w:divBdr>
        </w:div>
      </w:divsChild>
    </w:div>
    <w:div w:id="813906873">
      <w:bodyDiv w:val="1"/>
      <w:marLeft w:val="0"/>
      <w:marRight w:val="0"/>
      <w:marTop w:val="0"/>
      <w:marBottom w:val="0"/>
      <w:divBdr>
        <w:top w:val="none" w:sz="0" w:space="0" w:color="auto"/>
        <w:left w:val="none" w:sz="0" w:space="0" w:color="auto"/>
        <w:bottom w:val="none" w:sz="0" w:space="0" w:color="auto"/>
        <w:right w:val="none" w:sz="0" w:space="0" w:color="auto"/>
      </w:divBdr>
      <w:divsChild>
        <w:div w:id="1074595648">
          <w:marLeft w:val="547"/>
          <w:marRight w:val="0"/>
          <w:marTop w:val="154"/>
          <w:marBottom w:val="0"/>
          <w:divBdr>
            <w:top w:val="none" w:sz="0" w:space="0" w:color="auto"/>
            <w:left w:val="none" w:sz="0" w:space="0" w:color="auto"/>
            <w:bottom w:val="none" w:sz="0" w:space="0" w:color="auto"/>
            <w:right w:val="none" w:sz="0" w:space="0" w:color="auto"/>
          </w:divBdr>
        </w:div>
      </w:divsChild>
    </w:div>
    <w:div w:id="873350670">
      <w:bodyDiv w:val="1"/>
      <w:marLeft w:val="0"/>
      <w:marRight w:val="0"/>
      <w:marTop w:val="0"/>
      <w:marBottom w:val="0"/>
      <w:divBdr>
        <w:top w:val="none" w:sz="0" w:space="0" w:color="auto"/>
        <w:left w:val="none" w:sz="0" w:space="0" w:color="auto"/>
        <w:bottom w:val="none" w:sz="0" w:space="0" w:color="auto"/>
        <w:right w:val="none" w:sz="0" w:space="0" w:color="auto"/>
      </w:divBdr>
    </w:div>
    <w:div w:id="1285188693">
      <w:bodyDiv w:val="1"/>
      <w:marLeft w:val="0"/>
      <w:marRight w:val="0"/>
      <w:marTop w:val="0"/>
      <w:marBottom w:val="0"/>
      <w:divBdr>
        <w:top w:val="none" w:sz="0" w:space="0" w:color="auto"/>
        <w:left w:val="none" w:sz="0" w:space="0" w:color="auto"/>
        <w:bottom w:val="none" w:sz="0" w:space="0" w:color="auto"/>
        <w:right w:val="none" w:sz="0" w:space="0" w:color="auto"/>
      </w:divBdr>
    </w:div>
    <w:div w:id="13944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D485-79EA-431B-8983-8C98B219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3961</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2016-06-10T01:56:00Z</dcterms:created>
  <dcterms:modified xsi:type="dcterms:W3CDTF">2016-06-22T04:34:00Z</dcterms:modified>
</cp:coreProperties>
</file>